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C848D" w14:textId="56D48F58" w:rsidR="008403A0" w:rsidRPr="00B10EBE" w:rsidRDefault="003E1360" w:rsidP="0033343A">
      <w:pPr>
        <w:pStyle w:val="Teaser"/>
        <w:adjustRightInd w:val="0"/>
        <w:spacing w:before="0"/>
        <w:ind w:left="0" w:firstLine="0"/>
        <w:contextualSpacing/>
        <w:jc w:val="both"/>
        <w:rPr>
          <w:rFonts w:ascii="Garamond" w:hAnsi="Garamond"/>
          <w:bCs/>
          <w:noProof/>
          <w:color w:val="000000" w:themeColor="text1"/>
          <w:lang w:val="en-GB"/>
        </w:rPr>
      </w:pPr>
      <w:bookmarkStart w:id="0" w:name="_Hlk54273513"/>
      <w:r w:rsidRPr="00B10EBE">
        <w:rPr>
          <w:rFonts w:ascii="Garamond" w:hAnsi="Garamond"/>
          <w:b/>
          <w:bCs/>
          <w:noProof/>
          <w:color w:val="000000" w:themeColor="text1"/>
          <w:lang w:val="en-GB"/>
        </w:rPr>
        <w:t>T</w:t>
      </w:r>
      <w:r w:rsidR="008B368D" w:rsidRPr="00B10EBE">
        <w:rPr>
          <w:rFonts w:ascii="Garamond" w:hAnsi="Garamond"/>
          <w:b/>
          <w:bCs/>
          <w:noProof/>
          <w:color w:val="000000" w:themeColor="text1"/>
          <w:lang w:val="en-GB"/>
        </w:rPr>
        <w:t>itle</w:t>
      </w:r>
    </w:p>
    <w:p w14:paraId="42AD3ABA" w14:textId="005A3AF7" w:rsidR="00C901E4" w:rsidRPr="00B10EBE" w:rsidRDefault="00645113" w:rsidP="0033343A">
      <w:pPr>
        <w:pStyle w:val="Teaser"/>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lang w:val="en-GB"/>
        </w:rPr>
        <w:t xml:space="preserve">Precipitation and </w:t>
      </w:r>
      <w:r w:rsidR="00EB205F" w:rsidRPr="00B10EBE">
        <w:rPr>
          <w:rFonts w:ascii="Garamond" w:hAnsi="Garamond"/>
          <w:noProof/>
          <w:color w:val="000000" w:themeColor="text1"/>
          <w:lang w:val="en-GB"/>
        </w:rPr>
        <w:t xml:space="preserve">temperature </w:t>
      </w:r>
      <w:r w:rsidR="00105EAE" w:rsidRPr="00B10EBE">
        <w:rPr>
          <w:rFonts w:ascii="Garamond" w:hAnsi="Garamond"/>
          <w:noProof/>
          <w:color w:val="000000" w:themeColor="text1"/>
          <w:lang w:val="en-GB"/>
        </w:rPr>
        <w:t>drive</w:t>
      </w:r>
      <w:r w:rsidR="000652B1" w:rsidRPr="00B10EBE">
        <w:rPr>
          <w:rFonts w:ascii="Garamond" w:hAnsi="Garamond"/>
          <w:noProof/>
          <w:color w:val="000000" w:themeColor="text1"/>
          <w:lang w:val="en-GB"/>
        </w:rPr>
        <w:t xml:space="preserve"> </w:t>
      </w:r>
      <w:r w:rsidR="00EB205F" w:rsidRPr="00B10EBE">
        <w:rPr>
          <w:rFonts w:ascii="Garamond" w:hAnsi="Garamond"/>
          <w:noProof/>
          <w:color w:val="000000" w:themeColor="text1"/>
          <w:lang w:val="en-GB"/>
        </w:rPr>
        <w:t xml:space="preserve">woody </w:t>
      </w:r>
      <w:r w:rsidR="006A73DB" w:rsidRPr="00B10EBE">
        <w:rPr>
          <w:rFonts w:ascii="Garamond" w:hAnsi="Garamond"/>
          <w:noProof/>
          <w:color w:val="000000" w:themeColor="text1"/>
          <w:lang w:val="en-GB"/>
        </w:rPr>
        <w:t xml:space="preserve">vegetation </w:t>
      </w:r>
      <w:r w:rsidRPr="00B10EBE">
        <w:rPr>
          <w:rFonts w:ascii="Garamond" w:hAnsi="Garamond"/>
          <w:noProof/>
          <w:color w:val="000000" w:themeColor="text1"/>
          <w:lang w:val="en-GB"/>
        </w:rPr>
        <w:t>dynamics in the grasslands of sub-Saharan Africa</w:t>
      </w:r>
    </w:p>
    <w:bookmarkEnd w:id="0"/>
    <w:p w14:paraId="3D65D05C" w14:textId="139FB4B7" w:rsidR="00E96ED5" w:rsidRPr="00B10EBE" w:rsidRDefault="00910162" w:rsidP="0033343A">
      <w:pPr>
        <w:pStyle w:val="Acknowledgement"/>
        <w:adjustRightInd w:val="0"/>
        <w:spacing w:before="0"/>
        <w:ind w:left="0" w:firstLine="0"/>
        <w:contextualSpacing/>
        <w:jc w:val="both"/>
        <w:rPr>
          <w:rFonts w:ascii="Garamond" w:hAnsi="Garamond"/>
          <w:b/>
          <w:noProof/>
          <w:color w:val="000000" w:themeColor="text1"/>
        </w:rPr>
      </w:pPr>
      <w:r w:rsidRPr="00B10EBE">
        <w:rPr>
          <w:rFonts w:ascii="Garamond" w:hAnsi="Garamond"/>
          <w:b/>
          <w:noProof/>
          <w:color w:val="000000" w:themeColor="text1"/>
          <w:lang w:val="en-GB"/>
        </w:rPr>
        <w:t>Running title</w:t>
      </w:r>
    </w:p>
    <w:p w14:paraId="2168D6B8" w14:textId="0EF9A78F" w:rsidR="00B475AC" w:rsidRPr="00B10EBE" w:rsidRDefault="005A3EF6" w:rsidP="0033343A">
      <w:pPr>
        <w:pStyle w:val="Paragraph"/>
        <w:adjustRightInd w:val="0"/>
        <w:spacing w:before="0"/>
        <w:ind w:left="0" w:firstLine="0"/>
        <w:contextualSpacing/>
        <w:jc w:val="both"/>
        <w:rPr>
          <w:rFonts w:ascii="Garamond" w:hAnsi="Garamond"/>
          <w:noProof/>
          <w:color w:val="000000" w:themeColor="text1"/>
        </w:rPr>
      </w:pPr>
      <w:r w:rsidRPr="00B10EBE">
        <w:rPr>
          <w:rFonts w:ascii="Garamond" w:hAnsi="Garamond"/>
          <w:noProof/>
          <w:color w:val="000000" w:themeColor="text1"/>
        </w:rPr>
        <w:t>Characterising drivers of grassland dynamics</w:t>
      </w:r>
    </w:p>
    <w:p w14:paraId="519AC9CA" w14:textId="7402D817" w:rsidR="00710675" w:rsidRPr="00B10EBE" w:rsidRDefault="00710675" w:rsidP="0033343A">
      <w:pPr>
        <w:pStyle w:val="Teaser"/>
        <w:adjustRightInd w:val="0"/>
        <w:spacing w:before="0"/>
        <w:ind w:left="0" w:firstLine="0"/>
        <w:contextualSpacing/>
        <w:jc w:val="both"/>
        <w:rPr>
          <w:rFonts w:ascii="Garamond" w:hAnsi="Garamond"/>
          <w:b/>
          <w:bCs/>
          <w:noProof/>
          <w:color w:val="000000" w:themeColor="text1"/>
          <w:lang w:val="en-GB"/>
        </w:rPr>
      </w:pPr>
      <w:r w:rsidRPr="00B10EBE">
        <w:rPr>
          <w:rFonts w:ascii="Garamond" w:hAnsi="Garamond"/>
          <w:b/>
          <w:bCs/>
          <w:noProof/>
          <w:color w:val="000000" w:themeColor="text1"/>
          <w:lang w:val="en-GB"/>
        </w:rPr>
        <w:t>Author names</w:t>
      </w:r>
    </w:p>
    <w:p w14:paraId="3A3C3CCD" w14:textId="347DBF30" w:rsidR="00710675" w:rsidRPr="00B10EBE" w:rsidRDefault="00710675" w:rsidP="0033343A">
      <w:pPr>
        <w:pStyle w:val="Teaser"/>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lang w:val="en-GB"/>
        </w:rPr>
        <w:t>Francesco D’Adamo</w:t>
      </w:r>
      <w:r w:rsidRPr="00B10EBE">
        <w:rPr>
          <w:rFonts w:ascii="Garamond" w:hAnsi="Garamond"/>
          <w:noProof/>
          <w:color w:val="000000" w:themeColor="text1"/>
          <w:vertAlign w:val="superscript"/>
          <w:lang w:val="en-GB"/>
        </w:rPr>
        <w:t>1,2</w:t>
      </w:r>
      <w:r w:rsidRPr="00B10EBE">
        <w:rPr>
          <w:rFonts w:ascii="Garamond" w:hAnsi="Garamond"/>
          <w:noProof/>
          <w:color w:val="000000" w:themeColor="text1"/>
          <w:lang w:val="en-GB"/>
        </w:rPr>
        <w:t>, Rebecca Spake</w:t>
      </w:r>
      <w:r w:rsidRPr="00B10EBE">
        <w:rPr>
          <w:rFonts w:ascii="Garamond" w:hAnsi="Garamond"/>
          <w:noProof/>
          <w:color w:val="000000" w:themeColor="text1"/>
          <w:vertAlign w:val="superscript"/>
          <w:lang w:val="en-GB"/>
        </w:rPr>
        <w:t>3</w:t>
      </w:r>
      <w:r w:rsidRPr="00B10EBE">
        <w:rPr>
          <w:rFonts w:ascii="Garamond" w:hAnsi="Garamond"/>
          <w:noProof/>
          <w:color w:val="000000" w:themeColor="text1"/>
          <w:lang w:val="en-GB"/>
        </w:rPr>
        <w:t>, James M Bullock</w:t>
      </w:r>
      <w:r w:rsidRPr="00B10EBE">
        <w:rPr>
          <w:rFonts w:ascii="Garamond" w:hAnsi="Garamond"/>
          <w:noProof/>
          <w:color w:val="000000" w:themeColor="text1"/>
          <w:vertAlign w:val="superscript"/>
          <w:lang w:val="en-GB"/>
        </w:rPr>
        <w:t>4</w:t>
      </w:r>
      <w:r w:rsidRPr="00B10EBE">
        <w:rPr>
          <w:rFonts w:ascii="Garamond" w:hAnsi="Garamond"/>
          <w:noProof/>
          <w:color w:val="000000" w:themeColor="text1"/>
          <w:lang w:val="en-GB"/>
        </w:rPr>
        <w:t>, Booker Ogutu</w:t>
      </w:r>
      <w:r w:rsidRPr="00B10EBE">
        <w:rPr>
          <w:rFonts w:ascii="Garamond" w:hAnsi="Garamond"/>
          <w:noProof/>
          <w:color w:val="000000" w:themeColor="text1"/>
          <w:vertAlign w:val="superscript"/>
          <w:lang w:val="en-GB"/>
        </w:rPr>
        <w:t>1</w:t>
      </w:r>
      <w:r w:rsidRPr="00B10EBE">
        <w:rPr>
          <w:rFonts w:ascii="Garamond" w:hAnsi="Garamond"/>
          <w:noProof/>
          <w:color w:val="000000" w:themeColor="text1"/>
          <w:lang w:val="en-GB"/>
        </w:rPr>
        <w:t>, Jadunandan Dash</w:t>
      </w:r>
      <w:r w:rsidRPr="00B10EBE">
        <w:rPr>
          <w:rFonts w:ascii="Garamond" w:hAnsi="Garamond"/>
          <w:noProof/>
          <w:color w:val="000000" w:themeColor="text1"/>
          <w:vertAlign w:val="superscript"/>
          <w:lang w:val="en-GB"/>
        </w:rPr>
        <w:t>1</w:t>
      </w:r>
      <w:r w:rsidRPr="00B10EBE">
        <w:rPr>
          <w:rFonts w:ascii="Garamond" w:hAnsi="Garamond"/>
          <w:noProof/>
          <w:color w:val="000000" w:themeColor="text1"/>
          <w:lang w:val="en-GB"/>
        </w:rPr>
        <w:t>, and Felix Eigenbrod</w:t>
      </w:r>
      <w:r w:rsidRPr="00B10EBE">
        <w:rPr>
          <w:rFonts w:ascii="Garamond" w:hAnsi="Garamond"/>
          <w:noProof/>
          <w:color w:val="000000" w:themeColor="text1"/>
          <w:vertAlign w:val="superscript"/>
          <w:lang w:val="en-GB"/>
        </w:rPr>
        <w:t>1</w:t>
      </w:r>
    </w:p>
    <w:p w14:paraId="33F545F6" w14:textId="77777777" w:rsidR="00710675" w:rsidRPr="00B10EBE" w:rsidRDefault="00710675" w:rsidP="0033343A">
      <w:pPr>
        <w:pStyle w:val="Teaser"/>
        <w:adjustRightInd w:val="0"/>
        <w:spacing w:before="0"/>
        <w:ind w:left="0" w:firstLine="0"/>
        <w:contextualSpacing/>
        <w:jc w:val="both"/>
        <w:rPr>
          <w:rFonts w:ascii="Garamond" w:hAnsi="Garamond"/>
          <w:b/>
          <w:bCs/>
          <w:noProof/>
          <w:color w:val="000000" w:themeColor="text1"/>
          <w:lang w:val="en-GB"/>
        </w:rPr>
      </w:pPr>
      <w:r w:rsidRPr="00B10EBE">
        <w:rPr>
          <w:rFonts w:ascii="Garamond" w:hAnsi="Garamond"/>
          <w:b/>
          <w:bCs/>
          <w:noProof/>
          <w:color w:val="000000" w:themeColor="text1"/>
          <w:lang w:val="en-GB"/>
        </w:rPr>
        <w:t>Affiliations</w:t>
      </w:r>
    </w:p>
    <w:p w14:paraId="6389BEC3" w14:textId="77777777" w:rsidR="00710675" w:rsidRPr="00B10EBE" w:rsidRDefault="00710675" w:rsidP="0033343A">
      <w:pPr>
        <w:pStyle w:val="Paragraph"/>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vertAlign w:val="superscript"/>
          <w:lang w:val="en-GB"/>
        </w:rPr>
        <w:t>1</w:t>
      </w:r>
      <w:r w:rsidRPr="00B10EBE">
        <w:rPr>
          <w:rFonts w:ascii="Garamond" w:hAnsi="Garamond"/>
          <w:noProof/>
          <w:color w:val="000000" w:themeColor="text1"/>
          <w:lang w:val="en-GB"/>
        </w:rPr>
        <w:t>School of Geography and Environmental Sciences, University of Southampton, SO17 1BJ Southampton, Hampshire, United Kingdom</w:t>
      </w:r>
    </w:p>
    <w:p w14:paraId="03870D1C" w14:textId="4DF3C4BC" w:rsidR="00710675" w:rsidRPr="00B10EBE" w:rsidRDefault="00710675" w:rsidP="0033343A">
      <w:pPr>
        <w:pStyle w:val="Paragraph"/>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vertAlign w:val="superscript"/>
          <w:lang w:val="en-GB"/>
        </w:rPr>
        <w:t>2</w:t>
      </w:r>
      <w:r w:rsidRPr="00B10EBE">
        <w:rPr>
          <w:rFonts w:ascii="Garamond" w:hAnsi="Garamond"/>
          <w:noProof/>
          <w:color w:val="000000" w:themeColor="text1"/>
          <w:lang w:val="en-GB"/>
        </w:rPr>
        <w:t>Centre for Research on Ecology and Forestry Applications (CREAF), 08193 Cerdanyola del Vallès, Barcelona, Spain</w:t>
      </w:r>
    </w:p>
    <w:p w14:paraId="36683B39" w14:textId="38A4B217" w:rsidR="00710675" w:rsidRPr="00B10EBE" w:rsidRDefault="00710675" w:rsidP="0033343A">
      <w:pPr>
        <w:pStyle w:val="Paragraph"/>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vertAlign w:val="superscript"/>
          <w:lang w:val="en-GB"/>
        </w:rPr>
        <w:t>3</w:t>
      </w:r>
      <w:r w:rsidRPr="00B10EBE">
        <w:rPr>
          <w:rFonts w:ascii="Garamond" w:hAnsi="Garamond"/>
          <w:noProof/>
          <w:color w:val="000000" w:themeColor="text1"/>
          <w:lang w:val="en-GB"/>
        </w:rPr>
        <w:t>School of Biological Sciences, University of Reading, Whiteknights Campus, RG6 6AH Reading, Berkshire, United Kingdom</w:t>
      </w:r>
    </w:p>
    <w:p w14:paraId="57B4C143" w14:textId="34088501" w:rsidR="00710675" w:rsidRPr="00B10EBE" w:rsidRDefault="00710675" w:rsidP="0033343A">
      <w:pPr>
        <w:pStyle w:val="Paragraph"/>
        <w:adjustRightInd w:val="0"/>
        <w:spacing w:before="0"/>
        <w:ind w:left="0" w:firstLine="0"/>
        <w:contextualSpacing/>
        <w:jc w:val="both"/>
        <w:rPr>
          <w:rFonts w:ascii="Garamond" w:hAnsi="Garamond"/>
          <w:noProof/>
          <w:color w:val="000000" w:themeColor="text1"/>
          <w:lang w:val="en-GB"/>
        </w:rPr>
      </w:pPr>
      <w:r w:rsidRPr="00B10EBE">
        <w:rPr>
          <w:rFonts w:ascii="Garamond" w:hAnsi="Garamond"/>
          <w:noProof/>
          <w:color w:val="000000" w:themeColor="text1"/>
          <w:vertAlign w:val="superscript"/>
          <w:lang w:val="en-GB"/>
        </w:rPr>
        <w:t>4</w:t>
      </w:r>
      <w:r w:rsidRPr="00B10EBE">
        <w:rPr>
          <w:rFonts w:ascii="Garamond" w:hAnsi="Garamond"/>
          <w:noProof/>
          <w:color w:val="000000" w:themeColor="text1"/>
          <w:lang w:val="en-GB"/>
        </w:rPr>
        <w:t>UK Centre for Ecology &amp; Hydrology, OX10 8BB Wallingford, Oxfordshire, United Kingdom</w:t>
      </w:r>
    </w:p>
    <w:p w14:paraId="4C671316" w14:textId="77777777" w:rsidR="00710675" w:rsidRPr="00B10EBE" w:rsidRDefault="00710675" w:rsidP="0033343A">
      <w:pPr>
        <w:pStyle w:val="Paragraph"/>
        <w:adjustRightInd w:val="0"/>
        <w:spacing w:before="0"/>
        <w:ind w:left="0" w:firstLine="0"/>
        <w:contextualSpacing/>
        <w:jc w:val="both"/>
        <w:rPr>
          <w:rFonts w:ascii="Garamond" w:hAnsi="Garamond"/>
          <w:bCs/>
          <w:noProof/>
          <w:color w:val="000000" w:themeColor="text1"/>
          <w:lang w:val="en-GB"/>
        </w:rPr>
      </w:pPr>
      <w:r w:rsidRPr="00B10EBE">
        <w:rPr>
          <w:rFonts w:ascii="Garamond" w:hAnsi="Garamond"/>
          <w:b/>
          <w:bCs/>
          <w:noProof/>
          <w:color w:val="000000" w:themeColor="text1"/>
          <w:lang w:val="en-GB"/>
        </w:rPr>
        <w:t>Corresponding author</w:t>
      </w:r>
    </w:p>
    <w:p w14:paraId="709E88A6" w14:textId="2D530AC7" w:rsidR="00710675" w:rsidRPr="00B10EBE" w:rsidRDefault="00710675" w:rsidP="0033343A">
      <w:pPr>
        <w:ind w:left="0" w:firstLine="0"/>
        <w:contextualSpacing/>
        <w:jc w:val="both"/>
        <w:rPr>
          <w:rFonts w:ascii="Garamond" w:hAnsi="Garamond"/>
          <w:noProof/>
          <w:color w:val="000000" w:themeColor="text1"/>
          <w:sz w:val="24"/>
          <w:szCs w:val="24"/>
        </w:rPr>
      </w:pPr>
      <w:r w:rsidRPr="00B10EBE">
        <w:rPr>
          <w:rFonts w:ascii="Garamond" w:hAnsi="Garamond"/>
          <w:bCs/>
          <w:noProof/>
          <w:color w:val="000000" w:themeColor="text1"/>
          <w:sz w:val="24"/>
          <w:szCs w:val="24"/>
        </w:rPr>
        <w:t>Francesco D’Adamo (</w:t>
      </w:r>
      <w:r w:rsidR="00910162" w:rsidRPr="00B10EBE">
        <w:rPr>
          <w:rFonts w:ascii="Garamond" w:hAnsi="Garamond"/>
          <w:noProof/>
          <w:color w:val="000000" w:themeColor="text1"/>
          <w:sz w:val="24"/>
          <w:szCs w:val="24"/>
        </w:rPr>
        <w:t>f.dadamo@creaf.uab.cat, CREAF, 08193 Cerdanyola del Vallès, Barcelona, Spain</w:t>
      </w:r>
      <w:r w:rsidRPr="00B10EBE">
        <w:rPr>
          <w:rFonts w:ascii="Garamond" w:hAnsi="Garamond"/>
          <w:noProof/>
          <w:color w:val="000000" w:themeColor="text1"/>
          <w:sz w:val="24"/>
          <w:szCs w:val="24"/>
        </w:rPr>
        <w:t>)</w:t>
      </w:r>
    </w:p>
    <w:p w14:paraId="07EABEB9" w14:textId="77777777" w:rsidR="00910162" w:rsidRPr="00B10EBE" w:rsidRDefault="00910162" w:rsidP="00910162">
      <w:pPr>
        <w:contextualSpacing/>
        <w:jc w:val="both"/>
        <w:rPr>
          <w:rFonts w:ascii="Garamond" w:hAnsi="Garamond"/>
          <w:b/>
          <w:bCs/>
          <w:noProof/>
          <w:color w:val="000000" w:themeColor="text1"/>
          <w:sz w:val="24"/>
          <w:szCs w:val="24"/>
        </w:rPr>
      </w:pPr>
      <w:r w:rsidRPr="00B10EBE">
        <w:rPr>
          <w:rFonts w:ascii="Garamond" w:hAnsi="Garamond"/>
          <w:b/>
          <w:bCs/>
          <w:noProof/>
          <w:color w:val="000000" w:themeColor="text1"/>
          <w:sz w:val="24"/>
          <w:szCs w:val="24"/>
        </w:rPr>
        <w:t>Word count</w:t>
      </w:r>
    </w:p>
    <w:p w14:paraId="790F30D5" w14:textId="762E345E" w:rsidR="009E0ADC" w:rsidRPr="00B10EBE" w:rsidRDefault="00C17FB9" w:rsidP="0033343A">
      <w:pPr>
        <w:ind w:left="0" w:firstLine="0"/>
        <w:contextualSpacing/>
        <w:jc w:val="both"/>
        <w:rPr>
          <w:rFonts w:ascii="Garamond" w:hAnsi="Garamond"/>
          <w:noProof/>
          <w:color w:val="000000" w:themeColor="text1"/>
          <w:sz w:val="24"/>
          <w:szCs w:val="24"/>
        </w:rPr>
      </w:pPr>
      <w:r w:rsidRPr="00E719D6">
        <w:rPr>
          <w:rFonts w:ascii="Garamond" w:hAnsi="Garamond"/>
          <w:noProof/>
          <w:sz w:val="24"/>
          <w:szCs w:val="24"/>
        </w:rPr>
        <w:t>Abstract</w:t>
      </w:r>
      <w:r w:rsidR="00910162" w:rsidRPr="00E719D6">
        <w:rPr>
          <w:rFonts w:ascii="Garamond" w:hAnsi="Garamond"/>
          <w:noProof/>
          <w:sz w:val="24"/>
          <w:szCs w:val="24"/>
        </w:rPr>
        <w:t xml:space="preserve">: </w:t>
      </w:r>
      <w:r w:rsidR="00E719D6" w:rsidRPr="00E719D6">
        <w:rPr>
          <w:rFonts w:ascii="Garamond" w:hAnsi="Garamond"/>
          <w:noProof/>
          <w:sz w:val="24"/>
          <w:szCs w:val="24"/>
        </w:rPr>
        <w:t xml:space="preserve">300. </w:t>
      </w:r>
      <w:r w:rsidR="00910162" w:rsidRPr="00E719D6">
        <w:rPr>
          <w:rFonts w:ascii="Garamond" w:hAnsi="Garamond"/>
          <w:noProof/>
          <w:sz w:val="24"/>
          <w:szCs w:val="24"/>
        </w:rPr>
        <w:t xml:space="preserve">Main text: </w:t>
      </w:r>
      <w:r w:rsidR="00E719D6" w:rsidRPr="00E719D6">
        <w:rPr>
          <w:rFonts w:ascii="Garamond" w:hAnsi="Garamond"/>
          <w:noProof/>
          <w:sz w:val="24"/>
          <w:szCs w:val="24"/>
        </w:rPr>
        <w:t>5214</w:t>
      </w:r>
      <w:r w:rsidR="00910162" w:rsidRPr="00E719D6">
        <w:rPr>
          <w:rFonts w:ascii="Garamond" w:hAnsi="Garamond"/>
          <w:noProof/>
          <w:sz w:val="24"/>
          <w:szCs w:val="24"/>
        </w:rPr>
        <w:t xml:space="preserve">. Acknowledgements: </w:t>
      </w:r>
      <w:r w:rsidR="005455D7" w:rsidRPr="00E719D6">
        <w:rPr>
          <w:rFonts w:ascii="Garamond" w:hAnsi="Garamond"/>
          <w:noProof/>
          <w:sz w:val="24"/>
          <w:szCs w:val="24"/>
        </w:rPr>
        <w:t>7</w:t>
      </w:r>
      <w:r w:rsidR="00443682" w:rsidRPr="00E719D6">
        <w:rPr>
          <w:rFonts w:ascii="Garamond" w:hAnsi="Garamond"/>
          <w:noProof/>
          <w:sz w:val="24"/>
          <w:szCs w:val="24"/>
        </w:rPr>
        <w:t>3</w:t>
      </w:r>
      <w:r w:rsidR="00910162" w:rsidRPr="00E719D6">
        <w:rPr>
          <w:rFonts w:ascii="Garamond" w:hAnsi="Garamond"/>
          <w:noProof/>
          <w:sz w:val="24"/>
          <w:szCs w:val="24"/>
        </w:rPr>
        <w:t xml:space="preserve">. </w:t>
      </w:r>
      <w:r w:rsidR="00271F3A" w:rsidRPr="00E719D6">
        <w:rPr>
          <w:rFonts w:ascii="Garamond" w:hAnsi="Garamond"/>
          <w:noProof/>
          <w:sz w:val="24"/>
          <w:szCs w:val="24"/>
        </w:rPr>
        <w:t xml:space="preserve">Author contributions: 61. </w:t>
      </w:r>
      <w:r w:rsidR="00694CD3" w:rsidRPr="00E719D6">
        <w:rPr>
          <w:rFonts w:ascii="Garamond" w:hAnsi="Garamond"/>
          <w:noProof/>
          <w:sz w:val="24"/>
          <w:szCs w:val="24"/>
        </w:rPr>
        <w:t>Literature cited</w:t>
      </w:r>
      <w:r w:rsidR="00910162" w:rsidRPr="00E719D6">
        <w:rPr>
          <w:rFonts w:ascii="Garamond" w:hAnsi="Garamond"/>
          <w:noProof/>
          <w:sz w:val="24"/>
          <w:szCs w:val="24"/>
        </w:rPr>
        <w:t xml:space="preserve">: </w:t>
      </w:r>
      <w:r w:rsidR="00443682" w:rsidRPr="00E719D6">
        <w:rPr>
          <w:rFonts w:ascii="Garamond" w:hAnsi="Garamond"/>
          <w:noProof/>
          <w:sz w:val="24"/>
          <w:szCs w:val="24"/>
        </w:rPr>
        <w:t>3</w:t>
      </w:r>
      <w:r w:rsidR="00D8150E" w:rsidRPr="00E719D6">
        <w:rPr>
          <w:rFonts w:ascii="Garamond" w:hAnsi="Garamond"/>
          <w:noProof/>
          <w:sz w:val="24"/>
          <w:szCs w:val="24"/>
        </w:rPr>
        <w:t>516</w:t>
      </w:r>
      <w:r w:rsidR="00910162" w:rsidRPr="00E719D6">
        <w:rPr>
          <w:rFonts w:ascii="Garamond" w:hAnsi="Garamond"/>
          <w:noProof/>
          <w:sz w:val="24"/>
          <w:szCs w:val="24"/>
        </w:rPr>
        <w:t xml:space="preserve">. Tables and figure legends: </w:t>
      </w:r>
      <w:r w:rsidR="00E719D6" w:rsidRPr="00E719D6">
        <w:rPr>
          <w:rFonts w:ascii="Garamond" w:hAnsi="Garamond"/>
          <w:noProof/>
          <w:sz w:val="24"/>
          <w:szCs w:val="24"/>
        </w:rPr>
        <w:t>550</w:t>
      </w:r>
      <w:r w:rsidR="00910162" w:rsidRPr="00E719D6">
        <w:rPr>
          <w:rFonts w:ascii="Garamond" w:hAnsi="Garamond"/>
          <w:noProof/>
          <w:sz w:val="24"/>
          <w:szCs w:val="24"/>
        </w:rPr>
        <w:t xml:space="preserve">. Number of tables: </w:t>
      </w:r>
      <w:r w:rsidR="004F368A" w:rsidRPr="00E719D6">
        <w:rPr>
          <w:rFonts w:ascii="Garamond" w:hAnsi="Garamond"/>
          <w:noProof/>
          <w:sz w:val="24"/>
          <w:szCs w:val="24"/>
        </w:rPr>
        <w:t>1</w:t>
      </w:r>
      <w:r w:rsidR="00910162" w:rsidRPr="00E719D6">
        <w:rPr>
          <w:rFonts w:ascii="Garamond" w:hAnsi="Garamond"/>
          <w:noProof/>
          <w:sz w:val="24"/>
          <w:szCs w:val="24"/>
        </w:rPr>
        <w:t>. Number of figures: 4.</w:t>
      </w:r>
      <w:r w:rsidR="009E0ADC" w:rsidRPr="00E719D6">
        <w:rPr>
          <w:rFonts w:ascii="Garamond" w:hAnsi="Garamond"/>
          <w:bCs/>
          <w:noProof/>
          <w:sz w:val="24"/>
          <w:szCs w:val="24"/>
        </w:rPr>
        <w:br w:type="page"/>
      </w:r>
    </w:p>
    <w:p w14:paraId="051D3B88" w14:textId="753698B0" w:rsidR="005A3EF6" w:rsidRPr="00B10EBE" w:rsidRDefault="005A3EF6" w:rsidP="0033343A">
      <w:pPr>
        <w:ind w:left="0" w:firstLine="0"/>
        <w:contextualSpacing/>
        <w:jc w:val="both"/>
        <w:rPr>
          <w:rFonts w:ascii="Garamond" w:hAnsi="Garamond"/>
          <w:color w:val="000000" w:themeColor="text1"/>
          <w:sz w:val="24"/>
          <w:szCs w:val="24"/>
          <w:shd w:val="clear" w:color="auto" w:fill="FCFCFC"/>
        </w:rPr>
      </w:pPr>
      <w:r w:rsidRPr="00B10EBE">
        <w:rPr>
          <w:rFonts w:ascii="Garamond" w:hAnsi="Garamond"/>
          <w:b/>
          <w:noProof/>
          <w:color w:val="000000" w:themeColor="text1"/>
          <w:sz w:val="24"/>
          <w:szCs w:val="24"/>
        </w:rPr>
        <w:lastRenderedPageBreak/>
        <w:t>Abstract</w:t>
      </w:r>
    </w:p>
    <w:p w14:paraId="76908942" w14:textId="0CD9568D" w:rsidR="00736071" w:rsidRPr="008A50E8" w:rsidRDefault="009B77C8" w:rsidP="0033343A">
      <w:pPr>
        <w:pStyle w:val="Paragraph"/>
        <w:adjustRightInd w:val="0"/>
        <w:spacing w:before="0"/>
        <w:ind w:left="0" w:firstLine="0"/>
        <w:jc w:val="both"/>
        <w:rPr>
          <w:rFonts w:ascii="Garamond" w:hAnsi="Garamond"/>
          <w:color w:val="000000" w:themeColor="text1"/>
        </w:rPr>
      </w:pPr>
      <w:r w:rsidRPr="008A50E8">
        <w:rPr>
          <w:rFonts w:ascii="Garamond" w:hAnsi="Garamond"/>
          <w:color w:val="000000" w:themeColor="text1"/>
        </w:rPr>
        <w:t>Identifying the drivers of ecosystem dynamics, and how responses vary spatially and temporally, is a critical challenge in the face of global change. Grasslands in sub-Saharan Africa are vital ecosystems supporting biodiversity, carbon storage, and livelihoods through grazing. However, despite their importance, the processes driving change in these systems remain poorly understood as cross-scale interactions among drivers produce complex, context-dependent dynamics that vary across space and time. This is particularly relevant for woody vegetation dynamics, which are often linked to degradation processes (e.g., woody encroachment), with consequences for biodiversity, forage availability, and fire regimes. Here, we used satellite data and structural equation models to investigate the effects of rainfall, temperature, fire, and population density on woody vegetation dynamics in four African grassland regions (the Sahel grasslands, Greater Karoo and Kalahari drylands, Southeast African subtropical grasslands, and Madagascar) during 1997-2016. Across all regions, rainfall was consistently positively correlated with increased woody vegetation, while higher temperatures were associated with decreased woody vegetation, suggesting that water availability promotes woody plant growth, whereas rising aridity limits it. Unexpectedly, fire had a negative effect on woody cover only in the Greater Karoo and Kalahari drylands, while in Madagascar, higher temperatures and greater population density reduced fire, yet these relationships did not translate into significant indirect effect</w:t>
      </w:r>
      <w:r w:rsidR="0051546F" w:rsidRPr="008A50E8">
        <w:rPr>
          <w:rFonts w:ascii="Garamond" w:hAnsi="Garamond"/>
          <w:color w:val="000000" w:themeColor="text1"/>
        </w:rPr>
        <w:t>s</w:t>
      </w:r>
    </w:p>
    <w:p w14:paraId="5E31B20E" w14:textId="4DF9787F" w:rsidR="000D3B01" w:rsidRPr="00B10EBE" w:rsidRDefault="009B77C8" w:rsidP="0033343A">
      <w:pPr>
        <w:pStyle w:val="Paragraph"/>
        <w:adjustRightInd w:val="0"/>
        <w:spacing w:before="0"/>
        <w:ind w:left="0" w:firstLine="0"/>
        <w:jc w:val="both"/>
        <w:rPr>
          <w:rFonts w:ascii="Garamond" w:hAnsi="Garamond"/>
          <w:bCs/>
          <w:noProof/>
          <w:color w:val="000000" w:themeColor="text1"/>
          <w:lang w:val="en-GB"/>
        </w:rPr>
      </w:pPr>
      <w:r w:rsidRPr="008A50E8">
        <w:rPr>
          <w:rFonts w:ascii="Garamond" w:hAnsi="Garamond"/>
          <w:color w:val="000000" w:themeColor="text1"/>
        </w:rPr>
        <w:t xml:space="preserve"> on woody vegetation. These findings illustrate the complex ways by which environmental and anthropogenic drivers shape woody vegetation dynamics in grasslands across sub-Saharan Africa. Compared to savannas, fire plays a weaker and more region-specific role in grasslands, where its feedback with woody cover is less consistent. The opposing effects of rainfall and temperature may currently constrain woody expansion, but climate change could disrupt this balance and further weaken fire’s limited regulatory role. These differences highlight the need for management strategies tailored to the distinct climate-vegetation dynamics of grassland systems.</w:t>
      </w:r>
    </w:p>
    <w:p w14:paraId="605D6714" w14:textId="6DB54555" w:rsidR="00193AF9" w:rsidRPr="00B10EBE" w:rsidRDefault="00192986" w:rsidP="0033343A">
      <w:pPr>
        <w:pStyle w:val="Paragraph"/>
        <w:adjustRightInd w:val="0"/>
        <w:spacing w:before="0"/>
        <w:ind w:left="0" w:firstLine="0"/>
        <w:jc w:val="both"/>
        <w:rPr>
          <w:rFonts w:ascii="Garamond" w:hAnsi="Garamond"/>
          <w:b/>
          <w:noProof/>
          <w:color w:val="000000" w:themeColor="text1"/>
          <w:lang w:val="en-GB"/>
        </w:rPr>
      </w:pPr>
      <w:r w:rsidRPr="00B10EBE">
        <w:rPr>
          <w:rFonts w:ascii="Garamond" w:hAnsi="Garamond"/>
          <w:b/>
          <w:noProof/>
          <w:color w:val="000000" w:themeColor="text1"/>
          <w:lang w:val="en-GB"/>
        </w:rPr>
        <w:lastRenderedPageBreak/>
        <w:t>Keywords</w:t>
      </w:r>
    </w:p>
    <w:p w14:paraId="4876D320" w14:textId="23839E5A" w:rsidR="0004555F" w:rsidRPr="00B10EBE" w:rsidRDefault="000F28EC" w:rsidP="0033343A">
      <w:pPr>
        <w:pStyle w:val="Paragraph"/>
        <w:adjustRightInd w:val="0"/>
        <w:spacing w:before="0"/>
        <w:ind w:left="0" w:firstLine="0"/>
        <w:jc w:val="both"/>
        <w:rPr>
          <w:rFonts w:ascii="Garamond" w:hAnsi="Garamond"/>
          <w:bCs/>
          <w:noProof/>
          <w:color w:val="000000" w:themeColor="text1"/>
        </w:rPr>
      </w:pPr>
      <w:r w:rsidRPr="00B10EBE">
        <w:rPr>
          <w:rFonts w:ascii="Garamond" w:hAnsi="Garamond"/>
          <w:bCs/>
          <w:noProof/>
          <w:color w:val="000000" w:themeColor="text1"/>
          <w:lang w:val="en-GB"/>
        </w:rPr>
        <w:t>Remote sensing, g</w:t>
      </w:r>
      <w:r w:rsidR="009C2229" w:rsidRPr="00B10EBE">
        <w:rPr>
          <w:rFonts w:ascii="Garamond" w:hAnsi="Garamond"/>
          <w:noProof/>
          <w:color w:val="000000" w:themeColor="text1"/>
          <w:lang w:val="en-GB"/>
        </w:rPr>
        <w:t>rassland ecosystems</w:t>
      </w:r>
      <w:r w:rsidR="00B96272" w:rsidRPr="00B10EBE">
        <w:rPr>
          <w:rFonts w:ascii="Garamond" w:hAnsi="Garamond"/>
          <w:noProof/>
          <w:color w:val="000000" w:themeColor="text1"/>
          <w:lang w:val="en-GB"/>
        </w:rPr>
        <w:t>,</w:t>
      </w:r>
      <w:r w:rsidRPr="00B10EBE">
        <w:rPr>
          <w:rFonts w:ascii="Garamond" w:hAnsi="Garamond"/>
          <w:noProof/>
          <w:color w:val="000000" w:themeColor="text1"/>
          <w:lang w:val="en-GB"/>
        </w:rPr>
        <w:t xml:space="preserve"> microwave-based vegetation optical depth,</w:t>
      </w:r>
      <w:r w:rsidR="009C2229" w:rsidRPr="00B10EBE">
        <w:rPr>
          <w:rFonts w:ascii="Garamond" w:hAnsi="Garamond"/>
          <w:bCs/>
          <w:noProof/>
          <w:color w:val="000000" w:themeColor="text1"/>
          <w:lang w:val="en-GB"/>
        </w:rPr>
        <w:t xml:space="preserve"> </w:t>
      </w:r>
      <w:r w:rsidRPr="00B10EBE">
        <w:rPr>
          <w:rFonts w:ascii="Garamond" w:hAnsi="Garamond"/>
          <w:bCs/>
          <w:noProof/>
          <w:color w:val="000000" w:themeColor="text1"/>
          <w:lang w:val="en-GB"/>
        </w:rPr>
        <w:t>woody dynamics,</w:t>
      </w:r>
      <w:r w:rsidRPr="00B10EBE">
        <w:rPr>
          <w:rFonts w:ascii="Garamond" w:hAnsi="Garamond"/>
          <w:noProof/>
          <w:color w:val="000000" w:themeColor="text1"/>
          <w:lang w:val="en-GB"/>
        </w:rPr>
        <w:t xml:space="preserve"> </w:t>
      </w:r>
      <w:r w:rsidR="00943BA4" w:rsidRPr="00B10EBE">
        <w:rPr>
          <w:rFonts w:ascii="Garamond" w:hAnsi="Garamond"/>
          <w:noProof/>
          <w:color w:val="000000" w:themeColor="text1"/>
          <w:lang w:val="en-GB"/>
        </w:rPr>
        <w:t>grassland</w:t>
      </w:r>
      <w:r w:rsidR="00EA3F83" w:rsidRPr="00B10EBE">
        <w:rPr>
          <w:rFonts w:ascii="Garamond" w:hAnsi="Garamond"/>
          <w:noProof/>
          <w:color w:val="000000" w:themeColor="text1"/>
          <w:lang w:val="en-GB"/>
        </w:rPr>
        <w:t>-savanna</w:t>
      </w:r>
      <w:r w:rsidR="00943BA4" w:rsidRPr="00B10EBE">
        <w:rPr>
          <w:rFonts w:ascii="Garamond" w:hAnsi="Garamond"/>
          <w:noProof/>
          <w:color w:val="000000" w:themeColor="text1"/>
          <w:lang w:val="en-GB"/>
        </w:rPr>
        <w:t>-forest transition</w:t>
      </w:r>
      <w:r w:rsidR="00B96272" w:rsidRPr="00B10EBE">
        <w:rPr>
          <w:rFonts w:ascii="Garamond" w:hAnsi="Garamond"/>
          <w:bCs/>
          <w:noProof/>
          <w:color w:val="000000" w:themeColor="text1"/>
          <w:lang w:val="en-GB"/>
        </w:rPr>
        <w:t>,</w:t>
      </w:r>
      <w:r w:rsidR="009C2229" w:rsidRPr="00B10EBE">
        <w:rPr>
          <w:rFonts w:ascii="Garamond" w:hAnsi="Garamond"/>
          <w:bCs/>
          <w:noProof/>
          <w:color w:val="000000" w:themeColor="text1"/>
          <w:lang w:val="en-GB"/>
        </w:rPr>
        <w:t xml:space="preserve"> </w:t>
      </w:r>
      <w:r w:rsidR="00943BA4" w:rsidRPr="00B10EBE">
        <w:rPr>
          <w:rFonts w:ascii="Garamond" w:hAnsi="Garamond"/>
          <w:bCs/>
          <w:noProof/>
          <w:color w:val="000000" w:themeColor="text1"/>
          <w:lang w:val="en-GB"/>
        </w:rPr>
        <w:t>structural equation modelling</w:t>
      </w:r>
      <w:r w:rsidRPr="00B10EBE">
        <w:rPr>
          <w:rFonts w:ascii="Garamond" w:hAnsi="Garamond"/>
          <w:bCs/>
          <w:noProof/>
          <w:color w:val="000000" w:themeColor="text1"/>
          <w:lang w:val="en-GB"/>
        </w:rPr>
        <w:t>.</w:t>
      </w:r>
      <w:r w:rsidR="0004555F" w:rsidRPr="00B10EBE">
        <w:rPr>
          <w:rFonts w:ascii="Garamond" w:hAnsi="Garamond"/>
          <w:bCs/>
          <w:noProof/>
          <w:color w:val="000000" w:themeColor="text1"/>
          <w:lang w:val="en-GB"/>
        </w:rPr>
        <w:br w:type="page"/>
      </w:r>
    </w:p>
    <w:p w14:paraId="4A7745C8" w14:textId="7002A6CF" w:rsidR="00055D7D" w:rsidRPr="00B10EBE" w:rsidRDefault="00705FA1" w:rsidP="0033343A">
      <w:pPr>
        <w:pStyle w:val="Paragraph"/>
        <w:adjustRightInd w:val="0"/>
        <w:spacing w:before="0"/>
        <w:ind w:left="0" w:firstLine="0"/>
        <w:jc w:val="both"/>
        <w:rPr>
          <w:rFonts w:ascii="Garamond" w:hAnsi="Garamond"/>
          <w:bCs/>
          <w:noProof/>
          <w:color w:val="000000" w:themeColor="text1"/>
          <w:lang w:val="en-GB"/>
        </w:rPr>
      </w:pPr>
      <w:r w:rsidRPr="00B10EBE">
        <w:rPr>
          <w:rFonts w:ascii="Garamond" w:hAnsi="Garamond"/>
          <w:b/>
          <w:noProof/>
          <w:color w:val="000000" w:themeColor="text1"/>
        </w:rPr>
        <w:lastRenderedPageBreak/>
        <w:t>Main t</w:t>
      </w:r>
      <w:r w:rsidR="00055D7D" w:rsidRPr="00B10EBE">
        <w:rPr>
          <w:rFonts w:ascii="Garamond" w:hAnsi="Garamond"/>
          <w:b/>
          <w:noProof/>
          <w:color w:val="000000" w:themeColor="text1"/>
        </w:rPr>
        <w:t>ext</w:t>
      </w:r>
    </w:p>
    <w:p w14:paraId="1D59EAFF" w14:textId="402E8F6D" w:rsidR="008403A0" w:rsidRPr="00B10EBE" w:rsidRDefault="008403A0" w:rsidP="0033343A">
      <w:pPr>
        <w:pStyle w:val="Paragraph"/>
        <w:spacing w:before="0"/>
        <w:ind w:left="0" w:firstLine="0"/>
        <w:jc w:val="both"/>
        <w:rPr>
          <w:rFonts w:ascii="Garamond" w:hAnsi="Garamond"/>
          <w:b/>
          <w:noProof/>
          <w:color w:val="000000" w:themeColor="text1"/>
          <w:lang w:val="en-GB"/>
        </w:rPr>
      </w:pPr>
      <w:r w:rsidRPr="00B10EBE">
        <w:rPr>
          <w:rFonts w:ascii="Garamond" w:hAnsi="Garamond"/>
          <w:b/>
          <w:noProof/>
          <w:color w:val="000000" w:themeColor="text1"/>
          <w:lang w:val="en-GB"/>
        </w:rPr>
        <w:t>1</w:t>
      </w:r>
      <w:r w:rsidRPr="00B10EBE">
        <w:rPr>
          <w:rFonts w:ascii="Garamond" w:hAnsi="Garamond"/>
          <w:b/>
          <w:noProof/>
          <w:color w:val="000000" w:themeColor="text1"/>
          <w:lang w:val="en-GB"/>
        </w:rPr>
        <w:tab/>
        <w:t>Introduction</w:t>
      </w:r>
    </w:p>
    <w:p w14:paraId="1B9BE3A9" w14:textId="21C6265A" w:rsidR="00100295" w:rsidRPr="00B10EBE" w:rsidRDefault="00113A6E" w:rsidP="0033343A">
      <w:pPr>
        <w:widowControl w:val="0"/>
        <w:adjustRightInd w:val="0"/>
        <w:snapToGrid w:val="0"/>
        <w:ind w:left="0" w:firstLine="0"/>
        <w:jc w:val="both"/>
        <w:rPr>
          <w:rFonts w:ascii="Garamond" w:hAnsi="Garamond"/>
          <w:color w:val="000000" w:themeColor="text1"/>
          <w:sz w:val="24"/>
          <w:szCs w:val="24"/>
          <w:shd w:val="clear" w:color="auto" w:fill="FCFCFC"/>
        </w:rPr>
      </w:pPr>
      <w:r w:rsidRPr="00B10EBE">
        <w:rPr>
          <w:rFonts w:ascii="Garamond" w:hAnsi="Garamond"/>
          <w:color w:val="000000" w:themeColor="text1"/>
          <w:sz w:val="24"/>
          <w:szCs w:val="24"/>
          <w:shd w:val="clear" w:color="auto" w:fill="FCFCFC"/>
        </w:rPr>
        <w:t>Understanding how</w:t>
      </w:r>
      <w:r w:rsidR="000179E2" w:rsidRPr="00B10EBE">
        <w:rPr>
          <w:rFonts w:ascii="Garamond" w:hAnsi="Garamond"/>
          <w:color w:val="000000" w:themeColor="text1"/>
          <w:sz w:val="24"/>
          <w:szCs w:val="24"/>
          <w:shd w:val="clear" w:color="auto" w:fill="FCFCFC"/>
        </w:rPr>
        <w:t xml:space="preserve"> </w:t>
      </w:r>
      <w:r w:rsidR="006D1A20" w:rsidRPr="00B10EBE">
        <w:rPr>
          <w:rFonts w:ascii="Garamond" w:hAnsi="Garamond"/>
          <w:color w:val="000000" w:themeColor="text1"/>
          <w:sz w:val="24"/>
          <w:szCs w:val="24"/>
          <w:shd w:val="clear" w:color="auto" w:fill="FCFCFC"/>
        </w:rPr>
        <w:t>global en</w:t>
      </w:r>
      <w:r w:rsidR="002B767B" w:rsidRPr="00B10EBE">
        <w:rPr>
          <w:rFonts w:ascii="Garamond" w:hAnsi="Garamond"/>
          <w:color w:val="000000" w:themeColor="text1"/>
          <w:sz w:val="24"/>
          <w:szCs w:val="24"/>
          <w:shd w:val="clear" w:color="auto" w:fill="FCFCFC"/>
        </w:rPr>
        <w:t xml:space="preserve">vironmental change will affect </w:t>
      </w:r>
      <w:r w:rsidR="000179E2" w:rsidRPr="00B10EBE">
        <w:rPr>
          <w:rFonts w:ascii="Garamond" w:hAnsi="Garamond"/>
          <w:color w:val="000000" w:themeColor="text1"/>
          <w:sz w:val="24"/>
          <w:szCs w:val="24"/>
          <w:shd w:val="clear" w:color="auto" w:fill="FCFCFC"/>
        </w:rPr>
        <w:t xml:space="preserve">natural </w:t>
      </w:r>
      <w:r w:rsidR="00EF50F4" w:rsidRPr="00B10EBE">
        <w:rPr>
          <w:rFonts w:ascii="Garamond" w:hAnsi="Garamond"/>
          <w:color w:val="000000" w:themeColor="text1"/>
          <w:sz w:val="24"/>
          <w:szCs w:val="24"/>
          <w:shd w:val="clear" w:color="auto" w:fill="FCFCFC"/>
        </w:rPr>
        <w:t>ecosystem</w:t>
      </w:r>
      <w:r w:rsidR="009A6051" w:rsidRPr="00B10EBE">
        <w:rPr>
          <w:rFonts w:ascii="Garamond" w:hAnsi="Garamond"/>
          <w:color w:val="000000" w:themeColor="text1"/>
          <w:sz w:val="24"/>
          <w:szCs w:val="24"/>
          <w:shd w:val="clear" w:color="auto" w:fill="FCFCFC"/>
        </w:rPr>
        <w:t xml:space="preserve"> dynamic</w:t>
      </w:r>
      <w:r w:rsidR="00EF50F4" w:rsidRPr="00B10EBE">
        <w:rPr>
          <w:rFonts w:ascii="Garamond" w:hAnsi="Garamond"/>
          <w:color w:val="000000" w:themeColor="text1"/>
          <w:sz w:val="24"/>
          <w:szCs w:val="24"/>
          <w:shd w:val="clear" w:color="auto" w:fill="FCFCFC"/>
        </w:rPr>
        <w:t>s</w:t>
      </w:r>
      <w:r w:rsidRPr="00B10EBE">
        <w:rPr>
          <w:rFonts w:ascii="Garamond" w:hAnsi="Garamond"/>
          <w:color w:val="000000" w:themeColor="text1"/>
          <w:sz w:val="24"/>
          <w:szCs w:val="24"/>
          <w:shd w:val="clear" w:color="auto" w:fill="FCFCFC"/>
        </w:rPr>
        <w:t xml:space="preserve"> </w:t>
      </w:r>
      <w:r w:rsidR="00EF50F4" w:rsidRPr="00B10EBE">
        <w:rPr>
          <w:rFonts w:ascii="Garamond" w:hAnsi="Garamond"/>
          <w:color w:val="000000" w:themeColor="text1"/>
          <w:sz w:val="24"/>
          <w:szCs w:val="24"/>
          <w:shd w:val="clear" w:color="auto" w:fill="FCFCFC"/>
        </w:rPr>
        <w:t xml:space="preserve">is a </w:t>
      </w:r>
      <w:r w:rsidRPr="00B10EBE">
        <w:rPr>
          <w:rFonts w:ascii="Garamond" w:hAnsi="Garamond"/>
          <w:color w:val="000000" w:themeColor="text1"/>
          <w:sz w:val="24"/>
          <w:szCs w:val="24"/>
          <w:shd w:val="clear" w:color="auto" w:fill="FCFCFC"/>
        </w:rPr>
        <w:t>central challenge</w:t>
      </w:r>
      <w:r w:rsidR="00925AD5" w:rsidRPr="00B10EBE">
        <w:rPr>
          <w:rFonts w:ascii="Garamond" w:hAnsi="Garamond"/>
          <w:color w:val="000000" w:themeColor="text1"/>
          <w:sz w:val="24"/>
          <w:szCs w:val="24"/>
          <w:shd w:val="clear" w:color="auto" w:fill="FCFCFC"/>
        </w:rPr>
        <w:t xml:space="preserve"> in ecology. </w:t>
      </w:r>
      <w:r w:rsidR="00936B59" w:rsidRPr="00B10EBE">
        <w:rPr>
          <w:rFonts w:ascii="Garamond" w:hAnsi="Garamond"/>
          <w:color w:val="000000" w:themeColor="text1"/>
          <w:sz w:val="24"/>
          <w:szCs w:val="24"/>
          <w:shd w:val="clear" w:color="auto" w:fill="FCFCFC"/>
        </w:rPr>
        <w:t xml:space="preserve">Gaining such </w:t>
      </w:r>
      <w:r w:rsidR="00925AD5" w:rsidRPr="00B10EBE">
        <w:rPr>
          <w:rFonts w:ascii="Garamond" w:hAnsi="Garamond"/>
          <w:color w:val="000000" w:themeColor="text1"/>
          <w:sz w:val="24"/>
          <w:szCs w:val="24"/>
          <w:shd w:val="clear" w:color="auto" w:fill="FCFCFC"/>
        </w:rPr>
        <w:t xml:space="preserve">understanding is </w:t>
      </w:r>
      <w:r w:rsidR="00936B59" w:rsidRPr="00B10EBE">
        <w:rPr>
          <w:rFonts w:ascii="Garamond" w:hAnsi="Garamond"/>
          <w:color w:val="000000" w:themeColor="text1"/>
          <w:sz w:val="24"/>
          <w:szCs w:val="24"/>
          <w:shd w:val="clear" w:color="auto" w:fill="FCFCFC"/>
        </w:rPr>
        <w:t xml:space="preserve">made difficult </w:t>
      </w:r>
      <w:r w:rsidR="002E346F" w:rsidRPr="00B10EBE">
        <w:rPr>
          <w:rFonts w:ascii="Garamond" w:hAnsi="Garamond"/>
          <w:color w:val="000000" w:themeColor="text1"/>
          <w:sz w:val="24"/>
          <w:szCs w:val="24"/>
          <w:shd w:val="clear" w:color="auto" w:fill="FCFCFC"/>
        </w:rPr>
        <w:t>by the complexity of natural systems, with</w:t>
      </w:r>
      <w:r w:rsidR="002A17C9" w:rsidRPr="00B10EBE">
        <w:rPr>
          <w:rFonts w:ascii="Garamond" w:hAnsi="Garamond"/>
          <w:color w:val="000000" w:themeColor="text1"/>
          <w:sz w:val="24"/>
          <w:szCs w:val="24"/>
          <w:shd w:val="clear" w:color="auto" w:fill="FCFCFC"/>
        </w:rPr>
        <w:t xml:space="preserve"> changes </w:t>
      </w:r>
      <w:r w:rsidR="00902477" w:rsidRPr="00B10EBE">
        <w:rPr>
          <w:rFonts w:ascii="Garamond" w:hAnsi="Garamond"/>
          <w:color w:val="000000" w:themeColor="text1"/>
          <w:sz w:val="24"/>
          <w:szCs w:val="24"/>
          <w:shd w:val="clear" w:color="auto" w:fill="FCFCFC"/>
        </w:rPr>
        <w:t xml:space="preserve">that are </w:t>
      </w:r>
      <w:r w:rsidR="002A17C9" w:rsidRPr="00B10EBE">
        <w:rPr>
          <w:rFonts w:ascii="Garamond" w:hAnsi="Garamond"/>
          <w:color w:val="000000" w:themeColor="text1"/>
          <w:sz w:val="24"/>
          <w:szCs w:val="24"/>
          <w:shd w:val="clear" w:color="auto" w:fill="FCFCFC"/>
        </w:rPr>
        <w:t xml:space="preserve">often </w:t>
      </w:r>
      <w:r w:rsidR="00D3617A" w:rsidRPr="00B10EBE">
        <w:rPr>
          <w:rFonts w:ascii="Garamond" w:hAnsi="Garamond"/>
          <w:color w:val="000000" w:themeColor="text1"/>
          <w:sz w:val="24"/>
          <w:szCs w:val="24"/>
          <w:shd w:val="clear" w:color="auto" w:fill="FCFCFC"/>
        </w:rPr>
        <w:t>context-dependent</w:t>
      </w:r>
      <w:r w:rsidR="00AF32B3" w:rsidRPr="00B10EBE">
        <w:rPr>
          <w:rFonts w:ascii="Garamond" w:hAnsi="Garamond"/>
          <w:color w:val="000000" w:themeColor="text1"/>
          <w:sz w:val="24"/>
          <w:szCs w:val="24"/>
          <w:shd w:val="clear" w:color="auto" w:fill="FCFCFC"/>
        </w:rPr>
        <w:t xml:space="preserve"> across space and time</w:t>
      </w:r>
      <w:r w:rsidR="00710675" w:rsidRPr="00B10EBE">
        <w:rPr>
          <w:rFonts w:ascii="Garamond" w:hAnsi="Garamond"/>
          <w:color w:val="000000" w:themeColor="text1"/>
          <w:sz w:val="24"/>
          <w:szCs w:val="24"/>
          <w:shd w:val="clear" w:color="auto" w:fill="FCFCFC"/>
        </w:rPr>
        <w:t xml:space="preserve"> </w:t>
      </w:r>
      <w:r w:rsidR="00710675" w:rsidRPr="00B10EBE">
        <w:rPr>
          <w:rFonts w:ascii="Garamond" w:hAnsi="Garamond"/>
          <w:color w:val="000000" w:themeColor="text1"/>
          <w:sz w:val="24"/>
          <w:szCs w:val="24"/>
          <w:shd w:val="clear" w:color="auto" w:fill="FCFCFC"/>
        </w:rPr>
        <w:fldChar w:fldCharType="begin"/>
      </w:r>
      <w:r w:rsidR="009E0EBA" w:rsidRPr="00B10EBE">
        <w:rPr>
          <w:rFonts w:ascii="Garamond" w:hAnsi="Garamond"/>
          <w:color w:val="000000" w:themeColor="text1"/>
          <w:sz w:val="24"/>
          <w:szCs w:val="24"/>
          <w:shd w:val="clear" w:color="auto" w:fill="FCFCFC"/>
        </w:rPr>
        <w:instrText xml:space="preserve"> ADDIN ZOTERO_ITEM CSL_CITATION {"citationID":"a2gt6t9nanq","properties":{"formattedCitation":"(Spake et al., 2022)","plainCitation":"(Spake et al., 2022)","noteIndex":0},"citationItems":[{"id":66,"uris":["http://zotero.org/users/10686236/items/NHIDJBMD"],"itemData":{"id":66,"type":"article-journal","container-title":"Nature Ecology &amp; Evolution","DOI":"10.1038/s41559-022-01891-z","ISSN":"2397-334X","issue":"12","journalAbbreviation":"Nat Ecol Evol","language":"en","page":"1818-1828","source":"DOI.org (Crossref)","title":"Improving quantitative synthesis to achieve generality in ecology","volume":"6","author":[{"family":"Spake","given":"Rebecca"},{"family":"O’Dea","given":"Rose E."},{"family":"Nakagawa","given":"Shinichi"},{"family":"Doncaster","given":"C. Patrick"},{"family":"Ryo","given":"Masahiro"},{"family":"Callaghan","given":"Corey T."},{"family":"Bullock","given":"James M."}],"issued":{"date-parts":[["2022"]]}}}],"schema":"https://github.com/citation-style-language/schema/raw/master/csl-citation.json"} </w:instrText>
      </w:r>
      <w:r w:rsidR="00710675" w:rsidRPr="00B10EBE">
        <w:rPr>
          <w:rFonts w:ascii="Garamond" w:hAnsi="Garamond"/>
          <w:color w:val="000000" w:themeColor="text1"/>
          <w:sz w:val="24"/>
          <w:szCs w:val="24"/>
          <w:shd w:val="clear" w:color="auto" w:fill="FCFCFC"/>
        </w:rPr>
        <w:fldChar w:fldCharType="separate"/>
      </w:r>
      <w:r w:rsidR="003E4564" w:rsidRPr="00B10EBE">
        <w:rPr>
          <w:rFonts w:ascii="Garamond" w:hAnsi="Garamond"/>
          <w:color w:val="000000" w:themeColor="text1"/>
          <w:sz w:val="24"/>
        </w:rPr>
        <w:t>(Spake et al., 2022)</w:t>
      </w:r>
      <w:r w:rsidR="00710675" w:rsidRPr="00B10EBE">
        <w:rPr>
          <w:rFonts w:ascii="Garamond" w:hAnsi="Garamond"/>
          <w:color w:val="000000" w:themeColor="text1"/>
          <w:sz w:val="24"/>
          <w:szCs w:val="24"/>
          <w:shd w:val="clear" w:color="auto" w:fill="FCFCFC"/>
        </w:rPr>
        <w:fldChar w:fldCharType="end"/>
      </w:r>
      <w:r w:rsidR="00710675" w:rsidRPr="00B10EBE">
        <w:rPr>
          <w:rFonts w:ascii="Garamond" w:hAnsi="Garamond"/>
          <w:color w:val="000000" w:themeColor="text1"/>
          <w:sz w:val="24"/>
          <w:szCs w:val="24"/>
          <w:shd w:val="clear" w:color="auto" w:fill="FCFCFC"/>
        </w:rPr>
        <w:t xml:space="preserve"> </w:t>
      </w:r>
      <w:r w:rsidR="00DF48E3" w:rsidRPr="00B10EBE">
        <w:rPr>
          <w:rFonts w:ascii="Garamond" w:hAnsi="Garamond"/>
          <w:color w:val="000000" w:themeColor="text1"/>
          <w:sz w:val="24"/>
          <w:szCs w:val="24"/>
          <w:shd w:val="clear" w:color="auto" w:fill="FCFCFC"/>
        </w:rPr>
        <w:t>due to</w:t>
      </w:r>
      <w:r w:rsidR="00DA2AB9" w:rsidRPr="00B10EBE">
        <w:rPr>
          <w:rFonts w:ascii="Garamond" w:hAnsi="Garamond"/>
          <w:color w:val="000000" w:themeColor="text1"/>
          <w:sz w:val="24"/>
          <w:szCs w:val="24"/>
          <w:shd w:val="clear" w:color="auto" w:fill="FCFCFC"/>
        </w:rPr>
        <w:t xml:space="preserve"> </w:t>
      </w:r>
      <w:r w:rsidR="00DF48E3" w:rsidRPr="00B10EBE">
        <w:rPr>
          <w:rFonts w:ascii="Garamond" w:hAnsi="Garamond"/>
          <w:color w:val="000000" w:themeColor="text1"/>
          <w:sz w:val="24"/>
          <w:szCs w:val="24"/>
          <w:shd w:val="clear" w:color="auto" w:fill="FCFCFC"/>
        </w:rPr>
        <w:t>cross-scale interactions</w:t>
      </w:r>
      <w:r w:rsidR="00F86356" w:rsidRPr="00B10EBE">
        <w:rPr>
          <w:rFonts w:ascii="Garamond" w:hAnsi="Garamond"/>
          <w:color w:val="000000" w:themeColor="text1"/>
          <w:sz w:val="24"/>
          <w:szCs w:val="24"/>
          <w:shd w:val="clear" w:color="auto" w:fill="FCFCFC"/>
        </w:rPr>
        <w:t xml:space="preserve"> </w:t>
      </w:r>
      <w:r w:rsidR="00C04222" w:rsidRPr="00B10EBE">
        <w:rPr>
          <w:rFonts w:ascii="Garamond" w:hAnsi="Garamond"/>
          <w:color w:val="000000" w:themeColor="text1"/>
          <w:sz w:val="24"/>
          <w:szCs w:val="24"/>
          <w:shd w:val="clear" w:color="auto" w:fill="FCFCFC"/>
        </w:rPr>
        <w:t>among</w:t>
      </w:r>
      <w:r w:rsidR="00F86356" w:rsidRPr="00B10EBE">
        <w:rPr>
          <w:rFonts w:ascii="Garamond" w:hAnsi="Garamond"/>
          <w:color w:val="000000" w:themeColor="text1"/>
          <w:sz w:val="24"/>
          <w:szCs w:val="24"/>
          <w:shd w:val="clear" w:color="auto" w:fill="FCFCFC"/>
        </w:rPr>
        <w:t xml:space="preserve"> drivers</w:t>
      </w:r>
      <w:r w:rsidR="000652B1" w:rsidRPr="00B10EBE">
        <w:rPr>
          <w:rFonts w:ascii="Garamond" w:hAnsi="Garamond"/>
          <w:color w:val="000000" w:themeColor="text1"/>
          <w:sz w:val="24"/>
          <w:szCs w:val="24"/>
          <w:shd w:val="clear" w:color="auto" w:fill="FCFCFC"/>
        </w:rPr>
        <w:t xml:space="preserve"> </w:t>
      </w:r>
      <w:r w:rsidR="000652B1" w:rsidRPr="00B10EBE">
        <w:rPr>
          <w:rFonts w:ascii="Garamond" w:hAnsi="Garamond"/>
          <w:color w:val="000000" w:themeColor="text1"/>
          <w:sz w:val="24"/>
          <w:szCs w:val="24"/>
          <w:shd w:val="clear" w:color="auto" w:fill="FCFCFC"/>
        </w:rPr>
        <w:fldChar w:fldCharType="begin"/>
      </w:r>
      <w:r w:rsidR="009E0EBA" w:rsidRPr="00B10EBE">
        <w:rPr>
          <w:rFonts w:ascii="Garamond" w:hAnsi="Garamond"/>
          <w:color w:val="000000" w:themeColor="text1"/>
          <w:sz w:val="24"/>
          <w:szCs w:val="24"/>
          <w:shd w:val="clear" w:color="auto" w:fill="FCFCFC"/>
        </w:rPr>
        <w:instrText xml:space="preserve"> ADDIN ZOTERO_ITEM CSL_CITATION {"citationID":"a1f0m08ven3","properties":{"formattedCitation":"(Spake et al., 2019)","plainCitation":"(Spake et al., 2019)","noteIndex":0},"citationItems":[{"id":1108,"uris":["http://zotero.org/users/10686236/items/SAZENR7P"],"itemData":{"id":1108,"type":"article-journal","abstract":"A major sustainability challenge is determining where to target management to enhance natural capital and the ecosystem services it provides. Achieving this understanding is difficult, given that the effects of most actions vary according to wider environmental conditions; and this context dependency is typically poorly understood. Here, we describe an analytical framework that helps meet this challenge by identifying both why and where management actions are most effective for enhancing natural capital across large geographic areas. We illustrate the framework’s generality by applying it to two examples for Britain: pond water quality and invasion of forests by rhododendron.","container-title":"Nature Sustainability","DOI":"10.1038/s41893-019-0223-4","ISSN":"23989629","issue":"2","page":"90-97","title":"An analytical framework for spatially targeted management of natural capital: supplementary","volume":"2","author":[{"family":"Spake","given":"Rebecca"},{"family":"Bellamy","given":"Chloe"},{"family":"Graham","given":"Laura J."},{"family":"Watts","given":"Kevin"},{"family":"Wilson","given":"Tom"},{"family":"Norton","given":"Lisa R."},{"family":"Wood","given":"Claire M."},{"family":"Schmucki","given":"Reto"},{"family":"Bullock","given":"James M."},{"family":"Eigenbrod","given":"Felix"}],"issued":{"date-parts":[["2019"]]}}}],"schema":"https://github.com/citation-style-language/schema/raw/master/csl-citation.json"} </w:instrText>
      </w:r>
      <w:r w:rsidR="000652B1" w:rsidRPr="00B10EBE">
        <w:rPr>
          <w:rFonts w:ascii="Garamond" w:hAnsi="Garamond"/>
          <w:color w:val="000000" w:themeColor="text1"/>
          <w:sz w:val="24"/>
          <w:szCs w:val="24"/>
          <w:shd w:val="clear" w:color="auto" w:fill="FCFCFC"/>
        </w:rPr>
        <w:fldChar w:fldCharType="separate"/>
      </w:r>
      <w:r w:rsidR="003E4564" w:rsidRPr="00B10EBE">
        <w:rPr>
          <w:rFonts w:ascii="Garamond" w:hAnsi="Garamond"/>
          <w:color w:val="000000" w:themeColor="text1"/>
          <w:sz w:val="24"/>
        </w:rPr>
        <w:t>(Spake et al., 2019)</w:t>
      </w:r>
      <w:r w:rsidR="000652B1" w:rsidRPr="00B10EBE">
        <w:rPr>
          <w:rFonts w:ascii="Garamond" w:hAnsi="Garamond"/>
          <w:color w:val="000000" w:themeColor="text1"/>
          <w:sz w:val="24"/>
          <w:szCs w:val="24"/>
          <w:shd w:val="clear" w:color="auto" w:fill="FCFCFC"/>
        </w:rPr>
        <w:fldChar w:fldCharType="end"/>
      </w:r>
      <w:r w:rsidR="000652B1" w:rsidRPr="00B10EBE">
        <w:rPr>
          <w:rFonts w:ascii="Garamond" w:hAnsi="Garamond"/>
          <w:color w:val="000000" w:themeColor="text1"/>
          <w:sz w:val="24"/>
          <w:szCs w:val="24"/>
          <w:shd w:val="clear" w:color="auto" w:fill="FCFCFC"/>
        </w:rPr>
        <w:t>.</w:t>
      </w:r>
      <w:r w:rsidR="00100295" w:rsidRPr="00B10EBE">
        <w:rPr>
          <w:rFonts w:ascii="Garamond" w:hAnsi="Garamond"/>
          <w:color w:val="000000" w:themeColor="text1"/>
          <w:sz w:val="24"/>
          <w:szCs w:val="24"/>
          <w:shd w:val="clear" w:color="auto" w:fill="FCFCFC"/>
        </w:rPr>
        <w:t xml:space="preserve"> Grasslands </w:t>
      </w:r>
      <w:r w:rsidR="00601B2C" w:rsidRPr="00B10EBE">
        <w:rPr>
          <w:rFonts w:ascii="Garamond" w:hAnsi="Garamond"/>
          <w:color w:val="000000" w:themeColor="text1"/>
          <w:sz w:val="24"/>
          <w:szCs w:val="24"/>
          <w:shd w:val="clear" w:color="auto" w:fill="FCFCFC"/>
        </w:rPr>
        <w:t xml:space="preserve">are </w:t>
      </w:r>
      <w:r w:rsidR="001C0EB9" w:rsidRPr="00B10EBE">
        <w:rPr>
          <w:rFonts w:ascii="Garamond" w:hAnsi="Garamond"/>
          <w:color w:val="000000" w:themeColor="text1"/>
          <w:sz w:val="24"/>
          <w:szCs w:val="24"/>
          <w:shd w:val="clear" w:color="auto" w:fill="FCFCFC"/>
        </w:rPr>
        <w:t xml:space="preserve">a </w:t>
      </w:r>
      <w:r w:rsidR="00100295" w:rsidRPr="00B10EBE">
        <w:rPr>
          <w:rFonts w:ascii="Garamond" w:hAnsi="Garamond"/>
          <w:color w:val="000000" w:themeColor="text1"/>
          <w:sz w:val="24"/>
          <w:szCs w:val="24"/>
          <w:shd w:val="clear" w:color="auto" w:fill="FCFCFC"/>
        </w:rPr>
        <w:t>key biome for which context dependency in the drivers affecting ecosystem dynamics is common yet poorly understood</w:t>
      </w:r>
      <w:r w:rsidR="00DA2AB9" w:rsidRPr="00B10EBE">
        <w:rPr>
          <w:rFonts w:ascii="Garamond" w:hAnsi="Garamond"/>
          <w:color w:val="000000" w:themeColor="text1"/>
          <w:sz w:val="24"/>
          <w:szCs w:val="24"/>
          <w:shd w:val="clear" w:color="auto" w:fill="FCFCFC"/>
        </w:rPr>
        <w:t xml:space="preserve"> </w:t>
      </w:r>
      <w:r w:rsidR="00DA2AB9" w:rsidRPr="00B10EBE">
        <w:rPr>
          <w:rFonts w:ascii="Garamond" w:hAnsi="Garamond"/>
          <w:color w:val="000000" w:themeColor="text1"/>
          <w:sz w:val="24"/>
          <w:szCs w:val="24"/>
          <w:shd w:val="clear" w:color="auto" w:fill="FCFCFC"/>
        </w:rPr>
        <w:fldChar w:fldCharType="begin"/>
      </w:r>
      <w:r w:rsidR="009E0EBA" w:rsidRPr="00B10EBE">
        <w:rPr>
          <w:rFonts w:ascii="Garamond" w:hAnsi="Garamond"/>
          <w:color w:val="000000" w:themeColor="text1"/>
          <w:sz w:val="24"/>
          <w:szCs w:val="24"/>
          <w:shd w:val="clear" w:color="auto" w:fill="FCFCFC"/>
        </w:rPr>
        <w:instrText xml:space="preserve"> ADDIN ZOTERO_ITEM CSL_CITATION {"citationID":"a1k02i5scag","properties":{"formattedCitation":"(Bardgett et al., 2021; Li et al., 2024)","plainCitation":"(Bardgett et al., 2021; Li et al., 2024)","noteIndex":0},"citationItems":[{"id":218,"uris":["http://zotero.org/users/10686236/items/DXMLJ634"],"itemData":{"id":218,"type":"article-journal","abstract":"Grasslands are under severe threat from ongoing degradation, undermining their capacity to support biodiversity, ecosystem services and human well-being. Yet, grasslands are largely ignored in sustainable development agendas. In this Perspective, we examine the current state of global grasslands and explore the extent and dominant drivers of their degradation. Socio-ecological solutions are needed to combat degradation and promote restoration. Important strategies include: increasing recognition of grasslands in global policy; developing standardized indicators of degradation; using scientific innovation for effective restoration at regional and landscape scales; and enhancing knowledge transfer and data sharing on restoration experiences. Stakeholder needs can be balanced through standardized assessment and shared understanding of the potential ecosystem service trade-offs in degraded and restored grasslands. The integration of these actions into sustainability policy will aid in halting degradation and enhancing restoration success, and protect the socio-economic, cultural and ecological benefits that grasslands provide.","container-title":"Nature Reviews Earth and Environment","DOI":"10.1038/s43017-021-00207-2","ISSN":"2662138X","issue":"10","note":"ISBN: 0123456789","page":"720-735","title":"Combatting global grassland degradation","volume":"2","author":[{"family":"Bardgett","given":"Richard D."},{"family":"Bullock","given":"James M."},{"family":"Lavorel","given":"Sandra"},{"family":"Manning","given":"Peter"},{"family":"Schaffner","given":"Urs"},{"family":"Ostle","given":"Nicholas"},{"family":"Chomel","given":"Mathilde"},{"family":"Durigan","given":"Giselda"},{"family":"L. Fry","given":"Ellen"},{"family":"Johnson","given":"David"},{"family":"Lavallee","given":"Jocelyn M."},{"family":"Le Provost","given":"Gaëtane"},{"family":"Luo","given":"Shan"},{"family":"Png","given":"Kenny"},{"family":"Sankaran","given":"Mahesh"},{"family":"Hou","given":"Xiangyang"},{"family":"Zhou","given":"Huakun"},{"family":"Ma","given":"Li"},{"family":"Ren","given":"Weibo"},{"family":"Li","given":"Xiliang"},{"family":"Ding","given":"Yong"},{"family":"Li","given":"Yuanheng"},{"family":"Shi","given":"Hongxiao"}],"issued":{"date-parts":[["2021"]]}}},{"id":34,"uris":["http://zotero.org/users/10686236/items/5C3THXCW"],"itemData":{"id":34,"type":"article-journal","abstract":"Abstract\n            \n              \n                \n                  Community stability plays a crucial role in ensuring the consistent provision of ecosystem services despite environmental changes, including alterations in precipitation patterns. Over the past decades, significant progress has been made in understanding the responses of the stability of grassland plant communities and underlying mechanisms, defined as the ratio of the temporal mean biomass to the standard deviation. However, a crucial knowledge gap remains regarding whether the impacts of precipitation on the stability of grassland biomass are contingent upon specific contextual factors.\n                \n                \n                  Here, we examined the stability of above</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 and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in adjacent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 and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through a 7</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year manipulation experiment involving seven precipitation levels: 20%, 40% and 60% decrease, as well as 20%, 40% and 60% increase in natural rainfall, in addition to ambient precipitation.\n                \n                \n                  We found that the stability of community biomass was influenced by three contextual factors including the magnitude and directionality of precipitation, above</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 and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and the type of vegetation. In particular, higher and more intense precipitation resulted in higher stability of above</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in both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 and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Conversely, higher precipitation intensity led to decreased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stability in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but increased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stability in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Species stability and species asynchrony consistently played a positive role in explaining the stability of above</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in both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 and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However, species asynchrony negatively influenced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stability in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without a comparable effect in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communities. The preeminent contribution to the total community biomass was identified in the stability of below</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ground biomass, evident in both grass</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dominated and shrub</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dominated communities.\n                \n                \n                  \n                    Synthesis\n                    . This study highlights that while the specific effects of changes in precipitation may vary depending on the context, the fundamental processes governing biomass stability are consistent. These findings elucidate the desert steppe ecosystems' adaptive response to precipitation variations and emphasize their pivotal role in maintaining ecosystem functions under climatic perturbations.\n                  \n                \n              \n            \n            \n              Read the free\n              Plain Language Summary\n              for this article on the Journal blog.\n            \n          , \n            </w:instrText>
      </w:r>
      <w:r w:rsidR="009E0EBA" w:rsidRPr="00B10EBE">
        <w:rPr>
          <w:rFonts w:ascii="Garamond" w:eastAsia="MS Gothic" w:hAnsi="Garamond" w:cs="MS Gothic"/>
          <w:color w:val="000000" w:themeColor="text1"/>
          <w:sz w:val="24"/>
          <w:szCs w:val="24"/>
          <w:shd w:val="clear" w:color="auto" w:fill="FCFCFC"/>
        </w:rPr>
        <w:instrText>摘要</w:instrText>
      </w:r>
      <w:r w:rsidR="009E0EBA" w:rsidRPr="00B10EBE">
        <w:rPr>
          <w:rFonts w:ascii="Garamond" w:hAnsi="Garamond"/>
          <w:color w:val="000000" w:themeColor="text1"/>
          <w:sz w:val="24"/>
          <w:szCs w:val="24"/>
          <w:shd w:val="clear" w:color="auto" w:fill="FCFCFC"/>
        </w:rPr>
        <w:instrText xml:space="preserve">\n            \n              \n                \n                  </w:instrText>
      </w:r>
      <w:r w:rsidR="009E0EBA" w:rsidRPr="00B10EBE">
        <w:rPr>
          <w:rFonts w:ascii="Garamond" w:eastAsia="MS Gothic" w:hAnsi="Garamond" w:cs="MS Gothic"/>
          <w:color w:val="000000" w:themeColor="text1"/>
          <w:sz w:val="24"/>
          <w:szCs w:val="24"/>
          <w:shd w:val="clear" w:color="auto" w:fill="FCFCFC"/>
        </w:rPr>
        <w:instrText>尽管</w:instrText>
      </w:r>
      <w:r w:rsidR="009E0EBA" w:rsidRPr="00B10EBE">
        <w:rPr>
          <w:rFonts w:ascii="Garamond" w:eastAsia="Microsoft JhengHei" w:hAnsi="Garamond" w:cs="Microsoft JhengHei"/>
          <w:color w:val="000000" w:themeColor="text1"/>
          <w:sz w:val="24"/>
          <w:szCs w:val="24"/>
          <w:shd w:val="clear" w:color="auto" w:fill="FCFCFC"/>
        </w:rPr>
        <w:instrText>环</w:instrText>
      </w:r>
      <w:r w:rsidR="009E0EBA" w:rsidRPr="00B10EBE">
        <w:rPr>
          <w:rFonts w:ascii="Garamond" w:eastAsia="MS Gothic" w:hAnsi="Garamond" w:cs="MS Gothic"/>
          <w:color w:val="000000" w:themeColor="text1"/>
          <w:sz w:val="24"/>
          <w:szCs w:val="24"/>
          <w:shd w:val="clear" w:color="auto" w:fill="FCFCFC"/>
        </w:rPr>
        <w:instrText>境</w:instrText>
      </w:r>
      <w:r w:rsidR="009E0EBA" w:rsidRPr="00B10EBE">
        <w:rPr>
          <w:rFonts w:ascii="Garamond" w:eastAsia="Microsoft JhengHei" w:hAnsi="Garamond" w:cs="Microsoft JhengHei"/>
          <w:color w:val="000000" w:themeColor="text1"/>
          <w:sz w:val="24"/>
          <w:szCs w:val="24"/>
          <w:shd w:val="clear" w:color="auto" w:fill="FCFCFC"/>
        </w:rPr>
        <w:instrText>变</w:instrText>
      </w:r>
      <w:r w:rsidR="009E0EBA" w:rsidRPr="00B10EBE">
        <w:rPr>
          <w:rFonts w:ascii="Garamond" w:eastAsia="MS Gothic" w:hAnsi="Garamond" w:cs="MS Gothic"/>
          <w:color w:val="000000" w:themeColor="text1"/>
          <w:sz w:val="24"/>
          <w:szCs w:val="24"/>
          <w:shd w:val="clear" w:color="auto" w:fill="FCFCFC"/>
        </w:rPr>
        <w:instrText>化，包括降水模式</w:instrText>
      </w:r>
      <w:r w:rsidR="009E0EBA" w:rsidRPr="00B10EBE">
        <w:rPr>
          <w:rFonts w:ascii="Garamond" w:eastAsia="Microsoft JhengHei" w:hAnsi="Garamond" w:cs="Microsoft JhengHei"/>
          <w:color w:val="000000" w:themeColor="text1"/>
          <w:sz w:val="24"/>
          <w:szCs w:val="24"/>
          <w:shd w:val="clear" w:color="auto" w:fill="FCFCFC"/>
        </w:rPr>
        <w:instrText>发</w:instrText>
      </w:r>
      <w:r w:rsidR="009E0EBA" w:rsidRPr="00B10EBE">
        <w:rPr>
          <w:rFonts w:ascii="Garamond" w:eastAsia="MS Gothic" w:hAnsi="Garamond" w:cs="MS Gothic"/>
          <w:color w:val="000000" w:themeColor="text1"/>
          <w:sz w:val="24"/>
          <w:szCs w:val="24"/>
          <w:shd w:val="clear" w:color="auto" w:fill="FCFCFC"/>
        </w:rPr>
        <w:instrText>生</w:instrText>
      </w:r>
      <w:r w:rsidR="009E0EBA" w:rsidRPr="00B10EBE">
        <w:rPr>
          <w:rFonts w:ascii="Garamond" w:eastAsia="Microsoft JhengHei" w:hAnsi="Garamond" w:cs="Microsoft JhengHei"/>
          <w:color w:val="000000" w:themeColor="text1"/>
          <w:sz w:val="24"/>
          <w:szCs w:val="24"/>
          <w:shd w:val="clear" w:color="auto" w:fill="FCFCFC"/>
        </w:rPr>
        <w:instrText>变</w:instrText>
      </w:r>
      <w:r w:rsidR="009E0EBA" w:rsidRPr="00B10EBE">
        <w:rPr>
          <w:rFonts w:ascii="Garamond" w:eastAsia="MS Gothic" w:hAnsi="Garamond" w:cs="MS Gothic"/>
          <w:color w:val="000000" w:themeColor="text1"/>
          <w:sz w:val="24"/>
          <w:szCs w:val="24"/>
          <w:shd w:val="clear" w:color="auto" w:fill="FCFCFC"/>
        </w:rPr>
        <w:instrText>化，但群落</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定在确保持</w:instrText>
      </w:r>
      <w:r w:rsidR="009E0EBA" w:rsidRPr="00B10EBE">
        <w:rPr>
          <w:rFonts w:ascii="Garamond" w:eastAsia="Microsoft JhengHei" w:hAnsi="Garamond" w:cs="Microsoft JhengHei"/>
          <w:color w:val="000000" w:themeColor="text1"/>
          <w:sz w:val="24"/>
          <w:szCs w:val="24"/>
          <w:shd w:val="clear" w:color="auto" w:fill="FCFCFC"/>
        </w:rPr>
        <w:instrText>续</w:instrText>
      </w:r>
      <w:r w:rsidR="009E0EBA" w:rsidRPr="00B10EBE">
        <w:rPr>
          <w:rFonts w:ascii="Garamond" w:eastAsia="MS Gothic" w:hAnsi="Garamond" w:cs="MS Gothic"/>
          <w:color w:val="000000" w:themeColor="text1"/>
          <w:sz w:val="24"/>
          <w:szCs w:val="24"/>
          <w:shd w:val="clear" w:color="auto" w:fill="FCFCFC"/>
        </w:rPr>
        <w:instrText>提供生</w:instrText>
      </w:r>
      <w:r w:rsidR="009E0EBA" w:rsidRPr="00B10EBE">
        <w:rPr>
          <w:rFonts w:ascii="Garamond" w:eastAsia="Microsoft JhengHei" w:hAnsi="Garamond" w:cs="Microsoft JhengHei"/>
          <w:color w:val="000000" w:themeColor="text1"/>
          <w:sz w:val="24"/>
          <w:szCs w:val="24"/>
          <w:shd w:val="clear" w:color="auto" w:fill="FCFCFC"/>
        </w:rPr>
        <w:instrText>态</w:instrText>
      </w:r>
      <w:r w:rsidR="009E0EBA" w:rsidRPr="00B10EBE">
        <w:rPr>
          <w:rFonts w:ascii="Garamond" w:eastAsia="MS Gothic" w:hAnsi="Garamond" w:cs="MS Gothic"/>
          <w:color w:val="000000" w:themeColor="text1"/>
          <w:sz w:val="24"/>
          <w:szCs w:val="24"/>
          <w:shd w:val="clear" w:color="auto" w:fill="FCFCFC"/>
        </w:rPr>
        <w:instrText>系</w:instrText>
      </w:r>
      <w:r w:rsidR="009E0EBA" w:rsidRPr="00B10EBE">
        <w:rPr>
          <w:rFonts w:ascii="Garamond" w:eastAsia="Microsoft JhengHei" w:hAnsi="Garamond" w:cs="Microsoft JhengHei"/>
          <w:color w:val="000000" w:themeColor="text1"/>
          <w:sz w:val="24"/>
          <w:szCs w:val="24"/>
          <w:shd w:val="clear" w:color="auto" w:fill="FCFCFC"/>
        </w:rPr>
        <w:instrText>统</w:instrText>
      </w:r>
      <w:r w:rsidR="009E0EBA" w:rsidRPr="00B10EBE">
        <w:rPr>
          <w:rFonts w:ascii="Garamond" w:eastAsia="MS Gothic" w:hAnsi="Garamond" w:cs="MS Gothic"/>
          <w:color w:val="000000" w:themeColor="text1"/>
          <w:sz w:val="24"/>
          <w:szCs w:val="24"/>
          <w:shd w:val="clear" w:color="auto" w:fill="FCFCFC"/>
        </w:rPr>
        <w:instrText>服</w:instrText>
      </w:r>
      <w:r w:rsidR="009E0EBA" w:rsidRPr="00B10EBE">
        <w:rPr>
          <w:rFonts w:ascii="Garamond" w:eastAsia="Microsoft JhengHei" w:hAnsi="Garamond" w:cs="Microsoft JhengHei"/>
          <w:color w:val="000000" w:themeColor="text1"/>
          <w:sz w:val="24"/>
          <w:szCs w:val="24"/>
          <w:shd w:val="clear" w:color="auto" w:fill="FCFCFC"/>
        </w:rPr>
        <w:instrText>务</w:instrText>
      </w:r>
      <w:r w:rsidR="009E0EBA" w:rsidRPr="00B10EBE">
        <w:rPr>
          <w:rFonts w:ascii="Garamond" w:eastAsia="MS Gothic" w:hAnsi="Garamond" w:cs="MS Gothic"/>
          <w:color w:val="000000" w:themeColor="text1"/>
          <w:sz w:val="24"/>
          <w:szCs w:val="24"/>
          <w:shd w:val="clear" w:color="auto" w:fill="FCFCFC"/>
        </w:rPr>
        <w:instrText>方面</w:instrText>
      </w:r>
      <w:r w:rsidR="009E0EBA" w:rsidRPr="00B10EBE">
        <w:rPr>
          <w:rFonts w:ascii="Garamond" w:eastAsia="Microsoft JhengHei" w:hAnsi="Garamond" w:cs="Microsoft JhengHei"/>
          <w:color w:val="000000" w:themeColor="text1"/>
          <w:sz w:val="24"/>
          <w:szCs w:val="24"/>
          <w:shd w:val="clear" w:color="auto" w:fill="FCFCFC"/>
        </w:rPr>
        <w:instrText>发挥</w:instrText>
      </w:r>
      <w:r w:rsidR="009E0EBA" w:rsidRPr="00B10EBE">
        <w:rPr>
          <w:rFonts w:ascii="Garamond" w:eastAsia="MS Gothic" w:hAnsi="Garamond" w:cs="MS Gothic"/>
          <w:color w:val="000000" w:themeColor="text1"/>
          <w:sz w:val="24"/>
          <w:szCs w:val="24"/>
          <w:shd w:val="clear" w:color="auto" w:fill="FCFCFC"/>
        </w:rPr>
        <w:instrText>着至关重要的作用。在</w:instrText>
      </w:r>
      <w:r w:rsidR="009E0EBA" w:rsidRPr="00B10EBE">
        <w:rPr>
          <w:rFonts w:ascii="Garamond" w:eastAsia="Microsoft JhengHei" w:hAnsi="Garamond" w:cs="Microsoft JhengHei"/>
          <w:color w:val="000000" w:themeColor="text1"/>
          <w:sz w:val="24"/>
          <w:szCs w:val="24"/>
          <w:shd w:val="clear" w:color="auto" w:fill="FCFCFC"/>
        </w:rPr>
        <w:instrText>过</w:instrText>
      </w:r>
      <w:r w:rsidR="009E0EBA" w:rsidRPr="00B10EBE">
        <w:rPr>
          <w:rFonts w:ascii="Garamond" w:eastAsia="MS Gothic" w:hAnsi="Garamond" w:cs="MS Gothic"/>
          <w:color w:val="000000" w:themeColor="text1"/>
          <w:sz w:val="24"/>
          <w:szCs w:val="24"/>
          <w:shd w:val="clear" w:color="auto" w:fill="FCFCFC"/>
        </w:rPr>
        <w:instrText>去的几十年里，草地植物群落</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定性的响</w:instrText>
      </w:r>
      <w:r w:rsidR="009E0EBA" w:rsidRPr="00B10EBE">
        <w:rPr>
          <w:rFonts w:ascii="Garamond" w:eastAsia="Microsoft JhengHei" w:hAnsi="Garamond" w:cs="Microsoft JhengHei"/>
          <w:color w:val="000000" w:themeColor="text1"/>
          <w:sz w:val="24"/>
          <w:szCs w:val="24"/>
          <w:shd w:val="clear" w:color="auto" w:fill="FCFCFC"/>
        </w:rPr>
        <w:instrText>应</w:instrText>
      </w:r>
      <w:r w:rsidR="009E0EBA" w:rsidRPr="00B10EBE">
        <w:rPr>
          <w:rFonts w:ascii="Garamond" w:eastAsia="MS Gothic" w:hAnsi="Garamond" w:cs="MS Gothic"/>
          <w:color w:val="000000" w:themeColor="text1"/>
          <w:sz w:val="24"/>
          <w:szCs w:val="24"/>
          <w:shd w:val="clear" w:color="auto" w:fill="FCFCFC"/>
        </w:rPr>
        <w:instrText>及其机制的研究取得了重大</w:instrText>
      </w:r>
      <w:r w:rsidR="009E0EBA" w:rsidRPr="00B10EBE">
        <w:rPr>
          <w:rFonts w:ascii="Garamond" w:eastAsia="Microsoft JhengHei" w:hAnsi="Garamond" w:cs="Microsoft JhengHei"/>
          <w:color w:val="000000" w:themeColor="text1"/>
          <w:sz w:val="24"/>
          <w:szCs w:val="24"/>
          <w:shd w:val="clear" w:color="auto" w:fill="FCFCFC"/>
        </w:rPr>
        <w:instrText>进</w:instrText>
      </w:r>
      <w:r w:rsidR="009E0EBA" w:rsidRPr="00B10EBE">
        <w:rPr>
          <w:rFonts w:ascii="Garamond" w:eastAsia="MS Gothic" w:hAnsi="Garamond" w:cs="MS Gothic"/>
          <w:color w:val="000000" w:themeColor="text1"/>
          <w:sz w:val="24"/>
          <w:szCs w:val="24"/>
          <w:shd w:val="clear" w:color="auto" w:fill="FCFCFC"/>
        </w:rPr>
        <w:instrText>展，其定</w:instrText>
      </w:r>
      <w:r w:rsidR="009E0EBA" w:rsidRPr="00B10EBE">
        <w:rPr>
          <w:rFonts w:ascii="Garamond" w:eastAsia="Microsoft JhengHei" w:hAnsi="Garamond" w:cs="Microsoft JhengHei"/>
          <w:color w:val="000000" w:themeColor="text1"/>
          <w:sz w:val="24"/>
          <w:szCs w:val="24"/>
          <w:shd w:val="clear" w:color="auto" w:fill="FCFCFC"/>
        </w:rPr>
        <w:instrText>义为时间</w:instrText>
      </w:r>
      <w:r w:rsidR="009E0EBA" w:rsidRPr="00B10EBE">
        <w:rPr>
          <w:rFonts w:ascii="Garamond" w:eastAsia="MS Gothic" w:hAnsi="Garamond" w:cs="MS Gothic"/>
          <w:color w:val="000000" w:themeColor="text1"/>
          <w:sz w:val="24"/>
          <w:szCs w:val="24"/>
          <w:shd w:val="clear" w:color="auto" w:fill="FCFCFC"/>
        </w:rPr>
        <w:instrText>平均生物量与</w:instrText>
      </w:r>
      <w:r w:rsidR="009E0EBA" w:rsidRPr="00B10EBE">
        <w:rPr>
          <w:rFonts w:ascii="Garamond" w:eastAsia="Microsoft JhengHei" w:hAnsi="Garamond" w:cs="Microsoft JhengHei"/>
          <w:color w:val="000000" w:themeColor="text1"/>
          <w:sz w:val="24"/>
          <w:szCs w:val="24"/>
          <w:shd w:val="clear" w:color="auto" w:fill="FCFCFC"/>
        </w:rPr>
        <w:instrText>标</w:instrText>
      </w:r>
      <w:r w:rsidR="009E0EBA" w:rsidRPr="00B10EBE">
        <w:rPr>
          <w:rFonts w:ascii="Garamond" w:eastAsia="MS Gothic" w:hAnsi="Garamond" w:cs="MS Gothic"/>
          <w:color w:val="000000" w:themeColor="text1"/>
          <w:sz w:val="24"/>
          <w:szCs w:val="24"/>
          <w:shd w:val="clear" w:color="auto" w:fill="FCFCFC"/>
        </w:rPr>
        <w:instrText>准差的比</w:instrText>
      </w:r>
      <w:r w:rsidR="009E0EBA" w:rsidRPr="00B10EBE">
        <w:rPr>
          <w:rFonts w:ascii="Garamond" w:eastAsia="Microsoft JhengHei" w:hAnsi="Garamond" w:cs="Microsoft JhengHei"/>
          <w:color w:val="000000" w:themeColor="text1"/>
          <w:sz w:val="24"/>
          <w:szCs w:val="24"/>
          <w:shd w:val="clear" w:color="auto" w:fill="FCFCFC"/>
        </w:rPr>
        <w:instrText>值</w:instrText>
      </w:r>
      <w:r w:rsidR="009E0EBA" w:rsidRPr="00B10EBE">
        <w:rPr>
          <w:rFonts w:ascii="Garamond" w:eastAsia="MS Gothic" w:hAnsi="Garamond" w:cs="MS Gothic"/>
          <w:color w:val="000000" w:themeColor="text1"/>
          <w:sz w:val="24"/>
          <w:szCs w:val="24"/>
          <w:shd w:val="clear" w:color="auto" w:fill="FCFCFC"/>
        </w:rPr>
        <w:instrText>。然而，关于降水</w:instrText>
      </w:r>
      <w:r w:rsidR="009E0EBA" w:rsidRPr="00B10EBE">
        <w:rPr>
          <w:rFonts w:ascii="Garamond" w:eastAsia="Microsoft JhengHei" w:hAnsi="Garamond" w:cs="Microsoft JhengHei"/>
          <w:color w:val="000000" w:themeColor="text1"/>
          <w:sz w:val="24"/>
          <w:szCs w:val="24"/>
          <w:shd w:val="clear" w:color="auto" w:fill="FCFCFC"/>
        </w:rPr>
        <w:instrText>对</w:instrText>
      </w:r>
      <w:r w:rsidR="009E0EBA" w:rsidRPr="00B10EBE">
        <w:rPr>
          <w:rFonts w:ascii="Garamond" w:eastAsia="MS Gothic" w:hAnsi="Garamond" w:cs="MS Gothic"/>
          <w:color w:val="000000" w:themeColor="text1"/>
          <w:sz w:val="24"/>
          <w:szCs w:val="24"/>
          <w:shd w:val="clear" w:color="auto" w:fill="FCFCFC"/>
        </w:rPr>
        <w:instrText>草地生物量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定性的影响是否取决于特定的</w:instrText>
      </w:r>
      <w:r w:rsidR="009E0EBA" w:rsidRPr="00B10EBE">
        <w:rPr>
          <w:rFonts w:ascii="Garamond" w:eastAsia="Microsoft JhengHei" w:hAnsi="Garamond" w:cs="Microsoft JhengHei"/>
          <w:color w:val="000000" w:themeColor="text1"/>
          <w:sz w:val="24"/>
          <w:szCs w:val="24"/>
          <w:shd w:val="clear" w:color="auto" w:fill="FCFCFC"/>
        </w:rPr>
        <w:instrText>环</w:instrText>
      </w:r>
      <w:r w:rsidR="009E0EBA" w:rsidRPr="00B10EBE">
        <w:rPr>
          <w:rFonts w:ascii="Garamond" w:eastAsia="MS Gothic" w:hAnsi="Garamond" w:cs="MS Gothic"/>
          <w:color w:val="000000" w:themeColor="text1"/>
          <w:sz w:val="24"/>
          <w:szCs w:val="24"/>
          <w:shd w:val="clear" w:color="auto" w:fill="FCFCFC"/>
        </w:rPr>
        <w:instrText>境因素，仍然存在</w:instrText>
      </w:r>
      <w:r w:rsidR="009E0EBA" w:rsidRPr="00B10EBE">
        <w:rPr>
          <w:rFonts w:ascii="Garamond" w:eastAsia="Microsoft JhengHei" w:hAnsi="Garamond" w:cs="Microsoft JhengHei"/>
          <w:color w:val="000000" w:themeColor="text1"/>
          <w:sz w:val="24"/>
          <w:szCs w:val="24"/>
          <w:shd w:val="clear" w:color="auto" w:fill="FCFCFC"/>
        </w:rPr>
        <w:instrText>认</w:instrText>
      </w:r>
      <w:r w:rsidR="009E0EBA" w:rsidRPr="00B10EBE">
        <w:rPr>
          <w:rFonts w:ascii="Garamond" w:eastAsia="MS Gothic" w:hAnsi="Garamond" w:cs="MS Gothic"/>
          <w:color w:val="000000" w:themeColor="text1"/>
          <w:sz w:val="24"/>
          <w:szCs w:val="24"/>
          <w:shd w:val="clear" w:color="auto" w:fill="FCFCFC"/>
        </w:rPr>
        <w:instrText>知空白。</w:instrText>
      </w:r>
      <w:r w:rsidR="009E0EBA" w:rsidRPr="00B10EBE">
        <w:rPr>
          <w:rFonts w:ascii="Garamond" w:hAnsi="Garamond"/>
          <w:color w:val="000000" w:themeColor="text1"/>
          <w:sz w:val="24"/>
          <w:szCs w:val="24"/>
          <w:shd w:val="clear" w:color="auto" w:fill="FCFCFC"/>
        </w:rPr>
        <w:instrText xml:space="preserve">\n                \n                \n                  </w:instrText>
      </w:r>
      <w:r w:rsidR="009E0EBA" w:rsidRPr="00B10EBE">
        <w:rPr>
          <w:rFonts w:ascii="Garamond" w:eastAsia="MS Gothic" w:hAnsi="Garamond" w:cs="MS Gothic"/>
          <w:color w:val="000000" w:themeColor="text1"/>
          <w:sz w:val="24"/>
          <w:szCs w:val="24"/>
          <w:shd w:val="clear" w:color="auto" w:fill="FCFCFC"/>
        </w:rPr>
        <w:instrText>在此，我</w:instrText>
      </w:r>
      <w:r w:rsidR="009E0EBA" w:rsidRPr="00B10EBE">
        <w:rPr>
          <w:rFonts w:ascii="Garamond" w:eastAsia="Microsoft JhengHei" w:hAnsi="Garamond" w:cs="Microsoft JhengHei"/>
          <w:color w:val="000000" w:themeColor="text1"/>
          <w:sz w:val="24"/>
          <w:szCs w:val="24"/>
          <w:shd w:val="clear" w:color="auto" w:fill="FCFCFC"/>
        </w:rPr>
        <w:instrText>们</w:instrText>
      </w:r>
      <w:r w:rsidR="009E0EBA" w:rsidRPr="00B10EBE">
        <w:rPr>
          <w:rFonts w:ascii="Garamond" w:eastAsia="MS Gothic" w:hAnsi="Garamond" w:cs="MS Gothic"/>
          <w:color w:val="000000" w:themeColor="text1"/>
          <w:sz w:val="24"/>
          <w:szCs w:val="24"/>
          <w:shd w:val="clear" w:color="auto" w:fill="FCFCFC"/>
        </w:rPr>
        <w:instrText>通</w:instrText>
      </w:r>
      <w:r w:rsidR="009E0EBA" w:rsidRPr="00B10EBE">
        <w:rPr>
          <w:rFonts w:ascii="Garamond" w:eastAsia="Microsoft JhengHei" w:hAnsi="Garamond" w:cs="Microsoft JhengHei"/>
          <w:color w:val="000000" w:themeColor="text1"/>
          <w:sz w:val="24"/>
          <w:szCs w:val="24"/>
          <w:shd w:val="clear" w:color="auto" w:fill="FCFCFC"/>
        </w:rPr>
        <w:instrText>过</w:instrText>
      </w:r>
      <w:r w:rsidR="009E0EBA" w:rsidRPr="00B10EBE">
        <w:rPr>
          <w:rFonts w:ascii="Garamond" w:hAnsi="Garamond"/>
          <w:color w:val="000000" w:themeColor="text1"/>
          <w:sz w:val="24"/>
          <w:szCs w:val="24"/>
          <w:shd w:val="clear" w:color="auto" w:fill="FCFCFC"/>
        </w:rPr>
        <w:instrText>7</w:instrText>
      </w:r>
      <w:r w:rsidR="009E0EBA" w:rsidRPr="00B10EBE">
        <w:rPr>
          <w:rFonts w:ascii="Garamond" w:eastAsia="MS Gothic" w:hAnsi="Garamond" w:cs="MS Gothic"/>
          <w:color w:val="000000" w:themeColor="text1"/>
          <w:sz w:val="24"/>
          <w:szCs w:val="24"/>
          <w:shd w:val="clear" w:color="auto" w:fill="FCFCFC"/>
        </w:rPr>
        <w:instrText>年的操</w:instrText>
      </w:r>
      <w:r w:rsidR="009E0EBA" w:rsidRPr="00B10EBE">
        <w:rPr>
          <w:rFonts w:ascii="Garamond" w:eastAsia="Microsoft JhengHei" w:hAnsi="Garamond" w:cs="Microsoft JhengHei"/>
          <w:color w:val="000000" w:themeColor="text1"/>
          <w:sz w:val="24"/>
          <w:szCs w:val="24"/>
          <w:shd w:val="clear" w:color="auto" w:fill="FCFCFC"/>
        </w:rPr>
        <w:instrText>纵实验</w:instrText>
      </w:r>
      <w:r w:rsidR="009E0EBA" w:rsidRPr="00B10EBE">
        <w:rPr>
          <w:rFonts w:ascii="Garamond" w:eastAsia="MS Gothic" w:hAnsi="Garamond" w:cs="MS Gothic"/>
          <w:color w:val="000000" w:themeColor="text1"/>
          <w:sz w:val="24"/>
          <w:szCs w:val="24"/>
          <w:shd w:val="clear" w:color="auto" w:fill="FCFCFC"/>
        </w:rPr>
        <w:instrText>，包括</w:instrText>
      </w:r>
      <w:r w:rsidR="009E0EBA" w:rsidRPr="00B10EBE">
        <w:rPr>
          <w:rFonts w:ascii="Garamond" w:hAnsi="Garamond"/>
          <w:color w:val="000000" w:themeColor="text1"/>
          <w:sz w:val="24"/>
          <w:szCs w:val="24"/>
          <w:shd w:val="clear" w:color="auto" w:fill="FCFCFC"/>
        </w:rPr>
        <w:instrText>7</w:instrText>
      </w:r>
      <w:r w:rsidR="009E0EBA" w:rsidRPr="00B10EBE">
        <w:rPr>
          <w:rFonts w:ascii="Garamond" w:eastAsia="MS Gothic" w:hAnsi="Garamond" w:cs="MS Gothic"/>
          <w:color w:val="000000" w:themeColor="text1"/>
          <w:sz w:val="24"/>
          <w:szCs w:val="24"/>
          <w:shd w:val="clear" w:color="auto" w:fill="FCFCFC"/>
        </w:rPr>
        <w:instrText>个降水水平</w:instrText>
      </w:r>
      <w:r w:rsidR="009E0EBA" w:rsidRPr="00B10EBE">
        <w:rPr>
          <w:rFonts w:ascii="Garamond" w:hAnsi="Garamond"/>
          <w:color w:val="000000" w:themeColor="text1"/>
          <w:sz w:val="24"/>
          <w:szCs w:val="24"/>
          <w:shd w:val="clear" w:color="auto" w:fill="FCFCFC"/>
        </w:rPr>
        <w:instrText>:</w:instrText>
      </w:r>
      <w:r w:rsidR="009E0EBA" w:rsidRPr="00B10EBE">
        <w:rPr>
          <w:rFonts w:ascii="Garamond" w:eastAsia="MS Gothic" w:hAnsi="Garamond" w:cs="MS Gothic"/>
          <w:color w:val="000000" w:themeColor="text1"/>
          <w:sz w:val="24"/>
          <w:szCs w:val="24"/>
          <w:shd w:val="clear" w:color="auto" w:fill="FCFCFC"/>
        </w:rPr>
        <w:instrText>减少</w:instrText>
      </w:r>
      <w:r w:rsidR="009E0EBA" w:rsidRPr="00B10EBE">
        <w:rPr>
          <w:rFonts w:ascii="Garamond" w:hAnsi="Garamond"/>
          <w:color w:val="000000" w:themeColor="text1"/>
          <w:sz w:val="24"/>
          <w:szCs w:val="24"/>
          <w:shd w:val="clear" w:color="auto" w:fill="FCFCFC"/>
        </w:rPr>
        <w:instrText>20%</w:instrText>
      </w:r>
      <w:r w:rsidR="009E0EBA" w:rsidRPr="00B10EBE">
        <w:rPr>
          <w:rFonts w:ascii="Garamond" w:eastAsia="MS Gothic" w:hAnsi="Garamond" w:cs="MS Gothic"/>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40%</w:instrText>
      </w:r>
      <w:r w:rsidR="009E0EBA" w:rsidRPr="00B10EBE">
        <w:rPr>
          <w:rFonts w:ascii="Garamond" w:eastAsia="MS Gothic" w:hAnsi="Garamond" w:cs="MS Gothic"/>
          <w:color w:val="000000" w:themeColor="text1"/>
          <w:sz w:val="24"/>
          <w:szCs w:val="24"/>
          <w:shd w:val="clear" w:color="auto" w:fill="FCFCFC"/>
        </w:rPr>
        <w:instrText>和</w:instrText>
      </w:r>
      <w:r w:rsidR="009E0EBA" w:rsidRPr="00B10EBE">
        <w:rPr>
          <w:rFonts w:ascii="Garamond" w:hAnsi="Garamond"/>
          <w:color w:val="000000" w:themeColor="text1"/>
          <w:sz w:val="24"/>
          <w:szCs w:val="24"/>
          <w:shd w:val="clear" w:color="auto" w:fill="FCFCFC"/>
        </w:rPr>
        <w:instrText>60%</w:instrText>
      </w:r>
      <w:r w:rsidR="009E0EBA" w:rsidRPr="00B10EBE">
        <w:rPr>
          <w:rFonts w:ascii="Garamond" w:eastAsia="MS Gothic" w:hAnsi="Garamond" w:cs="MS Gothic"/>
          <w:color w:val="000000" w:themeColor="text1"/>
          <w:sz w:val="24"/>
          <w:szCs w:val="24"/>
          <w:shd w:val="clear" w:color="auto" w:fill="FCFCFC"/>
        </w:rPr>
        <w:instrText>的自然降水量、增加</w:instrText>
      </w:r>
      <w:r w:rsidR="009E0EBA" w:rsidRPr="00B10EBE">
        <w:rPr>
          <w:rFonts w:ascii="Garamond" w:hAnsi="Garamond"/>
          <w:color w:val="000000" w:themeColor="text1"/>
          <w:sz w:val="24"/>
          <w:szCs w:val="24"/>
          <w:shd w:val="clear" w:color="auto" w:fill="FCFCFC"/>
        </w:rPr>
        <w:instrText>20%</w:instrText>
      </w:r>
      <w:r w:rsidR="009E0EBA" w:rsidRPr="00B10EBE">
        <w:rPr>
          <w:rFonts w:ascii="Garamond" w:eastAsia="MS Gothic" w:hAnsi="Garamond" w:cs="MS Gothic"/>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40%</w:instrText>
      </w:r>
      <w:r w:rsidR="009E0EBA" w:rsidRPr="00B10EBE">
        <w:rPr>
          <w:rFonts w:ascii="Garamond" w:eastAsia="MS Gothic" w:hAnsi="Garamond" w:cs="MS Gothic"/>
          <w:color w:val="000000" w:themeColor="text1"/>
          <w:sz w:val="24"/>
          <w:szCs w:val="24"/>
          <w:shd w:val="clear" w:color="auto" w:fill="FCFCFC"/>
        </w:rPr>
        <w:instrText>和</w:instrText>
      </w:r>
      <w:r w:rsidR="009E0EBA" w:rsidRPr="00B10EBE">
        <w:rPr>
          <w:rFonts w:ascii="Garamond" w:hAnsi="Garamond"/>
          <w:color w:val="000000" w:themeColor="text1"/>
          <w:sz w:val="24"/>
          <w:szCs w:val="24"/>
          <w:shd w:val="clear" w:color="auto" w:fill="FCFCFC"/>
        </w:rPr>
        <w:instrText>60%</w:instrText>
      </w:r>
      <w:r w:rsidR="009E0EBA" w:rsidRPr="00B10EBE">
        <w:rPr>
          <w:rFonts w:ascii="Garamond" w:eastAsia="MS Gothic" w:hAnsi="Garamond" w:cs="MS Gothic"/>
          <w:color w:val="000000" w:themeColor="text1"/>
          <w:sz w:val="24"/>
          <w:szCs w:val="24"/>
          <w:shd w:val="clear" w:color="auto" w:fill="FCFCFC"/>
        </w:rPr>
        <w:instrText>的自然降雨量以及</w:instrText>
      </w:r>
      <w:r w:rsidR="009E0EBA" w:rsidRPr="00B10EBE">
        <w:rPr>
          <w:rFonts w:ascii="Garamond" w:eastAsia="Microsoft JhengHei" w:hAnsi="Garamond" w:cs="Microsoft JhengHei"/>
          <w:color w:val="000000" w:themeColor="text1"/>
          <w:sz w:val="24"/>
          <w:szCs w:val="24"/>
          <w:shd w:val="clear" w:color="auto" w:fill="FCFCFC"/>
        </w:rPr>
        <w:instrText>环</w:instrText>
      </w:r>
      <w:r w:rsidR="009E0EBA" w:rsidRPr="00B10EBE">
        <w:rPr>
          <w:rFonts w:ascii="Garamond" w:eastAsia="MS Gothic" w:hAnsi="Garamond" w:cs="MS Gothic"/>
          <w:color w:val="000000" w:themeColor="text1"/>
          <w:sz w:val="24"/>
          <w:szCs w:val="24"/>
          <w:shd w:val="clear" w:color="auto" w:fill="FCFCFC"/>
        </w:rPr>
        <w:instrText>境降水，研究了相</w:instrText>
      </w:r>
      <w:r w:rsidR="009E0EBA" w:rsidRPr="00B10EBE">
        <w:rPr>
          <w:rFonts w:ascii="Garamond" w:eastAsia="Microsoft JhengHei" w:hAnsi="Garamond" w:cs="Microsoft JhengHei"/>
          <w:color w:val="000000" w:themeColor="text1"/>
          <w:sz w:val="24"/>
          <w:szCs w:val="24"/>
          <w:shd w:val="clear" w:color="auto" w:fill="FCFCFC"/>
        </w:rPr>
        <w:instrText>邻</w:instrText>
      </w:r>
      <w:r w:rsidR="009E0EBA" w:rsidRPr="00B10EBE">
        <w:rPr>
          <w:rFonts w:ascii="Garamond" w:eastAsia="MS Gothic" w:hAnsi="Garamond" w:cs="MS Gothic"/>
          <w:color w:val="000000" w:themeColor="text1"/>
          <w:sz w:val="24"/>
          <w:szCs w:val="24"/>
          <w:shd w:val="clear" w:color="auto" w:fill="FCFCFC"/>
        </w:rPr>
        <w:instrText>草</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eastAsia="MS Gothic" w:hAnsi="Garamond" w:cs="MS Gothic"/>
          <w:color w:val="000000" w:themeColor="text1"/>
          <w:sz w:val="24"/>
          <w:szCs w:val="24"/>
          <w:shd w:val="clear" w:color="auto" w:fill="FCFCFC"/>
        </w:rPr>
        <w:instrText>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主群落地上和地下生物量的</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w:instrText>
      </w:r>
      <w:r w:rsidR="009E0EBA" w:rsidRPr="00B10EBE">
        <w:rPr>
          <w:rFonts w:ascii="Garamond" w:hAnsi="Garamond"/>
          <w:color w:val="000000" w:themeColor="text1"/>
          <w:sz w:val="24"/>
          <w:szCs w:val="24"/>
          <w:shd w:val="clear" w:color="auto" w:fill="FCFCFC"/>
        </w:rPr>
        <w:instrText xml:space="preserve">\n                \n                \n                  </w:instrText>
      </w:r>
      <w:r w:rsidR="009E0EBA" w:rsidRPr="00B10EBE">
        <w:rPr>
          <w:rFonts w:ascii="Garamond" w:eastAsia="MS Gothic" w:hAnsi="Garamond" w:cs="MS Gothic"/>
          <w:color w:val="000000" w:themeColor="text1"/>
          <w:sz w:val="24"/>
          <w:szCs w:val="24"/>
          <w:shd w:val="clear" w:color="auto" w:fill="FCFCFC"/>
        </w:rPr>
        <w:instrText>研究</w:instrText>
      </w:r>
      <w:r w:rsidR="009E0EBA" w:rsidRPr="00B10EBE">
        <w:rPr>
          <w:rFonts w:ascii="Garamond" w:eastAsia="Microsoft JhengHei" w:hAnsi="Garamond" w:cs="Microsoft JhengHei"/>
          <w:color w:val="000000" w:themeColor="text1"/>
          <w:sz w:val="24"/>
          <w:szCs w:val="24"/>
          <w:shd w:val="clear" w:color="auto" w:fill="FCFCFC"/>
        </w:rPr>
        <w:instrText>发现</w:instrText>
      </w:r>
      <w:r w:rsidR="009E0EBA" w:rsidRPr="00B10EBE">
        <w:rPr>
          <w:rFonts w:ascii="Garamond" w:eastAsia="MS Gothic" w:hAnsi="Garamond" w:cs="MS Gothic"/>
          <w:color w:val="000000" w:themeColor="text1"/>
          <w:sz w:val="24"/>
          <w:szCs w:val="24"/>
          <w:shd w:val="clear" w:color="auto" w:fill="FCFCFC"/>
        </w:rPr>
        <w:instrText>，群落生物量的</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定性受降水大小和方向、地上和地下生物量、植被</w:instrText>
      </w:r>
      <w:r w:rsidR="009E0EBA" w:rsidRPr="00B10EBE">
        <w:rPr>
          <w:rFonts w:ascii="Garamond" w:eastAsia="Yu Gothic" w:hAnsi="Garamond" w:cs="Yu Gothic"/>
          <w:color w:val="000000" w:themeColor="text1"/>
          <w:sz w:val="24"/>
          <w:szCs w:val="24"/>
          <w:shd w:val="clear" w:color="auto" w:fill="FCFCFC"/>
        </w:rPr>
        <w:instrText>类</w:instrText>
      </w:r>
      <w:r w:rsidR="009E0EBA" w:rsidRPr="00B10EBE">
        <w:rPr>
          <w:rFonts w:ascii="Garamond" w:eastAsia="MS Gothic" w:hAnsi="Garamond" w:cs="MS Gothic"/>
          <w:color w:val="000000" w:themeColor="text1"/>
          <w:sz w:val="24"/>
          <w:szCs w:val="24"/>
          <w:shd w:val="clear" w:color="auto" w:fill="FCFCFC"/>
        </w:rPr>
        <w:instrText>型等</w:instrText>
      </w:r>
      <w:r w:rsidR="009E0EBA" w:rsidRPr="00B10EBE">
        <w:rPr>
          <w:rFonts w:ascii="Garamond" w:hAnsi="Garamond"/>
          <w:color w:val="000000" w:themeColor="text1"/>
          <w:sz w:val="24"/>
          <w:szCs w:val="24"/>
          <w:shd w:val="clear" w:color="auto" w:fill="FCFCFC"/>
        </w:rPr>
        <w:instrText>3</w:instrText>
      </w:r>
      <w:r w:rsidR="009E0EBA" w:rsidRPr="00B10EBE">
        <w:rPr>
          <w:rFonts w:ascii="Garamond" w:eastAsia="MS Gothic" w:hAnsi="Garamond" w:cs="MS Gothic"/>
          <w:color w:val="000000" w:themeColor="text1"/>
          <w:sz w:val="24"/>
          <w:szCs w:val="24"/>
          <w:shd w:val="clear" w:color="auto" w:fill="FCFCFC"/>
        </w:rPr>
        <w:instrText>个</w:instrText>
      </w:r>
      <w:r w:rsidR="009E0EBA" w:rsidRPr="00B10EBE">
        <w:rPr>
          <w:rFonts w:ascii="Garamond" w:eastAsia="Microsoft JhengHei" w:hAnsi="Garamond" w:cs="Microsoft JhengHei"/>
          <w:color w:val="000000" w:themeColor="text1"/>
          <w:sz w:val="24"/>
          <w:szCs w:val="24"/>
          <w:shd w:val="clear" w:color="auto" w:fill="FCFCFC"/>
        </w:rPr>
        <w:instrText>环</w:instrText>
      </w:r>
      <w:r w:rsidR="009E0EBA" w:rsidRPr="00B10EBE">
        <w:rPr>
          <w:rFonts w:ascii="Garamond" w:eastAsia="MS Gothic" w:hAnsi="Garamond" w:cs="MS Gothic"/>
          <w:color w:val="000000" w:themeColor="text1"/>
          <w:sz w:val="24"/>
          <w:szCs w:val="24"/>
          <w:shd w:val="clear" w:color="auto" w:fill="FCFCFC"/>
        </w:rPr>
        <w:instrText>境因子的影响。特</w:instrText>
      </w:r>
      <w:r w:rsidR="009E0EBA" w:rsidRPr="00B10EBE">
        <w:rPr>
          <w:rFonts w:ascii="Garamond" w:eastAsia="Yu Gothic" w:hAnsi="Garamond" w:cs="Yu Gothic"/>
          <w:color w:val="000000" w:themeColor="text1"/>
          <w:sz w:val="24"/>
          <w:szCs w:val="24"/>
          <w:shd w:val="clear" w:color="auto" w:fill="FCFCFC"/>
        </w:rPr>
        <w:instrText>别</w:instrText>
      </w:r>
      <w:r w:rsidR="009E0EBA" w:rsidRPr="00B10EBE">
        <w:rPr>
          <w:rFonts w:ascii="Garamond" w:eastAsia="MS Gothic" w:hAnsi="Garamond" w:cs="MS Gothic"/>
          <w:color w:val="000000" w:themeColor="text1"/>
          <w:sz w:val="24"/>
          <w:szCs w:val="24"/>
          <w:shd w:val="clear" w:color="auto" w:fill="FCFCFC"/>
        </w:rPr>
        <w:instrText>是，更</w:instrText>
      </w:r>
      <w:r w:rsidR="009E0EBA" w:rsidRPr="00B10EBE">
        <w:rPr>
          <w:rFonts w:ascii="Garamond" w:eastAsia="Yu Gothic" w:hAnsi="Garamond" w:cs="Yu Gothic"/>
          <w:color w:val="000000" w:themeColor="text1"/>
          <w:sz w:val="24"/>
          <w:szCs w:val="24"/>
          <w:shd w:val="clear" w:color="auto" w:fill="FCFCFC"/>
        </w:rPr>
        <w:instrText>强</w:instrText>
      </w:r>
      <w:r w:rsidR="009E0EBA" w:rsidRPr="00B10EBE">
        <w:rPr>
          <w:rFonts w:ascii="Garamond" w:eastAsia="MS Gothic" w:hAnsi="Garamond" w:cs="MS Gothic"/>
          <w:color w:val="000000" w:themeColor="text1"/>
          <w:sz w:val="24"/>
          <w:szCs w:val="24"/>
          <w:shd w:val="clear" w:color="auto" w:fill="FCFCFC"/>
        </w:rPr>
        <w:instrText>的降水</w:instrText>
      </w:r>
      <w:r w:rsidR="009E0EBA" w:rsidRPr="00B10EBE">
        <w:rPr>
          <w:rFonts w:ascii="Garamond" w:eastAsia="Microsoft JhengHei" w:hAnsi="Garamond" w:cs="Microsoft JhengHei"/>
          <w:color w:val="000000" w:themeColor="text1"/>
          <w:sz w:val="24"/>
          <w:szCs w:val="24"/>
          <w:shd w:val="clear" w:color="auto" w:fill="FCFCFC"/>
        </w:rPr>
        <w:instrText>导</w:instrText>
      </w:r>
      <w:r w:rsidR="009E0EBA" w:rsidRPr="00B10EBE">
        <w:rPr>
          <w:rFonts w:ascii="Garamond" w:eastAsia="MS Gothic" w:hAnsi="Garamond" w:cs="MS Gothic"/>
          <w:color w:val="000000" w:themeColor="text1"/>
          <w:sz w:val="24"/>
          <w:szCs w:val="24"/>
          <w:shd w:val="clear" w:color="auto" w:fill="FCFCFC"/>
        </w:rPr>
        <w:instrText>致草</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eastAsia="MS Gothic" w:hAnsi="Garamond" w:cs="MS Gothic"/>
          <w:color w:val="000000" w:themeColor="text1"/>
          <w:sz w:val="24"/>
          <w:szCs w:val="24"/>
          <w:shd w:val="clear" w:color="auto" w:fill="FCFCFC"/>
        </w:rPr>
        <w:instrText>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主群落地上生物量的</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定性更高。相反，</w:instrText>
      </w:r>
      <w:r w:rsidR="009E0EBA" w:rsidRPr="00B10EBE">
        <w:rPr>
          <w:rFonts w:ascii="Garamond" w:eastAsia="Microsoft JhengHei" w:hAnsi="Garamond" w:cs="Microsoft JhengHei"/>
          <w:color w:val="000000" w:themeColor="text1"/>
          <w:sz w:val="24"/>
          <w:szCs w:val="24"/>
          <w:shd w:val="clear" w:color="auto" w:fill="FCFCFC"/>
        </w:rPr>
        <w:instrText>较</w:instrText>
      </w:r>
      <w:r w:rsidR="009E0EBA" w:rsidRPr="00B10EBE">
        <w:rPr>
          <w:rFonts w:ascii="Garamond" w:eastAsia="MS Gothic" w:hAnsi="Garamond" w:cs="MS Gothic"/>
          <w:color w:val="000000" w:themeColor="text1"/>
          <w:sz w:val="24"/>
          <w:szCs w:val="24"/>
          <w:shd w:val="clear" w:color="auto" w:fill="FCFCFC"/>
        </w:rPr>
        <w:instrText>高的降水</w:instrText>
      </w:r>
      <w:r w:rsidR="009E0EBA" w:rsidRPr="00B10EBE">
        <w:rPr>
          <w:rFonts w:ascii="Garamond" w:eastAsia="Yu Gothic" w:hAnsi="Garamond" w:cs="Yu Gothic"/>
          <w:color w:val="000000" w:themeColor="text1"/>
          <w:sz w:val="24"/>
          <w:szCs w:val="24"/>
          <w:shd w:val="clear" w:color="auto" w:fill="FCFCFC"/>
        </w:rPr>
        <w:instrText>强</w:instrText>
      </w:r>
      <w:r w:rsidR="009E0EBA" w:rsidRPr="00B10EBE">
        <w:rPr>
          <w:rFonts w:ascii="Garamond" w:eastAsia="MS Gothic" w:hAnsi="Garamond" w:cs="MS Gothic"/>
          <w:color w:val="000000" w:themeColor="text1"/>
          <w:sz w:val="24"/>
          <w:szCs w:val="24"/>
          <w:shd w:val="clear" w:color="auto" w:fill="FCFCFC"/>
        </w:rPr>
        <w:instrText>度</w:instrText>
      </w:r>
      <w:r w:rsidR="009E0EBA" w:rsidRPr="00B10EBE">
        <w:rPr>
          <w:rFonts w:ascii="Garamond" w:eastAsia="Microsoft JhengHei" w:hAnsi="Garamond" w:cs="Microsoft JhengHei"/>
          <w:color w:val="000000" w:themeColor="text1"/>
          <w:sz w:val="24"/>
          <w:szCs w:val="24"/>
          <w:shd w:val="clear" w:color="auto" w:fill="FCFCFC"/>
        </w:rPr>
        <w:instrText>导</w:instrText>
      </w:r>
      <w:r w:rsidR="009E0EBA" w:rsidRPr="00B10EBE">
        <w:rPr>
          <w:rFonts w:ascii="Garamond" w:eastAsia="MS Gothic" w:hAnsi="Garamond" w:cs="MS Gothic"/>
          <w:color w:val="000000" w:themeColor="text1"/>
          <w:sz w:val="24"/>
          <w:szCs w:val="24"/>
          <w:shd w:val="clear" w:color="auto" w:fill="FCFCFC"/>
        </w:rPr>
        <w:instrText>致草</w:instrText>
      </w:r>
      <w:r w:rsidR="009E0EBA" w:rsidRPr="00B10EBE">
        <w:rPr>
          <w:rFonts w:ascii="Garamond" w:eastAsia="Microsoft JhengHei" w:hAnsi="Garamond" w:cs="Microsoft JhengHei"/>
          <w:color w:val="000000" w:themeColor="text1"/>
          <w:sz w:val="24"/>
          <w:szCs w:val="24"/>
          <w:shd w:val="clear" w:color="auto" w:fill="FCFCFC"/>
        </w:rPr>
        <w:instrText>为</w:instrText>
      </w:r>
      <w:r w:rsidR="009E0EBA" w:rsidRPr="00B10EBE">
        <w:rPr>
          <w:rFonts w:ascii="Garamond" w:eastAsia="MS Gothic" w:hAnsi="Garamond" w:cs="MS Gothic"/>
          <w:color w:val="000000" w:themeColor="text1"/>
          <w:sz w:val="24"/>
          <w:szCs w:val="24"/>
          <w:shd w:val="clear" w:color="auto" w:fill="FCFCFC"/>
        </w:rPr>
        <w:instrText>主群落的地下生物量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定性降低，而灌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主群落的地下生物量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定性增加。物种</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定性和物种异步性在解</w:instrText>
      </w:r>
      <w:r w:rsidR="009E0EBA" w:rsidRPr="00B10EBE">
        <w:rPr>
          <w:rFonts w:ascii="Garamond" w:eastAsia="Microsoft JhengHei" w:hAnsi="Garamond" w:cs="Microsoft JhengHei"/>
          <w:color w:val="000000" w:themeColor="text1"/>
          <w:sz w:val="24"/>
          <w:szCs w:val="24"/>
          <w:shd w:val="clear" w:color="auto" w:fill="FCFCFC"/>
        </w:rPr>
        <w:instrText>释</w:instrText>
      </w:r>
      <w:r w:rsidR="009E0EBA" w:rsidRPr="00B10EBE">
        <w:rPr>
          <w:rFonts w:ascii="Garamond" w:eastAsia="MS Gothic" w:hAnsi="Garamond" w:cs="MS Gothic"/>
          <w:color w:val="000000" w:themeColor="text1"/>
          <w:sz w:val="24"/>
          <w:szCs w:val="24"/>
          <w:shd w:val="clear" w:color="auto" w:fill="FCFCFC"/>
        </w:rPr>
        <w:instrText>草</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eastAsia="MS Gothic" w:hAnsi="Garamond" w:cs="MS Gothic"/>
          <w:color w:val="000000" w:themeColor="text1"/>
          <w:sz w:val="24"/>
          <w:szCs w:val="24"/>
          <w:shd w:val="clear" w:color="auto" w:fill="FCFCFC"/>
        </w:rPr>
        <w:instrText>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主群落地上生物量的</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定性方面均</w:instrText>
      </w:r>
      <w:r w:rsidR="009E0EBA" w:rsidRPr="00B10EBE">
        <w:rPr>
          <w:rFonts w:ascii="Garamond" w:eastAsia="Microsoft JhengHei" w:hAnsi="Garamond" w:cs="Microsoft JhengHei"/>
          <w:color w:val="000000" w:themeColor="text1"/>
          <w:sz w:val="24"/>
          <w:szCs w:val="24"/>
          <w:shd w:val="clear" w:color="auto" w:fill="FCFCFC"/>
        </w:rPr>
        <w:instrText>发挥</w:instrText>
      </w:r>
      <w:r w:rsidR="009E0EBA" w:rsidRPr="00B10EBE">
        <w:rPr>
          <w:rFonts w:ascii="Garamond" w:eastAsia="MS Gothic" w:hAnsi="Garamond" w:cs="MS Gothic"/>
          <w:color w:val="000000" w:themeColor="text1"/>
          <w:sz w:val="24"/>
          <w:szCs w:val="24"/>
          <w:shd w:val="clear" w:color="auto" w:fill="FCFCFC"/>
        </w:rPr>
        <w:instrText>了</w:instrText>
      </w:r>
      <w:r w:rsidR="009E0EBA" w:rsidRPr="00B10EBE">
        <w:rPr>
          <w:rFonts w:ascii="Garamond" w:eastAsia="Microsoft JhengHei" w:hAnsi="Garamond" w:cs="Microsoft JhengHei"/>
          <w:color w:val="000000" w:themeColor="text1"/>
          <w:sz w:val="24"/>
          <w:szCs w:val="24"/>
          <w:shd w:val="clear" w:color="auto" w:fill="FCFCFC"/>
        </w:rPr>
        <w:instrText>积</w:instrText>
      </w:r>
      <w:r w:rsidR="009E0EBA" w:rsidRPr="00B10EBE">
        <w:rPr>
          <w:rFonts w:ascii="Garamond" w:eastAsia="MS Gothic" w:hAnsi="Garamond" w:cs="MS Gothic"/>
          <w:color w:val="000000" w:themeColor="text1"/>
          <w:sz w:val="24"/>
          <w:szCs w:val="24"/>
          <w:shd w:val="clear" w:color="auto" w:fill="FCFCFC"/>
        </w:rPr>
        <w:instrText>极作用。然而，在草</w:instrText>
      </w:r>
      <w:r w:rsidR="009E0EBA" w:rsidRPr="00B10EBE">
        <w:rPr>
          <w:rFonts w:ascii="Garamond" w:eastAsia="Microsoft JhengHei" w:hAnsi="Garamond" w:cs="Microsoft JhengHei"/>
          <w:color w:val="000000" w:themeColor="text1"/>
          <w:sz w:val="24"/>
          <w:szCs w:val="24"/>
          <w:shd w:val="clear" w:color="auto" w:fill="FCFCFC"/>
        </w:rPr>
        <w:instrText>为</w:instrText>
      </w:r>
      <w:r w:rsidR="009E0EBA" w:rsidRPr="00B10EBE">
        <w:rPr>
          <w:rFonts w:ascii="Garamond" w:eastAsia="MS Gothic" w:hAnsi="Garamond" w:cs="MS Gothic"/>
          <w:color w:val="000000" w:themeColor="text1"/>
          <w:sz w:val="24"/>
          <w:szCs w:val="24"/>
          <w:shd w:val="clear" w:color="auto" w:fill="FCFCFC"/>
        </w:rPr>
        <w:instrText>主群落中，物种异步性</w:instrText>
      </w:r>
      <w:r w:rsidR="009E0EBA" w:rsidRPr="00B10EBE">
        <w:rPr>
          <w:rFonts w:ascii="Garamond" w:eastAsia="Microsoft JhengHei" w:hAnsi="Garamond" w:cs="Microsoft JhengHei"/>
          <w:color w:val="000000" w:themeColor="text1"/>
          <w:sz w:val="24"/>
          <w:szCs w:val="24"/>
          <w:shd w:val="clear" w:color="auto" w:fill="FCFCFC"/>
        </w:rPr>
        <w:instrText>对</w:instrText>
      </w:r>
      <w:r w:rsidR="009E0EBA" w:rsidRPr="00B10EBE">
        <w:rPr>
          <w:rFonts w:ascii="Garamond" w:eastAsia="MS Gothic" w:hAnsi="Garamond" w:cs="MS Gothic"/>
          <w:color w:val="000000" w:themeColor="text1"/>
          <w:sz w:val="24"/>
          <w:szCs w:val="24"/>
          <w:shd w:val="clear" w:color="auto" w:fill="FCFCFC"/>
        </w:rPr>
        <w:instrText>地下生物量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定性有</w:instrText>
      </w:r>
      <w:r w:rsidR="009E0EBA" w:rsidRPr="00B10EBE">
        <w:rPr>
          <w:rFonts w:ascii="Garamond" w:eastAsia="Microsoft JhengHei" w:hAnsi="Garamond" w:cs="Microsoft JhengHei"/>
          <w:color w:val="000000" w:themeColor="text1"/>
          <w:sz w:val="24"/>
          <w:szCs w:val="24"/>
          <w:shd w:val="clear" w:color="auto" w:fill="FCFCFC"/>
        </w:rPr>
        <w:instrText>负</w:instrText>
      </w:r>
      <w:r w:rsidR="009E0EBA" w:rsidRPr="00B10EBE">
        <w:rPr>
          <w:rFonts w:ascii="Garamond" w:eastAsia="MS Gothic" w:hAnsi="Garamond" w:cs="MS Gothic"/>
          <w:color w:val="000000" w:themeColor="text1"/>
          <w:sz w:val="24"/>
          <w:szCs w:val="24"/>
          <w:shd w:val="clear" w:color="auto" w:fill="FCFCFC"/>
        </w:rPr>
        <w:instrText>面影响，而在灌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主群落中没有</w:instrText>
      </w:r>
      <w:r w:rsidR="009E0EBA" w:rsidRPr="00B10EBE">
        <w:rPr>
          <w:rFonts w:ascii="Garamond" w:eastAsia="Yu Gothic" w:hAnsi="Garamond" w:cs="Yu Gothic"/>
          <w:color w:val="000000" w:themeColor="text1"/>
          <w:sz w:val="24"/>
          <w:szCs w:val="24"/>
          <w:shd w:val="clear" w:color="auto" w:fill="FCFCFC"/>
        </w:rPr>
        <w:instrText>类</w:instrText>
      </w:r>
      <w:r w:rsidR="009E0EBA" w:rsidRPr="00B10EBE">
        <w:rPr>
          <w:rFonts w:ascii="Garamond" w:eastAsia="MS Gothic" w:hAnsi="Garamond" w:cs="MS Gothic"/>
          <w:color w:val="000000" w:themeColor="text1"/>
          <w:sz w:val="24"/>
          <w:szCs w:val="24"/>
          <w:shd w:val="clear" w:color="auto" w:fill="FCFCFC"/>
        </w:rPr>
        <w:instrText>似的影响。地下生物量的</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w:instrText>
      </w:r>
      <w:r w:rsidR="009E0EBA" w:rsidRPr="00B10EBE">
        <w:rPr>
          <w:rFonts w:ascii="Garamond" w:eastAsia="Microsoft JhengHei" w:hAnsi="Garamond" w:cs="Microsoft JhengHei"/>
          <w:color w:val="000000" w:themeColor="text1"/>
          <w:sz w:val="24"/>
          <w:szCs w:val="24"/>
          <w:shd w:val="clear" w:color="auto" w:fill="FCFCFC"/>
        </w:rPr>
        <w:instrText>对</w:instrText>
      </w:r>
      <w:r w:rsidR="009E0EBA" w:rsidRPr="00B10EBE">
        <w:rPr>
          <w:rFonts w:ascii="Garamond" w:eastAsia="MS Gothic" w:hAnsi="Garamond" w:cs="MS Gothic"/>
          <w:color w:val="000000" w:themeColor="text1"/>
          <w:sz w:val="24"/>
          <w:szCs w:val="24"/>
          <w:shd w:val="clear" w:color="auto" w:fill="FCFCFC"/>
        </w:rPr>
        <w:instrText>群落</w:instrText>
      </w:r>
      <w:r w:rsidR="009E0EBA" w:rsidRPr="00B10EBE">
        <w:rPr>
          <w:rFonts w:ascii="Garamond" w:eastAsia="Microsoft JhengHei" w:hAnsi="Garamond" w:cs="Microsoft JhengHei"/>
          <w:color w:val="000000" w:themeColor="text1"/>
          <w:sz w:val="24"/>
          <w:szCs w:val="24"/>
          <w:shd w:val="clear" w:color="auto" w:fill="FCFCFC"/>
        </w:rPr>
        <w:instrText>总</w:instrText>
      </w:r>
      <w:r w:rsidR="009E0EBA" w:rsidRPr="00B10EBE">
        <w:rPr>
          <w:rFonts w:ascii="Garamond" w:eastAsia="MS Gothic" w:hAnsi="Garamond" w:cs="MS Gothic"/>
          <w:color w:val="000000" w:themeColor="text1"/>
          <w:sz w:val="24"/>
          <w:szCs w:val="24"/>
          <w:shd w:val="clear" w:color="auto" w:fill="FCFCFC"/>
        </w:rPr>
        <w:instrText>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定性的</w:instrText>
      </w:r>
      <w:r w:rsidR="009E0EBA" w:rsidRPr="00B10EBE">
        <w:rPr>
          <w:rFonts w:ascii="Garamond" w:eastAsia="Microsoft JhengHei" w:hAnsi="Garamond" w:cs="Microsoft JhengHei"/>
          <w:color w:val="000000" w:themeColor="text1"/>
          <w:sz w:val="24"/>
          <w:szCs w:val="24"/>
          <w:shd w:val="clear" w:color="auto" w:fill="FCFCFC"/>
        </w:rPr>
        <w:instrText>贡</w:instrText>
      </w:r>
      <w:r w:rsidR="009E0EBA" w:rsidRPr="00B10EBE">
        <w:rPr>
          <w:rFonts w:ascii="Garamond" w:eastAsia="MS Gothic" w:hAnsi="Garamond" w:cs="MS Gothic"/>
          <w:color w:val="000000" w:themeColor="text1"/>
          <w:sz w:val="24"/>
          <w:szCs w:val="24"/>
          <w:shd w:val="clear" w:color="auto" w:fill="FCFCFC"/>
        </w:rPr>
        <w:instrText>献最大，无</w:instrText>
      </w:r>
      <w:r w:rsidR="009E0EBA" w:rsidRPr="00B10EBE">
        <w:rPr>
          <w:rFonts w:ascii="Garamond" w:eastAsia="Microsoft JhengHei" w:hAnsi="Garamond" w:cs="Microsoft JhengHei"/>
          <w:color w:val="000000" w:themeColor="text1"/>
          <w:sz w:val="24"/>
          <w:szCs w:val="24"/>
          <w:shd w:val="clear" w:color="auto" w:fill="FCFCFC"/>
        </w:rPr>
        <w:instrText>论</w:instrText>
      </w:r>
      <w:r w:rsidR="009E0EBA" w:rsidRPr="00B10EBE">
        <w:rPr>
          <w:rFonts w:ascii="Garamond" w:eastAsia="MS Gothic" w:hAnsi="Garamond" w:cs="MS Gothic"/>
          <w:color w:val="000000" w:themeColor="text1"/>
          <w:sz w:val="24"/>
          <w:szCs w:val="24"/>
          <w:shd w:val="clear" w:color="auto" w:fill="FCFCFC"/>
        </w:rPr>
        <w:instrText>是草</w:instrText>
      </w:r>
      <w:r w:rsidR="009E0EBA" w:rsidRPr="00B10EBE">
        <w:rPr>
          <w:rFonts w:ascii="Garamond" w:eastAsia="Microsoft JhengHei" w:hAnsi="Garamond" w:cs="Microsoft JhengHei"/>
          <w:color w:val="000000" w:themeColor="text1"/>
          <w:sz w:val="24"/>
          <w:szCs w:val="24"/>
          <w:shd w:val="clear" w:color="auto" w:fill="FCFCFC"/>
        </w:rPr>
        <w:instrText>为</w:instrText>
      </w:r>
      <w:r w:rsidR="009E0EBA" w:rsidRPr="00B10EBE">
        <w:rPr>
          <w:rFonts w:ascii="Garamond" w:eastAsia="MS Gothic" w:hAnsi="Garamond" w:cs="MS Gothic"/>
          <w:color w:val="000000" w:themeColor="text1"/>
          <w:sz w:val="24"/>
          <w:szCs w:val="24"/>
          <w:shd w:val="clear" w:color="auto" w:fill="FCFCFC"/>
        </w:rPr>
        <w:instrText>主群落</w:instrText>
      </w:r>
      <w:r w:rsidR="009E0EBA" w:rsidRPr="00B10EBE">
        <w:rPr>
          <w:rFonts w:ascii="Garamond" w:eastAsia="Microsoft JhengHei" w:hAnsi="Garamond" w:cs="Microsoft JhengHei"/>
          <w:color w:val="000000" w:themeColor="text1"/>
          <w:sz w:val="24"/>
          <w:szCs w:val="24"/>
          <w:shd w:val="clear" w:color="auto" w:fill="FCFCFC"/>
        </w:rPr>
        <w:instrText>还</w:instrText>
      </w:r>
      <w:r w:rsidR="009E0EBA" w:rsidRPr="00B10EBE">
        <w:rPr>
          <w:rFonts w:ascii="Garamond" w:eastAsia="MS Gothic" w:hAnsi="Garamond" w:cs="MS Gothic"/>
          <w:color w:val="000000" w:themeColor="text1"/>
          <w:sz w:val="24"/>
          <w:szCs w:val="24"/>
          <w:shd w:val="clear" w:color="auto" w:fill="FCFCFC"/>
        </w:rPr>
        <w:instrText>是灌</w:instrText>
      </w:r>
      <w:r w:rsidR="009E0EBA" w:rsidRPr="00B10EBE">
        <w:rPr>
          <w:rFonts w:ascii="Garamond" w:eastAsia="Microsoft JhengHei" w:hAnsi="Garamond" w:cs="Microsoft JhengHei"/>
          <w:color w:val="000000" w:themeColor="text1"/>
          <w:sz w:val="24"/>
          <w:szCs w:val="24"/>
          <w:shd w:val="clear" w:color="auto" w:fill="FCFCFC"/>
        </w:rPr>
        <w:instrText>丛为</w:instrText>
      </w:r>
      <w:r w:rsidR="009E0EBA" w:rsidRPr="00B10EBE">
        <w:rPr>
          <w:rFonts w:ascii="Garamond" w:eastAsia="MS Gothic" w:hAnsi="Garamond" w:cs="MS Gothic"/>
          <w:color w:val="000000" w:themeColor="text1"/>
          <w:sz w:val="24"/>
          <w:szCs w:val="24"/>
          <w:shd w:val="clear" w:color="auto" w:fill="FCFCFC"/>
        </w:rPr>
        <w:instrText>主群落中。</w:instrText>
      </w:r>
      <w:r w:rsidR="009E0EBA" w:rsidRPr="00B10EBE">
        <w:rPr>
          <w:rFonts w:ascii="Garamond" w:hAnsi="Garamond"/>
          <w:color w:val="000000" w:themeColor="text1"/>
          <w:sz w:val="24"/>
          <w:szCs w:val="24"/>
          <w:shd w:val="clear" w:color="auto" w:fill="FCFCFC"/>
        </w:rPr>
        <w:instrText xml:space="preserve">\n                \n                \n                  </w:instrText>
      </w:r>
      <w:r w:rsidR="009E0EBA" w:rsidRPr="00B10EBE">
        <w:rPr>
          <w:rFonts w:ascii="Garamond" w:eastAsia="Microsoft JhengHei" w:hAnsi="Garamond" w:cs="Microsoft JhengHei"/>
          <w:color w:val="000000" w:themeColor="text1"/>
          <w:sz w:val="24"/>
          <w:szCs w:val="24"/>
          <w:shd w:val="clear" w:color="auto" w:fill="FCFCFC"/>
        </w:rPr>
        <w:instrText>总结</w:instrText>
      </w:r>
      <w:r w:rsidR="009E0EBA" w:rsidRPr="00B10EBE">
        <w:rPr>
          <w:rFonts w:ascii="Garamond" w:eastAsia="MS Gothic" w:hAnsi="Garamond" w:cs="MS Gothic"/>
          <w:color w:val="000000" w:themeColor="text1"/>
          <w:sz w:val="24"/>
          <w:szCs w:val="24"/>
          <w:shd w:val="clear" w:color="auto" w:fill="FCFCFC"/>
        </w:rPr>
        <w:instrText>。</w:instrText>
      </w:r>
      <w:r w:rsidR="009E0EBA" w:rsidRPr="00B10EBE">
        <w:rPr>
          <w:rFonts w:ascii="Garamond" w:eastAsia="Microsoft JhengHei" w:hAnsi="Garamond" w:cs="Microsoft JhengHei"/>
          <w:color w:val="000000" w:themeColor="text1"/>
          <w:sz w:val="24"/>
          <w:szCs w:val="24"/>
          <w:shd w:val="clear" w:color="auto" w:fill="FCFCFC"/>
        </w:rPr>
        <w:instrText>这项</w:instrText>
      </w:r>
      <w:r w:rsidR="009E0EBA" w:rsidRPr="00B10EBE">
        <w:rPr>
          <w:rFonts w:ascii="Garamond" w:eastAsia="MS Gothic" w:hAnsi="Garamond" w:cs="MS Gothic"/>
          <w:color w:val="000000" w:themeColor="text1"/>
          <w:sz w:val="24"/>
          <w:szCs w:val="24"/>
          <w:shd w:val="clear" w:color="auto" w:fill="FCFCFC"/>
        </w:rPr>
        <w:instrText>研究</w:instrText>
      </w:r>
      <w:r w:rsidR="009E0EBA" w:rsidRPr="00B10EBE">
        <w:rPr>
          <w:rFonts w:ascii="Garamond" w:eastAsia="Yu Gothic" w:hAnsi="Garamond" w:cs="Yu Gothic"/>
          <w:color w:val="000000" w:themeColor="text1"/>
          <w:sz w:val="24"/>
          <w:szCs w:val="24"/>
          <w:shd w:val="clear" w:color="auto" w:fill="FCFCFC"/>
        </w:rPr>
        <w:instrText>强</w:instrText>
      </w:r>
      <w:r w:rsidR="009E0EBA" w:rsidRPr="00B10EBE">
        <w:rPr>
          <w:rFonts w:ascii="Garamond" w:eastAsia="Microsoft JhengHei" w:hAnsi="Garamond" w:cs="Microsoft JhengHei"/>
          <w:color w:val="000000" w:themeColor="text1"/>
          <w:sz w:val="24"/>
          <w:szCs w:val="24"/>
          <w:shd w:val="clear" w:color="auto" w:fill="FCFCFC"/>
        </w:rPr>
        <w:instrText>调</w:instrText>
      </w:r>
      <w:r w:rsidR="009E0EBA" w:rsidRPr="00B10EBE">
        <w:rPr>
          <w:rFonts w:ascii="Garamond" w:eastAsia="MS Gothic" w:hAnsi="Garamond" w:cs="MS Gothic"/>
          <w:color w:val="000000" w:themeColor="text1"/>
          <w:sz w:val="24"/>
          <w:szCs w:val="24"/>
          <w:shd w:val="clear" w:color="auto" w:fill="FCFCFC"/>
        </w:rPr>
        <w:instrText>，</w:instrText>
      </w:r>
      <w:r w:rsidR="009E0EBA" w:rsidRPr="00B10EBE">
        <w:rPr>
          <w:rFonts w:ascii="Garamond" w:eastAsia="Yu Gothic" w:hAnsi="Garamond" w:cs="Yu Gothic"/>
          <w:color w:val="000000" w:themeColor="text1"/>
          <w:sz w:val="24"/>
          <w:szCs w:val="24"/>
          <w:shd w:val="clear" w:color="auto" w:fill="FCFCFC"/>
        </w:rPr>
        <w:instrText>虽</w:instrText>
      </w:r>
      <w:r w:rsidR="009E0EBA" w:rsidRPr="00B10EBE">
        <w:rPr>
          <w:rFonts w:ascii="Garamond" w:eastAsia="MS Gothic" w:hAnsi="Garamond" w:cs="MS Gothic"/>
          <w:color w:val="000000" w:themeColor="text1"/>
          <w:sz w:val="24"/>
          <w:szCs w:val="24"/>
          <w:shd w:val="clear" w:color="auto" w:fill="FCFCFC"/>
        </w:rPr>
        <w:instrText>然降水</w:instrText>
      </w:r>
      <w:r w:rsidR="009E0EBA" w:rsidRPr="00B10EBE">
        <w:rPr>
          <w:rFonts w:ascii="Garamond" w:eastAsia="Microsoft JhengHei" w:hAnsi="Garamond" w:cs="Microsoft JhengHei"/>
          <w:color w:val="000000" w:themeColor="text1"/>
          <w:sz w:val="24"/>
          <w:szCs w:val="24"/>
          <w:shd w:val="clear" w:color="auto" w:fill="FCFCFC"/>
        </w:rPr>
        <w:instrText>变</w:instrText>
      </w:r>
      <w:r w:rsidR="009E0EBA" w:rsidRPr="00B10EBE">
        <w:rPr>
          <w:rFonts w:ascii="Garamond" w:eastAsia="MS Gothic" w:hAnsi="Garamond" w:cs="MS Gothic"/>
          <w:color w:val="000000" w:themeColor="text1"/>
          <w:sz w:val="24"/>
          <w:szCs w:val="24"/>
          <w:shd w:val="clear" w:color="auto" w:fill="FCFCFC"/>
        </w:rPr>
        <w:instrText>化的具体影响可能因</w:instrText>
      </w:r>
      <w:r w:rsidR="009E0EBA" w:rsidRPr="00B10EBE">
        <w:rPr>
          <w:rFonts w:ascii="Garamond" w:eastAsia="Microsoft JhengHei" w:hAnsi="Garamond" w:cs="Microsoft JhengHei"/>
          <w:color w:val="000000" w:themeColor="text1"/>
          <w:sz w:val="24"/>
          <w:szCs w:val="24"/>
          <w:shd w:val="clear" w:color="auto" w:fill="FCFCFC"/>
        </w:rPr>
        <w:instrText>环</w:instrText>
      </w:r>
      <w:r w:rsidR="009E0EBA" w:rsidRPr="00B10EBE">
        <w:rPr>
          <w:rFonts w:ascii="Garamond" w:eastAsia="MS Gothic" w:hAnsi="Garamond" w:cs="MS Gothic"/>
          <w:color w:val="000000" w:themeColor="text1"/>
          <w:sz w:val="24"/>
          <w:szCs w:val="24"/>
          <w:shd w:val="clear" w:color="auto" w:fill="FCFCFC"/>
        </w:rPr>
        <w:instrText>境而异，但控制生物量</w:instrText>
      </w:r>
      <w:r w:rsidR="009E0EBA" w:rsidRPr="00B10EBE">
        <w:rPr>
          <w:rFonts w:ascii="Garamond" w:eastAsia="Microsoft JhengHei" w:hAnsi="Garamond" w:cs="Microsoft JhengHei"/>
          <w:color w:val="000000" w:themeColor="text1"/>
          <w:sz w:val="24"/>
          <w:szCs w:val="24"/>
          <w:shd w:val="clear" w:color="auto" w:fill="FCFCFC"/>
        </w:rPr>
        <w:instrText>稳</w:instrText>
      </w:r>
      <w:r w:rsidR="009E0EBA" w:rsidRPr="00B10EBE">
        <w:rPr>
          <w:rFonts w:ascii="Garamond" w:eastAsia="MS Gothic" w:hAnsi="Garamond" w:cs="MS Gothic"/>
          <w:color w:val="000000" w:themeColor="text1"/>
          <w:sz w:val="24"/>
          <w:szCs w:val="24"/>
          <w:shd w:val="clear" w:color="auto" w:fill="FCFCFC"/>
        </w:rPr>
        <w:instrText>定性的基本</w:instrText>
      </w:r>
      <w:r w:rsidR="009E0EBA" w:rsidRPr="00B10EBE">
        <w:rPr>
          <w:rFonts w:ascii="Garamond" w:eastAsia="Microsoft JhengHei" w:hAnsi="Garamond" w:cs="Microsoft JhengHei"/>
          <w:color w:val="000000" w:themeColor="text1"/>
          <w:sz w:val="24"/>
          <w:szCs w:val="24"/>
          <w:shd w:val="clear" w:color="auto" w:fill="FCFCFC"/>
        </w:rPr>
        <w:instrText>过</w:instrText>
      </w:r>
      <w:r w:rsidR="009E0EBA" w:rsidRPr="00B10EBE">
        <w:rPr>
          <w:rFonts w:ascii="Garamond" w:eastAsia="MS Gothic" w:hAnsi="Garamond" w:cs="MS Gothic"/>
          <w:color w:val="000000" w:themeColor="text1"/>
          <w:sz w:val="24"/>
          <w:szCs w:val="24"/>
          <w:shd w:val="clear" w:color="auto" w:fill="FCFCFC"/>
        </w:rPr>
        <w:instrText>程是一致的。</w:instrText>
      </w:r>
      <w:r w:rsidR="009E0EBA" w:rsidRPr="00B10EBE">
        <w:rPr>
          <w:rFonts w:ascii="Garamond" w:eastAsia="Microsoft JhengHei" w:hAnsi="Garamond" w:cs="Microsoft JhengHei"/>
          <w:color w:val="000000" w:themeColor="text1"/>
          <w:sz w:val="24"/>
          <w:szCs w:val="24"/>
          <w:shd w:val="clear" w:color="auto" w:fill="FCFCFC"/>
        </w:rPr>
        <w:instrText>这</w:instrText>
      </w:r>
      <w:r w:rsidR="009E0EBA" w:rsidRPr="00B10EBE">
        <w:rPr>
          <w:rFonts w:ascii="Garamond" w:eastAsia="MS Gothic" w:hAnsi="Garamond" w:cs="MS Gothic"/>
          <w:color w:val="000000" w:themeColor="text1"/>
          <w:sz w:val="24"/>
          <w:szCs w:val="24"/>
          <w:shd w:val="clear" w:color="auto" w:fill="FCFCFC"/>
        </w:rPr>
        <w:instrText>些</w:instrText>
      </w:r>
      <w:r w:rsidR="009E0EBA" w:rsidRPr="00B10EBE">
        <w:rPr>
          <w:rFonts w:ascii="Garamond" w:eastAsia="Microsoft JhengHei" w:hAnsi="Garamond" w:cs="Microsoft JhengHei"/>
          <w:color w:val="000000" w:themeColor="text1"/>
          <w:sz w:val="24"/>
          <w:szCs w:val="24"/>
          <w:shd w:val="clear" w:color="auto" w:fill="FCFCFC"/>
        </w:rPr>
        <w:instrText>发现阐</w:instrText>
      </w:r>
      <w:r w:rsidR="009E0EBA" w:rsidRPr="00B10EBE">
        <w:rPr>
          <w:rFonts w:ascii="Garamond" w:eastAsia="MS Gothic" w:hAnsi="Garamond" w:cs="MS Gothic"/>
          <w:color w:val="000000" w:themeColor="text1"/>
          <w:sz w:val="24"/>
          <w:szCs w:val="24"/>
          <w:shd w:val="clear" w:color="auto" w:fill="FCFCFC"/>
        </w:rPr>
        <w:instrText>明了荒漠草原生</w:instrText>
      </w:r>
      <w:r w:rsidR="009E0EBA" w:rsidRPr="00B10EBE">
        <w:rPr>
          <w:rFonts w:ascii="Garamond" w:eastAsia="Microsoft JhengHei" w:hAnsi="Garamond" w:cs="Microsoft JhengHei"/>
          <w:color w:val="000000" w:themeColor="text1"/>
          <w:sz w:val="24"/>
          <w:szCs w:val="24"/>
          <w:shd w:val="clear" w:color="auto" w:fill="FCFCFC"/>
        </w:rPr>
        <w:instrText>态</w:instrText>
      </w:r>
      <w:r w:rsidR="009E0EBA" w:rsidRPr="00B10EBE">
        <w:rPr>
          <w:rFonts w:ascii="Garamond" w:eastAsia="MS Gothic" w:hAnsi="Garamond" w:cs="MS Gothic"/>
          <w:color w:val="000000" w:themeColor="text1"/>
          <w:sz w:val="24"/>
          <w:szCs w:val="24"/>
          <w:shd w:val="clear" w:color="auto" w:fill="FCFCFC"/>
        </w:rPr>
        <w:instrText>系</w:instrText>
      </w:r>
      <w:r w:rsidR="009E0EBA" w:rsidRPr="00B10EBE">
        <w:rPr>
          <w:rFonts w:ascii="Garamond" w:eastAsia="Microsoft JhengHei" w:hAnsi="Garamond" w:cs="Microsoft JhengHei"/>
          <w:color w:val="000000" w:themeColor="text1"/>
          <w:sz w:val="24"/>
          <w:szCs w:val="24"/>
          <w:shd w:val="clear" w:color="auto" w:fill="FCFCFC"/>
        </w:rPr>
        <w:instrText>统对</w:instrText>
      </w:r>
      <w:r w:rsidR="009E0EBA" w:rsidRPr="00B10EBE">
        <w:rPr>
          <w:rFonts w:ascii="Garamond" w:eastAsia="MS Gothic" w:hAnsi="Garamond" w:cs="MS Gothic"/>
          <w:color w:val="000000" w:themeColor="text1"/>
          <w:sz w:val="24"/>
          <w:szCs w:val="24"/>
          <w:shd w:val="clear" w:color="auto" w:fill="FCFCFC"/>
        </w:rPr>
        <w:instrText>降水</w:instrText>
      </w:r>
      <w:r w:rsidR="009E0EBA" w:rsidRPr="00B10EBE">
        <w:rPr>
          <w:rFonts w:ascii="Garamond" w:eastAsia="Microsoft JhengHei" w:hAnsi="Garamond" w:cs="Microsoft JhengHei"/>
          <w:color w:val="000000" w:themeColor="text1"/>
          <w:sz w:val="24"/>
          <w:szCs w:val="24"/>
          <w:shd w:val="clear" w:color="auto" w:fill="FCFCFC"/>
        </w:rPr>
        <w:instrText>变</w:instrText>
      </w:r>
      <w:r w:rsidR="009E0EBA" w:rsidRPr="00B10EBE">
        <w:rPr>
          <w:rFonts w:ascii="Garamond" w:eastAsia="MS Gothic" w:hAnsi="Garamond" w:cs="MS Gothic"/>
          <w:color w:val="000000" w:themeColor="text1"/>
          <w:sz w:val="24"/>
          <w:szCs w:val="24"/>
          <w:shd w:val="clear" w:color="auto" w:fill="FCFCFC"/>
        </w:rPr>
        <w:instrText>化的适</w:instrText>
      </w:r>
      <w:r w:rsidR="009E0EBA" w:rsidRPr="00B10EBE">
        <w:rPr>
          <w:rFonts w:ascii="Garamond" w:eastAsia="Microsoft JhengHei" w:hAnsi="Garamond" w:cs="Microsoft JhengHei"/>
          <w:color w:val="000000" w:themeColor="text1"/>
          <w:sz w:val="24"/>
          <w:szCs w:val="24"/>
          <w:shd w:val="clear" w:color="auto" w:fill="FCFCFC"/>
        </w:rPr>
        <w:instrText>应</w:instrText>
      </w:r>
      <w:r w:rsidR="009E0EBA" w:rsidRPr="00B10EBE">
        <w:rPr>
          <w:rFonts w:ascii="Garamond" w:eastAsia="MS Gothic" w:hAnsi="Garamond" w:cs="MS Gothic"/>
          <w:color w:val="000000" w:themeColor="text1"/>
          <w:sz w:val="24"/>
          <w:szCs w:val="24"/>
          <w:shd w:val="clear" w:color="auto" w:fill="FCFCFC"/>
        </w:rPr>
        <w:instrText>性响</w:instrText>
      </w:r>
      <w:r w:rsidR="009E0EBA" w:rsidRPr="00B10EBE">
        <w:rPr>
          <w:rFonts w:ascii="Garamond" w:eastAsia="Microsoft JhengHei" w:hAnsi="Garamond" w:cs="Microsoft JhengHei"/>
          <w:color w:val="000000" w:themeColor="text1"/>
          <w:sz w:val="24"/>
          <w:szCs w:val="24"/>
          <w:shd w:val="clear" w:color="auto" w:fill="FCFCFC"/>
        </w:rPr>
        <w:instrText>应</w:instrText>
      </w:r>
      <w:r w:rsidR="009E0EBA" w:rsidRPr="00B10EBE">
        <w:rPr>
          <w:rFonts w:ascii="Garamond" w:eastAsia="MS Gothic" w:hAnsi="Garamond" w:cs="MS Gothic"/>
          <w:color w:val="000000" w:themeColor="text1"/>
          <w:sz w:val="24"/>
          <w:szCs w:val="24"/>
          <w:shd w:val="clear" w:color="auto" w:fill="FCFCFC"/>
        </w:rPr>
        <w:instrText>，并</w:instrText>
      </w:r>
      <w:r w:rsidR="009E0EBA" w:rsidRPr="00B10EBE">
        <w:rPr>
          <w:rFonts w:ascii="Garamond" w:eastAsia="Yu Gothic" w:hAnsi="Garamond" w:cs="Yu Gothic"/>
          <w:color w:val="000000" w:themeColor="text1"/>
          <w:sz w:val="24"/>
          <w:szCs w:val="24"/>
          <w:shd w:val="clear" w:color="auto" w:fill="FCFCFC"/>
        </w:rPr>
        <w:instrText>强</w:instrText>
      </w:r>
      <w:r w:rsidR="009E0EBA" w:rsidRPr="00B10EBE">
        <w:rPr>
          <w:rFonts w:ascii="Garamond" w:eastAsia="Microsoft JhengHei" w:hAnsi="Garamond" w:cs="Microsoft JhengHei"/>
          <w:color w:val="000000" w:themeColor="text1"/>
          <w:sz w:val="24"/>
          <w:szCs w:val="24"/>
          <w:shd w:val="clear" w:color="auto" w:fill="FCFCFC"/>
        </w:rPr>
        <w:instrText>调</w:instrText>
      </w:r>
      <w:r w:rsidR="009E0EBA" w:rsidRPr="00B10EBE">
        <w:rPr>
          <w:rFonts w:ascii="Garamond" w:eastAsia="MS Gothic" w:hAnsi="Garamond" w:cs="MS Gothic"/>
          <w:color w:val="000000" w:themeColor="text1"/>
          <w:sz w:val="24"/>
          <w:szCs w:val="24"/>
          <w:shd w:val="clear" w:color="auto" w:fill="FCFCFC"/>
        </w:rPr>
        <w:instrText>了其在气候</w:instrText>
      </w:r>
      <w:r w:rsidR="009E0EBA" w:rsidRPr="00B10EBE">
        <w:rPr>
          <w:rFonts w:ascii="Garamond" w:eastAsia="Microsoft JhengHei" w:hAnsi="Garamond" w:cs="Microsoft JhengHei"/>
          <w:color w:val="000000" w:themeColor="text1"/>
          <w:sz w:val="24"/>
          <w:szCs w:val="24"/>
          <w:shd w:val="clear" w:color="auto" w:fill="FCFCFC"/>
        </w:rPr>
        <w:instrText>扰动</w:instrText>
      </w:r>
      <w:r w:rsidR="009E0EBA" w:rsidRPr="00B10EBE">
        <w:rPr>
          <w:rFonts w:ascii="Garamond" w:eastAsia="MS Gothic" w:hAnsi="Garamond" w:cs="MS Gothic"/>
          <w:color w:val="000000" w:themeColor="text1"/>
          <w:sz w:val="24"/>
          <w:szCs w:val="24"/>
          <w:shd w:val="clear" w:color="auto" w:fill="FCFCFC"/>
        </w:rPr>
        <w:instrText>下</w:instrText>
      </w:r>
      <w:r w:rsidR="009E0EBA" w:rsidRPr="00B10EBE">
        <w:rPr>
          <w:rFonts w:ascii="Garamond" w:eastAsia="Microsoft JhengHei" w:hAnsi="Garamond" w:cs="Microsoft JhengHei"/>
          <w:color w:val="000000" w:themeColor="text1"/>
          <w:sz w:val="24"/>
          <w:szCs w:val="24"/>
          <w:shd w:val="clear" w:color="auto" w:fill="FCFCFC"/>
        </w:rPr>
        <w:instrText>维</w:instrText>
      </w:r>
      <w:r w:rsidR="009E0EBA" w:rsidRPr="00B10EBE">
        <w:rPr>
          <w:rFonts w:ascii="Garamond" w:eastAsia="MS Gothic" w:hAnsi="Garamond" w:cs="MS Gothic"/>
          <w:color w:val="000000" w:themeColor="text1"/>
          <w:sz w:val="24"/>
          <w:szCs w:val="24"/>
          <w:shd w:val="clear" w:color="auto" w:fill="FCFCFC"/>
        </w:rPr>
        <w:instrText>持生</w:instrText>
      </w:r>
      <w:r w:rsidR="009E0EBA" w:rsidRPr="00B10EBE">
        <w:rPr>
          <w:rFonts w:ascii="Garamond" w:eastAsia="Microsoft JhengHei" w:hAnsi="Garamond" w:cs="Microsoft JhengHei"/>
          <w:color w:val="000000" w:themeColor="text1"/>
          <w:sz w:val="24"/>
          <w:szCs w:val="24"/>
          <w:shd w:val="clear" w:color="auto" w:fill="FCFCFC"/>
        </w:rPr>
        <w:instrText>态</w:instrText>
      </w:r>
      <w:r w:rsidR="009E0EBA" w:rsidRPr="00B10EBE">
        <w:rPr>
          <w:rFonts w:ascii="Garamond" w:eastAsia="MS Gothic" w:hAnsi="Garamond" w:cs="MS Gothic"/>
          <w:color w:val="000000" w:themeColor="text1"/>
          <w:sz w:val="24"/>
          <w:szCs w:val="24"/>
          <w:shd w:val="clear" w:color="auto" w:fill="FCFCFC"/>
        </w:rPr>
        <w:instrText>系</w:instrText>
      </w:r>
      <w:r w:rsidR="009E0EBA" w:rsidRPr="00B10EBE">
        <w:rPr>
          <w:rFonts w:ascii="Garamond" w:eastAsia="Microsoft JhengHei" w:hAnsi="Garamond" w:cs="Microsoft JhengHei"/>
          <w:color w:val="000000" w:themeColor="text1"/>
          <w:sz w:val="24"/>
          <w:szCs w:val="24"/>
          <w:shd w:val="clear" w:color="auto" w:fill="FCFCFC"/>
        </w:rPr>
        <w:instrText>统</w:instrText>
      </w:r>
      <w:r w:rsidR="009E0EBA" w:rsidRPr="00B10EBE">
        <w:rPr>
          <w:rFonts w:ascii="Garamond" w:eastAsia="MS Gothic" w:hAnsi="Garamond" w:cs="MS Gothic"/>
          <w:color w:val="000000" w:themeColor="text1"/>
          <w:sz w:val="24"/>
          <w:szCs w:val="24"/>
          <w:shd w:val="clear" w:color="auto" w:fill="FCFCFC"/>
        </w:rPr>
        <w:instrText>功能的关</w:instrText>
      </w:r>
      <w:r w:rsidR="009E0EBA" w:rsidRPr="00B10EBE">
        <w:rPr>
          <w:rFonts w:ascii="Garamond" w:eastAsia="Microsoft JhengHei" w:hAnsi="Garamond" w:cs="Microsoft JhengHei"/>
          <w:color w:val="000000" w:themeColor="text1"/>
          <w:sz w:val="24"/>
          <w:szCs w:val="24"/>
          <w:shd w:val="clear" w:color="auto" w:fill="FCFCFC"/>
        </w:rPr>
        <w:instrText>键</w:instrText>
      </w:r>
      <w:r w:rsidR="009E0EBA" w:rsidRPr="00B10EBE">
        <w:rPr>
          <w:rFonts w:ascii="Garamond" w:eastAsia="MS Gothic" w:hAnsi="Garamond" w:cs="MS Gothic"/>
          <w:color w:val="000000" w:themeColor="text1"/>
          <w:sz w:val="24"/>
          <w:szCs w:val="24"/>
          <w:shd w:val="clear" w:color="auto" w:fill="FCFCFC"/>
        </w:rPr>
        <w:instrText>作用。</w:instrText>
      </w:r>
      <w:r w:rsidR="009E0EBA" w:rsidRPr="00B10EBE">
        <w:rPr>
          <w:rFonts w:ascii="Garamond" w:hAnsi="Garamond"/>
          <w:color w:val="000000" w:themeColor="text1"/>
          <w:sz w:val="24"/>
          <w:szCs w:val="24"/>
          <w:shd w:val="clear" w:color="auto" w:fill="FCFCFC"/>
        </w:rPr>
        <w:instrText>","container-title":"Functional Ecology","DOI":"10.1111/1365-2435.14539","ISSN":"0269-8463, 1365-2435","journalAbbreviation":"Functional Ecology","language":"en","page":"1365-2435.14539","source":"DOI.org (Crossref)","title":"Context</w:instrText>
      </w:r>
      <w:r w:rsidR="009E0EBA" w:rsidRPr="00B10EBE">
        <w:rPr>
          <w:rFonts w:ascii="Cambria Math" w:hAnsi="Cambria Math" w:cs="Cambria Math"/>
          <w:color w:val="000000" w:themeColor="text1"/>
          <w:sz w:val="24"/>
          <w:szCs w:val="24"/>
          <w:shd w:val="clear" w:color="auto" w:fill="FCFCFC"/>
        </w:rPr>
        <w:instrText>‐</w:instrText>
      </w:r>
      <w:r w:rsidR="009E0EBA" w:rsidRPr="00B10EBE">
        <w:rPr>
          <w:rFonts w:ascii="Garamond" w:hAnsi="Garamond"/>
          <w:color w:val="000000" w:themeColor="text1"/>
          <w:sz w:val="24"/>
          <w:szCs w:val="24"/>
          <w:shd w:val="clear" w:color="auto" w:fill="FCFCFC"/>
        </w:rPr>
        <w:instrText xml:space="preserve">dependent impact of changes in precipitation on the stability of grassland biomass","author":[{"family":"Li","given":"Xiangyun"},{"family":"Zuo","given":"Xiaoan"},{"family":"Qiao","given":"Jingjuan"},{"family":"Hu","given":"Ya"},{"family":"Wang","given":"Shaokun"},{"family":"Yue","given":"Ping"},{"family":"Cheng","given":"Huan"},{"family":"Song","given":"Zhaobin"},{"family":"Chen","given":"Min"},{"family":"Hautier","given":"Yann"}],"issued":{"date-parts":[["2024",3,10]]}}}],"schema":"https://github.com/citation-style-language/schema/raw/master/csl-citation.json"} </w:instrText>
      </w:r>
      <w:r w:rsidR="00DA2AB9" w:rsidRPr="00B10EBE">
        <w:rPr>
          <w:rFonts w:ascii="Garamond" w:hAnsi="Garamond"/>
          <w:color w:val="000000" w:themeColor="text1"/>
          <w:sz w:val="24"/>
          <w:szCs w:val="24"/>
          <w:shd w:val="clear" w:color="auto" w:fill="FCFCFC"/>
        </w:rPr>
        <w:fldChar w:fldCharType="separate"/>
      </w:r>
      <w:r w:rsidR="004C2C12" w:rsidRPr="00B10EBE">
        <w:rPr>
          <w:rFonts w:ascii="Garamond" w:hAnsi="Garamond"/>
          <w:color w:val="000000" w:themeColor="text1"/>
          <w:sz w:val="24"/>
        </w:rPr>
        <w:t>(Bardgett et al., 2021; Li et al., 2024)</w:t>
      </w:r>
      <w:r w:rsidR="00DA2AB9" w:rsidRPr="00B10EBE">
        <w:rPr>
          <w:rFonts w:ascii="Garamond" w:hAnsi="Garamond"/>
          <w:color w:val="000000" w:themeColor="text1"/>
          <w:sz w:val="24"/>
          <w:szCs w:val="24"/>
          <w:shd w:val="clear" w:color="auto" w:fill="FCFCFC"/>
        </w:rPr>
        <w:fldChar w:fldCharType="end"/>
      </w:r>
      <w:r w:rsidR="00170077" w:rsidRPr="00B10EBE">
        <w:rPr>
          <w:rFonts w:ascii="Garamond" w:hAnsi="Garamond"/>
          <w:color w:val="000000" w:themeColor="text1"/>
          <w:sz w:val="24"/>
          <w:szCs w:val="24"/>
          <w:shd w:val="clear" w:color="auto" w:fill="FCFCFC"/>
        </w:rPr>
        <w:t>.</w:t>
      </w:r>
    </w:p>
    <w:p w14:paraId="313CCB5D" w14:textId="3ADBB6DC" w:rsidR="004069F0" w:rsidRPr="00B10EBE" w:rsidRDefault="008403A0" w:rsidP="0033343A">
      <w:pPr>
        <w:widowControl w:val="0"/>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Grass</w:t>
      </w:r>
      <w:r w:rsidR="00C54392" w:rsidRPr="00B10EBE">
        <w:rPr>
          <w:rFonts w:ascii="Garamond" w:hAnsi="Garamond"/>
          <w:noProof/>
          <w:color w:val="000000" w:themeColor="text1"/>
          <w:sz w:val="24"/>
          <w:szCs w:val="24"/>
        </w:rPr>
        <w:t>y ecosystems</w:t>
      </w:r>
      <w:r w:rsidR="00484FB6" w:rsidRPr="00B10EBE">
        <w:rPr>
          <w:rFonts w:ascii="Garamond" w:hAnsi="Garamond"/>
          <w:noProof/>
          <w:color w:val="000000" w:themeColor="text1"/>
          <w:sz w:val="24"/>
          <w:szCs w:val="24"/>
        </w:rPr>
        <w:t xml:space="preserve">, </w:t>
      </w:r>
      <w:r w:rsidR="00C54392" w:rsidRPr="00B10EBE">
        <w:rPr>
          <w:rFonts w:ascii="Garamond" w:hAnsi="Garamond"/>
          <w:noProof/>
          <w:color w:val="000000" w:themeColor="text1"/>
          <w:sz w:val="24"/>
          <w:szCs w:val="24"/>
        </w:rPr>
        <w:t>including grass</w:t>
      </w:r>
      <w:r w:rsidRPr="00B10EBE">
        <w:rPr>
          <w:rFonts w:ascii="Garamond" w:hAnsi="Garamond"/>
          <w:noProof/>
          <w:color w:val="000000" w:themeColor="text1"/>
          <w:sz w:val="24"/>
          <w:szCs w:val="24"/>
        </w:rPr>
        <w:t xml:space="preserve">lands </w:t>
      </w:r>
      <w:r w:rsidR="00C54392" w:rsidRPr="00B10EBE">
        <w:rPr>
          <w:rFonts w:ascii="Garamond" w:hAnsi="Garamond"/>
          <w:noProof/>
          <w:color w:val="000000" w:themeColor="text1"/>
          <w:sz w:val="24"/>
          <w:szCs w:val="24"/>
        </w:rPr>
        <w:t>and savannas</w:t>
      </w:r>
      <w:r w:rsidR="00484FB6" w:rsidRPr="00B10EBE">
        <w:rPr>
          <w:rFonts w:ascii="Garamond" w:hAnsi="Garamond"/>
          <w:noProof/>
          <w:color w:val="000000" w:themeColor="text1"/>
          <w:sz w:val="24"/>
          <w:szCs w:val="24"/>
        </w:rPr>
        <w:t>,</w:t>
      </w:r>
      <w:r w:rsidR="00C54392" w:rsidRPr="00B10EBE">
        <w:rPr>
          <w:rFonts w:ascii="Garamond" w:hAnsi="Garamond"/>
          <w:noProof/>
          <w:color w:val="000000" w:themeColor="text1"/>
          <w:sz w:val="24"/>
          <w:szCs w:val="24"/>
        </w:rPr>
        <w:t xml:space="preserve"> </w:t>
      </w:r>
      <w:r w:rsidR="007C284D" w:rsidRPr="00B10EBE">
        <w:rPr>
          <w:rFonts w:ascii="Garamond" w:hAnsi="Garamond"/>
          <w:noProof/>
          <w:color w:val="000000" w:themeColor="text1"/>
          <w:sz w:val="24"/>
          <w:szCs w:val="24"/>
        </w:rPr>
        <w:t xml:space="preserve">comprise </w:t>
      </w:r>
      <w:r w:rsidR="00601B2C" w:rsidRPr="00B10EBE">
        <w:rPr>
          <w:rFonts w:ascii="Garamond" w:hAnsi="Garamond"/>
          <w:noProof/>
          <w:color w:val="000000" w:themeColor="text1"/>
          <w:sz w:val="24"/>
          <w:szCs w:val="24"/>
        </w:rPr>
        <w:t>approximat</w:t>
      </w:r>
      <w:r w:rsidR="00EE2C9C" w:rsidRPr="00B10EBE">
        <w:rPr>
          <w:rFonts w:ascii="Garamond" w:hAnsi="Garamond"/>
          <w:noProof/>
          <w:color w:val="000000" w:themeColor="text1"/>
          <w:sz w:val="24"/>
          <w:szCs w:val="24"/>
        </w:rPr>
        <w:t>e</w:t>
      </w:r>
      <w:r w:rsidR="004E1E5F" w:rsidRPr="00B10EBE">
        <w:rPr>
          <w:rFonts w:ascii="Garamond" w:hAnsi="Garamond"/>
          <w:noProof/>
          <w:color w:val="000000" w:themeColor="text1"/>
          <w:sz w:val="24"/>
          <w:szCs w:val="24"/>
        </w:rPr>
        <w:t>l</w:t>
      </w:r>
      <w:r w:rsidR="00601B2C" w:rsidRPr="00B10EBE">
        <w:rPr>
          <w:rFonts w:ascii="Garamond" w:hAnsi="Garamond"/>
          <w:noProof/>
          <w:color w:val="000000" w:themeColor="text1"/>
          <w:sz w:val="24"/>
          <w:szCs w:val="24"/>
        </w:rPr>
        <w:t>y</w:t>
      </w:r>
      <w:r w:rsidRPr="00B10EBE">
        <w:rPr>
          <w:rFonts w:ascii="Garamond" w:hAnsi="Garamond"/>
          <w:noProof/>
          <w:color w:val="000000" w:themeColor="text1"/>
          <w:sz w:val="24"/>
          <w:szCs w:val="24"/>
        </w:rPr>
        <w:t xml:space="preserve"> one-third of terrestrial ecosystems</w:t>
      </w:r>
      <w:r w:rsidR="007C284D" w:rsidRPr="00B10EBE">
        <w:rPr>
          <w:rFonts w:ascii="Garamond" w:hAnsi="Garamond"/>
          <w:noProof/>
          <w:color w:val="000000" w:themeColor="text1"/>
          <w:sz w:val="24"/>
          <w:szCs w:val="24"/>
        </w:rPr>
        <w:t xml:space="preserve"> </w:t>
      </w:r>
      <w:r w:rsidR="001E2A9D" w:rsidRPr="00B10EBE">
        <w:rPr>
          <w:rFonts w:ascii="Garamond" w:hAnsi="Garamond"/>
          <w:noProof/>
          <w:color w:val="000000" w:themeColor="text1"/>
          <w:sz w:val="24"/>
          <w:szCs w:val="24"/>
        </w:rPr>
        <w:t>and</w:t>
      </w:r>
      <w:r w:rsidR="00DA2AB9" w:rsidRPr="00B10EBE">
        <w:rPr>
          <w:rFonts w:ascii="Garamond" w:hAnsi="Garamond"/>
          <w:noProof/>
          <w:color w:val="000000" w:themeColor="text1"/>
          <w:sz w:val="24"/>
          <w:szCs w:val="24"/>
        </w:rPr>
        <w:t xml:space="preserve"> are</w:t>
      </w:r>
      <w:r w:rsidR="00EC77AC" w:rsidRPr="00B10EBE">
        <w:rPr>
          <w:rFonts w:ascii="Garamond" w:hAnsi="Garamond"/>
          <w:noProof/>
          <w:color w:val="000000" w:themeColor="text1"/>
          <w:sz w:val="24"/>
          <w:szCs w:val="24"/>
        </w:rPr>
        <w:t xml:space="preserve"> </w:t>
      </w:r>
      <w:r w:rsidR="00F551F8" w:rsidRPr="00B10EBE">
        <w:rPr>
          <w:rFonts w:ascii="Garamond" w:hAnsi="Garamond"/>
          <w:noProof/>
          <w:color w:val="000000" w:themeColor="text1"/>
          <w:sz w:val="24"/>
          <w:szCs w:val="24"/>
        </w:rPr>
        <w:t>subject to widespread degradation</w:t>
      </w:r>
      <w:r w:rsidR="00F906D0" w:rsidRPr="00B10EBE">
        <w:rPr>
          <w:rFonts w:ascii="Garamond" w:hAnsi="Garamond"/>
          <w:noProof/>
          <w:color w:val="000000" w:themeColor="text1"/>
          <w:sz w:val="24"/>
          <w:szCs w:val="24"/>
        </w:rPr>
        <w:t xml:space="preserve"> </w:t>
      </w:r>
      <w:r w:rsidR="00196791" w:rsidRPr="00B10EBE">
        <w:rPr>
          <w:rFonts w:ascii="Garamond" w:hAnsi="Garamond"/>
          <w:noProof/>
          <w:color w:val="000000" w:themeColor="text1"/>
          <w:sz w:val="24"/>
          <w:szCs w:val="24"/>
        </w:rPr>
        <w:t xml:space="preserve">that is </w:t>
      </w:r>
      <w:r w:rsidR="00F906D0" w:rsidRPr="00B10EBE">
        <w:rPr>
          <w:rFonts w:ascii="Garamond" w:hAnsi="Garamond"/>
          <w:noProof/>
          <w:color w:val="000000" w:themeColor="text1"/>
          <w:sz w:val="24"/>
          <w:szCs w:val="24"/>
        </w:rPr>
        <w:t>leading to</w:t>
      </w:r>
      <w:r w:rsidR="00F551F8" w:rsidRPr="00B10EBE">
        <w:rPr>
          <w:rFonts w:ascii="Garamond" w:hAnsi="Garamond"/>
          <w:noProof/>
          <w:color w:val="000000" w:themeColor="text1"/>
          <w:sz w:val="24"/>
          <w:szCs w:val="24"/>
        </w:rPr>
        <w:t xml:space="preserve"> increasing concern for both biodiversity and human well-being </w:t>
      </w:r>
      <w:r w:rsidR="00F551F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{"citationID":"C6FUpwxE","properties":{"formattedCitation":"(Bardgett et al., 2021; Str\\uc0\\u246{}mberg &amp; Staver, 2022)","plainCitation":"(Bardgett et al., 2021; Strömberg &amp; Staver, 2022)","noteIndex":0},"citationItems":[{"id":218,"uris":["http://zotero.org/users/10686236/items/DXMLJ634"],"itemData":{"id":218,"type":"article-journal","abstract":"Grasslands are under severe threat from ongoing degradation, undermining their capacity to support biodiversity, ecosystem services and human well-being. Yet, grasslands are largely ignored in sustainable development agendas. In this Perspective, we examine the current state of global grasslands and explore the extent and dominant drivers of their degradation. Socio-ecological solutions are needed to combat degradation and promote restoration. Important strategies include: increasing recognition of grasslands in global policy; developing standardized indicators of degradation; using scientific innovation for effective restoration at regional and landscape scales; and enhancing knowledge transfer and data sharing on restoration experiences. Stakeholder needs can be balanced through standardized assessment and shared understanding of the potential ecosystem service trade-offs in degraded and restored grasslands. The integration of these actions into sustainability policy will aid in halting degradation and enhancing restoration success, and protect the socio-economic, cultural and ecological benefits that grasslands provide.","container-title":"Nature Reviews Earth and Environment","DOI":"10.1038/s43017-021-00207-2","ISSN":"2662138X","issue":"10","note":"ISBN: 0123456789","page":"720-735","title":"Combatting global grassland degradation","volume":"2","author":[{"family":"Bardgett","given":"Richard D."},{"family":"Bullock","given":"James M."},{"family":"Lavorel","given":"Sandra"},{"family":"Manning","given":"Peter"},{"family":"Schaffner","given":"Urs"},{"family":"Ostle","given":"Nicholas"},{"family":"Chomel","given":"Mathilde"},{"family":"Durigan","given":"Giselda"},{"family":"L. Fry","given":"Ellen"},{"family":"Johnson","given":"David"},{"family":"Lavallee","given":"Jocelyn M."},{"family":"Le Provost","given":"Gaëtane"},{"family":"Luo","given":"Shan"},{"family":"Png","given":"Kenny"},{"family":"Sankaran","given":"Mahesh"},{"family":"Hou","given":"Xiangyang"},{"family":"Zhou","given":"Huakun"},{"family":"Ma","given":"Li"},{"family":"Ren","given":"Weibo"},{"family":"Li","given":"Xiliang"},{"family":"Ding","given":"Yong"},{"family":"Li","given":"Yuanheng"},{"family":"Shi","given":"Hongxiao"}],"issued":{"date-parts":[["2021"]]}}},{"id":74,"uris":["http://zotero.org/users/10686236/items/624U8TQH"],"itemData":{"id":74,"type":"article-journal","abstract":"Grassy biomes are &gt;20 million years old but are undervalued and under threat today\n          , \n            \n              Grassy biomes—from the steppes of Mongolia to the savannas of Tanzania—are predicted to be the ecosystems hardest hit by the ongoing climate and land use crises. The history of humans has been profoundly intertwined with grassy biomes.\n              Homo\n              evolved in the savannas 2 million years ago (Ma), and agricultural societies arose through the domestication of grasses, such as wheat and barley, 10,000 years ago. These grass crops, as well as corn and rice, remain dominant staple foods globally (\n              \n                1\n              \n              ). Livestock production also centers in areas that were once (and sometimes still are) native grasslands. Grassy biomes harbor distinct and diverse sets of plants and animals that have adapted to these environments through millions of years of evolution (\n              \n                2\n              \n              ). As the biodiversity and economic prominence of grassy biomes are increasingly being recognized, there is a demand for better understanding of their past and present function to inform policy and management.","container-title":"Science","DOI":"10.1126/science.add1347","ISSN":"0036-8075, 1095-9203","issue":"6606","journalAbbreviation":"Science","language":"en","page":"592-593","source":"DOI.org (Crossref)","title":"The history and challenge of grassy biomes","volume":"377","author":[{"family":"Strömberg","given":"Caroline A. E."},{"family":"Staver","given":"A. Carla"}],"issued":{"date-parts":[["2022"]]}}}],"schema":"https://github.com/citation-style-language/schema/raw/master/csl-citation.json"} </w:instrText>
      </w:r>
      <w:r w:rsidR="00F551F8"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(Bardgett et al., 2021; Strömberg &amp; Staver, 2022)</w:t>
      </w:r>
      <w:r w:rsidR="00F551F8" w:rsidRPr="00B10EBE">
        <w:rPr>
          <w:rFonts w:ascii="Garamond" w:hAnsi="Garamond"/>
          <w:noProof/>
          <w:color w:val="000000" w:themeColor="text1"/>
          <w:sz w:val="24"/>
          <w:szCs w:val="24"/>
        </w:rPr>
        <w:fldChar w:fldCharType="end"/>
      </w:r>
      <w:r w:rsidR="00F551F8" w:rsidRPr="00B10EBE">
        <w:rPr>
          <w:rFonts w:ascii="Garamond" w:hAnsi="Garamond"/>
          <w:noProof/>
          <w:color w:val="000000" w:themeColor="text1"/>
          <w:sz w:val="24"/>
          <w:szCs w:val="24"/>
        </w:rPr>
        <w:t xml:space="preserve">. </w:t>
      </w:r>
      <w:r w:rsidR="00A25986" w:rsidRPr="00B10EBE">
        <w:rPr>
          <w:rFonts w:ascii="Garamond" w:hAnsi="Garamond"/>
          <w:noProof/>
          <w:color w:val="000000" w:themeColor="text1"/>
          <w:sz w:val="24"/>
          <w:szCs w:val="24"/>
        </w:rPr>
        <w:t xml:space="preserve">This is particularly true </w:t>
      </w:r>
      <w:r w:rsidR="00D1355D" w:rsidRPr="00B10EBE">
        <w:rPr>
          <w:rFonts w:ascii="Garamond" w:hAnsi="Garamond"/>
          <w:noProof/>
          <w:color w:val="000000" w:themeColor="text1"/>
          <w:sz w:val="24"/>
          <w:szCs w:val="24"/>
        </w:rPr>
        <w:t>for the</w:t>
      </w:r>
      <w:r w:rsidR="00A25986" w:rsidRPr="00B10EBE">
        <w:rPr>
          <w:rFonts w:ascii="Garamond" w:hAnsi="Garamond"/>
          <w:noProof/>
          <w:color w:val="000000" w:themeColor="text1"/>
          <w:sz w:val="24"/>
          <w:szCs w:val="24"/>
        </w:rPr>
        <w:t xml:space="preserve"> Africa</w:t>
      </w:r>
      <w:r w:rsidR="00D1355D" w:rsidRPr="00B10EBE">
        <w:rPr>
          <w:rFonts w:ascii="Garamond" w:hAnsi="Garamond"/>
          <w:noProof/>
          <w:color w:val="000000" w:themeColor="text1"/>
          <w:sz w:val="24"/>
          <w:szCs w:val="24"/>
        </w:rPr>
        <w:t>n continent</w:t>
      </w:r>
      <w:r w:rsidR="00A25986" w:rsidRPr="00B10EBE">
        <w:rPr>
          <w:rFonts w:ascii="Garamond" w:hAnsi="Garamond"/>
          <w:noProof/>
          <w:color w:val="000000" w:themeColor="text1"/>
          <w:sz w:val="24"/>
          <w:szCs w:val="24"/>
        </w:rPr>
        <w:t xml:space="preserve">, </w:t>
      </w:r>
      <w:r w:rsidR="0099539B" w:rsidRPr="00B10EBE">
        <w:rPr>
          <w:rFonts w:ascii="Garamond" w:hAnsi="Garamond"/>
          <w:noProof/>
          <w:color w:val="000000" w:themeColor="text1"/>
          <w:sz w:val="24"/>
          <w:szCs w:val="24"/>
        </w:rPr>
        <w:t>where</w:t>
      </w:r>
      <w:r w:rsidR="00BF2689" w:rsidRPr="00B10EBE">
        <w:rPr>
          <w:rFonts w:ascii="Garamond" w:hAnsi="Garamond"/>
          <w:noProof/>
          <w:color w:val="000000" w:themeColor="text1"/>
          <w:sz w:val="24"/>
          <w:szCs w:val="24"/>
        </w:rPr>
        <w:t xml:space="preserve"> </w:t>
      </w:r>
      <w:r w:rsidR="00C54392" w:rsidRPr="00B10EBE">
        <w:rPr>
          <w:rFonts w:ascii="Garamond" w:hAnsi="Garamond"/>
          <w:noProof/>
          <w:color w:val="000000" w:themeColor="text1"/>
          <w:sz w:val="24"/>
          <w:szCs w:val="24"/>
        </w:rPr>
        <w:t>grassy ecosystems</w:t>
      </w:r>
      <w:r w:rsidR="0099539B" w:rsidRPr="00B10EBE">
        <w:rPr>
          <w:rFonts w:ascii="Garamond" w:hAnsi="Garamond"/>
          <w:noProof/>
          <w:color w:val="000000" w:themeColor="text1"/>
          <w:sz w:val="24"/>
          <w:szCs w:val="24"/>
        </w:rPr>
        <w:t xml:space="preserve"> constitute the dominant vegetation cover</w:t>
      </w:r>
      <w:r w:rsidR="00196791" w:rsidRPr="00B10EBE">
        <w:rPr>
          <w:rFonts w:ascii="Garamond" w:hAnsi="Garamond"/>
          <w:noProof/>
          <w:color w:val="000000" w:themeColor="text1"/>
          <w:sz w:val="24"/>
          <w:szCs w:val="24"/>
        </w:rPr>
        <w:t>, host diverse endemic faunas and flora, and provide a multitude of material and non-material benefit</w:t>
      </w:r>
      <w:r w:rsidR="00C04222" w:rsidRPr="00B10EBE">
        <w:rPr>
          <w:rFonts w:ascii="Garamond" w:hAnsi="Garamond"/>
          <w:noProof/>
          <w:color w:val="000000" w:themeColor="text1"/>
          <w:sz w:val="24"/>
          <w:szCs w:val="24"/>
        </w:rPr>
        <w:t>s</w:t>
      </w:r>
      <w:r w:rsidR="00196791" w:rsidRPr="00B10EBE">
        <w:rPr>
          <w:rFonts w:ascii="Garamond" w:hAnsi="Garamond"/>
          <w:noProof/>
          <w:color w:val="000000" w:themeColor="text1"/>
          <w:sz w:val="24"/>
          <w:szCs w:val="24"/>
        </w:rPr>
        <w:t xml:space="preserve"> to humans </w:t>
      </w:r>
      <w:r w:rsidR="0019679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{"citationID":"a1q88539aob","properties":{"formattedCitation":"(Osborne et al., 2018)","plainCitation":"(Osborne et al., 2018)","noteIndex":0},"citationItems":[{"id":358,"uris":["http://zotero.org/users/10686236/items/XCW3EKT7"],"itemData":{"id":358,"type":"article-journal","abstract":"Tropical savannas have a ground cover dominated by C 4 grasses, with fire and herbivory constraining woody cover below a rainfall-based potential. The savanna biome covers 50% of the African continent, encompassing diverse ecosystems that include densely wooded Miombo woodlands and Serengeti grasslands with scat-tered trees. African savannas provide water, grazing and browsing, food and fuel for tens of millions of people, and have a unique biodiversity that supports wildlife tourism. However, human impacts are causing widespread and accelerating degradation of savannas. The primary threats are land cover-change and transfor-mation, landscape fragmentation that disrupts herbivore commu-nities and fire regimes, climate change and rising atmospheric CO 2 . The interactions among these threats are poorly understood, with unknown consequences for ecosystem health and human liveli-hoods. We argue that the unique combinations of plant functional traits characterizing the major floristic assemblages of African savannas make them differentially susceptible and resilient to anthropogenic drivers of ecosystem change. Research must address how this functional diversity among African savannas differentially influences their vulnerability to global change and elucidate the mechanisms responsible. This knowledge will permit appropriate management strategies to be developed to maintain ecosystem integrity, biodiversity and livelihoods. African savannas face multiple anthropogenic threats","container-title":"New Phytologist","DOI":"10.1111/nph.15236","ISSN":"14698137","page":"10-24","title":"Human impacts in African savannas are mediated by plant functional traits","volume":"220","author":[{"family":"Osborne","given":"Colin P."},{"family":"Charles-Dominique","given":"Tristan"},{"family":"Stevens","given":"Nicola"},{"family":"Bond","given":"William J."},{"family":"Midgley","given":"Guy"},{"family":"Lehmann","given":"Caroline E.R."}],"issued":{"date-parts":[["2018"]]}}}],"schema":"https://github.com/citation-style-language/schema/raw/master/csl-citation.json"} </w:instrText>
      </w:r>
      <w:r w:rsidR="00196791"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(Osborne et al., 2018)</w:t>
      </w:r>
      <w:r w:rsidR="00196791" w:rsidRPr="00B10EBE">
        <w:rPr>
          <w:rFonts w:ascii="Garamond" w:hAnsi="Garamond"/>
          <w:noProof/>
          <w:color w:val="000000" w:themeColor="text1"/>
          <w:sz w:val="24"/>
          <w:szCs w:val="24"/>
        </w:rPr>
        <w:fldChar w:fldCharType="end"/>
      </w:r>
      <w:r w:rsidR="0099539B" w:rsidRPr="00B10EBE">
        <w:rPr>
          <w:rFonts w:ascii="Garamond" w:hAnsi="Garamond"/>
          <w:noProof/>
          <w:color w:val="000000" w:themeColor="text1"/>
          <w:sz w:val="24"/>
          <w:szCs w:val="24"/>
        </w:rPr>
        <w:t xml:space="preserve">. Here, </w:t>
      </w:r>
      <w:r w:rsidR="009D25A4" w:rsidRPr="00B10EBE">
        <w:rPr>
          <w:rFonts w:ascii="Garamond" w:hAnsi="Garamond"/>
          <w:noProof/>
          <w:color w:val="000000" w:themeColor="text1"/>
          <w:sz w:val="24"/>
          <w:szCs w:val="24"/>
        </w:rPr>
        <w:t>dominant</w:t>
      </w:r>
      <w:r w:rsidR="0099539B" w:rsidRPr="00B10EBE">
        <w:rPr>
          <w:rFonts w:ascii="Garamond" w:hAnsi="Garamond"/>
          <w:noProof/>
          <w:color w:val="000000" w:themeColor="text1"/>
          <w:sz w:val="24"/>
          <w:szCs w:val="24"/>
        </w:rPr>
        <w:t xml:space="preserve"> drivers of</w:t>
      </w:r>
      <w:r w:rsidR="00C54392" w:rsidRPr="00B10EBE">
        <w:rPr>
          <w:rFonts w:ascii="Garamond" w:hAnsi="Garamond"/>
          <w:noProof/>
          <w:color w:val="000000" w:themeColor="text1"/>
          <w:sz w:val="24"/>
          <w:szCs w:val="24"/>
        </w:rPr>
        <w:t xml:space="preserve"> </w:t>
      </w:r>
      <w:r w:rsidR="0099539B" w:rsidRPr="00B10EBE">
        <w:rPr>
          <w:rFonts w:ascii="Garamond" w:hAnsi="Garamond"/>
          <w:noProof/>
          <w:color w:val="000000" w:themeColor="text1"/>
          <w:sz w:val="24"/>
          <w:szCs w:val="24"/>
        </w:rPr>
        <w:t>loss and degradation include climate change, conversion to cropland</w:t>
      </w:r>
      <w:r w:rsidR="008F3D59" w:rsidRPr="00B10EBE">
        <w:rPr>
          <w:rFonts w:ascii="Garamond" w:hAnsi="Garamond"/>
          <w:noProof/>
          <w:color w:val="000000" w:themeColor="text1"/>
          <w:sz w:val="24"/>
          <w:szCs w:val="24"/>
        </w:rPr>
        <w:t xml:space="preserve"> or forest</w:t>
      </w:r>
      <w:r w:rsidR="0099539B" w:rsidRPr="00B10EBE">
        <w:rPr>
          <w:rFonts w:ascii="Garamond" w:hAnsi="Garamond"/>
          <w:noProof/>
          <w:color w:val="000000" w:themeColor="text1"/>
          <w:sz w:val="24"/>
          <w:szCs w:val="24"/>
        </w:rPr>
        <w:t xml:space="preserve">, fire suppression, and overgrazing </w:t>
      </w:r>
      <w:r w:rsidR="0099539B"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{"citationID":"a610b0nq79","properties":{"formattedCitation":"(Parr et al., 2024; Stevens et al., 2022)","plainCitation":"(Parr et al., 2024; Stevens et al., 2022)","noteIndex":0},"citationItems":[{"id":33,"uris":["http://zotero.org/users/10686236/items/B55I9N76"],"itemData":{"id":33,"type":"article-journal","abstract":"Across Africa, vast areas of nonforest are threatened by inappropriate restoration in the form of tree planting\n          , \n            \n              The Bonn Challenge was launched by the German government and the International Union for Conservation of Nature (IUCN) in 2011 with the goal of restoring 350 million ha of degraded and deforested landscapes by 2030. Although there is acknowledgment that forest landscape restoration (FLR) promoting tree planting should not cause the loss or conversion of open, nonforested ecosystems (i.e., they should not be afforested) (\n              \n                1\n              \n              ), concerns have been raised that the focus on tree-based restoration combined with misclassification of grassy ecosystems could lead to misplaced restoration and destruction of intact, ancient ecosystems (\n              \n                2\n              \n              ). Yet, the potential scale of the issue, or whether concerns are playing out in practice, are unknown. To understand the potential scale of tree planting in savannas and grasslands, we examined restoration pledges under the African Forest Restoration Initiative (AFR100) and on-the-ground projects, finding that tree planting is widespread across nonforest systems.","container-title":"Science","DOI":"10.1126/science.adj0899","ISSN":"0036-8075, 1095-9203","issue":"6684","journalAbbreviation":"Science","language":"en","page":"698-701","source":"DOI.org (Crossref)","title":"Conflation of reforestation with restoration is widespread","volume":"383","author":[{"family":"Parr","given":"Catherine L."},{"family":"Te Beest","given":"Mariska"},{"family":"Stevens","given":"Nicola"}],"issued":{"date-parts":[["2024",2,16]]}}},{"id":216,"uris":["http://zotero.org/users/10686236/items/YKN7LI28"],"itemData":{"id":216,"type":"article-journal","container-title":"Annual Review of Environment and Resources","page":"16.1-16.29","title":"Grassy Ecosystems in the Anthropocene","volume":"47","author":[{"family":"Stevens","given":"Nicola"},{"family":"Bond","given":"William"},{"family":"Feurdean","given":"Angelica"},{"family":"Lehmann","given":"Caroline E R"}],"issued":{"date-parts":[["2022"]]}}}],"schema":"https://github.com/citation-style-language/schema/raw/master/csl-citation.json"} </w:instrText>
      </w:r>
      <w:r w:rsidR="0099539B"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(Parr et al., 2024; Stevens et al., 2022)</w:t>
      </w:r>
      <w:r w:rsidR="0099539B" w:rsidRPr="00B10EBE">
        <w:rPr>
          <w:rFonts w:ascii="Garamond" w:hAnsi="Garamond"/>
          <w:noProof/>
          <w:color w:val="000000" w:themeColor="text1"/>
          <w:sz w:val="24"/>
          <w:szCs w:val="24"/>
        </w:rPr>
        <w:fldChar w:fldCharType="end"/>
      </w:r>
      <w:r w:rsidR="0099539B" w:rsidRPr="00B10EBE">
        <w:rPr>
          <w:rFonts w:ascii="Garamond" w:hAnsi="Garamond"/>
          <w:noProof/>
          <w:color w:val="000000" w:themeColor="text1"/>
          <w:sz w:val="24"/>
          <w:szCs w:val="24"/>
        </w:rPr>
        <w:t>. In addition, interactions among these drivers often trigger degradation</w:t>
      </w:r>
      <w:r w:rsidR="00C02320" w:rsidRPr="00B10EBE">
        <w:rPr>
          <w:rFonts w:ascii="Garamond" w:hAnsi="Garamond"/>
          <w:noProof/>
          <w:color w:val="000000" w:themeColor="text1"/>
          <w:sz w:val="24"/>
          <w:szCs w:val="24"/>
        </w:rPr>
        <w:t xml:space="preserve"> processes</w:t>
      </w:r>
      <w:r w:rsidR="008E6E2A" w:rsidRPr="00B10EBE">
        <w:rPr>
          <w:rFonts w:ascii="Garamond" w:hAnsi="Garamond"/>
          <w:noProof/>
          <w:color w:val="000000" w:themeColor="text1"/>
          <w:sz w:val="24"/>
          <w:szCs w:val="24"/>
        </w:rPr>
        <w:t>. W</w:t>
      </w:r>
      <w:r w:rsidR="0099539B" w:rsidRPr="00B10EBE">
        <w:rPr>
          <w:rFonts w:ascii="Garamond" w:hAnsi="Garamond"/>
          <w:noProof/>
          <w:color w:val="000000" w:themeColor="text1"/>
          <w:sz w:val="24"/>
          <w:szCs w:val="24"/>
        </w:rPr>
        <w:t>oody plant encroachment,</w:t>
      </w:r>
      <w:r w:rsidR="00C02320" w:rsidRPr="00B10EBE">
        <w:rPr>
          <w:rFonts w:ascii="Garamond" w:hAnsi="Garamond"/>
          <w:noProof/>
          <w:color w:val="000000" w:themeColor="text1"/>
          <w:sz w:val="24"/>
          <w:szCs w:val="24"/>
        </w:rPr>
        <w:t xml:space="preserve"> </w:t>
      </w:r>
      <w:r w:rsidR="008E6E2A" w:rsidRPr="00B10EBE">
        <w:rPr>
          <w:rFonts w:ascii="Garamond" w:hAnsi="Garamond"/>
          <w:noProof/>
          <w:color w:val="000000" w:themeColor="text1"/>
          <w:sz w:val="24"/>
          <w:szCs w:val="24"/>
        </w:rPr>
        <w:t xml:space="preserve">for instance, impoverishes grassy ecosystems as woody vegetation replacing the grass layer pushes the system toward a secondary state (e.g., shrubland, woodland) </w:t>
      </w:r>
      <w:r w:rsidR="008E6E2A"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{"citationID":"5An5IYyR","properties":{"formattedCitation":"(Nerlekar &amp; Veldman, 2020)","plainCitation":"(Nerlekar &amp; Veldman, 2020)","noteIndex":0},"citationItems":[{"id":212,"uris":["http://zotero.org/users/10686236/items/SPS2CN3D"],"itemData":{"id":212,"type":"article-journal","abstract":"Earth's ancient grasslands and savannas-hereafter old-growth grasslands-have long been viewed by scientists and environmental policymakers as early successional plant communities of low conservation value. Challenging this view, emerging research suggests that old-growth grasslands support substantial biodiversity and are slow to recover if destroyed by human land uses (e.g., tillage agriculture, plantation forestry). But despite growing interest in grassland conservation, there has been no global test of whether old-growth grasslands support greater plant species diversity than secondary grasslands (i.e., herbaceous communities that assemble after destruction of old-growth grasslands). Our synthesis of 31 studies, including 92 timepoints on six continents, found that secondary grasslands supported 37% fewer plant species than old-growth grasslands (log response ratio = -0.46) and that secondary grasslands typically require at least a century, and more often millennia (projected mean 1,400 y), to recover their former richness. Young (&lt;29 y) secondary grasslands were composed of weedy species, and even as their richness increased over decades to centuries, secondary grasslands were still missing characteristic old-growth grassland species (e.g., long-lived perennials). In light of these results, the view that all grasslands are weedy communities, trapped by fire and large herbivores in a state of arrested succession, is untenable. Moving forward, we suggest that ecologists should explicitly consider grassland assembly time and endogenous disturbance regimes in studies of plant community structure and function. We encourage environmental policymakers to prioritize old-growth grassland conservation and work to elevate the status of old-growth grasslands, alongside old-growth forests, in the public consciousness.","container-title":"Proceedings of the National Academy of Sciences of the United States of America","DOI":"10.1073/pnas.1922266117","ISSN":"10916490","issue":"31","note":"PMID: 32675246","page":"18550-18556","title":"High plant diversity and slow assembly of old-growth grasslands","volume":"117","author":[{"family":"Nerlekar","given":"Ashish N."},{"family":"Veldman","given":"Joseph W."}],"issued":{"date-parts":[["2020"]]}}}],"schema":"https://github.com/citation-style-language/schema/raw/master/csl-citation.json"} </w:instrText>
      </w:r>
      <w:r w:rsidR="008E6E2A"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(Nerlekar &amp; Veldman, 2020)</w:t>
      </w:r>
      <w:r w:rsidR="008E6E2A" w:rsidRPr="00B10EBE">
        <w:rPr>
          <w:rFonts w:ascii="Garamond" w:hAnsi="Garamond"/>
          <w:noProof/>
          <w:color w:val="000000" w:themeColor="text1"/>
          <w:sz w:val="24"/>
          <w:szCs w:val="24"/>
        </w:rPr>
        <w:fldChar w:fldCharType="end"/>
      </w:r>
      <w:r w:rsidR="008E6E2A" w:rsidRPr="00B10EBE">
        <w:rPr>
          <w:rFonts w:ascii="Garamond" w:hAnsi="Garamond"/>
          <w:noProof/>
          <w:color w:val="000000" w:themeColor="text1"/>
          <w:sz w:val="24"/>
          <w:szCs w:val="24"/>
        </w:rPr>
        <w:t xml:space="preserve"> with lower herbaceous plant diversity and palatability </w:t>
      </w:r>
      <w:r w:rsidR="008E6E2A"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{"citationID":"aaf78qicis","properties":{"formattedCitation":"(Venter et al., 2017; Wieczorkowski &amp; Lehmann, 2022)","plainCitation":"(Venter et al., 2017; Wieczorkowski &amp; Lehmann, 2022)","noteIndex":0},"citationItems":[{"id":672,"uris":["http://zotero.org/users/10686236/items/Q43LPIL9"],"itemData":{"id":672,"type":"article-journal","abstract":"Herbivory and fire are important drivers of ecosystem processes within African rangelands. We explore whether mid-Holocene African savannas were dominated by herbivory as a means of cycling nutrients, and whether fire perhaps played a lesser role than today. Evidence from savanna ecology, pale- oecology, and historical literature indicates higher herbivore densities in mid-Holocene and pre-colonial times compared to present. While fire may increase or decrease forage availability for herbivores, depend- ing on the nutrient status of the environment, herbivory tends to decrease fire intensity and frequency by decreasing fuel loads. Given this competitive relationship between fire and herbivory and the higher herbi- vore densities of the past, we suggest that some fire-dominated present-day savannas are the product of anthropogenic alterations in herbivore and fire regimes, including the increasing use of fire as a tool for managing ecosystems. We discuss whether managing for an alternative stable state dominated by her- bivory could stimulate ecosystem processes such as nutrient cycling and production, and whether this will achieve the same management objectives traditionally satisfied by fire. Management implications may include the adaptive manipulation of herbivore densities over time and space to maintain an appropriate carrying capacity for the rainfall and soil nutrient status of the area, occasional use of fire, and including a diversity of herbivore functional guilds.","container-title":"Ecosphere","DOI":"10.1002/ecs2.1946","ISSN":"21508925","note":"ISBN: 2150-8925","page":"1-14","title":"Implications of historical interactions between herbivory and fire for rangeland management in African savannas","volume":"8","author":[{"family":"Venter","given":"Zander S."},{"family":"Hawkins","given":"Heidi Jayne"},{"family":"Cramer","given":"Michael D."}],"issued":{"date-parts":[["2017"]]}}},{"id":209,"uris":["http://zotero.org/users/10686236/items/6L6FVY4J"],"itemData":{"id":209,"type":"article-journal","container-title":"Global Change Biology","DOI":"10.1111/gcb.16300","issue":"April","page":"1-15","title":"Encroachment diminishes herbaceous plant diversity in grassy ecosystems worldwide","author":[{"family":"Wieczorkowski","given":"Jakub D"},{"family":"Lehmann","given":"Caroline E R"}],"issued":{"date-parts":[["2022"]]}}}],"schema":"https://github.com/citation-style-language/schema/raw/master/csl-citation.json"} </w:instrText>
      </w:r>
      <w:r w:rsidR="008E6E2A"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szCs w:val="24"/>
        </w:rPr>
        <w:t>(Venter et al., 2017; Wieczorkowski &amp; Lehmann, 2022)</w:t>
      </w:r>
      <w:r w:rsidR="008E6E2A" w:rsidRPr="00B10EBE">
        <w:rPr>
          <w:rFonts w:ascii="Garamond" w:hAnsi="Garamond"/>
          <w:noProof/>
          <w:color w:val="000000" w:themeColor="text1"/>
          <w:sz w:val="24"/>
          <w:szCs w:val="24"/>
        </w:rPr>
        <w:fldChar w:fldCharType="end"/>
      </w:r>
      <w:r w:rsidR="008E6E2A" w:rsidRPr="00B10EBE">
        <w:rPr>
          <w:rFonts w:ascii="Garamond" w:hAnsi="Garamond"/>
          <w:noProof/>
          <w:color w:val="000000" w:themeColor="text1"/>
          <w:sz w:val="24"/>
          <w:szCs w:val="24"/>
        </w:rPr>
        <w:t>.</w:t>
      </w:r>
    </w:p>
    <w:p w14:paraId="5E8DB7C9" w14:textId="1E51978E" w:rsidR="00BF47A0" w:rsidRPr="00B10EBE" w:rsidRDefault="00BF47A0" w:rsidP="0033343A">
      <w:pPr>
        <w:widowControl w:val="0"/>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 xml:space="preserve">Understanding the drivers of grassy ecosystem dynamics and their interactions over time and space is essential for improving predictions of how these ecosystems will respond to global environmental change and ultimately preventing their degradation </w:t>
      </w:r>
      <w:r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{"citationID":"VAimlNMK","properties":{"formattedCitation":"(Abdi et al., 2022)","plainCitation":"(Abdi et al., 2022)","noteIndex":0},"citationItems":[{"id":50,"uris":["http://zotero.org/users/10686236/items/9IJ2S53E"],"itemData":{"id":50,"type":"article-journal","container-title":"Journal of Remote Sensing","DOI":"DOI: 10.34133/2022/9835284","issue":"2022:2022","title":"Review Article Satellite Remote Sensing of Savannas: Current Status and Emerging Opportunities","author":[{"family":"Abdi","given":"Abdulhakim M"},{"family":"Brandt","given":"Martin"},{"family":"Abel","given":"Christin"},{"family":"Fensholt","given":"Rasmus"}],"issued":{"date-parts":[["2022"]]}}}],"schema":"https://github.com/citation-style-language/schema/raw/master/csl-citation.json"} </w:instrText>
      </w:r>
      <w:r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(Abdi et al., 2022)</w:t>
      </w:r>
      <w:r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xml:space="preserve">. However, this is complex due to the numerous direct and indirect processes related to climate, soil, and disturbances </w:t>
      </w:r>
      <w:r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{"citationID":"adlndi46hp","properties":{"formattedCitation":"(Pausas &amp; Bond, 2020)","plainCitation":"(Pausas &amp; Bond, 2020)","noteIndex":0},"citationItems":[{"id":210,"uris":["http://zotero.org/users/10686236/items/MMMZUKJI"],"itemData":{"id":210,"type":"article-journal","abstract":"There is growing interest in the application of alternative stable state (ASS) theory to explain major vegetation patterns of the world. Here, we introduce the theory as applied to the puzzle of nonforested (open) biomes growing in climates that are warm and wet enough to support forests (alternative biome states, ABSs). Long thought to be the product of deforestation, diverse lines of evidence indicate that many open ecosystems are ancient. They have also been characterized as ‘early successional’ even where they persist for millennia. ABS is an alternative framework to that of climate determinism and succession for exploring forest/nonforest mosaics. This framework explains not only tropical forest–savanna landscapes, but also other landscape mosaics across the globe.","container-title":"Trends in Plant Science","DOI":"10.1016/j.tplants.2019.11.003","ISSN":"13601385","issue":"3","note":"publisher: Elsevier Ltd","page":"250-263","title":"Alternative Biome States in Terrestrial Ecosystems","volume":"25","author":[{"family":"Pausas","given":"Juli G."},{"family":"Bond","given":"William J."}],"issued":{"date-parts":[["2020"]]}}}],"schema":"https://github.com/citation-style-language/schema/raw/master/csl-citation.json"} </w:instrText>
      </w:r>
      <w:r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szCs w:val="24"/>
        </w:rPr>
        <w:t xml:space="preserve">(Pausas &amp; </w:t>
      </w:r>
      <w:r w:rsidR="004C2C12" w:rsidRPr="00B10EBE">
        <w:rPr>
          <w:rFonts w:ascii="Garamond" w:hAnsi="Garamond"/>
          <w:color w:val="000000" w:themeColor="text1"/>
          <w:sz w:val="24"/>
          <w:szCs w:val="24"/>
        </w:rPr>
        <w:lastRenderedPageBreak/>
        <w:t>Bond, 2020)</w:t>
      </w:r>
      <w:r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and because grassy ecosystems encompass both grasslands and savannas, i.e.,</w:t>
      </w:r>
      <w:r w:rsidR="00C36DFF" w:rsidRPr="00B10EBE">
        <w:rPr>
          <w:rFonts w:ascii="Garamond" w:hAnsi="Garamond"/>
          <w:noProof/>
          <w:color w:val="000000" w:themeColor="text1"/>
          <w:sz w:val="24"/>
          <w:szCs w:val="24"/>
        </w:rPr>
        <w:t xml:space="preserve"> two distinct sub-ecosystems where these processes may not operate in the same way</w:t>
      </w:r>
      <w:r w:rsidR="00B646B7" w:rsidRPr="00B10EBE">
        <w:rPr>
          <w:rFonts w:ascii="Garamond" w:hAnsi="Garamond"/>
          <w:noProof/>
          <w:color w:val="000000" w:themeColor="text1"/>
          <w:sz w:val="24"/>
          <w:szCs w:val="24"/>
        </w:rPr>
        <w:t xml:space="preserve"> (</w:t>
      </w:r>
      <w:r w:rsidR="00B646B7" w:rsidRPr="00B10EBE">
        <w:rPr>
          <w:rFonts w:ascii="Garamond" w:hAnsi="Garamond"/>
          <w:color w:val="000000" w:themeColor="text1"/>
          <w:sz w:val="24"/>
        </w:rPr>
        <w:t>Bardgett et al., 2021</w:t>
      </w:r>
      <w:r w:rsidR="00B646B7" w:rsidRPr="00B10EBE">
        <w:rPr>
          <w:rFonts w:ascii="Garamond" w:hAnsi="Garamond"/>
          <w:noProof/>
          <w:color w:val="000000" w:themeColor="text1"/>
          <w:sz w:val="24"/>
          <w:szCs w:val="24"/>
        </w:rPr>
        <w:t>)</w:t>
      </w:r>
      <w:r w:rsidR="00C36DFF" w:rsidRPr="00B10EBE">
        <w:rPr>
          <w:rFonts w:ascii="Garamond" w:hAnsi="Garamond"/>
          <w:noProof/>
          <w:color w:val="000000" w:themeColor="text1"/>
          <w:sz w:val="24"/>
          <w:szCs w:val="24"/>
        </w:rPr>
        <w:t>.</w:t>
      </w:r>
    </w:p>
    <w:p w14:paraId="42EDBB19" w14:textId="28C28463" w:rsidR="00033EA1" w:rsidRPr="00B10EBE" w:rsidRDefault="0005246D" w:rsidP="009344FE">
      <w:pPr>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 xml:space="preserve">Grasslands are </w:t>
      </w:r>
      <w:r w:rsidR="001E2A9D" w:rsidRPr="00B10EBE">
        <w:rPr>
          <w:rFonts w:ascii="Garamond" w:hAnsi="Garamond"/>
          <w:noProof/>
          <w:color w:val="000000" w:themeColor="text1"/>
          <w:sz w:val="24"/>
          <w:szCs w:val="24"/>
        </w:rPr>
        <w:t xml:space="preserve">ecosystems </w:t>
      </w:r>
      <w:r w:rsidRPr="00B10EBE">
        <w:rPr>
          <w:rFonts w:ascii="Garamond" w:hAnsi="Garamond"/>
          <w:noProof/>
          <w:color w:val="000000" w:themeColor="text1"/>
          <w:sz w:val="24"/>
          <w:szCs w:val="24"/>
        </w:rPr>
        <w:t>dominated by indigenous</w:t>
      </w:r>
      <w:r w:rsidR="00314611" w:rsidRPr="00B10EBE">
        <w:rPr>
          <w:rFonts w:ascii="Garamond" w:hAnsi="Garamond"/>
          <w:noProof/>
          <w:color w:val="000000" w:themeColor="text1"/>
          <w:sz w:val="24"/>
          <w:szCs w:val="24"/>
        </w:rPr>
        <w:t xml:space="preserve"> (i.e., native)</w:t>
      </w:r>
      <w:r w:rsidRPr="00B10EBE">
        <w:rPr>
          <w:rFonts w:ascii="Garamond" w:hAnsi="Garamond"/>
          <w:noProof/>
          <w:color w:val="000000" w:themeColor="text1"/>
          <w:sz w:val="24"/>
          <w:szCs w:val="24"/>
        </w:rPr>
        <w:t xml:space="preserve"> or natural</w:t>
      </w:r>
      <w:r w:rsidR="00314611" w:rsidRPr="00B10EBE">
        <w:rPr>
          <w:rFonts w:ascii="Garamond" w:hAnsi="Garamond"/>
          <w:noProof/>
          <w:color w:val="000000" w:themeColor="text1"/>
          <w:sz w:val="24"/>
          <w:szCs w:val="24"/>
        </w:rPr>
        <w:t xml:space="preserve"> (i.e., established </w:t>
      </w:r>
      <w:r w:rsidR="00CD6AAB" w:rsidRPr="00B10EBE">
        <w:rPr>
          <w:rFonts w:ascii="Garamond" w:hAnsi="Garamond"/>
          <w:color w:val="000000" w:themeColor="text1"/>
          <w:sz w:val="24"/>
          <w:szCs w:val="24"/>
        </w:rPr>
        <w:t>through natural processes</w:t>
      </w:r>
      <w:r w:rsidR="00314611" w:rsidRPr="00B10EBE">
        <w:rPr>
          <w:rFonts w:ascii="Garamond" w:hAnsi="Garamond"/>
          <w:noProof/>
          <w:color w:val="000000" w:themeColor="text1"/>
          <w:sz w:val="24"/>
          <w:szCs w:val="24"/>
        </w:rPr>
        <w:t xml:space="preserve"> such as seed dispersal by wind or animals)</w:t>
      </w:r>
      <w:r w:rsidRPr="00B10EBE">
        <w:rPr>
          <w:rFonts w:ascii="Garamond" w:hAnsi="Garamond"/>
          <w:noProof/>
          <w:color w:val="000000" w:themeColor="text1"/>
          <w:sz w:val="24"/>
          <w:szCs w:val="24"/>
        </w:rPr>
        <w:t xml:space="preserve"> grass species, differing from savannas which are transitional woody-herbaceous systems between grassland and forest </w:t>
      </w:r>
      <w:r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{"citationID":"ysz7vr1D","properties":{"formattedCitation":"(Allen et al., 2011)","plainCitation":"(Allen et al., 2011)","noteIndex":0},"citationItems":[{"id":1440,"uris":["http://zotero.org/users/10686236/items/VQFPVIFJ"],"itemData":{"id":1440,"type":"article-journal","abstract":"PREFACE In 1991, Terminology for Grazing Lands and Grazing Animals was published with the objective of ‘developing a consensus of clear definitions of terms used in the grazing of animals.’ This first effort involved primarily organizations and agencies within the USA but included representation from New Zealand and Australia. It was the intent from the beginning to expand this to a truly international effort at a later date. At the XVII International Grassland Congress (IGC), held jointly in New Zealand and Australia in 1993, a resolution was passed at the final business meeting as follows: ‘It is recommended that the International Grassland Congress endorse the continuing development of uniformity of terminology for grazing systems and grazing management, and that the Forage and Grazing Terminology Task Force report progress at the XVIII Congress.’ During the XVIII IGC, held in Canada in 1997, a new Terminology working group, chaired by Mort Kothmann, was formed to begin discussions regarding the first revision of this publication. As was the objective from the beginning, this first revision was to be international in scope and a focused effort was made to include broad international representation and expertise. Preliminary work by the working group was accomplished during the next few years. In 2000, Terminology became the first project to be jointly supported by the IGC and the International Rangeland Congress (IRC) and a new Terminology Committee was jointly appointed by Bob Clements (Chair, IGC Continuing Committee) and Maureen Wolfson (President, IRC Continuing Committee). Work of the Terminology Committee progressed leading up to the first joint meeting of the IGC and the IRC in Hohhot, Inner Mongolia in the Peoples Republic of China. At the meeting in 2008, resolutions were passed by both the IGC and the IRC requesting that Terminology for Grazing Lands and Grazing Animals be completed and presented at both the IX IRC in Argentina in 2011 and the XXII IGC in Australia in 2013. With the completion of this revision in 2010, the wishes of both congresses will be fulfilled. As with the first edition of Terminology, our objective has been to develop a consensus of terms and definitions to ensure clear international communication regarding grazing lands and grazing animals. Terms included here have relevance to both domesticated and wild grazing animals. It is intended that these terms enhance communication in education, science, industry and production and that they become the standard for use in publications. It has been our goal to include terms that are relevant specifically to grazing lands and grazing animals and to present these, where appropriate, in a hierarchy that shows the relationships among such terms. For example, certain terms such as ‘grazing land’ are all-inclusive and are then followed by terms relating to the various types of grazing lands. We have attempted to agree on a single, concise definition for each term and to avoid multiple definitions. Variations among terms used in countries where English is one of the official languages were taken into account. Because of international variations in a few terms, we have included a list of the various international interpretations in an Appendix but have recommended the use of a specific term and definition. It is hoped that this will take us towards a more uniform international language. In the case of most terms and definitions, we have arrived at a consensus opinion. In a few cases, use will be needed to see whether these will stand the test of time. We hope that in such cases, we have taken the steps to move the language forward towards more precise and meaningful terms and definitions. Finally, as we reviewed terms and definitions, there were some that did not appear to contribute to clear communication. We have listed these in an Appendix and provided an explanation for our recommendation that they are not used. Ours is a living language that will continue to evolve as new concepts emerge, techniques and methods change, and our international language becomes more precise. Thus, the mechanism established by the IGC and the IRC for periodic review and revision of Terminology for Grazing Lands and Grazing Animals must be continued but with sufficient time between revisions to allow for adequate testing to see where terms are missing and revisions are required. Finally, on behalf of the International Forage and Grazing Lands Terminology Committee, we are submitting this International Terminology for Grazing Lands and Grazing Animals to the IGC and the IRC with our appreciation for the challenge and opportunity that you have entrusted to us. It has been a privilege and an honour to serve.","container-title":"Grass and Forage Science","DOI":"10.1111/j.1365-2494.2010.00780.x","ISSN":"01425242","issue":"1","note":"ISBN: 1365-2494","page":"2-28","title":"An international terminology for grazing lands and grazing animals","volume":"66","author":[{"family":"Allen","given":"V. G."},{"family":"Batello","given":"C."},{"family":"Berretta","given":"E. J."},{"family":"Hodgson","given":"J."},{"family":"Kothmann","given":"M."},{"family":"Li","given":"X."},{"family":"McIvor","given":"J."},{"family":"Milne","given":"J."},{"family":"Morris","given":"C."},{"family":"Peeters","given":"A."},{"family":"Sanderson","given":"M."}],"issued":{"date-parts":[["2011"]]}}}],"schema":"https://github.com/citation-style-language/schema/raw/master/csl-citation.json"} </w:instrText>
      </w:r>
      <w:r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(Allen et al., 2011)</w:t>
      </w:r>
      <w:r w:rsidRPr="00B10EBE">
        <w:rPr>
          <w:rFonts w:ascii="Garamond" w:hAnsi="Garamond"/>
          <w:noProof/>
          <w:color w:val="000000" w:themeColor="text1"/>
          <w:sz w:val="24"/>
          <w:szCs w:val="24"/>
        </w:rPr>
        <w:fldChar w:fldCharType="end"/>
      </w:r>
      <w:r w:rsidR="00F476EA" w:rsidRPr="00B10EBE">
        <w:rPr>
          <w:rFonts w:ascii="Garamond" w:hAnsi="Garamond"/>
          <w:noProof/>
          <w:color w:val="000000" w:themeColor="text1"/>
          <w:sz w:val="24"/>
          <w:szCs w:val="24"/>
        </w:rPr>
        <w:t>.</w:t>
      </w:r>
      <w:r w:rsidR="005F4257" w:rsidRPr="00B10EBE">
        <w:rPr>
          <w:rFonts w:ascii="Garamond" w:hAnsi="Garamond"/>
          <w:noProof/>
          <w:color w:val="000000" w:themeColor="text1"/>
          <w:sz w:val="24"/>
          <w:szCs w:val="24"/>
        </w:rPr>
        <w:t xml:space="preserve"> </w:t>
      </w:r>
      <w:r w:rsidR="0083285E" w:rsidRPr="00B10EBE">
        <w:rPr>
          <w:rFonts w:ascii="Garamond" w:hAnsi="Garamond"/>
          <w:noProof/>
          <w:color w:val="000000" w:themeColor="text1"/>
          <w:sz w:val="24"/>
          <w:szCs w:val="24"/>
        </w:rPr>
        <w:t>Grasslands</w:t>
      </w:r>
      <w:r w:rsidR="00C80904" w:rsidRPr="00B10EBE">
        <w:rPr>
          <w:rFonts w:ascii="Garamond" w:hAnsi="Garamond"/>
          <w:noProof/>
          <w:color w:val="000000" w:themeColor="text1"/>
          <w:sz w:val="24"/>
          <w:szCs w:val="24"/>
        </w:rPr>
        <w:t xml:space="preserve"> exist below 650-1000 millimetres of annual rainfall (mm/yr)</w:t>
      </w:r>
      <w:r w:rsidR="005F4257" w:rsidRPr="00B10EBE">
        <w:rPr>
          <w:rFonts w:ascii="Garamond" w:hAnsi="Garamond"/>
          <w:noProof/>
          <w:color w:val="000000" w:themeColor="text1"/>
          <w:sz w:val="24"/>
          <w:szCs w:val="24"/>
        </w:rPr>
        <w:t>,</w:t>
      </w:r>
      <w:r w:rsidR="00C80904" w:rsidRPr="00B10EBE">
        <w:rPr>
          <w:rFonts w:ascii="Garamond" w:hAnsi="Garamond"/>
          <w:noProof/>
          <w:color w:val="000000" w:themeColor="text1"/>
          <w:sz w:val="24"/>
          <w:szCs w:val="24"/>
        </w:rPr>
        <w:t xml:space="preserve"> while forests </w:t>
      </w:r>
      <w:r w:rsidR="002902F9" w:rsidRPr="00B10EBE">
        <w:rPr>
          <w:rFonts w:ascii="Garamond" w:hAnsi="Garamond"/>
          <w:noProof/>
          <w:color w:val="000000" w:themeColor="text1"/>
          <w:sz w:val="24"/>
          <w:szCs w:val="24"/>
        </w:rPr>
        <w:t xml:space="preserve">generally </w:t>
      </w:r>
      <w:r w:rsidR="005F4257" w:rsidRPr="00B10EBE">
        <w:rPr>
          <w:rFonts w:ascii="Garamond" w:hAnsi="Garamond"/>
          <w:noProof/>
          <w:color w:val="000000" w:themeColor="text1"/>
          <w:sz w:val="24"/>
          <w:szCs w:val="24"/>
        </w:rPr>
        <w:t>occur</w:t>
      </w:r>
      <w:r w:rsidR="00C80904" w:rsidRPr="00B10EBE">
        <w:rPr>
          <w:rFonts w:ascii="Garamond" w:hAnsi="Garamond"/>
          <w:noProof/>
          <w:color w:val="000000" w:themeColor="text1"/>
          <w:sz w:val="24"/>
          <w:szCs w:val="24"/>
        </w:rPr>
        <w:t xml:space="preserve"> above 2500 mm/yr</w:t>
      </w:r>
      <w:r w:rsidR="001355E1" w:rsidRPr="00B10EBE">
        <w:rPr>
          <w:rFonts w:ascii="Garamond" w:hAnsi="Garamond"/>
          <w:noProof/>
          <w:color w:val="000000" w:themeColor="text1"/>
          <w:sz w:val="24"/>
          <w:szCs w:val="24"/>
        </w:rPr>
        <w:t xml:space="preserve"> </w:t>
      </w:r>
      <w:r w:rsidR="001355E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{"citationID":"a2bn7fis4v4","properties":{"formattedCitation":"(Aleman et al., 2020; Mayer &amp; Khalyani, 2011)","plainCitation":"(Aleman et al., 2020; Mayer &amp; Khalyani, 2011)","noteIndex":0},"citationItems":[{"id":273,"uris":["http://zotero.org/users/10686236/items/T7JK69WF"],"itemData":{"id":273,"type":"article-journal","abstract":"The idea that tropical forest and savanna are alternative states is crucial to how we manage these biomes and predict their future under global change. Large-scale empirical evidence for alternative stable states is limited, however, and comes mostly from the multimodal distribution of structural aspects of vegetation. These approaches have been criticized, as structure alone cannot separate out wetter savannas from drier forests for example, and there are also technical challenges to mapping vegetation structure in unbiased ways. Here, we develop an alternative approach to delimit the climatic envelope of the two biomes in Africa using tree species lists gathered for a large number of forest and savanna sites distributed across the continent. Our analyses confirm extensive climatic overlap of forest and savanna, supporting the alternative stable states hypothesis for Africa, and this result is corroborated by paleoecological evidence. Further, we find the two biomes to have highly divergent tree species compositions and to represent alternative compositional states. This allowed us to classify tree species as forest vs. savanna specialists, with some generalist species that span both biomes. In conjunction with georeferenced herbarium records, we mapped the forest and savanna distributions across Africa and quantified their environmental limits, which are primarily related to precipitation and seasonality, with a secondary contribution of fire. These results are important for the ongoing efforts to restore African ecosystems, which depend on accurate biome maps to set appropriate targets for the restored states but also provide empirical evidence for broad-scale bistability.","container-title":"Proceedings of the National Academy of Sciences of the United States of America","DOI":"10.1073/pnas.2011515117","ISSN":"10916490","issue":"45","note":"PMID: 33109722","page":"28183-28190","title":"Floristic evidence for alternative biome states in tropical Africa","volume":"117","author":[{"family":"Aleman","given":"J. C."},{"family":"Fayolle","given":"A."},{"family":"Favier","given":"C."},{"family":"Staver","given":"A. C."},{"family":"Dexter","given":"K. G."},{"family":"Ryan","given":"C. M."},{"family":"Azihou","given":"A. F."},{"family":"Bauman","given":"D."},{"family":"Beest","given":"M.","non-dropping-particle":"te"},{"family":"Chidumayo","given":"E. N."},{"family":"Comiskey","given":"J. A."},{"family":"Cromsigt","given":"J. P.G.M."},{"family":"Dessard","given":"H."},{"family":"Doucet","given":"J. L."},{"family":"Finckh","given":"M."},{"family":"Gillet","given":"J. F."},{"family":"Gourlet-Fleury","given":"S."},{"family":"Hempson","given":"G. P."},{"family":"Holdo","given":"R. M."},{"family":"Kirunda","given":"B."},{"family":"Kouame","given":"F. N."},{"family":"Mahy","given":"G."},{"family":"Maiato","given":"F."},{"family":"Gonçalves","given":"P."},{"family":"McNicol","given":"I."},{"family":"Nieto Quintano","given":"P."},{"family":"Plumptre","given":"A. J."},{"family":"Pritchard","given":"R. C."},{"family":"Revermann","given":"R."},{"family":"Schmitt","given":"C. B."},{"family":"Swemmer","given":"A. M."},{"family":"Talila","given":"H."},{"family":"Woollen","given":"E."},{"family":"Swaine","given":"M. D."}],"issued":{"date-parts":[["2020"]]}}},{"id":413,"uris":["http://zotero.org/users/10686236/items/V6WJJNKW"],"itemData":{"id":413,"type":"article-journal","abstract":"Feedbacks involving rainfall, fi re, and vegetation govern transitions between forests, savannas, and grasslands.","container-title":"Science","DOI":"10.1126/science.1213908","ISSN":"10959203","issue":"6053","note":"PMID: 21998379","page":"188-189","title":"Grass trumps trees with fire","volume":"334","author":[{"family":"Mayer","given":"Audrey L."},{"family":"Khalyani","given":"Azad Henareh"}],"issued":{"date-parts":[["2011"]]}}}],"schema":"https://github.com/citation-style-language/schema/raw/master/csl-citation.json"} </w:instrText>
      </w:r>
      <w:r w:rsidR="001355E1" w:rsidRPr="00B10EBE">
        <w:rPr>
          <w:rFonts w:ascii="Garamond" w:hAnsi="Garamond"/>
          <w:noProof/>
          <w:color w:val="000000" w:themeColor="text1"/>
          <w:sz w:val="24"/>
          <w:szCs w:val="24"/>
        </w:rPr>
        <w:fldChar w:fldCharType="separate"/>
      </w:r>
      <w:r w:rsidR="00D570F9" w:rsidRPr="00B10EBE">
        <w:rPr>
          <w:rFonts w:ascii="Garamond" w:hAnsi="Garamond"/>
          <w:color w:val="000000" w:themeColor="text1"/>
          <w:sz w:val="24"/>
        </w:rPr>
        <w:t>(Aleman et al., 2020; Mayer &amp; Khalyani, 2011)</w:t>
      </w:r>
      <w:r w:rsidR="001355E1" w:rsidRPr="00B10EBE">
        <w:rPr>
          <w:rFonts w:ascii="Garamond" w:hAnsi="Garamond"/>
          <w:noProof/>
          <w:color w:val="000000" w:themeColor="text1"/>
          <w:sz w:val="24"/>
          <w:szCs w:val="24"/>
        </w:rPr>
        <w:fldChar w:fldCharType="end"/>
      </w:r>
      <w:r w:rsidR="00C80904" w:rsidRPr="00B10EBE">
        <w:rPr>
          <w:rFonts w:ascii="Garamond" w:hAnsi="Garamond"/>
          <w:noProof/>
          <w:color w:val="000000" w:themeColor="text1"/>
          <w:sz w:val="24"/>
          <w:szCs w:val="24"/>
        </w:rPr>
        <w:t>.</w:t>
      </w:r>
      <w:r w:rsidR="00332B47" w:rsidRPr="00B10EBE">
        <w:rPr>
          <w:rFonts w:ascii="Garamond" w:hAnsi="Garamond"/>
          <w:noProof/>
          <w:color w:val="000000" w:themeColor="text1"/>
          <w:sz w:val="24"/>
          <w:szCs w:val="24"/>
        </w:rPr>
        <w:t xml:space="preserve"> </w:t>
      </w:r>
      <w:r w:rsidR="008E6DAF" w:rsidRPr="00B10EBE">
        <w:rPr>
          <w:rFonts w:ascii="Garamond" w:hAnsi="Garamond"/>
          <w:noProof/>
          <w:color w:val="000000" w:themeColor="text1"/>
          <w:sz w:val="24"/>
          <w:szCs w:val="24"/>
        </w:rPr>
        <w:t>Savannas are found between these ranges, with the</w:t>
      </w:r>
      <w:r w:rsidR="00C80904" w:rsidRPr="00B10EBE">
        <w:rPr>
          <w:rFonts w:ascii="Garamond" w:hAnsi="Garamond"/>
          <w:noProof/>
          <w:color w:val="000000" w:themeColor="text1"/>
          <w:sz w:val="24"/>
          <w:szCs w:val="24"/>
        </w:rPr>
        <w:t xml:space="preserve"> </w:t>
      </w:r>
      <w:r w:rsidR="006F41C5" w:rsidRPr="00B10EBE">
        <w:rPr>
          <w:rFonts w:ascii="Garamond" w:hAnsi="Garamond"/>
          <w:noProof/>
          <w:color w:val="000000" w:themeColor="text1"/>
          <w:sz w:val="24"/>
          <w:szCs w:val="24"/>
        </w:rPr>
        <w:t>grassland-savanna-forest transition</w:t>
      </w:r>
      <w:r w:rsidR="00C80904" w:rsidRPr="00B10EBE">
        <w:rPr>
          <w:rFonts w:ascii="Garamond" w:hAnsi="Garamond"/>
          <w:noProof/>
          <w:color w:val="000000" w:themeColor="text1"/>
          <w:sz w:val="24"/>
          <w:szCs w:val="24"/>
        </w:rPr>
        <w:t xml:space="preserve"> largely determined by </w:t>
      </w:r>
      <w:r w:rsidR="00C17D39" w:rsidRPr="00B10EBE">
        <w:rPr>
          <w:rFonts w:ascii="Garamond" w:hAnsi="Garamond"/>
          <w:noProof/>
          <w:color w:val="000000" w:themeColor="text1"/>
          <w:sz w:val="24"/>
          <w:szCs w:val="24"/>
        </w:rPr>
        <w:t>interactions</w:t>
      </w:r>
      <w:r w:rsidR="00C80904" w:rsidRPr="00B10EBE">
        <w:rPr>
          <w:rFonts w:ascii="Garamond" w:hAnsi="Garamond"/>
          <w:noProof/>
          <w:color w:val="000000" w:themeColor="text1"/>
          <w:sz w:val="24"/>
          <w:szCs w:val="24"/>
        </w:rPr>
        <w:t xml:space="preserve"> between rainfall, vegetation, and fire</w:t>
      </w:r>
      <w:r w:rsidR="001E2A9D" w:rsidRPr="00B10EBE">
        <w:rPr>
          <w:rFonts w:ascii="Garamond" w:hAnsi="Garamond"/>
          <w:noProof/>
          <w:color w:val="000000" w:themeColor="text1"/>
          <w:sz w:val="24"/>
          <w:szCs w:val="24"/>
        </w:rPr>
        <w:t xml:space="preserve"> </w:t>
      </w:r>
      <w:r w:rsidR="001E2A9D"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{"citationID":"a299ec3dcm7","properties":{"formattedCitation":"(Pausas &amp; Bond, 2020)","plainCitation":"(Pausas &amp; Bond, 2020)","noteIndex":0},"citationItems":[{"id":210,"uris":["http://zotero.org/users/10686236/items/MMMZUKJI"],"itemData":{"id":210,"type":"article-journal","abstract":"There is growing interest in the application of alternative stable state (ASS) theory to explain major vegetation patterns of the world. Here, we introduce the theory as applied to the puzzle of nonforested (open) biomes growing in climates that are warm and wet enough to support forests (alternative biome states, ABSs). Long thought to be the product of deforestation, diverse lines of evidence indicate that many open ecosystems are ancient. They have also been characterized as ‘early successional’ even where they persist for millennia. ABS is an alternative framework to that of climate determinism and succession for exploring forest/nonforest mosaics. This framework explains not only tropical forest–savanna landscapes, but also other landscape mosaics across the globe.","container-title":"Trends in Plant Science","DOI":"10.1016/j.tplants.2019.11.003","ISSN":"13601385","issue":"3","note":"publisher: Elsevier Ltd","page":"250-263","title":"Alternative Biome States in Terrestrial Ecosystems","volume":"25","author":[{"family":"Pausas","given":"Juli G."},{"family":"Bond","given":"William J."}],"issued":{"date-parts":[["2020"]]}}}],"schema":"https://github.com/citation-style-language/schema/raw/master/csl-citation.json"} </w:instrText>
      </w:r>
      <w:r w:rsidR="001E2A9D"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szCs w:val="24"/>
        </w:rPr>
        <w:t>(Pausas &amp; Bond, 2020)</w:t>
      </w:r>
      <w:r w:rsidR="001E2A9D" w:rsidRPr="00B10EBE">
        <w:rPr>
          <w:rFonts w:ascii="Garamond" w:hAnsi="Garamond"/>
          <w:noProof/>
          <w:color w:val="000000" w:themeColor="text1"/>
          <w:sz w:val="24"/>
          <w:szCs w:val="24"/>
        </w:rPr>
        <w:fldChar w:fldCharType="end"/>
      </w:r>
      <w:r w:rsidR="001E2A9D" w:rsidRPr="00B10EBE">
        <w:rPr>
          <w:rFonts w:ascii="Garamond" w:hAnsi="Garamond"/>
          <w:noProof/>
          <w:color w:val="000000" w:themeColor="text1"/>
          <w:sz w:val="24"/>
          <w:szCs w:val="24"/>
        </w:rPr>
        <w:t>.</w:t>
      </w:r>
      <w:r w:rsidR="000D3E40" w:rsidRPr="00B10EBE">
        <w:rPr>
          <w:rFonts w:ascii="Garamond" w:hAnsi="Garamond"/>
          <w:noProof/>
          <w:color w:val="000000" w:themeColor="text1"/>
          <w:sz w:val="24"/>
          <w:szCs w:val="24"/>
        </w:rPr>
        <w:t xml:space="preserve"> Shady, </w:t>
      </w:r>
      <w:r w:rsidR="00BF47A0" w:rsidRPr="00B10EBE">
        <w:rPr>
          <w:rFonts w:ascii="Garamond" w:hAnsi="Garamond"/>
          <w:noProof/>
          <w:color w:val="000000" w:themeColor="text1"/>
          <w:sz w:val="24"/>
          <w:szCs w:val="24"/>
        </w:rPr>
        <w:t>rainy</w:t>
      </w:r>
      <w:r w:rsidR="000D3E40" w:rsidRPr="00B10EBE">
        <w:rPr>
          <w:rFonts w:ascii="Garamond" w:hAnsi="Garamond"/>
          <w:noProof/>
          <w:color w:val="000000" w:themeColor="text1"/>
          <w:sz w:val="24"/>
          <w:szCs w:val="24"/>
        </w:rPr>
        <w:t xml:space="preserve"> environments</w:t>
      </w:r>
      <w:r w:rsidR="000D3E40" w:rsidRPr="00B10EBE">
        <w:rPr>
          <w:rFonts w:ascii="Garamond" w:hAnsi="Garamond"/>
          <w:color w:val="000000" w:themeColor="text1"/>
          <w:sz w:val="24"/>
          <w:szCs w:val="24"/>
        </w:rPr>
        <w:t xml:space="preserve"> </w:t>
      </w:r>
      <w:r w:rsidR="000D3E40" w:rsidRPr="00B10EBE">
        <w:rPr>
          <w:rFonts w:ascii="Garamond" w:hAnsi="Garamond"/>
          <w:noProof/>
          <w:color w:val="000000" w:themeColor="text1"/>
          <w:sz w:val="24"/>
          <w:szCs w:val="24"/>
        </w:rPr>
        <w:t>inhibit flammable conditions and hamper grass growth, which suppresses fire and promotes woody plant establishment</w:t>
      </w:r>
      <w:r w:rsidR="002C4B35" w:rsidRPr="00B10EBE">
        <w:rPr>
          <w:rFonts w:ascii="Garamond" w:hAnsi="Garamond"/>
          <w:noProof/>
          <w:color w:val="000000" w:themeColor="text1"/>
          <w:sz w:val="24"/>
          <w:szCs w:val="24"/>
        </w:rPr>
        <w:t xml:space="preserve"> </w:t>
      </w:r>
      <w:r w:rsidR="002C4B35"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{"citationID":"a1v5rvqbnu5","properties":{"formattedCitation":"(Wei, Wang, Brandt, et al., 2020)","plainCitation":"(Wei, Wang, Brandt, et al., 2020)","noteIndex":0},"citationItems":[{"id":343,"uris":["http://zotero.org/users/10686236/items/RX36XUCZ"],"itemData":{"id":343,"type":"article-journal","abstract":"Drylands occupy 43% of the African continent and play an important role in the global carbon cycle and in supporting local livelihoods. Understanding how dryland ecosystems respond to environmental changes, both structurally and functionally, is of great significance for sustainable dryland management. In this article, we review the current remote sensing-based knowledge on African dryland ecosystem dynamics and the main drivers of changes. Global CO2 enrichment, changes in rainfall regimes, and a decline in fire activity have collectively driven vegetation greening, woody plant increase and carbon dynamics in African drylands over recent decades, challenging the long-held desertification narrative. Here we also highlight the importance of rainfall–vegetation–fire feedbacks in enhancing dryland ecosystem resilience and predicting future ecosystem responses.","container-title":"Current Opinion in Environmental Sustainability","DOI":"10.1016/j.cosust.2020.09.004","ISSN":"18773435","note":"publisher: Elsevier B.V.","page":"29-35","title":"Responses and feedbacks of African dryland ecosystems to environmental changes","volume":"48","author":[{"family":"Wei","given":"Fangli"},{"family":"Wang","given":"Shuai"},{"family":"Brandt","given":"Martin"},{"family":"Fu","given":"Bojie"},{"family":"Meadows","given":"Michael E."},{"family":"Wang","given":"Lixin"},{"family":"Wang","given":"Lanhui"},{"family":"Tong","given":"Xiaowei"},{"family":"Fensholt","given":"Rasmus"}],"issued":{"date-parts":[["2020"]]}}}],"schema":"https://github.com/citation-style-language/schema/raw/master/csl-citation.json"} </w:instrText>
      </w:r>
      <w:r w:rsidR="002C4B35"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(Wei, Wang, Brandt, et al., 2020)</w:t>
      </w:r>
      <w:r w:rsidR="002C4B35" w:rsidRPr="00B10EBE">
        <w:rPr>
          <w:rFonts w:ascii="Garamond" w:hAnsi="Garamond"/>
          <w:noProof/>
          <w:color w:val="000000" w:themeColor="text1"/>
          <w:sz w:val="24"/>
          <w:szCs w:val="24"/>
        </w:rPr>
        <w:fldChar w:fldCharType="end"/>
      </w:r>
      <w:r w:rsidR="000D3E40" w:rsidRPr="00B10EBE">
        <w:rPr>
          <w:rFonts w:ascii="Garamond" w:hAnsi="Garamond"/>
          <w:noProof/>
          <w:color w:val="000000" w:themeColor="text1"/>
          <w:sz w:val="24"/>
          <w:szCs w:val="24"/>
        </w:rPr>
        <w:t xml:space="preserve">. In contrast, </w:t>
      </w:r>
      <w:r w:rsidR="00F95653" w:rsidRPr="00B10EBE">
        <w:rPr>
          <w:rFonts w:ascii="Garamond" w:hAnsi="Garamond"/>
          <w:noProof/>
          <w:color w:val="000000" w:themeColor="text1"/>
          <w:sz w:val="24"/>
          <w:szCs w:val="24"/>
        </w:rPr>
        <w:t xml:space="preserve">seasonal rainfall </w:t>
      </w:r>
      <w:r w:rsidR="006713C5" w:rsidRPr="00B10EBE">
        <w:rPr>
          <w:rFonts w:ascii="Garamond" w:hAnsi="Garamond"/>
          <w:noProof/>
          <w:color w:val="000000" w:themeColor="text1"/>
          <w:sz w:val="24"/>
          <w:szCs w:val="24"/>
        </w:rPr>
        <w:t>sustains</w:t>
      </w:r>
      <w:r w:rsidR="000D3E40" w:rsidRPr="00B10EBE">
        <w:rPr>
          <w:rFonts w:ascii="Garamond" w:hAnsi="Garamond"/>
          <w:noProof/>
          <w:color w:val="000000" w:themeColor="text1"/>
          <w:sz w:val="24"/>
          <w:szCs w:val="24"/>
        </w:rPr>
        <w:t xml:space="preserve"> open systems promoting the colonization of flammable grasses, which in turn intensif</w:t>
      </w:r>
      <w:r w:rsidR="000F28EC" w:rsidRPr="00B10EBE">
        <w:rPr>
          <w:rFonts w:ascii="Garamond" w:hAnsi="Garamond"/>
          <w:noProof/>
          <w:color w:val="000000" w:themeColor="text1"/>
          <w:sz w:val="24"/>
          <w:szCs w:val="24"/>
        </w:rPr>
        <w:t>ies</w:t>
      </w:r>
      <w:r w:rsidR="000D3E40" w:rsidRPr="00B10EBE">
        <w:rPr>
          <w:rFonts w:ascii="Garamond" w:hAnsi="Garamond"/>
          <w:noProof/>
          <w:color w:val="000000" w:themeColor="text1"/>
          <w:sz w:val="24"/>
          <w:szCs w:val="24"/>
        </w:rPr>
        <w:t xml:space="preserve"> fires and exclude</w:t>
      </w:r>
      <w:r w:rsidR="009144B0" w:rsidRPr="00B10EBE">
        <w:rPr>
          <w:rFonts w:ascii="Garamond" w:hAnsi="Garamond"/>
          <w:noProof/>
          <w:color w:val="000000" w:themeColor="text1"/>
          <w:sz w:val="24"/>
          <w:szCs w:val="24"/>
        </w:rPr>
        <w:t>s</w:t>
      </w:r>
      <w:r w:rsidR="000D3E40" w:rsidRPr="00B10EBE">
        <w:rPr>
          <w:rFonts w:ascii="Garamond" w:hAnsi="Garamond"/>
          <w:noProof/>
          <w:color w:val="000000" w:themeColor="text1"/>
          <w:sz w:val="24"/>
          <w:szCs w:val="24"/>
        </w:rPr>
        <w:t xml:space="preserve"> woody plants</w:t>
      </w:r>
      <w:r w:rsidR="00F95653" w:rsidRPr="00B10EBE">
        <w:rPr>
          <w:rFonts w:ascii="Garamond" w:hAnsi="Garamond"/>
          <w:noProof/>
          <w:color w:val="000000" w:themeColor="text1"/>
          <w:sz w:val="24"/>
          <w:szCs w:val="24"/>
        </w:rPr>
        <w:t xml:space="preserve"> at</w:t>
      </w:r>
      <w:r w:rsidR="000D3E40" w:rsidRPr="00B10EBE">
        <w:rPr>
          <w:rFonts w:ascii="Garamond" w:hAnsi="Garamond"/>
          <w:noProof/>
          <w:color w:val="000000" w:themeColor="text1"/>
          <w:sz w:val="24"/>
          <w:szCs w:val="24"/>
        </w:rPr>
        <w:t xml:space="preserve"> rate</w:t>
      </w:r>
      <w:r w:rsidR="00F95653" w:rsidRPr="00B10EBE">
        <w:rPr>
          <w:rFonts w:ascii="Garamond" w:hAnsi="Garamond"/>
          <w:noProof/>
          <w:color w:val="000000" w:themeColor="text1"/>
          <w:sz w:val="24"/>
          <w:szCs w:val="24"/>
        </w:rPr>
        <w:t>s</w:t>
      </w:r>
      <w:r w:rsidR="000D3E40" w:rsidRPr="00B10EBE">
        <w:rPr>
          <w:rFonts w:ascii="Garamond" w:hAnsi="Garamond"/>
          <w:noProof/>
          <w:color w:val="000000" w:themeColor="text1"/>
          <w:sz w:val="24"/>
          <w:szCs w:val="24"/>
        </w:rPr>
        <w:t xml:space="preserve"> </w:t>
      </w:r>
      <w:r w:rsidR="00F95653" w:rsidRPr="00B10EBE">
        <w:rPr>
          <w:rFonts w:ascii="Garamond" w:hAnsi="Garamond"/>
          <w:noProof/>
          <w:color w:val="000000" w:themeColor="text1"/>
          <w:sz w:val="24"/>
          <w:szCs w:val="24"/>
        </w:rPr>
        <w:t>that</w:t>
      </w:r>
      <w:r w:rsidR="000D3E40" w:rsidRPr="00B10EBE">
        <w:rPr>
          <w:rFonts w:ascii="Garamond" w:hAnsi="Garamond"/>
          <w:noProof/>
          <w:color w:val="000000" w:themeColor="text1"/>
          <w:sz w:val="24"/>
          <w:szCs w:val="24"/>
        </w:rPr>
        <w:t xml:space="preserve"> may vary with different rainfall accumulation periods before the fire season</w:t>
      </w:r>
      <w:r w:rsidR="00D57D50" w:rsidRPr="00B10EBE">
        <w:rPr>
          <w:rFonts w:ascii="Garamond" w:hAnsi="Garamond"/>
          <w:noProof/>
          <w:color w:val="000000" w:themeColor="text1"/>
          <w:sz w:val="24"/>
          <w:szCs w:val="24"/>
        </w:rPr>
        <w:t xml:space="preserve"> </w:t>
      </w:r>
      <w:r w:rsidR="00D57D5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{"citationID":"ac6bs1pidb","properties":{"formattedCitation":"(Archibald et al., 2009)","plainCitation":"(Archibald et al., 2009)","noteIndex":0},"citationItems":[{"id":366,"uris":["http://zotero.org/users/10686236/items/XCLXEEJ4"],"itemData":{"id":366,"type":"article-journal","abstract":"The factors controlling the extent of fire in Africa south of the equator were investigated using moderate resolution (500 m) satellite-derived burned area maps and spatial data on the environmental factors thought to affect burnt area. A random forest regression tree procedure was used to determine the relative importance of each factor in explaining the burned area fraction and to address hypotheses concerned with human and climatic influences on the drivers of burnt area. The model explained 68% of the variance in burnt area. Tree cover, rainfall in the previous 2 years, and rainfall seasonality were the most important predictors. Human activities – represented by grazing, roads per unit area, population density, and cultivation fraction – were also shown to affect burnt area, but only in parts of the continent with specific climatic conditions, and often in ways counter to the prevailing wisdom that more human activity leads to more fire. The analysis found no indication that ignitions were limiting total burnt area on the continent, and most of the spatial variation was due to variation in fuel load and moisture. Split conditions from the regression tree identified (i) low rainfall regions, where fire is rare; (ii) regions where fire is under human control; and (iii) higher rainfall regions where burnt area is determined by rainfall seasonality. This study provides insights into the physical, climatic, and human drivers of fire and their relative importance across southern Africa, and represents the beginnings of a predictive framework for burnt area.","container-title":"Global Change Biology","DOI":"10.1111/j.1365-2486.2008.01754.x","ISSN":"13541013","issue":"3","note":"PMID: 236\nISBN: 1365-2486","page":"613-630","title":"What limits fire? An examination of drivers of burnt area in Southern Africa","volume":"15","author":[{"family":"Archibald","given":"Sally"},{"family":"Roy","given":"David P."},{"family":"Wilgen","given":"Brian W.","non-dropping-particle":"van"},{"family":"Scholes","given":"Robert J."}],"issued":{"date-parts":[["2009"]]}}}],"schema":"https://github.com/citation-style-language/schema/raw/master/csl-citation.json"} </w:instrText>
      </w:r>
      <w:r w:rsidR="00D57D50"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(Archibald et al., 2009)</w:t>
      </w:r>
      <w:r w:rsidR="00D57D50" w:rsidRPr="00B10EBE">
        <w:rPr>
          <w:rFonts w:ascii="Garamond" w:hAnsi="Garamond"/>
          <w:noProof/>
          <w:color w:val="000000" w:themeColor="text1"/>
          <w:sz w:val="24"/>
          <w:szCs w:val="24"/>
        </w:rPr>
        <w:fldChar w:fldCharType="end"/>
      </w:r>
      <w:r w:rsidR="000D3E40" w:rsidRPr="00B10EBE">
        <w:rPr>
          <w:rFonts w:ascii="Garamond" w:hAnsi="Garamond"/>
          <w:noProof/>
          <w:color w:val="000000" w:themeColor="text1"/>
          <w:sz w:val="24"/>
          <w:szCs w:val="24"/>
        </w:rPr>
        <w:t>.</w:t>
      </w:r>
      <w:r w:rsidR="00A95A56" w:rsidRPr="00B10EBE">
        <w:rPr>
          <w:rFonts w:ascii="Garamond" w:hAnsi="Garamond"/>
          <w:noProof/>
          <w:color w:val="000000" w:themeColor="text1"/>
          <w:sz w:val="24"/>
          <w:szCs w:val="24"/>
        </w:rPr>
        <w:t xml:space="preserve"> </w:t>
      </w:r>
      <w:r w:rsidR="00F90D89" w:rsidRPr="00B10EBE">
        <w:rPr>
          <w:rFonts w:ascii="Garamond" w:hAnsi="Garamond"/>
          <w:noProof/>
          <w:color w:val="000000" w:themeColor="text1"/>
          <w:sz w:val="24"/>
          <w:szCs w:val="24"/>
        </w:rPr>
        <w:t>A</w:t>
      </w:r>
      <w:r w:rsidR="00F95653" w:rsidRPr="00B10EBE">
        <w:rPr>
          <w:rFonts w:ascii="Garamond" w:hAnsi="Garamond"/>
          <w:noProof/>
          <w:color w:val="000000" w:themeColor="text1"/>
          <w:sz w:val="24"/>
          <w:szCs w:val="24"/>
        </w:rPr>
        <w:t>ccordingly</w:t>
      </w:r>
      <w:r w:rsidR="00A95A56" w:rsidRPr="00B10EBE">
        <w:rPr>
          <w:rFonts w:ascii="Garamond" w:hAnsi="Garamond"/>
          <w:noProof/>
          <w:color w:val="000000" w:themeColor="text1"/>
          <w:sz w:val="24"/>
          <w:szCs w:val="24"/>
        </w:rPr>
        <w:t>, the feedback between fire and woody vegetation is generally negative</w:t>
      </w:r>
      <w:r w:rsidR="00BF47A0" w:rsidRPr="00B10EBE">
        <w:rPr>
          <w:rFonts w:ascii="Garamond" w:hAnsi="Garamond"/>
          <w:noProof/>
          <w:color w:val="000000" w:themeColor="text1"/>
          <w:sz w:val="24"/>
          <w:szCs w:val="24"/>
        </w:rPr>
        <w:t>, i.e., one suppresses the other</w:t>
      </w:r>
      <w:r w:rsidR="00A95A56" w:rsidRPr="00B10EBE">
        <w:rPr>
          <w:rFonts w:ascii="Garamond" w:hAnsi="Garamond"/>
          <w:noProof/>
          <w:color w:val="000000" w:themeColor="text1"/>
          <w:sz w:val="24"/>
          <w:szCs w:val="24"/>
        </w:rPr>
        <w:t>.</w:t>
      </w:r>
      <w:r w:rsidR="00B539BF" w:rsidRPr="00B10EBE">
        <w:rPr>
          <w:rFonts w:ascii="Garamond" w:hAnsi="Garamond"/>
          <w:noProof/>
          <w:color w:val="000000" w:themeColor="text1"/>
          <w:sz w:val="24"/>
          <w:szCs w:val="24"/>
        </w:rPr>
        <w:t xml:space="preserve"> </w:t>
      </w:r>
      <w:r w:rsidR="000D6975" w:rsidRPr="00B10EBE">
        <w:rPr>
          <w:rFonts w:ascii="Garamond" w:hAnsi="Garamond"/>
          <w:noProof/>
          <w:color w:val="000000" w:themeColor="text1"/>
          <w:sz w:val="24"/>
          <w:szCs w:val="24"/>
        </w:rPr>
        <w:t xml:space="preserve">However, the interplay between rainfall, vegetation, and fire is more complex and influenced by other drivers. </w:t>
      </w:r>
      <w:r w:rsidR="00A95A56" w:rsidRPr="00B10EBE">
        <w:rPr>
          <w:rFonts w:ascii="Garamond" w:hAnsi="Garamond"/>
          <w:noProof/>
          <w:color w:val="000000" w:themeColor="text1"/>
          <w:sz w:val="24"/>
          <w:szCs w:val="24"/>
        </w:rPr>
        <w:t>Intensive</w:t>
      </w:r>
      <w:r w:rsidR="00B539BF" w:rsidRPr="00B10EBE">
        <w:rPr>
          <w:rFonts w:ascii="Garamond" w:hAnsi="Garamond"/>
          <w:noProof/>
          <w:color w:val="000000" w:themeColor="text1"/>
          <w:sz w:val="24"/>
          <w:szCs w:val="24"/>
        </w:rPr>
        <w:t xml:space="preserve"> </w:t>
      </w:r>
      <w:r w:rsidR="00A95A56" w:rsidRPr="00B10EBE">
        <w:rPr>
          <w:rFonts w:ascii="Garamond" w:hAnsi="Garamond"/>
          <w:noProof/>
          <w:color w:val="000000" w:themeColor="text1"/>
          <w:sz w:val="24"/>
          <w:szCs w:val="24"/>
        </w:rPr>
        <w:t>rainfall before or after the</w:t>
      </w:r>
      <w:r w:rsidR="00EB2EE2" w:rsidRPr="00B10EBE">
        <w:rPr>
          <w:rFonts w:ascii="Garamond" w:hAnsi="Garamond"/>
          <w:noProof/>
          <w:color w:val="000000" w:themeColor="text1"/>
          <w:sz w:val="24"/>
          <w:szCs w:val="24"/>
        </w:rPr>
        <w:t xml:space="preserve"> </w:t>
      </w:r>
      <w:r w:rsidR="00BF47A0" w:rsidRPr="00B10EBE">
        <w:rPr>
          <w:rFonts w:ascii="Garamond" w:hAnsi="Garamond"/>
          <w:noProof/>
          <w:color w:val="000000" w:themeColor="text1"/>
          <w:sz w:val="24"/>
          <w:szCs w:val="24"/>
        </w:rPr>
        <w:t xml:space="preserve">core </w:t>
      </w:r>
      <w:r w:rsidR="00A95A56" w:rsidRPr="00B10EBE">
        <w:rPr>
          <w:rFonts w:ascii="Garamond" w:hAnsi="Garamond"/>
          <w:noProof/>
          <w:color w:val="000000" w:themeColor="text1"/>
          <w:sz w:val="24"/>
          <w:szCs w:val="24"/>
        </w:rPr>
        <w:t xml:space="preserve">wet season, for instance, </w:t>
      </w:r>
      <w:r w:rsidR="005316D8" w:rsidRPr="00B10EBE">
        <w:rPr>
          <w:rFonts w:ascii="Garamond" w:hAnsi="Garamond"/>
          <w:noProof/>
          <w:color w:val="000000" w:themeColor="text1"/>
          <w:sz w:val="24"/>
          <w:szCs w:val="24"/>
        </w:rPr>
        <w:t>can</w:t>
      </w:r>
      <w:r w:rsidR="00A95A56" w:rsidRPr="00B10EBE">
        <w:rPr>
          <w:rFonts w:ascii="Garamond" w:hAnsi="Garamond"/>
          <w:noProof/>
          <w:color w:val="000000" w:themeColor="text1"/>
          <w:sz w:val="24"/>
          <w:szCs w:val="24"/>
        </w:rPr>
        <w:t xml:space="preserve"> </w:t>
      </w:r>
      <w:r w:rsidR="007324D1" w:rsidRPr="00B10EBE">
        <w:rPr>
          <w:rFonts w:ascii="Garamond" w:hAnsi="Garamond"/>
          <w:noProof/>
          <w:color w:val="000000" w:themeColor="text1"/>
          <w:sz w:val="24"/>
          <w:szCs w:val="24"/>
        </w:rPr>
        <w:t xml:space="preserve">promote </w:t>
      </w:r>
      <w:r w:rsidR="00A95A56" w:rsidRPr="00B10EBE">
        <w:rPr>
          <w:rFonts w:ascii="Garamond" w:hAnsi="Garamond"/>
          <w:noProof/>
          <w:color w:val="000000" w:themeColor="text1"/>
          <w:sz w:val="24"/>
          <w:szCs w:val="24"/>
        </w:rPr>
        <w:t>woody over grassy</w:t>
      </w:r>
      <w:r w:rsidR="00B539BF" w:rsidRPr="00B10EBE">
        <w:rPr>
          <w:rFonts w:ascii="Garamond" w:hAnsi="Garamond"/>
          <w:noProof/>
          <w:color w:val="000000" w:themeColor="text1"/>
          <w:sz w:val="24"/>
          <w:szCs w:val="24"/>
        </w:rPr>
        <w:t xml:space="preserve"> </w:t>
      </w:r>
      <w:r w:rsidR="00A95A56" w:rsidRPr="00B10EBE">
        <w:rPr>
          <w:rFonts w:ascii="Garamond" w:hAnsi="Garamond"/>
          <w:noProof/>
          <w:color w:val="000000" w:themeColor="text1"/>
          <w:sz w:val="24"/>
          <w:szCs w:val="24"/>
        </w:rPr>
        <w:t>vegetation</w:t>
      </w:r>
      <w:r w:rsidR="00B539BF" w:rsidRPr="00B10EBE">
        <w:rPr>
          <w:rFonts w:ascii="Garamond" w:hAnsi="Garamond"/>
          <w:noProof/>
          <w:color w:val="000000" w:themeColor="text1"/>
          <w:sz w:val="24"/>
          <w:szCs w:val="24"/>
        </w:rPr>
        <w:t xml:space="preserve"> </w:t>
      </w:r>
      <w:r w:rsidR="00B539BF"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{"citationID":"4xuwO9jE","properties":{"formattedCitation":"(Brandt et al., 2019)","plainCitation":"(Brandt et al., 2019)","noteIndex":0},"citationItems":[{"id":332,"uris":["http://zotero.org/users/10686236/items/M4KYL5TX"],"itemData":{"id":332,"type":"article-journal","container-title":"Communications Biology","DOI":"10.1038/s42003-019-0383-9","ISSN":"2399-3642","issue":"1","note":"publisher: Springer US\nISBN: 4200301903","page":"133","title":"Changes in rainfall distribution promote woody foliage production in the Sahel","volume":"2","author":[{"family":"Brandt","given":"Martin"},{"family":"Hiernaux","given":"Pierre"},{"family":"Rasmussen","given":"Kjeld"},{"family":"Tucker","given":"Compton J."},{"family":"Wigneron","given":"Jean-Pierre"},{"family":"Diouf","given":"Abdoul Aziz"},{"family":"Herrmann","given":"Stefanie M."},{"family":"Zhang","given":"Wenmin"},{"family":"Kergoat","given":"Laurent"},{"family":"Mbow","given":"Cheikh"},{"family":"Abel","given":"Christin"},{"family":"Auda","given":"Yves"},{"family":"Fensholt","given":"Rasmus"}],"issued":{"date-parts":[["2019"]]}}}],"schema":"https://github.com/citation-style-language/schema/raw/master/csl-citation.json"} </w:instrText>
      </w:r>
      <w:r w:rsidR="00B539BF"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(Brandt et al., 2019)</w:t>
      </w:r>
      <w:r w:rsidR="00B539BF" w:rsidRPr="00B10EBE">
        <w:rPr>
          <w:rFonts w:ascii="Garamond" w:hAnsi="Garamond"/>
          <w:noProof/>
          <w:color w:val="000000" w:themeColor="text1"/>
          <w:sz w:val="24"/>
          <w:szCs w:val="24"/>
        </w:rPr>
        <w:fldChar w:fldCharType="end"/>
      </w:r>
      <w:r w:rsidR="00A95A56" w:rsidRPr="00B10EBE">
        <w:rPr>
          <w:rFonts w:ascii="Garamond" w:hAnsi="Garamond"/>
          <w:noProof/>
          <w:color w:val="000000" w:themeColor="text1"/>
          <w:sz w:val="24"/>
          <w:szCs w:val="24"/>
        </w:rPr>
        <w:t xml:space="preserve">. </w:t>
      </w:r>
      <w:r w:rsidR="00F453AA" w:rsidRPr="00B10EBE">
        <w:rPr>
          <w:rFonts w:ascii="Garamond" w:hAnsi="Garamond"/>
          <w:noProof/>
          <w:color w:val="000000" w:themeColor="text1"/>
          <w:sz w:val="24"/>
          <w:szCs w:val="24"/>
        </w:rPr>
        <w:t>Meanwhile, i</w:t>
      </w:r>
      <w:r w:rsidR="00A95A56" w:rsidRPr="00B10EBE">
        <w:rPr>
          <w:rFonts w:ascii="Garamond" w:hAnsi="Garamond"/>
          <w:noProof/>
          <w:color w:val="000000" w:themeColor="text1"/>
          <w:sz w:val="24"/>
          <w:szCs w:val="24"/>
        </w:rPr>
        <w:t>ncreasing temperature could trigger fire</w:t>
      </w:r>
      <w:r w:rsidR="00C87EF3" w:rsidRPr="00B10EBE">
        <w:rPr>
          <w:rFonts w:ascii="Garamond" w:hAnsi="Garamond"/>
          <w:noProof/>
          <w:color w:val="000000" w:themeColor="text1"/>
          <w:sz w:val="24"/>
          <w:szCs w:val="24"/>
        </w:rPr>
        <w:t>s</w:t>
      </w:r>
      <w:r w:rsidR="00A95A56" w:rsidRPr="00B10EBE">
        <w:rPr>
          <w:rFonts w:ascii="Garamond" w:hAnsi="Garamond"/>
          <w:noProof/>
          <w:color w:val="000000" w:themeColor="text1"/>
          <w:sz w:val="24"/>
          <w:szCs w:val="24"/>
        </w:rPr>
        <w:t xml:space="preserve"> </w:t>
      </w:r>
      <w:r w:rsidR="00D25513" w:rsidRPr="00B10EBE">
        <w:rPr>
          <w:rFonts w:ascii="Garamond" w:hAnsi="Garamond"/>
          <w:noProof/>
          <w:color w:val="000000" w:themeColor="text1"/>
          <w:sz w:val="24"/>
          <w:szCs w:val="24"/>
        </w:rPr>
        <w:t xml:space="preserve">either </w:t>
      </w:r>
      <w:r w:rsidR="00EB2EE2" w:rsidRPr="00B10EBE">
        <w:rPr>
          <w:rFonts w:ascii="Garamond" w:hAnsi="Garamond"/>
          <w:noProof/>
          <w:color w:val="000000" w:themeColor="text1"/>
          <w:sz w:val="24"/>
          <w:szCs w:val="24"/>
        </w:rPr>
        <w:t xml:space="preserve">by </w:t>
      </w:r>
      <w:r w:rsidR="00A95A56" w:rsidRPr="00B10EBE">
        <w:rPr>
          <w:rFonts w:ascii="Garamond" w:hAnsi="Garamond"/>
          <w:noProof/>
          <w:color w:val="000000" w:themeColor="text1"/>
          <w:sz w:val="24"/>
          <w:szCs w:val="24"/>
        </w:rPr>
        <w:t xml:space="preserve">facilitating seasonal fuel curing or </w:t>
      </w:r>
      <w:r w:rsidR="00C17D39" w:rsidRPr="00B10EBE">
        <w:rPr>
          <w:rFonts w:ascii="Garamond" w:hAnsi="Garamond"/>
          <w:noProof/>
          <w:color w:val="000000" w:themeColor="text1"/>
          <w:sz w:val="24"/>
          <w:szCs w:val="24"/>
        </w:rPr>
        <w:t>as</w:t>
      </w:r>
      <w:r w:rsidR="00526BA0" w:rsidRPr="00B10EBE">
        <w:rPr>
          <w:rFonts w:ascii="Garamond" w:hAnsi="Garamond"/>
          <w:noProof/>
          <w:color w:val="000000" w:themeColor="text1"/>
          <w:sz w:val="24"/>
          <w:szCs w:val="24"/>
        </w:rPr>
        <w:t xml:space="preserve"> </w:t>
      </w:r>
      <w:r w:rsidR="00A95A56" w:rsidRPr="00B10EBE">
        <w:rPr>
          <w:rFonts w:ascii="Garamond" w:hAnsi="Garamond"/>
          <w:noProof/>
          <w:color w:val="000000" w:themeColor="text1"/>
          <w:sz w:val="24"/>
          <w:szCs w:val="24"/>
        </w:rPr>
        <w:t>C</w:t>
      </w:r>
      <w:r w:rsidR="00A95A56" w:rsidRPr="00B10EBE">
        <w:rPr>
          <w:rFonts w:ascii="Garamond" w:hAnsi="Garamond"/>
          <w:noProof/>
          <w:color w:val="000000" w:themeColor="text1"/>
          <w:sz w:val="24"/>
          <w:szCs w:val="24"/>
          <w:vertAlign w:val="subscript"/>
        </w:rPr>
        <w:t>4</w:t>
      </w:r>
      <w:r w:rsidR="00A95A56" w:rsidRPr="00B10EBE">
        <w:rPr>
          <w:rFonts w:ascii="Garamond" w:hAnsi="Garamond"/>
          <w:noProof/>
          <w:color w:val="000000" w:themeColor="text1"/>
          <w:sz w:val="24"/>
          <w:szCs w:val="24"/>
        </w:rPr>
        <w:t xml:space="preserve"> grasses have high-temperature photosynthesis</w:t>
      </w:r>
      <w:r w:rsidR="00C17D39" w:rsidRPr="00B10EBE">
        <w:rPr>
          <w:rFonts w:ascii="Garamond" w:hAnsi="Garamond"/>
          <w:noProof/>
          <w:color w:val="000000" w:themeColor="text1"/>
          <w:sz w:val="24"/>
          <w:szCs w:val="24"/>
        </w:rPr>
        <w:t>, which</w:t>
      </w:r>
      <w:r w:rsidR="00A95A56" w:rsidRPr="00B10EBE">
        <w:rPr>
          <w:rFonts w:ascii="Garamond" w:hAnsi="Garamond"/>
          <w:noProof/>
          <w:color w:val="000000" w:themeColor="text1"/>
          <w:sz w:val="24"/>
          <w:szCs w:val="24"/>
        </w:rPr>
        <w:t xml:space="preserve"> </w:t>
      </w:r>
      <w:r w:rsidR="00C17D39" w:rsidRPr="00B10EBE">
        <w:rPr>
          <w:rFonts w:ascii="Garamond" w:hAnsi="Garamond"/>
          <w:noProof/>
          <w:color w:val="000000" w:themeColor="text1"/>
          <w:sz w:val="24"/>
          <w:szCs w:val="24"/>
        </w:rPr>
        <w:t>leads</w:t>
      </w:r>
      <w:r w:rsidR="00A46CBF" w:rsidRPr="00B10EBE">
        <w:rPr>
          <w:rFonts w:ascii="Garamond" w:hAnsi="Garamond"/>
          <w:noProof/>
          <w:color w:val="000000" w:themeColor="text1"/>
          <w:sz w:val="24"/>
          <w:szCs w:val="24"/>
        </w:rPr>
        <w:t xml:space="preserve"> </w:t>
      </w:r>
      <w:r w:rsidR="006713C5" w:rsidRPr="00B10EBE">
        <w:rPr>
          <w:rFonts w:ascii="Garamond" w:hAnsi="Garamond"/>
          <w:noProof/>
          <w:color w:val="000000" w:themeColor="text1"/>
          <w:sz w:val="24"/>
          <w:szCs w:val="24"/>
        </w:rPr>
        <w:t xml:space="preserve">to </w:t>
      </w:r>
      <w:r w:rsidR="00D25513" w:rsidRPr="00B10EBE">
        <w:rPr>
          <w:rFonts w:ascii="Garamond" w:hAnsi="Garamond"/>
          <w:noProof/>
          <w:color w:val="000000" w:themeColor="text1"/>
          <w:sz w:val="24"/>
          <w:szCs w:val="24"/>
        </w:rPr>
        <w:t>fast</w:t>
      </w:r>
      <w:r w:rsidR="00A46CBF" w:rsidRPr="00B10EBE">
        <w:rPr>
          <w:rFonts w:ascii="Garamond" w:hAnsi="Garamond"/>
          <w:noProof/>
          <w:color w:val="000000" w:themeColor="text1"/>
          <w:sz w:val="24"/>
          <w:szCs w:val="24"/>
        </w:rPr>
        <w:t xml:space="preserve"> </w:t>
      </w:r>
      <w:r w:rsidR="00A95A56" w:rsidRPr="00B10EBE">
        <w:rPr>
          <w:rFonts w:ascii="Garamond" w:hAnsi="Garamond"/>
          <w:noProof/>
          <w:color w:val="000000" w:themeColor="text1"/>
          <w:sz w:val="24"/>
          <w:szCs w:val="24"/>
        </w:rPr>
        <w:t>biomass build-up in warmer ecosystems</w:t>
      </w:r>
      <w:r w:rsidR="00D57D50" w:rsidRPr="00B10EBE">
        <w:rPr>
          <w:rFonts w:ascii="Garamond" w:hAnsi="Garamond"/>
          <w:noProof/>
          <w:color w:val="000000" w:themeColor="text1"/>
          <w:sz w:val="24"/>
          <w:szCs w:val="24"/>
        </w:rPr>
        <w:t xml:space="preserve"> </w:t>
      </w:r>
      <w:r w:rsidR="00D57D5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{"citationID":"alaki6pqfn","properties":{"formattedCitation":"(Lehmann et al., 2014)","plainCitation":"(Lehmann et al., 2014)","noteIndex":0},"citationItems":[{"id":362,"uris":["http://zotero.org/users/10686236/items/YCI8M36R"],"itemData":{"id":362,"type":"article-journal","abstract":"Ecologists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stocks.","container-title":"Science","DOI":"10.1126/science.1247355","ISSN":"0036-8075","issue":"6170","note":"PMID: 24482480\nISBN: 0036-8075","page":"548-552","title":"Savanna Vegetation-Fire-Climate Relationships Differ Among Continents","volume":"343","author":[{"family":"Lehmann","given":"C. E. R."},{"family":"Anderson","given":"T. M."},{"family":"Sankaran","given":"M."},{"family":"Higgins","given":"S. I."},{"family":"Archibald","given":"S."},{"family":"Hoffmann","given":"W. A."},{"family":"Hanan","given":"N. P."},{"family":"Williams","given":"R. J."},{"family":"Fensham","given":"R. J."},{"family":"Felfili","given":"J."},{"family":"Hutley","given":"L. B."},{"family":"Ratnam","given":"J."},{"family":"San Jose","given":"J."},{"family":"Montes","given":"R."},{"family":"Franklin","given":"D."},{"family":"Russell-Smith","given":"J."},{"family":"Ryan","given":"C. M."},{"family":"Durigan","given":"G."},{"family":"Hiernaux","given":"P."},{"family":"Haidar","given":"R."},{"family":"Bowman","given":"D. M. J. S."},{"family":"Bond","given":"W. J."}],"issued":{"date-parts":[["2014"]]}}}],"schema":"https://github.com/citation-style-language/schema/raw/master/csl-citation.json"} </w:instrText>
      </w:r>
      <w:r w:rsidR="00D57D50"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(Lehmann et al., 2014)</w:t>
      </w:r>
      <w:r w:rsidR="00D57D50" w:rsidRPr="00B10EBE">
        <w:rPr>
          <w:rFonts w:ascii="Garamond" w:hAnsi="Garamond"/>
          <w:noProof/>
          <w:color w:val="000000" w:themeColor="text1"/>
          <w:sz w:val="24"/>
          <w:szCs w:val="24"/>
        </w:rPr>
        <w:fldChar w:fldCharType="end"/>
      </w:r>
      <w:r w:rsidR="00A95A56" w:rsidRPr="00B10EBE">
        <w:rPr>
          <w:rFonts w:ascii="Garamond" w:hAnsi="Garamond"/>
          <w:noProof/>
          <w:color w:val="000000" w:themeColor="text1"/>
          <w:sz w:val="24"/>
          <w:szCs w:val="24"/>
        </w:rPr>
        <w:t>. Yet the opposite</w:t>
      </w:r>
      <w:r w:rsidR="00C17D39" w:rsidRPr="00B10EBE">
        <w:rPr>
          <w:rFonts w:ascii="Garamond" w:hAnsi="Garamond"/>
          <w:noProof/>
          <w:color w:val="000000" w:themeColor="text1"/>
          <w:sz w:val="24"/>
          <w:szCs w:val="24"/>
        </w:rPr>
        <w:t xml:space="preserve"> was</w:t>
      </w:r>
      <w:r w:rsidR="00A95A56" w:rsidRPr="00B10EBE">
        <w:rPr>
          <w:rFonts w:ascii="Garamond" w:hAnsi="Garamond"/>
          <w:noProof/>
          <w:color w:val="000000" w:themeColor="text1"/>
          <w:sz w:val="24"/>
          <w:szCs w:val="24"/>
        </w:rPr>
        <w:t xml:space="preserve"> also </w:t>
      </w:r>
      <w:r w:rsidR="00C17D39" w:rsidRPr="00B10EBE">
        <w:rPr>
          <w:rFonts w:ascii="Garamond" w:hAnsi="Garamond"/>
          <w:noProof/>
          <w:color w:val="000000" w:themeColor="text1"/>
          <w:sz w:val="24"/>
          <w:szCs w:val="24"/>
        </w:rPr>
        <w:t>observed</w:t>
      </w:r>
      <w:r w:rsidR="00A95A56" w:rsidRPr="00B10EBE">
        <w:rPr>
          <w:rFonts w:ascii="Garamond" w:hAnsi="Garamond"/>
          <w:noProof/>
          <w:color w:val="000000" w:themeColor="text1"/>
          <w:sz w:val="24"/>
          <w:szCs w:val="24"/>
        </w:rPr>
        <w:t xml:space="preserve">, as a recent sequence of </w:t>
      </w:r>
      <w:r w:rsidR="00C0363C" w:rsidRPr="00B10EBE">
        <w:rPr>
          <w:rFonts w:ascii="Garamond" w:hAnsi="Garamond"/>
          <w:noProof/>
          <w:color w:val="000000" w:themeColor="text1"/>
          <w:sz w:val="24"/>
          <w:szCs w:val="24"/>
        </w:rPr>
        <w:t>drought</w:t>
      </w:r>
      <w:r w:rsidR="00A95A56" w:rsidRPr="00B10EBE">
        <w:rPr>
          <w:rFonts w:ascii="Garamond" w:hAnsi="Garamond"/>
          <w:noProof/>
          <w:color w:val="000000" w:themeColor="text1"/>
          <w:sz w:val="24"/>
          <w:szCs w:val="24"/>
        </w:rPr>
        <w:t xml:space="preserve"> years caused a decrease in fuel</w:t>
      </w:r>
      <w:r w:rsidR="000340DF" w:rsidRPr="00B10EBE">
        <w:rPr>
          <w:rFonts w:ascii="Garamond" w:hAnsi="Garamond"/>
          <w:noProof/>
          <w:color w:val="000000" w:themeColor="text1"/>
          <w:sz w:val="24"/>
          <w:szCs w:val="24"/>
        </w:rPr>
        <w:t xml:space="preserve"> </w:t>
      </w:r>
      <w:r w:rsidR="00436D72" w:rsidRPr="00B10EBE">
        <w:rPr>
          <w:rFonts w:ascii="Garamond" w:hAnsi="Garamond"/>
          <w:noProof/>
          <w:color w:val="000000" w:themeColor="text1"/>
          <w:sz w:val="24"/>
          <w:szCs w:val="24"/>
        </w:rPr>
        <w:t xml:space="preserve">loads </w:t>
      </w:r>
      <w:r w:rsidR="00A95A56" w:rsidRPr="00B10EBE">
        <w:rPr>
          <w:rFonts w:ascii="Garamond" w:hAnsi="Garamond"/>
          <w:noProof/>
          <w:color w:val="000000" w:themeColor="text1"/>
          <w:sz w:val="24"/>
          <w:szCs w:val="24"/>
        </w:rPr>
        <w:t>and fire events</w:t>
      </w:r>
      <w:r w:rsidR="002C4B35" w:rsidRPr="00B10EBE">
        <w:rPr>
          <w:rFonts w:ascii="Garamond" w:hAnsi="Garamond"/>
          <w:noProof/>
          <w:color w:val="000000" w:themeColor="text1"/>
          <w:sz w:val="24"/>
          <w:szCs w:val="24"/>
        </w:rPr>
        <w:t xml:space="preserve"> </w:t>
      </w:r>
      <w:r w:rsidR="002C4B35"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{"citationID":"a2qja43a154","properties":{"formattedCitation":"(Wei, Wang, Fu, et al., 2020)","plainCitation":"(Wei, Wang, Fu, et al., 2020)","noteIndex":0},"citationItems":[{"id":339,"uris":["http://zotero.org/users/10686236/items/8NBYKMKG"],"itemData":{"id":339,"type":"article-journal","abstract":"Dynamics of fires in Africa are of critical importance for understanding changes in ecosystem properties and effects on the global carbon cycle. Given increasing fire risk from projected warming on the one hand and a documented human-driven decline in fires on the other, it is still unknown how the complex interplay between climate and human factors affects recent changes of fires in Africa. Moreover, the impact of recent strong El Niño events on fire dynamics is not yet known. By applying an ensemble empirical mode decomposition method to satellite-derived fire burned area, we investigated the spatio-temporal evolution of fires in Africa over 2001–2016 and identified the potential dominant drivers. Our results show an overall decline of fire rates, which is continuous over the time period and mainly caused by cropland expansion in northern sub-Saharan Africa. However, we also find that years of high precipitation have caused an initial increase in fire rates in southern Africa, which reversed to a decline in later years. This decline is caused by a high frequency of dry years leading to very low fuel loads, suggesting that recent drought causes a general reduction of burned areas, in particular in xeric savannas. In some mesic regions (10°–15°S), solar radiation and increased temperature caused increase in fires. These findings show that climate change overrules the impact of human expansion on fire rates at the continental scale in Africa, reducing the fire risk.","container-title":"Global Change Biology","DOI":"10.1111/gcb.15190","ISSN":"13652486","issue":"8","note":"PMID: 32445413","page":"4495-4505","title":"Nonlinear dynamics of fires in Africa over recent decades controlled by precipitation","volume":"26","author":[{"family":"Wei","given":"Fangli"},{"family":"Wang","given":"Shuai"},{"family":"Fu","given":"Bojie"},{"family":"Brandt","given":"Martin"},{"family":"Pan","given":"Naiqing"},{"family":"Wang","given":"Cong"},{"family":"Fensholt","given":"Rasmus"}],"issued":{"date-parts":[["2020"]]}}}],"schema":"https://github.com/citation-style-language/schema/raw/master/csl-citation.json"} </w:instrText>
      </w:r>
      <w:r w:rsidR="002C4B35"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(Wei, Wang, Fu, et al., 2020)</w:t>
      </w:r>
      <w:r w:rsidR="002C4B35" w:rsidRPr="00B10EBE">
        <w:rPr>
          <w:rFonts w:ascii="Garamond" w:hAnsi="Garamond"/>
          <w:noProof/>
          <w:color w:val="000000" w:themeColor="text1"/>
          <w:sz w:val="24"/>
          <w:szCs w:val="24"/>
        </w:rPr>
        <w:fldChar w:fldCharType="end"/>
      </w:r>
      <w:r w:rsidR="00A95A56" w:rsidRPr="00B10EBE">
        <w:rPr>
          <w:rFonts w:ascii="Garamond" w:hAnsi="Garamond"/>
          <w:noProof/>
          <w:color w:val="000000" w:themeColor="text1"/>
          <w:sz w:val="24"/>
          <w:szCs w:val="24"/>
        </w:rPr>
        <w:t xml:space="preserve">. </w:t>
      </w:r>
      <w:r w:rsidR="00F453AA" w:rsidRPr="00B10EBE">
        <w:rPr>
          <w:rFonts w:ascii="Garamond" w:hAnsi="Garamond"/>
          <w:noProof/>
          <w:color w:val="000000" w:themeColor="text1"/>
          <w:sz w:val="24"/>
          <w:szCs w:val="24"/>
        </w:rPr>
        <w:t>Further</w:t>
      </w:r>
      <w:r w:rsidR="00F04FE2" w:rsidRPr="00B10EBE">
        <w:rPr>
          <w:rFonts w:ascii="Garamond" w:hAnsi="Garamond"/>
          <w:noProof/>
          <w:color w:val="000000" w:themeColor="text1"/>
          <w:sz w:val="24"/>
          <w:szCs w:val="24"/>
        </w:rPr>
        <w:t>, anthropogenic factors such as land cover changes, increasing atmospheric CO</w:t>
      </w:r>
      <w:r w:rsidR="00F04FE2" w:rsidRPr="00B10EBE">
        <w:rPr>
          <w:rFonts w:ascii="Garamond" w:hAnsi="Garamond"/>
          <w:noProof/>
          <w:color w:val="000000" w:themeColor="text1"/>
          <w:sz w:val="24"/>
          <w:szCs w:val="24"/>
          <w:vertAlign w:val="subscript"/>
        </w:rPr>
        <w:t>2</w:t>
      </w:r>
      <w:r w:rsidR="00F04FE2" w:rsidRPr="00B10EBE">
        <w:rPr>
          <w:rFonts w:ascii="Garamond" w:hAnsi="Garamond"/>
          <w:noProof/>
          <w:color w:val="000000" w:themeColor="text1"/>
          <w:sz w:val="24"/>
          <w:szCs w:val="24"/>
        </w:rPr>
        <w:t xml:space="preserve">, and management practices can also have </w:t>
      </w:r>
      <w:r w:rsidR="00F95653" w:rsidRPr="00B10EBE">
        <w:rPr>
          <w:rFonts w:ascii="Garamond" w:hAnsi="Garamond"/>
          <w:noProof/>
          <w:color w:val="000000" w:themeColor="text1"/>
          <w:sz w:val="24"/>
          <w:szCs w:val="24"/>
        </w:rPr>
        <w:t>either</w:t>
      </w:r>
      <w:r w:rsidR="00F04FE2" w:rsidRPr="00B10EBE">
        <w:rPr>
          <w:rFonts w:ascii="Garamond" w:hAnsi="Garamond"/>
          <w:noProof/>
          <w:color w:val="000000" w:themeColor="text1"/>
          <w:sz w:val="24"/>
          <w:szCs w:val="24"/>
        </w:rPr>
        <w:t xml:space="preserve"> positive </w:t>
      </w:r>
      <w:r w:rsidR="00F95653" w:rsidRPr="00B10EBE">
        <w:rPr>
          <w:rFonts w:ascii="Garamond" w:hAnsi="Garamond"/>
          <w:noProof/>
          <w:color w:val="000000" w:themeColor="text1"/>
          <w:sz w:val="24"/>
          <w:szCs w:val="24"/>
        </w:rPr>
        <w:t>or</w:t>
      </w:r>
      <w:r w:rsidR="00F04FE2" w:rsidRPr="00B10EBE">
        <w:rPr>
          <w:rFonts w:ascii="Garamond" w:hAnsi="Garamond"/>
          <w:noProof/>
          <w:color w:val="000000" w:themeColor="text1"/>
          <w:sz w:val="24"/>
          <w:szCs w:val="24"/>
        </w:rPr>
        <w:t xml:space="preserve"> negative effects on woody vegetation and fire activity</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{"citationID":"a2b22sndhgd","properties":{"formattedCitation":"(Alvarado et al., 2020; Hansen et al., 2013)","plainCitation":"(Alvarado et al., 2020; Hansen et al., 2013)","noteIndex":0},"citationItems":[{"id":1443,"uris":["http://zotero.org/users/10686236/items/FJT4VT6J"],"itemData":{"id":1443,"type":"article-journal","abstract":"Quantification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change.","container-title":"Science","DOI":"10.1126/science.1244693","ISSN":"0036-8075","issue":"6160","note":"PMID: 24233722\narXiv: 1011.1669v3\nISBN: 1095-9203 (Electronic)\\n0036-8075 (Linking)","page":"850-853","title":"High-Resolution Global Maps of 21st-Century Forest Cover Change","volume":"342","author":[{"family":"Hansen","given":"M C"},{"family":"Potapov","given":"P. V."},{"family":"Moore","given":"R."},{"family":"Hancher","given":"M."},{"family":"Turubanova","given":"S. A."},{"family":"Tyukavina","given":"A."},{"family":"Thau","given":"D."},{"family":"Stehman","given":"S. V."},{"family":"Goetz","given":"S. J."},{"family":"Loveland","given":"T. R."},{"family":"Kommareddy","given":"A."},{"family":"Egorov","given":"A."},{"family":"Chini","given":"L."},{"family":"Justice","given":"C. O."},{"family":"Townshend","given":"J. R. G."}],"issued":{"date-parts":[["2013"]]}}},{"id":365,"uris":["http://zotero.org/users/10686236/items/SPBJ4BK7"],"itemData":{"id":365,"type":"article-journal","abstract":"Aim: An emerging framework for tropical ecosystems states that fire activity is either “fuel build-up limited” or “fuel moisture limited”, that is, as you move up along rainfall gradients, the major control on fire occurrence switches from being the amount of fuel, to the moisture content of the fuel. Here we used remotely sensed datasets to assess whether interannual variability of burned area is better explained by annual rainfall totals driving fuel build-up, or by dry season rainfall driving fuel moisture. Location: Pantropical savannas and grasslands. Time period: 2002–2016. Methods: We explored the response of annual burned area to interannual variability in rainfall. We compared several linear models to understand how fuel moisture and fuel build-up effect (accumulated rainfall during 6 and 24 months prior to the end of the burning season, respectively) determine the interannual variability of burned area and explore if tree cover, dry season duration and human activity modified these relationships. Results: Fuel and moisture controls on fire occurrence in tropical savannas varied across continents. Only 24% of South American savannas were fuel build-up limited against 61% of Australian savannas and 47% of African savannas. On average, South America switched from fuel limited to moisture limited at 500 mm/year, Africa at 800 mm/year and Australia at 1,000 mm/year of mean annual rainfall. Main conclusions: In 42% of tropical savannas (accounting for 41% of current area burned) increased drought and higher temperatures will not increase fire, but there are savannas, particularly in South America, that are likely to become more flammable with increasing temperatures. These findings highlight that we cannot transfer knowledge of fire responses to global change across ecosystems/regions—local solutions to local fire management issues are required, and different tropical savanna regions may show contrasting responses to the same drivers of global change.","container-title":"Global Ecology and Biogeography","DOI":"10.1111/geb.13034","ISSN":"14668238","issue":"2","page":"331-344","title":"Thresholds of fire response to moisture and fuel load differ between tropical savannas and grasslands across continents","volume":"29","author":[{"family":"Alvarado","given":"Swanni T."},{"family":"Andela","given":"Niels"},{"family":"Silva","given":"Thiago S.F."},{"family":"Archibald","given":"Sally"}],"issued":{"date-parts":[["2020"]]}}}],"schema":"https://github.com/citation-style-language/schema/raw/master/csl-citation.json"}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(Alvarado et al., 2020; Hansen et al., 2013)</w:t>
      </w:r>
      <w:r w:rsidR="00A95CD4" w:rsidRPr="00B10EBE">
        <w:rPr>
          <w:rFonts w:ascii="Garamond" w:hAnsi="Garamond"/>
          <w:noProof/>
          <w:color w:val="000000" w:themeColor="text1"/>
          <w:sz w:val="24"/>
          <w:szCs w:val="24"/>
        </w:rPr>
        <w:fldChar w:fldCharType="end"/>
      </w:r>
      <w:r w:rsidR="00F04FE2" w:rsidRPr="00B10EBE">
        <w:rPr>
          <w:rFonts w:ascii="Garamond" w:hAnsi="Garamond"/>
          <w:noProof/>
          <w:color w:val="000000" w:themeColor="text1"/>
          <w:sz w:val="24"/>
          <w:szCs w:val="24"/>
        </w:rPr>
        <w:t>.</w:t>
      </w:r>
    </w:p>
    <w:p w14:paraId="614F670B" w14:textId="15102D16" w:rsidR="009848F3" w:rsidRPr="00B10EBE" w:rsidRDefault="002926A6" w:rsidP="00781B89">
      <w:pPr>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lastRenderedPageBreak/>
        <w:t>The</w:t>
      </w:r>
      <w:r w:rsidR="00002B1A" w:rsidRPr="00B10EBE">
        <w:rPr>
          <w:rFonts w:ascii="Garamond" w:hAnsi="Garamond"/>
          <w:noProof/>
          <w:color w:val="000000" w:themeColor="text1"/>
          <w:sz w:val="24"/>
          <w:szCs w:val="24"/>
        </w:rPr>
        <w:t>se</w:t>
      </w:r>
      <w:r w:rsidR="00B470D4" w:rsidRPr="00B10EBE">
        <w:rPr>
          <w:rFonts w:ascii="Garamond" w:hAnsi="Garamond"/>
          <w:noProof/>
          <w:color w:val="000000" w:themeColor="text1"/>
          <w:sz w:val="24"/>
          <w:szCs w:val="24"/>
        </w:rPr>
        <w:t xml:space="preserve"> </w:t>
      </w:r>
      <w:r w:rsidR="00F95653" w:rsidRPr="00B10EBE">
        <w:rPr>
          <w:rFonts w:ascii="Garamond" w:hAnsi="Garamond"/>
          <w:noProof/>
          <w:color w:val="000000" w:themeColor="text1"/>
          <w:sz w:val="24"/>
          <w:szCs w:val="24"/>
        </w:rPr>
        <w:t>examples</w:t>
      </w:r>
      <w:r w:rsidR="00B470D4"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 xml:space="preserve">highlight </w:t>
      </w:r>
      <w:r w:rsidR="00C53318" w:rsidRPr="00B10EBE">
        <w:rPr>
          <w:rFonts w:ascii="Garamond" w:hAnsi="Garamond"/>
          <w:noProof/>
          <w:color w:val="000000" w:themeColor="text1"/>
          <w:sz w:val="24"/>
          <w:szCs w:val="24"/>
        </w:rPr>
        <w:t xml:space="preserve">that </w:t>
      </w:r>
      <w:r w:rsidR="00B470D4" w:rsidRPr="00B10EBE">
        <w:rPr>
          <w:rFonts w:ascii="Garamond" w:hAnsi="Garamond"/>
          <w:noProof/>
          <w:color w:val="000000" w:themeColor="text1"/>
          <w:sz w:val="24"/>
          <w:szCs w:val="24"/>
        </w:rPr>
        <w:t xml:space="preserve">while we </w:t>
      </w:r>
      <w:r w:rsidR="00B96E26" w:rsidRPr="00B10EBE">
        <w:rPr>
          <w:rFonts w:ascii="Garamond" w:hAnsi="Garamond"/>
          <w:noProof/>
          <w:color w:val="000000" w:themeColor="text1"/>
          <w:sz w:val="24"/>
          <w:szCs w:val="24"/>
        </w:rPr>
        <w:t>know</w:t>
      </w:r>
      <w:r w:rsidR="00B470D4" w:rsidRPr="00B10EBE">
        <w:rPr>
          <w:rFonts w:ascii="Garamond" w:hAnsi="Garamond"/>
          <w:noProof/>
          <w:color w:val="000000" w:themeColor="text1"/>
          <w:sz w:val="24"/>
          <w:szCs w:val="24"/>
        </w:rPr>
        <w:t xml:space="preserve"> </w:t>
      </w:r>
      <w:r w:rsidR="007F6F95" w:rsidRPr="00B10EBE">
        <w:rPr>
          <w:rFonts w:ascii="Garamond" w:hAnsi="Garamond"/>
          <w:noProof/>
          <w:color w:val="000000" w:themeColor="text1"/>
          <w:sz w:val="24"/>
          <w:szCs w:val="24"/>
        </w:rPr>
        <w:t xml:space="preserve">the </w:t>
      </w:r>
      <w:r w:rsidR="00F5578F" w:rsidRPr="00B10EBE">
        <w:rPr>
          <w:rFonts w:ascii="Garamond" w:hAnsi="Garamond"/>
          <w:noProof/>
          <w:color w:val="000000" w:themeColor="text1"/>
          <w:sz w:val="24"/>
          <w:szCs w:val="24"/>
        </w:rPr>
        <w:t>overall</w:t>
      </w:r>
      <w:r w:rsidR="00C53318" w:rsidRPr="00B10EBE">
        <w:rPr>
          <w:rFonts w:ascii="Garamond" w:hAnsi="Garamond"/>
          <w:noProof/>
          <w:color w:val="000000" w:themeColor="text1"/>
          <w:sz w:val="24"/>
          <w:szCs w:val="24"/>
        </w:rPr>
        <w:t xml:space="preserve"> drivers of </w:t>
      </w:r>
      <w:r w:rsidR="00F31A5F" w:rsidRPr="00B10EBE">
        <w:rPr>
          <w:rFonts w:ascii="Garamond" w:hAnsi="Garamond"/>
          <w:noProof/>
          <w:color w:val="000000" w:themeColor="text1"/>
          <w:sz w:val="24"/>
          <w:szCs w:val="24"/>
        </w:rPr>
        <w:t>woody</w:t>
      </w:r>
      <w:r w:rsidR="00062C79" w:rsidRPr="00B10EBE">
        <w:rPr>
          <w:rFonts w:ascii="Garamond" w:hAnsi="Garamond"/>
          <w:noProof/>
          <w:color w:val="000000" w:themeColor="text1"/>
          <w:sz w:val="24"/>
          <w:szCs w:val="24"/>
        </w:rPr>
        <w:t xml:space="preserve"> </w:t>
      </w:r>
      <w:r w:rsidR="00314611" w:rsidRPr="00B10EBE">
        <w:rPr>
          <w:rFonts w:ascii="Garamond" w:hAnsi="Garamond"/>
          <w:noProof/>
          <w:color w:val="000000" w:themeColor="text1"/>
          <w:sz w:val="24"/>
          <w:szCs w:val="24"/>
        </w:rPr>
        <w:t xml:space="preserve">vegetation </w:t>
      </w:r>
      <w:r w:rsidR="00C53318" w:rsidRPr="00B10EBE">
        <w:rPr>
          <w:rFonts w:ascii="Garamond" w:hAnsi="Garamond"/>
          <w:noProof/>
          <w:color w:val="000000" w:themeColor="text1"/>
          <w:sz w:val="24"/>
          <w:szCs w:val="24"/>
        </w:rPr>
        <w:t xml:space="preserve">dynamics </w:t>
      </w:r>
      <w:r w:rsidR="0083285E" w:rsidRPr="00B10EBE">
        <w:rPr>
          <w:rFonts w:ascii="Garamond" w:hAnsi="Garamond"/>
          <w:noProof/>
          <w:color w:val="000000" w:themeColor="text1"/>
          <w:sz w:val="24"/>
          <w:szCs w:val="24"/>
        </w:rPr>
        <w:t>in grassy ecosystems</w:t>
      </w:r>
      <w:r w:rsidR="007F6F95" w:rsidRPr="00B10EBE">
        <w:rPr>
          <w:rFonts w:ascii="Garamond" w:hAnsi="Garamond"/>
          <w:noProof/>
          <w:color w:val="000000" w:themeColor="text1"/>
          <w:sz w:val="24"/>
          <w:szCs w:val="24"/>
        </w:rPr>
        <w:t xml:space="preserve"> </w:t>
      </w:r>
      <w:r w:rsidR="00B96E26" w:rsidRPr="00B10EBE">
        <w:rPr>
          <w:rFonts w:ascii="Garamond" w:hAnsi="Garamond"/>
          <w:noProof/>
          <w:color w:val="000000" w:themeColor="text1"/>
          <w:sz w:val="24"/>
          <w:szCs w:val="24"/>
        </w:rPr>
        <w:t>for</w:t>
      </w:r>
      <w:r w:rsidR="007F6F95" w:rsidRPr="00B10EBE">
        <w:rPr>
          <w:rFonts w:ascii="Garamond" w:hAnsi="Garamond"/>
          <w:noProof/>
          <w:color w:val="000000" w:themeColor="text1"/>
          <w:sz w:val="24"/>
          <w:szCs w:val="24"/>
        </w:rPr>
        <w:t xml:space="preserve"> sub-Saharan Africa</w:t>
      </w:r>
      <w:r w:rsidR="00B96E26" w:rsidRPr="00B10EBE">
        <w:rPr>
          <w:rFonts w:ascii="Garamond" w:hAnsi="Garamond"/>
          <w:noProof/>
          <w:color w:val="000000" w:themeColor="text1"/>
          <w:sz w:val="24"/>
          <w:szCs w:val="24"/>
        </w:rPr>
        <w:t xml:space="preserve">, </w:t>
      </w:r>
      <w:r w:rsidR="00C53318" w:rsidRPr="00B10EBE">
        <w:rPr>
          <w:rFonts w:ascii="Garamond" w:hAnsi="Garamond"/>
          <w:noProof/>
          <w:color w:val="000000" w:themeColor="text1"/>
          <w:sz w:val="24"/>
          <w:szCs w:val="24"/>
        </w:rPr>
        <w:t xml:space="preserve">the degree to which </w:t>
      </w:r>
      <w:r w:rsidR="0093182A" w:rsidRPr="00B10EBE">
        <w:rPr>
          <w:rFonts w:ascii="Garamond" w:hAnsi="Garamond"/>
          <w:noProof/>
          <w:color w:val="000000" w:themeColor="text1"/>
          <w:sz w:val="24"/>
          <w:szCs w:val="24"/>
        </w:rPr>
        <w:t xml:space="preserve">their effects </w:t>
      </w:r>
      <w:r w:rsidR="00C53318" w:rsidRPr="00B10EBE">
        <w:rPr>
          <w:rFonts w:ascii="Garamond" w:hAnsi="Garamond"/>
          <w:noProof/>
          <w:color w:val="000000" w:themeColor="text1"/>
          <w:sz w:val="24"/>
          <w:szCs w:val="24"/>
        </w:rPr>
        <w:t xml:space="preserve">change </w:t>
      </w:r>
      <w:r w:rsidR="00394E2A" w:rsidRPr="00B10EBE">
        <w:rPr>
          <w:rFonts w:ascii="Garamond" w:hAnsi="Garamond"/>
          <w:noProof/>
          <w:color w:val="000000" w:themeColor="text1"/>
          <w:sz w:val="24"/>
          <w:szCs w:val="24"/>
        </w:rPr>
        <w:t>across space</w:t>
      </w:r>
      <w:r w:rsidR="00C53318" w:rsidRPr="00B10EBE">
        <w:rPr>
          <w:rFonts w:ascii="Garamond" w:hAnsi="Garamond"/>
          <w:noProof/>
          <w:color w:val="000000" w:themeColor="text1"/>
          <w:sz w:val="24"/>
          <w:szCs w:val="24"/>
        </w:rPr>
        <w:t xml:space="preserve"> and time</w:t>
      </w:r>
      <w:r w:rsidR="00002B1A" w:rsidRPr="00B10EBE">
        <w:rPr>
          <w:rFonts w:ascii="Garamond" w:hAnsi="Garamond"/>
          <w:noProof/>
          <w:color w:val="000000" w:themeColor="text1"/>
          <w:sz w:val="24"/>
          <w:szCs w:val="24"/>
        </w:rPr>
        <w:t xml:space="preserve"> </w:t>
      </w:r>
      <w:r w:rsidR="00DA6B19" w:rsidRPr="00B10EBE">
        <w:rPr>
          <w:rFonts w:ascii="Garamond" w:hAnsi="Garamond"/>
          <w:noProof/>
          <w:color w:val="000000" w:themeColor="text1"/>
          <w:sz w:val="24"/>
          <w:szCs w:val="24"/>
        </w:rPr>
        <w:t>remains</w:t>
      </w:r>
      <w:r w:rsidR="00C53318" w:rsidRPr="00B10EBE">
        <w:rPr>
          <w:rFonts w:ascii="Garamond" w:hAnsi="Garamond"/>
          <w:noProof/>
          <w:color w:val="000000" w:themeColor="text1"/>
          <w:sz w:val="24"/>
          <w:szCs w:val="24"/>
        </w:rPr>
        <w:t xml:space="preserve"> unclear. </w:t>
      </w:r>
      <w:r w:rsidR="00C17FB9" w:rsidRPr="00B10EBE">
        <w:rPr>
          <w:rFonts w:ascii="Garamond" w:hAnsi="Garamond"/>
          <w:noProof/>
          <w:color w:val="000000" w:themeColor="text1"/>
          <w:sz w:val="24"/>
          <w:szCs w:val="24"/>
        </w:rPr>
        <w:t>Part of this inconsistency may relate to the fact that, generally, large-scale studies do not explicitly assess grasslands but rather consider grasslands and savannas together or investigate ecosystems based on aridity levels.</w:t>
      </w:r>
      <w:r w:rsidR="00BF47A0" w:rsidRPr="00B10EBE">
        <w:rPr>
          <w:rFonts w:ascii="Garamond" w:hAnsi="Garamond"/>
          <w:noProof/>
          <w:color w:val="000000" w:themeColor="text1"/>
          <w:sz w:val="24"/>
          <w:szCs w:val="24"/>
        </w:rPr>
        <w:t xml:space="preserve"> This potentially conflates any different responses these two types of grassy ecosystems may have to changes in climate, disturbances, and their interactions.</w:t>
      </w:r>
      <w:r w:rsidR="004F569A" w:rsidRPr="00B10EBE">
        <w:rPr>
          <w:rFonts w:ascii="Garamond" w:hAnsi="Garamond"/>
          <w:noProof/>
          <w:color w:val="000000" w:themeColor="text1"/>
          <w:sz w:val="24"/>
          <w:szCs w:val="24"/>
        </w:rPr>
        <w:t xml:space="preserve"> </w:t>
      </w:r>
      <w:r w:rsidR="00D05115" w:rsidRPr="00B10EBE">
        <w:rPr>
          <w:rFonts w:ascii="Garamond" w:hAnsi="Garamond"/>
          <w:noProof/>
          <w:color w:val="000000" w:themeColor="text1"/>
          <w:sz w:val="24"/>
          <w:szCs w:val="24"/>
        </w:rPr>
        <w:t xml:space="preserve">Remote sensing offers a powerful tool to address this challenge by providing accessible, spatially explicit, and repetitive observations of environmental and anthropogenic </w:t>
      </w:r>
      <w:r w:rsidR="00781B89" w:rsidRPr="00B10EBE">
        <w:rPr>
          <w:rFonts w:ascii="Garamond" w:hAnsi="Garamond"/>
          <w:noProof/>
          <w:color w:val="000000" w:themeColor="text1"/>
          <w:sz w:val="24"/>
          <w:szCs w:val="24"/>
        </w:rPr>
        <w:t>variables</w:t>
      </w:r>
      <w:r w:rsidR="00D05115" w:rsidRPr="00B10EBE">
        <w:rPr>
          <w:rFonts w:ascii="Garamond" w:hAnsi="Garamond"/>
          <w:noProof/>
          <w:color w:val="000000" w:themeColor="text1"/>
          <w:sz w:val="24"/>
          <w:szCs w:val="24"/>
        </w:rPr>
        <w:t>, aiding in the assessment of various ecological processes in grasslands and savannas as distinct ecosystems</w:t>
      </w:r>
      <w:r w:rsidR="00FF5C78" w:rsidRPr="00B10EBE">
        <w:rPr>
          <w:rFonts w:ascii="Garamond" w:hAnsi="Garamond"/>
          <w:noProof/>
          <w:color w:val="000000" w:themeColor="text1"/>
          <w:sz w:val="24"/>
          <w:szCs w:val="24"/>
        </w:rPr>
        <w:t xml:space="preserve"> </w:t>
      </w:r>
      <w:r w:rsidR="00FF5C7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{"citationID":"a2o3v3ulldc","properties":{"formattedCitation":"(Masenyama et al., 2022)","plainCitation":"(Masenyama et al., 2022)","noteIndex":0},"citationItems":[{"id":172,"uris":["http://zotero.org/users/10686236/items/SG7TP75A"],"itemData":{"id":172,"type":"article-journal","abstract":"The last decade has seen considerable progress in scientific research on vegetation ecosystem services. While much research has focused on forests and wetlands, grasslands also provide a variety of different provisioning, supporting, cultural, and regulating services. With recent advances in remote sensing technology, there is a possibility that Earth observation data could contribute extensively to research on grassland ecosystem services. This study conducted a systematic review on progress, emerging gaps, and opportunities on the application of remote sensing technologies in quantifying all grassland ecosystem services including those that are related to water. The contribution of biomass, Leaf Area Index (LAI), and Canopy Storage Capacity (CSC) as water-related ecosystem services derived from grasslands was explored. Two hundred and twenty-two peer-reviewed articles from Web of Science, Scopus, and Institute of Electrical and Electronics Engineers were analyzed. About 39% of the studies were conducted in Asia with most of the contributions coming from China while a few studies were from the global south regions such as Southern Africa. Overall, forage provision, climate regulation, and primary production were the most researched grassland ecosystem services in the context of Earth observation data applications. About 39 Earth observation sensors were used in the literature to map grassland ecosystem services and MODIS had the highest utilization frequency. The most widely used vegetation indices for mapping general grassland ecosystem services in literature included the red and near-infrared sections of the electromagnetic spectrum. Remote sensing algorithms used within the retrieved literature include process-based models, machine learning algorithms, and multivariate techniques. For water-related grassland ecosystem services, biomass, CSC, and LAI were the most prominent proxies characterized by remotely sensed data for under­ standing evapotranspiration, infiltration, run-off, soil water availability, groundwater restoration and surface water balance. An understanding of such hydrological processes is crucial in providing insights on water redistribution and balance within grassland ecosystems which is important for water management.","container-title":"GIScience &amp; Remote Sensing","DOI":"10.1080/15481603.2022.2088652","ISSN":"1548-1603, 1943-7226","issue":"1","journalAbbreviation":"GIScience &amp; Remote Sensing","language":"en","page":"1000-1025","source":"DOI.org (Crossref)","title":"A systematic review on the use of remote sensing technologies in quantifying grasslands ecosystem services","volume":"59","author":[{"family":"Masenyama","given":"Anita"},{"family":"Mutanga","given":"Onisimo"},{"family":"Dube","given":"Timothy"},{"family":"Bangira","given":"Tsitsi"},{"family":"Sibanda","given":"Mbulisi"},{"family":"Mabhaudhi","given":"Tafadzwanashe"}],"issued":{"date-parts":[["2022",12,31]]}}}],"schema":"https://github.com/citation-style-language/schema/raw/master/csl-citation.json"} </w:instrText>
      </w:r>
      <w:r w:rsidR="00FF5C78" w:rsidRPr="00B10EBE">
        <w:rPr>
          <w:rFonts w:ascii="Garamond" w:hAnsi="Garamond"/>
          <w:noProof/>
          <w:color w:val="000000" w:themeColor="text1"/>
          <w:sz w:val="24"/>
          <w:szCs w:val="24"/>
        </w:rPr>
        <w:fldChar w:fldCharType="separate"/>
      </w:r>
      <w:r w:rsidR="00C01A26" w:rsidRPr="00B10EBE">
        <w:rPr>
          <w:rFonts w:ascii="Garamond" w:hAnsi="Garamond"/>
          <w:color w:val="000000" w:themeColor="text1"/>
          <w:sz w:val="24"/>
        </w:rPr>
        <w:t>(Masenyama et al., 2022)</w:t>
      </w:r>
      <w:r w:rsidR="00FF5C78" w:rsidRPr="00B10EBE">
        <w:rPr>
          <w:rFonts w:ascii="Garamond" w:hAnsi="Garamond"/>
          <w:noProof/>
          <w:color w:val="000000" w:themeColor="text1"/>
          <w:sz w:val="24"/>
          <w:szCs w:val="24"/>
        </w:rPr>
        <w:fldChar w:fldCharType="end"/>
      </w:r>
      <w:r w:rsidR="00FF5C78" w:rsidRPr="00B10EBE">
        <w:rPr>
          <w:rFonts w:ascii="Garamond" w:hAnsi="Garamond"/>
          <w:noProof/>
          <w:color w:val="000000" w:themeColor="text1"/>
          <w:sz w:val="24"/>
          <w:szCs w:val="24"/>
        </w:rPr>
        <w:t xml:space="preserve">. </w:t>
      </w:r>
      <w:r w:rsidR="00413F29" w:rsidRPr="00B10EBE">
        <w:rPr>
          <w:rFonts w:ascii="Garamond" w:hAnsi="Garamond"/>
          <w:noProof/>
          <w:color w:val="000000" w:themeColor="text1"/>
          <w:sz w:val="24"/>
          <w:szCs w:val="24"/>
        </w:rPr>
        <w:t>While optical-based indexes such as the normalized difference vegetation index, the enhanced vegetation index, and the leaf area index, are widely used resources for grassland dynamic assessments</w:t>
      </w:r>
      <w:r w:rsidR="00434DE2" w:rsidRPr="00B10EBE">
        <w:rPr>
          <w:rFonts w:ascii="Garamond" w:hAnsi="Garamond"/>
          <w:noProof/>
          <w:color w:val="000000" w:themeColor="text1"/>
          <w:sz w:val="24"/>
          <w:szCs w:val="24"/>
        </w:rPr>
        <w:t xml:space="preserve"> </w:t>
      </w:r>
      <w:r w:rsidR="00DE702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{"citationID":"a1grjmhaprc","properties":{"formattedCitation":"(Wang et al., 2022)","plainCitation":"(Wang et al., 2022)","noteIndex":0},"citationItems":[{"id":155,"uris":["http://zotero.org/users/10686236/items/Q6GSJRKW"],"itemData":{"id":155,"type":"article-journal","abstract":"The application of remote sensing technology in grassland monitoring and management has been ongoing for decades. Compared with traditional ground measurements, remote sensing technology has the overall advantage of convenience, efﬁciency, and cost effectiveness, especially over large areas. This paper provides a comprehensive review of the latest remote sensing estimation methods for some critical grassland parameters, including above-ground biomass, primary productivity, fractional vegetation cover, and leaf area index. Then, the applications of remote sensing monitoring are also reviewed from the perspective of their use of these parameters and other remote sensing data. In detail, grassland degradation and grassland use monitoring are evaluated. In addition, disaster monitoring and carbon cycle monitoring are also included. Overall, most studies have used empirical models and statistical regression models, while the number of machine learning approaches has an increasing trend. In addition, some specialized methods, such as the light use efﬁciency approaches for primary productivity and the mixed pixel decomposition methods for vegetation coverage, have been widely used and improved. However, all the above methods have certain limitations. For future work, it is recommended that most applications should adopt the advanced estimation methods rather than simple statistical regression models. In particular, the potential of deep learning in processing high-dimensional data and ﬁtting non-linear relationships should be further explored. Meanwhile, it is also important to explore the potential of some new vegetation indices based on the spectral characteristics of the speciﬁc grassland under study. Finally, the fusion of multi-source images should also be considered to address the deﬁciencies in information and resolution of remote sensing images acquired by a single sensor or satellite.","container-title":"Remote Sensing","DOI":"10.3390/rs14122903","ISSN":"2072-4292","issue":"12","journalAbbreviation":"Remote Sensing","language":"en","license":"https://creativecommons.org/licenses/by/4.0/","page":"2903","source":"DOI.org (Crossref)","title":"Review of Remote Sensing Applications in Grassland Monitoring","volume":"14","author":[{"family":"Wang","given":"Zhaobin"},{"family":"Ma","given":"Yikun"},{"family":"Zhang","given":"Yaonan"},{"family":"Shang","given":"Jiali"}],"issued":{"date-parts":[["2022",6,17]]}}}],"schema":"https://github.com/citation-style-language/schema/raw/master/csl-citation.json"} </w:instrText>
      </w:r>
      <w:r w:rsidR="00DE7024" w:rsidRPr="00B10EBE">
        <w:rPr>
          <w:rFonts w:ascii="Garamond" w:hAnsi="Garamond"/>
          <w:noProof/>
          <w:color w:val="000000" w:themeColor="text1"/>
          <w:sz w:val="24"/>
          <w:szCs w:val="24"/>
        </w:rPr>
        <w:fldChar w:fldCharType="separate"/>
      </w:r>
      <w:r w:rsidR="00C01A26" w:rsidRPr="00B10EBE">
        <w:rPr>
          <w:rFonts w:ascii="Garamond" w:hAnsi="Garamond"/>
          <w:color w:val="000000" w:themeColor="text1"/>
          <w:sz w:val="24"/>
        </w:rPr>
        <w:t>(Wang et al., 2022)</w:t>
      </w:r>
      <w:r w:rsidR="00DE7024" w:rsidRPr="00B10EBE">
        <w:rPr>
          <w:rFonts w:ascii="Garamond" w:hAnsi="Garamond"/>
          <w:noProof/>
          <w:color w:val="000000" w:themeColor="text1"/>
          <w:sz w:val="24"/>
          <w:szCs w:val="24"/>
        </w:rPr>
        <w:fldChar w:fldCharType="end"/>
      </w:r>
      <w:r w:rsidR="00434DE2" w:rsidRPr="00B10EBE">
        <w:rPr>
          <w:rFonts w:ascii="Garamond" w:hAnsi="Garamond"/>
          <w:noProof/>
          <w:color w:val="000000" w:themeColor="text1"/>
          <w:sz w:val="24"/>
          <w:szCs w:val="24"/>
        </w:rPr>
        <w:t>,</w:t>
      </w:r>
      <w:r w:rsidR="00AC49AA" w:rsidRPr="00B10EBE">
        <w:rPr>
          <w:rFonts w:ascii="Garamond" w:hAnsi="Garamond"/>
          <w:noProof/>
          <w:color w:val="000000" w:themeColor="text1"/>
          <w:sz w:val="24"/>
          <w:szCs w:val="24"/>
        </w:rPr>
        <w:t xml:space="preserve"> </w:t>
      </w:r>
      <w:r w:rsidR="00413F29" w:rsidRPr="00B10EBE">
        <w:rPr>
          <w:rFonts w:ascii="Garamond" w:hAnsi="Garamond"/>
          <w:noProof/>
          <w:color w:val="000000" w:themeColor="text1"/>
          <w:sz w:val="24"/>
          <w:szCs w:val="24"/>
        </w:rPr>
        <w:t>recent studies have highlighted the effectiveness of other remote sensing technologies (e.g., microwave-based, hyperspectral, or very high-resolution data) in investigating terrestrial ecosystems and enhancing monitoring capabilities</w:t>
      </w:r>
      <w:r w:rsidR="00981687" w:rsidRPr="00B10EBE">
        <w:rPr>
          <w:rFonts w:ascii="Garamond" w:hAnsi="Garamond"/>
          <w:noProof/>
          <w:color w:val="000000" w:themeColor="text1"/>
          <w:sz w:val="24"/>
          <w:szCs w:val="24"/>
        </w:rPr>
        <w:t xml:space="preserve"> </w:t>
      </w:r>
      <w:r w:rsidR="00434DE2"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{"citationID":"aqlrdj5p1g","properties":{"formattedCitation":"\\uldash{(Brandt et al., 2018, 2020; Brown et al., 2024)}","plainCitation":"(Brandt et al., 2018, 2020; Brown et al., 2024)","dontUpdate":true,"noteIndex":0},"citationItems":[{"id":691,"uris":["http://zotero.org/users/10686236/items/ZWDY8PBL"],"itemData":{"id":691,"type":"article-journal","abstract":"The African continent is facing one of the driest periods in the past three decades as well as continued deforestation. These disturbances threaten vegetation carbon (C) stocks and highlight the need for improved capabilities of monitoring large-scale aboveground carbon stock dynamics. Here we use a satellite dataset based on vegetation optical depth derived from low-frequency passive microwaves (L-VOD) to quantify annual aboveground biomass-carbon changes in sub-Saharan Africa between 2010 and 2016. L-VOD is shown not to saturate over densely vegetated areas. The overall net change in drylands (53% of the land area) was −0.05 petagrams of C per year (Pg C yr−1) associated with drying trends, and a net change of −0.02 Pg C yr−1 was observed in humid areas. These trends reflect a high inter-annual variability with a very dry year in 2015 (net change, −0.69 Pg C) with about half of the gross losses occurring in drylands. This study demonstrates, first, the applicability of L-VOD to monitor the dynamics of carbon loss and gain due to weather variations, and second, the importance of the highly dynamic and vulnerable carbon pool of dryland savannahs for the global carbon balance, despite the relatively low carbon stock per unit area.","container-title":"Nature Ecology &amp; Evolution","DOI":"https://doi.org/10.1038/s41559-018-0530-6 Satellite","ISSN":"2397334X","note":"publisher: Springer US","page":"827-835","title":"Satellite passive microwaves reveal recent climate-induced carbon losses in African drylands","volume":"2","author":[{"family":"Brandt","given":"Martin"},{"family":"Wigneron","given":"Jean Pierre"},{"family":"Chave","given":"Jerome"},{"family":"Tagesson","given":"Torbern"},{"family":"Penuelas","given":"Josep"},{"family":"Ciais","given":"Philippe"},{"family":"Rasmussen","given":"Kjeld"},{"family":"Tian","given":"Feng"},{"family":"Mbow","given":"Cheikh"},{"family":"Al-Yaari","given":"Amen"},{"family":"Rodriguez-Fernandez","given":"Nemesio"},{"family":"Schurgers","given":"Guy"},{"family":"Zhang","given":"Wenmin"},{"family":"Chang","given":"Jinfeng"},{"family":"Kerr","given":"Yann"},{"family":"Verger","given":"Aleixandre"},{"family":"Tucker","given":"Compton"},{"family":"Mialon","given":"Arnaud"},{"family":"Rasmussen","given":"Laura Vang"},{"family":"Fan","given":"Lei"},{"family":"Fensholt","given":"Rasmus"}],"issued":{"date-parts":[["2018"]]}}},{"id":464,"uris":["http://zotero.org/users/10686236/items/Z6A8WCXM"],"itemData":{"id":464,"type":"article-journal","abstract":"A large proportion of dryland trees and shrubs (hereafter referred to collectively as trees) grow in isolation, without canopy closure. These non-forest trees have a crucial role in biodiversity, and provide ecosystem services such as carbon storage, food resources and shelter for humans and animals1,2. However, most public interest relating to trees is devoted to forests, and trees outside of forests are not well-documented3. Here we map the crown size of each tree more than 3 m2 in size over a land area that spans 1.3 million km2 in the West African Sahara, Sahel and sub-humid zone, using submetre-resolution satellite imagery and deep learning4. We detected over 1.8 billion individual trees (13.4 trees per hectare), with a median crown size of 12 m2, along a rainfall gradient from 0 to 1,000 mm per year. The canopy cover increases from 0.1% (0.7 trees per hectare) in hyper-arid areas, through 1.6% (9.9 trees per hectare) in arid and 5.6% (30.1 trees per hectare) in semi-arid zones, to 13.3% (47 trees per hectare) in sub-humid areas. Although the overall canopy cover is low, the relatively high density of isolated trees challenges prevailing narratives about dryland desertification5–7, and even the desert shows a surprisingly high tree density. Our assessment suggests a way to monitor trees outside of forests globally, and to explore their role in mitigating degradation, climate change and poverty.","container-title":"Nature","DOI":"10.1038/s41586-020-2824-5","ISSN":"14764687","issue":"August 2019","note":"publisher: Springer US","title":"An unexpectedly large count of trees in the West African Sahara and Sahel","URL":"http://dx.doi.org/10.1038/s41586-020-2824-5","volume":"587","author":[{"family":"Brandt","given":"Martin"},{"family":"Tucker","given":"Compton J."},{"family":"Kariryaa","given":"Ankit"},{"family":"Rasmussen","given":"Kjeld"},{"family":"Abel","given":"Christin"},{"family":"Small","given":"Jennifer"},{"family":"Chave","given":"Jerome"},{"family":"Rasmussen","given":"Laura Vang"},{"family":"Hiernaux","given":"Pierre"},{"family":"Diouf","given":"Abdoul Aziz"},{"family":"Kergoat","given":"Laurent"},{"family":"Mertz","given":"Ole"},{"family":"Igel","given":"Christian"},{"family":"Gieseke","given":"Fabian"},{"family":"Schöning","given":"Johannes"},{"family":"Li","given":"Sizhuo"},{"family":"Melocik","given":"Katherine"},{"family":"Meyer","given":"Jesse"},{"family":"Sinno","given":"Scott"},{"family":"Romero","given":"Eric"},{"family":"Glennie","given":"Erin"},{"family":"Montagu","given":"Amandine"},{"family":"Dendoncker","given":"Morgane"},{"family":"Fensholt","given":"Rasmus"}],"issued":{"date-parts":[["2020"]]}}},{"id":183,"uris":["http://zotero.org/users/10686236/items/KQ4KFB2S"],"itemData":{"id":183,"type":"article-journal","abstract":"As an unprecedented stream of decametric hyperspectral observations becomes available from recent and upcoming spaceborne missions, effective algorithms are required to retrieve vegetation biophysical and biochemical variables such as leaf area index (LAI) and canopy chlorophyll content (CCC). In the context of missions such as the Environmental Mapping and Analysis Program (EnMAP), Precursore Iperspettrale della Missione Applicativa (PRISMA), Copernicus Hyperspectral Imaging Mission for the Environment (CHIME), and Surface Biology Geology (SBG), several retrieval algorithms have been developed based upon the turbid medium Scattering by Arbitrarily Inclined Leaves (SAIL) radiative transfer model. Whilst well suited to cereal crops, SAIL is known to perform comparatively poorly over more heterogeneous canopies (including forests and row-structured crops). In this paper, we investigate the application of hybrid radiative transfer models, including a modified version of SAIL (rowSAIL) and the Invertible Forest Reflectance Model (INFORM), to such canopies. Unlike SAIL, which assumes a horizontally homogeneous canopy, such models partition the canopy into geometric objects, which are themselves treated as turbid media. By enabling crown transmittance, foliage clumping, and shadowing to be represented, they provide a more realistic representation of heterogeneous vegetation. Using airborne hyperspectral data to simulate EnMAP observations over vineyard and deciduous broadleaf forest sites, we demonstrate that SAIL-based algorithms provide moderate retrieval accuracy for LAI (RMSD = 0.92–2.15, NRMSD = 40–67%, bias = −0.64–0.96) and CCC (RMSD = 0.27–1.27 g m−2, NRMSD = 64–84%, bias = −0.17–0.89 g m−2). The use of hybrid radiative transfer models (rowSAIL and INFORM) reduces bias in LAI (RMSD = 0.88–1.64, NRMSD = 27–64%, bias = −0.78–−0.13) and CCC (RMSD = 0.30–0.87 g m−2, NRMSD = 52–73%, bias = 0.03–0.42 g m−2) retrievals. Based on our results, at the canopy level, we recommend that hybrid radiative transfer models such as rowSAIL and INFORM are further adopted for hyperspectral biophysical and biochemical variable retrieval over heterogeneous vegetation.","container-title":"Remote Sensing","DOI":"10.3390/rs16122066","ISSN":"2072-4292","issue":"12","journalAbbreviation":"Remote Sensing","language":"en","license":"https://creativecommons.org/licenses/by/4.0/","page":"2066","source":"DOI.org (Crossref)","title":"Hyperspectral Leaf Area Index and Chlorophyll Retrieval over Forest and Row-Structured Vineyard Canopies","volume":"16","author":[{"family":"Brown","given":"Luke A."},{"family":"Morris","given":"Harry"},{"family":"MacLachlan","given":"Andrew"},{"family":"D’Adamo","given":"Francesco"},{"family":"Adams","given":"Jennifer"},{"family":"Lopez-Baeza","given":"Ernesto"},{"family":"Albero","given":"Erika"},{"family":"Martínez","given":"Beatriz"},{"family":"Sánchez-Ruiz","given":"Sergio"},{"family":"Campos-Taberner","given":"Manuel"},{"family":"Lidón","given":"Antonio"},{"family":"Lull","given":"Cristina"},{"family":"Bautista","given":"Inmaculada"},{"family":"Clewley","given":"Daniel"},{"family":"Llewellyn","given":"Gary"},{"family":"Xie","given":"Qiaoyun"},{"family":"Camacho","given":"Fernando"},{"family":"Pastor-Guzman","given":"Julio"},{"family":"Morrone","given":"Rosalinda"},{"family":"Sinclair","given":"Morven"},{"family":"Williams","given":"Owen"},{"family":"Hunt","given":"Merryn"},{"family":"Hueni","given":"Andreas"},{"family":"Boccia","given":"Valentina"},{"family":"Dransfeld","given":"Steffen"},{"family":"Dash","given":"Jadunandan"}],"issued":{"date-parts":[["2024",6,7]]}}}],"schema":"https://github.com/citation-style-language/schema/raw/master/csl-citation.json"} </w:instrText>
      </w:r>
      <w:r w:rsidR="00434DE2" w:rsidRPr="00B10EBE">
        <w:rPr>
          <w:rFonts w:ascii="Garamond" w:hAnsi="Garamond"/>
          <w:noProof/>
          <w:color w:val="000000" w:themeColor="text1"/>
          <w:sz w:val="24"/>
          <w:szCs w:val="24"/>
        </w:rPr>
        <w:fldChar w:fldCharType="separate"/>
      </w:r>
      <w:r w:rsidR="00981687" w:rsidRPr="00B10EBE">
        <w:rPr>
          <w:rFonts w:ascii="Garamond" w:hAnsi="Garamond"/>
          <w:noProof/>
          <w:color w:val="000000" w:themeColor="text1"/>
          <w:sz w:val="24"/>
          <w:szCs w:val="24"/>
        </w:rPr>
        <w:t>(</w:t>
      </w:r>
      <w:r w:rsidR="00D05115" w:rsidRPr="00B10EBE">
        <w:rPr>
          <w:rFonts w:ascii="Garamond" w:hAnsi="Garamond"/>
          <w:noProof/>
          <w:color w:val="000000" w:themeColor="text1"/>
          <w:sz w:val="24"/>
          <w:szCs w:val="24"/>
        </w:rPr>
        <w:t xml:space="preserve">e.g., </w:t>
      </w:r>
      <w:r w:rsidR="00981687" w:rsidRPr="00B10EBE">
        <w:rPr>
          <w:rFonts w:ascii="Garamond" w:hAnsi="Garamond"/>
          <w:noProof/>
          <w:color w:val="000000" w:themeColor="text1"/>
          <w:sz w:val="24"/>
          <w:szCs w:val="24"/>
        </w:rPr>
        <w:t>Brandt et al., 2018, 2020; Brown et al., 2024)</w:t>
      </w:r>
      <w:r w:rsidR="00434DE2" w:rsidRPr="00B10EBE">
        <w:rPr>
          <w:rFonts w:ascii="Garamond" w:hAnsi="Garamond"/>
          <w:noProof/>
          <w:color w:val="000000" w:themeColor="text1"/>
          <w:sz w:val="24"/>
          <w:szCs w:val="24"/>
        </w:rPr>
        <w:fldChar w:fldCharType="end"/>
      </w:r>
      <w:r w:rsidR="00981687" w:rsidRPr="00B10EBE">
        <w:rPr>
          <w:rFonts w:ascii="Garamond" w:hAnsi="Garamond"/>
          <w:noProof/>
          <w:color w:val="000000" w:themeColor="text1"/>
          <w:sz w:val="24"/>
          <w:szCs w:val="24"/>
        </w:rPr>
        <w:t xml:space="preserve">. However, these </w:t>
      </w:r>
      <w:r w:rsidR="0084092C" w:rsidRPr="00B10EBE">
        <w:rPr>
          <w:rFonts w:ascii="Garamond" w:hAnsi="Garamond"/>
          <w:noProof/>
          <w:color w:val="000000" w:themeColor="text1"/>
          <w:sz w:val="24"/>
          <w:szCs w:val="24"/>
        </w:rPr>
        <w:t>technologies remain underutilized</w:t>
      </w:r>
      <w:r w:rsidR="00981687" w:rsidRPr="00B10EBE">
        <w:rPr>
          <w:rFonts w:ascii="Garamond" w:hAnsi="Garamond"/>
          <w:noProof/>
          <w:color w:val="000000" w:themeColor="text1"/>
          <w:sz w:val="24"/>
          <w:szCs w:val="24"/>
        </w:rPr>
        <w:t xml:space="preserve"> in grassland studies </w:t>
      </w:r>
      <w:r w:rsidR="00981687"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{"citationID":"a1gkns3gdou","properties":{"formattedCitation":"(Ali et al., 2016)","plainCitation":"(Ali et al., 2016)","noteIndex":0},"citationItems":[{"id":642,"uris":["http://zotero.org/users/10686236/items/MHW4YF8Z"],"itemData":{"id":642,"type":"article-journal","abstract":"Aims Grasslands are the world's most extensive terrestrial ecosystem, and are a major feed source for livestock. Meeting increasing demand for meat and other dairy products in a sustainable manner is a big challenge. At a field scale, Global Positioning System and ground-based sensor technologies provide promising tools for grassland and herd management with high precision. With the growth in avail-ability of spaceborne remote sensing data, it is therefore important to revisit the relevant methods and applications that can exploit this imagery. In this article, we have reviewed the (i) current status of grassland monitoring/observation methods and applications based on satellite remote sensing data, (ii) the technological and meth-odological developments to retrieve different grassland biophysical parameters and management characteristics (i.e. degradation, graz-ing intensity) and (iii) identified the key remaining challenges and some new upcoming trends for future development. Important Findings The retrieval of grassland biophysical parameters have evolved in recent years from classical regression analysis to more complex, effi-cient and robust modeling approaches, driven by satellite data, and are likely to continue to be the most robust method for deriving grass-land information, however these require more high quality calibration and validation data. We found that the hypertemporal satellite data are widely used for time series generation, and particularly to overcome cloud contamination issues, but the current low spatial resolution of these instruments precludes their use for field-scale application in many countries. This trend may change with the current rise in launch of satellite constellations, such as RapidEye, Sentinel-2 and even the microsatellites such as those operated by Skybox Imaging. Microwave imagery has not been widely used for grassland applications, and a better understanding of the backscatter behaviour from different phe-nological stages is needed for more reliable products in cloudy regions. The development of hyperspectral satellite instrumentation and analyti-cal methods will help for more detailed discrimination of habitat types, and the development of tools for greater end-user operation.","container-title":"Journal of Plant Ecology","DOI":"10.1093/jpe/rtw005","ISSN":"1752993X","issue":"6","note":"ISBN: 1752-9921","page":"649-671","title":"Satellite remote sensing of grasslands: From observation to management","volume":"9","author":[{"family":"Ali","given":"Iftikhar"},{"family":"Cawkwell","given":"Fiona"},{"family":"Dwyer","given":"Edward"},{"family":"Barrett","given":"Brian"},{"family":"Green","given":"Stuart"}],"issued":{"date-parts":[["2016"]]}}}],"schema":"https://github.com/citation-style-language/schema/raw/master/csl-citation.json"} </w:instrText>
      </w:r>
      <w:r w:rsidR="00981687" w:rsidRPr="00B10EBE">
        <w:rPr>
          <w:rFonts w:ascii="Garamond" w:hAnsi="Garamond"/>
          <w:noProof/>
          <w:color w:val="000000" w:themeColor="text1"/>
          <w:sz w:val="24"/>
          <w:szCs w:val="24"/>
        </w:rPr>
        <w:fldChar w:fldCharType="separate"/>
      </w:r>
      <w:r w:rsidR="00C01A26" w:rsidRPr="00B10EBE">
        <w:rPr>
          <w:rFonts w:ascii="Garamond" w:hAnsi="Garamond"/>
          <w:color w:val="000000" w:themeColor="text1"/>
          <w:sz w:val="24"/>
        </w:rPr>
        <w:t>(Ali et al., 2016)</w:t>
      </w:r>
      <w:r w:rsidR="00981687" w:rsidRPr="00B10EBE">
        <w:rPr>
          <w:rFonts w:ascii="Garamond" w:hAnsi="Garamond"/>
          <w:noProof/>
          <w:color w:val="000000" w:themeColor="text1"/>
          <w:sz w:val="24"/>
          <w:szCs w:val="24"/>
        </w:rPr>
        <w:fldChar w:fldCharType="end"/>
      </w:r>
      <w:r w:rsidR="00981687" w:rsidRPr="00B10EBE">
        <w:rPr>
          <w:rFonts w:ascii="Garamond" w:hAnsi="Garamond"/>
          <w:noProof/>
          <w:color w:val="000000" w:themeColor="text1"/>
          <w:sz w:val="24"/>
          <w:szCs w:val="24"/>
        </w:rPr>
        <w:t xml:space="preserve">. </w:t>
      </w:r>
      <w:r w:rsidR="00983A33" w:rsidRPr="00B10EBE">
        <w:rPr>
          <w:rFonts w:ascii="Garamond" w:hAnsi="Garamond"/>
          <w:noProof/>
          <w:color w:val="000000" w:themeColor="text1"/>
          <w:sz w:val="24"/>
          <w:szCs w:val="24"/>
        </w:rPr>
        <w:t xml:space="preserve">Here we used microwave- and optical-based satellite data and structural equation models (SEMs) to quantify the relative importance of environmental and anthropogenic </w:t>
      </w:r>
      <w:r w:rsidR="00EB204C" w:rsidRPr="00B10EBE">
        <w:rPr>
          <w:rFonts w:ascii="Garamond" w:hAnsi="Garamond"/>
          <w:noProof/>
          <w:color w:val="000000" w:themeColor="text1"/>
          <w:sz w:val="24"/>
          <w:szCs w:val="24"/>
        </w:rPr>
        <w:t>variables</w:t>
      </w:r>
      <w:r w:rsidR="00983A33" w:rsidRPr="00B10EBE">
        <w:rPr>
          <w:rFonts w:ascii="Garamond" w:hAnsi="Garamond"/>
          <w:noProof/>
          <w:color w:val="000000" w:themeColor="text1"/>
          <w:sz w:val="24"/>
          <w:szCs w:val="24"/>
        </w:rPr>
        <w:t xml:space="preserve"> in driving woody dynamics across major grasslands of sub-Saharan Africa. Through a hypothesis-driven approach, we examined both direct and indirect (i.e., mediated by fire) effects of these </w:t>
      </w:r>
      <w:r w:rsidR="00EB204C" w:rsidRPr="00B10EBE">
        <w:rPr>
          <w:rFonts w:ascii="Garamond" w:hAnsi="Garamond"/>
          <w:noProof/>
          <w:color w:val="000000" w:themeColor="text1"/>
          <w:sz w:val="24"/>
          <w:szCs w:val="24"/>
        </w:rPr>
        <w:t>variables</w:t>
      </w:r>
      <w:r w:rsidR="00983A33" w:rsidRPr="00B10EBE">
        <w:rPr>
          <w:rFonts w:ascii="Garamond" w:hAnsi="Garamond"/>
          <w:noProof/>
          <w:color w:val="000000" w:themeColor="text1"/>
          <w:sz w:val="24"/>
          <w:szCs w:val="24"/>
        </w:rPr>
        <w:t xml:space="preserve">, aiming to identify regional pathways determining the likelihood of grasslands transitioning to a woody state. </w:t>
      </w:r>
      <w:r w:rsidR="00D13775" w:rsidRPr="00B10EBE">
        <w:rPr>
          <w:rFonts w:ascii="Garamond" w:hAnsi="Garamond"/>
          <w:noProof/>
          <w:color w:val="000000" w:themeColor="text1"/>
          <w:sz w:val="24"/>
          <w:szCs w:val="24"/>
        </w:rPr>
        <w:t xml:space="preserve">We </w:t>
      </w:r>
      <w:r w:rsidR="00C0363C" w:rsidRPr="00B10EBE">
        <w:rPr>
          <w:rFonts w:ascii="Garamond" w:hAnsi="Garamond"/>
          <w:noProof/>
          <w:color w:val="000000" w:themeColor="text1"/>
          <w:sz w:val="24"/>
          <w:szCs w:val="24"/>
        </w:rPr>
        <w:t>hypothesised</w:t>
      </w:r>
      <w:r w:rsidR="00C0363C" w:rsidRPr="00B10EBE" w:rsidDel="00C0363C">
        <w:rPr>
          <w:rFonts w:ascii="Garamond" w:hAnsi="Garamond"/>
          <w:noProof/>
          <w:color w:val="000000" w:themeColor="text1"/>
          <w:sz w:val="24"/>
          <w:szCs w:val="24"/>
        </w:rPr>
        <w:t xml:space="preserve"> </w:t>
      </w:r>
      <w:r w:rsidR="00D13775" w:rsidRPr="00B10EBE">
        <w:rPr>
          <w:rFonts w:ascii="Garamond" w:hAnsi="Garamond"/>
          <w:noProof/>
          <w:color w:val="000000" w:themeColor="text1"/>
          <w:sz w:val="24"/>
          <w:szCs w:val="24"/>
        </w:rPr>
        <w:t>a prevailing direct role of rainfall on woody vegetation and fire</w:t>
      </w:r>
      <w:r w:rsidR="004B0BCB" w:rsidRPr="00B10EBE">
        <w:rPr>
          <w:rFonts w:ascii="Garamond" w:hAnsi="Garamond"/>
          <w:noProof/>
          <w:color w:val="000000" w:themeColor="text1"/>
          <w:sz w:val="24"/>
          <w:szCs w:val="24"/>
        </w:rPr>
        <w:t xml:space="preserve">. </w:t>
      </w:r>
      <w:r w:rsidR="006F41C5" w:rsidRPr="00B10EBE">
        <w:rPr>
          <w:rFonts w:ascii="Garamond" w:hAnsi="Garamond"/>
          <w:noProof/>
          <w:color w:val="000000" w:themeColor="text1"/>
          <w:sz w:val="24"/>
          <w:szCs w:val="24"/>
        </w:rPr>
        <w:t>Similarly,</w:t>
      </w:r>
      <w:r w:rsidR="00D13775" w:rsidRPr="00B10EBE">
        <w:rPr>
          <w:rFonts w:ascii="Garamond" w:hAnsi="Garamond"/>
          <w:noProof/>
          <w:color w:val="000000" w:themeColor="text1"/>
          <w:sz w:val="24"/>
          <w:szCs w:val="24"/>
        </w:rPr>
        <w:t xml:space="preserve"> </w:t>
      </w:r>
      <w:r w:rsidR="007834B9" w:rsidRPr="00B10EBE">
        <w:rPr>
          <w:rFonts w:ascii="Garamond" w:hAnsi="Garamond"/>
          <w:noProof/>
          <w:color w:val="000000" w:themeColor="text1"/>
          <w:sz w:val="24"/>
          <w:szCs w:val="24"/>
        </w:rPr>
        <w:t>w</w:t>
      </w:r>
      <w:r w:rsidR="00D13775" w:rsidRPr="00B10EBE">
        <w:rPr>
          <w:rFonts w:ascii="Garamond" w:hAnsi="Garamond"/>
          <w:noProof/>
          <w:color w:val="000000" w:themeColor="text1"/>
          <w:sz w:val="24"/>
          <w:szCs w:val="24"/>
        </w:rPr>
        <w:t>e anticipated negative feedback between fire and woody vegetation and dry season rainfall to promote woody vegetation.</w:t>
      </w:r>
      <w:r w:rsidR="00117CE4" w:rsidRPr="00B10EBE">
        <w:rPr>
          <w:rFonts w:ascii="Garamond" w:hAnsi="Garamond"/>
          <w:noProof/>
          <w:color w:val="000000" w:themeColor="text1"/>
          <w:sz w:val="24"/>
          <w:szCs w:val="24"/>
        </w:rPr>
        <w:t xml:space="preserve"> We did not have any specific expectations regarding direct or indirect effects of temperature and </w:t>
      </w:r>
      <w:r w:rsidR="00345F17" w:rsidRPr="00B10EBE">
        <w:rPr>
          <w:rFonts w:ascii="Garamond" w:hAnsi="Garamond"/>
          <w:noProof/>
          <w:color w:val="000000" w:themeColor="text1"/>
          <w:sz w:val="24"/>
          <w:szCs w:val="24"/>
        </w:rPr>
        <w:t xml:space="preserve">human </w:t>
      </w:r>
      <w:r w:rsidR="00117CE4" w:rsidRPr="00B10EBE">
        <w:rPr>
          <w:rFonts w:ascii="Garamond" w:hAnsi="Garamond"/>
          <w:noProof/>
          <w:color w:val="000000" w:themeColor="text1"/>
          <w:sz w:val="24"/>
          <w:szCs w:val="24"/>
        </w:rPr>
        <w:t xml:space="preserve">population density on woody vegetation. We did not try to anticipate to what </w:t>
      </w:r>
      <w:r w:rsidR="00117CE4" w:rsidRPr="00B10EBE">
        <w:rPr>
          <w:rFonts w:ascii="Garamond" w:hAnsi="Garamond"/>
          <w:noProof/>
          <w:color w:val="000000" w:themeColor="text1"/>
          <w:sz w:val="24"/>
          <w:szCs w:val="24"/>
        </w:rPr>
        <w:lastRenderedPageBreak/>
        <w:t>extent support for each hypothesis varied across space and time.</w:t>
      </w:r>
      <w:r w:rsidR="004B0BCB" w:rsidRPr="00B10EBE">
        <w:rPr>
          <w:rFonts w:ascii="Garamond" w:hAnsi="Garamond"/>
          <w:noProof/>
          <w:color w:val="000000" w:themeColor="text1"/>
          <w:sz w:val="24"/>
          <w:szCs w:val="24"/>
        </w:rPr>
        <w:t xml:space="preserve"> These </w:t>
      </w:r>
      <w:r w:rsidR="00DA6B19" w:rsidRPr="00B10EBE">
        <w:rPr>
          <w:rFonts w:ascii="Garamond" w:hAnsi="Garamond"/>
          <w:noProof/>
          <w:color w:val="000000" w:themeColor="text1"/>
          <w:sz w:val="24"/>
          <w:szCs w:val="24"/>
        </w:rPr>
        <w:t>hypotheses</w:t>
      </w:r>
      <w:r w:rsidR="004B0BCB" w:rsidRPr="00B10EBE">
        <w:rPr>
          <w:rFonts w:ascii="Garamond" w:hAnsi="Garamond"/>
          <w:noProof/>
          <w:color w:val="000000" w:themeColor="text1"/>
          <w:sz w:val="24"/>
          <w:szCs w:val="24"/>
        </w:rPr>
        <w:t xml:space="preserve"> are based on the literature for grassy ecosystems in general, so may be less relevant for grasslands. Understanding if this is the case is a key focus of our study.</w:t>
      </w:r>
    </w:p>
    <w:p w14:paraId="6E0B0F2A" w14:textId="3198DC4C" w:rsidR="008403A0" w:rsidRPr="00B10EBE" w:rsidRDefault="008403A0" w:rsidP="0033343A">
      <w:pPr>
        <w:adjustRightInd w:val="0"/>
        <w:snapToGrid w:val="0"/>
        <w:ind w:left="0" w:firstLine="0"/>
        <w:jc w:val="both"/>
        <w:rPr>
          <w:rFonts w:ascii="Garamond" w:hAnsi="Garamond"/>
          <w:b/>
          <w:noProof/>
          <w:color w:val="000000" w:themeColor="text1"/>
          <w:sz w:val="24"/>
          <w:szCs w:val="24"/>
        </w:rPr>
      </w:pPr>
      <w:r w:rsidRPr="00B10EBE">
        <w:rPr>
          <w:rFonts w:ascii="Garamond" w:hAnsi="Garamond"/>
          <w:b/>
          <w:noProof/>
          <w:color w:val="000000" w:themeColor="text1"/>
          <w:sz w:val="24"/>
          <w:szCs w:val="24"/>
        </w:rPr>
        <w:t>2</w:t>
      </w:r>
      <w:r w:rsidRPr="00B10EBE">
        <w:rPr>
          <w:rFonts w:ascii="Garamond" w:hAnsi="Garamond"/>
          <w:b/>
          <w:noProof/>
          <w:color w:val="000000" w:themeColor="text1"/>
          <w:sz w:val="24"/>
          <w:szCs w:val="24"/>
        </w:rPr>
        <w:tab/>
      </w:r>
      <w:r w:rsidR="00705FA1" w:rsidRPr="00B10EBE">
        <w:rPr>
          <w:rFonts w:ascii="Garamond" w:hAnsi="Garamond"/>
          <w:b/>
          <w:noProof/>
          <w:color w:val="000000" w:themeColor="text1"/>
          <w:sz w:val="24"/>
          <w:szCs w:val="24"/>
        </w:rPr>
        <w:t>Materials and Methods</w:t>
      </w:r>
    </w:p>
    <w:p w14:paraId="3951B1B9" w14:textId="77777777" w:rsidR="008403A0" w:rsidRPr="00B10EBE" w:rsidRDefault="008403A0" w:rsidP="0033343A">
      <w:pPr>
        <w:adjustRightInd w:val="0"/>
        <w:snapToGrid w:val="0"/>
        <w:ind w:left="0" w:firstLine="0"/>
        <w:jc w:val="both"/>
        <w:rPr>
          <w:rFonts w:ascii="Garamond" w:hAnsi="Garamond"/>
          <w:i/>
          <w:iCs/>
          <w:noProof/>
          <w:color w:val="000000" w:themeColor="text1"/>
          <w:sz w:val="24"/>
          <w:szCs w:val="24"/>
        </w:rPr>
      </w:pPr>
      <w:r w:rsidRPr="00B10EBE">
        <w:rPr>
          <w:rFonts w:ascii="Garamond" w:hAnsi="Garamond"/>
          <w:i/>
          <w:iCs/>
          <w:noProof/>
          <w:color w:val="000000" w:themeColor="text1"/>
          <w:sz w:val="24"/>
          <w:szCs w:val="24"/>
        </w:rPr>
        <w:t>2.1</w:t>
      </w:r>
      <w:r w:rsidRPr="00B10EBE">
        <w:rPr>
          <w:rFonts w:ascii="Garamond" w:hAnsi="Garamond"/>
          <w:i/>
          <w:iCs/>
          <w:noProof/>
          <w:color w:val="000000" w:themeColor="text1"/>
          <w:sz w:val="24"/>
          <w:szCs w:val="24"/>
        </w:rPr>
        <w:tab/>
        <w:t>Study area</w:t>
      </w:r>
    </w:p>
    <w:p w14:paraId="11F316D9" w14:textId="37DAF2C8" w:rsidR="00604233" w:rsidRPr="00B10EBE" w:rsidRDefault="00E0664D"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The European Space Agency (ESA) Climate Change Initiative (CCI) Land Cover programme</w:t>
      </w:r>
      <w:r w:rsidR="003911C6" w:rsidRPr="00B10EBE">
        <w:rPr>
          <w:rFonts w:ascii="Garamond" w:hAnsi="Garamond"/>
          <w:noProof/>
          <w:color w:val="000000" w:themeColor="text1"/>
          <w:sz w:val="24"/>
          <w:szCs w:val="24"/>
        </w:rPr>
        <w:t xml:space="preserve"> aims</w:t>
      </w:r>
      <w:r w:rsidRPr="00B10EBE">
        <w:rPr>
          <w:rFonts w:ascii="Garamond" w:hAnsi="Garamond"/>
          <w:noProof/>
          <w:color w:val="000000" w:themeColor="text1"/>
          <w:sz w:val="24"/>
          <w:szCs w:val="24"/>
        </w:rPr>
        <w:t xml:space="preserve"> to maximize the potential of long-term satellite data to </w:t>
      </w:r>
      <w:r w:rsidR="003911C6" w:rsidRPr="00B10EBE">
        <w:rPr>
          <w:rFonts w:ascii="Garamond" w:hAnsi="Garamond"/>
          <w:noProof/>
          <w:color w:val="000000" w:themeColor="text1"/>
          <w:sz w:val="24"/>
          <w:szCs w:val="24"/>
        </w:rPr>
        <w:t xml:space="preserve">produce </w:t>
      </w:r>
      <w:r w:rsidRPr="00B10EBE">
        <w:rPr>
          <w:rFonts w:ascii="Garamond" w:hAnsi="Garamond"/>
          <w:noProof/>
          <w:color w:val="000000" w:themeColor="text1"/>
          <w:sz w:val="24"/>
          <w:szCs w:val="24"/>
        </w:rPr>
        <w:t>accurate land cover classification</w:t>
      </w:r>
      <w:r w:rsidR="003911C6" w:rsidRPr="00B10EBE">
        <w:rPr>
          <w:rFonts w:ascii="Garamond" w:hAnsi="Garamond"/>
          <w:noProof/>
          <w:color w:val="000000" w:themeColor="text1"/>
          <w:sz w:val="24"/>
          <w:szCs w:val="24"/>
        </w:rPr>
        <w:t xml:space="preserve"> for effective land dynamic and climate modelling studies.</w:t>
      </w:r>
      <w:r w:rsidR="0059354D" w:rsidRPr="00B10EBE">
        <w:rPr>
          <w:rFonts w:ascii="Garamond" w:hAnsi="Garamond"/>
          <w:noProof/>
          <w:color w:val="000000" w:themeColor="text1"/>
          <w:sz w:val="24"/>
          <w:szCs w:val="24"/>
        </w:rPr>
        <w:t xml:space="preserve"> </w:t>
      </w:r>
      <w:r w:rsidR="003911C6" w:rsidRPr="00B10EBE">
        <w:rPr>
          <w:rFonts w:ascii="Garamond" w:hAnsi="Garamond"/>
          <w:noProof/>
          <w:color w:val="000000" w:themeColor="text1"/>
          <w:sz w:val="24"/>
          <w:szCs w:val="24"/>
        </w:rPr>
        <w:t xml:space="preserve">The </w:t>
      </w:r>
      <w:r w:rsidR="0030404C" w:rsidRPr="00B10EBE" w:rsidDel="00FC4D19">
        <w:rPr>
          <w:rFonts w:ascii="Garamond" w:hAnsi="Garamond"/>
          <w:noProof/>
          <w:color w:val="000000" w:themeColor="text1"/>
          <w:sz w:val="24"/>
          <w:szCs w:val="24"/>
        </w:rPr>
        <w:t>ESA</w:t>
      </w:r>
      <w:r w:rsidR="003911C6" w:rsidRPr="00B10EBE">
        <w:rPr>
          <w:rFonts w:ascii="Garamond" w:hAnsi="Garamond"/>
          <w:noProof/>
          <w:color w:val="000000" w:themeColor="text1"/>
          <w:sz w:val="24"/>
          <w:szCs w:val="24"/>
        </w:rPr>
        <w:t xml:space="preserve"> </w:t>
      </w:r>
      <w:r w:rsidR="0030404C" w:rsidRPr="00B10EBE" w:rsidDel="00FC4D19">
        <w:rPr>
          <w:rFonts w:ascii="Garamond" w:hAnsi="Garamond"/>
          <w:noProof/>
          <w:color w:val="000000" w:themeColor="text1"/>
          <w:sz w:val="24"/>
          <w:szCs w:val="24"/>
        </w:rPr>
        <w:t xml:space="preserve">CCI land cover map </w:t>
      </w:r>
      <w:r w:rsidR="0091220A" w:rsidRPr="00B10EBE">
        <w:rPr>
          <w:rFonts w:ascii="Garamond" w:hAnsi="Garamond"/>
          <w:noProof/>
          <w:color w:val="000000" w:themeColor="text1"/>
          <w:sz w:val="24"/>
          <w:szCs w:val="24"/>
        </w:rPr>
        <w:t>(v</w:t>
      </w:r>
      <w:r w:rsidR="0030404C" w:rsidRPr="00B10EBE" w:rsidDel="00FC4D19">
        <w:rPr>
          <w:rFonts w:ascii="Garamond" w:hAnsi="Garamond"/>
          <w:noProof/>
          <w:color w:val="000000" w:themeColor="text1"/>
          <w:sz w:val="24"/>
          <w:szCs w:val="24"/>
        </w:rPr>
        <w:t>2.0.7</w:t>
      </w:r>
      <w:r w:rsidR="0091220A" w:rsidRPr="00B10EBE">
        <w:rPr>
          <w:rFonts w:ascii="Garamond" w:hAnsi="Garamond"/>
          <w:noProof/>
          <w:color w:val="000000" w:themeColor="text1"/>
          <w:sz w:val="24"/>
          <w:szCs w:val="24"/>
        </w:rPr>
        <w:t>,</w:t>
      </w:r>
      <w:r w:rsidR="003911C6" w:rsidRPr="00B10EBE" w:rsidDel="00FC4D19">
        <w:rPr>
          <w:rFonts w:ascii="Garamond" w:hAnsi="Garamond"/>
          <w:noProof/>
          <w:color w:val="000000" w:themeColor="text1"/>
          <w:sz w:val="24"/>
          <w:szCs w:val="24"/>
        </w:rPr>
        <w:t xml:space="preserve"> 300 m spatial resolution</w:t>
      </w:r>
      <w:r w:rsidR="0091220A" w:rsidRPr="00B10EBE">
        <w:rPr>
          <w:rFonts w:ascii="Garamond" w:hAnsi="Garamond"/>
          <w:noProof/>
          <w:color w:val="000000" w:themeColor="text1"/>
          <w:sz w:val="24"/>
          <w:szCs w:val="24"/>
        </w:rPr>
        <w:t>)</w:t>
      </w:r>
      <w:r w:rsidR="003911C6" w:rsidRPr="00B10EBE">
        <w:rPr>
          <w:rFonts w:ascii="Garamond" w:hAnsi="Garamond"/>
          <w:noProof/>
          <w:color w:val="000000" w:themeColor="text1"/>
          <w:sz w:val="24"/>
          <w:szCs w:val="24"/>
        </w:rPr>
        <w:t xml:space="preserve"> describes the land surface in 22 classes following the United Nations Land Cover Classification System (UN-LCCS) </w:t>
      </w:r>
      <w:r w:rsidR="00E42722"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{"citationID":"JS1Fcf2n","properties":{"formattedCitation":"(ESA, 2017)","plainCitation":"(ESA, 2017)","noteIndex":0},"citationItems":[{"id":266,"uris":["http://zotero.org/users/10686236/items/IVRWEAZ6"],"itemData":{"id":266,"type":"report","event-place":"UCL-Geomatics (Belgium)","page":"105","publisher-place":"UCL-Geomatics (Belgium)","title":"Land Cover CCI: Product User Guide Version 2.0","author":[{"literal":"ESA"}],"issued":{"date-parts":[["2017"]]}}}],"schema":"https://github.com/citation-style-language/schema/raw/master/csl-citation.json"} </w:instrText>
      </w:r>
      <w:r w:rsidR="00E42722"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(ESA, 2017)</w:t>
      </w:r>
      <w:r w:rsidR="00E42722" w:rsidRPr="00B10EBE">
        <w:rPr>
          <w:rFonts w:ascii="Garamond" w:hAnsi="Garamond"/>
          <w:noProof/>
          <w:color w:val="000000" w:themeColor="text1"/>
          <w:sz w:val="24"/>
          <w:szCs w:val="24"/>
        </w:rPr>
        <w:fldChar w:fldCharType="end"/>
      </w:r>
      <w:r w:rsidR="00041662" w:rsidRPr="00B10EBE">
        <w:rPr>
          <w:rFonts w:ascii="Garamond" w:hAnsi="Garamond"/>
          <w:noProof/>
          <w:color w:val="000000" w:themeColor="text1"/>
          <w:sz w:val="24"/>
          <w:szCs w:val="24"/>
        </w:rPr>
        <w:t xml:space="preserve">. </w:t>
      </w:r>
      <w:r w:rsidR="007A25D1" w:rsidRPr="00B10EBE">
        <w:rPr>
          <w:rFonts w:ascii="Garamond" w:hAnsi="Garamond"/>
          <w:noProof/>
          <w:color w:val="000000" w:themeColor="text1"/>
          <w:sz w:val="24"/>
          <w:szCs w:val="24"/>
        </w:rPr>
        <w:t>Here w</w:t>
      </w:r>
      <w:r w:rsidR="00041662" w:rsidRPr="00B10EBE">
        <w:rPr>
          <w:rFonts w:ascii="Garamond" w:hAnsi="Garamond"/>
          <w:noProof/>
          <w:color w:val="000000" w:themeColor="text1"/>
          <w:sz w:val="24"/>
          <w:szCs w:val="24"/>
        </w:rPr>
        <w:t xml:space="preserve">e used this product to </w:t>
      </w:r>
      <w:r w:rsidR="001C468B" w:rsidRPr="00B10EBE">
        <w:rPr>
          <w:rFonts w:ascii="Garamond" w:hAnsi="Garamond"/>
          <w:noProof/>
          <w:color w:val="000000" w:themeColor="text1"/>
          <w:sz w:val="24"/>
          <w:szCs w:val="24"/>
        </w:rPr>
        <w:t>define</w:t>
      </w:r>
      <w:r w:rsidR="00041662" w:rsidRPr="00B10EBE">
        <w:rPr>
          <w:rFonts w:ascii="Garamond" w:hAnsi="Garamond"/>
          <w:noProof/>
          <w:color w:val="000000" w:themeColor="text1"/>
          <w:sz w:val="24"/>
          <w:szCs w:val="24"/>
        </w:rPr>
        <w:t xml:space="preserve"> </w:t>
      </w:r>
      <w:r w:rsidR="007A25D1" w:rsidRPr="00B10EBE">
        <w:rPr>
          <w:rFonts w:ascii="Garamond" w:hAnsi="Garamond"/>
          <w:noProof/>
          <w:color w:val="000000" w:themeColor="text1"/>
          <w:sz w:val="24"/>
          <w:szCs w:val="24"/>
        </w:rPr>
        <w:t xml:space="preserve">grasslands in </w:t>
      </w:r>
      <w:r w:rsidR="00531C06" w:rsidRPr="00B10EBE">
        <w:rPr>
          <w:rFonts w:ascii="Garamond" w:hAnsi="Garamond"/>
          <w:noProof/>
          <w:color w:val="000000" w:themeColor="text1"/>
          <w:sz w:val="24"/>
          <w:szCs w:val="24"/>
        </w:rPr>
        <w:t xml:space="preserve">sub-Saharan </w:t>
      </w:r>
      <w:r w:rsidR="007A25D1" w:rsidRPr="00B10EBE">
        <w:rPr>
          <w:rFonts w:ascii="Garamond" w:hAnsi="Garamond"/>
          <w:noProof/>
          <w:color w:val="000000" w:themeColor="text1"/>
          <w:sz w:val="24"/>
          <w:szCs w:val="24"/>
        </w:rPr>
        <w:t>Africa</w:t>
      </w:r>
      <w:r w:rsidR="00041662" w:rsidRPr="00B10EBE">
        <w:rPr>
          <w:rFonts w:ascii="Garamond" w:hAnsi="Garamond"/>
          <w:noProof/>
          <w:color w:val="000000" w:themeColor="text1"/>
          <w:sz w:val="24"/>
          <w:szCs w:val="24"/>
        </w:rPr>
        <w:t xml:space="preserve"> by</w:t>
      </w:r>
      <w:r w:rsidR="0030404C" w:rsidRPr="00B10EBE" w:rsidDel="00FC4D19">
        <w:rPr>
          <w:rFonts w:ascii="Garamond" w:hAnsi="Garamond"/>
          <w:noProof/>
          <w:color w:val="000000" w:themeColor="text1"/>
          <w:sz w:val="24"/>
          <w:szCs w:val="24"/>
        </w:rPr>
        <w:t xml:space="preserve"> select</w:t>
      </w:r>
      <w:r w:rsidR="00041662" w:rsidRPr="00B10EBE">
        <w:rPr>
          <w:rFonts w:ascii="Garamond" w:hAnsi="Garamond"/>
          <w:noProof/>
          <w:color w:val="000000" w:themeColor="text1"/>
          <w:sz w:val="24"/>
          <w:szCs w:val="24"/>
        </w:rPr>
        <w:t>ing</w:t>
      </w:r>
      <w:r w:rsidR="0030404C" w:rsidRPr="00B10EBE" w:rsidDel="00FC4D19">
        <w:rPr>
          <w:rFonts w:ascii="Garamond" w:hAnsi="Garamond"/>
          <w:noProof/>
          <w:color w:val="000000" w:themeColor="text1"/>
          <w:sz w:val="24"/>
          <w:szCs w:val="24"/>
        </w:rPr>
        <w:t xml:space="preserve"> classes 110 (mosaic herbaceous cover &gt; 50% and tree and shrub &lt; 50%) and 130 (grassland)</w:t>
      </w:r>
      <w:r w:rsidR="0030404C" w:rsidRPr="00B10EBE">
        <w:rPr>
          <w:rFonts w:ascii="Garamond" w:hAnsi="Garamond"/>
          <w:noProof/>
          <w:color w:val="000000" w:themeColor="text1"/>
          <w:sz w:val="24"/>
          <w:szCs w:val="24"/>
        </w:rPr>
        <w:t>, and exclud</w:t>
      </w:r>
      <w:r w:rsidR="00041662" w:rsidRPr="00B10EBE">
        <w:rPr>
          <w:rFonts w:ascii="Garamond" w:hAnsi="Garamond"/>
          <w:noProof/>
          <w:color w:val="000000" w:themeColor="text1"/>
          <w:sz w:val="24"/>
          <w:szCs w:val="24"/>
        </w:rPr>
        <w:t>ing</w:t>
      </w:r>
      <w:r w:rsidR="0030404C" w:rsidRPr="00B10EBE">
        <w:rPr>
          <w:rFonts w:ascii="Garamond" w:hAnsi="Garamond"/>
          <w:noProof/>
          <w:color w:val="000000" w:themeColor="text1"/>
          <w:sz w:val="24"/>
          <w:szCs w:val="24"/>
        </w:rPr>
        <w:t xml:space="preserve"> areas dominated by croplands, trees, or where the </w:t>
      </w:r>
      <w:r w:rsidR="0030404C" w:rsidRPr="00B10EBE">
        <w:rPr>
          <w:rFonts w:ascii="Garamond" w:hAnsi="Garamond"/>
          <w:noProof/>
          <w:color w:val="000000" w:themeColor="text1"/>
          <w:sz w:val="24"/>
          <w:szCs w:val="24"/>
          <w:lang w:eastAsia="zh-CN"/>
        </w:rPr>
        <w:t>herbaceous cover is lower than 50%.</w:t>
      </w:r>
      <w:r w:rsidR="0030404C" w:rsidRPr="00B10EBE">
        <w:rPr>
          <w:rFonts w:ascii="Garamond" w:hAnsi="Garamond"/>
          <w:noProof/>
          <w:color w:val="000000" w:themeColor="text1"/>
          <w:sz w:val="24"/>
          <w:szCs w:val="24"/>
        </w:rPr>
        <w:t xml:space="preserve"> By doing so, we</w:t>
      </w:r>
      <w:r w:rsidR="005E4559" w:rsidRPr="00B10EBE">
        <w:rPr>
          <w:rFonts w:ascii="Garamond" w:hAnsi="Garamond"/>
          <w:noProof/>
          <w:color w:val="000000" w:themeColor="text1"/>
          <w:sz w:val="24"/>
          <w:szCs w:val="24"/>
        </w:rPr>
        <w:t xml:space="preserve"> were able to</w:t>
      </w:r>
      <w:r w:rsidR="0030404C" w:rsidRPr="00B10EBE">
        <w:rPr>
          <w:rFonts w:ascii="Garamond" w:hAnsi="Garamond"/>
          <w:noProof/>
          <w:color w:val="000000" w:themeColor="text1"/>
          <w:sz w:val="24"/>
          <w:szCs w:val="24"/>
        </w:rPr>
        <w:t xml:space="preserve"> </w:t>
      </w:r>
      <w:r w:rsidR="001C468B" w:rsidRPr="00B10EBE">
        <w:rPr>
          <w:rFonts w:ascii="Garamond" w:hAnsi="Garamond"/>
          <w:noProof/>
          <w:color w:val="000000" w:themeColor="text1"/>
          <w:sz w:val="24"/>
          <w:szCs w:val="24"/>
        </w:rPr>
        <w:t>produce</w:t>
      </w:r>
      <w:r w:rsidR="0030404C" w:rsidRPr="00B10EBE">
        <w:rPr>
          <w:rFonts w:ascii="Garamond" w:hAnsi="Garamond"/>
          <w:noProof/>
          <w:color w:val="000000" w:themeColor="text1"/>
          <w:sz w:val="24"/>
          <w:szCs w:val="24"/>
        </w:rPr>
        <w:t xml:space="preserve"> a </w:t>
      </w:r>
      <w:r w:rsidR="009C7375" w:rsidRPr="00B10EBE">
        <w:rPr>
          <w:rFonts w:ascii="Garamond" w:hAnsi="Garamond"/>
          <w:noProof/>
          <w:color w:val="000000" w:themeColor="text1"/>
          <w:sz w:val="24"/>
          <w:szCs w:val="24"/>
        </w:rPr>
        <w:t>strict</w:t>
      </w:r>
      <w:r w:rsidR="00872E1C" w:rsidRPr="00B10EBE">
        <w:rPr>
          <w:rFonts w:ascii="Garamond" w:hAnsi="Garamond"/>
          <w:noProof/>
          <w:color w:val="000000" w:themeColor="text1"/>
          <w:sz w:val="24"/>
          <w:szCs w:val="24"/>
        </w:rPr>
        <w:t xml:space="preserve"> </w:t>
      </w:r>
      <w:r w:rsidR="0030404C" w:rsidRPr="00B10EBE">
        <w:rPr>
          <w:rFonts w:ascii="Garamond" w:hAnsi="Garamond"/>
          <w:noProof/>
          <w:color w:val="000000" w:themeColor="text1"/>
          <w:sz w:val="24"/>
          <w:szCs w:val="24"/>
        </w:rPr>
        <w:t xml:space="preserve">grassland mask </w:t>
      </w:r>
      <w:r w:rsidR="00142682" w:rsidRPr="00B10EBE">
        <w:rPr>
          <w:rFonts w:ascii="Garamond" w:hAnsi="Garamond"/>
          <w:noProof/>
          <w:color w:val="000000" w:themeColor="text1"/>
          <w:sz w:val="24"/>
          <w:szCs w:val="24"/>
        </w:rPr>
        <w:t>that</w:t>
      </w:r>
      <w:r w:rsidR="005E4559" w:rsidRPr="00B10EBE">
        <w:rPr>
          <w:rFonts w:ascii="Garamond" w:hAnsi="Garamond"/>
          <w:noProof/>
          <w:color w:val="000000" w:themeColor="text1"/>
          <w:sz w:val="24"/>
          <w:szCs w:val="24"/>
        </w:rPr>
        <w:t xml:space="preserve"> i)</w:t>
      </w:r>
      <w:r w:rsidR="009C7375" w:rsidRPr="00B10EBE">
        <w:rPr>
          <w:rFonts w:ascii="Garamond" w:hAnsi="Garamond"/>
          <w:noProof/>
          <w:color w:val="000000" w:themeColor="text1"/>
          <w:sz w:val="24"/>
          <w:szCs w:val="24"/>
        </w:rPr>
        <w:t xml:space="preserve"> fits our interest in </w:t>
      </w:r>
      <w:r w:rsidR="0083285E" w:rsidRPr="00B10EBE">
        <w:rPr>
          <w:rFonts w:ascii="Garamond" w:hAnsi="Garamond"/>
          <w:noProof/>
          <w:color w:val="000000" w:themeColor="text1"/>
          <w:sz w:val="24"/>
          <w:szCs w:val="24"/>
        </w:rPr>
        <w:t>naturally grass-dominated</w:t>
      </w:r>
      <w:r w:rsidR="009C7375" w:rsidRPr="00B10EBE" w:rsidDel="00FC4D19">
        <w:rPr>
          <w:rFonts w:ascii="Garamond" w:hAnsi="Garamond"/>
          <w:noProof/>
          <w:color w:val="000000" w:themeColor="text1"/>
          <w:sz w:val="24"/>
          <w:szCs w:val="24"/>
        </w:rPr>
        <w:t xml:space="preserve"> ecosystems </w:t>
      </w:r>
      <w:r w:rsidR="009C7375" w:rsidRPr="00B10EBE">
        <w:rPr>
          <w:rFonts w:ascii="Garamond" w:hAnsi="Garamond"/>
          <w:noProof/>
          <w:color w:val="000000" w:themeColor="text1"/>
          <w:sz w:val="24"/>
          <w:szCs w:val="24"/>
        </w:rPr>
        <w:t>(as opposed to more mixed grass-tree savanna regions)</w:t>
      </w:r>
      <w:r w:rsidR="00604233" w:rsidRPr="00B10EBE">
        <w:rPr>
          <w:rFonts w:ascii="Garamond" w:hAnsi="Garamond"/>
          <w:noProof/>
          <w:color w:val="000000" w:themeColor="text1"/>
          <w:sz w:val="24"/>
          <w:szCs w:val="24"/>
        </w:rPr>
        <w:t xml:space="preserve"> </w:t>
      </w:r>
      <w:r w:rsidR="00142682" w:rsidRPr="00B10EBE">
        <w:rPr>
          <w:rFonts w:ascii="Garamond" w:hAnsi="Garamond"/>
          <w:noProof/>
          <w:color w:val="000000" w:themeColor="text1"/>
          <w:sz w:val="24"/>
          <w:szCs w:val="24"/>
        </w:rPr>
        <w:t>and</w:t>
      </w:r>
      <w:r w:rsidR="005E4559" w:rsidRPr="00B10EBE">
        <w:rPr>
          <w:rFonts w:ascii="Garamond" w:hAnsi="Garamond"/>
          <w:noProof/>
          <w:color w:val="000000" w:themeColor="text1"/>
          <w:sz w:val="24"/>
          <w:szCs w:val="24"/>
        </w:rPr>
        <w:t xml:space="preserve"> ii)</w:t>
      </w:r>
      <w:r w:rsidR="009C7375" w:rsidRPr="00B10EBE">
        <w:rPr>
          <w:rFonts w:ascii="Garamond" w:hAnsi="Garamond"/>
          <w:noProof/>
          <w:color w:val="000000" w:themeColor="text1"/>
          <w:sz w:val="24"/>
          <w:szCs w:val="24"/>
        </w:rPr>
        <w:t xml:space="preserve"> matches the classification of grassland of the Intergovernmental Panel on Climate Change</w:t>
      </w:r>
      <w:r w:rsidR="009C7375" w:rsidRPr="00B10EBE" w:rsidDel="00FC4D19">
        <w:rPr>
          <w:rFonts w:ascii="Garamond" w:hAnsi="Garamond"/>
          <w:noProof/>
          <w:color w:val="000000" w:themeColor="text1"/>
          <w:sz w:val="24"/>
          <w:szCs w:val="24"/>
        </w:rPr>
        <w:t xml:space="preserve"> (ESA 2017)</w:t>
      </w:r>
      <w:r w:rsidR="0030404C" w:rsidRPr="00B10EBE">
        <w:rPr>
          <w:rFonts w:ascii="Garamond" w:hAnsi="Garamond"/>
          <w:noProof/>
          <w:color w:val="000000" w:themeColor="text1"/>
          <w:sz w:val="24"/>
          <w:szCs w:val="24"/>
        </w:rPr>
        <w:t>.</w:t>
      </w:r>
      <w:r w:rsidR="006335D2" w:rsidRPr="00B10EBE">
        <w:rPr>
          <w:rFonts w:ascii="Garamond" w:hAnsi="Garamond"/>
          <w:noProof/>
          <w:color w:val="000000" w:themeColor="text1"/>
          <w:sz w:val="24"/>
          <w:szCs w:val="24"/>
        </w:rPr>
        <w:t xml:space="preserve"> </w:t>
      </w:r>
      <w:r w:rsidR="001445EC" w:rsidRPr="00B10EBE">
        <w:rPr>
          <w:rFonts w:ascii="Garamond" w:hAnsi="Garamond"/>
          <w:noProof/>
          <w:color w:val="000000" w:themeColor="text1"/>
          <w:sz w:val="24"/>
          <w:szCs w:val="24"/>
        </w:rPr>
        <w:t>Later, to account for context-dependency (e.g., ecological and climatic heterogeneity that exists across Africa, distinct socio-ecological histories among regions) we opted to subdivide grasslands by applying the One Earth Bioregions framework</w:t>
      </w:r>
      <w:r w:rsidR="00E42722" w:rsidRPr="00B10EBE">
        <w:rPr>
          <w:rFonts w:ascii="Garamond" w:hAnsi="Garamond"/>
          <w:noProof/>
          <w:color w:val="000000" w:themeColor="text1"/>
          <w:sz w:val="24"/>
          <w:szCs w:val="24"/>
        </w:rPr>
        <w:t xml:space="preserve"> </w:t>
      </w:r>
      <w:r w:rsidR="00E42722"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{"citationID":"D1O8VC5z","properties":{"formattedCitation":"(One Earth, 2020)","plainCitation":"(One Earth, 2020)","noteIndex":0},"citationItems":[{"id":264,"uris":["http://zotero.org/users/10686236/items/ICWKUCJG"],"itemData":{"id":264,"type":"webpage","title":"Bioregions","URL":"https://www.oneearth.org/","author":[{"literal":"One Earth"}],"accessed":{"date-parts":[["2021",2,12]]},"issued":{"date-parts":[["2020"]]}}}],"schema":"https://github.com/citation-style-language/schema/raw/master/csl-citation.json"} </w:instrText>
      </w:r>
      <w:r w:rsidR="00E42722"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(One Earth, 2020)</w:t>
      </w:r>
      <w:r w:rsidR="00E42722" w:rsidRPr="00B10EBE">
        <w:rPr>
          <w:rFonts w:ascii="Garamond" w:hAnsi="Garamond"/>
          <w:noProof/>
          <w:color w:val="000000" w:themeColor="text1"/>
          <w:sz w:val="24"/>
          <w:szCs w:val="24"/>
        </w:rPr>
        <w:fldChar w:fldCharType="end"/>
      </w:r>
      <w:r w:rsidR="00436D72" w:rsidRPr="00B10EBE">
        <w:rPr>
          <w:rFonts w:ascii="Garamond" w:hAnsi="Garamond"/>
          <w:noProof/>
          <w:color w:val="000000" w:themeColor="text1"/>
          <w:sz w:val="24"/>
          <w:szCs w:val="24"/>
        </w:rPr>
        <w:t>. Th</w:t>
      </w:r>
      <w:r w:rsidR="00D13878" w:rsidRPr="00B10EBE">
        <w:rPr>
          <w:rFonts w:ascii="Garamond" w:hAnsi="Garamond"/>
          <w:noProof/>
          <w:color w:val="000000" w:themeColor="text1"/>
          <w:sz w:val="24"/>
          <w:szCs w:val="24"/>
        </w:rPr>
        <w:t>is framework</w:t>
      </w:r>
      <w:r w:rsidR="005C1984" w:rsidRPr="00B10EBE">
        <w:rPr>
          <w:rFonts w:ascii="Garamond" w:hAnsi="Garamond"/>
          <w:noProof/>
          <w:color w:val="000000" w:themeColor="text1"/>
          <w:sz w:val="24"/>
          <w:szCs w:val="24"/>
        </w:rPr>
        <w:t xml:space="preserve"> aggregates </w:t>
      </w:r>
      <w:r w:rsidR="004329D1" w:rsidRPr="00B10EBE">
        <w:rPr>
          <w:rFonts w:ascii="Garamond" w:hAnsi="Garamond"/>
          <w:noProof/>
          <w:color w:val="000000" w:themeColor="text1"/>
          <w:sz w:val="24"/>
          <w:szCs w:val="24"/>
        </w:rPr>
        <w:t>similar</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{"citationID":"a49b2h0he4","properties":{"formattedCitation":"(Dinerstein et al., 2017)","plainCitation":"(Dinerstein et al., 2017)","noteIndex":0},"citationItems":[{"id":1877,"uris":["http://zotero.org/users/10686236/items/7TE5LMKK"],"itemData":{"id":1877,"type":"article-journal","abstract":"We assess progress toward the protection of 50% of the terrestrial biosphere to address the species-extinction crisis and conserve a global ecological heritage for future generations. Using a map of Earth's 846 terrestrial ecoregions, we show that 98 ecoregions (12%) exceed Half Protected; 313 ecoregions (37%) fall short of Half Protected but have sufficient unaltered habitat remaining to reach the target; and 207 ecoregions (24%) are in peril, where an average of only 4% of natural habitat remains. We propose a Global Deal for Nature-a companion to the Paris Climate Deal-to promote increased habitat protection and restoration, national- and ecoregion-scale conservation strategies, and the empowerment of indigenous peoples to protect their sovereign lands. The goal of such an accord would be to protect half the terrestrial realm by 2050 to halt the extinction crisis while sustaining human livelihoods.","container-title":"BioScience","DOI":"10.1093/biosci/bix014","ISSN":"15253244","issue":"6","page":"534-545","title":"An Ecoregion-Based Approach to Protecting Half the Terrestrial Realm","volume":"67","author":[{"family":"Dinerstein","given":"Eric"},{"family":"Olson","given":"David"},{"family":"Joshi","given":"Anup"},{"family":"Vynne","given":"Carly"},{"family":"Burgess","given":"Neil D."},{"family":"Wikramanayake","given":"Eric"},{"family":"Hahn","given":"Nathan"},{"family":"Palminteri","given":"Suzanne"},{"family":"Hedao","given":"Prashant"},{"family":"Noss","given":"Reed"},{"family":"Hansen","given":"Matt"},{"family":"Locke","given":"Harvey"},{"family":"Ellis","given":"Erle C."},{"family":"Jones","given":"Benjamin"},{"family":"Barber","given":"Charles Victor"},{"family":"Hayes","given":"Randy"},{"family":"Kormos","given":"Cyril"},{"family":"Martin","given":"Vance"},{"family":"Crist","given":"Eileen"},{"family":"Sechrest","given":"Wes"},{"family":"Price","given":"Lori"},{"family":"Baillie","given":"Jonathan E.M."},{"family":"Weeden","given":"Don"},{"family":"Suckling","given":"Kierán"},{"family":"Davis","given":"Crystal"},{"family":"Sizer","given":"Nigel"},{"family":"Moore","given":"Rebecca"},{"family":"Thau","given":"David"},{"family":"Birch","given":"Tanya"},{"family":"Potapov","given":"Peter"},{"family":"Turubanova","given":"Svetlana"},{"family":"Tyukavina","given":"Alexandra"},{"family":"De Souza","given":"Nadia"},{"family":"Pintea","given":"Lilian"},{"family":"Brito","given":"Joscrossed C."},{"family":"Llewellyn","given":"Othman A."},{"family":"Miller","given":"Anthony G."},{"family":"Patzelt","given":"Annette"},{"family":"Ghazanfar","given":"Shahina A."},{"family":"Timberlake","given":"Jonathan"},{"family":"Klöser","given":"Heinz"},{"family":"Shennan-Farpón","given":"Yara"},{"family":"Kindt","given":"Roeland"},{"family":"Lillesø","given":"Jens Peter Barnekow"},{"family":"Van Breugel","given":"Paulo"},{"family":"Graudal","given":"Lars"},{"family":"Voge","given":"Maianna"},{"family":"Al-Shammari","given":"Khalaf F."},{"family":"Saleem","given":"Muhammad"}],"issued":{"date-parts":[["2017"]]}}}],"schema":"https://github.com/citation-style-language/schema/raw/master/csl-citation.json"}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(Dinerstein et al., 2017)</w:t>
      </w:r>
      <w:r w:rsidR="00A95CD4" w:rsidRPr="00B10EBE">
        <w:rPr>
          <w:rFonts w:ascii="Garamond" w:hAnsi="Garamond"/>
          <w:noProof/>
          <w:color w:val="000000" w:themeColor="text1"/>
          <w:sz w:val="24"/>
          <w:szCs w:val="24"/>
        </w:rPr>
        <w:fldChar w:fldCharType="end"/>
      </w:r>
      <w:r w:rsidR="005C1984" w:rsidRPr="00B10EBE">
        <w:rPr>
          <w:rFonts w:ascii="Garamond" w:hAnsi="Garamond"/>
          <w:noProof/>
          <w:color w:val="000000" w:themeColor="text1"/>
          <w:sz w:val="24"/>
          <w:szCs w:val="24"/>
        </w:rPr>
        <w:t xml:space="preserve"> terrestrial ecoregions into </w:t>
      </w:r>
      <w:r w:rsidR="00604233" w:rsidRPr="00B10EBE">
        <w:rPr>
          <w:rFonts w:ascii="Garamond" w:hAnsi="Garamond"/>
          <w:noProof/>
          <w:color w:val="000000" w:themeColor="text1"/>
          <w:sz w:val="24"/>
          <w:szCs w:val="24"/>
        </w:rPr>
        <w:t xml:space="preserve">larger-scale </w:t>
      </w:r>
      <w:r w:rsidR="005C1984" w:rsidRPr="00B10EBE">
        <w:rPr>
          <w:rFonts w:ascii="Garamond" w:hAnsi="Garamond"/>
          <w:noProof/>
          <w:color w:val="000000" w:themeColor="text1"/>
          <w:sz w:val="24"/>
          <w:szCs w:val="24"/>
        </w:rPr>
        <w:t>ecological systems</w:t>
      </w:r>
      <w:r w:rsidR="00D13878" w:rsidRPr="00B10EBE">
        <w:rPr>
          <w:rFonts w:ascii="Garamond" w:hAnsi="Garamond"/>
          <w:noProof/>
          <w:color w:val="000000" w:themeColor="text1"/>
          <w:sz w:val="24"/>
          <w:szCs w:val="24"/>
        </w:rPr>
        <w:t xml:space="preserve"> that are therefore</w:t>
      </w:r>
      <w:r w:rsidR="00436D72" w:rsidRPr="00B10EBE">
        <w:rPr>
          <w:rFonts w:ascii="Garamond" w:hAnsi="Garamond"/>
          <w:noProof/>
          <w:color w:val="000000" w:themeColor="text1"/>
          <w:sz w:val="24"/>
          <w:szCs w:val="24"/>
        </w:rPr>
        <w:t xml:space="preserve"> </w:t>
      </w:r>
      <w:r w:rsidR="005C1984" w:rsidRPr="00B10EBE">
        <w:rPr>
          <w:rFonts w:ascii="Garamond" w:hAnsi="Garamond"/>
          <w:noProof/>
          <w:color w:val="000000" w:themeColor="text1"/>
          <w:sz w:val="24"/>
          <w:szCs w:val="24"/>
        </w:rPr>
        <w:t xml:space="preserve">better suited for </w:t>
      </w:r>
      <w:r w:rsidR="00604233" w:rsidRPr="00B10EBE">
        <w:rPr>
          <w:rFonts w:ascii="Garamond" w:hAnsi="Garamond"/>
          <w:noProof/>
          <w:color w:val="000000" w:themeColor="text1"/>
          <w:sz w:val="24"/>
          <w:szCs w:val="24"/>
        </w:rPr>
        <w:t xml:space="preserve">broad regional </w:t>
      </w:r>
      <w:r w:rsidR="005C1984" w:rsidRPr="00B10EBE">
        <w:rPr>
          <w:rFonts w:ascii="Garamond" w:hAnsi="Garamond"/>
          <w:noProof/>
          <w:color w:val="000000" w:themeColor="text1"/>
          <w:sz w:val="24"/>
          <w:szCs w:val="24"/>
        </w:rPr>
        <w:t>assessments</w:t>
      </w:r>
      <w:r w:rsidR="00761DD6" w:rsidRPr="00B10EBE">
        <w:rPr>
          <w:rFonts w:ascii="Garamond" w:hAnsi="Garamond"/>
          <w:noProof/>
          <w:color w:val="000000" w:themeColor="text1"/>
          <w:sz w:val="24"/>
          <w:szCs w:val="24"/>
        </w:rPr>
        <w:t xml:space="preserve"> (e.g., our study)</w:t>
      </w:r>
      <w:r w:rsidR="005C1984" w:rsidRPr="00B10EBE">
        <w:rPr>
          <w:rFonts w:ascii="Garamond" w:hAnsi="Garamond"/>
          <w:noProof/>
          <w:color w:val="000000" w:themeColor="text1"/>
          <w:sz w:val="24"/>
          <w:szCs w:val="24"/>
        </w:rPr>
        <w:t>.</w:t>
      </w:r>
      <w:r w:rsidR="004329D1" w:rsidRPr="00B10EBE">
        <w:rPr>
          <w:rFonts w:ascii="Garamond" w:hAnsi="Garamond"/>
          <w:noProof/>
          <w:color w:val="000000" w:themeColor="text1"/>
          <w:sz w:val="24"/>
          <w:szCs w:val="24"/>
        </w:rPr>
        <w:t xml:space="preserve"> </w:t>
      </w:r>
      <w:r w:rsidR="00604233" w:rsidRPr="00B10EBE">
        <w:rPr>
          <w:rFonts w:ascii="Garamond" w:hAnsi="Garamond"/>
          <w:noProof/>
          <w:color w:val="000000" w:themeColor="text1"/>
          <w:sz w:val="24"/>
          <w:szCs w:val="24"/>
        </w:rPr>
        <w:t>The four</w:t>
      </w:r>
      <w:r w:rsidR="004329D1" w:rsidRPr="00B10EBE">
        <w:rPr>
          <w:rFonts w:ascii="Garamond" w:hAnsi="Garamond"/>
          <w:noProof/>
          <w:color w:val="000000" w:themeColor="text1"/>
          <w:sz w:val="24"/>
          <w:szCs w:val="24"/>
        </w:rPr>
        <w:t xml:space="preserve"> One Earth</w:t>
      </w:r>
      <w:r w:rsidR="008403A0" w:rsidRPr="00B10EBE">
        <w:rPr>
          <w:rFonts w:ascii="Garamond" w:hAnsi="Garamond"/>
          <w:noProof/>
          <w:color w:val="000000" w:themeColor="text1"/>
          <w:sz w:val="24"/>
          <w:szCs w:val="24"/>
        </w:rPr>
        <w:t xml:space="preserve"> </w:t>
      </w:r>
      <w:r w:rsidR="004329D1" w:rsidRPr="00B10EBE">
        <w:rPr>
          <w:rFonts w:ascii="Garamond" w:hAnsi="Garamond"/>
          <w:noProof/>
          <w:color w:val="000000" w:themeColor="text1"/>
          <w:sz w:val="24"/>
          <w:szCs w:val="24"/>
        </w:rPr>
        <w:t>B</w:t>
      </w:r>
      <w:r w:rsidR="008403A0" w:rsidRPr="00B10EBE">
        <w:rPr>
          <w:rFonts w:ascii="Garamond" w:hAnsi="Garamond"/>
          <w:noProof/>
          <w:color w:val="000000" w:themeColor="text1"/>
          <w:sz w:val="24"/>
          <w:szCs w:val="24"/>
        </w:rPr>
        <w:t>ioregions</w:t>
      </w:r>
      <w:r w:rsidR="00604233" w:rsidRPr="00B10EBE">
        <w:rPr>
          <w:rFonts w:ascii="Garamond" w:hAnsi="Garamond"/>
          <w:noProof/>
          <w:color w:val="000000" w:themeColor="text1"/>
          <w:sz w:val="24"/>
          <w:szCs w:val="24"/>
        </w:rPr>
        <w:t xml:space="preserve"> are</w:t>
      </w:r>
      <w:r w:rsidR="008403A0" w:rsidRPr="00B10EBE">
        <w:rPr>
          <w:rFonts w:ascii="Garamond" w:hAnsi="Garamond"/>
          <w:noProof/>
          <w:color w:val="000000" w:themeColor="text1"/>
          <w:sz w:val="24"/>
          <w:szCs w:val="24"/>
        </w:rPr>
        <w:t xml:space="preserve"> Sahel Acacia </w:t>
      </w:r>
      <w:r w:rsidR="009C7C18" w:rsidRPr="00B10EBE">
        <w:rPr>
          <w:rFonts w:ascii="Garamond" w:hAnsi="Garamond"/>
          <w:noProof/>
          <w:color w:val="000000" w:themeColor="text1"/>
          <w:sz w:val="24"/>
          <w:szCs w:val="24"/>
        </w:rPr>
        <w:t>s</w:t>
      </w:r>
      <w:r w:rsidR="008403A0" w:rsidRPr="00B10EBE">
        <w:rPr>
          <w:rFonts w:ascii="Garamond" w:hAnsi="Garamond"/>
          <w:noProof/>
          <w:color w:val="000000" w:themeColor="text1"/>
          <w:sz w:val="24"/>
          <w:szCs w:val="24"/>
        </w:rPr>
        <w:t>avannas</w:t>
      </w:r>
      <w:r w:rsidR="005839B8" w:rsidRPr="00B10EBE">
        <w:rPr>
          <w:rFonts w:ascii="Garamond" w:hAnsi="Garamond"/>
          <w:noProof/>
          <w:color w:val="000000" w:themeColor="text1"/>
          <w:sz w:val="24"/>
          <w:szCs w:val="24"/>
        </w:rPr>
        <w:t xml:space="preserve"> (hereafter </w:t>
      </w:r>
      <w:r w:rsidR="000F78A9" w:rsidRPr="00B10EBE">
        <w:rPr>
          <w:rFonts w:ascii="Garamond" w:hAnsi="Garamond"/>
          <w:noProof/>
          <w:color w:val="000000" w:themeColor="text1"/>
          <w:sz w:val="24"/>
          <w:szCs w:val="24"/>
        </w:rPr>
        <w:t xml:space="preserve">referred to as </w:t>
      </w:r>
      <w:r w:rsidR="009C7C18" w:rsidRPr="00B10EBE">
        <w:rPr>
          <w:rFonts w:ascii="Garamond" w:hAnsi="Garamond"/>
          <w:noProof/>
          <w:color w:val="000000" w:themeColor="text1"/>
          <w:sz w:val="24"/>
          <w:szCs w:val="24"/>
        </w:rPr>
        <w:t>Sahel grassland</w:t>
      </w:r>
      <w:r w:rsidR="005839B8" w:rsidRPr="00B10EBE">
        <w:rPr>
          <w:rFonts w:ascii="Garamond" w:hAnsi="Garamond"/>
          <w:noProof/>
          <w:color w:val="000000" w:themeColor="text1"/>
          <w:sz w:val="24"/>
          <w:szCs w:val="24"/>
        </w:rPr>
        <w:t xml:space="preserve">s for </w:t>
      </w:r>
      <w:r w:rsidR="004F20BC" w:rsidRPr="00B10EBE">
        <w:rPr>
          <w:rFonts w:ascii="Garamond" w:hAnsi="Garamond"/>
          <w:noProof/>
          <w:color w:val="000000" w:themeColor="text1"/>
          <w:sz w:val="24"/>
          <w:szCs w:val="24"/>
        </w:rPr>
        <w:t>clarity</w:t>
      </w:r>
      <w:r w:rsidR="005839B8" w:rsidRPr="00B10EBE">
        <w:rPr>
          <w:rFonts w:ascii="Garamond" w:hAnsi="Garamond"/>
          <w:noProof/>
          <w:color w:val="000000" w:themeColor="text1"/>
          <w:sz w:val="24"/>
          <w:szCs w:val="24"/>
        </w:rPr>
        <w:t>)</w:t>
      </w:r>
      <w:r w:rsidR="008403A0" w:rsidRPr="00B10EBE">
        <w:rPr>
          <w:rFonts w:ascii="Garamond" w:hAnsi="Garamond"/>
          <w:noProof/>
          <w:color w:val="000000" w:themeColor="text1"/>
          <w:sz w:val="24"/>
          <w:szCs w:val="24"/>
        </w:rPr>
        <w:t xml:space="preserve">, Greater Karoo and Kalahari drylands, Southeast African subtropical grasslands, and </w:t>
      </w:r>
      <w:r w:rsidR="00FE79A6" w:rsidRPr="00B10EBE">
        <w:rPr>
          <w:rFonts w:ascii="Garamond" w:hAnsi="Garamond"/>
          <w:noProof/>
          <w:color w:val="000000" w:themeColor="text1"/>
          <w:sz w:val="24"/>
          <w:szCs w:val="24"/>
        </w:rPr>
        <w:t>Madagascar</w:t>
      </w:r>
      <w:r w:rsidR="008403A0" w:rsidRPr="00B10EBE">
        <w:rPr>
          <w:rFonts w:ascii="Garamond" w:hAnsi="Garamond"/>
          <w:noProof/>
          <w:color w:val="000000" w:themeColor="text1"/>
          <w:sz w:val="24"/>
          <w:szCs w:val="24"/>
        </w:rPr>
        <w:t xml:space="preserve"> (</w:t>
      </w:r>
      <w:r w:rsidR="00814EB7" w:rsidRPr="00B10EBE">
        <w:rPr>
          <w:rFonts w:ascii="Garamond" w:hAnsi="Garamond"/>
          <w:noProof/>
          <w:color w:val="000000" w:themeColor="text1"/>
          <w:sz w:val="24"/>
          <w:szCs w:val="24"/>
        </w:rPr>
        <w:t>Figure</w:t>
      </w:r>
      <w:r w:rsidR="008403A0" w:rsidRPr="00B10EBE">
        <w:rPr>
          <w:rFonts w:ascii="Garamond" w:hAnsi="Garamond"/>
          <w:noProof/>
          <w:color w:val="000000" w:themeColor="text1"/>
          <w:sz w:val="24"/>
          <w:szCs w:val="24"/>
        </w:rPr>
        <w:t xml:space="preserve"> 1</w:t>
      </w:r>
      <w:r w:rsidR="00B8337A" w:rsidRPr="00B10EBE">
        <w:rPr>
          <w:rFonts w:ascii="Garamond" w:hAnsi="Garamond"/>
          <w:noProof/>
          <w:color w:val="000000" w:themeColor="text1"/>
          <w:sz w:val="24"/>
          <w:szCs w:val="24"/>
        </w:rPr>
        <w:t>)</w:t>
      </w:r>
      <w:r w:rsidR="007A25D1" w:rsidRPr="00B10EBE">
        <w:rPr>
          <w:rFonts w:ascii="Garamond" w:hAnsi="Garamond"/>
          <w:noProof/>
          <w:color w:val="000000" w:themeColor="text1"/>
          <w:sz w:val="24"/>
          <w:szCs w:val="24"/>
        </w:rPr>
        <w:t>.</w:t>
      </w:r>
      <w:r w:rsidR="00BF2689" w:rsidRPr="00B10EBE">
        <w:rPr>
          <w:rFonts w:ascii="Garamond" w:hAnsi="Garamond"/>
          <w:noProof/>
          <w:color w:val="000000" w:themeColor="text1"/>
          <w:sz w:val="24"/>
          <w:szCs w:val="24"/>
        </w:rPr>
        <w:t xml:space="preserve"> </w:t>
      </w:r>
      <w:r w:rsidR="006F41C5" w:rsidRPr="00B10EBE">
        <w:rPr>
          <w:rFonts w:ascii="Garamond" w:hAnsi="Garamond"/>
          <w:noProof/>
          <w:color w:val="000000" w:themeColor="text1"/>
          <w:sz w:val="24"/>
          <w:szCs w:val="24"/>
        </w:rPr>
        <w:t xml:space="preserve">More preprocessing information on how we produced the grassland mask is reported in </w:t>
      </w:r>
      <w:r w:rsidR="0055120F" w:rsidRPr="00B10EBE">
        <w:rPr>
          <w:rFonts w:ascii="Garamond" w:hAnsi="Garamond"/>
          <w:noProof/>
          <w:color w:val="000000" w:themeColor="text1"/>
          <w:sz w:val="24"/>
          <w:szCs w:val="24"/>
        </w:rPr>
        <w:t>Appendix A</w:t>
      </w:r>
      <w:r w:rsidR="006F41C5" w:rsidRPr="00B10EBE">
        <w:rPr>
          <w:rFonts w:ascii="Garamond" w:hAnsi="Garamond"/>
          <w:noProof/>
          <w:color w:val="000000" w:themeColor="text1"/>
          <w:sz w:val="24"/>
          <w:szCs w:val="24"/>
        </w:rPr>
        <w:t>1.</w:t>
      </w:r>
    </w:p>
    <w:p w14:paraId="5A4F38EE" w14:textId="6F19F73F" w:rsidR="00EB204C" w:rsidRPr="00B10EBE" w:rsidRDefault="008403A0"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i/>
          <w:iCs/>
          <w:noProof/>
          <w:color w:val="000000" w:themeColor="text1"/>
          <w:sz w:val="24"/>
          <w:szCs w:val="24"/>
        </w:rPr>
        <w:t>2.2</w:t>
      </w:r>
      <w:r w:rsidRPr="00B10EBE">
        <w:rPr>
          <w:rFonts w:ascii="Garamond" w:hAnsi="Garamond"/>
          <w:i/>
          <w:iCs/>
          <w:noProof/>
          <w:color w:val="000000" w:themeColor="text1"/>
          <w:sz w:val="24"/>
          <w:szCs w:val="24"/>
        </w:rPr>
        <w:tab/>
        <w:t>Data</w:t>
      </w:r>
    </w:p>
    <w:p w14:paraId="0DC39882" w14:textId="36AA68C3" w:rsidR="00B41F74" w:rsidRPr="00B10EBE" w:rsidRDefault="00B41F74" w:rsidP="0033343A">
      <w:pPr>
        <w:adjustRightInd w:val="0"/>
        <w:snapToGrid w:val="0"/>
        <w:ind w:left="0" w:firstLine="0"/>
        <w:jc w:val="both"/>
        <w:rPr>
          <w:rFonts w:ascii="Garamond" w:hAnsi="Garamond"/>
          <w:noProof/>
          <w:color w:val="000000" w:themeColor="text1"/>
          <w:kern w:val="28"/>
          <w:sz w:val="24"/>
          <w:szCs w:val="24"/>
        </w:rPr>
      </w:pPr>
      <w:r w:rsidRPr="00B10EBE">
        <w:rPr>
          <w:rFonts w:ascii="Garamond" w:hAnsi="Garamond"/>
          <w:noProof/>
          <w:color w:val="000000" w:themeColor="text1"/>
          <w:kern w:val="28"/>
          <w:sz w:val="24"/>
          <w:szCs w:val="24"/>
        </w:rPr>
        <w:lastRenderedPageBreak/>
        <w:t xml:space="preserve">Table 1 provides an overview of the key features of the datasets used in this study. All data were resampled to a common spatial resolution of 25 km × 25 km, the coarsest among our datasets, using the aggregate and resample functions from the R package ‘terra’ </w:t>
      </w:r>
      <w:r w:rsidRPr="00B10EBE">
        <w:rPr>
          <w:rFonts w:ascii="Garamond" w:hAnsi="Garamond"/>
          <w:noProof/>
          <w:color w:val="000000" w:themeColor="text1"/>
          <w:kern w:val="28"/>
          <w:sz w:val="24"/>
          <w:szCs w:val="24"/>
        </w:rPr>
        <w:fldChar w:fldCharType="begin"/>
      </w:r>
      <w:r w:rsidR="009E0EBA" w:rsidRPr="00B10EBE">
        <w:rPr>
          <w:rFonts w:ascii="Garamond" w:hAnsi="Garamond"/>
          <w:noProof/>
          <w:color w:val="000000" w:themeColor="text1"/>
          <w:kern w:val="28"/>
          <w:sz w:val="24"/>
          <w:szCs w:val="24"/>
        </w:rPr>
        <w:instrText xml:space="preserve"> ADDIN ZOTERO_ITEM CSL_CITATION {"citationID":"atdct6bg4l","properties":{"formattedCitation":"(Hijmans et al., 2022)","plainCitation":"(Hijmans et al., 2022)","noteIndex":0},"citationItems":[{"id":236,"uris":["http://zotero.org/users/10686236/items/QA8ZHMNT"],"itemData":{"id":236,"type":"report","note":"container-title: CRAN\nISBN: 0000000181723","title":"Package 'terra'","author":[{"family":"Hijmans","given":"R.J."},{"family":"Bivand","given":"R."},{"family":"Forner","given":"K."},{"family":"Pebesma","given":"E."},{"family":"Sumner","given":"M.D."}],"issued":{"date-parts":[["2022"]]}}}],"schema":"https://github.com/citation-style-language/schema/raw/master/csl-citation.json"} </w:instrText>
      </w:r>
      <w:r w:rsidRPr="00B10EBE">
        <w:rPr>
          <w:rFonts w:ascii="Garamond" w:hAnsi="Garamond"/>
          <w:noProof/>
          <w:color w:val="000000" w:themeColor="text1"/>
          <w:kern w:val="28"/>
          <w:sz w:val="24"/>
          <w:szCs w:val="24"/>
        </w:rPr>
        <w:fldChar w:fldCharType="separate"/>
      </w:r>
      <w:r w:rsidRPr="00B10EBE">
        <w:rPr>
          <w:rFonts w:ascii="Garamond" w:hAnsi="Garamond"/>
          <w:color w:val="000000" w:themeColor="text1"/>
          <w:sz w:val="24"/>
        </w:rPr>
        <w:t>(Hijmans et al., 2022)</w:t>
      </w:r>
      <w:r w:rsidRPr="00B10EBE">
        <w:rPr>
          <w:rFonts w:ascii="Garamond" w:hAnsi="Garamond"/>
          <w:noProof/>
          <w:color w:val="000000" w:themeColor="text1"/>
          <w:kern w:val="28"/>
          <w:sz w:val="24"/>
          <w:szCs w:val="24"/>
        </w:rPr>
        <w:fldChar w:fldCharType="end"/>
      </w:r>
      <w:r w:rsidRPr="00B10EBE">
        <w:rPr>
          <w:rFonts w:ascii="Garamond" w:hAnsi="Garamond"/>
          <w:noProof/>
          <w:color w:val="000000" w:themeColor="text1"/>
          <w:kern w:val="28"/>
          <w:sz w:val="24"/>
          <w:szCs w:val="24"/>
        </w:rPr>
        <w:t>. Our analysis covers the period from 1997 to 2016, which corresponds to the time span available across all datasets.</w:t>
      </w:r>
    </w:p>
    <w:p w14:paraId="496D1C74" w14:textId="7A0B1198" w:rsidR="00115EEA" w:rsidRPr="00B10EBE" w:rsidRDefault="005D3B9C"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Vegetation optical depth (VOD)</w:t>
      </w:r>
      <w:r w:rsidR="003D0C65" w:rsidRPr="00B10EBE">
        <w:rPr>
          <w:rFonts w:ascii="Garamond" w:hAnsi="Garamond"/>
          <w:noProof/>
          <w:color w:val="000000" w:themeColor="text1"/>
          <w:sz w:val="24"/>
          <w:szCs w:val="24"/>
        </w:rPr>
        <w:t xml:space="preserve"> </w:t>
      </w:r>
      <w:r w:rsidR="00FD4CEE" w:rsidRPr="00B10EBE">
        <w:rPr>
          <w:rFonts w:ascii="Garamond" w:hAnsi="Garamond"/>
          <w:noProof/>
          <w:color w:val="000000" w:themeColor="text1"/>
          <w:sz w:val="24"/>
          <w:szCs w:val="24"/>
        </w:rPr>
        <w:t>describes the attenuation of</w:t>
      </w:r>
      <w:r w:rsidR="00421985" w:rsidRPr="00B10EBE">
        <w:rPr>
          <w:rFonts w:ascii="Garamond" w:hAnsi="Garamond"/>
          <w:noProof/>
          <w:color w:val="000000" w:themeColor="text1"/>
          <w:sz w:val="24"/>
          <w:szCs w:val="24"/>
        </w:rPr>
        <w:t xml:space="preserve"> the</w:t>
      </w:r>
      <w:r w:rsidR="00FD4CEE" w:rsidRPr="00B10EBE">
        <w:rPr>
          <w:rFonts w:ascii="Garamond" w:hAnsi="Garamond"/>
          <w:noProof/>
          <w:color w:val="000000" w:themeColor="text1"/>
          <w:sz w:val="24"/>
          <w:szCs w:val="24"/>
        </w:rPr>
        <w:t xml:space="preserve"> microwave</w:t>
      </w:r>
      <w:r w:rsidR="000D1C7E" w:rsidRPr="00B10EBE">
        <w:rPr>
          <w:rFonts w:ascii="Garamond" w:hAnsi="Garamond"/>
          <w:noProof/>
          <w:color w:val="000000" w:themeColor="text1"/>
          <w:sz w:val="24"/>
          <w:szCs w:val="24"/>
        </w:rPr>
        <w:t xml:space="preserve"> </w:t>
      </w:r>
      <w:r w:rsidR="003D0C65" w:rsidRPr="00B10EBE">
        <w:rPr>
          <w:rFonts w:ascii="Garamond" w:hAnsi="Garamond"/>
          <w:noProof/>
          <w:color w:val="000000" w:themeColor="text1"/>
          <w:sz w:val="24"/>
          <w:szCs w:val="24"/>
        </w:rPr>
        <w:t xml:space="preserve">signal </w:t>
      </w:r>
      <w:r w:rsidRPr="00B10EBE">
        <w:rPr>
          <w:rFonts w:ascii="Garamond" w:hAnsi="Garamond"/>
          <w:noProof/>
          <w:color w:val="000000" w:themeColor="text1"/>
          <w:sz w:val="24"/>
          <w:szCs w:val="24"/>
        </w:rPr>
        <w:t>by the vegetation layer</w:t>
      </w:r>
      <w:r w:rsidR="00955728" w:rsidRPr="00B10EBE">
        <w:rPr>
          <w:rFonts w:ascii="Garamond" w:hAnsi="Garamond"/>
          <w:noProof/>
          <w:color w:val="000000" w:themeColor="text1"/>
          <w:sz w:val="24"/>
          <w:szCs w:val="24"/>
        </w:rPr>
        <w:t xml:space="preserve"> </w:t>
      </w:r>
      <w:r w:rsidR="0095572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{"citationID":"aBMmVZfT","properties":{"formattedCitation":"(Meesters et al., 2005)","plainCitation":"(Meesters et al., 2005)","noteIndex":0},"citationItems":[{"id":53,"uris":["http://zotero.org/users/10686236/items/J36RLTNP"],"itemData":{"id":53,"type":"article-journal","abstract":"A numerical solution for the canopy optical depth in an existing microwave-based land surface parameter retrieval model is presented. The optical depth is derived from the microwave polarization difference index and the dielectric constant of the soil. The original procedure used an approximation in the form of a logarithmic decay function to deﬁne this relationship and was derived through a series of lengthy polynomials. These polynomials had to be recalculated when the scattering albedo or antenna incidence angle changes. The new procedure is computationally more efﬁcient and accurate.","container-title":"IEEE Geoscience and Remote Sensing Letters","DOI":"10.1109/LGRS.2005.843983","ISSN":"1545-598X","issue":"2","journalAbbreviation":"IEEE Geosci. Remote Sensing Lett.","language":"en","page":"121-123","source":"DOI.org (Crossref)","title":"Analytical Derivation of the Vegetation Optical Depth From the Microwave Polarization Difference Index","volume":"2","author":[{"family":"Meesters","given":"A.G.C.A."},{"family":"DeJeu","given":"R.A.M."},{"family":"Owe","given":"M."}],"issued":{"date-parts":[["2005",4]]}}}],"schema":"https://github.com/citation-style-language/schema/raw/master/csl-citation.json"} </w:instrText>
      </w:r>
      <w:r w:rsidR="00955728"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(Meesters et al., 2005)</w:t>
      </w:r>
      <w:r w:rsidR="00955728" w:rsidRPr="00B10EBE">
        <w:rPr>
          <w:rFonts w:ascii="Garamond" w:hAnsi="Garamond"/>
          <w:noProof/>
          <w:color w:val="000000" w:themeColor="text1"/>
          <w:sz w:val="24"/>
          <w:szCs w:val="24"/>
        </w:rPr>
        <w:fldChar w:fldCharType="end"/>
      </w:r>
      <w:r w:rsidR="003D0C65" w:rsidRPr="00B10EBE">
        <w:rPr>
          <w:rFonts w:ascii="Garamond" w:hAnsi="Garamond"/>
          <w:noProof/>
          <w:color w:val="000000" w:themeColor="text1"/>
          <w:sz w:val="24"/>
          <w:szCs w:val="24"/>
        </w:rPr>
        <w:t>. It is proportional to the vegetation water content</w:t>
      </w:r>
      <w:r w:rsidRPr="00B10EBE">
        <w:rPr>
          <w:rFonts w:ascii="Garamond" w:hAnsi="Garamond"/>
          <w:noProof/>
          <w:color w:val="000000" w:themeColor="text1"/>
          <w:sz w:val="24"/>
          <w:szCs w:val="24"/>
        </w:rPr>
        <w:t xml:space="preserve"> of aboveground </w:t>
      </w:r>
      <w:r w:rsidR="003D0C65" w:rsidRPr="00B10EBE">
        <w:rPr>
          <w:rFonts w:ascii="Garamond" w:hAnsi="Garamond"/>
          <w:noProof/>
          <w:color w:val="000000" w:themeColor="text1"/>
          <w:sz w:val="24"/>
          <w:szCs w:val="24"/>
        </w:rPr>
        <w:t>vegetation, so h</w:t>
      </w:r>
      <w:r w:rsidR="004D4E43" w:rsidRPr="00B10EBE">
        <w:rPr>
          <w:rFonts w:ascii="Garamond" w:hAnsi="Garamond"/>
          <w:noProof/>
          <w:color w:val="000000" w:themeColor="text1"/>
          <w:sz w:val="24"/>
          <w:szCs w:val="24"/>
        </w:rPr>
        <w:t>igher VOD values indicate high vegetation water content and more energy attenuation (e.g., dense vegetation), whereas lower VOD values refer to limited vegetation water content, little attenuation, and higher transmissivity (e.g., sparse vegetation)</w:t>
      </w:r>
      <w:r w:rsidR="00F53248" w:rsidRPr="00B10EBE">
        <w:rPr>
          <w:rFonts w:ascii="Garamond" w:hAnsi="Garamond"/>
          <w:noProof/>
          <w:color w:val="000000" w:themeColor="text1"/>
          <w:sz w:val="24"/>
          <w:szCs w:val="24"/>
        </w:rPr>
        <w:t xml:space="preserve"> </w:t>
      </w:r>
      <w:r w:rsidR="00F5324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{"citationID":"aak9aend6c","properties":{"formattedCitation":"(Chaparro et al., 2024)","plainCitation":"(Chaparro et al., 2024)","noteIndex":0},"citationItems":[{"id":32,"uris":["http://zotero.org/users/10686236/items/QBIECC6D"],"itemData":{"id":32,"type":"article-journal","abstract":"Monitoring vegetation moisture conditions is paramount to better understand and assess drought impacts on vegetation, enhance crop yield predictions, and improve ecosystem models. Passive microwave remote sensing allows retrievals of the vegetation optical depth (VOD; [unitless]), which is directly proportional to the vege­ tation water content (VWC; in units of water mass per unit area [kg/m2]). However, VWC is largely dependent on the dry biomass and structure imprints on the VOD signal. Previously, statistical models have been used to isolate the water component from the biomass and structure components. Physically-based approaches have not yet been proposed for this goal. In this study, we present a multi-sensor semi-physical approach to retrieve the vegetation moisture from the VOD and express it as Live Fuel Moisture Content (LFMC [%]; the percentage of water mass per dry biomass unit). The study is performed in the western United States for the period April 2015 –December 2018. There, in situ LFMC samples are available for assessment. We rely on a VOD model based on vegetation height data from GEDI/Sentinel-2 and radar backscatter from Sentinel-1, which account for the biomass and structure components. Vegetation moisture is retrieved at L-, X- and Ku-bands by minimizing the difference between the modeled VOD and the VOD estimates from SMAP (L-band) and AMSR-2 (X- and Ku-band) satellites. Results show that the LFMC retrievals are independent of canopy height, land cover, and radar backscatter, demonstrating the capability of the proposed algorithm to separate water dynamics from the biomass/structure component in VOD. LFMC estimates at X- and Ku-bands reproduce well the expected spatiotemporal dynamics of in situ LFMC. Results show good agreement with in situ at a regional scale, with Pearson’s correlations (r) between in situ LFMC samples and LFMC estimates of 0.64 (Ku-band), 0.60 (X-band) and 0.47 (Lband). Similar results are obtained independently for shrub and forest sites at X- and Ku-bands. In most com­ parisons between in situ and estimated LFMC, biases are below 10% of the dynamic range of LFMC. Performance at L-band is limited by the fact that this frequency senses the full vertical extent of the canopy, while in situ samples are taken only from top of canopy leaves to which X- and Ku-bands are much more sensitive. More insight will be needed for grasslands (r = 0.44 at X-band) using time-dynamic canopy height data. Furthermore, a pixel-scale assessment is conducted, showing a good agreement in most sites (r &gt; 0.6). The proposed method can be tailored to exploit the synergies of past (e.g., AMSR-E), current (e.g., AMSR-2) and future satellite sensors such as CIMR and ROSE-L for global vegetation moisture mapping at different canopy layers.","container-title":"Remote Sensing of Environment","DOI":"10.1016/j.rse.2024.113993","ISSN":"00344257","journalAbbreviation":"Remote Sensing of Environment","language":"en","page":"113993","source":"DOI.org (Crossref)","title":"Vegetation moisture estimation in the Western United States using radiometer-radar-lidar synergy","volume":"303","author":[{"family":"Chaparro","given":"David"},{"family":"Jagdhuber","given":"Thomas"},{"family":"Piles","given":"María"},{"family":"Jonard","given":"François"},{"family":"Fluhrer","given":"Anke"},{"family":"Vall-llossera","given":"Mercè"},{"family":"Camps","given":"Adriano"},{"family":"López-Martínez","given":"Carlos"},{"family":"Fernández-Morán","given":"Roberto"},{"family":"Baur","given":"Martin"},{"family":"Feldman","given":"Andrew F."},{"family":"Fink","given":"Anita"},{"family":"Entekhabi","given":"Dara"}],"issued":{"date-parts":[["2024",3]]}}}],"schema":"https://github.com/citation-style-language/schema/raw/master/csl-citation.json"} </w:instrText>
      </w:r>
      <w:r w:rsidR="00F53248"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(Chaparro et al., 2024)</w:t>
      </w:r>
      <w:r w:rsidR="00F53248" w:rsidRPr="00B10EBE">
        <w:rPr>
          <w:rFonts w:ascii="Garamond" w:hAnsi="Garamond"/>
          <w:noProof/>
          <w:color w:val="000000" w:themeColor="text1"/>
          <w:sz w:val="24"/>
          <w:szCs w:val="24"/>
        </w:rPr>
        <w:fldChar w:fldCharType="end"/>
      </w:r>
      <w:r w:rsidR="004D4E43"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Compared to optical-based products, VOD is insensitive to atmospheric haze and dust, cloud cover, or sun illumination</w:t>
      </w:r>
      <w:r w:rsidR="00755DEE" w:rsidRPr="00B10EBE">
        <w:rPr>
          <w:rFonts w:ascii="Garamond" w:hAnsi="Garamond"/>
          <w:noProof/>
          <w:color w:val="000000" w:themeColor="text1"/>
          <w:sz w:val="24"/>
          <w:szCs w:val="24"/>
        </w:rPr>
        <w:t xml:space="preserve"> </w:t>
      </w:r>
      <w:r w:rsidR="00755DEE"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{"citationID":"a1eopcq02hm","properties":{"formattedCitation":"(Li et al., 2021)","plainCitation":"(Li et al., 2021)","noteIndex":0},"citationItems":[{"id":1868,"uris":["http://zotero.org/users/10686236/items/36BIVIIQ"],"itemData":{"id":1868,"type":"article-journal","abstract":"The vegetation optical depth (VOD), a vegetation index retrieved from passive or active microwave remote sensing systems, is related to the intensity of microwave extinction effects within the vegetation canopy layer. This index is only marginally impacted by effects from atmosphere, clouds and sun illumination, and thus increasingly used for ecological applications at large scales. Newly released VOD products show different abilities in monitoring vegetation features, depending on the algorithm used and the satellite frequency. VOD is increasingly sensitive to the upper vegetation layer as the frequency increases (from L-, C- to X-band), offering different capacities to monitor seasonal changes of the leafy and/or woody vegetation components, vegetation water status and aboveground biomass. This study evaluated nine recently developed/reprocessed VOD products from the AMSR2, SMOS and SMAP space-borne instruments for monitoring structural vegetation features related to phenology, height and aboveground biomass. For monitoring the seasonality of green vegetation (herbaceous and woody foliage), we found that X-VOD products, particularly from the LPDR-retrieval algorithm, outperformed the other VOD products in regions that are not densely vegetated, where they showed higher temporal correlation values with optical vegetation indices (VIs). However, LPDR X-VOD time series failed to detect changes in VOD after rainfall events whereas most other VOD products could do so, and overall daily variations are less pronounced in LPDR X-VOD. Results show that the reprocessed VODCA C- and X-VOD have almost comparable performance and VODCA C-VOD correlates better with VIs than other C-VOD products. Low frequency L-VOD, particularly the new version (V2) of SMOS-IC, show a higher temporal correlation with VIs, similar to C-VOD, in medium-densely vegetated biomes such as savannas (R ~ 0.70) than for other short vegetation types. Because the L-VOD indices are more sensitive to the non-green vegetation components (trunks and branches) than higher frequency products, they are well-correlated with aboveground biomass: (R ~ 0.91) across space between predicted and observed values for both SMOS-IC V2 and SMAP MT-DCA. However, when compared with forest canopy height, results at L-band are not systematically better than C- and X-VOD products. This revealed specific VOD retrieval issues for some ecosystems, e.g., boreal regions. It is expected that these findings can contribute to algorithm refinements, product enhancements and further developing the use of VOD for monitoring above-ground vegetation biomass, vegetation dynamics and phenology.","container-title":"Remote Sensing of Environment","DOI":"10.1016/j.rse.2020.112208","ISSN":"00344257","issue":"December 2020","title":"Global-scale assessment and inter-comparison of recently developed/reprocessed microwave satellite vegetation optical depth products","volume":"253","author":[{"family":"Li","given":"Xiaojun"},{"family":"Wigneron","given":"Jean Pierre"},{"family":"Frappart","given":"Frédéric"},{"family":"Fan","given":"Lei"},{"family":"Ciais","given":"Philippe"},{"family":"Fensholt","given":"Rasmus"},{"family":"Entekhabi","given":"Dara"},{"family":"Brandt","given":"Martin"},{"family":"Konings","given":"Alexandra G."},{"family":"Liu","given":"Xiangzhuo"},{"family":"Wang","given":"Mengjia"},{"family":"Al-Yaari","given":"Amen"},{"family":"Moisy","given":"Christophe"}],"issued":{"date-parts":[["2021"]]}}}],"schema":"https://github.com/citation-style-language/schema/raw/master/csl-citation.json"} </w:instrText>
      </w:r>
      <w:r w:rsidR="00755DEE" w:rsidRPr="00B10EBE">
        <w:rPr>
          <w:rFonts w:ascii="Garamond" w:hAnsi="Garamond"/>
          <w:noProof/>
          <w:color w:val="000000" w:themeColor="text1"/>
          <w:sz w:val="24"/>
          <w:szCs w:val="24"/>
        </w:rPr>
        <w:fldChar w:fldCharType="separate"/>
      </w:r>
      <w:r w:rsidR="00446120" w:rsidRPr="00B10EBE">
        <w:rPr>
          <w:rFonts w:ascii="Garamond" w:hAnsi="Garamond"/>
          <w:color w:val="000000" w:themeColor="text1"/>
          <w:sz w:val="24"/>
        </w:rPr>
        <w:t>(Li et al., 2021)</w:t>
      </w:r>
      <w:r w:rsidR="00755DEE"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w:t>
      </w:r>
      <w:r w:rsidR="00FD4CEE" w:rsidRPr="00B10EBE">
        <w:rPr>
          <w:rFonts w:ascii="Garamond" w:hAnsi="Garamond"/>
          <w:noProof/>
          <w:color w:val="000000" w:themeColor="text1"/>
          <w:sz w:val="24"/>
          <w:szCs w:val="24"/>
        </w:rPr>
        <w:t>W</w:t>
      </w:r>
      <w:r w:rsidR="008403A0" w:rsidRPr="00B10EBE">
        <w:rPr>
          <w:rFonts w:ascii="Garamond" w:hAnsi="Garamond"/>
          <w:noProof/>
          <w:color w:val="000000" w:themeColor="text1"/>
          <w:sz w:val="24"/>
          <w:szCs w:val="24"/>
        </w:rPr>
        <w:t>e used the</w:t>
      </w:r>
      <w:r w:rsidR="00B33CD5" w:rsidRPr="00B10EBE">
        <w:rPr>
          <w:rFonts w:ascii="Garamond" w:hAnsi="Garamond"/>
          <w:noProof/>
          <w:color w:val="000000" w:themeColor="text1"/>
          <w:sz w:val="24"/>
          <w:szCs w:val="24"/>
        </w:rPr>
        <w:t xml:space="preserve"> VOD Climate Archive (VODCA)</w:t>
      </w:r>
      <w:r w:rsidR="008403A0" w:rsidRPr="00B10EBE">
        <w:rPr>
          <w:rFonts w:ascii="Garamond" w:hAnsi="Garamond"/>
          <w:noProof/>
          <w:color w:val="000000" w:themeColor="text1"/>
          <w:sz w:val="24"/>
          <w:szCs w:val="24"/>
        </w:rPr>
        <w:t xml:space="preserve"> Ku band (18.70-19.35 GHz</w:t>
      </w:r>
      <w:r w:rsidR="0053756E" w:rsidRPr="00B10EBE">
        <w:rPr>
          <w:rFonts w:ascii="Garamond" w:hAnsi="Garamond"/>
          <w:noProof/>
          <w:color w:val="000000" w:themeColor="text1"/>
          <w:sz w:val="24"/>
          <w:szCs w:val="24"/>
        </w:rPr>
        <w:t>)</w:t>
      </w:r>
      <w:r w:rsidR="00955728" w:rsidRPr="00B10EBE">
        <w:rPr>
          <w:rFonts w:ascii="Garamond" w:hAnsi="Garamond"/>
          <w:noProof/>
          <w:color w:val="000000" w:themeColor="text1"/>
          <w:sz w:val="24"/>
          <w:szCs w:val="24"/>
        </w:rPr>
        <w:t xml:space="preserve"> </w:t>
      </w:r>
      <w:r w:rsidR="00761DD6" w:rsidRPr="00B10EBE">
        <w:rPr>
          <w:rFonts w:ascii="Garamond" w:hAnsi="Garamond"/>
          <w:noProof/>
          <w:color w:val="000000" w:themeColor="text1"/>
          <w:sz w:val="24"/>
          <w:szCs w:val="24"/>
        </w:rPr>
        <w:t>to exploit the longest available time series</w:t>
      </w:r>
      <w:r w:rsidR="00807D60" w:rsidRPr="00B10EBE">
        <w:rPr>
          <w:rFonts w:ascii="Garamond" w:hAnsi="Garamond"/>
          <w:noProof/>
          <w:color w:val="000000" w:themeColor="text1"/>
          <w:sz w:val="24"/>
          <w:szCs w:val="24"/>
        </w:rPr>
        <w:t xml:space="preserve"> and</w:t>
      </w:r>
      <w:r w:rsidR="00755DEE" w:rsidRPr="00B10EBE">
        <w:rPr>
          <w:rFonts w:ascii="Garamond" w:hAnsi="Garamond"/>
          <w:noProof/>
          <w:color w:val="000000" w:themeColor="text1"/>
          <w:sz w:val="24"/>
          <w:szCs w:val="24"/>
        </w:rPr>
        <w:t xml:space="preserve"> because of its</w:t>
      </w:r>
      <w:r w:rsidR="00807D60" w:rsidRPr="00B10EBE">
        <w:rPr>
          <w:rFonts w:ascii="Garamond" w:hAnsi="Garamond"/>
          <w:noProof/>
          <w:color w:val="000000" w:themeColor="text1"/>
          <w:sz w:val="24"/>
          <w:szCs w:val="24"/>
        </w:rPr>
        <w:t xml:space="preserve"> good level of agreement with other VOD, leaf area index, and vegetation continuous field global products </w:t>
      </w:r>
      <w:r w:rsidR="00807D6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{"citationID":"Piglh4uy","properties":{"formattedCitation":"(Moesinger et al., 2020)","plainCitation":"(Moesinger et al., 2020)","noteIndex":0},"citationItems":[{"id":460,"uris":["http://zotero.org/users/10686236/items/4N5Q2Y2S"],"itemData":{"id":460,"type":"article-journal","abstract":"Since the late 1970s, space-borne microwave radiometers have been providing measurements of radiation emitted by the Earth's surface. From these measurements it is possible to derive vegetation optical depth (VOD), a model-based indicator related to the density, biomass, and water content of vegetation. Because of its high temporal resolution and long availability, VOD can be used to monitor short- to long-term changes in vegetation. However, studying long-term VOD dynamics is generally hampered by the relatively short time span covered by the individual microwave sensors. This can potentially be overcome by merging multiple VOD products into a single climate data record. However, combining multiple sensors into a single product is challenging as systematic differences between input products like biases, different temporal and spatial resolutions, and coverage need to be overcome. Here, we present a new series of long-term VOD products, the VOD Climate Archive (VODCA). VODCA combines VOD retrievals that have been derived from multiple sensors (SSM/I, TMI, AMSR-E, WindSat, and AMSR2) using the Land Parameter Retrieval Model. We produce separate VOD products for microwave observations in different spectral bands, namely the Ku-band (period 1987-2017), X-band (1997-2018), and C-band (2002-2018). In this way, our multi-band VOD products preserve the unique characteristics of each frequency with respect to the structural elements of the canopy. Our merging approach builds on an existing approach that is used to merge satellite products of surface soil moisture: first, the data sets are co-calibrated via cumulative distribution function matching using AMSR-E as the scaling reference. To do so, we apply a new matching technique that scales outliers more robustly than ordinary piecewise linear interpolation. Second, we aggregate the data sets by taking the arithmetic mean between temporally overlapping observations of the scaled data. The characteristics of VODCA are assessed for self-consistency and against other products. Using an autocorrelation analysis, we show that the merging of the multiple data sets successfully reduces the random error compared to the input data sets. Spatio-temporal patterns and anomalies of the merged products show consistency between frequencies and with leaf area index observations from the MODIS instrument as well as with Vegetation Continuous Fields from the AVHRR instruments. Long-term trends in Ku-band VODCA show that since 1987 there has been a decline in VOD in the tropics and in large parts of east-central and north Asia, while a substantial increase is observed in India, large parts of Australia, southern Africa, southeastern China, and central North America. In summary, VODCA shows vast potential for monitoring spatial-temporal ecosystem changes as it is sensitive to vegetation water content and unaffected by cloud cover or high sun zenith angles. As such, it complements existing long-term optical indices of greenness and leaf area. The VODCA products (Moesinger et al., 2019) are open access and available under Attribution 4.0 International at https://doi.org/10.5281/zenodo.2575599.","container-title":"Earth System Science Data","DOI":"10.5194/essd-12-177-2020","ISSN":"18663516","issue":"1","page":"177-196","title":"The global long-term microwave Vegetation Optical Depth Climate Archive (VODCA)","volume":"12","author":[{"family":"Moesinger","given":"Leander"},{"family":"Dorigo","given":"Wouter"},{"family":"De Jeu","given":"Richard"},{"family":"Van Der Schalie","given":"Robin"},{"family":"Scanlon","given":"Tracy"},{"family":"Teubner","given":"Irene"},{"family":"Forkel","given":"Matthias"}],"issued":{"date-parts":[["2020"]]}}}],"schema":"https://github.com/citation-style-language/schema/raw/master/csl-citation.json"} </w:instrText>
      </w:r>
      <w:r w:rsidR="00807D60" w:rsidRPr="00B10EBE">
        <w:rPr>
          <w:rFonts w:ascii="Garamond" w:hAnsi="Garamond"/>
          <w:noProof/>
          <w:color w:val="000000" w:themeColor="text1"/>
          <w:sz w:val="24"/>
          <w:szCs w:val="24"/>
        </w:rPr>
        <w:fldChar w:fldCharType="separate"/>
      </w:r>
      <w:r w:rsidR="00807D60" w:rsidRPr="00B10EBE">
        <w:rPr>
          <w:rFonts w:ascii="Garamond" w:hAnsi="Garamond"/>
          <w:color w:val="000000" w:themeColor="text1"/>
          <w:sz w:val="24"/>
        </w:rPr>
        <w:t>(Moesinger et al., 2020)</w:t>
      </w:r>
      <w:r w:rsidR="00807D60" w:rsidRPr="00B10EBE">
        <w:rPr>
          <w:rFonts w:ascii="Garamond" w:hAnsi="Garamond"/>
          <w:noProof/>
          <w:color w:val="000000" w:themeColor="text1"/>
          <w:sz w:val="24"/>
          <w:szCs w:val="24"/>
        </w:rPr>
        <w:fldChar w:fldCharType="end"/>
      </w:r>
      <w:r w:rsidR="00807D60" w:rsidRPr="00B10EBE">
        <w:rPr>
          <w:rFonts w:ascii="Garamond" w:hAnsi="Garamond"/>
          <w:noProof/>
          <w:color w:val="000000" w:themeColor="text1"/>
          <w:sz w:val="24"/>
          <w:szCs w:val="24"/>
        </w:rPr>
        <w:t>. Here</w:t>
      </w:r>
      <w:r w:rsidR="00B33CD5" w:rsidRPr="00B10EBE">
        <w:rPr>
          <w:rFonts w:ascii="Garamond" w:hAnsi="Garamond"/>
          <w:noProof/>
          <w:color w:val="000000" w:themeColor="text1"/>
          <w:sz w:val="24"/>
          <w:szCs w:val="24"/>
        </w:rPr>
        <w:t xml:space="preserve"> </w:t>
      </w:r>
      <w:r w:rsidR="00755DEE" w:rsidRPr="00B10EBE">
        <w:rPr>
          <w:rFonts w:ascii="Garamond" w:hAnsi="Garamond"/>
          <w:noProof/>
          <w:color w:val="000000" w:themeColor="text1"/>
          <w:sz w:val="24"/>
          <w:szCs w:val="24"/>
        </w:rPr>
        <w:t xml:space="preserve">we took annual minimum values to reduce the effects of the green herbaceous layer and produce a VOD signal that is more representative of the general woody cover community (e.g., shrubs, small trees, large trees). This is a common approach in remote sensing-based assessments of arid and semi-arid ecosystems </w:t>
      </w:r>
      <w:r w:rsidR="00755DEE"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{"citationID":"a12h6emmb8h","properties":{"formattedCitation":"\\uldash{(Andela et al., 2013, 2017, p. 201; Brandt et al., 2017; D\\uc0\\u8217{}Adamo et al., 2021; Forkel et al., 2019)}","plainCitation":"(Andela et al., 2013, 2017, p. 201; Brandt et al., 2017; D’Adamo et al., 2021; Forkel et al., 2019)","dontUpdate":true,"noteIndex":0},"citationItems":[{"id":157,"uris":["http://zotero.org/users/10686236/items/VIHJ4BMQ","http://zotero.org/users/10686236/items/FSVJZEAC"],"itemData":{"id":157,"type":"article-journal","abstract":"Drylands, covering nearly 30% of the global land surface, are characterized by high climate variability and sensitivity to land management. Here, two satellite-observed vegetation products were used to study the long-term (1988– 2008) vegetation changes of global drylands: the widely used reflective-based Normalized Difference Vegetation In- dex (NDVI) and the recently developed passive-microwave- based Vegetation Optical Depth (VOD). The NDVI is sensi- tive to the chlorophyll concentrations in the canopy and the canopy cover fraction, while the VOD is sensitive to vege- tation water content of both leafy and woody components. Therefore it can be expected that using both products helps to better characterize vegetation dynamics, particularly over regions with mixed herbaceous and woody vegetation. Lin- ear regression analysis was performed between antecedent precipitation and observed NDVI and VOD independently to distinguish the contribution of climatic and non-climatic drivers in vegetation variations. Where possible, the contri- butions of fire, grazing, agriculture and CO2 level to vege- tation trends were assessed. The results suggest that NDVI is more sensitive to fluctuations in herbaceous vegetation, which primarily uses shallow soil water, whereas VOD is more sensitive to woody vegetation, which additionally can exploit deeper water stores. Globally, evidence is found for woody encroachment over drylands. In the arid drylands, woody encroachment appears to be at the expense of herba- ceous vegetation and a global driver is interpreted. Trends in semi-arid drylands vary widely between regions, suggest- ing that local rather than global drivers caused most of the vegetation response. In savannas, besides precipitation, fire regime plays an important role in shaping trends. Our results demonstrate thatNDVI andVODprovide complementary in- formation and allow new insights into dryland vegetation dy- namics. 1","container-title":"Biogeosciences","DOI":"10.5194/bg-10-6657-2013","ISSN":"17264170","issue":"10","note":"ISBN: 1726-4170","page":"6657-6676","title":"Global changes in dryland vegetation dynamics (1988-2008) assessed by satellite remote sensing: Comparing a new passive microwave vegetation density record with reflective greenness data","volume":"10","author":[{"family":"Andela","given":"N."},{"family":"Liu","given":"Y. Y."},{"family":"M. Van Dijk","given":"A. I J"},{"family":"De Jeu","given":"R. A M"},{"family":"McVicar","given":"T. R."}],"issued":{"date-parts":[["2013"]]}}},{"id":345,"uris":["http://zotero.org/users/10686236/items/KRIMBS7R"],"itemData":{"id":345,"type":"article-journal","abstract":"Fire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landscapes.","container-title":"Science","DOI":"10.1126/science.aal4108","ISSN":"0036-8075","issue":"6345","page":"1356-1362","title":"A human-driven decline in global burned area","volume":"356","author":[{"family":"Andela","given":"N."},{"family":"Morton","given":"D. C."},{"family":"Giglio","given":"L."},{"family":"Chen","given":"Y."},{"family":"Van Der Werf","given":"G. R."},{"family":"Kasibhatla","given":"P. S."},{"family":"DeFries","given":"R. S."},{"family":"Collatz","given":"G. J."},{"family":"Hantson","given":"S."},{"family":"Kloster","given":"S."},{"family":"Bachelet","given":"D."},{"family":"Forrest","given":"M."},{"family":"Lasslop","given":"G."},{"family":"Li","given":"F."},{"family":"Mangeon","given":"S."},{"family":"Melton","given":"J. R."},{"family":"Yue","given":"C."},{"family":"Randerson","given":"J. T."}],"issued":{"date-parts":[["2017"]]}},"locator":"201"},{"id":512,"uris":["http://zotero.org/users/10686236/items/5AK22UKI"],"itemData":{"id":512,"type":"article-journal","abstract":"The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Africa.","container-title":"Nature Ecology &amp; Evolution","DOI":"10.1038/s41559-017-0081","ISSN":"2397-334X","issue":"4","note":"publisher: Macmillan Publishers Limited, part of Springer Nature.","page":"0081","title":"Human population growth offsets climate-driven increase in woody vegetation in sub-Saharan Africa","volume":"1","author":[{"family":"Brandt","given":"Martin"},{"family":"Rasmussen","given":"Kjeld"},{"family":"Peñuelas","given":"Josep"},{"family":"Tian","given":"Feng"},{"family":"Schurgers","given":"Guy"},{"family":"Verger","given":"Aleixandre"},{"family":"Mertz","given":"Ole"},{"family":"Palmer","given":"John R. B."},{"family":"Fensholt","given":"Rasmus"}],"issued":{"date-parts":[["2017"]]}}},{"id":352,"uris":["http://zotero.org/users/10686236/items/NDEH7LGZ"],"itemData":{"id":352,"type":"article-journal","container-title":"Global and Planetary Change","DOI":"10.1016/j.gloplacha.2021.103516","ISSN":"0921-8181","note":"publisher: Elsevier B.V.","page":"103516","title":"Climatic and non-climatic vegetation cover changes in the rangelands of Africa","volume":"202","author":[{"family":"D'Adamo","given":"Francesco"},{"family":"Ogutu","given":"Booker"},{"family":"Brandt","given":"Martin"},{"family":"Schurgers","given":"Guy"},{"family":"Dash","given":"Jadunandan"}],"issued":{"date-parts":[["2021"]]}}},{"id":361,"uris":["http://zotero.org/users/10686236/items/AB2W44IL"],"itemData":{"id":361,"type":"article-journal","container-title":"Environmental Research Communications","DOI":"10.1088/2515-7620/ab25d2","issue":"5","note":"publisher: IOP Publishing","page":"051005","title":"Recent global and regional trends in burned area and their compensating environmental controls","volume":"1","author":[{"family":"Forkel","given":"Matthias"},{"family":"Dorigo","given":"Wouter"},{"family":"Lasslop","given":"Gitta"},{"family":"Chuvieco","given":"Emilio"},{"family":"Hantson","given":"Stijn"},{"family":"Heil","given":"Angelika"},{"family":"Teubner","given":"Irene"},{"family":"Thonicke","given":"Kirsten"},{"family":"Harrison","given":"Sandy P"}],"issued":{"date-parts":[["2019"]]}}}],"schema":"https://github.com/citation-style-language/schema/raw/master/csl-citation.json"} </w:instrText>
      </w:r>
      <w:r w:rsidR="00755DEE" w:rsidRPr="00B10EBE">
        <w:rPr>
          <w:rFonts w:ascii="Garamond" w:hAnsi="Garamond"/>
          <w:noProof/>
          <w:color w:val="000000" w:themeColor="text1"/>
          <w:sz w:val="24"/>
          <w:szCs w:val="24"/>
        </w:rPr>
        <w:fldChar w:fldCharType="separate"/>
      </w:r>
      <w:r w:rsidR="00755DEE" w:rsidRPr="00B10EBE">
        <w:rPr>
          <w:rFonts w:ascii="Garamond" w:hAnsi="Garamond"/>
          <w:color w:val="000000" w:themeColor="text1"/>
          <w:sz w:val="24"/>
        </w:rPr>
        <w:t>(e.g., Andela et al., 2013, 2017; Brandt et al., 2017; D’Adamo et al., 2021; Forkel et al., 2019)</w:t>
      </w:r>
      <w:r w:rsidR="00755DEE" w:rsidRPr="00B10EBE">
        <w:rPr>
          <w:rFonts w:ascii="Garamond" w:hAnsi="Garamond"/>
          <w:noProof/>
          <w:color w:val="000000" w:themeColor="text1"/>
          <w:sz w:val="24"/>
          <w:szCs w:val="24"/>
        </w:rPr>
        <w:fldChar w:fldCharType="end"/>
      </w:r>
      <w:r w:rsidR="00755DEE" w:rsidRPr="00B10EBE">
        <w:rPr>
          <w:rFonts w:ascii="Garamond" w:hAnsi="Garamond"/>
          <w:noProof/>
          <w:color w:val="000000" w:themeColor="text1"/>
          <w:sz w:val="24"/>
          <w:szCs w:val="24"/>
        </w:rPr>
        <w:t xml:space="preserve">, </w:t>
      </w:r>
      <w:r w:rsidR="0059435C" w:rsidRPr="00B10EBE">
        <w:rPr>
          <w:rFonts w:ascii="Garamond" w:hAnsi="Garamond"/>
          <w:noProof/>
          <w:color w:val="000000" w:themeColor="text1"/>
          <w:sz w:val="24"/>
          <w:szCs w:val="24"/>
        </w:rPr>
        <w:t>as</w:t>
      </w:r>
      <w:r w:rsidR="00755DEE" w:rsidRPr="00B10EBE">
        <w:rPr>
          <w:rFonts w:ascii="Garamond" w:hAnsi="Garamond"/>
          <w:noProof/>
          <w:color w:val="000000" w:themeColor="text1"/>
          <w:sz w:val="24"/>
          <w:szCs w:val="24"/>
        </w:rPr>
        <w:t xml:space="preserve"> supported by previous studies showing strong agreement between VOD and in-situ measurements of woody vegetation</w:t>
      </w:r>
      <w:r w:rsidR="00540712" w:rsidRPr="00B10EBE">
        <w:rPr>
          <w:rFonts w:ascii="Garamond" w:hAnsi="Garamond"/>
          <w:noProof/>
          <w:color w:val="000000" w:themeColor="text1"/>
          <w:sz w:val="24"/>
          <w:szCs w:val="24"/>
        </w:rPr>
        <w:t xml:space="preserve"> in drylands</w:t>
      </w:r>
      <w:r w:rsidR="00D24D14" w:rsidRPr="00B10EBE">
        <w:rPr>
          <w:rFonts w:ascii="Garamond" w:hAnsi="Garamond"/>
          <w:noProof/>
          <w:color w:val="000000" w:themeColor="text1"/>
          <w:sz w:val="24"/>
          <w:szCs w:val="24"/>
        </w:rPr>
        <w:t xml:space="preserve"> </w:t>
      </w:r>
      <w:r w:rsidR="00D24D1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{"citationID":"a7k24jm3t8","properties":{"formattedCitation":"(Tian et al., 2016, 2017)","plainCitation":"(Tian et al., 2016, 2017)","noteIndex":0},"citationItems":[{"id":517,"uris":["http://zotero.org/users/10686236/items/RSJ2WRP2"],"itemData":{"id":517,"type":"article-journal","abstract":"Monitoring long-term biomass dynamics in drylands is of great importance for many environmental applications including land degradation and global carbon cycle modeling. Biomass has extensively been estimated based on the normalized difference vegetation index (NDVI) as a measure of the vegetation greenness. The vegetation optical depth (VOD) derived from satellite passive microwave observations is mainly sensitive to the water content in total aboveground vegetation layer. VOD therefore provides a complementary data source to NDVI for monitoring biomass dynamics in drylands, yet further evaluations based on ground measurements are needed for an improved understanding of the potential advantages. In this study, we assess the capability of a long-term VOD dataset (1992-2011) to capture the temporal and spatial variability of in situ measured green biomass (herbaceous mass and woody plant foliage mass) in the semi-arid Senegalese Sahel. Results show that the magnitude and peak time of VOD are sensitive to the woody plant foliage whereas NDVI seasonality is primarily governed by the green herbaceous vegetation stratum in the study area. Moreover, VOD is found to be more robust against typical NDVI drawbacks of saturation effect and dependence on plant structure (herbaceous and woody compositions) across the study area when used as a proxy for vegetation productivity. Finally, both VOD and NDVI well reflect the spatial and inter-annual dynamics of the in situ green biomass data; however, the seasonal metrics showing the highest degree of explained variance differ between the two data sources. While the observations in October (period of in situ data collection) perform best for VOD (r2 = 0.88), the small growing season integral (sensitive to recurrent vegetation) have the highest correlations for NDVI (r2 = 0.90). Overall, in spite of the coarse resolution, the study shows that VOD is an efficient proxy for estimating green biomass of the entire vegetation stratum in the semi-arid Sahel and likely also in other dryland areas.","container-title":"Remote Sensing of Environment","DOI":"10.1016/j.rse.2016.02.056","ISSN":"00344257","note":"publisher: Elsevier Inc.\nISBN: 0034-4257","page":"265-276","title":"Remote sensing of vegetation dynamics in drylands: Evaluating vegetation optical depth (VOD) using AVHRR NDVI and in situ green biomass data over West African Sahel","volume":"177","author":[{"family":"Tian","given":"Feng"},{"family":"Brandt","given":"Martin"},{"family":"Liu","given":"Yi Y."},{"family":"Verger","given":"Aleixandre"},{"family":"Tagesson","given":"Torbern"},{"family":"Diouf","given":"Abdoul A."},{"family":"Rasmussen","given":"Kjeld"},{"family":"Mbow","given":"Cheikh"},{"family":"Wang","given":"Yunjia"},{"family":"Fensholt","given":"Rasmus"}],"issued":{"date-parts":[["2016"]]}}},{"id":628,"uris":["http://zotero.org/users/10686236/items/XDXILAGY"],"itemData":{"id":628,"type":"article-journal","abstract":"Woody vegetation in global tropical drylands is of significant importance for both the interannual variability of the carbon cycle and local livelihoods. Satellite observations over the past decades provide a unique way to assess the vegetation long-term dynamics across biomes worldwide. Yet, the actual changes in the woody vegetation are always hidden by interannual fluctuations of the leaf density, because the most widely used remote sensing data are primarily related to the photosynthetically active vegetation components. Here, we quantify the temporal trends of the nonphotosynthetic woody components (i.e., stems and branches) in global tropical drylands during 2000-2012 using the vegetation optical depth (VOD), retrieved from passive microwave observations. This is achieved by a novel method focusing on the dry season period to minimize the influence of herbaceous vegetation and using MODerate resolution Imaging Spectroradiometer (MODIS) Normalized Difference Vegetation Index (NDVI) data to remove the interannual fluctuations of the woody leaf component. We revealed significant trends (P &lt; 0.05) in the woody component (VODwood ) in 35% of the areas characterized by a nonsignificant trend in the leaf component (VODleaf modeled from NDVI), indicating pronounced gradual growth/decline in woody vegetation not captured by traditional assessments. The method is validated using a unique record of ground measurements from the semiarid Sahel and shows a strong agreement between changes in VODwood and changes in ground observed woody cover (r(2) = 0.78). Reliability of the obtained woody component trends is also supported by a review of relevant literatures for eight hot spot regions of change. The proposed approach is expected to contribute to an improved assessment of, for example, changes in dryland carbon pools.","container-title":"Global Change Biology","DOI":"10.1111/gcb.13464","ISSN":"13652486","issue":"4","note":"PMID: 27515022","page":"1748-1760","title":"Mapping gains and losses in woody vegetation across global tropical drylands","volume":"23","author":[{"family":"Tian","given":"Feng"},{"family":"Brandt","given":"Martin"},{"family":"Liu","given":"Yi Y."},{"family":"Rasmussen","given":"Kjeld"},{"family":"Fensholt","given":"Rasmus"}],"issued":{"date-parts":[["2017"]]}}}],"schema":"https://github.com/citation-style-language/schema/raw/master/csl-citation.json"} </w:instrText>
      </w:r>
      <w:r w:rsidR="00D24D14" w:rsidRPr="00B10EBE">
        <w:rPr>
          <w:rFonts w:ascii="Garamond" w:hAnsi="Garamond"/>
          <w:noProof/>
          <w:color w:val="000000" w:themeColor="text1"/>
          <w:sz w:val="24"/>
          <w:szCs w:val="24"/>
        </w:rPr>
        <w:fldChar w:fldCharType="separate"/>
      </w:r>
      <w:r w:rsidR="001D4B31" w:rsidRPr="00B10EBE">
        <w:rPr>
          <w:rFonts w:ascii="Garamond" w:hAnsi="Garamond"/>
          <w:color w:val="000000" w:themeColor="text1"/>
          <w:sz w:val="24"/>
        </w:rPr>
        <w:t>(Tian et al., 2016, 2017)</w:t>
      </w:r>
      <w:r w:rsidR="00D24D14" w:rsidRPr="00B10EBE">
        <w:rPr>
          <w:rFonts w:ascii="Garamond" w:hAnsi="Garamond"/>
          <w:noProof/>
          <w:color w:val="000000" w:themeColor="text1"/>
          <w:sz w:val="24"/>
          <w:szCs w:val="24"/>
        </w:rPr>
        <w:fldChar w:fldCharType="end"/>
      </w:r>
      <w:r w:rsidR="00755DEE" w:rsidRPr="00B10EBE">
        <w:rPr>
          <w:rFonts w:ascii="Garamond" w:hAnsi="Garamond"/>
          <w:noProof/>
          <w:color w:val="000000" w:themeColor="text1"/>
          <w:sz w:val="24"/>
          <w:szCs w:val="24"/>
        </w:rPr>
        <w:t>.</w:t>
      </w:r>
      <w:r w:rsidR="00635FD6"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Burned area data were obtained from the Global Fire Emissions Database (GFED), </w:t>
      </w:r>
      <w:r w:rsidR="0091220A" w:rsidRPr="00B10EBE">
        <w:rPr>
          <w:rFonts w:ascii="Garamond" w:hAnsi="Garamond"/>
          <w:noProof/>
          <w:color w:val="000000" w:themeColor="text1"/>
          <w:sz w:val="24"/>
          <w:szCs w:val="24"/>
        </w:rPr>
        <w:t>v</w:t>
      </w:r>
      <w:r w:rsidR="008403A0" w:rsidRPr="00B10EBE">
        <w:rPr>
          <w:rFonts w:ascii="Garamond" w:hAnsi="Garamond"/>
          <w:noProof/>
          <w:color w:val="000000" w:themeColor="text1"/>
          <w:sz w:val="24"/>
          <w:szCs w:val="24"/>
        </w:rPr>
        <w:t xml:space="preserve">4s. This product provides </w:t>
      </w:r>
      <w:r w:rsidR="00C4184F" w:rsidRPr="00B10EBE">
        <w:rPr>
          <w:rFonts w:ascii="Garamond" w:hAnsi="Garamond"/>
          <w:noProof/>
          <w:color w:val="000000" w:themeColor="text1"/>
          <w:sz w:val="24"/>
          <w:szCs w:val="24"/>
        </w:rPr>
        <w:t>burned area</w:t>
      </w:r>
      <w:r w:rsidR="008403A0" w:rsidRPr="00B10EBE">
        <w:rPr>
          <w:rFonts w:ascii="Garamond" w:hAnsi="Garamond"/>
          <w:noProof/>
          <w:color w:val="000000" w:themeColor="text1"/>
          <w:sz w:val="24"/>
          <w:szCs w:val="24"/>
        </w:rPr>
        <w:t xml:space="preserve"> from GFED4 complemented with the contribution of small fires (s), among other data (e.g., fire carbon, dry matter emissions)</w:t>
      </w:r>
      <w:r w:rsidR="00955728" w:rsidRPr="00B10EBE">
        <w:rPr>
          <w:rFonts w:ascii="Garamond" w:hAnsi="Garamond"/>
          <w:noProof/>
          <w:color w:val="000000" w:themeColor="text1"/>
          <w:sz w:val="24"/>
          <w:szCs w:val="24"/>
        </w:rPr>
        <w:t xml:space="preserve"> </w:t>
      </w:r>
      <w:r w:rsidR="0095572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{"citationID":"vUZDling","properties":{"formattedCitation":"(van der Werf et al., 2017)","plainCitation":"(van der Werf et al., 2017)","noteIndex":0},"citationItems":[{"id":1903,"uris":["http://zotero.org/users/10686236/items/RHA6WCQ6"],"itemData":{"id":1903,"type":"article-journal","abstract":"Abstract. Climate, land use, and other anthropogenic and natural drivers have the potential to influence fire dynamics in many regions. To develop a mechanistic understanding of the changing role of these drivers and their impact on atmospheric composition, long-term fire records are needed that fuse information from different satellite and in situ data streams. Here we describe the fourth version of the Global Fire Emissions Database (GFED) and quantify global fire emissions patterns during 1997–2016. The modeling system, based on the Carnegie–Ames–Stanford Approach (CASA) biogeochemical model, has several modifications from the previous version and uses higher quality input datasets. Significant upgrades include (1) new burned area estimates with contributions from small fires, (2) a revised fuel consumption parameterization optimized using field observations, (3) modifications that improve the representation of fuel consumption in frequently burning landscapes, and (4) fire severity estimates that better represent continental differences in burning processes across boreal regions of North America and Eurasia. The new version has a higher spatial resolution (0.25°) and uses a different set of emission factors that separately resolves trace gas and aerosol emissions from temperate and boreal forest ecosystems. Global mean carbon emissions using the burned area dataset with small fires (GFED4s) were 2.2 × 1015 grams of carbon per year (PgCyr−1) during 1997–2016, with a maximum in 1997 (3.0PgCyr−1) and minimum in 2013 (1.8PgCyr−1). These estimates were 11% higher than our previous estimates (GFED3) during 1997–2011, when the two datasets overlapped. This net increase was the result of a substantial increase in burned area (37%), mostly due to the inclusion of small fires, and a modest decrease in mean fuel consumption (−19%) to better match estimates from field studies, primarily in savannas and grasslands. For trace gas and aerosol emissions, differences between GFED4s and GFED3 were often larger due to the use of revised emission factors. If small fire burned area was excluded (GFED4 without the s for small fires), average emissions were 1.5PgCyr−1. The addition of small fires had the largest impact on emissions in temperate North America, Central America, Europe, and temperate Asia. This small fire layer carries substantial uncertainties; improving these estimates will require use of new burned area products derived from high-resolution satellite imagery. Our revised dataset provides an internally consistent set of burned area and emissions that may contribute to a better understanding of multi-decadal changes in fire dynamics and their impact on the Earth system. GFED data are available from http://www.globalfiredata.org.","container-title":"Earth System Science Data","DOI":"10.5194/essd-9-697-2017","ISSN":"18663516","issue":"2","page":"697-720","title":"Global fire emissions estimates during 1997-2016","volume":"9","author":[{"family":"Werf","given":"Guido R.","non-dropping-particle":"van der"},{"family":"Randerson","given":"James T."},{"family":"Giglio","given":"Louis"},{"family":"Van Leeuwen","given":"Thijs T."},{"family":"Chen","given":"Yang"},{"family":"Rogers","given":"Brendan M."},{"family":"Mu","given":"Mingquan"},{"family":"Van Marle","given":"Margreet J.E."},{"family":"Morton","given":"Douglas C."},{"family":"Collatz","given":"G. James"},{"family":"Yokelson","given":"Robert J."},{"family":"Kasibhatla","given":"Prasad S."}],"issued":{"date-parts":[["2017"]]}}}],"schema":"https://github.com/citation-style-language/schema/raw/master/csl-citation.json"} </w:instrText>
      </w:r>
      <w:r w:rsidR="00955728"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(van der Werf et al., 2017)</w:t>
      </w:r>
      <w:r w:rsidR="00955728"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w:t>
      </w:r>
      <w:r w:rsidR="00C4184F" w:rsidRPr="00B10EBE">
        <w:rPr>
          <w:rFonts w:ascii="Garamond" w:hAnsi="Garamond"/>
          <w:noProof/>
          <w:color w:val="000000" w:themeColor="text1"/>
          <w:sz w:val="24"/>
          <w:szCs w:val="24"/>
        </w:rPr>
        <w:t>Burned area</w:t>
      </w:r>
      <w:r w:rsidR="008403A0" w:rsidRPr="00B10EBE">
        <w:rPr>
          <w:rFonts w:ascii="Garamond" w:hAnsi="Garamond"/>
          <w:noProof/>
          <w:color w:val="000000" w:themeColor="text1"/>
          <w:sz w:val="24"/>
          <w:szCs w:val="24"/>
        </w:rPr>
        <w:t xml:space="preserve"> represent</w:t>
      </w:r>
      <w:r w:rsidR="00234379" w:rsidRPr="00B10EBE">
        <w:rPr>
          <w:rFonts w:ascii="Garamond" w:hAnsi="Garamond"/>
          <w:noProof/>
          <w:color w:val="000000" w:themeColor="text1"/>
          <w:sz w:val="24"/>
          <w:szCs w:val="24"/>
        </w:rPr>
        <w:t>s</w:t>
      </w:r>
      <w:r w:rsidR="008403A0" w:rsidRPr="00B10EBE">
        <w:rPr>
          <w:rFonts w:ascii="Garamond" w:hAnsi="Garamond"/>
          <w:noProof/>
          <w:color w:val="000000" w:themeColor="text1"/>
          <w:sz w:val="24"/>
          <w:szCs w:val="24"/>
        </w:rPr>
        <w:t xml:space="preserve"> a direct estimate of fire </w:t>
      </w:r>
      <w:r w:rsidR="00FD4CEE" w:rsidRPr="00B10EBE">
        <w:rPr>
          <w:rFonts w:ascii="Garamond" w:hAnsi="Garamond"/>
          <w:noProof/>
          <w:color w:val="000000" w:themeColor="text1"/>
          <w:sz w:val="24"/>
          <w:szCs w:val="24"/>
        </w:rPr>
        <w:t>impact</w:t>
      </w:r>
      <w:r w:rsidR="001A2CFE" w:rsidRPr="00B10EBE">
        <w:rPr>
          <w:rFonts w:ascii="Garamond" w:hAnsi="Garamond"/>
          <w:noProof/>
          <w:color w:val="000000" w:themeColor="text1"/>
          <w:sz w:val="24"/>
          <w:szCs w:val="24"/>
        </w:rPr>
        <w:t>s</w:t>
      </w:r>
      <w:r w:rsidR="008403A0" w:rsidRPr="00B10EBE">
        <w:rPr>
          <w:rFonts w:ascii="Garamond" w:hAnsi="Garamond"/>
          <w:noProof/>
          <w:color w:val="000000" w:themeColor="text1"/>
          <w:sz w:val="24"/>
          <w:szCs w:val="24"/>
        </w:rPr>
        <w:t xml:space="preserve"> on ecosystems and </w:t>
      </w:r>
      <w:r w:rsidR="00234379" w:rsidRPr="00B10EBE">
        <w:rPr>
          <w:rFonts w:ascii="Garamond" w:hAnsi="Garamond"/>
          <w:noProof/>
          <w:color w:val="000000" w:themeColor="text1"/>
          <w:sz w:val="24"/>
          <w:szCs w:val="24"/>
        </w:rPr>
        <w:t>has</w:t>
      </w:r>
      <w:r w:rsidR="008403A0" w:rsidRPr="00B10EBE">
        <w:rPr>
          <w:rFonts w:ascii="Garamond" w:hAnsi="Garamond"/>
          <w:noProof/>
          <w:color w:val="000000" w:themeColor="text1"/>
          <w:sz w:val="24"/>
          <w:szCs w:val="24"/>
        </w:rPr>
        <w:t xml:space="preserve"> the advantage </w:t>
      </w:r>
      <w:r w:rsidR="003032B4" w:rsidRPr="00B10EBE">
        <w:rPr>
          <w:rFonts w:ascii="Garamond" w:hAnsi="Garamond"/>
          <w:noProof/>
          <w:color w:val="000000" w:themeColor="text1"/>
          <w:sz w:val="24"/>
          <w:szCs w:val="24"/>
        </w:rPr>
        <w:t xml:space="preserve">of </w:t>
      </w:r>
      <w:r w:rsidR="008403A0" w:rsidRPr="00B10EBE">
        <w:rPr>
          <w:rFonts w:ascii="Garamond" w:hAnsi="Garamond"/>
          <w:noProof/>
          <w:color w:val="000000" w:themeColor="text1"/>
          <w:sz w:val="24"/>
          <w:szCs w:val="24"/>
        </w:rPr>
        <w:t>persist</w:t>
      </w:r>
      <w:r w:rsidR="003032B4" w:rsidRPr="00B10EBE">
        <w:rPr>
          <w:rFonts w:ascii="Garamond" w:hAnsi="Garamond"/>
          <w:noProof/>
          <w:color w:val="000000" w:themeColor="text1"/>
          <w:sz w:val="24"/>
          <w:szCs w:val="24"/>
        </w:rPr>
        <w:t>ing</w:t>
      </w:r>
      <w:r w:rsidR="008403A0" w:rsidRPr="00B10EBE">
        <w:rPr>
          <w:rFonts w:ascii="Garamond" w:hAnsi="Garamond"/>
          <w:noProof/>
          <w:color w:val="000000" w:themeColor="text1"/>
          <w:sz w:val="24"/>
          <w:szCs w:val="24"/>
        </w:rPr>
        <w:t xml:space="preserve"> on the land surface, thus preventing potential fire data gaps due to cloud and smoke cover spells</w:t>
      </w:r>
      <w:r w:rsidR="00955728" w:rsidRPr="00B10EBE">
        <w:rPr>
          <w:rFonts w:ascii="Garamond" w:hAnsi="Garamond"/>
          <w:noProof/>
          <w:color w:val="000000" w:themeColor="text1"/>
          <w:sz w:val="24"/>
          <w:szCs w:val="24"/>
        </w:rPr>
        <w:t xml:space="preserve"> </w:t>
      </w:r>
      <w:r w:rsidR="00955728"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{"citationID":"93Rjpbac","properties":{"formattedCitation":"(Andela et al., 2017)","plainCitation":"(Andela et al., 2017)","noteIndex":0},"citationItems":[{"id":345,"uris":["http://zotero.org/users/10686236/items/KRIMBS7R"],"itemData":{"id":345,"type":"article-journal","abstract":"Fire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landscapes.","container-title":"Science","DOI":"10.1126/science.aal4108","ISSN":"0036-8075","issue":"6345","page":"1356-1362","title":"A human-driven decline in global burned area","volume":"356","author":[{"family":"Andela","given":"N."},{"family":"Morton","given":"D. C."},{"family":"Giglio","given":"L."},{"family":"Chen","given":"Y."},{"family":"Van Der Werf","given":"G. R."},{"family":"Kasibhatla","given":"P. S."},{"family":"DeFries","given":"R. S."},{"family":"Collatz","given":"G. J."},{"family":"Hantson","given":"S."},{"family":"Kloster","given":"S."},{"family":"Bachelet","given":"D."},{"family":"Forrest","given":"M."},{"family":"Lasslop","given":"G."},{"family":"Li","given":"F."},{"family":"Mangeon","given":"S."},{"family":"Melton","given":"J. R."},{"family":"Yue","given":"C."},{"family":"Randerson","given":"J. T."}],"issued":{"date-parts":[["2017"]]}}}],"schema":"https://github.com/citation-style-language/schema/raw/master/csl-citation.json"} </w:instrText>
      </w:r>
      <w:r w:rsidR="00955728"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(Andela et al., 2017)</w:t>
      </w:r>
      <w:r w:rsidR="00955728"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We </w:t>
      </w:r>
      <w:r w:rsidR="006622AD" w:rsidRPr="00B10EBE">
        <w:rPr>
          <w:rFonts w:ascii="Garamond" w:hAnsi="Garamond"/>
          <w:noProof/>
          <w:color w:val="000000" w:themeColor="text1"/>
          <w:sz w:val="24"/>
          <w:szCs w:val="24"/>
        </w:rPr>
        <w:t xml:space="preserve">first </w:t>
      </w:r>
      <w:r w:rsidR="008403A0" w:rsidRPr="00B10EBE">
        <w:rPr>
          <w:rFonts w:ascii="Garamond" w:hAnsi="Garamond"/>
          <w:noProof/>
          <w:color w:val="000000" w:themeColor="text1"/>
          <w:sz w:val="24"/>
          <w:szCs w:val="24"/>
        </w:rPr>
        <w:t>converted</w:t>
      </w:r>
      <w:r w:rsidR="0030204E" w:rsidRPr="00B10EBE">
        <w:rPr>
          <w:rFonts w:ascii="Garamond" w:hAnsi="Garamond"/>
          <w:noProof/>
          <w:color w:val="000000" w:themeColor="text1"/>
          <w:sz w:val="24"/>
          <w:szCs w:val="24"/>
        </w:rPr>
        <w:t xml:space="preserve"> </w:t>
      </w:r>
      <w:r w:rsidR="0030204E" w:rsidRPr="00B10EBE">
        <w:rPr>
          <w:rFonts w:ascii="Garamond" w:hAnsi="Garamond"/>
          <w:noProof/>
          <w:color w:val="000000" w:themeColor="text1"/>
          <w:sz w:val="24"/>
          <w:szCs w:val="24"/>
        </w:rPr>
        <w:lastRenderedPageBreak/>
        <w:t>monthly</w:t>
      </w:r>
      <w:r w:rsidR="008403A0" w:rsidRPr="00B10EBE">
        <w:rPr>
          <w:rFonts w:ascii="Garamond" w:hAnsi="Garamond"/>
          <w:noProof/>
          <w:color w:val="000000" w:themeColor="text1"/>
          <w:sz w:val="24"/>
          <w:szCs w:val="24"/>
        </w:rPr>
        <w:t xml:space="preserve"> burned area fraction</w:t>
      </w:r>
      <w:r w:rsidR="0041759A" w:rsidRPr="00B10EBE">
        <w:rPr>
          <w:rFonts w:ascii="Garamond" w:hAnsi="Garamond"/>
          <w:noProof/>
          <w:color w:val="000000" w:themeColor="text1"/>
          <w:sz w:val="24"/>
          <w:szCs w:val="24"/>
        </w:rPr>
        <w:t xml:space="preserve"> (dimensionless)</w:t>
      </w:r>
      <w:r w:rsidR="008403A0" w:rsidRPr="00B10EBE">
        <w:rPr>
          <w:rFonts w:ascii="Garamond" w:hAnsi="Garamond"/>
          <w:noProof/>
          <w:color w:val="000000" w:themeColor="text1"/>
          <w:sz w:val="24"/>
          <w:szCs w:val="24"/>
        </w:rPr>
        <w:t xml:space="preserve"> to</w:t>
      </w:r>
      <w:r w:rsidR="006622AD" w:rsidRPr="00B10EBE">
        <w:rPr>
          <w:rFonts w:ascii="Garamond" w:hAnsi="Garamond"/>
          <w:noProof/>
          <w:color w:val="000000" w:themeColor="text1"/>
          <w:sz w:val="24"/>
          <w:szCs w:val="24"/>
        </w:rPr>
        <w:t xml:space="preserve"> monthly</w:t>
      </w:r>
      <w:r w:rsidR="008403A0" w:rsidRPr="00B10EBE">
        <w:rPr>
          <w:rFonts w:ascii="Garamond" w:hAnsi="Garamond"/>
          <w:noProof/>
          <w:color w:val="000000" w:themeColor="text1"/>
          <w:sz w:val="24"/>
          <w:szCs w:val="24"/>
        </w:rPr>
        <w:t xml:space="preserve"> burned area (ha) using the ancillary </w:t>
      </w:r>
      <w:r w:rsidR="00B44D5D" w:rsidRPr="00B10EBE">
        <w:rPr>
          <w:rFonts w:ascii="Garamond" w:hAnsi="Garamond"/>
          <w:noProof/>
          <w:color w:val="000000" w:themeColor="text1"/>
          <w:sz w:val="24"/>
          <w:szCs w:val="24"/>
        </w:rPr>
        <w:t xml:space="preserve">grid </w:t>
      </w:r>
      <w:r w:rsidR="008403A0" w:rsidRPr="00B10EBE">
        <w:rPr>
          <w:rFonts w:ascii="Garamond" w:hAnsi="Garamond"/>
          <w:noProof/>
          <w:color w:val="000000" w:themeColor="text1"/>
          <w:sz w:val="24"/>
          <w:szCs w:val="24"/>
        </w:rPr>
        <w:t>map</w:t>
      </w:r>
      <w:r w:rsidR="0041759A" w:rsidRPr="00B10EBE">
        <w:rPr>
          <w:rFonts w:ascii="Garamond" w:hAnsi="Garamond"/>
          <w:noProof/>
          <w:color w:val="000000" w:themeColor="text1"/>
          <w:sz w:val="24"/>
          <w:szCs w:val="24"/>
        </w:rPr>
        <w:t xml:space="preserve"> (m</w:t>
      </w:r>
      <w:r w:rsidR="0041759A" w:rsidRPr="00B10EBE">
        <w:rPr>
          <w:rFonts w:ascii="Garamond" w:hAnsi="Garamond"/>
          <w:noProof/>
          <w:color w:val="000000" w:themeColor="text1"/>
          <w:sz w:val="24"/>
          <w:szCs w:val="24"/>
          <w:vertAlign w:val="superscript"/>
        </w:rPr>
        <w:t>2</w:t>
      </w:r>
      <w:r w:rsidR="0041759A" w:rsidRPr="00B10EBE">
        <w:rPr>
          <w:rFonts w:ascii="Garamond" w:hAnsi="Garamond"/>
          <w:noProof/>
          <w:color w:val="000000" w:themeColor="text1"/>
          <w:sz w:val="24"/>
          <w:szCs w:val="24"/>
        </w:rPr>
        <w:t>)</w:t>
      </w:r>
      <w:r w:rsidR="008403A0" w:rsidRPr="00B10EBE">
        <w:rPr>
          <w:rFonts w:ascii="Garamond" w:hAnsi="Garamond"/>
          <w:noProof/>
          <w:color w:val="000000" w:themeColor="text1"/>
          <w:sz w:val="24"/>
          <w:szCs w:val="24"/>
        </w:rPr>
        <w:t xml:space="preserve"> </w:t>
      </w:r>
      <w:r w:rsidR="000822E9" w:rsidRPr="00B10EBE">
        <w:rPr>
          <w:rFonts w:ascii="Garamond" w:hAnsi="Garamond"/>
          <w:noProof/>
          <w:color w:val="000000" w:themeColor="text1"/>
          <w:sz w:val="24"/>
          <w:szCs w:val="24"/>
        </w:rPr>
        <w:t xml:space="preserve">that is </w:t>
      </w:r>
      <w:r w:rsidR="008403A0" w:rsidRPr="00B10EBE">
        <w:rPr>
          <w:rFonts w:ascii="Garamond" w:hAnsi="Garamond"/>
          <w:noProof/>
          <w:color w:val="000000" w:themeColor="text1"/>
          <w:sz w:val="24"/>
          <w:szCs w:val="24"/>
        </w:rPr>
        <w:t>embedded with the data</w:t>
      </w:r>
      <w:r w:rsidR="006622AD" w:rsidRPr="00B10EBE">
        <w:rPr>
          <w:rFonts w:ascii="Garamond" w:hAnsi="Garamond"/>
          <w:noProof/>
          <w:color w:val="000000" w:themeColor="text1"/>
          <w:sz w:val="24"/>
          <w:szCs w:val="24"/>
        </w:rPr>
        <w:t xml:space="preserve"> and, second, </w:t>
      </w:r>
      <w:r w:rsidR="0030204E" w:rsidRPr="00B10EBE">
        <w:rPr>
          <w:rFonts w:ascii="Garamond" w:hAnsi="Garamond"/>
          <w:noProof/>
          <w:color w:val="000000" w:themeColor="text1"/>
          <w:sz w:val="24"/>
          <w:szCs w:val="24"/>
        </w:rPr>
        <w:t xml:space="preserve">we aggregated monthly </w:t>
      </w:r>
      <w:r w:rsidR="006622AD" w:rsidRPr="00B10EBE">
        <w:rPr>
          <w:rFonts w:ascii="Garamond" w:hAnsi="Garamond"/>
          <w:noProof/>
          <w:color w:val="000000" w:themeColor="text1"/>
          <w:sz w:val="24"/>
          <w:szCs w:val="24"/>
        </w:rPr>
        <w:t xml:space="preserve">burned area </w:t>
      </w:r>
      <w:r w:rsidR="0030204E" w:rsidRPr="00B10EBE">
        <w:rPr>
          <w:rFonts w:ascii="Garamond" w:hAnsi="Garamond"/>
          <w:noProof/>
          <w:color w:val="000000" w:themeColor="text1"/>
          <w:sz w:val="24"/>
          <w:szCs w:val="24"/>
        </w:rPr>
        <w:t>into</w:t>
      </w:r>
      <w:r w:rsidR="00051C61"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annual sum composites.</w:t>
      </w:r>
      <w:r w:rsidR="0064361B"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Daily rainfall data from Climate Hazards group Infrared Precipitation with Stations (CHIRPS </w:t>
      </w:r>
      <w:r w:rsidR="0091220A" w:rsidRPr="00B10EBE">
        <w:rPr>
          <w:rFonts w:ascii="Garamond" w:hAnsi="Garamond"/>
          <w:noProof/>
          <w:color w:val="000000" w:themeColor="text1"/>
          <w:sz w:val="24"/>
          <w:szCs w:val="24"/>
        </w:rPr>
        <w:t>v</w:t>
      </w:r>
      <w:r w:rsidR="008403A0" w:rsidRPr="00B10EBE">
        <w:rPr>
          <w:rFonts w:ascii="Garamond" w:hAnsi="Garamond"/>
          <w:noProof/>
          <w:color w:val="000000" w:themeColor="text1"/>
          <w:sz w:val="24"/>
          <w:szCs w:val="24"/>
        </w:rPr>
        <w:t>2.0)</w:t>
      </w:r>
      <w:r w:rsidR="000A2E41" w:rsidRPr="00B10EBE">
        <w:rPr>
          <w:rFonts w:ascii="Garamond" w:hAnsi="Garamond"/>
          <w:noProof/>
          <w:color w:val="000000" w:themeColor="text1"/>
          <w:sz w:val="24"/>
          <w:szCs w:val="24"/>
        </w:rPr>
        <w:t xml:space="preserve"> </w:t>
      </w:r>
      <w:r w:rsidR="000A2E4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{"citationID":"tzeTVasp","properties":{"formattedCitation":"(Funk et al., 2015)","plainCitation":"(Funk et al., 2015)","noteIndex":0},"citationItems":[{"id":1085,"uris":["http://zotero.org/users/10686236/items/5YJMEDES"],"itemData":{"id":1085,"type":"article-journal","abstract":"The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Ethiopia.","container-title":"Scientific Data","DOI":"10.1038/sdata.2015.66","ISSN":"2052-4463","note":"PMID: 26646728\narXiv: 1011.1669v3\nISBN: 0034-4257","page":"150066","title":"The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schema":"https://github.com/citation-style-language/schema/raw/master/csl-citation.json"} </w:instrText>
      </w:r>
      <w:r w:rsidR="000A2E41"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(Funk et al., 2015)</w:t>
      </w:r>
      <w:r w:rsidR="000A2E41" w:rsidRPr="00B10EBE">
        <w:rPr>
          <w:rFonts w:ascii="Garamond" w:hAnsi="Garamond"/>
          <w:noProof/>
          <w:color w:val="000000" w:themeColor="text1"/>
          <w:sz w:val="24"/>
          <w:szCs w:val="24"/>
        </w:rPr>
        <w:fldChar w:fldCharType="end"/>
      </w:r>
      <w:r w:rsidR="000A2E41"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were </w:t>
      </w:r>
      <w:r w:rsidR="00B50D7C" w:rsidRPr="00B10EBE">
        <w:rPr>
          <w:rFonts w:ascii="Garamond" w:hAnsi="Garamond"/>
          <w:noProof/>
          <w:color w:val="000000" w:themeColor="text1"/>
          <w:sz w:val="24"/>
          <w:szCs w:val="24"/>
        </w:rPr>
        <w:t xml:space="preserve">used to </w:t>
      </w:r>
      <w:r w:rsidR="00336F21" w:rsidRPr="00B10EBE">
        <w:rPr>
          <w:rFonts w:ascii="Garamond" w:hAnsi="Garamond"/>
          <w:noProof/>
          <w:color w:val="000000" w:themeColor="text1"/>
          <w:sz w:val="24"/>
          <w:szCs w:val="24"/>
        </w:rPr>
        <w:t>produce</w:t>
      </w:r>
      <w:r w:rsidR="00137C75"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annual </w:t>
      </w:r>
      <w:r w:rsidR="00B50D7C" w:rsidRPr="00B10EBE">
        <w:rPr>
          <w:rFonts w:ascii="Garamond" w:hAnsi="Garamond"/>
          <w:noProof/>
          <w:color w:val="000000" w:themeColor="text1"/>
          <w:sz w:val="24"/>
          <w:szCs w:val="24"/>
        </w:rPr>
        <w:t>sum</w:t>
      </w:r>
      <w:r w:rsidR="006622AD" w:rsidRPr="00B10EBE">
        <w:rPr>
          <w:rFonts w:ascii="Garamond" w:hAnsi="Garamond"/>
          <w:noProof/>
          <w:color w:val="000000" w:themeColor="text1"/>
          <w:sz w:val="24"/>
          <w:szCs w:val="24"/>
        </w:rPr>
        <w:t>s</w:t>
      </w:r>
      <w:r w:rsidR="008403A0" w:rsidRPr="00B10EBE">
        <w:rPr>
          <w:rFonts w:ascii="Garamond" w:hAnsi="Garamond"/>
          <w:noProof/>
          <w:color w:val="000000" w:themeColor="text1"/>
          <w:sz w:val="24"/>
          <w:szCs w:val="24"/>
        </w:rPr>
        <w:t xml:space="preserve"> (mm</w:t>
      </w:r>
      <w:r w:rsidR="00115EEA"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yr</w:t>
      </w:r>
      <w:r w:rsidR="00115EEA" w:rsidRPr="00B10EBE">
        <w:rPr>
          <w:rFonts w:ascii="Garamond" w:hAnsi="Garamond"/>
          <w:noProof/>
          <w:color w:val="000000" w:themeColor="text1"/>
          <w:sz w:val="24"/>
          <w:szCs w:val="24"/>
          <w:vertAlign w:val="superscript"/>
        </w:rPr>
        <w:t>–1</w:t>
      </w:r>
      <w:r w:rsidR="008403A0" w:rsidRPr="00B10EBE">
        <w:rPr>
          <w:rFonts w:ascii="Garamond" w:hAnsi="Garamond"/>
          <w:noProof/>
          <w:color w:val="000000" w:themeColor="text1"/>
          <w:sz w:val="24"/>
          <w:szCs w:val="24"/>
        </w:rPr>
        <w:t>)</w:t>
      </w:r>
      <w:r w:rsidR="00B50D7C" w:rsidRPr="00B10EBE">
        <w:rPr>
          <w:rFonts w:ascii="Garamond" w:hAnsi="Garamond"/>
          <w:noProof/>
          <w:color w:val="000000" w:themeColor="text1"/>
          <w:sz w:val="24"/>
          <w:szCs w:val="24"/>
        </w:rPr>
        <w:t xml:space="preserve"> and</w:t>
      </w:r>
      <w:r w:rsidR="00B50D7C" w:rsidRPr="00B10EBE">
        <w:rPr>
          <w:rFonts w:ascii="Garamond" w:hAnsi="Garamond"/>
          <w:noProof/>
          <w:color w:val="000000" w:themeColor="text1"/>
          <w:kern w:val="28"/>
          <w:sz w:val="24"/>
          <w:szCs w:val="24"/>
        </w:rPr>
        <w:t xml:space="preserve"> </w:t>
      </w:r>
      <w:r w:rsidR="00B50D7C" w:rsidRPr="00B10EBE">
        <w:rPr>
          <w:rFonts w:ascii="Garamond" w:hAnsi="Garamond"/>
          <w:noProof/>
          <w:color w:val="000000" w:themeColor="text1"/>
          <w:sz w:val="24"/>
          <w:szCs w:val="24"/>
        </w:rPr>
        <w:t xml:space="preserve">to </w:t>
      </w:r>
      <w:r w:rsidR="00137C75" w:rsidRPr="00B10EBE">
        <w:rPr>
          <w:rFonts w:ascii="Garamond" w:hAnsi="Garamond"/>
          <w:noProof/>
          <w:color w:val="000000" w:themeColor="text1"/>
          <w:sz w:val="24"/>
          <w:szCs w:val="24"/>
        </w:rPr>
        <w:t>calculate</w:t>
      </w:r>
      <w:r w:rsidR="00B50D7C" w:rsidRPr="00B10EBE">
        <w:rPr>
          <w:rFonts w:ascii="Garamond" w:hAnsi="Garamond"/>
          <w:noProof/>
          <w:color w:val="000000" w:themeColor="text1"/>
          <w:sz w:val="24"/>
          <w:szCs w:val="24"/>
        </w:rPr>
        <w:t xml:space="preserve"> the dry season rainfall</w:t>
      </w:r>
      <w:r w:rsidR="00116E90"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{"citationID":"a1lbobgkmgo","properties":{"formattedCitation":"(Liebmann et al., 2012)","plainCitation":"(Liebmann et al., 2012)","noteIndex":0},"citationItems":[{"id":1773,"uris":["http://zotero.org/users/10686236/items/NILRRDRC"],"itemData":{"id":1773,"type":"article-journal","abstract":"A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dry periods. Chiefly, the summer monsoon spreads poleward from near the equator in both hemispheres, although in southern Africa the wet season progresses northwestward from the southeast coast. Composites relative to onset are constructed for selected points in West Africa and in the eastern Horn of Africa. In each case, onset is often preceded by the arrival of an eastward-propagating precipitation disturbance. Comparisons are made with the satellite-based Tropical Rainfall Measuring Mission (TRMM) and gauge-based Famine Early Warning System (FEWS NET) datasets. GPCP estimates are generally higher than TRMM in the wettest parts of Africa, but the timing of the annual cycle and average onset dates are largely consistent.","container-title":"Journal of Climate","DOI":"10.1175/JCLI-D-11-00157.1","ISSN":"08948755","issue":"12","note":"ISBN: 0894-8755","page":"4304-4322","title":"Seasonality of African precipitation from 1996 to 2009","volume":"25","author":[{"family":"Liebmann","given":"Brant"},{"family":"Bladé","given":"Ileana"},{"family":"Kiladis","given":"George N."},{"family":"Carvalho","given":"Leila M V"},{"family":"Senay","given":"Gabriel B."},{"family":"Allured","given":"Dave"},{"family":"Leroux","given":"Stephanie"},{"family":"Funk","given":"Chris"}],"issued":{"date-parts":[["2012"]]}}}],"schema":"https://github.com/citation-style-language/schema/raw/master/csl-citation.json"}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(Liebmann et al., 2012)</w:t>
      </w:r>
      <w:r w:rsidR="00A95CD4" w:rsidRPr="00B10EBE">
        <w:rPr>
          <w:rFonts w:ascii="Garamond" w:hAnsi="Garamond"/>
          <w:noProof/>
          <w:color w:val="000000" w:themeColor="text1"/>
          <w:sz w:val="24"/>
          <w:szCs w:val="24"/>
        </w:rPr>
        <w:fldChar w:fldCharType="end"/>
      </w:r>
      <w:r w:rsidR="00B50D7C" w:rsidRPr="00B10EBE">
        <w:rPr>
          <w:rFonts w:ascii="Garamond" w:hAnsi="Garamond"/>
          <w:noProof/>
          <w:color w:val="000000" w:themeColor="text1"/>
          <w:sz w:val="24"/>
          <w:szCs w:val="24"/>
        </w:rPr>
        <w:t xml:space="preserve">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2</w:t>
      </w:r>
      <w:r w:rsidR="00B50D7C" w:rsidRPr="00B10EBE">
        <w:rPr>
          <w:rFonts w:ascii="Garamond" w:hAnsi="Garamond"/>
          <w:noProof/>
          <w:color w:val="000000" w:themeColor="text1"/>
          <w:sz w:val="24"/>
          <w:szCs w:val="24"/>
        </w:rPr>
        <w:t>).</w:t>
      </w:r>
      <w:r w:rsidR="002C1595" w:rsidRPr="00B10EBE">
        <w:rPr>
          <w:rFonts w:ascii="Garamond" w:hAnsi="Garamond"/>
          <w:color w:val="000000" w:themeColor="text1"/>
          <w:sz w:val="27"/>
          <w:szCs w:val="27"/>
        </w:rPr>
        <w:t xml:space="preserve"> </w:t>
      </w:r>
      <w:r w:rsidR="002C1595" w:rsidRPr="00B10EBE">
        <w:rPr>
          <w:rFonts w:ascii="Garamond" w:hAnsi="Garamond"/>
          <w:noProof/>
          <w:color w:val="000000" w:themeColor="text1"/>
          <w:sz w:val="24"/>
          <w:szCs w:val="24"/>
        </w:rPr>
        <w:t xml:space="preserve">Uncertainty assessments based on mean absolute error have shown that CHIRPS data outperform many other products, including both those that incorporate gauge stations and those that do not, as well as reanalysis data </w:t>
      </w:r>
      <w:r w:rsidR="002C1595"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{"citationID":"admsss765q","properties":{"formattedCitation":"(Beck et al., 2017; Funk et al., 2015)","plainCitation":"(Beck et al., 2017; Funk et al., 2015)","noteIndex":0},"citationItems":[{"id":1492,"uris":["http://zotero.org/users/10686236/items/A2F9P3AJ"],"itemData":{"id":1492,"type":"article-journal","abstract":"We undertook a comprehensive evaluation of 22 gridded (quasi-)global (sub-)daily precipitation (P) datasets for the period 2000–2016. Thirteen non-gauge-corrected P datasets were evaluated using daily P gauge observations from 76 086 gauges worldwide. Another nine gauge-corrected datasets were evaluated using hydrological modeling, by calibrating the HBV conceptual model against streamflow records for each of 9053 small to medium-sized ( &lt; 50 000 km2) catchments worldwide, and comparing the resulting performance. Marked differences in spatio-temporal patterns and accuracy were found among the datasets. Among the uncorrected P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P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P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P dataset selection in both research and operational applications. The good performance of MSWEP emphasizes that careful data merging can exploit the complementary strengths of gauge-, satellite-, and reanalysis-based P estimates.","container-title":"Hydrology and Earth System Sciences","DOI":"10.5194/hess-21-6201-2017","ISSN":"16077938","issue":"12","page":"6201-6217","title":"Global-scale evaluation of 22 precipitation datasets using gauge observations and hydrological modeling","volume":"21","author":[{"family":"Beck","given":"Hylke E."},{"family":"Vergopolan","given":"Noemi"},{"family":"Pan","given":"Ming"},{"family":"Levizzani","given":"Vincenzo"},{"family":"Van Dijk","given":"Albert I.J.M."},{"family":"Weedon","given":"Graham P."},{"family":"Brocca","given":"Luca"},{"family":"Pappenberger","given":"Florian"},{"family":"Huffman","given":"George J."},{"family":"Wood","given":"Eric F."}],"issued":{"date-parts":[["2017"]]}}},{"id":1085,"uris":["http://zotero.org/users/10686236/items/5YJMEDES"],"itemData":{"id":1085,"type":"article-journal","abstract":"The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Ethiopia.","container-title":"Scientific Data","DOI":"10.1038/sdata.2015.66","ISSN":"2052-4463","note":"PMID: 26646728\narXiv: 1011.1669v3\nISBN: 0034-4257","page":"150066","title":"The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schema":"https://github.com/citation-style-language/schema/raw/master/csl-citation.json"} </w:instrText>
      </w:r>
      <w:r w:rsidR="002C1595" w:rsidRPr="00B10EBE">
        <w:rPr>
          <w:rFonts w:ascii="Garamond" w:hAnsi="Garamond"/>
          <w:noProof/>
          <w:color w:val="000000" w:themeColor="text1"/>
          <w:sz w:val="24"/>
          <w:szCs w:val="24"/>
        </w:rPr>
        <w:fldChar w:fldCharType="separate"/>
      </w:r>
      <w:r w:rsidR="00D570F9" w:rsidRPr="00B10EBE">
        <w:rPr>
          <w:rFonts w:ascii="Garamond" w:hAnsi="Garamond"/>
          <w:color w:val="000000" w:themeColor="text1"/>
          <w:sz w:val="24"/>
        </w:rPr>
        <w:t>(Beck et al., 2017; Funk et al., 2015)</w:t>
      </w:r>
      <w:r w:rsidR="002C1595" w:rsidRPr="00B10EBE">
        <w:rPr>
          <w:rFonts w:ascii="Garamond" w:hAnsi="Garamond"/>
          <w:noProof/>
          <w:color w:val="000000" w:themeColor="text1"/>
          <w:sz w:val="24"/>
          <w:szCs w:val="24"/>
        </w:rPr>
        <w:fldChar w:fldCharType="end"/>
      </w:r>
      <w:r w:rsidR="002C1595" w:rsidRPr="00B10EBE">
        <w:rPr>
          <w:rFonts w:ascii="Garamond" w:hAnsi="Garamond"/>
          <w:noProof/>
          <w:color w:val="000000" w:themeColor="text1"/>
          <w:sz w:val="24"/>
          <w:szCs w:val="24"/>
        </w:rPr>
        <w:t>.</w:t>
      </w:r>
      <w:r w:rsidR="0053756E" w:rsidRPr="00B10EBE">
        <w:rPr>
          <w:rFonts w:ascii="Garamond" w:hAnsi="Garamond"/>
          <w:noProof/>
          <w:color w:val="000000" w:themeColor="text1"/>
          <w:sz w:val="24"/>
          <w:szCs w:val="24"/>
        </w:rPr>
        <w:t xml:space="preserve"> </w:t>
      </w:r>
      <w:r w:rsidR="00B50D7C" w:rsidRPr="00B10EBE">
        <w:rPr>
          <w:rFonts w:ascii="Garamond" w:hAnsi="Garamond"/>
          <w:noProof/>
          <w:color w:val="000000" w:themeColor="text1"/>
          <w:sz w:val="24"/>
          <w:szCs w:val="24"/>
        </w:rPr>
        <w:t>T</w:t>
      </w:r>
      <w:r w:rsidR="008403A0" w:rsidRPr="00B10EBE">
        <w:rPr>
          <w:rFonts w:ascii="Garamond" w:hAnsi="Garamond"/>
          <w:noProof/>
          <w:color w:val="000000" w:themeColor="text1"/>
          <w:sz w:val="24"/>
          <w:szCs w:val="24"/>
        </w:rPr>
        <w:t xml:space="preserve">emperature data were obtained from the Climatologies at High resolution for the Earth’s Land Surface Areas (CHELSA </w:t>
      </w:r>
      <w:r w:rsidR="0091220A" w:rsidRPr="00B10EBE">
        <w:rPr>
          <w:rFonts w:ascii="Garamond" w:hAnsi="Garamond"/>
          <w:noProof/>
          <w:color w:val="000000" w:themeColor="text1"/>
          <w:sz w:val="24"/>
          <w:szCs w:val="24"/>
        </w:rPr>
        <w:t>v</w:t>
      </w:r>
      <w:r w:rsidR="008403A0" w:rsidRPr="00B10EBE">
        <w:rPr>
          <w:rFonts w:ascii="Garamond" w:hAnsi="Garamond"/>
          <w:noProof/>
          <w:color w:val="000000" w:themeColor="text1"/>
          <w:sz w:val="24"/>
          <w:szCs w:val="24"/>
        </w:rPr>
        <w:t>2.1)</w:t>
      </w:r>
      <w:r w:rsidR="006622AD"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{"citationID":"a1m2n6m9mp1","properties":{"formattedCitation":"(Karger et al., 2017)","plainCitation":"(Karger et al., 2017)","noteIndex":0},"citationItems":[{"id":1876,"uris":["http://zotero.org/users/10686236/items/NRD9PCBK"],"itemData":{"id":1876,"type":"article-journal","abstract":"High-resolution information on climatic conditions is essential to many applications in environmental and ecological sciences. Here we present the CHELSA (Climatologies at high resolution for the earth's land surface areas) data of downscaled model output temperature and precipitation estimates of the ERA-Interim climatic reanalysis to a high resolution of 30 arc sec. The temperature algorithm is based on statistical downscaling of atmospheric temperatures. The precipitation algorithm incorporates orographic predictors including wind fields, valley exposition, and boundary layer height, with a subsequent bias correction. The resulting data consist of a monthly temperature and precipitation climatology for the years 1979-2013. We compare the data derived from the CHELSA algorithm with other standard gridded products and station data from the Global Historical Climate Network. We compare the performance of the new climatologies in species distribution modelling and show that we can increase the accuracy of species range predictions. We further show that CHELSA climatological data has a similar accuracy as other products for temperature, but that its predictions of precipitation patterns are better.","container-title":"Scientific Data","DOI":"10.1038/sdata.2017.122","ISSN":"20524463","note":"PMID: 28872642\narXiv: 1607.00217\npublisher: The Author(s)","page":"1-20","title":"Climatologies at high resolution for the earth's land surface areas","volume":"4","author":[{"family":"Karger","given":"Dirk Nikolaus"},{"family":"Conrad","given":"Olaf"},{"family":"Böhner","given":"Jürgen"},{"family":"Kawohl","given":"Tobias"},{"family":"Kreft","given":"Holger"},{"family":"Soria-Auza","given":"Rodrigo Wilber"},{"family":"Zimmermann","given":"Niklaus E."},{"family":"Linder","given":"H. Peter"},{"family":"Kessler","given":"Michael"}],"issued":{"date-parts":[["2017"]]}}}],"schema":"https://github.com/citation-style-language/schema/raw/master/csl-citation.json"}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446120" w:rsidRPr="00B10EBE">
        <w:rPr>
          <w:rFonts w:ascii="Garamond" w:hAnsi="Garamond"/>
          <w:color w:val="000000" w:themeColor="text1"/>
          <w:sz w:val="24"/>
          <w:szCs w:val="24"/>
        </w:rPr>
        <w:t>(Karger et al., 2017)</w:t>
      </w:r>
      <w:r w:rsidR="00446120"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w:t>
      </w:r>
      <w:r w:rsidR="00645229" w:rsidRPr="00B10EBE">
        <w:rPr>
          <w:rFonts w:ascii="Garamond" w:hAnsi="Garamond"/>
          <w:noProof/>
          <w:color w:val="000000" w:themeColor="text1"/>
          <w:sz w:val="24"/>
          <w:szCs w:val="24"/>
        </w:rPr>
        <w:t xml:space="preserve"> </w:t>
      </w:r>
      <w:r w:rsidR="00EA6FA4" w:rsidRPr="00B10EBE">
        <w:rPr>
          <w:rFonts w:ascii="Garamond" w:hAnsi="Garamond"/>
          <w:iCs/>
          <w:color w:val="000000" w:themeColor="text1"/>
          <w:sz w:val="24"/>
          <w:szCs w:val="24"/>
        </w:rPr>
        <w:t xml:space="preserve">Compared to the deprecated v1.2 version, CHELSA v2.1 replaces ERA-Interim with ERA5 reanalysis atmospheric temperature as input. This shift introduced a change in the lapse rate calculation, now based on pressure levels between 950-850 </w:t>
      </w:r>
      <w:proofErr w:type="spellStart"/>
      <w:r w:rsidR="00EA6FA4" w:rsidRPr="00B10EBE">
        <w:rPr>
          <w:rFonts w:ascii="Garamond" w:hAnsi="Garamond"/>
          <w:iCs/>
          <w:color w:val="000000" w:themeColor="text1"/>
          <w:sz w:val="24"/>
          <w:szCs w:val="24"/>
        </w:rPr>
        <w:t>hPa</w:t>
      </w:r>
      <w:proofErr w:type="spellEnd"/>
      <w:r w:rsidR="00EA6FA4" w:rsidRPr="00B10EBE">
        <w:rPr>
          <w:rFonts w:ascii="Garamond" w:hAnsi="Garamond"/>
          <w:iCs/>
          <w:color w:val="000000" w:themeColor="text1"/>
          <w:sz w:val="24"/>
          <w:szCs w:val="24"/>
        </w:rPr>
        <w:t xml:space="preserve"> rather than across the entire atmosphere</w:t>
      </w:r>
      <w:r w:rsidR="00645229" w:rsidRPr="00B10EBE">
        <w:rPr>
          <w:rFonts w:ascii="Garamond" w:hAnsi="Garamond"/>
          <w:noProof/>
          <w:color w:val="000000" w:themeColor="text1"/>
          <w:sz w:val="24"/>
          <w:szCs w:val="24"/>
        </w:rPr>
        <w:t xml:space="preserve"> </w:t>
      </w:r>
      <w:r w:rsidR="00645229" w:rsidRPr="00B10EBE">
        <w:rPr>
          <w:rFonts w:ascii="Garamond" w:hAnsi="Garamond"/>
          <w:iCs/>
          <w:color w:val="000000" w:themeColor="text1"/>
          <w:sz w:val="24"/>
          <w:szCs w:val="24"/>
        </w:rPr>
        <w:fldChar w:fldCharType="begin" w:fldLock="1"/>
      </w:r>
      <w:r w:rsidR="009E0EBA" w:rsidRPr="00B10EBE">
        <w:rPr>
          <w:rFonts w:ascii="Garamond" w:hAnsi="Garamond"/>
          <w:iCs/>
          <w:color w:val="000000" w:themeColor="text1"/>
          <w:sz w:val="24"/>
          <w:szCs w:val="24"/>
        </w:rPr>
        <w:instrText xml:space="preserve"> ADDIN ZOTERO_ITEM CSL_CITATION {"citationID":"VUklXRjw","properties":{"formattedCitation":"(Karger et al., 2021)","plainCitation":"(Karger et al., 2021)","noteIndex":0},"citationItems":[{"id":"KrHUUWSG/ShzF6MUq","uris":["http://www.mendeley.com/documents/?uuid=6fb75d6c-d64c-4024-a933-e62d807c6be3"],"itemData":{"abstract":"High resolution information of climatic conditions is essential to many application in environmental sciences. Here we present the CHELSA algorithm to downscale temperature and precipitation estimates from the European Centre for Medium-Range Weather Forecast (ECMWF) climatic reanalysis interim (ERA-Interim) to a high resolution of 30 arc sec. The algorithm for temperature is based on a statistical downscaling of atmospheric temperature from the ERA-Interim climatic reanalysis. The precipitation algorithm incorporates orographic predictors such as wind fields, valley exposition, and boundary layer height, and a bias correction using Global Precipitation Climatology Center (GPCC) gridded and Global Historical Climate Network (GHCN) station data. The resulting data consist of a monthly temperature and precipitation climatology for the years 1979-2013. We present a comparison of data derived from the CHELSA algorithm with two other high resolution gridded products with overlapping temporal resolution (Tropical Rain Measuring Mission (TRMM) for precipitation, Moderate Resolution Imaging Spectroradiometer (MODIS) for temperature) and station data from the Global Historical Climate Network (GHCN). We show that the climatological data from CHELSA has a similar accuracy to other products for temperature, but that the predictions of orographic precipitation patterns are both better and at a high spatial resolution.","author":[{"dropping-particle":"","family":"Karger","given":"D.N.","non-dropping-particle":"","parse-names":false,"suffix":""},{"dropping-particle":"","family":"Conrad","given":"O.","non-dropping-particle":"","parse-names":false,"suffix":""},{"dropping-particle":"","family":"Böhner","given":"J.","non-dropping-particle":"","parse-names":false,"suffix":""},{"dropping-particle":"","family":"Kawohl","given":"T.","non-dropping-particle":"","parse-names":false,"suffix":""},{"dropping-particle":"","family":"Kreft","given":"H.","non-dropping-particle":"","parse-names":false,"suffix":""},{"dropping-particle":"","family":"Soria-Auza","given":"R.W.","non-dropping-particle":"","parse-names":false,"suffix":""},{"dropping-particle":"","family":"Zimmermann","given":"N.","non-dropping-particle":"","parse-names":false,"suffix":""},{"dropping-particle":"","family":"Linder","given":"H.P.","non-dropping-particle":"","parse-names":false,"suffix":""},{"dropping-particle":"","family":"Kessler","given":"M.","non-dropping-particle":"","parse-names":false,"suffix":""}],"container-title":"CHELSA V2.1: Technical specification","id":"ITEM-1","issued":{"date-parts":[["2021"]]},"number-of-pages":"1-16","title":"Climatologies at high resolution for the Earth land surface areas","type":"report"}}],"schema":"https://github.com/citation-style-language/schema/raw/master/csl-citation.json"} </w:instrText>
      </w:r>
      <w:r w:rsidR="00645229" w:rsidRPr="00B10EBE">
        <w:rPr>
          <w:rFonts w:ascii="Garamond" w:hAnsi="Garamond"/>
          <w:iCs/>
          <w:color w:val="000000" w:themeColor="text1"/>
          <w:sz w:val="24"/>
          <w:szCs w:val="24"/>
        </w:rPr>
        <w:fldChar w:fldCharType="separate"/>
      </w:r>
      <w:r w:rsidR="00D570F9" w:rsidRPr="00B10EBE">
        <w:rPr>
          <w:rFonts w:ascii="Garamond" w:hAnsi="Garamond"/>
          <w:iCs/>
          <w:noProof/>
          <w:color w:val="000000" w:themeColor="text1"/>
          <w:sz w:val="24"/>
          <w:szCs w:val="24"/>
        </w:rPr>
        <w:t>(Karger et al., 2021)</w:t>
      </w:r>
      <w:r w:rsidR="00645229" w:rsidRPr="00B10EBE">
        <w:rPr>
          <w:rFonts w:ascii="Garamond" w:hAnsi="Garamond"/>
          <w:iCs/>
          <w:color w:val="000000" w:themeColor="text1"/>
          <w:sz w:val="24"/>
          <w:szCs w:val="24"/>
        </w:rPr>
        <w:fldChar w:fldCharType="end"/>
      </w:r>
      <w:r w:rsidR="00645229" w:rsidRPr="00B10EBE">
        <w:rPr>
          <w:rFonts w:ascii="Garamond" w:hAnsi="Garamond"/>
          <w:noProof/>
          <w:color w:val="000000" w:themeColor="text1"/>
          <w:sz w:val="24"/>
          <w:szCs w:val="24"/>
        </w:rPr>
        <w:t>.</w:t>
      </w:r>
      <w:r w:rsidR="00EA6FA4" w:rsidRPr="00B10EBE">
        <w:rPr>
          <w:rFonts w:ascii="Garamond" w:hAnsi="Garamond"/>
          <w:color w:val="000000" w:themeColor="text1"/>
          <w:sz w:val="27"/>
          <w:szCs w:val="27"/>
        </w:rPr>
        <w:t xml:space="preserve"> </w:t>
      </w:r>
      <w:r w:rsidR="00EA6FA4" w:rsidRPr="00B10EBE">
        <w:rPr>
          <w:rFonts w:ascii="Garamond" w:hAnsi="Garamond"/>
          <w:noProof/>
          <w:color w:val="000000" w:themeColor="text1"/>
          <w:sz w:val="24"/>
          <w:szCs w:val="24"/>
        </w:rPr>
        <w:t xml:space="preserve">While this change may affect high-altitude regions where temperature gradients are steeper, it is unlikely to influence the results for low-altitude areas, such as the grasslands investigated here, where temperature variation with elevation is less pronounced. Validation exercises have shown that CHELSA v2.1 achieves similar accuracy to other global temperature products </w:t>
      </w:r>
      <w:r w:rsidR="00EA6FA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{"citationID":"q1UK3jHU","properties":{"formattedCitation":"(Karger et al., 2017)","plainCitation":"(Karger et al., 2017)","noteIndex":0},"citationItems":[{"id":1876,"uris":["http://zotero.org/users/10686236/items/NRD9PCBK"],"itemData":{"id":1876,"type":"article-journal","abstract":"High-resolution information on climatic conditions is essential to many applications in environmental and ecological sciences. Here we present the CHELSA (Climatologies at high resolution for the earth's land surface areas) data of downscaled model output temperature and precipitation estimates of the ERA-Interim climatic reanalysis to a high resolution of 30 arc sec. The temperature algorithm is based on statistical downscaling of atmospheric temperatures. The precipitation algorithm incorporates orographic predictors including wind fields, valley exposition, and boundary layer height, with a subsequent bias correction. The resulting data consist of a monthly temperature and precipitation climatology for the years 1979-2013. We compare the data derived from the CHELSA algorithm with other standard gridded products and station data from the Global Historical Climate Network. We compare the performance of the new climatologies in species distribution modelling and show that we can increase the accuracy of species range predictions. We further show that CHELSA climatological data has a similar accuracy as other products for temperature, but that its predictions of precipitation patterns are better.","container-title":"Scientific Data","DOI":"10.1038/sdata.2017.122","ISSN":"20524463","note":"PMID: 28872642\narXiv: 1607.00217\npublisher: The Author(s)","page":"1-20","title":"Climatologies at high resolution for the earth's land surface areas","volume":"4","author":[{"family":"Karger","given":"Dirk Nikolaus"},{"family":"Conrad","given":"Olaf"},{"family":"Böhner","given":"Jürgen"},{"family":"Kawohl","given":"Tobias"},{"family":"Kreft","given":"Holger"},{"family":"Soria-Auza","given":"Rodrigo Wilber"},{"family":"Zimmermann","given":"Niklaus E."},{"family":"Linder","given":"H. Peter"},{"family":"Kessler","given":"Michael"}],"issued":{"date-parts":[["2017"]]}}}],"schema":"https://github.com/citation-style-language/schema/raw/master/csl-citation.json"} </w:instrText>
      </w:r>
      <w:r w:rsidR="00EA6FA4" w:rsidRPr="00B10EBE">
        <w:rPr>
          <w:rFonts w:ascii="Garamond" w:hAnsi="Garamond"/>
          <w:noProof/>
          <w:color w:val="000000" w:themeColor="text1"/>
          <w:sz w:val="24"/>
          <w:szCs w:val="24"/>
        </w:rPr>
        <w:fldChar w:fldCharType="separate"/>
      </w:r>
      <w:r w:rsidR="00EA6FA4" w:rsidRPr="00B10EBE">
        <w:rPr>
          <w:rFonts w:ascii="Garamond" w:hAnsi="Garamond"/>
          <w:color w:val="000000" w:themeColor="text1"/>
          <w:sz w:val="24"/>
          <w:szCs w:val="24"/>
        </w:rPr>
        <w:t>(Karger et al., 2017)</w:t>
      </w:r>
      <w:r w:rsidR="00EA6FA4" w:rsidRPr="00B10EBE">
        <w:rPr>
          <w:rFonts w:ascii="Garamond" w:hAnsi="Garamond"/>
          <w:noProof/>
          <w:color w:val="000000" w:themeColor="text1"/>
          <w:sz w:val="24"/>
          <w:szCs w:val="24"/>
        </w:rPr>
        <w:fldChar w:fldCharType="end"/>
      </w:r>
      <w:r w:rsidR="00EA6FA4" w:rsidRPr="00B10EBE">
        <w:rPr>
          <w:rFonts w:ascii="Garamond" w:hAnsi="Garamond"/>
          <w:noProof/>
          <w:color w:val="000000" w:themeColor="text1"/>
          <w:sz w:val="24"/>
          <w:szCs w:val="24"/>
        </w:rPr>
        <w:t>.</w:t>
      </w:r>
      <w:r w:rsidR="00645229"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Monthly data from daily means of synoptic hourly temperature at 2 metres were converted from Kelvin to Celsius and </w:t>
      </w:r>
      <w:r w:rsidR="00291E50" w:rsidRPr="00B10EBE">
        <w:rPr>
          <w:rFonts w:ascii="Garamond" w:hAnsi="Garamond"/>
          <w:noProof/>
          <w:color w:val="000000" w:themeColor="text1"/>
          <w:sz w:val="24"/>
          <w:szCs w:val="24"/>
        </w:rPr>
        <w:t>then</w:t>
      </w:r>
      <w:r w:rsidR="008403A0" w:rsidRPr="00B10EBE">
        <w:rPr>
          <w:rFonts w:ascii="Garamond" w:hAnsi="Garamond"/>
          <w:noProof/>
          <w:color w:val="000000" w:themeColor="text1"/>
          <w:sz w:val="24"/>
          <w:szCs w:val="24"/>
        </w:rPr>
        <w:t xml:space="preserve"> averaged to produce annual mean composites.</w:t>
      </w:r>
      <w:r w:rsidR="00645229" w:rsidRPr="00B10EBE">
        <w:rPr>
          <w:rFonts w:ascii="Garamond" w:hAnsi="Garamond"/>
          <w:noProof/>
          <w:color w:val="000000" w:themeColor="text1"/>
          <w:sz w:val="24"/>
          <w:szCs w:val="24"/>
        </w:rPr>
        <w:t xml:space="preserve"> </w:t>
      </w:r>
      <w:r w:rsidR="008F09DC" w:rsidRPr="00B10EBE">
        <w:rPr>
          <w:rFonts w:ascii="Garamond" w:hAnsi="Garamond"/>
          <w:noProof/>
          <w:color w:val="000000" w:themeColor="text1"/>
          <w:sz w:val="24"/>
          <w:szCs w:val="24"/>
        </w:rPr>
        <w:t>Soil moisture data were taken from the ESA CCI program</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{"citationID":"VL4qPSEw","properties":{"formattedCitation":"(Dorigo et al., 2017)","plainCitation":"(Dorigo et al., 2017)","noteIndex":0},"citationItems":[{"id":834,"uris":["http://zotero.org/users/10686236/items/L99HNXGN"],"itemData":{"id":834,"type":"article-journal","abstract":"Climate Data Records of soil moisture are fundamental for improving our understanding of long-term dynamics in the coupled water, energy, and carbon cycles over land. To respond to this need, in 2012 the European Space Agency (ESA) released the first multi-decadal, global satellite-observed soil moisture (SM) dataset as part of its Climate Change Initiative (CCI) program. This product, named ESA CCI SM, combines various single-sensor active and passive microwave soil moisture products into three harmonised products: a merged ACTIVE, a merged PASSIVE, and a COMBINED active + passive microwave product. Compared to the first product release, the latest version of ESA CCI SM includes a large number of enhancements, incorporates various new satellite sensors, and extends its temporal coverage to the period 1978–2015. In this study, we first provide a comprehensive overview of the characteristics, evolution, and performance of the ESA CCI SM products. Based on original research and a review of existing literature we show that the product quality has steadily increased with each successive release and that the merged products generally outperform the single-sensor input products. Although ESA CCI SM generally agrees well with the spatial and temporal patterns estimated by land surface models and observed in-situ, we identify surface conditions (e.g., dense vegetation, organic soils) for which it still has large uncertainties. Second, capitalising on the results of &gt; 100 research studies that made use of the ESA CCI SM data we provide a synopsis of how it has contributed to improved process understanding in the following Earth system domains: climate variability and change, land-atmosphere interactions, global biogeochemical cycles and ecology, hydrological and land surface modelling, drought applications, and meteorology. While in some disciplines the use of ESA CCI SM is already widespread (e.g. in the evaluation of model soil moisture states) in others (e.g. in numerical weather prediction or flood forecasting) it is still in its infancy. The latter is partly related to current shortcomings of the product, e.g., the lack of near-real-time availability and data gaps in time and space. This study discloses the discrepancies between current ESA CCI SM product characteristics and the preferred characteristics of long-term satellite soil moisture products as outlined by the Global Climate Observing System (GCOS), and provides important directions for future ESA CCI SM product improvements to bridge these gaps.","container-title":"Remote Sensing of Environment","DOI":"10.1016/j.rse.2017.07.001","ISSN":"00344257","note":"publisher: Elsevier Inc.\nISBN: 1588011224","page":"185-215","title":"ESA CCI Soil Moisture for improved Earth system understanding: State-of-the art and future directions","volume":"203","author":[{"family":"Dorigo","given":"Wouter"},{"family":"Wagner","given":"Wolfgang"},{"family":"Albergel","given":"Clement"},{"family":"Albrecht","given":"Franziska"},{"family":"Balsamo","given":"Gianpaolo"},{"family":"Brocca","given":"Luca"},{"family":"Chung","given":"Daniel"},{"family":"Ertl","given":"Martin"},{"family":"Forkel","given":"Matthias"},{"family":"Gruber","given":"Alexander"},{"family":"Haas","given":"Eva"},{"family":"Hamer","given":"Paul D."},{"family":"Hirschi","given":"Martin"},{"family":"Ikonen","given":"Jaakko"},{"family":"Jeu","given":"Richard","non-dropping-particle":"de"},{"family":"Kidd","given":"Richard"},{"family":"Lahoz","given":"William"},{"family":"Liu","given":"Yi Y."},{"family":"Miralles","given":"Diego"},{"family":"Mistelbauer","given":"Thomas"},{"family":"Nicolai-Shaw","given":"Nadine"},{"family":"Parinussa","given":"Robert"},{"family":"Pratola","given":"Chiara"},{"family":"Reimer","given":"Christoph"},{"family":"Schalie","given":"Robin","non-dropping-particle":"van der"},{"family":"Seneviratne","given":"Sonia I."},{"family":"Smolander","given":"Tuomo"},{"family":"Lecomte","given":"Pascal"}],"issued":{"date-parts":[["2017"]]}}}],"schema":"https://github.com/citation-style-language/schema/raw/master/csl-citation.json"}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(Dorigo et al., 2017)</w:t>
      </w:r>
      <w:r w:rsidR="00A95CD4" w:rsidRPr="00B10EBE">
        <w:rPr>
          <w:rFonts w:ascii="Garamond" w:hAnsi="Garamond"/>
          <w:noProof/>
          <w:color w:val="000000" w:themeColor="text1"/>
          <w:sz w:val="24"/>
          <w:szCs w:val="24"/>
        </w:rPr>
        <w:fldChar w:fldCharType="end"/>
      </w:r>
      <w:r w:rsidR="008F09DC" w:rsidRPr="00B10EBE">
        <w:rPr>
          <w:rFonts w:ascii="Garamond" w:hAnsi="Garamond"/>
          <w:noProof/>
          <w:color w:val="000000" w:themeColor="text1"/>
          <w:sz w:val="24"/>
          <w:szCs w:val="24"/>
        </w:rPr>
        <w:t>. Produced as active, passive, and active-passive merged product, we used the merged product</w:t>
      </w:r>
      <w:r w:rsidR="00E92EB7" w:rsidRPr="00B10EBE">
        <w:rPr>
          <w:rFonts w:ascii="Garamond" w:hAnsi="Garamond"/>
          <w:noProof/>
          <w:color w:val="000000" w:themeColor="text1"/>
          <w:sz w:val="24"/>
          <w:szCs w:val="24"/>
        </w:rPr>
        <w:t xml:space="preserve"> (</w:t>
      </w:r>
      <w:r w:rsidR="0091220A" w:rsidRPr="00B10EBE">
        <w:rPr>
          <w:rFonts w:ascii="Garamond" w:hAnsi="Garamond"/>
          <w:noProof/>
          <w:color w:val="000000" w:themeColor="text1"/>
          <w:sz w:val="24"/>
          <w:szCs w:val="24"/>
        </w:rPr>
        <w:t>v</w:t>
      </w:r>
      <w:r w:rsidR="008F09DC" w:rsidRPr="00B10EBE">
        <w:rPr>
          <w:rFonts w:ascii="Garamond" w:hAnsi="Garamond"/>
          <w:noProof/>
          <w:color w:val="000000" w:themeColor="text1"/>
          <w:sz w:val="24"/>
          <w:szCs w:val="24"/>
        </w:rPr>
        <w:t>04.2</w:t>
      </w:r>
      <w:r w:rsidR="00E92EB7" w:rsidRPr="00B10EBE">
        <w:rPr>
          <w:rFonts w:ascii="Garamond" w:hAnsi="Garamond"/>
          <w:noProof/>
          <w:color w:val="000000" w:themeColor="text1"/>
          <w:sz w:val="24"/>
          <w:szCs w:val="24"/>
        </w:rPr>
        <w:t>)</w:t>
      </w:r>
      <w:r w:rsidR="008F09DC" w:rsidRPr="00B10EBE">
        <w:rPr>
          <w:rFonts w:ascii="Garamond" w:hAnsi="Garamond"/>
          <w:noProof/>
          <w:color w:val="000000" w:themeColor="text1"/>
          <w:sz w:val="24"/>
          <w:szCs w:val="24"/>
        </w:rPr>
        <w:t xml:space="preserve"> as it combines the advantages of active (better for averagely vegetated areas) and passive (preferable over sparse vegetation and at distinguishing between wet and dry soils) observations</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{"citationID":"a4ub96aidb","properties":{"formattedCitation":"(Gruber et al., 2019)","plainCitation":"(Gruber et al., 2019)","noteIndex":0},"citationItems":[{"id":161,"uris":["http://zotero.org/users/10686236/items/TAXYCZJF","http://zotero.org/users/10686236/items/2Z2AJ6XH"],"itemData":{"id":161,"type":"article-journal","abstract":"The European Space Agency's Climate Change Initiative for Soil Moisture (ESA CCI SM) merging algorithm generates consistent quality-controlled long-term (1978-2018) climate data records for soil moisture, which serves thousands of scientists and data users worldwide. It harmonises and merges soil moisture retrievals from multiple satellites into (i) an active-microwave-based-only product, (ii) a passive-microwave-based-only product and (iii) a combined active-passive product, which are sampled to daily global images on a 0.25 regular grid. Since its first release in 2012 the algorithm has undergone substantial improvements which have so far not been thoroughly reported in the scientific literature. This paper fills this gap by reviewing and discussing the science behind the three major ESA CCI SM merging algorithms, versions 2 (https://doi.org/10.5285/3729b3fbbb434930bf65d82f9b00111c; Wagner et al., 2018), 3 (https://doi.org/10.5285/b810601740bd4848b0d7965e6d83d26c; Dorigo et al., 2018) and 4 (https://doi.org/10.5285/dce27a397eaf47e797050c220972ca0e; Dorigo et al., 2019), and provides an outlook on the expected improvements planned for the next algorithm, version 5.","container-title":"Earth System Science Data","DOI":"10.5194/essd-11-717-2019","ISSN":"18663516","issue":"2","page":"717-739","title":"Evolution of the ESA CCI Soil Moisture climate data records and their underlying merging methodology","volume":"11","author":[{"family":"Gruber","given":"Alexander"},{"family":"Scanlon","given":"Tracy"},{"family":"Schalie","given":"Robin","non-dropping-particle":"van der"},{"family":"Wagner","given":"Wolfgang"},{"family":"Dorigo","given":"Wouter"}],"issued":{"date-parts":[["2019"]]}}}],"schema":"https://github.com/citation-style-language/schema/raw/master/csl-citation.json"}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C01A26" w:rsidRPr="00B10EBE">
        <w:rPr>
          <w:rFonts w:ascii="Garamond" w:hAnsi="Garamond"/>
          <w:color w:val="000000" w:themeColor="text1"/>
          <w:sz w:val="24"/>
          <w:szCs w:val="24"/>
        </w:rPr>
        <w:t>(Gruber et al., 2019)</w:t>
      </w:r>
      <w:r w:rsidR="00A95CD4" w:rsidRPr="00B10EBE">
        <w:rPr>
          <w:rFonts w:ascii="Garamond" w:hAnsi="Garamond"/>
          <w:noProof/>
          <w:color w:val="000000" w:themeColor="text1"/>
          <w:sz w:val="24"/>
          <w:szCs w:val="24"/>
        </w:rPr>
        <w:fldChar w:fldCharType="end"/>
      </w:r>
      <w:r w:rsidR="008F09DC" w:rsidRPr="00B10EBE">
        <w:rPr>
          <w:rFonts w:ascii="Garamond" w:hAnsi="Garamond"/>
          <w:noProof/>
          <w:color w:val="000000" w:themeColor="text1"/>
          <w:sz w:val="24"/>
          <w:szCs w:val="24"/>
        </w:rPr>
        <w:t>. We created annual soil moisture composites by summing only good quality daily data (i.e., pixels without issues) each year (m</w:t>
      </w:r>
      <w:r w:rsidR="008F09DC" w:rsidRPr="00B10EBE">
        <w:rPr>
          <w:rFonts w:ascii="Garamond" w:hAnsi="Garamond"/>
          <w:noProof/>
          <w:color w:val="000000" w:themeColor="text1"/>
          <w:sz w:val="24"/>
          <w:szCs w:val="24"/>
          <w:vertAlign w:val="superscript"/>
        </w:rPr>
        <w:t xml:space="preserve">3 </w:t>
      </w:r>
      <w:r w:rsidR="008F09DC" w:rsidRPr="00B10EBE">
        <w:rPr>
          <w:rFonts w:ascii="Garamond" w:hAnsi="Garamond"/>
          <w:noProof/>
          <w:color w:val="000000" w:themeColor="text1"/>
          <w:sz w:val="24"/>
          <w:szCs w:val="24"/>
        </w:rPr>
        <w:t>m</w:t>
      </w:r>
      <w:r w:rsidR="00115EEA" w:rsidRPr="00B10EBE">
        <w:rPr>
          <w:rFonts w:ascii="Garamond" w:hAnsi="Garamond"/>
          <w:noProof/>
          <w:color w:val="000000" w:themeColor="text1"/>
          <w:sz w:val="24"/>
          <w:szCs w:val="24"/>
          <w:vertAlign w:val="superscript"/>
        </w:rPr>
        <w:t>–</w:t>
      </w:r>
      <w:r w:rsidR="008F09DC" w:rsidRPr="00B10EBE">
        <w:rPr>
          <w:rFonts w:ascii="Garamond" w:hAnsi="Garamond"/>
          <w:noProof/>
          <w:color w:val="000000" w:themeColor="text1"/>
          <w:sz w:val="24"/>
          <w:szCs w:val="24"/>
          <w:vertAlign w:val="superscript"/>
        </w:rPr>
        <w:t>3</w:t>
      </w:r>
      <w:r w:rsidR="008F09DC" w:rsidRPr="00B10EBE">
        <w:rPr>
          <w:rFonts w:ascii="Garamond" w:hAnsi="Garamond"/>
          <w:noProof/>
          <w:color w:val="000000" w:themeColor="text1"/>
          <w:sz w:val="24"/>
          <w:szCs w:val="24"/>
        </w:rPr>
        <w:t>). Soil moisture data were used to assess the role of soil moisture on woody vegetation and the effect of moisture availability on fire</w:t>
      </w:r>
      <w:r w:rsidR="00446120"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{"citationID":"a2hoj3u1pb3","properties":{"formattedCitation":"(Lehmann et al., 2014)","plainCitation":"(Lehmann et al., 2014)","noteIndex":0},"citationItems":[{"id":362,"uris":["http://zotero.org/users/10686236/items/YCI8M36R"],"itemData":{"id":362,"type":"article-journal","abstract":"Ecologists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stocks.","container-title":"Science","DOI":"10.1126/science.1247355","ISSN":"0036-8075","issue":"6170","note":"PMID: 24482480\nISBN: 0036-8075","page":"548-552","title":"Savanna Vegetation-Fire-Climate Relationships Differ Among Continents","volume":"343","author":[{"family":"Lehmann","given":"C. E. R."},{"family":"Anderson","given":"T. M."},{"family":"Sankaran","given":"M."},{"family":"Higgins","given":"S. I."},{"family":"Archibald","given":"S."},{"family":"Hoffmann","given":"W. A."},{"family":"Hanan","given":"N. P."},{"family":"Williams","given":"R. J."},{"family":"Fensham","given":"R. J."},{"family":"Felfili","given":"J."},{"family":"Hutley","given":"L. B."},{"family":"Ratnam","given":"J."},{"family":"San Jose","given":"J."},{"family":"Montes","given":"R."},{"family":"Franklin","given":"D."},{"family":"Russell-Smith","given":"J."},{"family":"Ryan","given":"C. M."},{"family":"Durigan","given":"G."},{"family":"Hiernaux","given":"P."},{"family":"Haidar","given":"R."},{"family":"Bowman","given":"D. M. J. S."},{"family":"Bond","given":"W. J."}],"issued":{"date-parts":[["2014"]]}}}],"schema":"https://github.com/citation-style-language/schema/raw/master/csl-citation.json"}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 xml:space="preserve">(Lehmann et al., </w:t>
      </w:r>
      <w:r w:rsidR="002C4B35" w:rsidRPr="00B10EBE">
        <w:rPr>
          <w:rFonts w:ascii="Garamond" w:hAnsi="Garamond"/>
          <w:color w:val="000000" w:themeColor="text1"/>
          <w:sz w:val="24"/>
        </w:rPr>
        <w:lastRenderedPageBreak/>
        <w:t>2014)</w:t>
      </w:r>
      <w:r w:rsidR="00446120" w:rsidRPr="00B10EBE">
        <w:rPr>
          <w:rFonts w:ascii="Garamond" w:hAnsi="Garamond"/>
          <w:noProof/>
          <w:color w:val="000000" w:themeColor="text1"/>
          <w:sz w:val="24"/>
          <w:szCs w:val="24"/>
        </w:rPr>
        <w:fldChar w:fldCharType="end"/>
      </w:r>
      <w:r w:rsidR="008F09DC" w:rsidRPr="00B10EBE">
        <w:rPr>
          <w:rFonts w:ascii="Garamond" w:hAnsi="Garamond"/>
          <w:noProof/>
          <w:color w:val="000000" w:themeColor="text1"/>
          <w:sz w:val="24"/>
          <w:szCs w:val="24"/>
        </w:rPr>
        <w:t>.</w:t>
      </w:r>
      <w:r w:rsidR="00291E50"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The </w:t>
      </w:r>
      <w:r w:rsidR="009A7ECE" w:rsidRPr="00B10EBE">
        <w:rPr>
          <w:rFonts w:ascii="Garamond" w:hAnsi="Garamond"/>
          <w:noProof/>
          <w:color w:val="000000" w:themeColor="text1"/>
          <w:sz w:val="24"/>
          <w:szCs w:val="24"/>
        </w:rPr>
        <w:t>G</w:t>
      </w:r>
      <w:r w:rsidR="008403A0" w:rsidRPr="00B10EBE">
        <w:rPr>
          <w:rFonts w:ascii="Garamond" w:hAnsi="Garamond"/>
          <w:noProof/>
          <w:color w:val="000000" w:themeColor="text1"/>
          <w:sz w:val="24"/>
          <w:szCs w:val="24"/>
        </w:rPr>
        <w:t>ridded Populat</w:t>
      </w:r>
      <w:r w:rsidR="008E7660" w:rsidRPr="00B10EBE">
        <w:rPr>
          <w:rFonts w:ascii="Garamond" w:hAnsi="Garamond"/>
          <w:noProof/>
          <w:color w:val="000000" w:themeColor="text1"/>
          <w:sz w:val="24"/>
          <w:szCs w:val="24"/>
        </w:rPr>
        <w:t>ion of the World (GPW</w:t>
      </w:r>
      <w:r w:rsidR="0091220A" w:rsidRPr="00B10EBE">
        <w:rPr>
          <w:rFonts w:ascii="Garamond" w:hAnsi="Garamond"/>
          <w:noProof/>
          <w:color w:val="000000" w:themeColor="text1"/>
          <w:sz w:val="24"/>
          <w:szCs w:val="24"/>
        </w:rPr>
        <w:t>v</w:t>
      </w:r>
      <w:r w:rsidR="008E7660" w:rsidRPr="00B10EBE">
        <w:rPr>
          <w:rFonts w:ascii="Garamond" w:hAnsi="Garamond"/>
          <w:noProof/>
          <w:color w:val="000000" w:themeColor="text1"/>
          <w:sz w:val="24"/>
          <w:szCs w:val="24"/>
        </w:rPr>
        <w:t>4) dataset provides</w:t>
      </w:r>
      <w:r w:rsidR="008403A0" w:rsidRPr="00B10EBE">
        <w:rPr>
          <w:rFonts w:ascii="Garamond" w:hAnsi="Garamond"/>
          <w:noProof/>
          <w:color w:val="000000" w:themeColor="text1"/>
          <w:sz w:val="24"/>
          <w:szCs w:val="24"/>
        </w:rPr>
        <w:t xml:space="preserve"> spatially explicit global distribution of </w:t>
      </w:r>
      <w:r w:rsidR="000A568E" w:rsidRPr="00B10EBE">
        <w:rPr>
          <w:rFonts w:ascii="Garamond" w:hAnsi="Garamond"/>
          <w:noProof/>
          <w:color w:val="000000" w:themeColor="text1"/>
          <w:sz w:val="24"/>
          <w:szCs w:val="24"/>
        </w:rPr>
        <w:t xml:space="preserve">the </w:t>
      </w:r>
      <w:r w:rsidR="008403A0" w:rsidRPr="00B10EBE">
        <w:rPr>
          <w:rFonts w:ascii="Garamond" w:hAnsi="Garamond"/>
          <w:noProof/>
          <w:color w:val="000000" w:themeColor="text1"/>
          <w:sz w:val="24"/>
          <w:szCs w:val="24"/>
        </w:rPr>
        <w:t>human population</w:t>
      </w:r>
      <w:r w:rsidR="000A2E41" w:rsidRPr="00B10EBE">
        <w:rPr>
          <w:rFonts w:ascii="Garamond" w:hAnsi="Garamond"/>
          <w:noProof/>
          <w:color w:val="000000" w:themeColor="text1"/>
          <w:sz w:val="24"/>
          <w:szCs w:val="24"/>
        </w:rPr>
        <w:t xml:space="preserve"> </w:t>
      </w:r>
      <w:r w:rsidR="000A2E4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{"citationID":"vVxaTA3m","properties":{"formattedCitation":"(CIESIN, 2018)","plainCitation":"(CIESIN, 2018)","noteIndex":0},"citationItems":[{"id":239,"uris":["http://zotero.org/users/10686236/items/EC2FQSGX"],"itemData":{"id":239,"type":"report","event-place":"Palisades, NY","note":"container-title: Columbia University\nDOI: https://doi.org/10.7927/H45Q4T5F","page":"53pp","publisher":"NASA Socioeconomic Data and Applications Center (SEDAC)","publisher-place":"Palisades, NY","title":"Documentation for the Gridded Population of the World, Version 4 (GPWv4), Revision 11 Data Sets","author":[{"literal":"CIESIN"}],"issued":{"date-parts":[["2018"]]}}}],"schema":"https://github.com/citation-style-language/schema/raw/master/csl-citation.json"} </w:instrText>
      </w:r>
      <w:r w:rsidR="000A2E41"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(CIESIN, 2018)</w:t>
      </w:r>
      <w:r w:rsidR="000A2E41"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GPWv4 data do not rely on ancillary data sources (e.g., land cover, vegetation indices), thus precluding potential problems of collinearity with VOD</w:t>
      </w:r>
      <w:r w:rsidR="00446120"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{"citationID":"ag9bu6n3ct","properties":{"formattedCitation":"(Brandt et al., 2017)","plainCitation":"(Brandt et al., 2017)","noteIndex":0},"citationItems":[{"id":512,"uris":["http://zotero.org/users/10686236/items/5AK22UKI"],"itemData":{"id":512,"type":"article-journal","abstract":"The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Africa.","container-title":"Nature Ecology &amp; Evolution","DOI":"10.1038/s41559-017-0081","ISSN":"2397-334X","issue":"4","note":"publisher: Macmillan Publishers Limited, part of Springer Nature.","page":"0081","title":"Human population growth offsets climate-driven increase in woody vegetation in sub-Saharan Africa","volume":"1","author":[{"family":"Brandt","given":"Martin"},{"family":"Rasmussen","given":"Kjeld"},{"family":"Peñuelas","given":"Josep"},{"family":"Tian","given":"Feng"},{"family":"Schurgers","given":"Guy"},{"family":"Verger","given":"Aleixandre"},{"family":"Mertz","given":"Ole"},{"family":"Palmer","given":"John R. B."},{"family":"Fensholt","given":"Rasmus"}],"issued":{"date-parts":[["2017"]]}}}],"schema":"https://github.com/citation-style-language/schema/raw/master/csl-citation.json"}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(Brandt et al., 2017)</w:t>
      </w:r>
      <w:r w:rsidR="00446120"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w:t>
      </w:r>
      <w:r w:rsidR="00676D0F" w:rsidRPr="00B10EBE">
        <w:rPr>
          <w:rFonts w:ascii="Garamond" w:hAnsi="Garamond"/>
          <w:noProof/>
          <w:color w:val="000000" w:themeColor="text1"/>
          <w:sz w:val="24"/>
          <w:szCs w:val="24"/>
        </w:rPr>
        <w:t>W</w:t>
      </w:r>
      <w:r w:rsidR="008403A0" w:rsidRPr="00B10EBE">
        <w:rPr>
          <w:rFonts w:ascii="Garamond" w:hAnsi="Garamond"/>
          <w:noProof/>
          <w:color w:val="000000" w:themeColor="text1"/>
          <w:sz w:val="24"/>
          <w:szCs w:val="24"/>
        </w:rPr>
        <w:t>e used population density data (persons</w:t>
      </w:r>
      <w:r w:rsidR="00115EEA"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km</w:t>
      </w:r>
      <w:r w:rsidR="00115EEA" w:rsidRPr="00B10EBE">
        <w:rPr>
          <w:rFonts w:ascii="Garamond" w:hAnsi="Garamond"/>
          <w:noProof/>
          <w:color w:val="000000" w:themeColor="text1"/>
          <w:sz w:val="24"/>
          <w:szCs w:val="24"/>
          <w:vertAlign w:val="superscript"/>
        </w:rPr>
        <w:t>–</w:t>
      </w:r>
      <w:r w:rsidR="008403A0" w:rsidRPr="00B10EBE">
        <w:rPr>
          <w:rFonts w:ascii="Garamond" w:hAnsi="Garamond"/>
          <w:noProof/>
          <w:color w:val="000000" w:themeColor="text1"/>
          <w:sz w:val="24"/>
          <w:szCs w:val="24"/>
          <w:vertAlign w:val="superscript"/>
        </w:rPr>
        <w:t>2</w:t>
      </w:r>
      <w:r w:rsidR="008403A0" w:rsidRPr="00B10EBE">
        <w:rPr>
          <w:rFonts w:ascii="Garamond" w:hAnsi="Garamond"/>
          <w:noProof/>
          <w:color w:val="000000" w:themeColor="text1"/>
          <w:sz w:val="24"/>
          <w:szCs w:val="24"/>
        </w:rPr>
        <w:t>)</w:t>
      </w:r>
      <w:r w:rsidR="00A607DE"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adjusted to the 201</w:t>
      </w:r>
      <w:r w:rsidR="008E7660" w:rsidRPr="00B10EBE">
        <w:rPr>
          <w:rFonts w:ascii="Garamond" w:hAnsi="Garamond"/>
          <w:noProof/>
          <w:color w:val="000000" w:themeColor="text1"/>
          <w:sz w:val="24"/>
          <w:szCs w:val="24"/>
        </w:rPr>
        <w:t>5 revision of the United Nation</w:t>
      </w:r>
      <w:r w:rsidR="008403A0" w:rsidRPr="00B10EBE">
        <w:rPr>
          <w:rFonts w:ascii="Garamond" w:hAnsi="Garamond"/>
          <w:noProof/>
          <w:color w:val="000000" w:themeColor="text1"/>
          <w:sz w:val="24"/>
          <w:szCs w:val="24"/>
        </w:rPr>
        <w:t>s World Population Prospects to investigate the effect of people on woody vegetation and fire dynamics</w:t>
      </w:r>
      <w:r w:rsidR="00446120"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{"citationID":"a1vhti8fqfd","properties":{"formattedCitation":"(Archibald et al., 2010; Brandt et al., 2017)","plainCitation":"(Archibald et al., 2010; Brandt et al., 2017)","noteIndex":0},"citationItems":[{"id":360,"uris":["http://zotero.org/users/10686236/items/FWSEUBXA"],"itemData":{"id":360,"type":"article-journal","abstract":"Aim This study investigates inter-annual variability in burnt area in southern Africa and the extent to which climate is responsible for this variation. We compare data from long-term field sites across the region with remotely sensed burnt area data to test whether it is possible to develop a general model.Location Africa south of the equator.Methods Linear mixed effects models were used to determine the effect of rainfall, seasonality and fire weather in driving variation in fire extent between years, and to test whether the effect of these variables changes across the subcontinent and in areas more and less impacted by human activities.Results A simple model including rainfall and seasonality explained 40% of the variance in burnt area between years across 10 different protected areas on the subcontinent, but this model, when applied regionally, indicated that climate had less impact on year-to-year variation in burnt area than would be expected. It was possible to demonstrate that the relative importance of rainfall and seasonality changed as one moved from dry to wetter systems, but most noticeable was the reduction in climatically driven variability of fire outside protected areas. Inter-annual variability is associated with the occurrence of large fires, and large fires are only found in areas with low human impact.Main conclusions This research gives the first data-driven analysis of fire-climate interactions in southern Africa. The regional analysis shows that human impact on fire regimes is substantial and acts to limit the effect of climate in driving variation between years. This is in contrast to patterns in protected areas, where variation in accumulated rainfall and the length of the dry season influence the annual area burnt. Global models which assume strong links between fire and climate need to be re-assessed in systems with high human impact. © 2010 Blackwell Publishing Ltd.","container-title":"Global Ecology and Biogeography","DOI":"10.1111/j.1466-8238.2010.00568.x","ISSN":"1466822X","issue":"6","page":"794-809","title":"Climate and the inter-annual variability of fire in southern Africa: A meta-analysis using long-term field data and satellite-derived burnt area data","volume":"19","author":[{"family":"Archibald","given":"S."},{"family":"Nickless","given":"A."},{"family":"Govender","given":"N."},{"family":"Scholes","given":"R. J."},{"family":"Lehsten","given":"V."}],"issued":{"date-parts":[["2010"]]}}},{"id":512,"uris":["http://zotero.org/users/10686236/items/5AK22UKI"],"itemData":{"id":512,"type":"article-journal","abstract":"The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Africa.","container-title":"Nature Ecology &amp; Evolution","DOI":"10.1038/s41559-017-0081","ISSN":"2397-334X","issue":"4","note":"publisher: Macmillan Publishers Limited, part of Springer Nature.","page":"0081","title":"Human population growth offsets climate-driven increase in woody vegetation in sub-Saharan Africa","volume":"1","author":[{"family":"Brandt","given":"Martin"},{"family":"Rasmussen","given":"Kjeld"},{"family":"Peñuelas","given":"Josep"},{"family":"Tian","given":"Feng"},{"family":"Schurgers","given":"Guy"},{"family":"Verger","given":"Aleixandre"},{"family":"Mertz","given":"Ole"},{"family":"Palmer","given":"John R. B."},{"family":"Fensholt","given":"Rasmus"}],"issued":{"date-parts":[["2017"]]}}}],"schema":"https://github.com/citation-style-language/schema/raw/master/csl-citation.json"}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(Archibald et al., 2010; Brandt et al., 2017)</w:t>
      </w:r>
      <w:r w:rsidR="00446120"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A continuous</w:t>
      </w:r>
      <w:r w:rsidR="000042CD" w:rsidRPr="00B10EBE">
        <w:rPr>
          <w:rFonts w:ascii="Garamond" w:hAnsi="Garamond"/>
          <w:noProof/>
          <w:color w:val="000000" w:themeColor="text1"/>
          <w:sz w:val="24"/>
          <w:szCs w:val="24"/>
        </w:rPr>
        <w:t xml:space="preserve"> population density</w:t>
      </w:r>
      <w:r w:rsidR="008403A0" w:rsidRPr="00B10EBE">
        <w:rPr>
          <w:rFonts w:ascii="Garamond" w:hAnsi="Garamond"/>
          <w:noProof/>
          <w:color w:val="000000" w:themeColor="text1"/>
          <w:sz w:val="24"/>
          <w:szCs w:val="24"/>
        </w:rPr>
        <w:t xml:space="preserve"> time series was produced using the available data (i.e., 2000, 2005, 2010, 2015, and 2020) to interpolate missing years </w:t>
      </w:r>
      <w:r w:rsidR="000A2E4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{"citationID":"9DgMBNoF","properties":{"formattedCitation":"(Abel et al., 2020)","plainCitation":"(Abel et al., 2020)","noteIndex":0},"citationItems":[{"id":48,"uris":["http://zotero.org/users/10686236/items/58L39MV4"],"itemData":{"id":48,"type":"article-journal","abstract":"Global climate change is projected to lead to an increase in both the areal extent and degree of aridity in the world’s drylands. At the same time, the majority of drylands are located in developing countries where high population densities and rapid population growth place additional pressure on the ecosystem. Thus, drylands are particularly vulnerable to environmental changes and large-scale environmental degradation. However, little is known about the long-term functional response of vegetation to such changes induced by the interplay of complex human–environmental interactions. Here we use time series of satellite data to show how vegetation productivity in relation to water availability, which is a major aspect of vegetation functioning in tropical drylands, has changed over the past two decades. In total, one-third of tropical dryland ecosystems show significant (P</w:instrText>
      </w:r>
      <w:r w:rsidR="009E0EBA" w:rsidRPr="00B10EBE">
        <w:rPr>
          <w:noProof/>
          <w:color w:val="000000" w:themeColor="text1"/>
          <w:sz w:val="24"/>
          <w:szCs w:val="24"/>
        </w:rPr>
        <w:instrText> </w:instrText>
      </w:r>
      <w:r w:rsidR="009E0EBA" w:rsidRPr="00B10EBE">
        <w:rPr>
          <w:rFonts w:ascii="Garamond" w:hAnsi="Garamond"/>
          <w:noProof/>
          <w:color w:val="000000" w:themeColor="text1"/>
          <w:sz w:val="24"/>
          <w:szCs w:val="24"/>
        </w:rPr>
        <w:instrText>&lt;</w:instrText>
      </w:r>
      <w:r w:rsidR="009E0EBA" w:rsidRPr="00B10EBE">
        <w:rPr>
          <w:noProof/>
          <w:color w:val="000000" w:themeColor="text1"/>
          <w:sz w:val="24"/>
          <w:szCs w:val="24"/>
        </w:rPr>
        <w:instrText> </w:instrText>
      </w:r>
      <w:r w:rsidR="009E0EBA" w:rsidRPr="00B10EBE">
        <w:rPr>
          <w:rFonts w:ascii="Garamond" w:hAnsi="Garamond"/>
          <w:noProof/>
          <w:color w:val="000000" w:themeColor="text1"/>
          <w:sz w:val="24"/>
          <w:szCs w:val="24"/>
        </w:rPr>
        <w:instrText xml:space="preserve">0.05) changes in vegetation–rainfall sensitivity with pronounced differences between regions and continents. We identify population as the main driver of negative changes, especially for developing countries. This is contrasted by positive changes in vegetation–rainfall sensitivity in richer countries, probably resulting from favourable climatic conditions and/or caused by an intensification and expansion of human land management. Our results highlight geographic and economic differences in the relationship between vegetation–rainfall sensitivity and associated drivers in tropical drylands, marking an important step towards the identification, understanding and mitigation of potential negative effects from a changing world on ecosystems and human well-being.","container-title":"Nature Sustainability","DOI":"10.1038/s41893-020-00597-z","ISSN":"2398-9629","issue":"4","page":"25-32","title":"The human–environment nexus and vegetation–rainfall sensitivity in tropical drylands","author":[{"family":"Abel","given":"Christin"},{"family":"Horion","given":"Stéphanie"},{"family":"Tagesson","given":"Torbern"},{"family":"De Keersmaecker","given":"Wanda"},{"family":"Seddon","given":"Alistair W R"},{"family":"Abdi","given":"Abdulhakim M"},{"family":"Fensholt","given":"Rasmus"}],"issued":{"date-parts":[["2020"]]}}}],"schema":"https://github.com/citation-style-language/schema/raw/master/csl-citation.json"} </w:instrText>
      </w:r>
      <w:r w:rsidR="000A2E41"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(Abel et al., 2020)</w:t>
      </w:r>
      <w:r w:rsidR="000A2E41"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w:t>
      </w:r>
    </w:p>
    <w:p w14:paraId="377B2A6B" w14:textId="5347FEA3" w:rsidR="008403A0" w:rsidRPr="00B10EBE" w:rsidRDefault="008403A0" w:rsidP="0033343A">
      <w:pPr>
        <w:adjustRightInd w:val="0"/>
        <w:snapToGrid w:val="0"/>
        <w:ind w:left="0" w:firstLine="0"/>
        <w:jc w:val="both"/>
        <w:rPr>
          <w:rFonts w:ascii="Garamond" w:hAnsi="Garamond"/>
          <w:i/>
          <w:iCs/>
          <w:noProof/>
          <w:color w:val="000000" w:themeColor="text1"/>
          <w:sz w:val="24"/>
          <w:szCs w:val="24"/>
        </w:rPr>
      </w:pPr>
      <w:r w:rsidRPr="00B10EBE">
        <w:rPr>
          <w:rFonts w:ascii="Garamond" w:hAnsi="Garamond"/>
          <w:i/>
          <w:iCs/>
          <w:noProof/>
          <w:color w:val="000000" w:themeColor="text1"/>
          <w:sz w:val="24"/>
          <w:szCs w:val="24"/>
        </w:rPr>
        <w:t>2.3</w:t>
      </w:r>
      <w:r w:rsidRPr="00B10EBE">
        <w:rPr>
          <w:rFonts w:ascii="Garamond" w:hAnsi="Garamond"/>
          <w:i/>
          <w:iCs/>
          <w:noProof/>
          <w:color w:val="000000" w:themeColor="text1"/>
          <w:sz w:val="24"/>
          <w:szCs w:val="24"/>
        </w:rPr>
        <w:tab/>
      </w:r>
      <w:r w:rsidR="008F4888" w:rsidRPr="00B10EBE">
        <w:rPr>
          <w:rFonts w:ascii="Garamond" w:hAnsi="Garamond"/>
          <w:i/>
          <w:iCs/>
          <w:noProof/>
          <w:color w:val="000000" w:themeColor="text1"/>
          <w:sz w:val="24"/>
          <w:szCs w:val="24"/>
        </w:rPr>
        <w:t>Statistical a</w:t>
      </w:r>
      <w:r w:rsidRPr="00B10EBE">
        <w:rPr>
          <w:rFonts w:ascii="Garamond" w:hAnsi="Garamond"/>
          <w:i/>
          <w:iCs/>
          <w:noProof/>
          <w:color w:val="000000" w:themeColor="text1"/>
          <w:sz w:val="24"/>
          <w:szCs w:val="24"/>
        </w:rPr>
        <w:t>nalysis</w:t>
      </w:r>
    </w:p>
    <w:p w14:paraId="750B43E0" w14:textId="4EDDAE0A" w:rsidR="00446120" w:rsidRPr="00B10EBE" w:rsidRDefault="007966D0" w:rsidP="0033343A">
      <w:pPr>
        <w:pStyle w:val="Bibliography"/>
        <w:adjustRightInd w:val="0"/>
        <w:snapToGrid w:val="0"/>
        <w:spacing w:before="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 xml:space="preserve">Structural equation modelling (SEM) is a probabilistic tool </w:t>
      </w:r>
      <w:r w:rsidR="007D0912" w:rsidRPr="00B10EBE">
        <w:rPr>
          <w:rFonts w:ascii="Garamond" w:hAnsi="Garamond"/>
          <w:noProof/>
          <w:color w:val="000000" w:themeColor="text1"/>
          <w:sz w:val="24"/>
          <w:szCs w:val="24"/>
        </w:rPr>
        <w:t xml:space="preserve">that </w:t>
      </w:r>
      <w:r w:rsidRPr="00B10EBE">
        <w:rPr>
          <w:rFonts w:ascii="Garamond" w:hAnsi="Garamond"/>
          <w:noProof/>
          <w:color w:val="000000" w:themeColor="text1"/>
          <w:sz w:val="24"/>
          <w:szCs w:val="24"/>
        </w:rPr>
        <w:t xml:space="preserve">allows </w:t>
      </w:r>
      <w:r w:rsidR="0013481B" w:rsidRPr="00B10EBE">
        <w:rPr>
          <w:rFonts w:ascii="Garamond" w:hAnsi="Garamond"/>
          <w:noProof/>
          <w:color w:val="000000" w:themeColor="text1"/>
          <w:sz w:val="24"/>
          <w:szCs w:val="24"/>
        </w:rPr>
        <w:t xml:space="preserve">the </w:t>
      </w:r>
      <w:r w:rsidRPr="00B10EBE">
        <w:rPr>
          <w:rFonts w:ascii="Garamond" w:hAnsi="Garamond"/>
          <w:noProof/>
          <w:color w:val="000000" w:themeColor="text1"/>
          <w:sz w:val="24"/>
          <w:szCs w:val="24"/>
        </w:rPr>
        <w:t>inclu</w:t>
      </w:r>
      <w:r w:rsidR="0013481B" w:rsidRPr="00B10EBE">
        <w:rPr>
          <w:rFonts w:ascii="Garamond" w:hAnsi="Garamond"/>
          <w:noProof/>
          <w:color w:val="000000" w:themeColor="text1"/>
          <w:sz w:val="24"/>
          <w:szCs w:val="24"/>
        </w:rPr>
        <w:t>sion of</w:t>
      </w:r>
      <w:r w:rsidRPr="00B10EBE">
        <w:rPr>
          <w:rFonts w:ascii="Garamond" w:hAnsi="Garamond"/>
          <w:noProof/>
          <w:color w:val="000000" w:themeColor="text1"/>
          <w:sz w:val="24"/>
          <w:szCs w:val="24"/>
        </w:rPr>
        <w:t xml:space="preserve"> multiple dependent and independent variables</w:t>
      </w:r>
      <w:r w:rsidR="004A7AD9" w:rsidRPr="00B10EBE">
        <w:rPr>
          <w:rFonts w:ascii="Garamond" w:hAnsi="Garamond"/>
          <w:noProof/>
          <w:color w:val="000000" w:themeColor="text1"/>
          <w:sz w:val="24"/>
          <w:szCs w:val="24"/>
        </w:rPr>
        <w:t xml:space="preserve"> </w:t>
      </w:r>
      <w:r w:rsidR="00B10ABE" w:rsidRPr="00B10EBE">
        <w:rPr>
          <w:rFonts w:ascii="Garamond" w:hAnsi="Garamond"/>
          <w:noProof/>
          <w:color w:val="000000" w:themeColor="text1"/>
          <w:sz w:val="24"/>
          <w:szCs w:val="24"/>
        </w:rPr>
        <w:t xml:space="preserve">with </w:t>
      </w:r>
      <w:r w:rsidR="004A7AD9" w:rsidRPr="00B10EBE">
        <w:rPr>
          <w:rFonts w:ascii="Garamond" w:hAnsi="Garamond"/>
          <w:noProof/>
          <w:color w:val="000000" w:themeColor="text1"/>
          <w:sz w:val="24"/>
          <w:szCs w:val="24"/>
        </w:rPr>
        <w:t>different distributions</w:t>
      </w:r>
      <w:r w:rsidRPr="00B10EBE">
        <w:rPr>
          <w:rFonts w:ascii="Garamond" w:hAnsi="Garamond"/>
          <w:noProof/>
          <w:color w:val="000000" w:themeColor="text1"/>
          <w:sz w:val="24"/>
          <w:szCs w:val="24"/>
        </w:rPr>
        <w:t xml:space="preserve"> in a single framework</w:t>
      </w:r>
      <w:r w:rsidR="00996CB3" w:rsidRPr="00B10EBE">
        <w:rPr>
          <w:rFonts w:ascii="Garamond" w:hAnsi="Garamond"/>
          <w:noProof/>
          <w:color w:val="000000" w:themeColor="text1"/>
          <w:sz w:val="24"/>
          <w:szCs w:val="24"/>
        </w:rPr>
        <w:t xml:space="preserve"> </w:t>
      </w:r>
      <w:r w:rsidR="00996CB3"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{"citationID":"EkU5HnbC","properties":{"formattedCitation":"(J. S. Lefcheck 2016)","plainCitation":"(J. S. Lefcheck 2016)","dontUpdate":true,"noteIndex":0},"citationItems":[{"id":1886,"uris":["http://zotero.org/users/10686236/items/CNNJWN6P"],"itemData":{"id":1886,"type":"article-journal","abstract":"Ecologists and evolutionary biologists rely on an increasingly sophisticated set of statistical tools to describe complex natural systems. One such tool that has gained significant traction in the biological sciences is structural equation models (SEM), a form of path analysis that resolves complex multivariate relationships among a suite of interrelated variables. Evaluation of SEMs has historically relied on covariances among variables, rather than the values of the data points themselves. While this approach permits a wide variety of model forms, it limits the incorporation of detailed specifications. Recent developments have allowed for the simultaneous implementation of non-normal distributions, random effects and different correlation structures using local estimation, but this process is not yet automated and consequently, evaluation can be prohibitive with complex models. Here, I present a fully documented, open-source package piecewiseSEM, a practical implementation of confirmatory path analysis for the r programming language. The package extends this method to all current (generalized) linear, (phylogenetic) least-square, and mixed effects models, relying on familiar r syntax. I also provide two worked examples: one involving random effects and temporal autocorrelation, and a second involving phylogenetically independent contrasts. My goal is to provide a user-friendly and tractable implementation of SEM that also reflects the ecological and methodological processes generating data.","container-title":"Methods in Ecology and Evolution","DOI":"10.1111/2041-210X.12512","ISSN":"2041210X","issue":"5","page":"573-579","title":"piecewiseSEM: Piecewise structural equation modelling in r for ecology, evolution, and systematics","volume":"7","author":[{"family":"Lefcheck","given":"Jonathan S."}],"issued":{"date-parts":[["2016"]]}}}],"schema":"https://github.com/citation-style-language/schema/raw/master/csl-citation.json"} </w:instrText>
      </w:r>
      <w:r w:rsidR="00996CB3" w:rsidRPr="00B10EBE">
        <w:rPr>
          <w:rFonts w:ascii="Garamond" w:hAnsi="Garamond"/>
          <w:noProof/>
          <w:color w:val="000000" w:themeColor="text1"/>
          <w:sz w:val="24"/>
          <w:szCs w:val="24"/>
        </w:rPr>
        <w:fldChar w:fldCharType="separate"/>
      </w:r>
      <w:r w:rsidR="00476A9A" w:rsidRPr="00B10EBE">
        <w:rPr>
          <w:rFonts w:ascii="Garamond" w:hAnsi="Garamond"/>
          <w:noProof/>
          <w:color w:val="000000" w:themeColor="text1"/>
          <w:sz w:val="24"/>
          <w:szCs w:val="24"/>
        </w:rPr>
        <w:t>(Lefcheck 2016)</w:t>
      </w:r>
      <w:r w:rsidR="00996CB3"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xml:space="preserve">. Unlike </w:t>
      </w:r>
      <w:r w:rsidR="00F106FD" w:rsidRPr="00B10EBE">
        <w:rPr>
          <w:rFonts w:ascii="Garamond" w:hAnsi="Garamond"/>
          <w:noProof/>
          <w:color w:val="000000" w:themeColor="text1"/>
          <w:sz w:val="24"/>
          <w:szCs w:val="24"/>
        </w:rPr>
        <w:t>standard regression</w:t>
      </w:r>
      <w:r w:rsidRPr="00B10EBE">
        <w:rPr>
          <w:rFonts w:ascii="Garamond" w:hAnsi="Garamond"/>
          <w:noProof/>
          <w:color w:val="000000" w:themeColor="text1"/>
          <w:sz w:val="24"/>
          <w:szCs w:val="24"/>
        </w:rPr>
        <w:t xml:space="preserve">, SEM is capable </w:t>
      </w:r>
      <w:r w:rsidR="00B735CF" w:rsidRPr="00B10EBE">
        <w:rPr>
          <w:rFonts w:ascii="Garamond" w:hAnsi="Garamond"/>
          <w:noProof/>
          <w:color w:val="000000" w:themeColor="text1"/>
          <w:sz w:val="24"/>
          <w:szCs w:val="24"/>
        </w:rPr>
        <w:t>of</w:t>
      </w:r>
      <w:r w:rsidR="00A3003B"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evaluat</w:t>
      </w:r>
      <w:r w:rsidR="00B735CF" w:rsidRPr="00B10EBE">
        <w:rPr>
          <w:rFonts w:ascii="Garamond" w:hAnsi="Garamond"/>
          <w:noProof/>
          <w:color w:val="000000" w:themeColor="text1"/>
          <w:sz w:val="24"/>
          <w:szCs w:val="24"/>
        </w:rPr>
        <w:t>ing</w:t>
      </w:r>
      <w:r w:rsidRPr="00B10EBE">
        <w:rPr>
          <w:rFonts w:ascii="Garamond" w:hAnsi="Garamond"/>
          <w:noProof/>
          <w:color w:val="000000" w:themeColor="text1"/>
          <w:sz w:val="24"/>
          <w:szCs w:val="24"/>
        </w:rPr>
        <w:t xml:space="preserve"> both </w:t>
      </w:r>
      <w:r w:rsidRPr="00B10EBE">
        <w:rPr>
          <w:rFonts w:cs="Calibri"/>
          <w:noProof/>
          <w:color w:val="000000" w:themeColor="text1"/>
          <w:sz w:val="24"/>
          <w:szCs w:val="24"/>
        </w:rPr>
        <w:t>﻿</w:t>
      </w:r>
      <w:r w:rsidRPr="00B10EBE">
        <w:rPr>
          <w:rFonts w:ascii="Garamond" w:hAnsi="Garamond"/>
          <w:noProof/>
          <w:color w:val="000000" w:themeColor="text1"/>
          <w:sz w:val="24"/>
          <w:szCs w:val="24"/>
        </w:rPr>
        <w:t>direct and indirect effects among variables</w:t>
      </w:r>
      <w:r w:rsidR="001B4BE1" w:rsidRPr="00B10EBE">
        <w:rPr>
          <w:rFonts w:ascii="Garamond" w:hAnsi="Garamond"/>
          <w:noProof/>
          <w:color w:val="000000" w:themeColor="text1"/>
          <w:sz w:val="24"/>
          <w:szCs w:val="24"/>
        </w:rPr>
        <w:t xml:space="preserve">, which is typical within complex natural ecosystems </w:t>
      </w:r>
      <w:r w:rsidR="001B4BE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{"citationID":"paZZhmkr","properties":{"formattedCitation":"(Fan et al., 2016)","plainCitation":"(Fan et al., 2016)","noteIndex":0},"citationItems":[{"id":"KrHUUWSG/f6fsvH50","uris":["http://www.mendeley.com/documents/?uuid=f60da101-cc47-4c9d-9646-8d0c47f46644"],"itemData":{"DOI":"10.1186/s13717-016-0063-3","ISSN":"21921709","abstract":"Aims: This review was developed to introduce the essential components and variants of structural equation modeling (SEM), synthesize the common issues in SEM applications, and share our views on SEM’s future in ecological research. Methods: We searched the Web of Science on SEM applications in ecological studies from 1999 through 2016 and summarized the potential of SEMs, with a special focus on unexplored uses in ecology. We also analyzed and discussed the common issues with SEM applications in previous publications and presented our view for its future applications. Results: We searched and found 146 relevant publications on SEM applications in ecological studies. We found that five SEM variants had not commenly been applied in ecology, including the latent growth curve model, Bayesian SEM, partial least square SEM, hierarchical SEM, and variable/model selection. We identified ten common issues in SEM applications including strength of causal assumption, specification of feedback loops, selection of models and variables, identification of models, methods of estimation, explanation of latent variables, selection of fit indices, report of results, estimation of sample size, and the fit of model. Conclusions: In previous ecological studies, measurements of latent variables, explanations of model parameters, and reports of key statistics were commonly overlooked, while several advanced uses of SEM had been ignored overall. With the increasing availability of data, the use of SEM holds immense potential for ecologists in the future.","author":[{"dropping-particle":"","family":"Fan","given":"Yi","non-dropping-particle":"","parse-names":false,"suffix":""},{"dropping-particle":"","family":"Chen","given":"Jiquan","non-dropping-particle":"","parse-names":false,"suffix":""},{"dropping-particle":"","family":"Shirkey","given":"Gabriela","non-dropping-particle":"","parse-names":false,"suffix":""},{"dropping-particle":"","family":"John","given":"Ranjeet","non-dropping-particle":"","parse-names":false,"suffix":""},{"dropping-particle":"","family":"Wu","given":"Susie R.","non-dropping-particle":"","parse-names":false,"suffix":""},{"dropping-particle":"","family":"Park","given":"Hogeun","non-dropping-particle":"","parse-names":false,"suffix":""},{"dropping-particle":"","family":"Shao","given":"Changliang","non-dropping-particle":"","parse-names":false,"suffix":""}],"container-title":"Ecological Processes","id":"A9G48Yb2/fEnCIWhr","issue":"1","issued":{"date-parts":[["2016"]]},"publisher":"Ecological Processes","title":"Applications of structural equation modeling (SEM) in ecological studies: an updated review","type":"article-journal","volume":"5"}}],"schema":"https://github.com/citation-style-language/schema/raw/master/csl-citation.json"} </w:instrText>
      </w:r>
      <w:r w:rsidR="001B4BE1"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(Fan et al., 2016)</w:t>
      </w:r>
      <w:r w:rsidR="001B4BE1"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xml:space="preserve">. Here we used </w:t>
      </w:r>
      <w:r w:rsidR="006713C5" w:rsidRPr="00B10EBE">
        <w:rPr>
          <w:rFonts w:ascii="Garamond" w:hAnsi="Garamond"/>
          <w:noProof/>
          <w:color w:val="000000" w:themeColor="text1"/>
          <w:sz w:val="24"/>
          <w:szCs w:val="24"/>
        </w:rPr>
        <w:t>an</w:t>
      </w:r>
      <w:r w:rsidRPr="00B10EBE">
        <w:rPr>
          <w:rFonts w:ascii="Garamond" w:hAnsi="Garamond"/>
          <w:noProof/>
          <w:color w:val="000000" w:themeColor="text1"/>
          <w:sz w:val="24"/>
          <w:szCs w:val="24"/>
        </w:rPr>
        <w:t xml:space="preserve"> SEM approach as it </w:t>
      </w:r>
      <w:r w:rsidR="00B735CF" w:rsidRPr="00B10EBE">
        <w:rPr>
          <w:rFonts w:ascii="Garamond" w:hAnsi="Garamond"/>
          <w:noProof/>
          <w:color w:val="000000" w:themeColor="text1"/>
          <w:sz w:val="24"/>
          <w:szCs w:val="24"/>
        </w:rPr>
        <w:t>is a useful</w:t>
      </w:r>
      <w:r w:rsidRPr="00B10EBE">
        <w:rPr>
          <w:rFonts w:ascii="Garamond" w:hAnsi="Garamond"/>
          <w:noProof/>
          <w:color w:val="000000" w:themeColor="text1"/>
          <w:sz w:val="24"/>
          <w:szCs w:val="24"/>
        </w:rPr>
        <w:t xml:space="preserve"> tool for testing causal relationships </w:t>
      </w:r>
      <w:r w:rsidR="00B10ABE" w:rsidRPr="00B10EBE">
        <w:rPr>
          <w:rFonts w:ascii="Garamond" w:hAnsi="Garamond"/>
          <w:noProof/>
          <w:color w:val="000000" w:themeColor="text1"/>
          <w:sz w:val="24"/>
          <w:szCs w:val="24"/>
        </w:rPr>
        <w:t xml:space="preserve">hypothesised </w:t>
      </w:r>
      <w:r w:rsidRPr="00B10EBE">
        <w:rPr>
          <w:rFonts w:ascii="Garamond" w:hAnsi="Garamond"/>
          <w:noProof/>
          <w:color w:val="000000" w:themeColor="text1"/>
          <w:sz w:val="24"/>
          <w:szCs w:val="24"/>
        </w:rPr>
        <w:t>from theory and knowledge</w:t>
      </w:r>
      <w:r w:rsidR="00996CB3"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{"citationID":"yklMIKor","properties":{"formattedCitation":"(Lehmann et al., 2014)","plainCitation":"(Lehmann et al., 2014)","noteIndex":0},"citationItems":[{"id":362,"uris":["http://zotero.org/users/10686236/items/YCI8M36R"],"itemData":{"id":362,"type":"article-journal","abstract":"Ecologists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stocks.","container-title":"Science","DOI":"10.1126/science.1247355","ISSN":"0036-8075","issue":"6170","note":"PMID: 24482480\nISBN: 0036-8075","page":"548-552","title":"Savanna Vegetation-Fire-Climate Relationships Differ Among Continents","volume":"343","author":[{"family":"Lehmann","given":"C. E. R."},{"family":"Anderson","given":"T. M."},{"family":"Sankaran","given":"M."},{"family":"Higgins","given":"S. I."},{"family":"Archibald","given":"S."},{"family":"Hoffmann","given":"W. A."},{"family":"Hanan","given":"N. P."},{"family":"Williams","given":"R. J."},{"family":"Fensham","given":"R. J."},{"family":"Felfili","given":"J."},{"family":"Hutley","given":"L. B."},{"family":"Ratnam","given":"J."},{"family":"San Jose","given":"J."},{"family":"Montes","given":"R."},{"family":"Franklin","given":"D."},{"family":"Russell-Smith","given":"J."},{"family":"Ryan","given":"C. M."},{"family":"Durigan","given":"G."},{"family":"Hiernaux","given":"P."},{"family":"Haidar","given":"R."},{"family":"Bowman","given":"D. M. J. S."},{"family":"Bond","given":"W. J."}],"issued":{"date-parts":[["2014"]]}}}],"schema":"https://github.com/citation-style-language/schema/raw/master/csl-citation.json"}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(Lehmann et al., 2014)</w:t>
      </w:r>
      <w:r w:rsidR="00446120"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w:t>
      </w:r>
      <w:r w:rsidR="00A3003B" w:rsidRPr="00B10EBE">
        <w:rPr>
          <w:rFonts w:ascii="Garamond" w:hAnsi="Garamond"/>
          <w:noProof/>
          <w:color w:val="000000" w:themeColor="text1"/>
          <w:sz w:val="24"/>
          <w:szCs w:val="24"/>
        </w:rPr>
        <w:t xml:space="preserve"> </w:t>
      </w:r>
      <w:r w:rsidR="00A607DE" w:rsidRPr="00B10EBE">
        <w:rPr>
          <w:rFonts w:ascii="Garamond" w:hAnsi="Garamond"/>
          <w:noProof/>
          <w:color w:val="000000" w:themeColor="text1"/>
          <w:sz w:val="24"/>
          <w:szCs w:val="24"/>
        </w:rPr>
        <w:t>Our statistical modelling workflow consisted of four steps</w:t>
      </w:r>
      <w:r w:rsidR="00FB147C" w:rsidRPr="00B10EBE">
        <w:rPr>
          <w:rFonts w:ascii="Garamond" w:hAnsi="Garamond"/>
          <w:noProof/>
          <w:color w:val="000000" w:themeColor="text1"/>
          <w:sz w:val="24"/>
          <w:szCs w:val="24"/>
        </w:rPr>
        <w:t>:</w:t>
      </w:r>
    </w:p>
    <w:p w14:paraId="584C8B97" w14:textId="5C3E13B6" w:rsidR="00E60BB7" w:rsidRPr="00B10EBE" w:rsidRDefault="003D70BE" w:rsidP="0033343A">
      <w:pPr>
        <w:pStyle w:val="Bibliography"/>
        <w:adjustRightInd w:val="0"/>
        <w:snapToGrid w:val="0"/>
        <w:spacing w:before="0"/>
        <w:ind w:left="0" w:firstLine="0"/>
        <w:jc w:val="both"/>
        <w:rPr>
          <w:rFonts w:ascii="Garamond" w:hAnsi="Garamond"/>
          <w:noProof/>
          <w:color w:val="000000" w:themeColor="text1"/>
          <w:sz w:val="24"/>
          <w:szCs w:val="24"/>
        </w:rPr>
      </w:pPr>
      <w:r w:rsidRPr="00B10EBE">
        <w:rPr>
          <w:rFonts w:ascii="Garamond" w:hAnsi="Garamond"/>
          <w:bCs/>
          <w:noProof/>
          <w:color w:val="000000" w:themeColor="text1"/>
          <w:sz w:val="24"/>
          <w:szCs w:val="24"/>
        </w:rPr>
        <w:t>1</w:t>
      </w:r>
      <w:r w:rsidR="00AD18C6" w:rsidRPr="00B10EBE">
        <w:rPr>
          <w:rFonts w:ascii="Garamond" w:hAnsi="Garamond"/>
          <w:bCs/>
          <w:noProof/>
          <w:color w:val="000000" w:themeColor="text1"/>
          <w:sz w:val="24"/>
          <w:szCs w:val="24"/>
        </w:rPr>
        <w:t xml:space="preserve"> -</w:t>
      </w:r>
      <w:r w:rsidRPr="00B10EBE">
        <w:rPr>
          <w:rFonts w:ascii="Garamond" w:hAnsi="Garamond"/>
          <w:bCs/>
          <w:noProof/>
          <w:color w:val="000000" w:themeColor="text1"/>
          <w:sz w:val="24"/>
          <w:szCs w:val="24"/>
        </w:rPr>
        <w:t xml:space="preserve"> Hypotheses</w:t>
      </w:r>
      <w:r w:rsidR="00AD18C6" w:rsidRPr="00B10EBE">
        <w:rPr>
          <w:rFonts w:ascii="Garamond" w:hAnsi="Garamond"/>
          <w:bCs/>
          <w:noProof/>
          <w:color w:val="000000" w:themeColor="text1"/>
          <w:sz w:val="24"/>
          <w:szCs w:val="24"/>
        </w:rPr>
        <w:t>.</w:t>
      </w:r>
      <w:r w:rsidRPr="00B10EBE">
        <w:rPr>
          <w:rFonts w:ascii="Garamond" w:hAnsi="Garamond"/>
          <w:noProof/>
          <w:color w:val="000000" w:themeColor="text1"/>
          <w:sz w:val="24"/>
          <w:szCs w:val="24"/>
        </w:rPr>
        <w:t xml:space="preserve"> </w:t>
      </w:r>
      <w:r w:rsidR="00A3003B" w:rsidRPr="00B10EBE">
        <w:rPr>
          <w:rFonts w:ascii="Garamond" w:hAnsi="Garamond"/>
          <w:noProof/>
          <w:color w:val="000000" w:themeColor="text1"/>
          <w:sz w:val="24"/>
          <w:szCs w:val="24"/>
        </w:rPr>
        <w:t xml:space="preserve">We </w:t>
      </w:r>
      <w:r w:rsidR="0013481B" w:rsidRPr="00B10EBE">
        <w:rPr>
          <w:rFonts w:ascii="Garamond" w:hAnsi="Garamond"/>
          <w:noProof/>
          <w:color w:val="000000" w:themeColor="text1"/>
          <w:sz w:val="24"/>
          <w:szCs w:val="24"/>
        </w:rPr>
        <w:t xml:space="preserve">reviewed </w:t>
      </w:r>
      <w:r w:rsidR="007D0912" w:rsidRPr="00B10EBE">
        <w:rPr>
          <w:rFonts w:ascii="Garamond" w:hAnsi="Garamond"/>
          <w:noProof/>
          <w:color w:val="000000" w:themeColor="text1"/>
          <w:sz w:val="24"/>
          <w:szCs w:val="24"/>
        </w:rPr>
        <w:t xml:space="preserve">the </w:t>
      </w:r>
      <w:r w:rsidR="00A3003B" w:rsidRPr="00B10EBE">
        <w:rPr>
          <w:rFonts w:ascii="Garamond" w:hAnsi="Garamond"/>
          <w:noProof/>
          <w:color w:val="000000" w:themeColor="text1"/>
          <w:sz w:val="24"/>
          <w:szCs w:val="24"/>
        </w:rPr>
        <w:t>literature</w:t>
      </w:r>
      <w:r w:rsidR="00F71672" w:rsidRPr="00B10EBE">
        <w:rPr>
          <w:rFonts w:ascii="Garamond" w:hAnsi="Garamond"/>
          <w:noProof/>
          <w:color w:val="000000" w:themeColor="text1"/>
          <w:sz w:val="24"/>
          <w:szCs w:val="24"/>
        </w:rPr>
        <w:t xml:space="preserve"> </w:t>
      </w:r>
      <w:r w:rsidR="00A3003B" w:rsidRPr="00B10EBE">
        <w:rPr>
          <w:rFonts w:ascii="Garamond" w:hAnsi="Garamond"/>
          <w:noProof/>
          <w:color w:val="000000" w:themeColor="text1"/>
          <w:sz w:val="24"/>
          <w:szCs w:val="24"/>
        </w:rPr>
        <w:t>on direct and indirect relationships</w:t>
      </w:r>
      <w:r w:rsidR="009C2DF7" w:rsidRPr="00B10EBE">
        <w:rPr>
          <w:rFonts w:ascii="Garamond" w:hAnsi="Garamond"/>
          <w:noProof/>
          <w:color w:val="000000" w:themeColor="text1"/>
          <w:sz w:val="24"/>
          <w:szCs w:val="24"/>
        </w:rPr>
        <w:t xml:space="preserve"> among variables</w:t>
      </w:r>
      <w:r w:rsidR="00A3003B" w:rsidRPr="00B10EBE">
        <w:rPr>
          <w:rFonts w:ascii="Garamond" w:hAnsi="Garamond"/>
          <w:noProof/>
          <w:color w:val="000000" w:themeColor="text1"/>
          <w:sz w:val="24"/>
          <w:szCs w:val="24"/>
        </w:rPr>
        <w:t xml:space="preserve"> in the grassland</w:t>
      </w:r>
      <w:r w:rsidR="00436BA5" w:rsidRPr="00B10EBE">
        <w:rPr>
          <w:rFonts w:ascii="Garamond" w:hAnsi="Garamond"/>
          <w:noProof/>
          <w:color w:val="000000" w:themeColor="text1"/>
          <w:sz w:val="24"/>
          <w:szCs w:val="24"/>
        </w:rPr>
        <w:t>-savanna</w:t>
      </w:r>
      <w:r w:rsidR="00A3003B" w:rsidRPr="00B10EBE">
        <w:rPr>
          <w:rFonts w:ascii="Garamond" w:hAnsi="Garamond"/>
          <w:noProof/>
          <w:color w:val="000000" w:themeColor="text1"/>
          <w:sz w:val="24"/>
          <w:szCs w:val="24"/>
        </w:rPr>
        <w:t xml:space="preserve">-forest transition (Figure </w:t>
      </w:r>
      <w:r w:rsidR="00FB147C" w:rsidRPr="00B10EBE">
        <w:rPr>
          <w:rFonts w:ascii="Garamond" w:hAnsi="Garamond"/>
          <w:noProof/>
          <w:color w:val="000000" w:themeColor="text1"/>
          <w:sz w:val="24"/>
          <w:szCs w:val="24"/>
        </w:rPr>
        <w:t>2</w:t>
      </w:r>
      <w:r w:rsidR="00A3003B" w:rsidRPr="00B10EBE">
        <w:rPr>
          <w:rFonts w:ascii="Garamond" w:hAnsi="Garamond"/>
          <w:noProof/>
          <w:color w:val="000000" w:themeColor="text1"/>
          <w:sz w:val="24"/>
          <w:szCs w:val="24"/>
        </w:rPr>
        <w:t>a)</w:t>
      </w:r>
      <w:r w:rsidR="00EC504F" w:rsidRPr="00B10EBE">
        <w:rPr>
          <w:rFonts w:ascii="Garamond" w:hAnsi="Garamond"/>
          <w:noProof/>
          <w:color w:val="000000" w:themeColor="text1"/>
          <w:sz w:val="24"/>
          <w:szCs w:val="24"/>
        </w:rPr>
        <w:t xml:space="preserve"> (see Introduction)</w:t>
      </w:r>
      <w:r w:rsidR="00F71672" w:rsidRPr="00B10EBE">
        <w:rPr>
          <w:rFonts w:ascii="Garamond" w:hAnsi="Garamond"/>
          <w:noProof/>
          <w:color w:val="000000" w:themeColor="text1"/>
          <w:sz w:val="24"/>
          <w:szCs w:val="24"/>
        </w:rPr>
        <w:t>.</w:t>
      </w:r>
      <w:r w:rsidR="00A3003B" w:rsidRPr="00B10EBE">
        <w:rPr>
          <w:rFonts w:ascii="Garamond" w:hAnsi="Garamond"/>
          <w:noProof/>
          <w:color w:val="000000" w:themeColor="text1"/>
          <w:sz w:val="24"/>
          <w:szCs w:val="24"/>
        </w:rPr>
        <w:t xml:space="preserve"> </w:t>
      </w:r>
      <w:r w:rsidR="009C2DF7" w:rsidRPr="00B10EBE">
        <w:rPr>
          <w:rFonts w:ascii="Garamond" w:hAnsi="Garamond"/>
          <w:noProof/>
          <w:color w:val="000000" w:themeColor="text1"/>
          <w:sz w:val="24"/>
          <w:szCs w:val="24"/>
        </w:rPr>
        <w:t>Based on this</w:t>
      </w:r>
      <w:r w:rsidR="00A3003B" w:rsidRPr="00B10EBE">
        <w:rPr>
          <w:rFonts w:ascii="Garamond" w:hAnsi="Garamond"/>
          <w:noProof/>
          <w:color w:val="000000" w:themeColor="text1"/>
          <w:sz w:val="24"/>
          <w:szCs w:val="24"/>
        </w:rPr>
        <w:t>, we created an initial most plausible hypothesis</w:t>
      </w:r>
      <w:r w:rsidR="00521BB8" w:rsidRPr="00B10EBE">
        <w:rPr>
          <w:rFonts w:ascii="Garamond" w:hAnsi="Garamond"/>
          <w:noProof/>
          <w:color w:val="000000" w:themeColor="text1"/>
          <w:sz w:val="24"/>
          <w:szCs w:val="24"/>
        </w:rPr>
        <w:t xml:space="preserve"> (represented by a causal </w:t>
      </w:r>
      <w:r w:rsidR="00F9422F" w:rsidRPr="00B10EBE">
        <w:rPr>
          <w:rFonts w:ascii="Garamond" w:hAnsi="Garamond"/>
          <w:noProof/>
          <w:color w:val="000000" w:themeColor="text1"/>
          <w:sz w:val="24"/>
          <w:szCs w:val="24"/>
        </w:rPr>
        <w:t>structure</w:t>
      </w:r>
      <w:r w:rsidR="00521BB8" w:rsidRPr="00B10EBE">
        <w:rPr>
          <w:rFonts w:ascii="Garamond" w:hAnsi="Garamond"/>
          <w:noProof/>
          <w:color w:val="000000" w:themeColor="text1"/>
          <w:sz w:val="24"/>
          <w:szCs w:val="24"/>
        </w:rPr>
        <w:t>)</w:t>
      </w:r>
      <w:r w:rsidR="00A3003B" w:rsidRPr="00B10EBE">
        <w:rPr>
          <w:rFonts w:ascii="Garamond" w:hAnsi="Garamond"/>
          <w:noProof/>
          <w:color w:val="000000" w:themeColor="text1"/>
          <w:sz w:val="24"/>
          <w:szCs w:val="24"/>
        </w:rPr>
        <w:t>, which we</w:t>
      </w:r>
      <w:r w:rsidR="009C2DF7" w:rsidRPr="00B10EBE">
        <w:rPr>
          <w:rFonts w:ascii="Garamond" w:hAnsi="Garamond"/>
          <w:noProof/>
          <w:color w:val="000000" w:themeColor="text1"/>
          <w:sz w:val="24"/>
          <w:szCs w:val="24"/>
        </w:rPr>
        <w:t xml:space="preserve"> then</w:t>
      </w:r>
      <w:r w:rsidR="00A3003B" w:rsidRPr="00B10EBE">
        <w:rPr>
          <w:rFonts w:ascii="Garamond" w:hAnsi="Garamond"/>
          <w:noProof/>
          <w:color w:val="000000" w:themeColor="text1"/>
          <w:sz w:val="24"/>
          <w:szCs w:val="24"/>
        </w:rPr>
        <w:t xml:space="preserve"> </w:t>
      </w:r>
      <w:r w:rsidR="00521BB8" w:rsidRPr="00B10EBE">
        <w:rPr>
          <w:rFonts w:ascii="Garamond" w:hAnsi="Garamond"/>
          <w:noProof/>
          <w:color w:val="000000" w:themeColor="text1"/>
          <w:sz w:val="24"/>
          <w:szCs w:val="24"/>
        </w:rPr>
        <w:t>modified to</w:t>
      </w:r>
      <w:r w:rsidR="00A3003B" w:rsidRPr="00B10EBE">
        <w:rPr>
          <w:rFonts w:ascii="Garamond" w:hAnsi="Garamond"/>
          <w:noProof/>
          <w:color w:val="000000" w:themeColor="text1"/>
          <w:sz w:val="24"/>
          <w:szCs w:val="24"/>
        </w:rPr>
        <w:t xml:space="preserve"> </w:t>
      </w:r>
      <w:r w:rsidR="007D0912" w:rsidRPr="00B10EBE">
        <w:rPr>
          <w:rFonts w:ascii="Garamond" w:hAnsi="Garamond"/>
          <w:noProof/>
          <w:color w:val="000000" w:themeColor="text1"/>
          <w:sz w:val="24"/>
          <w:szCs w:val="24"/>
        </w:rPr>
        <w:t xml:space="preserve">both </w:t>
      </w:r>
      <w:r w:rsidR="00A3003B" w:rsidRPr="00B10EBE">
        <w:rPr>
          <w:rFonts w:ascii="Garamond" w:hAnsi="Garamond"/>
          <w:noProof/>
          <w:color w:val="000000" w:themeColor="text1"/>
          <w:sz w:val="24"/>
          <w:szCs w:val="24"/>
        </w:rPr>
        <w:t xml:space="preserve">simpler and more complex hypotheses </w:t>
      </w:r>
      <w:r w:rsidR="00FF58CC" w:rsidRPr="00B10EBE">
        <w:rPr>
          <w:rFonts w:ascii="Garamond" w:hAnsi="Garamond"/>
          <w:noProof/>
          <w:color w:val="000000" w:themeColor="text1"/>
          <w:sz w:val="24"/>
          <w:szCs w:val="24"/>
        </w:rPr>
        <w:t>to</w:t>
      </w:r>
      <w:r w:rsidR="00A3003B" w:rsidRPr="00B10EBE">
        <w:rPr>
          <w:rFonts w:ascii="Garamond" w:hAnsi="Garamond"/>
          <w:noProof/>
          <w:color w:val="000000" w:themeColor="text1"/>
          <w:sz w:val="24"/>
          <w:szCs w:val="24"/>
        </w:rPr>
        <w:t xml:space="preserve"> account for all ecologically reasonable combinations among variables</w:t>
      </w:r>
      <w:r w:rsidR="00F9422F" w:rsidRPr="00B10EBE">
        <w:rPr>
          <w:rFonts w:ascii="Garamond" w:hAnsi="Garamond"/>
          <w:noProof/>
          <w:color w:val="000000" w:themeColor="text1"/>
          <w:sz w:val="24"/>
          <w:szCs w:val="24"/>
        </w:rPr>
        <w:t xml:space="preserve"> (corresponding to alternative </w:t>
      </w:r>
      <w:r w:rsidR="007D0912" w:rsidRPr="00B10EBE">
        <w:rPr>
          <w:rFonts w:ascii="Garamond" w:hAnsi="Garamond"/>
          <w:noProof/>
          <w:color w:val="000000" w:themeColor="text1"/>
          <w:sz w:val="24"/>
          <w:szCs w:val="24"/>
        </w:rPr>
        <w:t>causal</w:t>
      </w:r>
      <w:r w:rsidR="00F9422F" w:rsidRPr="00B10EBE">
        <w:rPr>
          <w:rFonts w:ascii="Garamond" w:hAnsi="Garamond"/>
          <w:noProof/>
          <w:color w:val="000000" w:themeColor="text1"/>
          <w:sz w:val="24"/>
          <w:szCs w:val="24"/>
        </w:rPr>
        <w:t xml:space="preserve"> structures)</w:t>
      </w:r>
      <w:r w:rsidR="008911E0" w:rsidRPr="00B10EBE">
        <w:rPr>
          <w:rFonts w:ascii="Garamond" w:hAnsi="Garamond"/>
          <w:noProof/>
          <w:color w:val="000000" w:themeColor="text1"/>
          <w:sz w:val="24"/>
          <w:szCs w:val="24"/>
        </w:rPr>
        <w:t xml:space="preserve"> (Figure </w:t>
      </w:r>
      <w:r w:rsidR="00FB147C" w:rsidRPr="00B10EBE">
        <w:rPr>
          <w:rFonts w:ascii="Garamond" w:hAnsi="Garamond"/>
          <w:noProof/>
          <w:color w:val="000000" w:themeColor="text1"/>
          <w:sz w:val="24"/>
          <w:szCs w:val="24"/>
        </w:rPr>
        <w:t>2</w:t>
      </w:r>
      <w:r w:rsidR="008911E0" w:rsidRPr="00B10EBE">
        <w:rPr>
          <w:rFonts w:ascii="Garamond" w:hAnsi="Garamond"/>
          <w:noProof/>
          <w:color w:val="000000" w:themeColor="text1"/>
          <w:sz w:val="24"/>
          <w:szCs w:val="24"/>
        </w:rPr>
        <w:t>b</w:t>
      </w:r>
      <w:r w:rsidR="00F9422F" w:rsidRPr="00B10EBE">
        <w:rPr>
          <w:rFonts w:ascii="Garamond" w:hAnsi="Garamond"/>
          <w:noProof/>
          <w:color w:val="000000" w:themeColor="text1"/>
          <w:sz w:val="24"/>
          <w:szCs w:val="24"/>
        </w:rPr>
        <w:t>).</w:t>
      </w:r>
      <w:r w:rsidR="008911E0" w:rsidRPr="00B10EBE">
        <w:rPr>
          <w:rFonts w:ascii="Garamond" w:hAnsi="Garamond"/>
          <w:noProof/>
          <w:color w:val="000000" w:themeColor="text1"/>
          <w:sz w:val="24"/>
          <w:szCs w:val="24"/>
        </w:rPr>
        <w:t xml:space="preserve"> </w:t>
      </w:r>
      <w:r w:rsidR="00851846" w:rsidRPr="00B10EBE">
        <w:rPr>
          <w:rFonts w:ascii="Garamond" w:hAnsi="Garamond"/>
          <w:noProof/>
          <w:color w:val="000000" w:themeColor="text1"/>
          <w:sz w:val="24"/>
          <w:szCs w:val="24"/>
        </w:rPr>
        <w:t>T</w:t>
      </w:r>
      <w:r w:rsidR="008911E0" w:rsidRPr="00B10EBE">
        <w:rPr>
          <w:rFonts w:ascii="Garamond" w:hAnsi="Garamond"/>
          <w:noProof/>
          <w:color w:val="000000" w:themeColor="text1"/>
          <w:sz w:val="24"/>
          <w:szCs w:val="24"/>
        </w:rPr>
        <w:t>his</w:t>
      </w:r>
      <w:r w:rsidR="00B347F0" w:rsidRPr="00B10EBE">
        <w:rPr>
          <w:rFonts w:ascii="Garamond" w:hAnsi="Garamond"/>
          <w:noProof/>
          <w:color w:val="000000" w:themeColor="text1"/>
          <w:sz w:val="24"/>
          <w:szCs w:val="24"/>
        </w:rPr>
        <w:t xml:space="preserve"> exercise</w:t>
      </w:r>
      <w:r w:rsidR="008911E0" w:rsidRPr="00B10EBE">
        <w:rPr>
          <w:rFonts w:ascii="Garamond" w:hAnsi="Garamond"/>
          <w:noProof/>
          <w:color w:val="000000" w:themeColor="text1"/>
          <w:sz w:val="24"/>
          <w:szCs w:val="24"/>
        </w:rPr>
        <w:t xml:space="preserve"> </w:t>
      </w:r>
      <w:r w:rsidR="00F9422F" w:rsidRPr="00B10EBE">
        <w:rPr>
          <w:rFonts w:ascii="Garamond" w:hAnsi="Garamond"/>
          <w:noProof/>
          <w:color w:val="000000" w:themeColor="text1"/>
          <w:sz w:val="24"/>
          <w:szCs w:val="24"/>
        </w:rPr>
        <w:t xml:space="preserve">also </w:t>
      </w:r>
      <w:r w:rsidR="008911E0" w:rsidRPr="00B10EBE">
        <w:rPr>
          <w:rFonts w:ascii="Garamond" w:hAnsi="Garamond"/>
          <w:noProof/>
          <w:color w:val="000000" w:themeColor="text1"/>
          <w:sz w:val="24"/>
          <w:szCs w:val="24"/>
        </w:rPr>
        <w:t xml:space="preserve">allowed us </w:t>
      </w:r>
      <w:r w:rsidR="00A3003B" w:rsidRPr="00B10EBE">
        <w:rPr>
          <w:rFonts w:ascii="Garamond" w:hAnsi="Garamond"/>
          <w:noProof/>
          <w:color w:val="000000" w:themeColor="text1"/>
          <w:sz w:val="24"/>
          <w:szCs w:val="24"/>
        </w:rPr>
        <w:t xml:space="preserve">to </w:t>
      </w:r>
      <w:r w:rsidR="00851846" w:rsidRPr="00B10EBE">
        <w:rPr>
          <w:rFonts w:ascii="Garamond" w:hAnsi="Garamond"/>
          <w:noProof/>
          <w:color w:val="000000" w:themeColor="text1"/>
          <w:sz w:val="24"/>
          <w:szCs w:val="24"/>
        </w:rPr>
        <w:t>assess whether</w:t>
      </w:r>
      <w:r w:rsidR="00A3003B" w:rsidRPr="00B10EBE">
        <w:rPr>
          <w:rFonts w:ascii="Garamond" w:hAnsi="Garamond"/>
          <w:noProof/>
          <w:color w:val="000000" w:themeColor="text1"/>
          <w:sz w:val="24"/>
          <w:szCs w:val="24"/>
        </w:rPr>
        <w:t xml:space="preserve"> simple</w:t>
      </w:r>
      <w:r w:rsidR="00851846" w:rsidRPr="00B10EBE">
        <w:rPr>
          <w:rFonts w:ascii="Garamond" w:hAnsi="Garamond"/>
          <w:noProof/>
          <w:color w:val="000000" w:themeColor="text1"/>
          <w:sz w:val="24"/>
          <w:szCs w:val="24"/>
        </w:rPr>
        <w:t>r</w:t>
      </w:r>
      <w:r w:rsidR="00A3003B" w:rsidRPr="00B10EBE">
        <w:rPr>
          <w:rFonts w:ascii="Garamond" w:hAnsi="Garamond"/>
          <w:noProof/>
          <w:color w:val="000000" w:themeColor="text1"/>
          <w:sz w:val="24"/>
          <w:szCs w:val="24"/>
        </w:rPr>
        <w:t xml:space="preserve"> SEMs </w:t>
      </w:r>
      <w:r w:rsidR="0053756E" w:rsidRPr="00B10EBE">
        <w:rPr>
          <w:rFonts w:ascii="Garamond" w:hAnsi="Garamond"/>
          <w:noProof/>
          <w:color w:val="000000" w:themeColor="text1"/>
          <w:sz w:val="24"/>
          <w:szCs w:val="24"/>
        </w:rPr>
        <w:t xml:space="preserve">are able to </w:t>
      </w:r>
      <w:r w:rsidR="00A3003B" w:rsidRPr="00B10EBE">
        <w:rPr>
          <w:rFonts w:ascii="Garamond" w:hAnsi="Garamond"/>
          <w:noProof/>
          <w:color w:val="000000" w:themeColor="text1"/>
          <w:sz w:val="24"/>
          <w:szCs w:val="24"/>
        </w:rPr>
        <w:t>explain grassland dynamics</w:t>
      </w:r>
      <w:r w:rsidR="00851846" w:rsidRPr="00B10EBE">
        <w:rPr>
          <w:rFonts w:ascii="Garamond" w:hAnsi="Garamond"/>
          <w:noProof/>
          <w:color w:val="000000" w:themeColor="text1"/>
          <w:sz w:val="24"/>
          <w:szCs w:val="24"/>
        </w:rPr>
        <w:t xml:space="preserve"> than more complex ones</w:t>
      </w:r>
      <w:r w:rsidR="00A3003B" w:rsidRPr="00B10EBE">
        <w:rPr>
          <w:rFonts w:ascii="Garamond" w:hAnsi="Garamond"/>
          <w:noProof/>
          <w:color w:val="000000" w:themeColor="text1"/>
          <w:sz w:val="24"/>
          <w:szCs w:val="24"/>
        </w:rPr>
        <w:t xml:space="preserve">. </w:t>
      </w:r>
      <w:r w:rsidR="00FF58CC" w:rsidRPr="00B10EBE">
        <w:rPr>
          <w:rFonts w:ascii="Garamond" w:hAnsi="Garamond"/>
          <w:noProof/>
          <w:color w:val="000000" w:themeColor="text1"/>
          <w:sz w:val="24"/>
          <w:szCs w:val="24"/>
        </w:rPr>
        <w:t>We ended up with a</w:t>
      </w:r>
      <w:r w:rsidR="00A3003B" w:rsidRPr="00B10EBE">
        <w:rPr>
          <w:rFonts w:ascii="Garamond" w:hAnsi="Garamond"/>
          <w:noProof/>
          <w:color w:val="000000" w:themeColor="text1"/>
          <w:sz w:val="24"/>
          <w:szCs w:val="24"/>
        </w:rPr>
        <w:t xml:space="preserve"> total of 37 </w:t>
      </w:r>
      <w:r w:rsidR="00851846" w:rsidRPr="00B10EBE">
        <w:rPr>
          <w:rFonts w:ascii="Garamond" w:hAnsi="Garamond"/>
          <w:noProof/>
          <w:color w:val="000000" w:themeColor="text1"/>
          <w:sz w:val="24"/>
          <w:szCs w:val="24"/>
        </w:rPr>
        <w:t xml:space="preserve">plausible </w:t>
      </w:r>
      <w:r w:rsidR="00A3003B" w:rsidRPr="00B10EBE">
        <w:rPr>
          <w:rFonts w:ascii="Garamond" w:hAnsi="Garamond"/>
          <w:noProof/>
          <w:color w:val="000000" w:themeColor="text1"/>
          <w:sz w:val="24"/>
          <w:szCs w:val="24"/>
        </w:rPr>
        <w:t>hypotheses</w:t>
      </w:r>
      <w:r w:rsidR="00F9422F" w:rsidRPr="00B10EBE">
        <w:rPr>
          <w:rFonts w:ascii="Garamond" w:hAnsi="Garamond"/>
          <w:noProof/>
          <w:color w:val="000000" w:themeColor="text1"/>
          <w:sz w:val="24"/>
          <w:szCs w:val="24"/>
        </w:rPr>
        <w:t>, each of which was formalized as an individual causal SEM structure</w:t>
      </w:r>
      <w:r w:rsidR="00A3003B" w:rsidRPr="00B10EBE">
        <w:rPr>
          <w:rFonts w:ascii="Garamond" w:hAnsi="Garamond"/>
          <w:noProof/>
          <w:color w:val="000000" w:themeColor="text1"/>
          <w:sz w:val="24"/>
          <w:szCs w:val="24"/>
        </w:rPr>
        <w:t xml:space="preserve">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3</w:t>
      </w:r>
      <w:r w:rsidR="00A3003B" w:rsidRPr="00B10EBE">
        <w:rPr>
          <w:rFonts w:ascii="Garamond" w:hAnsi="Garamond"/>
          <w:noProof/>
          <w:color w:val="000000" w:themeColor="text1"/>
          <w:sz w:val="24"/>
          <w:szCs w:val="24"/>
        </w:rPr>
        <w:t>)</w:t>
      </w:r>
      <w:r w:rsidR="0092583B" w:rsidRPr="00B10EBE">
        <w:rPr>
          <w:rFonts w:ascii="Garamond" w:hAnsi="Garamond"/>
          <w:noProof/>
          <w:color w:val="000000" w:themeColor="text1"/>
          <w:sz w:val="24"/>
          <w:szCs w:val="24"/>
        </w:rPr>
        <w:t>.</w:t>
      </w:r>
      <w:r w:rsidR="00A3003B" w:rsidRPr="00B10EBE">
        <w:rPr>
          <w:rFonts w:ascii="Garamond" w:hAnsi="Garamond"/>
          <w:noProof/>
          <w:color w:val="000000" w:themeColor="text1"/>
          <w:sz w:val="24"/>
          <w:szCs w:val="24"/>
        </w:rPr>
        <w:t xml:space="preserve"> </w:t>
      </w:r>
      <w:r w:rsidR="0000053F" w:rsidRPr="00B10EBE">
        <w:rPr>
          <w:rFonts w:ascii="Garamond" w:hAnsi="Garamond"/>
          <w:noProof/>
          <w:color w:val="000000" w:themeColor="text1"/>
          <w:sz w:val="24"/>
          <w:szCs w:val="24"/>
        </w:rPr>
        <w:t>A</w:t>
      </w:r>
      <w:r w:rsidR="00903262" w:rsidRPr="00B10EBE">
        <w:rPr>
          <w:rFonts w:ascii="Garamond" w:hAnsi="Garamond"/>
          <w:noProof/>
          <w:color w:val="000000" w:themeColor="text1"/>
          <w:sz w:val="24"/>
          <w:szCs w:val="24"/>
        </w:rPr>
        <w:t xml:space="preserve">ll SEMs have VOD as the main response variable, </w:t>
      </w:r>
      <w:r w:rsidR="00851846" w:rsidRPr="00B10EBE">
        <w:rPr>
          <w:rFonts w:ascii="Garamond" w:hAnsi="Garamond"/>
          <w:noProof/>
          <w:color w:val="000000" w:themeColor="text1"/>
          <w:sz w:val="24"/>
          <w:szCs w:val="24"/>
        </w:rPr>
        <w:t xml:space="preserve">with </w:t>
      </w:r>
      <w:r w:rsidR="00903262" w:rsidRPr="00B10EBE">
        <w:rPr>
          <w:rFonts w:ascii="Garamond" w:hAnsi="Garamond"/>
          <w:noProof/>
          <w:color w:val="000000" w:themeColor="text1"/>
          <w:sz w:val="24"/>
          <w:szCs w:val="24"/>
        </w:rPr>
        <w:t xml:space="preserve">the effect </w:t>
      </w:r>
      <w:r w:rsidR="00851846" w:rsidRPr="00B10EBE">
        <w:rPr>
          <w:rFonts w:ascii="Garamond" w:hAnsi="Garamond"/>
          <w:noProof/>
          <w:color w:val="000000" w:themeColor="text1"/>
          <w:sz w:val="24"/>
          <w:szCs w:val="24"/>
        </w:rPr>
        <w:t xml:space="preserve">of </w:t>
      </w:r>
      <w:r w:rsidR="00903262" w:rsidRPr="00B10EBE">
        <w:rPr>
          <w:rFonts w:ascii="Garamond" w:hAnsi="Garamond"/>
          <w:noProof/>
          <w:color w:val="000000" w:themeColor="text1"/>
          <w:sz w:val="24"/>
          <w:szCs w:val="24"/>
        </w:rPr>
        <w:t xml:space="preserve">the other </w:t>
      </w:r>
      <w:r w:rsidR="00B10ABE" w:rsidRPr="00B10EBE">
        <w:rPr>
          <w:rFonts w:ascii="Garamond" w:hAnsi="Garamond"/>
          <w:noProof/>
          <w:color w:val="000000" w:themeColor="text1"/>
          <w:sz w:val="24"/>
          <w:szCs w:val="24"/>
        </w:rPr>
        <w:t xml:space="preserve">variables </w:t>
      </w:r>
      <w:r w:rsidR="00851846" w:rsidRPr="00B10EBE">
        <w:rPr>
          <w:rFonts w:ascii="Garamond" w:hAnsi="Garamond"/>
          <w:noProof/>
          <w:color w:val="000000" w:themeColor="text1"/>
          <w:sz w:val="24"/>
          <w:szCs w:val="24"/>
        </w:rPr>
        <w:t xml:space="preserve">quantified </w:t>
      </w:r>
      <w:r w:rsidR="00903262" w:rsidRPr="00B10EBE">
        <w:rPr>
          <w:rFonts w:ascii="Garamond" w:hAnsi="Garamond"/>
          <w:noProof/>
          <w:color w:val="000000" w:themeColor="text1"/>
          <w:sz w:val="24"/>
          <w:szCs w:val="24"/>
        </w:rPr>
        <w:t xml:space="preserve">directly </w:t>
      </w:r>
      <w:r w:rsidR="009C2DF7" w:rsidRPr="00B10EBE">
        <w:rPr>
          <w:rFonts w:ascii="Garamond" w:hAnsi="Garamond"/>
          <w:noProof/>
          <w:color w:val="000000" w:themeColor="text1"/>
          <w:sz w:val="24"/>
          <w:szCs w:val="24"/>
        </w:rPr>
        <w:t>and/</w:t>
      </w:r>
      <w:r w:rsidR="00903262" w:rsidRPr="00B10EBE">
        <w:rPr>
          <w:rFonts w:ascii="Garamond" w:hAnsi="Garamond"/>
          <w:noProof/>
          <w:color w:val="000000" w:themeColor="text1"/>
          <w:sz w:val="24"/>
          <w:szCs w:val="24"/>
        </w:rPr>
        <w:t xml:space="preserve">or indirectly via burned area. Two exceptions </w:t>
      </w:r>
      <w:r w:rsidR="00B10ABE" w:rsidRPr="00B10EBE">
        <w:rPr>
          <w:rFonts w:ascii="Garamond" w:hAnsi="Garamond"/>
          <w:noProof/>
          <w:color w:val="000000" w:themeColor="text1"/>
          <w:sz w:val="24"/>
          <w:szCs w:val="24"/>
        </w:rPr>
        <w:t xml:space="preserve">were </w:t>
      </w:r>
      <w:r w:rsidR="00903262" w:rsidRPr="00B10EBE">
        <w:rPr>
          <w:rFonts w:ascii="Garamond" w:hAnsi="Garamond"/>
          <w:noProof/>
          <w:color w:val="000000" w:themeColor="text1"/>
          <w:sz w:val="24"/>
          <w:szCs w:val="24"/>
        </w:rPr>
        <w:t xml:space="preserve">dry </w:t>
      </w:r>
      <w:r w:rsidR="00903262" w:rsidRPr="00B10EBE">
        <w:rPr>
          <w:rFonts w:ascii="Garamond" w:hAnsi="Garamond"/>
          <w:noProof/>
          <w:color w:val="000000" w:themeColor="text1"/>
          <w:sz w:val="24"/>
          <w:szCs w:val="24"/>
        </w:rPr>
        <w:lastRenderedPageBreak/>
        <w:t>season rainfall and previous year VOD, which we deemed as reasonable predictor</w:t>
      </w:r>
      <w:r w:rsidR="00283495" w:rsidRPr="00B10EBE">
        <w:rPr>
          <w:rFonts w:ascii="Garamond" w:hAnsi="Garamond"/>
          <w:noProof/>
          <w:color w:val="000000" w:themeColor="text1"/>
          <w:sz w:val="24"/>
          <w:szCs w:val="24"/>
        </w:rPr>
        <w:t>s</w:t>
      </w:r>
      <w:r w:rsidR="00903262" w:rsidRPr="00B10EBE">
        <w:rPr>
          <w:rFonts w:ascii="Garamond" w:hAnsi="Garamond"/>
          <w:noProof/>
          <w:color w:val="000000" w:themeColor="text1"/>
          <w:sz w:val="24"/>
          <w:szCs w:val="24"/>
        </w:rPr>
        <w:t xml:space="preserve"> of VOD</w:t>
      </w:r>
      <w:r w:rsidR="00F9422F" w:rsidRPr="00B10EBE">
        <w:rPr>
          <w:rFonts w:ascii="Garamond" w:hAnsi="Garamond"/>
          <w:noProof/>
          <w:color w:val="000000" w:themeColor="text1"/>
          <w:sz w:val="24"/>
          <w:szCs w:val="24"/>
        </w:rPr>
        <w:t xml:space="preserve"> only (Brandt </w:t>
      </w:r>
      <w:r w:rsidR="00934B25" w:rsidRPr="00B10EBE">
        <w:rPr>
          <w:rFonts w:ascii="Garamond" w:hAnsi="Garamond"/>
          <w:noProof/>
          <w:color w:val="000000" w:themeColor="text1"/>
          <w:sz w:val="24"/>
          <w:szCs w:val="24"/>
        </w:rPr>
        <w:t>et al.,</w:t>
      </w:r>
      <w:r w:rsidR="00F9422F" w:rsidRPr="00B10EBE">
        <w:rPr>
          <w:rFonts w:ascii="Garamond" w:hAnsi="Garamond"/>
          <w:noProof/>
          <w:color w:val="000000" w:themeColor="text1"/>
          <w:sz w:val="24"/>
          <w:szCs w:val="24"/>
        </w:rPr>
        <w:t xml:space="preserve"> 2019) and</w:t>
      </w:r>
      <w:r w:rsidR="00851846" w:rsidRPr="00B10EBE">
        <w:rPr>
          <w:rFonts w:ascii="Garamond" w:hAnsi="Garamond"/>
          <w:noProof/>
          <w:color w:val="000000" w:themeColor="text1"/>
          <w:sz w:val="24"/>
          <w:szCs w:val="24"/>
        </w:rPr>
        <w:t xml:space="preserve"> </w:t>
      </w:r>
      <w:r w:rsidR="00B57A74" w:rsidRPr="00B10EBE">
        <w:rPr>
          <w:rFonts w:ascii="Garamond" w:hAnsi="Garamond"/>
          <w:noProof/>
          <w:color w:val="000000" w:themeColor="text1"/>
          <w:sz w:val="24"/>
          <w:szCs w:val="24"/>
        </w:rPr>
        <w:t xml:space="preserve">were not included </w:t>
      </w:r>
      <w:r w:rsidR="00AE7BD5" w:rsidRPr="00B10EBE">
        <w:rPr>
          <w:rFonts w:ascii="Garamond" w:hAnsi="Garamond"/>
          <w:noProof/>
          <w:color w:val="000000" w:themeColor="text1"/>
          <w:sz w:val="24"/>
          <w:szCs w:val="24"/>
        </w:rPr>
        <w:t>as</w:t>
      </w:r>
      <w:r w:rsidR="000A5C4A" w:rsidRPr="00B10EBE">
        <w:rPr>
          <w:rFonts w:ascii="Garamond" w:hAnsi="Garamond"/>
          <w:noProof/>
          <w:color w:val="000000" w:themeColor="text1"/>
          <w:sz w:val="24"/>
          <w:szCs w:val="24"/>
        </w:rPr>
        <w:t xml:space="preserve"> indirect predictor</w:t>
      </w:r>
      <w:r w:rsidR="00851846" w:rsidRPr="00B10EBE">
        <w:rPr>
          <w:rFonts w:ascii="Garamond" w:hAnsi="Garamond"/>
          <w:noProof/>
          <w:color w:val="000000" w:themeColor="text1"/>
          <w:sz w:val="24"/>
          <w:szCs w:val="24"/>
        </w:rPr>
        <w:t>s</w:t>
      </w:r>
      <w:r w:rsidR="000A5C4A" w:rsidRPr="00B10EBE">
        <w:rPr>
          <w:rFonts w:ascii="Garamond" w:hAnsi="Garamond"/>
          <w:noProof/>
          <w:color w:val="000000" w:themeColor="text1"/>
          <w:sz w:val="24"/>
          <w:szCs w:val="24"/>
        </w:rPr>
        <w:t xml:space="preserve"> of VOD to avoid </w:t>
      </w:r>
      <w:r w:rsidR="00FF58CC" w:rsidRPr="00B10EBE">
        <w:rPr>
          <w:rFonts w:ascii="Garamond" w:hAnsi="Garamond"/>
          <w:noProof/>
          <w:color w:val="000000" w:themeColor="text1"/>
          <w:sz w:val="24"/>
          <w:szCs w:val="24"/>
        </w:rPr>
        <w:t xml:space="preserve">any </w:t>
      </w:r>
      <w:r w:rsidR="00C4184F" w:rsidRPr="00B10EBE">
        <w:rPr>
          <w:rFonts w:ascii="Garamond" w:hAnsi="Garamond"/>
          <w:noProof/>
          <w:color w:val="000000" w:themeColor="text1"/>
          <w:sz w:val="24"/>
          <w:szCs w:val="24"/>
        </w:rPr>
        <w:t xml:space="preserve">circular causality problems </w:t>
      </w:r>
      <w:r w:rsidR="00C4184F"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{"citationID":"ShAr2eeX","properties":{"formattedCitation":"(Bowman et al., 2015)","plainCitation":"(Bowman et al., 2015)","noteIndex":0},"citationItems":[{"id":259,"uris":["http://zotero.org/users/10686236/items/P4R69H2S"],"itemData":{"id":259,"type":"article-journal","abstract":"Alternative stable-state theory (ASS) is widely accepted as explaining landscape-level vegetation dynamics, such as switches between forest and grassland. This theory argues that webs of feedbacks stabilise vegetation composition and structure, and that abrupt state shifts can occur if stabilising feedbacks are weakened. However, it is difficult to identify stabilising feedback loops and the disturbance thresholds beyond which state changes occur. Here, we argue that doing this requires a synthetic approach blending observation, experimentation, simulation, conceptual models, and narratives. Using forest boundaries and large mammal extinctions, we illustrate how a multifaceted research program can advance understanding of feedback-driven ecosystem change. Our integrative approach has applicability to other complex macroecological systems controlled by numerous feedbacks where controlled experimentation is impossible.","container-title":"Trends in Ecology and Evolution","DOI":"10.1016/j.tree.2015.03.005","ISSN":"01695347","issue":"5","note":"PMID: 25837918\npublisher: Elsevier Ltd","page":"255-260","title":"Feedbacks and landscape-level vegetation dynamics","volume":"30","author":[{"family":"Bowman","given":"David M.J.S."},{"family":"Perry","given":"George L.W."},{"family":"Marston","given":"J. B."}],"issued":{"date-parts":[["2015"]]}}}],"schema":"https://github.com/citation-style-language/schema/raw/master/csl-citation.json"} </w:instrText>
      </w:r>
      <w:r w:rsidR="00C4184F"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(Bowman et al., 2015)</w:t>
      </w:r>
      <w:r w:rsidR="00C4184F" w:rsidRPr="00B10EBE">
        <w:rPr>
          <w:rFonts w:ascii="Garamond" w:hAnsi="Garamond"/>
          <w:noProof/>
          <w:color w:val="000000" w:themeColor="text1"/>
          <w:sz w:val="24"/>
          <w:szCs w:val="24"/>
        </w:rPr>
        <w:fldChar w:fldCharType="end"/>
      </w:r>
      <w:r w:rsidR="00C4184F" w:rsidRPr="00B10EBE">
        <w:rPr>
          <w:rFonts w:ascii="Garamond" w:hAnsi="Garamond"/>
          <w:noProof/>
          <w:color w:val="000000" w:themeColor="text1"/>
          <w:sz w:val="24"/>
          <w:szCs w:val="24"/>
        </w:rPr>
        <w:t>.</w:t>
      </w:r>
      <w:r w:rsidR="00903262" w:rsidRPr="00B10EBE">
        <w:rPr>
          <w:rFonts w:ascii="Garamond" w:hAnsi="Garamond"/>
          <w:noProof/>
          <w:color w:val="000000" w:themeColor="text1"/>
          <w:sz w:val="24"/>
          <w:szCs w:val="24"/>
        </w:rPr>
        <w:t xml:space="preserve"> </w:t>
      </w:r>
      <w:r w:rsidR="00851846" w:rsidRPr="00B10EBE">
        <w:rPr>
          <w:rFonts w:ascii="Garamond" w:hAnsi="Garamond"/>
          <w:noProof/>
          <w:color w:val="000000" w:themeColor="text1"/>
          <w:sz w:val="24"/>
          <w:szCs w:val="24"/>
        </w:rPr>
        <w:t>A</w:t>
      </w:r>
      <w:r w:rsidR="00903262" w:rsidRPr="00B10EBE">
        <w:rPr>
          <w:rFonts w:ascii="Garamond" w:hAnsi="Garamond"/>
          <w:noProof/>
          <w:color w:val="000000" w:themeColor="text1"/>
          <w:sz w:val="24"/>
          <w:szCs w:val="24"/>
        </w:rPr>
        <w:t xml:space="preserve">nnual rainfall </w:t>
      </w:r>
      <w:r w:rsidR="00851846" w:rsidRPr="00B10EBE">
        <w:rPr>
          <w:rFonts w:ascii="Garamond" w:hAnsi="Garamond"/>
          <w:noProof/>
          <w:color w:val="000000" w:themeColor="text1"/>
          <w:sz w:val="24"/>
          <w:szCs w:val="24"/>
        </w:rPr>
        <w:t>was specified as a</w:t>
      </w:r>
      <w:r w:rsidR="00903262" w:rsidRPr="00B10EBE">
        <w:rPr>
          <w:rFonts w:ascii="Garamond" w:hAnsi="Garamond"/>
          <w:noProof/>
          <w:color w:val="000000" w:themeColor="text1"/>
          <w:sz w:val="24"/>
          <w:szCs w:val="24"/>
        </w:rPr>
        <w:t xml:space="preserve"> predictor of both VOD and </w:t>
      </w:r>
      <w:r w:rsidR="00C4184F" w:rsidRPr="00B10EBE">
        <w:rPr>
          <w:rFonts w:ascii="Garamond" w:hAnsi="Garamond"/>
          <w:noProof/>
          <w:color w:val="000000" w:themeColor="text1"/>
          <w:sz w:val="24"/>
          <w:szCs w:val="24"/>
        </w:rPr>
        <w:t>burned area</w:t>
      </w:r>
      <w:r w:rsidR="00903262" w:rsidRPr="00B10EBE">
        <w:rPr>
          <w:rFonts w:ascii="Garamond" w:hAnsi="Garamond"/>
          <w:noProof/>
          <w:color w:val="000000" w:themeColor="text1"/>
          <w:sz w:val="24"/>
          <w:szCs w:val="24"/>
        </w:rPr>
        <w:t xml:space="preserve">. We acknowledge that fire regimes may be better explained by rainfall preceding the fire season, </w:t>
      </w:r>
      <w:r w:rsidR="0053756E" w:rsidRPr="00B10EBE">
        <w:rPr>
          <w:rFonts w:ascii="Garamond" w:hAnsi="Garamond"/>
          <w:noProof/>
          <w:color w:val="000000" w:themeColor="text1"/>
          <w:sz w:val="24"/>
          <w:szCs w:val="24"/>
        </w:rPr>
        <w:t xml:space="preserve">yet </w:t>
      </w:r>
      <w:r w:rsidR="00903262" w:rsidRPr="00B10EBE">
        <w:rPr>
          <w:rFonts w:ascii="Garamond" w:hAnsi="Garamond"/>
          <w:noProof/>
          <w:color w:val="000000" w:themeColor="text1"/>
          <w:sz w:val="24"/>
          <w:szCs w:val="24"/>
        </w:rPr>
        <w:t xml:space="preserve">we </w:t>
      </w:r>
      <w:r w:rsidR="00F9422F" w:rsidRPr="00B10EBE">
        <w:rPr>
          <w:rFonts w:ascii="Garamond" w:hAnsi="Garamond"/>
          <w:noProof/>
          <w:color w:val="000000" w:themeColor="text1"/>
          <w:sz w:val="24"/>
          <w:szCs w:val="24"/>
        </w:rPr>
        <w:t xml:space="preserve">only used </w:t>
      </w:r>
      <w:r w:rsidR="00903262" w:rsidRPr="00B10EBE">
        <w:rPr>
          <w:rFonts w:ascii="Garamond" w:hAnsi="Garamond"/>
          <w:noProof/>
          <w:color w:val="000000" w:themeColor="text1"/>
          <w:sz w:val="24"/>
          <w:szCs w:val="24"/>
        </w:rPr>
        <w:t>annual rainfall</w:t>
      </w:r>
      <w:r w:rsidR="00F9422F" w:rsidRPr="00B10EBE">
        <w:rPr>
          <w:rFonts w:ascii="Garamond" w:hAnsi="Garamond"/>
          <w:noProof/>
          <w:color w:val="000000" w:themeColor="text1"/>
          <w:sz w:val="24"/>
          <w:szCs w:val="24"/>
        </w:rPr>
        <w:t xml:space="preserve"> as </w:t>
      </w:r>
      <w:r w:rsidR="00FF58CC" w:rsidRPr="00B10EBE">
        <w:rPr>
          <w:rFonts w:ascii="Garamond" w:hAnsi="Garamond"/>
          <w:noProof/>
          <w:color w:val="000000" w:themeColor="text1"/>
          <w:sz w:val="24"/>
          <w:szCs w:val="24"/>
        </w:rPr>
        <w:t>it</w:t>
      </w:r>
      <w:r w:rsidR="00903262" w:rsidRPr="00B10EBE">
        <w:rPr>
          <w:rFonts w:ascii="Garamond" w:hAnsi="Garamond"/>
          <w:noProof/>
          <w:color w:val="000000" w:themeColor="text1"/>
          <w:sz w:val="24"/>
          <w:szCs w:val="24"/>
        </w:rPr>
        <w:t xml:space="preserve"> </w:t>
      </w:r>
      <w:r w:rsidR="00151B3D" w:rsidRPr="00B10EBE">
        <w:rPr>
          <w:rFonts w:ascii="Garamond" w:hAnsi="Garamond"/>
          <w:noProof/>
          <w:color w:val="000000" w:themeColor="text1"/>
          <w:sz w:val="24"/>
          <w:szCs w:val="24"/>
        </w:rPr>
        <w:t>was</w:t>
      </w:r>
      <w:r w:rsidR="00903262" w:rsidRPr="00B10EBE">
        <w:rPr>
          <w:rFonts w:ascii="Garamond" w:hAnsi="Garamond"/>
          <w:noProof/>
          <w:color w:val="000000" w:themeColor="text1"/>
          <w:sz w:val="24"/>
          <w:szCs w:val="24"/>
        </w:rPr>
        <w:t xml:space="preserve"> </w:t>
      </w:r>
      <w:r w:rsidR="009A6BDF" w:rsidRPr="00B10EBE">
        <w:rPr>
          <w:rFonts w:ascii="Garamond" w:hAnsi="Garamond"/>
          <w:noProof/>
          <w:color w:val="000000" w:themeColor="text1"/>
          <w:sz w:val="24"/>
          <w:szCs w:val="24"/>
        </w:rPr>
        <w:t xml:space="preserve">strongly </w:t>
      </w:r>
      <w:r w:rsidR="00903262" w:rsidRPr="00B10EBE">
        <w:rPr>
          <w:rFonts w:ascii="Garamond" w:hAnsi="Garamond"/>
          <w:noProof/>
          <w:color w:val="000000" w:themeColor="text1"/>
          <w:sz w:val="24"/>
          <w:szCs w:val="24"/>
        </w:rPr>
        <w:t>collinear (Pearson’s r &gt; 0.</w:t>
      </w:r>
      <w:r w:rsidR="00637A5C" w:rsidRPr="00B10EBE">
        <w:rPr>
          <w:rFonts w:ascii="Garamond" w:hAnsi="Garamond"/>
          <w:noProof/>
          <w:color w:val="000000" w:themeColor="text1"/>
          <w:sz w:val="24"/>
          <w:szCs w:val="24"/>
        </w:rPr>
        <w:t>77</w:t>
      </w:r>
      <w:r w:rsidR="004B094B" w:rsidRPr="00B10EBE">
        <w:rPr>
          <w:rFonts w:ascii="Garamond" w:hAnsi="Garamond"/>
          <w:noProof/>
          <w:color w:val="000000" w:themeColor="text1"/>
          <w:sz w:val="24"/>
          <w:szCs w:val="24"/>
        </w:rPr>
        <w:t>4</w:t>
      </w:r>
      <w:r w:rsidR="00903262" w:rsidRPr="00B10EBE">
        <w:rPr>
          <w:rFonts w:ascii="Garamond" w:hAnsi="Garamond"/>
          <w:noProof/>
          <w:color w:val="000000" w:themeColor="text1"/>
          <w:sz w:val="24"/>
          <w:szCs w:val="24"/>
        </w:rPr>
        <w:t>) with rainfall metrics accumulated over 6, 12, 18, and 24 months before the fire season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4</w:t>
      </w:r>
      <w:r w:rsidR="00903262" w:rsidRPr="00B10EBE">
        <w:rPr>
          <w:rFonts w:ascii="Garamond" w:hAnsi="Garamond"/>
          <w:noProof/>
          <w:color w:val="000000" w:themeColor="text1"/>
          <w:sz w:val="24"/>
          <w:szCs w:val="24"/>
        </w:rPr>
        <w:t>)</w:t>
      </w:r>
      <w:r w:rsidR="00793947" w:rsidRPr="00B10EBE">
        <w:rPr>
          <w:rFonts w:ascii="Garamond" w:hAnsi="Garamond"/>
          <w:noProof/>
          <w:color w:val="000000" w:themeColor="text1"/>
          <w:sz w:val="24"/>
          <w:szCs w:val="24"/>
        </w:rPr>
        <w:t xml:space="preserve"> </w:t>
      </w:r>
      <w:r w:rsidR="00793947"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{"citationID":"a26f81ak5jp","properties":{"formattedCitation":"(Karp et al., 2023)","plainCitation":"(Karp et al., 2023)","noteIndex":0},"citationItems":[{"id":76,"uris":["http://zotero.org/users/10686236/items/BK579HUG"],"itemData":{"id":76,"type":"article-journal","abstract":"Fire is a key ecosystem process in tropical and subtropical savannas, with a varying role that depends on hydroclimate but also on feedbacks between ﬁre and vegetation. In savannas, ﬁre response to changes in rainfall depends on mean annual rainfall: in arid and semi-arid systems, burned area increases as rainfall increases fuel amount, whereas in mesic systems with high fuel moisture, burned area decreases as rainfall increases. The non-linear relationship between burned area and rainfall may be due in part to changes in the constraints on ﬁre activity that shift the limiting factor for burning in savannas from fuel amount to fuel moisture with increasing rainfall and decreasing seasonality. Vegetation-ﬁre feedbacks can also promote a shift from ﬁre-prone savanna vegetation to forest taxa that suppress ﬁre as rainfall increases. However, modern observations are, by deﬁnition, constrained to short-term dynamics, and the longer-term effects of precipitation changes on ﬁre activity have not been evaluated. These longer-term impacts are especially relevant for evaluating biome transitions changing in response to variable hydroclimate and ﬁre activity. The Late Pleistocene and early Holocene African Humid Period (AHP; ~14.5 e5.5 ka), when rainfall increased substantially across northern and equatorial Africa, provides an opportunity to examine long-term ﬁre responses to increased precipitation at sites with different mean annual rainfall amounts. Here, we combine new polycyclic aromatic hydrocarbons (PAHs) records of paleoﬁre activity at two East African lake basins (Lakes Victoria and Turkana) with previously published ﬁre records (i.e., charcoal, levoglucosan) at ﬁve sites (GeoB7920-2, GeoB9508-5, Lakes Chala, Tanganyika and Bosumtwe) to examine responses of ﬁre activity along a rainfall gradient (from &lt;200 mm to 1500 mm). Our synthesis reveals ﬁre dynamics that are consistent with modern ecosystem dynamics and shows that ﬁre activity at each site followed predicted patterns across the AHP depending on initial mean rainfall, with increased ﬁre activity at arid to semi-arid sites and decreased ﬁre activity at mesic-tohumid sites. Results illustrate that ﬁre responses to hydroclimate are nonlinear, such that the same direction of change in precipitation can elicit different ﬁre responses depending on the total precipitation at a site. Accounting for heterogeneity in hydroclimate, even within biomes, may improve predictions of how ﬁre activity will respond to future changes in rainfall regimes.","container-title":"Quaternary Science Reviews","DOI":"10.1016/j.quascirev.2023.107994","ISSN":"02773791","journalAbbreviation":"Quaternary Science Reviews","language":"en","page":"107994","source":"DOI.org (Crossref)","title":"Nonlinear rainfall effects on savanna fire activity across the African Humid Period","volume":"304","author":[{"family":"Karp","given":"Allison T."},{"family":"Uno","given":"Kevin T."},{"family":"Berke","given":"Melissa A."},{"family":"Russell","given":"James M."},{"family":"Scholz","given":"Christopher A."},{"family":"Marlon","given":"Jennifer R."},{"family":"Faith","given":"J. Tyler"},{"family":"Staver","given":"A. Carla"}],"issued":{"date-parts":[["2023"]]}}}],"schema":"https://github.com/citation-style-language/schema/raw/master/csl-citation.json"} </w:instrText>
      </w:r>
      <w:r w:rsidR="00793947" w:rsidRPr="00B10EBE">
        <w:rPr>
          <w:rFonts w:ascii="Garamond" w:hAnsi="Garamond"/>
          <w:noProof/>
          <w:color w:val="000000" w:themeColor="text1"/>
          <w:sz w:val="24"/>
          <w:szCs w:val="24"/>
        </w:rPr>
        <w:fldChar w:fldCharType="separate"/>
      </w:r>
      <w:r w:rsidR="00D570F9" w:rsidRPr="00B10EBE">
        <w:rPr>
          <w:rFonts w:ascii="Garamond" w:hAnsi="Garamond"/>
          <w:color w:val="000000" w:themeColor="text1"/>
          <w:sz w:val="24"/>
        </w:rPr>
        <w:t>(Karp et al., 2023)</w:t>
      </w:r>
      <w:r w:rsidR="00793947" w:rsidRPr="00B10EBE">
        <w:rPr>
          <w:rFonts w:ascii="Garamond" w:hAnsi="Garamond"/>
          <w:noProof/>
          <w:color w:val="000000" w:themeColor="text1"/>
          <w:sz w:val="24"/>
          <w:szCs w:val="24"/>
        </w:rPr>
        <w:fldChar w:fldCharType="end"/>
      </w:r>
      <w:r w:rsidR="00903262" w:rsidRPr="00B10EBE">
        <w:rPr>
          <w:rFonts w:ascii="Garamond" w:hAnsi="Garamond"/>
          <w:noProof/>
          <w:color w:val="000000" w:themeColor="text1"/>
          <w:sz w:val="24"/>
          <w:szCs w:val="24"/>
        </w:rPr>
        <w:t>.</w:t>
      </w:r>
    </w:p>
    <w:p w14:paraId="07204F16" w14:textId="7BE1C00E" w:rsidR="00AD18C6" w:rsidRPr="00B10EBE" w:rsidRDefault="00AD18C6"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bCs/>
          <w:noProof/>
          <w:color w:val="000000" w:themeColor="text1"/>
          <w:sz w:val="24"/>
          <w:szCs w:val="24"/>
        </w:rPr>
        <w:t>2 - Model run</w:t>
      </w:r>
      <w:r w:rsidR="00FF58CC" w:rsidRPr="00B10EBE">
        <w:rPr>
          <w:rFonts w:ascii="Garamond" w:hAnsi="Garamond"/>
          <w:bCs/>
          <w:noProof/>
          <w:color w:val="000000" w:themeColor="text1"/>
          <w:sz w:val="24"/>
          <w:szCs w:val="24"/>
        </w:rPr>
        <w:t>s</w:t>
      </w:r>
      <w:r w:rsidRPr="00B10EBE">
        <w:rPr>
          <w:rFonts w:ascii="Garamond" w:hAnsi="Garamond"/>
          <w:bCs/>
          <w:noProof/>
          <w:color w:val="000000" w:themeColor="text1"/>
          <w:sz w:val="24"/>
          <w:szCs w:val="24"/>
        </w:rPr>
        <w:t>.</w:t>
      </w:r>
      <w:r w:rsidRPr="00B10EBE">
        <w:rPr>
          <w:rFonts w:ascii="Garamond" w:hAnsi="Garamond"/>
          <w:noProof/>
          <w:color w:val="000000" w:themeColor="text1"/>
          <w:sz w:val="24"/>
          <w:szCs w:val="24"/>
        </w:rPr>
        <w:t xml:space="preserve"> </w:t>
      </w:r>
      <w:r w:rsidR="00492F19" w:rsidRPr="00B10EBE">
        <w:rPr>
          <w:rFonts w:ascii="Garamond" w:hAnsi="Garamond"/>
          <w:noProof/>
          <w:color w:val="000000" w:themeColor="text1"/>
          <w:sz w:val="24"/>
          <w:szCs w:val="24"/>
        </w:rPr>
        <w:t>All</w:t>
      </w:r>
      <w:r w:rsidR="008403A0" w:rsidRPr="00B10EBE">
        <w:rPr>
          <w:rFonts w:ascii="Garamond" w:hAnsi="Garamond"/>
          <w:noProof/>
          <w:color w:val="000000" w:themeColor="text1"/>
          <w:sz w:val="24"/>
          <w:szCs w:val="24"/>
        </w:rPr>
        <w:t xml:space="preserve"> SEMs were run using the psem function </w:t>
      </w:r>
      <w:r w:rsidR="00531E0F" w:rsidRPr="00B10EBE">
        <w:rPr>
          <w:rFonts w:ascii="Garamond" w:hAnsi="Garamond"/>
          <w:noProof/>
          <w:color w:val="000000" w:themeColor="text1"/>
          <w:sz w:val="24"/>
          <w:szCs w:val="24"/>
        </w:rPr>
        <w:t xml:space="preserve">in </w:t>
      </w:r>
      <w:r w:rsidR="008403A0" w:rsidRPr="00B10EBE">
        <w:rPr>
          <w:rFonts w:ascii="Garamond" w:hAnsi="Garamond"/>
          <w:noProof/>
          <w:color w:val="000000" w:themeColor="text1"/>
          <w:sz w:val="24"/>
          <w:szCs w:val="24"/>
        </w:rPr>
        <w:t>the R package ‘piecewiseSEM’</w:t>
      </w:r>
      <w:r w:rsidR="00446120" w:rsidRPr="00B10EBE">
        <w:rPr>
          <w:rFonts w:ascii="Garamond" w:hAnsi="Garamond"/>
          <w:noProof/>
          <w:color w:val="000000" w:themeColor="text1"/>
          <w:sz w:val="24"/>
          <w:szCs w:val="24"/>
        </w:rPr>
        <w:t xml:space="preserve"> </w:t>
      </w:r>
      <w:r w:rsidR="00446120"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{"citationID":"a11rmvd5d8n","properties":{"formattedCitation":"(J. Lefcheck et al., 2020)","plainCitation":"(J. Lefcheck et al., 2020)","dontUpdate":true,"noteIndex":0},"citationItems":[{"id":234,"uris":["http://zotero.org/users/10686236/items/NRXAB8PG"],"itemData":{"id":234,"type":"report","note":"container-title: CRAN","title":"Package 'piecewiseSEM'","author":[{"family":"Lefcheck","given":"J."},{"family":"Byrnes","given":"J."},{"family":"James","given":"G."}],"issued":{"date-parts":[["2020"]]}}}],"schema":"https://github.com/citation-style-language/schema/raw/master/csl-citation.json"} </w:instrText>
      </w:r>
      <w:r w:rsidR="00446120" w:rsidRPr="00B10EBE">
        <w:rPr>
          <w:rFonts w:ascii="Garamond" w:hAnsi="Garamond"/>
          <w:noProof/>
          <w:color w:val="000000" w:themeColor="text1"/>
          <w:sz w:val="24"/>
          <w:szCs w:val="24"/>
        </w:rPr>
        <w:fldChar w:fldCharType="separate"/>
      </w:r>
      <w:r w:rsidR="002C4B35" w:rsidRPr="00B10EBE">
        <w:rPr>
          <w:rFonts w:ascii="Garamond" w:hAnsi="Garamond"/>
          <w:color w:val="000000" w:themeColor="text1"/>
          <w:sz w:val="24"/>
        </w:rPr>
        <w:t>(Lefcheck et al., 2020)</w:t>
      </w:r>
      <w:r w:rsidR="00446120" w:rsidRPr="00B10EBE">
        <w:rPr>
          <w:rFonts w:ascii="Garamond" w:hAnsi="Garamond"/>
          <w:noProof/>
          <w:color w:val="000000" w:themeColor="text1"/>
          <w:sz w:val="24"/>
          <w:szCs w:val="24"/>
        </w:rPr>
        <w:fldChar w:fldCharType="end"/>
      </w:r>
      <w:r w:rsidR="0000053F" w:rsidRPr="00B10EBE">
        <w:rPr>
          <w:rFonts w:ascii="Garamond" w:hAnsi="Garamond"/>
          <w:noProof/>
          <w:color w:val="000000" w:themeColor="text1"/>
          <w:sz w:val="24"/>
          <w:szCs w:val="24"/>
        </w:rPr>
        <w:t>.</w:t>
      </w:r>
      <w:r w:rsidR="00E21102" w:rsidRPr="00B10EBE">
        <w:rPr>
          <w:rFonts w:ascii="Garamond" w:hAnsi="Garamond"/>
          <w:noProof/>
          <w:color w:val="000000" w:themeColor="text1"/>
          <w:sz w:val="24"/>
          <w:szCs w:val="24"/>
        </w:rPr>
        <w:t xml:space="preserve"> </w:t>
      </w:r>
      <w:r w:rsidR="00851846" w:rsidRPr="00B10EBE">
        <w:rPr>
          <w:rFonts w:ascii="Garamond" w:hAnsi="Garamond"/>
          <w:noProof/>
          <w:color w:val="000000" w:themeColor="text1"/>
          <w:sz w:val="24"/>
          <w:szCs w:val="24"/>
        </w:rPr>
        <w:t>R</w:t>
      </w:r>
      <w:r w:rsidR="00A3003B" w:rsidRPr="00B10EBE">
        <w:rPr>
          <w:rFonts w:ascii="Garamond" w:hAnsi="Garamond"/>
          <w:noProof/>
          <w:color w:val="000000" w:themeColor="text1"/>
          <w:sz w:val="24"/>
          <w:szCs w:val="24"/>
        </w:rPr>
        <w:t>ather than fitting continent-wide</w:t>
      </w:r>
      <w:r w:rsidR="00A3003B" w:rsidRPr="00B10EBE">
        <w:rPr>
          <w:rFonts w:ascii="Garamond" w:hAnsi="Garamond"/>
          <w:noProof/>
          <w:color w:val="000000" w:themeColor="text1"/>
          <w:kern w:val="28"/>
          <w:sz w:val="24"/>
          <w:szCs w:val="24"/>
        </w:rPr>
        <w:t xml:space="preserve"> model</w:t>
      </w:r>
      <w:r w:rsidR="00B347F0" w:rsidRPr="00B10EBE">
        <w:rPr>
          <w:rFonts w:ascii="Garamond" w:hAnsi="Garamond"/>
          <w:noProof/>
          <w:color w:val="000000" w:themeColor="text1"/>
          <w:kern w:val="28"/>
          <w:sz w:val="24"/>
          <w:szCs w:val="24"/>
        </w:rPr>
        <w:t>s</w:t>
      </w:r>
      <w:r w:rsidR="00851846" w:rsidRPr="00B10EBE">
        <w:rPr>
          <w:rFonts w:ascii="Garamond" w:hAnsi="Garamond"/>
          <w:noProof/>
          <w:color w:val="000000" w:themeColor="text1"/>
          <w:kern w:val="28"/>
          <w:sz w:val="24"/>
          <w:szCs w:val="24"/>
        </w:rPr>
        <w:t xml:space="preserve"> with all years, </w:t>
      </w:r>
      <w:r w:rsidR="00851846" w:rsidRPr="00B10EBE">
        <w:rPr>
          <w:rFonts w:ascii="Garamond" w:hAnsi="Garamond"/>
          <w:noProof/>
          <w:color w:val="000000" w:themeColor="text1"/>
          <w:sz w:val="24"/>
          <w:szCs w:val="24"/>
        </w:rPr>
        <w:t xml:space="preserve">separate models were fit for each </w:t>
      </w:r>
      <w:r w:rsidR="007D0912" w:rsidRPr="00B10EBE">
        <w:rPr>
          <w:rFonts w:ascii="Garamond" w:hAnsi="Garamond"/>
          <w:noProof/>
          <w:color w:val="000000" w:themeColor="text1"/>
          <w:sz w:val="24"/>
          <w:szCs w:val="24"/>
        </w:rPr>
        <w:t>bioregion</w:t>
      </w:r>
      <w:r w:rsidR="009B1982" w:rsidRPr="00B10EBE">
        <w:rPr>
          <w:rFonts w:ascii="Garamond" w:hAnsi="Garamond"/>
          <w:noProof/>
          <w:color w:val="000000" w:themeColor="text1"/>
          <w:sz w:val="24"/>
          <w:szCs w:val="24"/>
        </w:rPr>
        <w:t xml:space="preserve"> (i.e., Sahel grasslands, Greater Karoo and Kalahari drylands, Southeast African subtropical grasslands, and Madagascar)</w:t>
      </w:r>
      <w:r w:rsidR="00851846" w:rsidRPr="00B10EBE">
        <w:rPr>
          <w:rFonts w:ascii="Garamond" w:hAnsi="Garamond"/>
          <w:noProof/>
          <w:color w:val="000000" w:themeColor="text1"/>
          <w:sz w:val="24"/>
          <w:szCs w:val="24"/>
        </w:rPr>
        <w:t xml:space="preserve"> and year</w:t>
      </w:r>
      <w:r w:rsidR="00B347F0" w:rsidRPr="00B10EBE">
        <w:rPr>
          <w:rFonts w:ascii="Garamond" w:hAnsi="Garamond"/>
          <w:noProof/>
          <w:color w:val="000000" w:themeColor="text1"/>
          <w:sz w:val="24"/>
          <w:szCs w:val="24"/>
        </w:rPr>
        <w:t xml:space="preserve"> (i.e., 1997-2016)</w:t>
      </w:r>
      <w:r w:rsidR="00851846" w:rsidRPr="00B10EBE">
        <w:rPr>
          <w:rFonts w:ascii="Garamond" w:hAnsi="Garamond"/>
          <w:noProof/>
          <w:color w:val="000000" w:themeColor="text1"/>
          <w:sz w:val="24"/>
          <w:szCs w:val="24"/>
        </w:rPr>
        <w:t xml:space="preserve"> </w:t>
      </w:r>
      <w:r w:rsidR="00706CF5" w:rsidRPr="00B10EBE">
        <w:rPr>
          <w:rFonts w:ascii="Garamond" w:hAnsi="Garamond"/>
          <w:noProof/>
          <w:color w:val="000000" w:themeColor="text1"/>
          <w:sz w:val="24"/>
          <w:szCs w:val="24"/>
        </w:rPr>
        <w:t>to</w:t>
      </w:r>
      <w:r w:rsidR="00B347F0" w:rsidRPr="00B10EBE">
        <w:rPr>
          <w:rFonts w:ascii="Garamond" w:hAnsi="Garamond"/>
          <w:noProof/>
          <w:color w:val="000000" w:themeColor="text1"/>
          <w:sz w:val="24"/>
          <w:szCs w:val="24"/>
        </w:rPr>
        <w:t xml:space="preserve"> be able to</w:t>
      </w:r>
      <w:r w:rsidR="00706CF5" w:rsidRPr="00B10EBE">
        <w:rPr>
          <w:rFonts w:ascii="Garamond" w:hAnsi="Garamond"/>
          <w:noProof/>
          <w:color w:val="000000" w:themeColor="text1"/>
          <w:sz w:val="24"/>
          <w:szCs w:val="24"/>
        </w:rPr>
        <w:t xml:space="preserve"> </w:t>
      </w:r>
      <w:r w:rsidR="00A3003B" w:rsidRPr="00B10EBE">
        <w:rPr>
          <w:rFonts w:ascii="Garamond" w:hAnsi="Garamond"/>
          <w:noProof/>
          <w:color w:val="000000" w:themeColor="text1"/>
          <w:sz w:val="24"/>
          <w:szCs w:val="24"/>
        </w:rPr>
        <w:t>account for both the spatial and temporal dependency structures of the data</w:t>
      </w:r>
      <w:r w:rsidR="00B347F0" w:rsidRPr="00B10EBE">
        <w:rPr>
          <w:rFonts w:ascii="Garamond" w:hAnsi="Garamond"/>
          <w:noProof/>
          <w:color w:val="000000" w:themeColor="text1"/>
          <w:sz w:val="24"/>
          <w:szCs w:val="24"/>
        </w:rPr>
        <w:t xml:space="preserve"> and, importantly, to assess to what extent support for each hypothesis varied across space and time. </w:t>
      </w:r>
      <w:r w:rsidR="008403A0" w:rsidRPr="00B10EBE">
        <w:rPr>
          <w:rFonts w:ascii="Garamond" w:hAnsi="Garamond"/>
          <w:noProof/>
          <w:color w:val="000000" w:themeColor="text1"/>
          <w:sz w:val="24"/>
          <w:szCs w:val="24"/>
        </w:rPr>
        <w:t>Preliminary model runs revealed strong spatial autocorrelation (SAC) in the residuals, indicated by statistically significant (p &lt; 0.0</w:t>
      </w:r>
      <w:r w:rsidR="009B1982" w:rsidRPr="00B10EBE">
        <w:rPr>
          <w:rFonts w:ascii="Garamond" w:hAnsi="Garamond"/>
          <w:noProof/>
          <w:color w:val="000000" w:themeColor="text1"/>
          <w:sz w:val="24"/>
          <w:szCs w:val="24"/>
        </w:rPr>
        <w:t>0</w:t>
      </w:r>
      <w:r w:rsidR="008403A0" w:rsidRPr="00B10EBE">
        <w:rPr>
          <w:rFonts w:ascii="Garamond" w:hAnsi="Garamond"/>
          <w:noProof/>
          <w:color w:val="000000" w:themeColor="text1"/>
          <w:sz w:val="24"/>
          <w:szCs w:val="24"/>
        </w:rPr>
        <w:t>1) Moran’s I values and correlograms</w:t>
      </w:r>
      <w:r w:rsidR="000A2469" w:rsidRPr="00B10EBE">
        <w:rPr>
          <w:rFonts w:ascii="Garamond" w:hAnsi="Garamond"/>
          <w:noProof/>
          <w:color w:val="000000" w:themeColor="text1"/>
          <w:sz w:val="24"/>
          <w:szCs w:val="24"/>
        </w:rPr>
        <w:t xml:space="preserve"> </w:t>
      </w:r>
      <w:r w:rsidR="000A2469"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{"citationID":"k3Ari2uk","properties":{"formattedCitation":"(F. C. Dormann et al. 2007)","plainCitation":"(F. C. Dormann et al. 2007)","dontUpdate":true,"noteIndex":0},"citationItems":[{"id":238,"uris":["http://zotero.org/users/10686236/items/ZWBZARW2"],"itemData":{"id":238,"type":"article-journal","abstract":"Species distributional or trait data based on range map (extent-of-occurrence) or atlas survey data often display spatial autocorrelation, i.e. locations close to each other exhibit more similar values than those further apart. If this pattern remains present in the residuals of a statistical model based on such data, one of the key assumptions of standard statistical analyses, that residuals are independent and identically distributed (i.i.d), is violated. The violation of the assumption of i.i.d. residuals may bias parameter estimates and can increase type I error rates (falsely rejecting the null hypothesis of no effect). While this is increasingly recognised by researchers analysing species distribution data, there is, to our knowledge, no comprehensive overview of the many available spatial statistical methods to take spatial autocorrelation into account in tests of statistical significance. Here, we describe six different statistical approaches to infer correlates of species' distributions, for both presence/absence (binary response) and species abundance data (poisson or normally distributed response), while accounting for spatial autocorrelation in model residuals: autocovariate regression; spatial eigenvector mapping; generalised least squares; (conditional and simultaneous) autoregressive models and generalised estimating equations. A comprehensive comparison of the relative merits of these methods is beyond the scope of this paper. To demonstrate each method's implementation, however, we undertook preliminary tests based on simulated data. These preliminary tests verified that most of the spatial modeling techniques we examined showed good type I error control and precise parameter estimates, at least when confronted with simplistic simulated data containing spatial autocorrelation in the errors. However, we found that for presence/absence data the results and conclusions were very variable between the different methods. This is likely due to the low information content of binary maps. Also, in contrast with previous studies, we found that autocovariate methods consistently underestimated the effects of environmental controls of species distributions. Given their widespread use, in particular for the modelling of species presence/absence data (e.g. climate envelope models), we argue that this warrants further study and caution in their use. To aid other ecologists in making use of the methods described, code to implement them in freely available software is provided in an electronic appendix. © Ecography.","container-title":"Ecography","DOI":"10.1111/j.2007.0906-7590.05171.x","ISSN":"09067590","issue":"5","page":"609-628","title":"Methods to account for spatial autocorrelation in the analysis of species distributional data: A review","volume":"30","author":[{"family":"Dormann","given":"F.C."},{"family":"McPherson","given":"M.J."},{"family":"Araújo","given":"B.M."},{"family":"Bivand","given":"R."},{"family":"Bolliger","given":"J."},{"family":"Carl","given":"G."},{"family":"Davies","given":"G.R."},{"family":"Hirzel","given":"A."},{"family":"Jetz","given":"W."},{"family":"Kissling","given":"W.D."},{"family":"Kühn","given":"I."},{"family":"Ohlemüller","given":"R."},{"family":"Peres-Neto","given":"P.R."},{"family":"Reineking","given":"B."},{"family":"Schröder","given":"B."},{"family":"Schurr","given":"F.M."},{"family":"Wilson","given":"R."}],"issued":{"date-parts":[["2007"]]}}}],"schema":"https://github.com/citation-style-language/schema/raw/master/csl-citation.json"} </w:instrText>
      </w:r>
      <w:r w:rsidR="000A2469" w:rsidRPr="00B10EBE">
        <w:rPr>
          <w:rFonts w:ascii="Garamond" w:hAnsi="Garamond"/>
          <w:noProof/>
          <w:color w:val="000000" w:themeColor="text1"/>
          <w:sz w:val="24"/>
          <w:szCs w:val="24"/>
        </w:rPr>
        <w:fldChar w:fldCharType="separate"/>
      </w:r>
      <w:r w:rsidR="000A2469" w:rsidRPr="00B10EBE">
        <w:rPr>
          <w:rFonts w:ascii="Garamond" w:hAnsi="Garamond"/>
          <w:noProof/>
          <w:color w:val="000000" w:themeColor="text1"/>
          <w:sz w:val="24"/>
          <w:szCs w:val="24"/>
        </w:rPr>
        <w:t xml:space="preserve">(Dormann </w:t>
      </w:r>
      <w:r w:rsidR="00446120" w:rsidRPr="00B10EBE">
        <w:rPr>
          <w:rFonts w:ascii="Garamond" w:hAnsi="Garamond"/>
          <w:noProof/>
          <w:color w:val="000000" w:themeColor="text1"/>
          <w:sz w:val="24"/>
          <w:szCs w:val="24"/>
        </w:rPr>
        <w:t>et al.,</w:t>
      </w:r>
      <w:r w:rsidR="000A2469" w:rsidRPr="00B10EBE">
        <w:rPr>
          <w:rFonts w:ascii="Garamond" w:hAnsi="Garamond"/>
          <w:noProof/>
          <w:color w:val="000000" w:themeColor="text1"/>
          <w:sz w:val="24"/>
          <w:szCs w:val="24"/>
        </w:rPr>
        <w:t xml:space="preserve"> 2007)</w:t>
      </w:r>
      <w:r w:rsidR="000A2469"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To </w:t>
      </w:r>
      <w:r w:rsidR="0000797B" w:rsidRPr="00B10EBE">
        <w:rPr>
          <w:rFonts w:ascii="Garamond" w:hAnsi="Garamond"/>
          <w:noProof/>
          <w:color w:val="000000" w:themeColor="text1"/>
          <w:sz w:val="24"/>
          <w:szCs w:val="24"/>
        </w:rPr>
        <w:t>account for SAC</w:t>
      </w:r>
      <w:r w:rsidR="008403A0" w:rsidRPr="00B10EBE">
        <w:rPr>
          <w:rFonts w:ascii="Garamond" w:hAnsi="Garamond"/>
          <w:noProof/>
          <w:color w:val="000000" w:themeColor="text1"/>
          <w:sz w:val="24"/>
          <w:szCs w:val="24"/>
        </w:rPr>
        <w:t>, SEMs were embedded with</w:t>
      </w:r>
      <w:r w:rsidR="00283495"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 xml:space="preserve">spatial autoregressive error models produced with the errorsarlm function </w:t>
      </w:r>
      <w:r w:rsidR="004F5182" w:rsidRPr="00B10EBE">
        <w:rPr>
          <w:rFonts w:ascii="Garamond" w:hAnsi="Garamond"/>
          <w:noProof/>
          <w:color w:val="000000" w:themeColor="text1"/>
          <w:sz w:val="24"/>
          <w:szCs w:val="24"/>
        </w:rPr>
        <w:t xml:space="preserve">in </w:t>
      </w:r>
      <w:r w:rsidR="008403A0" w:rsidRPr="00B10EBE">
        <w:rPr>
          <w:rFonts w:ascii="Garamond" w:hAnsi="Garamond"/>
          <w:noProof/>
          <w:color w:val="000000" w:themeColor="text1"/>
          <w:sz w:val="24"/>
          <w:szCs w:val="24"/>
        </w:rPr>
        <w:t xml:space="preserve">the R package </w:t>
      </w:r>
      <w:r w:rsidR="00A3003B" w:rsidRPr="00B10EBE">
        <w:rPr>
          <w:rFonts w:ascii="Garamond" w:hAnsi="Garamond"/>
          <w:noProof/>
          <w:color w:val="000000" w:themeColor="text1"/>
          <w:sz w:val="24"/>
          <w:szCs w:val="24"/>
        </w:rPr>
        <w:t>‘</w:t>
      </w:r>
      <w:r w:rsidR="008403A0" w:rsidRPr="00B10EBE">
        <w:rPr>
          <w:rFonts w:ascii="Garamond" w:hAnsi="Garamond"/>
          <w:noProof/>
          <w:color w:val="000000" w:themeColor="text1"/>
          <w:sz w:val="24"/>
          <w:szCs w:val="24"/>
        </w:rPr>
        <w:t>spatialreg</w:t>
      </w:r>
      <w:r w:rsidR="00A3003B" w:rsidRPr="00B10EBE">
        <w:rPr>
          <w:rFonts w:ascii="Garamond" w:hAnsi="Garamond"/>
          <w:noProof/>
          <w:color w:val="000000" w:themeColor="text1"/>
          <w:sz w:val="24"/>
          <w:szCs w:val="24"/>
        </w:rPr>
        <w:t>’</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{"citationID":"a2i2rec3fi1","properties":{"formattedCitation":"(R. Bivand, Piras, et al., 2022)","plainCitation":"(R. Bivand, Piras, et al., 2022)","dontUpdate":true,"noteIndex":0},"citationItems":[{"id":235,"uris":["http://zotero.org/users/10686236/items/LQ4EXIUM"],"itemData":{"id":235,"type":"report","note":"container-title: CRAN","title":"Package ‘spatialreg’","author":[{"family":"Bivand","given":"R."},{"family":"Piras","given":"G."},{"family":"Anselin","given":"L."},{"family":"Bernat","given":"A."},{"family":"Blankmeyer","given":"E."},{"family":"Chun","given":"Y."},{"family":"Gómez-Rubio","given":"V."},{"family":"Griffith","given":"D."},{"family":"Gubri","given":"M."},{"family":"Halbersma","given":"M.T."},{"family":"LeSage","given":"J."},{"family":"Li","given":"A."},{"family":"Li","given":"H."},{"family":"Ma","given":"J."},{"family":"Mallik","given":"A."},{"family":"Millo","given":"G."},{"family":"Pace","given":"K."},{"family":"Peres-Neto","given":"P."},{"family":"Rüttenauer","given":"T."},{"family":"Sarrias","given":"M."},{"family":"Sayago","given":"J.T."},{"family":"Tiefelsdorf","given":"M."}],"issued":{"date-parts":[["2022"]]}}}],"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(Bivand, Piras, et al., 2022)</w:t>
      </w:r>
      <w:r w:rsidR="00A95CD4"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Errorsarlm models handle SAC </w:t>
      </w:r>
      <w:r w:rsidR="000A568E" w:rsidRPr="00B10EBE">
        <w:rPr>
          <w:rFonts w:ascii="Garamond" w:hAnsi="Garamond"/>
          <w:noProof/>
          <w:color w:val="000000" w:themeColor="text1"/>
          <w:sz w:val="24"/>
          <w:szCs w:val="24"/>
        </w:rPr>
        <w:t>through</w:t>
      </w:r>
      <w:r w:rsidR="008403A0" w:rsidRPr="00B10EBE">
        <w:rPr>
          <w:rFonts w:ascii="Garamond" w:hAnsi="Garamond"/>
          <w:noProof/>
          <w:color w:val="000000" w:themeColor="text1"/>
          <w:sz w:val="24"/>
          <w:szCs w:val="24"/>
        </w:rPr>
        <w:t xml:space="preserve"> spatial weighting matrices computed as the Euclidean distance between neighbour</w:t>
      </w:r>
      <w:r w:rsidR="0000797B" w:rsidRPr="00B10EBE">
        <w:rPr>
          <w:rFonts w:ascii="Garamond" w:hAnsi="Garamond"/>
          <w:noProof/>
          <w:color w:val="000000" w:themeColor="text1"/>
          <w:sz w:val="24"/>
          <w:szCs w:val="24"/>
        </w:rPr>
        <w:t>ing</w:t>
      </w:r>
      <w:r w:rsidR="008403A0" w:rsidRPr="00B10EBE">
        <w:rPr>
          <w:rFonts w:ascii="Garamond" w:hAnsi="Garamond"/>
          <w:noProof/>
          <w:color w:val="000000" w:themeColor="text1"/>
          <w:sz w:val="24"/>
          <w:szCs w:val="24"/>
        </w:rPr>
        <w:t xml:space="preserve"> sites (i.e., pixels)</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{"citationID":"a11il413oek","properties":{"formattedCitation":"(R. S. Bivand &amp; Wong, 2018)","plainCitation":"(R. S. Bivand &amp; Wong, 2018)","dontUpdate":true,"noteIndex":0},"citationItems":[{"id":315,"uris":["http://zotero.org/users/10686236/items/ZIVQIZPB"],"itemData":{"id":315,"type":"article-journal","abstract":"Functions to calculate measures of spatial association, especially measures of spatial autocorrelation, have been made available in many software applications. Measures may be global, applying to the whole data set under consideration, or local, applying to each observation in the data set. Methods of statistical inference may also be provided, but these will, like the measures themselves, depend on the support of the observations, chosen assumptions, and the way in which spatial association is represented; spatial weights are often used as a representational technique. In addition, assumptions may be made about the underlying mean model, and about error distributions. Different software implementations may choose to expose these choices to the analyst, but the sets of choices available may vary between these implementations, as may default settings. This comparison will consider the implementations of global Moran’s I, Getis–Ord G and Geary’s C, local Ii and Gi, available in a range of software including Crimestat, GeoDa, ArcGIS, PySAL and R contributed packages.","container-title":"Test","DOI":"10.1007/s11749-018-0599-x","ISSN":"11330686","issue":"3","note":"publisher: Springer Berlin Heidelberg","page":"716-748","title":"Comparing implementations of global and local indicators of spatial association","volume":"27","author":[{"family":"Bivand","given":"Roger S."},{"family":"Wong","given":"David W.S."}],"issued":{"date-parts":[["2018"]]}}}],"schema":"https://github.com/citation-style-language/schema/raw/master/csl-citation.json"}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szCs w:val="24"/>
        </w:rPr>
        <w:t>(Bivand &amp; Wong, 2018)</w:t>
      </w:r>
      <w:r w:rsidR="00A95CD4" w:rsidRPr="00B10EBE">
        <w:rPr>
          <w:rFonts w:ascii="Garamond" w:hAnsi="Garamond"/>
          <w:noProof/>
          <w:color w:val="000000" w:themeColor="text1"/>
          <w:sz w:val="24"/>
          <w:szCs w:val="24"/>
        </w:rPr>
        <w:fldChar w:fldCharType="end"/>
      </w:r>
      <w:r w:rsidR="008403A0" w:rsidRPr="00B10EBE">
        <w:rPr>
          <w:rFonts w:ascii="Garamond" w:hAnsi="Garamond"/>
          <w:noProof/>
          <w:color w:val="000000" w:themeColor="text1"/>
          <w:sz w:val="24"/>
          <w:szCs w:val="24"/>
        </w:rPr>
        <w:t xml:space="preserve">. </w:t>
      </w:r>
      <w:r w:rsidR="00B83B00" w:rsidRPr="00B10EBE">
        <w:rPr>
          <w:rFonts w:ascii="Garamond" w:hAnsi="Garamond"/>
          <w:noProof/>
          <w:color w:val="000000" w:themeColor="text1"/>
          <w:sz w:val="24"/>
          <w:szCs w:val="24"/>
        </w:rPr>
        <w:t>We calculated spatial weighting matrices using the dnearneigh function from the R package ‘spdep’</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{"citationID":"av36b460da","properties":{"formattedCitation":"(R. Bivand, Altman, et al., 2022)","plainCitation":"(R. Bivand, Altman, et al., 2022)","dontUpdate":true,"noteIndex":0},"citationItems":[{"id":237,"uris":["http://zotero.org/users/10686236/items/QJXNBFLC"],"itemData":{"id":237,"type":"report","note":"container-title: CRAN","title":"Package ‘spdep’","author":[{"family":"Bivand","given":"R."},{"family":"Altman","given":"M."},{"family":"Anselin","given":"L."},{"family":"Assunção","given":"R."},{"family":"Berke","given":"O."},{"family":"Blanchet","given":"G."},{"family":"Carvalho","given":"M."},{"family":"Christensen","given":"B."},{"family":"Chun","given":"Y."},{"family":"Dormann","given":"C"},{"family":"Dray","given":"S"},{"family":"Gómez-Rubio","given":"V."},{"family":"Krainski","given":"E."},{"family":"Legendre","given":"P."},{"family":"Lewin-Koh","given":"N."},{"family":"Li","given":"A."},{"family":"Millo","given":"G."},{"family":"Mueller","given":"W."},{"family":"Ono","given":"H."},{"family":"Parry","given":"J."},{"family":"Peres-Neto","given":"P."},{"family":"Piras","given":"G."},{"family":"Reder","given":"M."},{"family":"Sauer","given":"J."},{"family":"Tiefelsdorf","given":"M."},{"family":"Westerholt","given":"R."},{"family":"Wolf","given":"L."},{"family":"Yu","given":"D."}],"issued":{"date-parts":[["2022"]]}}}],"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(Bivand, Altman, et al., 2022)</w:t>
      </w:r>
      <w:r w:rsidR="00A95CD4" w:rsidRPr="00B10EBE">
        <w:rPr>
          <w:rFonts w:ascii="Garamond" w:hAnsi="Garamond"/>
          <w:noProof/>
          <w:color w:val="000000" w:themeColor="text1"/>
          <w:sz w:val="24"/>
          <w:szCs w:val="24"/>
        </w:rPr>
        <w:fldChar w:fldCharType="end"/>
      </w:r>
      <w:r w:rsidR="00B83B00" w:rsidRPr="00B10EBE">
        <w:rPr>
          <w:rFonts w:ascii="Garamond" w:hAnsi="Garamond"/>
          <w:noProof/>
          <w:color w:val="000000" w:themeColor="text1"/>
          <w:sz w:val="24"/>
          <w:szCs w:val="24"/>
        </w:rPr>
        <w:t>, se</w:t>
      </w:r>
      <w:r w:rsidR="002D662A" w:rsidRPr="00B10EBE">
        <w:rPr>
          <w:rFonts w:ascii="Garamond" w:hAnsi="Garamond"/>
          <w:noProof/>
          <w:color w:val="000000" w:themeColor="text1"/>
          <w:sz w:val="24"/>
          <w:szCs w:val="24"/>
        </w:rPr>
        <w:t>t</w:t>
      </w:r>
      <w:r w:rsidR="00B83B00" w:rsidRPr="00B10EBE">
        <w:rPr>
          <w:rFonts w:ascii="Garamond" w:hAnsi="Garamond"/>
          <w:noProof/>
          <w:color w:val="000000" w:themeColor="text1"/>
          <w:sz w:val="24"/>
          <w:szCs w:val="24"/>
        </w:rPr>
        <w:t xml:space="preserve">ting the lower and upper distance bounds at 0 km and 39 km, respectively </w:t>
      </w:r>
      <w:r w:rsidR="00652801" w:rsidRPr="00B10EBE">
        <w:rPr>
          <w:rFonts w:ascii="Garamond" w:hAnsi="Garamond"/>
          <w:noProof/>
          <w:color w:val="000000" w:themeColor="text1"/>
          <w:sz w:val="24"/>
          <w:szCs w:val="24"/>
        </w:rPr>
        <w:t>(39 km is the distance that allows all pixels to be linked to at least another pixel, including some far</w:t>
      </w:r>
      <w:r w:rsidR="000A568E" w:rsidRPr="00B10EBE">
        <w:rPr>
          <w:rFonts w:ascii="Garamond" w:hAnsi="Garamond"/>
          <w:noProof/>
          <w:color w:val="000000" w:themeColor="text1"/>
          <w:sz w:val="24"/>
          <w:szCs w:val="24"/>
        </w:rPr>
        <w:t>t</w:t>
      </w:r>
      <w:r w:rsidR="00652801" w:rsidRPr="00B10EBE">
        <w:rPr>
          <w:rFonts w:ascii="Garamond" w:hAnsi="Garamond"/>
          <w:noProof/>
          <w:color w:val="000000" w:themeColor="text1"/>
          <w:sz w:val="24"/>
          <w:szCs w:val="24"/>
        </w:rPr>
        <w:t>her pixels at the edge of the bioregions</w:t>
      </w:r>
      <w:r w:rsidR="00652801" w:rsidRPr="00B10EBE">
        <w:rPr>
          <w:rStyle w:val="CommentReference"/>
          <w:rFonts w:ascii="Garamond" w:eastAsia="Times New Roman" w:hAnsi="Garamond"/>
          <w:noProof/>
          <w:color w:val="000000" w:themeColor="text1"/>
          <w:sz w:val="24"/>
          <w:szCs w:val="24"/>
        </w:rPr>
        <w:t>)</w:t>
      </w:r>
      <w:r w:rsidR="00B83B00" w:rsidRPr="00B10EBE">
        <w:rPr>
          <w:rFonts w:ascii="Garamond" w:hAnsi="Garamond"/>
          <w:noProof/>
          <w:color w:val="000000" w:themeColor="text1"/>
          <w:sz w:val="24"/>
          <w:szCs w:val="24"/>
        </w:rPr>
        <w:t xml:space="preserve">. </w:t>
      </w:r>
      <w:r w:rsidR="008403A0" w:rsidRPr="00B10EBE">
        <w:rPr>
          <w:rFonts w:ascii="Garamond" w:hAnsi="Garamond"/>
          <w:noProof/>
          <w:color w:val="000000" w:themeColor="text1"/>
          <w:sz w:val="24"/>
          <w:szCs w:val="24"/>
        </w:rPr>
        <w:t>The upper distance bound of 39 km did not vary significantly across bioregions as the data are regular</w:t>
      </w:r>
      <w:r w:rsidR="001A4FB1" w:rsidRPr="00B10EBE">
        <w:rPr>
          <w:rFonts w:ascii="Garamond" w:hAnsi="Garamond"/>
          <w:noProof/>
          <w:color w:val="000000" w:themeColor="text1"/>
          <w:sz w:val="24"/>
          <w:szCs w:val="24"/>
        </w:rPr>
        <w:t>ly</w:t>
      </w:r>
      <w:r w:rsidR="008403A0" w:rsidRPr="00B10EBE">
        <w:rPr>
          <w:rFonts w:ascii="Garamond" w:hAnsi="Garamond"/>
          <w:noProof/>
          <w:color w:val="000000" w:themeColor="text1"/>
          <w:sz w:val="24"/>
          <w:szCs w:val="24"/>
        </w:rPr>
        <w:t xml:space="preserve"> gridded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5</w:t>
      </w:r>
      <w:r w:rsidR="008403A0" w:rsidRPr="00B10EBE">
        <w:rPr>
          <w:rFonts w:ascii="Garamond" w:hAnsi="Garamond"/>
          <w:noProof/>
          <w:color w:val="000000" w:themeColor="text1"/>
          <w:sz w:val="24"/>
          <w:szCs w:val="24"/>
        </w:rPr>
        <w:t>).</w:t>
      </w:r>
      <w:r w:rsidR="002826CA" w:rsidRPr="00B10EBE">
        <w:rPr>
          <w:rFonts w:ascii="Garamond" w:hAnsi="Garamond"/>
          <w:noProof/>
          <w:color w:val="000000" w:themeColor="text1"/>
          <w:sz w:val="24"/>
          <w:szCs w:val="24"/>
        </w:rPr>
        <w:t xml:space="preserve"> SEM path coefficients </w:t>
      </w:r>
      <w:r w:rsidR="0000797B" w:rsidRPr="00B10EBE">
        <w:rPr>
          <w:rFonts w:ascii="Garamond" w:hAnsi="Garamond"/>
          <w:noProof/>
          <w:color w:val="000000" w:themeColor="text1"/>
          <w:sz w:val="24"/>
          <w:szCs w:val="24"/>
        </w:rPr>
        <w:t xml:space="preserve">were </w:t>
      </w:r>
      <w:r w:rsidR="002826CA" w:rsidRPr="00B10EBE">
        <w:rPr>
          <w:rFonts w:ascii="Garamond" w:hAnsi="Garamond"/>
          <w:noProof/>
          <w:color w:val="000000" w:themeColor="text1"/>
          <w:sz w:val="24"/>
          <w:szCs w:val="24"/>
        </w:rPr>
        <w:t>calculated as standardised regression coefficients</w:t>
      </w:r>
      <w:r w:rsidR="0053187D" w:rsidRPr="00B10EBE">
        <w:rPr>
          <w:rFonts w:ascii="Garamond" w:hAnsi="Garamond"/>
          <w:noProof/>
          <w:color w:val="000000" w:themeColor="text1"/>
          <w:sz w:val="24"/>
          <w:szCs w:val="24"/>
        </w:rPr>
        <w:t xml:space="preserve"> (β)</w:t>
      </w:r>
      <w:r w:rsidR="002826CA" w:rsidRPr="00B10EBE">
        <w:rPr>
          <w:rFonts w:ascii="Garamond" w:hAnsi="Garamond"/>
          <w:noProof/>
          <w:color w:val="000000" w:themeColor="text1"/>
          <w:sz w:val="24"/>
          <w:szCs w:val="24"/>
        </w:rPr>
        <w:t xml:space="preserve"> to enhance comparability across responses </w:t>
      </w:r>
      <w:r w:rsidR="002826CA" w:rsidRPr="00B10EBE">
        <w:rPr>
          <w:rFonts w:ascii="Garamond" w:hAnsi="Garamond"/>
          <w:noProof/>
          <w:color w:val="000000" w:themeColor="text1"/>
          <w:sz w:val="24"/>
          <w:szCs w:val="24"/>
        </w:rPr>
        <w:lastRenderedPageBreak/>
        <w:t>of different units.</w:t>
      </w:r>
      <w:r w:rsidR="005605A2" w:rsidRPr="00B10EBE">
        <w:rPr>
          <w:rFonts w:ascii="Garamond" w:hAnsi="Garamond"/>
          <w:noProof/>
          <w:color w:val="000000" w:themeColor="text1"/>
          <w:sz w:val="24"/>
          <w:szCs w:val="24"/>
        </w:rPr>
        <w:t xml:space="preserve"> The indirect effect of </w:t>
      </w:r>
      <w:r w:rsidR="0033797A" w:rsidRPr="00B10EBE">
        <w:rPr>
          <w:rFonts w:ascii="Garamond" w:hAnsi="Garamond"/>
          <w:noProof/>
          <w:color w:val="000000" w:themeColor="text1"/>
          <w:sz w:val="24"/>
          <w:szCs w:val="24"/>
        </w:rPr>
        <w:t xml:space="preserve">a </w:t>
      </w:r>
      <w:r w:rsidR="00B65E03" w:rsidRPr="00B10EBE">
        <w:rPr>
          <w:rFonts w:ascii="Garamond" w:hAnsi="Garamond"/>
          <w:noProof/>
          <w:color w:val="000000" w:themeColor="text1"/>
          <w:sz w:val="24"/>
          <w:szCs w:val="24"/>
        </w:rPr>
        <w:t>variable</w:t>
      </w:r>
      <w:r w:rsidR="005605A2" w:rsidRPr="00B10EBE">
        <w:rPr>
          <w:rFonts w:ascii="Garamond" w:hAnsi="Garamond"/>
          <w:noProof/>
          <w:color w:val="000000" w:themeColor="text1"/>
          <w:sz w:val="24"/>
          <w:szCs w:val="24"/>
        </w:rPr>
        <w:t xml:space="preserve"> on </w:t>
      </w:r>
      <w:r w:rsidR="0033797A" w:rsidRPr="00B10EBE">
        <w:rPr>
          <w:rFonts w:ascii="Garamond" w:hAnsi="Garamond"/>
          <w:noProof/>
          <w:color w:val="000000" w:themeColor="text1"/>
          <w:sz w:val="24"/>
          <w:szCs w:val="24"/>
        </w:rPr>
        <w:t>VOD</w:t>
      </w:r>
      <w:r w:rsidR="005605A2" w:rsidRPr="00B10EBE">
        <w:rPr>
          <w:rFonts w:ascii="Garamond" w:hAnsi="Garamond"/>
          <w:noProof/>
          <w:color w:val="000000" w:themeColor="text1"/>
          <w:sz w:val="24"/>
          <w:szCs w:val="24"/>
        </w:rPr>
        <w:t xml:space="preserve"> </w:t>
      </w:r>
      <w:r w:rsidR="0000797B" w:rsidRPr="00B10EBE">
        <w:rPr>
          <w:rFonts w:ascii="Garamond" w:hAnsi="Garamond"/>
          <w:noProof/>
          <w:color w:val="000000" w:themeColor="text1"/>
          <w:sz w:val="24"/>
          <w:szCs w:val="24"/>
        </w:rPr>
        <w:t xml:space="preserve">was </w:t>
      </w:r>
      <w:r w:rsidR="005605A2" w:rsidRPr="00B10EBE">
        <w:rPr>
          <w:rFonts w:ascii="Garamond" w:hAnsi="Garamond"/>
          <w:noProof/>
          <w:color w:val="000000" w:themeColor="text1"/>
          <w:sz w:val="24"/>
          <w:szCs w:val="24"/>
        </w:rPr>
        <w:t xml:space="preserve">calculated by multiplying the </w:t>
      </w:r>
      <w:r w:rsidR="0026290B" w:rsidRPr="00B10EBE">
        <w:rPr>
          <w:rFonts w:ascii="Garamond" w:hAnsi="Garamond"/>
          <w:noProof/>
          <w:color w:val="000000" w:themeColor="text1"/>
          <w:sz w:val="24"/>
          <w:szCs w:val="24"/>
        </w:rPr>
        <w:t xml:space="preserve">β </w:t>
      </w:r>
      <w:r w:rsidR="005605A2" w:rsidRPr="00B10EBE">
        <w:rPr>
          <w:rFonts w:ascii="Garamond" w:hAnsi="Garamond"/>
          <w:noProof/>
          <w:color w:val="000000" w:themeColor="text1"/>
          <w:sz w:val="24"/>
          <w:szCs w:val="24"/>
        </w:rPr>
        <w:t>coefficients of the two respective paths.</w:t>
      </w:r>
    </w:p>
    <w:p w14:paraId="1953136D" w14:textId="0417FB9C" w:rsidR="00AF461D" w:rsidRPr="00B10EBE" w:rsidRDefault="003A4065"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bCs/>
          <w:noProof/>
          <w:color w:val="000000" w:themeColor="text1"/>
          <w:sz w:val="24"/>
          <w:szCs w:val="24"/>
        </w:rPr>
        <w:t>3 - Model selection.</w:t>
      </w:r>
      <w:r w:rsidRPr="00B10EBE">
        <w:rPr>
          <w:rFonts w:ascii="Garamond" w:hAnsi="Garamond"/>
          <w:noProof/>
          <w:color w:val="000000" w:themeColor="text1"/>
          <w:sz w:val="24"/>
          <w:szCs w:val="24"/>
        </w:rPr>
        <w:t xml:space="preserve"> We used Fisher’s C and Chi-squared (χ</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goodness of fit measures to identify</w:t>
      </w:r>
      <w:r w:rsidR="009A4218" w:rsidRPr="00B10EBE">
        <w:rPr>
          <w:rFonts w:ascii="Garamond" w:hAnsi="Garamond"/>
          <w:noProof/>
          <w:color w:val="000000" w:themeColor="text1"/>
          <w:sz w:val="24"/>
          <w:szCs w:val="24"/>
        </w:rPr>
        <w:t xml:space="preserve"> SEM</w:t>
      </w:r>
      <w:r w:rsidR="00A40428" w:rsidRPr="00B10EBE">
        <w:rPr>
          <w:rFonts w:ascii="Garamond" w:hAnsi="Garamond"/>
          <w:noProof/>
          <w:color w:val="000000" w:themeColor="text1"/>
          <w:sz w:val="24"/>
          <w:szCs w:val="24"/>
        </w:rPr>
        <w:t xml:space="preserve"> specification</w:t>
      </w:r>
      <w:r w:rsidR="009A4218" w:rsidRPr="00B10EBE">
        <w:rPr>
          <w:rFonts w:ascii="Garamond" w:hAnsi="Garamond"/>
          <w:noProof/>
          <w:color w:val="000000" w:themeColor="text1"/>
          <w:sz w:val="24"/>
          <w:szCs w:val="24"/>
        </w:rPr>
        <w:t>s</w:t>
      </w:r>
      <w:r w:rsidR="00A40428" w:rsidRPr="00B10EBE">
        <w:rPr>
          <w:rFonts w:ascii="Garamond" w:hAnsi="Garamond"/>
          <w:noProof/>
          <w:color w:val="000000" w:themeColor="text1"/>
          <w:sz w:val="24"/>
          <w:szCs w:val="24"/>
        </w:rPr>
        <w:t xml:space="preserve"> that best reproduce the relationships among the variables in the sample data</w:t>
      </w:r>
      <w:r w:rsidR="000451B2" w:rsidRPr="00B10EBE">
        <w:rPr>
          <w:rFonts w:ascii="Garamond" w:hAnsi="Garamond"/>
          <w:noProof/>
          <w:color w:val="000000" w:themeColor="text1"/>
          <w:sz w:val="24"/>
          <w:szCs w:val="24"/>
        </w:rPr>
        <w:t xml:space="preserve"> (hereafter well-fitted SEMs)</w:t>
      </w:r>
      <w:r w:rsidRPr="00B10EBE">
        <w:rPr>
          <w:rFonts w:ascii="Garamond" w:hAnsi="Garamond"/>
          <w:noProof/>
          <w:color w:val="000000" w:themeColor="text1"/>
          <w:sz w:val="24"/>
          <w:szCs w:val="24"/>
        </w:rPr>
        <w:t>.</w:t>
      </w:r>
      <w:r w:rsidR="00437C26" w:rsidRPr="00B10EBE">
        <w:rPr>
          <w:rFonts w:ascii="Garamond" w:hAnsi="Garamond"/>
          <w:noProof/>
          <w:color w:val="000000" w:themeColor="text1"/>
          <w:sz w:val="24"/>
          <w:szCs w:val="24"/>
        </w:rPr>
        <w:t xml:space="preserve"> </w:t>
      </w:r>
      <w:r w:rsidR="00D809FC" w:rsidRPr="008A50E8">
        <w:rPr>
          <w:rFonts w:ascii="Garamond" w:hAnsi="Garamond"/>
          <w:color w:val="000000" w:themeColor="text1"/>
          <w:sz w:val="24"/>
          <w:szCs w:val="24"/>
        </w:rPr>
        <w:t>Fisher’s C is calculated as negative two times the sum of the natural logarithms of the p-values from all unspecified paths, and a resulting p &gt; 0.05 suggests that the model is well structured (i.e., no paths are missing)</w:t>
      </w:r>
      <w:r w:rsidR="00437C26" w:rsidRPr="00B10EBE">
        <w:rPr>
          <w:rFonts w:ascii="Garamond" w:hAnsi="Garamond"/>
          <w:noProof/>
          <w:color w:val="000000" w:themeColor="text1"/>
          <w:sz w:val="24"/>
          <w:szCs w:val="24"/>
        </w:rPr>
        <w:t xml:space="preserve"> </w:t>
      </w:r>
      <w:r w:rsidR="00437C26"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{"citationID":"a2564ceefto","properties":{"formattedCitation":"(Haynes et al., 2022)","plainCitation":"(Haynes et al., 2022)","noteIndex":0},"citationItems":[{"id":284,"uris":["http://zotero.org/users/10686236/items/KVH852NG"],"itemData":{"id":284,"type":"article-journal","container-title":"Oecologia","DOI":"10.1007/s00442-022-05123-w","ISSN":"1432-1939","note":"publisher: Springer Berlin Heidelberg\nISBN: 0123456789","title":"Climate affects the outbreaks of a forest defoliator indirectly through its tree hosts","URL":"https://doi.org/10.1007/s00442-022-05123-w","author":[{"family":"Haynes","given":"Kyle J"},{"family":"Liebhold","given":"Andrew M"},{"family":"Lefcheck","given":"Jonathan S"},{"family":"Morin","given":"Randall S"},{"family":"Wang","given":"Guiming"}],"issued":{"date-parts":[["2022"]]}}}],"schema":"https://github.com/citation-style-language/schema/raw/master/csl-citation.json"} </w:instrText>
      </w:r>
      <w:r w:rsidR="00437C26" w:rsidRPr="00B10EBE">
        <w:rPr>
          <w:rFonts w:ascii="Garamond" w:hAnsi="Garamond"/>
          <w:noProof/>
          <w:color w:val="000000" w:themeColor="text1"/>
          <w:sz w:val="24"/>
          <w:szCs w:val="24"/>
        </w:rPr>
        <w:fldChar w:fldCharType="separate"/>
      </w:r>
      <w:r w:rsidR="00437C26" w:rsidRPr="00B10EBE">
        <w:rPr>
          <w:rFonts w:ascii="Garamond" w:hAnsi="Garamond"/>
          <w:color w:val="000000" w:themeColor="text1"/>
          <w:sz w:val="24"/>
          <w:szCs w:val="24"/>
        </w:rPr>
        <w:t>(Haynes et al., 2022)</w:t>
      </w:r>
      <w:r w:rsidR="00437C26"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Similarly, χ</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tests whether there is a discrepancy between the model-implied and observed covariance matrices, and also in this case </w:t>
      </w:r>
      <w:r w:rsidR="00035C39" w:rsidRPr="00B10EBE">
        <w:rPr>
          <w:rFonts w:ascii="Garamond" w:hAnsi="Garamond"/>
          <w:noProof/>
          <w:color w:val="000000" w:themeColor="text1"/>
          <w:sz w:val="24"/>
          <w:szCs w:val="24"/>
        </w:rPr>
        <w:t xml:space="preserve">p &gt; 0.05 </w:t>
      </w:r>
      <w:r w:rsidRPr="00B10EBE">
        <w:rPr>
          <w:rFonts w:ascii="Garamond" w:hAnsi="Garamond"/>
          <w:noProof/>
          <w:color w:val="000000" w:themeColor="text1"/>
          <w:sz w:val="24"/>
          <w:szCs w:val="24"/>
        </w:rPr>
        <w:t>is</w:t>
      </w:r>
      <w:r w:rsidR="00035C39"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recommended</w:t>
      </w:r>
      <w:r w:rsidR="00A95CD4" w:rsidRPr="00B10EBE">
        <w:rPr>
          <w:rFonts w:ascii="Garamond" w:hAnsi="Garamond"/>
          <w:noProof/>
          <w:color w:val="000000" w:themeColor="text1"/>
          <w:sz w:val="24"/>
          <w:szCs w:val="24"/>
        </w:rPr>
        <w:t xml:space="preserve"> </w:t>
      </w:r>
      <w:r w:rsidR="00A95CD4"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{"citationID":"a1k86rn0k2n","properties":{"formattedCitation":"(Fan et al., 2016)","plainCitation":"(Fan et al., 2016)","noteIndex":0},"citationItems":[{"id":"KrHUUWSG/f6fsvH50","uris":["http://www.mendeley.com/documents/?uuid=f60da101-cc47-4c9d-9646-8d0c47f46644"],"itemData":{"DOI":"10.1186/s13717-016-0063-3","ISSN":"21921709","abstract":"Aims: This review was developed to introduce the essential components and variants of structural equation modeling (SEM), synthesize the common issues in SEM applications, and share our views on SEM’s future in ecological research. Methods: We searched the Web of Science on SEM applications in ecological studies from 1999 through 2016 and summarized the potential of SEMs, with a special focus on unexplored uses in ecology. We also analyzed and discussed the common issues with SEM applications in previous publications and presented our view for its future applications. Results: We searched and found 146 relevant publications on SEM applications in ecological studies. We found that five SEM variants had not commenly been applied in ecology, including the latent growth curve model, Bayesian SEM, partial least square SEM, hierarchical SEM, and variable/model selection. We identified ten common issues in SEM applications including strength of causal assumption, specification of feedback loops, selection of models and variables, identification of models, methods of estimation, explanation of latent variables, selection of fit indices, report of results, estimation of sample size, and the fit of model. Conclusions: In previous ecological studies, measurements of latent variables, explanations of model parameters, and reports of key statistics were commonly overlooked, while several advanced uses of SEM had been ignored overall. With the increasing availability of data, the use of SEM holds immense potential for ecologists in the future.","author":[{"dropping-particle":"","family":"Fan","given":"Yi","non-dropping-particle":"","parse-names":false,"suffix":""},{"dropping-particle":"","family":"Chen","given":"Jiquan","non-dropping-particle":"","parse-names":false,"suffix":""},{"dropping-particle":"","family":"Shirkey","given":"Gabriela","non-dropping-particle":"","parse-names":false,"suffix":""},{"dropping-particle":"","family":"John","given":"Ranjeet","non-dropping-particle":"","parse-names":false,"suffix":""},{"dropping-particle":"","family":"Wu","given":"Susie R.","non-dropping-particle":"","parse-names":false,"suffix":""},{"dropping-particle":"","family":"Park","given":"Hogeun","non-dropping-particle":"","parse-names":false,"suffix":""},{"dropping-particle":"","family":"Shao","given":"Changliang","non-dropping-particle":"","parse-names":false,"suffix":""}],"container-title":"Ecological Processes","id":"uycg294Z/ptRHTxA6","issue":"1","issued":{"date-parts":[["2016"]]},"publisher":"Ecological Processes","title":"Applications of structural equation modeling (SEM) in ecological studies: an updated review","type":"article-journal","volume":"5"}}],"schema":"https://github.com/citation-style-language/schema/raw/master/csl-citation.json"} </w:instrText>
      </w:r>
      <w:r w:rsidR="00A95CD4"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(Fan et al., 2016)</w:t>
      </w:r>
      <w:r w:rsidR="00A95CD4" w:rsidRPr="00B10EBE">
        <w:rPr>
          <w:rFonts w:ascii="Garamond" w:hAnsi="Garamond"/>
          <w:noProof/>
          <w:color w:val="000000" w:themeColor="text1"/>
          <w:sz w:val="24"/>
          <w:szCs w:val="24"/>
        </w:rPr>
        <w:fldChar w:fldCharType="end"/>
      </w:r>
      <w:r w:rsidR="00FB147C" w:rsidRPr="00B10EBE">
        <w:rPr>
          <w:rFonts w:ascii="Garamond" w:hAnsi="Garamond"/>
          <w:noProof/>
          <w:color w:val="000000" w:themeColor="text1"/>
          <w:sz w:val="24"/>
          <w:szCs w:val="24"/>
        </w:rPr>
        <w:t>.</w:t>
      </w:r>
      <w:r w:rsidR="000A2469"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In each year and each bioregion, we therefore selected only SEMs showing p &gt; 0.05 for Fisher’s C and χ</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The number of </w:t>
      </w:r>
      <w:r w:rsidR="00B65E03" w:rsidRPr="00B10EBE">
        <w:rPr>
          <w:rFonts w:ascii="Garamond" w:hAnsi="Garamond"/>
          <w:noProof/>
          <w:color w:val="000000" w:themeColor="text1"/>
          <w:sz w:val="24"/>
          <w:szCs w:val="24"/>
        </w:rPr>
        <w:t>well-fitted SEMs</w:t>
      </w:r>
      <w:r w:rsidRPr="00B10EBE">
        <w:rPr>
          <w:rFonts w:ascii="Garamond" w:hAnsi="Garamond"/>
          <w:noProof/>
          <w:color w:val="000000" w:themeColor="text1"/>
          <w:sz w:val="24"/>
          <w:szCs w:val="24"/>
        </w:rPr>
        <w:t xml:space="preserve"> was then </w:t>
      </w:r>
      <w:r w:rsidR="00035C39" w:rsidRPr="00B10EBE">
        <w:rPr>
          <w:rFonts w:ascii="Garamond" w:hAnsi="Garamond"/>
          <w:noProof/>
          <w:color w:val="000000" w:themeColor="text1"/>
          <w:sz w:val="24"/>
          <w:szCs w:val="24"/>
        </w:rPr>
        <w:t xml:space="preserve">refined </w:t>
      </w:r>
      <w:r w:rsidRPr="00B10EBE">
        <w:rPr>
          <w:rFonts w:ascii="Garamond" w:hAnsi="Garamond"/>
          <w:noProof/>
          <w:color w:val="000000" w:themeColor="text1"/>
          <w:sz w:val="24"/>
          <w:szCs w:val="24"/>
        </w:rPr>
        <w:t xml:space="preserve">by calculating the difference in the </w:t>
      </w:r>
      <w:r w:rsidRPr="00B10EBE">
        <w:rPr>
          <w:rFonts w:ascii="Calibri" w:hAnsi="Calibri" w:cs="Calibri"/>
          <w:noProof/>
          <w:color w:val="000000" w:themeColor="text1"/>
          <w:sz w:val="24"/>
          <w:szCs w:val="24"/>
        </w:rPr>
        <w:t>﻿</w:t>
      </w:r>
      <w:r w:rsidRPr="00B10EBE">
        <w:rPr>
          <w:rFonts w:ascii="Garamond" w:hAnsi="Garamond"/>
          <w:noProof/>
          <w:color w:val="000000" w:themeColor="text1"/>
          <w:sz w:val="24"/>
          <w:szCs w:val="24"/>
        </w:rPr>
        <w:t>Akaike Information Criterion (ΔAIC) between each SEM and the SEM</w:t>
      </w:r>
      <w:r w:rsidR="00035C39" w:rsidRPr="00B10EBE">
        <w:rPr>
          <w:rFonts w:ascii="Garamond" w:hAnsi="Garamond"/>
          <w:noProof/>
          <w:color w:val="000000" w:themeColor="text1"/>
          <w:sz w:val="24"/>
          <w:szCs w:val="24"/>
        </w:rPr>
        <w:t xml:space="preserve"> with the lowest AIC</w:t>
      </w:r>
      <w:r w:rsidR="000A2469" w:rsidRPr="00B10EBE">
        <w:rPr>
          <w:rFonts w:ascii="Garamond" w:hAnsi="Garamond"/>
          <w:noProof/>
          <w:color w:val="000000" w:themeColor="text1"/>
          <w:sz w:val="24"/>
          <w:szCs w:val="24"/>
        </w:rPr>
        <w:t xml:space="preserve"> </w:t>
      </w:r>
      <w:r w:rsidR="000A2469"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{"citationID":"MJYxxHLu","properties":{"formattedCitation":"(Cade, 2015)","plainCitation":"(Cade, 2015)","noteIndex":0},"citationItems":[{"id":274,"uris":["http://zotero.org/users/10686236/items/4B74EE8Q"],"itemData":{"id":274,"type":"article-journal","abstract":"Three flawed practices associated with model averaging coefficients for predictor variables in regression models commonly occur when making multimodel inferences in analyses of ecological data. Model-averaged regression coefficients based on Akaike information criterion (AIC) weights have been recommended for addressing model uncertainty but they are not valid, interpretable estimates of partial effects for individual predictors when there is multicollinearity among the predictor variables. Multicollinearity implies that the scaling of units in the denominators of the regression coefficients may change across models such that neither the parameters nor their estimates have common scales, therefore averaging them makes no sense. The associated sums of AIC model weights recommended to assess relative importance of individual predictors are really a measure of relative importance of models, with little information about contributions by individual predictors compared to other measures of relative importance based on effects size or variance reduction. Sometimes the model-averaged regression coefficients for predictor variables are incorrectly used to make model-averaged predictions of the response variable when the models are not linear in the parameters. I demonstrate the issues with the first two practices using the college grade point average example extensively analyzed by Burnham and Anderson. I show how partial standard deviations of the predictor variables can be used to detect changing scales of their estimates with multicollinearity. Standardizing estimates based on partial standard deviations for their variables can be used to make the scaling of the estimates commensurate across models, a necessary but not sufficient condition for model averaging of the estimates to be sensible. A unimodal distribution of estimates and valid interpretation of individual parameters are additional requisite conditions. The standardized estimates or equivalently the t statistics on unstandardized estimates also can be used to provide more informative measures of relative importance than sums of AIC weights. Finally, I illustrate how seriously compromised statistical interpretations and predictions can be for all three of these flawed practices by critiquing their use in a recent species distribution modeling technique developed for predicting Greater Sage-Grouse (Centrocercus urophasianus) distribution in Colorado, USA. These model averaging issues are common in other ecological literature and ought to be discontinued if we are to make effective scientific contributions to ecological knowledge and conservation of natural resources.","container-title":"Ecology","DOI":"10.1890/14-1639.1","ISSN":"19399170","issue":"9","note":"PMID: 26594695","page":"2370-2382","title":"Model averaging and muddled multimodel inferences","volume":"96","author":[{"family":"Cade","given":"Brian S."}],"issued":{"date-parts":[["2015"]]}}}],"schema":"https://github.com/citation-style-language/schema/raw/master/csl-citation.json"} </w:instrText>
      </w:r>
      <w:r w:rsidR="000A2469"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(Cade, 2015)</w:t>
      </w:r>
      <w:r w:rsidR="000A2469"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xml:space="preserve"> and selecting only SEMs with ΔAIC &lt; 3 (hereafter final SEMs)</w:t>
      </w:r>
      <w:r w:rsidR="000A2469" w:rsidRPr="00B10EBE">
        <w:rPr>
          <w:rFonts w:ascii="Garamond" w:hAnsi="Garamond"/>
          <w:noProof/>
          <w:color w:val="000000" w:themeColor="text1"/>
          <w:sz w:val="24"/>
          <w:szCs w:val="24"/>
        </w:rPr>
        <w:t xml:space="preserve"> </w:t>
      </w:r>
      <w:r w:rsidR="000A2469"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{"citationID":"Bh5d5GFf","properties":{"formattedCitation":"(Burnham et al., 2011)","plainCitation":"(Burnham et al., 2011)","noteIndex":0},"citationItems":[{"id":233,"uris":["http://zotero.org/users/10686236/items/U4C6V7WV"],"itemData":{"id":233,"type":"article-journal","container-title":"Behavioral Ecology and Sociobiology","DOI":"10.1007/s00265-010-1029-6","page":"23-35","title":"AIC model selection and multimodel inference in behavioral ecology : some background , observations , and comparisons","volume":"65","author":[{"family":"Burnham","given":"Kenneth P"},{"family":"Anderson","given":"David R"},{"family":"Huyvaert","given":"Kathryn P"}],"issued":{"date-parts":[["2011"]]}}}],"schema":"https://github.com/citation-style-language/schema/raw/master/csl-citation.json"} </w:instrText>
      </w:r>
      <w:r w:rsidR="000A2469"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(Burnham et al., 2011)</w:t>
      </w:r>
      <w:r w:rsidR="000A2469"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w:t>
      </w:r>
      <w:r w:rsidR="004B4401" w:rsidRPr="00B10EBE">
        <w:rPr>
          <w:rFonts w:ascii="Garamond" w:hAnsi="Garamond"/>
          <w:noProof/>
          <w:color w:val="000000" w:themeColor="text1"/>
          <w:sz w:val="24"/>
          <w:szCs w:val="24"/>
        </w:rPr>
        <w:t xml:space="preserve"> </w:t>
      </w:r>
      <w:r w:rsidR="00A06ADE" w:rsidRPr="008A50E8">
        <w:rPr>
          <w:rFonts w:ascii="Garamond" w:hAnsi="Garamond"/>
          <w:color w:val="000000" w:themeColor="text1"/>
          <w:sz w:val="24"/>
          <w:szCs w:val="24"/>
        </w:rPr>
        <w:t>We present the results for each bioregion by performing natural model averaging of the final SEM β coefficients both annually with 95% confidence intervals (CIs) and averaging over the entire 1997-2016 period</w:t>
      </w:r>
      <w:r w:rsidR="004B4401" w:rsidRPr="00B10EBE">
        <w:rPr>
          <w:rFonts w:ascii="Garamond" w:hAnsi="Garamond"/>
          <w:noProof/>
          <w:color w:val="000000" w:themeColor="text1"/>
          <w:sz w:val="24"/>
          <w:szCs w:val="24"/>
        </w:rPr>
        <w:t>.</w:t>
      </w:r>
      <w:r w:rsidRPr="00B10EBE">
        <w:rPr>
          <w:rFonts w:ascii="Garamond" w:hAnsi="Garamond"/>
          <w:noProof/>
          <w:color w:val="000000" w:themeColor="text1"/>
          <w:sz w:val="24"/>
          <w:szCs w:val="24"/>
        </w:rPr>
        <w:t xml:space="preserve"> We took this approach as </w:t>
      </w:r>
      <w:r w:rsidR="00035C39" w:rsidRPr="00B10EBE">
        <w:rPr>
          <w:rFonts w:ascii="Garamond" w:hAnsi="Garamond"/>
          <w:noProof/>
          <w:color w:val="000000" w:themeColor="text1"/>
          <w:sz w:val="24"/>
          <w:szCs w:val="24"/>
        </w:rPr>
        <w:t xml:space="preserve">the values of the </w:t>
      </w:r>
      <w:r w:rsidRPr="00B10EBE">
        <w:rPr>
          <w:rFonts w:ascii="Garamond" w:hAnsi="Garamond"/>
          <w:noProof/>
          <w:color w:val="000000" w:themeColor="text1"/>
          <w:sz w:val="24"/>
          <w:szCs w:val="24"/>
        </w:rPr>
        <w:t xml:space="preserve">statistically significant </w:t>
      </w:r>
      <w:r w:rsidR="00BE7912" w:rsidRPr="00B10EBE">
        <w:rPr>
          <w:rFonts w:ascii="Garamond" w:hAnsi="Garamond"/>
          <w:noProof/>
          <w:color w:val="000000" w:themeColor="text1"/>
          <w:sz w:val="24"/>
          <w:szCs w:val="24"/>
        </w:rPr>
        <w:t>β coefficients</w:t>
      </w:r>
      <w:r w:rsidRPr="00B10EBE">
        <w:rPr>
          <w:rFonts w:ascii="Garamond" w:hAnsi="Garamond"/>
          <w:noProof/>
          <w:color w:val="000000" w:themeColor="text1"/>
          <w:sz w:val="24"/>
          <w:szCs w:val="24"/>
        </w:rPr>
        <w:t xml:space="preserve"> did not change appreciably</w:t>
      </w:r>
      <w:r w:rsidRPr="00B10EBE" w:rsidDel="00403969">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over time (coefficient of variations &lt; 5%)</w:t>
      </w:r>
      <w:r w:rsidR="007C4219" w:rsidRPr="00B10EBE">
        <w:rPr>
          <w:rFonts w:ascii="Garamond" w:hAnsi="Garamond"/>
          <w:noProof/>
          <w:color w:val="000000" w:themeColor="text1"/>
          <w:sz w:val="24"/>
          <w:szCs w:val="24"/>
        </w:rPr>
        <w:t>.</w:t>
      </w:r>
      <w:r w:rsidR="0037423B" w:rsidRPr="00B10EBE">
        <w:rPr>
          <w:rFonts w:ascii="Garamond" w:hAnsi="Garamond"/>
          <w:noProof/>
          <w:color w:val="000000" w:themeColor="text1"/>
          <w:sz w:val="24"/>
          <w:szCs w:val="24"/>
        </w:rPr>
        <w:t xml:space="preserve"> </w:t>
      </w:r>
      <w:r w:rsidR="004B4401" w:rsidRPr="008A50E8">
        <w:rPr>
          <w:rFonts w:ascii="Garamond" w:hAnsi="Garamond"/>
          <w:color w:val="000000" w:themeColor="text1"/>
          <w:sz w:val="24"/>
          <w:szCs w:val="24"/>
        </w:rPr>
        <w:t>Effects were classified as weak, moderate, or strong depending on whether their absolute mean was below one, between one and two, or above two standard deviations, respectively</w:t>
      </w:r>
      <w:r w:rsidR="007977B4" w:rsidRPr="008A50E8">
        <w:rPr>
          <w:rFonts w:ascii="Garamond" w:hAnsi="Garamond"/>
          <w:color w:val="000000" w:themeColor="text1"/>
          <w:sz w:val="24"/>
          <w:szCs w:val="24"/>
        </w:rPr>
        <w:t>.</w:t>
      </w:r>
      <w:r w:rsidR="00B10EBE" w:rsidRPr="00B10EBE">
        <w:rPr>
          <w:rFonts w:ascii="Garamond" w:hAnsi="Garamond"/>
          <w:color w:val="000000" w:themeColor="text1"/>
          <w:sz w:val="24"/>
          <w:szCs w:val="24"/>
        </w:rPr>
        <w:t xml:space="preserve"> </w:t>
      </w:r>
      <w:r w:rsidR="00B10EBE" w:rsidRPr="008A50E8">
        <w:rPr>
          <w:rFonts w:ascii="Garamond" w:hAnsi="Garamond"/>
          <w:color w:val="000000" w:themeColor="text1"/>
          <w:sz w:val="24"/>
          <w:szCs w:val="24"/>
        </w:rPr>
        <w:t>Full results for each bioregion, including the list of final SEMs, Fisher’s C with p-values, Chi-squared with p-values, degrees of freedom, ΔAIC, Nagelkerke R², β coefficients with p-values and 95% CIs, as well as the standard deviation and coefficient of variation of β coefficients for each year, are reported in Appendix A6</w:t>
      </w:r>
      <w:r w:rsidR="00B10EBE" w:rsidRPr="00B10EBE">
        <w:rPr>
          <w:rFonts w:ascii="Garamond" w:hAnsi="Garamond"/>
          <w:noProof/>
          <w:color w:val="000000" w:themeColor="text1"/>
          <w:sz w:val="24"/>
          <w:szCs w:val="24"/>
        </w:rPr>
        <w:t>.</w:t>
      </w:r>
    </w:p>
    <w:p w14:paraId="21105E0B" w14:textId="597697A9" w:rsidR="00716571" w:rsidRPr="00B10EBE" w:rsidRDefault="003A4065" w:rsidP="0033343A">
      <w:pPr>
        <w:adjustRightInd w:val="0"/>
        <w:snapToGrid w:val="0"/>
        <w:ind w:left="0" w:firstLine="0"/>
        <w:jc w:val="both"/>
        <w:rPr>
          <w:rFonts w:ascii="Garamond" w:hAnsi="Garamond"/>
          <w:noProof/>
          <w:color w:val="000000" w:themeColor="text1"/>
          <w:sz w:val="24"/>
          <w:szCs w:val="24"/>
        </w:rPr>
      </w:pPr>
      <w:r w:rsidRPr="00B10EBE">
        <w:rPr>
          <w:rFonts w:ascii="Garamond" w:eastAsia="Times New Roman" w:hAnsi="Garamond"/>
          <w:bCs/>
          <w:noProof/>
          <w:color w:val="000000" w:themeColor="text1"/>
          <w:sz w:val="24"/>
          <w:szCs w:val="24"/>
          <w:lang w:eastAsia="zh-CN"/>
        </w:rPr>
        <w:t>4 - Model evaluation.</w:t>
      </w:r>
      <w:r w:rsidRPr="00B10EBE">
        <w:rPr>
          <w:rFonts w:ascii="Garamond" w:eastAsia="Times New Roman" w:hAnsi="Garamond"/>
          <w:noProof/>
          <w:color w:val="000000" w:themeColor="text1"/>
          <w:sz w:val="24"/>
          <w:szCs w:val="24"/>
          <w:lang w:eastAsia="zh-CN"/>
        </w:rPr>
        <w:t xml:space="preserve"> Although final SEMs were selected via satisfactory Fisher’s C, </w:t>
      </w:r>
      <w:r w:rsidRPr="00B10EBE">
        <w:rPr>
          <w:rFonts w:ascii="Garamond" w:hAnsi="Garamond"/>
          <w:noProof/>
          <w:color w:val="000000" w:themeColor="text1"/>
          <w:sz w:val="24"/>
          <w:szCs w:val="24"/>
        </w:rPr>
        <w:t>χ</w:t>
      </w:r>
      <w:r w:rsidRPr="00B10EBE">
        <w:rPr>
          <w:rFonts w:ascii="Garamond" w:hAnsi="Garamond"/>
          <w:noProof/>
          <w:color w:val="000000" w:themeColor="text1"/>
          <w:sz w:val="24"/>
          <w:szCs w:val="24"/>
          <w:vertAlign w:val="superscript"/>
        </w:rPr>
        <w:t>2</w:t>
      </w:r>
      <w:r w:rsidRPr="00B10EBE">
        <w:rPr>
          <w:rFonts w:ascii="Garamond" w:eastAsia="Times New Roman" w:hAnsi="Garamond"/>
          <w:noProof/>
          <w:color w:val="000000" w:themeColor="text1"/>
          <w:sz w:val="24"/>
          <w:szCs w:val="24"/>
          <w:lang w:eastAsia="zh-CN"/>
        </w:rPr>
        <w:t xml:space="preserve">, and </w:t>
      </w:r>
      <w:r w:rsidRPr="00B10EBE">
        <w:rPr>
          <w:rFonts w:ascii="Garamond" w:hAnsi="Garamond"/>
          <w:noProof/>
          <w:color w:val="000000" w:themeColor="text1"/>
          <w:sz w:val="24"/>
          <w:szCs w:val="24"/>
        </w:rPr>
        <w:t>ΔAIC values, we further evaluated them by calculating Nagelkerke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and plotting residuals against fitted values </w:t>
      </w:r>
      <w:r w:rsidR="005D0221" w:rsidRPr="00B10EBE">
        <w:rPr>
          <w:rFonts w:ascii="Garamond" w:hAnsi="Garamond"/>
          <w:noProof/>
          <w:color w:val="000000" w:themeColor="text1"/>
          <w:sz w:val="24"/>
          <w:szCs w:val="24"/>
        </w:rPr>
        <w:t xml:space="preserve">for </w:t>
      </w:r>
      <w:r w:rsidRPr="00B10EBE">
        <w:rPr>
          <w:rFonts w:ascii="Garamond" w:hAnsi="Garamond"/>
          <w:noProof/>
          <w:color w:val="000000" w:themeColor="text1"/>
          <w:sz w:val="24"/>
          <w:szCs w:val="24"/>
        </w:rPr>
        <w:t xml:space="preserve">each </w:t>
      </w:r>
      <w:r w:rsidR="005D0221" w:rsidRPr="00B10EBE">
        <w:rPr>
          <w:rFonts w:ascii="Garamond" w:hAnsi="Garamond"/>
          <w:noProof/>
          <w:color w:val="000000" w:themeColor="text1"/>
          <w:sz w:val="24"/>
          <w:szCs w:val="24"/>
        </w:rPr>
        <w:t xml:space="preserve">variable </w:t>
      </w:r>
      <w:r w:rsidR="0012190D" w:rsidRPr="00B10EBE">
        <w:rPr>
          <w:rFonts w:ascii="Garamond" w:hAnsi="Garamond"/>
          <w:noProof/>
          <w:color w:val="000000" w:themeColor="text1"/>
          <w:sz w:val="24"/>
          <w:szCs w:val="24"/>
        </w:rPr>
        <w:t>included and not included in the model, latitude and longitude, and time</w:t>
      </w:r>
      <w:r w:rsidR="000A2469" w:rsidRPr="00B10EBE">
        <w:rPr>
          <w:rFonts w:ascii="Garamond" w:hAnsi="Garamond"/>
          <w:noProof/>
          <w:color w:val="000000" w:themeColor="text1"/>
          <w:sz w:val="24"/>
          <w:szCs w:val="24"/>
        </w:rPr>
        <w:t xml:space="preserve"> </w:t>
      </w:r>
      <w:r w:rsidR="000A2469"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{"citationID":"9uGEY2ro","properties":{"formattedCitation":"(Zuur &amp; Ieno, 2016)","plainCitation":"(Zuur &amp; Ieno, 2016)","noteIndex":0},"citationItems":[{"id":308,"uris":["http://zotero.org/users/10686236/items/AJQ4KU3C"],"itemData":{"id":308,"type":"article-journal","abstract":"Scientific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Evolution","DOI":"10.1111/2041-210X.12577","ISSN":"2041210X","issue":"6","page":"636-645","title":"A protocol for conducting and presenting results of regression-type analyses","volume":"7","author":[{"family":"Zuur","given":"Alain F."},{"family":"Ieno","given":"Elena N."}],"issued":{"date-parts":[["2016"]]}}}],"schema":"https://github.com/citation-style-language/schema/raw/master/csl-citation.json"} </w:instrText>
      </w:r>
      <w:r w:rsidR="000A2469" w:rsidRPr="00B10EBE">
        <w:rPr>
          <w:rFonts w:ascii="Garamond" w:hAnsi="Garamond"/>
          <w:noProof/>
          <w:color w:val="000000" w:themeColor="text1"/>
          <w:sz w:val="24"/>
          <w:szCs w:val="24"/>
        </w:rPr>
        <w:fldChar w:fldCharType="separate"/>
      </w:r>
      <w:r w:rsidR="004C2C12" w:rsidRPr="00B10EBE">
        <w:rPr>
          <w:rFonts w:ascii="Garamond" w:hAnsi="Garamond"/>
          <w:noProof/>
          <w:color w:val="000000" w:themeColor="text1"/>
          <w:sz w:val="24"/>
          <w:szCs w:val="24"/>
        </w:rPr>
        <w:t xml:space="preserve">(Zuur </w:t>
      </w:r>
      <w:r w:rsidR="004C2C12" w:rsidRPr="00B10EBE">
        <w:rPr>
          <w:rFonts w:ascii="Garamond" w:hAnsi="Garamond"/>
          <w:noProof/>
          <w:color w:val="000000" w:themeColor="text1"/>
          <w:sz w:val="24"/>
          <w:szCs w:val="24"/>
        </w:rPr>
        <w:lastRenderedPageBreak/>
        <w:t>&amp; Ieno, 2016)</w:t>
      </w:r>
      <w:r w:rsidR="000A2469"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 xml:space="preserve">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7</w:t>
      </w:r>
      <w:r w:rsidRPr="00B10EBE">
        <w:rPr>
          <w:rFonts w:ascii="Garamond" w:hAnsi="Garamond"/>
          <w:noProof/>
          <w:color w:val="000000" w:themeColor="text1"/>
          <w:sz w:val="24"/>
          <w:szCs w:val="24"/>
        </w:rPr>
        <w:t>). This step is important to assess the goodness of fit of any saturated SEMs (i.e., all variables are linked), as these have no degrees of freedom</w:t>
      </w:r>
      <w:r w:rsidR="001B4BE1" w:rsidRPr="00B10EBE">
        <w:rPr>
          <w:rFonts w:ascii="Garamond" w:hAnsi="Garamond"/>
          <w:noProof/>
          <w:color w:val="000000" w:themeColor="text1"/>
          <w:sz w:val="24"/>
          <w:szCs w:val="24"/>
        </w:rPr>
        <w:t xml:space="preserve"> </w:t>
      </w:r>
      <w:r w:rsidR="001B4BE1" w:rsidRPr="00B10EBE">
        <w:rPr>
          <w:rFonts w:ascii="Garamond"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{"citationID":"KTR3BpGv","properties":{"formattedCitation":"(Cortina et al., 2017)","plainCitation":"(Cortina et al., 2017)","noteIndex":0},"citationItems":[{"id":1865,"uris":["http://zotero.org/users/10686236/items/JUJEYVPR"],"itemData":{"id":1865,"type":"article-journal","abstract":"Structural equation modeling (SEM) has been a staple of the organizational sciences for decades. It is common to report degrees of freedom (df) for tested models, and it should be possible for a reader to recreate df for any model in a published paper. We reviewed 784 models from 75 papers published in top journals in order to understand df-related reporting practices and discover how often reported df matched those that we computed based on the information given in the papers. Among other things, we found that both df and the information necessary to compute them were available about three-quarters of the time. We also found that computed df matched reported df only 62% of the time. Discrepancies were particularly common in structural (as opposed to measurement) models and were often large in magnitude. This means that the models for which fit indices are offered are often different from those described in published papers. Finally, we offer an online tool for computing df and recommendations, the Degrees of Freedom Reporting Standards (DFRS), for authors, reviewers, and editors.","container-title":"Organizational Research Methods","DOI":"10.1177/1094428116676345","ISSN":"15527425","issue":"3","note":"ISBN: 1094428116","page":"350-378","title":"Degrees of Freedom in SEM: Are We Testing the Models That We Claim to Test?","volume":"20","author":[{"family":"Cortina","given":"Jose M."},{"family":"Green","given":"Jennifer P."},{"family":"Keeler","given":"Kathleen R."},{"family":"Vandenberg","given":"Robert J."}],"issued":{"date-parts":[["2017"]]}}}],"schema":"https://github.com/citation-style-language/schema/raw/master/csl-citation.json"} </w:instrText>
      </w:r>
      <w:r w:rsidR="001B4BE1" w:rsidRPr="00B10EBE">
        <w:rPr>
          <w:rFonts w:ascii="Garamond" w:hAnsi="Garamond"/>
          <w:noProof/>
          <w:color w:val="000000" w:themeColor="text1"/>
          <w:sz w:val="24"/>
          <w:szCs w:val="24"/>
        </w:rPr>
        <w:fldChar w:fldCharType="separate"/>
      </w:r>
      <w:r w:rsidR="004C2C12" w:rsidRPr="00B10EBE">
        <w:rPr>
          <w:rFonts w:ascii="Garamond" w:hAnsi="Garamond"/>
          <w:color w:val="000000" w:themeColor="text1"/>
          <w:sz w:val="24"/>
        </w:rPr>
        <w:t>(Cortina et al., 2017)</w:t>
      </w:r>
      <w:r w:rsidR="001B4BE1" w:rsidRPr="00B10EBE">
        <w:rPr>
          <w:rFonts w:ascii="Garamond" w:hAnsi="Garamond"/>
          <w:noProof/>
          <w:color w:val="000000" w:themeColor="text1"/>
          <w:sz w:val="24"/>
          <w:szCs w:val="24"/>
        </w:rPr>
        <w:fldChar w:fldCharType="end"/>
      </w:r>
      <w:r w:rsidRPr="00B10EBE">
        <w:rPr>
          <w:rFonts w:ascii="Garamond" w:hAnsi="Garamond"/>
          <w:noProof/>
          <w:color w:val="000000" w:themeColor="text1"/>
          <w:sz w:val="24"/>
          <w:szCs w:val="24"/>
        </w:rPr>
        <w:t>.</w:t>
      </w:r>
      <w:r w:rsidR="00FB147C" w:rsidRPr="00B10EBE">
        <w:rPr>
          <w:rFonts w:ascii="Garamond" w:hAnsi="Garamond"/>
          <w:noProof/>
          <w:color w:val="000000" w:themeColor="text1"/>
          <w:sz w:val="24"/>
          <w:szCs w:val="24"/>
        </w:rPr>
        <w:t xml:space="preserve"> </w:t>
      </w:r>
      <w:r w:rsidR="00FB147C" w:rsidRPr="00B10EBE">
        <w:rPr>
          <w:rFonts w:ascii="Garamond" w:hAnsi="Garamond"/>
          <w:bCs/>
          <w:noProof/>
          <w:color w:val="000000" w:themeColor="text1"/>
          <w:sz w:val="24"/>
          <w:szCs w:val="24"/>
        </w:rPr>
        <w:t xml:space="preserve">The </w:t>
      </w:r>
      <w:r w:rsidR="00A40428" w:rsidRPr="00B10EBE">
        <w:rPr>
          <w:rFonts w:ascii="Garamond" w:hAnsi="Garamond"/>
          <w:bCs/>
          <w:noProof/>
          <w:color w:val="000000" w:themeColor="text1"/>
          <w:sz w:val="24"/>
          <w:szCs w:val="24"/>
        </w:rPr>
        <w:t>four</w:t>
      </w:r>
      <w:r w:rsidR="00FB147C" w:rsidRPr="00B10EBE">
        <w:rPr>
          <w:rFonts w:ascii="Garamond" w:hAnsi="Garamond"/>
          <w:bCs/>
          <w:noProof/>
          <w:color w:val="000000" w:themeColor="text1"/>
          <w:sz w:val="24"/>
          <w:szCs w:val="24"/>
        </w:rPr>
        <w:t xml:space="preserve">-step statistical modelling </w:t>
      </w:r>
      <w:r w:rsidR="000A5C4A" w:rsidRPr="00B10EBE">
        <w:rPr>
          <w:rFonts w:ascii="Garamond" w:hAnsi="Garamond"/>
          <w:noProof/>
          <w:color w:val="000000" w:themeColor="text1"/>
          <w:sz w:val="24"/>
          <w:szCs w:val="24"/>
        </w:rPr>
        <w:t xml:space="preserve">workflow is </w:t>
      </w:r>
      <w:r w:rsidR="00FB147C" w:rsidRPr="00B10EBE">
        <w:rPr>
          <w:rFonts w:ascii="Garamond" w:hAnsi="Garamond"/>
          <w:noProof/>
          <w:color w:val="000000" w:themeColor="text1"/>
          <w:sz w:val="24"/>
          <w:szCs w:val="24"/>
        </w:rPr>
        <w:t>shown</w:t>
      </w:r>
      <w:r w:rsidR="000A5C4A" w:rsidRPr="00B10EBE">
        <w:rPr>
          <w:rFonts w:ascii="Garamond" w:hAnsi="Garamond"/>
          <w:noProof/>
          <w:color w:val="000000" w:themeColor="text1"/>
          <w:sz w:val="24"/>
          <w:szCs w:val="24"/>
        </w:rPr>
        <w:t xml:space="preserve"> in Fig</w:t>
      </w:r>
      <w:r w:rsidR="00323676" w:rsidRPr="00B10EBE">
        <w:rPr>
          <w:rFonts w:ascii="Garamond" w:hAnsi="Garamond"/>
          <w:noProof/>
          <w:color w:val="000000" w:themeColor="text1"/>
          <w:sz w:val="24"/>
          <w:szCs w:val="24"/>
        </w:rPr>
        <w:t>ure 3.</w:t>
      </w:r>
    </w:p>
    <w:p w14:paraId="2F0A36CF" w14:textId="5B3272A0" w:rsidR="003A4065" w:rsidRPr="00B10EBE" w:rsidRDefault="00226A9B" w:rsidP="0033343A">
      <w:pPr>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The preprocessing we computed before the statistical analysis is</w:t>
      </w:r>
      <w:r w:rsidR="00323676"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 xml:space="preserve">detailed </w:t>
      </w:r>
      <w:r w:rsidR="00323676" w:rsidRPr="00B10EBE">
        <w:rPr>
          <w:rFonts w:ascii="Garamond" w:hAnsi="Garamond"/>
          <w:noProof/>
          <w:color w:val="000000" w:themeColor="text1"/>
          <w:sz w:val="24"/>
          <w:szCs w:val="24"/>
        </w:rPr>
        <w:t xml:space="preserve">in </w:t>
      </w:r>
      <w:r w:rsidR="0055120F" w:rsidRPr="00B10EBE">
        <w:rPr>
          <w:rFonts w:ascii="Garamond" w:hAnsi="Garamond"/>
          <w:noProof/>
          <w:color w:val="000000" w:themeColor="text1"/>
          <w:sz w:val="24"/>
          <w:szCs w:val="24"/>
        </w:rPr>
        <w:t>Appendix A</w:t>
      </w:r>
      <w:r w:rsidR="00AE4DFC" w:rsidRPr="00B10EBE">
        <w:rPr>
          <w:rFonts w:ascii="Garamond" w:hAnsi="Garamond"/>
          <w:noProof/>
          <w:color w:val="000000" w:themeColor="text1"/>
          <w:sz w:val="24"/>
          <w:szCs w:val="24"/>
        </w:rPr>
        <w:t>8</w:t>
      </w:r>
      <w:r w:rsidR="00323676" w:rsidRPr="00B10EBE">
        <w:rPr>
          <w:rFonts w:ascii="Garamond" w:hAnsi="Garamond"/>
          <w:noProof/>
          <w:color w:val="000000" w:themeColor="text1"/>
          <w:sz w:val="24"/>
          <w:szCs w:val="24"/>
        </w:rPr>
        <w:t>.</w:t>
      </w:r>
      <w:r w:rsidR="000A029D" w:rsidRPr="00B10EBE">
        <w:rPr>
          <w:rFonts w:ascii="Garamond" w:hAnsi="Garamond"/>
          <w:noProof/>
          <w:color w:val="000000" w:themeColor="text1"/>
          <w:sz w:val="24"/>
          <w:szCs w:val="24"/>
        </w:rPr>
        <w:t xml:space="preserve"> All analyses were performed within the R environment</w:t>
      </w:r>
      <w:r w:rsidR="00791AAE" w:rsidRPr="00B10EBE">
        <w:rPr>
          <w:rFonts w:ascii="Garamond" w:hAnsi="Garamond"/>
          <w:bCs/>
          <w:color w:val="000000" w:themeColor="text1"/>
          <w:sz w:val="24"/>
          <w:szCs w:val="24"/>
        </w:rPr>
        <w:t>, version 4.2.1</w:t>
      </w:r>
      <w:r w:rsidR="000A029D" w:rsidRPr="00B10EBE">
        <w:rPr>
          <w:rFonts w:ascii="Garamond" w:hAnsi="Garamond"/>
          <w:noProof/>
          <w:color w:val="000000" w:themeColor="text1"/>
          <w:sz w:val="24"/>
          <w:szCs w:val="24"/>
        </w:rPr>
        <w:t xml:space="preserve"> </w:t>
      </w:r>
      <w:r w:rsidR="008069B8" w:rsidRPr="00B10EBE">
        <w:rPr>
          <w:rFonts w:ascii="Garamond" w:hAnsi="Garamond"/>
          <w:noProof/>
          <w:color w:val="000000" w:themeColor="text1"/>
          <w:sz w:val="24"/>
          <w:szCs w:val="24"/>
        </w:rPr>
        <w:t>(</w:t>
      </w:r>
      <w:r w:rsidR="00633D3F" w:rsidRPr="00B10EBE">
        <w:rPr>
          <w:rFonts w:ascii="Garamond" w:hAnsi="Garamond"/>
          <w:color w:val="000000" w:themeColor="text1"/>
          <w:sz w:val="24"/>
          <w:szCs w:val="24"/>
          <w:lang w:eastAsia="zh-CN"/>
        </w:rPr>
        <w:t>Posit Team 2023</w:t>
      </w:r>
      <w:r w:rsidR="00157F9F" w:rsidRPr="00B10EBE">
        <w:rPr>
          <w:rFonts w:ascii="Garamond" w:hAnsi="Garamond"/>
          <w:color w:val="000000" w:themeColor="text1"/>
          <w:sz w:val="24"/>
          <w:szCs w:val="24"/>
          <w:lang w:eastAsia="zh-CN"/>
        </w:rPr>
        <w:t>)</w:t>
      </w:r>
      <w:r w:rsidR="000A029D" w:rsidRPr="00B10EBE">
        <w:rPr>
          <w:rFonts w:ascii="Garamond" w:hAnsi="Garamond"/>
          <w:noProof/>
          <w:color w:val="000000" w:themeColor="text1"/>
          <w:sz w:val="24"/>
          <w:szCs w:val="24"/>
        </w:rPr>
        <w:t>.</w:t>
      </w:r>
    </w:p>
    <w:p w14:paraId="35E56F2D" w14:textId="77777777" w:rsidR="003A4065" w:rsidRPr="00B10EBE" w:rsidRDefault="003A4065" w:rsidP="0033343A">
      <w:pPr>
        <w:widowControl w:val="0"/>
        <w:adjustRightInd w:val="0"/>
        <w:snapToGrid w:val="0"/>
        <w:ind w:left="0" w:firstLine="0"/>
        <w:jc w:val="both"/>
        <w:rPr>
          <w:rFonts w:ascii="Garamond" w:hAnsi="Garamond"/>
          <w:b/>
          <w:noProof/>
          <w:color w:val="000000" w:themeColor="text1"/>
          <w:sz w:val="24"/>
          <w:szCs w:val="24"/>
        </w:rPr>
      </w:pPr>
      <w:r w:rsidRPr="00B10EBE">
        <w:rPr>
          <w:rFonts w:ascii="Garamond" w:hAnsi="Garamond"/>
          <w:b/>
          <w:noProof/>
          <w:color w:val="000000" w:themeColor="text1"/>
          <w:sz w:val="24"/>
          <w:szCs w:val="24"/>
        </w:rPr>
        <w:t>3</w:t>
      </w:r>
      <w:r w:rsidRPr="00B10EBE">
        <w:rPr>
          <w:rFonts w:ascii="Garamond" w:hAnsi="Garamond"/>
          <w:b/>
          <w:noProof/>
          <w:color w:val="000000" w:themeColor="text1"/>
          <w:sz w:val="24"/>
          <w:szCs w:val="24"/>
        </w:rPr>
        <w:tab/>
        <w:t>Results</w:t>
      </w:r>
    </w:p>
    <w:p w14:paraId="3DE6F23B" w14:textId="4ED4B8CC" w:rsidR="003A4065" w:rsidRPr="008A50E8" w:rsidRDefault="0003279E" w:rsidP="0033343A">
      <w:pPr>
        <w:widowControl w:val="0"/>
        <w:adjustRightInd w:val="0"/>
        <w:snapToGrid w:val="0"/>
        <w:ind w:left="0" w:firstLine="0"/>
        <w:jc w:val="both"/>
        <w:rPr>
          <w:rFonts w:ascii="Garamond" w:hAnsi="Garamond"/>
          <w:color w:val="000000" w:themeColor="text1"/>
          <w:sz w:val="24"/>
          <w:szCs w:val="24"/>
        </w:rPr>
      </w:pPr>
      <w:r w:rsidRPr="008A50E8">
        <w:rPr>
          <w:rFonts w:ascii="Garamond" w:hAnsi="Garamond"/>
          <w:color w:val="000000" w:themeColor="text1"/>
          <w:sz w:val="24"/>
          <w:szCs w:val="24"/>
        </w:rPr>
        <w:t>Only about 12% of our 37 hypothesized SEM causal structures could satisfy the criteria for selection as final SEMs each year (Tables S6.1, S6.3, S6.5, S6.7). Notably, simple SEM structures were systematically excluded from this subset, indicating that the observed direct and indirect relationships were better captured by the more complex structures.</w:t>
      </w:r>
    </w:p>
    <w:p w14:paraId="5FE795F3" w14:textId="00A9F484" w:rsidR="003A4065" w:rsidRPr="00B10EBE" w:rsidRDefault="003A4065" w:rsidP="0033343A">
      <w:pPr>
        <w:widowControl w:val="0"/>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 xml:space="preserve">In </w:t>
      </w:r>
      <w:r w:rsidR="009C7C18" w:rsidRPr="00B10EBE">
        <w:rPr>
          <w:rFonts w:ascii="Garamond" w:hAnsi="Garamond"/>
          <w:noProof/>
          <w:color w:val="000000" w:themeColor="text1"/>
          <w:sz w:val="24"/>
          <w:szCs w:val="24"/>
        </w:rPr>
        <w:t>Sahel grassland</w:t>
      </w:r>
      <w:r w:rsidR="00847B3B" w:rsidRPr="00B10EBE">
        <w:rPr>
          <w:rFonts w:ascii="Garamond" w:hAnsi="Garamond"/>
          <w:noProof/>
          <w:color w:val="000000" w:themeColor="text1"/>
          <w:sz w:val="24"/>
          <w:szCs w:val="24"/>
        </w:rPr>
        <w:t>s</w:t>
      </w:r>
      <w:r w:rsidRPr="00B10EBE">
        <w:rPr>
          <w:rFonts w:ascii="Garamond" w:hAnsi="Garamond"/>
          <w:noProof/>
          <w:color w:val="000000" w:themeColor="text1"/>
          <w:sz w:val="24"/>
          <w:szCs w:val="24"/>
        </w:rPr>
        <w:t>, r</w:t>
      </w:r>
      <w:r w:rsidRPr="00B10EBE">
        <w:rPr>
          <w:rFonts w:ascii="Garamond" w:hAnsi="Garamond"/>
          <w:bCs/>
          <w:noProof/>
          <w:color w:val="000000" w:themeColor="text1"/>
          <w:sz w:val="24"/>
          <w:szCs w:val="24"/>
        </w:rPr>
        <w:t xml:space="preserve">ainfall showed a </w:t>
      </w:r>
      <w:r w:rsidR="00F5297A" w:rsidRPr="00B10EBE">
        <w:rPr>
          <w:rFonts w:ascii="Garamond" w:hAnsi="Garamond"/>
          <w:bCs/>
          <w:noProof/>
          <w:color w:val="000000" w:themeColor="text1"/>
          <w:sz w:val="24"/>
          <w:szCs w:val="24"/>
        </w:rPr>
        <w:t xml:space="preserve">strong </w:t>
      </w:r>
      <w:r w:rsidRPr="00B10EBE">
        <w:rPr>
          <w:rFonts w:ascii="Garamond" w:hAnsi="Garamond"/>
          <w:bCs/>
          <w:noProof/>
          <w:color w:val="000000" w:themeColor="text1"/>
          <w:sz w:val="24"/>
          <w:szCs w:val="24"/>
        </w:rPr>
        <w:t>positive</w:t>
      </w:r>
      <w:r w:rsidR="00F5297A" w:rsidRPr="00B10EBE">
        <w:rPr>
          <w:rFonts w:ascii="Garamond" w:hAnsi="Garamond"/>
          <w:bCs/>
          <w:noProof/>
          <w:color w:val="000000" w:themeColor="text1"/>
          <w:sz w:val="24"/>
          <w:szCs w:val="24"/>
        </w:rPr>
        <w:t xml:space="preserve"> direct</w:t>
      </w:r>
      <w:r w:rsidRPr="00B10EBE">
        <w:rPr>
          <w:rFonts w:ascii="Garamond" w:hAnsi="Garamond"/>
          <w:bCs/>
          <w:noProof/>
          <w:color w:val="000000" w:themeColor="text1"/>
          <w:sz w:val="24"/>
          <w:szCs w:val="24"/>
        </w:rPr>
        <w:t xml:space="preserve"> effect on both VOD (</w:t>
      </w:r>
      <w:r w:rsidR="004B094B" w:rsidRPr="00B10EBE">
        <w:rPr>
          <w:rFonts w:ascii="Garamond" w:hAnsi="Garamond"/>
          <w:bCs/>
          <w:noProof/>
          <w:color w:val="000000" w:themeColor="text1"/>
          <w:sz w:val="24"/>
          <w:szCs w:val="24"/>
        </w:rPr>
        <w:t xml:space="preserve">average </w:t>
      </w:r>
      <w:r w:rsidRPr="00B10EBE">
        <w:rPr>
          <w:rFonts w:ascii="Garamond" w:hAnsi="Garamond"/>
          <w:noProof/>
          <w:color w:val="000000" w:themeColor="text1"/>
          <w:sz w:val="24"/>
          <w:szCs w:val="24"/>
        </w:rPr>
        <w:t>β</w:t>
      </w:r>
      <w:r w:rsidR="004B094B"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w:t>
      </w:r>
      <w:r w:rsidRPr="00B10EBE">
        <w:rPr>
          <w:rFonts w:ascii="Garamond" w:hAnsi="Garamond"/>
          <w:bCs/>
          <w:noProof/>
          <w:color w:val="000000" w:themeColor="text1"/>
          <w:sz w:val="24"/>
          <w:szCs w:val="24"/>
        </w:rPr>
        <w:t xml:space="preserve"> 0.216</w:t>
      </w:r>
      <w:r w:rsidR="004B094B" w:rsidRPr="00B10EBE">
        <w:rPr>
          <w:rFonts w:ascii="Garamond" w:hAnsi="Garamond"/>
          <w:bCs/>
          <w:noProof/>
          <w:color w:val="000000" w:themeColor="text1"/>
          <w:sz w:val="24"/>
          <w:szCs w:val="24"/>
        </w:rPr>
        <w:t>)</w:t>
      </w:r>
      <w:r w:rsidRPr="00B10EBE">
        <w:rPr>
          <w:rFonts w:ascii="Garamond" w:hAnsi="Garamond"/>
          <w:bCs/>
          <w:noProof/>
          <w:color w:val="000000" w:themeColor="text1"/>
          <w:sz w:val="24"/>
          <w:szCs w:val="24"/>
        </w:rPr>
        <w:t xml:space="preserve"> and burned area (</w:t>
      </w:r>
      <w:r w:rsidRPr="00B10EBE">
        <w:rPr>
          <w:rFonts w:ascii="Garamond" w:hAnsi="Garamond"/>
          <w:noProof/>
          <w:color w:val="000000" w:themeColor="text1"/>
          <w:sz w:val="24"/>
          <w:szCs w:val="24"/>
        </w:rPr>
        <w:t>β =</w:t>
      </w:r>
      <w:r w:rsidRPr="00B10EBE">
        <w:rPr>
          <w:rFonts w:ascii="Garamond" w:hAnsi="Garamond"/>
          <w:bCs/>
          <w:noProof/>
          <w:color w:val="000000" w:themeColor="text1"/>
          <w:sz w:val="24"/>
          <w:szCs w:val="24"/>
        </w:rPr>
        <w:t xml:space="preserve"> 0.256</w:t>
      </w:r>
      <w:r w:rsidR="004B094B" w:rsidRPr="00B10EBE">
        <w:rPr>
          <w:rFonts w:ascii="Garamond" w:hAnsi="Garamond"/>
          <w:bCs/>
          <w:noProof/>
          <w:color w:val="000000" w:themeColor="text1"/>
          <w:sz w:val="24"/>
          <w:szCs w:val="24"/>
        </w:rPr>
        <w:t>)</w:t>
      </w:r>
      <w:r w:rsidRPr="00B10EBE">
        <w:rPr>
          <w:rFonts w:ascii="Garamond" w:hAnsi="Garamond"/>
          <w:bCs/>
          <w:noProof/>
          <w:color w:val="000000" w:themeColor="text1"/>
          <w:sz w:val="24"/>
          <w:szCs w:val="24"/>
        </w:rPr>
        <w:t xml:space="preserve"> (Figure 4a). VOD showed a </w:t>
      </w:r>
      <w:r w:rsidR="00F5297A" w:rsidRPr="00B10EBE">
        <w:rPr>
          <w:rFonts w:ascii="Garamond" w:hAnsi="Garamond"/>
          <w:bCs/>
          <w:noProof/>
          <w:color w:val="000000" w:themeColor="text1"/>
          <w:sz w:val="24"/>
          <w:szCs w:val="24"/>
        </w:rPr>
        <w:t xml:space="preserve">moderate </w:t>
      </w:r>
      <w:r w:rsidRPr="00B10EBE">
        <w:rPr>
          <w:rFonts w:ascii="Garamond" w:hAnsi="Garamond"/>
          <w:bCs/>
          <w:noProof/>
          <w:color w:val="000000" w:themeColor="text1"/>
          <w:sz w:val="24"/>
          <w:szCs w:val="24"/>
        </w:rPr>
        <w:t>negative</w:t>
      </w:r>
      <w:r w:rsidR="00F5297A" w:rsidRPr="00B10EBE">
        <w:rPr>
          <w:rFonts w:ascii="Garamond" w:hAnsi="Garamond"/>
          <w:bCs/>
          <w:noProof/>
          <w:color w:val="000000" w:themeColor="text1"/>
          <w:sz w:val="24"/>
          <w:szCs w:val="24"/>
        </w:rPr>
        <w:t xml:space="preserve"> direct</w:t>
      </w:r>
      <w:r w:rsidRPr="00B10EBE">
        <w:rPr>
          <w:rFonts w:ascii="Garamond" w:hAnsi="Garamond"/>
          <w:bCs/>
          <w:noProof/>
          <w:color w:val="000000" w:themeColor="text1"/>
          <w:sz w:val="24"/>
          <w:szCs w:val="24"/>
        </w:rPr>
        <w:t xml:space="preserve"> relationship with temperature (</w:t>
      </w:r>
      <w:r w:rsidRPr="00B10EBE">
        <w:rPr>
          <w:rFonts w:ascii="Garamond" w:hAnsi="Garamond"/>
          <w:noProof/>
          <w:color w:val="000000" w:themeColor="text1"/>
          <w:sz w:val="24"/>
          <w:szCs w:val="24"/>
        </w:rPr>
        <w:t>β = -0.216</w:t>
      </w:r>
      <w:r w:rsidRPr="00B10EBE">
        <w:rPr>
          <w:rFonts w:ascii="Garamond" w:hAnsi="Garamond"/>
          <w:bCs/>
          <w:noProof/>
          <w:color w:val="000000" w:themeColor="text1"/>
          <w:sz w:val="24"/>
          <w:szCs w:val="24"/>
        </w:rPr>
        <w:t xml:space="preserve">) while being largely unaffected by other </w:t>
      </w:r>
      <w:r w:rsidR="00B65E03" w:rsidRPr="00B10EBE">
        <w:rPr>
          <w:rFonts w:ascii="Garamond" w:hAnsi="Garamond"/>
          <w:bCs/>
          <w:noProof/>
          <w:color w:val="000000" w:themeColor="text1"/>
          <w:sz w:val="24"/>
          <w:szCs w:val="24"/>
        </w:rPr>
        <w:t>variable</w:t>
      </w:r>
      <w:r w:rsidRPr="00B10EBE">
        <w:rPr>
          <w:rFonts w:ascii="Garamond" w:hAnsi="Garamond"/>
          <w:bCs/>
          <w:noProof/>
          <w:color w:val="000000" w:themeColor="text1"/>
          <w:sz w:val="24"/>
          <w:szCs w:val="24"/>
        </w:rPr>
        <w:t>s. As expected, previous year VOD was a strong predictor of VOD (</w:t>
      </w:r>
      <w:r w:rsidRPr="00B10EBE">
        <w:rPr>
          <w:rFonts w:ascii="Garamond" w:hAnsi="Garamond"/>
          <w:noProof/>
          <w:color w:val="000000" w:themeColor="text1"/>
          <w:sz w:val="24"/>
          <w:szCs w:val="24"/>
        </w:rPr>
        <w:t>β = 0.511</w:t>
      </w:r>
      <w:r w:rsidRPr="00B10EBE">
        <w:rPr>
          <w:rFonts w:ascii="Garamond" w:hAnsi="Garamond"/>
          <w:bCs/>
          <w:noProof/>
          <w:color w:val="000000" w:themeColor="text1"/>
          <w:sz w:val="24"/>
          <w:szCs w:val="24"/>
        </w:rPr>
        <w:t xml:space="preserve">) </w:t>
      </w:r>
      <w:r w:rsidR="004B094B" w:rsidRPr="00B10EBE">
        <w:rPr>
          <w:rFonts w:ascii="Garamond" w:hAnsi="Garamond"/>
          <w:bCs/>
          <w:noProof/>
          <w:color w:val="000000" w:themeColor="text1"/>
          <w:sz w:val="24"/>
          <w:szCs w:val="24"/>
        </w:rPr>
        <w:t xml:space="preserve">(Figure 4a and </w:t>
      </w:r>
      <w:r w:rsidR="007D61B5" w:rsidRPr="00B10EBE">
        <w:rPr>
          <w:rFonts w:ascii="Garamond" w:hAnsi="Garamond"/>
          <w:noProof/>
          <w:color w:val="000000" w:themeColor="text1"/>
          <w:sz w:val="24"/>
          <w:szCs w:val="24"/>
        </w:rPr>
        <w:t>Table 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2</w:t>
      </w:r>
      <w:r w:rsidR="007C4219" w:rsidRPr="00B10EBE">
        <w:rPr>
          <w:rFonts w:ascii="Garamond" w:hAnsi="Garamond"/>
          <w:bCs/>
          <w:noProof/>
          <w:color w:val="000000" w:themeColor="text1"/>
          <w:sz w:val="24"/>
          <w:szCs w:val="24"/>
        </w:rPr>
        <w:t>)</w:t>
      </w:r>
      <w:r w:rsidRPr="00B10EBE">
        <w:rPr>
          <w:rFonts w:ascii="Garamond" w:hAnsi="Garamond"/>
          <w:bCs/>
          <w:noProof/>
          <w:color w:val="000000" w:themeColor="text1"/>
          <w:sz w:val="24"/>
          <w:szCs w:val="24"/>
        </w:rPr>
        <w:t xml:space="preserve">. The </w:t>
      </w:r>
      <w:r w:rsidRPr="00B10EBE">
        <w:rPr>
          <w:rFonts w:ascii="Garamond" w:hAnsi="Garamond"/>
          <w:noProof/>
          <w:color w:val="000000" w:themeColor="text1"/>
          <w:sz w:val="24"/>
          <w:szCs w:val="24"/>
        </w:rPr>
        <w:t>Greater Karoo and Kalahari drylands and Southeast African subtropical grasslands showed overall similar relationships regarding the effects of rainfall on VOD and burned area, temperature on VOD, and previous year VOD on VOD (</w:t>
      </w:r>
      <w:r w:rsidR="0026290B" w:rsidRPr="00B10EBE">
        <w:rPr>
          <w:rFonts w:ascii="Garamond" w:hAnsi="Garamond"/>
          <w:noProof/>
          <w:color w:val="000000" w:themeColor="text1"/>
          <w:sz w:val="24"/>
          <w:szCs w:val="24"/>
        </w:rPr>
        <w:t xml:space="preserve">β </w:t>
      </w:r>
      <w:r w:rsidRPr="00B10EBE">
        <w:rPr>
          <w:rFonts w:ascii="Garamond" w:hAnsi="Garamond"/>
          <w:noProof/>
          <w:color w:val="000000" w:themeColor="text1"/>
          <w:sz w:val="24"/>
          <w:szCs w:val="24"/>
        </w:rPr>
        <w:t xml:space="preserve">coefficients of </w:t>
      </w:r>
      <w:r w:rsidR="004838C0" w:rsidRPr="00B10EBE">
        <w:rPr>
          <w:rFonts w:ascii="Garamond" w:hAnsi="Garamond"/>
          <w:noProof/>
          <w:color w:val="000000" w:themeColor="text1"/>
          <w:sz w:val="24"/>
          <w:szCs w:val="24"/>
        </w:rPr>
        <w:t xml:space="preserve">the </w:t>
      </w:r>
      <w:r w:rsidRPr="00B10EBE">
        <w:rPr>
          <w:rFonts w:ascii="Garamond" w:hAnsi="Garamond"/>
          <w:noProof/>
          <w:color w:val="000000" w:themeColor="text1"/>
          <w:sz w:val="24"/>
          <w:szCs w:val="24"/>
        </w:rPr>
        <w:t xml:space="preserve">remaining relationships </w:t>
      </w:r>
      <w:r w:rsidR="00763B97" w:rsidRPr="00B10EBE">
        <w:rPr>
          <w:rFonts w:ascii="Garamond" w:hAnsi="Garamond"/>
          <w:noProof/>
          <w:color w:val="000000" w:themeColor="text1"/>
          <w:sz w:val="24"/>
          <w:szCs w:val="24"/>
        </w:rPr>
        <w:t xml:space="preserve">were </w:t>
      </w:r>
      <w:r w:rsidRPr="00B10EBE">
        <w:rPr>
          <w:rFonts w:ascii="Garamond" w:hAnsi="Garamond"/>
          <w:noProof/>
          <w:color w:val="000000" w:themeColor="text1"/>
          <w:sz w:val="24"/>
          <w:szCs w:val="24"/>
        </w:rPr>
        <w:t>largely negligible)</w:t>
      </w:r>
      <w:r w:rsidR="004319D9" w:rsidRPr="00B10EBE">
        <w:rPr>
          <w:rFonts w:ascii="Garamond" w:hAnsi="Garamond"/>
          <w:bCs/>
          <w:noProof/>
          <w:color w:val="000000" w:themeColor="text1"/>
          <w:sz w:val="24"/>
          <w:szCs w:val="24"/>
        </w:rPr>
        <w:t xml:space="preserve"> (Figures</w:t>
      </w:r>
      <w:r w:rsidRPr="00B10EBE">
        <w:rPr>
          <w:rFonts w:ascii="Garamond" w:hAnsi="Garamond"/>
          <w:bCs/>
          <w:noProof/>
          <w:color w:val="000000" w:themeColor="text1"/>
          <w:sz w:val="24"/>
          <w:szCs w:val="24"/>
        </w:rPr>
        <w:t xml:space="preserve"> 4b and 4c and </w:t>
      </w:r>
      <w:r w:rsidR="004B094B" w:rsidRPr="00B10EBE">
        <w:rPr>
          <w:rFonts w:ascii="Garamond" w:hAnsi="Garamond"/>
          <w:noProof/>
          <w:color w:val="000000" w:themeColor="text1"/>
          <w:sz w:val="24"/>
          <w:szCs w:val="24"/>
        </w:rPr>
        <w:t>Tables</w:t>
      </w:r>
      <w:r w:rsidR="004319D9" w:rsidRPr="00B10EBE">
        <w:rPr>
          <w:rFonts w:ascii="Garamond" w:hAnsi="Garamond"/>
          <w:noProof/>
          <w:color w:val="000000" w:themeColor="text1"/>
          <w:sz w:val="24"/>
          <w:szCs w:val="24"/>
        </w:rPr>
        <w:t xml:space="preserve"> S</w:t>
      </w:r>
      <w:r w:rsidR="00955603" w:rsidRPr="00B10EBE">
        <w:rPr>
          <w:rFonts w:ascii="Garamond" w:hAnsi="Garamond"/>
          <w:noProof/>
          <w:color w:val="000000" w:themeColor="text1"/>
          <w:sz w:val="24"/>
          <w:szCs w:val="24"/>
        </w:rPr>
        <w:t>5.</w:t>
      </w:r>
      <w:r w:rsidR="004B094B" w:rsidRPr="00B10EBE">
        <w:rPr>
          <w:rFonts w:ascii="Garamond" w:hAnsi="Garamond"/>
          <w:noProof/>
          <w:color w:val="000000" w:themeColor="text1"/>
          <w:sz w:val="24"/>
          <w:szCs w:val="24"/>
        </w:rPr>
        <w:t>4</w:t>
      </w:r>
      <w:r w:rsidR="004319D9" w:rsidRPr="00B10EBE">
        <w:rPr>
          <w:rFonts w:ascii="Garamond" w:hAnsi="Garamond"/>
          <w:noProof/>
          <w:color w:val="000000" w:themeColor="text1"/>
          <w:sz w:val="24"/>
          <w:szCs w:val="24"/>
        </w:rPr>
        <w:t xml:space="preserve"> and S</w:t>
      </w:r>
      <w:r w:rsidR="00955603" w:rsidRPr="00B10EBE">
        <w:rPr>
          <w:rFonts w:ascii="Garamond" w:hAnsi="Garamond"/>
          <w:noProof/>
          <w:color w:val="000000" w:themeColor="text1"/>
          <w:sz w:val="24"/>
          <w:szCs w:val="24"/>
        </w:rPr>
        <w:t>5.</w:t>
      </w:r>
      <w:r w:rsidR="004B094B" w:rsidRPr="00B10EBE">
        <w:rPr>
          <w:rFonts w:ascii="Garamond" w:hAnsi="Garamond"/>
          <w:noProof/>
          <w:color w:val="000000" w:themeColor="text1"/>
          <w:sz w:val="24"/>
          <w:szCs w:val="24"/>
        </w:rPr>
        <w:t>6</w:t>
      </w:r>
      <w:r w:rsidRPr="00B10EBE">
        <w:rPr>
          <w:rFonts w:ascii="Garamond" w:hAnsi="Garamond"/>
          <w:bCs/>
          <w:noProof/>
          <w:color w:val="000000" w:themeColor="text1"/>
          <w:sz w:val="24"/>
          <w:szCs w:val="24"/>
        </w:rPr>
        <w:t>)</w:t>
      </w:r>
      <w:r w:rsidRPr="00B10EBE">
        <w:rPr>
          <w:rFonts w:ascii="Garamond" w:hAnsi="Garamond"/>
          <w:noProof/>
          <w:color w:val="000000" w:themeColor="text1"/>
          <w:sz w:val="24"/>
          <w:szCs w:val="24"/>
        </w:rPr>
        <w:t xml:space="preserve">. In addition, in the Greater Karoo and Kalahari drylands, we also </w:t>
      </w:r>
      <w:r w:rsidR="00763B97" w:rsidRPr="00B10EBE">
        <w:rPr>
          <w:rFonts w:ascii="Garamond" w:hAnsi="Garamond"/>
          <w:noProof/>
          <w:color w:val="000000" w:themeColor="text1"/>
          <w:sz w:val="24"/>
          <w:szCs w:val="24"/>
        </w:rPr>
        <w:t xml:space="preserve">found </w:t>
      </w:r>
      <w:r w:rsidRPr="00B10EBE">
        <w:rPr>
          <w:rFonts w:ascii="Garamond" w:hAnsi="Garamond"/>
          <w:noProof/>
          <w:color w:val="000000" w:themeColor="text1"/>
          <w:sz w:val="24"/>
          <w:szCs w:val="24"/>
        </w:rPr>
        <w:t>a weak negative direct effect (β = -0.031) of burned area on VOD. This is likely because the Greater Karoo and Kalahari drylands is the only bioregion where VOD significantly increased during 1997-2016, which indicates a potential increase in woody vegetation and, therefore, stronger feedback with burned area (</w:t>
      </w:r>
      <w:r w:rsidR="004319D9" w:rsidRPr="00B10EBE">
        <w:rPr>
          <w:rFonts w:ascii="Garamond" w:hAnsi="Garamond"/>
          <w:noProof/>
          <w:color w:val="000000" w:themeColor="text1"/>
          <w:sz w:val="24"/>
          <w:szCs w:val="24"/>
        </w:rPr>
        <w:t xml:space="preserve">Figure </w:t>
      </w:r>
      <w:r w:rsidR="0055120F"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9.</w:t>
      </w:r>
      <w:r w:rsidR="004319D9" w:rsidRPr="00B10EBE">
        <w:rPr>
          <w:rFonts w:ascii="Garamond" w:hAnsi="Garamond"/>
          <w:noProof/>
          <w:color w:val="000000" w:themeColor="text1"/>
          <w:sz w:val="24"/>
          <w:szCs w:val="24"/>
        </w:rPr>
        <w:t>2</w:t>
      </w:r>
      <w:r w:rsidRPr="00B10EBE">
        <w:rPr>
          <w:rFonts w:ascii="Garamond" w:hAnsi="Garamond"/>
          <w:noProof/>
          <w:color w:val="000000" w:themeColor="text1"/>
          <w:sz w:val="24"/>
          <w:szCs w:val="24"/>
        </w:rPr>
        <w:t xml:space="preserve">). </w:t>
      </w:r>
      <w:r w:rsidR="00FE79A6" w:rsidRPr="00B10EBE">
        <w:rPr>
          <w:rFonts w:ascii="Garamond" w:hAnsi="Garamond"/>
          <w:noProof/>
          <w:color w:val="000000" w:themeColor="text1"/>
          <w:sz w:val="24"/>
          <w:szCs w:val="24"/>
        </w:rPr>
        <w:t>Madagascar</w:t>
      </w:r>
      <w:r w:rsidRPr="00B10EBE">
        <w:rPr>
          <w:rFonts w:ascii="Garamond" w:hAnsi="Garamond"/>
          <w:noProof/>
          <w:color w:val="000000" w:themeColor="text1"/>
          <w:sz w:val="24"/>
          <w:szCs w:val="24"/>
        </w:rPr>
        <w:t xml:space="preserve"> also featured a positive</w:t>
      </w:r>
      <w:r w:rsidR="00F5297A"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 xml:space="preserve">relationship between rainfall and both VOD (β = 0.126) and burned area (β = 0.208) and a </w:t>
      </w:r>
      <w:r w:rsidR="00F5297A" w:rsidRPr="00B10EBE">
        <w:rPr>
          <w:rFonts w:ascii="Garamond" w:hAnsi="Garamond"/>
          <w:noProof/>
          <w:color w:val="000000" w:themeColor="text1"/>
          <w:sz w:val="24"/>
          <w:szCs w:val="24"/>
        </w:rPr>
        <w:t xml:space="preserve">moderate </w:t>
      </w:r>
      <w:r w:rsidRPr="00B10EBE">
        <w:rPr>
          <w:rFonts w:ascii="Garamond" w:hAnsi="Garamond"/>
          <w:noProof/>
          <w:color w:val="000000" w:themeColor="text1"/>
          <w:sz w:val="24"/>
          <w:szCs w:val="24"/>
        </w:rPr>
        <w:t xml:space="preserve">negative </w:t>
      </w:r>
      <w:r w:rsidR="00F5297A" w:rsidRPr="00B10EBE">
        <w:rPr>
          <w:rFonts w:ascii="Garamond" w:hAnsi="Garamond"/>
          <w:noProof/>
          <w:color w:val="000000" w:themeColor="text1"/>
          <w:sz w:val="24"/>
          <w:szCs w:val="24"/>
        </w:rPr>
        <w:t xml:space="preserve">direct </w:t>
      </w:r>
      <w:r w:rsidRPr="00B10EBE">
        <w:rPr>
          <w:rFonts w:ascii="Garamond" w:hAnsi="Garamond"/>
          <w:noProof/>
          <w:color w:val="000000" w:themeColor="text1"/>
          <w:sz w:val="24"/>
          <w:szCs w:val="24"/>
        </w:rPr>
        <w:t>effect of temperature on VOD (β = -0.037), yet here, we observed a strong negative</w:t>
      </w:r>
      <w:r w:rsidR="00F5297A" w:rsidRPr="00B10EBE">
        <w:rPr>
          <w:rFonts w:ascii="Garamond" w:hAnsi="Garamond"/>
          <w:noProof/>
          <w:color w:val="000000" w:themeColor="text1"/>
          <w:sz w:val="24"/>
          <w:szCs w:val="24"/>
        </w:rPr>
        <w:t xml:space="preserve"> direct</w:t>
      </w:r>
      <w:r w:rsidRPr="00B10EBE">
        <w:rPr>
          <w:rFonts w:ascii="Garamond" w:hAnsi="Garamond"/>
          <w:noProof/>
          <w:color w:val="000000" w:themeColor="text1"/>
          <w:sz w:val="24"/>
          <w:szCs w:val="24"/>
        </w:rPr>
        <w:t xml:space="preserve"> effect of both temperature</w:t>
      </w:r>
      <w:r w:rsidR="00F84ED4" w:rsidRPr="00B10EBE">
        <w:rPr>
          <w:rFonts w:ascii="Garamond" w:hAnsi="Garamond"/>
          <w:noProof/>
          <w:color w:val="000000" w:themeColor="text1"/>
          <w:sz w:val="24"/>
          <w:szCs w:val="24"/>
        </w:rPr>
        <w:t xml:space="preserve"> (β = </w:t>
      </w:r>
      <w:r w:rsidR="00F84ED4" w:rsidRPr="00B10EBE">
        <w:rPr>
          <w:rFonts w:ascii="Garamond" w:hAnsi="Garamond"/>
          <w:noProof/>
          <w:color w:val="000000" w:themeColor="text1"/>
          <w:sz w:val="24"/>
          <w:szCs w:val="24"/>
        </w:rPr>
        <w:lastRenderedPageBreak/>
        <w:t>-0.429)</w:t>
      </w:r>
      <w:r w:rsidRPr="00B10EBE">
        <w:rPr>
          <w:rFonts w:ascii="Garamond" w:hAnsi="Garamond"/>
          <w:noProof/>
          <w:color w:val="000000" w:themeColor="text1"/>
          <w:sz w:val="24"/>
          <w:szCs w:val="24"/>
        </w:rPr>
        <w:t xml:space="preserve"> and population density (β = -0.354)</w:t>
      </w:r>
      <w:r w:rsidR="00F84ED4" w:rsidRPr="00B10EBE">
        <w:rPr>
          <w:rFonts w:ascii="Garamond" w:hAnsi="Garamond"/>
          <w:noProof/>
          <w:color w:val="000000" w:themeColor="text1"/>
          <w:sz w:val="24"/>
          <w:szCs w:val="24"/>
        </w:rPr>
        <w:t xml:space="preserve"> on burned area</w:t>
      </w:r>
      <w:r w:rsidRPr="00B10EBE">
        <w:rPr>
          <w:rFonts w:ascii="Garamond" w:hAnsi="Garamond"/>
          <w:noProof/>
          <w:color w:val="000000" w:themeColor="text1"/>
          <w:sz w:val="24"/>
          <w:szCs w:val="24"/>
        </w:rPr>
        <w:t xml:space="preserve"> (Figure 4d</w:t>
      </w:r>
      <w:r w:rsidR="004B094B" w:rsidRPr="00B10EBE">
        <w:rPr>
          <w:rFonts w:ascii="Garamond" w:hAnsi="Garamond"/>
          <w:noProof/>
          <w:color w:val="000000" w:themeColor="text1"/>
          <w:sz w:val="24"/>
          <w:szCs w:val="24"/>
        </w:rPr>
        <w:t xml:space="preserve"> and </w:t>
      </w:r>
      <w:r w:rsidR="007D61B5" w:rsidRPr="00B10EBE">
        <w:rPr>
          <w:rFonts w:ascii="Garamond" w:hAnsi="Garamond"/>
          <w:noProof/>
          <w:color w:val="000000" w:themeColor="text1"/>
          <w:sz w:val="24"/>
          <w:szCs w:val="24"/>
        </w:rPr>
        <w:t>Table 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8</w:t>
      </w:r>
      <w:r w:rsidRPr="00B10EBE">
        <w:rPr>
          <w:rFonts w:ascii="Garamond" w:hAnsi="Garamond"/>
          <w:noProof/>
          <w:color w:val="000000" w:themeColor="text1"/>
          <w:sz w:val="24"/>
          <w:szCs w:val="24"/>
        </w:rPr>
        <w:t>). Noticeably, both these variables showed</w:t>
      </w:r>
      <w:r w:rsidR="005C6B81" w:rsidRPr="00B10EBE">
        <w:rPr>
          <w:rFonts w:ascii="Garamond" w:hAnsi="Garamond"/>
          <w:noProof/>
          <w:color w:val="000000" w:themeColor="text1"/>
          <w:sz w:val="24"/>
          <w:szCs w:val="24"/>
        </w:rPr>
        <w:t xml:space="preserve"> </w:t>
      </w:r>
      <w:r w:rsidRPr="00B10EBE">
        <w:rPr>
          <w:rFonts w:ascii="Garamond" w:hAnsi="Garamond"/>
          <w:noProof/>
          <w:color w:val="000000" w:themeColor="text1"/>
          <w:sz w:val="24"/>
          <w:szCs w:val="24"/>
        </w:rPr>
        <w:t>a sharp change during 1997-2016 (</w:t>
      </w:r>
      <w:r w:rsidR="00247101" w:rsidRPr="00B10EBE">
        <w:rPr>
          <w:rFonts w:ascii="Garamond" w:hAnsi="Garamond"/>
          <w:noProof/>
          <w:color w:val="000000" w:themeColor="text1"/>
          <w:sz w:val="24"/>
          <w:szCs w:val="24"/>
        </w:rPr>
        <w:t>Figure</w:t>
      </w:r>
      <w:r w:rsidR="004319D9" w:rsidRPr="00B10EBE">
        <w:rPr>
          <w:rFonts w:ascii="Garamond" w:hAnsi="Garamond"/>
          <w:noProof/>
          <w:color w:val="000000" w:themeColor="text1"/>
          <w:sz w:val="24"/>
          <w:szCs w:val="24"/>
        </w:rPr>
        <w:t xml:space="preserve"> </w:t>
      </w:r>
      <w:r w:rsidR="0055120F"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9.</w:t>
      </w:r>
      <w:r w:rsidR="004319D9" w:rsidRPr="00B10EBE">
        <w:rPr>
          <w:rFonts w:ascii="Garamond" w:hAnsi="Garamond"/>
          <w:noProof/>
          <w:color w:val="000000" w:themeColor="text1"/>
          <w:sz w:val="24"/>
          <w:szCs w:val="24"/>
        </w:rPr>
        <w:t>4</w:t>
      </w:r>
      <w:r w:rsidRPr="00B10EBE">
        <w:rPr>
          <w:rFonts w:ascii="Garamond" w:hAnsi="Garamond"/>
          <w:noProof/>
          <w:color w:val="000000" w:themeColor="text1"/>
          <w:sz w:val="24"/>
          <w:szCs w:val="24"/>
        </w:rPr>
        <w:t>).</w:t>
      </w:r>
    </w:p>
    <w:p w14:paraId="3B16BD2E" w14:textId="0A927AD4" w:rsidR="009A0DBA" w:rsidRPr="00B10EBE" w:rsidRDefault="003A4065" w:rsidP="0033343A">
      <w:pPr>
        <w:widowControl w:val="0"/>
        <w:adjustRightInd w:val="0"/>
        <w:snapToGri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 xml:space="preserve">Three key features </w:t>
      </w:r>
      <w:r w:rsidR="00763B97" w:rsidRPr="00B10EBE">
        <w:rPr>
          <w:rFonts w:ascii="Garamond" w:hAnsi="Garamond"/>
          <w:noProof/>
          <w:color w:val="000000" w:themeColor="text1"/>
          <w:sz w:val="24"/>
          <w:szCs w:val="24"/>
        </w:rPr>
        <w:t xml:space="preserve">were </w:t>
      </w:r>
      <w:r w:rsidRPr="00B10EBE">
        <w:rPr>
          <w:rFonts w:ascii="Garamond" w:hAnsi="Garamond"/>
          <w:noProof/>
          <w:color w:val="000000" w:themeColor="text1"/>
          <w:sz w:val="24"/>
          <w:szCs w:val="24"/>
        </w:rPr>
        <w:t>shared by all bioregions. First, w</w:t>
      </w:r>
      <w:r w:rsidRPr="00B10EBE">
        <w:rPr>
          <w:rFonts w:ascii="Garamond" w:hAnsi="Garamond"/>
          <w:bCs/>
          <w:noProof/>
          <w:color w:val="000000" w:themeColor="text1"/>
          <w:sz w:val="24"/>
          <w:szCs w:val="24"/>
        </w:rPr>
        <w:t xml:space="preserve">e did not observe any significant indirect effects (i.e., mediated by burned area) of the </w:t>
      </w:r>
      <w:r w:rsidR="00B65E03" w:rsidRPr="00B10EBE">
        <w:rPr>
          <w:rFonts w:ascii="Garamond" w:hAnsi="Garamond"/>
          <w:bCs/>
          <w:noProof/>
          <w:color w:val="000000" w:themeColor="text1"/>
          <w:sz w:val="24"/>
          <w:szCs w:val="24"/>
        </w:rPr>
        <w:t>variable</w:t>
      </w:r>
      <w:r w:rsidRPr="00B10EBE">
        <w:rPr>
          <w:rFonts w:ascii="Garamond" w:hAnsi="Garamond"/>
          <w:bCs/>
          <w:noProof/>
          <w:color w:val="000000" w:themeColor="text1"/>
          <w:sz w:val="24"/>
          <w:szCs w:val="24"/>
        </w:rPr>
        <w:t>s</w:t>
      </w:r>
      <w:r w:rsidR="00E653FE" w:rsidRPr="00B10EBE">
        <w:rPr>
          <w:rFonts w:ascii="Garamond" w:hAnsi="Garamond"/>
          <w:bCs/>
          <w:noProof/>
          <w:color w:val="000000" w:themeColor="text1"/>
          <w:sz w:val="24"/>
          <w:szCs w:val="24"/>
        </w:rPr>
        <w:t xml:space="preserve"> on VOD</w:t>
      </w:r>
      <w:r w:rsidRPr="00B10EBE">
        <w:rPr>
          <w:rFonts w:ascii="Garamond" w:hAnsi="Garamond"/>
          <w:bCs/>
          <w:noProof/>
          <w:color w:val="000000" w:themeColor="text1"/>
          <w:sz w:val="24"/>
          <w:szCs w:val="24"/>
        </w:rPr>
        <w:t xml:space="preserve">. In </w:t>
      </w:r>
      <w:r w:rsidR="009C7C18" w:rsidRPr="00B10EBE">
        <w:rPr>
          <w:rFonts w:ascii="Garamond" w:hAnsi="Garamond"/>
          <w:noProof/>
          <w:color w:val="000000" w:themeColor="text1"/>
          <w:sz w:val="24"/>
          <w:szCs w:val="24"/>
        </w:rPr>
        <w:t>Sahel grassland</w:t>
      </w:r>
      <w:r w:rsidR="00847B3B" w:rsidRPr="00B10EBE">
        <w:rPr>
          <w:rFonts w:ascii="Garamond" w:hAnsi="Garamond"/>
          <w:noProof/>
          <w:color w:val="000000" w:themeColor="text1"/>
          <w:sz w:val="24"/>
          <w:szCs w:val="24"/>
        </w:rPr>
        <w:t>s</w:t>
      </w:r>
      <w:r w:rsidRPr="00B10EBE">
        <w:rPr>
          <w:rFonts w:ascii="Garamond" w:hAnsi="Garamond"/>
          <w:noProof/>
          <w:color w:val="000000" w:themeColor="text1"/>
          <w:sz w:val="24"/>
          <w:szCs w:val="24"/>
        </w:rPr>
        <w:t xml:space="preserve">, for instance, the indirect effect of rainfall on VOD was </w:t>
      </w:r>
      <w:r w:rsidR="00763B97" w:rsidRPr="00B10EBE">
        <w:rPr>
          <w:rFonts w:ascii="Garamond" w:hAnsi="Garamond"/>
          <w:noProof/>
          <w:color w:val="000000" w:themeColor="text1"/>
          <w:sz w:val="24"/>
          <w:szCs w:val="24"/>
        </w:rPr>
        <w:t xml:space="preserve">much </w:t>
      </w:r>
      <w:r w:rsidRPr="00B10EBE">
        <w:rPr>
          <w:rFonts w:ascii="Garamond" w:hAnsi="Garamond"/>
          <w:noProof/>
          <w:color w:val="000000" w:themeColor="text1"/>
          <w:sz w:val="24"/>
          <w:szCs w:val="24"/>
        </w:rPr>
        <w:t>weaker (β</w:t>
      </w:r>
      <w:r w:rsidRPr="00B10EBE">
        <w:rPr>
          <w:rFonts w:ascii="Garamond" w:hAnsi="Garamond"/>
          <w:bCs/>
          <w:noProof/>
          <w:color w:val="000000" w:themeColor="text1"/>
          <w:sz w:val="24"/>
          <w:szCs w:val="24"/>
        </w:rPr>
        <w:t xml:space="preserve"> = 0.256 </w:t>
      </w:r>
      <w:r w:rsidRPr="00B10EBE">
        <w:rPr>
          <w:rFonts w:ascii="Garamond" w:hAnsi="Garamond"/>
          <w:bCs/>
          <w:noProof/>
          <w:color w:val="000000" w:themeColor="text1"/>
          <w:sz w:val="24"/>
          <w:szCs w:val="24"/>
        </w:rPr>
        <w:sym w:font="Symbol" w:char="F0B4"/>
      </w:r>
      <w:r w:rsidRPr="00B10EBE">
        <w:rPr>
          <w:rFonts w:ascii="Garamond" w:hAnsi="Garamond"/>
          <w:bCs/>
          <w:noProof/>
          <w:color w:val="000000" w:themeColor="text1"/>
          <w:sz w:val="24"/>
          <w:szCs w:val="24"/>
        </w:rPr>
        <w:t xml:space="preserve"> 0.012 </w:t>
      </w:r>
      <w:r w:rsidRPr="00B10EBE">
        <w:rPr>
          <w:rFonts w:ascii="Garamond" w:hAnsi="Garamond"/>
          <w:noProof/>
          <w:color w:val="000000" w:themeColor="text1"/>
          <w:sz w:val="24"/>
          <w:szCs w:val="24"/>
        </w:rPr>
        <w:t>= 0.0031) than its direct effect (β</w:t>
      </w:r>
      <w:r w:rsidRPr="00B10EBE">
        <w:rPr>
          <w:rFonts w:ascii="Garamond" w:hAnsi="Garamond"/>
          <w:bCs/>
          <w:noProof/>
          <w:color w:val="000000" w:themeColor="text1"/>
          <w:sz w:val="24"/>
          <w:szCs w:val="24"/>
        </w:rPr>
        <w:t xml:space="preserve"> = 0.216</w:t>
      </w:r>
      <w:r w:rsidRPr="00B10EBE">
        <w:rPr>
          <w:rFonts w:ascii="Garamond" w:hAnsi="Garamond"/>
          <w:noProof/>
          <w:color w:val="000000" w:themeColor="text1"/>
          <w:sz w:val="24"/>
          <w:szCs w:val="24"/>
        </w:rPr>
        <w:t xml:space="preserve">) (Figure 4a). This finding applied also </w:t>
      </w:r>
      <w:r w:rsidR="0071509F" w:rsidRPr="00B10EBE">
        <w:rPr>
          <w:rFonts w:ascii="Garamond" w:hAnsi="Garamond"/>
          <w:noProof/>
          <w:color w:val="000000" w:themeColor="text1"/>
          <w:sz w:val="24"/>
          <w:szCs w:val="24"/>
        </w:rPr>
        <w:t>in case of</w:t>
      </w:r>
      <w:r w:rsidRPr="00B10EBE">
        <w:rPr>
          <w:rFonts w:ascii="Garamond" w:hAnsi="Garamond"/>
          <w:noProof/>
          <w:color w:val="000000" w:themeColor="text1"/>
          <w:sz w:val="24"/>
          <w:szCs w:val="24"/>
        </w:rPr>
        <w:t xml:space="preserve"> strong direct effects of </w:t>
      </w:r>
      <w:r w:rsidR="00B65E03" w:rsidRPr="00B10EBE">
        <w:rPr>
          <w:rFonts w:ascii="Garamond" w:hAnsi="Garamond"/>
          <w:noProof/>
          <w:color w:val="000000" w:themeColor="text1"/>
          <w:sz w:val="24"/>
          <w:szCs w:val="24"/>
        </w:rPr>
        <w:t>variable</w:t>
      </w:r>
      <w:r w:rsidRPr="00B10EBE">
        <w:rPr>
          <w:rFonts w:ascii="Garamond" w:hAnsi="Garamond"/>
          <w:noProof/>
          <w:color w:val="000000" w:themeColor="text1"/>
          <w:sz w:val="24"/>
          <w:szCs w:val="24"/>
        </w:rPr>
        <w:t xml:space="preserve">s on burned area (e.g., temperature and population density in </w:t>
      </w:r>
      <w:r w:rsidR="00FE79A6" w:rsidRPr="00B10EBE">
        <w:rPr>
          <w:rFonts w:ascii="Garamond" w:hAnsi="Garamond"/>
          <w:noProof/>
          <w:color w:val="000000" w:themeColor="text1"/>
          <w:sz w:val="24"/>
          <w:szCs w:val="24"/>
        </w:rPr>
        <w:t>Madagascar</w:t>
      </w:r>
      <w:r w:rsidRPr="00B10EBE">
        <w:rPr>
          <w:rFonts w:ascii="Garamond" w:hAnsi="Garamond"/>
          <w:noProof/>
          <w:color w:val="000000" w:themeColor="text1"/>
          <w:sz w:val="24"/>
          <w:szCs w:val="24"/>
        </w:rPr>
        <w:t xml:space="preserve">) (Figure 4d). Second, we noticed that the direct effects of precipitation and temperature on VOD had similar magnitudes but opposite signs. Given the marginal role of other </w:t>
      </w:r>
      <w:r w:rsidR="00B65E03" w:rsidRPr="00B10EBE">
        <w:rPr>
          <w:rFonts w:ascii="Garamond" w:hAnsi="Garamond"/>
          <w:noProof/>
          <w:color w:val="000000" w:themeColor="text1"/>
          <w:sz w:val="24"/>
          <w:szCs w:val="24"/>
        </w:rPr>
        <w:t>variable</w:t>
      </w:r>
      <w:r w:rsidRPr="00B10EBE">
        <w:rPr>
          <w:rFonts w:ascii="Garamond" w:hAnsi="Garamond"/>
          <w:noProof/>
          <w:color w:val="000000" w:themeColor="text1"/>
          <w:sz w:val="24"/>
          <w:szCs w:val="24"/>
        </w:rPr>
        <w:t>s, these diametrically opposite effects might h</w:t>
      </w:r>
      <w:r w:rsidR="00905798" w:rsidRPr="00B10EBE">
        <w:rPr>
          <w:rFonts w:ascii="Garamond" w:hAnsi="Garamond"/>
          <w:noProof/>
          <w:color w:val="000000" w:themeColor="text1"/>
          <w:sz w:val="24"/>
          <w:szCs w:val="24"/>
        </w:rPr>
        <w:t xml:space="preserve">ave constrained changes in VOD, </w:t>
      </w:r>
      <w:r w:rsidRPr="00B10EBE">
        <w:rPr>
          <w:rFonts w:ascii="Garamond" w:hAnsi="Garamond"/>
          <w:noProof/>
          <w:color w:val="000000" w:themeColor="text1"/>
          <w:sz w:val="24"/>
          <w:szCs w:val="24"/>
        </w:rPr>
        <w:t>except for the Greater Karoo and Kalahari drylands. Finally, all final SEMs showed both satisfactory residual plots (</w:t>
      </w:r>
      <w:r w:rsidR="0055120F" w:rsidRPr="00B10EBE">
        <w:rPr>
          <w:rFonts w:ascii="Garamond" w:hAnsi="Garamond"/>
          <w:noProof/>
          <w:color w:val="000000" w:themeColor="text1"/>
          <w:sz w:val="24"/>
          <w:szCs w:val="24"/>
        </w:rPr>
        <w:t>Appendix A</w:t>
      </w:r>
      <w:r w:rsidR="00955603" w:rsidRPr="00B10EBE">
        <w:rPr>
          <w:rFonts w:ascii="Garamond" w:hAnsi="Garamond"/>
          <w:noProof/>
          <w:color w:val="000000" w:themeColor="text1"/>
          <w:sz w:val="24"/>
          <w:szCs w:val="24"/>
        </w:rPr>
        <w:t>7</w:t>
      </w:r>
      <w:r w:rsidRPr="00B10EBE">
        <w:rPr>
          <w:rFonts w:ascii="Garamond" w:hAnsi="Garamond"/>
          <w:noProof/>
          <w:color w:val="000000" w:themeColor="text1"/>
          <w:sz w:val="24"/>
          <w:szCs w:val="24"/>
        </w:rPr>
        <w:t xml:space="preserve">) and </w:t>
      </w:r>
      <w:r w:rsidR="00C55BC6" w:rsidRPr="00B10EBE">
        <w:rPr>
          <w:rFonts w:ascii="Garamond" w:hAnsi="Garamond"/>
          <w:noProof/>
          <w:color w:val="000000" w:themeColor="text1"/>
          <w:sz w:val="24"/>
          <w:szCs w:val="24"/>
        </w:rPr>
        <w:t xml:space="preserve">explained a high degree of variation in VOD as indicated by high </w:t>
      </w:r>
      <w:r w:rsidRPr="00B10EBE">
        <w:rPr>
          <w:rFonts w:ascii="Garamond" w:hAnsi="Garamond"/>
          <w:noProof/>
          <w:color w:val="000000" w:themeColor="text1"/>
          <w:sz w:val="24"/>
          <w:szCs w:val="24"/>
        </w:rPr>
        <w:t>Nagelkerke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values, i.e.,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 0.88 in </w:t>
      </w:r>
      <w:r w:rsidR="009C7C18" w:rsidRPr="00B10EBE">
        <w:rPr>
          <w:rFonts w:ascii="Garamond" w:hAnsi="Garamond"/>
          <w:noProof/>
          <w:color w:val="000000" w:themeColor="text1"/>
          <w:sz w:val="24"/>
          <w:szCs w:val="24"/>
        </w:rPr>
        <w:t>Sahel grassland</w:t>
      </w:r>
      <w:r w:rsidR="00847B3B" w:rsidRPr="00B10EBE">
        <w:rPr>
          <w:rFonts w:ascii="Garamond" w:hAnsi="Garamond"/>
          <w:noProof/>
          <w:color w:val="000000" w:themeColor="text1"/>
          <w:sz w:val="24"/>
          <w:szCs w:val="24"/>
        </w:rPr>
        <w:t>s</w:t>
      </w:r>
      <w:r w:rsidRPr="00B10EBE">
        <w:rPr>
          <w:rFonts w:ascii="Garamond" w:hAnsi="Garamond"/>
          <w:noProof/>
          <w:color w:val="000000" w:themeColor="text1"/>
          <w:sz w:val="24"/>
          <w:szCs w:val="24"/>
        </w:rPr>
        <w:t>,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 0.96 in Greater Karoo and Kalahari drylands,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 0.84 in Southeast African subtropical grasslands, and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 0.94 in </w:t>
      </w:r>
      <w:r w:rsidR="00FE79A6" w:rsidRPr="00B10EBE">
        <w:rPr>
          <w:rFonts w:ascii="Garamond" w:hAnsi="Garamond"/>
          <w:noProof/>
          <w:color w:val="000000" w:themeColor="text1"/>
          <w:sz w:val="24"/>
          <w:szCs w:val="24"/>
        </w:rPr>
        <w:t>Madagascar</w:t>
      </w:r>
      <w:r w:rsidR="004319D9" w:rsidRPr="00B10EBE">
        <w:rPr>
          <w:rFonts w:ascii="Garamond" w:hAnsi="Garamond"/>
          <w:noProof/>
          <w:color w:val="000000" w:themeColor="text1"/>
          <w:sz w:val="24"/>
          <w:szCs w:val="24"/>
        </w:rPr>
        <w:t xml:space="preserve"> (Figures</w:t>
      </w:r>
      <w:r w:rsidRPr="00B10EBE">
        <w:rPr>
          <w:rFonts w:ascii="Garamond" w:hAnsi="Garamond"/>
          <w:noProof/>
          <w:color w:val="000000" w:themeColor="text1"/>
          <w:sz w:val="24"/>
          <w:szCs w:val="24"/>
        </w:rPr>
        <w:t xml:space="preserve"> 4a-d and </w:t>
      </w:r>
      <w:r w:rsidR="004B094B" w:rsidRPr="00B10EBE">
        <w:rPr>
          <w:rFonts w:ascii="Garamond" w:hAnsi="Garamond"/>
          <w:noProof/>
          <w:color w:val="000000" w:themeColor="text1"/>
          <w:sz w:val="24"/>
          <w:szCs w:val="24"/>
        </w:rPr>
        <w:t xml:space="preserve">Tables </w:t>
      </w:r>
      <w:r w:rsidR="007D61B5"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 xml:space="preserve">1, </w:t>
      </w:r>
      <w:r w:rsidR="007D61B5"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 xml:space="preserve">3, </w:t>
      </w:r>
      <w:r w:rsidR="007D61B5"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 xml:space="preserve">5, </w:t>
      </w:r>
      <w:r w:rsidR="007D61B5" w:rsidRPr="00B10EBE">
        <w:rPr>
          <w:rFonts w:ascii="Garamond" w:hAnsi="Garamond"/>
          <w:noProof/>
          <w:color w:val="000000" w:themeColor="text1"/>
          <w:sz w:val="24"/>
          <w:szCs w:val="24"/>
        </w:rPr>
        <w:t>A</w:t>
      </w:r>
      <w:r w:rsidR="00955603" w:rsidRPr="00B10EBE">
        <w:rPr>
          <w:rFonts w:ascii="Garamond" w:hAnsi="Garamond"/>
          <w:noProof/>
          <w:color w:val="000000" w:themeColor="text1"/>
          <w:sz w:val="24"/>
          <w:szCs w:val="24"/>
        </w:rPr>
        <w:t>6.</w:t>
      </w:r>
      <w:r w:rsidR="004B094B" w:rsidRPr="00B10EBE">
        <w:rPr>
          <w:rFonts w:ascii="Garamond" w:hAnsi="Garamond"/>
          <w:noProof/>
          <w:color w:val="000000" w:themeColor="text1"/>
          <w:sz w:val="24"/>
          <w:szCs w:val="24"/>
        </w:rPr>
        <w:t>7</w:t>
      </w:r>
      <w:r w:rsidRPr="00B10EBE">
        <w:rPr>
          <w:rFonts w:ascii="Garamond" w:hAnsi="Garamond"/>
          <w:noProof/>
          <w:color w:val="000000" w:themeColor="text1"/>
          <w:sz w:val="24"/>
          <w:szCs w:val="24"/>
        </w:rPr>
        <w:t xml:space="preserve">). </w:t>
      </w:r>
      <w:r w:rsidR="009A0DBA" w:rsidRPr="00B10EBE">
        <w:rPr>
          <w:rFonts w:ascii="Garamond" w:hAnsi="Garamond"/>
          <w:noProof/>
          <w:color w:val="000000" w:themeColor="text1"/>
          <w:sz w:val="24"/>
          <w:szCs w:val="24"/>
        </w:rPr>
        <w:t>The high Nagelkerke r</w:t>
      </w:r>
      <w:r w:rsidR="009A0DBA" w:rsidRPr="00B10EBE">
        <w:rPr>
          <w:rFonts w:ascii="Garamond" w:hAnsi="Garamond"/>
          <w:noProof/>
          <w:color w:val="000000" w:themeColor="text1"/>
          <w:sz w:val="24"/>
          <w:szCs w:val="24"/>
          <w:vertAlign w:val="superscript"/>
        </w:rPr>
        <w:t>2</w:t>
      </w:r>
      <w:r w:rsidR="009A0DBA" w:rsidRPr="00B10EBE">
        <w:rPr>
          <w:rFonts w:ascii="Garamond" w:hAnsi="Garamond"/>
          <w:noProof/>
          <w:color w:val="000000" w:themeColor="text1"/>
          <w:sz w:val="24"/>
          <w:szCs w:val="24"/>
        </w:rPr>
        <w:t xml:space="preserve"> values are likely related to the strong spatial autocorrelation component observed in the gridded data and, hence, to the high explanatory power of the spatial weighting distances</w:t>
      </w:r>
      <w:r w:rsidR="00AC6563" w:rsidRPr="00B10EBE">
        <w:rPr>
          <w:rFonts w:ascii="Garamond" w:hAnsi="Garamond"/>
          <w:noProof/>
          <w:color w:val="000000" w:themeColor="text1"/>
          <w:sz w:val="24"/>
          <w:szCs w:val="24"/>
        </w:rPr>
        <w:t>,</w:t>
      </w:r>
      <w:r w:rsidR="009A0DBA" w:rsidRPr="00B10EBE">
        <w:rPr>
          <w:rFonts w:ascii="Garamond" w:hAnsi="Garamond"/>
          <w:noProof/>
          <w:color w:val="000000" w:themeColor="text1"/>
          <w:sz w:val="24"/>
          <w:szCs w:val="24"/>
        </w:rPr>
        <w:t xml:space="preserve"> which statistically control for this autocorrelation</w:t>
      </w:r>
      <w:r w:rsidR="00AC6563" w:rsidRPr="00B10EBE">
        <w:rPr>
          <w:rFonts w:ascii="Garamond" w:hAnsi="Garamond"/>
          <w:noProof/>
          <w:color w:val="000000" w:themeColor="text1"/>
          <w:sz w:val="24"/>
          <w:szCs w:val="24"/>
        </w:rPr>
        <w:t xml:space="preserve">, </w:t>
      </w:r>
      <w:r w:rsidR="009A0DBA" w:rsidRPr="00B10EBE">
        <w:rPr>
          <w:rFonts w:ascii="Garamond" w:hAnsi="Garamond"/>
          <w:noProof/>
          <w:color w:val="000000" w:themeColor="text1"/>
          <w:sz w:val="24"/>
          <w:szCs w:val="24"/>
        </w:rPr>
        <w:t>in our models.</w:t>
      </w:r>
    </w:p>
    <w:p w14:paraId="4202C699" w14:textId="77777777" w:rsidR="003A4065" w:rsidRPr="00B10EBE" w:rsidRDefault="003A4065" w:rsidP="0033343A">
      <w:pPr>
        <w:pStyle w:val="Paragraph"/>
        <w:adjustRightInd w:val="0"/>
        <w:snapToGrid w:val="0"/>
        <w:spacing w:before="0"/>
        <w:ind w:left="0" w:firstLine="0"/>
        <w:jc w:val="both"/>
        <w:rPr>
          <w:rFonts w:ascii="Garamond" w:hAnsi="Garamond"/>
          <w:noProof/>
          <w:color w:val="000000" w:themeColor="text1"/>
          <w:lang w:val="en-GB"/>
        </w:rPr>
      </w:pPr>
      <w:r w:rsidRPr="00B10EBE">
        <w:rPr>
          <w:rFonts w:ascii="Garamond" w:hAnsi="Garamond"/>
          <w:b/>
          <w:noProof/>
          <w:color w:val="000000" w:themeColor="text1"/>
          <w:lang w:val="en-GB"/>
        </w:rPr>
        <w:t>4</w:t>
      </w:r>
      <w:r w:rsidRPr="00B10EBE">
        <w:rPr>
          <w:rFonts w:ascii="Garamond" w:hAnsi="Garamond"/>
          <w:b/>
          <w:noProof/>
          <w:color w:val="000000" w:themeColor="text1"/>
          <w:lang w:val="en-GB"/>
        </w:rPr>
        <w:tab/>
        <w:t>Discussion</w:t>
      </w:r>
    </w:p>
    <w:p w14:paraId="031AA8F1" w14:textId="6A513852" w:rsidR="0067452A" w:rsidRPr="00B10EBE" w:rsidRDefault="0067452A" w:rsidP="0033343A">
      <w:pPr>
        <w:widowControl w:val="0"/>
        <w:autoSpaceDE w:val="0"/>
        <w:autoSpaceDN w:val="0"/>
        <w:adjustRightInd w:val="0"/>
        <w:ind w:left="0" w:firstLine="0"/>
        <w:jc w:val="both"/>
        <w:rPr>
          <w:rFonts w:ascii="Garamond" w:hAnsi="Garamond"/>
          <w:noProof/>
          <w:color w:val="000000" w:themeColor="text1"/>
          <w:sz w:val="24"/>
          <w:szCs w:val="24"/>
        </w:rPr>
      </w:pPr>
      <w:r w:rsidRPr="00B10EBE">
        <w:rPr>
          <w:rFonts w:ascii="Garamond" w:hAnsi="Garamond"/>
          <w:noProof/>
          <w:color w:val="000000" w:themeColor="text1"/>
          <w:sz w:val="24"/>
          <w:szCs w:val="24"/>
        </w:rPr>
        <w:t>Ecological systems are complex because of the many interactions among biotic and abiotic components that occur at different spatiotemporal scales</w:t>
      </w:r>
      <w:r w:rsidR="00D03D0A" w:rsidRPr="00B10EBE">
        <w:rPr>
          <w:rFonts w:ascii="Garamond" w:hAnsi="Garamond"/>
          <w:noProof/>
          <w:color w:val="000000" w:themeColor="text1"/>
          <w:sz w:val="24"/>
          <w:szCs w:val="24"/>
        </w:rPr>
        <w:t xml:space="preserve"> </w:t>
      </w:r>
      <w:r w:rsidR="00D03D0A" w:rsidRPr="00B10EBE">
        <w:rPr>
          <w:rFonts w:ascii="Garamond" w:hAnsi="Garamond"/>
          <w:color w:val="000000" w:themeColor="text1"/>
          <w:sz w:val="24"/>
          <w:szCs w:val="24"/>
          <w:shd w:val="clear" w:color="auto" w:fill="FCFCFC"/>
        </w:rPr>
        <w:fldChar w:fldCharType="begin"/>
      </w:r>
      <w:r w:rsidR="009E0EBA" w:rsidRPr="00B10EBE">
        <w:rPr>
          <w:rFonts w:ascii="Garamond" w:hAnsi="Garamond"/>
          <w:color w:val="000000" w:themeColor="text1"/>
          <w:sz w:val="24"/>
          <w:szCs w:val="24"/>
          <w:shd w:val="clear" w:color="auto" w:fill="FCFCFC"/>
        </w:rPr>
        <w:instrText xml:space="preserve"> ADDIN ZOTERO_ITEM CSL_CITATION {"citationID":"i7ycu6sD","properties":{"formattedCitation":"(Spake et al., 2019)","plainCitation":"(Spake et al., 2019)","noteIndex":0},"citationItems":[{"id":1108,"uris":["http://zotero.org/users/10686236/items/SAZENR7P"],"itemData":{"id":1108,"type":"article-journal","abstract":"A major sustainability challenge is determining where to target management to enhance natural capital and the ecosystem services it provides. Achieving this understanding is difficult, given that the effects of most actions vary according to wider environmental conditions; and this context dependency is typically poorly understood. Here, we describe an analytical framework that helps meet this challenge by identifying both why and where management actions are most effective for enhancing natural capital across large geographic areas. We illustrate the framework’s generality by applying it to two examples for Britain: pond water quality and invasion of forests by rhododendron.","container-title":"Nature Sustainability","DOI":"10.1038/s41893-019-0223-4","ISSN":"23989629","issue":"2","page":"90-97","title":"An analytical framework for spatially targeted management of natural capital: supplementary","volume":"2","author":[{"family":"Spake","given":"Rebecca"},{"family":"Bellamy","given":"Chloe"},{"family":"Graham","given":"Laura J."},{"family":"Watts","given":"Kevin"},{"family":"Wilson","given":"Tom"},{"family":"Norton","given":"Lisa R."},{"family":"Wood","given":"Claire M."},{"family":"Schmucki","given":"Reto"},{"family":"Bullock","given":"James M."},{"family":"Eigenbrod","given":"Felix"}],"issued":{"date-parts":[["2019"]]}}}],"schema":"https://github.com/citation-style-language/schema/raw/master/csl-citation.json"} </w:instrText>
      </w:r>
      <w:r w:rsidR="00D03D0A" w:rsidRPr="00B10EBE">
        <w:rPr>
          <w:rFonts w:ascii="Garamond" w:hAnsi="Garamond"/>
          <w:color w:val="000000" w:themeColor="text1"/>
          <w:sz w:val="24"/>
          <w:szCs w:val="24"/>
          <w:shd w:val="clear" w:color="auto" w:fill="FCFCFC"/>
        </w:rPr>
        <w:fldChar w:fldCharType="separate"/>
      </w:r>
      <w:r w:rsidR="00D03D0A" w:rsidRPr="00B10EBE">
        <w:rPr>
          <w:rFonts w:ascii="Garamond" w:hAnsi="Garamond"/>
          <w:color w:val="000000" w:themeColor="text1"/>
          <w:sz w:val="24"/>
        </w:rPr>
        <w:t>(Spake et al., 2019)</w:t>
      </w:r>
      <w:r w:rsidR="00D03D0A" w:rsidRPr="00B10EBE">
        <w:rPr>
          <w:rFonts w:ascii="Garamond" w:hAnsi="Garamond"/>
          <w:color w:val="000000" w:themeColor="text1"/>
          <w:sz w:val="24"/>
          <w:szCs w:val="24"/>
          <w:shd w:val="clear" w:color="auto" w:fill="FCFCFC"/>
        </w:rPr>
        <w:fldChar w:fldCharType="end"/>
      </w:r>
      <w:r w:rsidRPr="00B10EBE">
        <w:rPr>
          <w:rFonts w:ascii="Garamond" w:hAnsi="Garamond"/>
          <w:noProof/>
          <w:color w:val="000000" w:themeColor="text1"/>
          <w:sz w:val="24"/>
          <w:szCs w:val="24"/>
        </w:rPr>
        <w:t xml:space="preserve">. As such, scientists tend to characterize ecological relationships as context-dependent </w:t>
      </w:r>
      <w:r w:rsidRPr="00B10EBE">
        <w:rPr>
          <w:rFonts w:ascii="Garamond" w:eastAsia="Times New Roman"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{"citationID":"Oo88Cr0k","properties":{"formattedCitation":"(Spake et al., 2023)","plainCitation":"(Spake et al., 2023)","noteIndex":0},"citationItems":[{"id":84,"uris":["http://zotero.org/users/10686236/items/4H9GWVVC"],"itemData":{"id":84,"type":"article-journal","container-title":"Biological Reviews","DOI":"10.1111/brv.12939","ISSN":"1464-7931, 1469-185X","journalAbbreviation":"Biological Reviews","language":"en","page":"brv.12939","source":"DOI.org (Crossref)","title":"Understanding ‘it depends’ in ecology: a guide to hypothesising, visualising and interpreting statistical interactions","title-short":"Understanding ‘it depends’ in ecology","author":[{"family":"Spake","given":"Rebecca"},{"family":"Bowler","given":"Diana E."},{"family":"Callaghan","given":"Corey T."},{"family":"Blowes","given":"Shane A."},{"family":"Doncaster","given":"C. Patrick"},{"family":"Antão","given":"Laura H."},{"family":"Nakagawa","given":"Shinichi"},{"family":"McElreath","given":"Richard"},{"family":"Chase","given":"Jonathan M."}],"issued":{"date-parts":[["2023"]]}}}],"schema":"https://github.com/citation-style-language/schema/raw/master/csl-citation.json"} </w:instrText>
      </w:r>
      <w:r w:rsidRPr="00B10EBE">
        <w:rPr>
          <w:rFonts w:ascii="Garamond" w:eastAsia="Times New Roman" w:hAnsi="Garamond"/>
          <w:noProof/>
          <w:color w:val="000000" w:themeColor="text1"/>
          <w:sz w:val="24"/>
          <w:szCs w:val="24"/>
        </w:rPr>
        <w:fldChar w:fldCharType="separate"/>
      </w:r>
      <w:r w:rsidR="004C2C12" w:rsidRPr="00B10EBE">
        <w:rPr>
          <w:rFonts w:ascii="Garamond" w:hAnsi="Garamond"/>
          <w:color w:val="000000" w:themeColor="text1"/>
          <w:sz w:val="24"/>
        </w:rPr>
        <w:t>(Spake et al., 2023)</w:t>
      </w:r>
      <w:r w:rsidRPr="00B10EBE">
        <w:rPr>
          <w:rFonts w:ascii="Garamond" w:eastAsia="Times New Roman" w:hAnsi="Garamond"/>
          <w:noProof/>
          <w:color w:val="000000" w:themeColor="text1"/>
          <w:sz w:val="24"/>
          <w:szCs w:val="24"/>
        </w:rPr>
        <w:fldChar w:fldCharType="end"/>
      </w:r>
      <w:r w:rsidRPr="00B10EBE">
        <w:rPr>
          <w:rFonts w:ascii="Garamond" w:hAnsi="Garamond"/>
          <w:noProof/>
          <w:color w:val="000000" w:themeColor="text1"/>
          <w:sz w:val="24"/>
          <w:szCs w:val="24"/>
        </w:rPr>
        <w:t xml:space="preserve"> or with narrative descriptions of relationships </w:t>
      </w:r>
      <w:r w:rsidRPr="00B10EBE">
        <w:rPr>
          <w:rFonts w:ascii="Garamond" w:eastAsia="Times New Roman" w:hAnsi="Garamond"/>
          <w:noProof/>
          <w:color w:val="000000" w:themeColor="text1"/>
          <w:sz w:val="24"/>
          <w:szCs w:val="24"/>
        </w:rPr>
        <w:fldChar w:fldCharType="begin"/>
      </w:r>
      <w:r w:rsidR="009E0EBA" w:rsidRPr="00B10EBE">
        <w:rPr>
          <w:rFonts w:ascii="Garamond" w:hAnsi="Garamond"/>
          <w:noProof/>
          <w:color w:val="000000" w:themeColor="text1"/>
          <w:sz w:val="24"/>
          <w:szCs w:val="24"/>
        </w:rPr>
        <w:instrText xml:space="preserve"> ADDIN ZOTERO_ITEM CSL_CITATION {"citationID":"xEWb1zex","properties":{"formattedCitation":"(Zellmer et al., 2006)","plainCitation":"(Zellmer et al., 2006)","noteIndex":0},"citationItems":[{"id":88,"uris":["http://zotero.org/users/10686236/items/RPL5WSF2"],"itemData":{"id":88,"type":"article-journal","container-title":"Ecological Complexity","DOI":"10.1016/j.ecocom.2006.06.002","ISSN":"1476945X","issue":"3","journalAbbreviation":"Ecological Complexity","language":"en","page":"171-182","source":"DOI.org (Crossref)","title":"The nature of ecological complexity: A protocol for building the narrative","title-short":"The nature of ecological complexity","volume":"3","author":[{"family":"Zellmer","given":"A.J."},{"family":"Allen","given":"T.F.H."},{"family":"Kesseboehmer","given":"K."}],"issued":{"date-parts":[["2006"]]}}}],"schema":"https://github.com/citation-style-language/schema/raw/master/csl-citation.json"} </w:instrText>
      </w:r>
      <w:r w:rsidRPr="00B10EBE">
        <w:rPr>
          <w:rFonts w:ascii="Garamond" w:eastAsia="Times New Roman" w:hAnsi="Garamond"/>
          <w:noProof/>
          <w:color w:val="000000" w:themeColor="text1"/>
          <w:sz w:val="24"/>
          <w:szCs w:val="24"/>
        </w:rPr>
        <w:fldChar w:fldCharType="separate"/>
      </w:r>
      <w:r w:rsidR="004C2C12" w:rsidRPr="00B10EBE">
        <w:rPr>
          <w:rFonts w:ascii="Garamond" w:hAnsi="Garamond"/>
          <w:noProof/>
          <w:color w:val="000000" w:themeColor="text1"/>
          <w:sz w:val="24"/>
          <w:szCs w:val="24"/>
        </w:rPr>
        <w:t>(Zellmer et al., 2006)</w:t>
      </w:r>
      <w:r w:rsidRPr="00B10EBE">
        <w:rPr>
          <w:rFonts w:ascii="Garamond" w:eastAsia="Times New Roman" w:hAnsi="Garamond"/>
          <w:noProof/>
          <w:color w:val="000000" w:themeColor="text1"/>
          <w:sz w:val="24"/>
          <w:szCs w:val="24"/>
        </w:rPr>
        <w:fldChar w:fldCharType="end"/>
      </w:r>
      <w:r w:rsidRPr="00B10EBE">
        <w:rPr>
          <w:rFonts w:ascii="Garamond" w:hAnsi="Garamond"/>
          <w:noProof/>
          <w:color w:val="000000" w:themeColor="text1"/>
          <w:sz w:val="24"/>
          <w:szCs w:val="24"/>
        </w:rPr>
        <w:t>. Our results</w:t>
      </w:r>
      <w:r w:rsidR="00FC5021" w:rsidRPr="00B10EBE">
        <w:rPr>
          <w:rFonts w:ascii="Garamond" w:hAnsi="Garamond"/>
          <w:noProof/>
          <w:color w:val="000000" w:themeColor="text1"/>
          <w:sz w:val="24"/>
          <w:szCs w:val="24"/>
        </w:rPr>
        <w:t>, however,</w:t>
      </w:r>
      <w:r w:rsidRPr="00B10EBE">
        <w:rPr>
          <w:rFonts w:ascii="Garamond" w:hAnsi="Garamond"/>
          <w:noProof/>
          <w:color w:val="000000" w:themeColor="text1"/>
          <w:sz w:val="24"/>
          <w:szCs w:val="24"/>
        </w:rPr>
        <w:t xml:space="preserve"> help dis</w:t>
      </w:r>
      <w:r w:rsidR="007B37C0" w:rsidRPr="00B10EBE">
        <w:rPr>
          <w:rFonts w:ascii="Garamond" w:hAnsi="Garamond"/>
          <w:noProof/>
          <w:color w:val="000000" w:themeColor="text1"/>
          <w:sz w:val="24"/>
          <w:szCs w:val="24"/>
        </w:rPr>
        <w:t>ent</w:t>
      </w:r>
      <w:r w:rsidRPr="00B10EBE">
        <w:rPr>
          <w:rFonts w:ascii="Garamond" w:hAnsi="Garamond"/>
          <w:noProof/>
          <w:color w:val="000000" w:themeColor="text1"/>
          <w:sz w:val="24"/>
          <w:szCs w:val="24"/>
        </w:rPr>
        <w:t>angle this complexity for grassland systems by clarif</w:t>
      </w:r>
      <w:r w:rsidR="007B37C0" w:rsidRPr="00B10EBE">
        <w:rPr>
          <w:rFonts w:ascii="Garamond" w:hAnsi="Garamond"/>
          <w:noProof/>
          <w:color w:val="000000" w:themeColor="text1"/>
          <w:sz w:val="24"/>
          <w:szCs w:val="24"/>
        </w:rPr>
        <w:t>y</w:t>
      </w:r>
      <w:r w:rsidRPr="00B10EBE">
        <w:rPr>
          <w:rFonts w:ascii="Garamond" w:hAnsi="Garamond"/>
          <w:noProof/>
          <w:color w:val="000000" w:themeColor="text1"/>
          <w:sz w:val="24"/>
          <w:szCs w:val="24"/>
        </w:rPr>
        <w:t>ing the role of temperature, rainfall, fire</w:t>
      </w:r>
      <w:r w:rsidR="00DD2B4E" w:rsidRPr="00B10EBE">
        <w:rPr>
          <w:rFonts w:ascii="Garamond" w:hAnsi="Garamond"/>
          <w:noProof/>
          <w:color w:val="000000" w:themeColor="text1"/>
          <w:sz w:val="24"/>
          <w:szCs w:val="24"/>
        </w:rPr>
        <w:t>,</w:t>
      </w:r>
      <w:r w:rsidRPr="00B10EBE">
        <w:rPr>
          <w:rFonts w:ascii="Garamond" w:hAnsi="Garamond"/>
          <w:noProof/>
          <w:color w:val="000000" w:themeColor="text1"/>
          <w:sz w:val="24"/>
          <w:szCs w:val="24"/>
        </w:rPr>
        <w:t xml:space="preserve"> and population density on woody dynamics at broad spatiotemporal scales. In addition, they also provide empirical </w:t>
      </w:r>
      <w:r w:rsidRPr="00B10EBE">
        <w:rPr>
          <w:rFonts w:ascii="Garamond" w:hAnsi="Garamond"/>
          <w:noProof/>
          <w:color w:val="000000" w:themeColor="text1"/>
          <w:sz w:val="24"/>
          <w:szCs w:val="24"/>
        </w:rPr>
        <w:lastRenderedPageBreak/>
        <w:t>evidence of complexity. The low number of final SEMs each year, for instance, indicates that only specific combinations of variables yield meaningful explanations of woody dynamics. Further, final SEMs are systematically described by more complex structures, suggesting that simple models including only woody vegetation, burned area, and one or two other variables are not able to characterize the ecological relationships in time and space</w:t>
      </w:r>
      <w:r w:rsidR="00B955BE" w:rsidRPr="00B10EBE">
        <w:rPr>
          <w:rFonts w:ascii="Garamond" w:hAnsi="Garamond"/>
          <w:noProof/>
          <w:color w:val="000000" w:themeColor="text1"/>
          <w:sz w:val="24"/>
          <w:szCs w:val="24"/>
        </w:rPr>
        <w:t xml:space="preserve"> (Appendix A6)</w:t>
      </w:r>
      <w:r w:rsidRPr="00B10EBE">
        <w:rPr>
          <w:rFonts w:ascii="Garamond" w:hAnsi="Garamond"/>
          <w:noProof/>
          <w:color w:val="000000" w:themeColor="text1"/>
          <w:sz w:val="24"/>
          <w:szCs w:val="24"/>
        </w:rPr>
        <w:t>.</w:t>
      </w:r>
    </w:p>
    <w:p w14:paraId="5A6DAAFA" w14:textId="15C41891" w:rsidR="00CF1A6B" w:rsidRPr="00B10EBE" w:rsidRDefault="00C47D3D" w:rsidP="007C6757">
      <w:pPr>
        <w:pStyle w:val="Paragraph"/>
        <w:adjustRightInd w:val="0"/>
        <w:snapToGrid w:val="0"/>
        <w:spacing w:before="0"/>
        <w:ind w:left="0" w:firstLine="0"/>
        <w:jc w:val="both"/>
        <w:rPr>
          <w:rFonts w:ascii="Garamond" w:hAnsi="Garamond"/>
          <w:color w:val="000000" w:themeColor="text1"/>
          <w:lang w:val="en-GB"/>
        </w:rPr>
      </w:pPr>
      <w:r w:rsidRPr="00B10EBE">
        <w:rPr>
          <w:rFonts w:ascii="Garamond" w:hAnsi="Garamond"/>
          <w:noProof/>
          <w:color w:val="000000" w:themeColor="text1"/>
          <w:lang w:val="en-GB"/>
        </w:rPr>
        <w:t xml:space="preserve">Yet complexity does not mean that ecosystems have no common features. </w:t>
      </w:r>
      <w:r w:rsidR="003A4065" w:rsidRPr="00B10EBE">
        <w:rPr>
          <w:rFonts w:ascii="Garamond" w:hAnsi="Garamond"/>
          <w:noProof/>
          <w:color w:val="000000" w:themeColor="text1"/>
          <w:lang w:val="en-GB"/>
        </w:rPr>
        <w:t xml:space="preserve">Rainfall controls both woody vegetation and burned area, which is </w:t>
      </w:r>
      <w:r w:rsidR="00C04222" w:rsidRPr="00B10EBE">
        <w:rPr>
          <w:rFonts w:ascii="Garamond" w:hAnsi="Garamond"/>
          <w:noProof/>
          <w:color w:val="000000" w:themeColor="text1"/>
          <w:lang w:val="en-GB"/>
        </w:rPr>
        <w:t xml:space="preserve">expected </w:t>
      </w:r>
      <w:r w:rsidR="003A4065" w:rsidRPr="00B10EBE">
        <w:rPr>
          <w:rFonts w:ascii="Garamond" w:hAnsi="Garamond"/>
          <w:noProof/>
          <w:color w:val="000000" w:themeColor="text1"/>
          <w:lang w:val="en-GB"/>
        </w:rPr>
        <w:t>as water availability is known to be the key resource for both plant growth</w:t>
      </w:r>
      <w:r w:rsidR="00A95CD4" w:rsidRPr="00B10EBE">
        <w:rPr>
          <w:rFonts w:ascii="Garamond" w:hAnsi="Garamond"/>
          <w:noProof/>
          <w:color w:val="000000" w:themeColor="text1"/>
          <w:lang w:val="en-GB"/>
        </w:rPr>
        <w:t xml:space="preserve"> </w:t>
      </w:r>
      <w:r w:rsidR="00A95CD4"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{"citationID":"a13dhj3fe8f","properties":{"formattedCitation":"(Ogutu et al., 2021)","plainCitation":"(Ogutu et al., 2021)","noteIndex":0},"citationItems":[{"id":1905,"uris":["http://zotero.org/users/10686236/items/7XA5HMHP"],"itemData":{"id":1905,"type":"article-journal","container-title":"Global and Planetary Change","DOI":"10.1016/j.gloplacha.2021.103524","ISSN":"09218181","note":"publisher: Elsevier B.V.","page":"103524","title":"Impact of vegetation greening on carbon and water cycle in the African Sahel-Sudano-Guinean region","volume":"202","author":[{"family":"Ogutu","given":"Booker O"},{"family":"D'Adamo","given":"Francesco"},{"family":"Dash","given":"Jadunandan"}],"issued":{"date-parts":[["2021"]]}}}],"schema":"https://github.com/citation-style-language/schema/raw/master/csl-citation.json"} </w:instrText>
      </w:r>
      <w:r w:rsidR="00A95CD4"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(Ogutu et al., 2021)</w:t>
      </w:r>
      <w:r w:rsidR="00A95CD4"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xml:space="preserve"> and fuel availability</w:t>
      </w:r>
      <w:r w:rsidR="00A95CD4" w:rsidRPr="00B10EBE">
        <w:rPr>
          <w:rFonts w:ascii="Garamond" w:hAnsi="Garamond"/>
          <w:noProof/>
          <w:color w:val="000000" w:themeColor="text1"/>
          <w:lang w:val="en-GB"/>
        </w:rPr>
        <w:t xml:space="preserve"> </w:t>
      </w:r>
      <w:r w:rsidR="00A95CD4"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{"citationID":"a12c32md0uh","properties":{"formattedCitation":"(Lehmann et al., 2014; Staver et al., 2017)","plainCitation":"(Lehmann et al., 2014; Staver et al., 2017)","noteIndex":0},"citationItems":[{"id":362,"uris":["http://zotero.org/users/10686236/items/YCI8M36R"],"itemData":{"id":362,"type":"article-journal","abstract":"Ecologists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stocks.","container-title":"Science","DOI":"10.1126/science.1247355","ISSN":"0036-8075","issue":"6170","note":"PMID: 24482480\nISBN: 0036-8075","page":"548-552","title":"Savanna Vegetation-Fire-Climate Relationships Differ Among Continents","volume":"343","author":[{"family":"Lehmann","given":"C. E. R."},{"family":"Anderson","given":"T. M."},{"family":"Sankaran","given":"M."},{"family":"Higgins","given":"S. I."},{"family":"Archibald","given":"S."},{"family":"Hoffmann","given":"W. A."},{"family":"Hanan","given":"N. P."},{"family":"Williams","given":"R. J."},{"family":"Fensham","given":"R. J."},{"family":"Felfili","given":"J."},{"family":"Hutley","given":"L. B."},{"family":"Ratnam","given":"J."},{"family":"San Jose","given":"J."},{"family":"Montes","given":"R."},{"family":"Franklin","given":"D."},{"family":"Russell-Smith","given":"J."},{"family":"Ryan","given":"C. M."},{"family":"Durigan","given":"G."},{"family":"Hiernaux","given":"P."},{"family":"Haidar","given":"R."},{"family":"Bowman","given":"D. M. J. S."},{"family":"Bond","given":"W. J."}],"issued":{"date-parts":[["2014"]]}}},{"id":355,"uris":["http://zotero.org/users/10686236/items/9PVABW75"],"itemData":{"id":355,"type":"article-journal","abstract":"Savanna vegetation is variable, and predicting how water, nutrients, and chronic disturbances interact to determine vegetation structure in savannas represents a challenge. Here, we examined in situ interactions among rainfall, soils, grasses, fire, and elephants that determine tree layer responses to resource gradients in Kruger National Park in South Africa, using 363 long-term monitoring sites throughout the park. Grass biomass increased with rainfall and on nutrient-rich clay soils. Fire frequency, too, increased with rainfall. Conversely, tree density was greater on sandier soils, where water infiltrates more readily, and in areas where the maximum interval between fires was longer, irrespective of average fire frequency. Elephant density responded positively to tree density, but did not contribute significantly to decreasing tree density. Savanna vegetation structure was reasonably predictable, via a combination of rainfall (favoring grasses), soil (sandy soils favoring trees), and fire (limiting trees until a longer interval between fires allows them to establish). Explicit consideration of bottom-up and top-down interactions may thus contribute to a predictive understanding of savanna vegetation heterogeneity.","container-title":"New Phytologist","DOI":"10.1111/nph.14738","ISSN":"14698137","issue":"4","page":"1151-1160","title":"Soils and fire jointly determine vegetation structure in an African savanna","volume":"216","author":[{"family":"Staver","given":"A. Carla"},{"family":"Botha","given":"Judith"},{"family":"Hedin","given":"Lars"}],"issued":{"date-parts":[["2017"]]}}}],"schema":"https://github.com/citation-style-language/schema/raw/master/csl-citation.json"} </w:instrText>
      </w:r>
      <w:r w:rsidR="00A95CD4"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(Lehmann et al., 2014; Staver et al., 2017)</w:t>
      </w:r>
      <w:r w:rsidR="00A95CD4"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xml:space="preserve"> in arid and semi-arid regions of Africa. </w:t>
      </w:r>
      <w:r w:rsidR="00BF1922" w:rsidRPr="00B10EBE">
        <w:rPr>
          <w:rFonts w:ascii="Garamond" w:hAnsi="Garamond"/>
          <w:noProof/>
          <w:color w:val="000000" w:themeColor="text1"/>
          <w:lang w:val="en-GB"/>
        </w:rPr>
        <w:t xml:space="preserve">However, and </w:t>
      </w:r>
      <w:r w:rsidR="003A4065" w:rsidRPr="00B10EBE">
        <w:rPr>
          <w:rFonts w:ascii="Garamond" w:hAnsi="Garamond"/>
          <w:noProof/>
          <w:color w:val="000000" w:themeColor="text1"/>
          <w:lang w:val="en-GB"/>
        </w:rPr>
        <w:t>contradicti</w:t>
      </w:r>
      <w:r w:rsidR="006E7ACB" w:rsidRPr="00B10EBE">
        <w:rPr>
          <w:rFonts w:ascii="Garamond" w:hAnsi="Garamond"/>
          <w:noProof/>
          <w:color w:val="000000" w:themeColor="text1"/>
          <w:lang w:val="en-GB"/>
        </w:rPr>
        <w:t>ng</w:t>
      </w:r>
      <w:r w:rsidR="003A4065" w:rsidRPr="00B10EBE">
        <w:rPr>
          <w:rFonts w:ascii="Garamond" w:hAnsi="Garamond"/>
          <w:noProof/>
          <w:color w:val="000000" w:themeColor="text1"/>
          <w:lang w:val="en-GB"/>
        </w:rPr>
        <w:t xml:space="preserve"> our initial hypothesis, dry season rainfall</w:t>
      </w:r>
      <w:r w:rsidR="00B35215" w:rsidRPr="00B10EBE">
        <w:rPr>
          <w:rFonts w:ascii="Garamond" w:hAnsi="Garamond"/>
          <w:noProof/>
          <w:color w:val="000000" w:themeColor="text1"/>
          <w:lang w:val="en-GB"/>
        </w:rPr>
        <w:t xml:space="preserve"> did not predict</w:t>
      </w:r>
      <w:r w:rsidR="003A4065" w:rsidRPr="00B10EBE">
        <w:rPr>
          <w:rFonts w:ascii="Garamond" w:hAnsi="Garamond"/>
          <w:noProof/>
          <w:color w:val="000000" w:themeColor="text1"/>
          <w:lang w:val="en-GB"/>
        </w:rPr>
        <w:t xml:space="preserve"> woody vegetation dynamics, suggesting that the establishment of woody plant</w:t>
      </w:r>
      <w:r w:rsidR="00BF1922" w:rsidRPr="00B10EBE">
        <w:rPr>
          <w:rFonts w:ascii="Garamond" w:hAnsi="Garamond"/>
          <w:noProof/>
          <w:color w:val="000000" w:themeColor="text1"/>
          <w:lang w:val="en-GB"/>
        </w:rPr>
        <w:t>s</w:t>
      </w:r>
      <w:r w:rsidR="003A4065" w:rsidRPr="00B10EBE">
        <w:rPr>
          <w:rFonts w:ascii="Garamond" w:hAnsi="Garamond"/>
          <w:noProof/>
          <w:color w:val="000000" w:themeColor="text1"/>
          <w:lang w:val="en-GB"/>
        </w:rPr>
        <w:t xml:space="preserve"> in these bioregions is more related to rainfall totals </w:t>
      </w:r>
      <w:r w:rsidR="001B4BE1"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{"citationID":"a2o6n6vbmrr","properties":{"formattedCitation":"(Garc\\uc0\\u237{}a Criado et al., 2020)","plainCitation":"(García Criado et al., 2020)","noteIndex":0},"citationItems":[{"id":349,"uris":["http://zotero.org/users/10686236/items/B5NUWLZV"],"itemData":{"id":349,"type":"article-journal","abstract":"Aim: Biomes worldwide are shifting with global change. Biomes whose extents are limited by temperature or precipitation, such as the tundra and savanna, may be particularly strongly affected by climate change. While woody plant encroachment is prevalent across both biomes, its relationship to temperature and precipitation change remains unknown. Here, we quantify the degree to which woody encroachment is related to climate change and identify its main associated drivers. Location: Tundra and savanna biomes. Time period: 1992 ± 20.27–2010 ± 5.62 (mean ± SD). 1876–2016 (range). Major taxa studied: Woody plants (shrubs and trees). Methods: We compiled a dataset comprising 1,089 records from 899 sites of woody plant cover over time and attributed drivers of woody cover change across these two biomes. We calculated cover change in each biome and assessed the degree to which cover change corresponds to concurrent temperature and precipitation changes using multiple climate metrics. Finally, we conducted a quantitative literature review of the relative importance of attributed drivers of woody cover change. Results: Woody encroachment was widespread geographically and across climate gradients. Rates of woody cover change (positive or negative) were 1.8 times lower in the tundra than in the savanna (1.8 vs. 3.2%), while rates of woody cover increase (i.e., encroachment) were c. 1.7 times lower in the tundra compared with the savanna (3.7 vs. 6.3% per decade). In the tundra, magnitudes of woody cover change did not correspond to climate, while in the savanna, greater cover change corresponded with increases in precipitation. We found higher rates of woody cover change in wetter versus drier sites with warming in the tundra biome, and higher rates of woody cover change in drier versus wetter sites with increasing precipitation in the savanna. However, faster rates of woody cover change were not associated with more rapid rates of climate change across sites, except for maximum precipitation in the savanna. Main conclusions: Woody encroachment was positively related to warming in the tundra and increased rainfall in the savanna. However, cover change rates were not predicted by rates of climate change, which can be partially explained by climate interactions in both biomes. Additional likely influences include site-level factors, time-lags, plant-specific responses, and land use and other non-climate drivers. Our findings highlight the complex nature of climate change impacts in biomes limited by seasonality, which should be accounted for to realistically estimate future responses across open biomes under global change scenarios.","container-title":"Global Ecology and Biogeography","DOI":"10.1111/geb.13072","ISSN":"14668238","issue":"5","page":"925-943","title":"Woody plant encroachment intensifies under climate change across tundra and savanna biomes","volume":"29","author":[{"family":"García Criado","given":"Mariana"},{"family":"Myers-Smith","given":"Isla H."},{"family":"Bjorkman","given":"Anne D."},{"family":"Lehmann","given":"Caroline E.R."},{"family":"Stevens","given":"Nicola"}],"issued":{"date-parts":[["2020"]]}}}],"schema":"https://github.com/citation-style-language/schema/raw/master/csl-citation.json"} </w:instrText>
      </w:r>
      <w:r w:rsidR="001B4BE1"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(García Criado et al., 2020)</w:t>
      </w:r>
      <w:r w:rsidR="001B4BE1"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xml:space="preserve"> than rainfall timing</w:t>
      </w:r>
      <w:r w:rsidR="008069B8" w:rsidRPr="00B10EBE">
        <w:rPr>
          <w:rFonts w:ascii="Garamond" w:hAnsi="Garamond"/>
          <w:noProof/>
          <w:color w:val="000000" w:themeColor="text1"/>
          <w:lang w:val="en-GB"/>
        </w:rPr>
        <w:t xml:space="preserve"> </w:t>
      </w:r>
      <w:r w:rsidR="008069B8"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{"citationID":"a1d60e1v62g","properties":{"formattedCitation":"(Brandt et al., 2019)","plainCitation":"(Brandt et al., 2019)","noteIndex":0},"citationItems":[{"id":332,"uris":["http://zotero.org/users/10686236/items/M4KYL5TX"],"itemData":{"id":332,"type":"article-journal","container-title":"Communications Biology","DOI":"10.1038/s42003-019-0383-9","ISSN":"2399-3642","issue":"1","note":"publisher: Springer US\nISBN: 4200301903","page":"133","title":"Changes in rainfall distribution promote woody foliage production in the Sahel","volume":"2","author":[{"family":"Brandt","given":"Martin"},{"family":"Hiernaux","given":"Pierre"},{"family":"Rasmussen","given":"Kjeld"},{"family":"Tucker","given":"Compton J."},{"family":"Wigneron","given":"Jean-Pierre"},{"family":"Diouf","given":"Abdoul Aziz"},{"family":"Herrmann","given":"Stefanie M."},{"family":"Zhang","given":"Wenmin"},{"family":"Kergoat","given":"Laurent"},{"family":"Mbow","given":"Cheikh"},{"family":"Abel","given":"Christin"},{"family":"Auda","given":"Yves"},{"family":"Fensholt","given":"Rasmus"}],"issued":{"date-parts":[["2019"]]}}}],"schema":"https://github.com/citation-style-language/schema/raw/master/csl-citation.json"} </w:instrText>
      </w:r>
      <w:r w:rsidR="008069B8"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(Brandt et al., 2019)</w:t>
      </w:r>
      <w:r w:rsidR="008069B8"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w:t>
      </w:r>
      <w:r w:rsidR="008720FC" w:rsidRPr="00B10EBE">
        <w:rPr>
          <w:rFonts w:ascii="Garamond" w:hAnsi="Garamond"/>
          <w:noProof/>
          <w:color w:val="000000" w:themeColor="text1"/>
          <w:lang w:val="en-GB"/>
        </w:rPr>
        <w:t xml:space="preserve"> This </w:t>
      </w:r>
      <w:r w:rsidR="00C01A71" w:rsidRPr="00B10EBE">
        <w:rPr>
          <w:rFonts w:ascii="Garamond" w:hAnsi="Garamond"/>
          <w:noProof/>
          <w:color w:val="000000" w:themeColor="text1"/>
          <w:lang w:val="en-GB"/>
        </w:rPr>
        <w:t xml:space="preserve">is </w:t>
      </w:r>
      <w:r w:rsidR="008720FC" w:rsidRPr="00B10EBE">
        <w:rPr>
          <w:rFonts w:ascii="Garamond" w:hAnsi="Garamond"/>
          <w:noProof/>
          <w:color w:val="000000" w:themeColor="text1"/>
          <w:lang w:val="en-GB"/>
        </w:rPr>
        <w:t>likely because the four grassland regions investigated here received very little rainfall during the dry season, implying that the wet season rain largely correspond</w:t>
      </w:r>
      <w:r w:rsidR="00497FD9" w:rsidRPr="00B10EBE">
        <w:rPr>
          <w:rFonts w:ascii="Garamond" w:hAnsi="Garamond"/>
          <w:noProof/>
          <w:color w:val="000000" w:themeColor="text1"/>
          <w:lang w:val="en-GB"/>
        </w:rPr>
        <w:t>s</w:t>
      </w:r>
      <w:r w:rsidR="008720FC" w:rsidRPr="00B10EBE">
        <w:rPr>
          <w:rFonts w:ascii="Garamond" w:hAnsi="Garamond"/>
          <w:noProof/>
          <w:color w:val="000000" w:themeColor="text1"/>
          <w:lang w:val="en-GB"/>
        </w:rPr>
        <w:t xml:space="preserve"> to annual rainfall (Appendix </w:t>
      </w:r>
      <w:r w:rsidR="00A2185E" w:rsidRPr="00B10EBE">
        <w:rPr>
          <w:rFonts w:ascii="Garamond" w:hAnsi="Garamond"/>
          <w:noProof/>
          <w:color w:val="000000" w:themeColor="text1"/>
          <w:lang w:val="en-GB"/>
        </w:rPr>
        <w:t>A</w:t>
      </w:r>
      <w:r w:rsidR="008720FC" w:rsidRPr="00B10EBE">
        <w:rPr>
          <w:rFonts w:ascii="Garamond" w:hAnsi="Garamond"/>
          <w:noProof/>
          <w:color w:val="000000" w:themeColor="text1"/>
          <w:lang w:val="en-GB"/>
        </w:rPr>
        <w:t xml:space="preserve">4). </w:t>
      </w:r>
      <w:r w:rsidR="00B35215" w:rsidRPr="00B10EBE">
        <w:rPr>
          <w:rFonts w:ascii="Garamond" w:hAnsi="Garamond"/>
          <w:noProof/>
          <w:color w:val="000000" w:themeColor="text1"/>
          <w:lang w:val="en-GB"/>
        </w:rPr>
        <w:t>In contrast</w:t>
      </w:r>
      <w:r w:rsidR="001C2B2E" w:rsidRPr="00B10EBE">
        <w:rPr>
          <w:rFonts w:ascii="Garamond" w:hAnsi="Garamond"/>
          <w:noProof/>
          <w:color w:val="000000" w:themeColor="text1"/>
          <w:lang w:val="en-GB"/>
        </w:rPr>
        <w:t xml:space="preserve"> </w:t>
      </w:r>
      <w:r w:rsidR="003A4065" w:rsidRPr="00B10EBE">
        <w:rPr>
          <w:rFonts w:ascii="Garamond" w:hAnsi="Garamond"/>
          <w:noProof/>
          <w:color w:val="000000" w:themeColor="text1"/>
          <w:lang w:val="en-GB"/>
        </w:rPr>
        <w:t xml:space="preserve">to rainfall, temperature showed a </w:t>
      </w:r>
      <w:r w:rsidR="00D05F03" w:rsidRPr="00B10EBE">
        <w:rPr>
          <w:rFonts w:ascii="Garamond" w:hAnsi="Garamond"/>
          <w:noProof/>
          <w:color w:val="000000" w:themeColor="text1"/>
          <w:lang w:val="en-GB"/>
        </w:rPr>
        <w:t xml:space="preserve">consistent </w:t>
      </w:r>
      <w:r w:rsidR="003A4065" w:rsidRPr="00B10EBE">
        <w:rPr>
          <w:rFonts w:ascii="Garamond" w:hAnsi="Garamond"/>
          <w:noProof/>
          <w:color w:val="000000" w:themeColor="text1"/>
          <w:lang w:val="en-GB"/>
        </w:rPr>
        <w:t xml:space="preserve">negative effect on woody vegetation. </w:t>
      </w:r>
      <w:r w:rsidR="00E3093C" w:rsidRPr="00B10EBE">
        <w:rPr>
          <w:rFonts w:ascii="Garamond" w:hAnsi="Garamond"/>
          <w:noProof/>
          <w:color w:val="000000" w:themeColor="text1"/>
          <w:lang w:val="en-GB"/>
        </w:rPr>
        <w:t xml:space="preserve">While </w:t>
      </w:r>
      <w:r w:rsidR="003A4065" w:rsidRPr="00B10EBE">
        <w:rPr>
          <w:rFonts w:ascii="Garamond" w:hAnsi="Garamond"/>
          <w:noProof/>
          <w:color w:val="000000" w:themeColor="text1"/>
          <w:lang w:val="en-GB"/>
        </w:rPr>
        <w:t xml:space="preserve">this is </w:t>
      </w:r>
      <w:r w:rsidR="007064E5" w:rsidRPr="00B10EBE">
        <w:rPr>
          <w:rFonts w:ascii="Garamond" w:hAnsi="Garamond"/>
          <w:noProof/>
          <w:color w:val="000000" w:themeColor="text1"/>
          <w:lang w:val="en-GB"/>
        </w:rPr>
        <w:t xml:space="preserve">unsurprising </w:t>
      </w:r>
      <w:r w:rsidR="003A4065" w:rsidRPr="00B10EBE">
        <w:rPr>
          <w:rFonts w:ascii="Garamond" w:hAnsi="Garamond"/>
          <w:noProof/>
          <w:color w:val="000000" w:themeColor="text1"/>
          <w:lang w:val="en-GB"/>
        </w:rPr>
        <w:t xml:space="preserve">as </w:t>
      </w:r>
      <w:r w:rsidR="00E3093C" w:rsidRPr="00B10EBE">
        <w:rPr>
          <w:rFonts w:ascii="Garamond" w:hAnsi="Garamond"/>
          <w:noProof/>
          <w:color w:val="000000" w:themeColor="text1"/>
          <w:lang w:val="en-GB"/>
        </w:rPr>
        <w:t xml:space="preserve">rainy days are generally colder, </w:t>
      </w:r>
      <w:r w:rsidR="003A4065" w:rsidRPr="00B10EBE">
        <w:rPr>
          <w:rFonts w:ascii="Garamond" w:hAnsi="Garamond"/>
          <w:noProof/>
          <w:color w:val="000000" w:themeColor="text1"/>
          <w:lang w:val="en-GB"/>
        </w:rPr>
        <w:t xml:space="preserve">climate change-driven rising aridity may cause woody plants to be more prone to hydraulic failure </w:t>
      </w:r>
      <w:r w:rsidR="003A4065"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{"citationID":"oZU1yA6L","properties":{"formattedCitation":"(Abel et al., 2023)","plainCitation":"(Abel et al., 2023)","noteIndex":0},"citationItems":[{"id":49,"uris":["http://zotero.org/users/10686236/items/396UIBPU"],"itemData":{"id":49,"type":"article-journal","abstract":"Increasing aridity is one major consequence of ongoing global climate change and is expected to cause widespread changes in key ecosystem attributes, functions, and dynamics. This is especially the case in naturally vulnerable ecosystems, such as drylands. While we have an overall understanding of past aridity trends, the linkage between temporal dynamics in aridity and dryland ecosystem responses remain largely unknown. Here, we examined recent trends in aridity over the past two decades within global drylands as a basis for exploring the response of ecosystem state variables associated with land and atmosphere processes (e.g., vegetation cover, vegetation functioning, soil water availability, land cover, burned area, and vapor-­pressure deficit) to these trends. We identified five clusters, characterizing spatiotemporal patterns in aridity between 2000 and 2020. Overall, we observe that 44.5% of all areas are getting dryer, 31.6% getting wetter, and 23.8% have no trends in aridity. Our results show strongest correlations between trends in ecosystem state variables and aridity in clusters with increasing aridity, which matches expectations of systemic acclimatization of the ecosystem to a reduction in water availability/water stress. Trends in vegetation (expressed by leaf area index [LAI]) are affected differently by potential driving factors (e.g., environmental, and climatic factors, soil properties, and population density) in areas experiencing water-r­ elated stress as compared to areas not exposed to water-­related stress. Canopy height for example, has a positive impact on trends in LAI when the system is stressed but does not impact the trends in non-­ stressed systems. Conversely, opposite relationships were found for soil parameters such as root-­zone water storage capacity and organic carbon density. How potential driving factors impact dryland vegetation differently depending on water-­related stress (or no stress) is important, for example within management strategies to maintain and restore dryland vegetation.","container-title":"Global Change Biology","DOI":"10.1111/gcb.16745","ISSN":"1354-1013, 1365-2486","issue":"29","journalAbbreviation":"Global Change Biology","language":"en","page":"3954-3969","source":"DOI.org (Crossref)","title":"Contrasting ecosystem vegetation response in global drylands under drying and wetting conditions","author":[{"family":"Abel","given":"Christin"},{"family":"Abdi","given":"Abdulhakim M."},{"family":"Tagesson","given":"Torbern"},{"family":"Horion","given":"Stephanie"},{"family":"Fensholt","given":"Rasmus"}],"issued":{"date-parts":[["2023"]]}}}],"schema":"https://github.com/citation-style-language/schema/raw/master/csl-citation.json"} </w:instrText>
      </w:r>
      <w:r w:rsidR="003A4065"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(Abel et al., 2023)</w:t>
      </w:r>
      <w:r w:rsidR="003A4065"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xml:space="preserve">. </w:t>
      </w:r>
      <w:r w:rsidR="001F176A" w:rsidRPr="00B10EBE">
        <w:rPr>
          <w:rFonts w:ascii="Garamond" w:hAnsi="Garamond"/>
          <w:noProof/>
          <w:color w:val="000000" w:themeColor="text1"/>
          <w:lang w:val="en-GB"/>
        </w:rPr>
        <w:t>Notably</w:t>
      </w:r>
      <w:r w:rsidR="00E56C53" w:rsidRPr="00B10EBE">
        <w:rPr>
          <w:rFonts w:ascii="Garamond" w:hAnsi="Garamond"/>
          <w:noProof/>
          <w:color w:val="000000" w:themeColor="text1"/>
          <w:lang w:val="en-GB"/>
        </w:rPr>
        <w:t xml:space="preserve">, precipitation and temperature had overall comparable but diametrically opposite effects on woody vegetation, potentially contributing to the prevention of encroachment, as indicated by the </w:t>
      </w:r>
      <w:r w:rsidR="00F5297A" w:rsidRPr="00B10EBE">
        <w:rPr>
          <w:rFonts w:ascii="Garamond" w:hAnsi="Garamond"/>
          <w:noProof/>
          <w:color w:val="000000" w:themeColor="text1"/>
          <w:lang w:val="en-GB"/>
        </w:rPr>
        <w:t xml:space="preserve">limited </w:t>
      </w:r>
      <w:r w:rsidR="00E56C53" w:rsidRPr="00B10EBE">
        <w:rPr>
          <w:rFonts w:ascii="Garamond" w:hAnsi="Garamond"/>
          <w:noProof/>
          <w:color w:val="000000" w:themeColor="text1"/>
          <w:lang w:val="en-GB"/>
        </w:rPr>
        <w:t xml:space="preserve">changes </w:t>
      </w:r>
      <w:r w:rsidR="00F82C94" w:rsidRPr="00B10EBE">
        <w:rPr>
          <w:rFonts w:ascii="Garamond" w:hAnsi="Garamond"/>
          <w:noProof/>
          <w:color w:val="000000" w:themeColor="text1"/>
          <w:lang w:val="en-GB"/>
        </w:rPr>
        <w:t xml:space="preserve">observed </w:t>
      </w:r>
      <w:r w:rsidR="00E56C53" w:rsidRPr="00B10EBE">
        <w:rPr>
          <w:rFonts w:ascii="Garamond" w:hAnsi="Garamond"/>
          <w:noProof/>
          <w:color w:val="000000" w:themeColor="text1"/>
          <w:lang w:val="en-GB"/>
        </w:rPr>
        <w:t>in VOD</w:t>
      </w:r>
      <w:r w:rsidR="008720FC" w:rsidRPr="00B10EBE">
        <w:rPr>
          <w:rFonts w:ascii="Garamond" w:hAnsi="Garamond"/>
          <w:noProof/>
          <w:color w:val="000000" w:themeColor="text1"/>
          <w:lang w:val="en-GB"/>
        </w:rPr>
        <w:t xml:space="preserve"> </w:t>
      </w:r>
      <w:r w:rsidR="001310A3" w:rsidRPr="00B10EBE">
        <w:rPr>
          <w:rFonts w:ascii="Garamond" w:hAnsi="Garamond"/>
          <w:noProof/>
          <w:color w:val="000000" w:themeColor="text1"/>
          <w:lang w:val="en-GB"/>
        </w:rPr>
        <w:t>during 1997</w:t>
      </w:r>
      <w:r w:rsidR="007E64FA" w:rsidRPr="00B10EBE">
        <w:rPr>
          <w:rFonts w:ascii="Garamond" w:hAnsi="Garamond"/>
          <w:noProof/>
          <w:color w:val="000000" w:themeColor="text1"/>
          <w:lang w:val="en-GB"/>
        </w:rPr>
        <w:t>-</w:t>
      </w:r>
      <w:r w:rsidR="001310A3" w:rsidRPr="00B10EBE">
        <w:rPr>
          <w:rFonts w:ascii="Garamond" w:hAnsi="Garamond"/>
          <w:noProof/>
          <w:color w:val="000000" w:themeColor="text1"/>
          <w:lang w:val="en-GB"/>
        </w:rPr>
        <w:t>2016</w:t>
      </w:r>
      <w:r w:rsidR="00E56C53" w:rsidRPr="00B10EBE">
        <w:rPr>
          <w:rFonts w:ascii="Garamond" w:hAnsi="Garamond"/>
          <w:noProof/>
          <w:color w:val="000000" w:themeColor="text1"/>
          <w:lang w:val="en-GB"/>
        </w:rPr>
        <w:t xml:space="preserve"> (Appendix </w:t>
      </w:r>
      <w:r w:rsidR="00C417EB" w:rsidRPr="00B10EBE">
        <w:rPr>
          <w:rFonts w:ascii="Garamond" w:hAnsi="Garamond"/>
          <w:noProof/>
          <w:color w:val="000000" w:themeColor="text1"/>
          <w:lang w:val="en-GB"/>
        </w:rPr>
        <w:t>A</w:t>
      </w:r>
      <w:r w:rsidR="00E56C53" w:rsidRPr="00B10EBE">
        <w:rPr>
          <w:rFonts w:ascii="Garamond" w:hAnsi="Garamond"/>
          <w:noProof/>
          <w:color w:val="000000" w:themeColor="text1"/>
          <w:lang w:val="en-GB"/>
        </w:rPr>
        <w:t>9).</w:t>
      </w:r>
      <w:r w:rsidR="006E5A5E" w:rsidRPr="00B10EBE">
        <w:rPr>
          <w:rFonts w:ascii="Garamond" w:hAnsi="Garamond"/>
          <w:noProof/>
          <w:color w:val="000000" w:themeColor="text1"/>
          <w:lang w:val="en-GB"/>
        </w:rPr>
        <w:t xml:space="preserve"> This result partly contradicts previous studies showing sharp</w:t>
      </w:r>
      <w:r w:rsidR="008866D4" w:rsidRPr="00B10EBE">
        <w:rPr>
          <w:rFonts w:ascii="Garamond" w:hAnsi="Garamond"/>
          <w:noProof/>
          <w:color w:val="000000" w:themeColor="text1"/>
          <w:lang w:val="en-GB"/>
        </w:rPr>
        <w:t>er</w:t>
      </w:r>
      <w:r w:rsidR="006E5A5E" w:rsidRPr="00B10EBE">
        <w:rPr>
          <w:rFonts w:ascii="Garamond" w:hAnsi="Garamond"/>
          <w:noProof/>
          <w:color w:val="000000" w:themeColor="text1"/>
          <w:lang w:val="en-GB"/>
        </w:rPr>
        <w:t xml:space="preserve"> increases in VOD in the drylands of the Sahel</w:t>
      </w:r>
      <w:r w:rsidR="005E22F0" w:rsidRPr="00B10EBE">
        <w:rPr>
          <w:rFonts w:ascii="Garamond" w:hAnsi="Garamond"/>
          <w:noProof/>
          <w:color w:val="000000" w:themeColor="text1"/>
          <w:lang w:val="en-GB"/>
        </w:rPr>
        <w:t xml:space="preserve"> </w:t>
      </w:r>
      <w:r w:rsidR="005E22F0"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{"citationID":"a2k2v5fr8br","properties":{"formattedCitation":"(Brandt et al., 2017; Moesinger et al., 2020)","plainCitation":"(Brandt et al., 2017; Moesinger et al., 2020)","noteIndex":0},"citationItems":[{"id":512,"uris":["http://zotero.org/users/10686236/items/5AK22UKI"],"itemData":{"id":512,"type":"article-journal","abstract":"The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Africa.","container-title":"Nature Ecology &amp; Evolution","DOI":"10.1038/s41559-017-0081","ISSN":"2397-334X","issue":"4","note":"publisher: Macmillan Publishers Limited, part of Springer Nature.","page":"0081","title":"Human population growth offsets climate-driven increase in woody vegetation in sub-Saharan Africa","volume":"1","author":[{"family":"Brandt","given":"Martin"},{"family":"Rasmussen","given":"Kjeld"},{"family":"Peñuelas","given":"Josep"},{"family":"Tian","given":"Feng"},{"family":"Schurgers","given":"Guy"},{"family":"Verger","given":"Aleixandre"},{"family":"Mertz","given":"Ole"},{"family":"Palmer","given":"John R. B."},{"family":"Fensholt","given":"Rasmus"}],"issued":{"date-parts":[["2017"]]}}},{"id":460,"uris":["http://zotero.org/users/10686236/items/4N5Q2Y2S"],"itemData":{"id":460,"type":"article-journal","abstract":"Since the late 1970s, space-borne microwave radiometers have been providing measurements of radiation emitted by the Earth's surface. From these measurements it is possible to derive vegetation optical depth (VOD), a model-based indicator related to the density, biomass, and water content of vegetation. Because of its high temporal resolution and long availability, VOD can be used to monitor short- to long-term changes in vegetation. However, studying long-term VOD dynamics is generally hampered by the relatively short time span covered by the individual microwave sensors. This can potentially be overcome by merging multiple VOD products into a single climate data record. However, combining multiple sensors into a single product is challenging as systematic differences between input products like biases, different temporal and spatial resolutions, and coverage need to be overcome. Here, we present a new series of long-term VOD products, the VOD Climate Archive (VODCA). VODCA combines VOD retrievals that have been derived from multiple sensors (SSM/I, TMI, AMSR-E, WindSat, and AMSR2) using the Land Parameter Retrieval Model. We produce separate VOD products for microwave observations in different spectral bands, namely the Ku-band (period 1987-2017), X-band (1997-2018), and C-band (2002-2018). In this way, our multi-band VOD products preserve the unique characteristics of each frequency with respect to the structural elements of the canopy. Our merging approach builds on an existing approach that is used to merge satellite products of surface soil moisture: first, the data sets are co-calibrated via cumulative distribution function matching using AMSR-E as the scaling reference. To do so, we apply a new matching technique that scales outliers more robustly than ordinary piecewise linear interpolation. Second, we aggregate the data sets by taking the arithmetic mean between temporally overlapping observations of the scaled data. The characteristics of VODCA are assessed for self-consistency and against other products. Using an autocorrelation analysis, we show that the merging of the multiple data sets successfully reduces the random error compared to the input data sets. Spatio-temporal patterns and anomalies of the merged products show consistency between frequencies and with leaf area index observations from the MODIS instrument as well as with Vegetation Continuous Fields from the AVHRR instruments. Long-term trends in Ku-band VODCA show that since 1987 there has been a decline in VOD in the tropics and in large parts of east-central and north Asia, while a substantial increase is observed in India, large parts of Australia, southern Africa, southeastern China, and central North America. In summary, VODCA shows vast potential for monitoring spatial-temporal ecosystem changes as it is sensitive to vegetation water content and unaffected by cloud cover or high sun zenith angles. As such, it complements existing long-term optical indices of greenness and leaf area. The VODCA products (Moesinger et al., 2019) are open access and available under Attribution 4.0 International at https://doi.org/10.5281/zenodo.2575599.","container-title":"Earth System Science Data","DOI":"10.5194/essd-12-177-2020","ISSN":"18663516","issue":"1","page":"177-196","title":"The global long-term microwave Vegetation Optical Depth Climate Archive (VODCA)","volume":"12","author":[{"family":"Moesinger","given":"Leander"},{"family":"Dorigo","given":"Wouter"},{"family":"De Jeu","given":"Richard"},{"family":"Van Der Schalie","given":"Robin"},{"family":"Scanlon","given":"Tracy"},{"family":"Teubner","given":"Irene"},{"family":"Forkel","given":"Matthias"}],"issued":{"date-parts":[["2020"]]}}}],"schema":"https://github.com/citation-style-language/schema/raw/master/csl-citation.json"} </w:instrText>
      </w:r>
      <w:r w:rsidR="005E22F0"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(Brandt et al., 2017; Moesinger et al., 2020)</w:t>
      </w:r>
      <w:r w:rsidR="005E22F0" w:rsidRPr="00B10EBE">
        <w:rPr>
          <w:rFonts w:ascii="Garamond" w:hAnsi="Garamond"/>
          <w:noProof/>
          <w:color w:val="000000" w:themeColor="text1"/>
          <w:lang w:val="en-GB"/>
        </w:rPr>
        <w:fldChar w:fldCharType="end"/>
      </w:r>
      <w:r w:rsidR="005E22F0" w:rsidRPr="00B10EBE">
        <w:rPr>
          <w:rFonts w:ascii="Garamond" w:hAnsi="Garamond"/>
          <w:noProof/>
          <w:color w:val="000000" w:themeColor="text1"/>
          <w:lang w:val="en-GB"/>
        </w:rPr>
        <w:t>.</w:t>
      </w:r>
      <w:r w:rsidR="006E5A5E" w:rsidRPr="00B10EBE">
        <w:rPr>
          <w:rFonts w:ascii="Garamond" w:hAnsi="Garamond"/>
          <w:noProof/>
          <w:color w:val="000000" w:themeColor="text1"/>
          <w:lang w:val="en-GB"/>
        </w:rPr>
        <w:t xml:space="preserve"> </w:t>
      </w:r>
      <w:r w:rsidR="005E22F0" w:rsidRPr="00B10EBE">
        <w:rPr>
          <w:rFonts w:ascii="Garamond" w:hAnsi="Garamond"/>
          <w:noProof/>
          <w:color w:val="000000" w:themeColor="text1"/>
          <w:lang w:val="en-GB"/>
        </w:rPr>
        <w:t xml:space="preserve">However, this discrepancy </w:t>
      </w:r>
      <w:r w:rsidR="008F4231" w:rsidRPr="00B10EBE">
        <w:rPr>
          <w:rFonts w:ascii="Garamond" w:hAnsi="Garamond"/>
          <w:noProof/>
          <w:color w:val="000000" w:themeColor="text1"/>
          <w:lang w:val="en-GB"/>
        </w:rPr>
        <w:t>likely</w:t>
      </w:r>
      <w:r w:rsidR="005E22F0" w:rsidRPr="00B10EBE">
        <w:rPr>
          <w:rFonts w:ascii="Garamond" w:hAnsi="Garamond"/>
          <w:noProof/>
          <w:color w:val="000000" w:themeColor="text1"/>
          <w:lang w:val="en-GB"/>
        </w:rPr>
        <w:t xml:space="preserve"> stem</w:t>
      </w:r>
      <w:r w:rsidR="00497FD9" w:rsidRPr="00B10EBE">
        <w:rPr>
          <w:rFonts w:ascii="Garamond" w:hAnsi="Garamond"/>
          <w:noProof/>
          <w:color w:val="000000" w:themeColor="text1"/>
          <w:lang w:val="en-GB"/>
        </w:rPr>
        <w:t>s</w:t>
      </w:r>
      <w:r w:rsidR="005E22F0" w:rsidRPr="00B10EBE">
        <w:rPr>
          <w:rFonts w:ascii="Garamond" w:hAnsi="Garamond"/>
          <w:noProof/>
          <w:color w:val="000000" w:themeColor="text1"/>
          <w:lang w:val="en-GB"/>
        </w:rPr>
        <w:t xml:space="preserve"> from differences in land cover data, as results can vary depending on the</w:t>
      </w:r>
      <w:r w:rsidR="00260325" w:rsidRPr="00B10EBE">
        <w:rPr>
          <w:rFonts w:ascii="Garamond" w:hAnsi="Garamond"/>
          <w:noProof/>
          <w:color w:val="000000" w:themeColor="text1"/>
          <w:lang w:val="en-GB"/>
        </w:rPr>
        <w:t xml:space="preserve"> </w:t>
      </w:r>
      <w:r w:rsidR="005E22F0" w:rsidRPr="00B10EBE">
        <w:rPr>
          <w:rFonts w:ascii="Garamond" w:hAnsi="Garamond"/>
          <w:noProof/>
          <w:color w:val="000000" w:themeColor="text1"/>
          <w:lang w:val="en-GB"/>
        </w:rPr>
        <w:t>product or masking approach used to define the study area. Additionally, time series differences may also play a role, as trends in vegetation indices and biophysical variables depend on the period analyzed.</w:t>
      </w:r>
      <w:r w:rsidR="00EF099A" w:rsidRPr="00B10EBE">
        <w:rPr>
          <w:rFonts w:ascii="Garamond" w:hAnsi="Garamond"/>
          <w:noProof/>
          <w:color w:val="000000" w:themeColor="text1"/>
          <w:lang w:val="en-GB"/>
        </w:rPr>
        <w:t xml:space="preserve"> For example, recent research has shown that </w:t>
      </w:r>
      <w:r w:rsidR="00EF099A" w:rsidRPr="00B10EBE">
        <w:rPr>
          <w:rFonts w:ascii="Garamond" w:hAnsi="Garamond"/>
          <w:noProof/>
          <w:color w:val="000000" w:themeColor="text1"/>
          <w:lang w:val="en-GB"/>
        </w:rPr>
        <w:lastRenderedPageBreak/>
        <w:t>different ecosystem indicators exhibited distinct trends before and after 2000, ultimately influencing overall trend calculations</w:t>
      </w:r>
      <w:r w:rsidR="005E22F0" w:rsidRPr="00B10EBE">
        <w:rPr>
          <w:rFonts w:ascii="Garamond" w:hAnsi="Garamond"/>
          <w:noProof/>
          <w:color w:val="000000" w:themeColor="text1"/>
          <w:lang w:val="en-GB"/>
        </w:rPr>
        <w:t xml:space="preserve"> </w:t>
      </w:r>
      <w:r w:rsidR="005E22F0"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{"citationID":"a1g8kcos17r","properties":{"formattedCitation":"(Ogutu et al., 2021)","plainCitation":"(Ogutu et al., 2021)","noteIndex":0},"citationItems":[{"id":1905,"uris":["http://zotero.org/users/10686236/items/7XA5HMHP"],"itemData":{"id":1905,"type":"article-journal","container-title":"Global and Planetary Change","DOI":"10.1016/j.gloplacha.2021.103524","ISSN":"09218181","note":"publisher: Elsevier B.V.","page":"103524","title":"Impact of vegetation greening on carbon and water cycle in the African Sahel-Sudano-Guinean region","volume":"202","author":[{"family":"Ogutu","given":"Booker O"},{"family":"D'Adamo","given":"Francesco"},{"family":"Dash","given":"Jadunandan"}],"issued":{"date-parts":[["2021"]]}}}],"schema":"https://github.com/citation-style-language/schema/raw/master/csl-citation.json"} </w:instrText>
      </w:r>
      <w:r w:rsidR="005E22F0"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(Ogutu et al., 2021)</w:t>
      </w:r>
      <w:r w:rsidR="005E22F0" w:rsidRPr="00B10EBE">
        <w:rPr>
          <w:rFonts w:ascii="Garamond" w:hAnsi="Garamond"/>
          <w:noProof/>
          <w:color w:val="000000" w:themeColor="text1"/>
          <w:lang w:val="en-GB"/>
        </w:rPr>
        <w:fldChar w:fldCharType="end"/>
      </w:r>
      <w:r w:rsidR="005E22F0" w:rsidRPr="00B10EBE">
        <w:rPr>
          <w:rFonts w:ascii="Garamond" w:hAnsi="Garamond"/>
          <w:noProof/>
          <w:color w:val="000000" w:themeColor="text1"/>
          <w:lang w:val="en-GB"/>
        </w:rPr>
        <w:t>.</w:t>
      </w:r>
      <w:r w:rsidR="00534E35" w:rsidRPr="00B10EBE">
        <w:rPr>
          <w:rFonts w:ascii="Garamond" w:hAnsi="Garamond"/>
          <w:noProof/>
          <w:color w:val="000000" w:themeColor="text1"/>
          <w:lang w:val="en-GB"/>
        </w:rPr>
        <w:t xml:space="preserve"> Notwithstanding this, our results indicate that any future imbalance between precipitation and temperature may push the system towards a woody state, a risk that becomes increasingly relevant under ongoing climate change. Projections for Africa indicate rising temperatures and more frequent droughts, while rainfall patterns are expected to become more variable across the continent</w:t>
      </w:r>
      <w:r w:rsidR="009E0EBA" w:rsidRPr="00B10EBE">
        <w:rPr>
          <w:rFonts w:ascii="Garamond" w:hAnsi="Garamond"/>
          <w:noProof/>
          <w:color w:val="000000" w:themeColor="text1"/>
          <w:lang w:val="en-GB"/>
        </w:rPr>
        <w:t xml:space="preserve"> (Osborne et al., 2018)</w:t>
      </w:r>
      <w:r w:rsidR="00A347AE" w:rsidRPr="008A50E8">
        <w:rPr>
          <w:rFonts w:ascii="Garamond" w:hAnsi="Garamond"/>
          <w:color w:val="000000" w:themeColor="text1"/>
        </w:rPr>
        <w:t>,</w:t>
      </w:r>
      <w:r w:rsidR="00534E35" w:rsidRPr="008A50E8">
        <w:rPr>
          <w:rFonts w:ascii="Garamond" w:hAnsi="Garamond"/>
          <w:color w:val="000000" w:themeColor="text1"/>
        </w:rPr>
        <w:t xml:space="preserve"> likely disrupting the balance between water availability and thermal stress and potentially tipping grassland systems toward woody-dominated landscapes</w:t>
      </w:r>
      <w:r w:rsidR="009E0EBA" w:rsidRPr="00B10EBE">
        <w:rPr>
          <w:rFonts w:ascii="Garamond" w:hAnsi="Garamond"/>
          <w:noProof/>
          <w:color w:val="000000" w:themeColor="text1"/>
          <w:lang w:val="en-GB"/>
        </w:rPr>
        <w:t>.</w:t>
      </w:r>
      <w:r w:rsidR="005B4776" w:rsidRPr="00B10EBE">
        <w:rPr>
          <w:rFonts w:ascii="Garamond" w:hAnsi="Garamond"/>
          <w:noProof/>
          <w:color w:val="000000" w:themeColor="text1"/>
          <w:lang w:val="en-GB"/>
        </w:rPr>
        <w:t xml:space="preserve"> </w:t>
      </w:r>
      <w:r w:rsidR="00F62611" w:rsidRPr="00B10EBE">
        <w:rPr>
          <w:rFonts w:ascii="Garamond" w:hAnsi="Garamond"/>
          <w:noProof/>
          <w:color w:val="000000" w:themeColor="text1"/>
          <w:lang w:val="en-GB"/>
        </w:rPr>
        <w:t>This transition appears already underway</w:t>
      </w:r>
      <w:r w:rsidR="00DF1726" w:rsidRPr="00B10EBE">
        <w:rPr>
          <w:rFonts w:ascii="Garamond" w:hAnsi="Garamond"/>
          <w:noProof/>
          <w:color w:val="000000" w:themeColor="text1"/>
          <w:lang w:val="en-GB"/>
        </w:rPr>
        <w:t xml:space="preserve"> in the Greater Karoo and Kalahari drylands, i.e., the only bioregion with a clear, positive VOD trend, where rising temperatures and stable precipitation may be driving woody plant proliferation (Figure A9.2). While an increase in VOD independent of rainfall contradicts conventional understanding of woody vegetation dynamics, other studies have documented similar patterns of expansion not primarily driven by rainfall (D’Adamo et al., 2021). Contributing factors include low population growth rates </w:t>
      </w:r>
      <w:r w:rsidR="00DF1726"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{"citationID":"aei0d6cs38","properties":{"formattedCitation":"(Brandt et al., 2017)","plainCitation":"(Brandt et al., 2017)","noteIndex":0},"citationItems":[{"id":512,"uris":["http://zotero.org/users/10686236/items/5AK22UKI"],"itemData":{"id":512,"type":"article-journal","abstract":"The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Africa.","container-title":"Nature Ecology &amp; Evolution","DOI":"10.1038/s41559-017-0081","ISSN":"2397-334X","issue":"4","note":"publisher: Macmillan Publishers Limited, part of Springer Nature.","page":"0081","title":"Human population growth offsets climate-driven increase in woody vegetation in sub-Saharan Africa","volume":"1","author":[{"family":"Brandt","given":"Martin"},{"family":"Rasmussen","given":"Kjeld"},{"family":"Peñuelas","given":"Josep"},{"family":"Tian","given":"Feng"},{"family":"Schurgers","given":"Guy"},{"family":"Verger","given":"Aleixandre"},{"family":"Mertz","given":"Ole"},{"family":"Palmer","given":"John R. B."},{"family":"Fensholt","given":"Rasmus"}],"issued":{"date-parts":[["2017"]]}}}],"schema":"https://github.com/citation-style-language/schema/raw/master/csl-citation.json"} </w:instrText>
      </w:r>
      <w:r w:rsidR="00DF1726"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(Brandt et al., 2017)</w:t>
      </w:r>
      <w:r w:rsidR="00DF1726" w:rsidRPr="00B10EBE">
        <w:rPr>
          <w:rFonts w:ascii="Garamond" w:hAnsi="Garamond"/>
          <w:noProof/>
          <w:color w:val="000000" w:themeColor="text1"/>
          <w:lang w:val="en-GB"/>
        </w:rPr>
        <w:fldChar w:fldCharType="end"/>
      </w:r>
      <w:r w:rsidR="00DF1726" w:rsidRPr="00B10EBE">
        <w:rPr>
          <w:rFonts w:ascii="Garamond" w:hAnsi="Garamond"/>
          <w:noProof/>
          <w:color w:val="000000" w:themeColor="text1"/>
          <w:lang w:val="en-GB"/>
        </w:rPr>
        <w:t>, rising anthropogenic CO</w:t>
      </w:r>
      <w:r w:rsidR="00DF1726" w:rsidRPr="00B10EBE">
        <w:rPr>
          <w:rFonts w:ascii="Garamond" w:hAnsi="Garamond"/>
          <w:noProof/>
          <w:color w:val="000000" w:themeColor="text1"/>
          <w:vertAlign w:val="subscript"/>
          <w:lang w:val="en-GB"/>
        </w:rPr>
        <w:t>2</w:t>
      </w:r>
      <w:r w:rsidR="00DF1726" w:rsidRPr="00B10EBE">
        <w:rPr>
          <w:rFonts w:ascii="Garamond" w:hAnsi="Garamond"/>
          <w:noProof/>
          <w:color w:val="000000" w:themeColor="text1"/>
          <w:lang w:val="en-GB"/>
        </w:rPr>
        <w:t xml:space="preserve"> levels </w:t>
      </w:r>
      <w:r w:rsidR="00DF1726"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{"citationID":"a2b9shh3ade","properties":{"formattedCitation":"(Saintilan &amp; Rogers, 2015)","plainCitation":"(Saintilan &amp; Rogers, 2015)","noteIndex":0},"citationItems":[{"id":335,"uris":["http://zotero.org/users/10686236/items/B5K72IXQ"],"itemData":{"id":335,"type":"article-journal","abstract":"A global trend of woody plant encroachment of terrestrial grasslands is co-incident with woody plant encroachment of wetland in freshwater and saline intertidal settings. There are several arguments for considering tree encroachment of wetlands in the context of woody shrub encroachment of grassland biomes. In both cases, delimitation of woody shrubs at regional scales is set by temperature thresholds for poleward extent, and by aridity within temperature limits. Latitudinal expansion has been observed for terrestrial woody shrubs and mangroves, following recent warming, but most expansion and thickening has been due to the occupation of previously water-limited grassland/saltmarsh environments. Increases in atmospheric CO2, may facilitate the recruitment of trees in terrestrial and wetland settings. Improved water relations, a mechanism that would predict higher soil moisture in grasslands and saltmarshes, and also an enhanced capacity to survive arid conditions, reinforces local mechanisms of change. The expansion of woody shrubs and mangroves provides a negative feedback on elevated atmospheric CO2 by increasing carbon sequestration in grassland and saltmarsh, and is a significant carbon sink globally. These broad-scale vegetation shifts may represent a new stable state, reinforced by positive feedbacks between global change drivers and endogenic mechanisms of persistence in the landscape.","container-title":"New Phytologist","DOI":"10.1111/nph.13147","ISSN":"14698137","issue":"3","page":"1062-1070","title":"Woody plant encroachment of grasslands: A comparison of terrestrial and wetland settings","volume":"205","author":[{"family":"Saintilan","given":"Neil"},{"family":"Rogers","given":"Kerrylee"}],"issued":{"date-parts":[["2015"]]}}}],"schema":"https://github.com/citation-style-language/schema/raw/master/csl-citation.json"} </w:instrText>
      </w:r>
      <w:r w:rsidR="00DF1726"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(Saintilan &amp; Rogers, 2015)</w:t>
      </w:r>
      <w:r w:rsidR="00DF1726" w:rsidRPr="00B10EBE">
        <w:rPr>
          <w:rFonts w:ascii="Garamond" w:hAnsi="Garamond"/>
          <w:noProof/>
          <w:color w:val="000000" w:themeColor="text1"/>
          <w:lang w:val="en-GB"/>
        </w:rPr>
        <w:fldChar w:fldCharType="end"/>
      </w:r>
      <w:r w:rsidR="00DF1726" w:rsidRPr="00B10EBE">
        <w:rPr>
          <w:rFonts w:ascii="Garamond" w:hAnsi="Garamond"/>
          <w:noProof/>
          <w:color w:val="000000" w:themeColor="text1"/>
          <w:lang w:val="en-GB"/>
        </w:rPr>
        <w:t xml:space="preserve">, and shifts in both high and low herbivory pressure </w:t>
      </w:r>
      <w:r w:rsidR="00DF1726"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{"citationID":"a1ao611j5kt","properties":{"formattedCitation":"(Venter et al., 2018; Ward et al., 2014)","plainCitation":"(Venter et al., 2018; Ward et al., 2014)","noteIndex":0},"citationItems":[{"id":357,"uris":["http://zotero.org/users/10686236/items/996D8NMW"],"itemData":{"id":357,"type":"article-journal","abstract":"While global deforestation induced by human land use has been quantified, the drivers and extent of simultaneous woody plant encroachment (WPE) into open areas are only regionally known. WPE has important consequences for ecosystem functioning, global carbon balances and human economies. Here we report, using high-resolution satellite imagery, that woody vegetation cover over sub-Saharan Africa increased by 8% over the past three decades and that a diversity of drivers, other than CO2, were able to explain 78% of the spatial variation in this trend. A decline in burned area along with warmer, wetter climates drove WPE, although this has been mitigated in areas with high population growth rates, and high and low extremes of herbivory, specifically browsers. These results confirm global greening trends, thereby bringing into question widely held theories about declining terrestrial carbon balances and desert expansion. Importantly, while global drivers such as climate and CO2 may enhance the risk of WPE, managing fire and herbivory at the local scale provides tools to mitigate continental WPE.","container-title":"Nature Communications","DOI":"10.1038/s41467-018-04616-8","ISSN":"20411723","issue":"1","note":"PMID: 29891933\npublisher: Springer US","page":"1-7","title":"Drivers of woody plant encroachment over Africa","volume":"9","author":[{"family":"Venter","given":"Z. S."},{"family":"Cramer","given":"M. D."},{"family":"Hawkins","given":"H. J."}],"issued":{"date-parts":[["2018"]]}}},{"id":562,"uris":["http://zotero.org/users/10686236/items/X8MAV54T"],"itemData":{"id":562,"type":"article-journal","abstract":"Woody plant encroachment is frequent in dry savannas. Grazing is often considered to be a major cause of encroachment in dry savannas because grasses are removed by livestock, leaving bare areas for trees to colonise in wetter years. Earlier experiments conducted in the Kimberley area of the Northern Cape showed that neither fire nor grazing was important for woody plant encroachment. We used aerial and fixed-point repeat ground photographs, including historical photographs taken at the time of the Second Anglo-Boer War of 1899?1902, to assess the scale and timing of woody plant encroachment in the dry savannas near Kimberley in South Africa (mean annual rainfall = 300?400 mm). There were large increases in woody plant encroachment in most areas. Even at the battlefield of Magersfontein, where grazing has been virtually absent since its protection in 1960, we found that encroachment by trees and shrubs has occurred. Using aerial photographs, we found that the rate of encroachment has increased substantially since 1993. However, repeated photographs at certain sites indicate that encroachment produced cohorts of trees. We show that global drivers are perhaps of greater importance than local drivers such as heavy grazing and absence of fire.","container-title":"African Journal of Range and Forage Science","DOI":"10.2989/10220119.2014.914974","ISSN":"17279380","issue":"2","note":"ISBN: 1022-0119","page":"107-121","title":"A century of woody plant encroachment in the dry Kimberley savanna of South Africa","volume":"31","author":[{"family":"Ward","given":"David"},{"family":"Hoffman","given":"M. Timm"},{"family":"Collocott","given":"Sarah J."}],"issued":{"date-parts":[["2014"]]}}}],"schema":"https://github.com/citation-style-language/schema/raw/master/csl-citation.json"} </w:instrText>
      </w:r>
      <w:r w:rsidR="00DF1726"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(Venter et al., 2018; Ward et al., 2014)</w:t>
      </w:r>
      <w:r w:rsidR="00DF1726" w:rsidRPr="00B10EBE">
        <w:rPr>
          <w:rFonts w:ascii="Garamond" w:hAnsi="Garamond"/>
          <w:noProof/>
          <w:color w:val="000000" w:themeColor="text1"/>
          <w:lang w:val="en-GB"/>
        </w:rPr>
        <w:fldChar w:fldCharType="end"/>
      </w:r>
      <w:r w:rsidR="00DF1726" w:rsidRPr="00B10EBE">
        <w:rPr>
          <w:rFonts w:ascii="Garamond" w:hAnsi="Garamond"/>
          <w:noProof/>
          <w:color w:val="000000" w:themeColor="text1"/>
          <w:lang w:val="en-GB"/>
        </w:rPr>
        <w:t xml:space="preserve">. Additionally, the observed decline in burned area, potentially due to fire suppression, land fragmentation, or shifts in traditional burning practices </w:t>
      </w:r>
      <w:r w:rsidR="00DF1726"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{"citationID":"a2gonv3siho","properties":{"formattedCitation":"(He et al., 2019)","plainCitation":"(He et al., 2019)","noteIndex":0},"citationItems":[{"id":423,"uris":["http://zotero.org/users/10686236/items/BYS5ARBZ"],"itemData":{"id":423,"type":"article-journal","abstract":"Many terrestrial ecosystems are fire prone, such that their composition and structure are largely due to their fire regime. Regions subject to regular fire have exceptionally high levels of species richness and endemism, and fire has been proposed as a major driver of their diversity, within the context of climate, resource availability and environmental heterogeneity. However, current fire-management practices rarely take into account the ecological and evolutionary roles of fire in maintaining biodiversity. Here, we focus on the mechanisms that enable fire to act as a major ecological and evolutionary force that promotes and maintains biodiversity over numerous spatiotemporal scales. From an ecological perspective, the vegetation, topography and local weather conditions during a fire generate a landscape with spatial and temporal variation in fire-related patches (pyrodiversity), and these produce the biotic and environmental heterogeneity that drives biodiversity across local and regional scales. There have been few empirical tests of the proposition that ‘pyrodiversity begets biodiversity’ but we show that biodiversity should peak at moderately high levels of pyrodiversity. Overall species richness is greatest immediately after fire and declines monotonically over time, with postfire successional pathways dictated by animal habitat preferences and varying lifespans among resident plants. Theory and data support the ‘intermediate disturbance hypothesis’ when mean patch species diversity is correlated with mean fire intervals. Postfire persistence, recruitment and immigration allow species with different life histories to coexist. From an evolutionary perspective, fire drives population turnover and diversification by promoting a wide range of adaptive responses to particular fire regimes. Among 39 comparisons, the number of species in 26 fire-prone lineages is much higher than that in their non-fire-prone sister lineages. Fire and its byproducts may have direct mutagenic effects, producing novel genotypes that can lead to trait innovation and even speciation. A paradigm shift aimed at restoring biodiversity-maintaining fire regimes across broad landscapes is required among the fire research and management communities. This will require ecologists and other professionals to spread the burgeoning fire-science knowledge beyond scientific publications to the broader public, politicians and media.","container-title":"Biological Reviews","DOI":"10.1111/brv.12544","ISSN":"1469185X","issue":"6","page":"1983-2010","title":"Fire as a key driver of Earth's biodiversity","volume":"94","author":[{"family":"He","given":"Tianhua"},{"family":"Lamont","given":"Byron B."},{"family":"Pausas","given":"Juli G."}],"issued":{"date-parts":[["2019"]]}}}],"schema":"https://github.com/citation-style-language/schema/raw/master/csl-citation.json"} </w:instrText>
      </w:r>
      <w:r w:rsidR="00DF1726"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(He et al., 2019)</w:t>
      </w:r>
      <w:r w:rsidR="00DF1726" w:rsidRPr="00B10EBE">
        <w:rPr>
          <w:rFonts w:ascii="Garamond" w:hAnsi="Garamond"/>
          <w:noProof/>
          <w:color w:val="000000" w:themeColor="text1"/>
          <w:lang w:val="en-GB"/>
        </w:rPr>
        <w:fldChar w:fldCharType="end"/>
      </w:r>
      <w:r w:rsidR="00DF1726" w:rsidRPr="00B10EBE">
        <w:rPr>
          <w:rFonts w:ascii="Garamond" w:hAnsi="Garamond"/>
          <w:noProof/>
          <w:color w:val="000000" w:themeColor="text1"/>
          <w:lang w:val="en-GB"/>
        </w:rPr>
        <w:t xml:space="preserve">, reinforces this trend, as reduced fire activity is known to promote woody encroachment (Figure 4b and Figure A9.2) </w:t>
      </w:r>
      <w:r w:rsidR="00DF1726"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{"citationID":"4WGmzyre","properties":{"formattedCitation":"(Andela et al., 2017)","plainCitation":"(Andela et al., 2017)","noteIndex":0},"citationItems":[{"id":345,"uris":["http://zotero.org/users/10686236/items/KRIMBS7R"],"itemData":{"id":345,"type":"article-journal","abstract":"Fire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landscapes.","container-title":"Science","DOI":"10.1126/science.aal4108","ISSN":"0036-8075","issue":"6345","page":"1356-1362","title":"A human-driven decline in global burned area","volume":"356","author":[{"family":"Andela","given":"N."},{"family":"Morton","given":"D. C."},{"family":"Giglio","given":"L."},{"family":"Chen","given":"Y."},{"family":"Van Der Werf","given":"G. R."},{"family":"Kasibhatla","given":"P. S."},{"family":"DeFries","given":"R. S."},{"family":"Collatz","given":"G. J."},{"family":"Hantson","given":"S."},{"family":"Kloster","given":"S."},{"family":"Bachelet","given":"D."},{"family":"Forrest","given":"M."},{"family":"Lasslop","given":"G."},{"family":"Li","given":"F."},{"family":"Mangeon","given":"S."},{"family":"Melton","given":"J. R."},{"family":"Yue","given":"C."},{"family":"Randerson","given":"J. T."}],"issued":{"date-parts":[["2017"]]}}}],"schema":"https://github.com/citation-style-language/schema/raw/master/csl-citation.json"} </w:instrText>
      </w:r>
      <w:r w:rsidR="00DF1726" w:rsidRPr="00B10EBE">
        <w:rPr>
          <w:rFonts w:ascii="Garamond" w:hAnsi="Garamond"/>
          <w:noProof/>
          <w:color w:val="000000" w:themeColor="text1"/>
          <w:lang w:val="en-GB"/>
        </w:rPr>
        <w:fldChar w:fldCharType="separate"/>
      </w:r>
      <w:r w:rsidR="00DF1726" w:rsidRPr="00B10EBE">
        <w:rPr>
          <w:rFonts w:ascii="Garamond" w:hAnsi="Garamond"/>
          <w:color w:val="000000" w:themeColor="text1"/>
          <w:lang w:val="en-GB"/>
        </w:rPr>
        <w:t>(Andela et al., 2017)</w:t>
      </w:r>
      <w:r w:rsidR="00DF1726" w:rsidRPr="00B10EBE">
        <w:rPr>
          <w:rFonts w:ascii="Garamond" w:hAnsi="Garamond"/>
          <w:noProof/>
          <w:color w:val="000000" w:themeColor="text1"/>
          <w:lang w:val="en-GB"/>
        </w:rPr>
        <w:fldChar w:fldCharType="end"/>
      </w:r>
      <w:r w:rsidR="00DF1726" w:rsidRPr="00B10EBE">
        <w:rPr>
          <w:rFonts w:ascii="Garamond" w:hAnsi="Garamond"/>
          <w:noProof/>
          <w:color w:val="000000" w:themeColor="text1"/>
          <w:lang w:val="en-GB"/>
        </w:rPr>
        <w:t>.</w:t>
      </w:r>
      <w:r w:rsidR="00C83A15" w:rsidRPr="00B10EBE">
        <w:rPr>
          <w:rFonts w:ascii="Garamond" w:hAnsi="Garamond"/>
          <w:noProof/>
          <w:color w:val="000000" w:themeColor="text1"/>
          <w:lang w:val="en-GB"/>
        </w:rPr>
        <w:t xml:space="preserve"> </w:t>
      </w:r>
      <w:r w:rsidR="0048255E" w:rsidRPr="00B10EBE">
        <w:rPr>
          <w:rFonts w:ascii="Garamond" w:hAnsi="Garamond"/>
          <w:noProof/>
          <w:color w:val="000000" w:themeColor="text1"/>
          <w:lang w:val="en-GB"/>
        </w:rPr>
        <w:t>Ultimately, the negative feedback between woody vegetation and fire appears less widespread in grasslands than savanna ecosystems of sub-Saharan Africa, emerging only at higher VOD levels, as observed in the Greater Karoo and Kalahari drylands.</w:t>
      </w:r>
      <w:r w:rsidR="009E0EBA" w:rsidRPr="00B10EBE">
        <w:rPr>
          <w:rFonts w:ascii="Garamond" w:hAnsi="Garamond"/>
          <w:noProof/>
          <w:color w:val="000000" w:themeColor="text1"/>
          <w:lang w:val="en-GB"/>
        </w:rPr>
        <w:t xml:space="preserve"> </w:t>
      </w:r>
      <w:r w:rsidR="00C36F1E" w:rsidRPr="008A50E8">
        <w:rPr>
          <w:rFonts w:ascii="Garamond" w:hAnsi="Garamond"/>
          <w:color w:val="000000" w:themeColor="text1"/>
        </w:rPr>
        <w:t>This evidence underscores the importance of distinguishing between these two ecosystems, as the weaker fire-woody vegetation feedback of grasslands may reduce the capacity of fire to regulate woody cover, a limitation that could become more pronounced under global environmental change</w:t>
      </w:r>
      <w:r w:rsidR="009E0EBA" w:rsidRPr="00B10EBE">
        <w:rPr>
          <w:rFonts w:ascii="Garamond" w:hAnsi="Garamond"/>
          <w:noProof/>
          <w:color w:val="000000" w:themeColor="text1"/>
          <w:lang w:val="en-GB"/>
        </w:rPr>
        <w:t>.</w:t>
      </w:r>
      <w:r w:rsidR="0048255E" w:rsidRPr="00B10EBE">
        <w:rPr>
          <w:rFonts w:ascii="Garamond" w:hAnsi="Garamond"/>
          <w:noProof/>
          <w:color w:val="000000" w:themeColor="text1"/>
          <w:lang w:val="en-GB"/>
        </w:rPr>
        <w:t xml:space="preserve"> </w:t>
      </w:r>
      <w:r w:rsidR="00DF1726" w:rsidRPr="00B10EBE">
        <w:rPr>
          <w:rFonts w:ascii="Garamond" w:hAnsi="Garamond"/>
          <w:color w:val="000000" w:themeColor="text1"/>
          <w:lang w:val="en-GB"/>
        </w:rPr>
        <w:t xml:space="preserve">Previous studies have reached similar conclusions, reporting a sharp increase in tree density across a broad rainfall gradient, </w:t>
      </w:r>
      <w:r w:rsidR="00DF1726" w:rsidRPr="00B10EBE">
        <w:rPr>
          <w:rFonts w:ascii="Garamond" w:hAnsi="Garamond"/>
          <w:color w:val="000000" w:themeColor="text1"/>
          <w:lang w:val="en-GB"/>
        </w:rPr>
        <w:lastRenderedPageBreak/>
        <w:t>even where fire regimes have remained historically stable</w:t>
      </w:r>
      <w:r w:rsidR="00DF1726" w:rsidRPr="00B10EBE">
        <w:rPr>
          <w:rFonts w:ascii="Garamond" w:hAnsi="Garamond"/>
          <w:color w:val="000000" w:themeColor="text1"/>
        </w:rPr>
        <w:t xml:space="preserve"> </w:t>
      </w:r>
      <w:r w:rsidR="00DF1726" w:rsidRPr="00B10EBE">
        <w:rPr>
          <w:rFonts w:ascii="Garamond" w:hAnsi="Garamond"/>
          <w:color w:val="000000" w:themeColor="text1"/>
        </w:rPr>
        <w:fldChar w:fldCharType="begin"/>
      </w:r>
      <w:r w:rsidR="009E0EBA" w:rsidRPr="00B10EBE">
        <w:rPr>
          <w:rFonts w:ascii="Garamond" w:hAnsi="Garamond"/>
          <w:color w:val="000000" w:themeColor="text1"/>
        </w:rPr>
        <w:instrText xml:space="preserve"> ADDIN ZOTERO_ITEM CSL_CITATION {"citationID":"a7umncflc","properties":{"formattedCitation":"(Case &amp; Staver, 2017)","plainCitation":"(Case &amp; Staver, 2017)","noteIndex":0},"citationItems":[{"id":689,"uris":["http://zotero.org/users/10686236/items/G73JGHA5"],"itemData":{"id":689,"type":"article-journal","abstract":"Woody encroachment is a pervasive challenge facing savanna and grassland managers world-wide. Proposed drivers of the phenomenon range from local changes in fire, herbivory and direct human impacts, to global changes in climate or atmospheric [CO2] that may be accelerating woody growth. The relative influences of local versus global drivers and their interactions are largely unknown, but will determine the extent to which management can limit woody encroachment locally. We examined recent woody encroachment in Hluhluwe–iMfolozi Park in South Africa from 2007 to 2014. Vegetation transects were distributed across broad gradients in rainfall, herbivore use intensity and fire frequency, on a variety of soils. Density of medium trees (2–4 m tall) increased dramatically (by 46%) in seven years, while densities of small and large trees remained constant. Increases in medium tree density were largest on sandy soils, where fires were infrequent and where grazing pressure increased. Tree density increased even where recent fire frequency was similar to historical fire regimes. These potentially widespread increases, unexplained by changes in local disturbance history, suggest the possible influence of drivers outside the scope of local control. Synthesis and applications. Fire can provide a limited buffer against generalized woody encroachment in savannas, but may only prevent further encroachment where managers can increase fire frequency. Grazing, which can limit fire frequency and intensity, may come increasingly into conflict with efforts to control woody encroachment, presenting a stark choice for savanna managers between maintenance of short-term grazer population productivity and longer-term prevention of woody encroachment.","container-title":"Journal of Applied Ecology","DOI":"10.1111/1365-2664.12805","ISSN":"13652664","issue":"3","page":"955-962","title":"Fire prevents woody encroachment only at higher-than-historical frequencies in a South African savanna","volume":"54","author":[{"family":"Case","given":"Madelon F."},{"family":"Staver","given":"A. Carla"}],"issued":{"date-parts":[["2017"]]}}}],"schema":"https://github.com/citation-style-language/schema/raw/master/csl-citation.json"} </w:instrText>
      </w:r>
      <w:r w:rsidR="00DF1726" w:rsidRPr="00B10EBE">
        <w:rPr>
          <w:rFonts w:ascii="Garamond" w:hAnsi="Garamond"/>
          <w:color w:val="000000" w:themeColor="text1"/>
        </w:rPr>
        <w:fldChar w:fldCharType="separate"/>
      </w:r>
      <w:r w:rsidR="00D570F9" w:rsidRPr="00B10EBE">
        <w:rPr>
          <w:rFonts w:ascii="Garamond" w:hAnsi="Garamond"/>
          <w:color w:val="000000" w:themeColor="text1"/>
          <w:lang w:val="en-GB"/>
        </w:rPr>
        <w:t>(Case &amp; Staver, 2017)</w:t>
      </w:r>
      <w:r w:rsidR="00DF1726" w:rsidRPr="00B10EBE">
        <w:rPr>
          <w:rFonts w:ascii="Garamond" w:hAnsi="Garamond"/>
          <w:color w:val="000000" w:themeColor="text1"/>
        </w:rPr>
        <w:fldChar w:fldCharType="end"/>
      </w:r>
      <w:r w:rsidR="00DF1726" w:rsidRPr="00B10EBE">
        <w:rPr>
          <w:rFonts w:ascii="Garamond" w:hAnsi="Garamond"/>
          <w:color w:val="000000" w:themeColor="text1"/>
        </w:rPr>
        <w:t xml:space="preserve">. </w:t>
      </w:r>
      <w:r w:rsidR="00DF1726" w:rsidRPr="00B10EBE">
        <w:rPr>
          <w:rFonts w:ascii="Garamond" w:hAnsi="Garamond"/>
          <w:color w:val="000000" w:themeColor="text1"/>
          <w:lang w:val="en-GB"/>
        </w:rPr>
        <w:t xml:space="preserve">This suggests that controlling woody encroachment may require fire frequencies exceeding historical levels. However, such an approach conflicts with livestock grazing, which reduces fire intensity by depleting fuel loads, potentially forcing land managers to choose between maintaining grazing productivity and preventing ecosystem transition to a woody state </w:t>
      </w:r>
      <w:r w:rsidR="00DF1726" w:rsidRPr="00B10EBE">
        <w:rPr>
          <w:rFonts w:ascii="Garamond" w:hAnsi="Garamond"/>
          <w:color w:val="000000" w:themeColor="text1"/>
        </w:rPr>
        <w:fldChar w:fldCharType="begin"/>
      </w:r>
      <w:r w:rsidR="009E0EBA" w:rsidRPr="00B10EBE">
        <w:rPr>
          <w:rFonts w:ascii="Garamond" w:hAnsi="Garamond"/>
          <w:color w:val="000000" w:themeColor="text1"/>
        </w:rPr>
        <w:instrText xml:space="preserve"> ADDIN ZOTERO_ITEM CSL_CITATION {"citationID":"zDAylXrO","properties":{"formattedCitation":"(Case &amp; Staver, 2017)","plainCitation":"(Case &amp; Staver, 2017)","noteIndex":0},"citationItems":[{"id":689,"uris":["http://zotero.org/users/10686236/items/G73JGHA5"],"itemData":{"id":689,"type":"article-journal","abstract":"Woody encroachment is a pervasive challenge facing savanna and grassland managers world-wide. Proposed drivers of the phenomenon range from local changes in fire, herbivory and direct human impacts, to global changes in climate or atmospheric [CO2] that may be accelerating woody growth. The relative influences of local versus global drivers and their interactions are largely unknown, but will determine the extent to which management can limit woody encroachment locally. We examined recent woody encroachment in Hluhluwe–iMfolozi Park in South Africa from 2007 to 2014. Vegetation transects were distributed across broad gradients in rainfall, herbivore use intensity and fire frequency, on a variety of soils. Density of medium trees (2–4 m tall) increased dramatically (by 46%) in seven years, while densities of small and large trees remained constant. Increases in medium tree density were largest on sandy soils, where fires were infrequent and where grazing pressure increased. Tree density increased even where recent fire frequency was similar to historical fire regimes. These potentially widespread increases, unexplained by changes in local disturbance history, suggest the possible influence of drivers outside the scope of local control. Synthesis and applications. Fire can provide a limited buffer against generalized woody encroachment in savannas, but may only prevent further encroachment where managers can increase fire frequency. Grazing, which can limit fire frequency and intensity, may come increasingly into conflict with efforts to control woody encroachment, presenting a stark choice for savanna managers between maintenance of short-term grazer population productivity and longer-term prevention of woody encroachment.","container-title":"Journal of Applied Ecology","DOI":"10.1111/1365-2664.12805","ISSN":"13652664","issue":"3","page":"955-962","title":"Fire prevents woody encroachment only at higher-than-historical frequencies in a South African savanna","volume":"54","author":[{"family":"Case","given":"Madelon F."},{"family":"Staver","given":"A. Carla"}],"issued":{"date-parts":[["2017"]]}}}],"schema":"https://github.com/citation-style-language/schema/raw/master/csl-citation.json"} </w:instrText>
      </w:r>
      <w:r w:rsidR="00DF1726" w:rsidRPr="00B10EBE">
        <w:rPr>
          <w:rFonts w:ascii="Garamond" w:hAnsi="Garamond"/>
          <w:color w:val="000000" w:themeColor="text1"/>
        </w:rPr>
        <w:fldChar w:fldCharType="separate"/>
      </w:r>
      <w:r w:rsidR="00D570F9" w:rsidRPr="00B10EBE">
        <w:rPr>
          <w:rFonts w:ascii="Garamond" w:hAnsi="Garamond"/>
          <w:color w:val="000000" w:themeColor="text1"/>
          <w:lang w:val="en-GB"/>
        </w:rPr>
        <w:t>(Case &amp; Staver, 2017)</w:t>
      </w:r>
      <w:r w:rsidR="00DF1726" w:rsidRPr="00B10EBE">
        <w:rPr>
          <w:rFonts w:ascii="Garamond" w:hAnsi="Garamond"/>
          <w:color w:val="000000" w:themeColor="text1"/>
        </w:rPr>
        <w:fldChar w:fldCharType="end"/>
      </w:r>
      <w:r w:rsidR="00DF1726" w:rsidRPr="00B10EBE">
        <w:rPr>
          <w:rFonts w:ascii="Garamond" w:hAnsi="Garamond"/>
          <w:color w:val="000000" w:themeColor="text1"/>
          <w:lang w:val="en-GB"/>
        </w:rPr>
        <w:t>.</w:t>
      </w:r>
      <w:r w:rsidR="00686894" w:rsidRPr="00B10EBE">
        <w:rPr>
          <w:rFonts w:ascii="Garamond" w:hAnsi="Garamond"/>
          <w:color w:val="000000" w:themeColor="text1"/>
          <w:lang w:val="en-GB"/>
        </w:rPr>
        <w:t xml:space="preserve"> </w:t>
      </w:r>
      <w:r w:rsidR="00FE79A6" w:rsidRPr="00B10EBE">
        <w:rPr>
          <w:rFonts w:ascii="Garamond" w:hAnsi="Garamond"/>
          <w:noProof/>
          <w:color w:val="000000" w:themeColor="text1"/>
          <w:lang w:val="en-GB"/>
        </w:rPr>
        <w:t>Madagascar</w:t>
      </w:r>
      <w:r w:rsidR="003A4065" w:rsidRPr="00B10EBE">
        <w:rPr>
          <w:rFonts w:ascii="Garamond" w:hAnsi="Garamond"/>
          <w:noProof/>
          <w:color w:val="000000" w:themeColor="text1"/>
          <w:lang w:val="en-GB"/>
        </w:rPr>
        <w:t xml:space="preserve"> also displayed a few distinct features</w:t>
      </w:r>
      <w:r w:rsidR="008B0377" w:rsidRPr="00B10EBE">
        <w:rPr>
          <w:rFonts w:ascii="Garamond" w:hAnsi="Garamond"/>
          <w:noProof/>
          <w:color w:val="000000" w:themeColor="text1"/>
          <w:lang w:val="en-GB"/>
        </w:rPr>
        <w:t>, i.e., the effect of</w:t>
      </w:r>
      <w:r w:rsidR="003A4065" w:rsidRPr="00B10EBE">
        <w:rPr>
          <w:rFonts w:ascii="Garamond" w:hAnsi="Garamond"/>
          <w:noProof/>
          <w:color w:val="000000" w:themeColor="text1"/>
          <w:lang w:val="en-GB"/>
        </w:rPr>
        <w:t xml:space="preserve"> </w:t>
      </w:r>
      <w:bookmarkStart w:id="1" w:name="_Hlk136364024"/>
      <w:r w:rsidR="003A4065" w:rsidRPr="00B10EBE">
        <w:rPr>
          <w:rFonts w:ascii="Garamond" w:hAnsi="Garamond"/>
          <w:noProof/>
          <w:color w:val="000000" w:themeColor="text1"/>
          <w:lang w:val="en-GB"/>
        </w:rPr>
        <w:t xml:space="preserve">temperature and </w:t>
      </w:r>
      <w:r w:rsidR="00CD3663" w:rsidRPr="00B10EBE">
        <w:rPr>
          <w:rFonts w:ascii="Garamond" w:hAnsi="Garamond"/>
          <w:noProof/>
          <w:color w:val="000000" w:themeColor="text1"/>
          <w:lang w:val="en-GB"/>
        </w:rPr>
        <w:t xml:space="preserve">human </w:t>
      </w:r>
      <w:r w:rsidR="003A4065" w:rsidRPr="00B10EBE">
        <w:rPr>
          <w:rFonts w:ascii="Garamond" w:hAnsi="Garamond"/>
          <w:noProof/>
          <w:color w:val="000000" w:themeColor="text1"/>
          <w:lang w:val="en-GB"/>
        </w:rPr>
        <w:t>population density on fire</w:t>
      </w:r>
      <w:bookmarkEnd w:id="1"/>
      <w:r w:rsidR="004319D9" w:rsidRPr="00B10EBE">
        <w:rPr>
          <w:rFonts w:ascii="Garamond" w:hAnsi="Garamond"/>
          <w:noProof/>
          <w:color w:val="000000" w:themeColor="text1"/>
          <w:lang w:val="en-GB"/>
        </w:rPr>
        <w:t xml:space="preserve"> (</w:t>
      </w:r>
      <w:r w:rsidR="004319D9" w:rsidRPr="00B10EBE">
        <w:rPr>
          <w:rFonts w:ascii="Garamond" w:hAnsi="Garamond"/>
          <w:noProof/>
          <w:color w:val="000000" w:themeColor="text1"/>
        </w:rPr>
        <w:t xml:space="preserve">Figure </w:t>
      </w:r>
      <w:r w:rsidR="0055120F" w:rsidRPr="00B10EBE">
        <w:rPr>
          <w:rFonts w:ascii="Garamond" w:hAnsi="Garamond"/>
          <w:noProof/>
          <w:color w:val="000000" w:themeColor="text1"/>
        </w:rPr>
        <w:t>A</w:t>
      </w:r>
      <w:r w:rsidR="00C20B9B" w:rsidRPr="00B10EBE">
        <w:rPr>
          <w:rFonts w:ascii="Garamond" w:hAnsi="Garamond"/>
          <w:noProof/>
          <w:color w:val="000000" w:themeColor="text1"/>
        </w:rPr>
        <w:t>9.</w:t>
      </w:r>
      <w:r w:rsidR="004319D9" w:rsidRPr="00B10EBE">
        <w:rPr>
          <w:rFonts w:ascii="Garamond" w:hAnsi="Garamond"/>
          <w:noProof/>
          <w:color w:val="000000" w:themeColor="text1"/>
        </w:rPr>
        <w:t>4)</w:t>
      </w:r>
      <w:r w:rsidR="003A4065" w:rsidRPr="00B10EBE">
        <w:rPr>
          <w:rFonts w:ascii="Garamond" w:hAnsi="Garamond"/>
          <w:noProof/>
          <w:color w:val="000000" w:themeColor="text1"/>
          <w:lang w:val="en-GB"/>
        </w:rPr>
        <w:t xml:space="preserve">. </w:t>
      </w:r>
      <w:r w:rsidR="00BF1922" w:rsidRPr="00B10EBE">
        <w:rPr>
          <w:rFonts w:ascii="Garamond" w:hAnsi="Garamond"/>
          <w:noProof/>
          <w:color w:val="000000" w:themeColor="text1"/>
          <w:lang w:val="en-GB"/>
        </w:rPr>
        <w:t>T</w:t>
      </w:r>
      <w:r w:rsidR="003A4065" w:rsidRPr="00B10EBE">
        <w:rPr>
          <w:rFonts w:ascii="Garamond" w:hAnsi="Garamond"/>
          <w:noProof/>
          <w:color w:val="000000" w:themeColor="text1"/>
          <w:lang w:val="en-GB"/>
        </w:rPr>
        <w:t xml:space="preserve">his may relate </w:t>
      </w:r>
      <w:r w:rsidR="00BF1922" w:rsidRPr="00B10EBE">
        <w:rPr>
          <w:rFonts w:ascii="Garamond" w:hAnsi="Garamond"/>
          <w:noProof/>
          <w:color w:val="000000" w:themeColor="text1"/>
          <w:lang w:val="en-GB"/>
        </w:rPr>
        <w:t xml:space="preserve">not only </w:t>
      </w:r>
      <w:r w:rsidR="003A4065" w:rsidRPr="00B10EBE">
        <w:rPr>
          <w:rFonts w:ascii="Garamond" w:hAnsi="Garamond"/>
          <w:noProof/>
          <w:color w:val="000000" w:themeColor="text1"/>
          <w:lang w:val="en-GB"/>
        </w:rPr>
        <w:t xml:space="preserve">to the different geographical </w:t>
      </w:r>
      <w:r w:rsidR="007D0912" w:rsidRPr="00B10EBE">
        <w:rPr>
          <w:rFonts w:ascii="Garamond" w:hAnsi="Garamond"/>
          <w:noProof/>
          <w:color w:val="000000" w:themeColor="text1"/>
          <w:lang w:val="en-GB"/>
        </w:rPr>
        <w:t>setting</w:t>
      </w:r>
      <w:r w:rsidR="003A4065" w:rsidRPr="00B10EBE">
        <w:rPr>
          <w:rFonts w:ascii="Garamond" w:hAnsi="Garamond"/>
          <w:noProof/>
          <w:color w:val="000000" w:themeColor="text1"/>
          <w:lang w:val="en-GB"/>
        </w:rPr>
        <w:t xml:space="preserve"> (i.e., island vs. continental) but also </w:t>
      </w:r>
      <w:r w:rsidR="00BF1922" w:rsidRPr="00B10EBE">
        <w:rPr>
          <w:rFonts w:ascii="Garamond" w:hAnsi="Garamond"/>
          <w:noProof/>
          <w:color w:val="000000" w:themeColor="text1"/>
          <w:lang w:val="en-GB"/>
        </w:rPr>
        <w:t>to</w:t>
      </w:r>
      <w:r w:rsidR="003A4065" w:rsidRPr="00B10EBE">
        <w:rPr>
          <w:rFonts w:ascii="Garamond" w:hAnsi="Garamond"/>
          <w:noProof/>
          <w:color w:val="000000" w:themeColor="text1"/>
          <w:lang w:val="en-GB"/>
        </w:rPr>
        <w:t xml:space="preserve"> widespread human activities </w:t>
      </w:r>
      <w:r w:rsidR="004319D9" w:rsidRPr="00B10EBE">
        <w:rPr>
          <w:rFonts w:ascii="Garamond" w:hAnsi="Garamond"/>
          <w:noProof/>
          <w:color w:val="000000" w:themeColor="text1"/>
          <w:lang w:val="en-GB"/>
        </w:rPr>
        <w:t>in</w:t>
      </w:r>
      <w:r w:rsidR="003A4065" w:rsidRPr="00B10EBE">
        <w:rPr>
          <w:rFonts w:ascii="Garamond" w:hAnsi="Garamond"/>
          <w:noProof/>
          <w:color w:val="000000" w:themeColor="text1"/>
          <w:lang w:val="en-GB"/>
        </w:rPr>
        <w:t xml:space="preserve"> the country </w:t>
      </w:r>
      <w:r w:rsidR="003A4065"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{"citationID":"PmhmRrEd","properties":{"formattedCitation":"(Ralimanana et al., 2022)","plainCitation":"(Ralimanana et al., 2022)","noteIndex":0},"citationItems":[{"id":95,"uris":["http://zotero.org/users/10686236/items/5G6Y2U5P"],"itemData":{"id":95,"type":"article-journal","container-title":"Science","DOI":"10.1126/science.adf1466","ISSN":"0036-8075, 1095-9203","issue":"6623","journalAbbreviation":"Science","language":"en","page":"eadf1466","source":"DOI.org (Crossref)","title":"Madagascar’s extraordinary biodiversity: Threats and opportunities","title-short":"Madagascar’s extraordinary biodiversity","volume":"378","author":[{"family":"Ralimanana","given":"Hélène"},{"family":"Perrigo","given":"Allison L."},{"family":"Smith","given":"Rhian J."},{"family":"Borrell","given":"James S."},{"family":"Faurby","given":"Søren"},{"family":"Rajaonah","given":"Mamy Tiana"},{"family":"Randriamboavonjy","given":"Tianjanahary"},{"family":"Vorontsova","given":"Maria S."},{"family":"Cooke","given":"Robert S. C."},{"family":"Phelps","given":"Leanne N."},{"family":"Sayol","given":"Ferran"},{"family":"Andela","given":"Niels"},{"family":"Andermann","given":"Tobias"},{"family":"Andriamanohera","given":"Andotiana M."},{"family":"Andriambololonera","given":"Sylvie"},{"family":"Bachman","given":"Steven P."},{"family":"Bacon","given":"Christine D."},{"family":"Baker","given":"William J."},{"family":"Belluardo","given":"Francesco"},{"family":"Birkinshaw","given":"Chris"},{"family":"Cable","given":"Stuart"},{"family":"Canales","given":"Nataly A."},{"family":"Carrillo","given":"Juan D."},{"family":"Clegg","given":"Rosie"},{"family":"Clubbe","given":"Colin"},{"family":"Crottini","given":"Angelica"},{"family":"Damasco","given":"Gabriel"},{"family":"Dhanda","given":"Sonia"},{"family":"Edler","given":"Daniel"},{"family":"Farooq","given":"Harith"},{"family":"Lima Ferreira","given":"Paola","non-dropping-particle":"de"},{"family":"Fisher","given":"Brian L."},{"family":"Forest","given":"Félix"},{"family":"Gardiner","given":"Lauren M."},{"family":"Goodman","given":"Steven M."},{"family":"Grace","given":"Olwen M."},{"family":"Guedes","given":"Thaís B."},{"family":"Hackel","given":"Jan"},{"family":"Henniges","given":"Marie C."},{"family":"Hill","given":"Rowena"},{"family":"Lehmann","given":"Caroline E. R."},{"family":"Lowry","given":"Porter P."},{"family":"Marline","given":"Lovanomenjanahary"},{"family":"Matos-Maraví","given":"Pável"},{"family":"Moat","given":"Justin"},{"family":"Neves","given":"Beatriz"},{"family":"Nogueira","given":"Matheus G. C."},{"family":"Onstein","given":"Renske E."},{"family":"Papadopulos","given":"Alexander S. T."},{"family":"Perez-Escobar","given":"Oscar A."},{"family":"Phillipson","given":"Peter B."},{"family":"Pironon","given":"Samuel"},{"family":"Przelomska","given":"Natalia A. S."},{"family":"Rabarimanarivo","given":"Marina"},{"family":"Rabehevitra","given":"David"},{"family":"Raharimampionona","given":"Jeannie"},{"family":"Rajaonary","given":"Fano"},{"family":"Rajaovelona","given":"Landy R."},{"family":"Rakotoarinivo","given":"Mijoro"},{"family":"Rakotoarisoa","given":"Amédée A."},{"family":"Rakotoarisoa","given":"Solofo E."},{"family":"Rakotomalala","given":"Herizo N."},{"family":"Rakotonasolo","given":"Franck"},{"family":"Ralaiveloarisoa","given":"Berthe A."},{"family":"Ramirez-Herranz","given":"Myriam"},{"family":"Randriamamonjy","given":"Jean Emmanuel N."},{"family":"Randrianasolo","given":"Vonona"},{"family":"Rasolohery","given":"Andriambolantsoa"},{"family":"Ratsifandrihamanana","given":"Anitry N."},{"family":"Ravololomanana","given":"Noro"},{"family":"Razafiniary","given":"Velosoa"},{"family":"Razanajatovo","given":"Henintsoa"},{"family":"Razanatsoa","given":"Estelle"},{"family":"Rivers","given":"Malin"},{"family":"Silvestro","given":"Daniele"},{"family":"Testo","given":"Weston"},{"family":"Torres Jiménez","given":"Maria F."},{"family":"Walker","given":"Kim"},{"family":"Walker","given":"Barnaby E."},{"family":"Wilkin","given":"Paul"},{"family":"Williams","given":"Jenny"},{"family":"Ziegler","given":"Thomas"},{"family":"Zizka","given":"Alexander"},{"family":"Antonelli","given":"Alexandre"}],"issued":{"date-parts":[["2022"]]}}}],"schema":"https://github.com/citation-style-language/schema/raw/master/csl-citation.json"} </w:instrText>
      </w:r>
      <w:r w:rsidR="003A4065"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(Ralimanana et al., 2022)</w:t>
      </w:r>
      <w:r w:rsidR="003A4065"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Unsustainable agriculture and overexploitation, for instance, are likely explanations for our results, as fragmented landscapes reduce fuel connectivity and, therefore, fire spread</w:t>
      </w:r>
      <w:r w:rsidR="00A95CD4" w:rsidRPr="00B10EBE">
        <w:rPr>
          <w:rFonts w:ascii="Garamond" w:hAnsi="Garamond"/>
          <w:noProof/>
          <w:color w:val="000000" w:themeColor="text1"/>
          <w:lang w:val="en-GB"/>
        </w:rPr>
        <w:t xml:space="preserve"> </w:t>
      </w:r>
      <w:r w:rsidR="00A95CD4"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{"citationID":"a1hhre0apm5","properties":{"formattedCitation":"(Bowman et al., 2020)","plainCitation":"(Bowman et al., 2020)","noteIndex":0},"citationItems":[{"id":341,"uris":["http://zotero.org/users/10686236/items/Z6DDDE9U"],"itemData":{"id":341,"type":"article-journal","abstract":"Vegetation fires are an essential component of the Earth system but can also cause substantial economic losses, severe air pollution, human mortality and environmental damage. Contemporary fire regimes are increasingly impacted by human activities and climate change, but, owing to the complex fire–human–climate interactions and incomplete historical or long-term datasets, it is difficult to detect and project fire-regime trajectories. In this Review, we describe recent global and regional trends in fire activity and examine projections for fire regimes in the near future. Although there are large uncertainties, it is likely that the economic and environmental impacts of vegetation fires will worsen as a result of anthropogenic climate change. These effects will be particularly prominent in flammable forests in populated temperate zones, the sparsely inhabited flammable boreal zone and fire-sensitive tropical rainforests, and will contribute to greenhouse gas emissions. The impacts of increased fire activity can be mitigated through effective stewardship of fire regimes, which should be achieved through evidence-based fire management that incorporates indigenous and local knowledge, combined with planning and design of natural and urban landscapes. Increasing transdisciplinary research is needed to fully understand how Anthropocene fire regimes are changing and how humans must adapt.","container-title":"Nature Reviews Earth and Environment","DOI":"10.1038/s43017-020-0085-3","ISSN":"2662138X","issue":"10","note":"publisher: Springer US","page":"500-515","title":"Vegetation fires in the Anthropocene","volume":"1","author":[{"family":"Bowman","given":"David M.J.S."},{"family":"Kolden","given":"Crystal A."},{"family":"Abatzoglou","given":"John T."},{"family":"Johnston","given":"Fay H."},{"family":"Werf","given":"Guido R.","non-dropping-particle":"van der"},{"family":"Flannigan","given":"Mike"}],"issued":{"date-parts":[["2020"]]}}}],"schema":"https://github.com/citation-style-language/schema/raw/master/csl-citation.json"} </w:instrText>
      </w:r>
      <w:r w:rsidR="00A95CD4"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(Bowman et al., 2020)</w:t>
      </w:r>
      <w:r w:rsidR="00A95CD4" w:rsidRPr="00B10EBE">
        <w:rPr>
          <w:rFonts w:ascii="Garamond" w:hAnsi="Garamond"/>
          <w:noProof/>
          <w:color w:val="000000" w:themeColor="text1"/>
          <w:lang w:val="en-GB"/>
        </w:rPr>
        <w:fldChar w:fldCharType="end"/>
      </w:r>
      <w:r w:rsidR="003A4065" w:rsidRPr="00B10EBE">
        <w:rPr>
          <w:rFonts w:ascii="Garamond" w:hAnsi="Garamond"/>
          <w:noProof/>
          <w:color w:val="000000" w:themeColor="text1"/>
          <w:lang w:val="en-GB"/>
        </w:rPr>
        <w:t xml:space="preserve">. Further, these anthropogenic activities (e.g., clearing woody vegetation) may explain why fire decline did not trigger woody encroachment </w:t>
      </w:r>
      <w:r w:rsidR="003A4065"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{"citationID":"Q7TlCDTI","properties":{"formattedCitation":"(Phelps et al., 2022)","plainCitation":"(Phelps et al., 2022)","noteIndex":0},"citationItems":[{"id":272,"uris":["http://zotero.org/users/10686236/items/FKQWD3ZW"],"itemData":{"id":272,"type":"article-journal","container-title":"Global Change Biology","DOI":"10.1111/gcb.16206","issue":"March","page":"1-17","title":"Madagascar's fire regimes challenge global assumptions about landscape degradation","author":[{"family":"Phelps","given":"Leanne N"},{"family":"Andela","given":"Niels"},{"family":"Gravey","given":"Mathieu"},{"family":"Davis","given":"Dylan S"},{"family":"Kull","given":"Christian A"},{"family":"Douglass","given":"Kristina"},{"family":"Lehmann","given":"Caroline E R"}],"issued":{"date-parts":[["2022"]]}}}],"schema":"https://github.com/citation-style-language/schema/raw/master/csl-citation.json"} </w:instrText>
      </w:r>
      <w:r w:rsidR="003A4065" w:rsidRPr="00B10EBE">
        <w:rPr>
          <w:rFonts w:ascii="Garamond" w:hAnsi="Garamond"/>
          <w:noProof/>
          <w:color w:val="000000" w:themeColor="text1"/>
          <w:lang w:val="en-GB"/>
        </w:rPr>
        <w:fldChar w:fldCharType="separate"/>
      </w:r>
      <w:r w:rsidR="004C2C12" w:rsidRPr="00B10EBE">
        <w:rPr>
          <w:rFonts w:ascii="Garamond" w:hAnsi="Garamond"/>
          <w:color w:val="000000" w:themeColor="text1"/>
          <w:lang w:val="en-GB"/>
        </w:rPr>
        <w:t>(Phelps et al., 2022)</w:t>
      </w:r>
      <w:r w:rsidR="003A4065" w:rsidRPr="00B10EBE">
        <w:rPr>
          <w:rFonts w:ascii="Garamond" w:hAnsi="Garamond"/>
          <w:noProof/>
          <w:color w:val="000000" w:themeColor="text1"/>
          <w:lang w:val="en-GB"/>
        </w:rPr>
        <w:fldChar w:fldCharType="end"/>
      </w:r>
      <w:r w:rsidR="00AC6FEA" w:rsidRPr="00B10EBE">
        <w:rPr>
          <w:rFonts w:ascii="Garamond" w:hAnsi="Garamond"/>
          <w:noProof/>
          <w:color w:val="000000" w:themeColor="text1"/>
          <w:lang w:val="en-GB"/>
        </w:rPr>
        <w:t>.</w:t>
      </w:r>
    </w:p>
    <w:p w14:paraId="494C2CAD" w14:textId="68E21CA1" w:rsidR="00D1274F" w:rsidRPr="00B10EBE" w:rsidRDefault="00D1274F" w:rsidP="0033343A">
      <w:pPr>
        <w:pStyle w:val="Paragraph"/>
        <w:adjustRightInd w:val="0"/>
        <w:snapToGrid w:val="0"/>
        <w:spacing w:before="0"/>
        <w:ind w:left="0" w:firstLine="0"/>
        <w:jc w:val="both"/>
        <w:rPr>
          <w:rFonts w:ascii="Garamond" w:hAnsi="Garamond"/>
          <w:b/>
          <w:noProof/>
          <w:color w:val="000000" w:themeColor="text1"/>
          <w:lang w:val="en-GB"/>
        </w:rPr>
      </w:pPr>
      <w:r w:rsidRPr="00B10EBE">
        <w:rPr>
          <w:rFonts w:ascii="Garamond" w:hAnsi="Garamond"/>
          <w:b/>
          <w:noProof/>
          <w:color w:val="000000" w:themeColor="text1"/>
          <w:lang w:val="en-GB"/>
        </w:rPr>
        <w:t>5</w:t>
      </w:r>
      <w:r w:rsidRPr="00B10EBE">
        <w:rPr>
          <w:rFonts w:ascii="Garamond" w:hAnsi="Garamond"/>
          <w:b/>
          <w:noProof/>
          <w:color w:val="000000" w:themeColor="text1"/>
          <w:lang w:val="en-GB"/>
        </w:rPr>
        <w:tab/>
        <w:t>Conclusions</w:t>
      </w:r>
    </w:p>
    <w:p w14:paraId="582AB8E0" w14:textId="58EEA382" w:rsidR="00D8150E" w:rsidRPr="00B10EBE" w:rsidRDefault="00482959" w:rsidP="00D8150E">
      <w:pPr>
        <w:pStyle w:val="Paragraph"/>
        <w:adjustRightInd w:val="0"/>
        <w:snapToGrid w:val="0"/>
        <w:spacing w:before="0"/>
        <w:ind w:left="0" w:firstLine="0"/>
        <w:jc w:val="both"/>
        <w:rPr>
          <w:rFonts w:ascii="Garamond" w:hAnsi="Garamond"/>
          <w:noProof/>
          <w:color w:val="000000" w:themeColor="text1"/>
        </w:rPr>
      </w:pPr>
      <w:r w:rsidRPr="00B10EBE">
        <w:rPr>
          <w:rFonts w:ascii="Garamond" w:hAnsi="Garamond"/>
          <w:noProof/>
          <w:color w:val="000000" w:themeColor="text1"/>
          <w:lang w:val="en-GB"/>
        </w:rPr>
        <w:t xml:space="preserve">Broad, remote sensing-based ecological studies are invaluable for complementing local-scale research and generalizing patterns, processes, and interactions into broader predictions. In this study, we were specifically interested </w:t>
      </w:r>
      <w:r w:rsidR="009D51C2" w:rsidRPr="00B10EBE">
        <w:rPr>
          <w:rFonts w:ascii="Garamond" w:hAnsi="Garamond"/>
          <w:noProof/>
          <w:color w:val="000000" w:themeColor="text1"/>
          <w:lang w:val="en-GB"/>
        </w:rPr>
        <w:t>i</w:t>
      </w:r>
      <w:r w:rsidRPr="00B10EBE">
        <w:rPr>
          <w:rFonts w:ascii="Garamond" w:hAnsi="Garamond"/>
          <w:noProof/>
          <w:color w:val="000000" w:themeColor="text1"/>
          <w:lang w:val="en-GB"/>
        </w:rPr>
        <w:t>n naturally grass-dominated ecosystems, rather than savannas, to analyze their woody dynamics</w:t>
      </w:r>
      <w:r w:rsidR="003067FA" w:rsidRPr="00B10EBE">
        <w:rPr>
          <w:rFonts w:ascii="Garamond" w:hAnsi="Garamond"/>
          <w:noProof/>
          <w:color w:val="000000" w:themeColor="text1"/>
          <w:lang w:val="en-GB"/>
        </w:rPr>
        <w:t>, a task that required a careful approach to biome classification.</w:t>
      </w:r>
      <w:r w:rsidRPr="00B10EBE">
        <w:rPr>
          <w:rFonts w:ascii="Garamond" w:hAnsi="Garamond"/>
          <w:noProof/>
          <w:color w:val="000000" w:themeColor="text1"/>
          <w:lang w:val="en-GB"/>
        </w:rPr>
        <w:t xml:space="preserve"> While variations in classification approaches and methods make it challenging to unequivocally distinguish biomes using remote sensing-based land cover products, our </w:t>
      </w:r>
      <w:r w:rsidR="00BC7763" w:rsidRPr="00B10EBE">
        <w:rPr>
          <w:rFonts w:ascii="Garamond" w:hAnsi="Garamond"/>
          <w:noProof/>
          <w:color w:val="000000" w:themeColor="text1"/>
          <w:lang w:val="en-GB"/>
        </w:rPr>
        <w:t>procedure</w:t>
      </w:r>
      <w:r w:rsidRPr="00B10EBE">
        <w:rPr>
          <w:rFonts w:ascii="Garamond" w:hAnsi="Garamond"/>
          <w:noProof/>
          <w:color w:val="000000" w:themeColor="text1"/>
          <w:lang w:val="en-GB"/>
        </w:rPr>
        <w:t xml:space="preserve">, based on pure grassland classes from the ESA CCI land cover map (Figure 1 and Appendix A1), provided new insights into the role of environmental and anthropogenic factors in shaping long-term woody dynamics in the major grasslands of sub-Saharan Africa. </w:t>
      </w:r>
      <w:r w:rsidR="00602F97" w:rsidRPr="00B10EBE">
        <w:rPr>
          <w:rFonts w:ascii="Garamond" w:hAnsi="Garamond"/>
          <w:noProof/>
          <w:color w:val="000000" w:themeColor="text1"/>
          <w:lang w:val="en-GB"/>
        </w:rPr>
        <w:t xml:space="preserve">Unsurprisingly, precipitation </w:t>
      </w:r>
      <w:r w:rsidR="00731E9F" w:rsidRPr="00B10EBE">
        <w:rPr>
          <w:rFonts w:ascii="Garamond" w:hAnsi="Garamond"/>
          <w:noProof/>
          <w:color w:val="000000" w:themeColor="text1"/>
          <w:lang w:val="en-GB"/>
        </w:rPr>
        <w:t>was</w:t>
      </w:r>
      <w:r w:rsidR="00602F97" w:rsidRPr="00B10EBE">
        <w:rPr>
          <w:rFonts w:ascii="Garamond" w:hAnsi="Garamond"/>
          <w:noProof/>
          <w:color w:val="000000" w:themeColor="text1"/>
          <w:lang w:val="en-GB"/>
        </w:rPr>
        <w:t xml:space="preserve"> a key driver of woody vegetation dynamics</w:t>
      </w:r>
      <w:r w:rsidR="00DB0068" w:rsidRPr="00B10EBE">
        <w:rPr>
          <w:rFonts w:ascii="Garamond" w:hAnsi="Garamond"/>
          <w:noProof/>
          <w:color w:val="000000" w:themeColor="text1"/>
          <w:lang w:val="en-GB"/>
        </w:rPr>
        <w:t xml:space="preserve"> and fire</w:t>
      </w:r>
      <w:r w:rsidR="00602F97" w:rsidRPr="00B10EBE">
        <w:rPr>
          <w:rFonts w:ascii="Garamond" w:hAnsi="Garamond"/>
          <w:noProof/>
          <w:color w:val="000000" w:themeColor="text1"/>
          <w:lang w:val="en-GB"/>
        </w:rPr>
        <w:t xml:space="preserve">, whereas the relationship between fire and woody cover </w:t>
      </w:r>
      <w:r w:rsidR="00914FFB" w:rsidRPr="00B10EBE">
        <w:rPr>
          <w:rFonts w:ascii="Garamond" w:hAnsi="Garamond"/>
          <w:noProof/>
          <w:color w:val="000000" w:themeColor="text1"/>
          <w:lang w:val="en-GB"/>
        </w:rPr>
        <w:t xml:space="preserve">that is </w:t>
      </w:r>
      <w:r w:rsidR="00602F97" w:rsidRPr="00B10EBE">
        <w:rPr>
          <w:rFonts w:ascii="Garamond" w:hAnsi="Garamond"/>
          <w:noProof/>
          <w:color w:val="000000" w:themeColor="text1"/>
          <w:lang w:val="en-GB"/>
        </w:rPr>
        <w:t>well-documented in savannas appear</w:t>
      </w:r>
      <w:r w:rsidR="00731E9F" w:rsidRPr="00B10EBE">
        <w:rPr>
          <w:rFonts w:ascii="Garamond" w:hAnsi="Garamond"/>
          <w:noProof/>
          <w:color w:val="000000" w:themeColor="text1"/>
          <w:lang w:val="en-GB"/>
        </w:rPr>
        <w:t>ed</w:t>
      </w:r>
      <w:r w:rsidR="00602F97" w:rsidRPr="00B10EBE">
        <w:rPr>
          <w:rFonts w:ascii="Garamond" w:hAnsi="Garamond"/>
          <w:noProof/>
          <w:color w:val="000000" w:themeColor="text1"/>
          <w:lang w:val="en-GB"/>
        </w:rPr>
        <w:t xml:space="preserve"> to be less significant in grasslands</w:t>
      </w:r>
      <w:r w:rsidR="00064FC0" w:rsidRPr="00B10EBE">
        <w:rPr>
          <w:rFonts w:ascii="Garamond" w:hAnsi="Garamond"/>
          <w:noProof/>
          <w:color w:val="000000" w:themeColor="text1"/>
          <w:lang w:val="en-GB"/>
        </w:rPr>
        <w:t xml:space="preserve">, </w:t>
      </w:r>
      <w:r w:rsidR="006B250B" w:rsidRPr="00B10EBE">
        <w:rPr>
          <w:rFonts w:ascii="Garamond" w:hAnsi="Garamond"/>
          <w:noProof/>
          <w:color w:val="000000" w:themeColor="text1"/>
          <w:lang w:val="en-GB"/>
        </w:rPr>
        <w:t>suggest</w:t>
      </w:r>
      <w:r w:rsidR="00064FC0" w:rsidRPr="00B10EBE">
        <w:rPr>
          <w:rFonts w:ascii="Garamond" w:hAnsi="Garamond"/>
          <w:noProof/>
          <w:color w:val="000000" w:themeColor="text1"/>
          <w:lang w:val="en-GB"/>
        </w:rPr>
        <w:t>ing</w:t>
      </w:r>
      <w:r w:rsidR="006B250B" w:rsidRPr="00B10EBE">
        <w:rPr>
          <w:rFonts w:ascii="Garamond" w:hAnsi="Garamond"/>
          <w:noProof/>
          <w:color w:val="000000" w:themeColor="text1"/>
          <w:lang w:val="en-GB"/>
        </w:rPr>
        <w:t xml:space="preserve"> that grassland fire management </w:t>
      </w:r>
      <w:r w:rsidR="006B250B" w:rsidRPr="00B10EBE">
        <w:rPr>
          <w:rFonts w:ascii="Garamond" w:hAnsi="Garamond"/>
          <w:noProof/>
          <w:color w:val="000000" w:themeColor="text1"/>
          <w:lang w:val="en-GB"/>
        </w:rPr>
        <w:lastRenderedPageBreak/>
        <w:t>practices may need distinct approaches from those used in savannas.</w:t>
      </w:r>
      <w:r w:rsidR="00B617ED" w:rsidRPr="00B10EBE">
        <w:rPr>
          <w:rFonts w:ascii="Garamond" w:hAnsi="Garamond"/>
          <w:noProof/>
          <w:color w:val="000000" w:themeColor="text1"/>
          <w:lang w:val="en-GB"/>
        </w:rPr>
        <w:t xml:space="preserve"> </w:t>
      </w:r>
      <w:r w:rsidR="00B617ED" w:rsidRPr="008A50E8">
        <w:rPr>
          <w:rFonts w:ascii="Garamond" w:hAnsi="Garamond"/>
          <w:color w:val="000000" w:themeColor="text1"/>
        </w:rPr>
        <w:t>Unsurprisingly, precipitation was a key driver of woody vegetation dynamics and fire, whereas the relationship between fire and woody cover that is well-documented in savannas appeared to be less significant in grasslands, suggesting that grassland fire management practices may need distinct approaches from those used in savannas. The weak relationship with fire is perhaps surprising given our inclusion of pixels with up to 49% woody vegetation. However, if anything, this inclusion would bias our results toward stronger fire-woody vegetation feedback, thereby strengthening confidence in our findings.</w:t>
      </w:r>
      <w:r w:rsidR="00064FC0" w:rsidRPr="00B10EBE">
        <w:rPr>
          <w:rFonts w:ascii="Garamond" w:hAnsi="Garamond"/>
          <w:noProof/>
          <w:color w:val="000000" w:themeColor="text1"/>
          <w:lang w:val="en-GB"/>
        </w:rPr>
        <w:t xml:space="preserve"> </w:t>
      </w:r>
      <w:r w:rsidR="006B250B" w:rsidRPr="00B10EBE">
        <w:rPr>
          <w:rFonts w:ascii="Garamond" w:hAnsi="Garamond"/>
          <w:noProof/>
          <w:color w:val="000000" w:themeColor="text1"/>
          <w:lang w:val="en-GB"/>
        </w:rPr>
        <w:t>Despite the weaker relationship between fire and woody cover in grasslands, we did not observe significant woody encroachment in our study area (except for Greater Karoo and Kalahari drylands), indicating that other factors may be equally important in maintaining a grassland state. Therefore, while fire management remains important, it should be implemented as part of an approach that accounts for these interacting drivers</w:t>
      </w:r>
      <w:r w:rsidR="00C95B99" w:rsidRPr="00B10EBE">
        <w:rPr>
          <w:rFonts w:ascii="Garamond" w:hAnsi="Garamond"/>
          <w:noProof/>
          <w:color w:val="000000" w:themeColor="text1"/>
          <w:lang w:val="en-GB"/>
        </w:rPr>
        <w:t xml:space="preserve"> </w:t>
      </w:r>
      <w:r w:rsidR="00C95B99"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{"citationID":"a2g9tvu60f3","properties":{"formattedCitation":"(McLauchlan et al., 2020)","plainCitation":"(McLauchlan et al., 2020)","noteIndex":0},"citationItems":[{"id":1830,"uris":["http://zotero.org/users/10686236/items/MCDAIT25"],"itemData":{"id":1830,"type":"article-journal","abstract":"Fire is a powerful ecological and evolutionary force that regulates organismal traits, population sizes, species interactions, community composition, carbon and nutrient cycling and ecosystem function. It also presents a rapidly growing societal challenge, due to both increasingly destructive wildfires and fire exclusion in fire-dependent ecosystems. As an ecological process, fire integrates complex feedbacks among biological, social and geophysical processes, requiring coordination across several fields and scales of study. Here, we describe the diversity of ways in which fire operates as a fundamental ecological and evolutionary process on Earth. We explore research priorities in six categories of fire ecology: (a) characteristics of fire regimes, (b) changing fire regimes, (c) fire effects on above-ground ecology, (d) fire effects on below-ground ecology, (e) fire behaviour and (f) fire ecology modelling. We identify three emergent themes: the need to study fire across temporal scales, to assess the mechanisms underlying a variety of ecological feedbacks involving fire and to improve representation of fire in a range of modelling contexts. Synthesis: As fire regimes and our relationships with fire continue to change, prioritizing these research areas will facilitate understanding of the ecological causes and consequences of future fires and rethinking fire management alternatives.","container-title":"Journal of Ecology","DOI":"10.1111/1365-2745.13403","ISSN":"13652745","issue":"5","page":"2047-2069","title":"Fire as a fundamental ecological process: Research advances and frontiers","volume":"108","author":[{"family":"McLauchlan","given":"Kendra K."},{"family":"Higuera","given":"Philip E."},{"family":"Miesel","given":"Jessica"},{"family":"Rogers","given":"Brendan M."},{"family":"Schweitzer","given":"Jennifer"},{"family":"Shuman","given":"Jacquelyn K."},{"family":"Tepley","given":"Alan J."},{"family":"Varner","given":"J. Morgan"},{"family":"Veblen","given":"Thomas T."},{"family":"Adalsteinsson","given":"Solny A."},{"family":"Balch","given":"Jennifer K."},{"family":"Baker","given":"Patrick"},{"family":"Batllori","given":"Enric"},{"family":"Bigio","given":"Erica"},{"family":"Brando","given":"Paulo"},{"family":"Cattau","given":"Megan"},{"family":"Chipman","given":"Melissa L."},{"family":"Coen","given":"Janice"},{"family":"Crandall","given":"Raelene"},{"family":"Daniels","given":"Lori"},{"family":"Enright","given":"Neal"},{"family":"Gross","given":"Wendy S."},{"family":"Harvey","given":"Brian J."},{"family":"Hatten","given":"Jeff A."},{"family":"Hermann","given":"Sharon"},{"family":"Hewitt","given":"Rebecca E."},{"family":"Kobziar","given":"Leda N."},{"family":"Landesmann","given":"Jennifer B."},{"family":"Loranty","given":"Michael M."},{"family":"Maezumi","given":"S. Yoshi"},{"family":"Mearns","given":"Linda"},{"family":"Moritz","given":"Max"},{"family":"Myers","given":"Jonathan A."},{"family":"Pausas","given":"Juli G."},{"family":"Pellegrini","given":"Adam F.A."},{"family":"Platt","given":"William J."},{"family":"Roozeboom","given":"Jennifer"},{"family":"Safford","given":"Hugh"},{"family":"Santos","given":"Fernanda"},{"family":"Scheller","given":"Robert M."},{"family":"Sherriff","given":"Rosemary L."},{"family":"Smith","given":"Kevin G."},{"family":"Smith","given":"Melinda D."},{"family":"Watts","given":"Adam C."}],"issued":{"date-parts":[["2020"]]}}}],"schema":"https://github.com/citation-style-language/schema/raw/master/csl-citation.json"} </w:instrText>
      </w:r>
      <w:r w:rsidR="00C95B99"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(McLauchlan et al., 2020)</w:t>
      </w:r>
      <w:r w:rsidR="00C95B99" w:rsidRPr="00B10EBE">
        <w:rPr>
          <w:rFonts w:ascii="Garamond" w:hAnsi="Garamond"/>
          <w:noProof/>
          <w:color w:val="000000" w:themeColor="text1"/>
          <w:lang w:val="en-GB"/>
        </w:rPr>
        <w:fldChar w:fldCharType="end"/>
      </w:r>
      <w:r w:rsidR="006B250B" w:rsidRPr="00B10EBE">
        <w:rPr>
          <w:rFonts w:ascii="Garamond" w:hAnsi="Garamond"/>
          <w:noProof/>
          <w:color w:val="000000" w:themeColor="text1"/>
          <w:lang w:val="en-GB"/>
        </w:rPr>
        <w:t>.</w:t>
      </w:r>
      <w:r w:rsidR="00602F97" w:rsidRPr="00B10EBE">
        <w:rPr>
          <w:rFonts w:ascii="Garamond" w:hAnsi="Garamond"/>
          <w:noProof/>
          <w:color w:val="000000" w:themeColor="text1"/>
          <w:lang w:val="en-GB"/>
        </w:rPr>
        <w:t xml:space="preserve"> Temperature consistently exhibited a negative effect on woody vegetation, while dry season rainfall, population density, and soil moisture had only minor influences. </w:t>
      </w:r>
      <w:r w:rsidR="00396C5A" w:rsidRPr="00B10EBE">
        <w:rPr>
          <w:rFonts w:ascii="Garamond" w:hAnsi="Garamond"/>
          <w:noProof/>
          <w:color w:val="000000" w:themeColor="text1"/>
          <w:lang w:val="en-GB"/>
        </w:rPr>
        <w:t xml:space="preserve">Overall, the role of these drivers </w:t>
      </w:r>
      <w:r w:rsidR="00497FD9" w:rsidRPr="00B10EBE">
        <w:rPr>
          <w:rFonts w:ascii="Garamond" w:hAnsi="Garamond"/>
          <w:noProof/>
          <w:color w:val="000000" w:themeColor="text1"/>
          <w:lang w:val="en-GB"/>
        </w:rPr>
        <w:t>in</w:t>
      </w:r>
      <w:r w:rsidR="00396C5A" w:rsidRPr="00B10EBE">
        <w:rPr>
          <w:rFonts w:ascii="Garamond" w:hAnsi="Garamond"/>
          <w:noProof/>
          <w:color w:val="000000" w:themeColor="text1"/>
          <w:lang w:val="en-GB"/>
        </w:rPr>
        <w:t xml:space="preserve"> controlling woody vegetation dynamic</w:t>
      </w:r>
      <w:r w:rsidR="00686894" w:rsidRPr="00B10EBE">
        <w:rPr>
          <w:rFonts w:ascii="Garamond" w:hAnsi="Garamond"/>
          <w:noProof/>
          <w:color w:val="000000" w:themeColor="text1"/>
          <w:lang w:val="en-GB"/>
        </w:rPr>
        <w:t>s</w:t>
      </w:r>
      <w:r w:rsidR="00396C5A" w:rsidRPr="00B10EBE">
        <w:rPr>
          <w:rFonts w:ascii="Garamond" w:hAnsi="Garamond"/>
          <w:noProof/>
          <w:color w:val="000000" w:themeColor="text1"/>
          <w:lang w:val="en-GB"/>
        </w:rPr>
        <w:t xml:space="preserve"> was consistent across space and time, yet changes or interactions for one or more variables in Greater Karoo and Kalahari drylands and Madagascar led to local, context-dependent patterns that need to be accounted for </w:t>
      </w:r>
      <w:r w:rsidR="00914FFB" w:rsidRPr="00B10EBE">
        <w:rPr>
          <w:rFonts w:ascii="Garamond" w:hAnsi="Garamond"/>
          <w:noProof/>
          <w:color w:val="000000" w:themeColor="text1"/>
          <w:lang w:val="en-GB"/>
        </w:rPr>
        <w:t xml:space="preserve">to plan </w:t>
      </w:r>
      <w:r w:rsidR="00396C5A" w:rsidRPr="00B10EBE">
        <w:rPr>
          <w:rFonts w:ascii="Garamond" w:hAnsi="Garamond"/>
          <w:noProof/>
          <w:color w:val="000000" w:themeColor="text1"/>
          <w:lang w:val="en-GB"/>
        </w:rPr>
        <w:t xml:space="preserve">effective grassland management </w:t>
      </w:r>
      <w:r w:rsidR="00396C5A"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{"citationID":"a65ttmmpim","properties":{"formattedCitation":"\\uldash{(James M. Bullock and others 2021; Lu and others 2024)}","plainCitation":"(James M. Bullock and others 2021; Lu and others 2024)","dontUpdate":true,"noteIndex":0},"citationItems":[{"id":158,"uris":["http://zotero.org/users/10686236/items/ATRY9WQU"],"itemData":{"id":158,"type":"article-journal","container-title":"Ecography","DOI":"10.1111/ecog.05780","page":"1-11","title":"Future restoration should enhance ecological complexity and emergent properties at multiple scales","author":[{"literal":"James M. Bullock"},{"family":"Fuentes-Montemayor","given":"Elisa"},{"family":"McCarthy","given":"Ben"},{"family":"Park","given":"Kirsty"},{"family":"Hails","given":"Rosie S."},{"family":"Woodcock","given":"Ben A."},{"family":"Watts","given":"Kevin"},{"family":"Corstanje","given":"Ron"},{"family":"Harris","given":"Jim"}],"issued":{"date-parts":[["2021"]]}}},{"id":31,"uris":["http://zotero.org/users/10686236/items/VFUR42Q8"],"itemData":{"id":31,"type":"article-journal","abstract":"Study region: The Africa Sahel-Sudan region, defined by annual rainfall between 150 and 1200 mm. Study focus: Understanding the mechanism of vegetation response to water availability could help mitigate the potential adverse effects of climate change on global dryland ecosystems. In the Sahel-Sudan region, spatio-temporal changes and drivers of the vegetation-water response remain unclear. This study employs long-term satellite water and vegetation products as proxies of water availability and vegetation productivity to analyze changes in vegetation-water sensitivity and the cumulative effect duration (CED) representing a measure of the legacy effect of the impact of water constraints on vegetation. A random forest model was subsequently used to analyze po­ tential climatic drivers of the observed vegetation response.","container-title":"Journal of Hydrology: Regional Studies","DOI":"10.1016/j.ejrh.2024.101672","ISSN":"22145818","journalAbbreviation":"Journal of Hydrology: Regional Studies","language":"en","page":"101672","source":"DOI.org (Crossref)","title":"Changes in vegetation-water response in the Sahel-Sudan during recent decades","volume":"52","author":[{"family":"Lu","given":"Tingting"},{"family":"Zhang","given":"Wenmin"},{"family":"Abel","given":"Christin"},{"family":"Horion","given":"Stéphanie"},{"family":"Brandt","given":"Martin"},{"family":"Huang","given":"Ke"},{"family":"Fensholt","given":"Rasmus"}],"issued":{"date-parts":[["2024",4]]}}}],"schema":"https://github.com/citation-style-language/schema/raw/master/csl-citation.json"} </w:instrText>
      </w:r>
      <w:r w:rsidR="00396C5A" w:rsidRPr="00B10EBE">
        <w:rPr>
          <w:rFonts w:ascii="Garamond" w:hAnsi="Garamond"/>
          <w:noProof/>
          <w:color w:val="000000" w:themeColor="text1"/>
          <w:lang w:val="en-GB"/>
        </w:rPr>
        <w:fldChar w:fldCharType="separate"/>
      </w:r>
      <w:r w:rsidR="00396C5A" w:rsidRPr="00B10EBE">
        <w:rPr>
          <w:rFonts w:ascii="Garamond" w:hAnsi="Garamond"/>
          <w:color w:val="000000" w:themeColor="text1"/>
          <w:lang w:val="en-GB"/>
        </w:rPr>
        <w:t>(Bullock et al., 2021; Lu et al., 2024)</w:t>
      </w:r>
      <w:r w:rsidR="00396C5A" w:rsidRPr="00B10EBE">
        <w:rPr>
          <w:rFonts w:ascii="Garamond" w:hAnsi="Garamond"/>
          <w:noProof/>
          <w:color w:val="000000" w:themeColor="text1"/>
          <w:lang w:val="en-GB"/>
        </w:rPr>
        <w:fldChar w:fldCharType="end"/>
      </w:r>
      <w:r w:rsidR="00396C5A" w:rsidRPr="00B10EBE">
        <w:rPr>
          <w:rFonts w:ascii="Garamond" w:hAnsi="Garamond"/>
          <w:noProof/>
          <w:color w:val="000000" w:themeColor="text1"/>
        </w:rPr>
        <w:t>.</w:t>
      </w:r>
      <w:r w:rsidR="00A15371" w:rsidRPr="00B10EBE">
        <w:rPr>
          <w:rFonts w:ascii="Garamond" w:hAnsi="Garamond"/>
          <w:noProof/>
          <w:color w:val="000000" w:themeColor="text1"/>
        </w:rPr>
        <w:t xml:space="preserve"> </w:t>
      </w:r>
      <w:r w:rsidR="009E0B59" w:rsidRPr="00B10EBE">
        <w:rPr>
          <w:rFonts w:ascii="Garamond" w:hAnsi="Garamond"/>
          <w:noProof/>
          <w:color w:val="000000" w:themeColor="text1"/>
        </w:rPr>
        <w:t>On the other hand, i</w:t>
      </w:r>
      <w:r w:rsidR="009E0B59" w:rsidRPr="00B10EBE">
        <w:rPr>
          <w:rFonts w:ascii="Garamond" w:hAnsi="Garamond"/>
          <w:noProof/>
          <w:color w:val="000000" w:themeColor="text1"/>
          <w:lang w:val="en-GB"/>
        </w:rPr>
        <w:t xml:space="preserve">t is </w:t>
      </w:r>
      <w:r w:rsidR="0039458A" w:rsidRPr="00B10EBE">
        <w:rPr>
          <w:rFonts w:ascii="Garamond" w:hAnsi="Garamond"/>
          <w:noProof/>
          <w:color w:val="000000" w:themeColor="text1"/>
          <w:lang w:val="en-GB"/>
        </w:rPr>
        <w:t xml:space="preserve">also </w:t>
      </w:r>
      <w:r w:rsidR="009E0B59" w:rsidRPr="00B10EBE">
        <w:rPr>
          <w:rFonts w:ascii="Garamond" w:hAnsi="Garamond"/>
          <w:noProof/>
          <w:color w:val="000000" w:themeColor="text1"/>
          <w:lang w:val="en-GB"/>
        </w:rPr>
        <w:t xml:space="preserve">possible that some patterns might </w:t>
      </w:r>
      <w:r w:rsidR="00DE429D" w:rsidRPr="00B10EBE">
        <w:rPr>
          <w:rFonts w:ascii="Garamond" w:hAnsi="Garamond"/>
          <w:noProof/>
          <w:color w:val="000000" w:themeColor="text1"/>
          <w:lang w:val="en-GB"/>
        </w:rPr>
        <w:t xml:space="preserve">have </w:t>
      </w:r>
      <w:r w:rsidR="0039458A" w:rsidRPr="00B10EBE">
        <w:rPr>
          <w:rFonts w:ascii="Garamond" w:hAnsi="Garamond"/>
          <w:noProof/>
          <w:color w:val="000000" w:themeColor="text1"/>
          <w:lang w:val="en-GB"/>
        </w:rPr>
        <w:t>resulted</w:t>
      </w:r>
      <w:r w:rsidR="009E0B59" w:rsidRPr="00B10EBE">
        <w:rPr>
          <w:rFonts w:ascii="Garamond" w:hAnsi="Garamond"/>
          <w:noProof/>
          <w:color w:val="000000" w:themeColor="text1"/>
          <w:lang w:val="en-GB"/>
        </w:rPr>
        <w:t xml:space="preserve"> from variables not investigated here (e.g., atmospheric CO</w:t>
      </w:r>
      <w:r w:rsidR="009E0B59" w:rsidRPr="00B10EBE">
        <w:rPr>
          <w:rFonts w:ascii="Garamond" w:hAnsi="Garamond"/>
          <w:noProof/>
          <w:color w:val="000000" w:themeColor="text1"/>
          <w:vertAlign w:val="subscript"/>
          <w:lang w:val="en-GB"/>
        </w:rPr>
        <w:t>2</w:t>
      </w:r>
      <w:r w:rsidR="009E0B59" w:rsidRPr="00B10EBE">
        <w:rPr>
          <w:rFonts w:ascii="Garamond" w:hAnsi="Garamond"/>
          <w:noProof/>
          <w:color w:val="000000" w:themeColor="text1"/>
          <w:lang w:val="en-GB"/>
        </w:rPr>
        <w:t>, grazing, soil texture, etc.)</w:t>
      </w:r>
      <w:r w:rsidR="00851E13" w:rsidRPr="00B10EBE">
        <w:rPr>
          <w:rFonts w:ascii="Garamond" w:hAnsi="Garamond"/>
          <w:noProof/>
          <w:color w:val="000000" w:themeColor="text1"/>
          <w:lang w:val="en-GB"/>
        </w:rPr>
        <w:t xml:space="preserve"> </w:t>
      </w:r>
      <w:r w:rsidR="00851E13"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{"citationID":"ar0lbgok6f","properties":{"formattedCitation":"(Case &amp; Staver, 2018; Stevens et al., 2017)","plainCitation":"(Case &amp; Staver, 2018; Stevens et al., 2017)","noteIndex":0},"citationItems":[{"id":373,"uris":["http://zotero.org/users/10686236/items/Q6ESUCHI"],"itemData":{"id":373,"type":"article-journal","abstract":"Rainfall variability is a major determinant of soil moisture, but its influence on vegetation structure has been challenging to generalize. This presents a major source of uncertainty in predicting vegetation responses to potentially widespread shifts in rainfall frequency and intensity. In savannas, where trees and grasses coexist, conflicting lines of evidence have suggested, variously, that tree cover can either increase or decrease in response to less frequent, more intense rainfall. Here, we use remote sensing products and continent-wide soil maps for sub-Saharan Africa to analyze how soil texture and fire mediate the response of savanna tree cover to rainfall climatology. Tree cover increased with mean wet-season rainfall and decreased with fire frequency, consistent with previous analyses. However, responses to rainfall intensity varied: tree cover dramatically decreased with rainfall intensity on clayey soils, at high rainfall, and with rainfall spread over longer wet seasons; conversely, on sandy soils, at low rainfall, and with shorter wet seasons, tree cover instead increased with rainfall intensity. Tree cover responses to rainfall climatology depend on soil texture, accounting for substantial variation in tree cover across African savannas. Differences in underlying soils may lead to divergent responses of savannas to global change.","container-title":"New Phytologist","DOI":"10.1111/nph.15254","ISSN":"14698137","issue":"4","note":"PMID: 29862513","page":"1363-1372","title":"Soil texture mediates tree responses to rainfall intensity in African savannas","volume":"219","author":[{"family":"Case","given":"Madelon F."},{"family":"Staver","given":"A. Carla"}],"issued":{"date-parts":[["2018"]]}}},{"id":573,"uris":["http://zotero.org/users/10686236/items/SJTPKP6P"],"itemData":{"id":573,"type":"article-journal","abstract":"Tropical savannas are a globally extensive biome prone to rapid vegetation change in response to changing environmental conditions. Via a meta-analysis, we quantified savanna woody vegetation change spanning the last century. We found a global trend of woody encroachment that was established prior the 1980s. However, there is critical regional variation in the magnitude of encroachment. Woody cover is increasing most rapidly in the remaining uncleared savannas of South America, most likely due to fire suppression and land fragmentation. In contrast, Australia has experienced low rates of encroachment. When accounting for land-use, African savannas have a mean rate annual woody cover increase two and a half times that of Australian savannas. In Africa, encroachment occurs across multiple land uses and is accelerating over time. In Africa and Australia, rising atmospheric CO2, changing land management and rainfall are likely causes. We argue that the functional traits of each woody flora, specifically the N-fixing ability and architecture of woody plants, are critical to predicting encroachment over the next century and that African savannas are at high risk of widespread vegetation change. This article is protected by copyright. All rights reserved.","container-title":"Global Change Biology","DOI":"10.1111/gcb.13409","ISSN":"13652486","issue":"1","note":"PMID: 27371937\nISBN: 0000000206938","page":"235-244","title":"Savanna woody encroachment is widespread across three continents","volume":"23","author":[{"family":"Stevens","given":"Nicola"},{"family":"Lehmann","given":"Caroline E R"},{"family":"Murphy","given":"Brett P."},{"family":"Durigan","given":"Giselda"}],"issued":{"date-parts":[["2017"]]}}}],"schema":"https://github.com/citation-style-language/schema/raw/master/csl-citation.json"} </w:instrText>
      </w:r>
      <w:r w:rsidR="00851E13"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(Case &amp; Staver, 2018; Stevens et al., 2017)</w:t>
      </w:r>
      <w:r w:rsidR="00851E13" w:rsidRPr="00B10EBE">
        <w:rPr>
          <w:rFonts w:ascii="Garamond" w:hAnsi="Garamond"/>
          <w:noProof/>
          <w:color w:val="000000" w:themeColor="text1"/>
          <w:lang w:val="en-GB"/>
        </w:rPr>
        <w:fldChar w:fldCharType="end"/>
      </w:r>
      <w:r w:rsidR="00851E13" w:rsidRPr="00B10EBE">
        <w:rPr>
          <w:rFonts w:ascii="Garamond" w:hAnsi="Garamond"/>
          <w:noProof/>
          <w:color w:val="000000" w:themeColor="text1"/>
          <w:lang w:val="en-GB"/>
        </w:rPr>
        <w:t>.</w:t>
      </w:r>
      <w:r w:rsidR="00CF303D" w:rsidRPr="00B10EBE">
        <w:rPr>
          <w:rFonts w:ascii="Garamond" w:hAnsi="Garamond"/>
          <w:noProof/>
          <w:color w:val="000000" w:themeColor="text1"/>
          <w:lang w:val="en-GB"/>
        </w:rPr>
        <w:t xml:space="preserve"> A</w:t>
      </w:r>
      <w:r w:rsidR="00B05B25" w:rsidRPr="00B10EBE">
        <w:rPr>
          <w:rFonts w:ascii="Garamond" w:hAnsi="Garamond"/>
          <w:noProof/>
          <w:color w:val="000000" w:themeColor="text1"/>
          <w:lang w:val="en-GB"/>
        </w:rPr>
        <w:t>nother</w:t>
      </w:r>
      <w:r w:rsidR="007064E5" w:rsidRPr="00B10EBE">
        <w:rPr>
          <w:rFonts w:ascii="Garamond" w:hAnsi="Garamond"/>
          <w:noProof/>
          <w:color w:val="000000" w:themeColor="text1"/>
          <w:lang w:val="en-GB"/>
        </w:rPr>
        <w:t xml:space="preserve"> caveat to our findings is</w:t>
      </w:r>
      <w:r w:rsidR="003A4065" w:rsidRPr="00B10EBE">
        <w:rPr>
          <w:rFonts w:ascii="Garamond" w:hAnsi="Garamond"/>
          <w:noProof/>
          <w:color w:val="000000" w:themeColor="text1"/>
          <w:lang w:val="en-GB"/>
        </w:rPr>
        <w:t xml:space="preserve"> </w:t>
      </w:r>
      <w:r w:rsidR="007064E5" w:rsidRPr="00B10EBE">
        <w:rPr>
          <w:rFonts w:ascii="Garamond" w:hAnsi="Garamond"/>
          <w:noProof/>
          <w:color w:val="000000" w:themeColor="text1"/>
          <w:lang w:val="en-GB"/>
        </w:rPr>
        <w:t xml:space="preserve">that </w:t>
      </w:r>
      <w:r w:rsidR="00A94512" w:rsidRPr="00B10EBE">
        <w:rPr>
          <w:rFonts w:ascii="Garamond" w:hAnsi="Garamond"/>
          <w:noProof/>
          <w:color w:val="000000" w:themeColor="text1"/>
          <w:lang w:val="en-GB"/>
        </w:rPr>
        <w:t>the co</w:t>
      </w:r>
      <w:r w:rsidR="00EB505B" w:rsidRPr="00B10EBE">
        <w:rPr>
          <w:rFonts w:ascii="Garamond" w:hAnsi="Garamond"/>
          <w:noProof/>
          <w:color w:val="000000" w:themeColor="text1"/>
          <w:lang w:val="en-GB"/>
        </w:rPr>
        <w:t>a</w:t>
      </w:r>
      <w:r w:rsidR="00A94512" w:rsidRPr="00B10EBE">
        <w:rPr>
          <w:rFonts w:ascii="Garamond" w:hAnsi="Garamond"/>
          <w:noProof/>
          <w:color w:val="000000" w:themeColor="text1"/>
          <w:lang w:val="en-GB"/>
        </w:rPr>
        <w:t xml:space="preserve">rse spatial resolution of VOD data </w:t>
      </w:r>
      <w:r w:rsidR="006D191A" w:rsidRPr="00B10EBE">
        <w:rPr>
          <w:rFonts w:ascii="Garamond" w:hAnsi="Garamond"/>
          <w:noProof/>
          <w:color w:val="000000" w:themeColor="text1"/>
          <w:lang w:val="en-GB"/>
        </w:rPr>
        <w:t xml:space="preserve">did not allow </w:t>
      </w:r>
      <w:r w:rsidR="00EB505B" w:rsidRPr="00B10EBE">
        <w:rPr>
          <w:rFonts w:ascii="Garamond" w:hAnsi="Garamond"/>
          <w:noProof/>
          <w:color w:val="000000" w:themeColor="text1"/>
          <w:lang w:val="en-GB"/>
        </w:rPr>
        <w:t xml:space="preserve">us </w:t>
      </w:r>
      <w:r w:rsidR="006D191A" w:rsidRPr="00B10EBE">
        <w:rPr>
          <w:rFonts w:ascii="Garamond" w:hAnsi="Garamond"/>
          <w:noProof/>
          <w:color w:val="000000" w:themeColor="text1"/>
          <w:lang w:val="en-GB"/>
        </w:rPr>
        <w:t>to</w:t>
      </w:r>
      <w:r w:rsidR="007064E5" w:rsidRPr="00B10EBE">
        <w:rPr>
          <w:rFonts w:ascii="Garamond" w:hAnsi="Garamond"/>
          <w:noProof/>
          <w:color w:val="000000" w:themeColor="text1"/>
          <w:lang w:val="en-GB"/>
        </w:rPr>
        <w:t xml:space="preserve"> capture finer-grain processes</w:t>
      </w:r>
      <w:r w:rsidR="006018A6" w:rsidRPr="00B10EBE">
        <w:rPr>
          <w:rFonts w:ascii="Garamond" w:hAnsi="Garamond"/>
          <w:noProof/>
          <w:color w:val="000000" w:themeColor="text1"/>
          <w:lang w:val="en-GB"/>
        </w:rPr>
        <w:t xml:space="preserve"> and ch</w:t>
      </w:r>
      <w:r w:rsidR="00356690" w:rsidRPr="00B10EBE">
        <w:rPr>
          <w:rFonts w:ascii="Garamond" w:hAnsi="Garamond"/>
          <w:noProof/>
          <w:color w:val="000000" w:themeColor="text1"/>
          <w:lang w:val="en-GB"/>
        </w:rPr>
        <w:t>an</w:t>
      </w:r>
      <w:r w:rsidR="006018A6" w:rsidRPr="00B10EBE">
        <w:rPr>
          <w:rFonts w:ascii="Garamond" w:hAnsi="Garamond"/>
          <w:noProof/>
          <w:color w:val="000000" w:themeColor="text1"/>
          <w:lang w:val="en-GB"/>
        </w:rPr>
        <w:t>ges</w:t>
      </w:r>
      <w:r w:rsidR="007064E5" w:rsidRPr="00B10EBE">
        <w:rPr>
          <w:rFonts w:ascii="Garamond" w:hAnsi="Garamond"/>
          <w:noProof/>
          <w:color w:val="000000" w:themeColor="text1"/>
          <w:lang w:val="en-GB"/>
        </w:rPr>
        <w:t xml:space="preserve">. </w:t>
      </w:r>
      <w:r w:rsidR="00CA7A4B" w:rsidRPr="00B10EBE">
        <w:rPr>
          <w:rFonts w:ascii="Garamond" w:hAnsi="Garamond"/>
          <w:noProof/>
          <w:color w:val="000000" w:themeColor="text1"/>
          <w:lang w:val="en-GB"/>
        </w:rPr>
        <w:t xml:space="preserve">For instance, </w:t>
      </w:r>
      <w:r w:rsidR="003A4065" w:rsidRPr="00B10EBE">
        <w:rPr>
          <w:rFonts w:ascii="Garamond" w:hAnsi="Garamond"/>
          <w:noProof/>
          <w:color w:val="000000" w:themeColor="text1"/>
          <w:lang w:val="en-GB"/>
        </w:rPr>
        <w:t xml:space="preserve">a surprisingly large number of non-forest trees was observed in African drylands using 10 m to 0.5 m spatial resolution </w:t>
      </w:r>
      <w:r w:rsidR="006507BE" w:rsidRPr="00B10EBE">
        <w:rPr>
          <w:rFonts w:ascii="Garamond" w:hAnsi="Garamond"/>
          <w:noProof/>
          <w:color w:val="000000" w:themeColor="text1"/>
          <w:lang w:val="en-GB"/>
        </w:rPr>
        <w:t>satellite data</w:t>
      </w:r>
      <w:r w:rsidR="003A4065" w:rsidRPr="00B10EBE">
        <w:rPr>
          <w:rFonts w:ascii="Garamond" w:hAnsi="Garamond"/>
          <w:noProof/>
          <w:color w:val="000000" w:themeColor="text1"/>
          <w:lang w:val="en-GB"/>
        </w:rPr>
        <w:t xml:space="preserve"> </w:t>
      </w:r>
      <w:r w:rsidR="001B4BE1" w:rsidRPr="00B10EBE">
        <w:rPr>
          <w:rFonts w:ascii="Garamond" w:hAnsi="Garamond"/>
          <w:noProof/>
          <w:color w:val="000000" w:themeColor="text1"/>
        </w:rPr>
        <w:fldChar w:fldCharType="begin"/>
      </w:r>
      <w:r w:rsidR="009E0EBA" w:rsidRPr="00B10EBE">
        <w:rPr>
          <w:rFonts w:ascii="Garamond" w:hAnsi="Garamond"/>
          <w:noProof/>
          <w:color w:val="000000" w:themeColor="text1"/>
          <w:lang w:val="en-GB"/>
        </w:rPr>
        <w:instrText xml:space="preserve"> ADDIN ZOTERO_ITEM CSL_CITATION {"citationID":"a1qp1fhmnaq","properties":{"formattedCitation":"(Reiner et al., 2023)","plainCitation":"(Reiner et al., 2023)","noteIndex":0},"citationItems":[{"id":68,"uris":["http://zotero.org/users/10686236/items/TQYWUCBW"],"itemData":{"id":68,"type":"article-journal","abstract":"Abstract\n            The consistent monitoring of trees both inside and outside of forests is key to sustainable land management. Current monitoring systems either ignore trees outside forests or are too expensive to be applied consistently across countries on a repeated basis. Here we use the PlanetScope nanosatellite constellation, which delivers global very high-resolution daily imagery, to map both forest and non-forest tree cover for continental Africa using images from a single year. Our prototype map of 2019 (RMSE</w:instrText>
      </w:r>
      <w:r w:rsidR="009E0EBA" w:rsidRPr="00B10EBE">
        <w:rPr>
          <w:noProof/>
          <w:color w:val="000000" w:themeColor="text1"/>
          <w:lang w:val="en-GB"/>
        </w:rPr>
        <w:instrText> </w:instrText>
      </w:r>
      <w:r w:rsidR="009E0EBA" w:rsidRPr="00B10EBE">
        <w:rPr>
          <w:rFonts w:ascii="Garamond" w:hAnsi="Garamond"/>
          <w:noProof/>
          <w:color w:val="000000" w:themeColor="text1"/>
          <w:lang w:val="en-GB"/>
        </w:rPr>
        <w:instrText>=</w:instrText>
      </w:r>
      <w:r w:rsidR="009E0EBA" w:rsidRPr="00B10EBE">
        <w:rPr>
          <w:noProof/>
          <w:color w:val="000000" w:themeColor="text1"/>
          <w:lang w:val="en-GB"/>
        </w:rPr>
        <w:instrText> </w:instrText>
      </w:r>
      <w:r w:rsidR="009E0EBA" w:rsidRPr="00B10EBE">
        <w:rPr>
          <w:rFonts w:ascii="Garamond" w:hAnsi="Garamond"/>
          <w:noProof/>
          <w:color w:val="000000" w:themeColor="text1"/>
          <w:lang w:val="en-GB"/>
        </w:rPr>
        <w:instrText>9.57%, bias</w:instrText>
      </w:r>
      <w:r w:rsidR="009E0EBA" w:rsidRPr="00B10EBE">
        <w:rPr>
          <w:noProof/>
          <w:color w:val="000000" w:themeColor="text1"/>
          <w:lang w:val="en-GB"/>
        </w:rPr>
        <w:instrText> </w:instrText>
      </w:r>
      <w:r w:rsidR="009E0EBA" w:rsidRPr="00B10EBE">
        <w:rPr>
          <w:rFonts w:ascii="Garamond" w:hAnsi="Garamond"/>
          <w:noProof/>
          <w:color w:val="000000" w:themeColor="text1"/>
          <w:lang w:val="en-GB"/>
        </w:rPr>
        <w:instrText>=</w:instrText>
      </w:r>
      <w:r w:rsidR="009E0EBA" w:rsidRPr="00B10EBE">
        <w:rPr>
          <w:noProof/>
          <w:color w:val="000000" w:themeColor="text1"/>
          <w:lang w:val="en-GB"/>
        </w:rPr>
        <w:instrText> </w:instrText>
      </w:r>
      <w:r w:rsidR="009E0EBA" w:rsidRPr="00B10EBE">
        <w:rPr>
          <w:rFonts w:ascii="Garamond" w:hAnsi="Garamond"/>
          <w:noProof/>
          <w:color w:val="000000" w:themeColor="text1"/>
          <w:lang w:val="en-GB"/>
        </w:rPr>
        <w:instrText xml:space="preserve">−6.9%). demonstrates that a precise assessment of all tree-based ecosystems is possible at continental scale, and reveals that 29% of tree cover is found outside areas previously classified as tree cover in state-of-the-art maps, such as in croplands and grassland. Such accurate mapping of tree cover down to the level of individual trees and consistent among countries has the potential to redefine land use impacts in non-forest landscapes, move beyond the need for forest definitions, and build the basis for natural climate solutions and tree-related studies.","container-title":"Nature Communications","DOI":"10.1038/s41467-023-37880-4","ISSN":"2041-1723","issue":"1","journalAbbreviation":"Nat Commun","language":"en","page":"2258","source":"DOI.org (Crossref)","title":"More than one quarter of Africa’s tree cover is found outside areas previously classified as forest","volume":"14","author":[{"family":"Reiner","given":"Florian"},{"family":"Brandt","given":"Martin"},{"family":"Tong","given":"Xiaoye"},{"family":"Skole","given":"David"},{"family":"Kariryaa","given":"Ankit"},{"family":"Ciais","given":"Philippe"},{"family":"Davies","given":"Andrew"},{"family":"Hiernaux","given":"Pierre"},{"family":"Chave","given":"Jérôme"},{"family":"Mugabowindekwe","given":"Maurice"},{"family":"Igel","given":"Christian"},{"family":"Oehmcke","given":"Stefan"},{"family":"Gieseke","given":"Fabian"},{"family":"Li","given":"Sizhuo"},{"family":"Liu","given":"Siyu"},{"family":"Saatchi","given":"Sassan"},{"family":"Boucher","given":"Peter"},{"family":"Singh","given":"Jenia"},{"family":"Taugourdeau","given":"Simon"},{"family":"Dendoncker","given":"Morgane"},{"family":"Song","given":"Xiao-Peng"},{"family":"Mertz","given":"Ole"},{"family":"Tucker","given":"Compton J."},{"family":"Fensholt","given":"Rasmus"}],"issued":{"date-parts":[["2023"]]}}}],"schema":"https://github.com/citation-style-language/schema/raw/master/csl-citation.json"} </w:instrText>
      </w:r>
      <w:r w:rsidR="001B4BE1" w:rsidRPr="00B10EBE">
        <w:rPr>
          <w:rFonts w:ascii="Garamond" w:hAnsi="Garamond"/>
          <w:noProof/>
          <w:color w:val="000000" w:themeColor="text1"/>
        </w:rPr>
        <w:fldChar w:fldCharType="separate"/>
      </w:r>
      <w:r w:rsidR="004C2C12" w:rsidRPr="00B10EBE">
        <w:rPr>
          <w:rFonts w:ascii="Garamond" w:hAnsi="Garamond"/>
          <w:color w:val="000000" w:themeColor="text1"/>
          <w:lang w:val="en-GB"/>
        </w:rPr>
        <w:t>(Reiner et al., 2023)</w:t>
      </w:r>
      <w:r w:rsidR="001B4BE1" w:rsidRPr="00B10EBE">
        <w:rPr>
          <w:rFonts w:ascii="Garamond" w:hAnsi="Garamond"/>
          <w:noProof/>
          <w:color w:val="000000" w:themeColor="text1"/>
        </w:rPr>
        <w:fldChar w:fldCharType="end"/>
      </w:r>
      <w:r w:rsidR="003A4065" w:rsidRPr="00B10EBE">
        <w:rPr>
          <w:rFonts w:ascii="Garamond" w:hAnsi="Garamond"/>
          <w:noProof/>
          <w:color w:val="000000" w:themeColor="text1"/>
          <w:lang w:val="en-GB"/>
        </w:rPr>
        <w:t xml:space="preserve">. Similarly, the contribution of small fires undetectable from coarse spatial resolution products </w:t>
      </w:r>
      <w:r w:rsidR="00497FD9" w:rsidRPr="00B10EBE">
        <w:rPr>
          <w:rFonts w:ascii="Garamond" w:hAnsi="Garamond"/>
          <w:noProof/>
          <w:color w:val="000000" w:themeColor="text1"/>
          <w:lang w:val="en-GB"/>
        </w:rPr>
        <w:t>is</w:t>
      </w:r>
      <w:r w:rsidR="00A40428" w:rsidRPr="00B10EBE">
        <w:rPr>
          <w:rFonts w:ascii="Garamond" w:hAnsi="Garamond"/>
          <w:noProof/>
          <w:color w:val="000000" w:themeColor="text1"/>
          <w:lang w:val="en-GB"/>
        </w:rPr>
        <w:t xml:space="preserve"> </w:t>
      </w:r>
      <w:r w:rsidR="009C74F8" w:rsidRPr="00B10EBE">
        <w:rPr>
          <w:rFonts w:ascii="Garamond" w:hAnsi="Garamond"/>
          <w:noProof/>
          <w:color w:val="000000" w:themeColor="text1"/>
          <w:lang w:val="en-GB"/>
        </w:rPr>
        <w:t>decisive</w:t>
      </w:r>
      <w:r w:rsidR="00EB748D" w:rsidRPr="00B10EBE">
        <w:rPr>
          <w:rFonts w:ascii="Garamond" w:hAnsi="Garamond"/>
          <w:noProof/>
          <w:color w:val="000000" w:themeColor="text1"/>
          <w:lang w:val="en-GB"/>
        </w:rPr>
        <w:t xml:space="preserve"> </w:t>
      </w:r>
      <w:r w:rsidR="003A4065" w:rsidRPr="00B10EBE">
        <w:rPr>
          <w:rFonts w:ascii="Garamond" w:hAnsi="Garamond"/>
          <w:noProof/>
          <w:color w:val="000000" w:themeColor="text1"/>
          <w:lang w:val="en-GB"/>
        </w:rPr>
        <w:t>for appropriate burned area</w:t>
      </w:r>
      <w:r w:rsidR="001C6938" w:rsidRPr="00B10EBE">
        <w:rPr>
          <w:rFonts w:ascii="Garamond" w:hAnsi="Garamond"/>
          <w:noProof/>
          <w:color w:val="000000" w:themeColor="text1"/>
          <w:lang w:val="en-GB"/>
        </w:rPr>
        <w:t xml:space="preserve"> and fire emission</w:t>
      </w:r>
      <w:r w:rsidR="003A4065" w:rsidRPr="00B10EBE">
        <w:rPr>
          <w:rFonts w:ascii="Garamond" w:hAnsi="Garamond"/>
          <w:noProof/>
          <w:color w:val="000000" w:themeColor="text1"/>
          <w:lang w:val="en-GB"/>
        </w:rPr>
        <w:t xml:space="preserve"> estimations in Africa </w:t>
      </w:r>
      <w:r w:rsidR="003A4065" w:rsidRPr="00B10EBE">
        <w:rPr>
          <w:rFonts w:ascii="Garamond" w:hAnsi="Garamond"/>
          <w:noProof/>
          <w:color w:val="000000" w:themeColor="text1"/>
        </w:rPr>
        <w:fldChar w:fldCharType="begin"/>
      </w:r>
      <w:r w:rsidR="009E0EBA" w:rsidRPr="00B10EBE">
        <w:rPr>
          <w:rFonts w:ascii="Garamond" w:hAnsi="Garamond"/>
          <w:noProof/>
          <w:color w:val="000000" w:themeColor="text1"/>
          <w:lang w:val="en-GB"/>
        </w:rPr>
        <w:instrText xml:space="preserve"> ADDIN ZOTERO_ITEM CSL_CITATION {"citationID":"assol1hgiq","properties":{"formattedCitation":"(Ramo et al., 2021)","plainCitation":"(Ramo et al., 2021)","noteIndex":0},"citationItems":[{"id":256,"uris":["http://zotero.org/users/10686236/items/2PJAM5XU"],"itemData":{"id":256,"type":"article-journal","abstract":"Fires are a major contributor to atmospheric budgets of greenhouse gases and aerosols, affect soils and vegetation properties, and are a key driver of land use change. Since the 1990s, global burned area (BA) estimates based on satellite observations have provided critical insights into patterns and trends of fire occurrence. However, these global BA products are based on coarse spatial-resolution sensors, which are unsuitable for detecting small fires that burn only a fraction of a satellite pixel. We estimated the relevance of those small fires by comparing a BA product generated from Sentinel-2 MSI (Multispectral Instrument) images (20-m spatial resolution) with a widely used global BA product based on Moderate Resolution Imaging Spectroradiometer (MODIS) images (500 m) focusing on sub-Saharan Africa. For the year 2016, we detected 80% more BA with Sentinel-2 images than with the MODIS product. This difference was predominately related to small fires: we observed that 2.02 Mkm2 (out of a total of 4.89 Mkm2) was burned by fires smaller than 100 ha, whereas the MODIS product only detected 0.13 million km2 BA in that fire-size class. This increase in BA subsequently resulted in increased estimates of fire emissions; we computed 31 to 101% more fire carbon emissions than current estimates based on MODIS products. We conclude that small fires are a critical driver of BA in sub-Saharan Africa and that including those small fires in emission estimates raises the contribution of biomass burning to global burdens of (greenhouse) gases and aerosols.","container-title":"Proceedings of the National Academy of Sciences of the United States of America","DOI":"10.1073/pnas.2011160118","ISSN":"10916490","issue":"9","note":"PMID: 33619088","page":"1-7","title":"African burned area and fire carbon emissions are strongly impacted by small fires undetected by coarse resolution satellite data","volume":"118","author":[{"family":"Ramo","given":"Ruben"},{"family":"Roteta","given":"Ekhi"},{"family":"Bistinas","given":"Ioannis"},{"family":"Wees","given":"Dave","non-dropping-particle":"van"},{"family":"Bastarrika","given":"Aitor"},{"family":"Chuvieco","given":"Emilio"},{"family":"Werf","given":"Guido R.","non-dropping-particle":"van der"}],"issued":{"date-parts":[["2021"]]}}}],"schema":"https://github.com/citation-style-language/schema/raw/master/csl-citation.json"} </w:instrText>
      </w:r>
      <w:r w:rsidR="003A4065" w:rsidRPr="00B10EBE">
        <w:rPr>
          <w:rFonts w:ascii="Garamond" w:hAnsi="Garamond"/>
          <w:noProof/>
          <w:color w:val="000000" w:themeColor="text1"/>
        </w:rPr>
        <w:fldChar w:fldCharType="separate"/>
      </w:r>
      <w:r w:rsidR="004C2C12" w:rsidRPr="00B10EBE">
        <w:rPr>
          <w:rFonts w:ascii="Garamond" w:hAnsi="Garamond"/>
          <w:color w:val="000000" w:themeColor="text1"/>
          <w:lang w:val="en-GB"/>
        </w:rPr>
        <w:t xml:space="preserve">(Ramo et al., </w:t>
      </w:r>
      <w:r w:rsidR="004C2C12" w:rsidRPr="00B10EBE">
        <w:rPr>
          <w:rFonts w:ascii="Garamond" w:hAnsi="Garamond"/>
          <w:color w:val="000000" w:themeColor="text1"/>
          <w:lang w:val="en-GB"/>
        </w:rPr>
        <w:lastRenderedPageBreak/>
        <w:t>2021)</w:t>
      </w:r>
      <w:r w:rsidR="003A4065" w:rsidRPr="00B10EBE">
        <w:rPr>
          <w:rFonts w:ascii="Garamond" w:hAnsi="Garamond"/>
          <w:noProof/>
          <w:color w:val="000000" w:themeColor="text1"/>
        </w:rPr>
        <w:fldChar w:fldCharType="end"/>
      </w:r>
      <w:r w:rsidR="003A4065" w:rsidRPr="00B10EBE">
        <w:rPr>
          <w:rFonts w:ascii="Garamond" w:hAnsi="Garamond"/>
          <w:noProof/>
          <w:color w:val="000000" w:themeColor="text1"/>
          <w:lang w:val="en-GB"/>
        </w:rPr>
        <w:t>.</w:t>
      </w:r>
      <w:r w:rsidR="00FF4AE4" w:rsidRPr="00B10EBE">
        <w:rPr>
          <w:rFonts w:ascii="Garamond" w:hAnsi="Garamond"/>
          <w:noProof/>
          <w:color w:val="000000" w:themeColor="text1"/>
          <w:lang w:val="en-GB"/>
        </w:rPr>
        <w:t xml:space="preserve"> Consequently, the low resolution of our data may have constrained the detection of indirect effects in our structural equation models, as higher-resolution data could reveal more significant interactions among environmental variables. Furthermore, utilizing higher spatial resolution would eliminate the need to resample land cover maps, enabling more precise biome delineation.</w:t>
      </w:r>
      <w:r w:rsidR="008713A2" w:rsidRPr="00B10EBE">
        <w:rPr>
          <w:rFonts w:ascii="Garamond" w:hAnsi="Garamond"/>
          <w:noProof/>
          <w:color w:val="000000" w:themeColor="text1"/>
          <w:lang w:val="en-GB"/>
        </w:rPr>
        <w:t xml:space="preserve"> </w:t>
      </w:r>
      <w:r w:rsidR="00FF4AE4" w:rsidRPr="00B10EBE">
        <w:rPr>
          <w:rFonts w:ascii="Garamond" w:hAnsi="Garamond"/>
          <w:noProof/>
          <w:color w:val="000000" w:themeColor="text1"/>
          <w:lang w:val="en-GB"/>
        </w:rPr>
        <w:t xml:space="preserve">These points suggest that the consistent availability of high-resolution remote sensing data will be essential to better understand finer-grain dynamics and, ultimately, terrestrial ecosystem distribution </w:t>
      </w:r>
      <w:r w:rsidR="00FF4AE4" w:rsidRPr="00B10EBE">
        <w:rPr>
          <w:rFonts w:ascii="Garamond" w:hAnsi="Garamond"/>
          <w:noProof/>
          <w:color w:val="000000" w:themeColor="text1"/>
          <w:lang w:val="en-GB"/>
        </w:rPr>
        <w:fldChar w:fldCharType="begin"/>
      </w:r>
      <w:r w:rsidR="009E0EBA" w:rsidRPr="00B10EBE">
        <w:rPr>
          <w:rFonts w:ascii="Garamond" w:hAnsi="Garamond"/>
          <w:noProof/>
          <w:color w:val="000000" w:themeColor="text1"/>
          <w:lang w:val="en-GB"/>
        </w:rPr>
        <w:instrText xml:space="preserve"> ADDIN ZOTERO_ITEM CSL_CITATION {"citationID":"a1ocsbuhag","properties":{"formattedCitation":"(Zhang et al., 2019)","plainCitation":"(Zhang et al., 2019)","noteIndex":0},"citationItems":[{"id":8157,"uris":["http://zotero.org/users/10686236/items/YQH2GESH"],"itemData":{"id":8157,"type":"article-journal","abstract":"Woody vegetation is a central component of savanna ecosystems providing ecosystem services for local livelihoods. Accurate monitoring of woody vegetation in savannas is therefore desirable, yet large scale mapping approaches rely on relatively coarse spatial resolution satellite data, which cannot directly capture the scattered nature of savanna trees. Studies at regional scale thus estimate the fractional cover of woody plants for a given area, whereas binary tree/no-tree estimates are restricted to the use of very high-resolution (VHR) images at local scales. With the launch of the Sentinel satellite systems (Sentinel-1 and Sentinel-2), the spatial resolution of images approaches the size of medium/large tree crowns, providing the opportunity to map the presence/absence of tree canopies, rather than the fraction of woody cover or forested areas. Here, we used a support vector machine (SVM) to classify the presence/absence of woody canopies from Sentinel-1 and Sentinel-2 data at a 10m spatial resolution for the entire African Sahel. Training samples for the SVM classiﬁer were collected from VHR images provided by Google Earth and Sentinel satellite data were processed in Google Earth Engine. Accuracy assessment was performed based on independent VHR images, showing an overall accuracy of 93% (71% and 98% for producer’s accuracy of woody and non-woody pixels, 91% and 93% for user’s accuracy of woody and non-woody pixels) when combining Sentinel-1 and Sentinel-2 data (overall accuracy of 89% using Sentinel-1 only and 91% using Sentinel-2 only). The combined use proved to perform signiﬁcantly better (p &lt; 0.05) than the single use of any of the two. A comparison with existing tree cover maps (by aggregating presence/absence of tree canopies into fractional cover) showed noticeable diﬀerences, reﬂecting the need for new woody cover products adapted to the nature of savanna ecosystems. The Sentinel woody canopy map was able to reproduce the general pattern of scattered woody canopies, but generally overestimated the woody coverage (11.37 ± 26.13% (mean ± sd) when aggregating to 250 m resolution) due to the 10 × 10-m spatial resolution which exceeds the crown size of a typical savanna tree. The cloud-based Sentinel-1 and Sentinel-2 analysis presented is a step towards large scale mapping of woody canopy (tree/no-tree) in savannas. Ultimately, such direct assessment of woody canopy areas will allow monitoring of temporal dynamics of woody canopies in future studies as Sentinel time-series expands to multiple years.","container-title":"Remote Sensing of Environment","DOI":"10.1016/j.rse.2019.111465","ISSN":"00344257","journalAbbreviation":"Remote Sensing of Environment","language":"en","page":"111465","source":"DOI.org (Crossref)","title":"From woody cover to woody canopies: How Sentinel-1 and Sentinel-2 data advance the mapping of woody plants in savannas","title-short":"From woody cover to woody canopies","volume":"234","author":[{"family":"Zhang","given":"Wenmin"},{"family":"Brandt","given":"Martin"},{"family":"Wang","given":"Qiao"},{"family":"Prishchepov","given":"Alexander V."},{"family":"Tucker","given":"Compton J."},{"family":"Li","given":"Yunmei"},{"family":"Lyu","given":"Heng"},{"family":"Fensholt","given":"Rasmus"}],"issued":{"date-parts":[["2019",12]]}}}],"schema":"https://github.com/citation-style-language/schema/raw/master/csl-citation.json"} </w:instrText>
      </w:r>
      <w:r w:rsidR="00FF4AE4" w:rsidRPr="00B10EBE">
        <w:rPr>
          <w:rFonts w:ascii="Garamond" w:hAnsi="Garamond"/>
          <w:noProof/>
          <w:color w:val="000000" w:themeColor="text1"/>
          <w:lang w:val="en-GB"/>
        </w:rPr>
        <w:fldChar w:fldCharType="separate"/>
      </w:r>
      <w:r w:rsidR="00D570F9" w:rsidRPr="00B10EBE">
        <w:rPr>
          <w:rFonts w:ascii="Garamond" w:hAnsi="Garamond"/>
          <w:color w:val="000000" w:themeColor="text1"/>
          <w:lang w:val="en-GB"/>
        </w:rPr>
        <w:t>(Zhang et al., 2019)</w:t>
      </w:r>
      <w:r w:rsidR="00FF4AE4" w:rsidRPr="00B10EBE">
        <w:rPr>
          <w:rFonts w:ascii="Garamond" w:hAnsi="Garamond"/>
          <w:noProof/>
          <w:color w:val="000000" w:themeColor="text1"/>
          <w:lang w:val="en-GB"/>
        </w:rPr>
        <w:fldChar w:fldCharType="end"/>
      </w:r>
      <w:r w:rsidR="00FF4AE4" w:rsidRPr="00B10EBE">
        <w:rPr>
          <w:rFonts w:ascii="Garamond" w:hAnsi="Garamond"/>
          <w:noProof/>
          <w:color w:val="000000" w:themeColor="text1"/>
          <w:lang w:val="en-GB"/>
        </w:rPr>
        <w:t>.</w:t>
      </w:r>
    </w:p>
    <w:p w14:paraId="49DD4DC5" w14:textId="151623B1" w:rsidR="0004555F" w:rsidRPr="00B10EBE" w:rsidRDefault="0004555F" w:rsidP="0033343A">
      <w:pPr>
        <w:pStyle w:val="Acknowledgement"/>
        <w:adjustRightInd w:val="0"/>
        <w:spacing w:before="0"/>
        <w:ind w:left="0" w:firstLine="0"/>
        <w:contextualSpacing/>
        <w:jc w:val="both"/>
        <w:rPr>
          <w:rFonts w:ascii="Garamond" w:hAnsi="Garamond"/>
          <w:b/>
          <w:noProof/>
          <w:color w:val="000000" w:themeColor="text1"/>
          <w:lang w:val="en-GB"/>
        </w:rPr>
      </w:pPr>
      <w:r w:rsidRPr="00B10EBE">
        <w:rPr>
          <w:rFonts w:ascii="Garamond" w:hAnsi="Garamond"/>
          <w:b/>
          <w:noProof/>
          <w:color w:val="000000" w:themeColor="text1"/>
          <w:lang w:val="en-GB"/>
        </w:rPr>
        <w:t>Acknowledgements</w:t>
      </w:r>
    </w:p>
    <w:p w14:paraId="0F77ED0E" w14:textId="4108DBDA" w:rsidR="0004555F" w:rsidRPr="00B10EBE" w:rsidRDefault="0004555F" w:rsidP="0033343A">
      <w:pPr>
        <w:pStyle w:val="Paragraph"/>
        <w:adjustRightInd w:val="0"/>
        <w:snapToGrid w:val="0"/>
        <w:spacing w:before="0"/>
        <w:ind w:left="0" w:firstLine="0"/>
        <w:jc w:val="both"/>
        <w:rPr>
          <w:rFonts w:ascii="Garamond" w:hAnsi="Garamond"/>
          <w:bCs/>
          <w:noProof/>
          <w:color w:val="000000" w:themeColor="text1"/>
          <w:lang w:val="en-GB"/>
        </w:rPr>
      </w:pPr>
      <w:r w:rsidRPr="00B10EBE">
        <w:rPr>
          <w:rFonts w:ascii="Garamond" w:hAnsi="Garamond"/>
          <w:bCs/>
          <w:noProof/>
          <w:color w:val="000000" w:themeColor="text1"/>
          <w:lang w:val="en-GB"/>
        </w:rPr>
        <w:t>We thank the groups that produced and shared the datasets used here. We thank J Lefcheck for his resources and guidance with the CRAN package ‘piecewiseSEM’, R Bivand for his help with the CRAN package ‘spdep’, and P Fibich for the fruitful discussions on errorsarlm models. This work was funded by the European Research Council Starting Grant SCALEFORES (515825101) granted to F Eigenbrod and the UKCEH National Capability project (06895) to JM Bullock.</w:t>
      </w:r>
    </w:p>
    <w:p w14:paraId="1C14F654" w14:textId="77777777" w:rsidR="00910162" w:rsidRPr="00B10EBE" w:rsidRDefault="00910162" w:rsidP="00910162">
      <w:pPr>
        <w:ind w:left="0" w:firstLine="0"/>
        <w:contextualSpacing/>
        <w:jc w:val="both"/>
        <w:rPr>
          <w:rFonts w:ascii="Garamond" w:hAnsi="Garamond"/>
          <w:b/>
          <w:bCs/>
          <w:noProof/>
          <w:color w:val="000000" w:themeColor="text1"/>
          <w:sz w:val="24"/>
          <w:szCs w:val="24"/>
        </w:rPr>
      </w:pPr>
      <w:r w:rsidRPr="00B10EBE">
        <w:rPr>
          <w:rFonts w:ascii="Garamond" w:hAnsi="Garamond"/>
          <w:b/>
          <w:bCs/>
          <w:noProof/>
          <w:color w:val="000000" w:themeColor="text1"/>
          <w:sz w:val="24"/>
          <w:szCs w:val="24"/>
        </w:rPr>
        <w:t>Author contributions</w:t>
      </w:r>
    </w:p>
    <w:p w14:paraId="75EC455D" w14:textId="20DC3C63" w:rsidR="00910162" w:rsidRPr="00B10EBE" w:rsidRDefault="00910162" w:rsidP="00910162">
      <w:pPr>
        <w:pStyle w:val="Paragraph"/>
        <w:adjustRightInd w:val="0"/>
        <w:snapToGrid w:val="0"/>
        <w:spacing w:before="0"/>
        <w:ind w:left="0" w:firstLine="0"/>
        <w:jc w:val="both"/>
        <w:rPr>
          <w:rFonts w:ascii="Garamond" w:hAnsi="Garamond"/>
          <w:bCs/>
          <w:noProof/>
          <w:color w:val="000000" w:themeColor="text1"/>
        </w:rPr>
      </w:pPr>
      <w:r w:rsidRPr="00B10EBE">
        <w:rPr>
          <w:rFonts w:ascii="Garamond" w:hAnsi="Garamond"/>
          <w:bCs/>
          <w:noProof/>
          <w:color w:val="000000" w:themeColor="text1"/>
        </w:rPr>
        <w:t xml:space="preserve">FD, RS, JMB, and FE conceived the study. FD worked on data acquisition, curation, analysis, and visualization, and writing (original draft). RS helped in formal analysis. </w:t>
      </w:r>
      <w:r w:rsidR="00697A2F" w:rsidRPr="00B10EBE">
        <w:rPr>
          <w:rFonts w:ascii="Garamond" w:hAnsi="Garamond"/>
          <w:bCs/>
          <w:noProof/>
          <w:color w:val="000000" w:themeColor="text1"/>
        </w:rPr>
        <w:t>All authors</w:t>
      </w:r>
      <w:r w:rsidRPr="00B10EBE">
        <w:rPr>
          <w:rFonts w:ascii="Garamond" w:hAnsi="Garamond"/>
          <w:bCs/>
          <w:noProof/>
          <w:color w:val="000000" w:themeColor="text1"/>
        </w:rPr>
        <w:t xml:space="preserve"> contributed to new methods</w:t>
      </w:r>
      <w:r w:rsidR="00697A2F" w:rsidRPr="00B10EBE">
        <w:rPr>
          <w:rFonts w:ascii="Garamond" w:hAnsi="Garamond"/>
          <w:bCs/>
          <w:noProof/>
          <w:color w:val="000000" w:themeColor="text1"/>
        </w:rPr>
        <w:t xml:space="preserve">, </w:t>
      </w:r>
      <w:r w:rsidRPr="00B10EBE">
        <w:rPr>
          <w:rFonts w:ascii="Garamond" w:hAnsi="Garamond"/>
          <w:bCs/>
          <w:noProof/>
          <w:color w:val="000000" w:themeColor="text1"/>
        </w:rPr>
        <w:t>conceptualization, and writing (review editing). FE coordinated the project. JMB and FE contributed to funding acquisition.</w:t>
      </w:r>
    </w:p>
    <w:p w14:paraId="0AE0F5FD" w14:textId="77777777" w:rsidR="00910162" w:rsidRPr="00B10EBE" w:rsidRDefault="00910162" w:rsidP="00910162">
      <w:pPr>
        <w:pStyle w:val="Paragraph"/>
        <w:adjustRightInd w:val="0"/>
        <w:snapToGrid w:val="0"/>
        <w:spacing w:before="0"/>
        <w:ind w:left="0" w:firstLine="0"/>
        <w:jc w:val="both"/>
        <w:rPr>
          <w:rFonts w:ascii="Garamond" w:hAnsi="Garamond"/>
          <w:b/>
          <w:bCs/>
          <w:noProof/>
          <w:color w:val="000000" w:themeColor="text1"/>
          <w:lang w:val="en-GB"/>
        </w:rPr>
      </w:pPr>
      <w:r w:rsidRPr="00B10EBE">
        <w:rPr>
          <w:rFonts w:ascii="Garamond" w:hAnsi="Garamond"/>
          <w:b/>
          <w:bCs/>
          <w:noProof/>
          <w:color w:val="000000" w:themeColor="text1"/>
          <w:lang w:val="en-GB"/>
        </w:rPr>
        <w:t>Conﬂict of Interest Statement</w:t>
      </w:r>
    </w:p>
    <w:p w14:paraId="5F3E32D6" w14:textId="4F27B05C" w:rsidR="00910162" w:rsidRPr="00B10EBE" w:rsidRDefault="00910162" w:rsidP="00910162">
      <w:pPr>
        <w:pStyle w:val="Paragraph"/>
        <w:adjustRightInd w:val="0"/>
        <w:snapToGrid w:val="0"/>
        <w:spacing w:before="0"/>
        <w:ind w:left="0" w:firstLine="0"/>
        <w:jc w:val="both"/>
        <w:rPr>
          <w:rFonts w:ascii="Garamond" w:hAnsi="Garamond"/>
          <w:noProof/>
          <w:color w:val="000000" w:themeColor="text1"/>
          <w:lang w:val="en-GB"/>
        </w:rPr>
      </w:pPr>
      <w:r w:rsidRPr="00B10EBE">
        <w:rPr>
          <w:rFonts w:ascii="Garamond" w:hAnsi="Garamond"/>
          <w:noProof/>
          <w:color w:val="000000" w:themeColor="text1"/>
          <w:lang w:val="en-GB"/>
        </w:rPr>
        <w:t>The authors have no conﬂicts of interest to declare.</w:t>
      </w:r>
    </w:p>
    <w:p w14:paraId="1F19795D" w14:textId="77777777" w:rsidR="00710675" w:rsidRPr="00B10EBE" w:rsidRDefault="00710675" w:rsidP="0033343A">
      <w:pPr>
        <w:pStyle w:val="Bibliography"/>
        <w:spacing w:before="0"/>
        <w:ind w:left="227" w:hanging="227"/>
        <w:contextualSpacing/>
        <w:mirrorIndents/>
        <w:jc w:val="both"/>
        <w:rPr>
          <w:rFonts w:ascii="Garamond" w:hAnsi="Garamond"/>
          <w:b/>
          <w:noProof/>
          <w:color w:val="000000" w:themeColor="text1"/>
          <w:sz w:val="24"/>
          <w:szCs w:val="24"/>
        </w:rPr>
      </w:pPr>
      <w:r w:rsidRPr="00B10EBE">
        <w:rPr>
          <w:rFonts w:ascii="Garamond" w:hAnsi="Garamond"/>
          <w:b/>
          <w:noProof/>
          <w:color w:val="000000" w:themeColor="text1"/>
          <w:sz w:val="24"/>
          <w:szCs w:val="24"/>
        </w:rPr>
        <w:t>Data Accessibility Statement</w:t>
      </w:r>
    </w:p>
    <w:p w14:paraId="2F17FC61" w14:textId="68B22619" w:rsidR="00710675" w:rsidRPr="00B10EBE" w:rsidRDefault="00710675" w:rsidP="0033343A">
      <w:pPr>
        <w:pStyle w:val="Paragraph"/>
        <w:spacing w:before="0"/>
        <w:ind w:left="0" w:firstLine="0"/>
        <w:contextualSpacing/>
        <w:mirrorIndents/>
        <w:jc w:val="both"/>
        <w:rPr>
          <w:rFonts w:ascii="Garamond" w:hAnsi="Garamond"/>
          <w:noProof/>
          <w:color w:val="000000" w:themeColor="text1"/>
          <w:lang w:val="en-GB"/>
        </w:rPr>
      </w:pPr>
      <w:r w:rsidRPr="00B10EBE">
        <w:rPr>
          <w:rFonts w:ascii="Garamond" w:hAnsi="Garamond"/>
          <w:bCs/>
          <w:noProof/>
          <w:color w:val="000000" w:themeColor="text1"/>
        </w:rPr>
        <w:t>Data will be archived in Zenodo should the manuscript be accepted for publication</w:t>
      </w:r>
      <w:r w:rsidR="00BD4A6E" w:rsidRPr="00B10EBE">
        <w:rPr>
          <w:rFonts w:ascii="Garamond" w:hAnsi="Garamond"/>
          <w:bCs/>
          <w:noProof/>
          <w:color w:val="000000" w:themeColor="text1"/>
        </w:rPr>
        <w:t>.</w:t>
      </w:r>
    </w:p>
    <w:p w14:paraId="42A21E57" w14:textId="42703844" w:rsidR="003A4065" w:rsidRPr="00B10EBE" w:rsidRDefault="00AB20DB" w:rsidP="00D570F9">
      <w:pPr>
        <w:widowControl w:val="0"/>
        <w:autoSpaceDE w:val="0"/>
        <w:autoSpaceDN w:val="0"/>
        <w:ind w:left="284" w:hanging="284"/>
        <w:contextualSpacing/>
        <w:mirrorIndents/>
        <w:jc w:val="both"/>
        <w:rPr>
          <w:rFonts w:ascii="Garamond" w:hAnsi="Garamond"/>
          <w:b/>
          <w:noProof/>
          <w:color w:val="000000" w:themeColor="text1"/>
          <w:sz w:val="24"/>
          <w:szCs w:val="24"/>
        </w:rPr>
      </w:pPr>
      <w:r w:rsidRPr="00B10EBE">
        <w:rPr>
          <w:rFonts w:ascii="Garamond" w:hAnsi="Garamond"/>
          <w:b/>
          <w:noProof/>
          <w:color w:val="000000" w:themeColor="text1"/>
          <w:sz w:val="24"/>
          <w:szCs w:val="24"/>
        </w:rPr>
        <w:t>Literature cited</w:t>
      </w:r>
    </w:p>
    <w:p w14:paraId="10063E3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B10EBE">
        <w:rPr>
          <w:rFonts w:ascii="Garamond" w:hAnsi="Garamond"/>
          <w:noProof/>
          <w:color w:val="000000" w:themeColor="text1"/>
        </w:rPr>
        <w:lastRenderedPageBreak/>
        <w:fldChar w:fldCharType="begin"/>
      </w:r>
      <w:r w:rsidRPr="00B10EBE">
        <w:rPr>
          <w:rFonts w:ascii="Garamond" w:hAnsi="Garamond"/>
          <w:noProof/>
          <w:color w:val="000000" w:themeColor="text1"/>
        </w:rPr>
        <w:instrText xml:space="preserve"> ADDIN ZOTERO_BIBL {"uncited":[],"omitted":[],"custom":[]} CSL_BIBLIOGRAPHY </w:instrText>
      </w:r>
      <w:r w:rsidRPr="00B10EBE">
        <w:rPr>
          <w:rFonts w:ascii="Garamond" w:hAnsi="Garamond"/>
          <w:noProof/>
          <w:color w:val="000000" w:themeColor="text1"/>
        </w:rPr>
        <w:fldChar w:fldCharType="separate"/>
      </w:r>
      <w:r w:rsidRPr="008A50E8">
        <w:rPr>
          <w:rFonts w:ascii="Garamond" w:hAnsi="Garamond"/>
          <w:color w:val="000000" w:themeColor="text1"/>
          <w:sz w:val="24"/>
          <w:lang w:val="it-IT"/>
        </w:rPr>
        <w:t xml:space="preserve">Abdi, A. M., Brandt, M., Abel, C., &amp; Fensholt, R. (2022). Review Article Satellite Remote Sensing of Savannas: Current Status and Emerging Opportunities. </w:t>
      </w:r>
      <w:r w:rsidRPr="008A50E8">
        <w:rPr>
          <w:rFonts w:ascii="Garamond" w:hAnsi="Garamond"/>
          <w:i/>
          <w:iCs/>
          <w:color w:val="000000" w:themeColor="text1"/>
          <w:sz w:val="24"/>
          <w:lang w:val="it-IT"/>
        </w:rPr>
        <w:t>Journal of Remote Sensing</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2022:2022</w:t>
      </w:r>
      <w:r w:rsidRPr="008A50E8">
        <w:rPr>
          <w:rFonts w:ascii="Garamond" w:hAnsi="Garamond"/>
          <w:color w:val="000000" w:themeColor="text1"/>
          <w:sz w:val="24"/>
          <w:lang w:val="it-IT"/>
        </w:rPr>
        <w:t>. https://doi.org/DOI: 10.34133/2022/9835284</w:t>
      </w:r>
    </w:p>
    <w:p w14:paraId="5A8CBEC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Abel, C., Abdi, A. M., Tagesson, T., Horion, S., &amp; Fensholt, R. (2023). Contrasting ecosystem vegetation response in global drylands under drying and wetting conditions.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29</w:t>
      </w:r>
      <w:r w:rsidRPr="008A50E8">
        <w:rPr>
          <w:rFonts w:ascii="Garamond" w:hAnsi="Garamond"/>
          <w:color w:val="000000" w:themeColor="text1"/>
          <w:sz w:val="24"/>
          <w:lang w:val="it-IT"/>
        </w:rPr>
        <w:t>, 3954–3969. https://doi.org/10.1111/gcb.16745</w:t>
      </w:r>
    </w:p>
    <w:p w14:paraId="647EF3F6"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Abel, C., Horion, S., Tagesson, T., De Keersmaecker, W., Seddon, A. W. R., Abdi, A. M., &amp; Fensholt, R. (2020). The human–environment nexus and vegetation–rainfall sensitivity in tropical drylands. </w:t>
      </w:r>
      <w:r w:rsidRPr="008A50E8">
        <w:rPr>
          <w:rFonts w:ascii="Garamond" w:hAnsi="Garamond"/>
          <w:i/>
          <w:iCs/>
          <w:color w:val="000000" w:themeColor="text1"/>
          <w:sz w:val="24"/>
          <w:lang w:val="it-IT"/>
        </w:rPr>
        <w:t>Nature Sustainability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4</w:t>
      </w:r>
      <w:r w:rsidRPr="008A50E8">
        <w:rPr>
          <w:rFonts w:ascii="Garamond" w:hAnsi="Garamond"/>
          <w:color w:val="000000" w:themeColor="text1"/>
          <w:sz w:val="24"/>
          <w:lang w:val="it-IT"/>
        </w:rPr>
        <w:t>, 25–32. https://doi.org/10.1038/s41893-020-00597-z</w:t>
      </w:r>
    </w:p>
    <w:p w14:paraId="75621C4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Aleman, J. C., Fayolle, A., Favier, C., Staver, A. C., Dexter, K. G., Ryan, C. M., Azihou, A. F., Bauman, D., te Beest, M., Chidumayo, E. N., Comiskey, J. A., Cromsigt, J. P. G. M., Dessard, H., Doucet, J. L., Finckh, M., Gillet, J. F., Gourlet-Fleury, S., Hempson, G. P., Holdo, R. M., … Swaine, M. D. (2020). Floristic evidence for alternative biome states in tropical Africa. </w:t>
      </w:r>
      <w:r w:rsidRPr="008A50E8">
        <w:rPr>
          <w:rFonts w:ascii="Garamond" w:hAnsi="Garamond"/>
          <w:i/>
          <w:iCs/>
          <w:color w:val="000000" w:themeColor="text1"/>
          <w:sz w:val="24"/>
          <w:lang w:val="it-IT"/>
        </w:rPr>
        <w:t>Proceedings of the National Academy of Sciences of the United States of America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117</w:t>
      </w:r>
      <w:r w:rsidRPr="008A50E8">
        <w:rPr>
          <w:rFonts w:ascii="Garamond" w:hAnsi="Garamond"/>
          <w:color w:val="000000" w:themeColor="text1"/>
          <w:sz w:val="24"/>
          <w:lang w:val="it-IT"/>
        </w:rPr>
        <w:t>(45), 28183–28190. https://doi.org/10.1073/pnas.2011515117</w:t>
      </w:r>
    </w:p>
    <w:p w14:paraId="4FE2B51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Ali, I., Cawkwell, F., Dwyer, E., Barrett, B., &amp; Green, S. (2016). Satellite remote sensing of grasslands: From observation to management. </w:t>
      </w:r>
      <w:r w:rsidRPr="008A50E8">
        <w:rPr>
          <w:rFonts w:ascii="Garamond" w:hAnsi="Garamond"/>
          <w:i/>
          <w:iCs/>
          <w:color w:val="000000" w:themeColor="text1"/>
          <w:sz w:val="24"/>
          <w:lang w:val="it-IT"/>
        </w:rPr>
        <w:t>Journal of Plant Ecology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9</w:t>
      </w:r>
      <w:r w:rsidRPr="008A50E8">
        <w:rPr>
          <w:rFonts w:ascii="Garamond" w:hAnsi="Garamond"/>
          <w:color w:val="000000" w:themeColor="text1"/>
          <w:sz w:val="24"/>
          <w:lang w:val="it-IT"/>
        </w:rPr>
        <w:t>(6), 649–671. https://doi.org/10.1093/jpe/rtw005</w:t>
      </w:r>
    </w:p>
    <w:p w14:paraId="474923B8"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Allen, V. G., Batello, C., Berretta, E. J., Hodgson, J., Kothmann, M., Li, X., McIvor, J., Milne, J., Morris, C., Peeters, A., &amp; Sanderson, M. (2011). An international terminology for grazing lands and grazing animals. </w:t>
      </w:r>
      <w:r w:rsidRPr="008A50E8">
        <w:rPr>
          <w:rFonts w:ascii="Garamond" w:hAnsi="Garamond"/>
          <w:i/>
          <w:iCs/>
          <w:color w:val="000000" w:themeColor="text1"/>
          <w:sz w:val="24"/>
          <w:lang w:val="it-IT"/>
        </w:rPr>
        <w:t>Grass and Forage 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66</w:t>
      </w:r>
      <w:r w:rsidRPr="008A50E8">
        <w:rPr>
          <w:rFonts w:ascii="Garamond" w:hAnsi="Garamond"/>
          <w:color w:val="000000" w:themeColor="text1"/>
          <w:sz w:val="24"/>
          <w:lang w:val="it-IT"/>
        </w:rPr>
        <w:t>(1), 2–28. https://doi.org/10.1111/j.1365-2494.2010.00780.x</w:t>
      </w:r>
    </w:p>
    <w:p w14:paraId="5BEC1BD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Alvarado, S. T., Andela, N., Silva, T. S. F., &amp; Archibald, S. (2020). Thresholds of fire response to moisture and fuel load differ between tropical savannas and grasslands across continents. </w:t>
      </w:r>
      <w:r w:rsidRPr="008A50E8">
        <w:rPr>
          <w:rFonts w:ascii="Garamond" w:hAnsi="Garamond"/>
          <w:i/>
          <w:iCs/>
          <w:color w:val="000000" w:themeColor="text1"/>
          <w:sz w:val="24"/>
          <w:lang w:val="it-IT"/>
        </w:rPr>
        <w:t>Global Ecology and Biogeography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29</w:t>
      </w:r>
      <w:r w:rsidRPr="008A50E8">
        <w:rPr>
          <w:rFonts w:ascii="Garamond" w:hAnsi="Garamond"/>
          <w:color w:val="000000" w:themeColor="text1"/>
          <w:sz w:val="24"/>
          <w:lang w:val="it-IT"/>
        </w:rPr>
        <w:t>(2), 331–344. https://doi.org/10.1111/geb.13034</w:t>
      </w:r>
    </w:p>
    <w:p w14:paraId="0BF3EFD4"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Andela, N., Liu, Y. Y., M. Van Dijk, A. I. J., De Jeu, R. A. M., &amp; McVicar, T. R. (2013). Global changes in dryland vegetation dynamics (1988-2008) assessed by satellite remote sensing: Comparing a new passive microwave vegetation density record with reflective greenness data. </w:t>
      </w:r>
      <w:r w:rsidRPr="008A50E8">
        <w:rPr>
          <w:rFonts w:ascii="Garamond" w:hAnsi="Garamond"/>
          <w:i/>
          <w:iCs/>
          <w:color w:val="000000" w:themeColor="text1"/>
          <w:sz w:val="24"/>
          <w:lang w:val="it-IT"/>
        </w:rPr>
        <w:t>Biogeosciences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10</w:t>
      </w:r>
      <w:r w:rsidRPr="008A50E8">
        <w:rPr>
          <w:rFonts w:ascii="Garamond" w:hAnsi="Garamond"/>
          <w:color w:val="000000" w:themeColor="text1"/>
          <w:sz w:val="24"/>
          <w:lang w:val="it-IT"/>
        </w:rPr>
        <w:t>(10), 6657–6676. https://doi.org/10.5194/bg-10-6657-2013</w:t>
      </w:r>
    </w:p>
    <w:p w14:paraId="284455C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Andela, N., Morton, D. C., Giglio, L., Chen, Y., Van Der Werf, G. R., Kasibhatla, P. S., DeFries, R. S., Collatz, G. J., Hantson, S., Kloster, S., Bachelet, D., Forrest, M., Lasslop, G., Li, F., Mangeon, S., Melton, J. R., Yue, C., &amp; Randerson, J. T. (2017). A human-driven decline in global burned area.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356</w:t>
      </w:r>
      <w:r w:rsidRPr="008A50E8">
        <w:rPr>
          <w:rFonts w:ascii="Garamond" w:hAnsi="Garamond"/>
          <w:color w:val="000000" w:themeColor="text1"/>
          <w:sz w:val="24"/>
          <w:lang w:val="it-IT"/>
        </w:rPr>
        <w:t>(6345), 1356–1362. https://doi.org/10.1126/science.aal4108</w:t>
      </w:r>
    </w:p>
    <w:p w14:paraId="609AC0B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Archibald, S., Nickless, A., Govender, N., Scholes, R. J., &amp; Lehsten, V. (2010). Climate and the inter-annual variability of fire in southern Africa: A meta-analysis using long-term field data and satellite-derived burnt area data. </w:t>
      </w:r>
      <w:r w:rsidRPr="008A50E8">
        <w:rPr>
          <w:rFonts w:ascii="Garamond" w:hAnsi="Garamond"/>
          <w:i/>
          <w:iCs/>
          <w:color w:val="000000" w:themeColor="text1"/>
          <w:sz w:val="24"/>
          <w:lang w:val="it-IT"/>
        </w:rPr>
        <w:t>Global Ecology and Biogeography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19</w:t>
      </w:r>
      <w:r w:rsidRPr="008A50E8">
        <w:rPr>
          <w:rFonts w:ascii="Garamond" w:hAnsi="Garamond"/>
          <w:color w:val="000000" w:themeColor="text1"/>
          <w:sz w:val="24"/>
          <w:lang w:val="it-IT"/>
        </w:rPr>
        <w:t>(6), 794–809. https://doi.org/10.1111/j.1466-8238.2010.00568.x</w:t>
      </w:r>
    </w:p>
    <w:p w14:paraId="2BE083D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Archibald, S., Roy, D. P., van Wilgen, B. W., &amp; Scholes, R. J. (2009). What limits fire? An examination of drivers of burnt area in Southern Africa.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15</w:t>
      </w:r>
      <w:r w:rsidRPr="008A50E8">
        <w:rPr>
          <w:rFonts w:ascii="Garamond" w:hAnsi="Garamond"/>
          <w:color w:val="000000" w:themeColor="text1"/>
          <w:sz w:val="24"/>
          <w:lang w:val="it-IT"/>
        </w:rPr>
        <w:t>(3), 613–630. https://doi.org/10.1111/j.1365-2486.2008.01754.x</w:t>
      </w:r>
    </w:p>
    <w:p w14:paraId="5F2E10D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Bardgett, R. D., Bullock, J. M., Lavorel, S., Manning, P., Schaffner, U., Ostle, N., Chomel, M., Durigan, G., L. Fry, E., Johnson, D., Lavallee, J. M., Le Provost, G., Luo, S., Png, K., Sankaran, M., Hou, X., Zhou, H., Ma, L., Ren, W., … Shi, H. (2021). Combatting global grassland degradation. </w:t>
      </w:r>
      <w:r w:rsidRPr="008A50E8">
        <w:rPr>
          <w:rFonts w:ascii="Garamond" w:hAnsi="Garamond"/>
          <w:i/>
          <w:iCs/>
          <w:color w:val="000000" w:themeColor="text1"/>
          <w:sz w:val="24"/>
          <w:lang w:val="it-IT"/>
        </w:rPr>
        <w:t>Nature Reviews Earth and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(10), 720–735. https://doi.org/10.1038/s43017-021-00207-2</w:t>
      </w:r>
    </w:p>
    <w:p w14:paraId="0548E41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Beck, H. E., Vergopolan, N., Pan, M., Levizzani, V., Van Dijk, A. I. J. M., Weedon, G. P., Brocca, L., Pappenberger, F., Huffman, G. J., &amp; Wood, E. F. (2017). Global-scale evaluation of 22 precipitation datasets using gauge observations and hydrological modeling. </w:t>
      </w:r>
      <w:r w:rsidRPr="008A50E8">
        <w:rPr>
          <w:rFonts w:ascii="Garamond" w:hAnsi="Garamond"/>
          <w:i/>
          <w:iCs/>
          <w:color w:val="000000" w:themeColor="text1"/>
          <w:sz w:val="24"/>
          <w:lang w:val="it-IT"/>
        </w:rPr>
        <w:t>Hydrology and Earth System Sciences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21</w:t>
      </w:r>
      <w:r w:rsidRPr="008A50E8">
        <w:rPr>
          <w:rFonts w:ascii="Garamond" w:hAnsi="Garamond"/>
          <w:color w:val="000000" w:themeColor="text1"/>
          <w:sz w:val="24"/>
          <w:lang w:val="it-IT"/>
        </w:rPr>
        <w:t>(12), 6201–6217. https://doi.org/10.5194/hess-21-6201-2017</w:t>
      </w:r>
    </w:p>
    <w:p w14:paraId="58642ED6"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Bivand, R., Altman, M., Anselin, L., Assunção, R., Berke, O., Blanchet, G., Carvalho, M., Christensen, B., Chun, Y., Dormann, C., Dray, S., Gómez-Rubio, V., Krainski, E., Legendre, P., Lewin-Koh, N., Li, A., Millo, G., Mueller, W., Ono, H., … Yu, D. (2022). Package ‘spdep.’ In </w:t>
      </w:r>
      <w:r w:rsidRPr="008A50E8">
        <w:rPr>
          <w:rFonts w:ascii="Garamond" w:hAnsi="Garamond"/>
          <w:i/>
          <w:iCs/>
          <w:color w:val="000000" w:themeColor="text1"/>
          <w:sz w:val="24"/>
          <w:lang w:val="it-IT"/>
        </w:rPr>
        <w:t>CRAN</w:t>
      </w:r>
      <w:r w:rsidRPr="008A50E8">
        <w:rPr>
          <w:rFonts w:ascii="Garamond" w:hAnsi="Garamond"/>
          <w:color w:val="000000" w:themeColor="text1"/>
          <w:sz w:val="24"/>
          <w:lang w:val="it-IT"/>
        </w:rPr>
        <w:t>.</w:t>
      </w:r>
    </w:p>
    <w:p w14:paraId="16659CB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Bivand, R., Piras, G., Anselin, L., Bernat, A., Blankmeyer, E., Chun, Y., Gómez-Rubio, V., Griffith, D., Gubri, M., Halbersma, M. T., LeSage, J., Li, A., Li, H., Ma, J., Mallik, A., Millo, G., Pace, K., Peres-Neto, P., Rüttenauer, T., … Tiefelsdorf, M. (2022). Package ‘spatialreg.’ In </w:t>
      </w:r>
      <w:r w:rsidRPr="008A50E8">
        <w:rPr>
          <w:rFonts w:ascii="Garamond" w:hAnsi="Garamond"/>
          <w:i/>
          <w:iCs/>
          <w:color w:val="000000" w:themeColor="text1"/>
          <w:sz w:val="24"/>
          <w:lang w:val="it-IT"/>
        </w:rPr>
        <w:t>CRAN</w:t>
      </w:r>
      <w:r w:rsidRPr="008A50E8">
        <w:rPr>
          <w:rFonts w:ascii="Garamond" w:hAnsi="Garamond"/>
          <w:color w:val="000000" w:themeColor="text1"/>
          <w:sz w:val="24"/>
          <w:lang w:val="it-IT"/>
        </w:rPr>
        <w:t>.</w:t>
      </w:r>
    </w:p>
    <w:p w14:paraId="5339CB3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Bivand, R. S., &amp; Wong, D. W. S. (2018). Comparing implementations of global and local indicators of spatial association. </w:t>
      </w:r>
      <w:r w:rsidRPr="008A50E8">
        <w:rPr>
          <w:rFonts w:ascii="Garamond" w:hAnsi="Garamond"/>
          <w:i/>
          <w:iCs/>
          <w:color w:val="000000" w:themeColor="text1"/>
          <w:sz w:val="24"/>
          <w:lang w:val="it-IT"/>
        </w:rPr>
        <w:t>Test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27</w:t>
      </w:r>
      <w:r w:rsidRPr="008A50E8">
        <w:rPr>
          <w:rFonts w:ascii="Garamond" w:hAnsi="Garamond"/>
          <w:color w:val="000000" w:themeColor="text1"/>
          <w:sz w:val="24"/>
          <w:lang w:val="it-IT"/>
        </w:rPr>
        <w:t>(3), 716–748. https://doi.org/10.1007/s11749-018-0599-x</w:t>
      </w:r>
    </w:p>
    <w:p w14:paraId="6B3588F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Bowman, D. M. J. S., Kolden, C. A., Abatzoglou, J. T., Johnston, F. H., van der Werf, G. R., &amp; Flannigan, M. (2020). Vegetation fires in the Anthropocene. </w:t>
      </w:r>
      <w:r w:rsidRPr="008A50E8">
        <w:rPr>
          <w:rFonts w:ascii="Garamond" w:hAnsi="Garamond"/>
          <w:i/>
          <w:iCs/>
          <w:color w:val="000000" w:themeColor="text1"/>
          <w:sz w:val="24"/>
          <w:lang w:val="it-IT"/>
        </w:rPr>
        <w:t>Nature Reviews Earth and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w:t>
      </w:r>
      <w:r w:rsidRPr="008A50E8">
        <w:rPr>
          <w:rFonts w:ascii="Garamond" w:hAnsi="Garamond"/>
          <w:color w:val="000000" w:themeColor="text1"/>
          <w:sz w:val="24"/>
          <w:lang w:val="it-IT"/>
        </w:rPr>
        <w:t>(10), 500–515. https://doi.org/10.1038/s43017-020-0085-3</w:t>
      </w:r>
    </w:p>
    <w:p w14:paraId="7FD46E54"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Bowman, D. M. J. S., Perry, G. L. W., &amp; Marston, J. B. (2015). Feedbacks and landscape-level vegetation dynamics. </w:t>
      </w:r>
      <w:r w:rsidRPr="008A50E8">
        <w:rPr>
          <w:rFonts w:ascii="Garamond" w:hAnsi="Garamond"/>
          <w:i/>
          <w:iCs/>
          <w:color w:val="000000" w:themeColor="text1"/>
          <w:sz w:val="24"/>
          <w:lang w:val="it-IT"/>
        </w:rPr>
        <w:t>Trends in Ecology and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30</w:t>
      </w:r>
      <w:r w:rsidRPr="008A50E8">
        <w:rPr>
          <w:rFonts w:ascii="Garamond" w:hAnsi="Garamond"/>
          <w:color w:val="000000" w:themeColor="text1"/>
          <w:sz w:val="24"/>
          <w:lang w:val="it-IT"/>
        </w:rPr>
        <w:t>(5), 255–260. https://doi.org/10.1016/j.tree.2015.03.005</w:t>
      </w:r>
    </w:p>
    <w:p w14:paraId="13997D7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Brandt, M., Hiernaux, P., Rasmussen, K., Tucker, C. J., Wigneron, J.-P., Diouf, A. A., Herrmann, S. M., Zhang, W., Kergoat, L., Mbow, C., Abel, C., Auda, Y., &amp; Fensholt, R. (2019). Changes in rainfall distribution promote woody foliage production in the Sahel. </w:t>
      </w:r>
      <w:r w:rsidRPr="008A50E8">
        <w:rPr>
          <w:rFonts w:ascii="Garamond" w:hAnsi="Garamond"/>
          <w:i/>
          <w:iCs/>
          <w:color w:val="000000" w:themeColor="text1"/>
          <w:sz w:val="24"/>
          <w:lang w:val="it-IT"/>
        </w:rPr>
        <w:t>Communications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(1), 133. https://doi.org/10.1038/s42003-019-0383-9</w:t>
      </w:r>
    </w:p>
    <w:p w14:paraId="026DDAF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Brandt, M., Rasmussen, K., Peñuelas, J., Tian, F., Schurgers, G., Verger, A., Mertz, O., Palmer, J. R. B., &amp; Fensholt, R. (2017). Human population growth offsets climate-driven increase in woody vegetation in sub-Saharan Africa. </w:t>
      </w:r>
      <w:r w:rsidRPr="008A50E8">
        <w:rPr>
          <w:rFonts w:ascii="Garamond" w:hAnsi="Garamond"/>
          <w:i/>
          <w:iCs/>
          <w:color w:val="000000" w:themeColor="text1"/>
          <w:sz w:val="24"/>
          <w:lang w:val="it-IT"/>
        </w:rPr>
        <w:t>Nature Ecology &amp;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w:t>
      </w:r>
      <w:r w:rsidRPr="008A50E8">
        <w:rPr>
          <w:rFonts w:ascii="Garamond" w:hAnsi="Garamond"/>
          <w:color w:val="000000" w:themeColor="text1"/>
          <w:sz w:val="24"/>
          <w:lang w:val="it-IT"/>
        </w:rPr>
        <w:t>(4), 0081. https://doi.org/10.1038/s41559-017-0081</w:t>
      </w:r>
    </w:p>
    <w:p w14:paraId="4B765F8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Brandt, M., Tucker, C. J., Kariryaa, A., Rasmussen, K., Abel, C., Small, J., Chave, J., Rasmussen, L. V., Hiernaux, P., Diouf, A. A., Kergoat, L., Mertz, O., Igel, C., Gieseke, F., Schöning, J., Li, S., Melocik, K., Meyer, J., Sinno, S., … Fensholt, R. (2020). An unexpectedly large count of trees in the West African Sahara and Sahel. </w:t>
      </w:r>
      <w:r w:rsidRPr="008A50E8">
        <w:rPr>
          <w:rFonts w:ascii="Garamond" w:hAnsi="Garamond"/>
          <w:i/>
          <w:iCs/>
          <w:color w:val="000000" w:themeColor="text1"/>
          <w:sz w:val="24"/>
          <w:lang w:val="it-IT"/>
        </w:rPr>
        <w:t>Nature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587</w:t>
      </w:r>
      <w:r w:rsidRPr="008A50E8">
        <w:rPr>
          <w:rFonts w:ascii="Garamond" w:hAnsi="Garamond"/>
          <w:color w:val="000000" w:themeColor="text1"/>
          <w:sz w:val="24"/>
          <w:lang w:val="it-IT"/>
        </w:rPr>
        <w:t>(August 2019). https://doi.org/10.1038/s41586-020-2824-5</w:t>
      </w:r>
    </w:p>
    <w:p w14:paraId="173B3BB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Brandt, M., Wigneron, J. P., Chave, J., Tagesson, T., Penuelas, J., Ciais, P., Rasmussen, K., Tian, F., Mbow, C., Al-Yaari, A., Rodriguez-Fernandez, N., Schurgers, G., Zhang, W., Chang, J., Kerr, Y., Verger, A., Tucker, C., Mialon, A., Rasmussen, L. V., … Fensholt, R. (2018). Satellite passive microwaves reveal recent climate-induced carbon losses in African drylands. </w:t>
      </w:r>
      <w:r w:rsidRPr="008A50E8">
        <w:rPr>
          <w:rFonts w:ascii="Garamond" w:hAnsi="Garamond"/>
          <w:i/>
          <w:iCs/>
          <w:color w:val="000000" w:themeColor="text1"/>
          <w:sz w:val="24"/>
          <w:lang w:val="it-IT"/>
        </w:rPr>
        <w:t>Nature Ecology &amp;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 827–835. https://doi.org/10.1038/s41559-018-0530-6 Satellite</w:t>
      </w:r>
    </w:p>
    <w:p w14:paraId="566F00D9"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Brown, L. A., Morris, H., MacLachlan, A., D’Adamo, F., Adams, J., Lopez-Baeza, E., Albero, E., Martínez, B., Sánchez-Ruiz, S., Campos-Taberner, M., Lidón, A., Lull, C., Bautista, I., Clewley, D., Llewellyn, G., Xie, Q., Camacho, F., Pastor-Guzman, J., Morrone, R., … Dash, J. (2024). Hyperspectral Leaf Area Index and Chlorophyll Retrieval over Forest and Row-Structured Vineyard Canopies. </w:t>
      </w:r>
      <w:r w:rsidRPr="008A50E8">
        <w:rPr>
          <w:rFonts w:ascii="Garamond" w:hAnsi="Garamond"/>
          <w:i/>
          <w:iCs/>
          <w:color w:val="000000" w:themeColor="text1"/>
          <w:sz w:val="24"/>
          <w:lang w:val="it-IT"/>
        </w:rPr>
        <w:t>Remote Sensing</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16</w:t>
      </w:r>
      <w:r w:rsidRPr="008A50E8">
        <w:rPr>
          <w:rFonts w:ascii="Garamond" w:hAnsi="Garamond"/>
          <w:color w:val="000000" w:themeColor="text1"/>
          <w:sz w:val="24"/>
          <w:lang w:val="it-IT"/>
        </w:rPr>
        <w:t>(12), 2066. https://doi.org/10.3390/rs16122066</w:t>
      </w:r>
    </w:p>
    <w:p w14:paraId="7B805A19"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Burnham, K. P., Anderson, D. R., &amp; Huyvaert, K. P. (2011). AIC model selection and multimodel inference in behavioral ecology: Some background , observations , and comparisons. </w:t>
      </w:r>
      <w:r w:rsidRPr="008A50E8">
        <w:rPr>
          <w:rFonts w:ascii="Garamond" w:hAnsi="Garamond"/>
          <w:i/>
          <w:iCs/>
          <w:color w:val="000000" w:themeColor="text1"/>
          <w:sz w:val="24"/>
          <w:lang w:val="it-IT"/>
        </w:rPr>
        <w:t>Behavioral Ecology and Sociobiology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65</w:t>
      </w:r>
      <w:r w:rsidRPr="008A50E8">
        <w:rPr>
          <w:rFonts w:ascii="Garamond" w:hAnsi="Garamond"/>
          <w:color w:val="000000" w:themeColor="text1"/>
          <w:sz w:val="24"/>
          <w:lang w:val="it-IT"/>
        </w:rPr>
        <w:t>, 23–35. https://doi.org/10.1007/s00265-010-1029-6</w:t>
      </w:r>
    </w:p>
    <w:p w14:paraId="060D660D"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Cade, B. S. (2015). Model averaging and muddled multimodel inferences. </w:t>
      </w:r>
      <w:r w:rsidRPr="008A50E8">
        <w:rPr>
          <w:rFonts w:ascii="Garamond" w:hAnsi="Garamond"/>
          <w:i/>
          <w:iCs/>
          <w:color w:val="000000" w:themeColor="text1"/>
          <w:sz w:val="24"/>
          <w:lang w:val="it-IT"/>
        </w:rPr>
        <w:t>Ecology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96</w:t>
      </w:r>
      <w:r w:rsidRPr="008A50E8">
        <w:rPr>
          <w:rFonts w:ascii="Garamond" w:hAnsi="Garamond"/>
          <w:color w:val="000000" w:themeColor="text1"/>
          <w:sz w:val="24"/>
          <w:lang w:val="it-IT"/>
        </w:rPr>
        <w:t>(9), 2370–2382. https://doi.org/10.1890/14-1639.1</w:t>
      </w:r>
    </w:p>
    <w:p w14:paraId="4B10A2A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Case, M. F., &amp; Staver, A. C. (2017). Fire prevents woody encroachment only at higher-than-historical frequencies in a South African savanna. </w:t>
      </w:r>
      <w:r w:rsidRPr="008A50E8">
        <w:rPr>
          <w:rFonts w:ascii="Garamond" w:hAnsi="Garamond"/>
          <w:i/>
          <w:iCs/>
          <w:color w:val="000000" w:themeColor="text1"/>
          <w:sz w:val="24"/>
          <w:lang w:val="it-IT"/>
        </w:rPr>
        <w:t>Journal of Applied Ecology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54</w:t>
      </w:r>
      <w:r w:rsidRPr="008A50E8">
        <w:rPr>
          <w:rFonts w:ascii="Garamond" w:hAnsi="Garamond"/>
          <w:color w:val="000000" w:themeColor="text1"/>
          <w:sz w:val="24"/>
          <w:lang w:val="it-IT"/>
        </w:rPr>
        <w:t>(3), 955–962. https://doi.org/10.1111/1365-2664.12805</w:t>
      </w:r>
    </w:p>
    <w:p w14:paraId="583D3876"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Case, M. F., &amp; Staver, A. C. (2018). Soil texture mediates tree responses to rainfall intensity in African savannas. </w:t>
      </w:r>
      <w:r w:rsidRPr="008A50E8">
        <w:rPr>
          <w:rFonts w:ascii="Garamond" w:hAnsi="Garamond"/>
          <w:i/>
          <w:iCs/>
          <w:color w:val="000000" w:themeColor="text1"/>
          <w:sz w:val="24"/>
          <w:lang w:val="it-IT"/>
        </w:rPr>
        <w:t>New Phytologist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219</w:t>
      </w:r>
      <w:r w:rsidRPr="008A50E8">
        <w:rPr>
          <w:rFonts w:ascii="Garamond" w:hAnsi="Garamond"/>
          <w:color w:val="000000" w:themeColor="text1"/>
          <w:sz w:val="24"/>
          <w:lang w:val="it-IT"/>
        </w:rPr>
        <w:t>(4), 1363–1372. https://doi.org/10.1111/nph.15254</w:t>
      </w:r>
    </w:p>
    <w:p w14:paraId="3FABE58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Chaparro, D., Jagdhuber, T., Piles, M., Jonard, F., Fluhrer, A., Vall-llossera, M., Camps, A., López-Martínez, C., Fernández-Morán, R., Baur, M., Feldman, A. F., Fink, A., &amp; Entekhabi, D. (2024). Vegetation moisture estimation in the Western United States using radiometer-radar-lidar synergy. </w:t>
      </w:r>
      <w:r w:rsidRPr="008A50E8">
        <w:rPr>
          <w:rFonts w:ascii="Garamond" w:hAnsi="Garamond"/>
          <w:i/>
          <w:iCs/>
          <w:color w:val="000000" w:themeColor="text1"/>
          <w:sz w:val="24"/>
          <w:lang w:val="it-IT"/>
        </w:rPr>
        <w:t>Remote Sensing of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303</w:t>
      </w:r>
      <w:r w:rsidRPr="008A50E8">
        <w:rPr>
          <w:rFonts w:ascii="Garamond" w:hAnsi="Garamond"/>
          <w:color w:val="000000" w:themeColor="text1"/>
          <w:sz w:val="24"/>
          <w:lang w:val="it-IT"/>
        </w:rPr>
        <w:t>, 113993. https://doi.org/10.1016/j.rse.2024.113993</w:t>
      </w:r>
    </w:p>
    <w:p w14:paraId="40904926"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CIESIN. (2018). Documentation for the Gridded Population of the World, Version 4 (GPWv4), Revision 11 Data Sets. In </w:t>
      </w:r>
      <w:r w:rsidRPr="008A50E8">
        <w:rPr>
          <w:rFonts w:ascii="Garamond" w:hAnsi="Garamond"/>
          <w:i/>
          <w:iCs/>
          <w:color w:val="000000" w:themeColor="text1"/>
          <w:sz w:val="24"/>
          <w:lang w:val="it-IT"/>
        </w:rPr>
        <w:t>Columbia University</w:t>
      </w:r>
      <w:r w:rsidRPr="008A50E8">
        <w:rPr>
          <w:rFonts w:ascii="Garamond" w:hAnsi="Garamond"/>
          <w:color w:val="000000" w:themeColor="text1"/>
          <w:sz w:val="24"/>
          <w:lang w:val="it-IT"/>
        </w:rPr>
        <w:t xml:space="preserve"> (p. 53pp). NASA Socioeconomic Data and Applications Center (SEDAC). https://doi.org/10.7927/H45Q4T5F</w:t>
      </w:r>
    </w:p>
    <w:p w14:paraId="7A5314F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Cortina, J. M., Green, J. P., Keeler, K. R., &amp; Vandenberg, R. J. (2017). Degrees of Freedom in SEM: Are We Testing the Models That We Claim to Test? </w:t>
      </w:r>
      <w:r w:rsidRPr="008A50E8">
        <w:rPr>
          <w:rFonts w:ascii="Garamond" w:hAnsi="Garamond"/>
          <w:i/>
          <w:iCs/>
          <w:color w:val="000000" w:themeColor="text1"/>
          <w:sz w:val="24"/>
          <w:lang w:val="it-IT"/>
        </w:rPr>
        <w:t>Organizational Research Methods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w:t>
      </w:r>
      <w:r w:rsidRPr="008A50E8">
        <w:rPr>
          <w:rFonts w:ascii="Garamond" w:hAnsi="Garamond"/>
          <w:color w:val="000000" w:themeColor="text1"/>
          <w:sz w:val="24"/>
          <w:lang w:val="it-IT"/>
        </w:rPr>
        <w:t>(3), 350–378. https://doi.org/10.1177/1094428116676345</w:t>
      </w:r>
    </w:p>
    <w:p w14:paraId="6059141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D’Adamo, F., Ogutu, B., Brandt, M., Schurgers, G., &amp; Dash, J. (2021). Climatic and non-climatic vegetation cover changes in the rangelands of Africa. </w:t>
      </w:r>
      <w:r w:rsidRPr="008A50E8">
        <w:rPr>
          <w:rFonts w:ascii="Garamond" w:hAnsi="Garamond"/>
          <w:i/>
          <w:iCs/>
          <w:color w:val="000000" w:themeColor="text1"/>
          <w:sz w:val="24"/>
          <w:lang w:val="it-IT"/>
        </w:rPr>
        <w:t>Global and Planetary Change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202</w:t>
      </w:r>
      <w:r w:rsidRPr="008A50E8">
        <w:rPr>
          <w:rFonts w:ascii="Garamond" w:hAnsi="Garamond"/>
          <w:color w:val="000000" w:themeColor="text1"/>
          <w:sz w:val="24"/>
          <w:lang w:val="it-IT"/>
        </w:rPr>
        <w:t>, 103516. https://doi.org/10.1016/j.gloplacha.2021.103516</w:t>
      </w:r>
    </w:p>
    <w:p w14:paraId="54656D1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Dinerstein, E., Olson, D., Joshi, A., Vynne, C., Burgess, N. D., Wikramanayake, E., Hahn, N., Palminteri, S., Hedao, P., Noss, R., Hansen, M., Locke, H., Ellis, E. C., Jones, B., Barber, C. V., Hayes, R., Kormos, C., Martin, V., Crist, E., … Saleem, M. (2017). An Ecoregion-Based Approach to Protecting Half the Terrestrial Realm. </w:t>
      </w:r>
      <w:r w:rsidRPr="008A50E8">
        <w:rPr>
          <w:rFonts w:ascii="Garamond" w:hAnsi="Garamond"/>
          <w:i/>
          <w:iCs/>
          <w:color w:val="000000" w:themeColor="text1"/>
          <w:sz w:val="24"/>
          <w:lang w:val="it-IT"/>
        </w:rPr>
        <w:t>BioScience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67</w:t>
      </w:r>
      <w:r w:rsidRPr="008A50E8">
        <w:rPr>
          <w:rFonts w:ascii="Garamond" w:hAnsi="Garamond"/>
          <w:color w:val="000000" w:themeColor="text1"/>
          <w:sz w:val="24"/>
          <w:lang w:val="it-IT"/>
        </w:rPr>
        <w:t>(6), 534–545. https://doi.org/10.1093/biosci/bix014</w:t>
      </w:r>
    </w:p>
    <w:p w14:paraId="5216A29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Dorigo, W., Wagner, W., Albergel, C., Albrecht, F., Balsamo, G., Brocca, L., Chung, D., Ertl, M., Forkel, M., Gruber, A., Haas, E., Hamer, P. D., Hirschi, M., Ikonen, J., de Jeu, R., Kidd, R., Lahoz, W., Liu, Y. Y., Miralles, D., … Lecomte, P. (2017). ESA CCI Soil Moisture for improved Earth system understanding: State-of-the art and future directions. </w:t>
      </w:r>
      <w:r w:rsidRPr="008A50E8">
        <w:rPr>
          <w:rFonts w:ascii="Garamond" w:hAnsi="Garamond"/>
          <w:i/>
          <w:iCs/>
          <w:color w:val="000000" w:themeColor="text1"/>
          <w:sz w:val="24"/>
          <w:lang w:val="it-IT"/>
        </w:rPr>
        <w:t>Remote Sensing of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203</w:t>
      </w:r>
      <w:r w:rsidRPr="008A50E8">
        <w:rPr>
          <w:rFonts w:ascii="Garamond" w:hAnsi="Garamond"/>
          <w:color w:val="000000" w:themeColor="text1"/>
          <w:sz w:val="24"/>
          <w:lang w:val="it-IT"/>
        </w:rPr>
        <w:t>, 185–215. https://doi.org/10.1016/j.rse.2017.07.001</w:t>
      </w:r>
    </w:p>
    <w:p w14:paraId="496813C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Dormann, F. C., McPherson, M. J., Araújo, B. M., Bivand, R., Bolliger, J., Carl, G., Davies, G. R., Hirzel, A., Jetz, W., Kissling, W. D., Kühn, I., Ohlemüller, R., Peres-Neto, P. R., Reineking, B., Schröder, B., Schurr, F. M., &amp; Wilson, R. (2007). Methods to account for spatial autocorrelation in the analysis of species distributional data: A review. </w:t>
      </w:r>
      <w:r w:rsidRPr="008A50E8">
        <w:rPr>
          <w:rFonts w:ascii="Garamond" w:hAnsi="Garamond"/>
          <w:i/>
          <w:iCs/>
          <w:color w:val="000000" w:themeColor="text1"/>
          <w:sz w:val="24"/>
          <w:lang w:val="it-IT"/>
        </w:rPr>
        <w:t>Ecography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30</w:t>
      </w:r>
      <w:r w:rsidRPr="008A50E8">
        <w:rPr>
          <w:rFonts w:ascii="Garamond" w:hAnsi="Garamond"/>
          <w:color w:val="000000" w:themeColor="text1"/>
          <w:sz w:val="24"/>
          <w:lang w:val="it-IT"/>
        </w:rPr>
        <w:t>(5), 609–628. https://doi.org/10.1111/j.2007.0906-7590.05171.x</w:t>
      </w:r>
    </w:p>
    <w:p w14:paraId="38CCB25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ESA. (2017). </w:t>
      </w:r>
      <w:r w:rsidRPr="008A50E8">
        <w:rPr>
          <w:rFonts w:ascii="Garamond" w:hAnsi="Garamond"/>
          <w:i/>
          <w:iCs/>
          <w:color w:val="000000" w:themeColor="text1"/>
          <w:sz w:val="24"/>
          <w:lang w:val="it-IT"/>
        </w:rPr>
        <w:t>Land Cover CCI: Product User Guide Version 2.0</w:t>
      </w:r>
      <w:r w:rsidRPr="008A50E8">
        <w:rPr>
          <w:rFonts w:ascii="Garamond" w:hAnsi="Garamond"/>
          <w:color w:val="000000" w:themeColor="text1"/>
          <w:sz w:val="24"/>
          <w:lang w:val="it-IT"/>
        </w:rPr>
        <w:t xml:space="preserve"> (p. 105).</w:t>
      </w:r>
    </w:p>
    <w:p w14:paraId="1FE2415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Fan, Y., Chen, J., Shirkey, G., John, R., Wu, S. R., Park, H., &amp; Shao, C. (2016). Applications of structural equation modeling (SEM) in ecological studies: An updated review. </w:t>
      </w:r>
      <w:r w:rsidRPr="008A50E8">
        <w:rPr>
          <w:rFonts w:ascii="Garamond" w:hAnsi="Garamond"/>
          <w:i/>
          <w:iCs/>
          <w:color w:val="000000" w:themeColor="text1"/>
          <w:sz w:val="24"/>
          <w:lang w:val="it-IT"/>
        </w:rPr>
        <w:t>Ecological Processes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5</w:t>
      </w:r>
      <w:r w:rsidRPr="008A50E8">
        <w:rPr>
          <w:rFonts w:ascii="Garamond" w:hAnsi="Garamond"/>
          <w:color w:val="000000" w:themeColor="text1"/>
          <w:sz w:val="24"/>
          <w:lang w:val="it-IT"/>
        </w:rPr>
        <w:t>(1). https://doi.org/10.1186/s13717-016-0063-3</w:t>
      </w:r>
    </w:p>
    <w:p w14:paraId="45F0A37B"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Forkel, M., Dorigo, W., Lasslop, G., Chuvieco, E., Hantson, S., Heil, A., Teubner, I., Thonicke, K., &amp; Harrison, S. P. (2019). Recent global and regional trends in burned area and their compensating environmental controls. </w:t>
      </w:r>
      <w:r w:rsidRPr="008A50E8">
        <w:rPr>
          <w:rFonts w:ascii="Garamond" w:hAnsi="Garamond"/>
          <w:i/>
          <w:iCs/>
          <w:color w:val="000000" w:themeColor="text1"/>
          <w:sz w:val="24"/>
          <w:lang w:val="it-IT"/>
        </w:rPr>
        <w:t>Environmental Research Communications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w:t>
      </w:r>
      <w:r w:rsidRPr="008A50E8">
        <w:rPr>
          <w:rFonts w:ascii="Garamond" w:hAnsi="Garamond"/>
          <w:color w:val="000000" w:themeColor="text1"/>
          <w:sz w:val="24"/>
          <w:lang w:val="it-IT"/>
        </w:rPr>
        <w:t>(5), 051005. https://doi.org/10.1088/2515-7620/ab25d2</w:t>
      </w:r>
    </w:p>
    <w:p w14:paraId="3BBC8478"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Funk, C., Peterson, P., Landsfeld, M., Pedreros, D., Verdin, J., Shukla, S., Husak, G., Rowland, J., Harrison, L., Hoell, A., &amp; Michaelsen, J. (2015). The climate hazards infrared precipitation with stations—A new environmental record for monitoring extremes. </w:t>
      </w:r>
      <w:r w:rsidRPr="008A50E8">
        <w:rPr>
          <w:rFonts w:ascii="Garamond" w:hAnsi="Garamond"/>
          <w:i/>
          <w:iCs/>
          <w:color w:val="000000" w:themeColor="text1"/>
          <w:sz w:val="24"/>
          <w:lang w:val="it-IT"/>
        </w:rPr>
        <w:t>Scientific Data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 150066. https://doi.org/10.1038/sdata.2015.66</w:t>
      </w:r>
    </w:p>
    <w:p w14:paraId="4A32C0D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García Criado, M., Myers-Smith, I. H., Bjorkman, A. D., Lehmann, C. E. R., &amp; Stevens, N. (2020). Woody plant encroachment intensifies under climate change across tundra and savanna biomes. </w:t>
      </w:r>
      <w:r w:rsidRPr="008A50E8">
        <w:rPr>
          <w:rFonts w:ascii="Garamond" w:hAnsi="Garamond"/>
          <w:i/>
          <w:iCs/>
          <w:color w:val="000000" w:themeColor="text1"/>
          <w:sz w:val="24"/>
          <w:lang w:val="it-IT"/>
        </w:rPr>
        <w:t>Global Ecology and Biogeography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29</w:t>
      </w:r>
      <w:r w:rsidRPr="008A50E8">
        <w:rPr>
          <w:rFonts w:ascii="Garamond" w:hAnsi="Garamond"/>
          <w:color w:val="000000" w:themeColor="text1"/>
          <w:sz w:val="24"/>
          <w:lang w:val="it-IT"/>
        </w:rPr>
        <w:t>(5), 925–943. https://doi.org/10.1111/geb.13072</w:t>
      </w:r>
    </w:p>
    <w:p w14:paraId="181BE7D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Gruber, A., Scanlon, T., van der Schalie, R., Wagner, W., &amp; Dorigo, W. (2019). Evolution of the ESA CCI Soil Moisture climate data records and their underlying merging methodology. </w:t>
      </w:r>
      <w:r w:rsidRPr="008A50E8">
        <w:rPr>
          <w:rFonts w:ascii="Garamond" w:hAnsi="Garamond"/>
          <w:i/>
          <w:iCs/>
          <w:color w:val="000000" w:themeColor="text1"/>
          <w:sz w:val="24"/>
          <w:lang w:val="it-IT"/>
        </w:rPr>
        <w:t>Earth System Science Data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11</w:t>
      </w:r>
      <w:r w:rsidRPr="008A50E8">
        <w:rPr>
          <w:rFonts w:ascii="Garamond" w:hAnsi="Garamond"/>
          <w:color w:val="000000" w:themeColor="text1"/>
          <w:sz w:val="24"/>
          <w:lang w:val="it-IT"/>
        </w:rPr>
        <w:t>(2), 717–739. https://doi.org/10.5194/essd-11-717-2019</w:t>
      </w:r>
    </w:p>
    <w:p w14:paraId="019B169B"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Hansen, M. C., Potapov, P. V., Moore, R., Hancher, M., Turubanova, S. A., Tyukavina, A., Thau, D., Stehman, S. V., Goetz, S. J., Loveland, T. R., Kommareddy, A., Egorov, A., Chini, L., Justice, C. O., &amp; Townshend, J. R. G. (2013). High-Resolution Global Maps of 21st-Century Forest Cover Change.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342</w:t>
      </w:r>
      <w:r w:rsidRPr="008A50E8">
        <w:rPr>
          <w:rFonts w:ascii="Garamond" w:hAnsi="Garamond"/>
          <w:color w:val="000000" w:themeColor="text1"/>
          <w:sz w:val="24"/>
          <w:lang w:val="it-IT"/>
        </w:rPr>
        <w:t>(6160), 850–853. https://doi.org/10.1126/science.1244693</w:t>
      </w:r>
    </w:p>
    <w:p w14:paraId="35BEDB7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Haynes, K. J., Liebhold, A. M., Lefcheck, J. S., Morin, R. S., &amp; Wang, G. (2022). Climate affects the outbreaks of a forest defoliator indirectly through its tree hosts. </w:t>
      </w:r>
      <w:r w:rsidRPr="008A50E8">
        <w:rPr>
          <w:rFonts w:ascii="Garamond" w:hAnsi="Garamond"/>
          <w:i/>
          <w:iCs/>
          <w:color w:val="000000" w:themeColor="text1"/>
          <w:sz w:val="24"/>
          <w:lang w:val="it-IT"/>
        </w:rPr>
        <w:t>Oecologia</w:t>
      </w:r>
      <w:r w:rsidRPr="008A50E8">
        <w:rPr>
          <w:rFonts w:ascii="Garamond" w:hAnsi="Garamond"/>
          <w:color w:val="000000" w:themeColor="text1"/>
          <w:sz w:val="24"/>
          <w:lang w:val="it-IT"/>
        </w:rPr>
        <w:t>. https://doi.org/10.1007/s00442-022-05123-w</w:t>
      </w:r>
    </w:p>
    <w:p w14:paraId="75F5ABE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He, T., Lamont, B. B., &amp; Pausas, J. G. (2019). Fire as a key driver of Earth’s biodiversity. </w:t>
      </w:r>
      <w:r w:rsidRPr="008A50E8">
        <w:rPr>
          <w:rFonts w:ascii="Garamond" w:hAnsi="Garamond"/>
          <w:i/>
          <w:iCs/>
          <w:color w:val="000000" w:themeColor="text1"/>
          <w:sz w:val="24"/>
          <w:lang w:val="it-IT"/>
        </w:rPr>
        <w:t>Biological Reviews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94</w:t>
      </w:r>
      <w:r w:rsidRPr="008A50E8">
        <w:rPr>
          <w:rFonts w:ascii="Garamond" w:hAnsi="Garamond"/>
          <w:color w:val="000000" w:themeColor="text1"/>
          <w:sz w:val="24"/>
          <w:lang w:val="it-IT"/>
        </w:rPr>
        <w:t>(6), 1983–2010. https://doi.org/10.1111/brv.12544</w:t>
      </w:r>
    </w:p>
    <w:p w14:paraId="6CCFF1FD"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Hijmans, R. J., Bivand, R., Forner, K., Pebesma, E., &amp; Sumner, M. D. (2022). Package “terra.” In </w:t>
      </w:r>
      <w:r w:rsidRPr="008A50E8">
        <w:rPr>
          <w:rFonts w:ascii="Garamond" w:hAnsi="Garamond"/>
          <w:i/>
          <w:iCs/>
          <w:color w:val="000000" w:themeColor="text1"/>
          <w:sz w:val="24"/>
          <w:lang w:val="it-IT"/>
        </w:rPr>
        <w:t>CRAN</w:t>
      </w:r>
      <w:r w:rsidRPr="008A50E8">
        <w:rPr>
          <w:rFonts w:ascii="Garamond" w:hAnsi="Garamond"/>
          <w:color w:val="000000" w:themeColor="text1"/>
          <w:sz w:val="24"/>
          <w:lang w:val="it-IT"/>
        </w:rPr>
        <w:t>.</w:t>
      </w:r>
    </w:p>
    <w:p w14:paraId="00835E8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James M. Bullock, Fuentes-Montemayor, E., McCarthy, B., Park, K., Hails, R. S., Woodcock, B. A., Watts, K., Corstanje, R., &amp; Harris, J. (2021). Future restoration should enhance ecological complexity and emergent properties at multiple scales. </w:t>
      </w:r>
      <w:r w:rsidRPr="008A50E8">
        <w:rPr>
          <w:rFonts w:ascii="Garamond" w:hAnsi="Garamond"/>
          <w:i/>
          <w:iCs/>
          <w:color w:val="000000" w:themeColor="text1"/>
          <w:sz w:val="24"/>
          <w:lang w:val="it-IT"/>
        </w:rPr>
        <w:t>Ecography</w:t>
      </w:r>
      <w:r w:rsidRPr="008A50E8">
        <w:rPr>
          <w:rFonts w:ascii="Garamond" w:hAnsi="Garamond"/>
          <w:color w:val="000000" w:themeColor="text1"/>
          <w:sz w:val="24"/>
          <w:lang w:val="it-IT"/>
        </w:rPr>
        <w:t>, 1–11. https://doi.org/10.1111/ecog.05780</w:t>
      </w:r>
    </w:p>
    <w:p w14:paraId="4ACE8FB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Karger, D. N., Conrad, O., Böhner, J., Kawohl, T., Kreft, H., Soria-Auza, R. W., Zimmermann, N. E., Linder, H. P., &amp; Kessler, M. (2017). Climatologies at high resolution for the earth’s land surface areas. </w:t>
      </w:r>
      <w:r w:rsidRPr="008A50E8">
        <w:rPr>
          <w:rFonts w:ascii="Garamond" w:hAnsi="Garamond"/>
          <w:i/>
          <w:iCs/>
          <w:color w:val="000000" w:themeColor="text1"/>
          <w:sz w:val="24"/>
          <w:lang w:val="it-IT"/>
        </w:rPr>
        <w:t>Scientific Data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4</w:t>
      </w:r>
      <w:r w:rsidRPr="008A50E8">
        <w:rPr>
          <w:rFonts w:ascii="Garamond" w:hAnsi="Garamond"/>
          <w:color w:val="000000" w:themeColor="text1"/>
          <w:sz w:val="24"/>
          <w:lang w:val="it-IT"/>
        </w:rPr>
        <w:t>, 1–20. https://doi.org/10.1038/sdata.2017.122</w:t>
      </w:r>
    </w:p>
    <w:p w14:paraId="716BAF6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Karger, D. N., Conrad, O., Böhner, J., Kawohl, T., Kreft, H., Soria-Auza, R. W., Zimmermann, N., Linder, H. P., &amp; Kessler, M. (2021). Climatologies at high resolution for the Earth land surface areas. In </w:t>
      </w:r>
      <w:r w:rsidRPr="008A50E8">
        <w:rPr>
          <w:rFonts w:ascii="Garamond" w:hAnsi="Garamond"/>
          <w:i/>
          <w:iCs/>
          <w:color w:val="000000" w:themeColor="text1"/>
          <w:sz w:val="24"/>
          <w:lang w:val="it-IT"/>
        </w:rPr>
        <w:t>CHELSA V2.1: Technical specification</w:t>
      </w:r>
      <w:r w:rsidRPr="008A50E8">
        <w:rPr>
          <w:rFonts w:ascii="Garamond" w:hAnsi="Garamond"/>
          <w:color w:val="000000" w:themeColor="text1"/>
          <w:sz w:val="24"/>
          <w:lang w:val="it-IT"/>
        </w:rPr>
        <w:t>.</w:t>
      </w:r>
    </w:p>
    <w:p w14:paraId="4B33EA0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Karp, A. T., Uno, K. T., Berke, M. A., Russell, J. M., Scholz, C. A., Marlon, J. R., Faith, J. T., &amp; Staver, A. C. (2023). Nonlinear rainfall effects on savanna fire activity across the African Humid Period. </w:t>
      </w:r>
      <w:r w:rsidRPr="008A50E8">
        <w:rPr>
          <w:rFonts w:ascii="Garamond" w:hAnsi="Garamond"/>
          <w:i/>
          <w:iCs/>
          <w:color w:val="000000" w:themeColor="text1"/>
          <w:sz w:val="24"/>
          <w:lang w:val="it-IT"/>
        </w:rPr>
        <w:t>Quaternary Science Reviews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304</w:t>
      </w:r>
      <w:r w:rsidRPr="008A50E8">
        <w:rPr>
          <w:rFonts w:ascii="Garamond" w:hAnsi="Garamond"/>
          <w:color w:val="000000" w:themeColor="text1"/>
          <w:sz w:val="24"/>
          <w:lang w:val="it-IT"/>
        </w:rPr>
        <w:t>, 107994. https://doi.org/10.1016/j.quascirev.2023.107994</w:t>
      </w:r>
    </w:p>
    <w:p w14:paraId="21A563C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Lefcheck, J., Byrnes, J., &amp; James, G. (2020). Package “piecewiseSEM.” In </w:t>
      </w:r>
      <w:r w:rsidRPr="008A50E8">
        <w:rPr>
          <w:rFonts w:ascii="Garamond" w:hAnsi="Garamond"/>
          <w:i/>
          <w:iCs/>
          <w:color w:val="000000" w:themeColor="text1"/>
          <w:sz w:val="24"/>
          <w:lang w:val="it-IT"/>
        </w:rPr>
        <w:t>CRAN</w:t>
      </w:r>
      <w:r w:rsidRPr="008A50E8">
        <w:rPr>
          <w:rFonts w:ascii="Garamond" w:hAnsi="Garamond"/>
          <w:color w:val="000000" w:themeColor="text1"/>
          <w:sz w:val="24"/>
          <w:lang w:val="it-IT"/>
        </w:rPr>
        <w:t>.</w:t>
      </w:r>
    </w:p>
    <w:p w14:paraId="60F0EE2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Lefcheck, J. S. (2016). piecewiseSEM: Piecewise structural equation modelling in r for ecology, evolution, and systematics. </w:t>
      </w:r>
      <w:r w:rsidRPr="008A50E8">
        <w:rPr>
          <w:rFonts w:ascii="Garamond" w:hAnsi="Garamond"/>
          <w:i/>
          <w:iCs/>
          <w:color w:val="000000" w:themeColor="text1"/>
          <w:sz w:val="24"/>
          <w:lang w:val="it-IT"/>
        </w:rPr>
        <w:t>Methods in Ecology and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7</w:t>
      </w:r>
      <w:r w:rsidRPr="008A50E8">
        <w:rPr>
          <w:rFonts w:ascii="Garamond" w:hAnsi="Garamond"/>
          <w:color w:val="000000" w:themeColor="text1"/>
          <w:sz w:val="24"/>
          <w:lang w:val="it-IT"/>
        </w:rPr>
        <w:t>(5), 573–579. https://doi.org/10.1111/2041-210X.12512</w:t>
      </w:r>
    </w:p>
    <w:p w14:paraId="15EE3959"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Lehmann, C. E. R., Anderson, T. M., Sankaran, M., Higgins, S. I., Archibald, S., Hoffmann, W. A., Hanan, N. P., Williams, R. J., Fensham, R. J., Felfili, J., Hutley, L. B., Ratnam, J., San Jose, J., Montes, R., Franklin, D., Russell-Smith, J., Ryan, C. M., Durigan, G., Hiernaux, P., … Bond, W. J. (2014). Savanna Vegetation-Fire-Climate Relationships Differ Among Continents.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343</w:t>
      </w:r>
      <w:r w:rsidRPr="008A50E8">
        <w:rPr>
          <w:rFonts w:ascii="Garamond" w:hAnsi="Garamond"/>
          <w:color w:val="000000" w:themeColor="text1"/>
          <w:sz w:val="24"/>
          <w:lang w:val="it-IT"/>
        </w:rPr>
        <w:t>(6170), 548–552. https://doi.org/10.1126/science.1247355</w:t>
      </w:r>
    </w:p>
    <w:p w14:paraId="6F1ACE9D"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Li, X., Wigneron, J. P., Frappart, F., Fan, L., Ciais, P., Fensholt, R., Entekhabi, D., Brandt, M., Konings, A. G., Liu, X., Wang, M., Al-Yaari, A., &amp; Moisy, C. (2021). Global-scale assessment and inter-comparison of recently developed/reprocessed microwave satellite vegetation optical depth products. </w:t>
      </w:r>
      <w:r w:rsidRPr="008A50E8">
        <w:rPr>
          <w:rFonts w:ascii="Garamond" w:hAnsi="Garamond"/>
          <w:i/>
          <w:iCs/>
          <w:color w:val="000000" w:themeColor="text1"/>
          <w:sz w:val="24"/>
          <w:lang w:val="it-IT"/>
        </w:rPr>
        <w:t>Remote Sensing of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253</w:t>
      </w:r>
      <w:r w:rsidRPr="008A50E8">
        <w:rPr>
          <w:rFonts w:ascii="Garamond" w:hAnsi="Garamond"/>
          <w:color w:val="000000" w:themeColor="text1"/>
          <w:sz w:val="24"/>
          <w:lang w:val="it-IT"/>
        </w:rPr>
        <w:t>(December 2020). https://doi.org/10.1016/j.rse.2020.112208</w:t>
      </w:r>
    </w:p>
    <w:p w14:paraId="7275619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Li, X., Zuo, X., Qiao, J., Hu, Y., Wang, S., Yue, P., Cheng, H., Song, Z., Chen, M., &amp; Hautier, Y. (2024). Context</w:t>
      </w:r>
      <w:r w:rsidRPr="008A50E8">
        <w:rPr>
          <w:rFonts w:ascii="Cambria Math" w:hAnsi="Cambria Math" w:cs="Cambria Math"/>
          <w:color w:val="000000" w:themeColor="text1"/>
          <w:sz w:val="24"/>
          <w:lang w:val="it-IT"/>
        </w:rPr>
        <w:t>‐</w:t>
      </w:r>
      <w:r w:rsidRPr="008A50E8">
        <w:rPr>
          <w:rFonts w:ascii="Garamond" w:hAnsi="Garamond"/>
          <w:color w:val="000000" w:themeColor="text1"/>
          <w:sz w:val="24"/>
          <w:lang w:val="it-IT"/>
        </w:rPr>
        <w:t xml:space="preserve">dependent impact of changes in precipitation on the stability of grassland biomass. </w:t>
      </w:r>
      <w:r w:rsidRPr="008A50E8">
        <w:rPr>
          <w:rFonts w:ascii="Garamond" w:hAnsi="Garamond"/>
          <w:i/>
          <w:iCs/>
          <w:color w:val="000000" w:themeColor="text1"/>
          <w:sz w:val="24"/>
          <w:lang w:val="it-IT"/>
        </w:rPr>
        <w:t>Functional Ecology</w:t>
      </w:r>
      <w:r w:rsidRPr="008A50E8">
        <w:rPr>
          <w:rFonts w:ascii="Garamond" w:hAnsi="Garamond"/>
          <w:color w:val="000000" w:themeColor="text1"/>
          <w:sz w:val="24"/>
          <w:lang w:val="it-IT"/>
        </w:rPr>
        <w:t>, 1365-2435.14539. https://doi.org/10.1111/1365-2435.14539</w:t>
      </w:r>
    </w:p>
    <w:p w14:paraId="1C2D7769"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Liebmann, B., Bladé, I., Kiladis, G. N., Carvalho, L. M. V., Senay, G. B., Allured, D., Leroux, S., &amp; Funk, C. (2012). Seasonality of African precipitation from 1996 to 2009. </w:t>
      </w:r>
      <w:r w:rsidRPr="008A50E8">
        <w:rPr>
          <w:rFonts w:ascii="Garamond" w:hAnsi="Garamond"/>
          <w:i/>
          <w:iCs/>
          <w:color w:val="000000" w:themeColor="text1"/>
          <w:sz w:val="24"/>
          <w:lang w:val="it-IT"/>
        </w:rPr>
        <w:t>Journal of Climate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25</w:t>
      </w:r>
      <w:r w:rsidRPr="008A50E8">
        <w:rPr>
          <w:rFonts w:ascii="Garamond" w:hAnsi="Garamond"/>
          <w:color w:val="000000" w:themeColor="text1"/>
          <w:sz w:val="24"/>
          <w:lang w:val="it-IT"/>
        </w:rPr>
        <w:t>(12), 4304–4322. https://doi.org/10.1175/JCLI-D-11-00157.1</w:t>
      </w:r>
    </w:p>
    <w:p w14:paraId="174AA86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Lu, T., Zhang, W., Abel, C., Horion, S., Brandt, M., Huang, K., &amp; Fensholt, R. (2024). Changes in vegetation-water response in the Sahel-Sudan during recent decades. </w:t>
      </w:r>
      <w:r w:rsidRPr="008A50E8">
        <w:rPr>
          <w:rFonts w:ascii="Garamond" w:hAnsi="Garamond"/>
          <w:i/>
          <w:iCs/>
          <w:color w:val="000000" w:themeColor="text1"/>
          <w:sz w:val="24"/>
          <w:lang w:val="it-IT"/>
        </w:rPr>
        <w:t>Journal of Hydrology: Regional Studies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52</w:t>
      </w:r>
      <w:r w:rsidRPr="008A50E8">
        <w:rPr>
          <w:rFonts w:ascii="Garamond" w:hAnsi="Garamond"/>
          <w:color w:val="000000" w:themeColor="text1"/>
          <w:sz w:val="24"/>
          <w:lang w:val="it-IT"/>
        </w:rPr>
        <w:t>, 101672. https://doi.org/10.1016/j.ejrh.2024.101672</w:t>
      </w:r>
    </w:p>
    <w:p w14:paraId="262A2B5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Masenyama, A., Mutanga, O., Dube, T., Bangira, T., Sibanda, M., &amp; Mabhaudhi, T. (2022). A systematic review on the use of remote sensing technologies in quantifying grasslands ecosystem services. </w:t>
      </w:r>
      <w:r w:rsidRPr="008A50E8">
        <w:rPr>
          <w:rFonts w:ascii="Garamond" w:hAnsi="Garamond"/>
          <w:i/>
          <w:iCs/>
          <w:color w:val="000000" w:themeColor="text1"/>
          <w:sz w:val="24"/>
          <w:lang w:val="it-IT"/>
        </w:rPr>
        <w:t>GIScience &amp; Remote Sensing</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59</w:t>
      </w:r>
      <w:r w:rsidRPr="008A50E8">
        <w:rPr>
          <w:rFonts w:ascii="Garamond" w:hAnsi="Garamond"/>
          <w:color w:val="000000" w:themeColor="text1"/>
          <w:sz w:val="24"/>
          <w:lang w:val="it-IT"/>
        </w:rPr>
        <w:t>(1), 1000–1025. https://doi.org/10.1080/15481603.2022.2088652</w:t>
      </w:r>
    </w:p>
    <w:p w14:paraId="3ACC7DF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Mayer, A. L., &amp; Khalyani, A. H. (2011). Grass trumps trees with fire.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334</w:t>
      </w:r>
      <w:r w:rsidRPr="008A50E8">
        <w:rPr>
          <w:rFonts w:ascii="Garamond" w:hAnsi="Garamond"/>
          <w:color w:val="000000" w:themeColor="text1"/>
          <w:sz w:val="24"/>
          <w:lang w:val="it-IT"/>
        </w:rPr>
        <w:t>(6053), 188–189. https://doi.org/10.1126/science.1213908</w:t>
      </w:r>
    </w:p>
    <w:p w14:paraId="520A629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McLauchlan, K. K., Higuera, P. E., Miesel, J., Rogers, B. M., Schweitzer, J., Shuman, J. K., Tepley, A. J., Varner, J. M., Veblen, T. T., Adalsteinsson, S. A., Balch, J. K., Baker, P., Batllori, E., Bigio, E., Brando, P., Cattau, M., Chipman, M. L., Coen, J., Crandall, R., … Watts, A. C. (2020). Fire as a fundamental ecological process: Research advances and frontiers. </w:t>
      </w:r>
      <w:r w:rsidRPr="008A50E8">
        <w:rPr>
          <w:rFonts w:ascii="Garamond" w:hAnsi="Garamond"/>
          <w:i/>
          <w:iCs/>
          <w:color w:val="000000" w:themeColor="text1"/>
          <w:sz w:val="24"/>
          <w:lang w:val="it-IT"/>
        </w:rPr>
        <w:t>Journal of Ecology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108</w:t>
      </w:r>
      <w:r w:rsidRPr="008A50E8">
        <w:rPr>
          <w:rFonts w:ascii="Garamond" w:hAnsi="Garamond"/>
          <w:color w:val="000000" w:themeColor="text1"/>
          <w:sz w:val="24"/>
          <w:lang w:val="it-IT"/>
        </w:rPr>
        <w:t>(5), 2047–2069. https://doi.org/10.1111/1365-2745.13403</w:t>
      </w:r>
    </w:p>
    <w:p w14:paraId="7376566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Meesters, A. G. C. A., DeJeu, R. A. M., &amp; Owe, M. (2005). Analytical Derivation of the Vegetation Optical Depth From the Microwave Polarization Difference Index. </w:t>
      </w:r>
      <w:r w:rsidRPr="008A50E8">
        <w:rPr>
          <w:rFonts w:ascii="Garamond" w:hAnsi="Garamond"/>
          <w:i/>
          <w:iCs/>
          <w:color w:val="000000" w:themeColor="text1"/>
          <w:sz w:val="24"/>
          <w:lang w:val="it-IT"/>
        </w:rPr>
        <w:t>IEEE Geoscience and Remote Sensing Letters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(2), 121–123. https://doi.org/10.1109/LGRS.2005.843983</w:t>
      </w:r>
    </w:p>
    <w:p w14:paraId="1DDED703"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Moesinger, L., Dorigo, W., De Jeu, R., Van Der Schalie, R., Scanlon, T., Teubner, I., &amp; Forkel, M. (2020). The global long-term microwave Vegetation Optical Depth Climate Archive (VODCA). </w:t>
      </w:r>
      <w:r w:rsidRPr="008A50E8">
        <w:rPr>
          <w:rFonts w:ascii="Garamond" w:hAnsi="Garamond"/>
          <w:i/>
          <w:iCs/>
          <w:color w:val="000000" w:themeColor="text1"/>
          <w:sz w:val="24"/>
          <w:lang w:val="it-IT"/>
        </w:rPr>
        <w:t>Earth System Science Data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12</w:t>
      </w:r>
      <w:r w:rsidRPr="008A50E8">
        <w:rPr>
          <w:rFonts w:ascii="Garamond" w:hAnsi="Garamond"/>
          <w:color w:val="000000" w:themeColor="text1"/>
          <w:sz w:val="24"/>
          <w:lang w:val="it-IT"/>
        </w:rPr>
        <w:t>(1), 177–196. https://doi.org/10.5194/essd-12-177-2020</w:t>
      </w:r>
    </w:p>
    <w:p w14:paraId="08EB5D25"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Nerlekar, A. N., &amp; Veldman, J. W. (2020). High plant diversity and slow assembly of old-growth grasslands. </w:t>
      </w:r>
      <w:r w:rsidRPr="008A50E8">
        <w:rPr>
          <w:rFonts w:ascii="Garamond" w:hAnsi="Garamond"/>
          <w:i/>
          <w:iCs/>
          <w:color w:val="000000" w:themeColor="text1"/>
          <w:sz w:val="24"/>
          <w:lang w:val="it-IT"/>
        </w:rPr>
        <w:t>Proceedings of the National Academy of Sciences of the United States of America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117</w:t>
      </w:r>
      <w:r w:rsidRPr="008A50E8">
        <w:rPr>
          <w:rFonts w:ascii="Garamond" w:hAnsi="Garamond"/>
          <w:color w:val="000000" w:themeColor="text1"/>
          <w:sz w:val="24"/>
          <w:lang w:val="it-IT"/>
        </w:rPr>
        <w:t>(31), 18550–18556. https://doi.org/10.1073/pnas.1922266117</w:t>
      </w:r>
    </w:p>
    <w:p w14:paraId="4860F9C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Ogutu, B. O., D’Adamo, F., &amp; Dash, J. (2021). Impact of vegetation greening on carbon and water cycle in the African Sahel-Sudano-Guinean region. </w:t>
      </w:r>
      <w:r w:rsidRPr="008A50E8">
        <w:rPr>
          <w:rFonts w:ascii="Garamond" w:hAnsi="Garamond"/>
          <w:i/>
          <w:iCs/>
          <w:color w:val="000000" w:themeColor="text1"/>
          <w:sz w:val="24"/>
          <w:lang w:val="it-IT"/>
        </w:rPr>
        <w:t>Global and Planetary Change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202</w:t>
      </w:r>
      <w:r w:rsidRPr="008A50E8">
        <w:rPr>
          <w:rFonts w:ascii="Garamond" w:hAnsi="Garamond"/>
          <w:color w:val="000000" w:themeColor="text1"/>
          <w:sz w:val="24"/>
          <w:lang w:val="it-IT"/>
        </w:rPr>
        <w:t>, 103524. https://doi.org/10.1016/j.gloplacha.2021.103524</w:t>
      </w:r>
    </w:p>
    <w:p w14:paraId="4B5A4C7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One Earth. (2020). </w:t>
      </w:r>
      <w:r w:rsidRPr="008A50E8">
        <w:rPr>
          <w:rFonts w:ascii="Garamond" w:hAnsi="Garamond"/>
          <w:i/>
          <w:iCs/>
          <w:color w:val="000000" w:themeColor="text1"/>
          <w:sz w:val="24"/>
          <w:lang w:val="it-IT"/>
        </w:rPr>
        <w:t>Bioregions</w:t>
      </w:r>
      <w:r w:rsidRPr="008A50E8">
        <w:rPr>
          <w:rFonts w:ascii="Garamond" w:hAnsi="Garamond"/>
          <w:color w:val="000000" w:themeColor="text1"/>
          <w:sz w:val="24"/>
          <w:lang w:val="it-IT"/>
        </w:rPr>
        <w:t>. https://www.oneearth.org/</w:t>
      </w:r>
    </w:p>
    <w:p w14:paraId="6235160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Osborne, C. P., Charles-Dominique, T., Stevens, N., Bond, W. J., Midgley, G., &amp; Lehmann, C. E. R. (2018). Human impacts in African savannas are mediated by plant functional traits. </w:t>
      </w:r>
      <w:r w:rsidRPr="008A50E8">
        <w:rPr>
          <w:rFonts w:ascii="Garamond" w:hAnsi="Garamond"/>
          <w:i/>
          <w:iCs/>
          <w:color w:val="000000" w:themeColor="text1"/>
          <w:sz w:val="24"/>
          <w:lang w:val="it-IT"/>
        </w:rPr>
        <w:t>New Phytologist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220</w:t>
      </w:r>
      <w:r w:rsidRPr="008A50E8">
        <w:rPr>
          <w:rFonts w:ascii="Garamond" w:hAnsi="Garamond"/>
          <w:color w:val="000000" w:themeColor="text1"/>
          <w:sz w:val="24"/>
          <w:lang w:val="it-IT"/>
        </w:rPr>
        <w:t>, 10–24. https://doi.org/10.1111/nph.15236</w:t>
      </w:r>
    </w:p>
    <w:p w14:paraId="6E6B34F2" w14:textId="30A6B94C" w:rsidR="009E0EBA" w:rsidRPr="008A50E8" w:rsidRDefault="009E0EBA" w:rsidP="00B82802">
      <w:pPr>
        <w:rPr>
          <w:rFonts w:ascii="Garamond" w:hAnsi="Garamond"/>
          <w:color w:val="000000" w:themeColor="text1"/>
          <w:lang w:val="it-IT" w:eastAsia="zh-CN"/>
        </w:rPr>
      </w:pPr>
      <w:r w:rsidRPr="008A50E8">
        <w:rPr>
          <w:rFonts w:ascii="Garamond" w:hAnsi="Garamond"/>
          <w:color w:val="000000" w:themeColor="text1"/>
          <w:sz w:val="24"/>
          <w:szCs w:val="24"/>
          <w:lang w:eastAsia="zh-CN"/>
        </w:rPr>
        <w:t>Posit Team (2023). RStudio: Integrated Development Environment for R. Posit Software, PBC, Boston, MA. http://www.posit.co/</w:t>
      </w:r>
    </w:p>
    <w:p w14:paraId="299BC4D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Parr, C. L., Te Beest, M., &amp; Stevens, N. (2024). Conflation of reforestation with restoration is widespread.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383</w:t>
      </w:r>
      <w:r w:rsidRPr="008A50E8">
        <w:rPr>
          <w:rFonts w:ascii="Garamond" w:hAnsi="Garamond"/>
          <w:color w:val="000000" w:themeColor="text1"/>
          <w:sz w:val="24"/>
          <w:lang w:val="it-IT"/>
        </w:rPr>
        <w:t>(6684), 698–701. https://doi.org/10.1126/science.adj0899</w:t>
      </w:r>
    </w:p>
    <w:p w14:paraId="57DC51D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Pausas, J. G., &amp; Bond, W. J. (2020). Alternative Biome States in Terrestrial Ecosystems. </w:t>
      </w:r>
      <w:r w:rsidRPr="008A50E8">
        <w:rPr>
          <w:rFonts w:ascii="Garamond" w:hAnsi="Garamond"/>
          <w:i/>
          <w:iCs/>
          <w:color w:val="000000" w:themeColor="text1"/>
          <w:sz w:val="24"/>
          <w:lang w:val="it-IT"/>
        </w:rPr>
        <w:t>Trends in Plant 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25</w:t>
      </w:r>
      <w:r w:rsidRPr="008A50E8">
        <w:rPr>
          <w:rFonts w:ascii="Garamond" w:hAnsi="Garamond"/>
          <w:color w:val="000000" w:themeColor="text1"/>
          <w:sz w:val="24"/>
          <w:lang w:val="it-IT"/>
        </w:rPr>
        <w:t>(3), 250–263. https://doi.org/10.1016/j.tplants.2019.11.003</w:t>
      </w:r>
    </w:p>
    <w:p w14:paraId="3A3B783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Phelps, L. N., Andela, N., Gravey, M., Davis, D. S., Kull, C. A., Douglass, K., &amp; Lehmann, C. E. R. (2022). Madagascar’s fire regimes challenge global assumptions about landscape degradation.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March</w:t>
      </w:r>
      <w:r w:rsidRPr="008A50E8">
        <w:rPr>
          <w:rFonts w:ascii="Garamond" w:hAnsi="Garamond"/>
          <w:color w:val="000000" w:themeColor="text1"/>
          <w:sz w:val="24"/>
          <w:lang w:val="it-IT"/>
        </w:rPr>
        <w:t>, 1–17. https://doi.org/10.1111/gcb.16206</w:t>
      </w:r>
    </w:p>
    <w:p w14:paraId="1680E10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Ralimanana, H., Perrigo, A. L., Smith, R. J., Borrell, J. S., Faurby, S., Rajaonah, M. T., Randriamboavonjy, T., Vorontsova, M. S., Cooke, R. S. C., Phelps, L. N., Sayol, F., Andela, N., Andermann, T., Andriamanohera, A. M., Andriambololonera, S., Bachman, S. P., Bacon, C. D., Baker, W. J., Belluardo, F., … Antonelli, A. (2022). Madagascar’s extraordinary biodiversity: Threats and opportunities.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378</w:t>
      </w:r>
      <w:r w:rsidRPr="008A50E8">
        <w:rPr>
          <w:rFonts w:ascii="Garamond" w:hAnsi="Garamond"/>
          <w:color w:val="000000" w:themeColor="text1"/>
          <w:sz w:val="24"/>
          <w:lang w:val="it-IT"/>
        </w:rPr>
        <w:t>(6623), eadf1466. https://doi.org/10.1126/science.adf1466</w:t>
      </w:r>
    </w:p>
    <w:p w14:paraId="6944AE3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Ramo, R., Roteta, E., Bistinas, I., van Wees, D., Bastarrika, A., Chuvieco, E., &amp; van der Werf, G. R. (2021). African burned area and fire carbon emissions are strongly impacted by small fires undetected by coarse resolution satellite data. </w:t>
      </w:r>
      <w:r w:rsidRPr="008A50E8">
        <w:rPr>
          <w:rFonts w:ascii="Garamond" w:hAnsi="Garamond"/>
          <w:i/>
          <w:iCs/>
          <w:color w:val="000000" w:themeColor="text1"/>
          <w:sz w:val="24"/>
          <w:lang w:val="it-IT"/>
        </w:rPr>
        <w:t>Proceedings of the National Academy of Sciences of the United States of America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118</w:t>
      </w:r>
      <w:r w:rsidRPr="008A50E8">
        <w:rPr>
          <w:rFonts w:ascii="Garamond" w:hAnsi="Garamond"/>
          <w:color w:val="000000" w:themeColor="text1"/>
          <w:sz w:val="24"/>
          <w:lang w:val="it-IT"/>
        </w:rPr>
        <w:t>(9), 1–7. https://doi.org/10.1073/pnas.2011160118</w:t>
      </w:r>
    </w:p>
    <w:p w14:paraId="0ADC5F6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Reiner, F., Brandt, M., Tong, X., Skole, D., Kariryaa, A., Ciais, P., Davies, A., Hiernaux, P., Chave, J., Mugabowindekwe, M., Igel, C., Oehmcke, S., Gieseke, F., Li, S., Liu, S., Saatchi, S., Boucher, P., Singh, J., Taugourdeau, S., … Fensholt, R. (2023). More than one quarter of Africa’s tree cover is found outside areas previously classified as forest. </w:t>
      </w:r>
      <w:r w:rsidRPr="008A50E8">
        <w:rPr>
          <w:rFonts w:ascii="Garamond" w:hAnsi="Garamond"/>
          <w:i/>
          <w:iCs/>
          <w:color w:val="000000" w:themeColor="text1"/>
          <w:sz w:val="24"/>
          <w:lang w:val="it-IT"/>
        </w:rPr>
        <w:t>Nature Communications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14</w:t>
      </w:r>
      <w:r w:rsidRPr="008A50E8">
        <w:rPr>
          <w:rFonts w:ascii="Garamond" w:hAnsi="Garamond"/>
          <w:color w:val="000000" w:themeColor="text1"/>
          <w:sz w:val="24"/>
          <w:lang w:val="it-IT"/>
        </w:rPr>
        <w:t>(1), 2258. https://doi.org/10.1038/s41467-023-37880-4</w:t>
      </w:r>
    </w:p>
    <w:p w14:paraId="4345C492"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Saintilan, N., &amp; Rogers, K. (2015). Woody plant encroachment of grasslands: A comparison of terrestrial and wetland settings. </w:t>
      </w:r>
      <w:r w:rsidRPr="008A50E8">
        <w:rPr>
          <w:rFonts w:ascii="Garamond" w:hAnsi="Garamond"/>
          <w:i/>
          <w:iCs/>
          <w:color w:val="000000" w:themeColor="text1"/>
          <w:sz w:val="24"/>
          <w:lang w:val="it-IT"/>
        </w:rPr>
        <w:t>New Phytologist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205</w:t>
      </w:r>
      <w:r w:rsidRPr="008A50E8">
        <w:rPr>
          <w:rFonts w:ascii="Garamond" w:hAnsi="Garamond"/>
          <w:color w:val="000000" w:themeColor="text1"/>
          <w:sz w:val="24"/>
          <w:lang w:val="it-IT"/>
        </w:rPr>
        <w:t>(3), 1062–1070. https://doi.org/10.1111/nph.13147</w:t>
      </w:r>
    </w:p>
    <w:p w14:paraId="6692E50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Spake, R., Bellamy, C., Graham, L. J., Watts, K., Wilson, T., Norton, L. R., Wood, C. M., Schmucki, R., Bullock, J. M., &amp; Eigenbrod, F. (2019). An analytical framework for spatially targeted management of natural capital: Supplementary. </w:t>
      </w:r>
      <w:r w:rsidRPr="008A50E8">
        <w:rPr>
          <w:rFonts w:ascii="Garamond" w:hAnsi="Garamond"/>
          <w:i/>
          <w:iCs/>
          <w:color w:val="000000" w:themeColor="text1"/>
          <w:sz w:val="24"/>
          <w:lang w:val="it-IT"/>
        </w:rPr>
        <w:t>Nature Sustainability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w:t>
      </w:r>
      <w:r w:rsidRPr="008A50E8">
        <w:rPr>
          <w:rFonts w:ascii="Garamond" w:hAnsi="Garamond"/>
          <w:color w:val="000000" w:themeColor="text1"/>
          <w:sz w:val="24"/>
          <w:lang w:val="it-IT"/>
        </w:rPr>
        <w:t>(2), 90–97. https://doi.org/10.1038/s41893-019-0223-4</w:t>
      </w:r>
    </w:p>
    <w:p w14:paraId="2C6A705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Spake, R., Bowler, D. E., Callaghan, C. T., Blowes, S. A., Doncaster, C. P., Antão, L. H., Nakagawa, S., McElreath, R., &amp; Chase, J. M. (2023). Understanding ‘it depends’ in ecology: A guide to hypothesising, visualising and interpreting statistical interactions. </w:t>
      </w:r>
      <w:r w:rsidRPr="008A50E8">
        <w:rPr>
          <w:rFonts w:ascii="Garamond" w:hAnsi="Garamond"/>
          <w:i/>
          <w:iCs/>
          <w:color w:val="000000" w:themeColor="text1"/>
          <w:sz w:val="24"/>
          <w:lang w:val="it-IT"/>
        </w:rPr>
        <w:t>Biological Reviews</w:t>
      </w:r>
      <w:r w:rsidRPr="008A50E8">
        <w:rPr>
          <w:rFonts w:ascii="Garamond" w:hAnsi="Garamond"/>
          <w:color w:val="000000" w:themeColor="text1"/>
          <w:sz w:val="24"/>
          <w:lang w:val="it-IT"/>
        </w:rPr>
        <w:t>, brv.12939. https://doi.org/10.1111/brv.12939</w:t>
      </w:r>
    </w:p>
    <w:p w14:paraId="0A6508D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Spake, R., O’Dea, R. E., Nakagawa, S., Doncaster, C. P., Ryo, M., Callaghan, C. T., &amp; Bullock, J. M. (2022). Improving quantitative synthesis to achieve generality in ecology. </w:t>
      </w:r>
      <w:r w:rsidRPr="008A50E8">
        <w:rPr>
          <w:rFonts w:ascii="Garamond" w:hAnsi="Garamond"/>
          <w:i/>
          <w:iCs/>
          <w:color w:val="000000" w:themeColor="text1"/>
          <w:sz w:val="24"/>
          <w:lang w:val="it-IT"/>
        </w:rPr>
        <w:t>Nature Ecology &amp;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6</w:t>
      </w:r>
      <w:r w:rsidRPr="008A50E8">
        <w:rPr>
          <w:rFonts w:ascii="Garamond" w:hAnsi="Garamond"/>
          <w:color w:val="000000" w:themeColor="text1"/>
          <w:sz w:val="24"/>
          <w:lang w:val="it-IT"/>
        </w:rPr>
        <w:t>(12), 1818–1828. https://doi.org/10.1038/s41559-022-01891-z</w:t>
      </w:r>
    </w:p>
    <w:p w14:paraId="6111A36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Staver, A. C., Botha, J., &amp; Hedin, L. (2017). Soils and fire jointly determine vegetation structure in an African savanna. </w:t>
      </w:r>
      <w:r w:rsidRPr="008A50E8">
        <w:rPr>
          <w:rFonts w:ascii="Garamond" w:hAnsi="Garamond"/>
          <w:i/>
          <w:iCs/>
          <w:color w:val="000000" w:themeColor="text1"/>
          <w:sz w:val="24"/>
          <w:lang w:val="it-IT"/>
        </w:rPr>
        <w:t>New Phytologist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216</w:t>
      </w:r>
      <w:r w:rsidRPr="008A50E8">
        <w:rPr>
          <w:rFonts w:ascii="Garamond" w:hAnsi="Garamond"/>
          <w:color w:val="000000" w:themeColor="text1"/>
          <w:sz w:val="24"/>
          <w:lang w:val="it-IT"/>
        </w:rPr>
        <w:t>(4), 1151–1160. https://doi.org/10.1111/nph.14738</w:t>
      </w:r>
    </w:p>
    <w:p w14:paraId="7CB7A60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Stevens, N., Bond, W., Feurdean, A., &amp; Lehmann, C. E. R. (2022). Grassy Ecosystems in the Anthropocene. </w:t>
      </w:r>
      <w:r w:rsidRPr="008A50E8">
        <w:rPr>
          <w:rFonts w:ascii="Garamond" w:hAnsi="Garamond"/>
          <w:i/>
          <w:iCs/>
          <w:color w:val="000000" w:themeColor="text1"/>
          <w:sz w:val="24"/>
          <w:lang w:val="it-IT"/>
        </w:rPr>
        <w:t>Annual Review of Environment and Resources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47</w:t>
      </w:r>
      <w:r w:rsidRPr="008A50E8">
        <w:rPr>
          <w:rFonts w:ascii="Garamond" w:hAnsi="Garamond"/>
          <w:color w:val="000000" w:themeColor="text1"/>
          <w:sz w:val="24"/>
          <w:lang w:val="it-IT"/>
        </w:rPr>
        <w:t>, 16.1-16.29.</w:t>
      </w:r>
    </w:p>
    <w:p w14:paraId="2C6A1A9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Stevens, N., Lehmann, C. E. R., Murphy, B. P., &amp; Durigan, G. (2017). Savanna woody encroachment is widespread across three continents.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23</w:t>
      </w:r>
      <w:r w:rsidRPr="008A50E8">
        <w:rPr>
          <w:rFonts w:ascii="Garamond" w:hAnsi="Garamond"/>
          <w:color w:val="000000" w:themeColor="text1"/>
          <w:sz w:val="24"/>
          <w:lang w:val="it-IT"/>
        </w:rPr>
        <w:t>(1), 235–244. https://doi.org/10.1111/gcb.13409</w:t>
      </w:r>
    </w:p>
    <w:p w14:paraId="7D89D80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Strömberg, C. A. E., &amp; Staver, A. C. (2022). The history and challenge of grassy biomes. </w:t>
      </w:r>
      <w:r w:rsidRPr="008A50E8">
        <w:rPr>
          <w:rFonts w:ascii="Garamond" w:hAnsi="Garamond"/>
          <w:i/>
          <w:iCs/>
          <w:color w:val="000000" w:themeColor="text1"/>
          <w:sz w:val="24"/>
          <w:lang w:val="it-IT"/>
        </w:rPr>
        <w:t>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377</w:t>
      </w:r>
      <w:r w:rsidRPr="008A50E8">
        <w:rPr>
          <w:rFonts w:ascii="Garamond" w:hAnsi="Garamond"/>
          <w:color w:val="000000" w:themeColor="text1"/>
          <w:sz w:val="24"/>
          <w:lang w:val="it-IT"/>
        </w:rPr>
        <w:t>(6606), 592–593. https://doi.org/10.1126/science.add1347</w:t>
      </w:r>
    </w:p>
    <w:p w14:paraId="2C3297CF"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Tian, F., Brandt, M., Liu, Y. Y., Rasmussen, K., &amp; Fensholt, R. (2017). Mapping gains and losses in woody vegetation across global tropical drylands.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23</w:t>
      </w:r>
      <w:r w:rsidRPr="008A50E8">
        <w:rPr>
          <w:rFonts w:ascii="Garamond" w:hAnsi="Garamond"/>
          <w:color w:val="000000" w:themeColor="text1"/>
          <w:sz w:val="24"/>
          <w:lang w:val="it-IT"/>
        </w:rPr>
        <w:t>(4), 1748–1760. https://doi.org/10.1111/gcb.13464</w:t>
      </w:r>
    </w:p>
    <w:p w14:paraId="2BF6AA4E"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Tian, F., Brandt, M., Liu, Y. Y., Verger, A., Tagesson, T., Diouf, A. A., Rasmussen, K., Mbow, C., Wang, Y., &amp; Fensholt, R. (2016). Remote sensing of vegetation dynamics in drylands: Evaluating vegetation optical depth (VOD) using AVHRR NDVI and in situ green biomass data over West African Sahel. </w:t>
      </w:r>
      <w:r w:rsidRPr="008A50E8">
        <w:rPr>
          <w:rFonts w:ascii="Garamond" w:hAnsi="Garamond"/>
          <w:i/>
          <w:iCs/>
          <w:color w:val="000000" w:themeColor="text1"/>
          <w:sz w:val="24"/>
          <w:lang w:val="it-IT"/>
        </w:rPr>
        <w:t>Remote Sensing of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177</w:t>
      </w:r>
      <w:r w:rsidRPr="008A50E8">
        <w:rPr>
          <w:rFonts w:ascii="Garamond" w:hAnsi="Garamond"/>
          <w:color w:val="000000" w:themeColor="text1"/>
          <w:sz w:val="24"/>
          <w:lang w:val="it-IT"/>
        </w:rPr>
        <w:t>, 265–276. https://doi.org/10.1016/j.rse.2016.02.056</w:t>
      </w:r>
    </w:p>
    <w:p w14:paraId="30F03E7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van der Werf, G. R., Randerson, J. T., Giglio, L., Van Leeuwen, T. T., Chen, Y., Rogers, B. M., Mu, M., Van Marle, M. J. E., Morton, D. C., Collatz, G. J., Yokelson, R. J., &amp; Kasibhatla, P. S. (2017). Global fire emissions estimates during 1997-2016. </w:t>
      </w:r>
      <w:r w:rsidRPr="008A50E8">
        <w:rPr>
          <w:rFonts w:ascii="Garamond" w:hAnsi="Garamond"/>
          <w:i/>
          <w:iCs/>
          <w:color w:val="000000" w:themeColor="text1"/>
          <w:sz w:val="24"/>
          <w:lang w:val="it-IT"/>
        </w:rPr>
        <w:t>Earth System Science Data</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9</w:t>
      </w:r>
      <w:r w:rsidRPr="008A50E8">
        <w:rPr>
          <w:rFonts w:ascii="Garamond" w:hAnsi="Garamond"/>
          <w:color w:val="000000" w:themeColor="text1"/>
          <w:sz w:val="24"/>
          <w:lang w:val="it-IT"/>
        </w:rPr>
        <w:t>(2), 697–720. https://doi.org/10.5194/essd-9-697-2017</w:t>
      </w:r>
    </w:p>
    <w:p w14:paraId="0B9923B1"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Venter, Z. S., Cramer, M. D., &amp; Hawkins, H. J. (2018). Drivers of woody plant encroachment over Africa. </w:t>
      </w:r>
      <w:r w:rsidRPr="008A50E8">
        <w:rPr>
          <w:rFonts w:ascii="Garamond" w:hAnsi="Garamond"/>
          <w:i/>
          <w:iCs/>
          <w:color w:val="000000" w:themeColor="text1"/>
          <w:sz w:val="24"/>
          <w:lang w:val="it-IT"/>
        </w:rPr>
        <w:t>Nature Communications</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9</w:t>
      </w:r>
      <w:r w:rsidRPr="008A50E8">
        <w:rPr>
          <w:rFonts w:ascii="Garamond" w:hAnsi="Garamond"/>
          <w:color w:val="000000" w:themeColor="text1"/>
          <w:sz w:val="24"/>
          <w:lang w:val="it-IT"/>
        </w:rPr>
        <w:t>(1), 1–7. https://doi.org/10.1038/s41467-018-04616-8</w:t>
      </w:r>
    </w:p>
    <w:p w14:paraId="0CFAE338"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Venter, Z. S., Hawkins, H. J., &amp; Cramer, M. D. (2017). Implications of historical interactions between herbivory and fire for rangeland management in African savannas. </w:t>
      </w:r>
      <w:r w:rsidRPr="008A50E8">
        <w:rPr>
          <w:rFonts w:ascii="Garamond" w:hAnsi="Garamond"/>
          <w:i/>
          <w:iCs/>
          <w:color w:val="000000" w:themeColor="text1"/>
          <w:sz w:val="24"/>
          <w:lang w:val="it-IT"/>
        </w:rPr>
        <w:t>Ecosphere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8</w:t>
      </w:r>
      <w:r w:rsidRPr="008A50E8">
        <w:rPr>
          <w:rFonts w:ascii="Garamond" w:hAnsi="Garamond"/>
          <w:color w:val="000000" w:themeColor="text1"/>
          <w:sz w:val="24"/>
          <w:lang w:val="it-IT"/>
        </w:rPr>
        <w:t>, 1–14. https://doi.org/10.1002/ecs2.1946</w:t>
      </w:r>
    </w:p>
    <w:p w14:paraId="0FEB8B6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Wang, Z., Ma, Y., Zhang, Y., &amp; Shang, J. (2022). Review of Remote Sensing Applications in Grassland Monitoring. </w:t>
      </w:r>
      <w:r w:rsidRPr="008A50E8">
        <w:rPr>
          <w:rFonts w:ascii="Garamond" w:hAnsi="Garamond"/>
          <w:i/>
          <w:iCs/>
          <w:color w:val="000000" w:themeColor="text1"/>
          <w:sz w:val="24"/>
          <w:lang w:val="it-IT"/>
        </w:rPr>
        <w:t>Remote Sensing</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14</w:t>
      </w:r>
      <w:r w:rsidRPr="008A50E8">
        <w:rPr>
          <w:rFonts w:ascii="Garamond" w:hAnsi="Garamond"/>
          <w:color w:val="000000" w:themeColor="text1"/>
          <w:sz w:val="24"/>
          <w:lang w:val="it-IT"/>
        </w:rPr>
        <w:t>(12), 2903. https://doi.org/10.3390/rs14122903</w:t>
      </w:r>
    </w:p>
    <w:p w14:paraId="5A4EA5E9"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Ward, D., Hoffman, M. T., &amp; Collocott, S. J. (2014). A century of woody plant encroachment in the dry Kimberley savanna of South Africa. </w:t>
      </w:r>
      <w:r w:rsidRPr="008A50E8">
        <w:rPr>
          <w:rFonts w:ascii="Garamond" w:hAnsi="Garamond"/>
          <w:i/>
          <w:iCs/>
          <w:color w:val="000000" w:themeColor="text1"/>
          <w:sz w:val="24"/>
          <w:lang w:val="it-IT"/>
        </w:rPr>
        <w:t>African Journal of Range and Forage Science</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31</w:t>
      </w:r>
      <w:r w:rsidRPr="008A50E8">
        <w:rPr>
          <w:rFonts w:ascii="Garamond" w:hAnsi="Garamond"/>
          <w:color w:val="000000" w:themeColor="text1"/>
          <w:sz w:val="24"/>
          <w:lang w:val="it-IT"/>
        </w:rPr>
        <w:t>(2), 107–121. https://doi.org/10.2989/10220119.2014.914974</w:t>
      </w:r>
    </w:p>
    <w:p w14:paraId="163FB2CA"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Wei, F., Wang, S., Brandt, M., Fu, B., Meadows, M. E., Wang, L., Wang, L., Tong, X., &amp; Fensholt, R. (2020). Responses and feedbacks of African dryland ecosystems to environmental changes. </w:t>
      </w:r>
      <w:r w:rsidRPr="008A50E8">
        <w:rPr>
          <w:rFonts w:ascii="Garamond" w:hAnsi="Garamond"/>
          <w:i/>
          <w:iCs/>
          <w:color w:val="000000" w:themeColor="text1"/>
          <w:sz w:val="24"/>
          <w:lang w:val="it-IT"/>
        </w:rPr>
        <w:t>Current Opinion in Environmental Sustainability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48</w:t>
      </w:r>
      <w:r w:rsidRPr="008A50E8">
        <w:rPr>
          <w:rFonts w:ascii="Garamond" w:hAnsi="Garamond"/>
          <w:color w:val="000000" w:themeColor="text1"/>
          <w:sz w:val="24"/>
          <w:lang w:val="it-IT"/>
        </w:rPr>
        <w:t>, 29–35. https://doi.org/10.1016/j.cosust.2020.09.004</w:t>
      </w:r>
    </w:p>
    <w:p w14:paraId="24BAAC60"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Wei, F., Wang, S., Fu, B., Brandt, M., Pan, N., Wang, C., &amp; Fensholt, R. (2020). Nonlinear dynamics of fires in Africa over recent decades controlled by precipitation.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26</w:t>
      </w:r>
      <w:r w:rsidRPr="008A50E8">
        <w:rPr>
          <w:rFonts w:ascii="Garamond" w:hAnsi="Garamond"/>
          <w:color w:val="000000" w:themeColor="text1"/>
          <w:sz w:val="24"/>
          <w:lang w:val="it-IT"/>
        </w:rPr>
        <w:t>(8), 4495–4505. https://doi.org/10.1111/gcb.15190</w:t>
      </w:r>
    </w:p>
    <w:p w14:paraId="2873B32C"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Wieczorkowski, J. D., &amp; Lehmann, C. E. R. (2022). Encroachment diminishes herbaceous plant diversity in grassy ecosystems worldwide. </w:t>
      </w:r>
      <w:r w:rsidRPr="008A50E8">
        <w:rPr>
          <w:rFonts w:ascii="Garamond" w:hAnsi="Garamond"/>
          <w:i/>
          <w:iCs/>
          <w:color w:val="000000" w:themeColor="text1"/>
          <w:sz w:val="24"/>
          <w:lang w:val="it-IT"/>
        </w:rPr>
        <w:t>Global Change Biology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April</w:t>
      </w:r>
      <w:r w:rsidRPr="008A50E8">
        <w:rPr>
          <w:rFonts w:ascii="Garamond" w:hAnsi="Garamond"/>
          <w:color w:val="000000" w:themeColor="text1"/>
          <w:sz w:val="24"/>
          <w:lang w:val="it-IT"/>
        </w:rPr>
        <w:t>, 1–15. https://doi.org/10.1111/gcb.16300</w:t>
      </w:r>
    </w:p>
    <w:p w14:paraId="79AD5FB8"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Zellmer, A. J., Allen, T. F. H., &amp; Kesseboehmer, K. (2006). The nature of ecological complexity: A protocol for building the narrative. </w:t>
      </w:r>
      <w:r w:rsidRPr="008A50E8">
        <w:rPr>
          <w:rFonts w:ascii="Garamond" w:hAnsi="Garamond"/>
          <w:i/>
          <w:iCs/>
          <w:color w:val="000000" w:themeColor="text1"/>
          <w:sz w:val="24"/>
          <w:lang w:val="it-IT"/>
        </w:rPr>
        <w:t>Ecological Complexity</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3</w:t>
      </w:r>
      <w:r w:rsidRPr="008A50E8">
        <w:rPr>
          <w:rFonts w:ascii="Garamond" w:hAnsi="Garamond"/>
          <w:color w:val="000000" w:themeColor="text1"/>
          <w:sz w:val="24"/>
          <w:lang w:val="it-IT"/>
        </w:rPr>
        <w:t>(3), 171–182. https://doi.org/10.1016/j.ecocom.2006.06.002</w:t>
      </w:r>
    </w:p>
    <w:p w14:paraId="0B3E13A7" w14:textId="77777777" w:rsidR="009E0EBA" w:rsidRPr="008A50E8" w:rsidRDefault="009E0EBA" w:rsidP="009E0EBA">
      <w:pPr>
        <w:pStyle w:val="Bibliography"/>
        <w:spacing w:before="0"/>
        <w:ind w:left="284" w:hanging="284"/>
        <w:contextualSpacing/>
        <w:mirrorIndents/>
        <w:jc w:val="both"/>
        <w:rPr>
          <w:rFonts w:ascii="Garamond" w:hAnsi="Garamond"/>
          <w:color w:val="000000" w:themeColor="text1"/>
          <w:sz w:val="24"/>
          <w:lang w:val="it-IT"/>
        </w:rPr>
      </w:pPr>
      <w:r w:rsidRPr="008A50E8">
        <w:rPr>
          <w:rFonts w:ascii="Garamond" w:hAnsi="Garamond"/>
          <w:color w:val="000000" w:themeColor="text1"/>
          <w:sz w:val="24"/>
          <w:lang w:val="it-IT"/>
        </w:rPr>
        <w:t xml:space="preserve">Zhang, W., Brandt, M., Wang, Q., Prishchepov, A. V., Tucker, C. J., Li, Y., Lyu, H., &amp; Fensholt, R. (2019). From woody cover to woody canopies: How Sentinel-1 and Sentinel-2 data advance the mapping of woody plants in savannas. </w:t>
      </w:r>
      <w:r w:rsidRPr="008A50E8">
        <w:rPr>
          <w:rFonts w:ascii="Garamond" w:hAnsi="Garamond"/>
          <w:i/>
          <w:iCs/>
          <w:color w:val="000000" w:themeColor="text1"/>
          <w:sz w:val="24"/>
          <w:lang w:val="it-IT"/>
        </w:rPr>
        <w:t>Remote Sensing of Environment</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234</w:t>
      </w:r>
      <w:r w:rsidRPr="008A50E8">
        <w:rPr>
          <w:rFonts w:ascii="Garamond" w:hAnsi="Garamond"/>
          <w:color w:val="000000" w:themeColor="text1"/>
          <w:sz w:val="24"/>
          <w:lang w:val="it-IT"/>
        </w:rPr>
        <w:t>, 111465. https://doi.org/10.1016/j.rse.2019.111465</w:t>
      </w:r>
    </w:p>
    <w:p w14:paraId="31495B02" w14:textId="6CF02791" w:rsidR="00D570F9" w:rsidRPr="00B10EBE" w:rsidRDefault="009E0EBA" w:rsidP="009E0EBA">
      <w:pPr>
        <w:pStyle w:val="Bibliography"/>
        <w:spacing w:before="0"/>
        <w:ind w:left="284" w:hanging="284"/>
        <w:contextualSpacing/>
        <w:mirrorIndents/>
        <w:jc w:val="both"/>
        <w:rPr>
          <w:rFonts w:ascii="Garamond" w:hAnsi="Garamond"/>
          <w:noProof/>
          <w:color w:val="000000" w:themeColor="text1"/>
          <w:sz w:val="24"/>
          <w:szCs w:val="24"/>
        </w:rPr>
      </w:pPr>
      <w:r w:rsidRPr="008A50E8">
        <w:rPr>
          <w:rFonts w:ascii="Garamond" w:hAnsi="Garamond"/>
          <w:color w:val="000000" w:themeColor="text1"/>
          <w:sz w:val="24"/>
          <w:lang w:val="it-IT"/>
        </w:rPr>
        <w:t xml:space="preserve">Zuur, A. F., &amp; Ieno, E. N. (2016). A protocol for conducting and presenting results of regression-type analyses. </w:t>
      </w:r>
      <w:r w:rsidRPr="008A50E8">
        <w:rPr>
          <w:rFonts w:ascii="Garamond" w:hAnsi="Garamond"/>
          <w:i/>
          <w:iCs/>
          <w:color w:val="000000" w:themeColor="text1"/>
          <w:sz w:val="24"/>
          <w:lang w:val="it-IT"/>
        </w:rPr>
        <w:t>Methods in Ecology and Evolution</w:t>
      </w:r>
      <w:r w:rsidRPr="008A50E8">
        <w:rPr>
          <w:rFonts w:ascii="Garamond" w:hAnsi="Garamond"/>
          <w:color w:val="000000" w:themeColor="text1"/>
          <w:sz w:val="24"/>
          <w:lang w:val="it-IT"/>
        </w:rPr>
        <w:t xml:space="preserve">, </w:t>
      </w:r>
      <w:r w:rsidRPr="008A50E8">
        <w:rPr>
          <w:rFonts w:ascii="Garamond" w:hAnsi="Garamond"/>
          <w:i/>
          <w:iCs/>
          <w:color w:val="000000" w:themeColor="text1"/>
          <w:sz w:val="24"/>
          <w:lang w:val="it-IT"/>
        </w:rPr>
        <w:t>7</w:t>
      </w:r>
      <w:r w:rsidRPr="008A50E8">
        <w:rPr>
          <w:rFonts w:ascii="Garamond" w:hAnsi="Garamond"/>
          <w:color w:val="000000" w:themeColor="text1"/>
          <w:sz w:val="24"/>
          <w:lang w:val="it-IT"/>
        </w:rPr>
        <w:t>(6), 636–645. https://doi.org/10.1111/2041-210X.12577</w:t>
      </w:r>
      <w:r w:rsidRPr="00B10EBE">
        <w:rPr>
          <w:rFonts w:ascii="Garamond" w:hAnsi="Garamond"/>
          <w:noProof/>
          <w:color w:val="000000" w:themeColor="text1"/>
          <w:sz w:val="24"/>
          <w:szCs w:val="24"/>
        </w:rPr>
        <w:fldChar w:fldCharType="end"/>
      </w:r>
      <w:r w:rsidR="00D570F9" w:rsidRPr="00B10EBE">
        <w:rPr>
          <w:rFonts w:ascii="Garamond" w:hAnsi="Garamond"/>
          <w:noProof/>
          <w:color w:val="000000" w:themeColor="text1"/>
          <w:sz w:val="24"/>
          <w:szCs w:val="24"/>
        </w:rPr>
        <w:br w:type="page"/>
      </w:r>
    </w:p>
    <w:p w14:paraId="31FAA3A6" w14:textId="6748C134" w:rsidR="00710675" w:rsidRPr="00B10EBE" w:rsidRDefault="00710675" w:rsidP="0033343A">
      <w:pPr>
        <w:pStyle w:val="Bibliography"/>
        <w:spacing w:before="0"/>
        <w:ind w:left="0" w:firstLine="0"/>
        <w:contextualSpacing/>
        <w:mirrorIndents/>
        <w:jc w:val="both"/>
        <w:rPr>
          <w:rFonts w:ascii="Garamond" w:hAnsi="Garamond"/>
          <w:b/>
          <w:noProof/>
          <w:color w:val="000000" w:themeColor="text1"/>
          <w:sz w:val="24"/>
          <w:szCs w:val="24"/>
        </w:rPr>
      </w:pPr>
      <w:r w:rsidRPr="00B10EBE">
        <w:rPr>
          <w:rFonts w:ascii="Garamond" w:hAnsi="Garamond"/>
          <w:b/>
          <w:noProof/>
          <w:color w:val="000000" w:themeColor="text1"/>
          <w:sz w:val="24"/>
          <w:szCs w:val="24"/>
        </w:rPr>
        <w:t>Figure legends</w:t>
      </w:r>
    </w:p>
    <w:p w14:paraId="0D782867" w14:textId="740BF684" w:rsidR="00710675" w:rsidRPr="00B10EBE" w:rsidRDefault="00710675" w:rsidP="0033343A">
      <w:pPr>
        <w:pStyle w:val="Bibliography"/>
        <w:spacing w:before="0"/>
        <w:ind w:left="0" w:firstLine="0"/>
        <w:contextualSpacing/>
        <w:mirrorIndents/>
        <w:jc w:val="both"/>
        <w:rPr>
          <w:rFonts w:ascii="Garamond" w:hAnsi="Garamond"/>
          <w:bCs/>
          <w:noProof/>
          <w:color w:val="000000" w:themeColor="text1"/>
          <w:sz w:val="24"/>
          <w:szCs w:val="24"/>
        </w:rPr>
      </w:pPr>
      <w:r w:rsidRPr="00B10EBE">
        <w:rPr>
          <w:rFonts w:ascii="Garamond" w:hAnsi="Garamond"/>
          <w:b/>
          <w:noProof/>
          <w:color w:val="000000" w:themeColor="text1"/>
          <w:sz w:val="24"/>
          <w:szCs w:val="24"/>
        </w:rPr>
        <w:t>Figure 1</w:t>
      </w:r>
      <w:r w:rsidRPr="00B10EBE">
        <w:rPr>
          <w:rFonts w:ascii="Garamond" w:hAnsi="Garamond"/>
          <w:b/>
          <w:noProof/>
          <w:color w:val="000000" w:themeColor="text1"/>
          <w:sz w:val="24"/>
          <w:szCs w:val="24"/>
        </w:rPr>
        <w:tab/>
      </w:r>
      <w:r w:rsidRPr="00B10EBE">
        <w:rPr>
          <w:rFonts w:ascii="Garamond" w:hAnsi="Garamond"/>
          <w:bCs/>
          <w:noProof/>
          <w:color w:val="000000" w:themeColor="text1"/>
          <w:sz w:val="24"/>
          <w:szCs w:val="24"/>
        </w:rPr>
        <w:t xml:space="preserve">Grassland extent as obtained from the ESA CCI land cover map (classes 110, i.e., </w:t>
      </w:r>
      <w:r w:rsidRPr="00B10EBE" w:rsidDel="00FC4D19">
        <w:rPr>
          <w:rFonts w:ascii="Garamond" w:hAnsi="Garamond"/>
          <w:noProof/>
          <w:color w:val="000000" w:themeColor="text1"/>
          <w:sz w:val="24"/>
          <w:szCs w:val="24"/>
        </w:rPr>
        <w:t>herbaceous cover &gt; 50% and tree and shrub &lt; 50%</w:t>
      </w:r>
      <w:r w:rsidRPr="00B10EBE">
        <w:rPr>
          <w:rFonts w:ascii="Garamond" w:hAnsi="Garamond"/>
          <w:noProof/>
          <w:color w:val="000000" w:themeColor="text1"/>
          <w:sz w:val="24"/>
          <w:szCs w:val="24"/>
        </w:rPr>
        <w:t>, and 130, i.e., grassland</w:t>
      </w:r>
      <w:r w:rsidRPr="00B10EBE">
        <w:rPr>
          <w:rFonts w:ascii="Garamond" w:hAnsi="Garamond"/>
          <w:bCs/>
          <w:noProof/>
          <w:color w:val="000000" w:themeColor="text1"/>
          <w:sz w:val="24"/>
          <w:szCs w:val="24"/>
        </w:rPr>
        <w:t xml:space="preserve">) and indicated by the One Earth framework (One Earth, 2020). The four bioregions are Sahel grasslands (780 pixels), Greater Karoo and Kalahari drylands (287 pixels), Southeast African subtropical grasslands (271 pixels), and Madagascar (319 pixels) (see also </w:t>
      </w:r>
      <w:r w:rsidR="0055120F" w:rsidRPr="00B10EBE">
        <w:rPr>
          <w:rFonts w:ascii="Garamond" w:hAnsi="Garamond"/>
          <w:bCs/>
          <w:noProof/>
          <w:color w:val="000000" w:themeColor="text1"/>
          <w:sz w:val="24"/>
          <w:szCs w:val="24"/>
        </w:rPr>
        <w:t>Appendix A</w:t>
      </w:r>
      <w:r w:rsidRPr="00B10EBE">
        <w:rPr>
          <w:rFonts w:ascii="Garamond" w:hAnsi="Garamond"/>
          <w:bCs/>
          <w:noProof/>
          <w:color w:val="000000" w:themeColor="text1"/>
          <w:sz w:val="24"/>
          <w:szCs w:val="24"/>
        </w:rPr>
        <w:t>1).</w:t>
      </w:r>
    </w:p>
    <w:p w14:paraId="4BB71559" w14:textId="50DE5092" w:rsidR="00710675" w:rsidRPr="00B10EBE" w:rsidRDefault="00710675" w:rsidP="0033343A">
      <w:pPr>
        <w:pStyle w:val="Bibliography"/>
        <w:spacing w:before="0"/>
        <w:ind w:left="0" w:firstLine="0"/>
        <w:contextualSpacing/>
        <w:mirrorIndents/>
        <w:jc w:val="both"/>
        <w:rPr>
          <w:rFonts w:ascii="Garamond" w:hAnsi="Garamond"/>
          <w:noProof/>
          <w:color w:val="000000" w:themeColor="text1"/>
          <w:sz w:val="24"/>
          <w:szCs w:val="24"/>
        </w:rPr>
      </w:pPr>
      <w:r w:rsidRPr="00B10EBE">
        <w:rPr>
          <w:rFonts w:ascii="Garamond" w:hAnsi="Garamond"/>
          <w:b/>
          <w:noProof/>
          <w:color w:val="000000" w:themeColor="text1"/>
          <w:sz w:val="24"/>
          <w:szCs w:val="24"/>
        </w:rPr>
        <w:t>Figure 2</w:t>
      </w:r>
      <w:r w:rsidRPr="00B10EBE">
        <w:rPr>
          <w:rFonts w:ascii="Garamond" w:hAnsi="Garamond"/>
          <w:b/>
          <w:noProof/>
          <w:color w:val="000000" w:themeColor="text1"/>
          <w:sz w:val="24"/>
          <w:szCs w:val="24"/>
        </w:rPr>
        <w:tab/>
      </w:r>
      <w:r w:rsidRPr="00B10EBE">
        <w:rPr>
          <w:rFonts w:ascii="Garamond" w:hAnsi="Garamond"/>
          <w:bCs/>
          <w:noProof/>
          <w:color w:val="000000" w:themeColor="text1"/>
          <w:sz w:val="24"/>
          <w:szCs w:val="24"/>
        </w:rPr>
        <w:t>The key elements in the grassland-savanna-forest transition as commonly reported in the literature (see Introduction) and their described overall effect (positive (+), negative (</w:t>
      </w:r>
      <w:r w:rsidRPr="00B10EBE">
        <w:rPr>
          <w:rFonts w:ascii="Garamond" w:hAnsi="Garamond"/>
          <w:noProof/>
          <w:color w:val="000000" w:themeColor="text1"/>
          <w:sz w:val="24"/>
          <w:szCs w:val="24"/>
        </w:rPr>
        <w:t>–</w:t>
      </w:r>
      <w:r w:rsidRPr="00B10EBE">
        <w:rPr>
          <w:rFonts w:ascii="Garamond" w:hAnsi="Garamond"/>
          <w:bCs/>
          <w:noProof/>
          <w:color w:val="000000" w:themeColor="text1"/>
          <w:sz w:val="24"/>
          <w:szCs w:val="24"/>
        </w:rPr>
        <w:t>), or both (+/</w:t>
      </w:r>
      <w:r w:rsidRPr="00B10EBE">
        <w:rPr>
          <w:rFonts w:ascii="Garamond" w:hAnsi="Garamond"/>
          <w:noProof/>
          <w:color w:val="000000" w:themeColor="text1"/>
          <w:sz w:val="24"/>
          <w:szCs w:val="24"/>
        </w:rPr>
        <w:t>–</w:t>
      </w:r>
      <w:r w:rsidRPr="00B10EBE">
        <w:rPr>
          <w:rFonts w:ascii="Garamond" w:hAnsi="Garamond"/>
          <w:bCs/>
          <w:noProof/>
          <w:color w:val="000000" w:themeColor="text1"/>
          <w:sz w:val="24"/>
          <w:szCs w:val="24"/>
        </w:rPr>
        <w:t xml:space="preserve">)) on woody vegetation and fire (in grey are the variables excluded from the analysis as not available for our study regions during 1997-2016) (a). </w:t>
      </w:r>
      <w:r w:rsidRPr="00B10EBE">
        <w:rPr>
          <w:rFonts w:ascii="Garamond" w:hAnsi="Garamond"/>
          <w:noProof/>
          <w:color w:val="000000" w:themeColor="text1"/>
          <w:sz w:val="24"/>
          <w:szCs w:val="24"/>
        </w:rPr>
        <w:t>The initial hypothesis (left), and an example of a simpler (middle) and more complex (right) hypothesis as indicated by the corresponding SEM causal structure. Vegetation optical depth (VOD) is the main response variable. Burned area (BA) is both predictor and response variable. Other variables are annual rainfall (Rain), temperature (T), dry season rainfall (DSR), population density (PD), soil moisture (SM), and previous year VOD (VOD</w:t>
      </w:r>
      <w:r w:rsidRPr="00B10EBE">
        <w:rPr>
          <w:rFonts w:ascii="Garamond" w:hAnsi="Garamond"/>
          <w:noProof/>
          <w:color w:val="000000" w:themeColor="text1"/>
          <w:sz w:val="24"/>
          <w:szCs w:val="24"/>
          <w:vertAlign w:val="subscript"/>
        </w:rPr>
        <w:t>yr-1</w:t>
      </w:r>
      <w:r w:rsidRPr="00B10EBE">
        <w:rPr>
          <w:rFonts w:ascii="Garamond" w:hAnsi="Garamond"/>
          <w:noProof/>
          <w:color w:val="000000" w:themeColor="text1"/>
          <w:sz w:val="24"/>
          <w:szCs w:val="24"/>
        </w:rPr>
        <w:t xml:space="preserve">). The full list of the 37 SEM causal structures is reported in </w:t>
      </w:r>
      <w:r w:rsidR="0055120F" w:rsidRPr="00B10EBE">
        <w:rPr>
          <w:rFonts w:ascii="Garamond" w:hAnsi="Garamond"/>
          <w:noProof/>
          <w:color w:val="000000" w:themeColor="text1"/>
          <w:sz w:val="24"/>
          <w:szCs w:val="24"/>
        </w:rPr>
        <w:t>Appendix A</w:t>
      </w:r>
      <w:r w:rsidRPr="00B10EBE">
        <w:rPr>
          <w:rFonts w:ascii="Garamond" w:hAnsi="Garamond"/>
          <w:noProof/>
          <w:color w:val="000000" w:themeColor="text1"/>
          <w:sz w:val="24"/>
          <w:szCs w:val="24"/>
        </w:rPr>
        <w:t>3 (b).</w:t>
      </w:r>
    </w:p>
    <w:p w14:paraId="570A40D1" w14:textId="77777777" w:rsidR="00710675" w:rsidRPr="00B10EBE" w:rsidRDefault="00710675" w:rsidP="0033343A">
      <w:pPr>
        <w:pStyle w:val="Bibliography"/>
        <w:spacing w:before="0"/>
        <w:ind w:left="0" w:firstLine="0"/>
        <w:contextualSpacing/>
        <w:mirrorIndents/>
        <w:jc w:val="both"/>
        <w:rPr>
          <w:rFonts w:ascii="Garamond" w:hAnsi="Garamond"/>
          <w:noProof/>
          <w:color w:val="000000" w:themeColor="text1"/>
          <w:sz w:val="24"/>
          <w:szCs w:val="24"/>
        </w:rPr>
      </w:pPr>
      <w:r w:rsidRPr="00B10EBE">
        <w:rPr>
          <w:rFonts w:ascii="Garamond" w:hAnsi="Garamond"/>
          <w:b/>
          <w:noProof/>
          <w:color w:val="000000" w:themeColor="text1"/>
          <w:sz w:val="24"/>
          <w:szCs w:val="24"/>
        </w:rPr>
        <w:t>Figure 3</w:t>
      </w:r>
      <w:r w:rsidRPr="00B10EBE">
        <w:rPr>
          <w:rFonts w:ascii="Garamond" w:hAnsi="Garamond"/>
          <w:b/>
          <w:noProof/>
          <w:color w:val="000000" w:themeColor="text1"/>
          <w:sz w:val="24"/>
          <w:szCs w:val="24"/>
        </w:rPr>
        <w:tab/>
      </w:r>
      <w:r w:rsidRPr="00B10EBE">
        <w:rPr>
          <w:rFonts w:ascii="Garamond" w:hAnsi="Garamond"/>
          <w:bCs/>
          <w:noProof/>
          <w:color w:val="000000" w:themeColor="text1"/>
          <w:sz w:val="24"/>
          <w:szCs w:val="24"/>
        </w:rPr>
        <w:t xml:space="preserve">The four-step statistical modelling workflow. 37 hypotheses were tested by fitting </w:t>
      </w:r>
      <w:r w:rsidRPr="00B10EBE">
        <w:rPr>
          <w:rFonts w:ascii="Garamond" w:hAnsi="Garamond"/>
          <w:noProof/>
          <w:color w:val="000000" w:themeColor="text1"/>
          <w:sz w:val="24"/>
          <w:szCs w:val="24"/>
        </w:rPr>
        <w:t>spatial autoregressive error models</w:t>
      </w:r>
      <w:r w:rsidRPr="00B10EBE">
        <w:rPr>
          <w:rFonts w:ascii="Garamond" w:hAnsi="Garamond"/>
          <w:bCs/>
          <w:noProof/>
          <w:color w:val="000000" w:themeColor="text1"/>
          <w:sz w:val="24"/>
          <w:szCs w:val="24"/>
        </w:rPr>
        <w:t xml:space="preserve"> within a structural equation modelling (SEM) framework in each year and each bioregion. Well-fitted SEMs were identified by means of satisfactory Fisher’s C and </w:t>
      </w:r>
      <w:r w:rsidRPr="00B10EBE">
        <w:rPr>
          <w:rFonts w:ascii="Garamond" w:hAnsi="Garamond"/>
          <w:noProof/>
          <w:color w:val="000000" w:themeColor="text1"/>
          <w:sz w:val="24"/>
          <w:szCs w:val="24"/>
        </w:rPr>
        <w:t>χ</w:t>
      </w:r>
      <w:r w:rsidRPr="00B10EBE">
        <w:rPr>
          <w:rFonts w:ascii="Garamond" w:hAnsi="Garamond"/>
          <w:noProof/>
          <w:color w:val="000000" w:themeColor="text1"/>
          <w:sz w:val="24"/>
          <w:szCs w:val="24"/>
          <w:vertAlign w:val="superscript"/>
        </w:rPr>
        <w:t xml:space="preserve">2 </w:t>
      </w:r>
      <w:r w:rsidRPr="00B10EBE">
        <w:rPr>
          <w:rFonts w:ascii="Garamond" w:hAnsi="Garamond"/>
          <w:noProof/>
          <w:color w:val="000000" w:themeColor="text1"/>
          <w:sz w:val="24"/>
          <w:szCs w:val="24"/>
        </w:rPr>
        <w:t>goodness of fit measures. From well-fitted SEMs, we selected final SEMs based on ΔAIC value. Final SEMs were further evaluated using Nagelkerke r</w:t>
      </w:r>
      <w:r w:rsidRPr="00B10EBE">
        <w:rPr>
          <w:rFonts w:ascii="Garamond" w:hAnsi="Garamond"/>
          <w:noProof/>
          <w:color w:val="000000" w:themeColor="text1"/>
          <w:sz w:val="24"/>
          <w:szCs w:val="24"/>
          <w:vertAlign w:val="superscript"/>
        </w:rPr>
        <w:t>2</w:t>
      </w:r>
      <w:r w:rsidRPr="00B10EBE">
        <w:rPr>
          <w:rFonts w:ascii="Garamond" w:hAnsi="Garamond"/>
          <w:noProof/>
          <w:color w:val="000000" w:themeColor="text1"/>
          <w:sz w:val="24"/>
          <w:szCs w:val="24"/>
        </w:rPr>
        <w:t xml:space="preserve"> and residual plots.</w:t>
      </w:r>
    </w:p>
    <w:p w14:paraId="51B674EE" w14:textId="3A4CEA4E" w:rsidR="00710675" w:rsidRPr="00B10EBE" w:rsidRDefault="00710675" w:rsidP="0033343A">
      <w:pPr>
        <w:pStyle w:val="Bibliography"/>
        <w:spacing w:before="0"/>
        <w:ind w:left="0" w:firstLine="0"/>
        <w:contextualSpacing/>
        <w:mirrorIndents/>
        <w:jc w:val="both"/>
        <w:rPr>
          <w:rFonts w:ascii="Garamond" w:hAnsi="Garamond"/>
          <w:bCs/>
          <w:noProof/>
          <w:color w:val="000000" w:themeColor="text1"/>
          <w:sz w:val="24"/>
          <w:szCs w:val="24"/>
        </w:rPr>
      </w:pPr>
      <w:r w:rsidRPr="00B10EBE">
        <w:rPr>
          <w:rFonts w:ascii="Garamond" w:hAnsi="Garamond"/>
          <w:b/>
          <w:noProof/>
          <w:color w:val="000000" w:themeColor="text1"/>
          <w:sz w:val="24"/>
          <w:szCs w:val="24"/>
        </w:rPr>
        <w:t>Figure 4</w:t>
      </w:r>
      <w:r w:rsidRPr="00B10EBE">
        <w:rPr>
          <w:rFonts w:ascii="Garamond" w:hAnsi="Garamond"/>
          <w:b/>
          <w:noProof/>
          <w:color w:val="000000" w:themeColor="text1"/>
          <w:sz w:val="24"/>
          <w:szCs w:val="24"/>
        </w:rPr>
        <w:tab/>
      </w:r>
      <w:r w:rsidRPr="00B10EBE">
        <w:rPr>
          <w:rFonts w:ascii="Garamond" w:hAnsi="Garamond"/>
          <w:noProof/>
          <w:color w:val="000000" w:themeColor="text1"/>
          <w:sz w:val="24"/>
          <w:szCs w:val="24"/>
        </w:rPr>
        <w:t>Final structural equation models (SEM) of the direct and indirect effects (i.e., mediated by burned area) of burned area (BA), annual rainfall (Rain), temperature (T), dry season rainfall (DSR), population density (PD), soil moisture (SM), and previous year VOD (VOD</w:t>
      </w:r>
      <w:r w:rsidRPr="00B10EBE">
        <w:rPr>
          <w:rFonts w:ascii="Garamond" w:hAnsi="Garamond"/>
          <w:noProof/>
          <w:color w:val="000000" w:themeColor="text1"/>
          <w:sz w:val="24"/>
          <w:szCs w:val="24"/>
          <w:vertAlign w:val="subscript"/>
        </w:rPr>
        <w:t>yr-1</w:t>
      </w:r>
      <w:r w:rsidRPr="00B10EBE">
        <w:rPr>
          <w:rFonts w:ascii="Garamond" w:hAnsi="Garamond"/>
          <w:noProof/>
          <w:color w:val="000000" w:themeColor="text1"/>
          <w:sz w:val="24"/>
          <w:szCs w:val="24"/>
        </w:rPr>
        <w:t>) on vegetation optical depth (VOD) (left) and standardized regression coefficient</w:t>
      </w:r>
      <w:r w:rsidR="0026290B" w:rsidRPr="00B10EBE">
        <w:rPr>
          <w:rFonts w:ascii="Garamond" w:hAnsi="Garamond"/>
          <w:noProof/>
          <w:color w:val="000000" w:themeColor="text1"/>
          <w:sz w:val="24"/>
          <w:szCs w:val="24"/>
        </w:rPr>
        <w:t xml:space="preserve"> (β)</w:t>
      </w:r>
      <w:r w:rsidRPr="00B10EBE">
        <w:rPr>
          <w:rFonts w:ascii="Garamond" w:hAnsi="Garamond"/>
          <w:noProof/>
          <w:color w:val="000000" w:themeColor="text1"/>
          <w:sz w:val="24"/>
          <w:szCs w:val="24"/>
        </w:rPr>
        <w:t xml:space="preserve"> with 95% CIs during 1997-2016 (right) for Sahel grasslands (a), Greater Karoo and Kalahari drylands (b), Southeast African subtropical grasslands (c), and Madagascar (d). The thickness of the arrows is scaled to the </w:t>
      </w:r>
      <w:r w:rsidR="0026290B" w:rsidRPr="00B10EBE">
        <w:rPr>
          <w:rFonts w:ascii="Garamond" w:hAnsi="Garamond"/>
          <w:noProof/>
          <w:color w:val="000000" w:themeColor="text1"/>
          <w:sz w:val="24"/>
          <w:szCs w:val="24"/>
        </w:rPr>
        <w:t>β</w:t>
      </w:r>
      <w:r w:rsidRPr="00B10EBE">
        <w:rPr>
          <w:rFonts w:ascii="Garamond" w:hAnsi="Garamond"/>
          <w:noProof/>
          <w:color w:val="000000" w:themeColor="text1"/>
          <w:sz w:val="24"/>
          <w:szCs w:val="24"/>
        </w:rPr>
        <w:t xml:space="preserve"> coefficients, which are calculated by natural model averaging the final SEMs in each year and later during 1997-2016. Black represents positive effect and red represents negative effect. Cyan crosses indicate years in which all available final SEM structures did not include the path between the two variables. No CIs for years with only one available </w:t>
      </w:r>
      <w:r w:rsidR="0026290B" w:rsidRPr="00B10EBE">
        <w:rPr>
          <w:rFonts w:ascii="Garamond" w:hAnsi="Garamond"/>
          <w:noProof/>
          <w:color w:val="000000" w:themeColor="text1"/>
          <w:sz w:val="24"/>
          <w:szCs w:val="24"/>
        </w:rPr>
        <w:t>β coefficient</w:t>
      </w:r>
      <w:r w:rsidRPr="00B10EBE">
        <w:rPr>
          <w:rFonts w:ascii="Garamond" w:hAnsi="Garamond"/>
          <w:noProof/>
          <w:color w:val="000000" w:themeColor="text1"/>
          <w:sz w:val="24"/>
          <w:szCs w:val="24"/>
        </w:rPr>
        <w:t xml:space="preserve">. </w:t>
      </w:r>
      <w:r w:rsidR="0036382E" w:rsidRPr="00B10EBE">
        <w:rPr>
          <w:rFonts w:ascii="Garamond" w:hAnsi="Garamond"/>
          <w:noProof/>
          <w:color w:val="000000" w:themeColor="text1"/>
          <w:sz w:val="24"/>
          <w:szCs w:val="24"/>
        </w:rPr>
        <w:t>Th</w:t>
      </w:r>
      <w:r w:rsidRPr="00B10EBE">
        <w:rPr>
          <w:rFonts w:ascii="Garamond" w:hAnsi="Garamond"/>
          <w:noProof/>
          <w:color w:val="000000" w:themeColor="text1"/>
          <w:sz w:val="24"/>
          <w:szCs w:val="24"/>
        </w:rPr>
        <w:t xml:space="preserve">e direct effects </w:t>
      </w:r>
      <w:r w:rsidR="0036382E" w:rsidRPr="00B10EBE">
        <w:rPr>
          <w:rFonts w:ascii="Garamond" w:hAnsi="Garamond"/>
          <w:noProof/>
          <w:color w:val="000000" w:themeColor="text1"/>
          <w:sz w:val="24"/>
          <w:szCs w:val="24"/>
        </w:rPr>
        <w:t xml:space="preserve">of rainfall and temperature </w:t>
      </w:r>
      <w:r w:rsidRPr="00B10EBE">
        <w:rPr>
          <w:rFonts w:ascii="Garamond" w:hAnsi="Garamond"/>
          <w:noProof/>
          <w:color w:val="000000" w:themeColor="text1"/>
          <w:sz w:val="24"/>
          <w:szCs w:val="24"/>
        </w:rPr>
        <w:t xml:space="preserve">on VOD are similar but opposite in sign (positive and negative, respectively) in all bioregions. Overall, no significant relationships were observed between burned area and VOD. The indirect effects of any variable on VOD were negligible. </w:t>
      </w:r>
      <w:r w:rsidR="00BE7912" w:rsidRPr="00B10EBE">
        <w:rPr>
          <w:rFonts w:ascii="Garamond" w:hAnsi="Garamond"/>
          <w:noProof/>
          <w:color w:val="000000" w:themeColor="text1"/>
          <w:sz w:val="24"/>
          <w:szCs w:val="24"/>
        </w:rPr>
        <w:t>Full details are reported in Appendix A6.</w:t>
      </w:r>
      <w:r w:rsidRPr="00B10EBE">
        <w:rPr>
          <w:rFonts w:ascii="Garamond" w:hAnsi="Garamond"/>
          <w:bCs/>
          <w:noProof/>
          <w:color w:val="000000" w:themeColor="text1"/>
          <w:sz w:val="24"/>
          <w:szCs w:val="24"/>
        </w:rPr>
        <w:br w:type="page"/>
      </w:r>
    </w:p>
    <w:p w14:paraId="5B3DF980" w14:textId="77777777" w:rsidR="006A150A" w:rsidRPr="00B10EBE" w:rsidRDefault="006A150A">
      <w:pPr>
        <w:rPr>
          <w:rFonts w:ascii="Garamond" w:hAnsi="Garamond"/>
          <w:b/>
          <w:noProof/>
          <w:color w:val="000000" w:themeColor="text1"/>
          <w:sz w:val="24"/>
          <w:szCs w:val="24"/>
        </w:rPr>
      </w:pPr>
      <w:r w:rsidRPr="00B10EBE">
        <w:rPr>
          <w:rFonts w:ascii="Garamond" w:hAnsi="Garamond"/>
          <w:b/>
          <w:noProof/>
          <w:color w:val="000000" w:themeColor="text1"/>
          <w:sz w:val="24"/>
          <w:szCs w:val="24"/>
        </w:rPr>
        <w:t>Tables</w:t>
      </w:r>
    </w:p>
    <w:tbl>
      <w:tblPr>
        <w:tblStyle w:val="TableGrid"/>
        <w:tblpPr w:leftFromText="180" w:rightFromText="180" w:vertAnchor="page" w:horzAnchor="margin" w:tblpXSpec="center" w:tblpY="1859"/>
        <w:tblW w:w="9351" w:type="dxa"/>
        <w:tblLook w:val="04A0" w:firstRow="1" w:lastRow="0" w:firstColumn="1" w:lastColumn="0" w:noHBand="0" w:noVBand="1"/>
      </w:tblPr>
      <w:tblGrid>
        <w:gridCol w:w="1413"/>
        <w:gridCol w:w="2410"/>
        <w:gridCol w:w="1417"/>
        <w:gridCol w:w="1701"/>
        <w:gridCol w:w="2410"/>
      </w:tblGrid>
      <w:tr w:rsidR="00B10EBE" w:rsidRPr="00B10EBE" w14:paraId="07D9D132" w14:textId="77777777" w:rsidTr="001E3836">
        <w:tc>
          <w:tcPr>
            <w:tcW w:w="1413" w:type="dxa"/>
          </w:tcPr>
          <w:p w14:paraId="6804FFAA" w14:textId="326AA5E6" w:rsidR="00BA4373" w:rsidRPr="00B10EBE" w:rsidRDefault="00BA4373" w:rsidP="00220AB7">
            <w:pPr>
              <w:spacing w:line="276" w:lineRule="auto"/>
              <w:ind w:left="0" w:firstLine="0"/>
              <w:contextualSpacing/>
              <w:jc w:val="center"/>
              <w:rPr>
                <w:rFonts w:ascii="Garamond" w:hAnsi="Garamond"/>
                <w:b/>
                <w:noProof/>
                <w:color w:val="000000" w:themeColor="text1"/>
                <w:sz w:val="22"/>
                <w:szCs w:val="22"/>
              </w:rPr>
            </w:pPr>
            <w:r w:rsidRPr="00B10EBE">
              <w:rPr>
                <w:rFonts w:ascii="Garamond" w:hAnsi="Garamond"/>
                <w:b/>
                <w:noProof/>
                <w:color w:val="000000" w:themeColor="text1"/>
                <w:sz w:val="22"/>
                <w:szCs w:val="22"/>
              </w:rPr>
              <w:t>Name</w:t>
            </w:r>
          </w:p>
        </w:tc>
        <w:tc>
          <w:tcPr>
            <w:tcW w:w="2410" w:type="dxa"/>
          </w:tcPr>
          <w:p w14:paraId="22D11D7D" w14:textId="46138F26" w:rsidR="00BA4373" w:rsidRPr="00B10EBE" w:rsidRDefault="00BA4373" w:rsidP="00220AB7">
            <w:pPr>
              <w:spacing w:line="276" w:lineRule="auto"/>
              <w:ind w:left="0" w:firstLine="0"/>
              <w:contextualSpacing/>
              <w:jc w:val="center"/>
              <w:rPr>
                <w:rFonts w:ascii="Garamond" w:hAnsi="Garamond"/>
                <w:b/>
                <w:noProof/>
                <w:color w:val="000000" w:themeColor="text1"/>
                <w:sz w:val="22"/>
                <w:szCs w:val="22"/>
              </w:rPr>
            </w:pPr>
            <w:r w:rsidRPr="00B10EBE">
              <w:rPr>
                <w:rFonts w:ascii="Garamond" w:hAnsi="Garamond"/>
                <w:b/>
                <w:noProof/>
                <w:color w:val="000000" w:themeColor="text1"/>
                <w:sz w:val="22"/>
                <w:szCs w:val="22"/>
              </w:rPr>
              <w:t>Data</w:t>
            </w:r>
          </w:p>
        </w:tc>
        <w:tc>
          <w:tcPr>
            <w:tcW w:w="1417" w:type="dxa"/>
          </w:tcPr>
          <w:p w14:paraId="54A70370" w14:textId="62D481A5" w:rsidR="00BA4373" w:rsidRPr="00B10EBE" w:rsidRDefault="00D4346D" w:rsidP="00220AB7">
            <w:pPr>
              <w:spacing w:line="276" w:lineRule="auto"/>
              <w:ind w:left="0" w:firstLine="0"/>
              <w:contextualSpacing/>
              <w:jc w:val="center"/>
              <w:rPr>
                <w:rFonts w:ascii="Garamond" w:hAnsi="Garamond"/>
                <w:b/>
                <w:noProof/>
                <w:color w:val="000000" w:themeColor="text1"/>
                <w:sz w:val="22"/>
                <w:szCs w:val="22"/>
              </w:rPr>
            </w:pPr>
            <w:r w:rsidRPr="00B10EBE">
              <w:rPr>
                <w:rFonts w:ascii="Garamond" w:hAnsi="Garamond"/>
                <w:b/>
                <w:noProof/>
                <w:color w:val="000000" w:themeColor="text1"/>
                <w:sz w:val="22"/>
                <w:szCs w:val="22"/>
              </w:rPr>
              <w:t>Time series</w:t>
            </w:r>
          </w:p>
        </w:tc>
        <w:tc>
          <w:tcPr>
            <w:tcW w:w="1701" w:type="dxa"/>
          </w:tcPr>
          <w:p w14:paraId="4B64FA22" w14:textId="112F4ABB" w:rsidR="00BA4373" w:rsidRPr="00B10EBE" w:rsidRDefault="00BA4373" w:rsidP="00220AB7">
            <w:pPr>
              <w:spacing w:line="276" w:lineRule="auto"/>
              <w:ind w:left="0" w:firstLine="0"/>
              <w:contextualSpacing/>
              <w:jc w:val="center"/>
              <w:rPr>
                <w:rFonts w:ascii="Garamond" w:hAnsi="Garamond"/>
                <w:b/>
                <w:noProof/>
                <w:color w:val="000000" w:themeColor="text1"/>
                <w:sz w:val="22"/>
                <w:szCs w:val="22"/>
              </w:rPr>
            </w:pPr>
            <w:r w:rsidRPr="00B10EBE">
              <w:rPr>
                <w:rFonts w:ascii="Garamond" w:hAnsi="Garamond"/>
                <w:b/>
                <w:noProof/>
                <w:color w:val="000000" w:themeColor="text1"/>
                <w:sz w:val="22"/>
                <w:szCs w:val="22"/>
              </w:rPr>
              <w:t>Resolution</w:t>
            </w:r>
          </w:p>
        </w:tc>
        <w:tc>
          <w:tcPr>
            <w:tcW w:w="2410" w:type="dxa"/>
          </w:tcPr>
          <w:p w14:paraId="60BB2DD3" w14:textId="24B665B4" w:rsidR="00BA4373" w:rsidRPr="00B10EBE" w:rsidRDefault="00BA4373" w:rsidP="00220AB7">
            <w:pPr>
              <w:spacing w:line="276" w:lineRule="auto"/>
              <w:ind w:left="0" w:firstLine="0"/>
              <w:contextualSpacing/>
              <w:jc w:val="center"/>
              <w:rPr>
                <w:rFonts w:ascii="Garamond" w:hAnsi="Garamond"/>
                <w:b/>
                <w:noProof/>
                <w:color w:val="000000" w:themeColor="text1"/>
                <w:sz w:val="22"/>
                <w:szCs w:val="22"/>
              </w:rPr>
            </w:pPr>
            <w:r w:rsidRPr="00B10EBE">
              <w:rPr>
                <w:rFonts w:ascii="Garamond" w:hAnsi="Garamond"/>
                <w:b/>
                <w:noProof/>
                <w:color w:val="000000" w:themeColor="text1"/>
                <w:sz w:val="22"/>
                <w:szCs w:val="22"/>
              </w:rPr>
              <w:t>Reference</w:t>
            </w:r>
          </w:p>
        </w:tc>
      </w:tr>
      <w:tr w:rsidR="00B10EBE" w:rsidRPr="00B10EBE" w14:paraId="2220F5AE" w14:textId="77777777" w:rsidTr="001E3836">
        <w:tc>
          <w:tcPr>
            <w:tcW w:w="1413" w:type="dxa"/>
            <w:vAlign w:val="center"/>
          </w:tcPr>
          <w:p w14:paraId="4BA7A291" w14:textId="4FEC1D39"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VODCA</w:t>
            </w:r>
          </w:p>
        </w:tc>
        <w:tc>
          <w:tcPr>
            <w:tcW w:w="2410" w:type="dxa"/>
            <w:vAlign w:val="center"/>
          </w:tcPr>
          <w:p w14:paraId="791468E4" w14:textId="49820B1A" w:rsidR="00D4346D"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VOD</w:t>
            </w:r>
            <w:r w:rsidR="00D4346D" w:rsidRPr="00B10EBE">
              <w:rPr>
                <w:rFonts w:ascii="Garamond" w:hAnsi="Garamond"/>
                <w:bCs/>
                <w:noProof/>
                <w:color w:val="000000" w:themeColor="text1"/>
                <w:sz w:val="22"/>
                <w:szCs w:val="22"/>
              </w:rPr>
              <w:t xml:space="preserve"> (unitless)</w:t>
            </w:r>
          </w:p>
        </w:tc>
        <w:tc>
          <w:tcPr>
            <w:tcW w:w="1417" w:type="dxa"/>
            <w:vAlign w:val="center"/>
          </w:tcPr>
          <w:p w14:paraId="5C3242BF" w14:textId="4679768E"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1987-2017</w:t>
            </w:r>
          </w:p>
        </w:tc>
        <w:tc>
          <w:tcPr>
            <w:tcW w:w="1701" w:type="dxa"/>
            <w:vAlign w:val="center"/>
          </w:tcPr>
          <w:p w14:paraId="7AD9200C" w14:textId="68B7DA5A" w:rsidR="00D4346D"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Monthly</w:t>
            </w:r>
          </w:p>
          <w:p w14:paraId="1F08F954" w14:textId="1D1F6CF4"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25</w:t>
            </w:r>
            <w:r w:rsidR="00220AB7" w:rsidRPr="00B10EBE">
              <w:rPr>
                <w:rFonts w:ascii="Garamond" w:hAnsi="Garamond"/>
                <w:bCs/>
                <w:noProof/>
                <w:color w:val="000000" w:themeColor="text1"/>
                <w:sz w:val="22"/>
                <w:szCs w:val="22"/>
              </w:rPr>
              <w:t xml:space="preserve"> km</w:t>
            </w:r>
            <w:r w:rsidRPr="00B10EBE">
              <w:rPr>
                <w:rFonts w:ascii="Garamond" w:hAnsi="Garamond"/>
                <w:bCs/>
                <w:noProof/>
                <w:color w:val="000000" w:themeColor="text1"/>
                <w:sz w:val="22"/>
                <w:szCs w:val="22"/>
              </w:rPr>
              <w:t xml:space="preserve"> × 25 km</w:t>
            </w:r>
          </w:p>
        </w:tc>
        <w:tc>
          <w:tcPr>
            <w:tcW w:w="2410" w:type="dxa"/>
            <w:vAlign w:val="center"/>
          </w:tcPr>
          <w:p w14:paraId="795DE4D7" w14:textId="39B34297"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Moesinger et al. (2020)</w:t>
            </w:r>
          </w:p>
        </w:tc>
      </w:tr>
      <w:tr w:rsidR="00B10EBE" w:rsidRPr="00B10EBE" w14:paraId="0F123AB1" w14:textId="77777777" w:rsidTr="001E3836">
        <w:tc>
          <w:tcPr>
            <w:tcW w:w="1413" w:type="dxa"/>
            <w:vAlign w:val="center"/>
          </w:tcPr>
          <w:p w14:paraId="366DCF91" w14:textId="1B312E40"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GFED</w:t>
            </w:r>
          </w:p>
        </w:tc>
        <w:tc>
          <w:tcPr>
            <w:tcW w:w="2410" w:type="dxa"/>
            <w:vAlign w:val="center"/>
          </w:tcPr>
          <w:p w14:paraId="2DC0C51E" w14:textId="21376902"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Burned area</w:t>
            </w:r>
            <w:r w:rsidR="00D4346D" w:rsidRPr="00B10EBE">
              <w:rPr>
                <w:rFonts w:ascii="Garamond" w:hAnsi="Garamond"/>
                <w:bCs/>
                <w:noProof/>
                <w:color w:val="000000" w:themeColor="text1"/>
                <w:sz w:val="22"/>
                <w:szCs w:val="22"/>
              </w:rPr>
              <w:t xml:space="preserve"> (ha)</w:t>
            </w:r>
          </w:p>
        </w:tc>
        <w:tc>
          <w:tcPr>
            <w:tcW w:w="1417" w:type="dxa"/>
            <w:vAlign w:val="center"/>
          </w:tcPr>
          <w:p w14:paraId="622BD19D" w14:textId="63D4AB40"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1997-2016</w:t>
            </w:r>
          </w:p>
        </w:tc>
        <w:tc>
          <w:tcPr>
            <w:tcW w:w="1701" w:type="dxa"/>
            <w:vAlign w:val="center"/>
          </w:tcPr>
          <w:p w14:paraId="07A74DB4" w14:textId="280C317E" w:rsidR="00D4346D"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Monthly</w:t>
            </w:r>
          </w:p>
          <w:p w14:paraId="5756E8C3" w14:textId="333247EA"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25</w:t>
            </w:r>
            <w:r w:rsidR="00220AB7" w:rsidRPr="00B10EBE">
              <w:rPr>
                <w:rFonts w:ascii="Garamond" w:hAnsi="Garamond"/>
                <w:bCs/>
                <w:noProof/>
                <w:color w:val="000000" w:themeColor="text1"/>
                <w:sz w:val="22"/>
                <w:szCs w:val="22"/>
              </w:rPr>
              <w:t xml:space="preserve"> km</w:t>
            </w:r>
            <w:r w:rsidRPr="00B10EBE">
              <w:rPr>
                <w:rFonts w:ascii="Garamond" w:hAnsi="Garamond"/>
                <w:bCs/>
                <w:noProof/>
                <w:color w:val="000000" w:themeColor="text1"/>
                <w:sz w:val="22"/>
                <w:szCs w:val="22"/>
              </w:rPr>
              <w:t xml:space="preserve"> × 25 km</w:t>
            </w:r>
          </w:p>
        </w:tc>
        <w:tc>
          <w:tcPr>
            <w:tcW w:w="2410" w:type="dxa"/>
            <w:vAlign w:val="center"/>
          </w:tcPr>
          <w:p w14:paraId="3C2C6B04" w14:textId="5AC43331"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van der Werf et al. (2017)</w:t>
            </w:r>
          </w:p>
        </w:tc>
      </w:tr>
      <w:tr w:rsidR="00B10EBE" w:rsidRPr="00B10EBE" w14:paraId="3C71DCEF" w14:textId="77777777" w:rsidTr="001E3836">
        <w:tc>
          <w:tcPr>
            <w:tcW w:w="1413" w:type="dxa"/>
            <w:vAlign w:val="center"/>
          </w:tcPr>
          <w:p w14:paraId="4A3B20F6" w14:textId="3CFD36B7"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CHIRPS</w:t>
            </w:r>
          </w:p>
        </w:tc>
        <w:tc>
          <w:tcPr>
            <w:tcW w:w="2410" w:type="dxa"/>
            <w:vAlign w:val="center"/>
          </w:tcPr>
          <w:p w14:paraId="4C72FC0C" w14:textId="62B6B275"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vertAlign w:val="superscript"/>
              </w:rPr>
            </w:pPr>
            <w:r w:rsidRPr="00B10EBE">
              <w:rPr>
                <w:rFonts w:ascii="Garamond" w:hAnsi="Garamond"/>
                <w:bCs/>
                <w:noProof/>
                <w:color w:val="000000" w:themeColor="text1"/>
                <w:sz w:val="22"/>
                <w:szCs w:val="22"/>
              </w:rPr>
              <w:t>Rainfall</w:t>
            </w:r>
            <w:r w:rsidR="00D4346D" w:rsidRPr="00B10EBE">
              <w:rPr>
                <w:rFonts w:ascii="Garamond" w:hAnsi="Garamond"/>
                <w:bCs/>
                <w:noProof/>
                <w:color w:val="000000" w:themeColor="text1"/>
                <w:sz w:val="22"/>
                <w:szCs w:val="22"/>
              </w:rPr>
              <w:t xml:space="preserve"> ( mm yr</w:t>
            </w:r>
            <w:r w:rsidR="00D4346D" w:rsidRPr="00B10EBE">
              <w:rPr>
                <w:rFonts w:ascii="Garamond" w:hAnsi="Garamond"/>
                <w:bCs/>
                <w:noProof/>
                <w:color w:val="000000" w:themeColor="text1"/>
                <w:sz w:val="22"/>
                <w:szCs w:val="22"/>
                <w:vertAlign w:val="superscript"/>
              </w:rPr>
              <w:t>–1</w:t>
            </w:r>
            <w:r w:rsidR="00D4346D" w:rsidRPr="00B10EBE">
              <w:rPr>
                <w:rFonts w:ascii="Garamond" w:hAnsi="Garamond"/>
                <w:bCs/>
                <w:noProof/>
                <w:color w:val="000000" w:themeColor="text1"/>
                <w:sz w:val="22"/>
                <w:szCs w:val="22"/>
              </w:rPr>
              <w:t>)</w:t>
            </w:r>
          </w:p>
          <w:p w14:paraId="596C673D" w14:textId="37517EE8" w:rsidR="00693C2A" w:rsidRPr="00B10EBE" w:rsidRDefault="00693C2A"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Dry season rain</w:t>
            </w:r>
            <w:r w:rsidR="0059435C" w:rsidRPr="00B10EBE">
              <w:rPr>
                <w:rFonts w:ascii="Garamond" w:hAnsi="Garamond"/>
                <w:bCs/>
                <w:noProof/>
                <w:color w:val="000000" w:themeColor="text1"/>
                <w:sz w:val="22"/>
                <w:szCs w:val="22"/>
              </w:rPr>
              <w:t>fall</w:t>
            </w:r>
            <w:r w:rsidR="00D4346D" w:rsidRPr="00B10EBE">
              <w:rPr>
                <w:rFonts w:ascii="Garamond" w:hAnsi="Garamond"/>
                <w:bCs/>
                <w:noProof/>
                <w:color w:val="000000" w:themeColor="text1"/>
                <w:sz w:val="22"/>
                <w:szCs w:val="22"/>
              </w:rPr>
              <w:t xml:space="preserve"> (mm)</w:t>
            </w:r>
          </w:p>
        </w:tc>
        <w:tc>
          <w:tcPr>
            <w:tcW w:w="1417" w:type="dxa"/>
            <w:vAlign w:val="center"/>
          </w:tcPr>
          <w:p w14:paraId="6B1CD6A3" w14:textId="77777777" w:rsidR="00220AB7"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1981-</w:t>
            </w:r>
          </w:p>
          <w:p w14:paraId="3C75C3BC" w14:textId="6CB56C19" w:rsidR="00693C2A" w:rsidRPr="00B10EBE" w:rsidRDefault="00220AB7"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near </w:t>
            </w:r>
            <w:r w:rsidR="00D4346D" w:rsidRPr="00B10EBE">
              <w:rPr>
                <w:rFonts w:ascii="Garamond" w:hAnsi="Garamond"/>
                <w:bCs/>
                <w:noProof/>
                <w:color w:val="000000" w:themeColor="text1"/>
                <w:sz w:val="22"/>
                <w:szCs w:val="22"/>
              </w:rPr>
              <w:t>present</w:t>
            </w:r>
          </w:p>
        </w:tc>
        <w:tc>
          <w:tcPr>
            <w:tcW w:w="1701" w:type="dxa"/>
            <w:vAlign w:val="center"/>
          </w:tcPr>
          <w:p w14:paraId="799FC076" w14:textId="518E78D8" w:rsidR="00D4346D"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Daily</w:t>
            </w:r>
          </w:p>
          <w:p w14:paraId="2EC18240" w14:textId="13A670E3"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5</w:t>
            </w:r>
            <w:r w:rsidR="00220AB7" w:rsidRPr="00B10EBE">
              <w:rPr>
                <w:rFonts w:ascii="Garamond" w:hAnsi="Garamond"/>
                <w:bCs/>
                <w:noProof/>
                <w:color w:val="000000" w:themeColor="text1"/>
                <w:sz w:val="22"/>
                <w:szCs w:val="22"/>
              </w:rPr>
              <w:t xml:space="preserve"> km</w:t>
            </w:r>
            <w:r w:rsidRPr="00B10EBE">
              <w:rPr>
                <w:rFonts w:ascii="Garamond" w:hAnsi="Garamond"/>
                <w:bCs/>
                <w:noProof/>
                <w:color w:val="000000" w:themeColor="text1"/>
                <w:sz w:val="22"/>
                <w:szCs w:val="22"/>
              </w:rPr>
              <w:t xml:space="preserve"> × 5 km</w:t>
            </w:r>
          </w:p>
        </w:tc>
        <w:tc>
          <w:tcPr>
            <w:tcW w:w="2410" w:type="dxa"/>
            <w:vAlign w:val="center"/>
          </w:tcPr>
          <w:p w14:paraId="57E66307" w14:textId="7CB14B34"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Funk et al. (2015)</w:t>
            </w:r>
          </w:p>
        </w:tc>
      </w:tr>
      <w:tr w:rsidR="00B10EBE" w:rsidRPr="00B10EBE" w14:paraId="5390D5D5" w14:textId="77777777" w:rsidTr="001E3836">
        <w:tc>
          <w:tcPr>
            <w:tcW w:w="1413" w:type="dxa"/>
            <w:vAlign w:val="center"/>
          </w:tcPr>
          <w:p w14:paraId="77358B0C" w14:textId="3BBF7205"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CHELSA</w:t>
            </w:r>
          </w:p>
        </w:tc>
        <w:tc>
          <w:tcPr>
            <w:tcW w:w="2410" w:type="dxa"/>
            <w:vAlign w:val="center"/>
          </w:tcPr>
          <w:p w14:paraId="5C243D79" w14:textId="1FD2788C"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Temperature</w:t>
            </w:r>
            <w:r w:rsidR="00D4346D" w:rsidRPr="00B10EBE">
              <w:rPr>
                <w:rFonts w:ascii="Garamond" w:hAnsi="Garamond"/>
                <w:bCs/>
                <w:noProof/>
                <w:color w:val="000000" w:themeColor="text1"/>
                <w:sz w:val="22"/>
                <w:szCs w:val="22"/>
              </w:rPr>
              <w:t xml:space="preserve"> (°C)</w:t>
            </w:r>
          </w:p>
        </w:tc>
        <w:tc>
          <w:tcPr>
            <w:tcW w:w="1417" w:type="dxa"/>
            <w:vAlign w:val="center"/>
          </w:tcPr>
          <w:p w14:paraId="7519A718" w14:textId="34200816"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w:t>
            </w:r>
            <w:r w:rsidR="00E92EB7" w:rsidRPr="00B10EBE">
              <w:rPr>
                <w:rFonts w:ascii="Garamond" w:hAnsi="Garamond"/>
                <w:bCs/>
                <w:noProof/>
                <w:color w:val="000000" w:themeColor="text1"/>
                <w:sz w:val="22"/>
                <w:szCs w:val="22"/>
              </w:rPr>
              <w:t>80</w:t>
            </w:r>
            <w:r w:rsidRPr="00B10EBE">
              <w:rPr>
                <w:rFonts w:ascii="Garamond" w:hAnsi="Garamond"/>
                <w:bCs/>
                <w:noProof/>
                <w:color w:val="000000" w:themeColor="text1"/>
                <w:sz w:val="22"/>
                <w:szCs w:val="22"/>
              </w:rPr>
              <w:t>-2019</w:t>
            </w:r>
          </w:p>
        </w:tc>
        <w:tc>
          <w:tcPr>
            <w:tcW w:w="1701" w:type="dxa"/>
            <w:vAlign w:val="center"/>
          </w:tcPr>
          <w:p w14:paraId="7024DA0D" w14:textId="3CF3D6D6" w:rsidR="00D4346D" w:rsidRPr="00B10EBE" w:rsidRDefault="00220AB7"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Monthly</w:t>
            </w:r>
          </w:p>
          <w:p w14:paraId="75573D5F" w14:textId="6626F1C9"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1 </w:t>
            </w:r>
            <w:r w:rsidR="00220AB7" w:rsidRPr="00B10EBE">
              <w:rPr>
                <w:rFonts w:ascii="Garamond" w:hAnsi="Garamond"/>
                <w:bCs/>
                <w:noProof/>
                <w:color w:val="000000" w:themeColor="text1"/>
                <w:sz w:val="22"/>
                <w:szCs w:val="22"/>
              </w:rPr>
              <w:t xml:space="preserve">km </w:t>
            </w:r>
            <w:r w:rsidRPr="00B10EBE">
              <w:rPr>
                <w:rFonts w:ascii="Garamond" w:hAnsi="Garamond"/>
                <w:bCs/>
                <w:noProof/>
                <w:color w:val="000000" w:themeColor="text1"/>
                <w:sz w:val="22"/>
                <w:szCs w:val="22"/>
              </w:rPr>
              <w:t>× 1 km</w:t>
            </w:r>
          </w:p>
        </w:tc>
        <w:tc>
          <w:tcPr>
            <w:tcW w:w="2410" w:type="dxa"/>
            <w:vAlign w:val="center"/>
          </w:tcPr>
          <w:p w14:paraId="07D6B956" w14:textId="5AD0ADF9"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Karger et al. (2017)</w:t>
            </w:r>
          </w:p>
        </w:tc>
      </w:tr>
      <w:tr w:rsidR="00B10EBE" w:rsidRPr="00B10EBE" w14:paraId="08AAB194" w14:textId="77777777" w:rsidTr="001E3836">
        <w:tc>
          <w:tcPr>
            <w:tcW w:w="1413" w:type="dxa"/>
            <w:vAlign w:val="center"/>
          </w:tcPr>
          <w:p w14:paraId="4CF2DC1E" w14:textId="64F693B4"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ESA CCI</w:t>
            </w:r>
            <w:r w:rsidR="001E3836" w:rsidRPr="00B10EBE">
              <w:rPr>
                <w:rFonts w:ascii="Garamond" w:hAnsi="Garamond"/>
                <w:bCs/>
                <w:noProof/>
                <w:color w:val="000000" w:themeColor="text1"/>
                <w:sz w:val="22"/>
                <w:szCs w:val="22"/>
              </w:rPr>
              <w:t xml:space="preserve"> SM</w:t>
            </w:r>
          </w:p>
        </w:tc>
        <w:tc>
          <w:tcPr>
            <w:tcW w:w="2410" w:type="dxa"/>
            <w:vAlign w:val="center"/>
          </w:tcPr>
          <w:p w14:paraId="1BF351DA" w14:textId="41693321"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Soil </w:t>
            </w:r>
            <w:r w:rsidR="00115EEA" w:rsidRPr="00B10EBE">
              <w:rPr>
                <w:rFonts w:ascii="Garamond" w:hAnsi="Garamond"/>
                <w:bCs/>
                <w:noProof/>
                <w:color w:val="000000" w:themeColor="text1"/>
                <w:sz w:val="22"/>
                <w:szCs w:val="22"/>
              </w:rPr>
              <w:t>moisture</w:t>
            </w:r>
            <w:r w:rsidR="00D4346D" w:rsidRPr="00B10EBE">
              <w:rPr>
                <w:rFonts w:ascii="Garamond" w:hAnsi="Garamond"/>
                <w:bCs/>
                <w:noProof/>
                <w:color w:val="000000" w:themeColor="text1"/>
                <w:sz w:val="22"/>
                <w:szCs w:val="22"/>
              </w:rPr>
              <w:t xml:space="preserve"> (m</w:t>
            </w:r>
            <w:r w:rsidR="00D4346D" w:rsidRPr="00B10EBE">
              <w:rPr>
                <w:rFonts w:ascii="Garamond" w:hAnsi="Garamond"/>
                <w:bCs/>
                <w:noProof/>
                <w:color w:val="000000" w:themeColor="text1"/>
                <w:sz w:val="22"/>
                <w:szCs w:val="22"/>
                <w:vertAlign w:val="superscript"/>
              </w:rPr>
              <w:t>3</w:t>
            </w:r>
            <w:r w:rsidR="00D4346D" w:rsidRPr="00B10EBE">
              <w:rPr>
                <w:rFonts w:ascii="Garamond" w:hAnsi="Garamond"/>
                <w:bCs/>
                <w:noProof/>
                <w:color w:val="000000" w:themeColor="text1"/>
                <w:sz w:val="22"/>
                <w:szCs w:val="22"/>
              </w:rPr>
              <w:t xml:space="preserve"> m</w:t>
            </w:r>
            <w:r w:rsidR="00D4346D" w:rsidRPr="00B10EBE">
              <w:rPr>
                <w:rFonts w:ascii="Garamond" w:hAnsi="Garamond"/>
                <w:bCs/>
                <w:noProof/>
                <w:color w:val="000000" w:themeColor="text1"/>
                <w:sz w:val="22"/>
                <w:szCs w:val="22"/>
                <w:vertAlign w:val="superscript"/>
              </w:rPr>
              <w:t>–3</w:t>
            </w:r>
            <w:r w:rsidR="00D4346D" w:rsidRPr="00B10EBE">
              <w:rPr>
                <w:rFonts w:ascii="Garamond" w:hAnsi="Garamond"/>
                <w:bCs/>
                <w:noProof/>
                <w:color w:val="000000" w:themeColor="text1"/>
                <w:sz w:val="22"/>
                <w:szCs w:val="22"/>
              </w:rPr>
              <w:t>)</w:t>
            </w:r>
          </w:p>
        </w:tc>
        <w:tc>
          <w:tcPr>
            <w:tcW w:w="1417" w:type="dxa"/>
            <w:vAlign w:val="center"/>
          </w:tcPr>
          <w:p w14:paraId="5D9EAFDD" w14:textId="711CF970"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w:t>
            </w:r>
            <w:r w:rsidR="00E92EB7" w:rsidRPr="00B10EBE">
              <w:rPr>
                <w:rFonts w:ascii="Garamond" w:hAnsi="Garamond"/>
                <w:bCs/>
                <w:noProof/>
                <w:color w:val="000000" w:themeColor="text1"/>
                <w:sz w:val="22"/>
                <w:szCs w:val="22"/>
              </w:rPr>
              <w:t>87</w:t>
            </w:r>
            <w:r w:rsidRPr="00B10EBE">
              <w:rPr>
                <w:rFonts w:ascii="Garamond" w:hAnsi="Garamond"/>
                <w:bCs/>
                <w:noProof/>
                <w:color w:val="000000" w:themeColor="text1"/>
                <w:sz w:val="22"/>
                <w:szCs w:val="22"/>
              </w:rPr>
              <w:t>-2016</w:t>
            </w:r>
          </w:p>
        </w:tc>
        <w:tc>
          <w:tcPr>
            <w:tcW w:w="1701" w:type="dxa"/>
            <w:vAlign w:val="center"/>
          </w:tcPr>
          <w:p w14:paraId="1EC01871" w14:textId="762D3574"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Daily</w:t>
            </w:r>
          </w:p>
          <w:p w14:paraId="6097E1B3" w14:textId="1C91B9DB"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25 </w:t>
            </w:r>
            <w:r w:rsidR="00220AB7" w:rsidRPr="00B10EBE">
              <w:rPr>
                <w:rFonts w:ascii="Garamond" w:hAnsi="Garamond"/>
                <w:bCs/>
                <w:noProof/>
                <w:color w:val="000000" w:themeColor="text1"/>
                <w:sz w:val="22"/>
                <w:szCs w:val="22"/>
              </w:rPr>
              <w:t xml:space="preserve">km </w:t>
            </w:r>
            <w:r w:rsidRPr="00B10EBE">
              <w:rPr>
                <w:rFonts w:ascii="Garamond" w:hAnsi="Garamond"/>
                <w:bCs/>
                <w:noProof/>
                <w:color w:val="000000" w:themeColor="text1"/>
                <w:sz w:val="22"/>
                <w:szCs w:val="22"/>
              </w:rPr>
              <w:t>× 25 km</w:t>
            </w:r>
          </w:p>
        </w:tc>
        <w:tc>
          <w:tcPr>
            <w:tcW w:w="2410" w:type="dxa"/>
            <w:vAlign w:val="center"/>
          </w:tcPr>
          <w:p w14:paraId="34930EC7" w14:textId="2FEED272"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Dorigo et al. (2017)</w:t>
            </w:r>
          </w:p>
        </w:tc>
      </w:tr>
      <w:tr w:rsidR="00B10EBE" w:rsidRPr="00B10EBE" w14:paraId="74FBBB6E" w14:textId="77777777" w:rsidTr="001E3836">
        <w:tc>
          <w:tcPr>
            <w:tcW w:w="1413" w:type="dxa"/>
            <w:vAlign w:val="center"/>
          </w:tcPr>
          <w:p w14:paraId="176B209B" w14:textId="2513A7C3"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GPW</w:t>
            </w:r>
          </w:p>
        </w:tc>
        <w:tc>
          <w:tcPr>
            <w:tcW w:w="2410" w:type="dxa"/>
            <w:vAlign w:val="center"/>
          </w:tcPr>
          <w:p w14:paraId="3BCABE9E" w14:textId="77777777"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Population density</w:t>
            </w:r>
          </w:p>
          <w:p w14:paraId="03CEA9BD" w14:textId="6CD300F5" w:rsidR="00D4346D"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(persons km</w:t>
            </w:r>
            <w:r w:rsidRPr="00B10EBE">
              <w:rPr>
                <w:rFonts w:ascii="Garamond" w:hAnsi="Garamond"/>
                <w:bCs/>
                <w:noProof/>
                <w:color w:val="000000" w:themeColor="text1"/>
                <w:sz w:val="22"/>
                <w:szCs w:val="22"/>
                <w:vertAlign w:val="superscript"/>
              </w:rPr>
              <w:t>–2</w:t>
            </w:r>
            <w:r w:rsidRPr="00B10EBE">
              <w:rPr>
                <w:rFonts w:ascii="Garamond" w:hAnsi="Garamond"/>
                <w:bCs/>
                <w:noProof/>
                <w:color w:val="000000" w:themeColor="text1"/>
                <w:sz w:val="22"/>
                <w:szCs w:val="22"/>
              </w:rPr>
              <w:t>)</w:t>
            </w:r>
          </w:p>
        </w:tc>
        <w:tc>
          <w:tcPr>
            <w:tcW w:w="1417" w:type="dxa"/>
            <w:vAlign w:val="center"/>
          </w:tcPr>
          <w:p w14:paraId="0A83F817" w14:textId="1775AD62" w:rsidR="00BA4373" w:rsidRPr="00B10EBE" w:rsidRDefault="00E92EB7"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1995</w:t>
            </w:r>
            <w:r w:rsidR="00D4346D" w:rsidRPr="00B10EBE">
              <w:rPr>
                <w:rFonts w:ascii="Garamond" w:hAnsi="Garamond"/>
                <w:bCs/>
                <w:noProof/>
                <w:color w:val="000000" w:themeColor="text1"/>
                <w:sz w:val="22"/>
                <w:szCs w:val="22"/>
              </w:rPr>
              <w:t>-2020</w:t>
            </w:r>
          </w:p>
        </w:tc>
        <w:tc>
          <w:tcPr>
            <w:tcW w:w="1701" w:type="dxa"/>
            <w:vAlign w:val="center"/>
          </w:tcPr>
          <w:p w14:paraId="54DB81DA" w14:textId="3ACDECFC" w:rsidR="00BA4373" w:rsidRPr="00B10EBE" w:rsidRDefault="00D4346D"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Annual</w:t>
            </w:r>
          </w:p>
          <w:p w14:paraId="2A525974" w14:textId="0822B39E"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1 </w:t>
            </w:r>
            <w:r w:rsidR="00220AB7" w:rsidRPr="00B10EBE">
              <w:rPr>
                <w:rFonts w:ascii="Garamond" w:hAnsi="Garamond"/>
                <w:bCs/>
                <w:noProof/>
                <w:color w:val="000000" w:themeColor="text1"/>
                <w:sz w:val="22"/>
                <w:szCs w:val="22"/>
              </w:rPr>
              <w:t xml:space="preserve">km </w:t>
            </w:r>
            <w:r w:rsidRPr="00B10EBE">
              <w:rPr>
                <w:rFonts w:ascii="Garamond" w:hAnsi="Garamond"/>
                <w:bCs/>
                <w:noProof/>
                <w:color w:val="000000" w:themeColor="text1"/>
                <w:sz w:val="22"/>
                <w:szCs w:val="22"/>
              </w:rPr>
              <w:t>× 1 km</w:t>
            </w:r>
          </w:p>
        </w:tc>
        <w:tc>
          <w:tcPr>
            <w:tcW w:w="2410" w:type="dxa"/>
            <w:vAlign w:val="center"/>
          </w:tcPr>
          <w:p w14:paraId="5ED6E428" w14:textId="53E3C6AF" w:rsidR="00BA4373" w:rsidRPr="00B10EBE" w:rsidRDefault="00BA4373" w:rsidP="00220AB7">
            <w:pPr>
              <w:spacing w:line="276" w:lineRule="auto"/>
              <w:ind w:left="0" w:firstLine="0"/>
              <w:contextualSpacing/>
              <w:jc w:val="center"/>
              <w:rPr>
                <w:rFonts w:ascii="Garamond" w:hAnsi="Garamond"/>
                <w:bCs/>
                <w:noProof/>
                <w:color w:val="000000" w:themeColor="text1"/>
                <w:sz w:val="22"/>
                <w:szCs w:val="22"/>
              </w:rPr>
            </w:pPr>
            <w:r w:rsidRPr="00B10EBE">
              <w:rPr>
                <w:rFonts w:ascii="Garamond" w:hAnsi="Garamond"/>
                <w:bCs/>
                <w:noProof/>
                <w:color w:val="000000" w:themeColor="text1"/>
                <w:sz w:val="22"/>
                <w:szCs w:val="22"/>
              </w:rPr>
              <w:t xml:space="preserve">CIESIN </w:t>
            </w:r>
            <w:r w:rsidR="00115EEA" w:rsidRPr="00B10EBE">
              <w:rPr>
                <w:rFonts w:ascii="Garamond" w:hAnsi="Garamond"/>
                <w:bCs/>
                <w:noProof/>
                <w:color w:val="000000" w:themeColor="text1"/>
                <w:sz w:val="22"/>
                <w:szCs w:val="22"/>
              </w:rPr>
              <w:t>(</w:t>
            </w:r>
            <w:r w:rsidRPr="00B10EBE">
              <w:rPr>
                <w:rFonts w:ascii="Garamond" w:hAnsi="Garamond"/>
                <w:bCs/>
                <w:noProof/>
                <w:color w:val="000000" w:themeColor="text1"/>
                <w:sz w:val="22"/>
                <w:szCs w:val="22"/>
              </w:rPr>
              <w:t>2018</w:t>
            </w:r>
            <w:r w:rsidR="00115EEA" w:rsidRPr="00B10EBE">
              <w:rPr>
                <w:rFonts w:ascii="Garamond" w:hAnsi="Garamond"/>
                <w:bCs/>
                <w:noProof/>
                <w:color w:val="000000" w:themeColor="text1"/>
                <w:sz w:val="22"/>
                <w:szCs w:val="22"/>
              </w:rPr>
              <w:t>)</w:t>
            </w:r>
          </w:p>
        </w:tc>
      </w:tr>
    </w:tbl>
    <w:p w14:paraId="1AAB46A6" w14:textId="1CE91370" w:rsidR="00E92EB7" w:rsidRPr="00B10EBE" w:rsidRDefault="00115EEA" w:rsidP="00E92EB7">
      <w:pPr>
        <w:ind w:left="0" w:firstLine="0"/>
        <w:contextualSpacing/>
        <w:mirrorIndents/>
        <w:jc w:val="both"/>
        <w:rPr>
          <w:rFonts w:ascii="Garamond" w:eastAsia="Times New Roman" w:hAnsi="Garamond"/>
          <w:b/>
          <w:noProof/>
          <w:color w:val="000000" w:themeColor="text1"/>
          <w:sz w:val="24"/>
          <w:szCs w:val="24"/>
          <w:lang w:eastAsia="zh-CN"/>
        </w:rPr>
      </w:pPr>
      <w:r w:rsidRPr="00B10EBE">
        <w:rPr>
          <w:rFonts w:ascii="Garamond" w:hAnsi="Garamond"/>
          <w:b/>
          <w:noProof/>
          <w:color w:val="000000" w:themeColor="text1"/>
          <w:sz w:val="24"/>
          <w:szCs w:val="24"/>
        </w:rPr>
        <w:t>Table 1</w:t>
      </w:r>
      <w:r w:rsidRPr="00B10EBE">
        <w:rPr>
          <w:rFonts w:ascii="Garamond" w:hAnsi="Garamond"/>
          <w:b/>
          <w:noProof/>
          <w:color w:val="000000" w:themeColor="text1"/>
          <w:sz w:val="24"/>
          <w:szCs w:val="24"/>
        </w:rPr>
        <w:tab/>
      </w:r>
      <w:r w:rsidR="009A7ECE" w:rsidRPr="00B10EBE">
        <w:rPr>
          <w:rFonts w:ascii="Garamond" w:hAnsi="Garamond"/>
          <w:bCs/>
          <w:noProof/>
          <w:color w:val="000000" w:themeColor="text1"/>
          <w:sz w:val="24"/>
          <w:szCs w:val="24"/>
        </w:rPr>
        <w:t>The datasets used for our analysis and their main characteristics.</w:t>
      </w:r>
      <w:r w:rsidR="0059435C" w:rsidRPr="00B10EBE">
        <w:rPr>
          <w:rFonts w:ascii="Garamond" w:hAnsi="Garamond"/>
          <w:bCs/>
          <w:noProof/>
          <w:color w:val="000000" w:themeColor="text1"/>
          <w:sz w:val="24"/>
          <w:szCs w:val="24"/>
        </w:rPr>
        <w:t xml:space="preserve"> </w:t>
      </w:r>
      <w:r w:rsidR="00526664" w:rsidRPr="00B10EBE">
        <w:rPr>
          <w:rFonts w:ascii="Garamond" w:hAnsi="Garamond"/>
          <w:bCs/>
          <w:noProof/>
          <w:color w:val="000000" w:themeColor="text1"/>
          <w:sz w:val="24"/>
          <w:szCs w:val="24"/>
        </w:rPr>
        <w:t>R</w:t>
      </w:r>
      <w:r w:rsidR="0059435C" w:rsidRPr="00B10EBE">
        <w:rPr>
          <w:rFonts w:ascii="Garamond" w:hAnsi="Garamond"/>
          <w:bCs/>
          <w:noProof/>
          <w:color w:val="000000" w:themeColor="text1"/>
          <w:sz w:val="24"/>
          <w:szCs w:val="24"/>
        </w:rPr>
        <w:t xml:space="preserve">ainfall data </w:t>
      </w:r>
      <w:r w:rsidR="00526664" w:rsidRPr="00B10EBE">
        <w:rPr>
          <w:rFonts w:ascii="Garamond" w:hAnsi="Garamond"/>
          <w:bCs/>
          <w:noProof/>
          <w:color w:val="000000" w:themeColor="text1"/>
          <w:sz w:val="24"/>
          <w:szCs w:val="24"/>
        </w:rPr>
        <w:t xml:space="preserve">were used to </w:t>
      </w:r>
      <w:r w:rsidR="0059435C" w:rsidRPr="00B10EBE">
        <w:rPr>
          <w:rFonts w:ascii="Garamond" w:hAnsi="Garamond"/>
          <w:bCs/>
          <w:noProof/>
          <w:color w:val="000000" w:themeColor="text1"/>
          <w:sz w:val="24"/>
          <w:szCs w:val="24"/>
        </w:rPr>
        <w:t xml:space="preserve">calculate annual sums as well as dry season rainfall (see </w:t>
      </w:r>
      <w:r w:rsidR="0055120F" w:rsidRPr="00B10EBE">
        <w:rPr>
          <w:rFonts w:ascii="Garamond" w:hAnsi="Garamond"/>
          <w:bCs/>
          <w:noProof/>
          <w:color w:val="000000" w:themeColor="text1"/>
          <w:sz w:val="24"/>
          <w:szCs w:val="24"/>
        </w:rPr>
        <w:t>Appendix A</w:t>
      </w:r>
      <w:r w:rsidR="0059435C" w:rsidRPr="00B10EBE">
        <w:rPr>
          <w:rFonts w:ascii="Garamond" w:hAnsi="Garamond"/>
          <w:bCs/>
          <w:noProof/>
          <w:color w:val="000000" w:themeColor="text1"/>
          <w:sz w:val="24"/>
          <w:szCs w:val="24"/>
        </w:rPr>
        <w:t>2).</w:t>
      </w:r>
      <w:r w:rsidR="009A7ECE" w:rsidRPr="00B10EBE">
        <w:rPr>
          <w:rFonts w:ascii="Garamond" w:hAnsi="Garamond"/>
          <w:bCs/>
          <w:noProof/>
          <w:color w:val="000000" w:themeColor="text1"/>
          <w:sz w:val="24"/>
          <w:szCs w:val="24"/>
        </w:rPr>
        <w:t xml:space="preserve"> VODCA: Vegetation Optical Depth Climate Archive, GFED: Global Fire Emissions Database, CHIRPS:</w:t>
      </w:r>
      <w:r w:rsidR="009A7ECE" w:rsidRPr="008A50E8">
        <w:rPr>
          <w:rFonts w:ascii="Garamond" w:hAnsi="Garamond"/>
          <w:color w:val="000000" w:themeColor="text1"/>
        </w:rPr>
        <w:t xml:space="preserve"> </w:t>
      </w:r>
      <w:r w:rsidR="009A7ECE" w:rsidRPr="00B10EBE">
        <w:rPr>
          <w:rFonts w:ascii="Garamond" w:hAnsi="Garamond"/>
          <w:bCs/>
          <w:noProof/>
          <w:color w:val="000000" w:themeColor="text1"/>
          <w:sz w:val="24"/>
          <w:szCs w:val="24"/>
        </w:rPr>
        <w:t>Climate Hazards group Infrared Precipitation with Stations, CHELSA: Climatologies at High resolution for the Earth’s Land Surface Areas, ESA CCI</w:t>
      </w:r>
      <w:r w:rsidR="001E3836" w:rsidRPr="00B10EBE">
        <w:rPr>
          <w:rFonts w:ascii="Garamond" w:hAnsi="Garamond"/>
          <w:bCs/>
          <w:noProof/>
          <w:color w:val="000000" w:themeColor="text1"/>
          <w:sz w:val="24"/>
          <w:szCs w:val="24"/>
        </w:rPr>
        <w:t xml:space="preserve"> SM</w:t>
      </w:r>
      <w:r w:rsidR="009A7ECE" w:rsidRPr="00B10EBE">
        <w:rPr>
          <w:rFonts w:ascii="Garamond" w:hAnsi="Garamond"/>
          <w:bCs/>
          <w:noProof/>
          <w:color w:val="000000" w:themeColor="text1"/>
          <w:sz w:val="24"/>
          <w:szCs w:val="24"/>
        </w:rPr>
        <w:t xml:space="preserve">: </w:t>
      </w:r>
      <w:r w:rsidR="001E3836" w:rsidRPr="00B10EBE">
        <w:rPr>
          <w:rFonts w:ascii="Garamond" w:hAnsi="Garamond"/>
          <w:bCs/>
          <w:noProof/>
          <w:color w:val="000000" w:themeColor="text1"/>
          <w:sz w:val="24"/>
          <w:szCs w:val="24"/>
        </w:rPr>
        <w:t>European Space Agency Climate Change Initiative for Soil Moisture</w:t>
      </w:r>
      <w:r w:rsidR="009A7ECE" w:rsidRPr="00B10EBE">
        <w:rPr>
          <w:rFonts w:ascii="Garamond" w:hAnsi="Garamond"/>
          <w:bCs/>
          <w:noProof/>
          <w:color w:val="000000" w:themeColor="text1"/>
          <w:sz w:val="24"/>
          <w:szCs w:val="24"/>
        </w:rPr>
        <w:t>, GPW: Gridded Population of the World (see text for more details).</w:t>
      </w:r>
      <w:r w:rsidR="00E92EB7" w:rsidRPr="00B10EBE">
        <w:rPr>
          <w:rFonts w:ascii="Garamond" w:hAnsi="Garamond"/>
          <w:b/>
          <w:noProof/>
          <w:color w:val="000000" w:themeColor="text1"/>
          <w:sz w:val="24"/>
          <w:szCs w:val="24"/>
        </w:rPr>
        <w:br w:type="page"/>
      </w:r>
    </w:p>
    <w:p w14:paraId="5BCB3BB8" w14:textId="774B3132" w:rsidR="00BB573C" w:rsidRPr="00B10EBE" w:rsidRDefault="00BB573C" w:rsidP="0033343A">
      <w:pPr>
        <w:pStyle w:val="Bibliography"/>
        <w:spacing w:before="0"/>
        <w:ind w:left="0" w:firstLine="0"/>
        <w:contextualSpacing/>
        <w:mirrorIndents/>
        <w:jc w:val="both"/>
        <w:rPr>
          <w:rFonts w:ascii="Garamond" w:hAnsi="Garamond"/>
          <w:b/>
          <w:noProof/>
          <w:color w:val="000000" w:themeColor="text1"/>
          <w:sz w:val="24"/>
          <w:szCs w:val="24"/>
        </w:rPr>
      </w:pPr>
      <w:r w:rsidRPr="00B10EBE">
        <w:rPr>
          <w:rFonts w:ascii="Garamond" w:hAnsi="Garamond"/>
          <w:b/>
          <w:noProof/>
          <w:color w:val="000000" w:themeColor="text1"/>
          <w:sz w:val="24"/>
          <w:szCs w:val="24"/>
        </w:rPr>
        <w:t>Figures</w:t>
      </w:r>
    </w:p>
    <w:p w14:paraId="4AD2B0B2" w14:textId="7C9E3103" w:rsidR="00B475AC" w:rsidRPr="00B10EBE" w:rsidRDefault="00B475AC" w:rsidP="0033343A">
      <w:pPr>
        <w:pStyle w:val="Bibliography"/>
        <w:spacing w:before="0"/>
        <w:ind w:left="0" w:firstLine="0"/>
        <w:contextualSpacing/>
        <w:mirrorIndents/>
        <w:jc w:val="both"/>
        <w:rPr>
          <w:rFonts w:ascii="Garamond" w:hAnsi="Garamond"/>
          <w:b/>
          <w:noProof/>
          <w:color w:val="000000" w:themeColor="text1"/>
          <w:sz w:val="24"/>
          <w:szCs w:val="24"/>
        </w:rPr>
      </w:pPr>
      <w:r w:rsidRPr="00B10EBE">
        <w:rPr>
          <w:rFonts w:ascii="Garamond" w:hAnsi="Garamond"/>
          <w:b/>
          <w:noProof/>
          <w:color w:val="000000" w:themeColor="text1"/>
          <w:sz w:val="24"/>
          <w:szCs w:val="24"/>
        </w:rPr>
        <w:t>Figure</w:t>
      </w:r>
      <w:r w:rsidR="00710675" w:rsidRPr="00B10EBE">
        <w:rPr>
          <w:rFonts w:ascii="Garamond" w:hAnsi="Garamond"/>
          <w:b/>
          <w:noProof/>
          <w:color w:val="000000" w:themeColor="text1"/>
          <w:sz w:val="24"/>
          <w:szCs w:val="24"/>
        </w:rPr>
        <w:t xml:space="preserve"> 1</w:t>
      </w:r>
    </w:p>
    <w:p w14:paraId="24B27220" w14:textId="374415A5" w:rsidR="00710675" w:rsidRPr="00B10EBE" w:rsidRDefault="00B475AC" w:rsidP="0033343A">
      <w:pPr>
        <w:pStyle w:val="Bibliography"/>
        <w:spacing w:before="0"/>
        <w:ind w:left="0" w:firstLine="0"/>
        <w:contextualSpacing/>
        <w:mirrorIndents/>
        <w:jc w:val="both"/>
        <w:rPr>
          <w:rFonts w:ascii="Garamond" w:hAnsi="Garamond"/>
          <w:color w:val="000000" w:themeColor="text1"/>
          <w:sz w:val="24"/>
          <w:szCs w:val="24"/>
        </w:rPr>
      </w:pPr>
      <w:r w:rsidRPr="00B10EBE">
        <w:rPr>
          <w:rFonts w:ascii="Garamond" w:hAnsi="Garamond"/>
          <w:b/>
          <w:noProof/>
          <w:color w:val="000000" w:themeColor="text1"/>
          <w:sz w:val="24"/>
          <w:szCs w:val="24"/>
          <w:lang w:val="es-ES" w:eastAsia="es-ES"/>
        </w:rPr>
        <w:drawing>
          <wp:inline distT="0" distB="0" distL="0" distR="0" wp14:anchorId="671904DE" wp14:editId="63630172">
            <wp:extent cx="3059430" cy="3236181"/>
            <wp:effectExtent l="0" t="0" r="1270" b="2540"/>
            <wp:docPr id="118933684" name="Picture 1" descr="A map of africa with different colored area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684" name="Picture 1" descr="A map of africa with different colored areas&#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b="2271"/>
                    <a:stretch/>
                  </pic:blipFill>
                  <pic:spPr bwMode="auto">
                    <a:xfrm>
                      <a:off x="0" y="0"/>
                      <a:ext cx="3060000" cy="3236784"/>
                    </a:xfrm>
                    <a:prstGeom prst="rect">
                      <a:avLst/>
                    </a:prstGeom>
                    <a:ln>
                      <a:noFill/>
                    </a:ln>
                    <a:extLst>
                      <a:ext uri="{53640926-AAD7-44D8-BBD7-CCE9431645EC}">
                        <a14:shadowObscured xmlns:a14="http://schemas.microsoft.com/office/drawing/2010/main"/>
                      </a:ext>
                    </a:extLst>
                  </pic:spPr>
                </pic:pic>
              </a:graphicData>
            </a:graphic>
          </wp:inline>
        </w:drawing>
      </w:r>
      <w:r w:rsidR="00710675" w:rsidRPr="00B10EBE">
        <w:rPr>
          <w:rFonts w:ascii="Garamond" w:hAnsi="Garamond"/>
          <w:color w:val="000000" w:themeColor="text1"/>
          <w:sz w:val="24"/>
          <w:szCs w:val="24"/>
        </w:rPr>
        <w:br w:type="page"/>
      </w:r>
    </w:p>
    <w:p w14:paraId="6B00AFA5" w14:textId="6979DFE6" w:rsidR="00710675" w:rsidRPr="00B10EBE" w:rsidRDefault="00710675" w:rsidP="0033343A">
      <w:pPr>
        <w:contextualSpacing/>
        <w:mirrorIndents/>
        <w:jc w:val="both"/>
        <w:rPr>
          <w:rFonts w:ascii="Garamond" w:hAnsi="Garamond"/>
          <w:color w:val="000000" w:themeColor="text1"/>
          <w:sz w:val="24"/>
          <w:szCs w:val="24"/>
        </w:rPr>
      </w:pPr>
      <w:r w:rsidRPr="00B10EBE">
        <w:rPr>
          <w:rFonts w:ascii="Garamond" w:hAnsi="Garamond"/>
          <w:b/>
          <w:bCs/>
          <w:noProof/>
          <w:color w:val="000000" w:themeColor="text1"/>
          <w:sz w:val="24"/>
          <w:szCs w:val="24"/>
        </w:rPr>
        <w:t>Figure 2</w:t>
      </w:r>
    </w:p>
    <w:p w14:paraId="6508E39D" w14:textId="412CE175" w:rsidR="00710675" w:rsidRPr="00B10EBE" w:rsidRDefault="00B475AC" w:rsidP="0033343A">
      <w:pPr>
        <w:pStyle w:val="Bibliography"/>
        <w:spacing w:before="0"/>
        <w:ind w:left="0" w:firstLine="0"/>
        <w:contextualSpacing/>
        <w:mirrorIndents/>
        <w:jc w:val="both"/>
        <w:rPr>
          <w:rFonts w:ascii="Garamond" w:hAnsi="Garamond"/>
          <w:b/>
          <w:bCs/>
          <w:noProof/>
          <w:color w:val="000000" w:themeColor="text1"/>
          <w:sz w:val="24"/>
          <w:szCs w:val="24"/>
        </w:rPr>
      </w:pPr>
      <w:r w:rsidRPr="00B10EBE">
        <w:rPr>
          <w:rFonts w:ascii="Garamond" w:hAnsi="Garamond"/>
          <w:b/>
          <w:noProof/>
          <w:color w:val="000000" w:themeColor="text1"/>
          <w:sz w:val="24"/>
          <w:szCs w:val="24"/>
          <w:lang w:val="es-ES" w:eastAsia="es-ES"/>
        </w:rPr>
        <w:drawing>
          <wp:inline distT="0" distB="0" distL="0" distR="0" wp14:anchorId="16F3D2AE" wp14:editId="079DAD27">
            <wp:extent cx="5943600" cy="4567555"/>
            <wp:effectExtent l="0" t="0" r="0" b="4445"/>
            <wp:docPr id="2" name="Imagen 2" descr="Diagram of a different types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 of a different types of so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67555"/>
                    </a:xfrm>
                    <a:prstGeom prst="rect">
                      <a:avLst/>
                    </a:prstGeom>
                  </pic:spPr>
                </pic:pic>
              </a:graphicData>
            </a:graphic>
          </wp:inline>
        </w:drawing>
      </w:r>
      <w:r w:rsidR="00710675" w:rsidRPr="00B10EBE">
        <w:rPr>
          <w:rFonts w:ascii="Garamond" w:hAnsi="Garamond"/>
          <w:b/>
          <w:bCs/>
          <w:noProof/>
          <w:color w:val="000000" w:themeColor="text1"/>
          <w:sz w:val="24"/>
          <w:szCs w:val="24"/>
        </w:rPr>
        <w:br w:type="page"/>
      </w:r>
    </w:p>
    <w:p w14:paraId="78B9AFCD" w14:textId="4914C2BE" w:rsidR="003A4065" w:rsidRPr="00B10EBE" w:rsidRDefault="00710675" w:rsidP="0033343A">
      <w:pPr>
        <w:pStyle w:val="Bibliography"/>
        <w:spacing w:before="0"/>
        <w:ind w:left="0" w:firstLine="0"/>
        <w:contextualSpacing/>
        <w:mirrorIndents/>
        <w:jc w:val="both"/>
        <w:rPr>
          <w:rFonts w:ascii="Garamond" w:hAnsi="Garamond"/>
          <w:b/>
          <w:bCs/>
          <w:noProof/>
          <w:color w:val="000000" w:themeColor="text1"/>
          <w:sz w:val="24"/>
          <w:szCs w:val="24"/>
        </w:rPr>
      </w:pPr>
      <w:r w:rsidRPr="00B10EBE">
        <w:rPr>
          <w:rFonts w:ascii="Garamond" w:hAnsi="Garamond"/>
          <w:b/>
          <w:bCs/>
          <w:noProof/>
          <w:color w:val="000000" w:themeColor="text1"/>
          <w:sz w:val="24"/>
          <w:szCs w:val="24"/>
        </w:rPr>
        <w:t>Figure 3</w:t>
      </w:r>
    </w:p>
    <w:p w14:paraId="5D386DE2" w14:textId="7C8E1ECE" w:rsidR="00710675" w:rsidRPr="00B10EBE" w:rsidRDefault="00B475AC" w:rsidP="0033343A">
      <w:pPr>
        <w:widowControl w:val="0"/>
        <w:autoSpaceDE w:val="0"/>
        <w:autoSpaceDN w:val="0"/>
        <w:ind w:left="0" w:firstLine="0"/>
        <w:contextualSpacing/>
        <w:mirrorIndents/>
        <w:jc w:val="both"/>
        <w:rPr>
          <w:rFonts w:ascii="Garamond" w:hAnsi="Garamond"/>
          <w:noProof/>
          <w:color w:val="000000" w:themeColor="text1"/>
          <w:sz w:val="24"/>
          <w:szCs w:val="24"/>
        </w:rPr>
      </w:pPr>
      <w:r w:rsidRPr="00B10EBE">
        <w:rPr>
          <w:rFonts w:ascii="Garamond" w:hAnsi="Garamond"/>
          <w:b/>
          <w:noProof/>
          <w:color w:val="000000" w:themeColor="text1"/>
          <w:sz w:val="24"/>
          <w:szCs w:val="24"/>
          <w:lang w:val="es-ES" w:eastAsia="es-ES"/>
        </w:rPr>
        <w:drawing>
          <wp:inline distT="0" distB="0" distL="0" distR="0" wp14:anchorId="152742B2" wp14:editId="4254335A">
            <wp:extent cx="5943600" cy="1993900"/>
            <wp:effectExtent l="0" t="0" r="0" b="0"/>
            <wp:docPr id="1820223805" name="Picture 1" descr="A diagram of a model se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23805" name="Picture 1" descr="A diagram of a model selec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3900"/>
                    </a:xfrm>
                    <a:prstGeom prst="rect">
                      <a:avLst/>
                    </a:prstGeom>
                  </pic:spPr>
                </pic:pic>
              </a:graphicData>
            </a:graphic>
          </wp:inline>
        </w:drawing>
      </w:r>
      <w:r w:rsidR="00710675" w:rsidRPr="00B10EBE">
        <w:rPr>
          <w:rFonts w:ascii="Garamond" w:hAnsi="Garamond"/>
          <w:noProof/>
          <w:color w:val="000000" w:themeColor="text1"/>
          <w:sz w:val="24"/>
          <w:szCs w:val="24"/>
        </w:rPr>
        <w:br w:type="page"/>
      </w:r>
    </w:p>
    <w:p w14:paraId="6E81C32B" w14:textId="1D37E444" w:rsidR="003A4065" w:rsidRPr="00B10EBE" w:rsidRDefault="00710675" w:rsidP="0033343A">
      <w:pPr>
        <w:widowControl w:val="0"/>
        <w:autoSpaceDE w:val="0"/>
        <w:autoSpaceDN w:val="0"/>
        <w:ind w:left="0" w:firstLine="0"/>
        <w:contextualSpacing/>
        <w:mirrorIndents/>
        <w:jc w:val="both"/>
        <w:rPr>
          <w:rFonts w:ascii="Garamond" w:hAnsi="Garamond"/>
          <w:noProof/>
          <w:color w:val="000000" w:themeColor="text1"/>
          <w:sz w:val="24"/>
          <w:szCs w:val="24"/>
        </w:rPr>
      </w:pPr>
      <w:r w:rsidRPr="00B10EBE">
        <w:rPr>
          <w:rFonts w:ascii="Garamond" w:hAnsi="Garamond"/>
          <w:b/>
          <w:bCs/>
          <w:noProof/>
          <w:color w:val="000000" w:themeColor="text1"/>
          <w:sz w:val="24"/>
          <w:szCs w:val="24"/>
        </w:rPr>
        <w:t>Figure 4</w:t>
      </w:r>
    </w:p>
    <w:p w14:paraId="448E4F9A" w14:textId="2FD66D63" w:rsidR="006644B1" w:rsidRPr="00B10EBE" w:rsidRDefault="00B475AC" w:rsidP="0033343A">
      <w:pPr>
        <w:widowControl w:val="0"/>
        <w:autoSpaceDE w:val="0"/>
        <w:autoSpaceDN w:val="0"/>
        <w:ind w:left="0" w:firstLine="0"/>
        <w:contextualSpacing/>
        <w:mirrorIndents/>
        <w:jc w:val="both"/>
        <w:rPr>
          <w:rFonts w:ascii="Garamond" w:hAnsi="Garamond"/>
          <w:noProof/>
          <w:color w:val="000000" w:themeColor="text1"/>
          <w:sz w:val="24"/>
          <w:szCs w:val="24"/>
        </w:rPr>
      </w:pPr>
      <w:r w:rsidRPr="00B10EBE">
        <w:rPr>
          <w:rFonts w:ascii="Garamond" w:hAnsi="Garamond"/>
          <w:b/>
          <w:noProof/>
          <w:color w:val="000000" w:themeColor="text1"/>
          <w:sz w:val="24"/>
          <w:szCs w:val="24"/>
          <w:lang w:val="es-ES" w:eastAsia="es-ES"/>
        </w:rPr>
        <w:drawing>
          <wp:inline distT="0" distB="0" distL="0" distR="0" wp14:anchorId="6465FEAE" wp14:editId="2E85EFC3">
            <wp:extent cx="5943600" cy="6950710"/>
            <wp:effectExtent l="0" t="0" r="0" b="0"/>
            <wp:docPr id="986293657" name="Picture 4" descr="A diagram of the different types of path patter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93657" name="Picture 4" descr="A diagram of the different types of path pattern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950710"/>
                    </a:xfrm>
                    <a:prstGeom prst="rect">
                      <a:avLst/>
                    </a:prstGeom>
                  </pic:spPr>
                </pic:pic>
              </a:graphicData>
            </a:graphic>
          </wp:inline>
        </w:drawing>
      </w:r>
    </w:p>
    <w:sectPr w:rsidR="006644B1" w:rsidRPr="00B10EBE" w:rsidSect="00897453">
      <w:footerReference w:type="even" r:id="rId12"/>
      <w:footerReference w:type="default" r:id="rId13"/>
      <w:footerReference w:type="first" r:id="rId14"/>
      <w:footnotePr>
        <w:numFmt w:val="chicago"/>
      </w:footnotePr>
      <w:type w:val="continuous"/>
      <w:pgSz w:w="12240" w:h="15840" w:code="1"/>
      <w:pgMar w:top="1440" w:right="1440" w:bottom="1440" w:left="1440" w:header="454" w:footer="45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79707" w14:textId="77777777" w:rsidR="00106952" w:rsidRDefault="00106952" w:rsidP="004A10BE">
      <w:r>
        <w:separator/>
      </w:r>
    </w:p>
  </w:endnote>
  <w:endnote w:type="continuationSeparator" w:id="0">
    <w:p w14:paraId="67554E70" w14:textId="77777777" w:rsidR="00106952" w:rsidRDefault="00106952"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M Roman 12">
    <w:altName w:val="Cambria"/>
    <w:panose1 w:val="020B0604020202020204"/>
    <w:charset w:val="4D"/>
    <w:family w:val="auto"/>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9915D" w14:textId="01029E09" w:rsidR="00B54495" w:rsidRDefault="00B54495" w:rsidP="00DE72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132398CC" w14:textId="77777777" w:rsidR="00B54495" w:rsidRDefault="00B54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33A20" w14:textId="6697F1CA" w:rsidR="00B54495" w:rsidRDefault="00B54495">
    <w:pPr>
      <w:pStyle w:val="Footer"/>
      <w:jc w:val="center"/>
    </w:pPr>
    <w:r>
      <w:fldChar w:fldCharType="begin"/>
    </w:r>
    <w:r>
      <w:instrText>PAGE   \* MERGEFORMAT</w:instrText>
    </w:r>
    <w:r>
      <w:fldChar w:fldCharType="separate"/>
    </w:r>
    <w:r w:rsidR="00B10792" w:rsidRPr="00B10792">
      <w:rPr>
        <w:noProof/>
        <w:lang w:val="es-ES"/>
      </w:rPr>
      <w:t>21</w:t>
    </w:r>
    <w:r>
      <w:fldChar w:fldCharType="end"/>
    </w:r>
  </w:p>
  <w:p w14:paraId="0DDE6DA6" w14:textId="77777777" w:rsidR="00B54495" w:rsidRDefault="00B544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188E9" w14:textId="01E73650" w:rsidR="00B54495" w:rsidRDefault="00B54495">
    <w:pPr>
      <w:pStyle w:val="Footer"/>
      <w:jc w:val="center"/>
    </w:pPr>
    <w:r>
      <w:fldChar w:fldCharType="begin"/>
    </w:r>
    <w:r>
      <w:instrText>PAGE   \* MERGEFORMAT</w:instrText>
    </w:r>
    <w:r>
      <w:fldChar w:fldCharType="separate"/>
    </w:r>
    <w:r w:rsidRPr="00972933">
      <w:rPr>
        <w:noProof/>
        <w:lang w:val="es-ES"/>
      </w:rPr>
      <w:t>1</w:t>
    </w:r>
    <w:r>
      <w:fldChar w:fldCharType="end"/>
    </w:r>
  </w:p>
  <w:p w14:paraId="0135E1E4" w14:textId="5311C1C4" w:rsidR="00B54495" w:rsidRPr="00972933" w:rsidRDefault="00B54495" w:rsidP="00972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DCF98" w14:textId="77777777" w:rsidR="00106952" w:rsidRDefault="00106952" w:rsidP="004A10BE">
      <w:r>
        <w:separator/>
      </w:r>
    </w:p>
  </w:footnote>
  <w:footnote w:type="continuationSeparator" w:id="0">
    <w:p w14:paraId="541C544A" w14:textId="77777777" w:rsidR="00106952" w:rsidRDefault="00106952" w:rsidP="004A1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4F65"/>
    <w:multiLevelType w:val="singleLevel"/>
    <w:tmpl w:val="26888EC6"/>
    <w:name w:val="Numbered list 5"/>
    <w:lvl w:ilvl="0">
      <w:numFmt w:val="bullet"/>
      <w:pStyle w:val="ListBullet5"/>
      <w:lvlText w:val=""/>
      <w:lvlJc w:val="left"/>
      <w:pPr>
        <w:ind w:left="1132" w:firstLine="0"/>
      </w:pPr>
      <w:rPr>
        <w:rFonts w:ascii="Symbol" w:hAnsi="Symbol"/>
      </w:rPr>
    </w:lvl>
  </w:abstractNum>
  <w:abstractNum w:abstractNumId="1" w15:restartNumberingAfterBreak="0">
    <w:nsid w:val="1F7B6FCD"/>
    <w:multiLevelType w:val="singleLevel"/>
    <w:tmpl w:val="D7624322"/>
    <w:name w:val="Numbered list 7"/>
    <w:lvl w:ilvl="0">
      <w:numFmt w:val="bullet"/>
      <w:pStyle w:val="ListBullet"/>
      <w:lvlText w:val=""/>
      <w:lvlJc w:val="left"/>
      <w:pPr>
        <w:ind w:left="0" w:firstLine="0"/>
      </w:pPr>
      <w:rPr>
        <w:rFonts w:ascii="Symbol" w:hAnsi="Symbol"/>
      </w:rPr>
    </w:lvl>
  </w:abstractNum>
  <w:abstractNum w:abstractNumId="2" w15:restartNumberingAfterBreak="0">
    <w:nsid w:val="1FAE1DEF"/>
    <w:multiLevelType w:val="multilevel"/>
    <w:tmpl w:val="B472200C"/>
    <w:name w:val="Numbered list 12"/>
    <w:lvl w:ilvl="0">
      <w:start w:val="1"/>
      <w:numFmt w:val="upperLetter"/>
      <w:pStyle w:val="AppendixMain"/>
      <w:lvlText w:val="Appendix %1"/>
      <w:lvlJc w:val="left"/>
      <w:pPr>
        <w:ind w:left="0" w:firstLine="0"/>
      </w:pPr>
    </w:lvl>
    <w:lvl w:ilvl="1">
      <w:start w:val="1"/>
      <w:numFmt w:val="decimal"/>
      <w:pStyle w:val="AppendixSubheading"/>
      <w:lvlText w:val="%1.%2"/>
      <w:lvlJc w:val="left"/>
      <w:pPr>
        <w:ind w:left="0" w:firstLine="0"/>
      </w:pPr>
    </w:lvl>
    <w:lvl w:ilvl="2">
      <w:start w:val="1"/>
      <w:numFmt w:val="decimal"/>
      <w:pStyle w:val="AppendixThird"/>
      <w:lvlText w:val="%1.%2.%3"/>
      <w:lvlJc w:val="left"/>
      <w:pPr>
        <w:ind w:left="0" w:firstLine="0"/>
      </w:p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3" w15:restartNumberingAfterBreak="0">
    <w:nsid w:val="2A3315D0"/>
    <w:multiLevelType w:val="hybridMultilevel"/>
    <w:tmpl w:val="5F2A323A"/>
    <w:lvl w:ilvl="0" w:tplc="7180C83C">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703FD9"/>
    <w:multiLevelType w:val="singleLevel"/>
    <w:tmpl w:val="3FBECC1C"/>
    <w:name w:val="Numbered list 10"/>
    <w:lvl w:ilvl="0">
      <w:start w:val="1"/>
      <w:numFmt w:val="decimal"/>
      <w:pStyle w:val="ListNumber4"/>
      <w:lvlText w:val="%1."/>
      <w:lvlJc w:val="left"/>
      <w:pPr>
        <w:ind w:left="849" w:firstLine="0"/>
      </w:pPr>
    </w:lvl>
  </w:abstractNum>
  <w:abstractNum w:abstractNumId="5" w15:restartNumberingAfterBreak="0">
    <w:nsid w:val="2EE0043D"/>
    <w:multiLevelType w:val="singleLevel"/>
    <w:tmpl w:val="7AF0ED6E"/>
    <w:name w:val="Numbered list 9"/>
    <w:lvl w:ilvl="0">
      <w:start w:val="1"/>
      <w:numFmt w:val="decimal"/>
      <w:pStyle w:val="ListNumber5"/>
      <w:lvlText w:val="%1."/>
      <w:lvlJc w:val="left"/>
      <w:pPr>
        <w:ind w:left="1132" w:firstLine="0"/>
      </w:pPr>
    </w:lvl>
  </w:abstractNum>
  <w:abstractNum w:abstractNumId="6" w15:restartNumberingAfterBreak="0">
    <w:nsid w:val="2FE234CB"/>
    <w:multiLevelType w:val="multilevel"/>
    <w:tmpl w:val="39A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F186E"/>
    <w:multiLevelType w:val="hybridMultilevel"/>
    <w:tmpl w:val="F934F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985DBA"/>
    <w:multiLevelType w:val="singleLevel"/>
    <w:tmpl w:val="08F29AA8"/>
    <w:name w:val="Numbered list 2"/>
    <w:lvl w:ilvl="0">
      <w:numFmt w:val="bullet"/>
      <w:pStyle w:val="ListBullet2"/>
      <w:lvlText w:val=""/>
      <w:lvlJc w:val="left"/>
      <w:pPr>
        <w:ind w:left="283" w:firstLine="0"/>
      </w:pPr>
      <w:rPr>
        <w:rFonts w:ascii="Symbol" w:hAnsi="Symbol"/>
      </w:rPr>
    </w:lvl>
  </w:abstractNum>
  <w:abstractNum w:abstractNumId="9" w15:restartNumberingAfterBreak="0">
    <w:nsid w:val="49BB50CB"/>
    <w:multiLevelType w:val="hybridMultilevel"/>
    <w:tmpl w:val="91C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132C5B"/>
    <w:multiLevelType w:val="singleLevel"/>
    <w:tmpl w:val="C21AF744"/>
    <w:name w:val="Numbered list 1"/>
    <w:lvl w:ilvl="0">
      <w:start w:val="1"/>
      <w:numFmt w:val="decimal"/>
      <w:pStyle w:val="ListNumber"/>
      <w:lvlText w:val="%1."/>
      <w:lvlJc w:val="left"/>
      <w:pPr>
        <w:ind w:left="0" w:firstLine="0"/>
      </w:pPr>
    </w:lvl>
  </w:abstractNum>
  <w:abstractNum w:abstractNumId="11" w15:restartNumberingAfterBreak="0">
    <w:nsid w:val="56DF03CB"/>
    <w:multiLevelType w:val="hybridMultilevel"/>
    <w:tmpl w:val="6F8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026138"/>
    <w:multiLevelType w:val="hybridMultilevel"/>
    <w:tmpl w:val="9CA25A6A"/>
    <w:lvl w:ilvl="0" w:tplc="9A88F07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E6AFE"/>
    <w:multiLevelType w:val="singleLevel"/>
    <w:tmpl w:val="DF4020F2"/>
    <w:name w:val="Numbered list 6"/>
    <w:lvl w:ilvl="0">
      <w:start w:val="1"/>
      <w:numFmt w:val="decimal"/>
      <w:pStyle w:val="ListNumber2"/>
      <w:lvlText w:val="%1."/>
      <w:lvlJc w:val="left"/>
      <w:pPr>
        <w:ind w:left="283" w:firstLine="0"/>
      </w:pPr>
    </w:lvl>
  </w:abstractNum>
  <w:abstractNum w:abstractNumId="14" w15:restartNumberingAfterBreak="0">
    <w:nsid w:val="63B25E6A"/>
    <w:multiLevelType w:val="multilevel"/>
    <w:tmpl w:val="CA5CE622"/>
    <w:name w:val="Numbered list 3"/>
    <w:lvl w:ilvl="0">
      <w:start w:val="1"/>
      <w:numFmt w:val="decimal"/>
      <w:pStyle w:val="Heading1"/>
      <w:lvlText w:val="Chapter %1"/>
      <w:lvlJc w:val="left"/>
      <w:pPr>
        <w:ind w:left="0" w:firstLine="0"/>
      </w:pPr>
    </w:lvl>
    <w:lvl w:ilvl="1">
      <w:start w:val="1"/>
      <w:numFmt w:val="decimal"/>
      <w:pStyle w:val="Heading2"/>
      <w:lvlText w:val="%1.%2"/>
      <w:lvlJc w:val="left"/>
      <w:pPr>
        <w:ind w:left="0" w:firstLine="0"/>
      </w:pPr>
      <w:rPr>
        <w:sz w:val="28"/>
        <w:szCs w:val="36"/>
      </w:rPr>
    </w:lvl>
    <w:lvl w:ilvl="2">
      <w:start w:val="1"/>
      <w:numFmt w:val="decimal"/>
      <w:pStyle w:val="Heading3"/>
      <w:lvlText w:val="%1.%2.%3"/>
      <w:lvlJc w:val="left"/>
      <w:pPr>
        <w:ind w:left="0" w:firstLine="0"/>
      </w:pPr>
      <w:rPr>
        <w:sz w:val="22"/>
        <w:szCs w:val="28"/>
      </w:rPr>
    </w:lvl>
    <w:lvl w:ilvl="3">
      <w:start w:val="1"/>
      <w:numFmt w:val="decimal"/>
      <w:pStyle w:val="Heading4"/>
      <w:lvlText w:val="%1.%2.%3.%4"/>
      <w:lvlJc w:val="left"/>
      <w:pPr>
        <w:ind w:left="0" w:firstLine="0"/>
      </w:pPr>
      <w:rPr>
        <w:sz w:val="22"/>
        <w:szCs w:val="28"/>
      </w:rPr>
    </w:lvl>
    <w:lvl w:ilvl="4">
      <w:start w:val="1"/>
      <w:numFmt w:val="decimal"/>
      <w:pStyle w:val="Heading5"/>
      <w:lvlText w:val="%1.%2.%3.%4.%5"/>
      <w:lvlJc w:val="left"/>
      <w:pPr>
        <w:ind w:left="0" w:firstLine="0"/>
      </w:pPr>
    </w:lvl>
    <w:lvl w:ilvl="5">
      <w:start w:val="1"/>
      <w:numFmt w:val="decimal"/>
      <w:pStyle w:val="Heading6"/>
      <w:lvlText w:val="%1.%2.%3.%4.%5.%6"/>
      <w:lvlJc w:val="left"/>
      <w:pPr>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abstractNum w:abstractNumId="15" w15:restartNumberingAfterBreak="0">
    <w:nsid w:val="686C4BCA"/>
    <w:multiLevelType w:val="singleLevel"/>
    <w:tmpl w:val="B0A64D76"/>
    <w:name w:val="Numbered list 4"/>
    <w:lvl w:ilvl="0">
      <w:numFmt w:val="bullet"/>
      <w:pStyle w:val="ListBullet4"/>
      <w:lvlText w:val=""/>
      <w:lvlJc w:val="left"/>
      <w:pPr>
        <w:ind w:left="849" w:firstLine="0"/>
      </w:pPr>
      <w:rPr>
        <w:rFonts w:ascii="Symbol" w:hAnsi="Symbol"/>
      </w:rPr>
    </w:lvl>
  </w:abstractNum>
  <w:abstractNum w:abstractNumId="16" w15:restartNumberingAfterBreak="0">
    <w:nsid w:val="6C694F64"/>
    <w:multiLevelType w:val="singleLevel"/>
    <w:tmpl w:val="F386F310"/>
    <w:name w:val="Numbered list 8"/>
    <w:lvl w:ilvl="0">
      <w:numFmt w:val="bullet"/>
      <w:pStyle w:val="ListBullet3"/>
      <w:lvlText w:val=""/>
      <w:lvlJc w:val="left"/>
      <w:pPr>
        <w:ind w:left="566" w:firstLine="0"/>
      </w:pPr>
      <w:rPr>
        <w:rFonts w:ascii="Symbol" w:hAnsi="Symbol"/>
      </w:rPr>
    </w:lvl>
  </w:abstractNum>
  <w:abstractNum w:abstractNumId="17" w15:restartNumberingAfterBreak="0">
    <w:nsid w:val="710174E2"/>
    <w:multiLevelType w:val="hybridMultilevel"/>
    <w:tmpl w:val="BFAEF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2863F98"/>
    <w:multiLevelType w:val="hybridMultilevel"/>
    <w:tmpl w:val="7D1C1F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4D906C8"/>
    <w:multiLevelType w:val="singleLevel"/>
    <w:tmpl w:val="8B9A3EA8"/>
    <w:name w:val="Numbered list 11"/>
    <w:lvl w:ilvl="0">
      <w:start w:val="1"/>
      <w:numFmt w:val="decimal"/>
      <w:pStyle w:val="ListNumber3"/>
      <w:lvlText w:val="%1."/>
      <w:lvlJc w:val="left"/>
      <w:pPr>
        <w:ind w:left="566" w:firstLine="0"/>
      </w:pPr>
    </w:lvl>
  </w:abstractNum>
  <w:abstractNum w:abstractNumId="20" w15:restartNumberingAfterBreak="0">
    <w:nsid w:val="761F4421"/>
    <w:multiLevelType w:val="hybridMultilevel"/>
    <w:tmpl w:val="B2C0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261983">
    <w:abstractNumId w:val="10"/>
  </w:num>
  <w:num w:numId="2" w16cid:durableId="1243837530">
    <w:abstractNumId w:val="8"/>
  </w:num>
  <w:num w:numId="3" w16cid:durableId="1714309570">
    <w:abstractNumId w:val="14"/>
  </w:num>
  <w:num w:numId="4" w16cid:durableId="559942967">
    <w:abstractNumId w:val="15"/>
  </w:num>
  <w:num w:numId="5" w16cid:durableId="355696394">
    <w:abstractNumId w:val="0"/>
  </w:num>
  <w:num w:numId="6" w16cid:durableId="1164664024">
    <w:abstractNumId w:val="13"/>
  </w:num>
  <w:num w:numId="7" w16cid:durableId="666716041">
    <w:abstractNumId w:val="1"/>
  </w:num>
  <w:num w:numId="8" w16cid:durableId="1781794775">
    <w:abstractNumId w:val="16"/>
  </w:num>
  <w:num w:numId="9" w16cid:durableId="1145194814">
    <w:abstractNumId w:val="5"/>
  </w:num>
  <w:num w:numId="10" w16cid:durableId="2071728937">
    <w:abstractNumId w:val="4"/>
  </w:num>
  <w:num w:numId="11" w16cid:durableId="2032023366">
    <w:abstractNumId w:val="19"/>
  </w:num>
  <w:num w:numId="12" w16cid:durableId="1513297954">
    <w:abstractNumId w:val="2"/>
  </w:num>
  <w:num w:numId="13" w16cid:durableId="588390352">
    <w:abstractNumId w:val="9"/>
  </w:num>
  <w:num w:numId="14" w16cid:durableId="1376076865">
    <w:abstractNumId w:val="11"/>
  </w:num>
  <w:num w:numId="15" w16cid:durableId="186993045">
    <w:abstractNumId w:val="17"/>
  </w:num>
  <w:num w:numId="16" w16cid:durableId="354424111">
    <w:abstractNumId w:val="18"/>
  </w:num>
  <w:num w:numId="17" w16cid:durableId="1743522555">
    <w:abstractNumId w:val="3"/>
  </w:num>
  <w:num w:numId="18" w16cid:durableId="153037680">
    <w:abstractNumId w:val="12"/>
  </w:num>
  <w:num w:numId="19" w16cid:durableId="922762156">
    <w:abstractNumId w:val="20"/>
  </w:num>
  <w:num w:numId="20" w16cid:durableId="1686862783">
    <w:abstractNumId w:val="7"/>
  </w:num>
  <w:num w:numId="21" w16cid:durableId="83784464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da-DK" w:vendorID="64" w:dllVersion="6" w:nlCheck="1" w:checkStyle="0"/>
  <w:activeWritingStyle w:appName="MSWord" w:lang="de-DE" w:vendorID="64" w:dllVersion="6" w:nlCheck="1" w:checkStyle="1"/>
  <w:activeWritingStyle w:appName="MSWord" w:lang="es-ES" w:vendorID="64" w:dllVersion="6" w:nlCheck="1" w:checkStyle="0"/>
  <w:activeWritingStyle w:appName="MSWord" w:lang="it-IT" w:vendorID="64" w:dllVersion="0"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ztTS1MDEwNQCyTZV0lIJTi4sz8/NACgwNLGoBmawLCC4AAAA="/>
  </w:docVars>
  <w:rsids>
    <w:rsidRoot w:val="0064261D"/>
    <w:rsid w:val="000004ED"/>
    <w:rsid w:val="0000053F"/>
    <w:rsid w:val="000010FA"/>
    <w:rsid w:val="00001386"/>
    <w:rsid w:val="00001994"/>
    <w:rsid w:val="00002B1A"/>
    <w:rsid w:val="00002B5A"/>
    <w:rsid w:val="0000317A"/>
    <w:rsid w:val="000042CD"/>
    <w:rsid w:val="000046ED"/>
    <w:rsid w:val="00004968"/>
    <w:rsid w:val="0000580A"/>
    <w:rsid w:val="00006140"/>
    <w:rsid w:val="00006ADB"/>
    <w:rsid w:val="00006DDA"/>
    <w:rsid w:val="00007201"/>
    <w:rsid w:val="0000767B"/>
    <w:rsid w:val="000076CB"/>
    <w:rsid w:val="0000797B"/>
    <w:rsid w:val="00010685"/>
    <w:rsid w:val="000112FA"/>
    <w:rsid w:val="0001152A"/>
    <w:rsid w:val="000117F3"/>
    <w:rsid w:val="00013025"/>
    <w:rsid w:val="000131D5"/>
    <w:rsid w:val="000133CE"/>
    <w:rsid w:val="0001340C"/>
    <w:rsid w:val="0001457E"/>
    <w:rsid w:val="000145EB"/>
    <w:rsid w:val="00014D96"/>
    <w:rsid w:val="00015677"/>
    <w:rsid w:val="0001592F"/>
    <w:rsid w:val="00015C0C"/>
    <w:rsid w:val="000166D7"/>
    <w:rsid w:val="00016782"/>
    <w:rsid w:val="0001778A"/>
    <w:rsid w:val="00017793"/>
    <w:rsid w:val="000179E2"/>
    <w:rsid w:val="000203D3"/>
    <w:rsid w:val="00020DB8"/>
    <w:rsid w:val="00020FDD"/>
    <w:rsid w:val="000214D1"/>
    <w:rsid w:val="00022503"/>
    <w:rsid w:val="00022A48"/>
    <w:rsid w:val="00024460"/>
    <w:rsid w:val="00024E45"/>
    <w:rsid w:val="0002587A"/>
    <w:rsid w:val="00025E62"/>
    <w:rsid w:val="00025EBA"/>
    <w:rsid w:val="00025F08"/>
    <w:rsid w:val="00026E32"/>
    <w:rsid w:val="00027057"/>
    <w:rsid w:val="000276F9"/>
    <w:rsid w:val="0003003E"/>
    <w:rsid w:val="00030430"/>
    <w:rsid w:val="0003043E"/>
    <w:rsid w:val="000304FD"/>
    <w:rsid w:val="0003279E"/>
    <w:rsid w:val="00032814"/>
    <w:rsid w:val="00032D36"/>
    <w:rsid w:val="000336C1"/>
    <w:rsid w:val="00033EA1"/>
    <w:rsid w:val="000340DF"/>
    <w:rsid w:val="00034E4D"/>
    <w:rsid w:val="000352D2"/>
    <w:rsid w:val="000359FB"/>
    <w:rsid w:val="00035C39"/>
    <w:rsid w:val="0003612C"/>
    <w:rsid w:val="0003674A"/>
    <w:rsid w:val="00036AD3"/>
    <w:rsid w:val="0003707F"/>
    <w:rsid w:val="00037583"/>
    <w:rsid w:val="00037B84"/>
    <w:rsid w:val="00037CBF"/>
    <w:rsid w:val="00037D5F"/>
    <w:rsid w:val="00037DCB"/>
    <w:rsid w:val="0004041F"/>
    <w:rsid w:val="000408C4"/>
    <w:rsid w:val="00041116"/>
    <w:rsid w:val="0004134A"/>
    <w:rsid w:val="00041662"/>
    <w:rsid w:val="000417B0"/>
    <w:rsid w:val="00041882"/>
    <w:rsid w:val="00041CB0"/>
    <w:rsid w:val="00042351"/>
    <w:rsid w:val="00042A2D"/>
    <w:rsid w:val="00042C14"/>
    <w:rsid w:val="00043B45"/>
    <w:rsid w:val="000443DC"/>
    <w:rsid w:val="00044773"/>
    <w:rsid w:val="00044BC4"/>
    <w:rsid w:val="000451B2"/>
    <w:rsid w:val="0004555F"/>
    <w:rsid w:val="0004587D"/>
    <w:rsid w:val="00045E58"/>
    <w:rsid w:val="00045F67"/>
    <w:rsid w:val="00046180"/>
    <w:rsid w:val="0004685A"/>
    <w:rsid w:val="0004689A"/>
    <w:rsid w:val="00047147"/>
    <w:rsid w:val="0005058D"/>
    <w:rsid w:val="00050A43"/>
    <w:rsid w:val="0005138E"/>
    <w:rsid w:val="0005144A"/>
    <w:rsid w:val="000514F9"/>
    <w:rsid w:val="00051C61"/>
    <w:rsid w:val="00052431"/>
    <w:rsid w:val="0005246D"/>
    <w:rsid w:val="0005251B"/>
    <w:rsid w:val="00052D95"/>
    <w:rsid w:val="00052EDE"/>
    <w:rsid w:val="0005443D"/>
    <w:rsid w:val="0005541C"/>
    <w:rsid w:val="00055C04"/>
    <w:rsid w:val="00055D7D"/>
    <w:rsid w:val="00055E5C"/>
    <w:rsid w:val="00056555"/>
    <w:rsid w:val="00057017"/>
    <w:rsid w:val="000575F6"/>
    <w:rsid w:val="000577C5"/>
    <w:rsid w:val="000600D4"/>
    <w:rsid w:val="00060239"/>
    <w:rsid w:val="00060663"/>
    <w:rsid w:val="00060D04"/>
    <w:rsid w:val="00060D1D"/>
    <w:rsid w:val="00061452"/>
    <w:rsid w:val="0006146B"/>
    <w:rsid w:val="00062C60"/>
    <w:rsid w:val="00062C79"/>
    <w:rsid w:val="0006466A"/>
    <w:rsid w:val="00064FC0"/>
    <w:rsid w:val="0006523B"/>
    <w:rsid w:val="000652B1"/>
    <w:rsid w:val="0006537A"/>
    <w:rsid w:val="00066E3B"/>
    <w:rsid w:val="0006705E"/>
    <w:rsid w:val="0006714F"/>
    <w:rsid w:val="00067823"/>
    <w:rsid w:val="00067A21"/>
    <w:rsid w:val="00067ABE"/>
    <w:rsid w:val="00070C79"/>
    <w:rsid w:val="00070F4D"/>
    <w:rsid w:val="00071109"/>
    <w:rsid w:val="0007163B"/>
    <w:rsid w:val="00071909"/>
    <w:rsid w:val="000720E9"/>
    <w:rsid w:val="00072B52"/>
    <w:rsid w:val="00072CE6"/>
    <w:rsid w:val="00072EEF"/>
    <w:rsid w:val="000730B3"/>
    <w:rsid w:val="000733D9"/>
    <w:rsid w:val="0007485D"/>
    <w:rsid w:val="00075074"/>
    <w:rsid w:val="000752A6"/>
    <w:rsid w:val="00075867"/>
    <w:rsid w:val="00075E4D"/>
    <w:rsid w:val="000762BD"/>
    <w:rsid w:val="00076BD6"/>
    <w:rsid w:val="00076F65"/>
    <w:rsid w:val="000803E2"/>
    <w:rsid w:val="00080800"/>
    <w:rsid w:val="00080B0E"/>
    <w:rsid w:val="00082200"/>
    <w:rsid w:val="000822E9"/>
    <w:rsid w:val="00082480"/>
    <w:rsid w:val="0008312F"/>
    <w:rsid w:val="0008443B"/>
    <w:rsid w:val="000844A0"/>
    <w:rsid w:val="00084DF3"/>
    <w:rsid w:val="0008589A"/>
    <w:rsid w:val="00085D33"/>
    <w:rsid w:val="00085E24"/>
    <w:rsid w:val="00085F9F"/>
    <w:rsid w:val="00086105"/>
    <w:rsid w:val="000862E1"/>
    <w:rsid w:val="00086F46"/>
    <w:rsid w:val="00087246"/>
    <w:rsid w:val="000872B5"/>
    <w:rsid w:val="0008774F"/>
    <w:rsid w:val="0008790D"/>
    <w:rsid w:val="000903F3"/>
    <w:rsid w:val="000905AA"/>
    <w:rsid w:val="00090754"/>
    <w:rsid w:val="000907C7"/>
    <w:rsid w:val="00091579"/>
    <w:rsid w:val="00091A30"/>
    <w:rsid w:val="00092E6C"/>
    <w:rsid w:val="00093561"/>
    <w:rsid w:val="00093D5E"/>
    <w:rsid w:val="00093E47"/>
    <w:rsid w:val="00094ED1"/>
    <w:rsid w:val="000952DF"/>
    <w:rsid w:val="000956DE"/>
    <w:rsid w:val="00095D4D"/>
    <w:rsid w:val="00095F80"/>
    <w:rsid w:val="0009681D"/>
    <w:rsid w:val="00096AB8"/>
    <w:rsid w:val="000971D1"/>
    <w:rsid w:val="00097425"/>
    <w:rsid w:val="00097870"/>
    <w:rsid w:val="000A029D"/>
    <w:rsid w:val="000A03B8"/>
    <w:rsid w:val="000A0541"/>
    <w:rsid w:val="000A085E"/>
    <w:rsid w:val="000A093D"/>
    <w:rsid w:val="000A0C29"/>
    <w:rsid w:val="000A2469"/>
    <w:rsid w:val="000A29F5"/>
    <w:rsid w:val="000A2C6F"/>
    <w:rsid w:val="000A2E41"/>
    <w:rsid w:val="000A43C5"/>
    <w:rsid w:val="000A496F"/>
    <w:rsid w:val="000A529E"/>
    <w:rsid w:val="000A54B0"/>
    <w:rsid w:val="000A54DB"/>
    <w:rsid w:val="000A568E"/>
    <w:rsid w:val="000A5BF6"/>
    <w:rsid w:val="000A5C4A"/>
    <w:rsid w:val="000A717E"/>
    <w:rsid w:val="000A7AFF"/>
    <w:rsid w:val="000B0EE8"/>
    <w:rsid w:val="000B1938"/>
    <w:rsid w:val="000B269E"/>
    <w:rsid w:val="000B2C20"/>
    <w:rsid w:val="000B2DFF"/>
    <w:rsid w:val="000B2F12"/>
    <w:rsid w:val="000B3DA3"/>
    <w:rsid w:val="000B4051"/>
    <w:rsid w:val="000B4A0B"/>
    <w:rsid w:val="000B4A60"/>
    <w:rsid w:val="000B5060"/>
    <w:rsid w:val="000B55C0"/>
    <w:rsid w:val="000B57AB"/>
    <w:rsid w:val="000B6145"/>
    <w:rsid w:val="000B79D6"/>
    <w:rsid w:val="000B7AC7"/>
    <w:rsid w:val="000B7F0C"/>
    <w:rsid w:val="000C2BE5"/>
    <w:rsid w:val="000C314E"/>
    <w:rsid w:val="000C3279"/>
    <w:rsid w:val="000C3964"/>
    <w:rsid w:val="000C3D56"/>
    <w:rsid w:val="000C421C"/>
    <w:rsid w:val="000C5449"/>
    <w:rsid w:val="000C57CA"/>
    <w:rsid w:val="000C5F1F"/>
    <w:rsid w:val="000C5FB8"/>
    <w:rsid w:val="000C61EE"/>
    <w:rsid w:val="000C62F4"/>
    <w:rsid w:val="000C65D6"/>
    <w:rsid w:val="000C6E32"/>
    <w:rsid w:val="000C7DAA"/>
    <w:rsid w:val="000D0F0B"/>
    <w:rsid w:val="000D10D2"/>
    <w:rsid w:val="000D10D6"/>
    <w:rsid w:val="000D1772"/>
    <w:rsid w:val="000D18BC"/>
    <w:rsid w:val="000D1A89"/>
    <w:rsid w:val="000D1C7E"/>
    <w:rsid w:val="000D1CF9"/>
    <w:rsid w:val="000D2307"/>
    <w:rsid w:val="000D2930"/>
    <w:rsid w:val="000D3B01"/>
    <w:rsid w:val="000D3B1B"/>
    <w:rsid w:val="000D3E40"/>
    <w:rsid w:val="000D41F4"/>
    <w:rsid w:val="000D427C"/>
    <w:rsid w:val="000D4420"/>
    <w:rsid w:val="000D4C04"/>
    <w:rsid w:val="000D4DC8"/>
    <w:rsid w:val="000D5127"/>
    <w:rsid w:val="000D5303"/>
    <w:rsid w:val="000D5649"/>
    <w:rsid w:val="000D5703"/>
    <w:rsid w:val="000D6191"/>
    <w:rsid w:val="000D66B6"/>
    <w:rsid w:val="000D6975"/>
    <w:rsid w:val="000D6C69"/>
    <w:rsid w:val="000D6C9B"/>
    <w:rsid w:val="000D7202"/>
    <w:rsid w:val="000D7291"/>
    <w:rsid w:val="000D73B0"/>
    <w:rsid w:val="000E07BE"/>
    <w:rsid w:val="000E11FB"/>
    <w:rsid w:val="000E181E"/>
    <w:rsid w:val="000E1DEC"/>
    <w:rsid w:val="000E1EA7"/>
    <w:rsid w:val="000E3502"/>
    <w:rsid w:val="000E3C3E"/>
    <w:rsid w:val="000E4275"/>
    <w:rsid w:val="000E46A0"/>
    <w:rsid w:val="000E5567"/>
    <w:rsid w:val="000E5BD5"/>
    <w:rsid w:val="000E60FB"/>
    <w:rsid w:val="000E62C1"/>
    <w:rsid w:val="000E691A"/>
    <w:rsid w:val="000F05E8"/>
    <w:rsid w:val="000F08F2"/>
    <w:rsid w:val="000F17D2"/>
    <w:rsid w:val="000F1BB2"/>
    <w:rsid w:val="000F1DD4"/>
    <w:rsid w:val="000F240A"/>
    <w:rsid w:val="000F28EC"/>
    <w:rsid w:val="000F2A9C"/>
    <w:rsid w:val="000F31C0"/>
    <w:rsid w:val="000F3C5B"/>
    <w:rsid w:val="000F3D98"/>
    <w:rsid w:val="000F5096"/>
    <w:rsid w:val="000F70F9"/>
    <w:rsid w:val="000F78A9"/>
    <w:rsid w:val="000F7C5E"/>
    <w:rsid w:val="00100251"/>
    <w:rsid w:val="00100295"/>
    <w:rsid w:val="00100BCC"/>
    <w:rsid w:val="00100CA7"/>
    <w:rsid w:val="001012EF"/>
    <w:rsid w:val="001013AB"/>
    <w:rsid w:val="00101C55"/>
    <w:rsid w:val="00101F19"/>
    <w:rsid w:val="0010263D"/>
    <w:rsid w:val="001028DB"/>
    <w:rsid w:val="00102A14"/>
    <w:rsid w:val="00103027"/>
    <w:rsid w:val="001030B7"/>
    <w:rsid w:val="00103269"/>
    <w:rsid w:val="00104149"/>
    <w:rsid w:val="00104B51"/>
    <w:rsid w:val="001052D8"/>
    <w:rsid w:val="001052EA"/>
    <w:rsid w:val="0010547A"/>
    <w:rsid w:val="0010589C"/>
    <w:rsid w:val="00105AE9"/>
    <w:rsid w:val="00105CE2"/>
    <w:rsid w:val="00105E9F"/>
    <w:rsid w:val="00105EAE"/>
    <w:rsid w:val="00106952"/>
    <w:rsid w:val="001075D1"/>
    <w:rsid w:val="00107CB1"/>
    <w:rsid w:val="001100F7"/>
    <w:rsid w:val="00110858"/>
    <w:rsid w:val="00111987"/>
    <w:rsid w:val="00111ECF"/>
    <w:rsid w:val="00112062"/>
    <w:rsid w:val="00112710"/>
    <w:rsid w:val="00112E8D"/>
    <w:rsid w:val="001131BE"/>
    <w:rsid w:val="001132CC"/>
    <w:rsid w:val="00113A6E"/>
    <w:rsid w:val="001149CC"/>
    <w:rsid w:val="00114C0F"/>
    <w:rsid w:val="00115133"/>
    <w:rsid w:val="00115745"/>
    <w:rsid w:val="00115976"/>
    <w:rsid w:val="00115E02"/>
    <w:rsid w:val="00115EEA"/>
    <w:rsid w:val="0011604C"/>
    <w:rsid w:val="00116783"/>
    <w:rsid w:val="00116E90"/>
    <w:rsid w:val="00117A62"/>
    <w:rsid w:val="00117CE4"/>
    <w:rsid w:val="00121025"/>
    <w:rsid w:val="00121572"/>
    <w:rsid w:val="0012190D"/>
    <w:rsid w:val="00121B14"/>
    <w:rsid w:val="00122091"/>
    <w:rsid w:val="0012213D"/>
    <w:rsid w:val="001226C3"/>
    <w:rsid w:val="00122FB4"/>
    <w:rsid w:val="00123812"/>
    <w:rsid w:val="001239F9"/>
    <w:rsid w:val="00123E7A"/>
    <w:rsid w:val="0012422F"/>
    <w:rsid w:val="00124283"/>
    <w:rsid w:val="00124484"/>
    <w:rsid w:val="0012474C"/>
    <w:rsid w:val="001249F2"/>
    <w:rsid w:val="00124A92"/>
    <w:rsid w:val="001261C2"/>
    <w:rsid w:val="001264C3"/>
    <w:rsid w:val="00126F64"/>
    <w:rsid w:val="00127E38"/>
    <w:rsid w:val="00127F5B"/>
    <w:rsid w:val="001300E5"/>
    <w:rsid w:val="001302CB"/>
    <w:rsid w:val="00130366"/>
    <w:rsid w:val="00130C92"/>
    <w:rsid w:val="001310A3"/>
    <w:rsid w:val="0013160B"/>
    <w:rsid w:val="0013166D"/>
    <w:rsid w:val="001337BE"/>
    <w:rsid w:val="001338AF"/>
    <w:rsid w:val="00134449"/>
    <w:rsid w:val="0013481B"/>
    <w:rsid w:val="001355E1"/>
    <w:rsid w:val="00135731"/>
    <w:rsid w:val="0013615F"/>
    <w:rsid w:val="00136C22"/>
    <w:rsid w:val="00137277"/>
    <w:rsid w:val="001377B9"/>
    <w:rsid w:val="00137ADF"/>
    <w:rsid w:val="00137C75"/>
    <w:rsid w:val="00140F5D"/>
    <w:rsid w:val="00140F70"/>
    <w:rsid w:val="001414A7"/>
    <w:rsid w:val="00141D5E"/>
    <w:rsid w:val="00142682"/>
    <w:rsid w:val="00143944"/>
    <w:rsid w:val="00143D0F"/>
    <w:rsid w:val="001445EC"/>
    <w:rsid w:val="00144A36"/>
    <w:rsid w:val="00144EDF"/>
    <w:rsid w:val="00145485"/>
    <w:rsid w:val="00146AB6"/>
    <w:rsid w:val="00147521"/>
    <w:rsid w:val="00150D60"/>
    <w:rsid w:val="00151B3D"/>
    <w:rsid w:val="00151EBB"/>
    <w:rsid w:val="0015259F"/>
    <w:rsid w:val="0015313B"/>
    <w:rsid w:val="00153757"/>
    <w:rsid w:val="00153A17"/>
    <w:rsid w:val="00153CCE"/>
    <w:rsid w:val="00153DCE"/>
    <w:rsid w:val="0015422C"/>
    <w:rsid w:val="001547B1"/>
    <w:rsid w:val="00154FF7"/>
    <w:rsid w:val="001553AD"/>
    <w:rsid w:val="0015556E"/>
    <w:rsid w:val="00155B08"/>
    <w:rsid w:val="00157263"/>
    <w:rsid w:val="00157597"/>
    <w:rsid w:val="00157875"/>
    <w:rsid w:val="00157B8B"/>
    <w:rsid w:val="00157F9F"/>
    <w:rsid w:val="00160ED8"/>
    <w:rsid w:val="00161380"/>
    <w:rsid w:val="0016165C"/>
    <w:rsid w:val="00161967"/>
    <w:rsid w:val="00161C59"/>
    <w:rsid w:val="001622E6"/>
    <w:rsid w:val="00162413"/>
    <w:rsid w:val="00163018"/>
    <w:rsid w:val="001630DB"/>
    <w:rsid w:val="001634CC"/>
    <w:rsid w:val="0016383B"/>
    <w:rsid w:val="00163D79"/>
    <w:rsid w:val="001644AE"/>
    <w:rsid w:val="00164608"/>
    <w:rsid w:val="001647A5"/>
    <w:rsid w:val="001648FD"/>
    <w:rsid w:val="001657FC"/>
    <w:rsid w:val="001662E0"/>
    <w:rsid w:val="00166947"/>
    <w:rsid w:val="00166F69"/>
    <w:rsid w:val="00167593"/>
    <w:rsid w:val="00170077"/>
    <w:rsid w:val="001706A5"/>
    <w:rsid w:val="00171F29"/>
    <w:rsid w:val="00172AC1"/>
    <w:rsid w:val="00172E27"/>
    <w:rsid w:val="00173F1C"/>
    <w:rsid w:val="001748D3"/>
    <w:rsid w:val="001748F2"/>
    <w:rsid w:val="001749D1"/>
    <w:rsid w:val="0017538A"/>
    <w:rsid w:val="001761B6"/>
    <w:rsid w:val="00176389"/>
    <w:rsid w:val="00176776"/>
    <w:rsid w:val="00177364"/>
    <w:rsid w:val="00181330"/>
    <w:rsid w:val="001821EA"/>
    <w:rsid w:val="00182ACE"/>
    <w:rsid w:val="0018311C"/>
    <w:rsid w:val="00183AEE"/>
    <w:rsid w:val="00183C0E"/>
    <w:rsid w:val="00183C6E"/>
    <w:rsid w:val="001841B9"/>
    <w:rsid w:val="001842F3"/>
    <w:rsid w:val="0018472B"/>
    <w:rsid w:val="00185C08"/>
    <w:rsid w:val="00186BE1"/>
    <w:rsid w:val="0018770E"/>
    <w:rsid w:val="0019054E"/>
    <w:rsid w:val="00190B26"/>
    <w:rsid w:val="00190D87"/>
    <w:rsid w:val="001910E5"/>
    <w:rsid w:val="001922D0"/>
    <w:rsid w:val="00192986"/>
    <w:rsid w:val="00192B94"/>
    <w:rsid w:val="001930E5"/>
    <w:rsid w:val="00193AF9"/>
    <w:rsid w:val="00193AFC"/>
    <w:rsid w:val="00194315"/>
    <w:rsid w:val="00194EC9"/>
    <w:rsid w:val="00194F65"/>
    <w:rsid w:val="00196791"/>
    <w:rsid w:val="00196D7C"/>
    <w:rsid w:val="0019706B"/>
    <w:rsid w:val="001970B9"/>
    <w:rsid w:val="001970DE"/>
    <w:rsid w:val="001A0460"/>
    <w:rsid w:val="001A0867"/>
    <w:rsid w:val="001A1E4A"/>
    <w:rsid w:val="001A22D2"/>
    <w:rsid w:val="001A2CFE"/>
    <w:rsid w:val="001A38AE"/>
    <w:rsid w:val="001A3BA4"/>
    <w:rsid w:val="001A429F"/>
    <w:rsid w:val="001A456F"/>
    <w:rsid w:val="001A4C77"/>
    <w:rsid w:val="001A4FB1"/>
    <w:rsid w:val="001A5BE2"/>
    <w:rsid w:val="001A6094"/>
    <w:rsid w:val="001A6161"/>
    <w:rsid w:val="001A64C2"/>
    <w:rsid w:val="001A69F2"/>
    <w:rsid w:val="001A7DF4"/>
    <w:rsid w:val="001B058D"/>
    <w:rsid w:val="001B082B"/>
    <w:rsid w:val="001B0C45"/>
    <w:rsid w:val="001B0E98"/>
    <w:rsid w:val="001B13F1"/>
    <w:rsid w:val="001B1B18"/>
    <w:rsid w:val="001B1B48"/>
    <w:rsid w:val="001B1EBF"/>
    <w:rsid w:val="001B1F61"/>
    <w:rsid w:val="001B280E"/>
    <w:rsid w:val="001B28FC"/>
    <w:rsid w:val="001B2990"/>
    <w:rsid w:val="001B319E"/>
    <w:rsid w:val="001B32A1"/>
    <w:rsid w:val="001B3820"/>
    <w:rsid w:val="001B394B"/>
    <w:rsid w:val="001B3B1A"/>
    <w:rsid w:val="001B498C"/>
    <w:rsid w:val="001B4BE1"/>
    <w:rsid w:val="001B4ED6"/>
    <w:rsid w:val="001B5133"/>
    <w:rsid w:val="001B5E4E"/>
    <w:rsid w:val="001B672E"/>
    <w:rsid w:val="001B67A0"/>
    <w:rsid w:val="001C05B2"/>
    <w:rsid w:val="001C0EB9"/>
    <w:rsid w:val="001C1434"/>
    <w:rsid w:val="001C1609"/>
    <w:rsid w:val="001C17B4"/>
    <w:rsid w:val="001C1C1C"/>
    <w:rsid w:val="001C2333"/>
    <w:rsid w:val="001C2767"/>
    <w:rsid w:val="001C2B2E"/>
    <w:rsid w:val="001C2EE6"/>
    <w:rsid w:val="001C33DE"/>
    <w:rsid w:val="001C385F"/>
    <w:rsid w:val="001C3BB1"/>
    <w:rsid w:val="001C468B"/>
    <w:rsid w:val="001C4E00"/>
    <w:rsid w:val="001C4EA9"/>
    <w:rsid w:val="001C523D"/>
    <w:rsid w:val="001C5B98"/>
    <w:rsid w:val="001C6586"/>
    <w:rsid w:val="001C6938"/>
    <w:rsid w:val="001C76E0"/>
    <w:rsid w:val="001C791E"/>
    <w:rsid w:val="001D127E"/>
    <w:rsid w:val="001D179B"/>
    <w:rsid w:val="001D1946"/>
    <w:rsid w:val="001D1EB7"/>
    <w:rsid w:val="001D1EF2"/>
    <w:rsid w:val="001D2B77"/>
    <w:rsid w:val="001D3923"/>
    <w:rsid w:val="001D3983"/>
    <w:rsid w:val="001D4173"/>
    <w:rsid w:val="001D44E2"/>
    <w:rsid w:val="001D4B31"/>
    <w:rsid w:val="001D4DD0"/>
    <w:rsid w:val="001D4E0B"/>
    <w:rsid w:val="001D6210"/>
    <w:rsid w:val="001D668F"/>
    <w:rsid w:val="001D77A1"/>
    <w:rsid w:val="001D797F"/>
    <w:rsid w:val="001D7D00"/>
    <w:rsid w:val="001D7DB6"/>
    <w:rsid w:val="001E035B"/>
    <w:rsid w:val="001E118A"/>
    <w:rsid w:val="001E1E27"/>
    <w:rsid w:val="001E1EA2"/>
    <w:rsid w:val="001E2826"/>
    <w:rsid w:val="001E2A9D"/>
    <w:rsid w:val="001E30BE"/>
    <w:rsid w:val="001E32C4"/>
    <w:rsid w:val="001E3836"/>
    <w:rsid w:val="001E384F"/>
    <w:rsid w:val="001E472B"/>
    <w:rsid w:val="001E4D4E"/>
    <w:rsid w:val="001E5717"/>
    <w:rsid w:val="001E5899"/>
    <w:rsid w:val="001E60DD"/>
    <w:rsid w:val="001E651E"/>
    <w:rsid w:val="001E6C79"/>
    <w:rsid w:val="001E74B5"/>
    <w:rsid w:val="001F020E"/>
    <w:rsid w:val="001F0365"/>
    <w:rsid w:val="001F176A"/>
    <w:rsid w:val="001F2304"/>
    <w:rsid w:val="001F24D8"/>
    <w:rsid w:val="001F32D8"/>
    <w:rsid w:val="001F333B"/>
    <w:rsid w:val="001F39E2"/>
    <w:rsid w:val="001F4199"/>
    <w:rsid w:val="001F448F"/>
    <w:rsid w:val="001F4DB9"/>
    <w:rsid w:val="001F580D"/>
    <w:rsid w:val="001F5851"/>
    <w:rsid w:val="001F5C28"/>
    <w:rsid w:val="001F6031"/>
    <w:rsid w:val="001F6981"/>
    <w:rsid w:val="001F6E10"/>
    <w:rsid w:val="001F6F7A"/>
    <w:rsid w:val="001F7466"/>
    <w:rsid w:val="001F7856"/>
    <w:rsid w:val="001F7943"/>
    <w:rsid w:val="001F7A3E"/>
    <w:rsid w:val="001F7B07"/>
    <w:rsid w:val="001F7F96"/>
    <w:rsid w:val="00202326"/>
    <w:rsid w:val="002027EB"/>
    <w:rsid w:val="00202BD8"/>
    <w:rsid w:val="00202C70"/>
    <w:rsid w:val="00202EEF"/>
    <w:rsid w:val="00203361"/>
    <w:rsid w:val="00203599"/>
    <w:rsid w:val="00203691"/>
    <w:rsid w:val="00203A24"/>
    <w:rsid w:val="00204B3A"/>
    <w:rsid w:val="0020558E"/>
    <w:rsid w:val="002056A7"/>
    <w:rsid w:val="00205ACF"/>
    <w:rsid w:val="00205C1D"/>
    <w:rsid w:val="00205F06"/>
    <w:rsid w:val="002063F3"/>
    <w:rsid w:val="0020683D"/>
    <w:rsid w:val="002068BE"/>
    <w:rsid w:val="00206B2C"/>
    <w:rsid w:val="00207487"/>
    <w:rsid w:val="0021000D"/>
    <w:rsid w:val="002104FA"/>
    <w:rsid w:val="00211102"/>
    <w:rsid w:val="00211A96"/>
    <w:rsid w:val="002124BA"/>
    <w:rsid w:val="0021271E"/>
    <w:rsid w:val="00212753"/>
    <w:rsid w:val="002127E5"/>
    <w:rsid w:val="002131D2"/>
    <w:rsid w:val="00213444"/>
    <w:rsid w:val="00214621"/>
    <w:rsid w:val="0021478B"/>
    <w:rsid w:val="002150E2"/>
    <w:rsid w:val="00215ACE"/>
    <w:rsid w:val="00215F87"/>
    <w:rsid w:val="0021697E"/>
    <w:rsid w:val="00216EB5"/>
    <w:rsid w:val="0021757F"/>
    <w:rsid w:val="00217EDA"/>
    <w:rsid w:val="00217FD1"/>
    <w:rsid w:val="0022094E"/>
    <w:rsid w:val="00220AB7"/>
    <w:rsid w:val="00220C38"/>
    <w:rsid w:val="002226C3"/>
    <w:rsid w:val="002237F8"/>
    <w:rsid w:val="00223AAC"/>
    <w:rsid w:val="00223F87"/>
    <w:rsid w:val="0022480B"/>
    <w:rsid w:val="0022484C"/>
    <w:rsid w:val="00225013"/>
    <w:rsid w:val="00225C35"/>
    <w:rsid w:val="002260BB"/>
    <w:rsid w:val="00226A9B"/>
    <w:rsid w:val="00226F64"/>
    <w:rsid w:val="00230093"/>
    <w:rsid w:val="002301B7"/>
    <w:rsid w:val="002304C2"/>
    <w:rsid w:val="0023123F"/>
    <w:rsid w:val="0023165D"/>
    <w:rsid w:val="00231755"/>
    <w:rsid w:val="00231E0C"/>
    <w:rsid w:val="00231E8C"/>
    <w:rsid w:val="00232087"/>
    <w:rsid w:val="0023216B"/>
    <w:rsid w:val="00232F91"/>
    <w:rsid w:val="00233398"/>
    <w:rsid w:val="00233CE3"/>
    <w:rsid w:val="002340CD"/>
    <w:rsid w:val="00234379"/>
    <w:rsid w:val="0023568B"/>
    <w:rsid w:val="002359A4"/>
    <w:rsid w:val="00235E54"/>
    <w:rsid w:val="00236925"/>
    <w:rsid w:val="00236A20"/>
    <w:rsid w:val="002370F7"/>
    <w:rsid w:val="00237378"/>
    <w:rsid w:val="00237718"/>
    <w:rsid w:val="00237B12"/>
    <w:rsid w:val="00237EB5"/>
    <w:rsid w:val="00237F56"/>
    <w:rsid w:val="0024022B"/>
    <w:rsid w:val="002405F9"/>
    <w:rsid w:val="00240F97"/>
    <w:rsid w:val="0024112A"/>
    <w:rsid w:val="002415AA"/>
    <w:rsid w:val="00242296"/>
    <w:rsid w:val="002422F3"/>
    <w:rsid w:val="002435F6"/>
    <w:rsid w:val="00244513"/>
    <w:rsid w:val="002446F5"/>
    <w:rsid w:val="00244D7A"/>
    <w:rsid w:val="00244E58"/>
    <w:rsid w:val="00244F9B"/>
    <w:rsid w:val="00245A6C"/>
    <w:rsid w:val="00245B55"/>
    <w:rsid w:val="002462C6"/>
    <w:rsid w:val="00246541"/>
    <w:rsid w:val="00247101"/>
    <w:rsid w:val="002479F5"/>
    <w:rsid w:val="00250F5D"/>
    <w:rsid w:val="00251E96"/>
    <w:rsid w:val="00253089"/>
    <w:rsid w:val="00253695"/>
    <w:rsid w:val="00253CF6"/>
    <w:rsid w:val="002543AD"/>
    <w:rsid w:val="002556BB"/>
    <w:rsid w:val="00256505"/>
    <w:rsid w:val="00256809"/>
    <w:rsid w:val="00256F6B"/>
    <w:rsid w:val="00257DAC"/>
    <w:rsid w:val="00257E15"/>
    <w:rsid w:val="00260325"/>
    <w:rsid w:val="002608BF"/>
    <w:rsid w:val="00260E30"/>
    <w:rsid w:val="00260FB5"/>
    <w:rsid w:val="0026113C"/>
    <w:rsid w:val="002618E8"/>
    <w:rsid w:val="00262146"/>
    <w:rsid w:val="002622E1"/>
    <w:rsid w:val="0026290B"/>
    <w:rsid w:val="00263259"/>
    <w:rsid w:val="00263354"/>
    <w:rsid w:val="00263DF9"/>
    <w:rsid w:val="00265764"/>
    <w:rsid w:val="00266664"/>
    <w:rsid w:val="002668F4"/>
    <w:rsid w:val="00266FB0"/>
    <w:rsid w:val="00267397"/>
    <w:rsid w:val="002674BA"/>
    <w:rsid w:val="0026769B"/>
    <w:rsid w:val="00267820"/>
    <w:rsid w:val="00267B04"/>
    <w:rsid w:val="00267BCF"/>
    <w:rsid w:val="00270B86"/>
    <w:rsid w:val="00271139"/>
    <w:rsid w:val="00271F3A"/>
    <w:rsid w:val="0027267C"/>
    <w:rsid w:val="00272B89"/>
    <w:rsid w:val="00273A7C"/>
    <w:rsid w:val="00273DCB"/>
    <w:rsid w:val="0027401E"/>
    <w:rsid w:val="00274080"/>
    <w:rsid w:val="002747BA"/>
    <w:rsid w:val="00275520"/>
    <w:rsid w:val="002757DA"/>
    <w:rsid w:val="00275CF6"/>
    <w:rsid w:val="0027707A"/>
    <w:rsid w:val="002772BC"/>
    <w:rsid w:val="00277C77"/>
    <w:rsid w:val="00280030"/>
    <w:rsid w:val="00281F7C"/>
    <w:rsid w:val="002826CA"/>
    <w:rsid w:val="00282C22"/>
    <w:rsid w:val="00282E2A"/>
    <w:rsid w:val="002832F8"/>
    <w:rsid w:val="00283495"/>
    <w:rsid w:val="002835AF"/>
    <w:rsid w:val="00283F7C"/>
    <w:rsid w:val="0028492C"/>
    <w:rsid w:val="00284945"/>
    <w:rsid w:val="00284B2A"/>
    <w:rsid w:val="00285350"/>
    <w:rsid w:val="00287870"/>
    <w:rsid w:val="002902F9"/>
    <w:rsid w:val="002907BE"/>
    <w:rsid w:val="002911D5"/>
    <w:rsid w:val="0029167E"/>
    <w:rsid w:val="00291A36"/>
    <w:rsid w:val="00291E50"/>
    <w:rsid w:val="002926A6"/>
    <w:rsid w:val="0029298F"/>
    <w:rsid w:val="00292FAC"/>
    <w:rsid w:val="0029350C"/>
    <w:rsid w:val="00293C77"/>
    <w:rsid w:val="00293FA0"/>
    <w:rsid w:val="00294282"/>
    <w:rsid w:val="00294FDC"/>
    <w:rsid w:val="0029535F"/>
    <w:rsid w:val="00295A03"/>
    <w:rsid w:val="00295BF0"/>
    <w:rsid w:val="00296881"/>
    <w:rsid w:val="0029780A"/>
    <w:rsid w:val="00297B73"/>
    <w:rsid w:val="00297F75"/>
    <w:rsid w:val="002A03DA"/>
    <w:rsid w:val="002A049E"/>
    <w:rsid w:val="002A0B39"/>
    <w:rsid w:val="002A122F"/>
    <w:rsid w:val="002A17C9"/>
    <w:rsid w:val="002A46C8"/>
    <w:rsid w:val="002A4D58"/>
    <w:rsid w:val="002A59F8"/>
    <w:rsid w:val="002A5C9F"/>
    <w:rsid w:val="002A678D"/>
    <w:rsid w:val="002A6DDF"/>
    <w:rsid w:val="002A76DF"/>
    <w:rsid w:val="002A7AC1"/>
    <w:rsid w:val="002A7E48"/>
    <w:rsid w:val="002B19CF"/>
    <w:rsid w:val="002B21DF"/>
    <w:rsid w:val="002B2841"/>
    <w:rsid w:val="002B2FAA"/>
    <w:rsid w:val="002B3D2C"/>
    <w:rsid w:val="002B3ED0"/>
    <w:rsid w:val="002B4327"/>
    <w:rsid w:val="002B45C4"/>
    <w:rsid w:val="002B60DF"/>
    <w:rsid w:val="002B659A"/>
    <w:rsid w:val="002B7285"/>
    <w:rsid w:val="002B767B"/>
    <w:rsid w:val="002C06A6"/>
    <w:rsid w:val="002C099F"/>
    <w:rsid w:val="002C0EE8"/>
    <w:rsid w:val="002C11C6"/>
    <w:rsid w:val="002C144B"/>
    <w:rsid w:val="002C14BE"/>
    <w:rsid w:val="002C1595"/>
    <w:rsid w:val="002C1C31"/>
    <w:rsid w:val="002C2344"/>
    <w:rsid w:val="002C24BF"/>
    <w:rsid w:val="002C2965"/>
    <w:rsid w:val="002C2B89"/>
    <w:rsid w:val="002C2D00"/>
    <w:rsid w:val="002C3249"/>
    <w:rsid w:val="002C360C"/>
    <w:rsid w:val="002C3F17"/>
    <w:rsid w:val="002C4994"/>
    <w:rsid w:val="002C4A33"/>
    <w:rsid w:val="002C4B35"/>
    <w:rsid w:val="002C4CED"/>
    <w:rsid w:val="002C57D8"/>
    <w:rsid w:val="002C5923"/>
    <w:rsid w:val="002C5D45"/>
    <w:rsid w:val="002C6023"/>
    <w:rsid w:val="002C6077"/>
    <w:rsid w:val="002C73C5"/>
    <w:rsid w:val="002C766E"/>
    <w:rsid w:val="002C78F2"/>
    <w:rsid w:val="002C7E78"/>
    <w:rsid w:val="002D0202"/>
    <w:rsid w:val="002D0CE5"/>
    <w:rsid w:val="002D11BB"/>
    <w:rsid w:val="002D1739"/>
    <w:rsid w:val="002D176B"/>
    <w:rsid w:val="002D19CE"/>
    <w:rsid w:val="002D2BEB"/>
    <w:rsid w:val="002D3270"/>
    <w:rsid w:val="002D32BF"/>
    <w:rsid w:val="002D3D13"/>
    <w:rsid w:val="002D3F91"/>
    <w:rsid w:val="002D43C5"/>
    <w:rsid w:val="002D5328"/>
    <w:rsid w:val="002D5980"/>
    <w:rsid w:val="002D5B70"/>
    <w:rsid w:val="002D5BE9"/>
    <w:rsid w:val="002D627D"/>
    <w:rsid w:val="002D662A"/>
    <w:rsid w:val="002D6C62"/>
    <w:rsid w:val="002D775C"/>
    <w:rsid w:val="002D79D0"/>
    <w:rsid w:val="002D7EF0"/>
    <w:rsid w:val="002E0120"/>
    <w:rsid w:val="002E1742"/>
    <w:rsid w:val="002E2A49"/>
    <w:rsid w:val="002E307A"/>
    <w:rsid w:val="002E33DE"/>
    <w:rsid w:val="002E346F"/>
    <w:rsid w:val="002E5164"/>
    <w:rsid w:val="002E5284"/>
    <w:rsid w:val="002E673C"/>
    <w:rsid w:val="002E6A89"/>
    <w:rsid w:val="002E6D38"/>
    <w:rsid w:val="002E7700"/>
    <w:rsid w:val="002E7BDB"/>
    <w:rsid w:val="002F0579"/>
    <w:rsid w:val="002F0AB2"/>
    <w:rsid w:val="002F2577"/>
    <w:rsid w:val="002F3151"/>
    <w:rsid w:val="002F362C"/>
    <w:rsid w:val="002F4616"/>
    <w:rsid w:val="002F4847"/>
    <w:rsid w:val="002F54BC"/>
    <w:rsid w:val="002F5A2C"/>
    <w:rsid w:val="002F5DD0"/>
    <w:rsid w:val="002F64A3"/>
    <w:rsid w:val="002F7332"/>
    <w:rsid w:val="003003EC"/>
    <w:rsid w:val="00301A70"/>
    <w:rsid w:val="0030204E"/>
    <w:rsid w:val="00302854"/>
    <w:rsid w:val="00302AB3"/>
    <w:rsid w:val="003032B4"/>
    <w:rsid w:val="003032C2"/>
    <w:rsid w:val="003035BF"/>
    <w:rsid w:val="00303886"/>
    <w:rsid w:val="0030404C"/>
    <w:rsid w:val="00304606"/>
    <w:rsid w:val="0030491F"/>
    <w:rsid w:val="00305D7C"/>
    <w:rsid w:val="0030627B"/>
    <w:rsid w:val="003067FA"/>
    <w:rsid w:val="00307581"/>
    <w:rsid w:val="00311842"/>
    <w:rsid w:val="00311C1C"/>
    <w:rsid w:val="00312C01"/>
    <w:rsid w:val="00313940"/>
    <w:rsid w:val="0031417D"/>
    <w:rsid w:val="00314611"/>
    <w:rsid w:val="00314742"/>
    <w:rsid w:val="003149B0"/>
    <w:rsid w:val="00314B92"/>
    <w:rsid w:val="00316055"/>
    <w:rsid w:val="003163A7"/>
    <w:rsid w:val="0031697E"/>
    <w:rsid w:val="003175BB"/>
    <w:rsid w:val="003175F1"/>
    <w:rsid w:val="003177A2"/>
    <w:rsid w:val="00317B9B"/>
    <w:rsid w:val="00320065"/>
    <w:rsid w:val="00320352"/>
    <w:rsid w:val="00321640"/>
    <w:rsid w:val="003222DF"/>
    <w:rsid w:val="00322B84"/>
    <w:rsid w:val="00323099"/>
    <w:rsid w:val="00323255"/>
    <w:rsid w:val="00323617"/>
    <w:rsid w:val="00323676"/>
    <w:rsid w:val="00325900"/>
    <w:rsid w:val="00325D4F"/>
    <w:rsid w:val="003269CF"/>
    <w:rsid w:val="00326D73"/>
    <w:rsid w:val="00327216"/>
    <w:rsid w:val="00327701"/>
    <w:rsid w:val="0033025D"/>
    <w:rsid w:val="00330385"/>
    <w:rsid w:val="00330AD2"/>
    <w:rsid w:val="00331484"/>
    <w:rsid w:val="003318EC"/>
    <w:rsid w:val="00331A57"/>
    <w:rsid w:val="00332B47"/>
    <w:rsid w:val="0033343A"/>
    <w:rsid w:val="00335075"/>
    <w:rsid w:val="00336348"/>
    <w:rsid w:val="003366F7"/>
    <w:rsid w:val="00336E43"/>
    <w:rsid w:val="00336F21"/>
    <w:rsid w:val="0033785D"/>
    <w:rsid w:val="0033797A"/>
    <w:rsid w:val="00340EDA"/>
    <w:rsid w:val="00340F30"/>
    <w:rsid w:val="003414A4"/>
    <w:rsid w:val="003416E4"/>
    <w:rsid w:val="00341C5C"/>
    <w:rsid w:val="00343B5A"/>
    <w:rsid w:val="0034475B"/>
    <w:rsid w:val="003448A4"/>
    <w:rsid w:val="00344C95"/>
    <w:rsid w:val="0034594F"/>
    <w:rsid w:val="00345CE0"/>
    <w:rsid w:val="00345F17"/>
    <w:rsid w:val="00347FB1"/>
    <w:rsid w:val="00351F2B"/>
    <w:rsid w:val="003521A0"/>
    <w:rsid w:val="00352E3E"/>
    <w:rsid w:val="003543AB"/>
    <w:rsid w:val="00354631"/>
    <w:rsid w:val="0035528B"/>
    <w:rsid w:val="00355812"/>
    <w:rsid w:val="00355D39"/>
    <w:rsid w:val="003560CC"/>
    <w:rsid w:val="00356690"/>
    <w:rsid w:val="00356782"/>
    <w:rsid w:val="00356A9D"/>
    <w:rsid w:val="00357021"/>
    <w:rsid w:val="00357C48"/>
    <w:rsid w:val="00357D3E"/>
    <w:rsid w:val="00360716"/>
    <w:rsid w:val="00360CA8"/>
    <w:rsid w:val="00360F89"/>
    <w:rsid w:val="00361D84"/>
    <w:rsid w:val="0036281C"/>
    <w:rsid w:val="00362A73"/>
    <w:rsid w:val="003635E3"/>
    <w:rsid w:val="0036382E"/>
    <w:rsid w:val="00363A1A"/>
    <w:rsid w:val="00363D4B"/>
    <w:rsid w:val="003654E0"/>
    <w:rsid w:val="003656B5"/>
    <w:rsid w:val="00365A98"/>
    <w:rsid w:val="003666C8"/>
    <w:rsid w:val="00366D30"/>
    <w:rsid w:val="00366FF6"/>
    <w:rsid w:val="003671F8"/>
    <w:rsid w:val="00367BC5"/>
    <w:rsid w:val="00367EA3"/>
    <w:rsid w:val="00370D9C"/>
    <w:rsid w:val="003712FA"/>
    <w:rsid w:val="003722AE"/>
    <w:rsid w:val="00372E16"/>
    <w:rsid w:val="00372F9C"/>
    <w:rsid w:val="003735FA"/>
    <w:rsid w:val="0037423B"/>
    <w:rsid w:val="0037588D"/>
    <w:rsid w:val="0037691B"/>
    <w:rsid w:val="003769B4"/>
    <w:rsid w:val="00376DCB"/>
    <w:rsid w:val="003773EB"/>
    <w:rsid w:val="003774E6"/>
    <w:rsid w:val="003778A1"/>
    <w:rsid w:val="00377BD4"/>
    <w:rsid w:val="00380353"/>
    <w:rsid w:val="00380791"/>
    <w:rsid w:val="00380793"/>
    <w:rsid w:val="00380998"/>
    <w:rsid w:val="00380F91"/>
    <w:rsid w:val="00381309"/>
    <w:rsid w:val="003819D2"/>
    <w:rsid w:val="00381CB1"/>
    <w:rsid w:val="003828A3"/>
    <w:rsid w:val="00382F45"/>
    <w:rsid w:val="00383401"/>
    <w:rsid w:val="00384128"/>
    <w:rsid w:val="0038477D"/>
    <w:rsid w:val="00384782"/>
    <w:rsid w:val="00385485"/>
    <w:rsid w:val="00385708"/>
    <w:rsid w:val="00385915"/>
    <w:rsid w:val="00385A84"/>
    <w:rsid w:val="00385E34"/>
    <w:rsid w:val="0038603D"/>
    <w:rsid w:val="003873D5"/>
    <w:rsid w:val="003873EC"/>
    <w:rsid w:val="0038758B"/>
    <w:rsid w:val="00390284"/>
    <w:rsid w:val="00390CC7"/>
    <w:rsid w:val="003911C6"/>
    <w:rsid w:val="00391A6D"/>
    <w:rsid w:val="00392724"/>
    <w:rsid w:val="0039293F"/>
    <w:rsid w:val="003938D9"/>
    <w:rsid w:val="00394153"/>
    <w:rsid w:val="003942BE"/>
    <w:rsid w:val="0039458A"/>
    <w:rsid w:val="003945C2"/>
    <w:rsid w:val="00394871"/>
    <w:rsid w:val="00394E2A"/>
    <w:rsid w:val="003954AB"/>
    <w:rsid w:val="00395865"/>
    <w:rsid w:val="00395D43"/>
    <w:rsid w:val="003960B3"/>
    <w:rsid w:val="003965F6"/>
    <w:rsid w:val="00396C5A"/>
    <w:rsid w:val="003975B2"/>
    <w:rsid w:val="00397A81"/>
    <w:rsid w:val="00397D43"/>
    <w:rsid w:val="003A01FE"/>
    <w:rsid w:val="003A13E1"/>
    <w:rsid w:val="003A15BF"/>
    <w:rsid w:val="003A1929"/>
    <w:rsid w:val="003A1A04"/>
    <w:rsid w:val="003A1D84"/>
    <w:rsid w:val="003A1EFA"/>
    <w:rsid w:val="003A2755"/>
    <w:rsid w:val="003A2843"/>
    <w:rsid w:val="003A35CF"/>
    <w:rsid w:val="003A3A2D"/>
    <w:rsid w:val="003A3D12"/>
    <w:rsid w:val="003A4065"/>
    <w:rsid w:val="003A4E99"/>
    <w:rsid w:val="003A50DF"/>
    <w:rsid w:val="003A6CA1"/>
    <w:rsid w:val="003A7B2F"/>
    <w:rsid w:val="003A7BAD"/>
    <w:rsid w:val="003B089B"/>
    <w:rsid w:val="003B107C"/>
    <w:rsid w:val="003B1290"/>
    <w:rsid w:val="003B233D"/>
    <w:rsid w:val="003B242D"/>
    <w:rsid w:val="003B2A46"/>
    <w:rsid w:val="003B2FFC"/>
    <w:rsid w:val="003B34E4"/>
    <w:rsid w:val="003B41FB"/>
    <w:rsid w:val="003B460A"/>
    <w:rsid w:val="003B479C"/>
    <w:rsid w:val="003B5B7E"/>
    <w:rsid w:val="003B6753"/>
    <w:rsid w:val="003B69A8"/>
    <w:rsid w:val="003B73AE"/>
    <w:rsid w:val="003B7D9E"/>
    <w:rsid w:val="003C0BD9"/>
    <w:rsid w:val="003C132C"/>
    <w:rsid w:val="003C1BB4"/>
    <w:rsid w:val="003C214B"/>
    <w:rsid w:val="003C24F9"/>
    <w:rsid w:val="003C28FD"/>
    <w:rsid w:val="003C29A2"/>
    <w:rsid w:val="003C2CDB"/>
    <w:rsid w:val="003C2D6A"/>
    <w:rsid w:val="003C3295"/>
    <w:rsid w:val="003C34BC"/>
    <w:rsid w:val="003C4601"/>
    <w:rsid w:val="003C496F"/>
    <w:rsid w:val="003C57A8"/>
    <w:rsid w:val="003C5C64"/>
    <w:rsid w:val="003C5C94"/>
    <w:rsid w:val="003C5F26"/>
    <w:rsid w:val="003C6013"/>
    <w:rsid w:val="003C63AD"/>
    <w:rsid w:val="003C7389"/>
    <w:rsid w:val="003C7A12"/>
    <w:rsid w:val="003C7F9F"/>
    <w:rsid w:val="003D0C65"/>
    <w:rsid w:val="003D2073"/>
    <w:rsid w:val="003D2B11"/>
    <w:rsid w:val="003D2DF8"/>
    <w:rsid w:val="003D2E2A"/>
    <w:rsid w:val="003D2F1F"/>
    <w:rsid w:val="003D3502"/>
    <w:rsid w:val="003D3FD6"/>
    <w:rsid w:val="003D4AFB"/>
    <w:rsid w:val="003D4C6B"/>
    <w:rsid w:val="003D55A3"/>
    <w:rsid w:val="003D5D6F"/>
    <w:rsid w:val="003D68B3"/>
    <w:rsid w:val="003D699B"/>
    <w:rsid w:val="003D6FDF"/>
    <w:rsid w:val="003D70BE"/>
    <w:rsid w:val="003D7F27"/>
    <w:rsid w:val="003E0B39"/>
    <w:rsid w:val="003E11B1"/>
    <w:rsid w:val="003E1360"/>
    <w:rsid w:val="003E17B5"/>
    <w:rsid w:val="003E21FD"/>
    <w:rsid w:val="003E2576"/>
    <w:rsid w:val="003E280F"/>
    <w:rsid w:val="003E2B84"/>
    <w:rsid w:val="003E2E36"/>
    <w:rsid w:val="003E3848"/>
    <w:rsid w:val="003E3888"/>
    <w:rsid w:val="003E3A82"/>
    <w:rsid w:val="003E3E23"/>
    <w:rsid w:val="003E3E83"/>
    <w:rsid w:val="003E4564"/>
    <w:rsid w:val="003E4A7B"/>
    <w:rsid w:val="003E4B0E"/>
    <w:rsid w:val="003E513B"/>
    <w:rsid w:val="003E5D02"/>
    <w:rsid w:val="003E60BB"/>
    <w:rsid w:val="003E7027"/>
    <w:rsid w:val="003E71C6"/>
    <w:rsid w:val="003E730B"/>
    <w:rsid w:val="003E7553"/>
    <w:rsid w:val="003E7AC2"/>
    <w:rsid w:val="003E7C3C"/>
    <w:rsid w:val="003F026E"/>
    <w:rsid w:val="003F1505"/>
    <w:rsid w:val="003F1611"/>
    <w:rsid w:val="003F1791"/>
    <w:rsid w:val="003F1808"/>
    <w:rsid w:val="003F1A64"/>
    <w:rsid w:val="003F1F71"/>
    <w:rsid w:val="003F2F34"/>
    <w:rsid w:val="003F33A7"/>
    <w:rsid w:val="003F40DF"/>
    <w:rsid w:val="003F4371"/>
    <w:rsid w:val="003F48AA"/>
    <w:rsid w:val="003F4BFC"/>
    <w:rsid w:val="003F5C00"/>
    <w:rsid w:val="003F6A7F"/>
    <w:rsid w:val="003F6B13"/>
    <w:rsid w:val="003F7609"/>
    <w:rsid w:val="003F7633"/>
    <w:rsid w:val="003F784D"/>
    <w:rsid w:val="003F7929"/>
    <w:rsid w:val="004004B1"/>
    <w:rsid w:val="00400DF9"/>
    <w:rsid w:val="00401BBD"/>
    <w:rsid w:val="00401C23"/>
    <w:rsid w:val="004021D9"/>
    <w:rsid w:val="004021E1"/>
    <w:rsid w:val="00402374"/>
    <w:rsid w:val="00402AC8"/>
    <w:rsid w:val="00402EAE"/>
    <w:rsid w:val="0040322A"/>
    <w:rsid w:val="004034A8"/>
    <w:rsid w:val="00403559"/>
    <w:rsid w:val="00403969"/>
    <w:rsid w:val="0040440C"/>
    <w:rsid w:val="00404C35"/>
    <w:rsid w:val="00404D63"/>
    <w:rsid w:val="00405285"/>
    <w:rsid w:val="00405409"/>
    <w:rsid w:val="00405DEA"/>
    <w:rsid w:val="004069F0"/>
    <w:rsid w:val="004104C7"/>
    <w:rsid w:val="00410A10"/>
    <w:rsid w:val="00410D6F"/>
    <w:rsid w:val="0041119D"/>
    <w:rsid w:val="004111C3"/>
    <w:rsid w:val="00411592"/>
    <w:rsid w:val="00411A37"/>
    <w:rsid w:val="004123B9"/>
    <w:rsid w:val="00412C31"/>
    <w:rsid w:val="00413113"/>
    <w:rsid w:val="0041337E"/>
    <w:rsid w:val="004135AB"/>
    <w:rsid w:val="00413F29"/>
    <w:rsid w:val="0041495A"/>
    <w:rsid w:val="00414E76"/>
    <w:rsid w:val="0041521B"/>
    <w:rsid w:val="004159B2"/>
    <w:rsid w:val="00416238"/>
    <w:rsid w:val="00416F8C"/>
    <w:rsid w:val="0041739B"/>
    <w:rsid w:val="0041759A"/>
    <w:rsid w:val="00417B17"/>
    <w:rsid w:val="00417C89"/>
    <w:rsid w:val="00420119"/>
    <w:rsid w:val="004204EF"/>
    <w:rsid w:val="00420644"/>
    <w:rsid w:val="00421277"/>
    <w:rsid w:val="00421311"/>
    <w:rsid w:val="00421405"/>
    <w:rsid w:val="00421985"/>
    <w:rsid w:val="0042387E"/>
    <w:rsid w:val="004245D9"/>
    <w:rsid w:val="00425025"/>
    <w:rsid w:val="0042510F"/>
    <w:rsid w:val="00426C01"/>
    <w:rsid w:val="00427EDA"/>
    <w:rsid w:val="00430A67"/>
    <w:rsid w:val="004312C4"/>
    <w:rsid w:val="004315B4"/>
    <w:rsid w:val="0043169D"/>
    <w:rsid w:val="00431823"/>
    <w:rsid w:val="004319D9"/>
    <w:rsid w:val="00431A2C"/>
    <w:rsid w:val="00431BD3"/>
    <w:rsid w:val="004325D1"/>
    <w:rsid w:val="0043276D"/>
    <w:rsid w:val="004329D1"/>
    <w:rsid w:val="00432D98"/>
    <w:rsid w:val="00433051"/>
    <w:rsid w:val="00434258"/>
    <w:rsid w:val="00434DE2"/>
    <w:rsid w:val="004363B8"/>
    <w:rsid w:val="004367D9"/>
    <w:rsid w:val="00436BA5"/>
    <w:rsid w:val="00436C3E"/>
    <w:rsid w:val="00436D72"/>
    <w:rsid w:val="0043770E"/>
    <w:rsid w:val="0043782E"/>
    <w:rsid w:val="00437C26"/>
    <w:rsid w:val="004400CE"/>
    <w:rsid w:val="00440203"/>
    <w:rsid w:val="004407BD"/>
    <w:rsid w:val="0044100F"/>
    <w:rsid w:val="00441D9E"/>
    <w:rsid w:val="0044217B"/>
    <w:rsid w:val="00442C54"/>
    <w:rsid w:val="00443682"/>
    <w:rsid w:val="00443861"/>
    <w:rsid w:val="00443CD9"/>
    <w:rsid w:val="00443F69"/>
    <w:rsid w:val="00444DAE"/>
    <w:rsid w:val="004458E4"/>
    <w:rsid w:val="00445A11"/>
    <w:rsid w:val="00445C9B"/>
    <w:rsid w:val="00445D11"/>
    <w:rsid w:val="004460DB"/>
    <w:rsid w:val="00446120"/>
    <w:rsid w:val="0044629E"/>
    <w:rsid w:val="00446954"/>
    <w:rsid w:val="004470D8"/>
    <w:rsid w:val="0044742D"/>
    <w:rsid w:val="00447965"/>
    <w:rsid w:val="004502B5"/>
    <w:rsid w:val="0045125C"/>
    <w:rsid w:val="00451F5C"/>
    <w:rsid w:val="0045245B"/>
    <w:rsid w:val="00452C02"/>
    <w:rsid w:val="00453DE0"/>
    <w:rsid w:val="004540BD"/>
    <w:rsid w:val="0045428B"/>
    <w:rsid w:val="00454396"/>
    <w:rsid w:val="004546CF"/>
    <w:rsid w:val="00454B80"/>
    <w:rsid w:val="00454C7B"/>
    <w:rsid w:val="00455ED2"/>
    <w:rsid w:val="00456613"/>
    <w:rsid w:val="00456A21"/>
    <w:rsid w:val="00456D99"/>
    <w:rsid w:val="00460CA7"/>
    <w:rsid w:val="00460F32"/>
    <w:rsid w:val="00461869"/>
    <w:rsid w:val="00462492"/>
    <w:rsid w:val="00462D62"/>
    <w:rsid w:val="00463486"/>
    <w:rsid w:val="0046352A"/>
    <w:rsid w:val="004637C7"/>
    <w:rsid w:val="0046451C"/>
    <w:rsid w:val="00465207"/>
    <w:rsid w:val="00465D30"/>
    <w:rsid w:val="004663EA"/>
    <w:rsid w:val="00466710"/>
    <w:rsid w:val="00466885"/>
    <w:rsid w:val="0046749D"/>
    <w:rsid w:val="00467842"/>
    <w:rsid w:val="00471552"/>
    <w:rsid w:val="0047174A"/>
    <w:rsid w:val="00472041"/>
    <w:rsid w:val="004739A0"/>
    <w:rsid w:val="00473A5D"/>
    <w:rsid w:val="0047415E"/>
    <w:rsid w:val="004745C0"/>
    <w:rsid w:val="0047686E"/>
    <w:rsid w:val="00476A9A"/>
    <w:rsid w:val="004779C4"/>
    <w:rsid w:val="00477DE5"/>
    <w:rsid w:val="004809F0"/>
    <w:rsid w:val="00480BB6"/>
    <w:rsid w:val="00480E94"/>
    <w:rsid w:val="00481D17"/>
    <w:rsid w:val="00481DF4"/>
    <w:rsid w:val="00481FFC"/>
    <w:rsid w:val="0048255E"/>
    <w:rsid w:val="00482676"/>
    <w:rsid w:val="00482959"/>
    <w:rsid w:val="00482EDC"/>
    <w:rsid w:val="00483033"/>
    <w:rsid w:val="00483138"/>
    <w:rsid w:val="004838C0"/>
    <w:rsid w:val="004840C7"/>
    <w:rsid w:val="00484160"/>
    <w:rsid w:val="00484DA5"/>
    <w:rsid w:val="00484DD8"/>
    <w:rsid w:val="00484FB6"/>
    <w:rsid w:val="00485A4A"/>
    <w:rsid w:val="00486432"/>
    <w:rsid w:val="00486526"/>
    <w:rsid w:val="00486A37"/>
    <w:rsid w:val="00486DCA"/>
    <w:rsid w:val="00486E0A"/>
    <w:rsid w:val="0048768E"/>
    <w:rsid w:val="00487B7E"/>
    <w:rsid w:val="00487F5B"/>
    <w:rsid w:val="00490034"/>
    <w:rsid w:val="00490AF5"/>
    <w:rsid w:val="00490F96"/>
    <w:rsid w:val="00491AD8"/>
    <w:rsid w:val="00491AE5"/>
    <w:rsid w:val="00492F19"/>
    <w:rsid w:val="00493260"/>
    <w:rsid w:val="00493CE6"/>
    <w:rsid w:val="004941AE"/>
    <w:rsid w:val="00495E9F"/>
    <w:rsid w:val="00496ACA"/>
    <w:rsid w:val="00497B81"/>
    <w:rsid w:val="00497E8F"/>
    <w:rsid w:val="00497FD9"/>
    <w:rsid w:val="004A040C"/>
    <w:rsid w:val="004A0E4E"/>
    <w:rsid w:val="004A10BE"/>
    <w:rsid w:val="004A1156"/>
    <w:rsid w:val="004A18C7"/>
    <w:rsid w:val="004A2A5D"/>
    <w:rsid w:val="004A2FA2"/>
    <w:rsid w:val="004A315B"/>
    <w:rsid w:val="004A49CE"/>
    <w:rsid w:val="004A4A54"/>
    <w:rsid w:val="004A4B23"/>
    <w:rsid w:val="004A4BEA"/>
    <w:rsid w:val="004A537E"/>
    <w:rsid w:val="004A538E"/>
    <w:rsid w:val="004A54A6"/>
    <w:rsid w:val="004A5679"/>
    <w:rsid w:val="004A59CE"/>
    <w:rsid w:val="004A7AD9"/>
    <w:rsid w:val="004B032E"/>
    <w:rsid w:val="004B04C0"/>
    <w:rsid w:val="004B094B"/>
    <w:rsid w:val="004B0BCB"/>
    <w:rsid w:val="004B132F"/>
    <w:rsid w:val="004B18DD"/>
    <w:rsid w:val="004B26E6"/>
    <w:rsid w:val="004B2F5F"/>
    <w:rsid w:val="004B40CD"/>
    <w:rsid w:val="004B4401"/>
    <w:rsid w:val="004B4BCE"/>
    <w:rsid w:val="004B4E5E"/>
    <w:rsid w:val="004B507F"/>
    <w:rsid w:val="004B675D"/>
    <w:rsid w:val="004C07C4"/>
    <w:rsid w:val="004C23A0"/>
    <w:rsid w:val="004C245B"/>
    <w:rsid w:val="004C250D"/>
    <w:rsid w:val="004C29AB"/>
    <w:rsid w:val="004C2C12"/>
    <w:rsid w:val="004C32CB"/>
    <w:rsid w:val="004C3998"/>
    <w:rsid w:val="004C3F28"/>
    <w:rsid w:val="004C3FFA"/>
    <w:rsid w:val="004C5B12"/>
    <w:rsid w:val="004C6454"/>
    <w:rsid w:val="004C7515"/>
    <w:rsid w:val="004C7C4F"/>
    <w:rsid w:val="004D0064"/>
    <w:rsid w:val="004D08D3"/>
    <w:rsid w:val="004D110C"/>
    <w:rsid w:val="004D174F"/>
    <w:rsid w:val="004D19B9"/>
    <w:rsid w:val="004D2136"/>
    <w:rsid w:val="004D2CF1"/>
    <w:rsid w:val="004D2D8C"/>
    <w:rsid w:val="004D36D8"/>
    <w:rsid w:val="004D482D"/>
    <w:rsid w:val="004D4E43"/>
    <w:rsid w:val="004D6308"/>
    <w:rsid w:val="004D6687"/>
    <w:rsid w:val="004D6EA2"/>
    <w:rsid w:val="004E0E15"/>
    <w:rsid w:val="004E1BD0"/>
    <w:rsid w:val="004E1E5F"/>
    <w:rsid w:val="004E2CFB"/>
    <w:rsid w:val="004E2D68"/>
    <w:rsid w:val="004E4073"/>
    <w:rsid w:val="004E4C2A"/>
    <w:rsid w:val="004E5217"/>
    <w:rsid w:val="004E5511"/>
    <w:rsid w:val="004E5AD7"/>
    <w:rsid w:val="004E6F89"/>
    <w:rsid w:val="004E7377"/>
    <w:rsid w:val="004F019C"/>
    <w:rsid w:val="004F01AB"/>
    <w:rsid w:val="004F0459"/>
    <w:rsid w:val="004F107E"/>
    <w:rsid w:val="004F10B2"/>
    <w:rsid w:val="004F13DF"/>
    <w:rsid w:val="004F20BC"/>
    <w:rsid w:val="004F2528"/>
    <w:rsid w:val="004F2F87"/>
    <w:rsid w:val="004F31C9"/>
    <w:rsid w:val="004F35C2"/>
    <w:rsid w:val="004F368A"/>
    <w:rsid w:val="004F3733"/>
    <w:rsid w:val="004F429F"/>
    <w:rsid w:val="004F43AD"/>
    <w:rsid w:val="004F46E6"/>
    <w:rsid w:val="004F493A"/>
    <w:rsid w:val="004F4BCE"/>
    <w:rsid w:val="004F513A"/>
    <w:rsid w:val="004F5182"/>
    <w:rsid w:val="004F569A"/>
    <w:rsid w:val="004F6671"/>
    <w:rsid w:val="004F6EA0"/>
    <w:rsid w:val="004F6F1A"/>
    <w:rsid w:val="004F77A6"/>
    <w:rsid w:val="00500179"/>
    <w:rsid w:val="00500AA0"/>
    <w:rsid w:val="00501AB8"/>
    <w:rsid w:val="00501D78"/>
    <w:rsid w:val="00502076"/>
    <w:rsid w:val="0050211F"/>
    <w:rsid w:val="00502B92"/>
    <w:rsid w:val="00502C78"/>
    <w:rsid w:val="00504E19"/>
    <w:rsid w:val="00505255"/>
    <w:rsid w:val="00505F43"/>
    <w:rsid w:val="00506372"/>
    <w:rsid w:val="00506869"/>
    <w:rsid w:val="0050695A"/>
    <w:rsid w:val="005070A4"/>
    <w:rsid w:val="005072D2"/>
    <w:rsid w:val="0050777E"/>
    <w:rsid w:val="00507F6C"/>
    <w:rsid w:val="00510040"/>
    <w:rsid w:val="00510279"/>
    <w:rsid w:val="005109DB"/>
    <w:rsid w:val="00510D99"/>
    <w:rsid w:val="00511392"/>
    <w:rsid w:val="00511A85"/>
    <w:rsid w:val="005123B4"/>
    <w:rsid w:val="00512E5E"/>
    <w:rsid w:val="00513114"/>
    <w:rsid w:val="00513716"/>
    <w:rsid w:val="005139BB"/>
    <w:rsid w:val="005139C5"/>
    <w:rsid w:val="0051532C"/>
    <w:rsid w:val="0051546F"/>
    <w:rsid w:val="00515D18"/>
    <w:rsid w:val="00516172"/>
    <w:rsid w:val="00516295"/>
    <w:rsid w:val="00516545"/>
    <w:rsid w:val="00516D3D"/>
    <w:rsid w:val="00516D77"/>
    <w:rsid w:val="00516F72"/>
    <w:rsid w:val="00520873"/>
    <w:rsid w:val="00520F7D"/>
    <w:rsid w:val="00521BB8"/>
    <w:rsid w:val="00522693"/>
    <w:rsid w:val="005227A3"/>
    <w:rsid w:val="00522B35"/>
    <w:rsid w:val="0052308A"/>
    <w:rsid w:val="005231DE"/>
    <w:rsid w:val="005246E4"/>
    <w:rsid w:val="005247D1"/>
    <w:rsid w:val="0052487D"/>
    <w:rsid w:val="005248F3"/>
    <w:rsid w:val="0052522F"/>
    <w:rsid w:val="00525E97"/>
    <w:rsid w:val="00526664"/>
    <w:rsid w:val="00526765"/>
    <w:rsid w:val="00526BA0"/>
    <w:rsid w:val="005275A0"/>
    <w:rsid w:val="00530946"/>
    <w:rsid w:val="00530F2C"/>
    <w:rsid w:val="005310F6"/>
    <w:rsid w:val="005313FF"/>
    <w:rsid w:val="005315CD"/>
    <w:rsid w:val="005316D8"/>
    <w:rsid w:val="0053187D"/>
    <w:rsid w:val="005318E6"/>
    <w:rsid w:val="00531C06"/>
    <w:rsid w:val="00531E0F"/>
    <w:rsid w:val="005320E0"/>
    <w:rsid w:val="00533819"/>
    <w:rsid w:val="005341F3"/>
    <w:rsid w:val="00534E35"/>
    <w:rsid w:val="00534E77"/>
    <w:rsid w:val="00535356"/>
    <w:rsid w:val="00535AC4"/>
    <w:rsid w:val="00536231"/>
    <w:rsid w:val="0053625C"/>
    <w:rsid w:val="0053627E"/>
    <w:rsid w:val="00536E42"/>
    <w:rsid w:val="0053756E"/>
    <w:rsid w:val="00537E10"/>
    <w:rsid w:val="0054028D"/>
    <w:rsid w:val="00540712"/>
    <w:rsid w:val="00540DBF"/>
    <w:rsid w:val="005418A5"/>
    <w:rsid w:val="00542981"/>
    <w:rsid w:val="005437AD"/>
    <w:rsid w:val="00543E8D"/>
    <w:rsid w:val="00544249"/>
    <w:rsid w:val="0054425C"/>
    <w:rsid w:val="005445A0"/>
    <w:rsid w:val="00544643"/>
    <w:rsid w:val="005455D7"/>
    <w:rsid w:val="00546217"/>
    <w:rsid w:val="005477FB"/>
    <w:rsid w:val="00547D98"/>
    <w:rsid w:val="00550915"/>
    <w:rsid w:val="00550F21"/>
    <w:rsid w:val="0055120F"/>
    <w:rsid w:val="0055237F"/>
    <w:rsid w:val="005525EC"/>
    <w:rsid w:val="00552705"/>
    <w:rsid w:val="0055294F"/>
    <w:rsid w:val="00552C8E"/>
    <w:rsid w:val="005550E2"/>
    <w:rsid w:val="00555230"/>
    <w:rsid w:val="00555BBB"/>
    <w:rsid w:val="00556101"/>
    <w:rsid w:val="00556452"/>
    <w:rsid w:val="00556A1F"/>
    <w:rsid w:val="00557AEB"/>
    <w:rsid w:val="00557B5E"/>
    <w:rsid w:val="005605A2"/>
    <w:rsid w:val="00561007"/>
    <w:rsid w:val="005612AD"/>
    <w:rsid w:val="00561405"/>
    <w:rsid w:val="00561618"/>
    <w:rsid w:val="00561781"/>
    <w:rsid w:val="00561C57"/>
    <w:rsid w:val="005624B8"/>
    <w:rsid w:val="00562726"/>
    <w:rsid w:val="005631FD"/>
    <w:rsid w:val="005636B7"/>
    <w:rsid w:val="005639BF"/>
    <w:rsid w:val="00564343"/>
    <w:rsid w:val="0056437C"/>
    <w:rsid w:val="00564E61"/>
    <w:rsid w:val="00565495"/>
    <w:rsid w:val="005654F4"/>
    <w:rsid w:val="00565E9A"/>
    <w:rsid w:val="0056664A"/>
    <w:rsid w:val="005667FC"/>
    <w:rsid w:val="0056697F"/>
    <w:rsid w:val="00566A57"/>
    <w:rsid w:val="00567109"/>
    <w:rsid w:val="00567118"/>
    <w:rsid w:val="005677D3"/>
    <w:rsid w:val="00570912"/>
    <w:rsid w:val="0057119E"/>
    <w:rsid w:val="00571B00"/>
    <w:rsid w:val="00571C29"/>
    <w:rsid w:val="0057250F"/>
    <w:rsid w:val="00572D14"/>
    <w:rsid w:val="00574C20"/>
    <w:rsid w:val="00574E89"/>
    <w:rsid w:val="005765F1"/>
    <w:rsid w:val="005778AA"/>
    <w:rsid w:val="00577E8C"/>
    <w:rsid w:val="00580750"/>
    <w:rsid w:val="0058079E"/>
    <w:rsid w:val="00580E55"/>
    <w:rsid w:val="005814D6"/>
    <w:rsid w:val="0058182D"/>
    <w:rsid w:val="00581E3E"/>
    <w:rsid w:val="00582DE1"/>
    <w:rsid w:val="00583728"/>
    <w:rsid w:val="005839B8"/>
    <w:rsid w:val="00583A22"/>
    <w:rsid w:val="00583CD2"/>
    <w:rsid w:val="00583D84"/>
    <w:rsid w:val="005850AF"/>
    <w:rsid w:val="00585241"/>
    <w:rsid w:val="005857B4"/>
    <w:rsid w:val="00585C83"/>
    <w:rsid w:val="0058615D"/>
    <w:rsid w:val="0058652C"/>
    <w:rsid w:val="0058665D"/>
    <w:rsid w:val="00586AF3"/>
    <w:rsid w:val="00587B47"/>
    <w:rsid w:val="00587BE9"/>
    <w:rsid w:val="00587D16"/>
    <w:rsid w:val="00590304"/>
    <w:rsid w:val="00590981"/>
    <w:rsid w:val="00591193"/>
    <w:rsid w:val="00591363"/>
    <w:rsid w:val="005919E1"/>
    <w:rsid w:val="00593078"/>
    <w:rsid w:val="0059354D"/>
    <w:rsid w:val="005935DB"/>
    <w:rsid w:val="005939B0"/>
    <w:rsid w:val="00593A9A"/>
    <w:rsid w:val="00593D39"/>
    <w:rsid w:val="00594190"/>
    <w:rsid w:val="0059435C"/>
    <w:rsid w:val="005945AB"/>
    <w:rsid w:val="005945CF"/>
    <w:rsid w:val="00596031"/>
    <w:rsid w:val="0059654C"/>
    <w:rsid w:val="005972D2"/>
    <w:rsid w:val="005976EE"/>
    <w:rsid w:val="00597CC8"/>
    <w:rsid w:val="005A0D37"/>
    <w:rsid w:val="005A1D5B"/>
    <w:rsid w:val="005A1F6A"/>
    <w:rsid w:val="005A2172"/>
    <w:rsid w:val="005A3BB6"/>
    <w:rsid w:val="005A3EF6"/>
    <w:rsid w:val="005A3F9B"/>
    <w:rsid w:val="005A4E03"/>
    <w:rsid w:val="005A5206"/>
    <w:rsid w:val="005A53E7"/>
    <w:rsid w:val="005A5690"/>
    <w:rsid w:val="005A5AD9"/>
    <w:rsid w:val="005A6109"/>
    <w:rsid w:val="005A63F0"/>
    <w:rsid w:val="005A66A7"/>
    <w:rsid w:val="005A6762"/>
    <w:rsid w:val="005A685A"/>
    <w:rsid w:val="005A77FC"/>
    <w:rsid w:val="005B0460"/>
    <w:rsid w:val="005B1230"/>
    <w:rsid w:val="005B1389"/>
    <w:rsid w:val="005B3465"/>
    <w:rsid w:val="005B36C0"/>
    <w:rsid w:val="005B3DBF"/>
    <w:rsid w:val="005B46A6"/>
    <w:rsid w:val="005B4776"/>
    <w:rsid w:val="005B4E31"/>
    <w:rsid w:val="005B6204"/>
    <w:rsid w:val="005B6A76"/>
    <w:rsid w:val="005B7870"/>
    <w:rsid w:val="005B7B46"/>
    <w:rsid w:val="005B7B69"/>
    <w:rsid w:val="005B7D9C"/>
    <w:rsid w:val="005B7EAE"/>
    <w:rsid w:val="005C00A1"/>
    <w:rsid w:val="005C070B"/>
    <w:rsid w:val="005C0F09"/>
    <w:rsid w:val="005C1636"/>
    <w:rsid w:val="005C1854"/>
    <w:rsid w:val="005C1984"/>
    <w:rsid w:val="005C3562"/>
    <w:rsid w:val="005C3DC7"/>
    <w:rsid w:val="005C3F05"/>
    <w:rsid w:val="005C4BE8"/>
    <w:rsid w:val="005C548A"/>
    <w:rsid w:val="005C5FEC"/>
    <w:rsid w:val="005C601C"/>
    <w:rsid w:val="005C6B81"/>
    <w:rsid w:val="005C7323"/>
    <w:rsid w:val="005C7491"/>
    <w:rsid w:val="005C76A2"/>
    <w:rsid w:val="005C79DB"/>
    <w:rsid w:val="005D0221"/>
    <w:rsid w:val="005D0446"/>
    <w:rsid w:val="005D0479"/>
    <w:rsid w:val="005D1436"/>
    <w:rsid w:val="005D1BF7"/>
    <w:rsid w:val="005D1D0F"/>
    <w:rsid w:val="005D260F"/>
    <w:rsid w:val="005D2CD6"/>
    <w:rsid w:val="005D38CB"/>
    <w:rsid w:val="005D3B9C"/>
    <w:rsid w:val="005D3DD1"/>
    <w:rsid w:val="005D46E2"/>
    <w:rsid w:val="005D4B8D"/>
    <w:rsid w:val="005D56EC"/>
    <w:rsid w:val="005D5BC1"/>
    <w:rsid w:val="005D61D0"/>
    <w:rsid w:val="005D6F92"/>
    <w:rsid w:val="005D7691"/>
    <w:rsid w:val="005D77C8"/>
    <w:rsid w:val="005D780D"/>
    <w:rsid w:val="005E15A3"/>
    <w:rsid w:val="005E22F0"/>
    <w:rsid w:val="005E2735"/>
    <w:rsid w:val="005E3147"/>
    <w:rsid w:val="005E3C42"/>
    <w:rsid w:val="005E4559"/>
    <w:rsid w:val="005E48FE"/>
    <w:rsid w:val="005E4975"/>
    <w:rsid w:val="005E4F81"/>
    <w:rsid w:val="005E6116"/>
    <w:rsid w:val="005E68F5"/>
    <w:rsid w:val="005E7B56"/>
    <w:rsid w:val="005E7D79"/>
    <w:rsid w:val="005F009A"/>
    <w:rsid w:val="005F01E2"/>
    <w:rsid w:val="005F01FB"/>
    <w:rsid w:val="005F0D69"/>
    <w:rsid w:val="005F0D71"/>
    <w:rsid w:val="005F1D85"/>
    <w:rsid w:val="005F2CCF"/>
    <w:rsid w:val="005F3FF7"/>
    <w:rsid w:val="005F4257"/>
    <w:rsid w:val="005F454F"/>
    <w:rsid w:val="005F5CDD"/>
    <w:rsid w:val="005F5CF5"/>
    <w:rsid w:val="005F628D"/>
    <w:rsid w:val="005F62C3"/>
    <w:rsid w:val="005F6B0A"/>
    <w:rsid w:val="005F7783"/>
    <w:rsid w:val="006004AC"/>
    <w:rsid w:val="0060088F"/>
    <w:rsid w:val="00600921"/>
    <w:rsid w:val="00600BC3"/>
    <w:rsid w:val="00600DA5"/>
    <w:rsid w:val="00600EB9"/>
    <w:rsid w:val="006010F3"/>
    <w:rsid w:val="006016AD"/>
    <w:rsid w:val="006018A6"/>
    <w:rsid w:val="00601B2C"/>
    <w:rsid w:val="00602325"/>
    <w:rsid w:val="0060238F"/>
    <w:rsid w:val="00602F97"/>
    <w:rsid w:val="00604233"/>
    <w:rsid w:val="0060451C"/>
    <w:rsid w:val="00604F24"/>
    <w:rsid w:val="00607319"/>
    <w:rsid w:val="006105DE"/>
    <w:rsid w:val="00610ED4"/>
    <w:rsid w:val="00611690"/>
    <w:rsid w:val="00611E40"/>
    <w:rsid w:val="00611EB0"/>
    <w:rsid w:val="006121C1"/>
    <w:rsid w:val="0061230E"/>
    <w:rsid w:val="00612314"/>
    <w:rsid w:val="0061270A"/>
    <w:rsid w:val="0061282D"/>
    <w:rsid w:val="00612EBC"/>
    <w:rsid w:val="006134F1"/>
    <w:rsid w:val="00615573"/>
    <w:rsid w:val="0061648B"/>
    <w:rsid w:val="0061662D"/>
    <w:rsid w:val="006172E1"/>
    <w:rsid w:val="0061753C"/>
    <w:rsid w:val="00617C12"/>
    <w:rsid w:val="006214CC"/>
    <w:rsid w:val="0062168A"/>
    <w:rsid w:val="006219A2"/>
    <w:rsid w:val="00622528"/>
    <w:rsid w:val="006225DC"/>
    <w:rsid w:val="00622756"/>
    <w:rsid w:val="00623407"/>
    <w:rsid w:val="0062341A"/>
    <w:rsid w:val="006234A9"/>
    <w:rsid w:val="00623697"/>
    <w:rsid w:val="00624522"/>
    <w:rsid w:val="0062494A"/>
    <w:rsid w:val="00625826"/>
    <w:rsid w:val="0062670B"/>
    <w:rsid w:val="0062693C"/>
    <w:rsid w:val="00627166"/>
    <w:rsid w:val="00627AF0"/>
    <w:rsid w:val="00630080"/>
    <w:rsid w:val="00630D2E"/>
    <w:rsid w:val="00631A97"/>
    <w:rsid w:val="00632343"/>
    <w:rsid w:val="006326A3"/>
    <w:rsid w:val="006335D2"/>
    <w:rsid w:val="00633CF9"/>
    <w:rsid w:val="00633D3F"/>
    <w:rsid w:val="0063468C"/>
    <w:rsid w:val="00634F6B"/>
    <w:rsid w:val="006351A4"/>
    <w:rsid w:val="00635E1A"/>
    <w:rsid w:val="00635FD6"/>
    <w:rsid w:val="0063605E"/>
    <w:rsid w:val="006360DB"/>
    <w:rsid w:val="006366E0"/>
    <w:rsid w:val="00637A5C"/>
    <w:rsid w:val="00640A00"/>
    <w:rsid w:val="00642061"/>
    <w:rsid w:val="0064261D"/>
    <w:rsid w:val="006428D6"/>
    <w:rsid w:val="00642D06"/>
    <w:rsid w:val="0064361B"/>
    <w:rsid w:val="00643859"/>
    <w:rsid w:val="00643D5F"/>
    <w:rsid w:val="00645053"/>
    <w:rsid w:val="00645113"/>
    <w:rsid w:val="00645229"/>
    <w:rsid w:val="006454C2"/>
    <w:rsid w:val="006459FF"/>
    <w:rsid w:val="00645ADE"/>
    <w:rsid w:val="00646F8D"/>
    <w:rsid w:val="006479A8"/>
    <w:rsid w:val="00647F59"/>
    <w:rsid w:val="00650382"/>
    <w:rsid w:val="006507BE"/>
    <w:rsid w:val="00650A89"/>
    <w:rsid w:val="00650AF0"/>
    <w:rsid w:val="00650BC8"/>
    <w:rsid w:val="00651815"/>
    <w:rsid w:val="00652378"/>
    <w:rsid w:val="006524C1"/>
    <w:rsid w:val="00652801"/>
    <w:rsid w:val="00652A82"/>
    <w:rsid w:val="00652B36"/>
    <w:rsid w:val="006537BE"/>
    <w:rsid w:val="0065387D"/>
    <w:rsid w:val="006544F2"/>
    <w:rsid w:val="00655481"/>
    <w:rsid w:val="00655FC0"/>
    <w:rsid w:val="006562BB"/>
    <w:rsid w:val="006563F4"/>
    <w:rsid w:val="006570EC"/>
    <w:rsid w:val="00657C5C"/>
    <w:rsid w:val="00660260"/>
    <w:rsid w:val="006620B2"/>
    <w:rsid w:val="006622AD"/>
    <w:rsid w:val="0066277E"/>
    <w:rsid w:val="00662A77"/>
    <w:rsid w:val="00662B6E"/>
    <w:rsid w:val="006636BC"/>
    <w:rsid w:val="006644B1"/>
    <w:rsid w:val="0066495C"/>
    <w:rsid w:val="0066499D"/>
    <w:rsid w:val="00667037"/>
    <w:rsid w:val="00667BF6"/>
    <w:rsid w:val="00667C34"/>
    <w:rsid w:val="0067001D"/>
    <w:rsid w:val="00670B03"/>
    <w:rsid w:val="006713C5"/>
    <w:rsid w:val="006732E4"/>
    <w:rsid w:val="00673303"/>
    <w:rsid w:val="00673831"/>
    <w:rsid w:val="00673F37"/>
    <w:rsid w:val="0067452A"/>
    <w:rsid w:val="0067464B"/>
    <w:rsid w:val="0067481E"/>
    <w:rsid w:val="006749BB"/>
    <w:rsid w:val="00675955"/>
    <w:rsid w:val="00675A11"/>
    <w:rsid w:val="0067618E"/>
    <w:rsid w:val="00676556"/>
    <w:rsid w:val="00676D0F"/>
    <w:rsid w:val="0067729F"/>
    <w:rsid w:val="006772C0"/>
    <w:rsid w:val="00677536"/>
    <w:rsid w:val="0067791B"/>
    <w:rsid w:val="00680CC1"/>
    <w:rsid w:val="00682101"/>
    <w:rsid w:val="00684C0E"/>
    <w:rsid w:val="0068527B"/>
    <w:rsid w:val="006854ED"/>
    <w:rsid w:val="00685DA7"/>
    <w:rsid w:val="00686894"/>
    <w:rsid w:val="00687C18"/>
    <w:rsid w:val="0069072C"/>
    <w:rsid w:val="006909A1"/>
    <w:rsid w:val="00691839"/>
    <w:rsid w:val="00691E9A"/>
    <w:rsid w:val="00692CD9"/>
    <w:rsid w:val="006935EA"/>
    <w:rsid w:val="006938D1"/>
    <w:rsid w:val="00693C2A"/>
    <w:rsid w:val="00694CD3"/>
    <w:rsid w:val="006958E4"/>
    <w:rsid w:val="0069612A"/>
    <w:rsid w:val="006962D9"/>
    <w:rsid w:val="00696B09"/>
    <w:rsid w:val="00697900"/>
    <w:rsid w:val="00697935"/>
    <w:rsid w:val="00697A2F"/>
    <w:rsid w:val="00697C7F"/>
    <w:rsid w:val="006A025B"/>
    <w:rsid w:val="006A0330"/>
    <w:rsid w:val="006A0583"/>
    <w:rsid w:val="006A07D7"/>
    <w:rsid w:val="006A0D6E"/>
    <w:rsid w:val="006A0E61"/>
    <w:rsid w:val="006A150A"/>
    <w:rsid w:val="006A1C92"/>
    <w:rsid w:val="006A1D49"/>
    <w:rsid w:val="006A1FC6"/>
    <w:rsid w:val="006A1FE3"/>
    <w:rsid w:val="006A265B"/>
    <w:rsid w:val="006A2811"/>
    <w:rsid w:val="006A2D4D"/>
    <w:rsid w:val="006A2D71"/>
    <w:rsid w:val="006A2F2B"/>
    <w:rsid w:val="006A3C80"/>
    <w:rsid w:val="006A3D74"/>
    <w:rsid w:val="006A3FE3"/>
    <w:rsid w:val="006A4024"/>
    <w:rsid w:val="006A4AE9"/>
    <w:rsid w:val="006A4D4C"/>
    <w:rsid w:val="006A4E41"/>
    <w:rsid w:val="006A5333"/>
    <w:rsid w:val="006A588A"/>
    <w:rsid w:val="006A5DF5"/>
    <w:rsid w:val="006A635B"/>
    <w:rsid w:val="006A6704"/>
    <w:rsid w:val="006A6AD6"/>
    <w:rsid w:val="006A6E8B"/>
    <w:rsid w:val="006A724E"/>
    <w:rsid w:val="006A73DB"/>
    <w:rsid w:val="006A77A8"/>
    <w:rsid w:val="006A77E3"/>
    <w:rsid w:val="006A791C"/>
    <w:rsid w:val="006A79D2"/>
    <w:rsid w:val="006A7CF2"/>
    <w:rsid w:val="006B0CBE"/>
    <w:rsid w:val="006B1318"/>
    <w:rsid w:val="006B250B"/>
    <w:rsid w:val="006B323B"/>
    <w:rsid w:val="006B3336"/>
    <w:rsid w:val="006B342B"/>
    <w:rsid w:val="006B6301"/>
    <w:rsid w:val="006B6458"/>
    <w:rsid w:val="006B69E1"/>
    <w:rsid w:val="006B6D7F"/>
    <w:rsid w:val="006C0110"/>
    <w:rsid w:val="006C02DE"/>
    <w:rsid w:val="006C08A0"/>
    <w:rsid w:val="006C1652"/>
    <w:rsid w:val="006C16B7"/>
    <w:rsid w:val="006C1ED8"/>
    <w:rsid w:val="006C2071"/>
    <w:rsid w:val="006C285B"/>
    <w:rsid w:val="006C3173"/>
    <w:rsid w:val="006C34B4"/>
    <w:rsid w:val="006C35D0"/>
    <w:rsid w:val="006C3B76"/>
    <w:rsid w:val="006C410C"/>
    <w:rsid w:val="006C4551"/>
    <w:rsid w:val="006C5197"/>
    <w:rsid w:val="006C63B4"/>
    <w:rsid w:val="006C679F"/>
    <w:rsid w:val="006C681F"/>
    <w:rsid w:val="006C7873"/>
    <w:rsid w:val="006D07F3"/>
    <w:rsid w:val="006D1404"/>
    <w:rsid w:val="006D191A"/>
    <w:rsid w:val="006D1A20"/>
    <w:rsid w:val="006D1C58"/>
    <w:rsid w:val="006D2028"/>
    <w:rsid w:val="006D21DB"/>
    <w:rsid w:val="006D3568"/>
    <w:rsid w:val="006D38A4"/>
    <w:rsid w:val="006D3934"/>
    <w:rsid w:val="006D44FE"/>
    <w:rsid w:val="006D4A72"/>
    <w:rsid w:val="006D56D8"/>
    <w:rsid w:val="006D5C66"/>
    <w:rsid w:val="006D72E1"/>
    <w:rsid w:val="006E000B"/>
    <w:rsid w:val="006E042E"/>
    <w:rsid w:val="006E09D7"/>
    <w:rsid w:val="006E13F3"/>
    <w:rsid w:val="006E1853"/>
    <w:rsid w:val="006E2238"/>
    <w:rsid w:val="006E343C"/>
    <w:rsid w:val="006E373C"/>
    <w:rsid w:val="006E3FC5"/>
    <w:rsid w:val="006E4A05"/>
    <w:rsid w:val="006E4B0C"/>
    <w:rsid w:val="006E4B2A"/>
    <w:rsid w:val="006E599F"/>
    <w:rsid w:val="006E5A5E"/>
    <w:rsid w:val="006E7134"/>
    <w:rsid w:val="006E7585"/>
    <w:rsid w:val="006E7ACB"/>
    <w:rsid w:val="006F06C5"/>
    <w:rsid w:val="006F0BE8"/>
    <w:rsid w:val="006F14E3"/>
    <w:rsid w:val="006F29A1"/>
    <w:rsid w:val="006F3041"/>
    <w:rsid w:val="006F33B1"/>
    <w:rsid w:val="006F3830"/>
    <w:rsid w:val="006F3FF4"/>
    <w:rsid w:val="006F40C2"/>
    <w:rsid w:val="006F41C5"/>
    <w:rsid w:val="006F445B"/>
    <w:rsid w:val="006F45C3"/>
    <w:rsid w:val="006F4E80"/>
    <w:rsid w:val="006F5201"/>
    <w:rsid w:val="006F53DF"/>
    <w:rsid w:val="006F5DDF"/>
    <w:rsid w:val="006F65AB"/>
    <w:rsid w:val="006F6BAA"/>
    <w:rsid w:val="006F70A9"/>
    <w:rsid w:val="006F79D6"/>
    <w:rsid w:val="006F7C60"/>
    <w:rsid w:val="00700468"/>
    <w:rsid w:val="007004DA"/>
    <w:rsid w:val="00700782"/>
    <w:rsid w:val="00701020"/>
    <w:rsid w:val="0070132F"/>
    <w:rsid w:val="007018FE"/>
    <w:rsid w:val="00701C3B"/>
    <w:rsid w:val="00701C93"/>
    <w:rsid w:val="00702325"/>
    <w:rsid w:val="007025D0"/>
    <w:rsid w:val="00702A8B"/>
    <w:rsid w:val="00702B52"/>
    <w:rsid w:val="00702DA4"/>
    <w:rsid w:val="00702E7E"/>
    <w:rsid w:val="00703939"/>
    <w:rsid w:val="00704D7F"/>
    <w:rsid w:val="00704FAC"/>
    <w:rsid w:val="00704FCE"/>
    <w:rsid w:val="00705403"/>
    <w:rsid w:val="00705F43"/>
    <w:rsid w:val="00705FA1"/>
    <w:rsid w:val="00706167"/>
    <w:rsid w:val="0070648D"/>
    <w:rsid w:val="007064E5"/>
    <w:rsid w:val="00706592"/>
    <w:rsid w:val="00706979"/>
    <w:rsid w:val="00706CF5"/>
    <w:rsid w:val="00707971"/>
    <w:rsid w:val="00707D6C"/>
    <w:rsid w:val="00710675"/>
    <w:rsid w:val="007109B2"/>
    <w:rsid w:val="0071179E"/>
    <w:rsid w:val="00711841"/>
    <w:rsid w:val="00712A2E"/>
    <w:rsid w:val="00712EE2"/>
    <w:rsid w:val="00713261"/>
    <w:rsid w:val="00713C4B"/>
    <w:rsid w:val="00713CFE"/>
    <w:rsid w:val="00714106"/>
    <w:rsid w:val="0071453A"/>
    <w:rsid w:val="00714EC1"/>
    <w:rsid w:val="0071509F"/>
    <w:rsid w:val="00715CB3"/>
    <w:rsid w:val="00715E48"/>
    <w:rsid w:val="00716290"/>
    <w:rsid w:val="00716571"/>
    <w:rsid w:val="0071695A"/>
    <w:rsid w:val="00717352"/>
    <w:rsid w:val="00717D1E"/>
    <w:rsid w:val="00720067"/>
    <w:rsid w:val="00721220"/>
    <w:rsid w:val="00722326"/>
    <w:rsid w:val="00723337"/>
    <w:rsid w:val="007236B9"/>
    <w:rsid w:val="00724EC1"/>
    <w:rsid w:val="007254C8"/>
    <w:rsid w:val="0072587D"/>
    <w:rsid w:val="007259E2"/>
    <w:rsid w:val="00725D57"/>
    <w:rsid w:val="00725E37"/>
    <w:rsid w:val="0072601D"/>
    <w:rsid w:val="0072653A"/>
    <w:rsid w:val="00726836"/>
    <w:rsid w:val="00726D2F"/>
    <w:rsid w:val="00726EDD"/>
    <w:rsid w:val="00730BD1"/>
    <w:rsid w:val="00731215"/>
    <w:rsid w:val="007319E2"/>
    <w:rsid w:val="00731E9F"/>
    <w:rsid w:val="00731FF4"/>
    <w:rsid w:val="007321AB"/>
    <w:rsid w:val="007324D1"/>
    <w:rsid w:val="00732617"/>
    <w:rsid w:val="0073261C"/>
    <w:rsid w:val="007326D9"/>
    <w:rsid w:val="00732704"/>
    <w:rsid w:val="00732821"/>
    <w:rsid w:val="0073355F"/>
    <w:rsid w:val="00733722"/>
    <w:rsid w:val="00733A37"/>
    <w:rsid w:val="00733CF6"/>
    <w:rsid w:val="007347B2"/>
    <w:rsid w:val="00735452"/>
    <w:rsid w:val="00735B61"/>
    <w:rsid w:val="00736071"/>
    <w:rsid w:val="00737AAE"/>
    <w:rsid w:val="00740171"/>
    <w:rsid w:val="0074024D"/>
    <w:rsid w:val="0074032A"/>
    <w:rsid w:val="00740926"/>
    <w:rsid w:val="00740B52"/>
    <w:rsid w:val="00740E4E"/>
    <w:rsid w:val="00741004"/>
    <w:rsid w:val="0074117F"/>
    <w:rsid w:val="00741CE6"/>
    <w:rsid w:val="00741DED"/>
    <w:rsid w:val="007421A5"/>
    <w:rsid w:val="00742475"/>
    <w:rsid w:val="00743435"/>
    <w:rsid w:val="007435F7"/>
    <w:rsid w:val="00744BAF"/>
    <w:rsid w:val="007453AB"/>
    <w:rsid w:val="0074543E"/>
    <w:rsid w:val="00745EAA"/>
    <w:rsid w:val="00745FE8"/>
    <w:rsid w:val="00746052"/>
    <w:rsid w:val="00746301"/>
    <w:rsid w:val="0074639B"/>
    <w:rsid w:val="007469F0"/>
    <w:rsid w:val="0074711C"/>
    <w:rsid w:val="00747700"/>
    <w:rsid w:val="00747C91"/>
    <w:rsid w:val="00750058"/>
    <w:rsid w:val="00750602"/>
    <w:rsid w:val="0075121A"/>
    <w:rsid w:val="007518FD"/>
    <w:rsid w:val="00751BF1"/>
    <w:rsid w:val="00751C5C"/>
    <w:rsid w:val="00751D76"/>
    <w:rsid w:val="00752290"/>
    <w:rsid w:val="00752879"/>
    <w:rsid w:val="0075305C"/>
    <w:rsid w:val="00754734"/>
    <w:rsid w:val="0075519A"/>
    <w:rsid w:val="0075549E"/>
    <w:rsid w:val="007556BC"/>
    <w:rsid w:val="007556DD"/>
    <w:rsid w:val="00755A38"/>
    <w:rsid w:val="00755DEE"/>
    <w:rsid w:val="0075641E"/>
    <w:rsid w:val="00757F32"/>
    <w:rsid w:val="007601FE"/>
    <w:rsid w:val="00760CE7"/>
    <w:rsid w:val="00761644"/>
    <w:rsid w:val="00761DD6"/>
    <w:rsid w:val="0076209B"/>
    <w:rsid w:val="007620A1"/>
    <w:rsid w:val="00762114"/>
    <w:rsid w:val="007622DB"/>
    <w:rsid w:val="00762B6D"/>
    <w:rsid w:val="00762CB9"/>
    <w:rsid w:val="00763B97"/>
    <w:rsid w:val="00763F04"/>
    <w:rsid w:val="0076415D"/>
    <w:rsid w:val="0076514E"/>
    <w:rsid w:val="007651DA"/>
    <w:rsid w:val="00765A4C"/>
    <w:rsid w:val="00765D8C"/>
    <w:rsid w:val="00765DB7"/>
    <w:rsid w:val="00765E2F"/>
    <w:rsid w:val="00766357"/>
    <w:rsid w:val="007670EB"/>
    <w:rsid w:val="0076737E"/>
    <w:rsid w:val="00767E01"/>
    <w:rsid w:val="0077011D"/>
    <w:rsid w:val="00770328"/>
    <w:rsid w:val="007707F0"/>
    <w:rsid w:val="00770B3C"/>
    <w:rsid w:val="00771263"/>
    <w:rsid w:val="007720A1"/>
    <w:rsid w:val="00772553"/>
    <w:rsid w:val="00772975"/>
    <w:rsid w:val="00773157"/>
    <w:rsid w:val="00773971"/>
    <w:rsid w:val="00773A66"/>
    <w:rsid w:val="007748FB"/>
    <w:rsid w:val="00774972"/>
    <w:rsid w:val="007767F1"/>
    <w:rsid w:val="00776E6F"/>
    <w:rsid w:val="00776F88"/>
    <w:rsid w:val="00777583"/>
    <w:rsid w:val="00777BCF"/>
    <w:rsid w:val="00780042"/>
    <w:rsid w:val="00780572"/>
    <w:rsid w:val="00780626"/>
    <w:rsid w:val="0078062F"/>
    <w:rsid w:val="00780698"/>
    <w:rsid w:val="00780D22"/>
    <w:rsid w:val="0078122B"/>
    <w:rsid w:val="007813E7"/>
    <w:rsid w:val="00781B89"/>
    <w:rsid w:val="007824D3"/>
    <w:rsid w:val="0078341E"/>
    <w:rsid w:val="007834B9"/>
    <w:rsid w:val="00783EC3"/>
    <w:rsid w:val="00784207"/>
    <w:rsid w:val="0078429F"/>
    <w:rsid w:val="00784703"/>
    <w:rsid w:val="00785607"/>
    <w:rsid w:val="007863B8"/>
    <w:rsid w:val="007875C0"/>
    <w:rsid w:val="007879EF"/>
    <w:rsid w:val="007905B4"/>
    <w:rsid w:val="007905D2"/>
    <w:rsid w:val="00790716"/>
    <w:rsid w:val="00790D6D"/>
    <w:rsid w:val="00790F2B"/>
    <w:rsid w:val="00791307"/>
    <w:rsid w:val="00791AAE"/>
    <w:rsid w:val="00791CAC"/>
    <w:rsid w:val="00791D4E"/>
    <w:rsid w:val="00792897"/>
    <w:rsid w:val="00792F5C"/>
    <w:rsid w:val="00793368"/>
    <w:rsid w:val="00793947"/>
    <w:rsid w:val="007940B7"/>
    <w:rsid w:val="007942C8"/>
    <w:rsid w:val="0079534C"/>
    <w:rsid w:val="0079562D"/>
    <w:rsid w:val="007959EF"/>
    <w:rsid w:val="0079607B"/>
    <w:rsid w:val="007962C2"/>
    <w:rsid w:val="007966D0"/>
    <w:rsid w:val="007968F1"/>
    <w:rsid w:val="007977B4"/>
    <w:rsid w:val="00797B2D"/>
    <w:rsid w:val="00797DA7"/>
    <w:rsid w:val="007A0903"/>
    <w:rsid w:val="007A0F3F"/>
    <w:rsid w:val="007A25D1"/>
    <w:rsid w:val="007A2F39"/>
    <w:rsid w:val="007A3AD5"/>
    <w:rsid w:val="007A4707"/>
    <w:rsid w:val="007A5E81"/>
    <w:rsid w:val="007A5EA4"/>
    <w:rsid w:val="007A5F7B"/>
    <w:rsid w:val="007A6091"/>
    <w:rsid w:val="007A70C2"/>
    <w:rsid w:val="007B08A5"/>
    <w:rsid w:val="007B0E5A"/>
    <w:rsid w:val="007B1059"/>
    <w:rsid w:val="007B1371"/>
    <w:rsid w:val="007B16B9"/>
    <w:rsid w:val="007B1916"/>
    <w:rsid w:val="007B1EE5"/>
    <w:rsid w:val="007B3372"/>
    <w:rsid w:val="007B37C0"/>
    <w:rsid w:val="007B380C"/>
    <w:rsid w:val="007B43D7"/>
    <w:rsid w:val="007B443E"/>
    <w:rsid w:val="007B47A9"/>
    <w:rsid w:val="007B4E7B"/>
    <w:rsid w:val="007B5875"/>
    <w:rsid w:val="007B5D77"/>
    <w:rsid w:val="007B6CA9"/>
    <w:rsid w:val="007B6F17"/>
    <w:rsid w:val="007B744C"/>
    <w:rsid w:val="007B7DC0"/>
    <w:rsid w:val="007C201E"/>
    <w:rsid w:val="007C2829"/>
    <w:rsid w:val="007C284D"/>
    <w:rsid w:val="007C2A2A"/>
    <w:rsid w:val="007C33A9"/>
    <w:rsid w:val="007C3D85"/>
    <w:rsid w:val="007C4219"/>
    <w:rsid w:val="007C4292"/>
    <w:rsid w:val="007C467D"/>
    <w:rsid w:val="007C4DAA"/>
    <w:rsid w:val="007C4DBA"/>
    <w:rsid w:val="007C5E11"/>
    <w:rsid w:val="007C60D1"/>
    <w:rsid w:val="007C66F6"/>
    <w:rsid w:val="007C6757"/>
    <w:rsid w:val="007C67CD"/>
    <w:rsid w:val="007C75C9"/>
    <w:rsid w:val="007C7763"/>
    <w:rsid w:val="007D0912"/>
    <w:rsid w:val="007D0C2C"/>
    <w:rsid w:val="007D11F8"/>
    <w:rsid w:val="007D1642"/>
    <w:rsid w:val="007D2346"/>
    <w:rsid w:val="007D3DCC"/>
    <w:rsid w:val="007D3F20"/>
    <w:rsid w:val="007D3FD5"/>
    <w:rsid w:val="007D5F3B"/>
    <w:rsid w:val="007D611F"/>
    <w:rsid w:val="007D61B5"/>
    <w:rsid w:val="007D690D"/>
    <w:rsid w:val="007D6CDC"/>
    <w:rsid w:val="007D71A8"/>
    <w:rsid w:val="007D749D"/>
    <w:rsid w:val="007D7BED"/>
    <w:rsid w:val="007E1D47"/>
    <w:rsid w:val="007E1FBC"/>
    <w:rsid w:val="007E354E"/>
    <w:rsid w:val="007E3C1D"/>
    <w:rsid w:val="007E3F70"/>
    <w:rsid w:val="007E406A"/>
    <w:rsid w:val="007E4DAA"/>
    <w:rsid w:val="007E5064"/>
    <w:rsid w:val="007E512D"/>
    <w:rsid w:val="007E528E"/>
    <w:rsid w:val="007E64FA"/>
    <w:rsid w:val="007E728D"/>
    <w:rsid w:val="007E7600"/>
    <w:rsid w:val="007E7CC1"/>
    <w:rsid w:val="007F14E2"/>
    <w:rsid w:val="007F2424"/>
    <w:rsid w:val="007F2C7A"/>
    <w:rsid w:val="007F36D1"/>
    <w:rsid w:val="007F3B36"/>
    <w:rsid w:val="007F415F"/>
    <w:rsid w:val="007F44FF"/>
    <w:rsid w:val="007F4F6C"/>
    <w:rsid w:val="007F5EFC"/>
    <w:rsid w:val="007F5FEF"/>
    <w:rsid w:val="007F64C5"/>
    <w:rsid w:val="007F65E4"/>
    <w:rsid w:val="007F6A93"/>
    <w:rsid w:val="007F6F95"/>
    <w:rsid w:val="007F789F"/>
    <w:rsid w:val="007F79DF"/>
    <w:rsid w:val="00800085"/>
    <w:rsid w:val="008002CF"/>
    <w:rsid w:val="008007D3"/>
    <w:rsid w:val="00800B9E"/>
    <w:rsid w:val="00801409"/>
    <w:rsid w:val="00801B31"/>
    <w:rsid w:val="00801E43"/>
    <w:rsid w:val="008025B5"/>
    <w:rsid w:val="00802601"/>
    <w:rsid w:val="00802F29"/>
    <w:rsid w:val="008036D7"/>
    <w:rsid w:val="00803DA8"/>
    <w:rsid w:val="00803DCE"/>
    <w:rsid w:val="00804685"/>
    <w:rsid w:val="00804857"/>
    <w:rsid w:val="00804AC9"/>
    <w:rsid w:val="00805330"/>
    <w:rsid w:val="00805FF5"/>
    <w:rsid w:val="00806898"/>
    <w:rsid w:val="008069B8"/>
    <w:rsid w:val="00807709"/>
    <w:rsid w:val="00807D60"/>
    <w:rsid w:val="0081077E"/>
    <w:rsid w:val="00810B20"/>
    <w:rsid w:val="00810D13"/>
    <w:rsid w:val="00810D34"/>
    <w:rsid w:val="0081143F"/>
    <w:rsid w:val="00812573"/>
    <w:rsid w:val="00812885"/>
    <w:rsid w:val="008128BC"/>
    <w:rsid w:val="008132B0"/>
    <w:rsid w:val="0081342C"/>
    <w:rsid w:val="00814795"/>
    <w:rsid w:val="00814EB7"/>
    <w:rsid w:val="00815152"/>
    <w:rsid w:val="00816741"/>
    <w:rsid w:val="00816A77"/>
    <w:rsid w:val="00816D93"/>
    <w:rsid w:val="00820851"/>
    <w:rsid w:val="00820F65"/>
    <w:rsid w:val="00821494"/>
    <w:rsid w:val="008218F0"/>
    <w:rsid w:val="00821C92"/>
    <w:rsid w:val="0082214D"/>
    <w:rsid w:val="00822644"/>
    <w:rsid w:val="00822859"/>
    <w:rsid w:val="00822C73"/>
    <w:rsid w:val="00822E44"/>
    <w:rsid w:val="00823919"/>
    <w:rsid w:val="00823B30"/>
    <w:rsid w:val="00823F51"/>
    <w:rsid w:val="008240DC"/>
    <w:rsid w:val="0082417C"/>
    <w:rsid w:val="00824303"/>
    <w:rsid w:val="00825E9E"/>
    <w:rsid w:val="0082689C"/>
    <w:rsid w:val="00826FB4"/>
    <w:rsid w:val="008275A9"/>
    <w:rsid w:val="00827CE3"/>
    <w:rsid w:val="00830E95"/>
    <w:rsid w:val="00831393"/>
    <w:rsid w:val="00831F72"/>
    <w:rsid w:val="0083285E"/>
    <w:rsid w:val="00832B2B"/>
    <w:rsid w:val="008337FD"/>
    <w:rsid w:val="00833CB6"/>
    <w:rsid w:val="008341C6"/>
    <w:rsid w:val="00835A8D"/>
    <w:rsid w:val="00835BBC"/>
    <w:rsid w:val="00836E95"/>
    <w:rsid w:val="00836EA0"/>
    <w:rsid w:val="00837391"/>
    <w:rsid w:val="00837873"/>
    <w:rsid w:val="00837C62"/>
    <w:rsid w:val="00837DF6"/>
    <w:rsid w:val="008403A0"/>
    <w:rsid w:val="0084092C"/>
    <w:rsid w:val="00840A1C"/>
    <w:rsid w:val="00840D50"/>
    <w:rsid w:val="008415EA"/>
    <w:rsid w:val="0084231B"/>
    <w:rsid w:val="008426A0"/>
    <w:rsid w:val="00843F0D"/>
    <w:rsid w:val="008444FE"/>
    <w:rsid w:val="008446B5"/>
    <w:rsid w:val="00845597"/>
    <w:rsid w:val="00846E8A"/>
    <w:rsid w:val="00847452"/>
    <w:rsid w:val="00847B3B"/>
    <w:rsid w:val="00850547"/>
    <w:rsid w:val="00850705"/>
    <w:rsid w:val="00851757"/>
    <w:rsid w:val="00851846"/>
    <w:rsid w:val="00851E13"/>
    <w:rsid w:val="00852DA2"/>
    <w:rsid w:val="00852E6B"/>
    <w:rsid w:val="00854252"/>
    <w:rsid w:val="00854E89"/>
    <w:rsid w:val="00855FB6"/>
    <w:rsid w:val="008561FF"/>
    <w:rsid w:val="00856734"/>
    <w:rsid w:val="00856894"/>
    <w:rsid w:val="008573F1"/>
    <w:rsid w:val="00857454"/>
    <w:rsid w:val="00857715"/>
    <w:rsid w:val="00857D6B"/>
    <w:rsid w:val="008604FE"/>
    <w:rsid w:val="00860BE2"/>
    <w:rsid w:val="00861EDA"/>
    <w:rsid w:val="00861F07"/>
    <w:rsid w:val="00862026"/>
    <w:rsid w:val="00862294"/>
    <w:rsid w:val="00862320"/>
    <w:rsid w:val="00862C80"/>
    <w:rsid w:val="0086300F"/>
    <w:rsid w:val="00863890"/>
    <w:rsid w:val="00863A0E"/>
    <w:rsid w:val="008645E8"/>
    <w:rsid w:val="00864696"/>
    <w:rsid w:val="00865346"/>
    <w:rsid w:val="008660E6"/>
    <w:rsid w:val="00866531"/>
    <w:rsid w:val="00866B14"/>
    <w:rsid w:val="00867236"/>
    <w:rsid w:val="008707AA"/>
    <w:rsid w:val="008707B4"/>
    <w:rsid w:val="008713A2"/>
    <w:rsid w:val="008720FC"/>
    <w:rsid w:val="00872890"/>
    <w:rsid w:val="00872E1C"/>
    <w:rsid w:val="00874231"/>
    <w:rsid w:val="00874CC2"/>
    <w:rsid w:val="00874DFE"/>
    <w:rsid w:val="00876280"/>
    <w:rsid w:val="00876484"/>
    <w:rsid w:val="00876AFB"/>
    <w:rsid w:val="0088072C"/>
    <w:rsid w:val="008809BD"/>
    <w:rsid w:val="00880B2B"/>
    <w:rsid w:val="00880D6E"/>
    <w:rsid w:val="00880FA2"/>
    <w:rsid w:val="008810B4"/>
    <w:rsid w:val="00881214"/>
    <w:rsid w:val="00881A9C"/>
    <w:rsid w:val="00882FF5"/>
    <w:rsid w:val="00883070"/>
    <w:rsid w:val="0088335E"/>
    <w:rsid w:val="00883840"/>
    <w:rsid w:val="00883947"/>
    <w:rsid w:val="008847F1"/>
    <w:rsid w:val="008848DA"/>
    <w:rsid w:val="00884993"/>
    <w:rsid w:val="00884AC4"/>
    <w:rsid w:val="00885848"/>
    <w:rsid w:val="00885A08"/>
    <w:rsid w:val="0088649C"/>
    <w:rsid w:val="008866C6"/>
    <w:rsid w:val="008866D4"/>
    <w:rsid w:val="008866F5"/>
    <w:rsid w:val="0088677D"/>
    <w:rsid w:val="00887265"/>
    <w:rsid w:val="0088784E"/>
    <w:rsid w:val="00890A83"/>
    <w:rsid w:val="00890E05"/>
    <w:rsid w:val="008911E0"/>
    <w:rsid w:val="008919C6"/>
    <w:rsid w:val="00892F40"/>
    <w:rsid w:val="0089330E"/>
    <w:rsid w:val="0089376A"/>
    <w:rsid w:val="00893CC1"/>
    <w:rsid w:val="00895D60"/>
    <w:rsid w:val="00895EBC"/>
    <w:rsid w:val="00895ECA"/>
    <w:rsid w:val="0089670E"/>
    <w:rsid w:val="00896904"/>
    <w:rsid w:val="00896B0B"/>
    <w:rsid w:val="00897453"/>
    <w:rsid w:val="0089792F"/>
    <w:rsid w:val="008A03FB"/>
    <w:rsid w:val="008A0C1E"/>
    <w:rsid w:val="008A1835"/>
    <w:rsid w:val="008A1F4A"/>
    <w:rsid w:val="008A2441"/>
    <w:rsid w:val="008A2745"/>
    <w:rsid w:val="008A2A0A"/>
    <w:rsid w:val="008A2BA0"/>
    <w:rsid w:val="008A2E39"/>
    <w:rsid w:val="008A31B4"/>
    <w:rsid w:val="008A50E8"/>
    <w:rsid w:val="008A5343"/>
    <w:rsid w:val="008A59D5"/>
    <w:rsid w:val="008A5AC5"/>
    <w:rsid w:val="008A6439"/>
    <w:rsid w:val="008B0377"/>
    <w:rsid w:val="008B0540"/>
    <w:rsid w:val="008B13AA"/>
    <w:rsid w:val="008B1C1B"/>
    <w:rsid w:val="008B2968"/>
    <w:rsid w:val="008B2B27"/>
    <w:rsid w:val="008B3051"/>
    <w:rsid w:val="008B368D"/>
    <w:rsid w:val="008B3862"/>
    <w:rsid w:val="008B4B79"/>
    <w:rsid w:val="008B592E"/>
    <w:rsid w:val="008B5CC3"/>
    <w:rsid w:val="008B601B"/>
    <w:rsid w:val="008B68A8"/>
    <w:rsid w:val="008B6EEE"/>
    <w:rsid w:val="008B7298"/>
    <w:rsid w:val="008B7721"/>
    <w:rsid w:val="008B780B"/>
    <w:rsid w:val="008B7909"/>
    <w:rsid w:val="008B7916"/>
    <w:rsid w:val="008B7DA1"/>
    <w:rsid w:val="008C0200"/>
    <w:rsid w:val="008C071B"/>
    <w:rsid w:val="008C0EF0"/>
    <w:rsid w:val="008C27A5"/>
    <w:rsid w:val="008C2813"/>
    <w:rsid w:val="008C34D8"/>
    <w:rsid w:val="008C3CB8"/>
    <w:rsid w:val="008C3D8A"/>
    <w:rsid w:val="008C3F71"/>
    <w:rsid w:val="008C4E8D"/>
    <w:rsid w:val="008C4FFC"/>
    <w:rsid w:val="008C552C"/>
    <w:rsid w:val="008C5874"/>
    <w:rsid w:val="008C5C66"/>
    <w:rsid w:val="008C660F"/>
    <w:rsid w:val="008C701F"/>
    <w:rsid w:val="008C76DA"/>
    <w:rsid w:val="008D002E"/>
    <w:rsid w:val="008D0047"/>
    <w:rsid w:val="008D0CE0"/>
    <w:rsid w:val="008D1993"/>
    <w:rsid w:val="008D1B2F"/>
    <w:rsid w:val="008D1D29"/>
    <w:rsid w:val="008D209E"/>
    <w:rsid w:val="008D239C"/>
    <w:rsid w:val="008D2657"/>
    <w:rsid w:val="008D2752"/>
    <w:rsid w:val="008D28A6"/>
    <w:rsid w:val="008D2AFA"/>
    <w:rsid w:val="008D3647"/>
    <w:rsid w:val="008D43ED"/>
    <w:rsid w:val="008D4E64"/>
    <w:rsid w:val="008D549C"/>
    <w:rsid w:val="008D5EF4"/>
    <w:rsid w:val="008D6640"/>
    <w:rsid w:val="008D69BE"/>
    <w:rsid w:val="008D6BB5"/>
    <w:rsid w:val="008D6D16"/>
    <w:rsid w:val="008D704D"/>
    <w:rsid w:val="008D74BB"/>
    <w:rsid w:val="008D74C2"/>
    <w:rsid w:val="008D7751"/>
    <w:rsid w:val="008D7FD1"/>
    <w:rsid w:val="008E0272"/>
    <w:rsid w:val="008E06DF"/>
    <w:rsid w:val="008E075A"/>
    <w:rsid w:val="008E0DEA"/>
    <w:rsid w:val="008E2183"/>
    <w:rsid w:val="008E36D5"/>
    <w:rsid w:val="008E3B0A"/>
    <w:rsid w:val="008E4621"/>
    <w:rsid w:val="008E4789"/>
    <w:rsid w:val="008E4DEE"/>
    <w:rsid w:val="008E5457"/>
    <w:rsid w:val="008E5B7A"/>
    <w:rsid w:val="008E5D12"/>
    <w:rsid w:val="008E6DAF"/>
    <w:rsid w:val="008E6E2A"/>
    <w:rsid w:val="008E72B1"/>
    <w:rsid w:val="008E7660"/>
    <w:rsid w:val="008E7DBA"/>
    <w:rsid w:val="008F03C5"/>
    <w:rsid w:val="008F09DC"/>
    <w:rsid w:val="008F0EAB"/>
    <w:rsid w:val="008F12D8"/>
    <w:rsid w:val="008F1590"/>
    <w:rsid w:val="008F17F1"/>
    <w:rsid w:val="008F3D59"/>
    <w:rsid w:val="008F4231"/>
    <w:rsid w:val="008F42E6"/>
    <w:rsid w:val="008F4888"/>
    <w:rsid w:val="008F48AC"/>
    <w:rsid w:val="008F4E23"/>
    <w:rsid w:val="008F4E41"/>
    <w:rsid w:val="008F5665"/>
    <w:rsid w:val="008F59FA"/>
    <w:rsid w:val="008F695C"/>
    <w:rsid w:val="008F7595"/>
    <w:rsid w:val="008F775B"/>
    <w:rsid w:val="008F7EEA"/>
    <w:rsid w:val="00900729"/>
    <w:rsid w:val="00900C43"/>
    <w:rsid w:val="00901CC3"/>
    <w:rsid w:val="00902223"/>
    <w:rsid w:val="00902477"/>
    <w:rsid w:val="00903262"/>
    <w:rsid w:val="00903AD6"/>
    <w:rsid w:val="0090405E"/>
    <w:rsid w:val="009047DD"/>
    <w:rsid w:val="00904808"/>
    <w:rsid w:val="00905798"/>
    <w:rsid w:val="00905F71"/>
    <w:rsid w:val="00906B5C"/>
    <w:rsid w:val="00906B8B"/>
    <w:rsid w:val="00907C14"/>
    <w:rsid w:val="00907E2D"/>
    <w:rsid w:val="00907EB6"/>
    <w:rsid w:val="00910162"/>
    <w:rsid w:val="009107E6"/>
    <w:rsid w:val="00911796"/>
    <w:rsid w:val="0091220A"/>
    <w:rsid w:val="00912AF5"/>
    <w:rsid w:val="00913661"/>
    <w:rsid w:val="00913872"/>
    <w:rsid w:val="0091434C"/>
    <w:rsid w:val="009144B0"/>
    <w:rsid w:val="00914FFB"/>
    <w:rsid w:val="009150F9"/>
    <w:rsid w:val="00915E22"/>
    <w:rsid w:val="0091608D"/>
    <w:rsid w:val="0091649B"/>
    <w:rsid w:val="0091683E"/>
    <w:rsid w:val="00917050"/>
    <w:rsid w:val="009172B9"/>
    <w:rsid w:val="00917381"/>
    <w:rsid w:val="00917459"/>
    <w:rsid w:val="009174B6"/>
    <w:rsid w:val="00917A29"/>
    <w:rsid w:val="00917E8A"/>
    <w:rsid w:val="009204E4"/>
    <w:rsid w:val="00920A8B"/>
    <w:rsid w:val="00920DB9"/>
    <w:rsid w:val="0092338A"/>
    <w:rsid w:val="00924343"/>
    <w:rsid w:val="0092583B"/>
    <w:rsid w:val="00925AD5"/>
    <w:rsid w:val="009260B7"/>
    <w:rsid w:val="0092634A"/>
    <w:rsid w:val="00926546"/>
    <w:rsid w:val="0092680B"/>
    <w:rsid w:val="00926D19"/>
    <w:rsid w:val="00926F17"/>
    <w:rsid w:val="009270C4"/>
    <w:rsid w:val="00927A85"/>
    <w:rsid w:val="00927FA8"/>
    <w:rsid w:val="009307F3"/>
    <w:rsid w:val="0093182A"/>
    <w:rsid w:val="00931C15"/>
    <w:rsid w:val="00931DD3"/>
    <w:rsid w:val="00932FD4"/>
    <w:rsid w:val="009330D3"/>
    <w:rsid w:val="00933AE1"/>
    <w:rsid w:val="00933BCB"/>
    <w:rsid w:val="009344FE"/>
    <w:rsid w:val="00934898"/>
    <w:rsid w:val="00934B20"/>
    <w:rsid w:val="00934B25"/>
    <w:rsid w:val="00935021"/>
    <w:rsid w:val="009350A6"/>
    <w:rsid w:val="009359A1"/>
    <w:rsid w:val="00935B11"/>
    <w:rsid w:val="0093615D"/>
    <w:rsid w:val="00936479"/>
    <w:rsid w:val="00936776"/>
    <w:rsid w:val="00936B59"/>
    <w:rsid w:val="00937BEB"/>
    <w:rsid w:val="00940804"/>
    <w:rsid w:val="00940D64"/>
    <w:rsid w:val="00941689"/>
    <w:rsid w:val="00942E10"/>
    <w:rsid w:val="009439CD"/>
    <w:rsid w:val="00943BA4"/>
    <w:rsid w:val="00943D39"/>
    <w:rsid w:val="00944479"/>
    <w:rsid w:val="00944BC8"/>
    <w:rsid w:val="00945627"/>
    <w:rsid w:val="009456A1"/>
    <w:rsid w:val="00945BF3"/>
    <w:rsid w:val="009461EB"/>
    <w:rsid w:val="00946397"/>
    <w:rsid w:val="0094679F"/>
    <w:rsid w:val="00946AD8"/>
    <w:rsid w:val="009471B1"/>
    <w:rsid w:val="00947F61"/>
    <w:rsid w:val="00950271"/>
    <w:rsid w:val="00950765"/>
    <w:rsid w:val="00951170"/>
    <w:rsid w:val="00952488"/>
    <w:rsid w:val="0095274C"/>
    <w:rsid w:val="00952D07"/>
    <w:rsid w:val="00953B76"/>
    <w:rsid w:val="0095442E"/>
    <w:rsid w:val="00954863"/>
    <w:rsid w:val="009554AE"/>
    <w:rsid w:val="00955603"/>
    <w:rsid w:val="00955728"/>
    <w:rsid w:val="00955DDF"/>
    <w:rsid w:val="00955FAA"/>
    <w:rsid w:val="009563CE"/>
    <w:rsid w:val="00956742"/>
    <w:rsid w:val="009569A5"/>
    <w:rsid w:val="00957576"/>
    <w:rsid w:val="00957669"/>
    <w:rsid w:val="00957CC0"/>
    <w:rsid w:val="009609E4"/>
    <w:rsid w:val="009614F9"/>
    <w:rsid w:val="0096151C"/>
    <w:rsid w:val="009624BF"/>
    <w:rsid w:val="00962CDF"/>
    <w:rsid w:val="0096341B"/>
    <w:rsid w:val="00963D89"/>
    <w:rsid w:val="0096406C"/>
    <w:rsid w:val="00964C27"/>
    <w:rsid w:val="00964CC6"/>
    <w:rsid w:val="00964F1E"/>
    <w:rsid w:val="009656C1"/>
    <w:rsid w:val="00965F78"/>
    <w:rsid w:val="00966162"/>
    <w:rsid w:val="00966769"/>
    <w:rsid w:val="00966C1B"/>
    <w:rsid w:val="00966CFE"/>
    <w:rsid w:val="009670B1"/>
    <w:rsid w:val="00967EE2"/>
    <w:rsid w:val="009700E8"/>
    <w:rsid w:val="0097061A"/>
    <w:rsid w:val="00970AA2"/>
    <w:rsid w:val="00971599"/>
    <w:rsid w:val="00972038"/>
    <w:rsid w:val="009722C5"/>
    <w:rsid w:val="009723D6"/>
    <w:rsid w:val="00972607"/>
    <w:rsid w:val="00972933"/>
    <w:rsid w:val="00972E22"/>
    <w:rsid w:val="009733EE"/>
    <w:rsid w:val="00973926"/>
    <w:rsid w:val="00974362"/>
    <w:rsid w:val="009748AC"/>
    <w:rsid w:val="0097492F"/>
    <w:rsid w:val="0097532B"/>
    <w:rsid w:val="00975CB5"/>
    <w:rsid w:val="0097746C"/>
    <w:rsid w:val="00977675"/>
    <w:rsid w:val="009806AF"/>
    <w:rsid w:val="00980F19"/>
    <w:rsid w:val="00981335"/>
    <w:rsid w:val="009815DD"/>
    <w:rsid w:val="00981687"/>
    <w:rsid w:val="0098193E"/>
    <w:rsid w:val="00981C27"/>
    <w:rsid w:val="00981D67"/>
    <w:rsid w:val="00982A26"/>
    <w:rsid w:val="009834F8"/>
    <w:rsid w:val="00983730"/>
    <w:rsid w:val="009839E6"/>
    <w:rsid w:val="00983A33"/>
    <w:rsid w:val="009848F3"/>
    <w:rsid w:val="00984A62"/>
    <w:rsid w:val="00984F21"/>
    <w:rsid w:val="0098562D"/>
    <w:rsid w:val="009857F2"/>
    <w:rsid w:val="0098624E"/>
    <w:rsid w:val="00987BB0"/>
    <w:rsid w:val="00987ED1"/>
    <w:rsid w:val="00990CDE"/>
    <w:rsid w:val="00990CFD"/>
    <w:rsid w:val="00991256"/>
    <w:rsid w:val="00991DA3"/>
    <w:rsid w:val="00991DAE"/>
    <w:rsid w:val="00992100"/>
    <w:rsid w:val="00993029"/>
    <w:rsid w:val="0099466E"/>
    <w:rsid w:val="00994B5E"/>
    <w:rsid w:val="0099539B"/>
    <w:rsid w:val="00995AD2"/>
    <w:rsid w:val="00996A1D"/>
    <w:rsid w:val="00996CB3"/>
    <w:rsid w:val="00997695"/>
    <w:rsid w:val="009976A6"/>
    <w:rsid w:val="009977A1"/>
    <w:rsid w:val="00997BA9"/>
    <w:rsid w:val="009A067C"/>
    <w:rsid w:val="009A0ABC"/>
    <w:rsid w:val="009A0DBA"/>
    <w:rsid w:val="009A1335"/>
    <w:rsid w:val="009A14AE"/>
    <w:rsid w:val="009A15EB"/>
    <w:rsid w:val="009A19DC"/>
    <w:rsid w:val="009A4218"/>
    <w:rsid w:val="009A453B"/>
    <w:rsid w:val="009A4642"/>
    <w:rsid w:val="009A4BEF"/>
    <w:rsid w:val="009A4D05"/>
    <w:rsid w:val="009A6051"/>
    <w:rsid w:val="009A612D"/>
    <w:rsid w:val="009A6229"/>
    <w:rsid w:val="009A652F"/>
    <w:rsid w:val="009A6BDF"/>
    <w:rsid w:val="009A73F0"/>
    <w:rsid w:val="009A7ECE"/>
    <w:rsid w:val="009B0382"/>
    <w:rsid w:val="009B08A9"/>
    <w:rsid w:val="009B15F5"/>
    <w:rsid w:val="009B1982"/>
    <w:rsid w:val="009B2331"/>
    <w:rsid w:val="009B30A7"/>
    <w:rsid w:val="009B31AD"/>
    <w:rsid w:val="009B3324"/>
    <w:rsid w:val="009B4471"/>
    <w:rsid w:val="009B5755"/>
    <w:rsid w:val="009B5F7A"/>
    <w:rsid w:val="009B770F"/>
    <w:rsid w:val="009B77C8"/>
    <w:rsid w:val="009C08CE"/>
    <w:rsid w:val="009C0AF2"/>
    <w:rsid w:val="009C0AFA"/>
    <w:rsid w:val="009C0CBA"/>
    <w:rsid w:val="009C1A0E"/>
    <w:rsid w:val="009C2229"/>
    <w:rsid w:val="009C238A"/>
    <w:rsid w:val="009C272A"/>
    <w:rsid w:val="009C2B4C"/>
    <w:rsid w:val="009C2DF7"/>
    <w:rsid w:val="009C3F1C"/>
    <w:rsid w:val="009C40F6"/>
    <w:rsid w:val="009C457F"/>
    <w:rsid w:val="009C45DC"/>
    <w:rsid w:val="009C512A"/>
    <w:rsid w:val="009C5188"/>
    <w:rsid w:val="009C5908"/>
    <w:rsid w:val="009C59CD"/>
    <w:rsid w:val="009C5BCE"/>
    <w:rsid w:val="009C6061"/>
    <w:rsid w:val="009C7375"/>
    <w:rsid w:val="009C74F8"/>
    <w:rsid w:val="009C7C18"/>
    <w:rsid w:val="009D04D5"/>
    <w:rsid w:val="009D10A3"/>
    <w:rsid w:val="009D17B7"/>
    <w:rsid w:val="009D1962"/>
    <w:rsid w:val="009D1A32"/>
    <w:rsid w:val="009D1CDF"/>
    <w:rsid w:val="009D1DC7"/>
    <w:rsid w:val="009D1ED7"/>
    <w:rsid w:val="009D206F"/>
    <w:rsid w:val="009D21EB"/>
    <w:rsid w:val="009D22A4"/>
    <w:rsid w:val="009D22FC"/>
    <w:rsid w:val="009D25A4"/>
    <w:rsid w:val="009D2777"/>
    <w:rsid w:val="009D328F"/>
    <w:rsid w:val="009D362D"/>
    <w:rsid w:val="009D37FD"/>
    <w:rsid w:val="009D41F5"/>
    <w:rsid w:val="009D42BC"/>
    <w:rsid w:val="009D46EC"/>
    <w:rsid w:val="009D51C2"/>
    <w:rsid w:val="009D5BA0"/>
    <w:rsid w:val="009D5DEC"/>
    <w:rsid w:val="009D6102"/>
    <w:rsid w:val="009D7327"/>
    <w:rsid w:val="009E05EC"/>
    <w:rsid w:val="009E0ADC"/>
    <w:rsid w:val="009E0B59"/>
    <w:rsid w:val="009E0EBA"/>
    <w:rsid w:val="009E1B4A"/>
    <w:rsid w:val="009E1BCF"/>
    <w:rsid w:val="009E1CC1"/>
    <w:rsid w:val="009E24AD"/>
    <w:rsid w:val="009E2A2B"/>
    <w:rsid w:val="009E2BF3"/>
    <w:rsid w:val="009E2D5C"/>
    <w:rsid w:val="009E37AC"/>
    <w:rsid w:val="009E385B"/>
    <w:rsid w:val="009E4EBA"/>
    <w:rsid w:val="009E5DC5"/>
    <w:rsid w:val="009E61F4"/>
    <w:rsid w:val="009E6500"/>
    <w:rsid w:val="009E7289"/>
    <w:rsid w:val="009E756A"/>
    <w:rsid w:val="009E7BB1"/>
    <w:rsid w:val="009F1105"/>
    <w:rsid w:val="009F13B5"/>
    <w:rsid w:val="009F1C6F"/>
    <w:rsid w:val="009F252F"/>
    <w:rsid w:val="009F302E"/>
    <w:rsid w:val="009F3B46"/>
    <w:rsid w:val="009F3FB3"/>
    <w:rsid w:val="009F56E2"/>
    <w:rsid w:val="009F63C8"/>
    <w:rsid w:val="009F753E"/>
    <w:rsid w:val="009F774F"/>
    <w:rsid w:val="00A0027A"/>
    <w:rsid w:val="00A00358"/>
    <w:rsid w:val="00A00EA2"/>
    <w:rsid w:val="00A01529"/>
    <w:rsid w:val="00A01630"/>
    <w:rsid w:val="00A01B2A"/>
    <w:rsid w:val="00A01C24"/>
    <w:rsid w:val="00A02C4C"/>
    <w:rsid w:val="00A030D9"/>
    <w:rsid w:val="00A03376"/>
    <w:rsid w:val="00A038E5"/>
    <w:rsid w:val="00A03D99"/>
    <w:rsid w:val="00A04269"/>
    <w:rsid w:val="00A048FD"/>
    <w:rsid w:val="00A04CD2"/>
    <w:rsid w:val="00A05195"/>
    <w:rsid w:val="00A0588C"/>
    <w:rsid w:val="00A058A2"/>
    <w:rsid w:val="00A05E13"/>
    <w:rsid w:val="00A05EC8"/>
    <w:rsid w:val="00A06ADE"/>
    <w:rsid w:val="00A06D2D"/>
    <w:rsid w:val="00A072F2"/>
    <w:rsid w:val="00A073A5"/>
    <w:rsid w:val="00A07729"/>
    <w:rsid w:val="00A10273"/>
    <w:rsid w:val="00A102E0"/>
    <w:rsid w:val="00A10496"/>
    <w:rsid w:val="00A1128D"/>
    <w:rsid w:val="00A11ECD"/>
    <w:rsid w:val="00A13764"/>
    <w:rsid w:val="00A13D4B"/>
    <w:rsid w:val="00A13DFB"/>
    <w:rsid w:val="00A142EB"/>
    <w:rsid w:val="00A14308"/>
    <w:rsid w:val="00A14935"/>
    <w:rsid w:val="00A14CEE"/>
    <w:rsid w:val="00A15183"/>
    <w:rsid w:val="00A15371"/>
    <w:rsid w:val="00A158D1"/>
    <w:rsid w:val="00A15D48"/>
    <w:rsid w:val="00A16209"/>
    <w:rsid w:val="00A167A0"/>
    <w:rsid w:val="00A16C38"/>
    <w:rsid w:val="00A17224"/>
    <w:rsid w:val="00A174D9"/>
    <w:rsid w:val="00A17899"/>
    <w:rsid w:val="00A204F8"/>
    <w:rsid w:val="00A20860"/>
    <w:rsid w:val="00A20D8C"/>
    <w:rsid w:val="00A213B5"/>
    <w:rsid w:val="00A215FB"/>
    <w:rsid w:val="00A2185E"/>
    <w:rsid w:val="00A221FE"/>
    <w:rsid w:val="00A248BA"/>
    <w:rsid w:val="00A25986"/>
    <w:rsid w:val="00A25FD0"/>
    <w:rsid w:val="00A26C98"/>
    <w:rsid w:val="00A27A8A"/>
    <w:rsid w:val="00A27EEB"/>
    <w:rsid w:val="00A3003B"/>
    <w:rsid w:val="00A302A9"/>
    <w:rsid w:val="00A30778"/>
    <w:rsid w:val="00A30D26"/>
    <w:rsid w:val="00A30D5D"/>
    <w:rsid w:val="00A31D10"/>
    <w:rsid w:val="00A31D52"/>
    <w:rsid w:val="00A3278C"/>
    <w:rsid w:val="00A32E4A"/>
    <w:rsid w:val="00A33B3C"/>
    <w:rsid w:val="00A347AE"/>
    <w:rsid w:val="00A3541A"/>
    <w:rsid w:val="00A36697"/>
    <w:rsid w:val="00A372AD"/>
    <w:rsid w:val="00A3768D"/>
    <w:rsid w:val="00A377CB"/>
    <w:rsid w:val="00A37962"/>
    <w:rsid w:val="00A37E77"/>
    <w:rsid w:val="00A40428"/>
    <w:rsid w:val="00A40968"/>
    <w:rsid w:val="00A4105F"/>
    <w:rsid w:val="00A411C6"/>
    <w:rsid w:val="00A41292"/>
    <w:rsid w:val="00A4187F"/>
    <w:rsid w:val="00A4233C"/>
    <w:rsid w:val="00A438C0"/>
    <w:rsid w:val="00A43938"/>
    <w:rsid w:val="00A43A76"/>
    <w:rsid w:val="00A43FA4"/>
    <w:rsid w:val="00A4424B"/>
    <w:rsid w:val="00A45217"/>
    <w:rsid w:val="00A45695"/>
    <w:rsid w:val="00A45776"/>
    <w:rsid w:val="00A46BF6"/>
    <w:rsid w:val="00A46CBF"/>
    <w:rsid w:val="00A46DEE"/>
    <w:rsid w:val="00A470CB"/>
    <w:rsid w:val="00A47930"/>
    <w:rsid w:val="00A47AB6"/>
    <w:rsid w:val="00A5102A"/>
    <w:rsid w:val="00A51430"/>
    <w:rsid w:val="00A52810"/>
    <w:rsid w:val="00A52A37"/>
    <w:rsid w:val="00A536D3"/>
    <w:rsid w:val="00A53AE6"/>
    <w:rsid w:val="00A54161"/>
    <w:rsid w:val="00A549AD"/>
    <w:rsid w:val="00A54B26"/>
    <w:rsid w:val="00A54CB8"/>
    <w:rsid w:val="00A54EF4"/>
    <w:rsid w:val="00A555EF"/>
    <w:rsid w:val="00A56D67"/>
    <w:rsid w:val="00A57045"/>
    <w:rsid w:val="00A57D65"/>
    <w:rsid w:val="00A57E94"/>
    <w:rsid w:val="00A607DE"/>
    <w:rsid w:val="00A60A6B"/>
    <w:rsid w:val="00A60EDE"/>
    <w:rsid w:val="00A60F35"/>
    <w:rsid w:val="00A61235"/>
    <w:rsid w:val="00A61411"/>
    <w:rsid w:val="00A6220B"/>
    <w:rsid w:val="00A625BD"/>
    <w:rsid w:val="00A62808"/>
    <w:rsid w:val="00A62E49"/>
    <w:rsid w:val="00A62EC9"/>
    <w:rsid w:val="00A64E1B"/>
    <w:rsid w:val="00A6697D"/>
    <w:rsid w:val="00A66BA2"/>
    <w:rsid w:val="00A66ECF"/>
    <w:rsid w:val="00A67F84"/>
    <w:rsid w:val="00A70343"/>
    <w:rsid w:val="00A70521"/>
    <w:rsid w:val="00A71016"/>
    <w:rsid w:val="00A721D7"/>
    <w:rsid w:val="00A726CD"/>
    <w:rsid w:val="00A72724"/>
    <w:rsid w:val="00A728B4"/>
    <w:rsid w:val="00A72AAE"/>
    <w:rsid w:val="00A72DDB"/>
    <w:rsid w:val="00A72F0F"/>
    <w:rsid w:val="00A73089"/>
    <w:rsid w:val="00A7339A"/>
    <w:rsid w:val="00A73B75"/>
    <w:rsid w:val="00A75A5A"/>
    <w:rsid w:val="00A7676C"/>
    <w:rsid w:val="00A76837"/>
    <w:rsid w:val="00A76A5F"/>
    <w:rsid w:val="00A777F8"/>
    <w:rsid w:val="00A80F59"/>
    <w:rsid w:val="00A81184"/>
    <w:rsid w:val="00A81B4B"/>
    <w:rsid w:val="00A82694"/>
    <w:rsid w:val="00A83443"/>
    <w:rsid w:val="00A8348E"/>
    <w:rsid w:val="00A83B68"/>
    <w:rsid w:val="00A83DD4"/>
    <w:rsid w:val="00A84AF9"/>
    <w:rsid w:val="00A84DCB"/>
    <w:rsid w:val="00A85346"/>
    <w:rsid w:val="00A85FF3"/>
    <w:rsid w:val="00A8766E"/>
    <w:rsid w:val="00A90C03"/>
    <w:rsid w:val="00A91068"/>
    <w:rsid w:val="00A9113B"/>
    <w:rsid w:val="00A916C6"/>
    <w:rsid w:val="00A91BFF"/>
    <w:rsid w:val="00A91DE6"/>
    <w:rsid w:val="00A92199"/>
    <w:rsid w:val="00A92F08"/>
    <w:rsid w:val="00A9311D"/>
    <w:rsid w:val="00A93461"/>
    <w:rsid w:val="00A94512"/>
    <w:rsid w:val="00A95546"/>
    <w:rsid w:val="00A95A56"/>
    <w:rsid w:val="00A95CD4"/>
    <w:rsid w:val="00A95D2C"/>
    <w:rsid w:val="00A96E1E"/>
    <w:rsid w:val="00A975CD"/>
    <w:rsid w:val="00A97AF4"/>
    <w:rsid w:val="00AA056D"/>
    <w:rsid w:val="00AA1340"/>
    <w:rsid w:val="00AA1B84"/>
    <w:rsid w:val="00AA1EA0"/>
    <w:rsid w:val="00AA2B0D"/>
    <w:rsid w:val="00AA333B"/>
    <w:rsid w:val="00AA3663"/>
    <w:rsid w:val="00AA367C"/>
    <w:rsid w:val="00AA4A09"/>
    <w:rsid w:val="00AA55C8"/>
    <w:rsid w:val="00AA593C"/>
    <w:rsid w:val="00AA5F9D"/>
    <w:rsid w:val="00AA60C1"/>
    <w:rsid w:val="00AA6B97"/>
    <w:rsid w:val="00AA7E00"/>
    <w:rsid w:val="00AB04CF"/>
    <w:rsid w:val="00AB104A"/>
    <w:rsid w:val="00AB20DB"/>
    <w:rsid w:val="00AB2536"/>
    <w:rsid w:val="00AB2812"/>
    <w:rsid w:val="00AB2E60"/>
    <w:rsid w:val="00AB3427"/>
    <w:rsid w:val="00AB37F7"/>
    <w:rsid w:val="00AB3A46"/>
    <w:rsid w:val="00AB4162"/>
    <w:rsid w:val="00AB48D7"/>
    <w:rsid w:val="00AB54B6"/>
    <w:rsid w:val="00AB5717"/>
    <w:rsid w:val="00AB622E"/>
    <w:rsid w:val="00AB6D3E"/>
    <w:rsid w:val="00AB7550"/>
    <w:rsid w:val="00AC0B41"/>
    <w:rsid w:val="00AC1076"/>
    <w:rsid w:val="00AC1D66"/>
    <w:rsid w:val="00AC2069"/>
    <w:rsid w:val="00AC2965"/>
    <w:rsid w:val="00AC29FD"/>
    <w:rsid w:val="00AC2A0D"/>
    <w:rsid w:val="00AC3438"/>
    <w:rsid w:val="00AC364C"/>
    <w:rsid w:val="00AC366D"/>
    <w:rsid w:val="00AC4695"/>
    <w:rsid w:val="00AC49AA"/>
    <w:rsid w:val="00AC5041"/>
    <w:rsid w:val="00AC55F6"/>
    <w:rsid w:val="00AC582B"/>
    <w:rsid w:val="00AC5F33"/>
    <w:rsid w:val="00AC609B"/>
    <w:rsid w:val="00AC6563"/>
    <w:rsid w:val="00AC6C67"/>
    <w:rsid w:val="00AC6FEA"/>
    <w:rsid w:val="00AC701F"/>
    <w:rsid w:val="00AC707A"/>
    <w:rsid w:val="00AC7220"/>
    <w:rsid w:val="00AD05E3"/>
    <w:rsid w:val="00AD18C6"/>
    <w:rsid w:val="00AD18CC"/>
    <w:rsid w:val="00AD1BA3"/>
    <w:rsid w:val="00AD2457"/>
    <w:rsid w:val="00AD286F"/>
    <w:rsid w:val="00AD318B"/>
    <w:rsid w:val="00AD4788"/>
    <w:rsid w:val="00AD4FC5"/>
    <w:rsid w:val="00AD5012"/>
    <w:rsid w:val="00AD5151"/>
    <w:rsid w:val="00AD54A3"/>
    <w:rsid w:val="00AD5559"/>
    <w:rsid w:val="00AD5AA9"/>
    <w:rsid w:val="00AD6892"/>
    <w:rsid w:val="00AD70A9"/>
    <w:rsid w:val="00AD715A"/>
    <w:rsid w:val="00AD7C32"/>
    <w:rsid w:val="00AE014D"/>
    <w:rsid w:val="00AE062C"/>
    <w:rsid w:val="00AE0F34"/>
    <w:rsid w:val="00AE14C3"/>
    <w:rsid w:val="00AE1CCC"/>
    <w:rsid w:val="00AE1DEC"/>
    <w:rsid w:val="00AE2942"/>
    <w:rsid w:val="00AE29A2"/>
    <w:rsid w:val="00AE329D"/>
    <w:rsid w:val="00AE348F"/>
    <w:rsid w:val="00AE3DD0"/>
    <w:rsid w:val="00AE4DFC"/>
    <w:rsid w:val="00AE516C"/>
    <w:rsid w:val="00AE60AB"/>
    <w:rsid w:val="00AE62F4"/>
    <w:rsid w:val="00AE689A"/>
    <w:rsid w:val="00AE6CA8"/>
    <w:rsid w:val="00AE6CC9"/>
    <w:rsid w:val="00AE6F15"/>
    <w:rsid w:val="00AE7410"/>
    <w:rsid w:val="00AE7BD5"/>
    <w:rsid w:val="00AE7E54"/>
    <w:rsid w:val="00AF0304"/>
    <w:rsid w:val="00AF1034"/>
    <w:rsid w:val="00AF19ED"/>
    <w:rsid w:val="00AF1C6F"/>
    <w:rsid w:val="00AF2035"/>
    <w:rsid w:val="00AF29CA"/>
    <w:rsid w:val="00AF2BA0"/>
    <w:rsid w:val="00AF32B3"/>
    <w:rsid w:val="00AF40C8"/>
    <w:rsid w:val="00AF461D"/>
    <w:rsid w:val="00AF4B9A"/>
    <w:rsid w:val="00AF6017"/>
    <w:rsid w:val="00AF6449"/>
    <w:rsid w:val="00AF6591"/>
    <w:rsid w:val="00AF6652"/>
    <w:rsid w:val="00AF6F66"/>
    <w:rsid w:val="00AF7559"/>
    <w:rsid w:val="00AF755F"/>
    <w:rsid w:val="00AF7C3B"/>
    <w:rsid w:val="00AF7E93"/>
    <w:rsid w:val="00AF7F41"/>
    <w:rsid w:val="00B01B26"/>
    <w:rsid w:val="00B0366E"/>
    <w:rsid w:val="00B03AB8"/>
    <w:rsid w:val="00B03C2A"/>
    <w:rsid w:val="00B041D7"/>
    <w:rsid w:val="00B04481"/>
    <w:rsid w:val="00B04869"/>
    <w:rsid w:val="00B049D0"/>
    <w:rsid w:val="00B04A5A"/>
    <w:rsid w:val="00B051C6"/>
    <w:rsid w:val="00B05B25"/>
    <w:rsid w:val="00B06436"/>
    <w:rsid w:val="00B067B2"/>
    <w:rsid w:val="00B076A8"/>
    <w:rsid w:val="00B0770D"/>
    <w:rsid w:val="00B07881"/>
    <w:rsid w:val="00B07C8E"/>
    <w:rsid w:val="00B10792"/>
    <w:rsid w:val="00B10ABE"/>
    <w:rsid w:val="00B10EBE"/>
    <w:rsid w:val="00B10EE3"/>
    <w:rsid w:val="00B10FB8"/>
    <w:rsid w:val="00B12D8A"/>
    <w:rsid w:val="00B1300C"/>
    <w:rsid w:val="00B13C1A"/>
    <w:rsid w:val="00B1448F"/>
    <w:rsid w:val="00B146A8"/>
    <w:rsid w:val="00B14D5B"/>
    <w:rsid w:val="00B14D8B"/>
    <w:rsid w:val="00B151F8"/>
    <w:rsid w:val="00B15353"/>
    <w:rsid w:val="00B158A9"/>
    <w:rsid w:val="00B15B6A"/>
    <w:rsid w:val="00B1616A"/>
    <w:rsid w:val="00B173E0"/>
    <w:rsid w:val="00B204AB"/>
    <w:rsid w:val="00B20634"/>
    <w:rsid w:val="00B20BAD"/>
    <w:rsid w:val="00B21577"/>
    <w:rsid w:val="00B21E3C"/>
    <w:rsid w:val="00B21EBA"/>
    <w:rsid w:val="00B2232D"/>
    <w:rsid w:val="00B22543"/>
    <w:rsid w:val="00B22E23"/>
    <w:rsid w:val="00B2322D"/>
    <w:rsid w:val="00B23C29"/>
    <w:rsid w:val="00B2481F"/>
    <w:rsid w:val="00B250C2"/>
    <w:rsid w:val="00B251A3"/>
    <w:rsid w:val="00B27591"/>
    <w:rsid w:val="00B27D45"/>
    <w:rsid w:val="00B27DE9"/>
    <w:rsid w:val="00B30256"/>
    <w:rsid w:val="00B31386"/>
    <w:rsid w:val="00B31812"/>
    <w:rsid w:val="00B32D8E"/>
    <w:rsid w:val="00B330AB"/>
    <w:rsid w:val="00B337DD"/>
    <w:rsid w:val="00B339EC"/>
    <w:rsid w:val="00B33A1E"/>
    <w:rsid w:val="00B33B59"/>
    <w:rsid w:val="00B33BFE"/>
    <w:rsid w:val="00B33C12"/>
    <w:rsid w:val="00B33CD5"/>
    <w:rsid w:val="00B34271"/>
    <w:rsid w:val="00B347F0"/>
    <w:rsid w:val="00B348F2"/>
    <w:rsid w:val="00B35215"/>
    <w:rsid w:val="00B355F6"/>
    <w:rsid w:val="00B35881"/>
    <w:rsid w:val="00B3621C"/>
    <w:rsid w:val="00B37344"/>
    <w:rsid w:val="00B37409"/>
    <w:rsid w:val="00B40AF8"/>
    <w:rsid w:val="00B41776"/>
    <w:rsid w:val="00B41F74"/>
    <w:rsid w:val="00B420C9"/>
    <w:rsid w:val="00B42330"/>
    <w:rsid w:val="00B426B9"/>
    <w:rsid w:val="00B42821"/>
    <w:rsid w:val="00B42908"/>
    <w:rsid w:val="00B42B27"/>
    <w:rsid w:val="00B437EF"/>
    <w:rsid w:val="00B43C16"/>
    <w:rsid w:val="00B43CBA"/>
    <w:rsid w:val="00B447FB"/>
    <w:rsid w:val="00B44ADB"/>
    <w:rsid w:val="00B44D5D"/>
    <w:rsid w:val="00B45274"/>
    <w:rsid w:val="00B46A84"/>
    <w:rsid w:val="00B470D4"/>
    <w:rsid w:val="00B47122"/>
    <w:rsid w:val="00B475AC"/>
    <w:rsid w:val="00B47DDE"/>
    <w:rsid w:val="00B500CB"/>
    <w:rsid w:val="00B500FD"/>
    <w:rsid w:val="00B502EB"/>
    <w:rsid w:val="00B50657"/>
    <w:rsid w:val="00B50D7C"/>
    <w:rsid w:val="00B51489"/>
    <w:rsid w:val="00B5154C"/>
    <w:rsid w:val="00B517A7"/>
    <w:rsid w:val="00B51F37"/>
    <w:rsid w:val="00B53112"/>
    <w:rsid w:val="00B5347A"/>
    <w:rsid w:val="00B539BF"/>
    <w:rsid w:val="00B53C42"/>
    <w:rsid w:val="00B54495"/>
    <w:rsid w:val="00B547A9"/>
    <w:rsid w:val="00B55032"/>
    <w:rsid w:val="00B55682"/>
    <w:rsid w:val="00B558D8"/>
    <w:rsid w:val="00B55AD2"/>
    <w:rsid w:val="00B55D30"/>
    <w:rsid w:val="00B564CE"/>
    <w:rsid w:val="00B56D0A"/>
    <w:rsid w:val="00B57712"/>
    <w:rsid w:val="00B577DC"/>
    <w:rsid w:val="00B5781D"/>
    <w:rsid w:val="00B57A74"/>
    <w:rsid w:val="00B57A8D"/>
    <w:rsid w:val="00B60B2C"/>
    <w:rsid w:val="00B616A3"/>
    <w:rsid w:val="00B617ED"/>
    <w:rsid w:val="00B61FA7"/>
    <w:rsid w:val="00B63977"/>
    <w:rsid w:val="00B63D5A"/>
    <w:rsid w:val="00B63F52"/>
    <w:rsid w:val="00B6422B"/>
    <w:rsid w:val="00B6423A"/>
    <w:rsid w:val="00B646B7"/>
    <w:rsid w:val="00B64EB8"/>
    <w:rsid w:val="00B65905"/>
    <w:rsid w:val="00B65C0D"/>
    <w:rsid w:val="00B65C64"/>
    <w:rsid w:val="00B65E03"/>
    <w:rsid w:val="00B6793E"/>
    <w:rsid w:val="00B67E00"/>
    <w:rsid w:val="00B70308"/>
    <w:rsid w:val="00B70AA4"/>
    <w:rsid w:val="00B71000"/>
    <w:rsid w:val="00B71EFA"/>
    <w:rsid w:val="00B72393"/>
    <w:rsid w:val="00B723BF"/>
    <w:rsid w:val="00B72A14"/>
    <w:rsid w:val="00B72A69"/>
    <w:rsid w:val="00B73202"/>
    <w:rsid w:val="00B732E7"/>
    <w:rsid w:val="00B735CF"/>
    <w:rsid w:val="00B7364D"/>
    <w:rsid w:val="00B74B0A"/>
    <w:rsid w:val="00B753FE"/>
    <w:rsid w:val="00B75588"/>
    <w:rsid w:val="00B75B88"/>
    <w:rsid w:val="00B76D57"/>
    <w:rsid w:val="00B76F30"/>
    <w:rsid w:val="00B773BE"/>
    <w:rsid w:val="00B775B9"/>
    <w:rsid w:val="00B77EFE"/>
    <w:rsid w:val="00B77F3F"/>
    <w:rsid w:val="00B8073A"/>
    <w:rsid w:val="00B80F45"/>
    <w:rsid w:val="00B81E84"/>
    <w:rsid w:val="00B82802"/>
    <w:rsid w:val="00B8337A"/>
    <w:rsid w:val="00B8376E"/>
    <w:rsid w:val="00B83B00"/>
    <w:rsid w:val="00B83C37"/>
    <w:rsid w:val="00B8426E"/>
    <w:rsid w:val="00B84AE0"/>
    <w:rsid w:val="00B84D50"/>
    <w:rsid w:val="00B853C0"/>
    <w:rsid w:val="00B85B44"/>
    <w:rsid w:val="00B86183"/>
    <w:rsid w:val="00B86419"/>
    <w:rsid w:val="00B86A4C"/>
    <w:rsid w:val="00B86C96"/>
    <w:rsid w:val="00B86F84"/>
    <w:rsid w:val="00B9057C"/>
    <w:rsid w:val="00B919C4"/>
    <w:rsid w:val="00B92AFC"/>
    <w:rsid w:val="00B92C6B"/>
    <w:rsid w:val="00B9325D"/>
    <w:rsid w:val="00B93C55"/>
    <w:rsid w:val="00B94823"/>
    <w:rsid w:val="00B948E4"/>
    <w:rsid w:val="00B949F9"/>
    <w:rsid w:val="00B94C9A"/>
    <w:rsid w:val="00B94F91"/>
    <w:rsid w:val="00B955BE"/>
    <w:rsid w:val="00B95E85"/>
    <w:rsid w:val="00B96272"/>
    <w:rsid w:val="00B96361"/>
    <w:rsid w:val="00B96E26"/>
    <w:rsid w:val="00B972B7"/>
    <w:rsid w:val="00B97BAA"/>
    <w:rsid w:val="00B97CFF"/>
    <w:rsid w:val="00B97F71"/>
    <w:rsid w:val="00BA05B2"/>
    <w:rsid w:val="00BA0E17"/>
    <w:rsid w:val="00BA1DCE"/>
    <w:rsid w:val="00BA2801"/>
    <w:rsid w:val="00BA2A7F"/>
    <w:rsid w:val="00BA2CD7"/>
    <w:rsid w:val="00BA39A6"/>
    <w:rsid w:val="00BA3B96"/>
    <w:rsid w:val="00BA42F9"/>
    <w:rsid w:val="00BA4373"/>
    <w:rsid w:val="00BA5154"/>
    <w:rsid w:val="00BA524D"/>
    <w:rsid w:val="00BA5DD3"/>
    <w:rsid w:val="00BA5F0C"/>
    <w:rsid w:val="00BA639A"/>
    <w:rsid w:val="00BA648D"/>
    <w:rsid w:val="00BA681D"/>
    <w:rsid w:val="00BA7412"/>
    <w:rsid w:val="00BA78C0"/>
    <w:rsid w:val="00BA78EB"/>
    <w:rsid w:val="00BA7B85"/>
    <w:rsid w:val="00BA7FD0"/>
    <w:rsid w:val="00BB0D20"/>
    <w:rsid w:val="00BB1862"/>
    <w:rsid w:val="00BB2143"/>
    <w:rsid w:val="00BB267E"/>
    <w:rsid w:val="00BB275C"/>
    <w:rsid w:val="00BB2940"/>
    <w:rsid w:val="00BB3F9B"/>
    <w:rsid w:val="00BB420E"/>
    <w:rsid w:val="00BB4F9C"/>
    <w:rsid w:val="00BB573C"/>
    <w:rsid w:val="00BB57C4"/>
    <w:rsid w:val="00BB5AC7"/>
    <w:rsid w:val="00BB5B77"/>
    <w:rsid w:val="00BB5DA6"/>
    <w:rsid w:val="00BB6036"/>
    <w:rsid w:val="00BB6FCA"/>
    <w:rsid w:val="00BB7CD8"/>
    <w:rsid w:val="00BC0895"/>
    <w:rsid w:val="00BC1B1D"/>
    <w:rsid w:val="00BC1FF3"/>
    <w:rsid w:val="00BC2377"/>
    <w:rsid w:val="00BC27E0"/>
    <w:rsid w:val="00BC2C41"/>
    <w:rsid w:val="00BC488C"/>
    <w:rsid w:val="00BC5041"/>
    <w:rsid w:val="00BC56E3"/>
    <w:rsid w:val="00BC57B7"/>
    <w:rsid w:val="00BC593B"/>
    <w:rsid w:val="00BC5F6E"/>
    <w:rsid w:val="00BC71FD"/>
    <w:rsid w:val="00BC72FE"/>
    <w:rsid w:val="00BC7763"/>
    <w:rsid w:val="00BD0177"/>
    <w:rsid w:val="00BD0273"/>
    <w:rsid w:val="00BD0459"/>
    <w:rsid w:val="00BD06BB"/>
    <w:rsid w:val="00BD0C1C"/>
    <w:rsid w:val="00BD1565"/>
    <w:rsid w:val="00BD1D27"/>
    <w:rsid w:val="00BD2DAE"/>
    <w:rsid w:val="00BD32EC"/>
    <w:rsid w:val="00BD3353"/>
    <w:rsid w:val="00BD34D6"/>
    <w:rsid w:val="00BD41F5"/>
    <w:rsid w:val="00BD456B"/>
    <w:rsid w:val="00BD4A6E"/>
    <w:rsid w:val="00BD4A86"/>
    <w:rsid w:val="00BD5229"/>
    <w:rsid w:val="00BD53E1"/>
    <w:rsid w:val="00BD5451"/>
    <w:rsid w:val="00BD5755"/>
    <w:rsid w:val="00BD65FD"/>
    <w:rsid w:val="00BD70E2"/>
    <w:rsid w:val="00BD71F4"/>
    <w:rsid w:val="00BD7387"/>
    <w:rsid w:val="00BD76C8"/>
    <w:rsid w:val="00BD77B1"/>
    <w:rsid w:val="00BD7CDB"/>
    <w:rsid w:val="00BE02B0"/>
    <w:rsid w:val="00BE04D5"/>
    <w:rsid w:val="00BE05FB"/>
    <w:rsid w:val="00BE0C8B"/>
    <w:rsid w:val="00BE1333"/>
    <w:rsid w:val="00BE1582"/>
    <w:rsid w:val="00BE4A23"/>
    <w:rsid w:val="00BE4C71"/>
    <w:rsid w:val="00BE4E0D"/>
    <w:rsid w:val="00BE5016"/>
    <w:rsid w:val="00BE521E"/>
    <w:rsid w:val="00BE546A"/>
    <w:rsid w:val="00BE571C"/>
    <w:rsid w:val="00BE69DF"/>
    <w:rsid w:val="00BE7912"/>
    <w:rsid w:val="00BF00F5"/>
    <w:rsid w:val="00BF03FE"/>
    <w:rsid w:val="00BF047F"/>
    <w:rsid w:val="00BF179F"/>
    <w:rsid w:val="00BF1922"/>
    <w:rsid w:val="00BF1B23"/>
    <w:rsid w:val="00BF2689"/>
    <w:rsid w:val="00BF27C4"/>
    <w:rsid w:val="00BF2C06"/>
    <w:rsid w:val="00BF2E4A"/>
    <w:rsid w:val="00BF372B"/>
    <w:rsid w:val="00BF47A0"/>
    <w:rsid w:val="00BF4E15"/>
    <w:rsid w:val="00BF5396"/>
    <w:rsid w:val="00BF5946"/>
    <w:rsid w:val="00BF5B99"/>
    <w:rsid w:val="00BF7AC6"/>
    <w:rsid w:val="00BF7C66"/>
    <w:rsid w:val="00BF7E13"/>
    <w:rsid w:val="00C01317"/>
    <w:rsid w:val="00C01A26"/>
    <w:rsid w:val="00C01A71"/>
    <w:rsid w:val="00C01C82"/>
    <w:rsid w:val="00C01DE0"/>
    <w:rsid w:val="00C020CE"/>
    <w:rsid w:val="00C02320"/>
    <w:rsid w:val="00C02917"/>
    <w:rsid w:val="00C02B07"/>
    <w:rsid w:val="00C0363C"/>
    <w:rsid w:val="00C036FB"/>
    <w:rsid w:val="00C0379D"/>
    <w:rsid w:val="00C03AF2"/>
    <w:rsid w:val="00C03CB2"/>
    <w:rsid w:val="00C0418B"/>
    <w:rsid w:val="00C04222"/>
    <w:rsid w:val="00C0560A"/>
    <w:rsid w:val="00C0657C"/>
    <w:rsid w:val="00C06CD3"/>
    <w:rsid w:val="00C06D38"/>
    <w:rsid w:val="00C07E8B"/>
    <w:rsid w:val="00C1014C"/>
    <w:rsid w:val="00C10A37"/>
    <w:rsid w:val="00C123BE"/>
    <w:rsid w:val="00C12F11"/>
    <w:rsid w:val="00C137B4"/>
    <w:rsid w:val="00C13886"/>
    <w:rsid w:val="00C13A48"/>
    <w:rsid w:val="00C13E85"/>
    <w:rsid w:val="00C14536"/>
    <w:rsid w:val="00C15B87"/>
    <w:rsid w:val="00C16D0B"/>
    <w:rsid w:val="00C17A39"/>
    <w:rsid w:val="00C17BAC"/>
    <w:rsid w:val="00C17D39"/>
    <w:rsid w:val="00C17FB9"/>
    <w:rsid w:val="00C201FA"/>
    <w:rsid w:val="00C20B9B"/>
    <w:rsid w:val="00C20D66"/>
    <w:rsid w:val="00C22CB7"/>
    <w:rsid w:val="00C23126"/>
    <w:rsid w:val="00C23330"/>
    <w:rsid w:val="00C23D63"/>
    <w:rsid w:val="00C23F30"/>
    <w:rsid w:val="00C23F95"/>
    <w:rsid w:val="00C24977"/>
    <w:rsid w:val="00C25191"/>
    <w:rsid w:val="00C2524C"/>
    <w:rsid w:val="00C259B7"/>
    <w:rsid w:val="00C276DC"/>
    <w:rsid w:val="00C277B5"/>
    <w:rsid w:val="00C3104B"/>
    <w:rsid w:val="00C31915"/>
    <w:rsid w:val="00C31CBD"/>
    <w:rsid w:val="00C32A4A"/>
    <w:rsid w:val="00C331C9"/>
    <w:rsid w:val="00C3337E"/>
    <w:rsid w:val="00C333D6"/>
    <w:rsid w:val="00C33533"/>
    <w:rsid w:val="00C33C85"/>
    <w:rsid w:val="00C33DDF"/>
    <w:rsid w:val="00C33E3F"/>
    <w:rsid w:val="00C34371"/>
    <w:rsid w:val="00C35405"/>
    <w:rsid w:val="00C3554D"/>
    <w:rsid w:val="00C35B58"/>
    <w:rsid w:val="00C35F3B"/>
    <w:rsid w:val="00C36911"/>
    <w:rsid w:val="00C36DFF"/>
    <w:rsid w:val="00C36F1E"/>
    <w:rsid w:val="00C371CE"/>
    <w:rsid w:val="00C37365"/>
    <w:rsid w:val="00C37A8E"/>
    <w:rsid w:val="00C37FF0"/>
    <w:rsid w:val="00C417EB"/>
    <w:rsid w:val="00C4184F"/>
    <w:rsid w:val="00C41F05"/>
    <w:rsid w:val="00C43D67"/>
    <w:rsid w:val="00C44950"/>
    <w:rsid w:val="00C45371"/>
    <w:rsid w:val="00C453C0"/>
    <w:rsid w:val="00C453E7"/>
    <w:rsid w:val="00C46416"/>
    <w:rsid w:val="00C477A8"/>
    <w:rsid w:val="00C47D3D"/>
    <w:rsid w:val="00C500D3"/>
    <w:rsid w:val="00C501D2"/>
    <w:rsid w:val="00C509EA"/>
    <w:rsid w:val="00C51A01"/>
    <w:rsid w:val="00C51C85"/>
    <w:rsid w:val="00C51F54"/>
    <w:rsid w:val="00C5259B"/>
    <w:rsid w:val="00C52918"/>
    <w:rsid w:val="00C5308A"/>
    <w:rsid w:val="00C53318"/>
    <w:rsid w:val="00C5360E"/>
    <w:rsid w:val="00C53E88"/>
    <w:rsid w:val="00C54392"/>
    <w:rsid w:val="00C547E8"/>
    <w:rsid w:val="00C54A7F"/>
    <w:rsid w:val="00C557DE"/>
    <w:rsid w:val="00C55B69"/>
    <w:rsid w:val="00C55BC6"/>
    <w:rsid w:val="00C5630C"/>
    <w:rsid w:val="00C56F27"/>
    <w:rsid w:val="00C57D77"/>
    <w:rsid w:val="00C57E37"/>
    <w:rsid w:val="00C60175"/>
    <w:rsid w:val="00C610EA"/>
    <w:rsid w:val="00C618C6"/>
    <w:rsid w:val="00C61E02"/>
    <w:rsid w:val="00C62607"/>
    <w:rsid w:val="00C63E21"/>
    <w:rsid w:val="00C64A95"/>
    <w:rsid w:val="00C653D1"/>
    <w:rsid w:val="00C65859"/>
    <w:rsid w:val="00C66B4B"/>
    <w:rsid w:val="00C676A8"/>
    <w:rsid w:val="00C70621"/>
    <w:rsid w:val="00C707CC"/>
    <w:rsid w:val="00C70A93"/>
    <w:rsid w:val="00C70B3F"/>
    <w:rsid w:val="00C70E09"/>
    <w:rsid w:val="00C7149D"/>
    <w:rsid w:val="00C71C41"/>
    <w:rsid w:val="00C71C8E"/>
    <w:rsid w:val="00C72AC7"/>
    <w:rsid w:val="00C75188"/>
    <w:rsid w:val="00C757C6"/>
    <w:rsid w:val="00C75A94"/>
    <w:rsid w:val="00C764E2"/>
    <w:rsid w:val="00C775CD"/>
    <w:rsid w:val="00C80439"/>
    <w:rsid w:val="00C80904"/>
    <w:rsid w:val="00C814D3"/>
    <w:rsid w:val="00C818EB"/>
    <w:rsid w:val="00C81929"/>
    <w:rsid w:val="00C81EBA"/>
    <w:rsid w:val="00C82BF1"/>
    <w:rsid w:val="00C832AC"/>
    <w:rsid w:val="00C838C4"/>
    <w:rsid w:val="00C83A15"/>
    <w:rsid w:val="00C845AC"/>
    <w:rsid w:val="00C84D4D"/>
    <w:rsid w:val="00C852F9"/>
    <w:rsid w:val="00C853CD"/>
    <w:rsid w:val="00C86A40"/>
    <w:rsid w:val="00C86D8B"/>
    <w:rsid w:val="00C878B5"/>
    <w:rsid w:val="00C87EF3"/>
    <w:rsid w:val="00C901E4"/>
    <w:rsid w:val="00C90F2D"/>
    <w:rsid w:val="00C9130F"/>
    <w:rsid w:val="00C915A4"/>
    <w:rsid w:val="00C917E9"/>
    <w:rsid w:val="00C91CA2"/>
    <w:rsid w:val="00C91D83"/>
    <w:rsid w:val="00C91F9A"/>
    <w:rsid w:val="00C921BA"/>
    <w:rsid w:val="00C92497"/>
    <w:rsid w:val="00C92B83"/>
    <w:rsid w:val="00C93285"/>
    <w:rsid w:val="00C9385D"/>
    <w:rsid w:val="00C93E8F"/>
    <w:rsid w:val="00C9481F"/>
    <w:rsid w:val="00C94D2E"/>
    <w:rsid w:val="00C9509F"/>
    <w:rsid w:val="00C959F8"/>
    <w:rsid w:val="00C95B99"/>
    <w:rsid w:val="00C960F4"/>
    <w:rsid w:val="00C968C1"/>
    <w:rsid w:val="00C96A05"/>
    <w:rsid w:val="00C9722A"/>
    <w:rsid w:val="00C975C9"/>
    <w:rsid w:val="00C9762C"/>
    <w:rsid w:val="00C97D97"/>
    <w:rsid w:val="00CA0116"/>
    <w:rsid w:val="00CA0236"/>
    <w:rsid w:val="00CA0521"/>
    <w:rsid w:val="00CA163B"/>
    <w:rsid w:val="00CA247B"/>
    <w:rsid w:val="00CA27A3"/>
    <w:rsid w:val="00CA27D6"/>
    <w:rsid w:val="00CA2D4B"/>
    <w:rsid w:val="00CA38CB"/>
    <w:rsid w:val="00CA417F"/>
    <w:rsid w:val="00CA4D3E"/>
    <w:rsid w:val="00CA5308"/>
    <w:rsid w:val="00CA5EF1"/>
    <w:rsid w:val="00CA7A4B"/>
    <w:rsid w:val="00CA7C39"/>
    <w:rsid w:val="00CB00A4"/>
    <w:rsid w:val="00CB0EF9"/>
    <w:rsid w:val="00CB2AA5"/>
    <w:rsid w:val="00CB2D5F"/>
    <w:rsid w:val="00CB31D5"/>
    <w:rsid w:val="00CB42EA"/>
    <w:rsid w:val="00CB439A"/>
    <w:rsid w:val="00CB50BD"/>
    <w:rsid w:val="00CB54E2"/>
    <w:rsid w:val="00CB5528"/>
    <w:rsid w:val="00CB756A"/>
    <w:rsid w:val="00CC056C"/>
    <w:rsid w:val="00CC080C"/>
    <w:rsid w:val="00CC1096"/>
    <w:rsid w:val="00CC1AFD"/>
    <w:rsid w:val="00CC3A03"/>
    <w:rsid w:val="00CC3EBA"/>
    <w:rsid w:val="00CC4956"/>
    <w:rsid w:val="00CC6046"/>
    <w:rsid w:val="00CC620F"/>
    <w:rsid w:val="00CC6878"/>
    <w:rsid w:val="00CC7924"/>
    <w:rsid w:val="00CD036F"/>
    <w:rsid w:val="00CD0896"/>
    <w:rsid w:val="00CD1BF8"/>
    <w:rsid w:val="00CD1F70"/>
    <w:rsid w:val="00CD22E9"/>
    <w:rsid w:val="00CD2BF8"/>
    <w:rsid w:val="00CD2F4A"/>
    <w:rsid w:val="00CD3663"/>
    <w:rsid w:val="00CD3E07"/>
    <w:rsid w:val="00CD48AB"/>
    <w:rsid w:val="00CD545F"/>
    <w:rsid w:val="00CD547B"/>
    <w:rsid w:val="00CD5AF7"/>
    <w:rsid w:val="00CD6453"/>
    <w:rsid w:val="00CD6AAB"/>
    <w:rsid w:val="00CE02D0"/>
    <w:rsid w:val="00CE07AD"/>
    <w:rsid w:val="00CE1025"/>
    <w:rsid w:val="00CE3976"/>
    <w:rsid w:val="00CE3B9E"/>
    <w:rsid w:val="00CE4F94"/>
    <w:rsid w:val="00CE5102"/>
    <w:rsid w:val="00CE5225"/>
    <w:rsid w:val="00CE5643"/>
    <w:rsid w:val="00CE58E7"/>
    <w:rsid w:val="00CE6914"/>
    <w:rsid w:val="00CE6AA7"/>
    <w:rsid w:val="00CE6E7E"/>
    <w:rsid w:val="00CE747F"/>
    <w:rsid w:val="00CE775E"/>
    <w:rsid w:val="00CE77C0"/>
    <w:rsid w:val="00CE7F75"/>
    <w:rsid w:val="00CF01FE"/>
    <w:rsid w:val="00CF0C75"/>
    <w:rsid w:val="00CF0EF3"/>
    <w:rsid w:val="00CF107B"/>
    <w:rsid w:val="00CF16A0"/>
    <w:rsid w:val="00CF1A6B"/>
    <w:rsid w:val="00CF2283"/>
    <w:rsid w:val="00CF303D"/>
    <w:rsid w:val="00CF34C9"/>
    <w:rsid w:val="00CF3887"/>
    <w:rsid w:val="00CF44B8"/>
    <w:rsid w:val="00CF46C7"/>
    <w:rsid w:val="00CF4FE7"/>
    <w:rsid w:val="00CF556D"/>
    <w:rsid w:val="00CF5D1B"/>
    <w:rsid w:val="00CF6E86"/>
    <w:rsid w:val="00CF6F60"/>
    <w:rsid w:val="00CF79CF"/>
    <w:rsid w:val="00D004EC"/>
    <w:rsid w:val="00D00A22"/>
    <w:rsid w:val="00D00D05"/>
    <w:rsid w:val="00D00DE9"/>
    <w:rsid w:val="00D0159B"/>
    <w:rsid w:val="00D01B1B"/>
    <w:rsid w:val="00D01C22"/>
    <w:rsid w:val="00D025FD"/>
    <w:rsid w:val="00D03ACE"/>
    <w:rsid w:val="00D03D0A"/>
    <w:rsid w:val="00D03D4B"/>
    <w:rsid w:val="00D05115"/>
    <w:rsid w:val="00D05745"/>
    <w:rsid w:val="00D058FE"/>
    <w:rsid w:val="00D05AA7"/>
    <w:rsid w:val="00D05F03"/>
    <w:rsid w:val="00D0649A"/>
    <w:rsid w:val="00D06A2B"/>
    <w:rsid w:val="00D06C0F"/>
    <w:rsid w:val="00D07B3E"/>
    <w:rsid w:val="00D07F41"/>
    <w:rsid w:val="00D106D6"/>
    <w:rsid w:val="00D1082D"/>
    <w:rsid w:val="00D110BE"/>
    <w:rsid w:val="00D118EF"/>
    <w:rsid w:val="00D1260A"/>
    <w:rsid w:val="00D12646"/>
    <w:rsid w:val="00D1274F"/>
    <w:rsid w:val="00D1355D"/>
    <w:rsid w:val="00D13775"/>
    <w:rsid w:val="00D13878"/>
    <w:rsid w:val="00D13AE8"/>
    <w:rsid w:val="00D13B69"/>
    <w:rsid w:val="00D13E27"/>
    <w:rsid w:val="00D14FAD"/>
    <w:rsid w:val="00D15193"/>
    <w:rsid w:val="00D151A5"/>
    <w:rsid w:val="00D15268"/>
    <w:rsid w:val="00D15367"/>
    <w:rsid w:val="00D153D9"/>
    <w:rsid w:val="00D1594A"/>
    <w:rsid w:val="00D1622B"/>
    <w:rsid w:val="00D16F63"/>
    <w:rsid w:val="00D176C3"/>
    <w:rsid w:val="00D176C9"/>
    <w:rsid w:val="00D1770F"/>
    <w:rsid w:val="00D17EB6"/>
    <w:rsid w:val="00D21F08"/>
    <w:rsid w:val="00D224DB"/>
    <w:rsid w:val="00D231EF"/>
    <w:rsid w:val="00D235B9"/>
    <w:rsid w:val="00D23C76"/>
    <w:rsid w:val="00D23D2A"/>
    <w:rsid w:val="00D2464F"/>
    <w:rsid w:val="00D248B4"/>
    <w:rsid w:val="00D24D14"/>
    <w:rsid w:val="00D24D74"/>
    <w:rsid w:val="00D25513"/>
    <w:rsid w:val="00D2589B"/>
    <w:rsid w:val="00D2591F"/>
    <w:rsid w:val="00D25985"/>
    <w:rsid w:val="00D25A2D"/>
    <w:rsid w:val="00D25B96"/>
    <w:rsid w:val="00D261C4"/>
    <w:rsid w:val="00D26B90"/>
    <w:rsid w:val="00D26C6A"/>
    <w:rsid w:val="00D276E0"/>
    <w:rsid w:val="00D3032C"/>
    <w:rsid w:val="00D31658"/>
    <w:rsid w:val="00D31B86"/>
    <w:rsid w:val="00D31D86"/>
    <w:rsid w:val="00D31F56"/>
    <w:rsid w:val="00D3219B"/>
    <w:rsid w:val="00D32351"/>
    <w:rsid w:val="00D33340"/>
    <w:rsid w:val="00D33674"/>
    <w:rsid w:val="00D336D9"/>
    <w:rsid w:val="00D33AC2"/>
    <w:rsid w:val="00D33B5E"/>
    <w:rsid w:val="00D33CAB"/>
    <w:rsid w:val="00D33E2E"/>
    <w:rsid w:val="00D34454"/>
    <w:rsid w:val="00D3467A"/>
    <w:rsid w:val="00D34790"/>
    <w:rsid w:val="00D347DD"/>
    <w:rsid w:val="00D35436"/>
    <w:rsid w:val="00D3564A"/>
    <w:rsid w:val="00D3617A"/>
    <w:rsid w:val="00D363D7"/>
    <w:rsid w:val="00D36F91"/>
    <w:rsid w:val="00D36FA6"/>
    <w:rsid w:val="00D376BC"/>
    <w:rsid w:val="00D37880"/>
    <w:rsid w:val="00D409DD"/>
    <w:rsid w:val="00D40C5F"/>
    <w:rsid w:val="00D4275A"/>
    <w:rsid w:val="00D4346D"/>
    <w:rsid w:val="00D4414C"/>
    <w:rsid w:val="00D44798"/>
    <w:rsid w:val="00D44AD4"/>
    <w:rsid w:val="00D44C25"/>
    <w:rsid w:val="00D44F0A"/>
    <w:rsid w:val="00D44F0E"/>
    <w:rsid w:val="00D44F33"/>
    <w:rsid w:val="00D450F5"/>
    <w:rsid w:val="00D45E4A"/>
    <w:rsid w:val="00D46308"/>
    <w:rsid w:val="00D4665C"/>
    <w:rsid w:val="00D46AF5"/>
    <w:rsid w:val="00D46E9E"/>
    <w:rsid w:val="00D4702E"/>
    <w:rsid w:val="00D47630"/>
    <w:rsid w:val="00D47815"/>
    <w:rsid w:val="00D47CE7"/>
    <w:rsid w:val="00D47E03"/>
    <w:rsid w:val="00D47F92"/>
    <w:rsid w:val="00D50A25"/>
    <w:rsid w:val="00D51170"/>
    <w:rsid w:val="00D512D6"/>
    <w:rsid w:val="00D51907"/>
    <w:rsid w:val="00D519E6"/>
    <w:rsid w:val="00D527FA"/>
    <w:rsid w:val="00D5384C"/>
    <w:rsid w:val="00D5485C"/>
    <w:rsid w:val="00D54BD5"/>
    <w:rsid w:val="00D54D61"/>
    <w:rsid w:val="00D55B01"/>
    <w:rsid w:val="00D56734"/>
    <w:rsid w:val="00D56B17"/>
    <w:rsid w:val="00D5708B"/>
    <w:rsid w:val="00D570F9"/>
    <w:rsid w:val="00D577CE"/>
    <w:rsid w:val="00D57978"/>
    <w:rsid w:val="00D57D50"/>
    <w:rsid w:val="00D6135A"/>
    <w:rsid w:val="00D618EB"/>
    <w:rsid w:val="00D621D6"/>
    <w:rsid w:val="00D62461"/>
    <w:rsid w:val="00D6431C"/>
    <w:rsid w:val="00D64624"/>
    <w:rsid w:val="00D649E9"/>
    <w:rsid w:val="00D64DD8"/>
    <w:rsid w:val="00D66573"/>
    <w:rsid w:val="00D670AC"/>
    <w:rsid w:val="00D67E48"/>
    <w:rsid w:val="00D71BF4"/>
    <w:rsid w:val="00D71D89"/>
    <w:rsid w:val="00D731EB"/>
    <w:rsid w:val="00D73319"/>
    <w:rsid w:val="00D7403F"/>
    <w:rsid w:val="00D741BB"/>
    <w:rsid w:val="00D7443B"/>
    <w:rsid w:val="00D7462E"/>
    <w:rsid w:val="00D74A2F"/>
    <w:rsid w:val="00D75141"/>
    <w:rsid w:val="00D75FCE"/>
    <w:rsid w:val="00D766A9"/>
    <w:rsid w:val="00D809FC"/>
    <w:rsid w:val="00D80C1A"/>
    <w:rsid w:val="00D811DD"/>
    <w:rsid w:val="00D8150E"/>
    <w:rsid w:val="00D8359D"/>
    <w:rsid w:val="00D837F9"/>
    <w:rsid w:val="00D84232"/>
    <w:rsid w:val="00D849C2"/>
    <w:rsid w:val="00D86576"/>
    <w:rsid w:val="00D87E89"/>
    <w:rsid w:val="00D913D9"/>
    <w:rsid w:val="00D926D3"/>
    <w:rsid w:val="00D92A65"/>
    <w:rsid w:val="00D92F79"/>
    <w:rsid w:val="00D94A7F"/>
    <w:rsid w:val="00D95020"/>
    <w:rsid w:val="00D95752"/>
    <w:rsid w:val="00D96355"/>
    <w:rsid w:val="00D96AD1"/>
    <w:rsid w:val="00D976D4"/>
    <w:rsid w:val="00D97B05"/>
    <w:rsid w:val="00D97C67"/>
    <w:rsid w:val="00D97D85"/>
    <w:rsid w:val="00DA00F1"/>
    <w:rsid w:val="00DA072C"/>
    <w:rsid w:val="00DA0D23"/>
    <w:rsid w:val="00DA1D9E"/>
    <w:rsid w:val="00DA1ECE"/>
    <w:rsid w:val="00DA2AB9"/>
    <w:rsid w:val="00DA2F8F"/>
    <w:rsid w:val="00DA3121"/>
    <w:rsid w:val="00DA31FA"/>
    <w:rsid w:val="00DA330C"/>
    <w:rsid w:val="00DA3A94"/>
    <w:rsid w:val="00DA3AE3"/>
    <w:rsid w:val="00DA3E06"/>
    <w:rsid w:val="00DA4B81"/>
    <w:rsid w:val="00DA55E5"/>
    <w:rsid w:val="00DA59B3"/>
    <w:rsid w:val="00DA5B1D"/>
    <w:rsid w:val="00DA6833"/>
    <w:rsid w:val="00DA6B19"/>
    <w:rsid w:val="00DA7942"/>
    <w:rsid w:val="00DB0068"/>
    <w:rsid w:val="00DB0643"/>
    <w:rsid w:val="00DB0878"/>
    <w:rsid w:val="00DB0E33"/>
    <w:rsid w:val="00DB1377"/>
    <w:rsid w:val="00DB206D"/>
    <w:rsid w:val="00DB2AAE"/>
    <w:rsid w:val="00DB349B"/>
    <w:rsid w:val="00DB597E"/>
    <w:rsid w:val="00DB6027"/>
    <w:rsid w:val="00DB6A09"/>
    <w:rsid w:val="00DB7199"/>
    <w:rsid w:val="00DB7880"/>
    <w:rsid w:val="00DB7BA1"/>
    <w:rsid w:val="00DC05BF"/>
    <w:rsid w:val="00DC0D4B"/>
    <w:rsid w:val="00DC10B4"/>
    <w:rsid w:val="00DC18EB"/>
    <w:rsid w:val="00DC2364"/>
    <w:rsid w:val="00DC24F0"/>
    <w:rsid w:val="00DC2886"/>
    <w:rsid w:val="00DC2A4F"/>
    <w:rsid w:val="00DC2BB6"/>
    <w:rsid w:val="00DC3129"/>
    <w:rsid w:val="00DC31A3"/>
    <w:rsid w:val="00DC4427"/>
    <w:rsid w:val="00DC458C"/>
    <w:rsid w:val="00DC6197"/>
    <w:rsid w:val="00DC67E1"/>
    <w:rsid w:val="00DC68C4"/>
    <w:rsid w:val="00DC75D1"/>
    <w:rsid w:val="00DC7754"/>
    <w:rsid w:val="00DD0457"/>
    <w:rsid w:val="00DD0F44"/>
    <w:rsid w:val="00DD165D"/>
    <w:rsid w:val="00DD1A59"/>
    <w:rsid w:val="00DD267D"/>
    <w:rsid w:val="00DD276A"/>
    <w:rsid w:val="00DD2B4E"/>
    <w:rsid w:val="00DD2DEA"/>
    <w:rsid w:val="00DD3CCA"/>
    <w:rsid w:val="00DD3EC3"/>
    <w:rsid w:val="00DD5DA7"/>
    <w:rsid w:val="00DD64ED"/>
    <w:rsid w:val="00DD72FE"/>
    <w:rsid w:val="00DD7A3C"/>
    <w:rsid w:val="00DE031B"/>
    <w:rsid w:val="00DE048D"/>
    <w:rsid w:val="00DE088E"/>
    <w:rsid w:val="00DE0B5C"/>
    <w:rsid w:val="00DE26EE"/>
    <w:rsid w:val="00DE2866"/>
    <w:rsid w:val="00DE2E6C"/>
    <w:rsid w:val="00DE302D"/>
    <w:rsid w:val="00DE33C9"/>
    <w:rsid w:val="00DE3A7A"/>
    <w:rsid w:val="00DE429D"/>
    <w:rsid w:val="00DE4E69"/>
    <w:rsid w:val="00DE5288"/>
    <w:rsid w:val="00DE5710"/>
    <w:rsid w:val="00DE5DDC"/>
    <w:rsid w:val="00DE608C"/>
    <w:rsid w:val="00DE666A"/>
    <w:rsid w:val="00DE6BA0"/>
    <w:rsid w:val="00DE6BEF"/>
    <w:rsid w:val="00DE6C09"/>
    <w:rsid w:val="00DE6E63"/>
    <w:rsid w:val="00DE7024"/>
    <w:rsid w:val="00DE723C"/>
    <w:rsid w:val="00DE74C7"/>
    <w:rsid w:val="00DE7ABA"/>
    <w:rsid w:val="00DF03EE"/>
    <w:rsid w:val="00DF10AF"/>
    <w:rsid w:val="00DF1726"/>
    <w:rsid w:val="00DF262C"/>
    <w:rsid w:val="00DF2B76"/>
    <w:rsid w:val="00DF2EEA"/>
    <w:rsid w:val="00DF3515"/>
    <w:rsid w:val="00DF35B0"/>
    <w:rsid w:val="00DF38B1"/>
    <w:rsid w:val="00DF39E0"/>
    <w:rsid w:val="00DF3ADE"/>
    <w:rsid w:val="00DF48E3"/>
    <w:rsid w:val="00DF4CDC"/>
    <w:rsid w:val="00DF4DE7"/>
    <w:rsid w:val="00DF516F"/>
    <w:rsid w:val="00DF55D5"/>
    <w:rsid w:val="00DF57E4"/>
    <w:rsid w:val="00DF5A18"/>
    <w:rsid w:val="00DF5BA2"/>
    <w:rsid w:val="00DF5BB3"/>
    <w:rsid w:val="00DF7287"/>
    <w:rsid w:val="00DF7F39"/>
    <w:rsid w:val="00E001D8"/>
    <w:rsid w:val="00E0054A"/>
    <w:rsid w:val="00E0126F"/>
    <w:rsid w:val="00E016A8"/>
    <w:rsid w:val="00E01E53"/>
    <w:rsid w:val="00E02495"/>
    <w:rsid w:val="00E025BC"/>
    <w:rsid w:val="00E02D81"/>
    <w:rsid w:val="00E02DBD"/>
    <w:rsid w:val="00E0400D"/>
    <w:rsid w:val="00E04033"/>
    <w:rsid w:val="00E05559"/>
    <w:rsid w:val="00E05AE4"/>
    <w:rsid w:val="00E0664D"/>
    <w:rsid w:val="00E069C5"/>
    <w:rsid w:val="00E06DCC"/>
    <w:rsid w:val="00E07066"/>
    <w:rsid w:val="00E072CF"/>
    <w:rsid w:val="00E072E7"/>
    <w:rsid w:val="00E10701"/>
    <w:rsid w:val="00E11743"/>
    <w:rsid w:val="00E124D2"/>
    <w:rsid w:val="00E12762"/>
    <w:rsid w:val="00E12936"/>
    <w:rsid w:val="00E12FE3"/>
    <w:rsid w:val="00E132C2"/>
    <w:rsid w:val="00E13727"/>
    <w:rsid w:val="00E13A50"/>
    <w:rsid w:val="00E13AB2"/>
    <w:rsid w:val="00E13D9D"/>
    <w:rsid w:val="00E14D51"/>
    <w:rsid w:val="00E14D56"/>
    <w:rsid w:val="00E14FF7"/>
    <w:rsid w:val="00E158CC"/>
    <w:rsid w:val="00E16AA1"/>
    <w:rsid w:val="00E17178"/>
    <w:rsid w:val="00E21015"/>
    <w:rsid w:val="00E21102"/>
    <w:rsid w:val="00E21201"/>
    <w:rsid w:val="00E2196A"/>
    <w:rsid w:val="00E222EA"/>
    <w:rsid w:val="00E22AEF"/>
    <w:rsid w:val="00E24AD4"/>
    <w:rsid w:val="00E2623C"/>
    <w:rsid w:val="00E26596"/>
    <w:rsid w:val="00E26F11"/>
    <w:rsid w:val="00E27D70"/>
    <w:rsid w:val="00E3093C"/>
    <w:rsid w:val="00E3106F"/>
    <w:rsid w:val="00E313FB"/>
    <w:rsid w:val="00E3152D"/>
    <w:rsid w:val="00E31794"/>
    <w:rsid w:val="00E31D1E"/>
    <w:rsid w:val="00E3235F"/>
    <w:rsid w:val="00E328E6"/>
    <w:rsid w:val="00E32AAE"/>
    <w:rsid w:val="00E3331B"/>
    <w:rsid w:val="00E33EBA"/>
    <w:rsid w:val="00E341AA"/>
    <w:rsid w:val="00E35630"/>
    <w:rsid w:val="00E36CE1"/>
    <w:rsid w:val="00E40B25"/>
    <w:rsid w:val="00E40DF0"/>
    <w:rsid w:val="00E40EAD"/>
    <w:rsid w:val="00E4104E"/>
    <w:rsid w:val="00E41375"/>
    <w:rsid w:val="00E415B4"/>
    <w:rsid w:val="00E41C38"/>
    <w:rsid w:val="00E42722"/>
    <w:rsid w:val="00E43104"/>
    <w:rsid w:val="00E438A4"/>
    <w:rsid w:val="00E43C03"/>
    <w:rsid w:val="00E43E38"/>
    <w:rsid w:val="00E440EC"/>
    <w:rsid w:val="00E44330"/>
    <w:rsid w:val="00E449DB"/>
    <w:rsid w:val="00E450DF"/>
    <w:rsid w:val="00E463E3"/>
    <w:rsid w:val="00E4662E"/>
    <w:rsid w:val="00E46752"/>
    <w:rsid w:val="00E46A8D"/>
    <w:rsid w:val="00E46D74"/>
    <w:rsid w:val="00E4742C"/>
    <w:rsid w:val="00E47D13"/>
    <w:rsid w:val="00E50861"/>
    <w:rsid w:val="00E50AE3"/>
    <w:rsid w:val="00E513DA"/>
    <w:rsid w:val="00E51990"/>
    <w:rsid w:val="00E51BD9"/>
    <w:rsid w:val="00E53130"/>
    <w:rsid w:val="00E53E13"/>
    <w:rsid w:val="00E53EC3"/>
    <w:rsid w:val="00E542C2"/>
    <w:rsid w:val="00E54457"/>
    <w:rsid w:val="00E54F80"/>
    <w:rsid w:val="00E54FC9"/>
    <w:rsid w:val="00E5541B"/>
    <w:rsid w:val="00E55544"/>
    <w:rsid w:val="00E55FE1"/>
    <w:rsid w:val="00E561FE"/>
    <w:rsid w:val="00E562BE"/>
    <w:rsid w:val="00E56A5F"/>
    <w:rsid w:val="00E56C53"/>
    <w:rsid w:val="00E574AF"/>
    <w:rsid w:val="00E601F6"/>
    <w:rsid w:val="00E60777"/>
    <w:rsid w:val="00E60BB7"/>
    <w:rsid w:val="00E619CE"/>
    <w:rsid w:val="00E621D7"/>
    <w:rsid w:val="00E62270"/>
    <w:rsid w:val="00E6323E"/>
    <w:rsid w:val="00E63602"/>
    <w:rsid w:val="00E636AB"/>
    <w:rsid w:val="00E63D0E"/>
    <w:rsid w:val="00E63DA0"/>
    <w:rsid w:val="00E64187"/>
    <w:rsid w:val="00E644C9"/>
    <w:rsid w:val="00E64878"/>
    <w:rsid w:val="00E64CD8"/>
    <w:rsid w:val="00E65086"/>
    <w:rsid w:val="00E653FE"/>
    <w:rsid w:val="00E6561D"/>
    <w:rsid w:val="00E66426"/>
    <w:rsid w:val="00E66468"/>
    <w:rsid w:val="00E66905"/>
    <w:rsid w:val="00E6768F"/>
    <w:rsid w:val="00E67F2E"/>
    <w:rsid w:val="00E7026A"/>
    <w:rsid w:val="00E719D6"/>
    <w:rsid w:val="00E724E0"/>
    <w:rsid w:val="00E72845"/>
    <w:rsid w:val="00E7368F"/>
    <w:rsid w:val="00E741E4"/>
    <w:rsid w:val="00E742E8"/>
    <w:rsid w:val="00E74323"/>
    <w:rsid w:val="00E745CD"/>
    <w:rsid w:val="00E75C5F"/>
    <w:rsid w:val="00E76322"/>
    <w:rsid w:val="00E76901"/>
    <w:rsid w:val="00E76A83"/>
    <w:rsid w:val="00E77625"/>
    <w:rsid w:val="00E77906"/>
    <w:rsid w:val="00E77A62"/>
    <w:rsid w:val="00E80E1E"/>
    <w:rsid w:val="00E81A31"/>
    <w:rsid w:val="00E81D4A"/>
    <w:rsid w:val="00E81E6D"/>
    <w:rsid w:val="00E82EA0"/>
    <w:rsid w:val="00E83957"/>
    <w:rsid w:val="00E84219"/>
    <w:rsid w:val="00E851A6"/>
    <w:rsid w:val="00E860A9"/>
    <w:rsid w:val="00E866F4"/>
    <w:rsid w:val="00E873BA"/>
    <w:rsid w:val="00E874D4"/>
    <w:rsid w:val="00E8758F"/>
    <w:rsid w:val="00E87682"/>
    <w:rsid w:val="00E90211"/>
    <w:rsid w:val="00E90643"/>
    <w:rsid w:val="00E90778"/>
    <w:rsid w:val="00E90907"/>
    <w:rsid w:val="00E90CD0"/>
    <w:rsid w:val="00E91687"/>
    <w:rsid w:val="00E91692"/>
    <w:rsid w:val="00E91940"/>
    <w:rsid w:val="00E91F7A"/>
    <w:rsid w:val="00E92844"/>
    <w:rsid w:val="00E92EB7"/>
    <w:rsid w:val="00E934B3"/>
    <w:rsid w:val="00E93815"/>
    <w:rsid w:val="00E9500F"/>
    <w:rsid w:val="00E96ED5"/>
    <w:rsid w:val="00E96FF3"/>
    <w:rsid w:val="00E97565"/>
    <w:rsid w:val="00E97750"/>
    <w:rsid w:val="00E9782F"/>
    <w:rsid w:val="00E97C12"/>
    <w:rsid w:val="00E97E57"/>
    <w:rsid w:val="00EA003B"/>
    <w:rsid w:val="00EA0404"/>
    <w:rsid w:val="00EA063E"/>
    <w:rsid w:val="00EA0917"/>
    <w:rsid w:val="00EA0BDF"/>
    <w:rsid w:val="00EA0D2C"/>
    <w:rsid w:val="00EA0D31"/>
    <w:rsid w:val="00EA0F95"/>
    <w:rsid w:val="00EA11E4"/>
    <w:rsid w:val="00EA1363"/>
    <w:rsid w:val="00EA1699"/>
    <w:rsid w:val="00EA19B7"/>
    <w:rsid w:val="00EA1BFF"/>
    <w:rsid w:val="00EA2B74"/>
    <w:rsid w:val="00EA2DA2"/>
    <w:rsid w:val="00EA3A24"/>
    <w:rsid w:val="00EA3F83"/>
    <w:rsid w:val="00EA4766"/>
    <w:rsid w:val="00EA4841"/>
    <w:rsid w:val="00EA5B69"/>
    <w:rsid w:val="00EA6A8D"/>
    <w:rsid w:val="00EA6FA4"/>
    <w:rsid w:val="00EA7467"/>
    <w:rsid w:val="00EA75EC"/>
    <w:rsid w:val="00EA76D2"/>
    <w:rsid w:val="00EB026D"/>
    <w:rsid w:val="00EB0851"/>
    <w:rsid w:val="00EB0D4B"/>
    <w:rsid w:val="00EB18CC"/>
    <w:rsid w:val="00EB1C04"/>
    <w:rsid w:val="00EB1F39"/>
    <w:rsid w:val="00EB204C"/>
    <w:rsid w:val="00EB205F"/>
    <w:rsid w:val="00EB2EE2"/>
    <w:rsid w:val="00EB391E"/>
    <w:rsid w:val="00EB3AC7"/>
    <w:rsid w:val="00EB3D80"/>
    <w:rsid w:val="00EB4075"/>
    <w:rsid w:val="00EB505B"/>
    <w:rsid w:val="00EB5353"/>
    <w:rsid w:val="00EB68BC"/>
    <w:rsid w:val="00EB6D47"/>
    <w:rsid w:val="00EB6F24"/>
    <w:rsid w:val="00EB6FB5"/>
    <w:rsid w:val="00EB748D"/>
    <w:rsid w:val="00EB7D64"/>
    <w:rsid w:val="00EB7DA6"/>
    <w:rsid w:val="00EB7F2A"/>
    <w:rsid w:val="00EC00CC"/>
    <w:rsid w:val="00EC09CD"/>
    <w:rsid w:val="00EC1366"/>
    <w:rsid w:val="00EC197C"/>
    <w:rsid w:val="00EC1C86"/>
    <w:rsid w:val="00EC222A"/>
    <w:rsid w:val="00EC29CB"/>
    <w:rsid w:val="00EC3451"/>
    <w:rsid w:val="00EC359E"/>
    <w:rsid w:val="00EC35CF"/>
    <w:rsid w:val="00EC3A18"/>
    <w:rsid w:val="00EC42DB"/>
    <w:rsid w:val="00EC4410"/>
    <w:rsid w:val="00EC4B8D"/>
    <w:rsid w:val="00EC4F50"/>
    <w:rsid w:val="00EC4FED"/>
    <w:rsid w:val="00EC504F"/>
    <w:rsid w:val="00EC564B"/>
    <w:rsid w:val="00EC56E0"/>
    <w:rsid w:val="00EC580E"/>
    <w:rsid w:val="00EC58CB"/>
    <w:rsid w:val="00EC5A11"/>
    <w:rsid w:val="00EC5A6C"/>
    <w:rsid w:val="00EC5E32"/>
    <w:rsid w:val="00EC6675"/>
    <w:rsid w:val="00EC77AC"/>
    <w:rsid w:val="00EC7B9C"/>
    <w:rsid w:val="00ED0437"/>
    <w:rsid w:val="00ED05D0"/>
    <w:rsid w:val="00ED0AD5"/>
    <w:rsid w:val="00ED0FE7"/>
    <w:rsid w:val="00ED131C"/>
    <w:rsid w:val="00ED1E4D"/>
    <w:rsid w:val="00ED1F8E"/>
    <w:rsid w:val="00ED24FD"/>
    <w:rsid w:val="00ED3141"/>
    <w:rsid w:val="00ED3846"/>
    <w:rsid w:val="00ED3CC6"/>
    <w:rsid w:val="00ED41CF"/>
    <w:rsid w:val="00ED4219"/>
    <w:rsid w:val="00ED4EA8"/>
    <w:rsid w:val="00ED5B33"/>
    <w:rsid w:val="00ED6769"/>
    <w:rsid w:val="00ED76E9"/>
    <w:rsid w:val="00EE08DC"/>
    <w:rsid w:val="00EE11F7"/>
    <w:rsid w:val="00EE1535"/>
    <w:rsid w:val="00EE1B4E"/>
    <w:rsid w:val="00EE1C56"/>
    <w:rsid w:val="00EE2121"/>
    <w:rsid w:val="00EE2C9C"/>
    <w:rsid w:val="00EE31AF"/>
    <w:rsid w:val="00EE4A93"/>
    <w:rsid w:val="00EE4E3D"/>
    <w:rsid w:val="00EE4EDE"/>
    <w:rsid w:val="00EE51C5"/>
    <w:rsid w:val="00EE5685"/>
    <w:rsid w:val="00EE5DD1"/>
    <w:rsid w:val="00EE7182"/>
    <w:rsid w:val="00EE72BD"/>
    <w:rsid w:val="00EE7B3D"/>
    <w:rsid w:val="00EF099A"/>
    <w:rsid w:val="00EF1107"/>
    <w:rsid w:val="00EF15F2"/>
    <w:rsid w:val="00EF15FB"/>
    <w:rsid w:val="00EF19F3"/>
    <w:rsid w:val="00EF3F29"/>
    <w:rsid w:val="00EF4508"/>
    <w:rsid w:val="00EF49B5"/>
    <w:rsid w:val="00EF50F4"/>
    <w:rsid w:val="00EF7760"/>
    <w:rsid w:val="00EF781D"/>
    <w:rsid w:val="00EF7AB9"/>
    <w:rsid w:val="00F00C56"/>
    <w:rsid w:val="00F0153C"/>
    <w:rsid w:val="00F01E4D"/>
    <w:rsid w:val="00F02092"/>
    <w:rsid w:val="00F02265"/>
    <w:rsid w:val="00F02560"/>
    <w:rsid w:val="00F0367E"/>
    <w:rsid w:val="00F048C9"/>
    <w:rsid w:val="00F04A15"/>
    <w:rsid w:val="00F04B3F"/>
    <w:rsid w:val="00F04E55"/>
    <w:rsid w:val="00F04FE2"/>
    <w:rsid w:val="00F056EB"/>
    <w:rsid w:val="00F05CC4"/>
    <w:rsid w:val="00F06049"/>
    <w:rsid w:val="00F060C4"/>
    <w:rsid w:val="00F061B7"/>
    <w:rsid w:val="00F062F1"/>
    <w:rsid w:val="00F06655"/>
    <w:rsid w:val="00F0680D"/>
    <w:rsid w:val="00F106FD"/>
    <w:rsid w:val="00F10817"/>
    <w:rsid w:val="00F10A74"/>
    <w:rsid w:val="00F10DD7"/>
    <w:rsid w:val="00F10E45"/>
    <w:rsid w:val="00F11F70"/>
    <w:rsid w:val="00F1217B"/>
    <w:rsid w:val="00F12D10"/>
    <w:rsid w:val="00F14DE8"/>
    <w:rsid w:val="00F157A0"/>
    <w:rsid w:val="00F15F71"/>
    <w:rsid w:val="00F16809"/>
    <w:rsid w:val="00F16D4A"/>
    <w:rsid w:val="00F17062"/>
    <w:rsid w:val="00F1711A"/>
    <w:rsid w:val="00F17742"/>
    <w:rsid w:val="00F17A68"/>
    <w:rsid w:val="00F17C3E"/>
    <w:rsid w:val="00F17D4B"/>
    <w:rsid w:val="00F17FEF"/>
    <w:rsid w:val="00F21F06"/>
    <w:rsid w:val="00F22BD4"/>
    <w:rsid w:val="00F22CDA"/>
    <w:rsid w:val="00F23240"/>
    <w:rsid w:val="00F233BB"/>
    <w:rsid w:val="00F242FD"/>
    <w:rsid w:val="00F24801"/>
    <w:rsid w:val="00F24CA6"/>
    <w:rsid w:val="00F24CB8"/>
    <w:rsid w:val="00F25A0A"/>
    <w:rsid w:val="00F26A19"/>
    <w:rsid w:val="00F26C5F"/>
    <w:rsid w:val="00F26D3D"/>
    <w:rsid w:val="00F26DAC"/>
    <w:rsid w:val="00F27FE5"/>
    <w:rsid w:val="00F30A5E"/>
    <w:rsid w:val="00F30DC0"/>
    <w:rsid w:val="00F3119A"/>
    <w:rsid w:val="00F31A5F"/>
    <w:rsid w:val="00F31B55"/>
    <w:rsid w:val="00F31D6B"/>
    <w:rsid w:val="00F31FD7"/>
    <w:rsid w:val="00F320DE"/>
    <w:rsid w:val="00F3211E"/>
    <w:rsid w:val="00F329DD"/>
    <w:rsid w:val="00F33CEF"/>
    <w:rsid w:val="00F33F4C"/>
    <w:rsid w:val="00F341BE"/>
    <w:rsid w:val="00F349AF"/>
    <w:rsid w:val="00F34BA8"/>
    <w:rsid w:val="00F35009"/>
    <w:rsid w:val="00F35332"/>
    <w:rsid w:val="00F35C34"/>
    <w:rsid w:val="00F36557"/>
    <w:rsid w:val="00F36C3F"/>
    <w:rsid w:val="00F36D28"/>
    <w:rsid w:val="00F37A5F"/>
    <w:rsid w:val="00F37F5C"/>
    <w:rsid w:val="00F37F6D"/>
    <w:rsid w:val="00F404D7"/>
    <w:rsid w:val="00F40965"/>
    <w:rsid w:val="00F40F51"/>
    <w:rsid w:val="00F41727"/>
    <w:rsid w:val="00F4198F"/>
    <w:rsid w:val="00F4223F"/>
    <w:rsid w:val="00F42258"/>
    <w:rsid w:val="00F4254E"/>
    <w:rsid w:val="00F43062"/>
    <w:rsid w:val="00F43126"/>
    <w:rsid w:val="00F4315D"/>
    <w:rsid w:val="00F43C21"/>
    <w:rsid w:val="00F43CE3"/>
    <w:rsid w:val="00F4460E"/>
    <w:rsid w:val="00F44AB5"/>
    <w:rsid w:val="00F453A6"/>
    <w:rsid w:val="00F453AA"/>
    <w:rsid w:val="00F458C6"/>
    <w:rsid w:val="00F45C67"/>
    <w:rsid w:val="00F45EB0"/>
    <w:rsid w:val="00F476EA"/>
    <w:rsid w:val="00F47E8D"/>
    <w:rsid w:val="00F50934"/>
    <w:rsid w:val="00F5113E"/>
    <w:rsid w:val="00F5218B"/>
    <w:rsid w:val="00F52574"/>
    <w:rsid w:val="00F5297A"/>
    <w:rsid w:val="00F52BF8"/>
    <w:rsid w:val="00F52F98"/>
    <w:rsid w:val="00F53248"/>
    <w:rsid w:val="00F53271"/>
    <w:rsid w:val="00F535AD"/>
    <w:rsid w:val="00F54C39"/>
    <w:rsid w:val="00F551F8"/>
    <w:rsid w:val="00F55272"/>
    <w:rsid w:val="00F5578F"/>
    <w:rsid w:val="00F55B4B"/>
    <w:rsid w:val="00F56323"/>
    <w:rsid w:val="00F5694D"/>
    <w:rsid w:val="00F573FD"/>
    <w:rsid w:val="00F57F72"/>
    <w:rsid w:val="00F60875"/>
    <w:rsid w:val="00F6100B"/>
    <w:rsid w:val="00F61772"/>
    <w:rsid w:val="00F62611"/>
    <w:rsid w:val="00F62B91"/>
    <w:rsid w:val="00F62CF3"/>
    <w:rsid w:val="00F63327"/>
    <w:rsid w:val="00F6373F"/>
    <w:rsid w:val="00F63767"/>
    <w:rsid w:val="00F64EB2"/>
    <w:rsid w:val="00F66A1C"/>
    <w:rsid w:val="00F67A01"/>
    <w:rsid w:val="00F7093C"/>
    <w:rsid w:val="00F71672"/>
    <w:rsid w:val="00F72404"/>
    <w:rsid w:val="00F725AE"/>
    <w:rsid w:val="00F7287C"/>
    <w:rsid w:val="00F739BE"/>
    <w:rsid w:val="00F73FCB"/>
    <w:rsid w:val="00F74376"/>
    <w:rsid w:val="00F75988"/>
    <w:rsid w:val="00F76503"/>
    <w:rsid w:val="00F7724A"/>
    <w:rsid w:val="00F7735F"/>
    <w:rsid w:val="00F77479"/>
    <w:rsid w:val="00F77DA9"/>
    <w:rsid w:val="00F8048D"/>
    <w:rsid w:val="00F807CB"/>
    <w:rsid w:val="00F80C6F"/>
    <w:rsid w:val="00F80D43"/>
    <w:rsid w:val="00F81683"/>
    <w:rsid w:val="00F82BAE"/>
    <w:rsid w:val="00F82C94"/>
    <w:rsid w:val="00F82D77"/>
    <w:rsid w:val="00F83ADE"/>
    <w:rsid w:val="00F83BF4"/>
    <w:rsid w:val="00F84B33"/>
    <w:rsid w:val="00F84ED4"/>
    <w:rsid w:val="00F8567E"/>
    <w:rsid w:val="00F856BA"/>
    <w:rsid w:val="00F85A9F"/>
    <w:rsid w:val="00F86356"/>
    <w:rsid w:val="00F86482"/>
    <w:rsid w:val="00F8658F"/>
    <w:rsid w:val="00F87181"/>
    <w:rsid w:val="00F87E99"/>
    <w:rsid w:val="00F9028B"/>
    <w:rsid w:val="00F906D0"/>
    <w:rsid w:val="00F90D89"/>
    <w:rsid w:val="00F9198E"/>
    <w:rsid w:val="00F923A9"/>
    <w:rsid w:val="00F9288E"/>
    <w:rsid w:val="00F93033"/>
    <w:rsid w:val="00F933AF"/>
    <w:rsid w:val="00F9377E"/>
    <w:rsid w:val="00F9395E"/>
    <w:rsid w:val="00F93FEF"/>
    <w:rsid w:val="00F9422F"/>
    <w:rsid w:val="00F94366"/>
    <w:rsid w:val="00F950C9"/>
    <w:rsid w:val="00F9563C"/>
    <w:rsid w:val="00F95653"/>
    <w:rsid w:val="00F95E46"/>
    <w:rsid w:val="00F966A3"/>
    <w:rsid w:val="00F97A98"/>
    <w:rsid w:val="00FA0394"/>
    <w:rsid w:val="00FA06EA"/>
    <w:rsid w:val="00FA12B7"/>
    <w:rsid w:val="00FA1AEE"/>
    <w:rsid w:val="00FA1D63"/>
    <w:rsid w:val="00FA339D"/>
    <w:rsid w:val="00FA35F0"/>
    <w:rsid w:val="00FA3685"/>
    <w:rsid w:val="00FA39FF"/>
    <w:rsid w:val="00FA3B67"/>
    <w:rsid w:val="00FA437C"/>
    <w:rsid w:val="00FA4FC9"/>
    <w:rsid w:val="00FA4FFB"/>
    <w:rsid w:val="00FA5AD2"/>
    <w:rsid w:val="00FA6097"/>
    <w:rsid w:val="00FA60FF"/>
    <w:rsid w:val="00FA6774"/>
    <w:rsid w:val="00FA7BF9"/>
    <w:rsid w:val="00FB019A"/>
    <w:rsid w:val="00FB04CC"/>
    <w:rsid w:val="00FB0506"/>
    <w:rsid w:val="00FB147C"/>
    <w:rsid w:val="00FB1586"/>
    <w:rsid w:val="00FB1715"/>
    <w:rsid w:val="00FB19FE"/>
    <w:rsid w:val="00FB1E32"/>
    <w:rsid w:val="00FB21BA"/>
    <w:rsid w:val="00FB29B0"/>
    <w:rsid w:val="00FB2D3F"/>
    <w:rsid w:val="00FB3172"/>
    <w:rsid w:val="00FB3BFB"/>
    <w:rsid w:val="00FB3E12"/>
    <w:rsid w:val="00FB4383"/>
    <w:rsid w:val="00FB4CE8"/>
    <w:rsid w:val="00FB6603"/>
    <w:rsid w:val="00FB6984"/>
    <w:rsid w:val="00FB6A4E"/>
    <w:rsid w:val="00FB7514"/>
    <w:rsid w:val="00FB7583"/>
    <w:rsid w:val="00FC0A57"/>
    <w:rsid w:val="00FC0FF0"/>
    <w:rsid w:val="00FC1182"/>
    <w:rsid w:val="00FC12AB"/>
    <w:rsid w:val="00FC1363"/>
    <w:rsid w:val="00FC138D"/>
    <w:rsid w:val="00FC2777"/>
    <w:rsid w:val="00FC41CA"/>
    <w:rsid w:val="00FC4419"/>
    <w:rsid w:val="00FC499A"/>
    <w:rsid w:val="00FC4D19"/>
    <w:rsid w:val="00FC5021"/>
    <w:rsid w:val="00FC5711"/>
    <w:rsid w:val="00FC60FA"/>
    <w:rsid w:val="00FC69B6"/>
    <w:rsid w:val="00FC6F06"/>
    <w:rsid w:val="00FC7488"/>
    <w:rsid w:val="00FC7CBB"/>
    <w:rsid w:val="00FC7CD2"/>
    <w:rsid w:val="00FD003F"/>
    <w:rsid w:val="00FD0F6F"/>
    <w:rsid w:val="00FD10FC"/>
    <w:rsid w:val="00FD11BE"/>
    <w:rsid w:val="00FD1233"/>
    <w:rsid w:val="00FD1388"/>
    <w:rsid w:val="00FD14C6"/>
    <w:rsid w:val="00FD212A"/>
    <w:rsid w:val="00FD2577"/>
    <w:rsid w:val="00FD2690"/>
    <w:rsid w:val="00FD2938"/>
    <w:rsid w:val="00FD2A3B"/>
    <w:rsid w:val="00FD3220"/>
    <w:rsid w:val="00FD4ACC"/>
    <w:rsid w:val="00FD4CEE"/>
    <w:rsid w:val="00FD4DA3"/>
    <w:rsid w:val="00FD5E67"/>
    <w:rsid w:val="00FD5F15"/>
    <w:rsid w:val="00FD5F6C"/>
    <w:rsid w:val="00FD60DB"/>
    <w:rsid w:val="00FD653C"/>
    <w:rsid w:val="00FD6836"/>
    <w:rsid w:val="00FD73E9"/>
    <w:rsid w:val="00FD7F57"/>
    <w:rsid w:val="00FE1344"/>
    <w:rsid w:val="00FE1909"/>
    <w:rsid w:val="00FE2910"/>
    <w:rsid w:val="00FE2B6F"/>
    <w:rsid w:val="00FE3760"/>
    <w:rsid w:val="00FE3BB2"/>
    <w:rsid w:val="00FE3D37"/>
    <w:rsid w:val="00FE4F70"/>
    <w:rsid w:val="00FE6041"/>
    <w:rsid w:val="00FE6A79"/>
    <w:rsid w:val="00FE720E"/>
    <w:rsid w:val="00FE720F"/>
    <w:rsid w:val="00FE79A6"/>
    <w:rsid w:val="00FE7AE6"/>
    <w:rsid w:val="00FE7CDE"/>
    <w:rsid w:val="00FF0C56"/>
    <w:rsid w:val="00FF0DA4"/>
    <w:rsid w:val="00FF114E"/>
    <w:rsid w:val="00FF1B9F"/>
    <w:rsid w:val="00FF47C2"/>
    <w:rsid w:val="00FF4AE4"/>
    <w:rsid w:val="00FF4E13"/>
    <w:rsid w:val="00FF5437"/>
    <w:rsid w:val="00FF5454"/>
    <w:rsid w:val="00FF5497"/>
    <w:rsid w:val="00FF58CC"/>
    <w:rsid w:val="00FF5C78"/>
    <w:rsid w:val="00FF5F0B"/>
    <w:rsid w:val="00FF6282"/>
    <w:rsid w:val="00FF65CC"/>
    <w:rsid w:val="00FF69A9"/>
    <w:rsid w:val="00FF7ACC"/>
    <w:rsid w:val="00FF7AF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2A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zh-CN" w:bidi="ar-SA"/>
      </w:rPr>
    </w:rPrDefault>
    <w:pPrDefault>
      <w:pPr>
        <w:spacing w:line="480" w:lineRule="auto"/>
        <w:ind w:left="113" w:hanging="113"/>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qFormat="1"/>
    <w:lsdException w:name="table of authorities" w:semiHidden="1" w:unhideWhenUsed="1" w:qFormat="1"/>
    <w:lsdException w:name="macro" w:semiHidden="1" w:uiPriority="99"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7F20"/>
    <w:rPr>
      <w:lang w:eastAsia="en-US"/>
    </w:rPr>
  </w:style>
  <w:style w:type="paragraph" w:styleId="Heading1">
    <w:name w:val="heading 1"/>
    <w:basedOn w:val="Normal"/>
    <w:next w:val="Normal"/>
    <w:link w:val="Heading1Char"/>
    <w:qFormat/>
    <w:rsid w:val="006854ED"/>
    <w:pPr>
      <w:keepNext/>
      <w:keepLines/>
      <w:numPr>
        <w:numId w:val="3"/>
      </w:numPr>
      <w:spacing w:before="200" w:after="240" w:line="360" w:lineRule="auto"/>
      <w:ind w:left="567" w:hanging="567"/>
      <w:outlineLvl w:val="0"/>
    </w:pPr>
    <w:rPr>
      <w:rFonts w:ascii="LM Roman 12" w:eastAsia="Times New Roman" w:hAnsi="LM Roman 12" w:cs="Arial"/>
      <w:b/>
      <w:bCs/>
      <w:kern w:val="1"/>
      <w:sz w:val="36"/>
      <w:szCs w:val="32"/>
      <w:lang w:eastAsia="zh-CN"/>
    </w:rPr>
  </w:style>
  <w:style w:type="paragraph" w:styleId="Heading2">
    <w:name w:val="heading 2"/>
    <w:basedOn w:val="Heading1"/>
    <w:next w:val="Normal"/>
    <w:link w:val="Heading2Char"/>
    <w:qFormat/>
    <w:rsid w:val="006854ED"/>
    <w:pPr>
      <w:numPr>
        <w:ilvl w:val="1"/>
      </w:numPr>
      <w:spacing w:before="360"/>
      <w:ind w:left="851" w:hanging="851"/>
      <w:outlineLvl w:val="1"/>
    </w:pPr>
    <w:rPr>
      <w:bCs w:val="0"/>
      <w:sz w:val="28"/>
      <w:szCs w:val="24"/>
    </w:rPr>
  </w:style>
  <w:style w:type="paragraph" w:styleId="Heading3">
    <w:name w:val="heading 3"/>
    <w:basedOn w:val="Heading1"/>
    <w:next w:val="Normal"/>
    <w:link w:val="Heading3Char"/>
    <w:qFormat/>
    <w:rsid w:val="006854ED"/>
    <w:pPr>
      <w:numPr>
        <w:ilvl w:val="2"/>
      </w:numPr>
      <w:spacing w:before="360"/>
      <w:ind w:left="1021" w:hanging="1021"/>
      <w:outlineLvl w:val="2"/>
    </w:pPr>
    <w:rPr>
      <w:bCs w:val="0"/>
      <w:sz w:val="22"/>
      <w:szCs w:val="26"/>
    </w:rPr>
  </w:style>
  <w:style w:type="paragraph" w:styleId="Heading4">
    <w:name w:val="heading 4"/>
    <w:basedOn w:val="Heading1"/>
    <w:next w:val="Normal"/>
    <w:link w:val="Heading4Char"/>
    <w:qFormat/>
    <w:rsid w:val="006854ED"/>
    <w:pPr>
      <w:numPr>
        <w:ilvl w:val="3"/>
      </w:numPr>
      <w:ind w:left="1134" w:hanging="1134"/>
      <w:outlineLvl w:val="3"/>
    </w:pPr>
    <w:rPr>
      <w:rFonts w:eastAsia="Cambria"/>
      <w:bCs w:val="0"/>
      <w:iCs/>
      <w:sz w:val="22"/>
      <w:szCs w:val="24"/>
    </w:rPr>
  </w:style>
  <w:style w:type="paragraph" w:styleId="Heading5">
    <w:name w:val="heading 5"/>
    <w:basedOn w:val="Heading1"/>
    <w:next w:val="Normal"/>
    <w:link w:val="Heading5Char"/>
    <w:qFormat/>
    <w:rsid w:val="006854ED"/>
    <w:pPr>
      <w:numPr>
        <w:ilvl w:val="4"/>
      </w:numPr>
      <w:ind w:left="1247" w:hanging="1247"/>
      <w:outlineLvl w:val="4"/>
    </w:pPr>
    <w:rPr>
      <w:rFonts w:eastAsia="Cambria"/>
      <w:sz w:val="22"/>
      <w:szCs w:val="24"/>
    </w:rPr>
  </w:style>
  <w:style w:type="paragraph" w:styleId="Heading6">
    <w:name w:val="heading 6"/>
    <w:basedOn w:val="Heading1"/>
    <w:next w:val="Normal"/>
    <w:link w:val="Heading6Char"/>
    <w:qFormat/>
    <w:rsid w:val="006854ED"/>
    <w:pPr>
      <w:numPr>
        <w:ilvl w:val="5"/>
      </w:numPr>
      <w:ind w:left="1361" w:hanging="1361"/>
      <w:outlineLvl w:val="5"/>
    </w:pPr>
    <w:rPr>
      <w:rFonts w:eastAsia="Cambria"/>
      <w:b w:val="0"/>
      <w:iCs/>
      <w:sz w:val="22"/>
      <w:szCs w:val="24"/>
    </w:rPr>
  </w:style>
  <w:style w:type="paragraph" w:styleId="Heading7">
    <w:name w:val="heading 7"/>
    <w:basedOn w:val="Heading1"/>
    <w:next w:val="Normal"/>
    <w:link w:val="Heading7Char"/>
    <w:qFormat/>
    <w:rsid w:val="006854ED"/>
    <w:pPr>
      <w:numPr>
        <w:ilvl w:val="6"/>
      </w:numPr>
      <w:ind w:left="1474" w:hanging="1474"/>
      <w:outlineLvl w:val="6"/>
    </w:pPr>
    <w:rPr>
      <w:rFonts w:eastAsia="Cambria"/>
      <w:b w:val="0"/>
      <w:iCs/>
      <w:sz w:val="22"/>
      <w:szCs w:val="24"/>
    </w:rPr>
  </w:style>
  <w:style w:type="paragraph" w:styleId="Heading8">
    <w:name w:val="heading 8"/>
    <w:basedOn w:val="Heading1"/>
    <w:next w:val="Normal"/>
    <w:link w:val="Heading8Char"/>
    <w:qFormat/>
    <w:rsid w:val="006854ED"/>
    <w:pPr>
      <w:numPr>
        <w:ilvl w:val="7"/>
      </w:numPr>
      <w:ind w:left="1588" w:hanging="1588"/>
      <w:outlineLvl w:val="7"/>
    </w:pPr>
    <w:rPr>
      <w:rFonts w:eastAsia="Cambria"/>
      <w:b w:val="0"/>
      <w:sz w:val="22"/>
    </w:rPr>
  </w:style>
  <w:style w:type="paragraph" w:styleId="Heading9">
    <w:name w:val="heading 9"/>
    <w:basedOn w:val="Heading1"/>
    <w:next w:val="Normal"/>
    <w:link w:val="Heading9Char"/>
    <w:qFormat/>
    <w:rsid w:val="006854ED"/>
    <w:pPr>
      <w:numPr>
        <w:ilvl w:val="8"/>
      </w:numPr>
      <w:ind w:left="1701" w:hanging="1701"/>
      <w:outlineLvl w:val="8"/>
    </w:pPr>
    <w:rPr>
      <w:rFonts w:eastAsia="Cambria"/>
      <w:b w:val="0"/>
      <w:i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qFormat/>
    <w:rsid w:val="009A3899"/>
    <w:rPr>
      <w:rFonts w:ascii="Lucida Grande" w:eastAsia="Times New Roman" w:hAnsi="Lucida Grande"/>
      <w:sz w:val="18"/>
      <w:szCs w:val="18"/>
    </w:rPr>
  </w:style>
  <w:style w:type="character" w:customStyle="1" w:styleId="BalloonTextChar">
    <w:name w:val="Balloon Text Char"/>
    <w:link w:val="BalloonText"/>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uiPriority w:val="99"/>
    <w:qFormat/>
    <w:rsid w:val="009A3899"/>
    <w:rPr>
      <w:rFonts w:eastAsia="Times New Roman"/>
    </w:rPr>
  </w:style>
  <w:style w:type="character" w:customStyle="1" w:styleId="CommentTextChar">
    <w:name w:val="Comment Text Char"/>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nhideWhenUsed/>
    <w:qFormat/>
    <w:rsid w:val="009A3899"/>
    <w:rPr>
      <w:b/>
      <w:bCs/>
    </w:rPr>
  </w:style>
  <w:style w:type="character" w:customStyle="1" w:styleId="CommentSubjectChar">
    <w:name w:val="Comment Subject Char"/>
    <w:link w:val="CommentSubject"/>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qFormat/>
    <w:rsid w:val="009A3899"/>
    <w:rPr>
      <w:rFonts w:ascii="Cambria" w:eastAsia="Cambria" w:hAnsi="Cambria"/>
    </w:rPr>
  </w:style>
  <w:style w:type="character" w:customStyle="1" w:styleId="EndnoteTextChar">
    <w:name w:val="Endnote Text Char"/>
    <w:link w:val="EndnoteText"/>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qFormat/>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qFormat/>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qFormat/>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rPr>
      <w:lang w:val="en-US" w:eastAsia="en-US"/>
    </w:rPr>
  </w:style>
  <w:style w:type="table" w:styleId="TableGrid">
    <w:name w:val="Table Grid"/>
    <w:basedOn w:val="Table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Reference1">
    <w:name w:val="Comment Reference1"/>
    <w:rsid w:val="00667BF6"/>
    <w:rPr>
      <w:sz w:val="18"/>
      <w:szCs w:val="18"/>
    </w:rPr>
  </w:style>
  <w:style w:type="paragraph" w:styleId="List3">
    <w:name w:val="List 3"/>
    <w:basedOn w:val="Normal"/>
    <w:qFormat/>
    <w:rsid w:val="006854ED"/>
    <w:pPr>
      <w:spacing w:before="200" w:line="360" w:lineRule="auto"/>
      <w:ind w:left="849" w:hanging="283"/>
      <w:contextualSpacing/>
    </w:pPr>
    <w:rPr>
      <w:rFonts w:ascii="Calibri" w:eastAsia="Times New Roman" w:hAnsi="Calibri"/>
      <w:sz w:val="22"/>
      <w:szCs w:val="22"/>
      <w:lang w:eastAsia="zh-CN"/>
    </w:rPr>
  </w:style>
  <w:style w:type="character" w:customStyle="1" w:styleId="Heading1Char">
    <w:name w:val="Heading 1 Char"/>
    <w:link w:val="Heading1"/>
    <w:rsid w:val="006854ED"/>
    <w:rPr>
      <w:rFonts w:ascii="LM Roman 12" w:eastAsia="Times New Roman" w:hAnsi="LM Roman 12" w:cs="Arial"/>
      <w:b/>
      <w:bCs/>
      <w:kern w:val="1"/>
      <w:sz w:val="36"/>
      <w:szCs w:val="32"/>
    </w:rPr>
  </w:style>
  <w:style w:type="character" w:customStyle="1" w:styleId="Heading2Char">
    <w:name w:val="Heading 2 Char"/>
    <w:link w:val="Heading2"/>
    <w:rsid w:val="006854ED"/>
    <w:rPr>
      <w:rFonts w:ascii="LM Roman 12" w:eastAsia="Times New Roman" w:hAnsi="LM Roman 12" w:cs="Arial"/>
      <w:b/>
      <w:kern w:val="1"/>
      <w:sz w:val="28"/>
      <w:szCs w:val="24"/>
    </w:rPr>
  </w:style>
  <w:style w:type="character" w:customStyle="1" w:styleId="Heading3Char">
    <w:name w:val="Heading 3 Char"/>
    <w:link w:val="Heading3"/>
    <w:rsid w:val="006854ED"/>
    <w:rPr>
      <w:rFonts w:ascii="LM Roman 12" w:eastAsia="Times New Roman" w:hAnsi="LM Roman 12" w:cs="Arial"/>
      <w:b/>
      <w:kern w:val="1"/>
      <w:sz w:val="22"/>
      <w:szCs w:val="26"/>
    </w:rPr>
  </w:style>
  <w:style w:type="character" w:customStyle="1" w:styleId="Heading4Char">
    <w:name w:val="Heading 4 Char"/>
    <w:link w:val="Heading4"/>
    <w:rsid w:val="006854ED"/>
    <w:rPr>
      <w:rFonts w:ascii="LM Roman 12" w:eastAsia="Cambria" w:hAnsi="LM Roman 12" w:cs="Arial"/>
      <w:b/>
      <w:iCs/>
      <w:kern w:val="1"/>
      <w:sz w:val="22"/>
      <w:szCs w:val="24"/>
    </w:rPr>
  </w:style>
  <w:style w:type="character" w:customStyle="1" w:styleId="Heading5Char">
    <w:name w:val="Heading 5 Char"/>
    <w:link w:val="Heading5"/>
    <w:rsid w:val="006854ED"/>
    <w:rPr>
      <w:rFonts w:ascii="LM Roman 12" w:eastAsia="Cambria" w:hAnsi="LM Roman 12" w:cs="Arial"/>
      <w:b/>
      <w:bCs/>
      <w:kern w:val="1"/>
      <w:sz w:val="22"/>
      <w:szCs w:val="24"/>
    </w:rPr>
  </w:style>
  <w:style w:type="character" w:customStyle="1" w:styleId="Heading6Char">
    <w:name w:val="Heading 6 Char"/>
    <w:link w:val="Heading6"/>
    <w:rsid w:val="006854ED"/>
    <w:rPr>
      <w:rFonts w:ascii="LM Roman 12" w:eastAsia="Cambria" w:hAnsi="LM Roman 12" w:cs="Arial"/>
      <w:bCs/>
      <w:iCs/>
      <w:kern w:val="1"/>
      <w:sz w:val="22"/>
      <w:szCs w:val="24"/>
    </w:rPr>
  </w:style>
  <w:style w:type="character" w:customStyle="1" w:styleId="Heading7Char">
    <w:name w:val="Heading 7 Char"/>
    <w:link w:val="Heading7"/>
    <w:rsid w:val="006854ED"/>
    <w:rPr>
      <w:rFonts w:ascii="LM Roman 12" w:eastAsia="Cambria" w:hAnsi="LM Roman 12" w:cs="Arial"/>
      <w:bCs/>
      <w:iCs/>
      <w:kern w:val="1"/>
      <w:sz w:val="22"/>
      <w:szCs w:val="24"/>
    </w:rPr>
  </w:style>
  <w:style w:type="character" w:customStyle="1" w:styleId="Heading8Char">
    <w:name w:val="Heading 8 Char"/>
    <w:link w:val="Heading8"/>
    <w:rsid w:val="006854ED"/>
    <w:rPr>
      <w:rFonts w:ascii="LM Roman 12" w:eastAsia="Cambria" w:hAnsi="LM Roman 12" w:cs="Arial"/>
      <w:bCs/>
      <w:kern w:val="1"/>
      <w:sz w:val="22"/>
      <w:szCs w:val="32"/>
    </w:rPr>
  </w:style>
  <w:style w:type="character" w:customStyle="1" w:styleId="Heading9Char">
    <w:name w:val="Heading 9 Char"/>
    <w:link w:val="Heading9"/>
    <w:rsid w:val="006854ED"/>
    <w:rPr>
      <w:rFonts w:ascii="LM Roman 12" w:eastAsia="Cambria" w:hAnsi="LM Roman 12" w:cs="Arial"/>
      <w:bCs/>
      <w:iCs/>
      <w:color w:val="000000"/>
      <w:kern w:val="1"/>
      <w:sz w:val="22"/>
      <w:szCs w:val="32"/>
    </w:rPr>
  </w:style>
  <w:style w:type="paragraph" w:styleId="BodyText">
    <w:name w:val="Body Text"/>
    <w:basedOn w:val="Normal"/>
    <w:link w:val="BodyTextChar"/>
    <w:qFormat/>
    <w:rsid w:val="006854ED"/>
    <w:pPr>
      <w:spacing w:before="200" w:line="360" w:lineRule="auto"/>
    </w:pPr>
    <w:rPr>
      <w:rFonts w:ascii="Calibri" w:eastAsia="Times New Roman" w:hAnsi="Calibri"/>
      <w:sz w:val="22"/>
      <w:szCs w:val="22"/>
      <w:lang w:eastAsia="zh-CN"/>
    </w:rPr>
  </w:style>
  <w:style w:type="character" w:customStyle="1" w:styleId="BodyTextChar">
    <w:name w:val="Body Text Char"/>
    <w:link w:val="BodyText"/>
    <w:rsid w:val="006854ED"/>
    <w:rPr>
      <w:rFonts w:ascii="Calibri" w:eastAsia="Times New Roman" w:hAnsi="Calibri"/>
      <w:sz w:val="22"/>
      <w:szCs w:val="22"/>
      <w:lang w:val="en-GB" w:eastAsia="zh-CN"/>
    </w:rPr>
  </w:style>
  <w:style w:type="paragraph" w:styleId="BodyTextIndent">
    <w:name w:val="Body Text Indent"/>
    <w:basedOn w:val="Normal"/>
    <w:link w:val="BodyTextIndentChar"/>
    <w:qFormat/>
    <w:rsid w:val="006854ED"/>
    <w:pPr>
      <w:spacing w:before="200" w:line="360" w:lineRule="auto"/>
      <w:ind w:left="283"/>
    </w:pPr>
    <w:rPr>
      <w:rFonts w:ascii="Calibri" w:eastAsia="Times New Roman" w:hAnsi="Calibri"/>
      <w:sz w:val="22"/>
      <w:szCs w:val="22"/>
      <w:lang w:eastAsia="zh-CN"/>
    </w:rPr>
  </w:style>
  <w:style w:type="character" w:customStyle="1" w:styleId="BodyTextIndentChar">
    <w:name w:val="Body Text Indent Char"/>
    <w:link w:val="BodyTextIndent"/>
    <w:rsid w:val="006854ED"/>
    <w:rPr>
      <w:rFonts w:ascii="Calibri" w:eastAsia="Times New Roman" w:hAnsi="Calibri"/>
      <w:sz w:val="22"/>
      <w:szCs w:val="22"/>
      <w:lang w:val="en-GB" w:eastAsia="zh-CN"/>
    </w:rPr>
  </w:style>
  <w:style w:type="paragraph" w:styleId="DocumentMap">
    <w:name w:val="Document Map"/>
    <w:basedOn w:val="Normal"/>
    <w:link w:val="DocumentMapChar"/>
    <w:qFormat/>
    <w:rsid w:val="006854ED"/>
    <w:pPr>
      <w:pBdr>
        <w:top w:val="nil"/>
        <w:left w:val="nil"/>
        <w:bottom w:val="nil"/>
        <w:right w:val="nil"/>
        <w:between w:val="nil"/>
      </w:pBdr>
      <w:shd w:val="solid" w:color="000080" w:fill="auto"/>
      <w:spacing w:before="200" w:line="360" w:lineRule="auto"/>
    </w:pPr>
    <w:rPr>
      <w:rFonts w:ascii="Tahoma" w:eastAsia="Times New Roman" w:hAnsi="Tahoma" w:cs="Tahoma"/>
      <w:sz w:val="22"/>
      <w:lang w:eastAsia="zh-CN"/>
    </w:rPr>
  </w:style>
  <w:style w:type="character" w:customStyle="1" w:styleId="DocumentMapChar">
    <w:name w:val="Document Map Char"/>
    <w:link w:val="DocumentMap"/>
    <w:rsid w:val="006854ED"/>
    <w:rPr>
      <w:rFonts w:ascii="Tahoma" w:eastAsia="Times New Roman" w:hAnsi="Tahoma" w:cs="Tahoma"/>
      <w:sz w:val="22"/>
      <w:shd w:val="solid" w:color="000080" w:fill="auto"/>
      <w:lang w:val="en-GB" w:eastAsia="zh-CN"/>
    </w:rPr>
  </w:style>
  <w:style w:type="paragraph" w:styleId="Caption">
    <w:name w:val="caption"/>
    <w:basedOn w:val="Normal"/>
    <w:next w:val="Normal"/>
    <w:qFormat/>
    <w:rsid w:val="006854ED"/>
    <w:pPr>
      <w:tabs>
        <w:tab w:val="left" w:pos="1418"/>
      </w:tabs>
      <w:spacing w:before="120" w:after="120" w:line="360" w:lineRule="auto"/>
      <w:ind w:left="1134" w:hanging="1134"/>
      <w:contextualSpacing/>
    </w:pPr>
    <w:rPr>
      <w:rFonts w:ascii="LM Roman 12" w:eastAsia="Times New Roman" w:hAnsi="LM Roman 12"/>
      <w:szCs w:val="26"/>
      <w:lang w:eastAsia="zh-CN"/>
    </w:rPr>
  </w:style>
  <w:style w:type="paragraph" w:customStyle="1" w:styleId="TableCell">
    <w:name w:val="Table Cell"/>
    <w:basedOn w:val="Normal"/>
    <w:qFormat/>
    <w:rsid w:val="006854ED"/>
    <w:pPr>
      <w:spacing w:before="40" w:after="40" w:line="360" w:lineRule="auto"/>
      <w:ind w:left="6"/>
    </w:pPr>
    <w:rPr>
      <w:rFonts w:ascii="Calibri" w:eastAsia="Times New Roman" w:hAnsi="Calibri"/>
      <w:sz w:val="22"/>
      <w:szCs w:val="22"/>
      <w:lang w:eastAsia="zh-CN"/>
    </w:rPr>
  </w:style>
  <w:style w:type="paragraph" w:styleId="TableofFigures">
    <w:name w:val="table of figures"/>
    <w:basedOn w:val="Normal"/>
    <w:next w:val="Normal"/>
    <w:qFormat/>
    <w:rsid w:val="006854ED"/>
    <w:pPr>
      <w:tabs>
        <w:tab w:val="left" w:pos="1560"/>
        <w:tab w:val="right" w:leader="dot" w:pos="8505"/>
      </w:tabs>
      <w:spacing w:before="200" w:line="360" w:lineRule="auto"/>
      <w:ind w:left="1560" w:hanging="1560"/>
    </w:pPr>
    <w:rPr>
      <w:rFonts w:ascii="Calibri" w:eastAsia="Times New Roman" w:hAnsi="Calibri"/>
      <w:sz w:val="22"/>
      <w:szCs w:val="24"/>
      <w:lang w:eastAsia="zh-CN"/>
    </w:rPr>
  </w:style>
  <w:style w:type="paragraph" w:customStyle="1" w:styleId="Contents">
    <w:name w:val="Contents"/>
    <w:basedOn w:val="Normal"/>
    <w:next w:val="Normal"/>
    <w:qFormat/>
    <w:rsid w:val="006854ED"/>
    <w:pPr>
      <w:spacing w:before="200" w:after="240" w:line="360" w:lineRule="auto"/>
      <w:outlineLvl w:val="0"/>
    </w:pPr>
    <w:rPr>
      <w:rFonts w:ascii="Calibri" w:eastAsia="Times New Roman" w:hAnsi="Calibri" w:cs="Arial"/>
      <w:b/>
      <w:bCs/>
      <w:kern w:val="1"/>
      <w:sz w:val="36"/>
      <w:szCs w:val="32"/>
      <w:lang w:eastAsia="zh-CN"/>
    </w:rPr>
  </w:style>
  <w:style w:type="paragraph" w:customStyle="1" w:styleId="Quotation">
    <w:name w:val="Quotation"/>
    <w:basedOn w:val="Normal"/>
    <w:qFormat/>
    <w:rsid w:val="006854ED"/>
    <w:pPr>
      <w:spacing w:before="200" w:line="360" w:lineRule="auto"/>
      <w:ind w:left="425" w:right="425"/>
    </w:pPr>
    <w:rPr>
      <w:rFonts w:ascii="Calibri" w:eastAsia="Times New Roman" w:hAnsi="Calibri"/>
      <w:iCs/>
      <w:sz w:val="22"/>
      <w:szCs w:val="24"/>
      <w:lang w:eastAsia="zh-CN"/>
    </w:rPr>
  </w:style>
  <w:style w:type="paragraph" w:styleId="TOC1">
    <w:name w:val="toc 1"/>
    <w:basedOn w:val="Normal"/>
    <w:next w:val="Normal"/>
    <w:qFormat/>
    <w:rsid w:val="006854ED"/>
    <w:pPr>
      <w:tabs>
        <w:tab w:val="left" w:pos="1218"/>
        <w:tab w:val="right" w:leader="dot" w:pos="8789"/>
      </w:tabs>
      <w:spacing w:before="200" w:after="100" w:line="360" w:lineRule="auto"/>
      <w:ind w:left="1204" w:hanging="1204"/>
      <w:contextualSpacing/>
    </w:pPr>
    <w:rPr>
      <w:rFonts w:ascii="LM Roman 12" w:eastAsia="Times New Roman" w:hAnsi="LM Roman 12"/>
      <w:b/>
      <w:sz w:val="24"/>
      <w:szCs w:val="22"/>
      <w:lang w:eastAsia="zh-CN"/>
    </w:rPr>
  </w:style>
  <w:style w:type="paragraph" w:styleId="TOC2">
    <w:name w:val="toc 2"/>
    <w:basedOn w:val="TOC1"/>
    <w:next w:val="Normal"/>
    <w:qFormat/>
    <w:rsid w:val="006854ED"/>
    <w:pPr>
      <w:tabs>
        <w:tab w:val="left" w:pos="709"/>
      </w:tabs>
      <w:spacing w:before="0"/>
      <w:ind w:left="709" w:hanging="567"/>
    </w:pPr>
    <w:rPr>
      <w:b w:val="0"/>
    </w:rPr>
  </w:style>
  <w:style w:type="paragraph" w:styleId="TOC3">
    <w:name w:val="toc 3"/>
    <w:basedOn w:val="TOC1"/>
    <w:next w:val="Normal"/>
    <w:qFormat/>
    <w:rsid w:val="006854ED"/>
    <w:pPr>
      <w:spacing w:before="0"/>
      <w:ind w:left="1190" w:hanging="680"/>
    </w:pPr>
    <w:rPr>
      <w:b w:val="0"/>
    </w:rPr>
  </w:style>
  <w:style w:type="paragraph" w:styleId="TOC4">
    <w:name w:val="toc 4"/>
    <w:basedOn w:val="TOC1"/>
    <w:next w:val="Normal"/>
    <w:qFormat/>
    <w:rsid w:val="006854ED"/>
    <w:pPr>
      <w:tabs>
        <w:tab w:val="left" w:pos="1843"/>
      </w:tabs>
      <w:spacing w:before="0"/>
      <w:ind w:left="1843" w:hanging="851"/>
    </w:pPr>
    <w:rPr>
      <w:b w:val="0"/>
    </w:rPr>
  </w:style>
  <w:style w:type="paragraph" w:styleId="TOCHeading">
    <w:name w:val="TOC Heading"/>
    <w:basedOn w:val="Heading1"/>
    <w:next w:val="Normal"/>
    <w:qFormat/>
    <w:rsid w:val="006854ED"/>
    <w:pPr>
      <w:numPr>
        <w:numId w:val="0"/>
      </w:numPr>
      <w:spacing w:before="480" w:after="0" w:line="276" w:lineRule="auto"/>
      <w:ind w:left="567"/>
      <w:outlineLvl w:val="9"/>
    </w:pPr>
    <w:rPr>
      <w:rFonts w:ascii="Cambria" w:eastAsia="Cambria" w:hAnsi="Cambria"/>
      <w:color w:val="365F91"/>
      <w:sz w:val="28"/>
      <w:szCs w:val="28"/>
      <w:lang w:val="en-US" w:eastAsia="ja-JP"/>
    </w:rPr>
  </w:style>
  <w:style w:type="paragraph" w:customStyle="1" w:styleId="ContentsSubheading">
    <w:name w:val="Contents Subheading"/>
    <w:basedOn w:val="Contents"/>
    <w:next w:val="Normal"/>
    <w:qFormat/>
    <w:rsid w:val="006854ED"/>
    <w:pPr>
      <w:outlineLvl w:val="1"/>
    </w:pPr>
    <w:rPr>
      <w:sz w:val="28"/>
    </w:rPr>
  </w:style>
  <w:style w:type="paragraph" w:styleId="TOC5">
    <w:name w:val="toc 5"/>
    <w:basedOn w:val="TOC1"/>
    <w:next w:val="Normal"/>
    <w:qFormat/>
    <w:rsid w:val="006854ED"/>
    <w:pPr>
      <w:tabs>
        <w:tab w:val="left" w:pos="2127"/>
      </w:tabs>
      <w:spacing w:before="0"/>
      <w:ind w:left="2552" w:hanging="1418"/>
    </w:pPr>
    <w:rPr>
      <w:b w:val="0"/>
      <w:sz w:val="22"/>
    </w:rPr>
  </w:style>
  <w:style w:type="paragraph" w:customStyle="1" w:styleId="AppendixMain">
    <w:name w:val="Appendix Main"/>
    <w:basedOn w:val="Contents"/>
    <w:next w:val="Normal"/>
    <w:qFormat/>
    <w:rsid w:val="006854ED"/>
    <w:pPr>
      <w:keepNext/>
      <w:numPr>
        <w:numId w:val="12"/>
      </w:numPr>
      <w:ind w:left="357" w:hanging="357"/>
    </w:pPr>
  </w:style>
  <w:style w:type="paragraph" w:customStyle="1" w:styleId="AppendixSubheading">
    <w:name w:val="Appendix Subheading"/>
    <w:basedOn w:val="ContentsSubheading"/>
    <w:next w:val="Normal"/>
    <w:qFormat/>
    <w:rsid w:val="006854ED"/>
    <w:pPr>
      <w:keepNext/>
      <w:numPr>
        <w:ilvl w:val="1"/>
        <w:numId w:val="12"/>
      </w:numPr>
      <w:ind w:left="720" w:hanging="720"/>
    </w:pPr>
  </w:style>
  <w:style w:type="paragraph" w:customStyle="1" w:styleId="AppendixThird">
    <w:name w:val="Appendix Third"/>
    <w:basedOn w:val="Normal"/>
    <w:next w:val="Normal"/>
    <w:qFormat/>
    <w:rsid w:val="006854ED"/>
    <w:pPr>
      <w:keepNext/>
      <w:numPr>
        <w:ilvl w:val="2"/>
        <w:numId w:val="12"/>
      </w:numPr>
      <w:spacing w:before="200" w:line="360" w:lineRule="auto"/>
      <w:ind w:left="1077" w:hanging="1077"/>
      <w:outlineLvl w:val="2"/>
    </w:pPr>
    <w:rPr>
      <w:rFonts w:ascii="Calibri" w:eastAsia="Times New Roman" w:hAnsi="Calibri"/>
      <w:b/>
      <w:sz w:val="24"/>
      <w:szCs w:val="22"/>
      <w:lang w:eastAsia="zh-CN"/>
    </w:rPr>
  </w:style>
  <w:style w:type="paragraph" w:customStyle="1" w:styleId="CaptionFollowon">
    <w:name w:val="Caption Follow on"/>
    <w:basedOn w:val="Caption"/>
    <w:next w:val="Normal"/>
    <w:qFormat/>
    <w:rsid w:val="006854ED"/>
    <w:pPr>
      <w:spacing w:before="0"/>
      <w:ind w:firstLine="0"/>
    </w:pPr>
  </w:style>
  <w:style w:type="paragraph" w:styleId="Bibliography">
    <w:name w:val="Bibliography"/>
    <w:basedOn w:val="Normal"/>
    <w:next w:val="Normal"/>
    <w:qFormat/>
    <w:rsid w:val="006854ED"/>
    <w:pPr>
      <w:spacing w:before="200"/>
      <w:ind w:left="720" w:hanging="720"/>
    </w:pPr>
    <w:rPr>
      <w:rFonts w:ascii="Calibri" w:eastAsia="Times New Roman" w:hAnsi="Calibri"/>
      <w:sz w:val="22"/>
      <w:szCs w:val="22"/>
      <w:lang w:eastAsia="zh-CN"/>
    </w:rPr>
  </w:style>
  <w:style w:type="paragraph" w:styleId="BlockText">
    <w:name w:val="Block Text"/>
    <w:basedOn w:val="Normal"/>
    <w:qFormat/>
    <w:rsid w:val="006854ED"/>
    <w:pPr>
      <w:pBdr>
        <w:top w:val="single" w:sz="2" w:space="10" w:color="4F81BD"/>
        <w:left w:val="single" w:sz="2" w:space="10" w:color="4F81BD"/>
        <w:bottom w:val="single" w:sz="2" w:space="10" w:color="4F81BD"/>
        <w:right w:val="single" w:sz="2" w:space="10" w:color="4F81BD"/>
        <w:between w:val="nil"/>
      </w:pBdr>
      <w:spacing w:before="200" w:line="360" w:lineRule="auto"/>
      <w:ind w:left="1152" w:right="1152"/>
    </w:pPr>
    <w:rPr>
      <w:rFonts w:ascii="Calibri" w:hAnsi="Calibri"/>
      <w:i/>
      <w:iCs/>
      <w:color w:val="4F81BD"/>
      <w:sz w:val="22"/>
      <w:szCs w:val="22"/>
      <w:lang w:eastAsia="zh-CN"/>
    </w:rPr>
  </w:style>
  <w:style w:type="paragraph" w:styleId="BodyText2">
    <w:name w:val="Body Text 2"/>
    <w:basedOn w:val="Normal"/>
    <w:link w:val="BodyText2Char"/>
    <w:qFormat/>
    <w:rsid w:val="006854ED"/>
    <w:pPr>
      <w:spacing w:before="200" w:after="120"/>
    </w:pPr>
    <w:rPr>
      <w:rFonts w:ascii="Calibri" w:eastAsia="Times New Roman" w:hAnsi="Calibri"/>
      <w:sz w:val="22"/>
      <w:szCs w:val="22"/>
      <w:lang w:eastAsia="zh-CN"/>
    </w:rPr>
  </w:style>
  <w:style w:type="character" w:customStyle="1" w:styleId="BodyText2Char">
    <w:name w:val="Body Text 2 Char"/>
    <w:link w:val="BodyText2"/>
    <w:rsid w:val="006854ED"/>
    <w:rPr>
      <w:rFonts w:ascii="Calibri" w:eastAsia="Times New Roman" w:hAnsi="Calibri"/>
      <w:sz w:val="22"/>
      <w:szCs w:val="22"/>
      <w:lang w:val="en-GB" w:eastAsia="zh-CN"/>
    </w:rPr>
  </w:style>
  <w:style w:type="paragraph" w:styleId="BodyText3">
    <w:name w:val="Body Text 3"/>
    <w:basedOn w:val="Normal"/>
    <w:link w:val="BodyText3Char"/>
    <w:qFormat/>
    <w:rsid w:val="006854ED"/>
    <w:pPr>
      <w:spacing w:before="200" w:after="120" w:line="360" w:lineRule="auto"/>
    </w:pPr>
    <w:rPr>
      <w:rFonts w:ascii="Calibri" w:eastAsia="Times New Roman" w:hAnsi="Calibri"/>
      <w:sz w:val="16"/>
      <w:szCs w:val="16"/>
      <w:lang w:eastAsia="zh-CN"/>
    </w:rPr>
  </w:style>
  <w:style w:type="character" w:customStyle="1" w:styleId="BodyText3Char">
    <w:name w:val="Body Text 3 Char"/>
    <w:link w:val="BodyText3"/>
    <w:rsid w:val="006854ED"/>
    <w:rPr>
      <w:rFonts w:ascii="Calibri" w:eastAsia="Times New Roman" w:hAnsi="Calibri"/>
      <w:sz w:val="16"/>
      <w:szCs w:val="16"/>
      <w:lang w:val="en-GB" w:eastAsia="zh-CN"/>
    </w:rPr>
  </w:style>
  <w:style w:type="paragraph" w:styleId="BodyTextFirstIndent2">
    <w:name w:val="Body Text First Indent 2"/>
    <w:basedOn w:val="BodyTextIndent"/>
    <w:link w:val="BodyTextFirstIndent2Char"/>
    <w:qFormat/>
    <w:rsid w:val="006854ED"/>
    <w:pPr>
      <w:ind w:left="360" w:firstLine="360"/>
    </w:pPr>
  </w:style>
  <w:style w:type="character" w:customStyle="1" w:styleId="BodyTextFirstIndent2Char">
    <w:name w:val="Body Text First Indent 2 Char"/>
    <w:link w:val="BodyTextFirstIndent2"/>
    <w:rsid w:val="006854ED"/>
    <w:rPr>
      <w:rFonts w:ascii="Calibri" w:eastAsia="Times New Roman" w:hAnsi="Calibri"/>
      <w:sz w:val="22"/>
      <w:szCs w:val="22"/>
      <w:lang w:val="en-GB" w:eastAsia="zh-CN"/>
    </w:rPr>
  </w:style>
  <w:style w:type="paragraph" w:styleId="BodyTextIndent2">
    <w:name w:val="Body Text Indent 2"/>
    <w:basedOn w:val="Normal"/>
    <w:link w:val="BodyTextIndent2Char"/>
    <w:qFormat/>
    <w:rsid w:val="006854ED"/>
    <w:pPr>
      <w:spacing w:before="200" w:after="120"/>
      <w:ind w:left="283"/>
    </w:pPr>
    <w:rPr>
      <w:rFonts w:ascii="Calibri" w:eastAsia="Times New Roman" w:hAnsi="Calibri"/>
      <w:sz w:val="22"/>
      <w:szCs w:val="22"/>
      <w:lang w:eastAsia="zh-CN"/>
    </w:rPr>
  </w:style>
  <w:style w:type="character" w:customStyle="1" w:styleId="BodyTextIndent2Char">
    <w:name w:val="Body Text Indent 2 Char"/>
    <w:link w:val="BodyTextIndent2"/>
    <w:rsid w:val="006854ED"/>
    <w:rPr>
      <w:rFonts w:ascii="Calibri" w:eastAsia="Times New Roman" w:hAnsi="Calibri"/>
      <w:sz w:val="22"/>
      <w:szCs w:val="22"/>
      <w:lang w:val="en-GB" w:eastAsia="zh-CN"/>
    </w:rPr>
  </w:style>
  <w:style w:type="paragraph" w:styleId="BodyTextIndent3">
    <w:name w:val="Body Text Indent 3"/>
    <w:basedOn w:val="Normal"/>
    <w:link w:val="BodyTextIndent3Char"/>
    <w:qFormat/>
    <w:rsid w:val="006854ED"/>
    <w:pPr>
      <w:spacing w:before="200" w:after="120" w:line="360" w:lineRule="auto"/>
      <w:ind w:left="283"/>
    </w:pPr>
    <w:rPr>
      <w:rFonts w:ascii="Calibri" w:eastAsia="Times New Roman" w:hAnsi="Calibri"/>
      <w:sz w:val="16"/>
      <w:szCs w:val="16"/>
      <w:lang w:eastAsia="zh-CN"/>
    </w:rPr>
  </w:style>
  <w:style w:type="character" w:customStyle="1" w:styleId="BodyTextIndent3Char">
    <w:name w:val="Body Text Indent 3 Char"/>
    <w:link w:val="BodyTextIndent3"/>
    <w:rsid w:val="006854ED"/>
    <w:rPr>
      <w:rFonts w:ascii="Calibri" w:eastAsia="Times New Roman" w:hAnsi="Calibri"/>
      <w:sz w:val="16"/>
      <w:szCs w:val="16"/>
      <w:lang w:val="en-GB" w:eastAsia="zh-CN"/>
    </w:rPr>
  </w:style>
  <w:style w:type="paragraph" w:styleId="Closing">
    <w:name w:val="Closing"/>
    <w:basedOn w:val="Normal"/>
    <w:link w:val="ClosingChar"/>
    <w:qFormat/>
    <w:rsid w:val="006854ED"/>
    <w:pPr>
      <w:ind w:left="4252"/>
    </w:pPr>
    <w:rPr>
      <w:rFonts w:ascii="Calibri" w:eastAsia="Times New Roman" w:hAnsi="Calibri"/>
      <w:sz w:val="22"/>
      <w:szCs w:val="22"/>
      <w:lang w:eastAsia="zh-CN"/>
    </w:rPr>
  </w:style>
  <w:style w:type="character" w:customStyle="1" w:styleId="ClosingChar">
    <w:name w:val="Closing Char"/>
    <w:link w:val="Closing"/>
    <w:rsid w:val="006854ED"/>
    <w:rPr>
      <w:rFonts w:ascii="Calibri" w:eastAsia="Times New Roman" w:hAnsi="Calibri"/>
      <w:sz w:val="22"/>
      <w:szCs w:val="22"/>
      <w:lang w:val="en-GB" w:eastAsia="zh-CN"/>
    </w:rPr>
  </w:style>
  <w:style w:type="paragraph" w:customStyle="1" w:styleId="CommentText1">
    <w:name w:val="Comment Text1"/>
    <w:basedOn w:val="Normal"/>
    <w:qFormat/>
    <w:rsid w:val="006854ED"/>
    <w:pPr>
      <w:spacing w:before="200"/>
    </w:pPr>
    <w:rPr>
      <w:rFonts w:ascii="Calibri" w:eastAsia="Times New Roman" w:hAnsi="Calibri"/>
      <w:lang w:eastAsia="zh-CN"/>
    </w:rPr>
  </w:style>
  <w:style w:type="paragraph" w:customStyle="1" w:styleId="CommentSubject1">
    <w:name w:val="Comment Subject1"/>
    <w:basedOn w:val="CommentText1"/>
    <w:next w:val="CommentText1"/>
    <w:qFormat/>
    <w:rsid w:val="006854ED"/>
    <w:rPr>
      <w:b/>
      <w:bCs/>
    </w:rPr>
  </w:style>
  <w:style w:type="paragraph" w:styleId="Date">
    <w:name w:val="Date"/>
    <w:basedOn w:val="Normal"/>
    <w:next w:val="Normal"/>
    <w:link w:val="DateChar"/>
    <w:qFormat/>
    <w:rsid w:val="006854ED"/>
    <w:pPr>
      <w:spacing w:before="200" w:line="360" w:lineRule="auto"/>
    </w:pPr>
    <w:rPr>
      <w:rFonts w:ascii="Calibri" w:eastAsia="Times New Roman" w:hAnsi="Calibri"/>
      <w:sz w:val="22"/>
      <w:szCs w:val="22"/>
      <w:lang w:eastAsia="zh-CN"/>
    </w:rPr>
  </w:style>
  <w:style w:type="character" w:customStyle="1" w:styleId="DateChar">
    <w:name w:val="Date Char"/>
    <w:link w:val="Date"/>
    <w:rsid w:val="006854ED"/>
    <w:rPr>
      <w:rFonts w:ascii="Calibri" w:eastAsia="Times New Roman" w:hAnsi="Calibri"/>
      <w:sz w:val="22"/>
      <w:szCs w:val="22"/>
      <w:lang w:val="en-GB" w:eastAsia="zh-CN"/>
    </w:rPr>
  </w:style>
  <w:style w:type="paragraph" w:styleId="EmailSignature">
    <w:name w:val="E-mail Signature"/>
    <w:basedOn w:val="Normal"/>
    <w:link w:val="EmailSignatureChar"/>
    <w:qFormat/>
    <w:rsid w:val="006854ED"/>
    <w:rPr>
      <w:rFonts w:ascii="Calibri" w:eastAsia="Times New Roman" w:hAnsi="Calibri"/>
      <w:sz w:val="22"/>
      <w:szCs w:val="22"/>
      <w:lang w:eastAsia="zh-CN"/>
    </w:rPr>
  </w:style>
  <w:style w:type="character" w:customStyle="1" w:styleId="EmailSignatureChar">
    <w:name w:val="Email Signature Char"/>
    <w:link w:val="EmailSignature"/>
    <w:rsid w:val="006854ED"/>
    <w:rPr>
      <w:rFonts w:ascii="Calibri" w:eastAsia="Times New Roman" w:hAnsi="Calibri"/>
      <w:sz w:val="22"/>
      <w:szCs w:val="22"/>
      <w:lang w:val="en-GB" w:eastAsia="zh-CN"/>
    </w:rPr>
  </w:style>
  <w:style w:type="paragraph" w:styleId="EnvelopeAddress">
    <w:name w:val="envelope address"/>
    <w:basedOn w:val="Normal"/>
    <w:qFormat/>
    <w:rsid w:val="006854ED"/>
    <w:pPr>
      <w:ind w:left="2880"/>
    </w:pPr>
    <w:rPr>
      <w:rFonts w:ascii="Cambria" w:eastAsia="Cambria" w:hAnsi="Cambria"/>
      <w:sz w:val="24"/>
      <w:szCs w:val="24"/>
      <w:lang w:eastAsia="zh-CN"/>
    </w:rPr>
  </w:style>
  <w:style w:type="paragraph" w:styleId="EnvelopeReturn">
    <w:name w:val="envelope return"/>
    <w:basedOn w:val="Normal"/>
    <w:qFormat/>
    <w:rsid w:val="006854ED"/>
    <w:rPr>
      <w:rFonts w:ascii="Cambria" w:eastAsia="Cambria" w:hAnsi="Cambria"/>
      <w:lang w:eastAsia="zh-CN"/>
    </w:rPr>
  </w:style>
  <w:style w:type="paragraph" w:styleId="FootnoteText">
    <w:name w:val="footnote text"/>
    <w:basedOn w:val="Normal"/>
    <w:link w:val="FootnoteTextChar"/>
    <w:qFormat/>
    <w:rsid w:val="006854ED"/>
    <w:rPr>
      <w:rFonts w:ascii="Calibri" w:eastAsia="Times New Roman" w:hAnsi="Calibri"/>
      <w:lang w:eastAsia="zh-CN"/>
    </w:rPr>
  </w:style>
  <w:style w:type="character" w:customStyle="1" w:styleId="FootnoteTextChar">
    <w:name w:val="Footnote Text Char"/>
    <w:link w:val="FootnoteText"/>
    <w:rsid w:val="006854ED"/>
    <w:rPr>
      <w:rFonts w:ascii="Calibri" w:eastAsia="Times New Roman" w:hAnsi="Calibri"/>
      <w:lang w:val="en-GB" w:eastAsia="zh-CN"/>
    </w:rPr>
  </w:style>
  <w:style w:type="paragraph" w:styleId="HTMLAddress">
    <w:name w:val="HTML Address"/>
    <w:basedOn w:val="Normal"/>
    <w:link w:val="HTMLAddressChar"/>
    <w:qFormat/>
    <w:rsid w:val="006854ED"/>
    <w:rPr>
      <w:rFonts w:ascii="Calibri" w:eastAsia="Times New Roman" w:hAnsi="Calibri"/>
      <w:i/>
      <w:iCs/>
      <w:sz w:val="22"/>
      <w:szCs w:val="22"/>
      <w:lang w:eastAsia="zh-CN"/>
    </w:rPr>
  </w:style>
  <w:style w:type="character" w:customStyle="1" w:styleId="HTMLAddressChar">
    <w:name w:val="HTML Address Char"/>
    <w:link w:val="HTMLAddress"/>
    <w:rsid w:val="006854ED"/>
    <w:rPr>
      <w:rFonts w:ascii="Calibri" w:eastAsia="Times New Roman" w:hAnsi="Calibri"/>
      <w:i/>
      <w:iCs/>
      <w:sz w:val="22"/>
      <w:szCs w:val="22"/>
      <w:lang w:val="en-GB" w:eastAsia="zh-CN"/>
    </w:rPr>
  </w:style>
  <w:style w:type="paragraph" w:styleId="Index1">
    <w:name w:val="index 1"/>
    <w:basedOn w:val="Normal"/>
    <w:next w:val="Normal"/>
    <w:qFormat/>
    <w:rsid w:val="006854ED"/>
    <w:pPr>
      <w:ind w:left="220" w:hanging="220"/>
    </w:pPr>
    <w:rPr>
      <w:rFonts w:ascii="Calibri" w:eastAsia="Times New Roman" w:hAnsi="Calibri"/>
      <w:sz w:val="22"/>
      <w:szCs w:val="22"/>
      <w:lang w:eastAsia="zh-CN"/>
    </w:rPr>
  </w:style>
  <w:style w:type="paragraph" w:styleId="Index2">
    <w:name w:val="index 2"/>
    <w:basedOn w:val="Normal"/>
    <w:next w:val="Normal"/>
    <w:qFormat/>
    <w:rsid w:val="006854ED"/>
    <w:pPr>
      <w:ind w:left="440" w:hanging="220"/>
    </w:pPr>
    <w:rPr>
      <w:rFonts w:ascii="Calibri" w:eastAsia="Times New Roman" w:hAnsi="Calibri"/>
      <w:sz w:val="22"/>
      <w:szCs w:val="22"/>
      <w:lang w:eastAsia="zh-CN"/>
    </w:rPr>
  </w:style>
  <w:style w:type="paragraph" w:styleId="Index3">
    <w:name w:val="index 3"/>
    <w:basedOn w:val="Normal"/>
    <w:next w:val="Normal"/>
    <w:qFormat/>
    <w:rsid w:val="006854ED"/>
    <w:pPr>
      <w:ind w:left="660" w:hanging="220"/>
    </w:pPr>
    <w:rPr>
      <w:rFonts w:ascii="Calibri" w:eastAsia="Times New Roman" w:hAnsi="Calibri"/>
      <w:sz w:val="22"/>
      <w:szCs w:val="22"/>
      <w:lang w:eastAsia="zh-CN"/>
    </w:rPr>
  </w:style>
  <w:style w:type="paragraph" w:styleId="Index4">
    <w:name w:val="index 4"/>
    <w:basedOn w:val="Normal"/>
    <w:next w:val="Normal"/>
    <w:qFormat/>
    <w:rsid w:val="006854ED"/>
    <w:pPr>
      <w:ind w:left="880" w:hanging="220"/>
    </w:pPr>
    <w:rPr>
      <w:rFonts w:ascii="Calibri" w:eastAsia="Times New Roman" w:hAnsi="Calibri"/>
      <w:sz w:val="22"/>
      <w:szCs w:val="22"/>
      <w:lang w:eastAsia="zh-CN"/>
    </w:rPr>
  </w:style>
  <w:style w:type="paragraph" w:styleId="Index5">
    <w:name w:val="index 5"/>
    <w:basedOn w:val="Normal"/>
    <w:next w:val="Normal"/>
    <w:qFormat/>
    <w:rsid w:val="006854ED"/>
    <w:pPr>
      <w:ind w:left="1100" w:hanging="220"/>
    </w:pPr>
    <w:rPr>
      <w:rFonts w:ascii="Calibri" w:eastAsia="Times New Roman" w:hAnsi="Calibri"/>
      <w:sz w:val="22"/>
      <w:szCs w:val="22"/>
      <w:lang w:eastAsia="zh-CN"/>
    </w:rPr>
  </w:style>
  <w:style w:type="paragraph" w:styleId="Index6">
    <w:name w:val="index 6"/>
    <w:basedOn w:val="Normal"/>
    <w:next w:val="Normal"/>
    <w:qFormat/>
    <w:rsid w:val="006854ED"/>
    <w:pPr>
      <w:ind w:left="1320" w:hanging="220"/>
    </w:pPr>
    <w:rPr>
      <w:rFonts w:ascii="Calibri" w:eastAsia="Times New Roman" w:hAnsi="Calibri"/>
      <w:sz w:val="22"/>
      <w:szCs w:val="22"/>
      <w:lang w:eastAsia="zh-CN"/>
    </w:rPr>
  </w:style>
  <w:style w:type="paragraph" w:styleId="Index7">
    <w:name w:val="index 7"/>
    <w:basedOn w:val="Normal"/>
    <w:next w:val="Normal"/>
    <w:qFormat/>
    <w:rsid w:val="006854ED"/>
    <w:pPr>
      <w:ind w:left="1540" w:hanging="220"/>
    </w:pPr>
    <w:rPr>
      <w:rFonts w:ascii="Calibri" w:eastAsia="Times New Roman" w:hAnsi="Calibri"/>
      <w:sz w:val="22"/>
      <w:szCs w:val="22"/>
      <w:lang w:eastAsia="zh-CN"/>
    </w:rPr>
  </w:style>
  <w:style w:type="paragraph" w:styleId="Index8">
    <w:name w:val="index 8"/>
    <w:basedOn w:val="Normal"/>
    <w:next w:val="Normal"/>
    <w:qFormat/>
    <w:rsid w:val="006854ED"/>
    <w:pPr>
      <w:ind w:left="1760" w:hanging="220"/>
    </w:pPr>
    <w:rPr>
      <w:rFonts w:ascii="Calibri" w:eastAsia="Times New Roman" w:hAnsi="Calibri"/>
      <w:sz w:val="22"/>
      <w:szCs w:val="22"/>
      <w:lang w:eastAsia="zh-CN"/>
    </w:rPr>
  </w:style>
  <w:style w:type="paragraph" w:styleId="Index9">
    <w:name w:val="index 9"/>
    <w:basedOn w:val="Normal"/>
    <w:next w:val="Normal"/>
    <w:qFormat/>
    <w:rsid w:val="006854ED"/>
    <w:pPr>
      <w:ind w:left="1980" w:hanging="220"/>
    </w:pPr>
    <w:rPr>
      <w:rFonts w:ascii="Calibri" w:eastAsia="Times New Roman" w:hAnsi="Calibri"/>
      <w:sz w:val="22"/>
      <w:szCs w:val="22"/>
      <w:lang w:eastAsia="zh-CN"/>
    </w:rPr>
  </w:style>
  <w:style w:type="paragraph" w:styleId="IndexHeading">
    <w:name w:val="index heading"/>
    <w:basedOn w:val="Normal"/>
    <w:next w:val="Index1"/>
    <w:qFormat/>
    <w:rsid w:val="006854ED"/>
    <w:pPr>
      <w:spacing w:before="200" w:line="360" w:lineRule="auto"/>
    </w:pPr>
    <w:rPr>
      <w:rFonts w:ascii="Cambria" w:eastAsia="Cambria" w:hAnsi="Cambria"/>
      <w:b/>
      <w:bCs/>
      <w:sz w:val="22"/>
      <w:szCs w:val="22"/>
      <w:lang w:eastAsia="zh-CN"/>
    </w:rPr>
  </w:style>
  <w:style w:type="paragraph" w:styleId="List">
    <w:name w:val="List"/>
    <w:basedOn w:val="Normal"/>
    <w:qFormat/>
    <w:rsid w:val="006854ED"/>
    <w:pPr>
      <w:spacing w:before="200" w:line="360" w:lineRule="auto"/>
      <w:ind w:left="283" w:hanging="283"/>
      <w:contextualSpacing/>
    </w:pPr>
    <w:rPr>
      <w:rFonts w:ascii="Calibri" w:eastAsia="Times New Roman" w:hAnsi="Calibri"/>
      <w:sz w:val="22"/>
      <w:szCs w:val="22"/>
      <w:lang w:eastAsia="zh-CN"/>
    </w:rPr>
  </w:style>
  <w:style w:type="paragraph" w:styleId="List2">
    <w:name w:val="List 2"/>
    <w:basedOn w:val="Normal"/>
    <w:qFormat/>
    <w:rsid w:val="006854ED"/>
    <w:pPr>
      <w:spacing w:before="200" w:line="360" w:lineRule="auto"/>
      <w:ind w:left="566" w:hanging="283"/>
      <w:contextualSpacing/>
    </w:pPr>
    <w:rPr>
      <w:rFonts w:ascii="Calibri" w:eastAsia="Times New Roman" w:hAnsi="Calibri"/>
      <w:sz w:val="22"/>
      <w:szCs w:val="22"/>
      <w:lang w:eastAsia="zh-CN"/>
    </w:rPr>
  </w:style>
  <w:style w:type="paragraph" w:styleId="List4">
    <w:name w:val="List 4"/>
    <w:basedOn w:val="Normal"/>
    <w:qFormat/>
    <w:rsid w:val="006854ED"/>
    <w:pPr>
      <w:spacing w:before="200" w:line="360" w:lineRule="auto"/>
      <w:ind w:left="1132" w:hanging="283"/>
      <w:contextualSpacing/>
    </w:pPr>
    <w:rPr>
      <w:rFonts w:ascii="Calibri" w:eastAsia="Times New Roman" w:hAnsi="Calibri"/>
      <w:sz w:val="22"/>
      <w:szCs w:val="22"/>
      <w:lang w:eastAsia="zh-CN"/>
    </w:rPr>
  </w:style>
  <w:style w:type="paragraph" w:styleId="List5">
    <w:name w:val="List 5"/>
    <w:basedOn w:val="Normal"/>
    <w:qFormat/>
    <w:rsid w:val="006854ED"/>
    <w:pPr>
      <w:spacing w:before="200" w:line="360" w:lineRule="auto"/>
      <w:ind w:left="1415" w:hanging="283"/>
      <w:contextualSpacing/>
    </w:pPr>
    <w:rPr>
      <w:rFonts w:ascii="Calibri" w:eastAsia="Times New Roman" w:hAnsi="Calibri"/>
      <w:sz w:val="22"/>
      <w:szCs w:val="22"/>
      <w:lang w:eastAsia="zh-CN"/>
    </w:rPr>
  </w:style>
  <w:style w:type="paragraph" w:styleId="ListBullet">
    <w:name w:val="List Bullet"/>
    <w:basedOn w:val="Normal"/>
    <w:qFormat/>
    <w:rsid w:val="006854ED"/>
    <w:pPr>
      <w:numPr>
        <w:numId w:val="7"/>
      </w:numPr>
      <w:spacing w:before="200" w:line="360" w:lineRule="auto"/>
      <w:ind w:left="360" w:hanging="360"/>
      <w:contextualSpacing/>
    </w:pPr>
    <w:rPr>
      <w:rFonts w:ascii="Calibri" w:eastAsia="Times New Roman" w:hAnsi="Calibri"/>
      <w:sz w:val="22"/>
      <w:szCs w:val="22"/>
      <w:lang w:eastAsia="zh-CN"/>
    </w:rPr>
  </w:style>
  <w:style w:type="paragraph" w:styleId="ListBullet2">
    <w:name w:val="List Bullet 2"/>
    <w:basedOn w:val="Normal"/>
    <w:qFormat/>
    <w:rsid w:val="006854ED"/>
    <w:pPr>
      <w:numPr>
        <w:numId w:val="2"/>
      </w:numPr>
      <w:spacing w:before="200" w:line="360" w:lineRule="auto"/>
      <w:ind w:left="643" w:hanging="360"/>
      <w:contextualSpacing/>
    </w:pPr>
    <w:rPr>
      <w:rFonts w:ascii="Calibri" w:eastAsia="Times New Roman" w:hAnsi="Calibri"/>
      <w:sz w:val="22"/>
      <w:szCs w:val="22"/>
      <w:lang w:eastAsia="zh-CN"/>
    </w:rPr>
  </w:style>
  <w:style w:type="paragraph" w:styleId="ListBullet3">
    <w:name w:val="List Bullet 3"/>
    <w:basedOn w:val="Normal"/>
    <w:qFormat/>
    <w:rsid w:val="006854ED"/>
    <w:pPr>
      <w:numPr>
        <w:numId w:val="8"/>
      </w:numPr>
      <w:spacing w:before="200" w:line="360" w:lineRule="auto"/>
      <w:ind w:left="926" w:hanging="360"/>
      <w:contextualSpacing/>
    </w:pPr>
    <w:rPr>
      <w:rFonts w:ascii="Calibri" w:eastAsia="Times New Roman" w:hAnsi="Calibri"/>
      <w:sz w:val="22"/>
      <w:szCs w:val="22"/>
      <w:lang w:eastAsia="zh-CN"/>
    </w:rPr>
  </w:style>
  <w:style w:type="paragraph" w:styleId="ListBullet4">
    <w:name w:val="List Bullet 4"/>
    <w:basedOn w:val="Normal"/>
    <w:qFormat/>
    <w:rsid w:val="006854ED"/>
    <w:pPr>
      <w:numPr>
        <w:numId w:val="4"/>
      </w:numPr>
      <w:spacing w:before="200" w:line="360" w:lineRule="auto"/>
      <w:ind w:left="1209" w:hanging="360"/>
      <w:contextualSpacing/>
    </w:pPr>
    <w:rPr>
      <w:rFonts w:ascii="Calibri" w:eastAsia="Times New Roman" w:hAnsi="Calibri"/>
      <w:sz w:val="22"/>
      <w:szCs w:val="22"/>
      <w:lang w:eastAsia="zh-CN"/>
    </w:rPr>
  </w:style>
  <w:style w:type="paragraph" w:styleId="ListBullet5">
    <w:name w:val="List Bullet 5"/>
    <w:basedOn w:val="Normal"/>
    <w:qFormat/>
    <w:rsid w:val="006854ED"/>
    <w:pPr>
      <w:numPr>
        <w:numId w:val="5"/>
      </w:numPr>
      <w:spacing w:before="200" w:line="360" w:lineRule="auto"/>
      <w:ind w:left="1492" w:hanging="360"/>
      <w:contextualSpacing/>
    </w:pPr>
    <w:rPr>
      <w:rFonts w:ascii="Calibri" w:eastAsia="Times New Roman" w:hAnsi="Calibri"/>
      <w:sz w:val="22"/>
      <w:szCs w:val="22"/>
      <w:lang w:eastAsia="zh-CN"/>
    </w:rPr>
  </w:style>
  <w:style w:type="paragraph" w:styleId="ListContinue">
    <w:name w:val="List Continue"/>
    <w:basedOn w:val="Normal"/>
    <w:qFormat/>
    <w:rsid w:val="006854ED"/>
    <w:pPr>
      <w:spacing w:before="200" w:after="120" w:line="360" w:lineRule="auto"/>
      <w:ind w:left="283"/>
      <w:contextualSpacing/>
    </w:pPr>
    <w:rPr>
      <w:rFonts w:ascii="Calibri" w:eastAsia="Times New Roman" w:hAnsi="Calibri"/>
      <w:sz w:val="22"/>
      <w:szCs w:val="22"/>
      <w:lang w:eastAsia="zh-CN"/>
    </w:rPr>
  </w:style>
  <w:style w:type="paragraph" w:styleId="ListContinue2">
    <w:name w:val="List Continue 2"/>
    <w:basedOn w:val="Normal"/>
    <w:qFormat/>
    <w:rsid w:val="006854ED"/>
    <w:pPr>
      <w:spacing w:before="200" w:after="120" w:line="360" w:lineRule="auto"/>
      <w:ind w:left="566"/>
      <w:contextualSpacing/>
    </w:pPr>
    <w:rPr>
      <w:rFonts w:ascii="Calibri" w:eastAsia="Times New Roman" w:hAnsi="Calibri"/>
      <w:sz w:val="22"/>
      <w:szCs w:val="22"/>
      <w:lang w:eastAsia="zh-CN"/>
    </w:rPr>
  </w:style>
  <w:style w:type="paragraph" w:styleId="ListContinue3">
    <w:name w:val="List Continue 3"/>
    <w:basedOn w:val="Normal"/>
    <w:qFormat/>
    <w:rsid w:val="006854ED"/>
    <w:pPr>
      <w:spacing w:before="200" w:after="120" w:line="360" w:lineRule="auto"/>
      <w:ind w:left="849"/>
      <w:contextualSpacing/>
    </w:pPr>
    <w:rPr>
      <w:rFonts w:ascii="Calibri" w:eastAsia="Times New Roman" w:hAnsi="Calibri"/>
      <w:sz w:val="22"/>
      <w:szCs w:val="22"/>
      <w:lang w:eastAsia="zh-CN"/>
    </w:rPr>
  </w:style>
  <w:style w:type="paragraph" w:styleId="ListContinue4">
    <w:name w:val="List Continue 4"/>
    <w:basedOn w:val="Normal"/>
    <w:qFormat/>
    <w:rsid w:val="006854ED"/>
    <w:pPr>
      <w:spacing w:before="200" w:after="120" w:line="360" w:lineRule="auto"/>
      <w:ind w:left="1132"/>
      <w:contextualSpacing/>
    </w:pPr>
    <w:rPr>
      <w:rFonts w:ascii="Calibri" w:eastAsia="Times New Roman" w:hAnsi="Calibri"/>
      <w:sz w:val="22"/>
      <w:szCs w:val="22"/>
      <w:lang w:eastAsia="zh-CN"/>
    </w:rPr>
  </w:style>
  <w:style w:type="paragraph" w:styleId="ListContinue5">
    <w:name w:val="List Continue 5"/>
    <w:basedOn w:val="Normal"/>
    <w:qFormat/>
    <w:rsid w:val="006854ED"/>
    <w:pPr>
      <w:spacing w:before="200" w:after="120" w:line="360" w:lineRule="auto"/>
      <w:ind w:left="1415"/>
      <w:contextualSpacing/>
    </w:pPr>
    <w:rPr>
      <w:rFonts w:ascii="Calibri" w:eastAsia="Times New Roman" w:hAnsi="Calibri"/>
      <w:sz w:val="22"/>
      <w:szCs w:val="22"/>
      <w:lang w:eastAsia="zh-CN"/>
    </w:rPr>
  </w:style>
  <w:style w:type="paragraph" w:styleId="ListNumber">
    <w:name w:val="List Number"/>
    <w:basedOn w:val="Normal"/>
    <w:qFormat/>
    <w:rsid w:val="006854ED"/>
    <w:pPr>
      <w:numPr>
        <w:numId w:val="1"/>
      </w:numPr>
      <w:spacing w:before="200" w:line="360" w:lineRule="auto"/>
      <w:ind w:left="357" w:hanging="357"/>
      <w:contextualSpacing/>
    </w:pPr>
    <w:rPr>
      <w:rFonts w:ascii="Calibri" w:eastAsia="Times New Roman" w:hAnsi="Calibri"/>
      <w:sz w:val="22"/>
      <w:szCs w:val="22"/>
      <w:lang w:eastAsia="zh-CN"/>
    </w:rPr>
  </w:style>
  <w:style w:type="paragraph" w:styleId="ListNumber2">
    <w:name w:val="List Number 2"/>
    <w:basedOn w:val="Normal"/>
    <w:qFormat/>
    <w:rsid w:val="006854ED"/>
    <w:pPr>
      <w:numPr>
        <w:numId w:val="6"/>
      </w:numPr>
      <w:spacing w:before="200" w:line="360" w:lineRule="auto"/>
      <w:ind w:left="643" w:hanging="360"/>
      <w:contextualSpacing/>
    </w:pPr>
    <w:rPr>
      <w:rFonts w:ascii="Calibri" w:eastAsia="Times New Roman" w:hAnsi="Calibri"/>
      <w:sz w:val="22"/>
      <w:szCs w:val="22"/>
      <w:lang w:eastAsia="zh-CN"/>
    </w:rPr>
  </w:style>
  <w:style w:type="paragraph" w:styleId="ListNumber3">
    <w:name w:val="List Number 3"/>
    <w:basedOn w:val="Normal"/>
    <w:qFormat/>
    <w:rsid w:val="006854ED"/>
    <w:pPr>
      <w:numPr>
        <w:numId w:val="11"/>
      </w:numPr>
      <w:spacing w:before="200" w:line="360" w:lineRule="auto"/>
      <w:ind w:left="926" w:hanging="360"/>
      <w:contextualSpacing/>
    </w:pPr>
    <w:rPr>
      <w:rFonts w:ascii="Calibri" w:eastAsia="Times New Roman" w:hAnsi="Calibri"/>
      <w:sz w:val="22"/>
      <w:szCs w:val="22"/>
      <w:lang w:eastAsia="zh-CN"/>
    </w:rPr>
  </w:style>
  <w:style w:type="paragraph" w:styleId="ListNumber4">
    <w:name w:val="List Number 4"/>
    <w:basedOn w:val="Normal"/>
    <w:qFormat/>
    <w:rsid w:val="006854ED"/>
    <w:pPr>
      <w:numPr>
        <w:numId w:val="10"/>
      </w:numPr>
      <w:spacing w:before="200" w:line="360" w:lineRule="auto"/>
      <w:ind w:left="1209" w:hanging="360"/>
      <w:contextualSpacing/>
    </w:pPr>
    <w:rPr>
      <w:rFonts w:ascii="Calibri" w:eastAsia="Times New Roman" w:hAnsi="Calibri"/>
      <w:sz w:val="22"/>
      <w:szCs w:val="22"/>
      <w:lang w:eastAsia="zh-CN"/>
    </w:rPr>
  </w:style>
  <w:style w:type="paragraph" w:styleId="ListNumber5">
    <w:name w:val="List Number 5"/>
    <w:basedOn w:val="Normal"/>
    <w:qFormat/>
    <w:rsid w:val="006854ED"/>
    <w:pPr>
      <w:numPr>
        <w:numId w:val="9"/>
      </w:numPr>
      <w:spacing w:before="200" w:line="360" w:lineRule="auto"/>
      <w:ind w:left="1492" w:hanging="360"/>
      <w:contextualSpacing/>
    </w:pPr>
    <w:rPr>
      <w:rFonts w:ascii="Calibri" w:eastAsia="Times New Roman" w:hAnsi="Calibri"/>
      <w:sz w:val="22"/>
      <w:szCs w:val="22"/>
      <w:lang w:eastAsia="zh-CN"/>
    </w:rPr>
  </w:style>
  <w:style w:type="paragraph" w:customStyle="1" w:styleId="MacroText1">
    <w:name w:val="Macro Text1"/>
    <w:qFormat/>
    <w:rsid w:val="006854ED"/>
    <w:pPr>
      <w:tabs>
        <w:tab w:val="left" w:pos="480"/>
        <w:tab w:val="left" w:pos="960"/>
        <w:tab w:val="left" w:pos="1440"/>
        <w:tab w:val="left" w:pos="1920"/>
        <w:tab w:val="left" w:pos="2400"/>
        <w:tab w:val="left" w:pos="2880"/>
        <w:tab w:val="left" w:pos="3360"/>
        <w:tab w:val="left" w:pos="3840"/>
        <w:tab w:val="left" w:pos="4320"/>
      </w:tabs>
      <w:spacing w:before="200" w:line="360" w:lineRule="auto"/>
    </w:pPr>
    <w:rPr>
      <w:rFonts w:ascii="Consolas" w:eastAsia="Times New Roman" w:hAnsi="Consolas"/>
    </w:rPr>
  </w:style>
  <w:style w:type="paragraph" w:styleId="MessageHeader">
    <w:name w:val="Message Header"/>
    <w:basedOn w:val="Normal"/>
    <w:link w:val="MessageHeaderChar"/>
    <w:qFormat/>
    <w:rsid w:val="006854ED"/>
    <w:pPr>
      <w:pBdr>
        <w:top w:val="single" w:sz="6" w:space="1" w:color="000000"/>
        <w:left w:val="single" w:sz="6" w:space="1" w:color="000000"/>
        <w:bottom w:val="single" w:sz="6" w:space="1" w:color="000000"/>
        <w:right w:val="single" w:sz="6" w:space="1" w:color="000000"/>
        <w:between w:val="nil"/>
      </w:pBdr>
      <w:shd w:val="solid" w:color="CCCCCC" w:fill="auto"/>
      <w:ind w:left="1134" w:hanging="1134"/>
    </w:pPr>
    <w:rPr>
      <w:rFonts w:ascii="Cambria" w:eastAsia="Cambria" w:hAnsi="Cambria"/>
      <w:sz w:val="24"/>
      <w:szCs w:val="24"/>
      <w:lang w:eastAsia="zh-CN"/>
    </w:rPr>
  </w:style>
  <w:style w:type="character" w:customStyle="1" w:styleId="MessageHeaderChar">
    <w:name w:val="Message Header Char"/>
    <w:link w:val="MessageHeader"/>
    <w:rsid w:val="006854ED"/>
    <w:rPr>
      <w:rFonts w:ascii="Cambria" w:eastAsia="Cambria" w:hAnsi="Cambria"/>
      <w:sz w:val="24"/>
      <w:szCs w:val="24"/>
      <w:shd w:val="solid" w:color="CCCCCC" w:fill="auto"/>
      <w:lang w:val="en-GB" w:eastAsia="zh-CN"/>
    </w:rPr>
  </w:style>
  <w:style w:type="paragraph" w:styleId="NoSpacing">
    <w:name w:val="No Spacing"/>
    <w:qFormat/>
    <w:rsid w:val="006854ED"/>
    <w:rPr>
      <w:rFonts w:ascii="Calibri" w:eastAsia="Times New Roman" w:hAnsi="Calibri"/>
      <w:sz w:val="22"/>
      <w:szCs w:val="22"/>
    </w:rPr>
  </w:style>
  <w:style w:type="paragraph" w:styleId="NormalWeb">
    <w:name w:val="Normal (Web)"/>
    <w:basedOn w:val="Normal"/>
    <w:uiPriority w:val="99"/>
    <w:qFormat/>
    <w:rsid w:val="006854ED"/>
    <w:pPr>
      <w:spacing w:before="200" w:line="360" w:lineRule="auto"/>
    </w:pPr>
    <w:rPr>
      <w:rFonts w:eastAsia="Times New Roman"/>
      <w:sz w:val="24"/>
      <w:szCs w:val="24"/>
      <w:lang w:eastAsia="zh-CN"/>
    </w:rPr>
  </w:style>
  <w:style w:type="paragraph" w:styleId="NormalIndent">
    <w:name w:val="Normal Indent"/>
    <w:basedOn w:val="Normal"/>
    <w:qFormat/>
    <w:rsid w:val="006854ED"/>
    <w:pPr>
      <w:spacing w:before="200" w:line="360" w:lineRule="auto"/>
      <w:ind w:left="720"/>
    </w:pPr>
    <w:rPr>
      <w:rFonts w:ascii="Calibri" w:eastAsia="Times New Roman" w:hAnsi="Calibri"/>
      <w:sz w:val="22"/>
      <w:szCs w:val="22"/>
      <w:lang w:eastAsia="zh-CN"/>
    </w:rPr>
  </w:style>
  <w:style w:type="paragraph" w:styleId="NoteHeading">
    <w:name w:val="Note Heading"/>
    <w:basedOn w:val="Normal"/>
    <w:next w:val="Normal"/>
    <w:link w:val="NoteHeadingChar"/>
    <w:qFormat/>
    <w:rsid w:val="006854ED"/>
    <w:rPr>
      <w:rFonts w:ascii="Calibri" w:eastAsia="Times New Roman" w:hAnsi="Calibri"/>
      <w:sz w:val="22"/>
      <w:szCs w:val="22"/>
      <w:lang w:eastAsia="zh-CN"/>
    </w:rPr>
  </w:style>
  <w:style w:type="character" w:customStyle="1" w:styleId="NoteHeadingChar">
    <w:name w:val="Note Heading Char"/>
    <w:link w:val="NoteHeading"/>
    <w:rsid w:val="006854ED"/>
    <w:rPr>
      <w:rFonts w:ascii="Calibri" w:eastAsia="Times New Roman" w:hAnsi="Calibri"/>
      <w:sz w:val="22"/>
      <w:szCs w:val="22"/>
      <w:lang w:val="en-GB" w:eastAsia="zh-CN"/>
    </w:rPr>
  </w:style>
  <w:style w:type="paragraph" w:styleId="PlainText">
    <w:name w:val="Plain Text"/>
    <w:basedOn w:val="Normal"/>
    <w:link w:val="PlainTextChar"/>
    <w:qFormat/>
    <w:rsid w:val="006854ED"/>
    <w:rPr>
      <w:rFonts w:ascii="Consolas" w:eastAsia="Times New Roman" w:hAnsi="Consolas"/>
      <w:sz w:val="21"/>
      <w:szCs w:val="21"/>
      <w:lang w:eastAsia="zh-CN"/>
    </w:rPr>
  </w:style>
  <w:style w:type="character" w:customStyle="1" w:styleId="PlainTextChar">
    <w:name w:val="Plain Text Char"/>
    <w:link w:val="PlainText"/>
    <w:rsid w:val="006854ED"/>
    <w:rPr>
      <w:rFonts w:ascii="Consolas" w:eastAsia="Times New Roman" w:hAnsi="Consolas"/>
      <w:sz w:val="21"/>
      <w:szCs w:val="21"/>
      <w:lang w:val="en-GB" w:eastAsia="zh-CN"/>
    </w:rPr>
  </w:style>
  <w:style w:type="paragraph" w:styleId="Signature">
    <w:name w:val="Signature"/>
    <w:basedOn w:val="Normal"/>
    <w:link w:val="SignatureChar"/>
    <w:qFormat/>
    <w:rsid w:val="006854ED"/>
    <w:pPr>
      <w:ind w:left="4252"/>
    </w:pPr>
    <w:rPr>
      <w:rFonts w:ascii="Calibri" w:eastAsia="Times New Roman" w:hAnsi="Calibri"/>
      <w:sz w:val="22"/>
      <w:szCs w:val="22"/>
      <w:lang w:eastAsia="zh-CN"/>
    </w:rPr>
  </w:style>
  <w:style w:type="character" w:customStyle="1" w:styleId="SignatureChar">
    <w:name w:val="Signature Char"/>
    <w:link w:val="Signature"/>
    <w:rsid w:val="006854ED"/>
    <w:rPr>
      <w:rFonts w:ascii="Calibri" w:eastAsia="Times New Roman" w:hAnsi="Calibri"/>
      <w:sz w:val="22"/>
      <w:szCs w:val="22"/>
      <w:lang w:val="en-GB" w:eastAsia="zh-CN"/>
    </w:rPr>
  </w:style>
  <w:style w:type="paragraph" w:styleId="TableofAuthorities">
    <w:name w:val="table of authorities"/>
    <w:basedOn w:val="Normal"/>
    <w:next w:val="Normal"/>
    <w:qFormat/>
    <w:rsid w:val="006854ED"/>
    <w:pPr>
      <w:spacing w:before="200" w:line="360" w:lineRule="auto"/>
      <w:ind w:left="220" w:hanging="220"/>
    </w:pPr>
    <w:rPr>
      <w:rFonts w:ascii="Calibri" w:eastAsia="Times New Roman" w:hAnsi="Calibri"/>
      <w:sz w:val="22"/>
      <w:szCs w:val="22"/>
      <w:lang w:eastAsia="zh-CN"/>
    </w:rPr>
  </w:style>
  <w:style w:type="paragraph" w:styleId="TOAHeading">
    <w:name w:val="toa heading"/>
    <w:basedOn w:val="Normal"/>
    <w:next w:val="Normal"/>
    <w:qFormat/>
    <w:rsid w:val="006854ED"/>
    <w:pPr>
      <w:spacing w:before="120" w:line="360" w:lineRule="auto"/>
    </w:pPr>
    <w:rPr>
      <w:rFonts w:ascii="Cambria" w:eastAsia="Cambria" w:hAnsi="Cambria"/>
      <w:b/>
      <w:bCs/>
      <w:sz w:val="24"/>
      <w:szCs w:val="24"/>
      <w:lang w:eastAsia="zh-CN"/>
    </w:rPr>
  </w:style>
  <w:style w:type="paragraph" w:styleId="TOC6">
    <w:name w:val="toc 6"/>
    <w:basedOn w:val="Normal"/>
    <w:next w:val="Normal"/>
    <w:qFormat/>
    <w:rsid w:val="006854ED"/>
    <w:pPr>
      <w:spacing w:before="200" w:after="100" w:line="360" w:lineRule="auto"/>
      <w:ind w:left="1100"/>
    </w:pPr>
    <w:rPr>
      <w:rFonts w:ascii="Calibri" w:eastAsia="Times New Roman" w:hAnsi="Calibri"/>
      <w:sz w:val="22"/>
      <w:szCs w:val="22"/>
      <w:lang w:eastAsia="zh-CN"/>
    </w:rPr>
  </w:style>
  <w:style w:type="paragraph" w:styleId="TOC7">
    <w:name w:val="toc 7"/>
    <w:basedOn w:val="Normal"/>
    <w:next w:val="Normal"/>
    <w:qFormat/>
    <w:rsid w:val="006854ED"/>
    <w:pPr>
      <w:spacing w:before="200" w:after="100" w:line="360" w:lineRule="auto"/>
      <w:ind w:left="1320"/>
    </w:pPr>
    <w:rPr>
      <w:rFonts w:ascii="Calibri" w:eastAsia="Times New Roman" w:hAnsi="Calibri"/>
      <w:sz w:val="22"/>
      <w:szCs w:val="22"/>
      <w:lang w:eastAsia="zh-CN"/>
    </w:rPr>
  </w:style>
  <w:style w:type="paragraph" w:styleId="TOC8">
    <w:name w:val="toc 8"/>
    <w:basedOn w:val="Normal"/>
    <w:next w:val="Normal"/>
    <w:qFormat/>
    <w:rsid w:val="006854ED"/>
    <w:pPr>
      <w:spacing w:before="200" w:after="100" w:line="360" w:lineRule="auto"/>
      <w:ind w:left="1540"/>
    </w:pPr>
    <w:rPr>
      <w:rFonts w:ascii="Calibri" w:eastAsia="Times New Roman" w:hAnsi="Calibri"/>
      <w:sz w:val="22"/>
      <w:szCs w:val="22"/>
      <w:lang w:eastAsia="zh-CN"/>
    </w:rPr>
  </w:style>
  <w:style w:type="paragraph" w:styleId="TOC9">
    <w:name w:val="toc 9"/>
    <w:basedOn w:val="Normal"/>
    <w:next w:val="Normal"/>
    <w:qFormat/>
    <w:rsid w:val="006854ED"/>
    <w:pPr>
      <w:spacing w:before="200" w:after="100" w:line="360" w:lineRule="auto"/>
      <w:ind w:left="1760"/>
    </w:pPr>
    <w:rPr>
      <w:rFonts w:ascii="Calibri" w:eastAsia="Times New Roman" w:hAnsi="Calibri"/>
      <w:sz w:val="22"/>
      <w:szCs w:val="22"/>
      <w:lang w:eastAsia="zh-CN"/>
    </w:rPr>
  </w:style>
  <w:style w:type="paragraph" w:customStyle="1" w:styleId="FooterLandscapedEven">
    <w:name w:val="Footer Landscaped Even"/>
    <w:basedOn w:val="Footer"/>
    <w:qFormat/>
    <w:rsid w:val="006854ED"/>
    <w:pPr>
      <w:tabs>
        <w:tab w:val="clear" w:pos="4320"/>
        <w:tab w:val="clear" w:pos="8640"/>
        <w:tab w:val="center" w:pos="4153"/>
        <w:tab w:val="right" w:pos="8306"/>
        <w:tab w:val="right" w:pos="8505"/>
      </w:tabs>
      <w:spacing w:after="1800"/>
      <w:jc w:val="center"/>
    </w:pPr>
    <w:rPr>
      <w:rFonts w:ascii="Calibri" w:hAnsi="Calibri"/>
      <w:sz w:val="22"/>
      <w:szCs w:val="24"/>
      <w:lang w:eastAsia="zh-CN"/>
    </w:rPr>
  </w:style>
  <w:style w:type="paragraph" w:customStyle="1" w:styleId="HeaderLandscapedOdd">
    <w:name w:val="Header Landscaped Odd"/>
    <w:basedOn w:val="Header"/>
    <w:qFormat/>
    <w:rsid w:val="006854ED"/>
    <w:pPr>
      <w:tabs>
        <w:tab w:val="clear" w:pos="4320"/>
        <w:tab w:val="clear" w:pos="8640"/>
        <w:tab w:val="center" w:pos="4153"/>
        <w:tab w:val="right" w:pos="8306"/>
        <w:tab w:val="right" w:pos="8460"/>
      </w:tabs>
      <w:spacing w:before="1800"/>
      <w:jc w:val="right"/>
    </w:pPr>
    <w:rPr>
      <w:rFonts w:ascii="Calibri" w:hAnsi="Calibri"/>
      <w:sz w:val="22"/>
      <w:szCs w:val="24"/>
      <w:lang w:eastAsia="zh-CN"/>
    </w:rPr>
  </w:style>
  <w:style w:type="paragraph" w:customStyle="1" w:styleId="QuotationAttribution">
    <w:name w:val="Quotation_Attribution"/>
    <w:basedOn w:val="Quotation"/>
    <w:next w:val="Normal"/>
    <w:qFormat/>
    <w:rsid w:val="006854ED"/>
    <w:rPr>
      <w:b/>
    </w:rPr>
  </w:style>
  <w:style w:type="paragraph" w:customStyle="1" w:styleId="Insertedimage">
    <w:name w:val="Inserted image"/>
    <w:basedOn w:val="Normal"/>
    <w:next w:val="Normal"/>
    <w:qFormat/>
    <w:rsid w:val="006854ED"/>
    <w:pPr>
      <w:keepNext/>
      <w:spacing w:before="120" w:after="120"/>
      <w:jc w:val="center"/>
    </w:pPr>
    <w:rPr>
      <w:rFonts w:ascii="Calibri" w:eastAsia="Times New Roman" w:hAnsi="Calibri"/>
      <w:sz w:val="22"/>
      <w:szCs w:val="22"/>
      <w:lang w:eastAsia="zh-CN"/>
    </w:rPr>
  </w:style>
  <w:style w:type="paragraph" w:styleId="Title">
    <w:name w:val="Title"/>
    <w:basedOn w:val="Normal"/>
    <w:next w:val="Normal"/>
    <w:link w:val="TitleChar"/>
    <w:qFormat/>
    <w:rsid w:val="006854ED"/>
    <w:pPr>
      <w:spacing w:before="360" w:after="360" w:line="360" w:lineRule="auto"/>
      <w:contextualSpacing/>
      <w:jc w:val="center"/>
    </w:pPr>
    <w:rPr>
      <w:rFonts w:ascii="Calibri" w:eastAsia="Cambria" w:hAnsi="Calibri"/>
      <w:b/>
      <w:spacing w:val="4"/>
      <w:sz w:val="24"/>
      <w:szCs w:val="52"/>
      <w:lang w:eastAsia="zh-CN"/>
    </w:rPr>
  </w:style>
  <w:style w:type="character" w:customStyle="1" w:styleId="TitleChar">
    <w:name w:val="Title Char"/>
    <w:link w:val="Title"/>
    <w:rsid w:val="006854ED"/>
    <w:rPr>
      <w:rFonts w:ascii="Calibri" w:eastAsia="Cambria" w:hAnsi="Calibri"/>
      <w:b/>
      <w:spacing w:val="4"/>
      <w:sz w:val="24"/>
      <w:szCs w:val="52"/>
      <w:lang w:val="en-GB" w:eastAsia="zh-CN"/>
    </w:rPr>
  </w:style>
  <w:style w:type="paragraph" w:styleId="ListParagraph">
    <w:name w:val="List Paragraph"/>
    <w:basedOn w:val="Normal"/>
    <w:qFormat/>
    <w:rsid w:val="006854ED"/>
    <w:pPr>
      <w:spacing w:before="200" w:line="360" w:lineRule="auto"/>
      <w:ind w:left="720"/>
      <w:contextualSpacing/>
    </w:pPr>
    <w:rPr>
      <w:rFonts w:ascii="Calibri" w:eastAsia="Times New Roman" w:hAnsi="Calibri"/>
      <w:sz w:val="22"/>
      <w:szCs w:val="22"/>
      <w:lang w:eastAsia="zh-CN"/>
    </w:rPr>
  </w:style>
  <w:style w:type="paragraph" w:customStyle="1" w:styleId="Default">
    <w:name w:val="Default"/>
    <w:qFormat/>
    <w:rsid w:val="006854ED"/>
    <w:pPr>
      <w:spacing w:line="360" w:lineRule="auto"/>
    </w:pPr>
    <w:rPr>
      <w:rFonts w:ascii="Calibri" w:eastAsia="Times New Roman" w:hAnsi="Calibri" w:cs="Lucida Sans"/>
      <w:color w:val="000000"/>
      <w:sz w:val="22"/>
      <w:szCs w:val="24"/>
    </w:rPr>
  </w:style>
  <w:style w:type="paragraph" w:customStyle="1" w:styleId="TitlePage">
    <w:name w:val="TitlePage"/>
    <w:qFormat/>
    <w:rsid w:val="006854ED"/>
    <w:pPr>
      <w:spacing w:before="200" w:line="360" w:lineRule="auto"/>
      <w:jc w:val="center"/>
    </w:pPr>
    <w:rPr>
      <w:rFonts w:ascii="Calibri" w:eastAsia="Times New Roman" w:hAnsi="Calibri"/>
      <w:sz w:val="24"/>
      <w:szCs w:val="24"/>
    </w:rPr>
  </w:style>
  <w:style w:type="paragraph" w:customStyle="1" w:styleId="CommentText2">
    <w:name w:val="Comment Text2"/>
    <w:basedOn w:val="Normal"/>
    <w:qFormat/>
    <w:rsid w:val="006854ED"/>
    <w:rPr>
      <w:rFonts w:ascii="Calibri" w:eastAsia="Times New Roman" w:hAnsi="Calibri"/>
      <w:lang w:eastAsia="zh-CN"/>
    </w:rPr>
  </w:style>
  <w:style w:type="paragraph" w:customStyle="1" w:styleId="CommentSubject2">
    <w:name w:val="Comment Subject2"/>
    <w:basedOn w:val="CommentText2"/>
    <w:next w:val="CommentText2"/>
    <w:qFormat/>
    <w:rsid w:val="006854ED"/>
    <w:rPr>
      <w:b/>
      <w:bCs/>
    </w:rPr>
  </w:style>
  <w:style w:type="paragraph" w:customStyle="1" w:styleId="Revision1">
    <w:name w:val="Revision1"/>
    <w:qFormat/>
    <w:rsid w:val="006854ED"/>
    <w:rPr>
      <w:rFonts w:ascii="Calibri" w:eastAsia="Times New Roman" w:hAnsi="Calibri"/>
      <w:sz w:val="22"/>
      <w:szCs w:val="22"/>
    </w:rPr>
  </w:style>
  <w:style w:type="character" w:customStyle="1" w:styleId="MacroTextChar">
    <w:name w:val="Macro Text Char"/>
    <w:rsid w:val="006854ED"/>
    <w:rPr>
      <w:rFonts w:ascii="Consolas" w:hAnsi="Consolas"/>
      <w:sz w:val="20"/>
      <w:szCs w:val="20"/>
    </w:rPr>
  </w:style>
  <w:style w:type="character" w:customStyle="1" w:styleId="apple-converted-space">
    <w:name w:val="apple-converted-space"/>
    <w:rsid w:val="006854ED"/>
  </w:style>
  <w:style w:type="character" w:customStyle="1" w:styleId="coursename">
    <w:name w:val="coursename"/>
    <w:rsid w:val="006854ED"/>
  </w:style>
  <w:style w:type="character" w:customStyle="1" w:styleId="courseid">
    <w:name w:val="courseid"/>
    <w:rsid w:val="006854ED"/>
  </w:style>
  <w:style w:type="character" w:styleId="PlaceholderText">
    <w:name w:val="Placeholder Text"/>
    <w:rsid w:val="006854ED"/>
    <w:rPr>
      <w:color w:val="808080"/>
    </w:rPr>
  </w:style>
  <w:style w:type="character" w:customStyle="1" w:styleId="CommentReference2">
    <w:name w:val="Comment Reference2"/>
    <w:rsid w:val="006854ED"/>
    <w:rPr>
      <w:sz w:val="16"/>
      <w:szCs w:val="16"/>
    </w:rPr>
  </w:style>
  <w:style w:type="paragraph" w:customStyle="1" w:styleId="CommentText3">
    <w:name w:val="Comment Text3"/>
    <w:basedOn w:val="Normal"/>
    <w:qFormat/>
    <w:rsid w:val="006854ED"/>
    <w:rPr>
      <w:rFonts w:ascii="Calibri" w:eastAsia="Times New Roman" w:hAnsi="Calibri"/>
      <w:lang w:eastAsia="zh-CN"/>
    </w:rPr>
  </w:style>
  <w:style w:type="character" w:customStyle="1" w:styleId="UnresolvedMention1">
    <w:name w:val="Unresolved Mention1"/>
    <w:uiPriority w:val="99"/>
    <w:semiHidden/>
    <w:unhideWhenUsed/>
    <w:rsid w:val="001748F2"/>
    <w:rPr>
      <w:color w:val="605E5C"/>
      <w:shd w:val="clear" w:color="auto" w:fill="E1DFDD"/>
    </w:rPr>
  </w:style>
  <w:style w:type="character" w:customStyle="1" w:styleId="UnresolvedMention2">
    <w:name w:val="Unresolved Mention2"/>
    <w:basedOn w:val="DefaultParagraphFont"/>
    <w:uiPriority w:val="99"/>
    <w:semiHidden/>
    <w:unhideWhenUsed/>
    <w:rsid w:val="00BE04D5"/>
    <w:rPr>
      <w:color w:val="605E5C"/>
      <w:shd w:val="clear" w:color="auto" w:fill="E1DFDD"/>
    </w:rPr>
  </w:style>
  <w:style w:type="character" w:customStyle="1" w:styleId="UnresolvedMention3">
    <w:name w:val="Unresolved Mention3"/>
    <w:basedOn w:val="DefaultParagraphFont"/>
    <w:uiPriority w:val="99"/>
    <w:semiHidden/>
    <w:unhideWhenUsed/>
    <w:rsid w:val="002D5980"/>
    <w:rPr>
      <w:color w:val="605E5C"/>
      <w:shd w:val="clear" w:color="auto" w:fill="E1DFDD"/>
    </w:rPr>
  </w:style>
  <w:style w:type="paragraph" w:styleId="Revision">
    <w:name w:val="Revision"/>
    <w:hidden/>
    <w:uiPriority w:val="99"/>
    <w:semiHidden/>
    <w:rsid w:val="00D106D6"/>
    <w:rPr>
      <w:lang w:eastAsia="en-US"/>
    </w:rPr>
  </w:style>
  <w:style w:type="character" w:customStyle="1" w:styleId="searchhighlight">
    <w:name w:val="searchhighlight"/>
    <w:basedOn w:val="DefaultParagraphFont"/>
    <w:rsid w:val="00237378"/>
  </w:style>
  <w:style w:type="character" w:customStyle="1" w:styleId="UnresolvedMention4">
    <w:name w:val="Unresolved Mention4"/>
    <w:basedOn w:val="DefaultParagraphFont"/>
    <w:uiPriority w:val="99"/>
    <w:semiHidden/>
    <w:unhideWhenUsed/>
    <w:rsid w:val="009723D6"/>
    <w:rPr>
      <w:color w:val="605E5C"/>
      <w:shd w:val="clear" w:color="auto" w:fill="E1DFDD"/>
    </w:rPr>
  </w:style>
  <w:style w:type="character" w:customStyle="1" w:styleId="UnresolvedMention5">
    <w:name w:val="Unresolved Mention5"/>
    <w:basedOn w:val="DefaultParagraphFont"/>
    <w:uiPriority w:val="99"/>
    <w:semiHidden/>
    <w:unhideWhenUsed/>
    <w:rsid w:val="00403559"/>
    <w:rPr>
      <w:color w:val="605E5C"/>
      <w:shd w:val="clear" w:color="auto" w:fill="E1DFDD"/>
    </w:rPr>
  </w:style>
  <w:style w:type="character" w:customStyle="1" w:styleId="volume">
    <w:name w:val="volume"/>
    <w:basedOn w:val="DefaultParagraphFont"/>
    <w:rsid w:val="006A7CF2"/>
  </w:style>
  <w:style w:type="character" w:customStyle="1" w:styleId="issue">
    <w:name w:val="issue"/>
    <w:basedOn w:val="DefaultParagraphFont"/>
    <w:rsid w:val="006A7CF2"/>
  </w:style>
  <w:style w:type="character" w:customStyle="1" w:styleId="page">
    <w:name w:val="page"/>
    <w:basedOn w:val="DefaultParagraphFont"/>
    <w:rsid w:val="006A7CF2"/>
  </w:style>
  <w:style w:type="character" w:customStyle="1" w:styleId="UnresolvedMention6">
    <w:name w:val="Unresolved Mention6"/>
    <w:basedOn w:val="DefaultParagraphFont"/>
    <w:uiPriority w:val="99"/>
    <w:semiHidden/>
    <w:unhideWhenUsed/>
    <w:rsid w:val="00851846"/>
    <w:rPr>
      <w:color w:val="605E5C"/>
      <w:shd w:val="clear" w:color="auto" w:fill="E1DFDD"/>
    </w:rPr>
  </w:style>
  <w:style w:type="character" w:customStyle="1" w:styleId="UnresolvedMention7">
    <w:name w:val="Unresolved Mention7"/>
    <w:basedOn w:val="DefaultParagraphFont"/>
    <w:uiPriority w:val="99"/>
    <w:semiHidden/>
    <w:unhideWhenUsed/>
    <w:rsid w:val="004004B1"/>
    <w:rPr>
      <w:color w:val="605E5C"/>
      <w:shd w:val="clear" w:color="auto" w:fill="E1DFDD"/>
    </w:rPr>
  </w:style>
  <w:style w:type="character" w:customStyle="1" w:styleId="UnresolvedMention8">
    <w:name w:val="Unresolved Mention8"/>
    <w:basedOn w:val="DefaultParagraphFont"/>
    <w:uiPriority w:val="99"/>
    <w:semiHidden/>
    <w:unhideWhenUsed/>
    <w:rsid w:val="008D2752"/>
    <w:rPr>
      <w:color w:val="605E5C"/>
      <w:shd w:val="clear" w:color="auto" w:fill="E1DFDD"/>
    </w:rPr>
  </w:style>
  <w:style w:type="character" w:styleId="UnresolvedMention">
    <w:name w:val="Unresolved Mention"/>
    <w:basedOn w:val="DefaultParagraphFont"/>
    <w:uiPriority w:val="99"/>
    <w:semiHidden/>
    <w:unhideWhenUsed/>
    <w:rsid w:val="00710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783416">
      <w:bodyDiv w:val="1"/>
      <w:marLeft w:val="0"/>
      <w:marRight w:val="0"/>
      <w:marTop w:val="0"/>
      <w:marBottom w:val="0"/>
      <w:divBdr>
        <w:top w:val="none" w:sz="0" w:space="0" w:color="auto"/>
        <w:left w:val="none" w:sz="0" w:space="0" w:color="auto"/>
        <w:bottom w:val="none" w:sz="0" w:space="0" w:color="auto"/>
        <w:right w:val="none" w:sz="0" w:space="0" w:color="auto"/>
      </w:divBdr>
    </w:div>
    <w:div w:id="254364772">
      <w:bodyDiv w:val="1"/>
      <w:marLeft w:val="0"/>
      <w:marRight w:val="0"/>
      <w:marTop w:val="0"/>
      <w:marBottom w:val="0"/>
      <w:divBdr>
        <w:top w:val="none" w:sz="0" w:space="0" w:color="auto"/>
        <w:left w:val="none" w:sz="0" w:space="0" w:color="auto"/>
        <w:bottom w:val="none" w:sz="0" w:space="0" w:color="auto"/>
        <w:right w:val="none" w:sz="0" w:space="0" w:color="auto"/>
      </w:divBdr>
    </w:div>
    <w:div w:id="255098144">
      <w:bodyDiv w:val="1"/>
      <w:marLeft w:val="0"/>
      <w:marRight w:val="0"/>
      <w:marTop w:val="0"/>
      <w:marBottom w:val="0"/>
      <w:divBdr>
        <w:top w:val="none" w:sz="0" w:space="0" w:color="auto"/>
        <w:left w:val="none" w:sz="0" w:space="0" w:color="auto"/>
        <w:bottom w:val="none" w:sz="0" w:space="0" w:color="auto"/>
        <w:right w:val="none" w:sz="0" w:space="0" w:color="auto"/>
      </w:divBdr>
    </w:div>
    <w:div w:id="308705850">
      <w:bodyDiv w:val="1"/>
      <w:marLeft w:val="0"/>
      <w:marRight w:val="0"/>
      <w:marTop w:val="0"/>
      <w:marBottom w:val="0"/>
      <w:divBdr>
        <w:top w:val="none" w:sz="0" w:space="0" w:color="auto"/>
        <w:left w:val="none" w:sz="0" w:space="0" w:color="auto"/>
        <w:bottom w:val="none" w:sz="0" w:space="0" w:color="auto"/>
        <w:right w:val="none" w:sz="0" w:space="0" w:color="auto"/>
      </w:divBdr>
    </w:div>
    <w:div w:id="413093634">
      <w:bodyDiv w:val="1"/>
      <w:marLeft w:val="0"/>
      <w:marRight w:val="0"/>
      <w:marTop w:val="0"/>
      <w:marBottom w:val="0"/>
      <w:divBdr>
        <w:top w:val="none" w:sz="0" w:space="0" w:color="auto"/>
        <w:left w:val="none" w:sz="0" w:space="0" w:color="auto"/>
        <w:bottom w:val="none" w:sz="0" w:space="0" w:color="auto"/>
        <w:right w:val="none" w:sz="0" w:space="0" w:color="auto"/>
      </w:divBdr>
    </w:div>
    <w:div w:id="487327950">
      <w:bodyDiv w:val="1"/>
      <w:marLeft w:val="0"/>
      <w:marRight w:val="0"/>
      <w:marTop w:val="0"/>
      <w:marBottom w:val="0"/>
      <w:divBdr>
        <w:top w:val="none" w:sz="0" w:space="0" w:color="auto"/>
        <w:left w:val="none" w:sz="0" w:space="0" w:color="auto"/>
        <w:bottom w:val="none" w:sz="0" w:space="0" w:color="auto"/>
        <w:right w:val="none" w:sz="0" w:space="0" w:color="auto"/>
      </w:divBdr>
    </w:div>
    <w:div w:id="524640098">
      <w:bodyDiv w:val="1"/>
      <w:marLeft w:val="0"/>
      <w:marRight w:val="0"/>
      <w:marTop w:val="0"/>
      <w:marBottom w:val="0"/>
      <w:divBdr>
        <w:top w:val="none" w:sz="0" w:space="0" w:color="auto"/>
        <w:left w:val="none" w:sz="0" w:space="0" w:color="auto"/>
        <w:bottom w:val="none" w:sz="0" w:space="0" w:color="auto"/>
        <w:right w:val="none" w:sz="0" w:space="0" w:color="auto"/>
      </w:divBdr>
    </w:div>
    <w:div w:id="540870996">
      <w:bodyDiv w:val="1"/>
      <w:marLeft w:val="0"/>
      <w:marRight w:val="0"/>
      <w:marTop w:val="0"/>
      <w:marBottom w:val="0"/>
      <w:divBdr>
        <w:top w:val="none" w:sz="0" w:space="0" w:color="auto"/>
        <w:left w:val="none" w:sz="0" w:space="0" w:color="auto"/>
        <w:bottom w:val="none" w:sz="0" w:space="0" w:color="auto"/>
        <w:right w:val="none" w:sz="0" w:space="0" w:color="auto"/>
      </w:divBdr>
      <w:divsChild>
        <w:div w:id="708916165">
          <w:marLeft w:val="0"/>
          <w:marRight w:val="0"/>
          <w:marTop w:val="0"/>
          <w:marBottom w:val="0"/>
          <w:divBdr>
            <w:top w:val="none" w:sz="0" w:space="0" w:color="auto"/>
            <w:left w:val="none" w:sz="0" w:space="0" w:color="auto"/>
            <w:bottom w:val="none" w:sz="0" w:space="0" w:color="auto"/>
            <w:right w:val="none" w:sz="0" w:space="0" w:color="auto"/>
          </w:divBdr>
          <w:divsChild>
            <w:div w:id="1002588480">
              <w:marLeft w:val="0"/>
              <w:marRight w:val="0"/>
              <w:marTop w:val="0"/>
              <w:marBottom w:val="0"/>
              <w:divBdr>
                <w:top w:val="none" w:sz="0" w:space="0" w:color="auto"/>
                <w:left w:val="none" w:sz="0" w:space="0" w:color="auto"/>
                <w:bottom w:val="none" w:sz="0" w:space="0" w:color="auto"/>
                <w:right w:val="none" w:sz="0" w:space="0" w:color="auto"/>
              </w:divBdr>
              <w:divsChild>
                <w:div w:id="5163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5583">
      <w:bodyDiv w:val="1"/>
      <w:marLeft w:val="0"/>
      <w:marRight w:val="0"/>
      <w:marTop w:val="0"/>
      <w:marBottom w:val="0"/>
      <w:divBdr>
        <w:top w:val="none" w:sz="0" w:space="0" w:color="auto"/>
        <w:left w:val="none" w:sz="0" w:space="0" w:color="auto"/>
        <w:bottom w:val="none" w:sz="0" w:space="0" w:color="auto"/>
        <w:right w:val="none" w:sz="0" w:space="0" w:color="auto"/>
      </w:divBdr>
    </w:div>
    <w:div w:id="617218177">
      <w:bodyDiv w:val="1"/>
      <w:marLeft w:val="0"/>
      <w:marRight w:val="0"/>
      <w:marTop w:val="0"/>
      <w:marBottom w:val="0"/>
      <w:divBdr>
        <w:top w:val="none" w:sz="0" w:space="0" w:color="auto"/>
        <w:left w:val="none" w:sz="0" w:space="0" w:color="auto"/>
        <w:bottom w:val="none" w:sz="0" w:space="0" w:color="auto"/>
        <w:right w:val="none" w:sz="0" w:space="0" w:color="auto"/>
      </w:divBdr>
    </w:div>
    <w:div w:id="744229894">
      <w:bodyDiv w:val="1"/>
      <w:marLeft w:val="0"/>
      <w:marRight w:val="0"/>
      <w:marTop w:val="0"/>
      <w:marBottom w:val="0"/>
      <w:divBdr>
        <w:top w:val="none" w:sz="0" w:space="0" w:color="auto"/>
        <w:left w:val="none" w:sz="0" w:space="0" w:color="auto"/>
        <w:bottom w:val="none" w:sz="0" w:space="0" w:color="auto"/>
        <w:right w:val="none" w:sz="0" w:space="0" w:color="auto"/>
      </w:divBdr>
    </w:div>
    <w:div w:id="805901501">
      <w:bodyDiv w:val="1"/>
      <w:marLeft w:val="0"/>
      <w:marRight w:val="0"/>
      <w:marTop w:val="0"/>
      <w:marBottom w:val="0"/>
      <w:divBdr>
        <w:top w:val="none" w:sz="0" w:space="0" w:color="auto"/>
        <w:left w:val="none" w:sz="0" w:space="0" w:color="auto"/>
        <w:bottom w:val="none" w:sz="0" w:space="0" w:color="auto"/>
        <w:right w:val="none" w:sz="0" w:space="0" w:color="auto"/>
      </w:divBdr>
      <w:divsChild>
        <w:div w:id="801768136">
          <w:marLeft w:val="0"/>
          <w:marRight w:val="0"/>
          <w:marTop w:val="0"/>
          <w:marBottom w:val="0"/>
          <w:divBdr>
            <w:top w:val="none" w:sz="0" w:space="0" w:color="auto"/>
            <w:left w:val="none" w:sz="0" w:space="0" w:color="auto"/>
            <w:bottom w:val="none" w:sz="0" w:space="0" w:color="auto"/>
            <w:right w:val="none" w:sz="0" w:space="0" w:color="auto"/>
          </w:divBdr>
          <w:divsChild>
            <w:div w:id="917207580">
              <w:marLeft w:val="0"/>
              <w:marRight w:val="0"/>
              <w:marTop w:val="0"/>
              <w:marBottom w:val="0"/>
              <w:divBdr>
                <w:top w:val="none" w:sz="0" w:space="0" w:color="auto"/>
                <w:left w:val="none" w:sz="0" w:space="0" w:color="auto"/>
                <w:bottom w:val="none" w:sz="0" w:space="0" w:color="auto"/>
                <w:right w:val="none" w:sz="0" w:space="0" w:color="auto"/>
              </w:divBdr>
              <w:divsChild>
                <w:div w:id="2127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0947">
      <w:bodyDiv w:val="1"/>
      <w:marLeft w:val="0"/>
      <w:marRight w:val="0"/>
      <w:marTop w:val="0"/>
      <w:marBottom w:val="0"/>
      <w:divBdr>
        <w:top w:val="none" w:sz="0" w:space="0" w:color="auto"/>
        <w:left w:val="none" w:sz="0" w:space="0" w:color="auto"/>
        <w:bottom w:val="none" w:sz="0" w:space="0" w:color="auto"/>
        <w:right w:val="none" w:sz="0" w:space="0" w:color="auto"/>
      </w:divBdr>
    </w:div>
    <w:div w:id="871957163">
      <w:bodyDiv w:val="1"/>
      <w:marLeft w:val="0"/>
      <w:marRight w:val="0"/>
      <w:marTop w:val="0"/>
      <w:marBottom w:val="0"/>
      <w:divBdr>
        <w:top w:val="none" w:sz="0" w:space="0" w:color="auto"/>
        <w:left w:val="none" w:sz="0" w:space="0" w:color="auto"/>
        <w:bottom w:val="none" w:sz="0" w:space="0" w:color="auto"/>
        <w:right w:val="none" w:sz="0" w:space="0" w:color="auto"/>
      </w:divBdr>
    </w:div>
    <w:div w:id="1028608410">
      <w:bodyDiv w:val="1"/>
      <w:marLeft w:val="0"/>
      <w:marRight w:val="0"/>
      <w:marTop w:val="0"/>
      <w:marBottom w:val="0"/>
      <w:divBdr>
        <w:top w:val="none" w:sz="0" w:space="0" w:color="auto"/>
        <w:left w:val="none" w:sz="0" w:space="0" w:color="auto"/>
        <w:bottom w:val="none" w:sz="0" w:space="0" w:color="auto"/>
        <w:right w:val="none" w:sz="0" w:space="0" w:color="auto"/>
      </w:divBdr>
    </w:div>
    <w:div w:id="1133326299">
      <w:bodyDiv w:val="1"/>
      <w:marLeft w:val="0"/>
      <w:marRight w:val="0"/>
      <w:marTop w:val="0"/>
      <w:marBottom w:val="0"/>
      <w:divBdr>
        <w:top w:val="none" w:sz="0" w:space="0" w:color="auto"/>
        <w:left w:val="none" w:sz="0" w:space="0" w:color="auto"/>
        <w:bottom w:val="none" w:sz="0" w:space="0" w:color="auto"/>
        <w:right w:val="none" w:sz="0" w:space="0" w:color="auto"/>
      </w:divBdr>
    </w:div>
    <w:div w:id="1244298250">
      <w:bodyDiv w:val="1"/>
      <w:marLeft w:val="0"/>
      <w:marRight w:val="0"/>
      <w:marTop w:val="0"/>
      <w:marBottom w:val="0"/>
      <w:divBdr>
        <w:top w:val="none" w:sz="0" w:space="0" w:color="auto"/>
        <w:left w:val="none" w:sz="0" w:space="0" w:color="auto"/>
        <w:bottom w:val="none" w:sz="0" w:space="0" w:color="auto"/>
        <w:right w:val="none" w:sz="0" w:space="0" w:color="auto"/>
      </w:divBdr>
    </w:div>
    <w:div w:id="1337004034">
      <w:bodyDiv w:val="1"/>
      <w:marLeft w:val="0"/>
      <w:marRight w:val="0"/>
      <w:marTop w:val="0"/>
      <w:marBottom w:val="0"/>
      <w:divBdr>
        <w:top w:val="none" w:sz="0" w:space="0" w:color="auto"/>
        <w:left w:val="none" w:sz="0" w:space="0" w:color="auto"/>
        <w:bottom w:val="none" w:sz="0" w:space="0" w:color="auto"/>
        <w:right w:val="none" w:sz="0" w:space="0" w:color="auto"/>
      </w:divBdr>
    </w:div>
    <w:div w:id="1369261685">
      <w:bodyDiv w:val="1"/>
      <w:marLeft w:val="0"/>
      <w:marRight w:val="0"/>
      <w:marTop w:val="0"/>
      <w:marBottom w:val="0"/>
      <w:divBdr>
        <w:top w:val="none" w:sz="0" w:space="0" w:color="auto"/>
        <w:left w:val="none" w:sz="0" w:space="0" w:color="auto"/>
        <w:bottom w:val="none" w:sz="0" w:space="0" w:color="auto"/>
        <w:right w:val="none" w:sz="0" w:space="0" w:color="auto"/>
      </w:divBdr>
    </w:div>
    <w:div w:id="1396322858">
      <w:bodyDiv w:val="1"/>
      <w:marLeft w:val="0"/>
      <w:marRight w:val="0"/>
      <w:marTop w:val="0"/>
      <w:marBottom w:val="0"/>
      <w:divBdr>
        <w:top w:val="none" w:sz="0" w:space="0" w:color="auto"/>
        <w:left w:val="none" w:sz="0" w:space="0" w:color="auto"/>
        <w:bottom w:val="none" w:sz="0" w:space="0" w:color="auto"/>
        <w:right w:val="none" w:sz="0" w:space="0" w:color="auto"/>
      </w:divBdr>
    </w:div>
    <w:div w:id="1420370603">
      <w:bodyDiv w:val="1"/>
      <w:marLeft w:val="0"/>
      <w:marRight w:val="0"/>
      <w:marTop w:val="0"/>
      <w:marBottom w:val="0"/>
      <w:divBdr>
        <w:top w:val="none" w:sz="0" w:space="0" w:color="auto"/>
        <w:left w:val="none" w:sz="0" w:space="0" w:color="auto"/>
        <w:bottom w:val="none" w:sz="0" w:space="0" w:color="auto"/>
        <w:right w:val="none" w:sz="0" w:space="0" w:color="auto"/>
      </w:divBdr>
    </w:div>
    <w:div w:id="1441027099">
      <w:bodyDiv w:val="1"/>
      <w:marLeft w:val="0"/>
      <w:marRight w:val="0"/>
      <w:marTop w:val="0"/>
      <w:marBottom w:val="0"/>
      <w:divBdr>
        <w:top w:val="none" w:sz="0" w:space="0" w:color="auto"/>
        <w:left w:val="none" w:sz="0" w:space="0" w:color="auto"/>
        <w:bottom w:val="none" w:sz="0" w:space="0" w:color="auto"/>
        <w:right w:val="none" w:sz="0" w:space="0" w:color="auto"/>
      </w:divBdr>
    </w:div>
    <w:div w:id="1453329589">
      <w:bodyDiv w:val="1"/>
      <w:marLeft w:val="0"/>
      <w:marRight w:val="0"/>
      <w:marTop w:val="0"/>
      <w:marBottom w:val="0"/>
      <w:divBdr>
        <w:top w:val="none" w:sz="0" w:space="0" w:color="auto"/>
        <w:left w:val="none" w:sz="0" w:space="0" w:color="auto"/>
        <w:bottom w:val="none" w:sz="0" w:space="0" w:color="auto"/>
        <w:right w:val="none" w:sz="0" w:space="0" w:color="auto"/>
      </w:divBdr>
      <w:divsChild>
        <w:div w:id="741830683">
          <w:marLeft w:val="0"/>
          <w:marRight w:val="0"/>
          <w:marTop w:val="0"/>
          <w:marBottom w:val="0"/>
          <w:divBdr>
            <w:top w:val="none" w:sz="0" w:space="0" w:color="auto"/>
            <w:left w:val="none" w:sz="0" w:space="0" w:color="auto"/>
            <w:bottom w:val="none" w:sz="0" w:space="0" w:color="auto"/>
            <w:right w:val="none" w:sz="0" w:space="0" w:color="auto"/>
          </w:divBdr>
          <w:divsChild>
            <w:div w:id="1990815756">
              <w:marLeft w:val="0"/>
              <w:marRight w:val="0"/>
              <w:marTop w:val="0"/>
              <w:marBottom w:val="0"/>
              <w:divBdr>
                <w:top w:val="none" w:sz="0" w:space="0" w:color="auto"/>
                <w:left w:val="none" w:sz="0" w:space="0" w:color="auto"/>
                <w:bottom w:val="none" w:sz="0" w:space="0" w:color="auto"/>
                <w:right w:val="none" w:sz="0" w:space="0" w:color="auto"/>
              </w:divBdr>
              <w:divsChild>
                <w:div w:id="14090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8218">
      <w:bodyDiv w:val="1"/>
      <w:marLeft w:val="0"/>
      <w:marRight w:val="0"/>
      <w:marTop w:val="0"/>
      <w:marBottom w:val="0"/>
      <w:divBdr>
        <w:top w:val="none" w:sz="0" w:space="0" w:color="auto"/>
        <w:left w:val="none" w:sz="0" w:space="0" w:color="auto"/>
        <w:bottom w:val="none" w:sz="0" w:space="0" w:color="auto"/>
        <w:right w:val="none" w:sz="0" w:space="0" w:color="auto"/>
      </w:divBdr>
    </w:div>
    <w:div w:id="1791321213">
      <w:bodyDiv w:val="1"/>
      <w:marLeft w:val="0"/>
      <w:marRight w:val="0"/>
      <w:marTop w:val="0"/>
      <w:marBottom w:val="0"/>
      <w:divBdr>
        <w:top w:val="none" w:sz="0" w:space="0" w:color="auto"/>
        <w:left w:val="none" w:sz="0" w:space="0" w:color="auto"/>
        <w:bottom w:val="none" w:sz="0" w:space="0" w:color="auto"/>
        <w:right w:val="none" w:sz="0" w:space="0" w:color="auto"/>
      </w:divBdr>
    </w:div>
    <w:div w:id="1822505952">
      <w:bodyDiv w:val="1"/>
      <w:marLeft w:val="0"/>
      <w:marRight w:val="0"/>
      <w:marTop w:val="0"/>
      <w:marBottom w:val="0"/>
      <w:divBdr>
        <w:top w:val="none" w:sz="0" w:space="0" w:color="auto"/>
        <w:left w:val="none" w:sz="0" w:space="0" w:color="auto"/>
        <w:bottom w:val="none" w:sz="0" w:space="0" w:color="auto"/>
        <w:right w:val="none" w:sz="0" w:space="0" w:color="auto"/>
      </w:divBdr>
    </w:div>
    <w:div w:id="1839539288">
      <w:bodyDiv w:val="1"/>
      <w:marLeft w:val="0"/>
      <w:marRight w:val="0"/>
      <w:marTop w:val="0"/>
      <w:marBottom w:val="0"/>
      <w:divBdr>
        <w:top w:val="none" w:sz="0" w:space="0" w:color="auto"/>
        <w:left w:val="none" w:sz="0" w:space="0" w:color="auto"/>
        <w:bottom w:val="none" w:sz="0" w:space="0" w:color="auto"/>
        <w:right w:val="none" w:sz="0" w:space="0" w:color="auto"/>
      </w:divBdr>
    </w:div>
    <w:div w:id="2009365060">
      <w:bodyDiv w:val="1"/>
      <w:marLeft w:val="0"/>
      <w:marRight w:val="0"/>
      <w:marTop w:val="0"/>
      <w:marBottom w:val="0"/>
      <w:divBdr>
        <w:top w:val="none" w:sz="0" w:space="0" w:color="auto"/>
        <w:left w:val="none" w:sz="0" w:space="0" w:color="auto"/>
        <w:bottom w:val="none" w:sz="0" w:space="0" w:color="auto"/>
        <w:right w:val="none" w:sz="0" w:space="0" w:color="auto"/>
      </w:divBdr>
    </w:div>
    <w:div w:id="2063094912">
      <w:bodyDiv w:val="1"/>
      <w:marLeft w:val="0"/>
      <w:marRight w:val="0"/>
      <w:marTop w:val="0"/>
      <w:marBottom w:val="0"/>
      <w:divBdr>
        <w:top w:val="none" w:sz="0" w:space="0" w:color="auto"/>
        <w:left w:val="none" w:sz="0" w:space="0" w:color="auto"/>
        <w:bottom w:val="none" w:sz="0" w:space="0" w:color="auto"/>
        <w:right w:val="none" w:sz="0" w:space="0" w:color="auto"/>
      </w:divBdr>
    </w:div>
    <w:div w:id="2067530666">
      <w:bodyDiv w:val="1"/>
      <w:marLeft w:val="0"/>
      <w:marRight w:val="0"/>
      <w:marTop w:val="0"/>
      <w:marBottom w:val="0"/>
      <w:divBdr>
        <w:top w:val="none" w:sz="0" w:space="0" w:color="auto"/>
        <w:left w:val="none" w:sz="0" w:space="0" w:color="auto"/>
        <w:bottom w:val="none" w:sz="0" w:space="0" w:color="auto"/>
        <w:right w:val="none" w:sz="0" w:space="0" w:color="auto"/>
      </w:divBdr>
    </w:div>
    <w:div w:id="2089224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78B5F2D-AA94-3442-B983-5E47A5BFD33A}">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85A208F-C24D-6841-9A2A-316F6921346A}">
  <we:reference id="wa104382081" version="1.46.0.0" store="en-GB" storeType="OMEX"/>
  <we:alternateReferences>
    <we:reference id="wa104382081" version="1.46.0.0" store="en-GB" storeType="OMEX"/>
  </we:alternateReferences>
  <we:properties>
    <we:property name="MENDELEY_CITATIONS" value="[{&quot;citationID&quot;:&quot;MENDELEY_CITATION_367dd81a-9f58-4f54-b9ac-4521bf3198cc&quot;,&quot;properties&quot;:{&quot;noteIndex&quot;:0},&quot;isEdited&quot;:false,&quot;manualOverride&quot;:{&quot;isManuallyOverridden&quot;:false,&quot;citeprocText&quot;:&quot;(Dantas et al., 2016)&quot;,&quot;manualOverrideText&quot;:&quot;&quot;},&quot;citationTag&quot;:&quot;MENDELEY_CITATION_v3_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&quot;,&quot;citationItems&quot;:[{&quot;id&quot;:&quot;546b5b19-0265-31c9-81fc-43d3d590308a&quot;,&quot;itemData&quot;:{&quot;type&quot;:&quot;article-journal&quot;,&quot;id&quot;:&quot;546b5b19-0265-31c9-81fc-43d3d590308a&quot;,&quot;title&quot;:&quot;Disturbance maintains alternative biome states&quot;,&quot;author&quot;:[{&quot;family&quot;:&quot;Dantas&quot;,&quot;given&quot;:&quot;Vinícius de L.&quot;,&quot;parse-names&quot;:false,&quot;dropping-particle&quot;:&quot;&quot;,&quot;non-dropping-particle&quot;:&quot;&quot;},{&quot;family&quot;:&quot;Hirota&quot;,&quot;given&quot;:&quot;Marina&quot;,&quot;parse-names&quot;:false,&quot;dropping-particle&quot;:&quot;&quot;,&quot;non-dropping-particle&quot;:&quot;&quot;},{&quot;family&quot;:&quot;Oliveira&quot;,&quot;given&quot;:&quot;Rafael S.&quot;,&quot;parse-names&quot;:false,&quot;dropping-particle&quot;:&quot;&quot;,&quot;non-dropping-particle&quot;:&quot;&quot;},{&quot;family&quot;:&quot;Pausas&quot;,&quot;given&quot;:&quot;Juli G.&quot;,&quot;parse-names&quot;:false,&quot;dropping-particle&quot;:&quot;&quot;,&quot;non-dropping-particle&quot;:&quot;&quot;}],&quot;container-title&quot;:&quot;Ecology Letters&quot;,&quot;DOI&quot;:&quot;10.1111/ele.12537&quot;,&quot;ISSN&quot;:&quot;14610248&quot;,&quot;PMID&quot;:&quot;26493189&quot;,&quot;issued&quot;:{&quot;date-parts&quot;:[[2016]]},&quot;page&quot;:&quot;12-19&quot;,&quot;abstract&quot;:&quot;Understanding the mechanisms controlling the distribution of biomes remains a challenge. Although tropical biome distribution has traditionally been explained by climate and soil, contrasting vegetation types often occur as mosaics with sharp boundaries under very similar environmental conditions. While evidence suggests that these biomes are alternative states, empirical broad-scale support to this hypothesis is still lacking. Using community-level field data and a novel resource-niche overlap approach, we show that, for a wide range of environmental conditions, fire feedbacks maintain savannas and forests as alternative biome states in both the Neotropics and the Afrotropics. In addition, wooded grasslands and savannas occurred as alternative grassy states in the Afrotropics, depending on the relative importance of fire and herbivory feedbacks. These results are consistent with landscape scale evidence and suggest that disturbance is a general factor driving and maintaining alternative biome states and vegetation mosaics in the tropics. Copyright&quot;,&quot;issue&quot;:&quot;1&quot;,&quot;volume&quot;:&quot;19&quot;,&quot;container-title-short&quot;:&quot;Ecol Lett&quot;},&quot;isTemporary&quot;:false}]},{&quot;citationID&quot;:&quot;MENDELEY_CITATION_c24dc797-21e6-4d12-93d8-ba7b9131e285&quot;,&quot;properties&quot;:{&quot;noteIndex&quot;:0},&quot;isEdited&quot;:false,&quot;manualOverride&quot;:{&quot;citeprocText&quot;:&quot;(Bengtsson et al., 2019; Zhao et al., 2020)&quot;,&quot;isManuallyOverridden&quot;:false,&quot;manualOverrideText&quot;:&quot;&quot;},&quot;citationTag&quot;:&quot;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&quot;,&quot;citationItems&quot;:[{&quot;id&quot;:&quot;63512e30-1fa6-3f54-86c5-2fcee45deda5&quot;,&quot;itemData&quot;:{&quot;type&quot;:&quot;article-journal&quot;,&quot;id&quot;:&quot;63512e30-1fa6-3f54-86c5-2fcee45deda5&quot;,&quot;title&quot;:&quot;Grasslands—more important for ecosystem services than you might think&quot;,&quot;author&quot;:[{&quot;family&quot;:&quot;Bengtsson&quot;,&quot;given&quot;:&quot;J.&quot;,&quot;parse-names&quot;:false,&quot;dropping-particle&quot;:&quot;&quot;,&quot;non-dropping-particle&quot;:&quot;&quot;},{&quot;family&quot;:&quot;Bullock&quot;,&quot;given&quot;:&quot;J. M.&quot;,&quot;parse-names&quot;:false,&quot;dropping-particle&quot;:&quot;&quot;,&quot;non-dropping-particle&quot;:&quot;&quot;},{&quot;family&quot;:&quot;Egoh&quot;,&quot;given&quot;:&quot;B.&quot;,&quot;parse-names&quot;:false,&quot;dropping-particle&quot;:&quot;&quot;,&quot;non-dropping-particle&quot;:&quot;&quot;},{&quot;family&quot;:&quot;Everson&quot;,&quot;given&quot;:&quot;C.&quot;,&quot;parse-names&quot;:false,&quot;dropping-particle&quot;:&quot;&quot;,&quot;non-dropping-particle&quot;:&quot;&quot;},{&quot;family&quot;:&quot;Everson&quot;,&quot;given&quot;:&quot;T.&quot;,&quot;parse-names&quot;:false,&quot;dropping-particle&quot;:&quot;&quot;,&quot;non-dropping-particle&quot;:&quot;&quot;},{&quot;family&quot;:&quot;O'Connor&quot;,&quot;given&quot;:&quot;T.&quot;,&quot;parse-names&quot;:false,&quot;dropping-particle&quot;:&quot;&quot;,&quot;non-dropping-particle&quot;:&quot;&quot;},{&quot;family&quot;:&quot;O'Farrell&quot;,&quot;given&quot;:&quot;P. J.&quot;,&quot;parse-names&quot;:false,&quot;dropping-particle&quot;:&quot;&quot;,&quot;non-dropping-particle&quot;:&quot;&quot;},{&quot;family&quot;:&quot;Smith&quot;,&quot;given&quot;:&quot;H. G.&quot;,&quot;parse-names&quot;:false,&quot;dropping-particle&quot;:&quot;&quot;,&quot;non-dropping-particle&quot;:&quot;&quot;},{&quot;family&quot;:&quot;Lindborg&quot;,&quot;given&quot;:&quot;R.&quot;,&quot;parse-names&quot;:false,&quot;dropping-particle&quot;:&quot;&quot;,&quot;non-dropping-particle&quot;:&quot;&quot;}],&quot;container-title&quot;:&quot;Ecosphere&quot;,&quot;DOI&quot;:&quot;10.1002/ecs2.2582&quot;,&quot;ISSN&quot;:&quot;21508925&quot;,&quot;issued&quot;:{&quot;date-parts&quot;:[[2019]]},&quot;abstract&quot;:&quot;Extensively managed grasslands are recognized globally for their high biodiversity and their social and cultural values. However, their capacity to deliver multiple ecosystem services (ES) as parts of agricultural systems is surprisingly understudied compared to other production systems. We undertook a comprehensive overview of ES provided by natural and semi-natural grasslands, using southern Africa (SA) and northwest Europe as case studies, respectively. We show that these grasslands can supply additional non-agricultural services, such as water supply and flow regulation, carbon storage, erosion control, climate mitigation, pollination, and cultural ES. While demand for ecosystems services seems to balance supply in natural grasslands of SA, the smaller areas of semi-natural grasslands in Europe appear to not meet the demand for many services. We identified three bundles of related ES from grasslands: water ES including fodder production, cultural ES connected to livestock production, and population-based regulating services (e.g., pollination and biological control), which also linked to biodiversity. Greenhouse gas emission mitigation seemed unrelated to the three bundles. The similarities among the bundles in SA and northwestern Europe suggest that there are generalities in ES relations among natural and semi-natural grassland areas. We assessed trade-offs and synergies among services in relation to management practices and found that although some trade-offs are inevitable, appropriate management may create synergies and avoid trade-offs among many services. We argue that ecosystem service and food security research and policy should give higher priority to how grasslands can be managed for fodder and meat production alongside other ES. By integrating grasslands into agricultural production systems and land-use decisions locally and regionally, their potential to contribute to functional landscapes and to food security and sustainable livelihoods can be greatly enhanced.&quot;,&quot;issue&quot;:&quot;2&quot;,&quot;volume&quot;:&quot;10&quot;,&quot;container-title-short&quot;:&quot;&quot;},&quot;uris&quot;:[&quot;http://www.mendeley.com/documents/?uuid=c9270a6f-6493-4351-ac21-dec50d13924d&quot;],&quot;isTemporary&quot;:false,&quot;legacyDesktopId&quot;:&quot;c9270a6f-6493-4351-ac21-dec50d13924d&quot;},{&quot;id&quot;:&quot;b4fd12b4-fe30-36da-9915-761a450180e1&quot;,&quot;itemData&quot;:{&quot;type&quot;:&quot;article-journal&quot;,&quot;id&quot;:&quot;b4fd12b4-fe30-36da-9915-761a450180e1&quot;,&quot;title&quot;:&quot;Grassland ecosystem services: a systematic review of research advances and future directions&quot;,&quot;author&quot;:[{&quot;family&quot;:&quot;Zhao&quot;,&quot;given&quot;:&quot;Yuanyuan&quot;,&quot;parse-names&quot;:false,&quot;dropping-particle&quot;:&quot;&quot;,&quot;non-dropping-particle&quot;:&quot;&quot;},{&quot;family&quot;:&quot;Liu&quot;,&quot;given&quot;:&quot;Zhifeng&quot;,&quot;parse-names&quot;:false,&quot;dropping-particle&quot;:&quot;&quot;,&quot;non-dropping-particle&quot;:&quot;&quot;},{&quot;family&quot;:&quot;Wu&quot;,&quot;given&quot;:&quot;Jianguo&quot;,&quot;parse-names&quot;:false,&quot;dropping-particle&quot;:&quot;&quot;,&quot;non-dropping-particle&quot;:&quot;&quot;}],&quot;container-title&quot;:&quot;Landscape Ecology&quot;,&quot;DOI&quot;:&quot;10.1007/s10980-020-00980-3&quot;,&quot;ISBN&quot;:&quot;0123456789&quot;,&quot;ISSN&quot;:&quot;15729761&quot;,&quot;URL&quot;:&quot;https://doi.org/10.1007/s10980-020-00980-3&quot;,&quot;issued&quot;:{&quot;date-parts&quot;:[[2020]]},&quot;page&quot;:&quot;793-814&quot;,&quot;abstract&quot;:&quot;Context: Grasslands provide a variety of ecosystem services (ESs) for humans. While much ES research has focused on forests and wetlands, synthesizing the currently somewhat sporadic studies of grassland ecosystem services (GESs) is much needed. Objectives: We aimed to review the scope, major methods, and key findings of GESs, and identify knowledge gaps and future directions. Methods: We conducted a systematic review of articles published during 1970–2018 (including 380 peer-reviewed articles from Web of Science and 32 book chapters from Google Scholar). Results: The number of GES studies has accelerated in recent decades, with China (31%) and the United States (18%) together accounting for almost half of them. A total of 33 GESs were mentioned in the searched articles, of which carbon sequestration, forage production, and water erosion control had the highest frequencies. Methods for evaluating GESs include field survey, field experiments, and statistical and process-based modeling. Grasslands are the primary source of meat and dairy products, account for about one-third of the total carbon of all terrestrial ecosystems, and provide numerous other ESs, such as night cooling, soil erosion control, and flood mitigation. Conclusions: This review presents the state-of-the-science of GESs, and identifies several future research directions. To move forward, we propose a framework with a 3-M methodology: (1) “Multi-scales”—understanding GESs from various spatiotemporal scales; (2) “Multi-methods”—evaluating GESs with multiple statistical and modeling techniques using multiple data sources; and (3) “Multi-perspectives”—assessing GESs from ecological, social, and economic perspectives for sustainability.&quot;,&quot;publisher&quot;:&quot;Springer Netherlands&quot;,&quot;issue&quot;:&quot;4&quot;,&quot;volume&quot;:&quot;35&quot;,&quot;container-title-short&quot;:&quot;Landsc Ecol&quot;},&quot;isTemporary&quot;:false}]},{&quot;citationID&quot;:&quot;MENDELEY_CITATION_022b86a5-9550-421f-9b0d-2aa18e97acd2&quot;,&quot;properties&quot;:{&quot;noteIndex&quot;:0},&quot;isEdited&quot;:false,&quot;manualOverride&quot;:{&quot;citeprocText&quot;:&quot;(Bardgett et al., 2021; Murphy et al., 2016)&quot;,&quot;isManuallyOverridden&quot;:false,&quot;manualOverrideText&quot;:&quot;&quot;},&quot;citationTag&quot;:&quot;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&quot;,&quot;citationItems&quot;:[{&quot;id&quot;:&quot;616b496e-6861-34b6-82f9-863a8d2a2ce2&quot;,&quot;itemData&quot;:{&quot;type&quot;:&quot;article-journal&quot;,&quot;id&quot;:&quot;616b496e-6861-34b6-82f9-863a8d2a2ce2&quot;,&quot;title&quot;:&quot;Combatting global grassland degradation&quot;,&quot;author&quot;:[{&quot;family&quot;:&quot;Bardgett&quot;,&quot;given&quot;:&quot;Richard D.&quot;,&quot;parse-names&quot;:false,&quot;dropping-particle&quot;:&quot;&quot;,&quot;non-dropping-particle&quot;:&quot;&quot;},{&quot;family&quot;:&quot;Bullock&quot;,&quot;given&quot;:&quot;James M.&quot;,&quot;parse-names&quot;:false,&quot;dropping-particle&quot;:&quot;&quot;,&quot;non-dropping-particle&quot;:&quot;&quot;},{&quot;family&quot;:&quot;Lavorel&quot;,&quot;given&quot;:&quot;Sandra&quot;,&quot;parse-names&quot;:false,&quot;dropping-particle&quot;:&quot;&quot;,&quot;non-dropping-particle&quot;:&quot;&quot;},{&quot;family&quot;:&quot;Manning&quot;,&quot;given&quot;:&quot;Peter&quot;,&quot;parse-names&quot;:false,&quot;dropping-particle&quot;:&quot;&quot;,&quot;non-dropping-particle&quot;:&quot;&quot;},{&quot;family&quot;:&quot;Schaffner&quot;,&quot;given&quot;:&quot;Urs&quot;,&quot;parse-names&quot;:false,&quot;dropping-particle&quot;:&quot;&quot;,&quot;non-dropping-particle&quot;:&quot;&quot;},{&quot;family&quot;:&quot;Ostle&quot;,&quot;given&quot;:&quot;Nicholas&quot;,&quot;parse-names&quot;:false,&quot;dropping-particle&quot;:&quot;&quot;,&quot;non-dropping-particle&quot;:&quot;&quot;},{&quot;family&quot;:&quot;Chomel&quot;,&quot;given&quot;:&quot;Mathilde&quot;,&quot;parse-names&quot;:false,&quot;dropping-particle&quot;:&quot;&quot;,&quot;non-dropping-particle&quot;:&quot;&quot;},{&quot;family&quot;:&quot;Durigan&quot;,&quot;given&quot;:&quot;Giselda&quot;,&quot;parse-names&quot;:false,&quot;dropping-particle&quot;:&quot;&quot;,&quot;non-dropping-particle&quot;:&quot;&quot;},{&quot;family&quot;:&quot;L. Fry&quot;,&quot;given&quot;:&quot;Ellen&quot;,&quot;parse-names&quot;:false,&quot;dropping-particle&quot;:&quot;&quot;,&quot;non-dropping-particle&quot;:&quot;&quot;},{&quot;family&quot;:&quot;Johnson&quot;,&quot;given&quot;:&quot;David&quot;,&quot;parse-names&quot;:false,&quot;dropping-particle&quot;:&quot;&quot;,&quot;non-dropping-particle&quot;:&quot;&quot;},{&quot;family&quot;:&quot;Lavallee&quot;,&quot;given&quot;:&quot;Jocelyn M.&quot;,&quot;parse-names&quot;:false,&quot;dropping-particle&quot;:&quot;&quot;,&quot;non-dropping-particle&quot;:&quot;&quot;},{&quot;family&quot;:&quot;Provost&quot;,&quot;given&quot;:&quot;Gaëtane&quot;,&quot;parse-names&quot;:false,&quot;dropping-particle&quot;:&quot;&quot;,&quot;non-dropping-particle&quot;:&quot;le&quot;},{&quot;family&quot;:&quot;Luo&quot;,&quot;given&quot;:&quot;Shan&quot;,&quot;parse-names&quot;:false,&quot;dropping-particle&quot;:&quot;&quot;,&quot;non-dropping-particle&quot;:&quot;&quot;},{&quot;family&quot;:&quot;Png&quot;,&quot;given&quot;:&quot;Kenny&quot;,&quot;parse-names&quot;:false,&quot;dropping-particle&quot;:&quot;&quot;,&quot;non-dropping-particle&quot;:&quot;&quot;},{&quot;family&quot;:&quot;Sankaran&quot;,&quot;given&quot;:&quot;Mahesh&quot;,&quot;parse-names&quot;:false,&quot;dropping-particle&quot;:&quot;&quot;,&quot;non-dropping-particle&quot;:&quot;&quot;},{&quot;family&quot;:&quot;Hou&quot;,&quot;given&quot;:&quot;Xiangyang&quot;,&quot;parse-names&quot;:false,&quot;dropping-particle&quot;:&quot;&quot;,&quot;non-dropping-particle&quot;:&quot;&quot;},{&quot;family&quot;:&quot;Zhou&quot;,&quot;given&quot;:&quot;Huakun&quot;,&quot;parse-names&quot;:false,&quot;dropping-particle&quot;:&quot;&quot;,&quot;non-dropping-particle&quot;:&quot;&quot;},{&quot;family&quot;:&quot;Ma&quot;,&quot;given&quot;:&quot;Li&quot;,&quot;parse-names&quot;:false,&quot;dropping-particle&quot;:&quot;&quot;,&quot;non-dropping-particle&quot;:&quot;&quot;},{&quot;family&quot;:&quot;Ren&quot;,&quot;given&quot;:&quot;Weibo&quot;,&quot;parse-names&quot;:false,&quot;dropping-particle&quot;:&quot;&quot;,&quot;non-dropping-particle&quot;:&quot;&quot;},{&quot;family&quot;:&quot;Li&quot;,&quot;given&quot;:&quot;Xiliang&quot;,&quot;parse-names&quot;:false,&quot;dropping-particle&quot;:&quot;&quot;,&quot;non-dropping-particle&quot;:&quot;&quot;},{&quot;family&quot;:&quot;Ding&quot;,&quot;given&quot;:&quot;Yong&quot;,&quot;parse-names&quot;:false,&quot;dropping-particle&quot;:&quot;&quot;,&quot;non-dropping-particle&quot;:&quot;&quot;},{&quot;family&quot;:&quot;Li&quot;,&quot;given&quot;:&quot;Yuanheng&quot;,&quot;parse-names&quot;:false,&quot;dropping-particle&quot;:&quot;&quot;,&quot;non-dropping-particle&quot;:&quot;&quot;},{&quot;family&quot;:&quot;Shi&quot;,&quot;given&quot;:&quot;Hongxiao&quot;,&quot;parse-names&quot;:false,&quot;dropping-particle&quot;:&quot;&quot;,&quot;non-dropping-particle&quot;:&quot;&quot;}],&quot;container-title&quot;:&quot;Nature Reviews Earth and Environment&quot;,&quot;DOI&quot;:&quot;10.1038/s43017-021-00207-2&quot;,&quot;ISBN&quot;:&quot;0123456789&quot;,&quot;ISSN&quot;:&quot;2662138X&quot;,&quot;issued&quot;:{&quot;date-parts&quot;:[[2021]]},&quot;page&quot;:&quot;720-735&quot;,&quot;abstract&quot;:&quot;Grasslands are under severe threat from ongoing degradation, undermining their capacity to support biodiversity, ecosystem services and human well-being. Yet, grasslands are largely ignored in sustainable development agendas. In this Perspective, we examine the current state of global grasslands and explore the extent and dominant drivers of their degradation. Socio-ecological solutions are needed to combat degradation and promote restoration. Important strategies include: increasing recognition of grasslands in global policy; developing standardized indicators of degradation; using scientific innovation for effective restoration at regional and landscape scales; and enhancing knowledge transfer and data sharing on restoration experiences. Stakeholder needs can be balanced through standardized assessment and shared understanding of the potential ecosystem service trade-offs in degraded and restored grasslands. The integration of these actions into sustainability policy will aid in halting degradation and enhancing restoration success, and protect the socio-economic, cultural and ecological benefits that grasslands provide.&quot;,&quot;issue&quot;:&quot;10&quot;,&quot;volume&quot;:&quot;2&quot;,&quot;container-title-short&quot;:&quot;Nat Rev Earth Environ&quot;},&quot;uris&quot;:[&quot;http://www.mendeley.com/documents/?uuid=891ce5bb-9e50-4b27-8f12-a023f7c2fcdd&quot;],&quot;isTemporary&quot;:false,&quot;legacyDesktopId&quot;:&quot;891ce5bb-9e50-4b27-8f12-a023f7c2fcdd&quot;},{&quot;id&quot;:&quot;f05b89a3-fd35-326f-837e-a61a709469e0&quot;,&quot;itemData&quot;:{&quot;type&quot;:&quot;article-journal&quot;,&quot;id&quot;:&quot;f05b89a3-fd35-326f-837e-a61a709469e0&quot;,&quot;title&quot;:&quot;The underestimated biodiversity of tropical grassy biomes&quot;,&quot;author&quot;:[{&quot;family&quot;:&quot;Murphy&quot;,&quot;given&quot;:&quot;Brett P.&quot;,&quot;parse-names&quot;:false,&quot;dropping-particle&quot;:&quot;&quot;,&quot;non-dropping-particle&quot;:&quot;&quot;},{&quot;family&quot;:&quot;Andersen&quot;,&quot;given&quot;:&quot;Alan N.&quot;,&quot;parse-names&quot;:false,&quot;dropping-particle&quot;:&quot;&quot;,&quot;non-dropping-particle&quot;:&quot;&quot;},{&quot;family&quot;:&quot;Parr&quot;,&quot;given&quot;:&quot;Catherine L.&quot;,&quot;parse-names&quot;:false,&quot;dropping-particle&quot;:&quot;&quot;,&quot;non-dropping-particle&quot;:&quot;&quot;}],&quot;container-title&quot;:&quot;Philosophical Transactions of the Royal Society B: Biological Sciences&quot;,&quot;DOI&quot;:&quot;10.1098/rstb.2015.0319&quot;,&quot;ISBN&quot;:&quot;0962-8436&quot;,&quot;ISSN&quot;:&quot;14712970&quot;,&quot;PMID&quot;:&quot;27502382&quot;,&quot;issued&quot;:{&quot;date-parts&quot;:[[2016]]},&quot;abstract&quot;:&quot;For decades, there has been enormous scientific interest in tropical savannahs and grasslands, fuelled by the recognition that they are a dynamic and potentially unstable biome, requiring periodic disturbance for their maintenance. However, that scientific interest has not translated into widespread appreciation of, and concern about threats to, their biodiversity. In terms of biodiversity, grassy biomes are considered poor cousins of the other dominant biome of the tropics-forests. Simple notions of grassy biomes being species-poor cannot be supported; for some key taxa, such as vascular plants, this may be valid, but for others it is not. Here, we use an analysis of existing data to demonstrate that high-rainfall tropical grassy biomes (TGBs) have vertebrate species richness comparable with that of forests, despite having lower plant diversity. The Neotropics stand out in terms of both overall vertebrate species richness and number of range-restricted vertebrate species in TGBs. Given high rates of land-cover conversion in Neotropical grassy biomes, they should be a high priority for conservation and greater inclusion in protected areas. Fire needs to be actively maintained in these systems, and in many cases re-introduced after decades of inappropriate fire exclusion. The relative intactness of TGBs in Africa and Australia make them the least vulnerable to biodiversity loss in the immediate future. We argue that, like forests, TGBs should be recognized as a critical-but increasingly threatened-store of global biodiversity.This article is part of the themed issue 'Tropical grassy biomes: linking ecology, human use and conservation'.&quot;,&quot;issue&quot;:&quot;1703&quot;,&quot;volume&quot;:&quot;371&quot;,&quot;container-title-short&quot;:&quot;&quot;},&quot;uris&quot;:[&quot;http://www.mendeley.com/documents/?uuid=e25d517f-c66a-40b8-ae2a-ecbb2d6eb8ca&quot;],&quot;isTemporary&quot;:false,&quot;legacyDesktopId&quot;:&quot;e25d517f-c66a-40b8-ae2a-ecbb2d6eb8ca&quot;}]},{&quot;citationID&quot;:&quot;MENDELEY_CITATION_47b6351e-0d44-47b9-ad2d-798547de3ab0&quot;,&quot;properties&quot;:{&quot;noteIndex&quot;:0},&quot;isEdited&quot;:false,&quot;manualOverride&quot;:{&quot;citeprocText&quot;:&quot;(Bond, 2016; Veldman et al., 2015a)&quot;,&quot;isManuallyOverridden&quot;:false,&quot;manualOverrideText&quot;:&quot;&quot;},&quot;citationTag&quot;:&quot;MENDELEY_CITATION_v3_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&quot;,&quot;citationItems&quot;:[{&quot;id&quot;:&quot;e75fdde0-5e6b-3cd9-8126-13c8c02aa6fd&quot;,&quot;itemData&quot;:{&quot;type&quot;:&quot;article-journal&quot;,&quot;id&quot;:&quot;e75fdde0-5e6b-3cd9-8126-13c8c02aa6fd&quot;,&quot;title&quot;:&quot;Ancient grasslands at risk&quot;,&quot;author&quot;:[{&quot;family&quot;:&quot;Bond&quot;,&quot;given&quot;:&quot;William J.&quot;,&quot;parse-names&quot;:false,&quot;dropping-particle&quot;:&quot;&quot;,&quot;non-dropping-particle&quot;:&quot;&quot;}],&quot;container-title&quot;:&quot;Science&quot;,&quot;DOI&quot;:&quot;10.1126/science.aad5132&quot;,&quot;ISBN&quot;:&quot;1095-9203 (Electronic)\\r0036-8075 (Linking)&quot;,&quot;ISSN&quot;:&quot;10959203&quot;,&quot;PMID&quot;:&quot;26744392&quot;,&quot;issued&quot;:{&quot;date-parts&quot;:[[2016]]},&quot;page&quot;:&quot;120-122&quot;,&quot;abstract&quot;:&quot;Concerns over deforestation have led to attempts to identify suitable areas for reforestation around the world (1). The most ambitious effort to date is the World Resources Institute (WRI) Atlas of Forest and Landscape Restoration Opportunities (1). This map is linked to a global plan to reforest degraded lands to offset anthropogenic CO2 emissions. The immediate target is the reforestation of 1.5 million km2 by 2020 (2, 3). Vast areas of open grassy vegetation have been identified as suitable for reforestation. But are all these grasslands secondary products of deforestations? Recent research shows that grasslands are often ancient and highly biodiverse, but it remains difficult to distinguish between primary and secondary grasslands on a large scale. Reforestation efforts thus risk converting ancient tropical grasslands to plantations.&quot;,&quot;issue&quot;:&quot;6269&quot;,&quot;volume&quot;:&quot;351&quot;,&quot;container-title-short&quot;:&quot;Science (1979)&quot;},&quot;uris&quot;:[&quot;http://www.mendeley.com/documents/?uuid=e5d7b826-7966-4c16-8dbb-732aace2de25&quot;],&quot;isTemporary&quot;:false,&quot;legacyDesktopId&quot;:&quot;e5d7b826-7966-4c16-8dbb-732aace2de25&quot;},{&quot;id&quot;:&quot;07bb026d-5f68-326e-8b35-910e4547c77e&quot;,&quot;itemData&quot;:{&quot;type&quot;:&quot;article-journal&quot;,&quot;id&quot;:&quot;07bb026d-5f68-326e-8b35-910e4547c77e&quot;,&quot;title&quot;:&quot;Toward an old-growth concept for grasslands, savannas, and woodlands&quot;,&quot;author&quot;:[{&quot;family&quot;:&quot;Veldman&quot;,&quot;given&quot;:&quot;Joseph W.&quot;,&quot;parse-names&quot;:false,&quot;dropping-particle&quot;:&quot;&quot;,&quot;non-dropping-particle&quot;:&quot;&quot;},{&quot;family&quot;:&quot;Buisson&quot;,&quot;given&quot;:&quot;Elise&quot;,&quot;parse-names&quot;:false,&quot;dropping-particle&quot;:&quot;&quot;,&quot;non-dropping-particle&quot;:&quot;&quot;},{&quot;family&quot;:&quot;Durigan&quot;,&quot;given&quot;:&quot;Giselda&quot;,&quot;parse-names&quot;:false,&quot;dropping-particle&quot;:&quot;&quot;,&quot;non-dropping-particle&quot;:&quot;&quot;},{&quot;family&quot;:&quot;Fernandes&quot;,&quot;given&quot;:&quot;G. Wilson&quot;,&quot;parse-names&quot;:false,&quot;dropping-particle&quot;:&quot;&quot;,&quot;non-dropping-particle&quot;:&quot;&quot;},{&quot;family&quot;:&quot;Stradic&quot;,&quot;given&quot;:&quot;Soizig&quot;,&quot;parse-names&quot;:false,&quot;dropping-particle&quot;:&quot;&quot;,&quot;non-dropping-particle&quot;:&quot;le&quot;},{&quot;family&quot;:&quot;Mahy&quot;,&quot;given&quot;:&quot;Gregory&quot;,&quot;parse-names&quot;:false,&quot;dropping-particle&quot;:&quot;&quot;,&quot;non-dropping-particle&quot;:&quot;&quot;},{&quot;family&quot;:&quot;Negreiros&quot;,&quot;given&quot;:&quot;Daniel&quot;,&quot;parse-names&quot;:false,&quot;dropping-particle&quot;:&quot;&quot;,&quot;non-dropping-particle&quot;:&quot;&quot;},{&quot;family&quot;:&quot;Overbeck&quot;,&quot;given&quot;:&quot;Gerhard E.&quot;,&quot;parse-names&quot;:false,&quot;dropping-particle&quot;:&quot;&quot;,&quot;non-dropping-particle&quot;:&quot;&quot;},{&quot;family&quot;:&quot;Veldman&quot;,&quot;given&quot;:&quot;Robin G.&quot;,&quot;parse-names&quot;:false,&quot;dropping-particle&quot;:&quot;&quot;,&quot;non-dropping-particle&quot;:&quot;&quot;},{&quot;family&quot;:&quot;Zaloumis&quot;,&quot;given&quot;:&quot;Nicholas P.&quot;,&quot;parse-names&quot;:false,&quot;dropping-particle&quot;:&quot;&quot;,&quot;non-dropping-particle&quot;:&quot;&quot;},{&quot;family&quot;:&quot;Putz&quot;,&quot;given&quot;:&quot;Francis E.&quot;,&quot;parse-names&quot;:false,&quot;dropping-particle&quot;:&quot;&quot;,&quot;non-dropping-particle&quot;:&quot;&quot;},{&quot;family&quot;:&quot;Bond&quot;,&quot;given&quot;:&quot;William J.&quot;,&quot;parse-names&quot;:false,&quot;dropping-particle&quot;:&quot;&quot;,&quot;non-dropping-particle&quot;:&quot;&quot;}],&quot;container-title&quot;:&quot;Frontiers in Ecology and the Environment&quot;,&quot;DOI&quot;:&quot;10.1890/140270&quot;,&quot;ISBN&quot;:&quot;1540-9295&quot;,&quot;ISSN&quot;:&quot;15409309&quot;,&quot;issued&quot;:{&quot;date-parts&quot;:[[2015]]},&quot;page&quot;:&quot;154-162&quot;,&quot;abstract&quot;:&quot;We expand the concept of “old growth” to encompass the distinct ecologies and conservation values of the world's ancient grass-dominated biomes. Biologically rich grasslands, savannas, and open-canopy woodlands suffer from an image problem among scientists, policy makers, land managers, and the general public, that fosters alarming rates of ecosystem destruction and degradation. These biomes have for too long been misrepresented as the result of deforestation followed by arrested succession. We now know that grassy biomes originated millions of years ago, long before humans began deforesting. We present a consensus view from diverse geographic regions on the ecological characteristics needed to identify old-growth grasslands and to distinguish them from recently formed anthropogenic vegetation. If widely adopted, the old-growth grassland concept has the potential to improve scientific understanding, conservation policies, and ecosystem management.&quot;,&quot;issue&quot;:&quot;3&quot;,&quot;volume&quot;:&quot;13&quot;,&quot;container-title-short&quot;:&quot;Front Ecol Environ&quot;},&quot;uris&quot;:[&quot;http://www.mendeley.com/documents/?uuid=9a6a546c-67e8-4340-9487-3708f7f91662&quot;],&quot;isTemporary&quot;:false,&quot;legacyDesktopId&quot;:&quot;9a6a546c-67e8-4340-9487-3708f7f91662&quot;}]},{&quot;citationID&quot;:&quot;MENDELEY_CITATION_b85d0223-a07f-420d-940b-d419c42d52f2&quot;,&quot;properties&quot;:{&quot;noteIndex&quot;:0},&quot;isEdited&quot;:false,&quot;manualOverride&quot;:{&quot;citeprocText&quot;:&quot;(Nerlekar and Veldman, 2020)&quot;,&quot;isManuallyOverridden&quot;:false,&quot;manualOverrideText&quot;:&quot;&quot;},&quot;citationTag&quot;:&quot;MENDELEY_CITATION_v3_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&quot;,&quot;citationItems&quot;:[{&quot;id&quot;:&quot;4df8d2fe-1e28-305b-9454-0d928d914b15&quot;,&quot;itemData&quot;:{&quot;type&quot;:&quot;article-journal&quot;,&quot;id&quot;:&quot;4df8d2fe-1e28-305b-9454-0d928d914b15&quot;,&quot;title&quot;:&quot;High plant diversity and slow assembly of old-growth grasslands&quot;,&quot;author&quot;:[{&quot;family&quot;:&quot;Nerlekar&quot;,&quot;given&quot;:&quot;Ashish N.&quot;,&quot;parse-names&quot;:false,&quot;dropping-particle&quot;:&quot;&quot;,&quot;non-dropping-particle&quot;:&quot;&quot;},{&quot;family&quot;:&quot;Veldman&quot;,&quot;given&quot;:&quot;Joseph W.&quot;,&quot;parse-names&quot;:false,&quot;dropping-particle&quot;:&quot;&quot;,&quot;non-dropping-particle&quot;:&quot;&quot;}],&quot;container-title&quot;:&quot;Proceedings of the National Academy of Sciences of the United States of America&quot;,&quot;DOI&quot;:&quot;10.1073/pnas.1922266117&quot;,&quot;ISSN&quot;:&quot;10916490&quot;,&quot;PMID&quot;:&quot;32675246&quot;,&quot;issued&quot;:{&quot;date-parts&quot;:[[2020]]},&quot;page&quot;:&quot;18550-18556&quot;,&quot;abstract&quot;:&quot;Earth's ancient grasslands and savannas-hereafter old-growth grasslands-have long been viewed by scientists and environmental policymakers as early successional plant communities of low conservation value. Challenging this view, emerging research suggests that old-growth grasslands support substantial biodiversity and are slow to recover if destroyed by human land uses (e.g., tillage agriculture, plantation forestry). But despite growing interest in grassland conservation, there has been no global test of whether old-growth grasslands support greater plant species diversity than secondary grasslands (i.e., herbaceous communities that assemble after destruction of old-growth grasslands). Our synthesis of 31 studies, including 92 timepoints on six continents, found that secondary grasslands supported 37% fewer plant species than old-growth grasslands (log response ratio = -0.46) and that secondary grasslands typically require at least a century, and more often millennia (projected mean 1,400 y), to recover their former richness. Young (&lt;29 y) secondary grasslands were composed of weedy species, and even as their richness increased over decades to centuries, secondary grasslands were still missing characteristic old-growth grassland species (e.g., long-lived perennials). In light of these results, the view that all grasslands are weedy communities, trapped by fire and large herbivores in a state of arrested succession, is untenable. Moving forward, we suggest that ecologists should explicitly consider grassland assembly time and endogenous disturbance regimes in studies of plant community structure and function. We encourage environmental policymakers to prioritize old-growth grassland conservation and work to elevate the status of old-growth grasslands, alongside old-growth forests, in the public consciousness.&quot;,&quot;issue&quot;:&quot;31&quot;,&quot;volume&quot;:&quot;117&quot;,&quot;container-title-short&quot;:&quot;Proc Natl Acad Sci U S A&quot;},&quot;uris&quot;:[&quot;http://www.mendeley.com/documents/?uuid=acefe255-2040-4b00-a4ad-3f985877c49f&quot;],&quot;isTemporary&quot;:false,&quot;legacyDesktopId&quot;:&quot;acefe255-2040-4b00-a4ad-3f985877c49f&quot;}]},{&quot;citationID&quot;:&quot;MENDELEY_CITATION_ae52f592-2248-4bbd-b487-0226480ea3f4&quot;,&quot;properties&quot;:{&quot;noteIndex&quot;:0},&quot;isEdited&quot;:false,&quot;manualOverride&quot;:{&quot;citeprocText&quot;:&quot;(Bardgett et al., 2021)&quot;,&quot;isManuallyOverridden&quot;:false,&quot;manualOverrideText&quot;:&quot;&quot;},&quot;citationTag&quot;:&quot;MENDELEY_CITATION_v3_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&quot;,&quot;citationItems&quot;:[{&quot;id&quot;:&quot;616b496e-6861-34b6-82f9-863a8d2a2ce2&quot;,&quot;itemData&quot;:{&quot;type&quot;:&quot;article-journal&quot;,&quot;id&quot;:&quot;616b496e-6861-34b6-82f9-863a8d2a2ce2&quot;,&quot;title&quot;:&quot;Combatting global grassland degradation&quot;,&quot;author&quot;:[{&quot;family&quot;:&quot;Bardgett&quot;,&quot;given&quot;:&quot;Richard D.&quot;,&quot;parse-names&quot;:false,&quot;dropping-particle&quot;:&quot;&quot;,&quot;non-dropping-particle&quot;:&quot;&quot;},{&quot;family&quot;:&quot;Bullock&quot;,&quot;given&quot;:&quot;James M.&quot;,&quot;parse-names&quot;:false,&quot;dropping-particle&quot;:&quot;&quot;,&quot;non-dropping-particle&quot;:&quot;&quot;},{&quot;family&quot;:&quot;Lavorel&quot;,&quot;given&quot;:&quot;Sandra&quot;,&quot;parse-names&quot;:false,&quot;dropping-particle&quot;:&quot;&quot;,&quot;non-dropping-particle&quot;:&quot;&quot;},{&quot;family&quot;:&quot;Manning&quot;,&quot;given&quot;:&quot;Peter&quot;,&quot;parse-names&quot;:false,&quot;dropping-particle&quot;:&quot;&quot;,&quot;non-dropping-particle&quot;:&quot;&quot;},{&quot;family&quot;:&quot;Schaffner&quot;,&quot;given&quot;:&quot;Urs&quot;,&quot;parse-names&quot;:false,&quot;dropping-particle&quot;:&quot;&quot;,&quot;non-dropping-particle&quot;:&quot;&quot;},{&quot;family&quot;:&quot;Ostle&quot;,&quot;given&quot;:&quot;Nicholas&quot;,&quot;parse-names&quot;:false,&quot;dropping-particle&quot;:&quot;&quot;,&quot;non-dropping-particle&quot;:&quot;&quot;},{&quot;family&quot;:&quot;Chomel&quot;,&quot;given&quot;:&quot;Mathilde&quot;,&quot;parse-names&quot;:false,&quot;dropping-particle&quot;:&quot;&quot;,&quot;non-dropping-particle&quot;:&quot;&quot;},{&quot;family&quot;:&quot;Durigan&quot;,&quot;given&quot;:&quot;Giselda&quot;,&quot;parse-names&quot;:false,&quot;dropping-particle&quot;:&quot;&quot;,&quot;non-dropping-particle&quot;:&quot;&quot;},{&quot;family&quot;:&quot;L. Fry&quot;,&quot;given&quot;:&quot;Ellen&quot;,&quot;parse-names&quot;:false,&quot;dropping-particle&quot;:&quot;&quot;,&quot;non-dropping-particle&quot;:&quot;&quot;},{&quot;family&quot;:&quot;Johnson&quot;,&quot;given&quot;:&quot;David&quot;,&quot;parse-names&quot;:false,&quot;dropping-particle&quot;:&quot;&quot;,&quot;non-dropping-particle&quot;:&quot;&quot;},{&quot;family&quot;:&quot;Lavallee&quot;,&quot;given&quot;:&quot;Jocelyn M.&quot;,&quot;parse-names&quot;:false,&quot;dropping-particle&quot;:&quot;&quot;,&quot;non-dropping-particle&quot;:&quot;&quot;},{&quot;family&quot;:&quot;Provost&quot;,&quot;given&quot;:&quot;Gaëtane&quot;,&quot;parse-names&quot;:false,&quot;dropping-particle&quot;:&quot;&quot;,&quot;non-dropping-particle&quot;:&quot;le&quot;},{&quot;family&quot;:&quot;Luo&quot;,&quot;given&quot;:&quot;Shan&quot;,&quot;parse-names&quot;:false,&quot;dropping-particle&quot;:&quot;&quot;,&quot;non-dropping-particle&quot;:&quot;&quot;},{&quot;family&quot;:&quot;Png&quot;,&quot;given&quot;:&quot;Kenny&quot;,&quot;parse-names&quot;:false,&quot;dropping-particle&quot;:&quot;&quot;,&quot;non-dropping-particle&quot;:&quot;&quot;},{&quot;family&quot;:&quot;Sankaran&quot;,&quot;given&quot;:&quot;Mahesh&quot;,&quot;parse-names&quot;:false,&quot;dropping-particle&quot;:&quot;&quot;,&quot;non-dropping-particle&quot;:&quot;&quot;},{&quot;family&quot;:&quot;Hou&quot;,&quot;given&quot;:&quot;Xiangyang&quot;,&quot;parse-names&quot;:false,&quot;dropping-particle&quot;:&quot;&quot;,&quot;non-dropping-particle&quot;:&quot;&quot;},{&quot;family&quot;:&quot;Zhou&quot;,&quot;given&quot;:&quot;Huakun&quot;,&quot;parse-names&quot;:false,&quot;dropping-particle&quot;:&quot;&quot;,&quot;non-dropping-particle&quot;:&quot;&quot;},{&quot;family&quot;:&quot;Ma&quot;,&quot;given&quot;:&quot;Li&quot;,&quot;parse-names&quot;:false,&quot;dropping-particle&quot;:&quot;&quot;,&quot;non-dropping-particle&quot;:&quot;&quot;},{&quot;family&quot;:&quot;Ren&quot;,&quot;given&quot;:&quot;Weibo&quot;,&quot;parse-names&quot;:false,&quot;dropping-particle&quot;:&quot;&quot;,&quot;non-dropping-particle&quot;:&quot;&quot;},{&quot;family&quot;:&quot;Li&quot;,&quot;given&quot;:&quot;Xiliang&quot;,&quot;parse-names&quot;:false,&quot;dropping-particle&quot;:&quot;&quot;,&quot;non-dropping-particle&quot;:&quot;&quot;},{&quot;family&quot;:&quot;Ding&quot;,&quot;given&quot;:&quot;Yong&quot;,&quot;parse-names&quot;:false,&quot;dropping-particle&quot;:&quot;&quot;,&quot;non-dropping-particle&quot;:&quot;&quot;},{&quot;family&quot;:&quot;Li&quot;,&quot;given&quot;:&quot;Yuanheng&quot;,&quot;parse-names&quot;:false,&quot;dropping-particle&quot;:&quot;&quot;,&quot;non-dropping-particle&quot;:&quot;&quot;},{&quot;family&quot;:&quot;Shi&quot;,&quot;given&quot;:&quot;Hongxiao&quot;,&quot;parse-names&quot;:false,&quot;dropping-particle&quot;:&quot;&quot;,&quot;non-dropping-particle&quot;:&quot;&quot;}],&quot;container-title&quot;:&quot;Nature Reviews Earth and Environment&quot;,&quot;DOI&quot;:&quot;10.1038/s43017-021-00207-2&quot;,&quot;ISBN&quot;:&quot;0123456789&quot;,&quot;ISSN&quot;:&quot;2662138X&quot;,&quot;issued&quot;:{&quot;date-parts&quot;:[[2021]]},&quot;page&quot;:&quot;720-735&quot;,&quot;abstract&quot;:&quot;Grasslands are under severe threat from ongoing degradation, undermining their capacity to support biodiversity, ecosystem services and human well-being. Yet, grasslands are largely ignored in sustainable development agendas. In this Perspective, we examine the current state of global grasslands and explore the extent and dominant drivers of their degradation. Socio-ecological solutions are needed to combat degradation and promote restoration. Important strategies include: increasing recognition of grasslands in global policy; developing standardized indicators of degradation; using scientific innovation for effective restoration at regional and landscape scales; and enhancing knowledge transfer and data sharing on restoration experiences. Stakeholder needs can be balanced through standardized assessment and shared understanding of the potential ecosystem service trade-offs in degraded and restored grasslands. The integration of these actions into sustainability policy will aid in halting degradation and enhancing restoration success, and protect the socio-economic, cultural and ecological benefits that grasslands provide.&quot;,&quot;issue&quot;:&quot;10&quot;,&quot;volume&quot;:&quot;2&quot;,&quot;container-title-short&quot;:&quot;Nat Rev Earth Environ&quot;},&quot;uris&quot;:[&quot;http://www.mendeley.com/documents/?uuid=891ce5bb-9e50-4b27-8f12-a023f7c2fcdd&quot;],&quot;isTemporary&quot;:false,&quot;legacyDesktopId&quot;:&quot;891ce5bb-9e50-4b27-8f12-a023f7c2fcdd&quot;}]},{&quot;citationID&quot;:&quot;MENDELEY_CITATION_28a40eec-5c01-4c29-9a9f-ba1e515087c1&quot;,&quot;properties&quot;:{&quot;noteIndex&quot;:0},&quot;isEdited&quot;:false,&quot;manualOverride&quot;:{&quot;citeprocText&quot;:&quot;(Gang et al., 2014; Stevens et al., 2022)&quot;,&quot;isManuallyOverridden&quot;:false,&quot;manualOverrideText&quot;:&quot;&quot;},&quot;citationTag&quot;:&quot;MENDELEY_CITATION_v3_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&quot;,&quot;citationItems&quot;:[{&quot;id&quot;:&quot;d32ef7a1-822c-3520-9e25-da091ebf8203&quot;,&quot;itemData&quot;:{&quot;type&quot;:&quot;article-journal&quot;,&quot;id&quot;:&quot;d32ef7a1-822c-3520-9e25-da091ebf8203&quot;,&quot;title&quot;:&quot;Grassy Ecosystems in the Anthropocene&quot;,&quot;author&quot;:[{&quot;family&quot;:&quot;Stevens&quot;,&quot;given&quot;:&quot;Nicola&quot;,&quot;parse-names&quot;:false,&quot;dropping-particle&quot;:&quot;&quot;,&quot;non-dropping-particle&quot;:&quot;&quot;},{&quot;family&quot;:&quot;Bond&quot;,&quot;given&quot;:&quot;William&quot;,&quot;parse-names&quot;:false,&quot;dropping-particle&quot;:&quot;&quot;,&quot;non-dropping-particle&quot;:&quot;&quot;},{&quot;family&quot;:&quot;Feurdean&quot;,&quot;given&quot;:&quot;Angelica&quot;,&quot;parse-names&quot;:false,&quot;dropping-particle&quot;:&quot;&quot;,&quot;non-dropping-particle&quot;:&quot;&quot;},{&quot;family&quot;:&quot;Lehmann&quot;,&quot;given&quot;:&quot;Caroline E R&quot;,&quot;parse-names&quot;:false,&quot;dropping-particle&quot;:&quot;&quot;,&quot;non-dropping-particle&quot;:&quot;&quot;}],&quot;container-title&quot;:&quot;Annual Review of Environment and Resources&quot;,&quot;issued&quot;:{&quot;date-parts&quot;:[[2022]]},&quot;page&quot;:&quot;16.1-16.29&quot;,&quot;volume&quot;:&quot;47&quot;,&quot;container-title-short&quot;:&quot;Annu Rev Environ Resour&quot;},&quot;uris&quot;:[&quot;http://www.mendeley.com/documents/?uuid=85f0e468-e691-4b86-afb0-6b7becd7662f&quot;],&quot;isTemporary&quot;:false,&quot;legacyDesktopId&quot;:&quot;85f0e468-e691-4b86-afb0-6b7becd7662f&quot;},{&quot;id&quot;:&quot;9adca2a3-3368-3e0b-a405-7308251a93b3&quot;,&quot;itemData&quot;:{&quot;type&quot;:&quot;article-journal&quot;,&quot;id&quot;:&quot;9adca2a3-3368-3e0b-a405-7308251a93b3&quot;,&quot;title&quot;:&quot;Quantitative assessment of the contributions of climate change and human activities on global grassland degradation&quot;,&quot;author&quot;:[{&quot;family&quot;:&quot;Gang&quot;,&quot;given&quot;:&quot;Chengcheng&quot;,&quot;parse-names&quot;:false,&quot;dropping-particle&quot;:&quot;&quot;,&quot;non-dropping-particle&quot;:&quot;&quot;},{&quot;family&quot;:&quot;Zhou&quot;,&quot;given&quot;:&quot;Wei&quot;,&quot;parse-names&quot;:false,&quot;dropping-particle&quot;:&quot;&quot;,&quot;non-dropping-particle&quot;:&quot;&quot;},{&quot;family&quot;:&quot;Chen&quot;,&quot;given&quot;:&quot;Yizhao&quot;,&quot;parse-names&quot;:false,&quot;dropping-particle&quot;:&quot;&quot;,&quot;non-dropping-particle&quot;:&quot;&quot;},{&quot;family&quot;:&quot;Wang&quot;,&quot;given&quot;:&quot;Zhaoqi&quot;,&quot;parse-names&quot;:false,&quot;dropping-particle&quot;:&quot;&quot;,&quot;non-dropping-particle&quot;:&quot;&quot;},{&quot;family&quot;:&quot;Sun&quot;,&quot;given&quot;:&quot;Zhengguo&quot;,&quot;parse-names&quot;:false,&quot;dropping-particle&quot;:&quot;&quot;,&quot;non-dropping-particle&quot;:&quot;&quot;},{&quot;family&quot;:&quot;Li&quot;,&quot;given&quot;:&quot;Jianlong&quot;,&quot;parse-names&quot;:false,&quot;dropping-particle&quot;:&quot;&quot;,&quot;non-dropping-particle&quot;:&quot;&quot;},{&quot;family&quot;:&quot;Qi&quot;,&quot;given&quot;:&quot;Jiaguo&quot;,&quot;parse-names&quot;:false,&quot;dropping-particle&quot;:&quot;&quot;,&quot;non-dropping-particle&quot;:&quot;&quot;},{&quot;family&quot;:&quot;Odeh&quot;,&quot;given&quot;:&quot;Inakwu&quot;,&quot;parse-names&quot;:false,&quot;dropping-particle&quot;:&quot;&quot;,&quot;non-dropping-particle&quot;:&quot;&quot;}],&quot;container-title&quot;:&quot;Environmental Earth Sciences&quot;,&quot;DOI&quot;:&quot;10.1007/s12665-014-3322-6&quot;,&quot;ISSN&quot;:&quot;18666299&quot;,&quot;issued&quot;:{&quot;date-parts&quot;:[[2014]]},&quot;page&quot;:&quot;4273-4282&quot;,&quot;abstract&quot;:&quot;Grassland degradation received considerable concern because of its adverse impact on agronomic productivity and its capacity to provide goods and service. Climate change and human activities are commonly recognized as the two broad underlying drivers that lead to grassland degradation. In this study, a comprehensive method based on net primary productivity (NPP) was introduced to assess quantitatively the relative roles of climate change and human perturbations on worldwide grassland degradation from 2000 to 2010. The results revealed that at a global scale, 49.25 % of grassland ecosystems experienced degradation. Nearly 5 % of these grasslands experienced strong to extreme significant degradation. Climate change was the dominant cause that resulted in 45.51 % of degradation compared with 32.53 % caused by human activities. On the contrary, 39.40 % of grassland restoration was induced by human interferences, and 30.6 % was driven by climate change. The largest area of degradation and restoration both occurred in Asia. NPP losses ranged between 1.40 Tg C year−1 (in North America) and 13.61 Tg C year−1 (in Oceania) because of grassland degradation. Maximum NPP increase caused by restoration was 17.57 Tg C year−1 (in North America). Minimum NPP was estimated at 1.59 Tg C year−1 (in Europe). The roles of climate change and human activities on degradation and restoration were not consistent at continental level. Grassland ecosystems in the southern hemisphere were more vulnerable and sensitive to climate change. Therefore, climate change issues should be gradually integrated into future policies and plans for domestic grassland management and administration.&quot;,&quot;issue&quot;:&quot;11&quot;,&quot;volume&quot;:&quot;72&quot;,&quot;container-title-short&quot;:&quot;Environ Earth Sci&quot;},&quot;uris&quot;:[&quot;http://www.mendeley.com/documents/?uuid=a1d56c26-c771-4890-a991-471d736b10d5&quot;],&quot;isTemporary&quot;:false,&quot;legacyDesktopId&quot;:&quot;a1d56c26-c771-4890-a991-471d736b10d5&quot;}]},{&quot;citationID&quot;:&quot;MENDELEY_CITATION_1152f39d-81a1-448b-ad34-629cafbf85f2&quot;,&quot;properties&quot;:{&quot;noteIndex&quot;:0},&quot;isEdited&quot;:false,&quot;manualOverride&quot;:{&quot;citeprocText&quot;:&quot;(Ogutu et al., 2021; Stevens et al., 2017)&quot;,&quot;isManuallyOverridden&quot;:false,&quot;manualOverrideText&quot;:&quot;&quot;},&quot;citationTag&quot;:&quot;MENDELEY_CITATION_v3_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&quot;,&quot;citationItems&quot;:[{&quot;id&quot;:&quot;cc061b94-a6b3-3123-bb5e-d1dc67d22cbd&quot;,&quot;itemData&quot;:{&quot;type&quot;:&quot;article-journal&quot;,&quot;id&quot;:&quot;cc061b94-a6b3-3123-bb5e-d1dc67d22cbd&quot;,&quot;title&quot;:&quot;Impact of vegetation greening on carbon and water cycle in the African Sahel-Sudano-Guinean region&quot;,&quot;author&quot;:[{&quot;family&quot;:&quot;Ogutu&quot;,&quot;given&quot;:&quot;Booker O&quot;,&quot;parse-names&quot;:false,&quot;dropping-particle&quot;:&quot;&quot;,&quot;non-dropping-particle&quot;:&quot;&quot;},{&quot;family&quot;:&quot;D'Adamo&quot;,&quot;given&quot;:&quot;Francesco&quot;,&quot;parse-names&quot;:false,&quot;dropping-particle&quot;:&quot;&quot;,&quot;non-dropping-particle&quot;:&quot;&quot;},{&quot;family&quot;:&quot;Dash&quot;,&quot;given&quot;:&quot;Jadunandan&quot;,&quot;parse-names&quot;:false,&quot;dropping-particle&quot;:&quot;&quot;,&quot;non-dropping-particle&quot;:&quot;&quot;}],&quot;container-title&quot;:&quot;Global and Planetary Change&quot;,&quot;DOI&quot;:&quot;10.1016/j.gloplacha.2021.103524&quot;,&quot;ISSN&quot;:&quot;09218181&quot;,&quot;URL&quot;:&quot;https://doi.org/10.1016/j.gloplacha.2021.103524&quot;,&quot;issued&quot;:{&quot;date-parts&quot;:[[2021]]},&quot;page&quot;:&quot;103524&quot;,&quot;publisher&quot;:&quot;Elsevier B.V.&quot;,&quot;volume&quot;:&quot;202&quot;,&quot;container-title-short&quot;:&quot;Glob Planet Change&quot;},&quot;uris&quot;:[&quot;http://www.mendeley.com/documents/?uuid=ff99229c-b1c5-419e-bf9f-e1c35c454148&quot;],&quot;isTemporary&quot;:false,&quot;legacyDesktopId&quot;:&quot;ff99229c-b1c5-419e-bf9f-e1c35c454148&quot;},{&quot;id&quot;:&quot;d5930cc0-4bb6-3263-914f-fc09388fa877&quot;,&quot;itemData&quot;:{&quot;type&quot;:&quot;article-journal&quot;,&quot;id&quot;:&quot;d5930cc0-4bb6-3263-914f-fc09388fa877&quot;,&quot;title&quot;:&quot;Savanna woody encroachment is widespread across three continents&quot;,&quot;author&quot;:[{&quot;family&quot;:&quot;Stevens&quot;,&quot;given&quot;:&quot;Nicola&quot;,&quot;parse-names&quot;:false,&quot;dropping-particle&quot;:&quot;&quot;,&quot;non-dropping-particle&quot;:&quot;&quot;},{&quot;family&quot;:&quot;Lehmann&quot;,&quot;given&quot;:&quot;Caroline E R&quot;,&quot;parse-names&quot;:false,&quot;dropping-particle&quot;:&quot;&quot;,&quot;non-dropping-particle&quot;:&quot;&quot;},{&quot;family&quot;:&quot;Murphy&quot;,&quot;given&quot;:&quot;Brett P.&quot;,&quot;parse-names&quot;:false,&quot;dropping-particle&quot;:&quot;&quot;,&quot;non-dropping-particle&quot;:&quot;&quot;},{&quot;family&quot;:&quot;Durigan&quot;,&quot;given&quot;:&quot;Giselda&quot;,&quot;parse-names&quot;:false,&quot;dropping-particle&quot;:&quot;&quot;,&quot;non-dropping-particle&quot;:&quot;&quot;}],&quot;container-title&quot;:&quot;Global Change Biology&quot;,&quot;DOI&quot;:&quot;10.1111/gcb.13409&quot;,&quot;ISBN&quot;:&quot;0000000206938&quot;,&quot;ISSN&quot;:&quot;13652486&quot;,&quot;PMID&quot;:&quot;27371937&quot;,&quot;issued&quot;:{&quot;date-parts&quot;:[[2017]]},&quot;page&quot;:&quot;235-244&quot;,&quot;abstract&quot;:&quot;Tropical savannas are a globally extensive biome prone to rapid vegetation change in response to changing environmental conditions. Via a meta-analysis, we quantified savanna woody vegetation change spanning the last century. We found a global trend of woody encroachment that was established prior the 1980s. However, there is critical regional variation in the magnitude of encroachment. Woody cover is increasing most rapidly in the remaining uncleared savannas of South America, most likely due to fire suppression and land fragmentation. In contrast, Australia has experienced low rates of encroachment. When accounting for land-use, African savannas have a mean rate annual woody cover increase two and a half times that of Australian savannas. In Africa, encroachment occurs across multiple land uses and is accelerating over time. In Africa and Australia, rising atmospheric CO2, changing land management and rainfall are likely causes. We argue that the functional traits of each woody flora, specifically the N-fixing ability and architecture of woody plants, are critical to predicting encroachment over the next century and that African savannas are at high risk of widespread vegetation change. This article is protected by copyright. All rights reserved.&quot;,&quot;issue&quot;:&quot;1&quot;,&quot;volume&quot;:&quot;23&quot;,&quot;container-title-short&quot;:&quot;Glob Chang Biol&quot;},&quot;isTemporary&quot;:false}]},{&quot;citationID&quot;:&quot;MENDELEY_CITATION_9db9cb47-466c-4f1c-a26d-dfde0cd088f0&quot;,&quot;properties&quot;:{&quot;noteIndex&quot;:0},&quot;isEdited&quot;:false,&quot;manualOverride&quot;:{&quot;isManuallyOverridden&quot;:true,&quot;citeprocText&quot;:&quot;(Wieczorkowski and Lehmann, 2022)&quot;,&quot;manualOverrideText&quot;:&quot;(Wieczorkowski and Lehmann, 2022; &quot;},&quot;citationTag&quot;:&quot;MENDELEY_CITATION_v3_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&quot;,&quot;citationItems&quot;:[{&quot;id&quot;:&quot;0175cf37-deed-33fb-82e5-6e084e1da145&quot;,&quot;itemData&quot;:{&quot;type&quot;:&quot;article-journal&quot;,&quot;id&quot;:&quot;0175cf37-deed-33fb-82e5-6e084e1da145&quot;,&quot;title&quot;:&quot;Encroachment diminishes herbaceous plant diversity in grassy ecosystems worldwide&quot;,&quot;author&quot;:[{&quot;family&quot;:&quot;Wieczorkowski&quot;,&quot;given&quot;:&quot;Jakub D&quot;,&quot;parse-names&quot;:false,&quot;dropping-particle&quot;:&quot;&quot;,&quot;non-dropping-particle&quot;:&quot;&quot;},{&quot;family&quot;:&quot;Lehmann&quot;,&quot;given&quot;:&quot;Caroline E R&quot;,&quot;parse-names&quot;:false,&quot;dropping-particle&quot;:&quot;&quot;,&quot;non-dropping-particle&quot;:&quot;&quot;}],&quot;container-title&quot;:&quot;Global Change Biology&quot;,&quot;DOI&quot;:&quot;10.1111/gcb.16300&quot;,&quot;issued&quot;:{&quot;date-parts&quot;:[[2022]]},&quot;page&quot;:&quot;1-15&quot;,&quot;issue&quot;:&quot;April&quot;,&quot;container-title-short&quot;:&quot;Glob Chang Biol&quot;},&quot;isTemporary&quot;:false}]},{&quot;citationID&quot;:&quot;MENDELEY_CITATION_896a4471-d010-4e80-a426-e4591700ce9d&quot;,&quot;properties&quot;:{&quot;noteIndex&quot;:0},&quot;isEdited&quot;:false,&quot;manualOverride&quot;:{&quot;citeprocText&quot;:&quot;(Nerlekar and Veldman, 2020; Venter et al., 2017)&quot;,&quot;isManuallyOverridden&quot;:true,&quot;manualOverrideText&quot;:&quot;Venter et al., 2017)&quot;},&quot;citationTag&quot;:&quot;MENDELEY_CITATION_v3_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&quot;,&quot;citationItems&quot;:[{&quot;id&quot;:&quot;4df8d2fe-1e28-305b-9454-0d928d914b15&quot;,&quot;itemData&quot;:{&quot;type&quot;:&quot;article-journal&quot;,&quot;id&quot;:&quot;4df8d2fe-1e28-305b-9454-0d928d914b15&quot;,&quot;title&quot;:&quot;High plant diversity and slow assembly of old-growth grasslands&quot;,&quot;author&quot;:[{&quot;family&quot;:&quot;Nerlekar&quot;,&quot;given&quot;:&quot;Ashish N.&quot;,&quot;parse-names&quot;:false,&quot;dropping-particle&quot;:&quot;&quot;,&quot;non-dropping-particle&quot;:&quot;&quot;},{&quot;family&quot;:&quot;Veldman&quot;,&quot;given&quot;:&quot;Joseph W.&quot;,&quot;parse-names&quot;:false,&quot;dropping-particle&quot;:&quot;&quot;,&quot;non-dropping-particle&quot;:&quot;&quot;}],&quot;container-title&quot;:&quot;Proceedings of the National Academy of Sciences of the United States of America&quot;,&quot;DOI&quot;:&quot;10.1073/pnas.1922266117&quot;,&quot;ISSN&quot;:&quot;10916490&quot;,&quot;PMID&quot;:&quot;32675246&quot;,&quot;issued&quot;:{&quot;date-parts&quot;:[[2020]]},&quot;page&quot;:&quot;18550-18556&quot;,&quot;abstract&quot;:&quot;Earth's ancient grasslands and savannas-hereafter old-growth grasslands-have long been viewed by scientists and environmental policymakers as early successional plant communities of low conservation value. Challenging this view, emerging research suggests that old-growth grasslands support substantial biodiversity and are slow to recover if destroyed by human land uses (e.g., tillage agriculture, plantation forestry). But despite growing interest in grassland conservation, there has been no global test of whether old-growth grasslands support greater plant species diversity than secondary grasslands (i.e., herbaceous communities that assemble after destruction of old-growth grasslands). Our synthesis of 31 studies, including 92 timepoints on six continents, found that secondary grasslands supported 37% fewer plant species than old-growth grasslands (log response ratio = -0.46) and that secondary grasslands typically require at least a century, and more often millennia (projected mean 1,400 y), to recover their former richness. Young (&lt;29 y) secondary grasslands were composed of weedy species, and even as their richness increased over decades to centuries, secondary grasslands were still missing characteristic old-growth grassland species (e.g., long-lived perennials). In light of these results, the view that all grasslands are weedy communities, trapped by fire and large herbivores in a state of arrested succession, is untenable. Moving forward, we suggest that ecologists should explicitly consider grassland assembly time and endogenous disturbance regimes in studies of plant community structure and function. We encourage environmental policymakers to prioritize old-growth grassland conservation and work to elevate the status of old-growth grasslands, alongside old-growth forests, in the public consciousness.&quot;,&quot;issue&quot;:&quot;31&quot;,&quot;volume&quot;:&quot;117&quot;,&quot;container-title-short&quot;:&quot;Proc Natl Acad Sci U S A&quot;},&quot;uris&quot;:[&quot;http://www.mendeley.com/documents/?uuid=acefe255-2040-4b00-a4ad-3f985877c49f&quot;],&quot;isTemporary&quot;:false,&quot;legacyDesktopId&quot;:&quot;acefe255-2040-4b00-a4ad-3f985877c49f&quot;},{&quot;id&quot;:&quot;952d36c6-adc0-3186-a57b-f8cb66a6260c&quot;,&quot;itemData&quot;:{&quot;type&quot;:&quot;article-journal&quot;,&quot;id&quot;:&quot;952d36c6-adc0-3186-a57b-f8cb66a6260c&quot;,&quot;title&quot;:&quot;Implications of historical interactions between herbivory and fire for rangeland management in African savannas&quot;,&quot;author&quot;:[{&quot;family&quot;:&quot;Venter&quot;,&quot;given&quot;:&quot;Zander S.&quot;,&quot;parse-names&quot;:false,&quot;dropping-particle&quot;:&quot;&quot;,&quot;non-dropping-particle&quot;:&quot;&quot;},{&quot;family&quot;:&quot;Hawkins&quot;,&quot;given&quot;:&quot;Heidi Jayne&quot;,&quot;parse-names&quot;:false,&quot;dropping-particle&quot;:&quot;&quot;,&quot;non-dropping-particle&quot;:&quot;&quot;},{&quot;family&quot;:&quot;Cramer&quot;,&quot;given&quot;:&quot;Michael D.&quot;,&quot;parse-names&quot;:false,&quot;dropping-particle&quot;:&quot;&quot;,&quot;non-dropping-particle&quot;:&quot;&quot;}],&quot;container-title&quot;:&quot;Ecosphere&quot;,&quot;DOI&quot;:&quot;10.1002/ecs2.1946&quot;,&quot;ISBN&quot;:&quot;2150-8925&quot;,&quot;ISSN&quot;:&quot;21508925&quot;,&quot;issued&quot;:{&quot;date-parts&quot;:[[2017]]},&quot;page&quot;:&quot;1-14&quot;,&quot;abstract&quot;:&quot;Herbivory and fire are important drivers of ecosystem processes within African rangelands. We explore whether mid-Holocene African savannas were dominated by herbivory as a means of cycling nutrients, and whether fire perhaps played a lesser role than today. Evidence from savanna ecology, pale- oecology, and historical literature indicates higher herbivore densities in mid-Holocene and pre-colonial times compared to present. While fire may increase or decrease forage availability for herbivores, depend- ing on the nutrient status of the environment, herbivory tends to decrease fire intensity and frequency by decreasing fuel loads. Given this competitive relationship between fire and herbivory and the higher herbi- vore densities of the past, we suggest that some fire-dominated present-day savannas are the product of anthropogenic alterations in herbivore and fire regimes, including the increasing use of fire as a tool for managing ecosystems. We discuss whether managing for an alternative stable state dominated by her- bivory could stimulate ecosystem processes such as nutrient cycling and production, and whether this will achieve the same management objectives traditionally satisfied by fire. Management implications may include the adaptive manipulation of herbivore densities over time and space to maintain an appropriate carrying capacity for the rainfall and soil nutrient status of the area, occasional use of fire, and including a diversity of herbivore functional guilds.&quot;,&quot;volume&quot;:&quot;8&quot;,&quot;container-title-short&quot;:&quot;&quot;},&quot;uris&quot;:[&quot;http://www.mendeley.com/documents/?uuid=f11eb49a-73bc-453f-a8ee-45c1b4c0bc42&quot;],&quot;isTemporary&quot;:false,&quot;legacyDesktopId&quot;:&quot;f11eb49a-73bc-453f-a8ee-45c1b4c0bc42&quot;}]},{&quot;citationID&quot;:&quot;MENDELEY_CITATION_b6483edf-713c-4416-bb9e-41b35f1ddc16&quot;,&quot;properties&quot;:{&quot;noteIndex&quot;:0},&quot;isEdited&quot;:false,&quot;manualOverride&quot;:{&quot;citeprocText&quot;:&quot;(Fan et al., 2016)&quot;,&quot;isManuallyOverridden&quot;:false,&quot;manualOverrideText&quot;:&quot;&quot;},&quot;citationTag&quot;:&quot;MENDELEY_CITATION_v3_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&quot;,&quot;citationItems&quot;:[{&quot;id&quot;:&quot;a2f39dc9-7235-366f-b996-c141209de63c&quot;,&quot;itemData&quot;:{&quot;type&quot;:&quot;article-journal&quot;,&quot;id&quot;:&quot;a2f39dc9-7235-366f-b996-c141209de63c&quot;,&quot;title&quot;:&quot;Applications of structural equation modeling (SEM) in ecological studies: an updated review&quot;,&quot;author&quot;:[{&quot;family&quot;:&quot;Fan&quot;,&quot;given&quot;:&quot;Yi&quot;,&quot;parse-names&quot;:false,&quot;dropping-particle&quot;:&quot;&quot;,&quot;non-dropping-particle&quot;:&quot;&quot;},{&quot;family&quot;:&quot;Chen&quot;,&quot;given&quot;:&quot;Jiquan&quot;,&quot;parse-names&quot;:false,&quot;dropping-particle&quot;:&quot;&quot;,&quot;non-dropping-particle&quot;:&quot;&quot;},{&quot;family&quot;:&quot;Shirkey&quot;,&quot;given&quot;:&quot;Gabriela&quot;,&quot;parse-names&quot;:false,&quot;dropping-particle&quot;:&quot;&quot;,&quot;non-dropping-particle&quot;:&quot;&quot;},{&quot;family&quot;:&quot;John&quot;,&quot;given&quot;:&quot;Ranjeet&quot;,&quot;parse-names&quot;:false,&quot;dropping-particle&quot;:&quot;&quot;,&quot;non-dropping-particle&quot;:&quot;&quot;},{&quot;family&quot;:&quot;Wu&quot;,&quot;given&quot;:&quot;Susie R.&quot;,&quot;parse-names&quot;:false,&quot;dropping-particle&quot;:&quot;&quot;,&quot;non-dropping-particle&quot;:&quot;&quot;},{&quot;family&quot;:&quot;Park&quot;,&quot;given&quot;:&quot;Hogeun&quot;,&quot;parse-names&quot;:false,&quot;dropping-particle&quot;:&quot;&quot;,&quot;non-dropping-particle&quot;:&quot;&quot;},{&quot;family&quot;:&quot;Shao&quot;,&quot;given&quot;:&quot;Changliang&quot;,&quot;parse-names&quot;:false,&quot;dropping-particle&quot;:&quot;&quot;,&quot;non-dropping-particle&quot;:&quot;&quot;}],&quot;container-title&quot;:&quot;Ecological Processes&quot;,&quot;DOI&quot;:&quot;10.1186/s13717-016-0063-3&quot;,&quot;ISSN&quot;:&quot;21921709&quot;,&quot;URL&quot;:&quot;http://dx.doi.org/10.1186/s13717-016-0063-3&quot;,&quot;issued&quot;:{&quot;date-parts&quot;:[[2016]]},&quot;abstract&quot;:&quot;Aims: This review was developed to introduce the essential components and variants of structural equation modeling (SEM), synthesize the common issues in SEM applications, and share our views on SEM’s future in ecological research. Methods: We searched the Web of Science on SEM applications in ecological studies from 1999 through 2016 and summarized the potential of SEMs, with a special focus on unexplored uses in ecology. We also analyzed and discussed the common issues with SEM applications in previous publications and presented our view for its future applications. Results: We searched and found 146 relevant publications on SEM applications in ecological studies. We found that five SEM variants had not commenly been applied in ecology, including the latent growth curve model, Bayesian SEM, partial least square SEM, hierarchical SEM, and variable/model selection. We identified ten common issues in SEM applications including strength of causal assumption, specification of feedback loops, selection of models and variables, identification of models, methods of estimation, explanation of latent variables, selection of fit indices, report of results, estimation of sample size, and the fit of model. Conclusions: In previous ecological studies, measurements of latent variables, explanations of model parameters, and reports of key statistics were commonly overlooked, while several advanced uses of SEM had been ignored overall. With the increasing availability of data, the use of SEM holds immense potential for ecologists in the future.&quot;,&quot;publisher&quot;:&quot;Ecological Processes&quot;,&quot;issue&quot;:&quot;1&quot;,&quot;volume&quot;:&quot;5&quot;,&quot;container-title-short&quot;:&quot;Ecol Process&quot;},&quot;uris&quot;:[&quot;http://www.mendeley.com/documents/?uuid=f60da101-cc47-4c9d-9646-8d0c47f46644&quot;],&quot;isTemporary&quot;:false,&quot;legacyDesktopId&quot;:&quot;f60da101-cc47-4c9d-9646-8d0c47f46644&quot;}]},{&quot;citationID&quot;:&quot;MENDELEY_CITATION_ee2afc10-f448-4e93-af9c-714223ef1189&quot;,&quot;properties&quot;:{&quot;noteIndex&quot;:0},&quot;isEdited&quot;:false,&quot;manualOverride&quot;:{&quot;isManuallyOverridden&quot;:false,&quot;citeprocText&quot;:&quot;(Lehmann et al., 2011)&quot;,&quot;manualOverrideText&quot;:&quot;&quot;},&quot;citationTag&quot;:&quot;MENDELEY_CITATION_v3_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&quot;,&quot;citationItems&quot;:[{&quot;id&quot;:&quot;912b127b-ec72-3d76-a7a2-ba0967297729&quot;,&quot;itemData&quot;:{&quot;type&quot;:&quot;article-journal&quot;,&quot;id&quot;:&quot;912b127b-ec72-3d76-a7a2-ba0967297729&quot;,&quot;title&quot;:&quot;Deciphering the distribution of the savanna biome&quot;,&quot;author&quot;:[{&quot;family&quot;:&quot;Lehmann&quot;,&quot;given&quot;:&quot;Caroline E.R.&quot;,&quot;parse-names&quot;:false,&quot;dropping-particle&quot;:&quot;&quot;,&quot;non-dropping-particle&quot;:&quot;&quot;},{&quot;family&quot;:&quot;Archibald&quot;,&quot;given&quot;:&quot;Sally A.&quot;,&quot;parse-names&quot;:false,&quot;dropping-particle&quot;:&quot;&quot;,&quot;non-dropping-particle&quot;:&quot;&quot;},{&quot;family&quot;:&quot;Hoffmann&quot;,&quot;given&quot;:&quot;William A.&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j.1469-8137.2011.03689.x&quot;,&quot;ISSN&quot;:&quot;0028646X&quot;,&quot;PMID&quot;:&quot;21463328&quot;,&quot;issued&quot;:{&quot;date-parts&quot;:[[2011]]},&quot;page&quot;:&quot;197-209&quot;,&quot;abstract&quot;:&quot;We aimed to identify the limits of savanna across Africa, Australia and South America. We based our investigation on the rich history of hypotheses previously examined: that the limits of savanna are variously determined by rainfall, rainfall seasonality, soil fertility and disturbance. We categorized vegetation on all continents as 'savanna' (open habitats with a C4 grass layer) or 'not-savanna' (closed habitats with no C4 grass layer) and used a combination of statistical approaches to examine how the presence of savanna varied as a function of five environmental correlates. The presence of savanna is constrained by effective rainfall and rainfall seasonality. Soil fertility is regionally important, although the direction of its effect changes relative to rainfall. We identified three continental divergences in the limits of savanna that could not be explained by environment. Climate and soils do not have a deterministic effect on the distribution of savanna. Over the range of savanna, some proportion of the land is always 'not-savanna'. We reconciled previous contradictory views of savanna limits by developing a new conceptual framework for understanding these limits by categorizing environmental factors into whether they had a positive or negative effect on woody growth and the frequency of disturbance. © 2011 The Authors. New Phytologist © 2011 New Phytologist Trust.&quot;,&quot;issue&quot;:&quot;1&quot;,&quot;volume&quot;:&quot;191&quot;,&quot;container-title-short&quot;:&quot;&quot;},&quot;isTemporary&quot;:false}]},{&quot;citationID&quot;:&quot;MENDELEY_CITATION_9b3d428b-6601-40bd-95e3-28a80eb65f18&quot;,&quot;properties&quot;:{&quot;noteIndex&quot;:0},&quot;isEdited&quot;:false,&quot;manualOverride&quot;:{&quot;citeprocText&quot;:&quot;(Mayer and Khalyani, 2011)&quot;,&quot;isManuallyOverridden&quot;:false,&quot;manualOverrideText&quot;:&quot;&quot;},&quot;citationTag&quot;:&quot;MENDELEY_CITATION_v3_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&quot;,&quot;citationItems&quot;:[{&quot;id&quot;:&quot;9ba09bd6-013c-3f80-a7fb-1e67c9cbd001&quot;,&quot;itemData&quot;:{&quot;type&quot;:&quot;article-journal&quot;,&quot;id&quot;:&quot;9ba09bd6-013c-3f80-a7fb-1e67c9cbd001&quot;,&quot;title&quot;:&quot;Grass trumps trees with fire&quot;,&quot;author&quot;:[{&quot;family&quot;:&quot;Mayer&quot;,&quot;given&quot;:&quot;Audrey L.&quot;,&quot;parse-names&quot;:false,&quot;dropping-particle&quot;:&quot;&quot;,&quot;non-dropping-particle&quot;:&quot;&quot;},{&quot;family&quot;:&quot;Khalyani&quot;,&quot;given&quot;:&quot;Azad Henareh&quot;,&quot;parse-names&quot;:false,&quot;dropping-particle&quot;:&quot;&quot;,&quot;non-dropping-particle&quot;:&quot;&quot;}],&quot;container-title&quot;:&quot;Science&quot;,&quot;DOI&quot;:&quot;10.1126/science.1213908&quot;,&quot;ISSN&quot;:&quot;10959203&quot;,&quot;PMID&quot;:&quot;21998379&quot;,&quot;issued&quot;:{&quot;date-parts&quot;:[[2011]]},&quot;page&quot;:&quot;188-189&quot;,&quot;abstract&quot;:&quot;Feedbacks involving rainfall, fi re, and vegetation govern transitions between forests, savannas, and grasslands.&quot;,&quot;issue&quot;:&quot;6053&quot;,&quot;volume&quot;:&quot;334&quot;,&quot;container-title-short&quot;:&quot;Science (1979)&quot;},&quot;uris&quot;:[&quot;http://www.mendeley.com/documents/?uuid=8a822b1f-710d-4137-b288-f0649325053f&quot;],&quot;isTemporary&quot;:false,&quot;legacyDesktopId&quot;:&quot;8a822b1f-710d-4137-b288-f0649325053f&quot;}]},{&quot;citationID&quot;:&quot;MENDELEY_CITATION_5e5f41f8-ecca-49d9-b15a-38ef8f863359&quot;,&quot;properties&quot;:{&quot;noteIndex&quot;:0},&quot;isEdited&quot;:false,&quot;manualOverride&quot;:{&quot;citeprocText&quot;:&quot;(Pausas and Bond, 2020)&quot;,&quot;isManuallyOverridden&quot;:false,&quot;manualOverrideText&quot;:&quot;&quot;},&quot;citationTag&quot;:&quot;MENDELEY_CITATION_v3_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&quot;,&quot;citationItems&quot;:[{&quot;id&quot;:&quot;2757fdfe-6e5a-3381-bb11-8bef10b37251&quot;,&quot;itemData&quot;:{&quot;type&quot;:&quot;article-journal&quot;,&quot;id&quot;:&quot;2757fdfe-6e5a-3381-bb11-8bef10b37251&quot;,&quot;title&quot;:&quot;Alternative Biome States in Terrestrial Ecosystems&quot;,&quot;author&quot;:[{&quot;family&quot;:&quot;Pausas&quot;,&quot;given&quot;:&quot;Juli G.&quot;,&quot;parse-names&quot;:false,&quot;dropping-particle&quot;:&quot;&quot;,&quot;non-dropping-particle&quot;:&quot;&quot;},{&quot;family&quot;:&quot;Bond&quot;,&quot;given&quot;:&quot;William J.&quot;,&quot;parse-names&quot;:false,&quot;dropping-particle&quot;:&quot;&quot;,&quot;non-dropping-particle&quot;:&quot;&quot;}],&quot;container-title&quot;:&quot;Trends in Plant Science&quot;,&quot;DOI&quot;:&quot;10.1016/j.tplants.2019.11.003&quot;,&quot;ISSN&quot;:&quot;13601385&quot;,&quot;issued&quot;:{&quot;date-parts&quot;:[[2020]]},&quot;page&quot;:&quot;250-263&quot;,&quot;abstract&quot;:&quot;There is growing interest in the application of alternative stable state (ASS) theory to explain major vegetation patterns of the world. Here, we introduce the theory as applied to the puzzle of nonforested (open) biomes growing in climates that are warm and wet enough to support forests (alternative biome states, ABSs). Long thought to be the product of deforestation, diverse lines of evidence indicate that many open ecosystems are ancient. They have also been characterized as ‘early successional’ even where they persist for millennia. ABS is an alternative framework to that of climate determinism and succession for exploring forest/nonforest mosaics. This framework explains not only tropical forest–savanna landscapes, but also other landscape mosaics across the globe.&quot;,&quot;publisher&quot;:&quot;Elsevier Ltd&quot;,&quot;issue&quot;:&quot;3&quot;,&quot;volume&quot;:&quot;25&quot;,&quot;container-title-short&quot;:&quot;Trends Plant Sci&quot;},&quot;uris&quot;:[&quot;http://www.mendeley.com/documents/?uuid=64ddf1f5-6dac-4ebf-9e0e-9bbb539ce4db&quot;],&quot;isTemporary&quot;:false,&quot;legacyDesktopId&quot;:&quot;64ddf1f5-6dac-4ebf-9e0e-9bbb539ce4db&quot;}]},{&quot;citationID&quot;:&quot;MENDELEY_CITATION_964d1cf1-cbcf-4351-9668-29a4c326fbe3&quot;,&quot;properties&quot;:{&quot;noteIndex&quot;:0},&quot;isEdited&quot;:false,&quot;manualOverride&quot;:{&quot;citeprocText&quot;:&quot;(Wei et al., 2020a)&quot;,&quot;isManuallyOverridden&quot;:false,&quot;manualOverrideText&quot;:&quot;&quot;},&quot;citationTag&quot;:&quot;MENDELEY_CITATION_v3_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&quot;,&quot;citationItems&quot;:[{&quot;id&quot;:&quot;edb2f930-f988-3752-a8a8-5a0955e62f29&quot;,&quot;itemData&quot;:{&quot;type&quot;:&quot;article-journal&quot;,&quot;id&quot;:&quot;edb2f930-f988-3752-a8a8-5a0955e62f29&quot;,&quot;title&quot;:&quot;Responses and feedbacks of African dryland ecosystems to environmental changes&quot;,&quot;author&quot;:[{&quot;family&quot;:&quot;Wei&quot;,&quot;given&quot;:&quot;Fangli&quot;,&quot;parse-names&quot;:false,&quot;dropping-particle&quot;:&quot;&quot;,&quot;non-dropping-particle&quot;:&quot;&quot;},{&quot;family&quot;:&quot;Wang&quot;,&quot;given&quot;:&quot;Shuai&quot;,&quot;parse-names&quot;:false,&quot;dropping-particle&quot;:&quot;&quot;,&quot;non-dropping-particle&quot;:&quot;&quot;},{&quot;family&quot;:&quot;Brandt&quot;,&quot;given&quot;:&quot;Martin&quot;,&quot;parse-names&quot;:false,&quot;dropping-particle&quot;:&quot;&quot;,&quot;non-dropping-particle&quot;:&quot;&quot;},{&quot;family&quot;:&quot;Fu&quot;,&quot;given&quot;:&quot;Bojie&quot;,&quot;parse-names&quot;:false,&quot;dropping-particle&quot;:&quot;&quot;,&quot;non-dropping-particle&quot;:&quot;&quot;},{&quot;family&quot;:&quot;Meadows&quot;,&quot;given&quot;:&quot;Michael E.&quot;,&quot;parse-names&quot;:false,&quot;dropping-particle&quot;:&quot;&quot;,&quot;non-dropping-particle&quot;:&quot;&quot;},{&quot;family&quot;:&quot;Wang&quot;,&quot;given&quot;:&quot;Lixin&quot;,&quot;parse-names&quot;:false,&quot;dropping-particle&quot;:&quot;&quot;,&quot;non-dropping-particle&quot;:&quot;&quot;},{&quot;family&quot;:&quot;Wang&quot;,&quot;given&quot;:&quot;Lanhui&quot;,&quot;parse-names&quot;:false,&quot;dropping-particle&quot;:&quot;&quot;,&quot;non-dropping-particle&quot;:&quot;&quot;},{&quot;family&quot;:&quot;Tong&quot;,&quot;given&quot;:&quot;Xiaowei&quot;,&quot;parse-names&quot;:false,&quot;dropping-particle&quot;:&quot;&quot;,&quot;non-dropping-particle&quot;:&quot;&quot;},{&quot;family&quot;:&quot;Fensholt&quot;,&quot;given&quot;:&quot;Rasmus&quot;,&quot;parse-names&quot;:false,&quot;dropping-particle&quot;:&quot;&quot;,&quot;non-dropping-particle&quot;:&quot;&quot;}],&quot;container-title&quot;:&quot;Current Opinion in Environmental Sustainability&quot;,&quot;DOI&quot;:&quot;10.1016/j.cosust.2020.09.004&quot;,&quot;ISSN&quot;:&quot;18773435&quot;,&quot;URL&quot;:&quot;https://doi.org/10.1016/j.cosust.2020.09.004&quot;,&quot;issued&quot;:{&quot;date-parts&quot;:[[2020]]},&quot;page&quot;:&quot;29-35&quot;,&quot;abstract&quot;:&quot;Drylands occupy 43% of the African continent and play an important role in the global carbon cycle and in supporting local livelihoods. Understanding how dryland ecosystems respond to environmental changes, both structurally and functionally, is of great significance for sustainable dryland management. In this article, we review the current remote sensing-based knowledge on African dryland ecosystem dynamics and the main drivers of changes. Global CO2 enrichment, changes in rainfall regimes, and a decline in fire activity have collectively driven vegetation greening, woody plant increase and carbon dynamics in African drylands over recent decades, challenging the long-held desertification narrative. Here we also highlight the importance of rainfall–vegetation–fire feedbacks in enhancing dryland ecosystem resilience and predicting future ecosystem responses.&quot;,&quot;publisher&quot;:&quot;Elsevier B.V.&quot;,&quot;volume&quot;:&quot;48&quot;,&quot;container-title-short&quot;:&quot;Curr Opin Environ Sustain&quot;},&quot;uris&quot;:[&quot;http://www.mendeley.com/documents/?uuid=b4d1bdb8-b602-409c-a8d3-90ea80e9758c&quot;],&quot;isTemporary&quot;:false,&quot;legacyDesktopId&quot;:&quot;b4d1bdb8-b602-409c-a8d3-90ea80e9758c&quot;}]},{&quot;citationID&quot;:&quot;MENDELEY_CITATION_57cde3ba-4d20-4237-bc6c-87826640c5ac&quot;,&quot;properties&quot;:{&quot;noteIndex&quot;:0},&quot;isEdited&quot;:false,&quot;manualOverride&quot;:{&quot;citeprocText&quot;:&quot;(Bowman et al., 2015; Charles-Dominique et al., 2018; Oliveras and Malhi, 2016)&quot;,&quot;isManuallyOverridden&quot;:false,&quot;manualOverrideText&quot;:&quot;&quot;},&quot;citationTag&quot;:&quot;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&quot;,&quot;citationItems&quot;:[{&quot;id&quot;:&quot;2f92a4c8-f21e-3a65-b1f8-22d131217711&quot;,&quot;itemData&quot;:{&quot;type&quot;:&quot;article-journal&quot;,&quot;id&quot;:&quot;2f92a4c8-f21e-3a65-b1f8-22d131217711&quot;,&quot;title&quot;:&quot;Steal the light: shade vs fire adapted vegetation in forest–savanna mosaics&quot;,&quot;author&quot;:[{&quot;family&quot;:&quot;Charles-Dominique&quot;,&quot;given&quot;:&quot;Tristan&quot;,&quot;parse-names&quot;:false,&quot;dropping-particle&quot;:&quot;&quot;,&quot;non-dropping-particle&quot;:&quot;&quot;},{&quot;family&quot;:&quot;Midgley&quot;,&quot;given&quot;:&quot;Guy F.&quot;,&quot;parse-names&quot;:false,&quot;dropping-particle&quot;:&quot;&quot;,&quot;non-dropping-particle&quot;:&quot;&quot;},{&quot;family&quot;:&quot;Tomlinson&quot;,&quot;given&quot;:&quot;Kyle W.&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nph.15117&quot;,&quot;ISSN&quot;:&quot;14698137&quot;,&quot;PMID&quot;:&quot;29604213&quot;,&quot;issued&quot;:{&quot;date-parts&quot;:[[2018]]},&quot;page&quot;:&quot;1419-1429&quot;,&quot;abstract&quot;:&quot;Shade cast by trees, which suppresses grass growth, and fire fuelled by grass biomass, which prevents tree sapling establishment, are mutually exclusive and self-reinforcing drivers of biome distribution in savanna–forest mosaics. We investigated how shade depth, represented by canopy leaf area index (LAI), is generated by adult trees across savanna–forest boundaries and how a shade gradient filters tree functioning, and grass composition and biomass. Forest trees exerted greater shading through increased stem density and greater light interception per unit biomass. A critical transition at LAI c. 1.5 was linked to tree shifts from savanna to forest species, functional shifts from fire-tolerant to light-competitive species, and grass composition shifts from C4 to C3 pathways. A second transition to grass fuel loads too low to support fires, occurred at a lower canopy density (LAI &gt; 0.5), accompanied by shifts in C4 subtype dominance. This pattern suggests that shade suppression of grass biomass is an essential first step for the maintenance of alternative stable states.&quot;,&quot;issue&quot;:&quot;4&quot;,&quot;volume&quot;:&quot;218&quot;,&quot;container-title-short&quot;:&quot;&quot;},&quot;uris&quot;:[&quot;http://www.mendeley.com/documents/?uuid=ab3a6f5a-1043-4a8f-a88a-f9eed589d7c1&quot;],&quot;isTemporary&quot;:false,&quot;legacyDesktopId&quot;:&quot;ab3a6f5a-1043-4a8f-a88a-f9eed589d7c1&quot;},{&quot;id&quot;:&quot;c7289864-bc21-3ffe-b19b-59acc2552d4a&quot;,&quot;itemData&quot;:{&quot;type&quot;:&quot;article-journal&quot;,&quot;id&quot;:&quot;c7289864-bc21-3ffe-b19b-59acc2552d4a&quot;,&quot;title&quot;:&quot;Feedbacks and landscape-level vegetation dynamics&quot;,&quot;author&quot;:[{&quot;family&quot;:&quot;Bowman&quot;,&quot;given&quot;:&quot;David M.J.S.&quot;,&quot;parse-names&quot;:false,&quot;dropping-particle&quot;:&quot;&quot;,&quot;non-dropping-particle&quot;:&quot;&quot;},{&quot;family&quot;:&quot;Perry&quot;,&quot;given&quot;:&quot;George L.W.&quot;,&quot;parse-names&quot;:false,&quot;dropping-particle&quot;:&quot;&quot;,&quot;non-dropping-particle&quot;:&quot;&quot;},{&quot;family&quot;:&quot;Marston&quot;,&quot;given&quot;:&quot;J. B.&quot;,&quot;parse-names&quot;:false,&quot;dropping-particle&quot;:&quot;&quot;,&quot;non-dropping-particle&quot;:&quot;&quot;}],&quot;container-title&quot;:&quot;Trends in Ecology and Evolution&quot;,&quot;DOI&quot;:&quot;10.1016/j.tree.2015.03.005&quot;,&quot;ISSN&quot;:&quot;01695347&quot;,&quot;PMID&quot;:&quot;25837918&quot;,&quot;URL&quot;:&quot;http://dx.doi.org/10.1016/j.tree.2015.03.005&quot;,&quot;issued&quot;:{&quot;date-parts&quot;:[[2015]]},&quot;page&quot;:&quot;255-260&quot;,&quot;abstract&quot;:&quot;Alternative stable-state theory (ASS) is widely accepted as explaining landscape-level vegetation dynamics, such as switches between forest and grassland. This theory argues that webs of feedbacks stabilise vegetation composition and structure, and that abrupt state shifts can occur if stabilising feedbacks are weakened. However, it is difficult to identify stabilising feedback loops and the disturbance thresholds beyond which state changes occur. Here, we argue that doing this requires a synthetic approach blending observation, experimentation, simulation, conceptual models, and narratives. Using forest boundaries and large mammal extinctions, we illustrate how a multifaceted research program can advance understanding of feedback-driven ecosystem change. Our integrative approach has applicability to other complex macroecological systems controlled by numerous feedbacks where controlled experimentation is impossible.&quot;,&quot;publisher&quot;:&quot;Elsevier Ltd&quot;,&quot;issue&quot;:&quot;5&quot;,&quot;volume&quot;:&quot;30&quot;,&quot;container-title-short&quot;:&quot;Trends Ecol Evol&quot;},&quot;uris&quot;:[&quot;http://www.mendeley.com/documents/?uuid=421809e0-d16e-46a8-b989-32b526bbd81a&quot;],&quot;isTemporary&quot;:false,&quot;legacyDesktopId&quot;:&quot;421809e0-d16e-46a8-b989-32b526bbd81a&quot;},{&quot;id&quot;:&quot;034d8cf7-5f75-39f8-9daa-54d180a3cd87&quot;,&quot;itemData&quot;:{&quot;type&quot;:&quot;article-journal&quot;,&quot;id&quot;:&quot;034d8cf7-5f75-39f8-9daa-54d180a3cd87&quot;,&quot;title&quot;:&quot;Many shades of green: The dynamic tropical forest–savannah transition zones&quot;,&quot;author&quot;:[{&quot;family&quot;:&quot;Oliveras&quot;,&quot;given&quot;:&quot;Immaculada&quot;,&quot;parse-names&quot;:false,&quot;dropping-particle&quot;:&quot;&quot;,&quot;non-dropping-particle&quot;:&quot;&quot;},{&quot;family&quot;:&quot;Malhi&quot;,&quot;given&quot;:&quot;Yadvinder&quot;,&quot;parse-names&quot;:false,&quot;dropping-particle&quot;:&quot;&quot;,&quot;non-dropping-particle&quot;:&quot;&quot;}],&quot;container-title&quot;:&quot;Philosophical Transactions of the Royal Society B: Biological Sciences&quot;,&quot;DOI&quot;:&quot;10.1098/rstb.2015.0308&quot;,&quot;ISBN&quot;:&quot;0266467416000&quot;,&quot;ISSN&quot;:&quot;14712970&quot;,&quot;PMID&quot;:&quot;27502373&quot;,&quot;issued&quot;:{&quot;date-parts&quot;:[[2016]]},&quot;abstract&quot;:&quot;One contribution of 15 to a theme issue 'Tropical grassy biomes: linking ecology, human use and conservation'. The forest–savannah transition is the most widespread ecotone in tropical areas, separating two of the most productive terrestrial ecosystems. Here, we review current understanding of the factors that shape this transition, and how it may change under various drivers of local or global change. At broadest scales, the location of the transition is shaped by water availability, mediated strongly at local scales by fire regimes, herbivory pressure and spatial variation in soil properties. The frequently dynamic nature of this tran-sition suggests that forest and savannah can exist as alternative stable states, maintained and separated by fire–grass feedbacks and tree shade–fire suppression feedback. However, this theory is still contested and the relative contributions of the main biotic and abiotic drivers and their interactions are yet not fully understood. These drivers interplay with a wide range of ecologi-cal processes and attributes at the global, continental, regional and local scales. The evolutionary history of the biotic and abiotic drivers and processes plays an important role in the current distributions of these transitions as well as in their species composition and ecosystem functioning. This ecotone can be sen-sitive to shifts in climate and other driving factors, but is also potentially stabilized by negative feedback processes. There is abundant evidence that these transitions are shifting under contemporary global and local changes, but the direction of shift varies according to region. However, it still remains uncertain how these transitions will respond to rapid and multi-faceted ongoing current changes, and how increasing human influence will interact with these shifts. This article is part of the themed issue 'Tropical grassy biomes: linking ecology, human use and conservation'.&quot;,&quot;issue&quot;:&quot;1703&quot;,&quot;volume&quot;:&quot;371: 20150&quot;,&quot;container-title-short&quot;:&quot;&quot;},&quot;uris&quot;:[&quot;http://www.mendeley.com/documents/?uuid=aaa72715-bfbe-4859-b1f4-b31fc1341864&quot;],&quot;isTemporary&quot;:false,&quot;legacyDesktopId&quot;:&quot;aaa72715-bfbe-4859-b1f4-b31fc1341864&quot;}]},{&quot;citationID&quot;:&quot;MENDELEY_CITATION_d9ea4e59-d283-4f03-b4c9-8ebc5b08c0d5&quot;,&quot;properties&quot;:{&quot;noteIndex&quot;:0},&quot;isEdited&quot;:false,&quot;manualOverride&quot;:{&quot;citeprocText&quot;:&quot;(Brandt et al., 2019)&quot;,&quot;isManuallyOverridden&quot;:false,&quot;manualOverrideText&quot;:&quot;&quot;},&quot;citationTag&quot;:&quot;MENDELEY_CITATION_v3_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&quot;,&quot;citationItems&quot;:[{&quot;id&quot;:&quot;a23709d7-2082-393e-8e64-7456128745b3&quot;,&quot;itemData&quot;:{&quot;type&quot;:&quot;article-journal&quot;,&quot;id&quot;:&quot;a23709d7-2082-393e-8e64-7456128745b3&quot;,&quot;title&quot;:&quot;Changes in rainfall distribution promote woody foliage production in the Sahel&quot;,&quot;author&quot;:[{&quot;family&quot;:&quot;Brandt&quot;,&quot;given&quot;:&quot;Martin&quot;,&quot;parse-names&quot;:false,&quot;dropping-particle&quot;:&quot;&quot;,&quot;non-dropping-particle&quot;:&quot;&quot;},{&quot;family&quot;:&quot;Hiernaux&quot;,&quot;given&quot;:&quot;Pierre&quot;,&quot;parse-names&quot;:false,&quot;dropping-particle&quot;:&quot;&quot;,&quot;non-dropping-particle&quot;:&quot;&quot;},{&quot;family&quot;:&quot;Rasmussen&quot;,&quot;given&quot;:&quot;Kjeld&quot;,&quot;parse-names&quot;:false,&quot;dropping-particle&quot;:&quot;&quot;,&quot;non-dropping-particle&quot;:&quot;&quot;},{&quot;family&quot;:&quot;Tucker&quot;,&quot;given&quot;:&quot;Compton J.&quot;,&quot;parse-names&quot;:false,&quot;dropping-particle&quot;:&quot;&quot;,&quot;non-dropping-particle&quot;:&quot;&quot;},{&quot;family&quot;:&quot;Wigneron&quot;,&quot;given&quot;:&quot;Jean-Pierre&quot;,&quot;parse-names&quot;:false,&quot;dropping-particle&quot;:&quot;&quot;,&quot;non-dropping-particle&quot;:&quot;&quot;},{&quot;family&quot;:&quot;Diouf&quot;,&quot;given&quot;:&quot;Abdoul Aziz&quot;,&quot;parse-names&quot;:false,&quot;dropping-particle&quot;:&quot;&quot;,&quot;non-dropping-particle&quot;:&quot;&quot;},{&quot;family&quot;:&quot;Herrmann&quot;,&quot;given&quot;:&quot;Stefanie M.&quot;,&quot;parse-names&quot;:false,&quot;dropping-particle&quot;:&quot;&quot;,&quot;non-dropping-particle&quot;:&quot;&quot;},{&quot;family&quot;:&quot;Zhang&quot;,&quot;given&quot;:&quot;Wenmin&quot;,&quot;parse-names&quot;:false,&quot;dropping-particle&quot;:&quot;&quot;,&quot;non-dropping-particle&quot;:&quot;&quot;},{&quot;family&quot;:&quot;Kergoat&quot;,&quot;given&quot;:&quot;Laurent&quot;,&quot;parse-names&quot;:false,&quot;dropping-particle&quot;:&quot;&quot;,&quot;non-dropping-particle&quot;:&quot;&quot;},{&quot;family&quot;:&quot;Mbow&quot;,&quot;given&quot;:&quot;Cheikh&quot;,&quot;parse-names&quot;:false,&quot;dropping-particle&quot;:&quot;&quot;,&quot;non-dropping-particle&quot;:&quot;&quot;},{&quot;family&quot;:&quot;Abel&quot;,&quot;given&quot;:&quot;Christin&quot;,&quot;parse-names&quot;:false,&quot;dropping-particle&quot;:&quot;&quot;,&quot;non-dropping-particle&quot;:&quot;&quot;},{&quot;family&quot;:&quot;Auda&quot;,&quot;given&quot;:&quot;Yves&quot;,&quot;parse-names&quot;:false,&quot;dropping-particle&quot;:&quot;&quot;,&quot;non-dropping-particle&quot;:&quot;&quot;},{&quot;family&quot;:&quot;Fensholt&quot;,&quot;given&quot;:&quot;Rasmus&quot;,&quot;parse-names&quot;:false,&quot;dropping-particle&quot;:&quot;&quot;,&quot;non-dropping-particle&quot;:&quot;&quot;}],&quot;container-title&quot;:&quot;Communications Biology&quot;,&quot;DOI&quot;:&quot;10.1038/s42003-019-0383-9&quot;,&quot;ISBN&quot;:&quot;4200301903&quot;,&quot;ISSN&quot;:&quot;2399-3642&quot;,&quot;URL&quot;:&quot;http://www.nature.com/articles/s42003-019-0383-9&quot;,&quot;issued&quot;:{&quot;date-parts&quot;:[[2019]]},&quot;page&quot;:&quot;133&quot;,&quot;publisher&quot;:&quot;Springer US&quot;,&quot;issue&quot;:&quot;1&quot;,&quot;volume&quot;:&quot;2&quot;,&quot;container-title-short&quot;:&quot;Commun Biol&quot;},&quot;uris&quot;:[&quot;http://www.mendeley.com/documents/?uuid=7f5f94d5-8031-41ae-820d-f07a11cf61de&quot;],&quot;isTemporary&quot;:false,&quot;legacyDesktopId&quot;:&quot;7f5f94d5-8031-41ae-820d-f07a11cf61de&quot;}]},{&quot;citationID&quot;:&quot;MENDELEY_CITATION_32f2d4ec-f7af-4d9f-a6fd-5a4e781b056b&quot;,&quot;properties&quot;:{&quot;noteIndex&quot;:0},&quot;isEdited&quot;:false,&quot;manualOverride&quot;:{&quot;citeprocText&quot;:&quot;(Osborne et al., 2018)&quot;,&quot;isManuallyOverridden&quot;:false,&quot;manualOverrideText&quot;:&quot;&quot;},&quot;citationTag&quot;:&quot;MENDELEY_CITATION_v3_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&quot;,&quot;citationItems&quot;:[{&quot;id&quot;:&quot;2bb6283f-34b6-3296-982a-00f6fde87f9f&quot;,&quot;itemData&quot;:{&quot;type&quot;:&quot;article-journal&quot;,&quot;id&quot;:&quot;2bb6283f-34b6-3296-982a-00f6fde87f9f&quot;,&quot;title&quot;:&quot;Human impacts in African savannas are mediated by plant functional traits&quot;,&quot;author&quot;:[{&quot;family&quot;:&quot;Osborne&quot;,&quot;given&quot;:&quot;Colin P.&quot;,&quot;parse-names&quot;:false,&quot;dropping-particle&quot;:&quot;&quot;,&quot;non-dropping-particle&quot;:&quot;&quot;},{&quot;family&quot;:&quot;Charles-Dominique&quot;,&quot;given&quot;:&quot;Tristan&quot;,&quot;parse-names&quot;:false,&quot;dropping-particle&quot;:&quot;&quot;,&quot;non-dropping-particle&quot;:&quot;&quot;},{&quot;family&quot;:&quot;Stevens&quot;,&quot;given&quot;:&quot;Nicola&quot;,&quot;parse-names&quot;:false,&quot;dropping-particle&quot;:&quot;&quot;,&quot;non-dropping-particle&quot;:&quot;&quot;},{&quot;family&quot;:&quot;Bond&quot;,&quot;given&quot;:&quot;William J.&quot;,&quot;parse-names&quot;:false,&quot;dropping-particle&quot;:&quot;&quot;,&quot;non-dropping-particle&quot;:&quot;&quot;},{&quot;family&quot;:&quot;Midgley&quot;,&quot;given&quot;:&quot;Guy&quot;,&quot;parse-names&quot;:false,&quot;dropping-particle&quot;:&quot;&quot;,&quot;non-dropping-particle&quot;:&quot;&quot;},{&quot;family&quot;:&quot;Lehmann&quot;,&quot;given&quot;:&quot;Caroline E.R.&quot;,&quot;parse-names&quot;:false,&quot;dropping-particle&quot;:&quot;&quot;,&quot;non-dropping-particle&quot;:&quot;&quot;}],&quot;container-title&quot;:&quot;New Phytologist&quot;,&quot;DOI&quot;:&quot;10.1111/nph.15236&quot;,&quot;ISSN&quot;:&quot;14698137&quot;,&quot;issued&quot;:{&quot;date-parts&quot;:[[2018]]},&quot;page&quot;:&quot;10-24&quot;,&quot;abstract&quot;:&quot;Tropical savannas have a ground cover dominated by C 4 grasses, with fire and herbivory constraining woody cover below a rainfall-based potential. The savanna biome covers 50% of the African continent, encompassing diverse ecosystems that include densely wooded Miombo woodlands and Serengeti grasslands with scat-tered trees. African savannas provide water, grazing and browsing, food and fuel for tens of millions of people, and have a unique biodiversity that supports wildlife tourism. However, human impacts are causing widespread and accelerating degradation of savannas. The primary threats are land cover-change and transfor-mation, landscape fragmentation that disrupts herbivore commu-nities and fire regimes, climate change and rising atmospheric CO 2 . The interactions among these threats are poorly understood, with unknown consequences for ecosystem health and human liveli-hoods. We argue that the unique combinations of plant functional traits characterizing the major floristic assemblages of African savannas make them differentially susceptible and resilient to anthropogenic drivers of ecosystem change. Research must address how this functional diversity among African savannas differentially influences their vulnerability to global change and elucidate the mechanisms responsible. This knowledge will permit appropriate management strategies to be developed to maintain ecosystem integrity, biodiversity and livelihoods. African savannas face multiple anthropogenic threats&quot;,&quot;volume&quot;:&quot;220&quot;,&quot;container-title-short&quot;:&quot;&quot;},&quot;uris&quot;:[&quot;http://www.mendeley.com/documents/?uuid=776933ac-f1f4-4b90-9c0f-0595c2d498ba&quot;],&quot;isTemporary&quot;:false,&quot;legacyDesktopId&quot;:&quot;776933ac-f1f4-4b90-9c0f-0595c2d498ba&quot;}]},{&quot;citationID&quot;:&quot;MENDELEY_CITATION_bfc9882e-7934-46fa-961f-e40487b3e5f2&quot;,&quot;properties&quot;:{&quot;noteIndex&quot;:0},&quot;isEdited&quot;:false,&quot;manualOverride&quot;:{&quot;citeprocText&quot;:&quot;(McDowell et al., 2020; McDowell, 2022)&quot;,&quot;isManuallyOverridden&quot;:false,&quot;manualOverrideText&quot;:&quot;&quot;},&quot;citationTag&quot;:&quot;MENDELEY_CITATION_v3_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jb250YWluZXItdGl0bGUtc2hvcnQiOiJOYXQgUmV2IEVhcnRoIEVudmlyb24ifSwidXJpcyI6WyJodHRwOi8vd3d3Lm1lbmRlbGV5LmNvbS9kb2N1bWVudHMvP3V1aWQ9NGVjOWJmZDAtZmJlNi00Yzk2LWE1N2EtMTU5YzJiNDAwNDk1Il0sImlzVGVtcG9yYXJ5IjpmYWxzZSwibGVnYWN5RGVza3RvcElkIjoiNGVjOWJmZDAtZmJlNi00Yzk2LWE1N2EtMTU5YzJiNDAwNDk1In1dfQ==&quot;,&quot;citationItems&quot;:[{&quot;id&quot;:&quot;10e42965-6f03-3cb3-9e68-fcaadac9947a&quot;,&quot;itemData&quot;:{&quot;type&quot;:&quot;article-journal&quot;,&quot;id&quot;:&quot;10e42965-6f03-3cb3-9e68-fcaadac9947a&quot;,&quot;title&quot;:&quot;Pervasive shifts in forest dynamics in a changing world&quot;,&quot;author&quot;:[{&quot;family&quot;:&quot;McDowell&quot;,&quot;given&quot;:&quot;Nate G.&quot;,&quot;parse-names&quot;:false,&quot;dropping-particle&quot;:&quot;&quot;,&quot;non-dropping-particle&quot;:&quot;&quot;},{&quot;family&quot;:&quot;Allen&quot;,&quot;given&quot;:&quot;Craig D.&quot;,&quot;parse-names&quot;:false,&quot;dropping-particle&quot;:&quot;&quot;,&quot;non-dropping-particle&quot;:&quot;&quot;},{&quot;family&quot;:&quot;Anderson-Teixeira&quot;,&quot;given&quot;:&quot;Kristina&quot;,&quot;parse-names&quot;:false,&quot;dropping-particle&quot;:&quot;&quot;,&quot;non-dropping-particle&quot;:&quot;&quot;},{&quot;family&quot;:&quot;Aukema&quot;,&quot;given&quot;:&quot;Brian H.&quot;,&quot;parse-names&quot;:false,&quot;dropping-particle&quot;:&quot;&quot;,&quot;non-dropping-particle&quot;:&quot;&quot;},{&quot;family&quot;:&quot;Bond-Lamberty&quot;,&quot;given&quot;:&quot;Ben&quot;,&quot;parse-names&quot;:false,&quot;dropping-particle&quot;:&quot;&quot;,&quot;non-dropping-particle&quot;:&quot;&quot;},{&quot;family&quot;:&quot;Chini&quot;,&quot;given&quot;:&quot;Louise&quot;,&quot;parse-names&quot;:false,&quot;dropping-particle&quot;:&quot;&quot;,&quot;non-dropping-particle&quot;:&quot;&quot;},{&quot;family&quot;:&quot;Clark&quot;,&quot;given&quot;:&quot;James S.&quot;,&quot;parse-names&quot;:false,&quot;dropping-particle&quot;:&quot;&quot;,&quot;non-dropping-particle&quot;:&quot;&quot;},{&quot;family&quot;:&quot;Dietze&quot;,&quot;given&quot;:&quot;Michael&quot;,&quot;parse-names&quot;:false,&quot;dropping-particle&quot;:&quot;&quot;,&quot;non-dropping-particle&quot;:&quot;&quot;},{&quot;family&quot;:&quot;Grossiord&quot;,&quot;given&quot;:&quot;Charlotte&quot;,&quot;parse-names&quot;:false,&quot;dropping-particle&quot;:&quot;&quot;,&quot;non-dropping-particle&quot;:&quot;&quot;},{&quot;family&quot;:&quot;Hanbury-Brown&quot;,&quot;given&quot;:&quot;Adam&quot;,&quot;parse-names&quot;:false,&quot;dropping-particle&quot;:&quot;&quot;,&quot;non-dropping-particle&quot;:&quot;&quot;},{&quot;family&quot;:&quot;Hurtt&quot;,&quot;given&quot;:&quot;George C.&quot;,&quot;parse-names&quot;:false,&quot;dropping-particle&quot;:&quot;&quot;,&quot;non-dropping-particle&quot;:&quot;&quot;},{&quot;family&quot;:&quot;Jackson&quot;,&quot;given&quot;:&quot;Robert B.&quot;,&quot;parse-names&quot;:false,&quot;dropping-particle&quot;:&quot;&quot;,&quot;non-dropping-particle&quot;:&quot;&quot;},{&quot;family&quot;:&quot;Johnson&quot;,&quot;given&quot;:&quot;Daniel J.&quot;,&quot;parse-names&quot;:false,&quot;dropping-particle&quot;:&quot;&quot;,&quot;non-dropping-particle&quot;:&quot;&quot;},{&quot;family&quot;:&quot;Kueppers&quot;,&quot;given&quot;:&quot;Lara&quot;,&quot;parse-names&quot;:false,&quot;dropping-particle&quot;:&quot;&quot;,&quot;non-dropping-particle&quot;:&quot;&quot;},{&quot;family&quot;:&quot;Lichstein&quot;,&quot;given&quot;:&quot;Jeremy W.&quot;,&quot;parse-names&quot;:false,&quot;dropping-particle&quot;:&quot;&quot;,&quot;non-dropping-particle&quot;:&quot;&quot;},{&quot;family&quot;:&quot;Ogle&quot;,&quot;given&quot;:&quot;Kiona&quot;,&quot;parse-names&quot;:false,&quot;dropping-particle&quot;:&quot;&quot;,&quot;non-dropping-particle&quot;:&quot;&quot;},{&quot;family&quot;:&quot;Poulter&quot;,&quot;given&quot;:&quot;Benjamin&quot;,&quot;parse-names&quot;:false,&quot;dropping-particle&quot;:&quot;&quot;,&quot;non-dropping-particle&quot;:&quot;&quot;},{&quot;family&quot;:&quot;Pugh&quot;,&quot;given&quot;:&quot;Thomas A.M.&quot;,&quot;parse-names&quot;:false,&quot;dropping-particle&quot;:&quot;&quot;,&quot;non-dropping-particle&quot;:&quot;&quot;},{&quot;family&quot;:&quot;Seidl&quot;,&quot;given&quot;:&quot;Rupert&quot;,&quot;parse-names&quot;:false,&quot;dropping-particle&quot;:&quot;&quot;,&quot;non-dropping-particle&quot;:&quot;&quot;},{&quot;family&quot;:&quot;Turner&quot;,&quot;given&quot;:&quot;Monica G.&quot;,&quot;parse-names&quot;:false,&quot;dropping-particle&quot;:&quot;&quot;,&quot;non-dropping-particle&quot;:&quot;&quot;},{&quot;family&quot;:&quot;Uriarte&quot;,&quot;given&quot;:&quot;Maria&quot;,&quot;parse-names&quot;:false,&quot;dropping-particle&quot;:&quot;&quot;,&quot;non-dropping-particle&quot;:&quot;&quot;},{&quot;family&quot;:&quot;Walker&quot;,&quot;given&quot;:&quot;Anthony P.&quot;,&quot;parse-names&quot;:false,&quot;dropping-particle&quot;:&quot;&quot;,&quot;non-dropping-particle&quot;:&quot;&quot;},{&quot;family&quot;:&quot;Xu&quot;,&quot;given&quot;:&quot;Chonggang&quot;,&quot;parse-names&quot;:false,&quot;dropping-particle&quot;:&quot;&quot;,&quot;non-dropping-particle&quot;:&quot;&quot;}],&quot;container-title&quot;:&quot;Science&quot;,&quot;DOI&quot;:&quot;10.1126/science.aaz9463&quot;,&quot;ISSN&quot;:&quot;10959203&quot;,&quot;PMID&quot;:&quot;32467364&quot;,&quot;issued&quot;:{&quot;date-parts&quot;:[[2020]]},&quot;abstract&quot;:&quot;Forest dynamics arise from the interplay of environmental drivers and disturbances with the demographic processes of recruitment, growth, and mortality, subsequently driving biomass and species composition. However, forest disturbances and subsequent recovery are shifting with global changes in climate and land use, altering these dynamics. Changes in environmental drivers, land use, and disturbance regimes are forcing forests toward younger, shorter stands. Rising carbon dioxide, acclimation, adaptation, and migration can influence these impacts. Recent developments in Earth system models support increasingly realistic simulations of vegetation dynamics. In parallel, emerging remote sensing datasets promise qualitatively new and more abundant data on the underlying processes and consequences for vegetation structure. When combined, these advances hold promise for improving the scientific understanding of changes in vegetation demographics and disturbances.&quot;,&quot;issue&quot;:&quot;6494&quot;,&quot;volume&quot;:&quot;368&quot;,&quot;container-title-short&quot;:&quot;Science (1979)&quot;},&quot;uris&quot;:[&quot;http://www.mendeley.com/documents/?uuid=a3f8e338-1271-4a49-9a7e-61807074593b&quot;],&quot;isTemporary&quot;:false,&quot;legacyDesktopId&quot;:&quot;a3f8e338-1271-4a49-9a7e-61807074593b&quot;},{&quot;id&quot;:&quot;7d1073a6-5112-3954-9e79-dd34ce155195&quot;,&quot;itemData&quot;:{&quot;type&quot;:&quot;article-journal&quot;,&quot;id&quot;:&quot;7d1073a6-5112-3954-9e79-dd34ce155195&quot;,&quot;title&quot;:&quot;Mechanisms of woody-plant mortality under rising drought, CO2 and vapour pressure deficit&quot;,&quot;author&quot;:[{&quot;family&quot;:&quot;McDowell&quot;,&quot;given&quot;:&quot;N.G. et al.&quot;,&quot;parse-names&quot;:false,&quot;dropping-particle&quot;:&quot;&quot;,&quot;non-dropping-particle&quot;:&quot;&quot;}],&quot;container-title&quot;:&quot;Nature Reviews Earth &amp; Environment&quot;,&quot;DOI&quot;:&quot;10.1038/s43017-022-00272-1&quot;,&quot;ISBN&quot;:&quot;0123456789&quot;,&quot;issued&quot;:{&quot;date-parts&quot;:[[2022]]},&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Nat Rev Earth Environ&quot;},&quot;uris&quot;:[&quot;http://www.mendeley.com/documents/?uuid=4ec9bfd0-fbe6-4c96-a57a-159c2b400495&quot;],&quot;isTemporary&quot;:false,&quot;legacyDesktopId&quot;:&quot;4ec9bfd0-fbe6-4c96-a57a-159c2b400495&quot;}]},{&quot;citationID&quot;:&quot;MENDELEY_CITATION_d78c5803-48d9-4fd7-8b52-11de8ca9d675&quot;,&quot;properties&quot;:{&quot;noteIndex&quot;:0},&quot;isEdited&quot;:false,&quot;manualOverride&quot;:{&quot;citeprocText&quot;:&quot;(D’Odorico et al., 2012)&quot;,&quot;isManuallyOverridden&quot;:false,&quot;manualOverrideText&quot;:&quot;&quot;},&quot;citationTag&quot;:&quot;MENDELEY_CITATION_v3_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&quot;,&quot;citationItems&quot;:[{&quot;id&quot;:&quot;19139d7f-e586-3de2-8f8a-0934a38247b4&quot;,&quot;itemData&quot;:{&quot;type&quot;:&quot;article-journal&quot;,&quot;id&quot;:&quot;19139d7f-e586-3de2-8f8a-0934a38247b4&quot;,&quot;title&quot;:&quot;A synthetic review of feedbacks and drivers of shrub encroachment in arid grasslands&quot;,&quot;author&quot;:[{&quot;family&quot;:&quot;D'Odorico&quot;,&quot;given&quot;:&quot;Paolo&quot;,&quot;parse-names&quot;:false,&quot;dropping-particle&quot;:&quot;&quot;,&quot;non-dropping-particle&quot;:&quot;&quot;},{&quot;family&quot;:&quot;Okin&quot;,&quot;given&quot;:&quot;Gregory S.&quot;,&quot;parse-names&quot;:false,&quot;dropping-particle&quot;:&quot;&quot;,&quot;non-dropping-particle&quot;:&quot;&quot;},{&quot;family&quot;:&quot;Bestelmeyer&quot;,&quot;given&quot;:&quot;Brandon T.&quot;,&quot;parse-names&quot;:false,&quot;dropping-particle&quot;:&quot;&quot;,&quot;non-dropping-particle&quot;:&quot;&quot;}],&quot;container-title&quot;:&quot;Ecohydrology&quot;,&quot;DOI&quot;:&quot;10.1002/eco.259&quot;,&quot;ISSN&quot;:&quot;19360584&quot;,&quot;issued&quot;:{&quot;date-parts&quot;:[[2012]]},&quot;page&quot;:&quot;520-530&quot;,&quot;abstract&quot;:&quot;Many arid grasslands around the world are affected by woody plant encroachment and by the replacement of a relatively continuous grass cover with shrub patches bordered by bare soil. This shift in plant community composition is often abrupt in space and time, suggesting that it is likely sustained by positive feedbacks between vegetation and environmental conditions (e.g. resource availability) or disturbance regime (e.g. fire or freeze). These feedbacks amplify the effects of drivers of shrub encroachment, i.e. of conditions favouring a shift from grass to shrub dominance (e.g. overgrazing, climate change). Here, we review some major drivers and feedbacks and identify the basic stages in the transition from grassland to shrubland. We discuss some possible scenarios of interactions between drivers and feedbacks that could explain the transition from a stage to the next and the potential irreversibility of the shift from grass to shrub dominance. We introduce a simplistic modelling framework that can integrate the various drivers to explain the emergence of bistability for shrub-encroached grassland systems. Published 2011. This article is a U.S. Government work and is in the public domain in the USA.&quot;,&quot;issue&quot;:&quot;5&quot;,&quot;volume&quot;:&quot;5&quot;,&quot;container-title-short&quot;:&quot;&quot;},&quot;uris&quot;:[&quot;http://www.mendeley.com/documents/?uuid=181fb2aa-cc28-4878-bc32-1d84b6fd0f2f&quot;],&quot;isTemporary&quot;:false,&quot;legacyDesktopId&quot;:&quot;181fb2aa-cc28-4878-bc32-1d84b6fd0f2f&quot;}]},{&quot;citationID&quot;:&quot;MENDELEY_CITATION_406e1cc8-04de-4496-a6dc-5c59a90523fa&quot;,&quot;properties&quot;:{&quot;noteIndex&quot;:0},&quot;isEdited&quot;:false,&quot;manualOverride&quot;:{&quot;citeprocText&quot;:&quot;(Lehmann et al., 2014)&quot;,&quot;isManuallyOverridden&quot;:false,&quot;manualOverrideText&quot;:&quot;&quot;},&quot;citationTag&quot;:&quot;MENDELEY_CITATION_v3_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&quot;,&quot;citationItems&quot;:[{&quot;id&quot;:&quot;72b2062e-9e07-3ef3-a72c-a1c32e44ae8a&quot;,&quot;itemData&quot;:{&quot;type&quot;:&quot;article-journal&quot;,&quot;id&quot;:&quot;72b2062e-9e07-3ef3-a72c-a1c32e44ae8a&quot;,&quot;title&quot;:&quot;Savanna Vegetation-Fire-Climate Relationships Differ Among Continents&quot;,&quot;author&quot;:[{&quot;family&quot;:&quot;Lehmann&quot;,&quot;given&quot;:&quot;C. E. R.&quot;,&quot;parse-names&quot;:false,&quot;dropping-particle&quot;:&quot;&quot;,&quot;non-dropping-particle&quot;:&quot;&quot;},{&quot;family&quot;:&quot;Anderson&quot;,&quot;given&quot;:&quot;T. M.&quot;,&quot;parse-names&quot;:false,&quot;dropping-particle&quot;:&quot;&quot;,&quot;non-dropping-particle&quot;:&quot;&quot;},{&quot;family&quot;:&quot;Sankaran&quot;,&quot;given&quot;:&quot;M.&quot;,&quot;parse-names&quot;:false,&quot;dropping-particle&quot;:&quot;&quot;,&quot;non-dropping-particle&quot;:&quot;&quot;},{&quot;family&quot;:&quot;Higgins&quot;,&quot;given&quot;:&quot;S. I.&quot;,&quot;parse-names&quot;:false,&quot;dropping-particle&quot;:&quot;&quot;,&quot;non-dropping-particle&quot;:&quot;&quot;},{&quot;family&quot;:&quot;Archibald&quot;,&quot;given&quot;:&quot;S.&quot;,&quot;parse-names&quot;:false,&quot;dropping-particle&quot;:&quot;&quot;,&quot;non-dropping-particle&quot;:&quot;&quot;},{&quot;family&quot;:&quot;Hoffmann&quot;,&quot;given&quot;:&quot;W. A.&quot;,&quot;parse-names&quot;:false,&quot;dropping-particle&quot;:&quot;&quot;,&quot;non-dropping-particle&quot;:&quot;&quot;},{&quot;family&quot;:&quot;Hanan&quot;,&quot;given&quot;:&quot;N. P.&quot;,&quot;parse-names&quot;:false,&quot;dropping-particle&quot;:&quot;&quot;,&quot;non-dropping-particle&quot;:&quot;&quot;},{&quot;family&quot;:&quot;Williams&quot;,&quot;given&quot;:&quot;R. J.&quot;,&quot;parse-names&quot;:false,&quot;dropping-particle&quot;:&quot;&quot;,&quot;non-dropping-particle&quot;:&quot;&quot;},{&quot;family&quot;:&quot;Fensham&quot;,&quot;given&quot;:&quot;R. J.&quot;,&quot;parse-names&quot;:false,&quot;dropping-particle&quot;:&quot;&quot;,&quot;non-dropping-particle&quot;:&quot;&quot;},{&quot;family&quot;:&quot;Felfili&quot;,&quot;given&quot;:&quot;J.&quot;,&quot;parse-names&quot;:false,&quot;dropping-particle&quot;:&quot;&quot;,&quot;non-dropping-particle&quot;:&quot;&quot;},{&quot;family&quot;:&quot;Hutley&quot;,&quot;given&quot;:&quot;L. B.&quot;,&quot;parse-names&quot;:false,&quot;dropping-particle&quot;:&quot;&quot;,&quot;non-dropping-particle&quot;:&quot;&quot;},{&quot;family&quot;:&quot;Ratnam&quot;,&quot;given&quot;:&quot;J.&quot;,&quot;parse-names&quot;:false,&quot;dropping-particle&quot;:&quot;&quot;,&quot;non-dropping-particle&quot;:&quot;&quot;},{&quot;family&quot;:&quot;San Jose&quot;,&quot;given&quot;:&quot;J.&quot;,&quot;parse-names&quot;:false,&quot;dropping-particle&quot;:&quot;&quot;,&quot;non-dropping-particle&quot;:&quot;&quot;},{&quot;family&quot;:&quot;Montes&quot;,&quot;given&quot;:&quot;R.&quot;,&quot;parse-names&quot;:false,&quot;dropping-particle&quot;:&quot;&quot;,&quot;non-dropping-particle&quot;:&quot;&quot;},{&quot;family&quot;:&quot;Franklin&quot;,&quot;given&quot;:&quot;D.&quot;,&quot;parse-names&quot;:false,&quot;dropping-particle&quot;:&quot;&quot;,&quot;non-dropping-particle&quot;:&quot;&quot;},{&quot;family&quot;:&quot;Russell-Smith&quot;,&quot;given&quot;:&quot;J.&quot;,&quot;parse-names&quot;:false,&quot;dropping-particle&quot;:&quot;&quot;,&quot;non-dropping-particle&quot;:&quot;&quot;},{&quot;family&quot;:&quot;Ryan&quot;,&quot;given&quot;:&quot;C. M.&quot;,&quot;parse-names&quot;:false,&quot;dropping-particle&quot;:&quot;&quot;,&quot;non-dropping-particle&quot;:&quot;&quot;},{&quot;family&quot;:&quot;Durigan&quot;,&quot;given&quot;:&quot;G.&quot;,&quot;parse-names&quot;:false,&quot;dropping-particle&quot;:&quot;&quot;,&quot;non-dropping-particle&quot;:&quot;&quot;},{&quot;family&quot;:&quot;Hiernaux&quot;,&quot;given&quot;:&quot;P.&quot;,&quot;parse-names&quot;:false,&quot;dropping-particle&quot;:&quot;&quot;,&quot;non-dropping-particle&quot;:&quot;&quot;},{&quot;family&quot;:&quot;Haidar&quot;,&quot;given&quot;:&quot;R.&quot;,&quot;parse-names&quot;:false,&quot;dropping-particle&quot;:&quot;&quot;,&quot;non-dropping-particle&quot;:&quot;&quot;},{&quot;family&quot;:&quot;Bowman&quot;,&quot;given&quot;:&quot;D. M. J. S.&quot;,&quot;parse-names&quot;:false,&quot;dropping-particle&quot;:&quot;&quot;,&quot;non-dropping-particle&quot;:&quot;&quot;},{&quot;family&quot;:&quot;Bond&quot;,&quot;given&quot;:&quot;W. J.&quot;,&quot;parse-names&quot;:false,&quot;dropping-particle&quot;:&quot;&quot;,&quot;non-dropping-particle&quot;:&quot;&quot;}],&quot;container-title&quot;:&quot;Science&quot;,&quot;DOI&quot;:&quot;10.1126/science.1247355&quot;,&quot;ISBN&quot;:&quot;0036-8075&quot;,&quot;ISSN&quot;:&quot;0036-8075&quot;,&quot;PMID&quot;:&quot;24482480&quot;,&quot;URL&quot;:&quot;http://www.sciencemag.org/cgi/doi/10.1126/science.1247355&quot;,&quot;issued&quot;:{&quot;date-parts&quot;:[[2014]]},&quot;page&quot;:&quot;548-552&quot;,&quot;abstract&quot;:&quo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quot;,&quot;issue&quot;:&quot;6170&quot;,&quot;volume&quot;:&quot;343&quot;,&quot;container-title-short&quot;:&quot;Science (1979)&quot;},&quot;uris&quot;:[&quot;http://www.mendeley.com/documents/?uuid=0b65d423-07e1-40f3-957d-7ce1c2dc6f03&quot;],&quot;isTemporary&quot;:false,&quot;legacyDesktopId&quot;:&quot;0b65d423-07e1-40f3-957d-7ce1c2dc6f03&quot;}]},{&quot;citationID&quot;:&quot;MENDELEY_CITATION_d7a982df-cd1c-4dec-9e5e-8e80fd0739c1&quot;,&quot;properties&quot;:{&quot;noteIndex&quot;:0},&quot;isEdited&quot;:false,&quot;manualOverride&quot;:{&quot;citeprocText&quot;:&quot;(Wei et al., 2020b)&quot;,&quot;isManuallyOverridden&quot;:false,&quot;manualOverrideText&quot;:&quot;&quot;},&quot;citationTag&quot;:&quot;MENDELEY_CITATION_v3_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&quot;,&quot;citationItems&quot;:[{&quot;id&quot;:&quot;99d9a641-7926-3b9d-8438-0ae415aacd43&quot;,&quot;itemData&quot;:{&quot;type&quot;:&quot;article-journal&quot;,&quot;id&quot;:&quot;99d9a641-7926-3b9d-8438-0ae415aacd43&quot;,&quot;title&quot;:&quot;Nonlinear dynamics of fires in Africa over recent decades controlled by precipitation&quot;,&quot;author&quot;:[{&quot;family&quot;:&quot;Wei&quot;,&quot;given&quot;:&quot;Fangli&quot;,&quot;parse-names&quot;:false,&quot;dropping-particle&quot;:&quot;&quot;,&quot;non-dropping-particle&quot;:&quot;&quot;},{&quot;family&quot;:&quot;Wang&quot;,&quot;given&quot;:&quot;Shuai&quot;,&quot;parse-names&quot;:false,&quot;dropping-particle&quot;:&quot;&quot;,&quot;non-dropping-particle&quot;:&quot;&quot;},{&quot;family&quot;:&quot;Fu&quot;,&quot;given&quot;:&quot;Bojie&quot;,&quot;parse-names&quot;:false,&quot;dropping-particle&quot;:&quot;&quot;,&quot;non-dropping-particle&quot;:&quot;&quot;},{&quot;family&quot;:&quot;Brandt&quot;,&quot;given&quot;:&quot;Martin&quot;,&quot;parse-names&quot;:false,&quot;dropping-particle&quot;:&quot;&quot;,&quot;non-dropping-particle&quot;:&quot;&quot;},{&quot;family&quot;:&quot;Pan&quot;,&quot;given&quot;:&quot;Naiqing&quot;,&quot;parse-names&quot;:false,&quot;dropping-particle&quot;:&quot;&quot;,&quot;non-dropping-particle&quot;:&quot;&quot;},{&quot;family&quot;:&quot;Wang&quot;,&quot;given&quot;:&quot;Cong&quot;,&quot;parse-names&quot;:false,&quot;dropping-particle&quot;:&quot;&quot;,&quot;non-dropping-particle&quot;:&quot;&quot;},{&quot;family&quot;:&quot;Fensholt&quot;,&quot;given&quot;:&quot;Rasmus&quot;,&quot;parse-names&quot;:false,&quot;dropping-particle&quot;:&quot;&quot;,&quot;non-dropping-particle&quot;:&quot;&quot;}],&quot;container-title&quot;:&quot;Global Change Biology&quot;,&quot;DOI&quot;:&quot;10.1111/gcb.15190&quot;,&quot;ISSN&quot;:&quot;13652486&quot;,&quot;PMID&quot;:&quot;32445413&quot;,&quot;issued&quot;:{&quot;date-parts&quot;:[[2020]]},&quot;page&quot;:&quot;4495-4505&quot;,&quot;abstract&quot;:&quot;Dynamics of fires in Africa are of critical importance for understanding changes in ecosystem properties and effects on the global carbon cycle. Given increasing fire risk from projected warming on the one hand and a documented human-driven decline in fires on the other, it is still unknown how the complex interplay between climate and human factors affects recent changes of fires in Africa. Moreover, the impact of recent strong El Niño events on fire dynamics is not yet known. By applying an ensemble empirical mode decomposition method to satellite-derived fire burned area, we investigated the spatio-temporal evolution of fires in Africa over 2001–2016 and identified the potential dominant drivers. Our results show an overall decline of fire rates, which is continuous over the time period and mainly caused by cropland expansion in northern sub-Saharan Africa. However, we also find that years of high precipitation have caused an initial increase in fire rates in southern Africa, which reversed to a decline in later years. This decline is caused by a high frequency of dry years leading to very low fuel loads, suggesting that recent drought causes a general reduction of burned areas, in particular in xeric savannas. In some mesic regions (10°–15°S), solar radiation and increased temperature caused increase in fires. These findings show that climate change overrules the impact of human expansion on fire rates at the continental scale in Africa, reducing the fire risk.&quot;,&quot;issue&quot;:&quot;8&quot;,&quot;volume&quot;:&quot;26&quot;,&quot;container-title-short&quot;:&quot;Glob Chang Biol&quot;},&quot;uris&quot;:[&quot;http://www.mendeley.com/documents/?uuid=e60edf9c-5623-48aa-b12a-ce68e4f56f1a&quot;],&quot;isTemporary&quot;:false,&quot;legacyDesktopId&quot;:&quot;e60edf9c-5623-48aa-b12a-ce68e4f56f1a&quot;}]},{&quot;citationID&quot;:&quot;MENDELEY_CITATION_7a711e5c-ea8b-47a9-8092-9946e9e8af16&quot;,&quot;properties&quot;:{&quot;noteIndex&quot;:0},&quot;isEdited&quot;:false,&quot;manualOverride&quot;:{&quot;citeprocText&quot;:&quot;(Alvarado et al., 2020)&quot;,&quot;isManuallyOverridden&quot;:false,&quot;manualOverrideText&quot;:&quot;&quot;},&quot;citationTag&quot;:&quot;MENDELEY_CITATION_v3_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&quot;,&quot;citationItems&quot;:[{&quot;id&quot;:&quot;a38ad4ee-cb1d-310c-a3af-9d8228ed7a08&quot;,&quot;itemData&quot;:{&quot;type&quot;:&quot;article-journal&quot;,&quot;id&quot;:&quot;a38ad4ee-cb1d-310c-a3af-9d8228ed7a08&quot;,&quot;title&quot;:&quot;Thresholds of fire response to moisture and fuel load differ between tropical savannas and grasslands across continents&quot;,&quot;author&quot;:[{&quot;family&quot;:&quot;Alvarado&quot;,&quot;given&quot;:&quot;Swanni T.&quot;,&quot;parse-names&quot;:false,&quot;dropping-particle&quot;:&quot;&quot;,&quot;non-dropping-particle&quot;:&quot;&quot;},{&quot;family&quot;:&quot;Andela&quot;,&quot;given&quot;:&quot;Niels&quot;,&quot;parse-names&quot;:false,&quot;dropping-particle&quot;:&quot;&quot;,&quot;non-dropping-particle&quot;:&quot;&quot;},{&quot;family&quot;:&quot;Silva&quot;,&quot;given&quot;:&quot;Thiago S.F.&quot;,&quot;parse-names&quot;:false,&quot;dropping-particle&quot;:&quot;&quot;,&quot;non-dropping-particle&quot;:&quot;&quot;},{&quot;family&quot;:&quot;Archibald&quot;,&quot;given&quot;:&quot;Sally&quot;,&quot;parse-names&quot;:false,&quot;dropping-particle&quot;:&quot;&quot;,&quot;non-dropping-particle&quot;:&quot;&quot;}],&quot;container-title&quot;:&quot;Global Ecology and Biogeography&quot;,&quot;DOI&quot;:&quot;10.1111/geb.13034&quot;,&quot;ISSN&quot;:&quot;14668238&quot;,&quot;issued&quot;:{&quot;date-parts&quot;:[[2020]]},&quot;page&quot;:&quot;331-344&quot;,&quot;abstract&quot;:&quot;Aim: An emerging framework for tropical ecosystems states that fire activity is either “fuel build-up limited” or “fuel moisture limited”, that is, as you move up along rainfall gradients, the major control on fire occurrence switches from being the amount of fuel, to the moisture content of the fuel. Here we used remotely sensed datasets to assess whether interannual variability of burned area is better explained by annual rainfall totals driving fuel build-up, or by dry season rainfall driving fuel moisture. Location: Pantropical savannas and grasslands. Time period: 2002–2016. Methods: We explored the response of annual burned area to interannual variability in rainfall. We compared several linear models to understand how fuel moisture and fuel build-up effect (accumulated rainfall during 6 and 24 months prior to the end of the burning season, respectively) determine the interannual variability of burned area and explore if tree cover, dry season duration and human activity modified these relationships. Results: Fuel and moisture controls on fire occurrence in tropical savannas varied across continents. Only 24% of South American savannas were fuel build-up limited against 61% of Australian savannas and 47% of African savannas. On average, South America switched from fuel limited to moisture limited at 500 mm/year, Africa at 800 mm/year and Australia at 1,000 mm/year of mean annual rainfall. Main conclusions: In 42% of tropical savannas (accounting for 41% of current area burned) increased drought and higher temperatures will not increase fire, but there are savannas, particularly in South America, that are likely to become more flammable with increasing temperatures. These findings highlight that we cannot transfer knowledge of fire responses to global change across ecosystems/regions—local solutions to local fire management issues are required, and different tropical savanna regions may show contrasting responses to the same drivers of global change.&quot;,&quot;issue&quot;:&quot;2&quot;,&quot;volume&quot;:&quot;29&quot;,&quot;container-title-short&quot;:&quot;&quot;},&quot;uris&quot;:[&quot;http://www.mendeley.com/documents/?uuid=27faa311-ed53-4cd6-ae04-62b20bc7fecf&quot;],&quot;isTemporary&quot;:false,&quot;legacyDesktopId&quot;:&quot;27faa311-ed53-4cd6-ae04-62b20bc7fecf&quot;}]},{&quot;citationID&quot;:&quot;MENDELEY_CITATION_e3cd396f-f945-41c8-9a76-77ef037fdbc7&quot;,&quot;properties&quot;:{&quot;noteIndex&quot;:0},&quot;isEdited&quot;:false,&quot;manualOverride&quot;:{&quot;citeprocText&quot;:&quot;(van Der Werf et al., 2008)&quot;,&quot;isManuallyOverridden&quot;:true,&quot;manualOverrideText&quot;:&quot;(van der Werf et al., 2008)&quot;},&quot;citationTag&quot;:&quot;MENDELEY_CITATION_v3_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&quot;,&quot;citationItems&quot;:[{&quot;id&quot;:&quot;f4507732-6bc1-3534-a260-5b2a1e419407&quot;,&quot;itemData&quot;:{&quot;type&quot;:&quot;article-journal&quot;,&quot;id&quot;:&quot;f4507732-6bc1-3534-a260-5b2a1e419407&quot;,&quot;title&quot;:&quot;Climate controls on the variability of fires in the tropics and subtropics&quot;,&quot;author&quot;:[{&quot;family&quot;:&quot;Werf&quot;,&quot;given&quot;:&quot;Guido R.&quot;,&quot;parse-names&quot;:false,&quot;dropping-particle&quot;:&quot;&quot;,&quot;non-dropping-particle&quot;:&quot;van der&quot;},{&quot;family&quot;:&quot;Randerson&quot;,&quot;given&quot;:&quot;James T.&quot;,&quot;parse-names&quot;:false,&quot;dropping-particle&quot;:&quot;&quot;,&quot;non-dropping-particle&quot;:&quot;&quot;},{&quot;family&quot;:&quot;Giglio&quot;,&quot;given&quot;:&quot;Louis&quot;,&quot;parse-names&quot;:false,&quot;dropping-particle&quot;:&quot;&quot;,&quot;non-dropping-particle&quot;:&quot;&quot;},{&quot;family&quot;:&quot;Gobron&quot;,&quot;given&quot;:&quot;Nadine&quot;,&quot;parse-names&quot;:false,&quot;dropping-particle&quot;:&quot;&quot;,&quot;non-dropping-particle&quot;:&quot;&quot;},{&quot;family&quot;:&quot;Dolman&quot;,&quot;given&quot;:&quot;A. J.&quot;,&quot;parse-names&quot;:false,&quot;dropping-particle&quot;:&quot;&quot;,&quot;non-dropping-particle&quot;:&quot;&quot;}],&quot;container-title&quot;:&quot;Global Biogeochemical Cycles&quot;,&quot;DOI&quot;:&quot;10.1029/2007GB003122&quot;,&quot;ISSN&quot;:&quot;08866236&quot;,&quot;issued&quot;:{&quot;date-parts&quot;:[[2008]]},&quot;page&quot;:&quot;1-13&quot;,&quot;abstract&quot;:&quot;In the tropics and subtropics, most fires are set by humans for a wide range of purposes. The total amount of burned area and fire emissions reflects a complex interaction between climate, human activities, and ecosystem processes. Here we used satellite-derived data sets of active fire detections, burned area, precipitation, and the fraction of absorbed photosynthetically active radiation (fAPAR) during 1998-2006 to investigate this interaction. The total number of active fire detections and burned area was highest in areas that had intermediate levels of both net primary production (NPP; 500-1000 g C m -2 year-1) and precipitation (1000-2000 mm year -1), with limits imposed by the length of the fire season in wetter ecosystems and by fuel availability in drier ecosystems. For wet tropical forest ecosystems we developed a metric called the fire-driven deforestation potential (FDP) that integrated information about the length and intensity of the dry season. FDP partly explained the spatial and interannual pattern of fire-driven deforestation across tropical forest regions. This climate-fire link in combination with higher precipitation rates in the interior of the Amazon suggests that a negative feedback on fire-driven deforestation may exist as the deforestation front moves inward. In Africa, compared to the Amazon, a smaller fraction of the tropical forest area had FDP values sufficiently low to prevent fire use. Tropical forests in mainland Asia were highly vulnerable to fire, whereas forest areas in equatorial Asia had, on average, the lowest FDP values. FDP and active fire detections substantially increased in forests of equatorial Asia, however, during El Niño periods. In contrast to these wet ecosystems we found a positive relationship between precipitation, fAPAR, NPP, and active fire detections in arid ecosystems. This relationship was strongest in northern Australia and arid regions in Africa. Highest levels of fire activity were observed in savanna ecosystems that were limited neither by fuel nor by the length of the fire season. However, relations between annual precipitation or drought extent and active fire detections were often poor here, hinting at the important role of other factors, including land managers, in controlling spatial and temporal variability of fire. Copyright 2008 by the American Geophysical Union.&quot;,&quot;issue&quot;:&quot;3&quot;,&quot;volume&quot;:&quot;22&quot;,&quot;container-title-short&quot;:&quot;Global Biogeochem Cycles&quot;},&quot;uris&quot;:[&quot;http://www.mendeley.com/documents/?uuid=59bb17e8-c460-4070-b99d-93276d12c7df&quot;],&quot;isTemporary&quot;:false,&quot;legacyDesktopId&quot;:&quot;59bb17e8-c460-4070-b99d-93276d12c7df&quot;}]},{&quot;citationID&quot;:&quot;MENDELEY_CITATION_77ef23a4-200e-4e2e-80d1-a902e14942b9&quot;,&quot;properties&quot;:{&quot;noteIndex&quot;:0},&quot;isEdited&quot;:false,&quot;manualOverride&quot;:{&quot;citeprocText&quot;:&quot;(Archibald et al., 2010a)&quot;,&quot;isManuallyOverridden&quot;:false,&quot;manualOverrideText&quot;:&quot;&quot;},&quot;citationTag&quot;:&quot;MENDELEY_CITATION_v3_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&quot;,&quot;citationItems&quot;:[{&quot;id&quot;:&quot;2f78496f-809a-3d27-b4f3-8b89ffe4b3c0&quot;,&quot;itemData&quot;:{&quot;type&quot;:&quot;article-journal&quot;,&quot;id&quot;:&quot;2f78496f-809a-3d27-b4f3-8b89ffe4b3c0&quot;,&quot;title&quot;:&quot;Climate and the inter-annual variability of fire in southern Africa: A meta-analysis using long-term field data and satellite-derived burnt area data&quot;,&quot;author&quot;:[{&quot;family&quot;:&quot;Archibald&quot;,&quot;given&quot;:&quot;S.&quot;,&quot;parse-names&quot;:false,&quot;dropping-particle&quot;:&quot;&quot;,&quot;non-dropping-particle&quot;:&quot;&quot;},{&quot;family&quot;:&quot;Nickless&quot;,&quot;given&quot;:&quot;A.&quot;,&quot;parse-names&quot;:false,&quot;dropping-particle&quot;:&quot;&quot;,&quot;non-dropping-particle&quot;:&quot;&quot;},{&quot;family&quot;:&quot;Govender&quot;,&quot;given&quot;:&quot;N.&quot;,&quot;parse-names&quot;:false,&quot;dropping-particle&quot;:&quot;&quot;,&quot;non-dropping-particle&quot;:&quot;&quot;},{&quot;family&quot;:&quot;Scholes&quot;,&quot;given&quot;:&quot;R. J.&quot;,&quot;parse-names&quot;:false,&quot;dropping-particle&quot;:&quot;&quot;,&quot;non-dropping-particle&quot;:&quot;&quot;},{&quot;family&quot;:&quot;Lehsten&quot;,&quot;given&quot;:&quot;V.&quot;,&quot;parse-names&quot;:false,&quot;dropping-particle&quot;:&quot;&quot;,&quot;non-dropping-particle&quot;:&quot;&quot;}],&quot;container-title&quot;:&quot;Global Ecology and Biogeography&quot;,&quot;DOI&quot;:&quot;10.1111/j.1466-8238.2010.00568.x&quot;,&quot;ISSN&quot;:&quot;1466822X&quot;,&quot;issued&quot;:{&quot;date-parts&quot;:[[2010]]},&quot;page&quot;:&quot;794-809&quot;,&quot;abstract&quot;:&quot;Aim This study investigates inter-annual variability in burnt area in southern Africa and the extent to which climate is responsible for this variation. We compare data from long-term field sites across the region with remotely sensed burnt area data to test whether it is possible to develop a general model.Location Africa south of the equator.Methods Linear mixed effects models were used to determine the effect of rainfall, seasonality and fire weather in driving variation in fire extent between years, and to test whether the effect of these variables changes across the subcontinent and in areas more and less impacted by human activities.Results A simple model including rainfall and seasonality explained 40% of the variance in burnt area between years across 10 different protected areas on the subcontinent, but this model, when applied regionally, indicated that climate had less impact on year-to-year variation in burnt area than would be expected. It was possible to demonstrate that the relative importance of rainfall and seasonality changed as one moved from dry to wetter systems, but most noticeable was the reduction in climatically driven variability of fire outside protected areas. Inter-annual variability is associated with the occurrence of large fires, and large fires are only found in areas with low human impact.Main conclusions This research gives the first data-driven analysis of fire-climate interactions in southern Africa. The regional analysis shows that human impact on fire regimes is substantial and acts to limit the effect of climate in driving variation between years. This is in contrast to patterns in protected areas, where variation in accumulated rainfall and the length of the dry season influence the annual area burnt. Global models which assume strong links between fire and climate need to be re-assessed in systems with high human impact. © 2010 Blackwell Publishing Ltd.&quot;,&quot;issue&quot;:&quot;6&quot;,&quot;volume&quot;:&quot;19&quot;,&quot;container-title-short&quot;:&quot;&quot;},&quot;uris&quot;:[&quot;http://www.mendeley.com/documents/?uuid=13902ba2-d7ea-48f1-997e-468517b80e50&quot;],&quot;isTemporary&quot;:false,&quot;legacyDesktopId&quot;:&quot;13902ba2-d7ea-48f1-997e-468517b80e50&quot;}]},{&quot;citationID&quot;:&quot;MENDELEY_CITATION_02d15182-6121-4ebd-acd2-96809954ded8&quot;,&quot;properties&quot;:{&quot;noteIndex&quot;:0},&quot;isEdited&quot;:false,&quot;manualOverride&quot;:{&quot;citeprocText&quot;:&quot;(Archibald et al., 2009)&quot;,&quot;isManuallyOverridden&quot;:false,&quot;manualOverrideText&quot;:&quot;&quot;},&quot;citationTag&quot;:&quot;MENDELEY_CITATION_v3_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&quot;,&quot;citationItems&quot;:[{&quot;id&quot;:&quot;ccee6338-2d1f-3b8a-b3a5-f99a3034a002&quot;,&quot;itemData&quot;:{&quot;type&quot;:&quot;article-journal&quot;,&quot;id&quot;:&quot;ccee6338-2d1f-3b8a-b3a5-f99a3034a002&quot;,&quot;title&quot;:&quot;What limits fire? An examination of drivers of burnt area in Southern Africa&quot;,&quot;author&quot;:[{&quot;family&quot;:&quot;Archibald&quot;,&quot;given&quot;:&quot;Sally&quot;,&quot;parse-names&quot;:false,&quot;dropping-particle&quot;:&quot;&quot;,&quot;non-dropping-particle&quot;:&quot;&quot;},{&quot;family&quot;:&quot;Roy&quot;,&quot;given&quot;:&quot;David P.&quot;,&quot;parse-names&quot;:false,&quot;dropping-particle&quot;:&quot;&quot;,&quot;non-dropping-particle&quot;:&quot;&quot;},{&quot;family&quot;:&quot;Wilgen&quot;,&quot;given&quot;:&quot;Brian W.&quot;,&quot;parse-names&quot;:false,&quot;dropping-particle&quot;:&quot;&quot;,&quot;non-dropping-particle&quot;:&quot;van&quot;},{&quot;family&quot;:&quot;Scholes&quot;,&quot;given&quot;:&quot;Robert J.&quot;,&quot;parse-names&quot;:false,&quot;dropping-particle&quot;:&quot;&quot;,&quot;non-dropping-particle&quot;:&quot;&quot;}],&quot;container-title&quot;:&quot;Global Change Biology&quot;,&quot;DOI&quot;:&quot;10.1111/j.1365-2486.2008.01754.x&quot;,&quot;ISBN&quot;:&quot;1365-2486&quot;,&quot;ISSN&quot;:&quot;13541013&quot;,&quot;PMID&quot;:&quot;236&quot;,&quot;issued&quot;:{&quot;date-parts&quot;:[[2009]]},&quot;page&quot;:&quot;613-630&quot;,&quot;abstract&quot;:&quot;The factors controlling the extent of fire in Africa south of the equator were investigated using moderate resolution (500 m) satellite-derived burned area maps and spatial data on the environmental factors thought to affect burnt area. A random forest regression tree procedure was used to determine the relative importance of each factor in explaining the burned area fraction and to address hypotheses concerned with human and climatic influences on the drivers of burnt area. The model explained 68% of the variance in burnt area. Tree cover, rainfall in the previous 2 years, and rainfall seasonality were the most important predictors. Human activities – represented by grazing, roads per unit area, population density, and cultivation fraction – were also shown to affect burnt area, but only in parts of the continent with specific climatic conditions, and often in ways counter to the prevailing wisdom that more human activity leads to more fire. The analysis found no indication that ignitions were limiting total burnt area on the continent, and most of the spatial variation was due to variation in fuel load and moisture. Split conditions from the regression tree identified (i) low rainfall regions, where fire is rare; (ii) regions where fire is under human control; and (iii) higher rainfall regions where burnt area is determined by rainfall seasonality. This study provides insights into the physical, climatic, and human drivers of fire and their relative importance across southern Africa, and represents the beginnings of a predictive framework for burnt area.&quot;,&quot;issue&quot;:&quot;3&quot;,&quot;volume&quot;:&quot;15&quot;,&quot;container-title-short&quot;:&quot;Glob Chang Biol&quot;},&quot;uris&quot;:[&quot;http://www.mendeley.com/documents/?uuid=9f6df817-1f43-43c3-9197-ea4eef44380a&quot;],&quot;isTemporary&quot;:false,&quot;legacyDesktopId&quot;:&quot;9f6df817-1f43-43c3-9197-ea4eef44380a&quot;}]},{&quot;citationID&quot;:&quot;MENDELEY_CITATION_348e9bc8-2707-4063-ab9a-097c80c3c04f&quot;,&quot;properties&quot;:{&quot;noteIndex&quot;:0},&quot;isEdited&quot;:false,&quot;manualOverride&quot;:{&quot;citeprocText&quot;:&quot;(Hansen et al., 2013; Veldman et al., 2015b)&quot;,&quot;isManuallyOverridden&quot;:false,&quot;manualOverrideText&quot;:&quot;&quot;},&quot;citationTag&quot;:&quot;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&quot;,&quot;citationItems&quot;:[{&quot;id&quot;:&quot;677a4a29-7761-3924-8f27-6f80614ce8d3&quot;,&quot;itemData&quot;:{&quot;type&quot;:&quot;article-journal&quot;,&quot;id&quot;:&quot;677a4a29-7761-3924-8f27-6f80614ce8d3&quot;,&quot;title&quot;:&quot;Where Tree Planting and Forest Expansion are Bad for Biodiversity and Ecosystem Services&quot;,&quot;author&quot;:[{&quot;family&quot;:&quot;Veldman&quot;,&quot;given&quot;:&quot;Joseph W.&quot;,&quot;parse-names&quot;:false,&quot;dropping-particle&quot;:&quot;&quot;,&quot;non-dropping-particle&quot;:&quot;&quot;},{&quot;family&quot;:&quot;Overbeck&quot;,&quot;given&quot;:&quot;Gerhard E.&quot;,&quot;parse-names&quot;:false,&quot;dropping-particle&quot;:&quot;&quot;,&quot;non-dropping-particle&quot;:&quot;&quot;},{&quot;family&quot;:&quot;Negreiros&quot;,&quot;given&quot;:&quot;Daniel&quot;,&quot;parse-names&quot;:false,&quot;dropping-particle&quot;:&quot;&quot;,&quot;non-dropping-particle&quot;:&quot;&quot;},{&quot;family&quot;:&quot;Mahy&quot;,&quot;given&quot;:&quot;Gregory&quot;,&quot;parse-names&quot;:false,&quot;dropping-particle&quot;:&quot;&quot;,&quot;non-dropping-particle&quot;:&quot;&quot;},{&quot;family&quot;:&quot;Stradic&quot;,&quot;given&quot;:&quot;Soizig&quot;,&quot;parse-names&quot;:false,&quot;dropping-particle&quot;:&quot;&quot;,&quot;non-dropping-particle&quot;:&quot;le&quot;},{&quot;family&quot;:&quot;Fernandes&quot;,&quot;given&quot;:&quot;G. Wilson&quot;,&quot;parse-names&quot;:false,&quot;dropping-particle&quot;:&quot;&quot;,&quot;non-dropping-particle&quot;:&quot;&quot;},{&quot;family&quot;:&quot;Durigan&quot;,&quot;given&quot;:&quot;Giselda&quot;,&quot;parse-names&quot;:false,&quot;dropping-particle&quot;:&quot;&quot;,&quot;non-dropping-particle&quot;:&quot;&quot;},{&quot;family&quot;:&quot;Buisson&quot;,&quot;given&quot;:&quot;Elise&quot;,&quot;parse-names&quot;:false,&quot;dropping-particle&quot;:&quot;&quot;,&quot;non-dropping-particle&quot;:&quot;&quot;},{&quot;family&quot;:&quot;Putz&quot;,&quot;given&quot;:&quot;Francis E.&quot;,&quot;parse-names&quot;:false,&quot;dropping-particle&quot;:&quot;&quot;,&quot;non-dropping-particle&quot;:&quot;&quot;},{&quot;family&quot;:&quot;Bond&quot;,&quot;given&quot;:&quot;William J.&quot;,&quot;parse-names&quot;:false,&quot;dropping-particle&quot;:&quot;&quot;,&quot;non-dropping-particle&quot;:&quot;&quot;}],&quot;container-title&quot;:&quot;BioScience&quot;,&quot;DOI&quot;:&quot;10.1093/biosci/biv118&quot;,&quot;ISBN&quot;:&quot;0006-3568&quot;,&quot;ISSN&quot;:&quot;15253244&quot;,&quot;issued&quot;:{&quot;date-parts&quot;:[[2015]]},&quot;page&quot;:&quot;1011-1018&quot;,&quot;abstract&quot;:&quot;Misperceptions about the world’s grassy biomes contribute to their alarming rates of loss due to conversion for agriculture and tree plantations, as well as to forest encroachment. To illustrate the causes and consequences of these misperceptions, we show that the World Resources Institute and the International Union for Conservation of Nature misidentified 9 million square kilometers of ancient grassy biomes as providing “opportunities” for forest restoration. Establishment of forests in these grasslands, savannas, and open-canopy woodlands would devastate biodiversity and ecosystem services. Such undesired outcomes are avoidable if the distinct ecologies and conservation needs of forest and grassy biomes become better integrated into science and policy. To start with, scientists should create maps that accurately depict grassy biomes at global and landscape scales. It is also crucial that international environmental agreements (e.g., the United Nations Framework Convention on Climate Change) formally recognize grassy biomes and their environmental values.&quot;,&quot;issue&quot;:&quot;10&quot;,&quot;volume&quot;:&quot;65&quot;,&quot;container-title-short&quot;:&quot;Bioscience&quot;},&quot;uris&quot;:[&quot;http://www.mendeley.com/documents/?uuid=72634f9f-e095-4e30-af07-75abe4135810&quot;],&quot;isTemporary&quot;:false,&quot;legacyDesktopId&quot;:&quot;72634f9f-e095-4e30-af07-75abe4135810&quot;},{&quot;id&quot;:&quot;b015ee0a-b0bc-37d0-a80b-7299930486b8&quot;,&quot;itemData&quot;:{&quot;type&quot;:&quot;article-journal&quot;,&quot;id&quot;:&quot;b015ee0a-b0bc-37d0-a80b-7299930486b8&quot;,&quot;title&quot;:&quot;High-Resolution Global Maps of 21st-Century Forest Cover Change&quot;,&quot;author&quot;:[{&quot;family&quot;:&quot;Hansen&quot;,&quot;given&quot;:&quot;M C&quot;,&quot;parse-names&quot;:false,&quot;dropping-particle&quot;:&quot;&quot;,&quot;non-dropping-particle&quot;:&quot;&quot;},{&quot;family&quot;:&quot;Potapov&quot;,&quot;given&quot;:&quot;P.&quot;,&quot;parse-names&quot;:false,&quot;dropping-particle&quot;:&quot;v.&quot;,&quot;non-dropping-particle&quot;:&quot;&quot;},{&quot;family&quot;:&quot;Moore&quot;,&quot;given&quot;:&quot;R.&quot;,&quot;parse-names&quot;:false,&quot;dropping-particle&quot;:&quot;&quot;,&quot;non-dropping-particle&quot;:&quot;&quot;},{&quot;family&quot;:&quot;Hancher&quot;,&quot;given&quot;:&quot;M.&quot;,&quot;parse-names&quot;:false,&quot;dropping-particle&quot;:&quot;&quot;,&quot;non-dropping-particle&quot;:&quot;&quot;},{&quot;family&quot;:&quot;Turubanova&quot;,&quot;given&quot;:&quot;S. A.&quot;,&quot;parse-names&quot;:false,&quot;dropping-particle&quot;:&quot;&quot;,&quot;non-dropping-particle&quot;:&quot;&quot;},{&quot;family&quot;:&quot;Tyukavina&quot;,&quot;given&quot;:&quot;A.&quot;,&quot;parse-names&quot;:false,&quot;dropping-particle&quot;:&quot;&quot;,&quot;non-dropping-particle&quot;:&quot;&quot;},{&quot;family&quot;:&quot;Thau&quot;,&quot;given&quot;:&quot;D.&quot;,&quot;parse-names&quot;:false,&quot;dropping-particle&quot;:&quot;&quot;,&quot;non-dropping-particle&quot;:&quot;&quot;},{&quot;family&quot;:&quot;Stehman&quot;,&quot;given&quot;:&quot;S.&quot;,&quot;parse-names&quot;:false,&quot;dropping-particle&quot;:&quot;v.&quot;,&quot;non-dropping-particle&quot;:&quot;&quot;},{&quot;family&quot;:&quot;Goetz&quot;,&quot;given&quot;:&quot;S. J.&quot;,&quot;parse-names&quot;:false,&quot;dropping-particle&quot;:&quot;&quot;,&quot;non-dropping-particle&quot;:&quot;&quot;},{&quot;family&quot;:&quot;Loveland&quot;,&quot;given&quot;:&quot;T. R.&quot;,&quot;parse-names&quot;:false,&quot;dropping-particle&quot;:&quot;&quot;,&quot;non-dropping-particle&quot;:&quot;&quot;},{&quot;family&quot;:&quot;Kommareddy&quot;,&quot;given&quot;:&quot;A.&quot;,&quot;parse-names&quot;:false,&quot;dropping-particle&quot;:&quot;&quot;,&quot;non-dropping-particle&quot;:&quot;&quot;},{&quot;family&quot;:&quot;Egorov&quot;,&quot;given&quot;:&quot;A.&quot;,&quot;parse-names&quot;:false,&quot;dropping-particle&quot;:&quot;&quot;,&quot;non-dropping-particle&quot;:&quot;&quot;},{&quot;family&quot;:&quot;Chini&quot;,&quot;given&quot;:&quot;L.&quot;,&quot;parse-names&quot;:false,&quot;dropping-particle&quot;:&quot;&quot;,&quot;non-dropping-particle&quot;:&quot;&quot;},{&quot;family&quot;:&quot;Justice&quot;,&quot;given&quot;:&quot;C. O.&quot;,&quot;parse-names&quot;:false,&quot;dropping-particle&quot;:&quot;&quot;,&quot;non-dropping-particle&quot;:&quot;&quot;},{&quot;family&quot;:&quot;Townshend&quot;,&quot;given&quot;:&quot;J. R. G.&quot;,&quot;parse-names&quot;:false,&quot;dropping-particle&quot;:&quot;&quot;,&quot;non-dropping-particle&quot;:&quot;&quot;}],&quot;container-title&quot;:&quot;Science&quot;,&quot;DOI&quot;:&quot;10.1126/science.1244693&quot;,&quot;ISBN&quot;:&quot;1095-9203 (Electronic)\\n0036-8075 (Linking)&quot;,&quot;ISSN&quot;:&quot;0036-8075&quot;,&quot;PMID&quot;:&quot;24233722&quot;,&quot;URL&quot;:&quot;http://www.sciencemag.org/cgi/doi/10.1126/science.1244693&quot;,&quot;issued&quot;:{&quot;date-parts&quot;:[[2013]]},&quot;page&quot;:&quot;850-853&quot;,&quot;abstract&quot;:&quo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quot;,&quot;issue&quot;:&quot;6160&quot;,&quot;volume&quot;:&quot;342&quot;,&quot;container-title-short&quot;:&quot;Science (1979)&quot;},&quot;uris&quot;:[&quot;http://www.mendeley.com/documents/?uuid=87bbc4d8-5ca7-4f0c-abba-5c8b34dd4384&quot;],&quot;isTemporary&quot;:false,&quot;legacyDesktopId&quot;:&quot;87bbc4d8-5ca7-4f0c-abba-5c8b34dd4384&quot;}]},{&quot;citationID&quot;:&quot;MENDELEY_CITATION_d13b3fc1-9443-4100-9087-34685ed6c8c2&quot;,&quot;properties&quot;:{&quot;noteIndex&quot;:0},&quot;isEdited&quot;:false,&quot;manualOverride&quot;:{&quot;citeprocText&quot;:&quot;(Alvarado et al., 2020; Andela et al., 2017)&quot;,&quot;isManuallyOverridden&quot;:false,&quot;manualOverrideText&quot;:&quot;&quot;},&quot;citationTag&quot;:&quot;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&quot;,&quot;citationItems&quot;:[{&quot;id&quot;:&quot;a38ad4ee-cb1d-310c-a3af-9d8228ed7a08&quot;,&quot;itemData&quot;:{&quot;type&quot;:&quot;article-journal&quot;,&quot;id&quot;:&quot;a38ad4ee-cb1d-310c-a3af-9d8228ed7a08&quot;,&quot;title&quot;:&quot;Thresholds of fire response to moisture and fuel load differ between tropical savannas and grasslands across continents&quot;,&quot;author&quot;:[{&quot;family&quot;:&quot;Alvarado&quot;,&quot;given&quot;:&quot;Swanni T.&quot;,&quot;parse-names&quot;:false,&quot;dropping-particle&quot;:&quot;&quot;,&quot;non-dropping-particle&quot;:&quot;&quot;},{&quot;family&quot;:&quot;Andela&quot;,&quot;given&quot;:&quot;Niels&quot;,&quot;parse-names&quot;:false,&quot;dropping-particle&quot;:&quot;&quot;,&quot;non-dropping-particle&quot;:&quot;&quot;},{&quot;family&quot;:&quot;Silva&quot;,&quot;given&quot;:&quot;Thiago S.F.&quot;,&quot;parse-names&quot;:false,&quot;dropping-particle&quot;:&quot;&quot;,&quot;non-dropping-particle&quot;:&quot;&quot;},{&quot;family&quot;:&quot;Archibald&quot;,&quot;given&quot;:&quot;Sally&quot;,&quot;parse-names&quot;:false,&quot;dropping-particle&quot;:&quot;&quot;,&quot;non-dropping-particle&quot;:&quot;&quot;}],&quot;container-title&quot;:&quot;Global Ecology and Biogeography&quot;,&quot;DOI&quot;:&quot;10.1111/geb.13034&quot;,&quot;ISSN&quot;:&quot;14668238&quot;,&quot;issued&quot;:{&quot;date-parts&quot;:[[2020]]},&quot;page&quot;:&quot;331-344&quot;,&quot;abstract&quot;:&quot;Aim: An emerging framework for tropical ecosystems states that fire activity is either “fuel build-up limited” or “fuel moisture limited”, that is, as you move up along rainfall gradients, the major control on fire occurrence switches from being the amount of fuel, to the moisture content of the fuel. Here we used remotely sensed datasets to assess whether interannual variability of burned area is better explained by annual rainfall totals driving fuel build-up, or by dry season rainfall driving fuel moisture. Location: Pantropical savannas and grasslands. Time period: 2002–2016. Methods: We explored the response of annual burned area to interannual variability in rainfall. We compared several linear models to understand how fuel moisture and fuel build-up effect (accumulated rainfall during 6 and 24 months prior to the end of the burning season, respectively) determine the interannual variability of burned area and explore if tree cover, dry season duration and human activity modified these relationships. Results: Fuel and moisture controls on fire occurrence in tropical savannas varied across continents. Only 24% of South American savannas were fuel build-up limited against 61% of Australian savannas and 47% of African savannas. On average, South America switched from fuel limited to moisture limited at 500 mm/year, Africa at 800 mm/year and Australia at 1,000 mm/year of mean annual rainfall. Main conclusions: In 42% of tropical savannas (accounting for 41% of current area burned) increased drought and higher temperatures will not increase fire, but there are savannas, particularly in South America, that are likely to become more flammable with increasing temperatures. These findings highlight that we cannot transfer knowledge of fire responses to global change across ecosystems/regions—local solutions to local fire management issues are required, and different tropical savanna regions may show contrasting responses to the same drivers of global change.&quot;,&quot;issue&quot;:&quot;2&quot;,&quot;volume&quot;:&quot;29&quot;,&quot;container-title-short&quot;:&quot;&quot;},&quot;uris&quot;:[&quot;http://www.mendeley.com/documents/?uuid=27faa311-ed53-4cd6-ae04-62b20bc7fecf&quot;],&quot;isTemporary&quot;:false,&quot;legacyDesktopId&quot;:&quot;27faa311-ed53-4cd6-ae04-62b20bc7fecf&quot;},{&quot;id&quot;:&quot;58e2e6c8-121e-31c5-9434-13b816f348a7&quot;,&quot;itemData&quot;:{&quot;type&quot;:&quot;article-journal&quot;,&quot;id&quot;:&quot;58e2e6c8-121e-31c5-9434-13b816f348a7&quot;,&quot;title&quot;:&quot;A human-driven decline in global burned area&quot;,&quot;author&quot;:[{&quot;family&quot;:&quot;Andela&quot;,&quot;given&quot;:&quot;N.&quot;,&quot;parse-names&quot;:false,&quot;dropping-particle&quot;:&quot;&quot;,&quot;non-dropping-particle&quot;:&quot;&quot;},{&quot;family&quot;:&quot;Morton&quot;,&quot;given&quot;:&quot;D. C.&quot;,&quot;parse-names&quot;:false,&quot;dropping-particle&quot;:&quot;&quot;,&quot;non-dropping-particle&quot;:&quot;&quot;},{&quot;family&quot;:&quot;Giglio&quot;,&quot;given&quot;:&quot;L.&quot;,&quot;parse-names&quot;:false,&quot;dropping-particle&quot;:&quot;&quot;,&quot;non-dropping-particle&quot;:&quot;&quot;},{&quot;family&quot;:&quot;Chen&quot;,&quot;given&quot;:&quot;Y.&quot;,&quot;parse-names&quot;:false,&quot;dropping-particle&quot;:&quot;&quot;,&quot;non-dropping-particle&quot;:&quot;&quot;},{&quot;family&quot;:&quot;Werf&quot;,&quot;given&quot;:&quot;G. R.&quot;,&quot;parse-names&quot;:false,&quot;dropping-particle&quot;:&quot;&quot;,&quot;non-dropping-particle&quot;:&quot;van der&quot;},{&quot;family&quot;:&quot;Kasibhatla&quot;,&quot;given&quot;:&quot;P. S.&quot;,&quot;parse-names&quot;:false,&quot;dropping-particle&quot;:&quot;&quot;,&quot;non-dropping-particle&quot;:&quot;&quot;},{&quot;family&quot;:&quot;DeFries&quot;,&quot;given&quot;:&quot;R. S.&quot;,&quot;parse-names&quot;:false,&quot;dropping-particle&quot;:&quot;&quot;,&quot;non-dropping-particle&quot;:&quot;&quot;},{&quot;family&quot;:&quot;Collatz&quot;,&quot;given&quot;:&quot;G. J.&quot;,&quot;parse-names&quot;:false,&quot;dropping-particle&quot;:&quot;&quot;,&quot;non-dropping-particle&quot;:&quot;&quot;},{&quot;family&quot;:&quot;Hantson&quot;,&quot;given&quot;:&quot;S.&quot;,&quot;parse-names&quot;:false,&quot;dropping-particle&quot;:&quot;&quot;,&quot;non-dropping-particle&quot;:&quot;&quot;},{&quot;family&quot;:&quot;Kloster&quot;,&quot;given&quot;:&quot;S.&quot;,&quot;parse-names&quot;:false,&quot;dropping-particle&quot;:&quot;&quot;,&quot;non-dropping-particle&quot;:&quot;&quot;},{&quot;family&quot;:&quot;Bachelet&quot;,&quot;given&quot;:&quot;D.&quot;,&quot;parse-names&quot;:false,&quot;dropping-particle&quot;:&quot;&quot;,&quot;non-dropping-particle&quot;:&quot;&quot;},{&quot;family&quot;:&quot;Forrest&quot;,&quot;given&quot;:&quot;M.&quot;,&quot;parse-names&quot;:false,&quot;dropping-particle&quot;:&quot;&quot;,&quot;non-dropping-particle&quot;:&quot;&quot;},{&quot;family&quot;:&quot;Lasslop&quot;,&quot;given&quot;:&quot;G.&quot;,&quot;parse-names&quot;:false,&quot;dropping-particle&quot;:&quot;&quot;,&quot;non-dropping-particle&quot;:&quot;&quot;},{&quot;family&quot;:&quot;Li&quot;,&quot;given&quot;:&quot;F.&quot;,&quot;parse-names&quot;:false,&quot;dropping-particle&quot;:&quot;&quot;,&quot;non-dropping-particle&quot;:&quot;&quot;},{&quot;family&quot;:&quot;Mangeon&quot;,&quot;given&quot;:&quot;S.&quot;,&quot;parse-names&quot;:false,&quot;dropping-particle&quot;:&quot;&quot;,&quot;non-dropping-particle&quot;:&quot;&quot;},{&quot;family&quot;:&quot;Melton&quot;,&quot;given&quot;:&quot;J. R.&quot;,&quot;parse-names&quot;:false,&quot;dropping-particle&quot;:&quot;&quot;,&quot;non-dropping-particle&quot;:&quot;&quot;},{&quot;family&quot;:&quot;Yue&quot;,&quot;given&quot;:&quot;C.&quot;,&quot;parse-names&quot;:false,&quot;dropping-particle&quot;:&quot;&quot;,&quot;non-dropping-particle&quot;:&quot;&quot;},{&quot;family&quot;:&quot;Randerson&quot;,&quot;given&quot;:&quot;J. T.&quot;,&quot;parse-names&quot;:false,&quot;dropping-particle&quot;:&quot;&quot;,&quot;non-dropping-particle&quot;:&quot;&quot;}],&quot;container-title&quot;:&quot;Science&quot;,&quot;DOI&quot;:&quot;10.1126/science.aal4108&quot;,&quot;ISSN&quot;:&quot;0036-8075&quot;,&quot;issued&quot;:{&quot;date-parts&quot;:[[2017]]},&quot;page&quot;:&quot;1356-1362&quot;,&quot;abstract&quot;:&quo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quot;,&quot;issue&quot;:&quot;6345&quot;,&quot;volume&quot;:&quot;356&quot;,&quot;container-title-short&quot;:&quot;Science (1979)&quot;},&quot;uris&quot;:[&quot;http://www.mendeley.com/documents/?uuid=de9e9569-6157-4a99-a9aa-d8f94d11d2c0&quot;],&quot;isTemporary&quot;:false,&quot;legacyDesktopId&quot;:&quot;de9e9569-6157-4a99-a9aa-d8f94d11d2c0&quot;}]},{&quot;citationID&quot;:&quot;MENDELEY_CITATION_6eb320df-e5f1-42e0-916d-a7c40ade7756&quot;,&quot;properties&quot;:{&quot;noteIndex&quot;:0},&quot;isEdited&quot;:false,&quot;manualOverride&quot;:{&quot;citeprocText&quot;:&quot;(Oliveras and Malhi, 2016)&quot;,&quot;isManuallyOverridden&quot;:false,&quot;manualOverrideText&quot;:&quot;&quot;},&quot;citationTag&quot;:&quot;MENDELEY_CITATION_v3_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&quot;,&quot;citationItems&quot;:[{&quot;id&quot;:&quot;034d8cf7-5f75-39f8-9daa-54d180a3cd87&quot;,&quot;itemData&quot;:{&quot;type&quot;:&quot;article-journal&quot;,&quot;id&quot;:&quot;034d8cf7-5f75-39f8-9daa-54d180a3cd87&quot;,&quot;title&quot;:&quot;Many shades of green: The dynamic tropical forest–savannah transition zones&quot;,&quot;author&quot;:[{&quot;family&quot;:&quot;Oliveras&quot;,&quot;given&quot;:&quot;Immaculada&quot;,&quot;parse-names&quot;:false,&quot;dropping-particle&quot;:&quot;&quot;,&quot;non-dropping-particle&quot;:&quot;&quot;},{&quot;family&quot;:&quot;Malhi&quot;,&quot;given&quot;:&quot;Yadvinder&quot;,&quot;parse-names&quot;:false,&quot;dropping-particle&quot;:&quot;&quot;,&quot;non-dropping-particle&quot;:&quot;&quot;}],&quot;container-title&quot;:&quot;Philosophical Transactions of the Royal Society B: Biological Sciences&quot;,&quot;DOI&quot;:&quot;10.1098/rstb.2015.0308&quot;,&quot;ISBN&quot;:&quot;0266467416000&quot;,&quot;ISSN&quot;:&quot;14712970&quot;,&quot;PMID&quot;:&quot;27502373&quot;,&quot;issued&quot;:{&quot;date-parts&quot;:[[2016]]},&quot;abstract&quot;:&quot;One contribution of 15 to a theme issue 'Tropical grassy biomes: linking ecology, human use and conservation'. The forest–savannah transition is the most widespread ecotone in tropical areas, separating two of the most productive terrestrial ecosystems. Here, we review current understanding of the factors that shape this transition, and how it may change under various drivers of local or global change. At broadest scales, the location of the transition is shaped by water availability, mediated strongly at local scales by fire regimes, herbivory pressure and spatial variation in soil properties. The frequently dynamic nature of this tran-sition suggests that forest and savannah can exist as alternative stable states, maintained and separated by fire–grass feedbacks and tree shade–fire suppression feedback. However, this theory is still contested and the relative contributions of the main biotic and abiotic drivers and their interactions are yet not fully understood. These drivers interplay with a wide range of ecologi-cal processes and attributes at the global, continental, regional and local scales. The evolutionary history of the biotic and abiotic drivers and processes plays an important role in the current distributions of these transitions as well as in their species composition and ecosystem functioning. This ecotone can be sen-sitive to shifts in climate and other driving factors, but is also potentially stabilized by negative feedback processes. There is abundant evidence that these transitions are shifting under contemporary global and local changes, but the direction of shift varies according to region. However, it still remains uncertain how these transitions will respond to rapid and multi-faceted ongoing current changes, and how increasing human influence will interact with these shifts. This article is part of the themed issue 'Tropical grassy biomes: linking ecology, human use and conservation'.&quot;,&quot;issue&quot;:&quot;1703&quot;,&quot;volume&quot;:&quot;371: 20150&quot;,&quot;container-title-short&quot;:&quot;&quot;},&quot;uris&quot;:[&quot;http://www.mendeley.com/documents/?uuid=aaa72715-bfbe-4859-b1f4-b31fc1341864&quot;],&quot;isTemporary&quot;:false,&quot;legacyDesktopId&quot;:&quot;aaa72715-bfbe-4859-b1f4-b31fc1341864&quot;}]},{&quot;citationID&quot;:&quot;MENDELEY_CITATION_d27885e0-33b7-4d25-b38f-ad9ed1173e4c&quot;,&quot;properties&quot;:{&quot;noteIndex&quot;:0},&quot;isEdited&quot;:false,&quot;manualOverride&quot;:{&quot;citeprocText&quot;:&quot;(Archibald and Hempson, 2016)&quot;,&quot;isManuallyOverridden&quot;:true,&quot;manualOverrideText&quot;:&quot;Archibald and Hempson (2016)&quot;},&quot;citationItems&quot;:[{&quot;id&quot;:&quot;805b5278-1626-3766-87a1-a787eea6420f&quot;,&quot;itemData&quot;:{&quot;type&quot;:&quot;article-journal&quot;,&quot;id&quot;:&quot;805b5278-1626-3766-87a1-a787eea6420f&quot;,&quot;title&quot;:&quot;Competing consumers: Contrasting the patterns and impacts of fire and mammalian herbivory in Africa&quot;,&quot;author&quot;:[{&quot;family&quot;:&quot;Archibald&quot;,&quot;given&quot;:&quot;Sally&quot;,&quot;parse-names&quot;:false,&quot;dropping-particle&quot;:&quot;&quot;,&quot;non-dropping-particle&quot;:&quot;&quot;},{&quot;family&quot;:&quot;Hempson&quot;,&quot;given&quot;:&quot;Gareth P.&quot;,&quot;parse-names&quot;:false,&quot;dropping-particle&quot;:&quot;&quot;,&quot;non-dropping-particle&quot;:&quot;&quot;}],&quot;container-title&quot;:&quot;Philosophical Transactions of the Royal Society B: Biological Sciences&quot;,&quot;DOI&quot;:&quot;10.1098/rstb.2015.0309&quot;,&quot;ISSN&quot;:&quot;14712970&quot;,&quot;PMID&quot;:&quot;27502374&quot;,&quot;issued&quot;:{&quot;date-parts&quot;:[[2016]]},&quot;abstract&quot;:&quot;Fire and herbivory are the two consumers of above-ground biomass globally. They have contrasting impacts as they differ in terms of selectivity and temporal occurrence. Here, we integrate continental-scale data on fire and herbivory in Africa to explore (i) how environmental drivers constrain these two consumers and (ii) the degree to which each consumer affects the other. Environments conducive to mammalian herbivory are not necessarily the same as those conducive to fire, although their spheres of influence do overlap—especially in grassy ecosystems which are known for their frequent fires and abundance of large mammalian herbivores. Interactions between fire and herbivory can be competitive, facultative or antagonistic, and we explore this with reference to the potential for alternative ecosystem states. Although fire removes orders of magnitude more biomass than herbivory their methane emissions are very similar, and in the past, herbivores probably emitted more methane than fire. We contrast the type of herbivory and fire in different ecosystems to define ‘consumer-realms’.\\nThis article is part of the themed issue ‘Tropical grassy biomes: linking ecology, human use and conservation’.&quot;,&quot;issue&quot;:&quot;1703&quot;,&quot;volume&quot;:&quot;371:201503&quot;,&quot;container-title-short&quot;:&quot;&quot;},&quot;uris&quot;:[&quot;http://www.mendeley.com/documents/?uuid=1c74db42-c735-4d4d-a74e-1f7b2dd65490&quot;],&quot;isTemporary&quot;:false,&quot;legacyDesktopId&quot;:&quot;1c74db42-c735-4d4d-a74e-1f7b2dd65490&quot;}],&quot;citationTag&quot;:&quot;MENDELEY_CITATION_v3_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&quot;},{&quot;citationID&quot;:&quot;MENDELEY_CITATION_0eb31829-59e6-4776-922c-6dcbb5e88afe&quot;,&quot;properties&quot;:{&quot;noteIndex&quot;:0},&quot;isEdited&quot;:false,&quot;manualOverride&quot;:{&quot;citeprocText&quot;:&quot;(Charles-Dominique et al., 2018)&quot;,&quot;isManuallyOverridden&quot;:true,&quot;manualOverrideText&quot;:&quot;Charles-Dominique et al. (2018)&quot;},&quot;citationItems&quot;:[{&quot;id&quot;:&quot;2f92a4c8-f21e-3a65-b1f8-22d131217711&quot;,&quot;itemData&quot;:{&quot;type&quot;:&quot;article-journal&quot;,&quot;id&quot;:&quot;2f92a4c8-f21e-3a65-b1f8-22d131217711&quot;,&quot;title&quot;:&quot;Steal the light: shade vs fire adapted vegetation in forest–savanna mosaics&quot;,&quot;author&quot;:[{&quot;family&quot;:&quot;Charles-Dominique&quot;,&quot;given&quot;:&quot;Tristan&quot;,&quot;parse-names&quot;:false,&quot;dropping-particle&quot;:&quot;&quot;,&quot;non-dropping-particle&quot;:&quot;&quot;},{&quot;family&quot;:&quot;Midgley&quot;,&quot;given&quot;:&quot;Guy F.&quot;,&quot;parse-names&quot;:false,&quot;dropping-particle&quot;:&quot;&quot;,&quot;non-dropping-particle&quot;:&quot;&quot;},{&quot;family&quot;:&quot;Tomlinson&quot;,&quot;given&quot;:&quot;Kyle W.&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nph.15117&quot;,&quot;ISSN&quot;:&quot;14698137&quot;,&quot;PMID&quot;:&quot;29604213&quot;,&quot;issued&quot;:{&quot;date-parts&quot;:[[2018]]},&quot;page&quot;:&quot;1419-1429&quot;,&quot;abstract&quot;:&quot;Shade cast by trees, which suppresses grass growth, and fire fuelled by grass biomass, which prevents tree sapling establishment, are mutually exclusive and self-reinforcing drivers of biome distribution in savanna–forest mosaics. We investigated how shade depth, represented by canopy leaf area index (LAI), is generated by adult trees across savanna–forest boundaries and how a shade gradient filters tree functioning, and grass composition and biomass. Forest trees exerted greater shading through increased stem density and greater light interception per unit biomass. A critical transition at LAI c. 1.5 was linked to tree shifts from savanna to forest species, functional shifts from fire-tolerant to light-competitive species, and grass composition shifts from C4 to C3 pathways. A second transition to grass fuel loads too low to support fires, occurred at a lower canopy density (LAI &gt; 0.5), accompanied by shifts in C4 subtype dominance. This pattern suggests that shade suppression of grass biomass is an essential first step for the maintenance of alternative stable states.&quot;,&quot;issue&quot;:&quot;4&quot;,&quot;volume&quot;:&quot;218&quot;,&quot;container-title-short&quot;:&quot;&quot;},&quot;uris&quot;:[&quot;http://www.mendeley.com/documents/?uuid=ab3a6f5a-1043-4a8f-a88a-f9eed589d7c1&quot;],&quot;isTemporary&quot;:false,&quot;legacyDesktopId&quot;:&quot;ab3a6f5a-1043-4a8f-a88a-f9eed589d7c1&quot;}],&quot;citationTag&quot;:&quot;MENDELEY_CITATION_v3_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&quot;},{&quot;citationID&quot;:&quot;MENDELEY_CITATION_bc9196b0-31c8-4387-9fc4-8b842f252d66&quot;,&quot;properties&quot;:{&quot;noteIndex&quot;:0},&quot;isEdited&quot;:false,&quot;manualOverride&quot;:{&quot;citeprocText&quot;:&quot;(Oliveras and Malhi, 2016)&quot;,&quot;isManuallyOverridden&quot;:true,&quot;manualOverrideText&quot;:&quot;Oliveras and Malhi (2016)&quot;},&quot;citationItems&quot;:[{&quot;id&quot;:&quot;034d8cf7-5f75-39f8-9daa-54d180a3cd87&quot;,&quot;itemData&quot;:{&quot;type&quot;:&quot;article-journal&quot;,&quot;id&quot;:&quot;034d8cf7-5f75-39f8-9daa-54d180a3cd87&quot;,&quot;title&quot;:&quot;Many shades of green: The dynamic tropical forest–savannah transition zones&quot;,&quot;author&quot;:[{&quot;family&quot;:&quot;Oliveras&quot;,&quot;given&quot;:&quot;Immaculada&quot;,&quot;parse-names&quot;:false,&quot;dropping-particle&quot;:&quot;&quot;,&quot;non-dropping-particle&quot;:&quot;&quot;},{&quot;family&quot;:&quot;Malhi&quot;,&quot;given&quot;:&quot;Yadvinder&quot;,&quot;parse-names&quot;:false,&quot;dropping-particle&quot;:&quot;&quot;,&quot;non-dropping-particle&quot;:&quot;&quot;}],&quot;container-title&quot;:&quot;Philosophical Transactions of the Royal Society B: Biological Sciences&quot;,&quot;DOI&quot;:&quot;10.1098/rstb.2015.0308&quot;,&quot;ISBN&quot;:&quot;0266467416000&quot;,&quot;ISSN&quot;:&quot;14712970&quot;,&quot;PMID&quot;:&quot;27502373&quot;,&quot;issued&quot;:{&quot;date-parts&quot;:[[2016]]},&quot;abstract&quot;:&quot;One contribution of 15 to a theme issue 'Tropical grassy biomes: linking ecology, human use and conservation'. The forest–savannah transition is the most widespread ecotone in tropical areas, separating two of the most productive terrestrial ecosystems. Here, we review current understanding of the factors that shape this transition, and how it may change under various drivers of local or global change. At broadest scales, the location of the transition is shaped by water availability, mediated strongly at local scales by fire regimes, herbivory pressure and spatial variation in soil properties. The frequently dynamic nature of this tran-sition suggests that forest and savannah can exist as alternative stable states, maintained and separated by fire–grass feedbacks and tree shade–fire suppression feedback. However, this theory is still contested and the relative contributions of the main biotic and abiotic drivers and their interactions are yet not fully understood. These drivers interplay with a wide range of ecologi-cal processes and attributes at the global, continental, regional and local scales. The evolutionary history of the biotic and abiotic drivers and processes plays an important role in the current distributions of these transitions as well as in their species composition and ecosystem functioning. This ecotone can be sen-sitive to shifts in climate and other driving factors, but is also potentially stabilized by negative feedback processes. There is abundant evidence that these transitions are shifting under contemporary global and local changes, but the direction of shift varies according to region. However, it still remains uncertain how these transitions will respond to rapid and multi-faceted ongoing current changes, and how increasing human influence will interact with these shifts. This article is part of the themed issue 'Tropical grassy biomes: linking ecology, human use and conservation'.&quot;,&quot;issue&quot;:&quot;1703&quot;,&quot;volume&quot;:&quot;371: 20150&quot;,&quot;container-title-short&quot;:&quot;&quot;},&quot;uris&quot;:[&quot;http://www.mendeley.com/documents/?uuid=aaa72715-bfbe-4859-b1f4-b31fc1341864&quot;],&quot;isTemporary&quot;:false,&quot;legacyDesktopId&quot;:&quot;aaa72715-bfbe-4859-b1f4-b31fc1341864&quot;}],&quot;citationTag&quot;:&quot;MENDELEY_CITATION_v3_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&quot;},{&quot;citationID&quot;:&quot;MENDELEY_CITATION_133bb499-686c-4492-ba38-039814e819e1&quot;,&quot;properties&quot;:{&quot;noteIndex&quot;:0},&quot;isEdited&quot;:false,&quot;manualOverride&quot;:{&quot;citeprocText&quot;:&quot;(Venter et al., 2018)&quot;,&quot;isManuallyOverridden&quot;:true,&quot;manualOverrideText&quot;:&quot;Venter et al. (2018)&quot;},&quot;citationItems&quot;:[{&quot;id&quot;:&quot;1d47a217-a584-3fda-9d79-73113cc717dc&quot;,&quot;itemData&quot;:{&quot;type&quot;:&quot;article-journal&quot;,&quot;id&quot;:&quot;1d47a217-a584-3fda-9d79-73113cc717dc&quot;,&quot;title&quot;:&quot;Drivers of woody plant encroachment over Africa&quot;,&quot;author&quot;:[{&quot;family&quot;:&quot;Venter&quot;,&quot;given&quot;:&quot;Z. S.&quot;,&quot;parse-names&quot;:false,&quot;dropping-particle&quot;:&quot;&quot;,&quot;non-dropping-particle&quot;:&quot;&quot;},{&quot;family&quot;:&quot;Cramer&quot;,&quot;given&quot;:&quot;M. D.&quot;,&quot;parse-names&quot;:false,&quot;dropping-particle&quot;:&quot;&quot;,&quot;non-dropping-particle&quot;:&quot;&quot;},{&quot;family&quot;:&quot;Hawkins&quot;,&quot;given&quot;:&quot;H. J.&quot;,&quot;parse-names&quot;:false,&quot;dropping-particle&quot;:&quot;&quot;,&quot;non-dropping-particle&quot;:&quot;&quot;}],&quot;container-title&quot;:&quot;Nature Communications&quot;,&quot;DOI&quot;:&quot;10.1038/s41467-018-04616-8&quot;,&quot;ISSN&quot;:&quot;20411723&quot;,&quot;PMID&quot;:&quot;29891933&quot;,&quot;URL&quot;:&quot;http://dx.doi.org/10.1038/s41467-018-04616-8&quot;,&quot;issued&quot;:{&quot;date-parts&quot;:[[2018]]},&quot;page&quot;:&quot;1-7&quot;,&quot;abstract&quot;:&quot;While global deforestation induced by human land use has been quantified, the drivers and extent of simultaneous woody plant encroachment (WPE) into open areas are only regionally known. WPE has important consequences for ecosystem functioning, global carbon balances and human economies. Here we report, using high-resolution satellite imagery, that woody vegetation cover over sub-Saharan Africa increased by 8% over the past three decades and that a diversity of drivers, other than CO2, were able to explain 78% of the spatial variation in this trend. A decline in burned area along with warmer, wetter climates drove WPE, although this has been mitigated in areas with high population growth rates, and high and low extremes of herbivory, specifically browsers. These results confirm global greening trends, thereby bringing into question widely held theories about declining terrestrial carbon balances and desert expansion. Importantly, while global drivers such as climate and CO2 may enhance the risk of WPE, managing fire and herbivory at the local scale provides tools to mitigate continental WPE.&quot;,&quot;publisher&quot;:&quot;Springer US&quot;,&quot;issue&quot;:&quot;1&quot;,&quot;volume&quot;:&quot;9&quot;,&quot;container-title-short&quot;:&quot;Nat Commun&quot;},&quot;uris&quot;:[&quot;http://www.mendeley.com/documents/?uuid=d11d03cf-846e-4983-8fbf-2d90575b4664&quot;],&quot;isTemporary&quot;:false,&quot;legacyDesktopId&quot;:&quot;d11d03cf-846e-4983-8fbf-2d90575b4664&quot;}],&quot;citationTag&quot;:&quot;MENDELEY_CITATION_v3_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&quot;},{&quot;citationID&quot;:&quot;MENDELEY_CITATION_883e841f-c8b3-48ec-9285-5717e7b4e9d1&quot;,&quot;properties&quot;:{&quot;noteIndex&quot;:0},&quot;isEdited&quot;:false,&quot;manualOverride&quot;:{&quot;citeprocText&quot;:&quot;(García Criado et al., 2020)&quot;,&quot;isManuallyOverridden&quot;:true,&quot;manualOverrideText&quot;:&quot;García Criado et al. (2020)&quot;},&quot;citationItems&quot;:[{&quot;id&quot;:&quot;9979ae80-1225-39f7-927e-f8a46d2b9188&quot;,&quot;itemData&quot;:{&quot;type&quot;:&quot;article-journal&quot;,&quot;id&quot;:&quot;9979ae80-1225-39f7-927e-f8a46d2b9188&quot;,&quot;title&quot;:&quot;Woody plant encroachment intensifies under climate change across tundra and savanna biomes&quot;,&quot;author&quot;:[{&quot;family&quot;:&quot;García Criado&quot;,&quot;given&quot;:&quot;Mariana&quot;,&quot;parse-names&quot;:false,&quot;dropping-particle&quot;:&quot;&quot;,&quot;non-dropping-particle&quot;:&quot;&quot;},{&quot;family&quot;:&quot;Myers-Smith&quot;,&quot;given&quot;:&quot;Isla H.&quot;,&quot;parse-names&quot;:false,&quot;dropping-particle&quot;:&quot;&quot;,&quot;non-dropping-particle&quot;:&quot;&quot;},{&quot;family&quot;:&quot;Bjorkman&quot;,&quot;given&quot;:&quot;Anne D.&quot;,&quot;parse-names&quot;:false,&quot;dropping-particle&quot;:&quot;&quot;,&quot;non-dropping-particle&quot;:&quot;&quot;},{&quot;family&quot;:&quot;Lehmann&quot;,&quot;given&quot;:&quot;Caroline E.R.&quot;,&quot;parse-names&quot;:false,&quot;dropping-particle&quot;:&quot;&quot;,&quot;non-dropping-particle&quot;:&quot;&quot;},{&quot;family&quot;:&quot;Stevens&quot;,&quot;given&quot;:&quot;Nicola&quot;,&quot;parse-names&quot;:false,&quot;dropping-particle&quot;:&quot;&quot;,&quot;non-dropping-particle&quot;:&quot;&quot;}],&quot;container-title&quot;:&quot;Global Ecology and Biogeography&quot;,&quot;DOI&quot;:&quot;10.1111/geb.13072&quot;,&quot;ISSN&quot;:&quot;14668238&quot;,&quot;issued&quot;:{&quot;date-parts&quot;:[[2020]]},&quot;page&quot;:&quot;925-943&quot;,&quot;abstract&quot;:&quot;Aim: Biomes worldwide are shifting with global change. Biomes whose extents are limited by temperature or precipitation, such as the tundra and savanna, may be particularly strongly affected by climate change. While woody plant encroachment is prevalent across both biomes, its relationship to temperature and precipitation change remains unknown. Here, we quantify the degree to which woody encroachment is related to climate change and identify its main associated drivers. Location: Tundra and savanna biomes. Time period: 1992 ± 20.27–2010 ± 5.62 (mean ± SD). 1876–2016 (range). Major taxa studied: Woody plants (shrubs and trees). Methods: We compiled a dataset comprising 1,089 records from 899 sites of woody plant cover over time and attributed drivers of woody cover change across these two biomes. We calculated cover change in each biome and assessed the degree to which cover change corresponds to concurrent temperature and precipitation changes using multiple climate metrics. Finally, we conducted a quantitative literature review of the relative importance of attributed drivers of woody cover change. Results: Woody encroachment was widespread geographically and across climate gradients. Rates of woody cover change (positive or negative) were 1.8 times lower in the tundra than in the savanna (1.8 vs. 3.2%), while rates of woody cover increase (i.e., encroachment) were c. 1.7 times lower in the tundra compared with the savanna (3.7 vs. 6.3% per decade). In the tundra, magnitudes of woody cover change did not correspond to climate, while in the savanna, greater cover change corresponded with increases in precipitation. We found higher rates of woody cover change in wetter versus drier sites with warming in the tundra biome, and higher rates of woody cover change in drier versus wetter sites with increasing precipitation in the savanna. However, faster rates of woody cover change were not associated with more rapid rates of climate change across sites, except for maximum precipitation in the savanna. Main conclusions: Woody encroachment was positively related to warming in the tundra and increased rainfall in the savanna. However, cover change rates were not predicted by rates of climate change, which can be partially explained by climate interactions in both biomes. Additional likely influences include site-level factors, time-lags, plant-specific responses, and land use and other non-climate drivers. Our findings highlight the complex nature of climate change impacts in biomes limited by seasonality, which should be accounted for to realistically estimate future responses across open biomes under global change scenarios.&quot;,&quot;issue&quot;:&quot;5&quot;,&quot;volume&quot;:&quot;29&quot;,&quot;container-title-short&quot;:&quot;&quot;},&quot;uris&quot;:[&quot;http://www.mendeley.com/documents/?uuid=7ad661ae-ac8a-43a1-97a1-1e5743fc6bef&quot;],&quot;isTemporary&quot;:false,&quot;legacyDesktopId&quot;:&quot;7ad661ae-ac8a-43a1-97a1-1e5743fc6bef&quot;}],&quot;citationTag&quot;:&quot;MENDELEY_CITATION_v3_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&quot;},{&quot;citationID&quot;:&quot;MENDELEY_CITATION_bcd21c5d-6796-4c8c-8beb-6b321dbb5746&quot;,&quot;properties&quot;:{&quot;noteIndex&quot;:0},&quot;isEdited&quot;:false,&quot;manualOverride&quot;:{&quot;citeprocText&quot;:&quot;(Kelly et al., 2020)&quot;,&quot;isManuallyOverridden&quot;:true,&quot;manualOverrideText&quot;:&quot;Kelly et al. (2020)&quot;},&quot;citationItems&quot;:[{&quot;id&quot;:&quot;f364ed18-6837-351a-b42a-84f2701348d8&quot;,&quot;itemData&quot;:{&quot;type&quot;:&quot;article-journal&quot;,&quot;id&quot;:&quot;f364ed18-6837-351a-b42a-84f2701348d8&quot;,&quot;title&quot;:&quot;Fire and biodiversity in the Anthropocene&quot;,&quot;author&quot;:[{&quot;family&quot;:&quot;Kelly&quot;,&quot;given&quot;:&quot;Luke T&quot;,&quot;parse-names&quot;:false,&quot;dropping-particle&quot;:&quot;&quot;,&quot;non-dropping-particle&quot;:&quot;&quot;},{&quot;family&quot;:&quot;Giljohann&quot;,&quot;given&quot;:&quot;Katherine M&quot;,&quot;parse-names&quot;:false,&quot;dropping-particle&quot;:&quot;&quot;,&quot;non-dropping-particle&quot;:&quot;&quot;},{&quot;family&quot;:&quot;Duane&quot;,&quot;given&quot;:&quot;Andrea&quot;,&quot;parse-names&quot;:false,&quot;dropping-particle&quot;:&quot;&quot;,&quot;non-dropping-particle&quot;:&quot;&quot;},{&quot;family&quot;:&quot;Aquilué&quot;,&quot;given&quot;:&quot;Núria&quot;,&quot;parse-names&quot;:false,&quot;dropping-particle&quot;:&quot;&quot;,&quot;non-dropping-particle&quot;:&quot;&quot;},{&quot;family&quot;:&quot;Archibald&quot;,&quot;given&quot;:&quot;Sally&quot;,&quot;parse-names&quot;:false,&quot;dropping-particle&quot;:&quot;&quot;,&quot;non-dropping-particle&quot;:&quot;&quot;},{&quot;family&quot;:&quot;Batllori&quot;,&quot;given&quot;:&quot;Enric&quot;,&quot;parse-names&quot;:false,&quot;dropping-particle&quot;:&quot;&quot;,&quot;non-dropping-particle&quot;:&quot;&quot;},{&quot;family&quot;:&quot;Bennett&quot;,&quot;given&quot;:&quot;Andrew F&quot;,&quot;parse-names&quot;:false,&quot;dropping-particle&quot;:&quot;&quot;,&quot;non-dropping-particle&quot;:&quot;&quot;},{&quot;family&quot;:&quot;Buckland&quot;,&quot;given&quot;:&quot;Stephen T&quot;,&quot;parse-names&quot;:false,&quot;dropping-particle&quot;:&quot;&quot;,&quot;non-dropping-particle&quot;:&quot;&quot;},{&quot;family&quot;:&quot;Canelles&quot;,&quot;given&quot;:&quot;Quim&quot;,&quot;parse-names&quot;:false,&quot;dropping-particle&quot;:&quot;&quot;,&quot;non-dropping-particle&quot;:&quot;&quot;},{&quot;family&quot;:&quot;Clarke&quot;,&quot;given&quot;:&quot;Michael F&quot;,&quot;parse-names&quot;:false,&quot;dropping-particle&quot;:&quot;&quot;,&quot;non-dropping-particle&quot;:&quot;&quot;},{&quot;family&quot;:&quot;Fortin&quot;,&quot;given&quot;:&quot;Marie-josée&quot;,&quot;parse-names&quot;:false,&quot;dropping-particle&quot;:&quot;&quot;,&quot;non-dropping-particle&quot;:&quot;&quot;},{&quot;family&quot;:&quot;Hermoso&quot;,&quot;given&quot;:&quot;Virgilio&quot;,&quot;parse-names&quot;:false,&quot;dropping-particle&quot;:&quot;&quot;,&quot;non-dropping-particle&quot;:&quot;&quot;},{&quot;family&quot;:&quot;Herrando&quot;,&quot;given&quot;:&quot;Sergi&quot;,&quot;parse-names&quot;:false,&quot;dropping-particle&quot;:&quot;&quot;,&quot;non-dropping-particle&quot;:&quot;&quot;},{&quot;family&quot;:&quot;Keane&quot;,&quot;given&quot;:&quot;Robert E&quot;,&quot;parse-names&quot;:false,&quot;dropping-particle&quot;:&quot;&quot;,&quot;non-dropping-particle&quot;:&quot;&quot;},{&quot;family&quot;:&quot;Lake&quot;,&quot;given&quot;:&quot;Frank K&quot;,&quot;parse-names&quot;:false,&quot;dropping-particle&quot;:&quot;&quot;,&quot;non-dropping-particle&quot;:&quot;&quot;},{&quot;family&quot;:&quot;Mccarthy&quot;,&quot;given&quot;:&quot;Michael A&quot;,&quot;parse-names&quot;:false,&quot;dropping-particle&quot;:&quot;&quot;,&quot;non-dropping-particle&quot;:&quot;&quot;},{&quot;family&quot;:&quot;Morán-ordóñez&quot;,&quot;given&quot;:&quot;Alejandra&quot;,&quot;parse-names&quot;:false,&quot;dropping-particle&quot;:&quot;&quot;,&quot;non-dropping-particle&quot;:&quot;&quot;},{&quot;family&quot;:&quot;Parr&quot;,&quot;given&quot;:&quot;Catherine L&quot;,&quot;parse-names&quot;:false,&quot;dropping-particle&quot;:&quot;&quot;,&quot;non-dropping-particle&quot;:&quot;&quot;},{&quot;family&quot;:&quot;Pausas&quot;,&quot;given&quot;:&quot;Juli G&quot;,&quot;parse-names&quot;:false,&quot;dropping-particle&quot;:&quot;&quot;,&quot;non-dropping-particle&quot;:&quot;&quot;},{&quot;family&quot;:&quot;Penman&quot;,&quot;given&quot;:&quot;Trent D&quot;,&quot;parse-names&quot;:false,&quot;dropping-particle&quot;:&quot;&quot;,&quot;non-dropping-particle&quot;:&quot;&quot;},{&quot;family&quot;:&quot;Regos&quot;,&quot;given&quot;:&quot;Adrián&quot;,&quot;parse-names&quot;:false,&quot;dropping-particle&quot;:&quot;&quot;,&quot;non-dropping-particle&quot;:&quot;&quot;},{&quot;family&quot;:&quot;Rumpff&quot;,&quot;given&quot;:&quot;Libby&quot;,&quot;parse-names&quot;:false,&quot;dropping-particle&quot;:&quot;&quot;,&quot;non-dropping-particle&quot;:&quot;&quot;},{&quot;family&quot;:&quot;Santos&quot;,&quot;given&quot;:&quot;Julianna L&quot;,&quot;parse-names&quot;:false,&quot;dropping-particle&quot;:&quot;&quot;,&quot;non-dropping-particle&quot;:&quot;&quot;},{&quot;family&quot;:&quot;Smith&quot;,&quot;given&quot;:&quot;Annabel L&quot;,&quot;parse-names&quot;:false,&quot;dropping-particle&quot;:&quot;&quot;,&quot;non-dropping-particle&quot;:&quot;&quot;},{&quot;family&quot;:&quot;Syphard&quot;,&quot;given&quot;:&quot;Alexandra D&quot;,&quot;parse-names&quot;:false,&quot;dropping-particle&quot;:&quot;&quot;,&quot;non-dropping-particle&quot;:&quot;&quot;},{&quot;family&quot;:&quot;Tingley&quot;,&quot;given&quot;:&quot;Morgan W&quot;,&quot;parse-names&quot;:false,&quot;dropping-particle&quot;:&quot;&quot;,&quot;non-dropping-particle&quot;:&quot;&quot;},{&quot;family&quot;:&quot;Brotons&quot;,&quot;given&quot;:&quot;Lluís&quot;,&quot;parse-names&quot;:false,&quot;dropping-particle&quot;:&quot;&quot;,&quot;non-dropping-particle&quot;:&quot;&quot;}],&quot;container-title&quot;:&quot;Science&quot;,&quot;DOI&quot;:&quot;10.1126/science.abb0355&quot;,&quot;issued&quot;:{&quot;date-parts&quot;:[[2020]]},&quot;page&quot;:&quot;eabb0355&quot;,&quot;volume&quot;:&quot;370&quot;,&quot;container-title-short&quot;:&quot;Science (1979)&quot;},&quot;uris&quot;:[&quot;http://www.mendeley.com/documents/?uuid=4d3c9187-c081-46c5-8011-1d26b55fea1b&quot;],&quot;isTemporary&quot;:false,&quot;legacyDesktopId&quot;:&quot;4d3c9187-c081-46c5-8011-1d26b55fea1b&quot;}],&quot;citationTag&quot;:&quot;MENDELEY_CITATION_v3_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&quot;},{&quot;citationID&quot;:&quot;MENDELEY_CITATION_6736441f-4144-4fe4-a5b9-ea403054034f&quot;,&quot;properties&quot;:{&quot;noteIndex&quot;:0},&quot;isEdited&quot;:false,&quot;manualOverride&quot;:{&quot;isManuallyOverridden&quot;:true,&quot;citeprocText&quot;:&quot;(Wei et al., 2019)&quot;,&quot;manualOverrideText&quot;:&quot;Wei et al. (2019),&quot;},&quot;citationItems&quot;:[{&quot;id&quot;:&quot;39b4453a-73fb-348b-b56f-3c2ef674ce32&quot;,&quot;itemData&quot;:{&quot;type&quot;:&quot;article-journal&quot;,&quot;id&quot;:&quot;39b4453a-73fb-348b-b56f-3c2ef674ce32&quot;,&quot;title&quot;:&quot;African dryland ecosystem changes controlled by soil water&quot;,&quot;author&quot;:[{&quot;family&quot;:&quot;Wei&quot;,&quot;given&quot;:&quot;Fangli&quot;,&quot;parse-names&quot;:false,&quot;dropping-particle&quot;:&quot;&quot;,&quot;non-dropping-particle&quot;:&quot;&quot;},{&quot;family&quot;:&quot;Wang&quot;,&quot;given&quot;:&quot;Shuai&quot;,&quot;parse-names&quot;:false,&quot;dropping-particle&quot;:&quot;&quot;,&quot;non-dropping-particle&quot;:&quot;&quot;},{&quot;family&quot;:&quot;Fu&quot;,&quot;given&quot;:&quot;Bojie&quot;,&quot;parse-names&quot;:false,&quot;dropping-particle&quot;:&quot;&quot;,&quot;non-dropping-particle&quot;:&quot;&quot;},{&quot;family&quot;:&quot;Wang&quot;,&quot;given&quot;:&quot;Lixin&quot;,&quot;parse-names&quot;:false,&quot;dropping-particle&quot;:&quot;&quot;,&quot;non-dropping-particle&quot;:&quot;&quot;},{&quot;family&quot;:&quot;Liu&quot;,&quot;given&quot;:&quot;Yi Y.&quot;,&quot;parse-names&quot;:false,&quot;dropping-particle&quot;:&quot;&quot;,&quot;non-dropping-particle&quot;:&quot;&quot;},{&quot;family&quot;:&quot;Li&quot;,&quot;given&quot;:&quot;Yan&quot;,&quot;parse-names&quot;:false,&quot;dropping-particle&quot;:&quot;&quot;,&quot;non-dropping-particle&quot;:&quot;&quot;}],&quot;container-title&quot;:&quot;Land Degradation and Development&quot;,&quot;DOI&quot;:&quot;10.1002/ldr.3342&quot;,&quot;ISSN&quot;:&quot;1099145X&quot;,&quot;issued&quot;:{&quot;date-parts&quot;:[[2019]]},&quot;page&quot;:&quot;1564-1573&quot;,&quot;abstract&quot;:&quot;Abstract Monitoring long-term vegetation dynamics in African drylands is of great importance for both ecosystem degradation studies and carbon-cycle modelling. Here, we exploited the complementary use of optical and passive microwave satellite data— normalized difference vegetation index (NDVI) and vegetation optical depth (VOD)—to provide new insights of ecosystem changes in African drylands. During 1993–2012, 54% of African drylands experienced a significant increase of VOD, mainly located in southern Africa and west and central Africa, with an average rate of increase of (1.2 ± 2.7) × 10−3 yr−1. However, a significant decreasing NDVI was observed over 43% of the African drylands, in particular in western Niger and eastern Africa, with an average browning rate of (−0.13 ± 1.5) × 10−3 yr−1. The contrasting vegetation trends (increasing VOD and decreasing NDVI) were largely caused by an increase in the relative proportion of the woody component of the vegetation, as a result of the prevailing woody encroachment in African drylands during the study period. Soil water emerges as the dominant driver of ecosystem changes in African drylands, in particular in arid and semiarid areas. This is evidenced by a strong spatio-temporal correlation between soil water and vegetation, where soil water changes explain about 48% of vegetation variations. This study emphasizes the potential of utilizing multiple satellite products with different strengths in monitoring different characteristics of ecosystems to evaluate ecosystem changes and reveal the underlying mechanisms of the observed changes.&quot;,&quot;issue&quot;:&quot;May&quot;,&quot;container-title-short&quot;:&quot;Land Degrad Dev&quot;},&quot;isTemporary&quot;:false}],&quot;citationTag&quot;:&quot;MENDELEY_CITATION_v3_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&quot;},{&quot;citationID&quot;:&quot;MENDELEY_CITATION_dcb56a0c-8bf3-4e13-9bd9-5432f814888b&quot;,&quot;properties&quot;:{&quot;noteIndex&quot;:0},&quot;isEdited&quot;:false,&quot;manualOverride&quot;:{&quot;citeprocText&quot;:&quot;(Lehmann et al., 2011)&quot;,&quot;isManuallyOverridden&quot;:true,&quot;manualOverrideText&quot;:&quot;Lehmann et al. (2011)&quot;},&quot;citationItems&quot;:[{&quot;id&quot;:&quot;912b127b-ec72-3d76-a7a2-ba0967297729&quot;,&quot;itemData&quot;:{&quot;type&quot;:&quot;article-journal&quot;,&quot;id&quot;:&quot;912b127b-ec72-3d76-a7a2-ba0967297729&quot;,&quot;title&quot;:&quot;Deciphering the distribution of the savanna biome&quot;,&quot;author&quot;:[{&quot;family&quot;:&quot;Lehmann&quot;,&quot;given&quot;:&quot;Caroline E.R.&quot;,&quot;parse-names&quot;:false,&quot;dropping-particle&quot;:&quot;&quot;,&quot;non-dropping-particle&quot;:&quot;&quot;},{&quot;family&quot;:&quot;Archibald&quot;,&quot;given&quot;:&quot;Sally A.&quot;,&quot;parse-names&quot;:false,&quot;dropping-particle&quot;:&quot;&quot;,&quot;non-dropping-particle&quot;:&quot;&quot;},{&quot;family&quot;:&quot;Hoffmann&quot;,&quot;given&quot;:&quot;William A.&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j.1469-8137.2011.03689.x&quot;,&quot;ISSN&quot;:&quot;0028646X&quot;,&quot;PMID&quot;:&quot;21463328&quot;,&quot;issued&quot;:{&quot;date-parts&quot;:[[2011]]},&quot;page&quot;:&quot;197-209&quot;,&quot;abstract&quot;:&quot;We aimed to identify the limits of savanna across Africa, Australia and South America. We based our investigation on the rich history of hypotheses previously examined: that the limits of savanna are variously determined by rainfall, rainfall seasonality, soil fertility and disturbance. We categorized vegetation on all continents as 'savanna' (open habitats with a C4 grass layer) or 'not-savanna' (closed habitats with no C4 grass layer) and used a combination of statistical approaches to examine how the presence of savanna varied as a function of five environmental correlates. The presence of savanna is constrained by effective rainfall and rainfall seasonality. Soil fertility is regionally important, although the direction of its effect changes relative to rainfall. We identified three continental divergences in the limits of savanna that could not be explained by environment. Climate and soils do not have a deterministic effect on the distribution of savanna. Over the range of savanna, some proportion of the land is always 'not-savanna'. We reconciled previous contradictory views of savanna limits by developing a new conceptual framework for understanding these limits by categorizing environmental factors into whether they had a positive or negative effect on woody growth and the frequency of disturbance. © 2011 The Authors. New Phytologist © 2011 New Phytologist Trust.&quot;,&quot;issue&quot;:&quot;1&quot;,&quot;volume&quot;:&quot;191&quot;,&quot;container-title-short&quot;:&quot;&quot;},&quot;uris&quot;:[&quot;http://www.mendeley.com/documents/?uuid=430a4ca8-e1ac-4b54-b807-3865eeebfb70&quot;],&quot;isTemporary&quot;:false,&quot;legacyDesktopId&quot;:&quot;430a4ca8-e1ac-4b54-b807-3865eeebfb70&quot;}],&quot;citationTag&quot;:&quot;MENDELEY_CITATION_v3_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&quot;},{&quot;citationID&quot;:&quot;MENDELEY_CITATION_d1b71228-5066-4846-b8b3-8f89e3445a5c&quot;,&quot;properties&quot;:{&quot;noteIndex&quot;:0},&quot;isEdited&quot;:false,&quot;manualOverride&quot;:{&quot;citeprocText&quot;:&quot;(Andela et al., 2017)&quot;,&quot;isManuallyOverridden&quot;:true,&quot;manualOverrideText&quot;:&quot;Andela et al. (2017)&quot;},&quot;citationItems&quot;:[{&quot;id&quot;:&quot;58e2e6c8-121e-31c5-9434-13b816f348a7&quot;,&quot;itemData&quot;:{&quot;type&quot;:&quot;article-journal&quot;,&quot;id&quot;:&quot;58e2e6c8-121e-31c5-9434-13b816f348a7&quot;,&quot;title&quot;:&quot;A human-driven decline in global burned area&quot;,&quot;author&quot;:[{&quot;family&quot;:&quot;Andela&quot;,&quot;given&quot;:&quot;N.&quot;,&quot;parse-names&quot;:false,&quot;dropping-particle&quot;:&quot;&quot;,&quot;non-dropping-particle&quot;:&quot;&quot;},{&quot;family&quot;:&quot;Morton&quot;,&quot;given&quot;:&quot;D. C.&quot;,&quot;parse-names&quot;:false,&quot;dropping-particle&quot;:&quot;&quot;,&quot;non-dropping-particle&quot;:&quot;&quot;},{&quot;family&quot;:&quot;Giglio&quot;,&quot;given&quot;:&quot;L.&quot;,&quot;parse-names&quot;:false,&quot;dropping-particle&quot;:&quot;&quot;,&quot;non-dropping-particle&quot;:&quot;&quot;},{&quot;family&quot;:&quot;Chen&quot;,&quot;given&quot;:&quot;Y.&quot;,&quot;parse-names&quot;:false,&quot;dropping-particle&quot;:&quot;&quot;,&quot;non-dropping-particle&quot;:&quot;&quot;},{&quot;family&quot;:&quot;Werf&quot;,&quot;given&quot;:&quot;G. R.&quot;,&quot;parse-names&quot;:false,&quot;dropping-particle&quot;:&quot;&quot;,&quot;non-dropping-particle&quot;:&quot;van der&quot;},{&quot;family&quot;:&quot;Kasibhatla&quot;,&quot;given&quot;:&quot;P. S.&quot;,&quot;parse-names&quot;:false,&quot;dropping-particle&quot;:&quot;&quot;,&quot;non-dropping-particle&quot;:&quot;&quot;},{&quot;family&quot;:&quot;DeFries&quot;,&quot;given&quot;:&quot;R. S.&quot;,&quot;parse-names&quot;:false,&quot;dropping-particle&quot;:&quot;&quot;,&quot;non-dropping-particle&quot;:&quot;&quot;},{&quot;family&quot;:&quot;Collatz&quot;,&quot;given&quot;:&quot;G. J.&quot;,&quot;parse-names&quot;:false,&quot;dropping-particle&quot;:&quot;&quot;,&quot;non-dropping-particle&quot;:&quot;&quot;},{&quot;family&quot;:&quot;Hantson&quot;,&quot;given&quot;:&quot;S.&quot;,&quot;parse-names&quot;:false,&quot;dropping-particle&quot;:&quot;&quot;,&quot;non-dropping-particle&quot;:&quot;&quot;},{&quot;family&quot;:&quot;Kloster&quot;,&quot;given&quot;:&quot;S.&quot;,&quot;parse-names&quot;:false,&quot;dropping-particle&quot;:&quot;&quot;,&quot;non-dropping-particle&quot;:&quot;&quot;},{&quot;family&quot;:&quot;Bachelet&quot;,&quot;given&quot;:&quot;D.&quot;,&quot;parse-names&quot;:false,&quot;dropping-particle&quot;:&quot;&quot;,&quot;non-dropping-particle&quot;:&quot;&quot;},{&quot;family&quot;:&quot;Forrest&quot;,&quot;given&quot;:&quot;M.&quot;,&quot;parse-names&quot;:false,&quot;dropping-particle&quot;:&quot;&quot;,&quot;non-dropping-particle&quot;:&quot;&quot;},{&quot;family&quot;:&quot;Lasslop&quot;,&quot;given&quot;:&quot;G.&quot;,&quot;parse-names&quot;:false,&quot;dropping-particle&quot;:&quot;&quot;,&quot;non-dropping-particle&quot;:&quot;&quot;},{&quot;family&quot;:&quot;Li&quot;,&quot;given&quot;:&quot;F.&quot;,&quot;parse-names&quot;:false,&quot;dropping-particle&quot;:&quot;&quot;,&quot;non-dropping-particle&quot;:&quot;&quot;},{&quot;family&quot;:&quot;Mangeon&quot;,&quot;given&quot;:&quot;S.&quot;,&quot;parse-names&quot;:false,&quot;dropping-particle&quot;:&quot;&quot;,&quot;non-dropping-particle&quot;:&quot;&quot;},{&quot;family&quot;:&quot;Melton&quot;,&quot;given&quot;:&quot;J. R.&quot;,&quot;parse-names&quot;:false,&quot;dropping-particle&quot;:&quot;&quot;,&quot;non-dropping-particle&quot;:&quot;&quot;},{&quot;family&quot;:&quot;Yue&quot;,&quot;given&quot;:&quot;C.&quot;,&quot;parse-names&quot;:false,&quot;dropping-particle&quot;:&quot;&quot;,&quot;non-dropping-particle&quot;:&quot;&quot;},{&quot;family&quot;:&quot;Randerson&quot;,&quot;given&quot;:&quot;J. T.&quot;,&quot;parse-names&quot;:false,&quot;dropping-particle&quot;:&quot;&quot;,&quot;non-dropping-particle&quot;:&quot;&quot;}],&quot;container-title&quot;:&quot;Science&quot;,&quot;DOI&quot;:&quot;10.1126/science.aal4108&quot;,&quot;ISSN&quot;:&quot;0036-8075&quot;,&quot;issued&quot;:{&quot;date-parts&quot;:[[2017]]},&quot;page&quot;:&quot;1356-1362&quot;,&quot;abstract&quot;:&quo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quot;,&quot;issue&quot;:&quot;6345&quot;,&quot;volume&quot;:&quot;356&quot;,&quot;container-title-short&quot;:&quot;Science (1979)&quot;},&quot;uris&quot;:[&quot;http://www.mendeley.com/documents/?uuid=de9e9569-6157-4a99-a9aa-d8f94d11d2c0&quot;],&quot;isTemporary&quot;:false,&quot;legacyDesktopId&quot;:&quot;de9e9569-6157-4a99-a9aa-d8f94d11d2c0&quot;}],&quot;citationTag&quot;:&quot;MENDELEY_CITATION_v3_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&quot;},{&quot;citationID&quot;:&quot;MENDELEY_CITATION_9e483276-0dcd-45d6-a6ad-47b55199d279&quot;,&quot;properties&quot;:{&quot;noteIndex&quot;:0},&quot;isEdited&quot;:false,&quot;manualOverride&quot;:{&quot;citeprocText&quot;:&quot;(Daskin et al., 2016)&quot;,&quot;isManuallyOverridden&quot;:true,&quot;manualOverrideText&quot;:&quot;Daskin et al. (2016)&quot;},&quot;citationItems&quot;:[{&quot;id&quot;:&quot;2aa5945b-e203-31eb-9782-099a97ba5cb5&quot;,&quot;itemData&quot;:{&quot;type&quot;:&quot;article-journal&quot;,&quot;id&quot;:&quot;2aa5945b-e203-31eb-9782-099a97ba5cb5&quot;,&quot;title&quot;:&quot;Ecological legacies of civil war: 35-year increase in savanna tree cover following wholesale large-mammal declines&quot;,&quot;author&quot;:[{&quot;family&quot;:&quot;Daskin&quot;,&quot;given&quot;:&quot;Joshua H.&quot;,&quot;parse-names&quot;:false,&quot;dropping-particle&quot;:&quot;&quot;,&quot;non-dropping-particle&quot;:&quot;&quot;},{&quot;family&quot;:&quot;Stalmans&quot;,&quot;given&quot;:&quot;Marc&quot;,&quot;parse-names&quot;:false,&quot;dropping-particle&quot;:&quot;&quot;,&quot;non-dropping-particle&quot;:&quot;&quot;},{&quot;family&quot;:&quot;Pringle&quot;,&quot;given&quot;:&quot;Robert M.&quot;,&quot;parse-names&quot;:false,&quot;dropping-particle&quot;:&quot;&quot;,&quot;non-dropping-particle&quot;:&quot;&quot;}],&quot;container-title&quot;:&quot;Journal of Ecology&quot;,&quot;DOI&quot;:&quot;10.1111/1365-2745.12483&quot;,&quot;ISSN&quot;:&quot;13652745&quot;,&quot;issued&quot;:{&quot;date-parts&quot;:[[2016]]},&quot;page&quot;:&quot;79-89&quot;,&quot;abstract&quot;:&quot;Large mammalian herbivores (LMH) exert strong effects on plants in tropical savannas, and many wild LMH populations are declining. However, predicting the impacts of these declines on vegetation structure remains challenging. Experiments suggest that tree cover can increase rapidly following LMH exclusion. Yet it is unclear whether these results scale up to predict ecosystem-level impacts of LMH declines, which often alter fire regimes, trigger compensatory responses of other herbivores and accompany anthropogenic land-use changes. Moreover, theory predicts that grazers and browsers should have opposing effects on tree cover, further complicating efforts to forecast the outcomes of community-wide declines. We used the near-extirpation of grazing and browsing LMH from Gorongosa National Park during the Mozambican Civil War (1977-1992) as a natural experiment to test whether megafaunal collapse increased tree cover. We classified herbaceous and tree cover in satellite images taken (a) at the onset of war in 1977 and (b) in 2012, two decades after hostilities ceased. Throughout the 3620-km2 park, proportional tree cover increased by 34% (from 0.29 to 0.39) - an addition of 362 km2. Four of the park's five major habitat zones (including miombo woodland, Acacia-Combretum-palm savanna, and floodplain grassland) showed even greater increases in tree cover (51-134%), with an average increase of 94% in ecologically critical Rift Valley habitats. Only in the eastern Cheringoma Plateau, which had historically low wildlife densities, did tree cover decrease (by 5%). The most parsimonious explanation for these results is that reduced browsing pressure enhanced tree growth, survival and/or recruitment; we found no directional trends in rainfall or fire that could explain increased tree cover. Synthesis. Catastrophic large-herbivore die-offs in Mozambique's flagship national park were followed by 35 years of woodland expansion, most severely in areas where pre-war wildlife biomass was greatest. These findings suggest that browsing release supersedes grazer-grass-fire feedbacks in governing ecosystem-level tree cover, consistent with smaller-scale experimental results, although the potentially complementary effect of CO2 fertilization cannot be definitively ruled out. Future work in Gorongosa will reveal whether recovering LMH populations reverse this trend, or alternatively whether woody encroachment hinders ongoing restoration efforts. Catastrophic large-herbivore die-offs in Mozambique's Gorongosa National Park were followed by 35 years of woodland expansion, most severely in areas where pre-war wildlife biomass was greatest. These findings suggest that release from browsing supersedes grazer-grass-fire feedbacks in governing ecosystem-level tree cover, consistent with smaller-scale experimental results. Future work in Gorongosa will reveal whether recovering LMH populations reverse this trend, or alternatively whether woody encroachment hinders ongoing restoration. Journal of Ecology&quot;,&quot;issue&quot;:&quot;1&quot;,&quot;volume&quot;:&quot;104&quot;,&quot;container-title-short&quot;:&quot;&quot;},&quot;uris&quot;:[&quot;http://www.mendeley.com/documents/?uuid=fcbf5215-b351-4ade-9670-53ca705c307b&quot;],&quot;isTemporary&quot;:false,&quot;legacyDesktopId&quot;:&quot;fcbf5215-b351-4ade-9670-53ca705c307b&quot;}],&quot;citationTag&quot;:&quot;MENDELEY_CITATION_v3_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&quot;},{&quot;citationID&quot;:&quot;MENDELEY_CITATION_37829dde-ddbe-4ba3-b5a0-6db4b1dbc85d&quot;,&quot;properties&quot;:{&quot;noteIndex&quot;:0},&quot;isEdited&quot;:false,&quot;manualOverride&quot;:{&quot;citeprocText&quot;:&quot;(Stevens et al., 2016)&quot;,&quot;isManuallyOverridden&quot;:true,&quot;manualOverrideText&quot;:&quot;Stevens et al. (2016)&quot;},&quot;citationItems&quot;:[{&quot;id&quot;:&quot;81f957d2-d74a-3446-902a-d52946d76e75&quot;,&quot;itemData&quot;:{&quot;type&quot;:&quot;article-journal&quot;,&quot;id&quot;:&quot;81f957d2-d74a-3446-902a-d52946d76e75&quot;,&quot;title&quot;:&quot;Woody encroachment over 70 years in South African savannahs: overgrazing, global change or extinction aftershock?&quot;,&quot;author&quot;:[{&quot;family&quot;:&quot;Stevens&quot;,&quot;given&quot;:&quot;Nicola&quot;,&quot;parse-names&quot;:false,&quot;dropping-particle&quot;:&quot;&quot;,&quot;non-dropping-particle&quot;:&quot;&quot;},{&quot;family&quot;:&quot;Erasmus&quot;,&quot;given&quot;:&quot;B. F. N.&quot;,&quot;parse-names&quot;:false,&quot;dropping-particle&quot;:&quot;&quot;,&quot;non-dropping-particle&quot;:&quot;&quot;},{&quot;family&quot;:&quot;Archibald&quot;,&quot;given&quot;:&quot;S.&quot;,&quot;parse-names&quot;:false,&quot;dropping-particle&quot;:&quot;&quot;,&quot;non-dropping-particle&quot;:&quot;&quot;},{&quot;family&quot;:&quot;Bond&quot;,&quot;given&quot;:&quot;W. J.&quot;,&quot;parse-names&quot;:false,&quot;dropping-particle&quot;:&quot;&quot;,&quot;non-dropping-particle&quot;:&quot;&quot;}],&quot;container-title&quot;:&quot;Philosophical Transactions of the Royal Society B: Biological Sciences&quot;,&quot;DOI&quot;:&quot;10.1098/rstb.2015.0437&quot;,&quot;ISBN&quot;:&quot;0000000206938&quot;,&quot;ISSN&quot;:&quot;0962-8436&quot;,&quot;PMID&quot;:&quot;27502384&quot;,&quot;URL&quot;:&quot;http://rstb.royalsocietypublishing.org/lookup/doi/10.1098/rstb.2015.0437&quot;,&quot;issued&quot;:{&quot;date-parts&quot;:[[2016]]},&quot;page&quot;:&quot;20150437&quot;,&quot;abstract&quot;:&quot;One contribution of 15 to a theme issue 'Tropical grassy biomes: linking ecology, human use and conservation'. NS, 0000-0002-0693-8409; WJB, 0000-0002-3441-2084 Woody encroachment in 'open' biomes like grasslands and savannahs is occur-ring globally. Both local and global drivers, including elevated CO 2 , have been implicated in these increases. The relative importance of different processes is unresolved as there are few multi-site, multi-land-use evaluations of woody plant encroachment. We measured 70 years of woody cover changes over a 1020 km 2 area covering four land uses (commercial ranching, conservation with elephants, conservation without elephants and communal rangelands) across a rainfall gradient in South African savannahs. Different directions of woody cover change would be expected for each different land use, unless a global factor is causing the increases. Woody cover change was measured between 1940 and 2010 using the aerial photo record. Detection of woody cover from each aerial photograph was automated using eCognitions' Object-based image analysis (OBIA). Woody cover doubled in all land uses across the rainfall gradient, except in conservation areas with elephants in low-rainfall savannahs. Woody cover in 2010 in low-rainfall savannahs fre-quently exceeded the maximum woody cover threshold predicted for African savannahs. The results indicate that a global factor, of which elevated CO 2 is the likely candidate, may be driving encroachment. Elephants in low-rainfall savannahs prevent encroachment and localized megafaunal extinction is a probable additional cause of encroachment. This article is part of the themed issue 'Tropical grassy biomes: linking ecology, human use and conservation'.&quot;,&quot;issue&quot;:&quot;1703&quot;,&quot;volume&quot;:&quot;371&quot;,&quot;container-title-short&quot;:&quot;&quot;},&quot;uris&quot;:[&quot;http://www.mendeley.com/documents/?uuid=dc3ec0f7-d7c5-4d99-bfef-32ea2c847b72&quot;],&quot;isTemporary&quot;:false,&quot;legacyDesktopId&quot;:&quot;dc3ec0f7-d7c5-4d99-bfef-32ea2c847b72&quot;}],&quot;citationTag&quot;:&quot;MENDELEY_CITATION_v3_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&quot;},{&quot;citationID&quot;:&quot;MENDELEY_CITATION_f7ad3231-d9a6-44c1-88c6-c57b09f6df94&quot;,&quot;properties&quot;:{&quot;noteIndex&quot;:0},&quot;isEdited&quot;:false,&quot;manualOverride&quot;:{&quot;citeprocText&quot;:&quot;(Forkel et al., 2019)&quot;,&quot;isManuallyOverridden&quot;:true,&quot;manualOverrideText&quot;:&quot;Forkel et al. (2019)&quot;},&quot;citationItems&quot;:[{&quot;id&quot;:&quot;7d421d1c-0708-3a85-a272-f5ffcdff7730&quot;,&quot;itemData&quot;:{&quot;type&quot;:&quot;article-journal&quot;,&quot;id&quot;:&quot;7d421d1c-0708-3a85-a272-f5ffcdff7730&quot;,&quot;title&quot;:&quot;Recent global and regional trends in burned area and their compensating environmental controls&quot;,&quot;author&quot;:[{&quot;family&quot;:&quot;Forkel&quot;,&quot;given&quot;:&quot;Matthias&quot;,&quot;parse-names&quot;:false,&quot;dropping-particle&quot;:&quot;&quot;,&quot;non-dropping-particle&quot;:&quot;&quot;},{&quot;family&quot;:&quot;Dorigo&quot;,&quot;given&quot;:&quot;Wouter&quot;,&quot;parse-names&quot;:false,&quot;dropping-particle&quot;:&quot;&quot;,&quot;non-dropping-particle&quot;:&quot;&quot;},{&quot;family&quot;:&quot;Lasslop&quot;,&quot;given&quot;:&quot;Gitta&quot;,&quot;parse-names&quot;:false,&quot;dropping-particle&quot;:&quot;&quot;,&quot;non-dropping-particle&quot;:&quot;&quot;},{&quot;family&quot;:&quot;Chuvieco&quot;,&quot;given&quot;:&quot;Emilio&quot;,&quot;parse-names&quot;:false,&quot;dropping-particle&quot;:&quot;&quot;,&quot;non-dropping-particle&quot;:&quot;&quot;},{&quot;family&quot;:&quot;Hantson&quot;,&quot;given&quot;:&quot;Stijn&quot;,&quot;parse-names&quot;:false,&quot;dropping-particle&quot;:&quot;&quot;,&quot;non-dropping-particle&quot;:&quot;&quot;},{&quot;family&quot;:&quot;Heil&quot;,&quot;given&quot;:&quot;Angelika&quot;,&quot;parse-names&quot;:false,&quot;dropping-particle&quot;:&quot;&quot;,&quot;non-dropping-particle&quot;:&quot;&quot;},{&quot;family&quot;:&quot;Teubner&quot;,&quot;given&quot;:&quot;Irene&quot;,&quot;parse-names&quot;:false,&quot;dropping-particle&quot;:&quot;&quot;,&quot;non-dropping-particle&quot;:&quot;&quot;},{&quot;family&quot;:&quot;Thonicke&quot;,&quot;given&quot;:&quot;Kirsten&quot;,&quot;parse-names&quot;:false,&quot;dropping-particle&quot;:&quot;&quot;,&quot;non-dropping-particle&quot;:&quot;&quot;},{&quot;family&quot;:&quot;Harrison&quot;,&quot;given&quot;:&quot;Sandy P&quot;,&quot;parse-names&quot;:false,&quot;dropping-particle&quot;:&quot;&quot;,&quot;non-dropping-particle&quot;:&quot;&quot;}],&quot;container-title&quot;:&quot;Environmental Research Communications&quot;,&quot;DOI&quot;:&quot;10.1088/2515-7620/ab25d2&quot;,&quot;issued&quot;:{&quot;date-parts&quot;:[[2019]]},&quot;page&quot;:&quot;051005&quot;,&quot;publisher&quot;:&quot;IOP Publishing&quot;,&quot;issue&quot;:&quot;5&quot;,&quot;volume&quot;:&quot;1&quot;,&quot;container-title-short&quot;:&quot;Environ Res Commun&quot;},&quot;uris&quot;:[&quot;http://www.mendeley.com/documents/?uuid=935c9cb8-9b36-4f93-b786-1c68ce25ef2d&quot;],&quot;isTemporary&quot;:false,&quot;legacyDesktopId&quot;:&quot;935c9cb8-9b36-4f93-b786-1c68ce25ef2d&quot;}],&quot;citationTag&quot;:&quot;MENDELEY_CITATION_v3_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&quot;},{&quot;citationID&quot;:&quot;MENDELEY_CITATION_e01ab098-b829-4298-8da7-9b9676c5499e&quot;,&quot;properties&quot;:{&quot;noteIndex&quot;:0},&quot;isEdited&quot;:false,&quot;manualOverride&quot;:{&quot;citeprocText&quot;:&quot;(Bowman et al., 2020)&quot;,&quot;isManuallyOverridden&quot;:true,&quot;manualOverrideText&quot;:&quot;Bowman et al. (2020)&quot;},&quot;citationItems&quot;:[{&quot;id&quot;:&quot;04985541-2422-3942-8e98-b392c845ce90&quot;,&quot;itemData&quot;:{&quot;type&quot;:&quot;article-journal&quot;,&quot;id&quot;:&quot;04985541-2422-3942-8e98-b392c845ce90&quot;,&quot;title&quot;:&quot;Vegetation fires in the Anthropocene&quot;,&quot;author&quot;:[{&quot;family&quot;:&quot;Bowman&quot;,&quot;given&quot;:&quot;David M.J.S.&quot;,&quot;parse-names&quot;:false,&quot;dropping-particle&quot;:&quot;&quot;,&quot;non-dropping-particle&quot;:&quot;&quot;},{&quot;family&quot;:&quot;Kolden&quot;,&quot;given&quot;:&quot;Crystal A.&quot;,&quot;parse-names&quot;:false,&quot;dropping-particle&quot;:&quot;&quot;,&quot;non-dropping-particle&quot;:&quot;&quot;},{&quot;family&quot;:&quot;Abatzoglou&quot;,&quot;given&quot;:&quot;John T.&quot;,&quot;parse-names&quot;:false,&quot;dropping-particle&quot;:&quot;&quot;,&quot;non-dropping-particle&quot;:&quot;&quot;},{&quot;family&quot;:&quot;Johnston&quot;,&quot;given&quot;:&quot;Fay H.&quot;,&quot;parse-names&quot;:false,&quot;dropping-particle&quot;:&quot;&quot;,&quot;non-dropping-particle&quot;:&quot;&quot;},{&quot;family&quot;:&quot;Werf&quot;,&quot;given&quot;:&quot;Guido R.&quot;,&quot;parse-names&quot;:false,&quot;dropping-particle&quot;:&quot;&quot;,&quot;non-dropping-particle&quot;:&quot;van der&quot;},{&quot;family&quot;:&quot;Flannigan&quot;,&quot;given&quot;:&quot;Mike&quot;,&quot;parse-names&quot;:false,&quot;dropping-particle&quot;:&quot;&quot;,&quot;non-dropping-particle&quot;:&quot;&quot;}],&quot;container-title&quot;:&quot;Nature Reviews Earth and Environment&quot;,&quot;DOI&quot;:&quot;10.1038/s43017-020-0085-3&quot;,&quot;ISSN&quot;:&quot;2662138X&quot;,&quot;URL&quot;:&quot;http://dx.doi.org/10.1038/s43017-020-0085-3&quot;,&quot;issued&quot;:{&quot;date-parts&quot;:[[2020]]},&quot;page&quot;:&quot;500-515&quot;,&quot;abstract&quot;:&quot;Vegetation fires are an essential component of the Earth system but can also cause substantial economic losses, severe air pollution, human mortality and environmental damage. Contemporary fire regimes are increasingly impacted by human activities and climate change, but, owing to the complex fire–human–climate interactions and incomplete historical or long-term datasets, it is difficult to detect and project fire-regime trajectories. In this Review, we describe recent global and regional trends in fire activity and examine projections for fire regimes in the near future. Although there are large uncertainties, it is likely that the economic and environmental impacts of vegetation fires will worsen as a result of anthropogenic climate change. These effects will be particularly prominent in flammable forests in populated temperate zones, the sparsely inhabited flammable boreal zone and fire-sensitive tropical rainforests, and will contribute to greenhouse gas emissions. The impacts of increased fire activity can be mitigated through effective stewardship of fire regimes, which should be achieved through evidence-based fire management that incorporates indigenous and local knowledge, combined with planning and design of natural and urban landscapes. Increasing transdisciplinary research is needed to fully understand how Anthropocene fire regimes are changing and how humans must adapt.&quot;,&quot;publisher&quot;:&quot;Springer US&quot;,&quot;issue&quot;:&quot;10&quot;,&quot;volume&quot;:&quot;1&quot;,&quot;container-title-short&quot;:&quot;Nat Rev Earth Environ&quot;},&quot;uris&quot;:[&quot;http://www.mendeley.com/documents/?uuid=a2490c3e-9b05-475d-8dff-e3063b7bfb5c&quot;],&quot;isTemporary&quot;:false,&quot;legacyDesktopId&quot;:&quot;a2490c3e-9b05-475d-8dff-e3063b7bfb5c&quot;}],&quot;citationTag&quot;:&quot;MENDELEY_CITATION_v3_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&quot;},{&quot;citationID&quot;:&quot;MENDELEY_CITATION_4c535d2a-0a4f-48fd-9e29-109a28eddac4&quot;,&quot;properties&quot;:{&quot;noteIndex&quot;:0},&quot;isEdited&quot;:false,&quot;manualOverride&quot;:{&quot;citeprocText&quot;:&quot;(Devine et al., 2017)&quot;,&quot;isManuallyOverridden&quot;:true,&quot;manualOverrideText&quot;:&quot;Devine et al. (2017)&quot;},&quot;citationItems&quot;:[{&quot;id&quot;:&quot;2523998f-3039-3522-8ad5-f5e6bfe684b8&quot;,&quot;itemData&quot;:{&quot;type&quot;:&quot;article-journal&quot;,&quot;id&quot;:&quot;2523998f-3039-3522-8ad5-f5e6bfe684b8&quot;,&quot;title&quot;:&quot;Determinants of woody encroachment and cover in African savannas&quot;,&quot;author&quot;:[{&quot;family&quot;:&quot;Devine&quot;,&quot;given&quot;:&quot;Aisling P.&quot;,&quot;parse-names&quot;:false,&quot;dropping-particle&quot;:&quot;&quot;,&quot;non-dropping-particle&quot;:&quot;&quot;},{&quot;family&quot;:&quot;McDonald&quot;,&quot;given&quot;:&quot;Robbie A.&quot;,&quot;parse-names&quot;:false,&quot;dropping-particle&quot;:&quot;&quot;,&quot;non-dropping-particle&quot;:&quot;&quot;},{&quot;family&quot;:&quot;Quaife&quot;,&quot;given&quot;:&quot;Tristan&quot;,&quot;parse-names&quot;:false,&quot;dropping-particle&quot;:&quot;&quot;,&quot;non-dropping-particle&quot;:&quot;&quot;},{&quot;family&quot;:&quot;Maclean&quot;,&quot;given&quot;:&quot;Ilya M.D.&quot;,&quot;parse-names&quot;:false,&quot;dropping-particle&quot;:&quot;&quot;,&quot;non-dropping-particle&quot;:&quot;&quot;}],&quot;container-title&quot;:&quot;Oecologia&quot;,&quot;DOI&quot;:&quot;10.1007/s00442-017-3807-6&quot;,&quot;ISSN&quot;:&quot;00298549&quot;,&quot;PMID&quot;:&quot;28116524&quot;,&quot;issued&quot;:{&quot;date-parts&quot;:[[2017]]},&quot;page&quot;:&quot;939-951&quot;,&quot;abstract&quot;:&quot;Savanna ecosystems are an integral part of the African landscape and sustain the livelihoods of millions of people. Woody encroachment in savannas is a wide- spread phenomenon but its causes are widely debated. We review the extensive literature on woody encroachment to help improve understanding of the possible causes and to highlight where and how future scientific efforts to fully understand these causes should be focused. Rainfall is the most important determinant of maximum woody cover across Africa, but fire and herbivory interact to reduce woody cover below the maximum at many locations. We postulate that woody encroachment is most likely driven by CO2 enrichment and propose a two-system conceptual framework, whereby mechanisms of woody encroach- ment differ depending on whether the savanna is a wet or dry system. In dry savannas, the increased water-use effi- ciency in plants relaxes precipitation-driven constraints and increases woody growth. In wet savannas, the increase of carbon allocation to tree roots results in faster recovery rates after disturbance and a greater likelihood of reach- ing sexual maturity. Our proposed framework can be tested using a mixture of experimental and earth observational techniques. At a local level, changes in precipitation, burn- ing regimes or herbivory could be driving woody encroach- ment, but are unlikely to be the explanation of this conti- nent-wide phenomenon.&quot;,&quot;publisher&quot;:&quot;Springer Berlin Heidelberg&quot;,&quot;issue&quot;:&quot;4&quot;,&quot;volume&quot;:&quot;183&quot;,&quot;container-title-short&quot;:&quot;Oecologia&quot;},&quot;uris&quot;:[&quot;http://www.mendeley.com/documents/?uuid=3662fcf6-684f-4ca3-95ed-090528c4ada3&quot;],&quot;isTemporary&quot;:false,&quot;legacyDesktopId&quot;:&quot;3662fcf6-684f-4ca3-95ed-090528c4ada3&quot;}],&quot;citationTag&quot;:&quot;MENDELEY_CITATION_v3_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&quot;},{&quot;citationID&quot;:&quot;MENDELEY_CITATION_18a9e4f7-98d9-4660-81b0-bf264d2bccc3&quot;,&quot;properties&quot;:{&quot;noteIndex&quot;:0},&quot;isEdited&quot;:false,&quot;manualOverride&quot;:{&quot;citeprocText&quot;:&quot;(Osborne et al., 2018)&quot;,&quot;isManuallyOverridden&quot;:true,&quot;manualOverrideText&quot;:&quot;Osborne et al. (2018)&quot;},&quot;citationItems&quot;:[{&quot;id&quot;:&quot;2bb6283f-34b6-3296-982a-00f6fde87f9f&quot;,&quot;itemData&quot;:{&quot;type&quot;:&quot;article-journal&quot;,&quot;id&quot;:&quot;2bb6283f-34b6-3296-982a-00f6fde87f9f&quot;,&quot;title&quot;:&quot;Human impacts in African savannas are mediated by plant functional traits&quot;,&quot;author&quot;:[{&quot;family&quot;:&quot;Osborne&quot;,&quot;given&quot;:&quot;Colin P.&quot;,&quot;parse-names&quot;:false,&quot;dropping-particle&quot;:&quot;&quot;,&quot;non-dropping-particle&quot;:&quot;&quot;},{&quot;family&quot;:&quot;Charles-Dominique&quot;,&quot;given&quot;:&quot;Tristan&quot;,&quot;parse-names&quot;:false,&quot;dropping-particle&quot;:&quot;&quot;,&quot;non-dropping-particle&quot;:&quot;&quot;},{&quot;family&quot;:&quot;Stevens&quot;,&quot;given&quot;:&quot;Nicola&quot;,&quot;parse-names&quot;:false,&quot;dropping-particle&quot;:&quot;&quot;,&quot;non-dropping-particle&quot;:&quot;&quot;},{&quot;family&quot;:&quot;Bond&quot;,&quot;given&quot;:&quot;William J.&quot;,&quot;parse-names&quot;:false,&quot;dropping-particle&quot;:&quot;&quot;,&quot;non-dropping-particle&quot;:&quot;&quot;},{&quot;family&quot;:&quot;Midgley&quot;,&quot;given&quot;:&quot;Guy&quot;,&quot;parse-names&quot;:false,&quot;dropping-particle&quot;:&quot;&quot;,&quot;non-dropping-particle&quot;:&quot;&quot;},{&quot;family&quot;:&quot;Lehmann&quot;,&quot;given&quot;:&quot;Caroline E.R.&quot;,&quot;parse-names&quot;:false,&quot;dropping-particle&quot;:&quot;&quot;,&quot;non-dropping-particle&quot;:&quot;&quot;}],&quot;container-title&quot;:&quot;New Phytologist&quot;,&quot;DOI&quot;:&quot;10.1111/nph.15236&quot;,&quot;ISSN&quot;:&quot;14698137&quot;,&quot;issued&quot;:{&quot;date-parts&quot;:[[2018]]},&quot;page&quot;:&quot;10-24&quot;,&quot;abstract&quot;:&quot;Tropical savannas have a ground cover dominated by C 4 grasses, with fire and herbivory constraining woody cover below a rainfall-based potential. The savanna biome covers 50% of the African continent, encompassing diverse ecosystems that include densely wooded Miombo woodlands and Serengeti grasslands with scat-tered trees. African savannas provide water, grazing and browsing, food and fuel for tens of millions of people, and have a unique biodiversity that supports wildlife tourism. However, human impacts are causing widespread and accelerating degradation of savannas. The primary threats are land cover-change and transfor-mation, landscape fragmentation that disrupts herbivore commu-nities and fire regimes, climate change and rising atmospheric CO 2 . The interactions among these threats are poorly understood, with unknown consequences for ecosystem health and human liveli-hoods. We argue that the unique combinations of plant functional traits characterizing the major floristic assemblages of African savannas make them differentially susceptible and resilient to anthropogenic drivers of ecosystem change. Research must address how this functional diversity among African savannas differentially influences their vulnerability to global change and elucidate the mechanisms responsible. This knowledge will permit appropriate management strategies to be developed to maintain ecosystem integrity, biodiversity and livelihoods. African savannas face multiple anthropogenic threats&quot;,&quot;volume&quot;:&quot;220&quot;,&quot;container-title-short&quot;:&quot;&quot;},&quot;uris&quot;:[&quot;http://www.mendeley.com/documents/?uuid=776933ac-f1f4-4b90-9c0f-0595c2d498ba&quot;],&quot;isTemporary&quot;:false,&quot;legacyDesktopId&quot;:&quot;776933ac-f1f4-4b90-9c0f-0595c2d498ba&quot;}],&quot;citationTag&quot;:&quot;MENDELEY_CITATION_v3_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&quot;},{&quot;citationID&quot;:&quot;MENDELEY_CITATION_8b05eb83-3a48-4381-b43a-35310a9f7984&quot;,&quot;properties&quot;:{&quot;noteIndex&quot;:0},&quot;isEdited&quot;:false,&quot;manualOverride&quot;:{&quot;citeprocText&quot;:&quot;(Staver et al., 2017)&quot;,&quot;isManuallyOverridden&quot;:true,&quot;manualOverrideText&quot;:&quot;Staver et al. (2017)&quot;},&quot;citationItems&quot;:[{&quot;id&quot;:&quot;2709fee2-2fe7-35ce-bc5a-8b38318e2b7e&quot;,&quot;itemData&quot;:{&quot;type&quot;:&quot;article-journal&quot;,&quot;id&quot;:&quot;2709fee2-2fe7-35ce-bc5a-8b38318e2b7e&quot;,&quot;title&quot;:&quot;Soils and fire jointly determine vegetation structure in an African savanna&quot;,&quot;author&quot;:[{&quot;family&quot;:&quot;Staver&quot;,&quot;given&quot;:&quot;A. Carla&quot;,&quot;parse-names&quot;:false,&quot;dropping-particle&quot;:&quot;&quot;,&quot;non-dropping-particle&quot;:&quot;&quot;},{&quot;family&quot;:&quot;Botha&quot;,&quot;given&quot;:&quot;Judith&quot;,&quot;parse-names&quot;:false,&quot;dropping-particle&quot;:&quot;&quot;,&quot;non-dropping-particle&quot;:&quot;&quot;},{&quot;family&quot;:&quot;Hedin&quot;,&quot;given&quot;:&quot;Lars&quot;,&quot;parse-names&quot;:false,&quot;dropping-particle&quot;:&quot;&quot;,&quot;non-dropping-particle&quot;:&quot;&quot;}],&quot;container-title&quot;:&quot;New Phytologist&quot;,&quot;DOI&quot;:&quot;10.1111/nph.14738&quot;,&quot;ISSN&quot;:&quot;14698137&quot;,&quot;issued&quot;:{&quot;date-parts&quot;:[[2017]]},&quot;page&quot;:&quot;1151-1160&quot;,&quot;abstract&quot;:&quot;Savanna vegetation is variable, and predicting how water, nutrients, and chronic disturbances interact to determine vegetation structure in savannas represents a challenge. Here, we examined in situ interactions among rainfall, soils, grasses, fire, and elephants that determine tree layer responses to resource gradients in Kruger National Park in South Africa, using 363 long-term monitoring sites throughout the park. Grass biomass increased with rainfall and on nutrient-rich clay soils. Fire frequency, too, increased with rainfall. Conversely, tree density was greater on sandier soils, where water infiltrates more readily, and in areas where the maximum interval between fires was longer, irrespective of average fire frequency. Elephant density responded positively to tree density, but did not contribute significantly to decreasing tree density. Savanna vegetation structure was reasonably predictable, via a combination of rainfall (favoring grasses), soil (sandy soils favoring trees), and fire (limiting trees until a longer interval between fires allows them to establish). Explicit consideration of bottom-up and top-down interactions may thus contribute to a predictive understanding of savanna vegetation heterogeneity.&quot;,&quot;issue&quot;:&quot;4&quot;,&quot;volume&quot;:&quot;216&quot;,&quot;container-title-short&quot;:&quot;&quot;},&quot;uris&quot;:[&quot;http://www.mendeley.com/documents/?uuid=d7c12230-a55d-41fc-8935-e03bfbe46840&quot;],&quot;isTemporary&quot;:false,&quot;legacyDesktopId&quot;:&quot;d7c12230-a55d-41fc-8935-e03bfbe46840&quot;}],&quot;citationTag&quot;:&quot;MENDELEY_CITATION_v3_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&quot;},{&quot;citationID&quot;:&quot;MENDELEY_CITATION_95ab1042-f8b2-4085-99c7-2d4794e4dd53&quot;,&quot;properties&quot;:{&quot;noteIndex&quot;:0},&quot;isEdited&quot;:false,&quot;manualOverride&quot;:{&quot;citeprocText&quot;:&quot;(ESA, 2017)&quot;,&quot;isManuallyOverridden&quot;:false,&quot;manualOverrideText&quot;:&quot;&quot;},&quot;citationTag&quot;:&quot;MENDELEY_CITATION_v3_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&quot;,&quot;citationItems&quot;:[{&quot;id&quot;:&quot;950ece99-8f3f-3701-ace1-b8fe76b0b4c0&quot;,&quot;itemData&quot;:{&quot;type&quot;:&quot;report&quot;,&quot;id&quot;:&quot;950ece99-8f3f-3701-ace1-b8fe76b0b4c0&quot;,&quot;title&quot;:&quot;Land Cover CCI: Product User Guide Version 2.0&quot;,&quot;author&quot;:[{&quot;family&quot;:&quot;ESA&quot;,&quot;given&quot;:&quot;&quot;,&quot;parse-names&quot;:false,&quot;dropping-particle&quot;:&quot;&quot;,&quot;non-dropping-particle&quot;:&quot;&quot;}],&quot;issued&quot;:{&quot;date-parts&quot;:[[2017]]},&quot;publisher-place&quot;:&quot;UCL-Geomatics (Belgium)&quot;,&quot;number-of-pages&quot;:&quot;105&quot;,&quot;container-title-short&quot;:&quot;&quot;},&quot;uris&quot;:[&quot;http://www.mendeley.com/documents/?uuid=f80aa585-cec6-4df2-a3c0-5f17ca7ffea6&quot;],&quot;isTemporary&quot;:false,&quot;legacyDesktopId&quot;:&quot;f80aa585-cec6-4df2-a3c0-5f17ca7ffea6&quot;}]},{&quot;citationID&quot;:&quot;MENDELEY_CITATION_50616a89-e3e4-4bc1-b310-d9b4a11f140a&quot;,&quot;properties&quot;:{&quot;noteIndex&quot;:0},&quot;isEdited&quot;:false,&quot;manualOverride&quot;:{&quot;citeprocText&quot;:&quot;(Dinerstein et al., 2017)&quot;,&quot;isManuallyOverridden&quot;:false,&quot;manualOverrideText&quot;:&quot;&quot;},&quot;citationTag&quot;:&quot;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&quot;,&quot;citationItems&quot;:[{&quot;id&quot;:&quot;4c2194bf-aaf1-3ac0-a06c-0258aa0b87ba&quot;,&quot;itemData&quot;:{&quot;type&quot;:&quot;article-journal&quot;,&quot;id&quot;:&quot;4c2194bf-aaf1-3ac0-a06c-0258aa0b87ba&quot;,&quot;title&quot;:&quot;An Ecoregion-Based Approach to Protecting Half the Terrestrial Realm&quot;,&quot;author&quot;:[{&quot;family&quot;:&quot;Dinerstein&quot;,&quot;given&quot;:&quot;Eric&quot;,&quot;parse-names&quot;:false,&quot;dropping-particle&quot;:&quot;&quot;,&quot;non-dropping-particle&quot;:&quot;&quot;},{&quot;family&quot;:&quot;Olson&quot;,&quot;given&quot;:&quot;David&quot;,&quot;parse-names&quot;:false,&quot;dropping-particle&quot;:&quot;&quot;,&quot;non-dropping-particle&quot;:&quot;&quot;},{&quot;family&quot;:&quot;Joshi&quot;,&quot;given&quot;:&quot;Anup&quot;,&quot;parse-names&quot;:false,&quot;dropping-particle&quot;:&quot;&quot;,&quot;non-dropping-particle&quot;:&quot;&quot;},{&quot;family&quot;:&quot;Vynne&quot;,&quot;given&quot;:&quot;Carly&quot;,&quot;parse-names&quot;:false,&quot;dropping-particle&quot;:&quot;&quot;,&quot;non-dropping-particle&quot;:&quot;&quot;},{&quot;family&quot;:&quot;Burgess&quot;,&quot;given&quot;:&quot;Neil D.&quot;,&quot;parse-names&quot;:false,&quot;dropping-particle&quot;:&quot;&quot;,&quot;non-dropping-particle&quot;:&quot;&quot;},{&quot;family&quot;:&quot;Wikramanayake&quot;,&quot;given&quot;:&quot;Eric&quot;,&quot;parse-names&quot;:false,&quot;dropping-particle&quot;:&quot;&quot;,&quot;non-dropping-particle&quot;:&quot;&quot;},{&quot;family&quot;:&quot;Hahn&quot;,&quot;given&quot;:&quot;Nathan&quot;,&quot;parse-names&quot;:false,&quot;dropping-particle&quot;:&quot;&quot;,&quot;non-dropping-particle&quot;:&quot;&quot;},{&quot;family&quot;:&quot;Palminteri&quot;,&quot;given&quot;:&quot;Suzanne&quot;,&quot;parse-names&quot;:false,&quot;dropping-particle&quot;:&quot;&quot;,&quot;non-dropping-particle&quot;:&quot;&quot;},{&quot;family&quot;:&quot;Hedao&quot;,&quot;given&quot;:&quot;Prashant&quot;,&quot;parse-names&quot;:false,&quot;dropping-particle&quot;:&quot;&quot;,&quot;non-dropping-particle&quot;:&quot;&quot;},{&quot;family&quot;:&quot;Noss&quot;,&quot;given&quot;:&quot;Reed&quot;,&quot;parse-names&quot;:false,&quot;dropping-particle&quot;:&quot;&quot;,&quot;non-dropping-particle&quot;:&quot;&quot;},{&quot;family&quot;:&quot;Hansen&quot;,&quot;given&quot;:&quot;Matt&quot;,&quot;parse-names&quot;:false,&quot;dropping-particle&quot;:&quot;&quot;,&quot;non-dropping-particle&quot;:&quot;&quot;},{&quot;family&quot;:&quot;Locke&quot;,&quot;given&quot;:&quot;Harvey&quot;,&quot;parse-names&quot;:false,&quot;dropping-particle&quot;:&quot;&quot;,&quot;non-dropping-particle&quot;:&quot;&quot;},{&quot;family&quot;:&quot;Ellis&quot;,&quot;given&quot;:&quot;Erle C.&quot;,&quot;parse-names&quot;:false,&quot;dropping-particle&quot;:&quot;&quot;,&quot;non-dropping-particle&quot;:&quot;&quot;},{&quot;family&quot;:&quot;Jones&quot;,&quot;given&quot;:&quot;Benjamin&quot;,&quot;parse-names&quot;:false,&quot;dropping-particle&quot;:&quot;&quot;,&quot;non-dropping-particle&quot;:&quot;&quot;},{&quot;family&quot;:&quot;Barber&quot;,&quot;given&quot;:&quot;Charles Victor&quot;,&quot;parse-names&quot;:false,&quot;dropping-particle&quot;:&quot;&quot;,&quot;non-dropping-particle&quot;:&quot;&quot;},{&quot;family&quot;:&quot;Hayes&quot;,&quot;given&quot;:&quot;Randy&quot;,&quot;parse-names&quot;:false,&quot;dropping-particle&quot;:&quot;&quot;,&quot;non-dropping-particle&quot;:&quot;&quot;},{&quot;family&quot;:&quot;Kormos&quot;,&quot;given&quot;:&quot;Cyril&quot;,&quot;parse-names&quot;:false,&quot;dropping-particle&quot;:&quot;&quot;,&quot;non-dropping-particle&quot;:&quot;&quot;},{&quot;family&quot;:&quot;Martin&quot;,&quot;given&quot;:&quot;Vance&quot;,&quot;parse-names&quot;:false,&quot;dropping-particle&quot;:&quot;&quot;,&quot;non-dropping-particle&quot;:&quot;&quot;},{&quot;family&quot;:&quot;Crist&quot;,&quot;given&quot;:&quot;Eileen&quot;,&quot;parse-names&quot;:false,&quot;dropping-particle&quot;:&quot;&quot;,&quot;non-dropping-particle&quot;:&quot;&quot;},{&quot;family&quot;:&quot;Sechrest&quot;,&quot;given&quot;:&quot;Wes&quot;,&quot;parse-names&quot;:false,&quot;dropping-particle&quot;:&quot;&quot;,&quot;non-dropping-particle&quot;:&quot;&quot;},{&quot;family&quot;:&quot;Price&quot;,&quot;given&quot;:&quot;Lori&quot;,&quot;parse-names&quot;:false,&quot;dropping-particle&quot;:&quot;&quot;,&quot;non-dropping-particle&quot;:&quot;&quot;},{&quot;family&quot;:&quot;Baillie&quot;,&quot;given&quot;:&quot;Jonathan E.M.&quot;,&quot;parse-names&quot;:false,&quot;dropping-particle&quot;:&quot;&quot;,&quot;non-dropping-particle&quot;:&quot;&quot;},{&quot;family&quot;:&quot;Weeden&quot;,&quot;given&quot;:&quot;Don&quot;,&quot;parse-names&quot;:false,&quot;dropping-particle&quot;:&quot;&quot;,&quot;non-dropping-particle&quot;:&quot;&quot;},{&quot;family&quot;:&quot;Suckling&quot;,&quot;given&quot;:&quot;Kierán&quot;,&quot;parse-names&quot;:false,&quot;dropping-particle&quot;:&quot;&quot;,&quot;non-dropping-particle&quot;:&quot;&quot;},{&quot;family&quot;:&quot;Davis&quot;,&quot;given&quot;:&quot;Crystal&quot;,&quot;parse-names&quot;:false,&quot;dropping-particle&quot;:&quot;&quot;,&quot;non-dropping-particle&quot;:&quot;&quot;},{&quot;family&quot;:&quot;Sizer&quot;,&quot;given&quot;:&quot;Nigel&quot;,&quot;parse-names&quot;:false,&quot;dropping-particle&quot;:&quot;&quot;,&quot;non-dropping-particle&quot;:&quot;&quot;},{&quot;family&quot;:&quot;Moore&quot;,&quot;given&quot;:&quot;Rebecca&quot;,&quot;parse-names&quot;:false,&quot;dropping-particle&quot;:&quot;&quot;,&quot;non-dropping-particle&quot;:&quot;&quot;},{&quot;family&quot;:&quot;Thau&quot;,&quot;given&quot;:&quot;David&quot;,&quot;parse-names&quot;:false,&quot;dropping-particle&quot;:&quot;&quot;,&quot;non-dropping-particle&quot;:&quot;&quot;},{&quot;family&quot;:&quot;Birch&quot;,&quot;given&quot;:&quot;Tanya&quot;,&quot;parse-names&quot;:false,&quot;dropping-particle&quot;:&quot;&quot;,&quot;non-dropping-particle&quot;:&quot;&quot;},{&quot;family&quot;:&quot;Potapov&quot;,&quot;given&quot;:&quot;Peter&quot;,&quot;parse-names&quot;:false,&quot;dropping-particle&quot;:&quot;&quot;,&quot;non-dropping-particle&quot;:&quot;&quot;},{&quot;family&quot;:&quot;Turubanova&quot;,&quot;given&quot;:&quot;Svetlana&quot;,&quot;parse-names&quot;:false,&quot;dropping-particle&quot;:&quot;&quot;,&quot;non-dropping-particle&quot;:&quot;&quot;},{&quot;family&quot;:&quot;Tyukavina&quot;,&quot;given&quot;:&quot;Alexandra&quot;,&quot;parse-names&quot;:false,&quot;dropping-particle&quot;:&quot;&quot;,&quot;non-dropping-particle&quot;:&quot;&quot;},{&quot;family&quot;:&quot;Souza&quot;,&quot;given&quot;:&quot;Nadia&quot;,&quot;parse-names&quot;:false,&quot;dropping-particle&quot;:&quot;&quot;,&quot;non-dropping-particle&quot;:&quot;de&quot;},{&quot;family&quot;:&quot;Pintea&quot;,&quot;given&quot;:&quot;Lilian&quot;,&quot;parse-names&quot;:false,&quot;dropping-particle&quot;:&quot;&quot;,&quot;non-dropping-particle&quot;:&quot;&quot;},{&quot;family&quot;:&quot;Brito&quot;,&quot;given&quot;:&quot;Joscrossed C.&quot;,&quot;parse-names&quot;:false,&quot;dropping-particle&quot;:&quot;&quot;,&quot;non-dropping-particle&quot;:&quot;&quot;},{&quot;family&quot;:&quot;Llewellyn&quot;,&quot;given&quot;:&quot;Othman A.&quot;,&quot;parse-names&quot;:false,&quot;dropping-particle&quot;:&quot;&quot;,&quot;non-dropping-particle&quot;:&quot;&quot;},{&quot;family&quot;:&quot;Miller&quot;,&quot;given&quot;:&quot;Anthony G.&quot;,&quot;parse-names&quot;:false,&quot;dropping-particle&quot;:&quot;&quot;,&quot;non-dropping-particle&quot;:&quot;&quot;},{&quot;family&quot;:&quot;Patzelt&quot;,&quot;given&quot;:&quot;Annette&quot;,&quot;parse-names&quot;:false,&quot;dropping-particle&quot;:&quot;&quot;,&quot;non-dropping-particle&quot;:&quot;&quot;},{&quot;family&quot;:&quot;Ghazanfar&quot;,&quot;given&quot;:&quot;Shahina A.&quot;,&quot;parse-names&quot;:false,&quot;dropping-particle&quot;:&quot;&quot;,&quot;non-dropping-particle&quot;:&quot;&quot;},{&quot;family&quot;:&quot;Timberlake&quot;,&quot;given&quot;:&quot;Jonathan&quot;,&quot;parse-names&quot;:false,&quot;dropping-particle&quot;:&quot;&quot;,&quot;non-dropping-particle&quot;:&quot;&quot;},{&quot;family&quot;:&quot;Klöser&quot;,&quot;given&quot;:&quot;Heinz&quot;,&quot;parse-names&quot;:false,&quot;dropping-particle&quot;:&quot;&quot;,&quot;non-dropping-particle&quot;:&quot;&quot;},{&quot;family&quot;:&quot;Shennan-Farpón&quot;,&quot;given&quot;:&quot;Yara&quot;,&quot;parse-names&quot;:false,&quot;dropping-particle&quot;:&quot;&quot;,&quot;non-dropping-particle&quot;:&quot;&quot;},{&quot;family&quot;:&quot;Kindt&quot;,&quot;given&quot;:&quot;Roeland&quot;,&quot;parse-names&quot;:false,&quot;dropping-particle&quot;:&quot;&quot;,&quot;non-dropping-particle&quot;:&quot;&quot;},{&quot;family&quot;:&quot;Lillesø&quot;,&quot;given&quot;:&quot;Jens Peter Barnekow&quot;,&quot;parse-names&quot;:false,&quot;dropping-particle&quot;:&quot;&quot;,&quot;non-dropping-particle&quot;:&quot;&quot;},{&quot;family&quot;:&quot;Breugel&quot;,&quot;given&quot;:&quot;Paulo&quot;,&quot;parse-names&quot;:false,&quot;dropping-particle&quot;:&quot;&quot;,&quot;non-dropping-particle&quot;:&quot;van&quot;},{&quot;family&quot;:&quot;Graudal&quot;,&quot;given&quot;:&quot;Lars&quot;,&quot;parse-names&quot;:false,&quot;dropping-particle&quot;:&quot;&quot;,&quot;non-dropping-particle&quot;:&quot;&quot;},{&quot;family&quot;:&quot;Voge&quot;,&quot;given&quot;:&quot;Maianna&quot;,&quot;parse-names&quot;:false,&quot;dropping-particle&quot;:&quot;&quot;,&quot;non-dropping-particle&quot;:&quot;&quot;},{&quot;family&quot;:&quot;Al-Shammari&quot;,&quot;given&quot;:&quot;Khalaf F.&quot;,&quot;parse-names&quot;:false,&quot;dropping-particle&quot;:&quot;&quot;,&quot;non-dropping-particle&quot;:&quot;&quot;},{&quot;family&quot;:&quot;Saleem&quot;,&quot;given&quot;:&quot;Muhammad&quot;,&quot;parse-names&quot;:false,&quot;dropping-particle&quot;:&quot;&quot;,&quot;non-dropping-particle&quot;:&quot;&quot;}],&quot;container-title&quot;:&quot;BioScience&quot;,&quot;DOI&quot;:&quot;10.1093/biosci/bix014&quot;,&quot;ISSN&quot;:&quot;15253244&quot;,&quot;issued&quot;:{&quot;date-parts&quot;:[[2017]]},&quot;page&quot;:&quot;534-545&quot;,&quot;abstract&quot;:&quot;We assess progress toward the protection of 50% of the terrestrial biosphere to address the species-extinction crisis and conserve a global ecological heritage for future generations. Using a map of Earth's 846 terrestrial ecoregions, we show that 98 ecoregions (12%) exceed Half Protected; 313 ecoregions (37%) fall short of Half Protected but have sufficient unaltered habitat remaining to reach the target; and 207 ecoregions (24%) are in peril, where an average of only 4% of natural habitat remains. We propose a Global Deal for Nature-a companion to the Paris Climate Deal-to promote increased habitat protection and restoration, national- and ecoregion-scale conservation strategies, and the empowerment of indigenous peoples to protect their sovereign lands. The goal of such an accord would be to protect half the terrestrial realm by 2050 to halt the extinction crisis while sustaining human livelihoods.&quot;,&quot;issue&quot;:&quot;6&quot;,&quot;volume&quot;:&quot;67&quot;,&quot;container-title-short&quot;:&quot;Bioscience&quot;},&quot;uris&quot;:[&quot;http://www.mendeley.com/documents/?uuid=233f03f8-5dbd-4d00-83a0-914120256c08&quot;],&quot;isTemporary&quot;:false,&quot;legacyDesktopId&quot;:&quot;233f03f8-5dbd-4d00-83a0-914120256c08&quot;}]},{&quot;citationID&quot;:&quot;MENDELEY_CITATION_76575062-aae2-4b37-9d5c-4438530cce83&quot;,&quot;properties&quot;:{&quot;noteIndex&quot;:0},&quot;isEdited&quot;:false,&quot;manualOverride&quot;:{&quot;citeprocText&quot;:&quot;(One Earth, 2020)&quot;,&quot;isManuallyOverridden&quot;:false,&quot;manualOverrideText&quot;:&quot;&quot;},&quot;citationTag&quot;:&quot;MENDELEY_CITATION_v3_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&quot;,&quot;citationItems&quot;:[{&quot;id&quot;:&quot;7149cfc4-8445-3a73-b8d8-d064f3478589&quot;,&quot;itemData&quot;:{&quot;type&quot;:&quot;webpage&quot;,&quot;id&quot;:&quot;7149cfc4-8445-3a73-b8d8-d064f3478589&quot;,&quot;title&quot;:&quot;Bioregions&quot;,&quot;author&quot;:[{&quot;family&quot;:&quot;One Earth&quot;,&quot;given&quot;:&quot;&quot;,&quot;parse-names&quot;:false,&quot;dropping-particle&quot;:&quot;&quot;,&quot;non-dropping-particle&quot;:&quot;&quot;}],&quot;accessed&quot;:{&quot;date-parts&quot;:[[2021,2,12]]},&quot;URL&quot;:&quot;https://www.oneearth.org/&quot;,&quot;issued&quot;:{&quot;date-parts&quot;:[[2020]]},&quot;container-title-short&quot;:&quot;&quot;},&quot;uris&quot;:[&quot;http://www.mendeley.com/documents/?uuid=7149cfc4-8445-3a73-b8d8-d064f3478589&quot;],&quot;isTemporary&quot;:false,&quot;legacyDesktopId&quot;:&quot;7149cfc4-8445-3a73-b8d8-d064f3478589&quot;}]},{&quot;citationID&quot;:&quot;MENDELEY_CITATION_96f0ae45-dbc0-4c7b-8471-d88b67e049c6&quot;,&quot;properties&quot;:{&quot;noteIndex&quot;:0},&quot;isEdited&quot;:false,&quot;manualOverride&quot;:{&quot;citeprocText&quot;:&quot;(Meesters et al., 2005)&quot;,&quot;isManuallyOverridden&quot;:false,&quot;manualOverrideText&quot;:&quot;&quot;},&quot;citationTag&quot;:&quot;MENDELEY_CITATION_v3_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&quot;,&quot;citationItems&quot;:[{&quot;id&quot;:&quot;37a9e7f4-426e-3c04-b8b3-808575bb67c1&quot;,&quot;itemData&quot;:{&quot;type&quot;:&quot;article-journal&quot;,&quot;id&quot;:&quot;37a9e7f4-426e-3c04-b8b3-808575bb67c1&quot;,&quot;title&quot;:&quot;Analytical derivation of the vegetation optical depth from the microwave polarization difference index&quot;,&quot;author&quot;:[{&quot;family&quot;:&quot;Meesters&quot;,&quot;given&quot;:&quot;A. G C A&quot;,&quot;parse-names&quot;:false,&quot;dropping-particle&quot;:&quot;&quot;,&quot;non-dropping-particle&quot;:&quot;&quot;},{&quot;family&quot;:&quot;Jeu&quot;,&quot;given&quot;:&quot;R. A M&quot;,&quot;parse-names&quot;:false,&quot;dropping-particle&quot;:&quot;&quot;,&quot;non-dropping-particle&quot;:&quot;de&quot;},{&quot;family&quot;:&quot;Owe&quot;,&quot;given&quot;:&quot;Manfred&quot;,&quot;parse-names&quot;:false,&quot;dropping-particle&quot;:&quot;&quot;,&quot;non-dropping-particle&quot;:&quot;&quot;}],&quot;container-title&quot;:&quot;IEEE Geoscience and Remote Sensing Letters&quot;,&quot;DOI&quot;:&quot;10.1109/LGRS.2005.843983&quot;,&quot;ISSN&quot;:&quot;1545598X&quot;,&quot;issued&quot;:{&quot;date-parts&quot;:[[2005]]},&quot;page&quot;:&quot;121-123&quot;,&quot;abstract&quot;:&quot;A numerical solution for the canopy optical depth in an existing microwave-based land surface parameter retrieval model is presented. The optical depth is derived from the microwave polarization difference index and the dielectric constant of the soil. The original procedure used an approximation in the form of a logarithmic decay function to define this relationship and was derived through a series of lengthy polynomials. These polynomials had to be recalculated when the scattering albedo or antenna incidence angle changes. The new procedure is computationally more efficient and accurate.&quot;,&quot;issue&quot;:&quot;2&quot;,&quot;volume&quot;:&quot;2&quot;,&quot;container-title-short&quot;:&quot;&quot;},&quot;uris&quot;:[&quot;http://www.mendeley.com/documents/?uuid=3431d7b5-8b6c-45c2-914b-38d6f7b8ab75&quot;],&quot;isTemporary&quot;:false,&quot;legacyDesktopId&quot;:&quot;3431d7b5-8b6c-45c2-914b-38d6f7b8ab75&quot;}]},{&quot;citationID&quot;:&quot;MENDELEY_CITATION_c5f6a29f-00d7-47be-9cf0-643ef474f8e9&quot;,&quot;properties&quot;:{&quot;noteIndex&quot;:0},&quot;isEdited&quot;:false,&quot;manualOverride&quot;:{&quot;citeprocText&quot;:&quot;(Li et al., 2021)&quot;,&quot;isManuallyOverridden&quot;:false,&quot;manualOverrideText&quot;:&quot;&quot;},&quot;citationTag&quot;:&quot;MENDELEY_CITATION_v3_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&quot;,&quot;citationItems&quot;:[{&quot;id&quot;:&quot;61025b4b-cad6-35b5-8153-6487a3491b39&quot;,&quot;itemData&quot;:{&quot;type&quot;:&quot;article-journal&quot;,&quot;id&quot;:&quot;61025b4b-cad6-35b5-8153-6487a3491b39&quot;,&quot;title&quot;:&quot;Global-scale assessment and inter-comparison of recently developed/reprocessed microwave satellite vegetation optical depth products&quot;,&quot;author&quot;:[{&quot;family&quot;:&quot;Li&quot;,&quot;given&quot;:&quot;Xiaojun&quot;,&quot;parse-names&quot;:false,&quot;dropping-particle&quot;:&quot;&quot;,&quot;non-dropping-particle&quot;:&quot;&quot;},{&quot;family&quot;:&quot;Wigneron&quot;,&quot;given&quot;:&quot;Jean Pierre&quot;,&quot;parse-names&quot;:false,&quot;dropping-particle&quot;:&quot;&quot;,&quot;non-dropping-particle&quot;:&quot;&quot;},{&quot;family&quot;:&quot;Frappart&quot;,&quot;given&quot;:&quot;Frédéric&quot;,&quot;parse-names&quot;:false,&quot;dropping-particle&quot;:&quot;&quot;,&quot;non-dropping-particle&quot;:&quot;&quot;},{&quot;family&quot;:&quot;Fan&quot;,&quot;given&quot;:&quot;Lei&quot;,&quot;parse-names&quot;:false,&quot;dropping-particle&quot;:&quot;&quot;,&quot;non-dropping-particle&quot;:&quot;&quot;},{&quot;family&quot;:&quot;Ciais&quot;,&quot;given&quot;:&quot;Philippe&quot;,&quot;parse-names&quot;:false,&quot;dropping-particle&quot;:&quot;&quot;,&quot;non-dropping-particle&quot;:&quot;&quot;},{&quot;family&quot;:&quot;Fensholt&quot;,&quot;given&quot;:&quot;Rasmus&quot;,&quot;parse-names&quot;:false,&quot;dropping-particle&quot;:&quot;&quot;,&quot;non-dropping-particle&quot;:&quot;&quot;},{&quot;family&quot;:&quot;Entekhabi&quot;,&quot;given&quot;:&quot;Dara&quot;,&quot;parse-names&quot;:false,&quot;dropping-particle&quot;:&quot;&quot;,&quot;non-dropping-particle&quot;:&quot;&quot;},{&quot;family&quot;:&quot;Brandt&quot;,&quot;given&quot;:&quot;Martin&quot;,&quot;parse-names&quot;:false,&quot;dropping-particle&quot;:&quot;&quot;,&quot;non-dropping-particle&quot;:&quot;&quot;},{&quot;family&quot;:&quot;Konings&quot;,&quot;given&quot;:&quot;Alexandra G.&quot;,&quot;parse-names&quot;:false,&quot;dropping-particle&quot;:&quot;&quot;,&quot;non-dropping-particle&quot;:&quot;&quot;},{&quot;family&quot;:&quot;Liu&quot;,&quot;given&quot;:&quot;Xiangzhuo&quot;,&quot;parse-names&quot;:false,&quot;dropping-particle&quot;:&quot;&quot;,&quot;non-dropping-particle&quot;:&quot;&quot;},{&quot;family&quot;:&quot;Wang&quot;,&quot;given&quot;:&quot;Mengjia&quot;,&quot;parse-names&quot;:false,&quot;dropping-particle&quot;:&quot;&quot;,&quot;non-dropping-particle&quot;:&quot;&quot;},{&quot;family&quot;:&quot;Al-Yaari&quot;,&quot;given&quot;:&quot;Amen&quot;,&quot;parse-names&quot;:false,&quot;dropping-particle&quot;:&quot;&quot;,&quot;non-dropping-particle&quot;:&quot;&quot;},{&quot;family&quot;:&quot;Moisy&quot;,&quot;given&quot;:&quot;Christophe&quot;,&quot;parse-names&quot;:false,&quot;dropping-particle&quot;:&quot;&quot;,&quot;non-dropping-particle&quot;:&quot;&quot;}],&quot;container-title&quot;:&quot;Remote Sensing of Environment&quot;,&quot;DOI&quot;:&quot;10.1016/j.rse.2020.112208&quot;,&quot;ISSN&quot;:&quot;00344257&quot;,&quot;issued&quot;:{&quot;date-parts&quot;:[[2021]]},&quot;abstract&quot;:&quot;The vegetation optical depth (VOD), a vegetation index retrieved from passive or active microwave remote sensing systems, is related to the intensity of microwave extinction effects within the vegetation canopy layer. This index is only marginally impacted by effects from atmosphere, clouds and sun illumination, and thus increasingly used for ecological applications at large scales. Newly released VOD products show different abilities in monitoring vegetation features, depending on the algorithm used and the satellite frequency. VOD is increasingly sensitive to the upper vegetation layer as the frequency increases (from L-, C- to X-band), offering different capacities to monitor seasonal changes of the leafy and/or woody vegetation components, vegetation water status and aboveground biomass. This study evaluated nine recently developed/reprocessed VOD products from the AMSR2, SMOS and SMAP space-borne instruments for monitoring structural vegetation features related to phenology, height and aboveground biomass. For monitoring the seasonality of green vegetation (herbaceous and woody foliage), we found that X-VOD products, particularly from the LPDR-retrieval algorithm, outperformed the other VOD products in regions that are not densely vegetated, where they showed higher temporal correlation values with optical vegetation indices (VIs). However, LPDR X-VOD time series failed to detect changes in VOD after rainfall events whereas most other VOD products could do so, and overall daily variations are less pronounced in LPDR X-VOD. Results show that the reprocessed VODCA C- and X-VOD have almost comparable performance and VODCA C-VOD correlates better with VIs than other C-VOD products. Low frequency L-VOD, particularly the new version (V2) of SMOS-IC, show a higher temporal correlation with VIs, similar to C-VOD, in medium-densely vegetated biomes such as savannas (R ~ 0.70) than for other short vegetation types. Because the L-VOD indices are more sensitive to the non-green vegetation components (trunks and branches) than higher frequency products, they are well-correlated with aboveground biomass: (R ~ 0.91) across space between predicted and observed values for both SMOS-IC V2 and SMAP MT-DCA. However, when compared with forest canopy height, results at L-band are not systematically better than C- and X-VOD products. This revealed specific VOD retrieval issues for some ecosystems, e.g., boreal regions. It is expected that these findings can contribute to algorithm refinements, product enhancements and further developing the use of VOD for monitoring above-ground vegetation biomass, vegetation dynamics and phenology.&quot;,&quot;issue&quot;:&quot;December 2020&quot;,&quot;volume&quot;:&quot;253&quot;,&quot;container-title-short&quot;:&quot;Remote Sens Environ&quot;},&quot;uris&quot;:[&quot;http://www.mendeley.com/documents/?uuid=af3add91-b0b5-49b7-9a33-0739d7d3e897&quot;],&quot;isTemporary&quot;:false,&quot;legacyDesktopId&quot;:&quot;af3add91-b0b5-49b7-9a33-0739d7d3e897&quot;}]},{&quot;citationID&quot;:&quot;MENDELEY_CITATION_4fb8fd6b-b069-4e5f-9721-34006fbfb796&quot;,&quot;properties&quot;:{&quot;noteIndex&quot;:0},&quot;isEdited&quot;:false,&quot;manualOverride&quot;:{&quot;citeprocText&quot;:&quot;(Moesinger et al., 2020)&quot;,&quot;isManuallyOverridden&quot;:false,&quot;manualOverrideText&quot;:&quot;&quot;},&quot;citationTag&quot;:&quot;MENDELEY_CITATION_v3_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&quot;,&quot;citationItems&quot;:[{&quot;id&quot;:&quot;03105658-b00f-31d9-b708-d6bf8942644a&quot;,&quot;itemData&quot;:{&quot;type&quot;:&quot;article-journal&quot;,&quot;id&quot;:&quot;03105658-b00f-31d9-b708-d6bf8942644a&quot;,&quot;title&quot;:&quot;The global long-term microwave Vegetation Optical Depth Climate Archive (VODCA)&quot;,&quot;author&quot;:[{&quot;family&quot;:&quot;Moesinger&quot;,&quot;given&quot;:&quot;Leander&quot;,&quot;parse-names&quot;:false,&quot;dropping-particle&quot;:&quot;&quot;,&quot;non-dropping-particle&quot;:&quot;&quot;},{&quot;family&quot;:&quot;Dorigo&quot;,&quot;given&quot;:&quot;Wouter&quot;,&quot;parse-names&quot;:false,&quot;dropping-particle&quot;:&quot;&quot;,&quot;non-dropping-particle&quot;:&quot;&quot;},{&quot;family&quot;:&quot;Jeu&quot;,&quot;given&quot;:&quot;Richard&quot;,&quot;parse-names&quot;:false,&quot;dropping-particle&quot;:&quot;&quot;,&quot;non-dropping-particle&quot;:&quot;de&quot;},{&quot;family&quot;:&quot;Schalie&quot;,&quot;given&quot;:&quot;Robin&quot;,&quot;parse-names&quot;:false,&quot;dropping-particle&quot;:&quot;&quot;,&quot;non-dropping-particle&quot;:&quot;van der&quot;},{&quot;family&quot;:&quot;Scanlon&quot;,&quot;given&quot;:&quot;Tracy&quot;,&quot;parse-names&quot;:false,&quot;dropping-particle&quot;:&quot;&quot;,&quot;non-dropping-particle&quot;:&quot;&quot;},{&quot;family&quot;:&quot;Teubner&quot;,&quot;given&quot;:&quot;Irene&quot;,&quot;parse-names&quot;:false,&quot;dropping-particle&quot;:&quot;&quot;,&quot;non-dropping-particle&quot;:&quot;&quot;},{&quot;family&quot;:&quot;Forkel&quot;,&quot;given&quot;:&quot;Matthias&quot;,&quot;parse-names&quot;:false,&quot;dropping-particle&quot;:&quot;&quot;,&quot;non-dropping-particle&quot;:&quot;&quot;}],&quot;container-title&quot;:&quot;Earth System Science Data&quot;,&quot;DOI&quot;:&quot;10.5194/essd-12-177-2020&quot;,&quot;ISSN&quot;:&quot;18663516&quot;,&quot;issued&quot;:{&quot;date-parts&quot;:[[2020]]},&quot;page&quot;:&quot;177-196&quot;,&quot;abstract&quot;:&quot;Since the late 1970s, space-borne microwave radiometers have been providing measurements of radiation emitted by the Earth's surface. From these measurements it is possible to derive vegetation optical depth (VOD), a model-based indicator related to the density, biomass, and water content of vegetation. Because of its high temporal resolution and long availability, VOD can be used to monitor short- to long-term changes in vegetation. However, studying long-term VOD dynamics is generally hampered by the relatively short time span covered by the individual microwave sensors. This can potentially be overcome by merging multiple VOD products into a single climate data record. However, combining multiple sensors into a single product is challenging as systematic differences between input products like biases, different temporal and spatial resolutions, and coverage need to be overcome. Here, we present a new series of long-term VOD products, the VOD Climate Archive (VODCA). VODCA combines VOD retrievals that have been derived from multiple sensors (SSM/I, TMI, AMSR-E, WindSat, and AMSR2) using the Land Parameter Retrieval Model. We produce separate VOD products for microwave observations in different spectral bands, namely the Ku-band (period 1987-2017), X-band (1997-2018), and C-band (2002-2018). In this way, our multi-band VOD products preserve the unique characteristics of each frequency with respect to the structural elements of the canopy. Our merging approach builds on an existing approach that is used to merge satellite products of surface soil moisture: first, the data sets are co-calibrated via cumulative distribution function matching using AMSR-E as the scaling reference. To do so, we apply a new matching technique that scales outliers more robustly than ordinary piecewise linear interpolation. Second, we aggregate the data sets by taking the arithmetic mean between temporally overlapping observations of the scaled data. The characteristics of VODCA are assessed for self-consistency and against other products. Using an autocorrelation analysis, we show that the merging of the multiple data sets successfully reduces the random error compared to the input data sets. Spatio-temporal patterns and anomalies of the merged products show consistency between frequencies and with leaf area index observations from the MODIS instrument as well as with Vegetation Continuous Fields from the AVHRR instruments. Long-term trends in Ku-band VODCA show that since 1987 there has been a decline in VOD in the tropics and in large parts of east-central and north Asia, while a substantial increase is observed in India, large parts of Australia, southern Africa, southeastern China, and central North America. In summary, VODCA shows vast potential for monitoring spatial-temporal ecosystem changes as it is sensitive to vegetation water content and unaffected by cloud cover or high sun zenith angles. As such, it complements existing long-term optical indices of greenness and leaf area. The VODCA products (Moesinger et al., 2019) are open access and available under Attribution 4.0 International at https://doi.org/10.5281/zenodo.2575599.&quot;,&quot;issue&quot;:&quot;1&quot;,&quot;volume&quot;:&quot;12&quot;,&quot;container-title-short&quot;:&quot;Earth Syst Sci Data&quot;},&quot;uris&quot;:[&quot;http://www.mendeley.com/documents/?uuid=cdcea0c9-ea95-4f46-bf05-8179fdba642b&quot;],&quot;isTemporary&quot;:false,&quot;legacyDesktopId&quot;:&quot;cdcea0c9-ea95-4f46-bf05-8179fdba642b&quot;}]},{&quot;citationID&quot;:&quot;MENDELEY_CITATION_c42bea7e-22b2-465e-9aee-a93c4e9ca886&quot;,&quot;properties&quot;:{&quot;noteIndex&quot;:0},&quot;isEdited&quot;:false,&quot;manualOverride&quot;:{&quot;citeprocText&quot;:&quot;(Brandt et al., 2019; D’Adamo et al., 2021)&quot;,&quot;isManuallyOverridden&quot;:false,&quot;manualOverrideText&quot;:&quot;&quot;},&quot;citationTag&quot;:&quot;MENDELEY_CITATION_v3_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&quot;,&quot;citationItems&quot;:[{&quot;id&quot;:&quot;a23709d7-2082-393e-8e64-7456128745b3&quot;,&quot;itemData&quot;:{&quot;type&quot;:&quot;article-journal&quot;,&quot;id&quot;:&quot;a23709d7-2082-393e-8e64-7456128745b3&quot;,&quot;title&quot;:&quot;Changes in rainfall distribution promote woody foliage production in the Sahel&quot;,&quot;author&quot;:[{&quot;family&quot;:&quot;Brandt&quot;,&quot;given&quot;:&quot;Martin&quot;,&quot;parse-names&quot;:false,&quot;dropping-particle&quot;:&quot;&quot;,&quot;non-dropping-particle&quot;:&quot;&quot;},{&quot;family&quot;:&quot;Hiernaux&quot;,&quot;given&quot;:&quot;Pierre&quot;,&quot;parse-names&quot;:false,&quot;dropping-particle&quot;:&quot;&quot;,&quot;non-dropping-particle&quot;:&quot;&quot;},{&quot;family&quot;:&quot;Rasmussen&quot;,&quot;given&quot;:&quot;Kjeld&quot;,&quot;parse-names&quot;:false,&quot;dropping-particle&quot;:&quot;&quot;,&quot;non-dropping-particle&quot;:&quot;&quot;},{&quot;family&quot;:&quot;Tucker&quot;,&quot;given&quot;:&quot;Compton J.&quot;,&quot;parse-names&quot;:false,&quot;dropping-particle&quot;:&quot;&quot;,&quot;non-dropping-particle&quot;:&quot;&quot;},{&quot;family&quot;:&quot;Wigneron&quot;,&quot;given&quot;:&quot;Jean-Pierre&quot;,&quot;parse-names&quot;:false,&quot;dropping-particle&quot;:&quot;&quot;,&quot;non-dropping-particle&quot;:&quot;&quot;},{&quot;family&quot;:&quot;Diouf&quot;,&quot;given&quot;:&quot;Abdoul Aziz&quot;,&quot;parse-names&quot;:false,&quot;dropping-particle&quot;:&quot;&quot;,&quot;non-dropping-particle&quot;:&quot;&quot;},{&quot;family&quot;:&quot;Herrmann&quot;,&quot;given&quot;:&quot;Stefanie M.&quot;,&quot;parse-names&quot;:false,&quot;dropping-particle&quot;:&quot;&quot;,&quot;non-dropping-particle&quot;:&quot;&quot;},{&quot;family&quot;:&quot;Zhang&quot;,&quot;given&quot;:&quot;Wenmin&quot;,&quot;parse-names&quot;:false,&quot;dropping-particle&quot;:&quot;&quot;,&quot;non-dropping-particle&quot;:&quot;&quot;},{&quot;family&quot;:&quot;Kergoat&quot;,&quot;given&quot;:&quot;Laurent&quot;,&quot;parse-names&quot;:false,&quot;dropping-particle&quot;:&quot;&quot;,&quot;non-dropping-particle&quot;:&quot;&quot;},{&quot;family&quot;:&quot;Mbow&quot;,&quot;given&quot;:&quot;Cheikh&quot;,&quot;parse-names&quot;:false,&quot;dropping-particle&quot;:&quot;&quot;,&quot;non-dropping-particle&quot;:&quot;&quot;},{&quot;family&quot;:&quot;Abel&quot;,&quot;given&quot;:&quot;Christin&quot;,&quot;parse-names&quot;:false,&quot;dropping-particle&quot;:&quot;&quot;,&quot;non-dropping-particle&quot;:&quot;&quot;},{&quot;family&quot;:&quot;Auda&quot;,&quot;given&quot;:&quot;Yves&quot;,&quot;parse-names&quot;:false,&quot;dropping-particle&quot;:&quot;&quot;,&quot;non-dropping-particle&quot;:&quot;&quot;},{&quot;family&quot;:&quot;Fensholt&quot;,&quot;given&quot;:&quot;Rasmus&quot;,&quot;parse-names&quot;:false,&quot;dropping-particle&quot;:&quot;&quot;,&quot;non-dropping-particle&quot;:&quot;&quot;}],&quot;container-title&quot;:&quot;Communications Biology&quot;,&quot;DOI&quot;:&quot;10.1038/s42003-019-0383-9&quot;,&quot;ISBN&quot;:&quot;4200301903&quot;,&quot;ISSN&quot;:&quot;2399-3642&quot;,&quot;URL&quot;:&quot;http://www.nature.com/articles/s42003-019-0383-9&quot;,&quot;issued&quot;:{&quot;date-parts&quot;:[[2019]]},&quot;page&quot;:&quot;133&quot;,&quot;publisher&quot;:&quot;Springer US&quot;,&quot;issue&quot;:&quot;1&quot;,&quot;volume&quot;:&quot;2&quot;,&quot;container-title-short&quot;:&quot;Commun Biol&quot;},&quot;uris&quot;:[&quot;http://www.mendeley.com/documents/?uuid=7f5f94d5-8031-41ae-820d-f07a11cf61de&quot;],&quot;isTemporary&quot;:false,&quot;legacyDesktopId&quot;:&quot;7f5f94d5-8031-41ae-820d-f07a11cf61de&quot;},{&quot;id&quot;:&quot;ccd9e7ea-273d-3e15-aba2-de82f7642c1c&quot;,&quot;itemData&quot;:{&quot;type&quot;:&quot;article-journal&quot;,&quot;id&quot;:&quot;ccd9e7ea-273d-3e15-aba2-de82f7642c1c&quot;,&quot;title&quot;:&quot;Climatic and non-climatic vegetation cover changes in the rangelands of Africa&quot;,&quot;author&quot;:[{&quot;family&quot;:&quot;D'Adamo&quot;,&quot;given&quot;:&quot;Francesco&quot;,&quot;parse-names&quot;:false,&quot;dropping-particle&quot;:&quot;&quot;,&quot;non-dropping-particle&quot;:&quot;&quot;},{&quot;family&quot;:&quot;Ogutu&quot;,&quot;given&quot;:&quot;Booker&quot;,&quot;parse-names&quot;:false,&quot;dropping-particle&quot;:&quot;&quot;,&quot;non-dropping-particle&quot;:&quot;&quot;},{&quot;family&quot;:&quot;Brandt&quot;,&quot;given&quot;:&quot;Martin&quot;,&quot;parse-names&quot;:false,&quot;dropping-particle&quot;:&quot;&quot;,&quot;non-dropping-particle&quot;:&quot;&quot;},{&quot;family&quot;:&quot;Schurgers&quot;,&quot;given&quot;:&quot;Guy&quot;,&quot;parse-names&quot;:false,&quot;dropping-particle&quot;:&quot;&quot;,&quot;non-dropping-particle&quot;:&quot;&quot;},{&quot;family&quot;:&quot;Dash&quot;,&quot;given&quot;:&quot;Jadunandan&quot;,&quot;parse-names&quot;:false,&quot;dropping-particle&quot;:&quot;&quot;,&quot;non-dropping-particle&quot;:&quot;&quot;}],&quot;container-title&quot;:&quot;Global and Planetary Change&quot;,&quot;DOI&quot;:&quot;10.1016/j.gloplacha.2021.103516&quot;,&quot;ISSN&quot;:&quot;0921-8181&quot;,&quot;URL&quot;:&quot;https://doi.org/10.1016/j.gloplacha.2021.103516&quot;,&quot;issued&quot;:{&quot;date-parts&quot;:[[2021]]},&quot;page&quot;:&quot;103516&quot;,&quot;publisher&quot;:&quot;Elsevier B.V.&quot;,&quot;volume&quot;:&quot;202&quot;,&quot;container-title-short&quot;:&quot;Glob Planet Change&quot;},&quot;uris&quot;:[&quot;http://www.mendeley.com/documents/?uuid=4056c4c7-1b5e-43cf-ad9c-f91c43db5aab&quot;],&quot;isTemporary&quot;:false,&quot;legacyDesktopId&quot;:&quot;4056c4c7-1b5e-43cf-ad9c-f91c43db5aab&quot;}]},{&quot;citationID&quot;:&quot;MENDELEY_CITATION_eba1a816-9d4c-47f0-b11a-5284dcdc008c&quot;,&quot;properties&quot;:{&quot;noteIndex&quot;:0},&quot;isEdited&quot;:false,&quot;manualOverride&quot;:{&quot;citeprocText&quot;:&quot;(van der Werf et al., 2017)&quot;,&quot;isManuallyOverridden&quot;:false,&quot;manualOverrideText&quot;:&quot;&quot;},&quot;citationTag&quot;:&quot;MENDELEY_CITATION_v3_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&quot;,&quot;citationItems&quot;:[{&quot;id&quot;:&quot;bd8edd5c-654c-3c59-91e8-16599c930621&quot;,&quot;itemData&quot;:{&quot;type&quot;:&quot;article-journal&quot;,&quot;id&quot;:&quot;bd8edd5c-654c-3c59-91e8-16599c930621&quot;,&quot;title&quot;:&quot;Global fire emissions estimates during 1997-2016&quot;,&quot;author&quot;:[{&quot;family&quot;:&quot;Werf&quot;,&quot;given&quot;:&quot;Guido R.&quot;,&quot;parse-names&quot;:false,&quot;dropping-particle&quot;:&quot;&quot;,&quot;non-dropping-particle&quot;:&quot;van der&quot;},{&quot;family&quot;:&quot;Randerson&quot;,&quot;given&quot;:&quot;James T.&quot;,&quot;parse-names&quot;:false,&quot;dropping-particle&quot;:&quot;&quot;,&quot;non-dropping-particle&quot;:&quot;&quot;},{&quot;family&quot;:&quot;Giglio&quot;,&quot;given&quot;:&quot;Louis&quot;,&quot;parse-names&quot;:false,&quot;dropping-particle&quot;:&quot;&quot;,&quot;non-dropping-particle&quot;:&quot;&quot;},{&quot;family&quot;:&quot;Leeuwen&quot;,&quot;given&quot;:&quot;Thijs T.&quot;,&quot;parse-names&quot;:false,&quot;dropping-particle&quot;:&quot;&quot;,&quot;non-dropping-particle&quot;:&quot;van&quot;},{&quot;family&quot;:&quot;Chen&quot;,&quot;given&quot;:&quot;Yang&quot;,&quot;parse-names&quot;:false,&quot;dropping-particle&quot;:&quot;&quot;,&quot;non-dropping-particle&quot;:&quot;&quot;},{&quot;family&quot;:&quot;Rogers&quot;,&quot;given&quot;:&quot;Brendan M.&quot;,&quot;parse-names&quot;:false,&quot;dropping-particle&quot;:&quot;&quot;,&quot;non-dropping-particle&quot;:&quot;&quot;},{&quot;family&quot;:&quot;Mu&quot;,&quot;given&quot;:&quot;Mingquan&quot;,&quot;parse-names&quot;:false,&quot;dropping-particle&quot;:&quot;&quot;,&quot;non-dropping-particle&quot;:&quot;&quot;},{&quot;family&quot;:&quot;Marle&quot;,&quot;given&quot;:&quot;Margreet J.E.&quot;,&quot;parse-names&quot;:false,&quot;dropping-particle&quot;:&quot;&quot;,&quot;non-dropping-particle&quot;:&quot;van&quot;},{&quot;family&quot;:&quot;Morton&quot;,&quot;given&quot;:&quot;Douglas C.&quot;,&quot;parse-names&quot;:false,&quot;dropping-particle&quot;:&quot;&quot;,&quot;non-dropping-particle&quot;:&quot;&quot;},{&quot;family&quot;:&quot;Collatz&quot;,&quot;given&quot;:&quot;G. James&quot;,&quot;parse-names&quot;:false,&quot;dropping-particle&quot;:&quot;&quot;,&quot;non-dropping-particle&quot;:&quot;&quot;},{&quot;family&quot;:&quot;Yokelson&quot;,&quot;given&quot;:&quot;Robert J.&quot;,&quot;parse-names&quot;:false,&quot;dropping-particle&quot;:&quot;&quot;,&quot;non-dropping-particle&quot;:&quot;&quot;},{&quot;family&quot;:&quot;Kasibhatla&quot;,&quot;given&quot;:&quot;Prasad S.&quot;,&quot;parse-names&quot;:false,&quot;dropping-particle&quot;:&quot;&quot;,&quot;non-dropping-particle&quot;:&quot;&quot;}],&quot;container-title&quot;:&quot;Earth System Science Data&quot;,&quot;DOI&quot;:&quot;10.5194/essd-9-697-2017&quot;,&quot;ISSN&quot;:&quot;18663516&quot;,&quot;issued&quot;:{&quot;date-parts&quot;:[[2017]]},&quot;page&quot;:&quot;697-720&quot;,&quot;abstract&quot;:&quot;Abstract. Climate, land use, and other anthropogenic and natural drivers have the potential to influence fire dynamics in many regions. To develop a mechanistic understanding of the changing role of these drivers and their impact on atmospheric composition, long-term fire records are needed that fuse information from different satellite and in situ data streams. Here we describe the fourth version of the Global Fire Emissions Database (GFED) and quantify global fire emissions patterns during 1997–2016. The modeling system, based on the Carnegie–Ames–Stanford Approach (CASA) biogeochemical model, has several modifications from the previous version and uses higher quality input datasets. Significant upgrades include (1) new burned area estimates with contributions from small fires, (2) a revised fuel consumption parameterization optimized using field observations, (3) modifications that improve the representation of fuel consumption in frequently burning landscapes, and (4) fire severity estimates that better represent continental differences in burning processes across boreal regions of North America and Eurasia. The new version has a higher spatial resolution (0.25°) and uses a different set of emission factors that separately resolves trace gas and aerosol emissions from temperate and boreal forest ecosystems. Global mean carbon emissions using the burned area dataset with small fires (GFED4s) were 2.2 × 1015 grams of carbon per year (PgCyr−1) during 1997–2016, with a maximum in 1997 (3.0PgCyr−1) and minimum in 2013 (1.8PgCyr−1). These estimates were 11% higher than our previous estimates (GFED3) during 1997–2011, when the two datasets overlapped. This net increase was the result of a substantial increase in burned area (37%), mostly due to the inclusion of small fires, and a modest decrease in mean fuel consumption (−19%) to better match estimates from field studies, primarily in savannas and grasslands. For trace gas and aerosol emissions, differences between GFED4s and GFED3 were often larger due to the use of revised emission factors. If small fire burned area was excluded (GFED4 without the s for small fires), average emissions were 1.5PgCyr−1. The addition of small fires had the largest impact on emissions in temperate North America, Central America, Europe, and temperate Asia. This small fire layer carries substantial uncertainties; improving these estimates will require use of new burned area products derived from high-resolution satellite imagery. Our revised dataset provides an internally consistent set of burned area and emissions that may contribute to a better understanding of multi-decadal changes in fire dynamics and their impact on the Earth system. GFED data are available from http://www.globalfiredata.org.&quot;,&quot;issue&quot;:&quot;2&quot;,&quot;volume&quot;:&quot;9&quot;,&quot;container-title-short&quot;:&quot;Earth Syst Sci Data&quot;},&quot;uris&quot;:[&quot;http://www.mendeley.com/documents/?uuid=87d4f36f-ba61-4b52-93e4-ee1280987c4c&quot;],&quot;isTemporary&quot;:false,&quot;legacyDesktopId&quot;:&quot;87d4f36f-ba61-4b52-93e4-ee1280987c4c&quot;}]},{&quot;citationID&quot;:&quot;MENDELEY_CITATION_57fdb371-bf69-4dc7-a276-80218ce8b562&quot;,&quot;properties&quot;:{&quot;noteIndex&quot;:0},&quot;isEdited&quot;:false,&quot;manualOverride&quot;:{&quot;citeprocText&quot;:&quot;(Andela et al., 2017)&quot;,&quot;isManuallyOverridden&quot;:false,&quot;manualOverrideText&quot;:&quot;&quot;},&quot;citationTag&quot;:&quot;MENDELEY_CITATION_v3_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&quot;,&quot;citationItems&quot;:[{&quot;id&quot;:&quot;58e2e6c8-121e-31c5-9434-13b816f348a7&quot;,&quot;itemData&quot;:{&quot;type&quot;:&quot;article-journal&quot;,&quot;id&quot;:&quot;58e2e6c8-121e-31c5-9434-13b816f348a7&quot;,&quot;title&quot;:&quot;A human-driven decline in global burned area&quot;,&quot;author&quot;:[{&quot;family&quot;:&quot;Andela&quot;,&quot;given&quot;:&quot;N.&quot;,&quot;parse-names&quot;:false,&quot;dropping-particle&quot;:&quot;&quot;,&quot;non-dropping-particle&quot;:&quot;&quot;},{&quot;family&quot;:&quot;Morton&quot;,&quot;given&quot;:&quot;D. C.&quot;,&quot;parse-names&quot;:false,&quot;dropping-particle&quot;:&quot;&quot;,&quot;non-dropping-particle&quot;:&quot;&quot;},{&quot;family&quot;:&quot;Giglio&quot;,&quot;given&quot;:&quot;L.&quot;,&quot;parse-names&quot;:false,&quot;dropping-particle&quot;:&quot;&quot;,&quot;non-dropping-particle&quot;:&quot;&quot;},{&quot;family&quot;:&quot;Chen&quot;,&quot;given&quot;:&quot;Y.&quot;,&quot;parse-names&quot;:false,&quot;dropping-particle&quot;:&quot;&quot;,&quot;non-dropping-particle&quot;:&quot;&quot;},{&quot;family&quot;:&quot;Werf&quot;,&quot;given&quot;:&quot;G. R.&quot;,&quot;parse-names&quot;:false,&quot;dropping-particle&quot;:&quot;&quot;,&quot;non-dropping-particle&quot;:&quot;van der&quot;},{&quot;family&quot;:&quot;Kasibhatla&quot;,&quot;given&quot;:&quot;P. S.&quot;,&quot;parse-names&quot;:false,&quot;dropping-particle&quot;:&quot;&quot;,&quot;non-dropping-particle&quot;:&quot;&quot;},{&quot;family&quot;:&quot;DeFries&quot;,&quot;given&quot;:&quot;R. S.&quot;,&quot;parse-names&quot;:false,&quot;dropping-particle&quot;:&quot;&quot;,&quot;non-dropping-particle&quot;:&quot;&quot;},{&quot;family&quot;:&quot;Collatz&quot;,&quot;given&quot;:&quot;G. J.&quot;,&quot;parse-names&quot;:false,&quot;dropping-particle&quot;:&quot;&quot;,&quot;non-dropping-particle&quot;:&quot;&quot;},{&quot;family&quot;:&quot;Hantson&quot;,&quot;given&quot;:&quot;S.&quot;,&quot;parse-names&quot;:false,&quot;dropping-particle&quot;:&quot;&quot;,&quot;non-dropping-particle&quot;:&quot;&quot;},{&quot;family&quot;:&quot;Kloster&quot;,&quot;given&quot;:&quot;S.&quot;,&quot;parse-names&quot;:false,&quot;dropping-particle&quot;:&quot;&quot;,&quot;non-dropping-particle&quot;:&quot;&quot;},{&quot;family&quot;:&quot;Bachelet&quot;,&quot;given&quot;:&quot;D.&quot;,&quot;parse-names&quot;:false,&quot;dropping-particle&quot;:&quot;&quot;,&quot;non-dropping-particle&quot;:&quot;&quot;},{&quot;family&quot;:&quot;Forrest&quot;,&quot;given&quot;:&quot;M.&quot;,&quot;parse-names&quot;:false,&quot;dropping-particle&quot;:&quot;&quot;,&quot;non-dropping-particle&quot;:&quot;&quot;},{&quot;family&quot;:&quot;Lasslop&quot;,&quot;given&quot;:&quot;G.&quot;,&quot;parse-names&quot;:false,&quot;dropping-particle&quot;:&quot;&quot;,&quot;non-dropping-particle&quot;:&quot;&quot;},{&quot;family&quot;:&quot;Li&quot;,&quot;given&quot;:&quot;F.&quot;,&quot;parse-names&quot;:false,&quot;dropping-particle&quot;:&quot;&quot;,&quot;non-dropping-particle&quot;:&quot;&quot;},{&quot;family&quot;:&quot;Mangeon&quot;,&quot;given&quot;:&quot;S.&quot;,&quot;parse-names&quot;:false,&quot;dropping-particle&quot;:&quot;&quot;,&quot;non-dropping-particle&quot;:&quot;&quot;},{&quot;family&quot;:&quot;Melton&quot;,&quot;given&quot;:&quot;J. R.&quot;,&quot;parse-names&quot;:false,&quot;dropping-particle&quot;:&quot;&quot;,&quot;non-dropping-particle&quot;:&quot;&quot;},{&quot;family&quot;:&quot;Yue&quot;,&quot;given&quot;:&quot;C.&quot;,&quot;parse-names&quot;:false,&quot;dropping-particle&quot;:&quot;&quot;,&quot;non-dropping-particle&quot;:&quot;&quot;},{&quot;family&quot;:&quot;Randerson&quot;,&quot;given&quot;:&quot;J. T.&quot;,&quot;parse-names&quot;:false,&quot;dropping-particle&quot;:&quot;&quot;,&quot;non-dropping-particle&quot;:&quot;&quot;}],&quot;container-title&quot;:&quot;Science&quot;,&quot;DOI&quot;:&quot;10.1126/science.aal4108&quot;,&quot;ISSN&quot;:&quot;0036-8075&quot;,&quot;issued&quot;:{&quot;date-parts&quot;:[[2017]]},&quot;page&quot;:&quot;1356-1362&quot;,&quot;abstract&quot;:&quo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quot;,&quot;issue&quot;:&quot;6345&quot;,&quot;volume&quot;:&quot;356&quot;,&quot;container-title-short&quot;:&quot;Science (1979)&quot;},&quot;uris&quot;:[&quot;http://www.mendeley.com/documents/?uuid=de9e9569-6157-4a99-a9aa-d8f94d11d2c0&quot;],&quot;isTemporary&quot;:false,&quot;legacyDesktopId&quot;:&quot;de9e9569-6157-4a99-a9aa-d8f94d11d2c0&quot;}]},{&quot;citationID&quot;:&quot;MENDELEY_CITATION_8a0c77a2-19e4-4169-9f2e-573e5d1444bb&quot;,&quot;properties&quot;:{&quot;noteIndex&quot;:0},&quot;isEdited&quot;:false,&quot;manualOverride&quot;:{&quot;citeprocText&quot;:&quot;(Funk et al., 2015)&quot;,&quot;isManuallyOverridden&quot;:false,&quot;manualOverrideText&quot;:&quot;&quot;},&quot;citationTag&quot;:&quot;MENDELEY_CITATION_v3_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&quot;,&quot;citationItems&quot;:[{&quot;id&quot;:&quot;284d595d-07f2-35f8-930b-09f6c6ae0106&quot;,&quot;itemData&quot;:{&quot;type&quot;:&quot;article-journal&quot;,&quot;id&quot;:&quot;284d595d-07f2-35f8-930b-09f6c6ae0106&quot;,&quot;title&quot;:&quot;The climate hazards infrared precipitation with stations—a new environmental record for monitoring extremes&quot;,&quot;author&quot;:[{&quot;family&quot;:&quot;Funk&quot;,&quot;given&quot;:&quot;Chris&quot;,&quot;parse-names&quot;:false,&quot;dropping-particle&quot;:&quot;&quot;,&quot;non-dropping-particle&quot;:&quot;&quot;},{&quot;family&quot;:&quot;Peterson&quot;,&quot;given&quot;:&quot;Pete&quot;,&quot;parse-names&quot;:false,&quot;dropping-particle&quot;:&quot;&quot;,&quot;non-dropping-particle&quot;:&quot;&quot;},{&quot;family&quot;:&quot;Landsfeld&quot;,&quot;given&quot;:&quot;Martin&quot;,&quot;parse-names&quot;:false,&quot;dropping-particle&quot;:&quot;&quot;,&quot;non-dropping-particle&quot;:&quot;&quot;},{&quot;family&quot;:&quot;Pedreros&quot;,&quot;given&quot;:&quot;Diego&quot;,&quot;parse-names&quot;:false,&quot;dropping-particle&quot;:&quot;&quot;,&quot;non-dropping-particle&quot;:&quot;&quot;},{&quot;family&quot;:&quot;Verdin&quot;,&quot;given&quot;:&quot;James&quot;,&quot;parse-names&quot;:false,&quot;dropping-particle&quot;:&quot;&quot;,&quot;non-dropping-particle&quot;:&quot;&quot;},{&quot;family&quot;:&quot;Shukla&quot;,&quot;given&quot;:&quot;Shraddhanand&quot;,&quot;parse-names&quot;:false,&quot;dropping-particle&quot;:&quot;&quot;,&quot;non-dropping-particle&quot;:&quot;&quot;},{&quot;family&quot;:&quot;Husak&quot;,&quot;given&quot;:&quot;Gregory&quot;,&quot;parse-names&quot;:false,&quot;dropping-particle&quot;:&quot;&quot;,&quot;non-dropping-particle&quot;:&quot;&quot;},{&quot;family&quot;:&quot;Rowland&quot;,&quot;given&quot;:&quot;James&quot;,&quot;parse-names&quot;:false,&quot;dropping-particle&quot;:&quot;&quot;,&quot;non-dropping-particle&quot;:&quot;&quot;},{&quot;family&quot;:&quot;Harrison&quot;,&quot;given&quot;:&quot;Laura&quot;,&quot;parse-names&quot;:false,&quot;dropping-particle&quot;:&quot;&quot;,&quot;non-dropping-particle&quot;:&quot;&quot;},{&quot;family&quot;:&quot;Hoell&quot;,&quot;given&quot;:&quot;Andrew&quot;,&quot;parse-names&quot;:false,&quot;dropping-particle&quot;:&quot;&quot;,&quot;non-dropping-particle&quot;:&quot;&quot;},{&quot;family&quot;:&quot;Michaelsen&quot;,&quot;given&quot;:&quot;Joel&quot;,&quot;parse-names&quot;:false,&quot;dropping-particle&quot;:&quot;&quot;,&quot;non-dropping-particle&quot;:&quot;&quot;}],&quot;container-title&quot;:&quot;Scientific Data&quot;,&quot;DOI&quot;:&quot;10.1038/sdata.2015.66&quot;,&quot;ISBN&quot;:&quot;0034-4257&quot;,&quot;ISSN&quot;:&quot;2052-4463&quot;,&quot;PMID&quot;:&quot;26646728&quot;,&quot;URL&quot;:&quot;http://www.pubmedcentral.nih.gov/articlerender.fcgi?artid=4672685&amp;tool=pmcentrez&amp;rendertype=abstract&quot;,&quot;issued&quot;:{&quot;date-parts&quot;:[[2015]]},&quot;page&quot;:&quot;150066&quot;,&quot;abstract&quot;:&quo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quot;,&quot;volume&quot;:&quot;2&quot;,&quot;container-title-short&quot;:&quot;Sci Data&quot;},&quot;uris&quot;:[&quot;http://www.mendeley.com/documents/?uuid=ca419cfc-693f-4ab7-84fe-bd88dc88da2b&quot;],&quot;isTemporary&quot;:false,&quot;legacyDesktopId&quot;:&quot;ca419cfc-693f-4ab7-84fe-bd88dc88da2b&quot;}]},{&quot;citationID&quot;:&quot;MENDELEY_CITATION_9dbfe3cb-010d-4a6f-b3ca-6af361eb6d55&quot;,&quot;properties&quot;:{&quot;noteIndex&quot;:0},&quot;isEdited&quot;:false,&quot;manualOverride&quot;:{&quot;citeprocText&quot;:&quot;(Liebmann et al., 2012)&quot;,&quot;isManuallyOverridden&quot;:true,&quot;manualOverrideText&quot;:&quot;Liebmann et al. (2012)&quot;},&quot;citationTag&quot;:&quot;MENDELEY_CITATION_v3_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&quot;,&quot;citationItems&quot;:[{&quot;id&quot;:&quot;1866eccf-bb2e-363e-93a2-90370a149525&quot;,&quot;itemData&quot;:{&quot;type&quot;:&quot;article-journal&quot;,&quot;id&quot;:&quot;1866eccf-bb2e-363e-93a2-90370a149525&quot;,&quot;title&quot;:&quot;Seasonality of African precipitation from 1996 to 2009&quot;,&quot;author&quot;:[{&quot;family&quot;:&quot;Liebmann&quot;,&quot;given&quot;:&quot;Brant&quot;,&quot;parse-names&quot;:false,&quot;dropping-particle&quot;:&quot;&quot;,&quot;non-dropping-particle&quot;:&quot;&quot;},{&quot;family&quot;:&quot;Bladé&quot;,&quot;given&quot;:&quot;Ileana&quot;,&quot;parse-names&quot;:false,&quot;dropping-particle&quot;:&quot;&quot;,&quot;non-dropping-particle&quot;:&quot;&quot;},{&quot;family&quot;:&quot;Kiladis&quot;,&quot;given&quot;:&quot;George N.&quot;,&quot;parse-names&quot;:false,&quot;dropping-particle&quot;:&quot;&quot;,&quot;non-dropping-particle&quot;:&quot;&quot;},{&quot;family&quot;:&quot;Carvalho&quot;,&quot;given&quot;:&quot;Leila M&quot;,&quot;parse-names&quot;:false,&quot;dropping-particle&quot;:&quot;v&quot;,&quot;non-dropping-particle&quot;:&quot;&quot;},{&quot;family&quot;:&quot;Senay&quot;,&quot;given&quot;:&quot;Gabriel B.&quot;,&quot;parse-names&quot;:false,&quot;dropping-particle&quot;:&quot;&quot;,&quot;non-dropping-particle&quot;:&quot;&quot;},{&quot;family&quot;:&quot;Allured&quot;,&quot;given&quot;:&quot;Dave&quot;,&quot;parse-names&quot;:false,&quot;dropping-particle&quot;:&quot;&quot;,&quot;non-dropping-particle&quot;:&quot;&quot;},{&quot;family&quot;:&quot;Leroux&quot;,&quot;given&quot;:&quot;Stephanie&quot;,&quot;parse-names&quot;:false,&quot;dropping-particle&quot;:&quot;&quot;,&quot;non-dropping-particle&quot;:&quot;&quot;},{&quot;family&quot;:&quot;Funk&quot;,&quot;given&quot;:&quot;Chris&quot;,&quot;parse-names&quot;:false,&quot;dropping-particle&quot;:&quot;&quot;,&quot;non-dropping-particle&quot;:&quot;&quot;}],&quot;container-title&quot;:&quot;Journal of Climate&quot;,&quot;DOI&quot;:&quot;10.1175/JCLI-D-11-00157.1&quot;,&quot;ISBN&quot;:&quot;0894-8755&quot;,&quot;ISSN&quot;:&quot;08948755&quot;,&quot;issued&quot;:{&quot;date-parts&quot;:[[2012]]},&quot;page&quot;:&quot;4304-4322&quot;,&quot;abstract&quot;:&quo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dry periods. Chiefly, the summer monsoon spreads poleward from near the equator in both hemispheres, although in southern Africa the wet season progresses northwestward from the southeast coast. Composites relative to onset are constructed for selected points in West Africa and in the eastern Horn of Africa. In each case, onset is often preceded by the arrival of an eastward-propagating precipitation disturbance. Comparisons are made with the satellite-based Tropical Rainfall Measuring Mission (TRMM) and gauge-based Famine Early Warning System (FEWS NET) datasets. GPCP estimates are generally higher than TRMM in the wettest parts of Africa, but the timing of the annual cycle and average onset dates are largely consistent.&quot;,&quot;issue&quot;:&quot;12&quot;,&quot;volume&quot;:&quot;25&quot;,&quot;container-title-short&quot;:&quot;J Clim&quot;},&quot;uris&quot;:[&quot;http://www.mendeley.com/documents/?uuid=1d94734c-2035-46d7-a208-54b9452add4c&quot;],&quot;isTemporary&quot;:false,&quot;legacyDesktopId&quot;:&quot;1d94734c-2035-46d7-a208-54b9452add4c&quot;}]},{&quot;citationID&quot;:&quot;MENDELEY_CITATION_58be1d3d-eb3a-4fb6-85c9-db6dcf2a2b33&quot;,&quot;properties&quot;:{&quot;noteIndex&quot;:0},&quot;isEdited&quot;:false,&quot;manualOverride&quot;:{&quot;citeprocText&quot;:&quot;(Dunning et al., 2016)&quot;,&quot;isManuallyOverridden&quot;:false,&quot;manualOverrideText&quot;:&quot;&quot;},&quot;citationTag&quot;:&quot;MENDELEY_CITATION_v3_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&quot;,&quot;citationItems&quot;:[{&quot;id&quot;:&quot;05a70f5e-b3ea-3eb3-926f-8494d5c07179&quot;,&quot;itemData&quot;:{&quot;type&quot;:&quot;article-journal&quot;,&quot;id&quot;:&quot;05a70f5e-b3ea-3eb3-926f-8494d5c07179&quot;,&quot;title&quot;:&quot;The onset and cessation of seasonal rainfall over Africa&quot;,&quot;author&quot;:[{&quot;family&quot;:&quot;Dunning&quot;,&quot;given&quot;:&quot;Caroline M.&quot;,&quot;parse-names&quot;:false,&quot;dropping-particle&quot;:&quot;&quot;,&quot;non-dropping-particle&quot;:&quot;&quot;},{&quot;family&quot;:&quot;Black&quot;,&quot;given&quot;:&quot;Emily C.L.&quot;,&quot;parse-names&quot;:false,&quot;dropping-particle&quot;:&quot;&quot;,&quot;non-dropping-particle&quot;:&quot;&quot;},{&quot;family&quot;:&quot;Allan&quot;,&quot;given&quot;:&quot;Richard P.&quot;,&quot;parse-names&quot;:false,&quot;dropping-particle&quot;:&quot;&quot;,&quot;non-dropping-particle&quot;:&quot;&quot;}],&quot;container-title&quot;:&quot;Journal of Geophysical Research&quot;,&quot;DOI&quot;:&quot;10.1002/2016JD025428&quot;,&quot;ISSN&quot;:&quot;21562202&quot;,&quot;issued&quot;:{&quot;date-parts&quot;:[[2016]]},&quot;page&quot;:&quot;11405-11424&quot;,&quot;abstract&quot;:&quot;©2016. The Authors.Variation in the seasonal cycle of African rainfall is of key importance for agriculture. Here an objective method of determining the timing of onset and cessation is, for the first time, extended to the whole of Africa. The method is applied to five observational data sets and the ERA-Interim reanalysis. Compatibility with known physical drivers of African rainfall, consistency with indigenous methods, and generally strong agreement between satellite-based rainfall data sets confirm that the method is capturing the correct seasonal progression of African rainfall. The biannual rainfall regime is correctly identified over the coastal region of Ghana and the Ivory Coast. However, the ERA-Interim reanalysis exhibits timing biases over areas with two rainy seasons, and both ERA-Interim and the ARCv2 observational data set exhibit some inconsistent deviations over West Africa. The method can be used to analyze both seasonal-interannual variability and long-term change. Over East Africa, we find that failure of the rains and subsequent humanitarian disaster is associated with shorter as well as weaker rainy seasons, e.g., on average the long rains were 11 days shorter in 2011. Cessation of the short rains over this region is 7 days later in El Niño and 5 days earlier in La Niña years with only a small change in onset date. The methodology described in this paper is applicable to multiple data sets and to large regions, including those that experience multiple rainy seasons. As such, it provides a means for investigating variability and change in the seasonal cycle over the whole of Africa.&quot;,&quot;issue&quot;:&quot;19&quot;,&quot;volume&quot;:&quot;121&quot;,&quot;container-title-short&quot;:&quot;J Geophys Res&quot;},&quot;uris&quot;:[&quot;http://www.mendeley.com/documents/?uuid=d406fb05-9a1e-4da2-92ee-38a001706c00&quot;],&quot;isTemporary&quot;:false,&quot;legacyDesktopId&quot;:&quot;d406fb05-9a1e-4da2-92ee-38a001706c00&quot;}]},{&quot;citationID&quot;:&quot;MENDELEY_CITATION_a9bd14ce-34b5-483e-8726-63dcfcbb5056&quot;,&quot;properties&quot;:{&quot;noteIndex&quot;:0},&quot;isEdited&quot;:false,&quot;manualOverride&quot;:{&quot;citeprocText&quot;:&quot;(Karger et al., 2021)&quot;,&quot;isManuallyOverridden&quot;:false,&quot;manualOverrideText&quot;:&quot;&quot;},&quot;citationTag&quot;:&quot;MENDELEY_CITATION_v3_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&quot;,&quot;citationItems&quot;:[{&quot;id&quot;:&quot;de0e6c56-61b0-3043-a6f8-0099e7f87880&quot;,&quot;itemData&quot;:{&quot;type&quot;:&quot;report&quot;,&quot;id&quot;:&quot;de0e6c56-61b0-3043-a6f8-0099e7f87880&quot;,&quot;title&quot;:&quot;Climatologies at high resolution for the Earth land surface areas&quot;,&quot;author&quot;:[{&quot;family&quot;:&quot;Karger&quot;,&quot;given&quot;:&quot;D.N.&quot;,&quot;parse-names&quot;:false,&quot;dropping-particle&quot;:&quot;&quot;,&quot;non-dropping-particle&quot;:&quot;&quot;},{&quot;family&quot;:&quot;Conrad&quot;,&quot;given&quot;:&quot;O.&quot;,&quot;parse-names&quot;:false,&quot;dropping-particle&quot;:&quot;&quot;,&quot;non-dropping-particle&quot;:&quot;&quot;},{&quot;family&quot;:&quot;Böhner&quot;,&quot;given&quot;:&quot;J.&quot;,&quot;parse-names&quot;:false,&quot;dropping-particle&quot;:&quot;&quot;,&quot;non-dropping-particle&quot;:&quot;&quot;},{&quot;family&quot;:&quot;Kawohl&quot;,&quot;given&quot;:&quot;T.&quot;,&quot;parse-names&quot;:false,&quot;dropping-particle&quot;:&quot;&quot;,&quot;non-dropping-particle&quot;:&quot;&quot;},{&quot;family&quot;:&quot;Kreft&quot;,&quot;given&quot;:&quot;H.&quot;,&quot;parse-names&quot;:false,&quot;dropping-particle&quot;:&quot;&quot;,&quot;non-dropping-particle&quot;:&quot;&quot;},{&quot;family&quot;:&quot;Soria-Auza&quot;,&quot;given&quot;:&quot;R.W.&quot;,&quot;parse-names&quot;:false,&quot;dropping-particle&quot;:&quot;&quot;,&quot;non-dropping-particle&quot;:&quot;&quot;},{&quot;family&quot;:&quot;Zimmermann&quot;,&quot;given&quot;:&quot;N.&quot;,&quot;parse-names&quot;:false,&quot;dropping-particle&quot;:&quot;&quot;,&quot;non-dropping-particle&quot;:&quot;&quot;},{&quot;family&quot;:&quot;Linder&quot;,&quot;given&quot;:&quot;H.P.&quot;,&quot;parse-names&quot;:false,&quot;dropping-particle&quot;:&quot;&quot;,&quot;non-dropping-particle&quot;:&quot;&quot;},{&quot;family&quot;:&quot;Kessler&quot;,&quot;given&quot;:&quot;M.&quot;,&quot;parse-names&quot;:false,&quot;dropping-particle&quot;:&quot;&quot;,&quot;non-dropping-particle&quot;:&quot;&quot;}],&quot;container-title&quot;:&quot;CHELSA V2.1: Technical specification&quot;,&quot;issued&quot;:{&quot;date-parts&quot;:[[2021]]},&quot;number-of-pages&quot;:&quot;1-16&quot;,&quot;abstract&quot;:&quot;High resolution information of climatic conditions is essential to many application in environmental sciences. Here we present the CHELSA algorithm to downscale temperature and precipitation estimates from the European Centre for Medium-Range Weather Forecast (ECMWF) climatic reanalysis interim (ERA-Interim) to a high resolution of 30 arc sec. The algorithm for temperature is based on a statistical downscaling of atmospheric temperature from the ERA-Interim climatic reanalysis. The precipitation algorithm incorporates orographic predictors such as wind fields, valley exposition, and boundary layer height, and a bias correction using Global Precipitation Climatology Center (GPCC) gridded and Global Historical Climate Network (GHCN) station data. The resulting data consist of a monthly temperature and precipitation climatology for the years 1979-2013. We present a comparison of data derived from the CHELSA algorithm with two other high resolution gridded products with overlapping temporal resolution (Tropical Rain Measuring Mission (TRMM) for precipitation, Moderate Resolution Imaging Spectroradiometer (MODIS) for temperature) and station data from the Global Historical Climate Network (GHCN). We show that the climatological data from CHELSA has a similar accuracy to other products for temperature, but that the predictions of orographic precipitation patterns are both better and at a high spatial resolution.&quot;,&quot;container-title-short&quot;:&quot;&quot;},&quot;uris&quot;:[&quot;http://www.mendeley.com/documents/?uuid=6fb75d6c-d64c-4024-a933-e62d807c6be3&quot;],&quot;isTemporary&quot;:false,&quot;legacyDesktopId&quot;:&quot;6fb75d6c-d64c-4024-a933-e62d807c6be3&quot;}]},{&quot;citationID&quot;:&quot;MENDELEY_CITATION_7e9ba3e3-b81b-4c1e-b33c-0b4c2b76052a&quot;,&quot;properties&quot;:{&quot;noteIndex&quot;:0},&quot;isEdited&quot;:false,&quot;manualOverride&quot;:{&quot;citeprocText&quot;:&quot;(Gruber et al., 2019)&quot;,&quot;isManuallyOverridden&quot;:false,&quot;manualOverrideText&quot;:&quot;&quot;},&quot;citationTag&quot;:&quot;MENDELEY_CITATION_v3_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&quot;,&quot;citationItems&quot;:[{&quot;id&quot;:&quot;51374618-87a1-3eac-aab8-7bd1ba173ad0&quot;,&quot;itemData&quot;:{&quot;type&quot;:&quot;article-journal&quot;,&quot;id&quot;:&quot;51374618-87a1-3eac-aab8-7bd1ba173ad0&quot;,&quot;title&quot;:&quot;Evolution of the ESA CCI Soil Moisture climate data records and their underlying merging methodology&quot;,&quot;author&quot;:[{&quot;family&quot;:&quot;Gruber&quot;,&quot;given&quot;:&quot;Alexander&quot;,&quot;parse-names&quot;:false,&quot;dropping-particle&quot;:&quot;&quot;,&quot;non-dropping-particle&quot;:&quot;&quot;},{&quot;family&quot;:&quot;Scanlon&quot;,&quot;given&quot;:&quot;Tracy&quot;,&quot;parse-names&quot;:false,&quot;dropping-particle&quot;:&quot;&quot;,&quot;non-dropping-particle&quot;:&quot;&quot;},{&quot;family&quot;:&quot;Schalie&quot;,&quot;given&quot;:&quot;Robin&quot;,&quot;parse-names&quot;:false,&quot;dropping-particle&quot;:&quot;&quot;,&quot;non-dropping-particle&quot;:&quot;van der&quot;},{&quot;family&quot;:&quot;Wagner&quot;,&quot;given&quot;:&quot;Wolfgang&quot;,&quot;parse-names&quot;:false,&quot;dropping-particle&quot;:&quot;&quot;,&quot;non-dropping-particle&quot;:&quot;&quot;},{&quot;family&quot;:&quot;Dorigo&quot;,&quot;given&quot;:&quot;Wouter&quot;,&quot;parse-names&quot;:false,&quot;dropping-particle&quot;:&quot;&quot;,&quot;non-dropping-particle&quot;:&quot;&quot;}],&quot;container-title&quot;:&quot;Earth System Science Data&quot;,&quot;DOI&quot;:&quot;10.5194/essd-11-717-2019&quot;,&quot;ISSN&quot;:&quot;18663516&quot;,&quot;issued&quot;:{&quot;date-parts&quot;:[[2019]]},&quot;page&quot;:&quot;717-739&quot;,&quot;abstract&quot;:&quot;The European Space Agency's Climate Change Initiative for Soil Moisture (ESA CCI SM) merging algorithm generates consistent quality-controlled long-term (1978-2018) climate data records for soil moisture, which serves thousands of scientists and data users worldwide. It harmonises and merges soil moisture retrievals from multiple satellites into (i) an active-microwave-based-only product, (ii) a passive-microwave-based-only product and (iii) a combined active-passive product, which are sampled to daily global images on a 0.25 regular grid. Since its first release in 2012 the algorithm has undergone substantial improvements which have so far not been thoroughly reported in the scientific literature. This paper fills this gap by reviewing and discussing the science behind the three major ESA CCI SM merging algorithms, versions 2 (https://doi.org/10.5285/3729b3fbbb434930bf65d82f9b00111c; Wagner et al., 2018), 3 (https://doi.org/10.5285/b810601740bd4848b0d7965e6d83d26c; Dorigo et al., 2018) and 4 (https://doi.org/10.5285/dce27a397eaf47e797050c220972ca0e; Dorigo et al., 2019), and provides an outlook on the expected improvements planned for the next algorithm, version 5.&quot;,&quot;issue&quot;:&quot;2&quot;,&quot;volume&quot;:&quot;11&quot;,&quot;container-title-short&quot;:&quot;Earth Syst Sci Data&quot;},&quot;uris&quot;:[&quot;http://www.mendeley.com/documents/?uuid=abfcbcf8-0c70-48cf-bfd3-affe9b7a045d&quot;],&quot;isTemporary&quot;:false,&quot;legacyDesktopId&quot;:&quot;abfcbcf8-0c70-48cf-bfd3-affe9b7a045d&quot;}]},{&quot;citationID&quot;:&quot;MENDELEY_CITATION_01ce3a54-fc38-42be-b71c-ca57ce6dcc78&quot;,&quot;properties&quot;:{&quot;noteIndex&quot;:0},&quot;isEdited&quot;:false,&quot;manualOverride&quot;:{&quot;citeprocText&quot;:&quot;(Dorigo et al., 2017)&quot;,&quot;isManuallyOverridden&quot;:false,&quot;manualOverrideText&quot;:&quot;&quot;},&quot;citationTag&quot;:&quot;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&quot;,&quot;citationItems&quot;:[{&quot;id&quot;:&quot;51957eb7-e338-36a6-9429-b46f34d053dc&quot;,&quot;itemData&quot;:{&quot;type&quot;:&quot;article-journal&quot;,&quot;id&quot;:&quot;51957eb7-e338-36a6-9429-b46f34d053dc&quot;,&quot;title&quot;:&quot;ESA CCI Soil Moisture for improved Earth system understanding: State-of-the art and future directions&quot;,&quot;author&quot;:[{&quot;family&quot;:&quot;Dorigo&quot;,&quot;given&quot;:&quot;Wouter&quot;,&quot;parse-names&quot;:false,&quot;dropping-particle&quot;:&quot;&quot;,&quot;non-dropping-particle&quot;:&quot;&quot;},{&quot;family&quot;:&quot;Wagner&quot;,&quot;given&quot;:&quot;Wolfgang&quot;,&quot;parse-names&quot;:false,&quot;dropping-particle&quot;:&quot;&quot;,&quot;non-dropping-particle&quot;:&quot;&quot;},{&quot;family&quot;:&quot;Albergel&quot;,&quot;given&quot;:&quot;Clement&quot;,&quot;parse-names&quot;:false,&quot;dropping-particle&quot;:&quot;&quot;,&quot;non-dropping-particle&quot;:&quot;&quot;},{&quot;family&quot;:&quot;Albrecht&quot;,&quot;given&quot;:&quot;Franziska&quot;,&quot;parse-names&quot;:false,&quot;dropping-particle&quot;:&quot;&quot;,&quot;non-dropping-particle&quot;:&quot;&quot;},{&quot;family&quot;:&quot;Balsamo&quot;,&quot;given&quot;:&quot;Gianpaolo&quot;,&quot;parse-names&quot;:false,&quot;dropping-particle&quot;:&quot;&quot;,&quot;non-dropping-particle&quot;:&quot;&quot;},{&quot;family&quot;:&quot;Brocca&quot;,&quot;given&quot;:&quot;Luca&quot;,&quot;parse-names&quot;:false,&quot;dropping-particle&quot;:&quot;&quot;,&quot;non-dropping-particle&quot;:&quot;&quot;},{&quot;family&quot;:&quot;Chung&quot;,&quot;given&quot;:&quot;Daniel&quot;,&quot;parse-names&quot;:false,&quot;dropping-particle&quot;:&quot;&quot;,&quot;non-dropping-particle&quot;:&quot;&quot;},{&quot;family&quot;:&quot;Ertl&quot;,&quot;given&quot;:&quot;Martin&quot;,&quot;parse-names&quot;:false,&quot;dropping-particle&quot;:&quot;&quot;,&quot;non-dropping-particle&quot;:&quot;&quot;},{&quot;family&quot;:&quot;Forkel&quot;,&quot;given&quot;:&quot;Matthias&quot;,&quot;parse-names&quot;:false,&quot;dropping-particle&quot;:&quot;&quot;,&quot;non-dropping-particle&quot;:&quot;&quot;},{&quot;family&quot;:&quot;Gruber&quot;,&quot;given&quot;:&quot;Alexander&quot;,&quot;parse-names&quot;:false,&quot;dropping-particle&quot;:&quot;&quot;,&quot;non-dropping-particle&quot;:&quot;&quot;},{&quot;family&quot;:&quot;Haas&quot;,&quot;given&quot;:&quot;Eva&quot;,&quot;parse-names&quot;:false,&quot;dropping-particle&quot;:&quot;&quot;,&quot;non-dropping-particle&quot;:&quot;&quot;},{&quot;family&quot;:&quot;Hamer&quot;,&quot;given&quot;:&quot;Paul D.&quot;,&quot;parse-names&quot;:false,&quot;dropping-particle&quot;:&quot;&quot;,&quot;non-dropping-particle&quot;:&quot;&quot;},{&quot;family&quot;:&quot;Hirschi&quot;,&quot;given&quot;:&quot;Martin&quot;,&quot;parse-names&quot;:false,&quot;dropping-particle&quot;:&quot;&quot;,&quot;non-dropping-particle&quot;:&quot;&quot;},{&quot;family&quot;:&quot;Ikonen&quot;,&quot;given&quot;:&quot;Jaakko&quot;,&quot;parse-names&quot;:false,&quot;dropping-particle&quot;:&quot;&quot;,&quot;non-dropping-particle&quot;:&quot;&quot;},{&quot;family&quot;:&quot;Jeu&quot;,&quot;given&quot;:&quot;Richard&quot;,&quot;parse-names&quot;:false,&quot;dropping-particle&quot;:&quot;&quot;,&quot;non-dropping-particle&quot;:&quot;de&quot;},{&quot;family&quot;:&quot;Kidd&quot;,&quot;given&quot;:&quot;Richard&quot;,&quot;parse-names&quot;:false,&quot;dropping-particle&quot;:&quot;&quot;,&quot;non-dropping-particle&quot;:&quot;&quot;},{&quot;family&quot;:&quot;Lahoz&quot;,&quot;given&quot;:&quot;William&quot;,&quot;parse-names&quot;:false,&quot;dropping-particle&quot;:&quot;&quot;,&quot;non-dropping-particle&quot;:&quot;&quot;},{&quot;family&quot;:&quot;Liu&quot;,&quot;given&quot;:&quot;Yi Y.&quot;,&quot;parse-names&quot;:false,&quot;dropping-particle&quot;:&quot;&quot;,&quot;non-dropping-particle&quot;:&quot;&quot;},{&quot;family&quot;:&quot;Miralles&quot;,&quot;given&quot;:&quot;Diego&quot;,&quot;parse-names&quot;:false,&quot;dropping-particle&quot;:&quot;&quot;,&quot;non-dropping-particle&quot;:&quot;&quot;},{&quot;family&quot;:&quot;Mistelbauer&quot;,&quot;given&quot;:&quot;Thomas&quot;,&quot;parse-names&quot;:false,&quot;dropping-particle&quot;:&quot;&quot;,&quot;non-dropping-particle&quot;:&quot;&quot;},{&quot;family&quot;:&quot;Nicolai-Shaw&quot;,&quot;given&quot;:&quot;Nadine&quot;,&quot;parse-names&quot;:false,&quot;dropping-particle&quot;:&quot;&quot;,&quot;non-dropping-particle&quot;:&quot;&quot;},{&quot;family&quot;:&quot;Parinussa&quot;,&quot;given&quot;:&quot;Robert&quot;,&quot;parse-names&quot;:false,&quot;dropping-particle&quot;:&quot;&quot;,&quot;non-dropping-particle&quot;:&quot;&quot;},{&quot;family&quot;:&quot;Pratola&quot;,&quot;given&quot;:&quot;Chiara&quot;,&quot;parse-names&quot;:false,&quot;dropping-particle&quot;:&quot;&quot;,&quot;non-dropping-particle&quot;:&quot;&quot;},{&quot;family&quot;:&quot;Reimer&quot;,&quot;given&quot;:&quot;Christoph&quot;,&quot;parse-names&quot;:false,&quot;dropping-particle&quot;:&quot;&quot;,&quot;non-dropping-particle&quot;:&quot;&quot;},{&quot;family&quot;:&quot;Schalie&quot;,&quot;given&quot;:&quot;Robin&quot;,&quot;parse-names&quot;:false,&quot;dropping-particle&quot;:&quot;&quot;,&quot;non-dropping-particle&quot;:&quot;van der&quot;},{&quot;family&quot;:&quot;Seneviratne&quot;,&quot;given&quot;:&quot;Sonia I.&quot;,&quot;parse-names&quot;:false,&quot;dropping-particle&quot;:&quot;&quot;,&quot;non-dropping-particle&quot;:&quot;&quot;},{&quot;family&quot;:&quot;Smolander&quot;,&quot;given&quot;:&quot;Tuomo&quot;,&quot;parse-names&quot;:false,&quot;dropping-particle&quot;:&quot;&quot;,&quot;non-dropping-particle&quot;:&quot;&quot;},{&quot;family&quot;:&quot;Lecomte&quot;,&quot;given&quot;:&quot;Pascal&quot;,&quot;parse-names&quot;:false,&quot;dropping-particle&quot;:&quot;&quot;,&quot;non-dropping-particle&quot;:&quot;&quot;}],&quot;container-title&quot;:&quot;Remote Sensing of Environment&quot;,&quot;DOI&quot;:&quot;10.1016/j.rse.2017.07.001&quot;,&quot;ISBN&quot;:&quot;1588011224&quot;,&quot;ISSN&quot;:&quot;00344257&quot;,&quot;URL&quot;:&quot;https://doi.org/10.1016/j.rse.2017.07.001&quot;,&quot;issued&quot;:{&quot;date-parts&quot;:[[2017]]},&quot;page&quot;:&quot;185-215&quot;,&quot;abstract&quot;:&quot;Climate Data Records of soil moisture are fundamental for improving our understanding of long-term dynamics in the coupled water, energy, and carbon cycles over land. To respond to this need, in 2012 the European Space Agency (ESA) released the first multi-decadal, global satellite-observed soil moisture (SM) dataset as part of its Climate Change Initiative (CCI) program. This product, named ESA CCI SM, combines various single-sensor active and passive microwave soil moisture products into three harmonised products: a merged ACTIVE, a merged PASSIVE, and a COMBINED active + passive microwave product. Compared to the first product release, the latest version of ESA CCI SM includes a large number of enhancements, incorporates various new satellite sensors, and extends its temporal coverage to the period 1978–2015. In this study, we first provide a comprehensive overview of the characteristics, evolution, and performance of the ESA CCI SM products. Based on original research and a review of existing literature we show that the product quality has steadily increased with each successive release and that the merged products generally outperform the single-sensor input products. Although ESA CCI SM generally agrees well with the spatial and temporal patterns estimated by land surface models and observed in-situ, we identify surface conditions (e.g., dense vegetation, organic soils) for which it still has large uncertainties. Second, capitalising on the results of &gt; 100 research studies that made use of the ESA CCI SM data we provide a synopsis of how it has contributed to improved process understanding in the following Earth system domains: climate variability and change, land-atmosphere interactions, global biogeochemical cycles and ecology, hydrological and land surface modelling, drought applications, and meteorology. While in some disciplines the use of ESA CCI SM is already widespread (e.g. in the evaluation of model soil moisture states) in others (e.g. in numerical weather prediction or flood forecasting) it is still in its infancy. The latter is partly related to current shortcomings of the product, e.g., the lack of near-real-time availability and data gaps in time and space. This study discloses the discrepancies between current ESA CCI SM product characteristics and the preferred characteristics of long-term satellite soil moisture products as outlined by the Global Climate Observing System (GCOS), and provides important directions for future ESA CCI SM product improvements to bridge these gaps.&quot;,&quot;publisher&quot;:&quot;Elsevier Inc.&quot;,&quot;volume&quot;:&quot;203&quot;,&quot;container-title-short&quot;:&quot;Remote Sens Environ&quot;},&quot;uris&quot;:[&quot;http://www.mendeley.com/documents/?uuid=3b176739-1cab-403c-96b1-c20c70a63823&quot;],&quot;isTemporary&quot;:false,&quot;legacyDesktopId&quot;:&quot;3b176739-1cab-403c-96b1-c20c70a63823&quot;}]},{&quot;citationID&quot;:&quot;MENDELEY_CITATION_1dc7bc02-7f5b-4835-b2e7-a1ce05222a3f&quot;,&quot;properties&quot;:{&quot;noteIndex&quot;:0},&quot;isEdited&quot;:false,&quot;manualOverride&quot;:{&quot;citeprocText&quot;:&quot;(Brandt et al., 2017)&quot;,&quot;isManuallyOverridden&quot;:false,&quot;manualOverrideText&quot;:&quot;&quot;},&quot;citationTag&quot;:&quot;MENDELEY_CITATION_v3_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&quot;,&quot;citationItems&quot;:[{&quot;id&quot;:&quot;0c6acf7a-5b60-362c-8df3-31968854bf7f&quot;,&quot;itemData&quot;:{&quot;type&quot;:&quot;article-journal&quot;,&quot;id&quot;:&quot;0c6acf7a-5b60-362c-8df3-31968854bf7f&quot;,&quot;title&quot;:&quot;Human population growth offsets climate-driven increase in woody vegetation in sub-Saharan Africa&quot;,&quot;author&quot;:[{&quot;family&quot;:&quot;Brandt&quot;,&quot;given&quot;:&quot;Martin&quot;,&quot;parse-names&quot;:false,&quot;dropping-particle&quot;:&quot;&quot;,&quot;non-dropping-particle&quot;:&quot;&quot;},{&quot;family&quot;:&quot;Rasmussen&quot;,&quot;given&quot;:&quot;Kjeld&quot;,&quot;parse-names&quot;:false,&quot;dropping-particle&quot;:&quot;&quot;,&quot;non-dropping-particle&quot;:&quot;&quot;},{&quot;family&quot;:&quot;Peñuelas&quot;,&quot;given&quot;:&quot;Josep&quot;,&quot;parse-names&quot;:false,&quot;dropping-particle&quot;:&quot;&quot;,&quot;non-dropping-particle&quot;:&quot;&quot;},{&quot;family&quot;:&quot;Tian&quot;,&quot;given&quot;:&quot;Feng&quot;,&quot;parse-names&quot;:false,&quot;dropping-particle&quot;:&quot;&quot;,&quot;non-dropping-particle&quot;:&quot;&quot;},{&quot;family&quot;:&quot;Schurgers&quot;,&quot;given&quot;:&quot;Guy&quot;,&quot;parse-names&quot;:false,&quot;dropping-particle&quot;:&quot;&quot;,&quot;non-dropping-particle&quot;:&quot;&quot;},{&quot;family&quot;:&quot;Verger&quot;,&quot;given&quot;:&quot;Aleixandre&quot;,&quot;parse-names&quot;:false,&quot;dropping-particle&quot;:&quot;&quot;,&quot;non-dropping-particle&quot;:&quot;&quot;},{&quot;family&quot;:&quot;Mertz&quot;,&quot;given&quot;:&quot;Ole&quot;,&quot;parse-names&quot;:false,&quot;dropping-particle&quot;:&quot;&quot;,&quot;non-dropping-particle&quot;:&quot;&quot;},{&quot;family&quot;:&quot;Palmer&quot;,&quot;given&quot;:&quot;John R. B.&quot;,&quot;parse-names&quot;:false,&quot;dropping-particle&quot;:&quot;&quot;,&quot;non-dropping-particle&quot;:&quot;&quot;},{&quot;family&quot;:&quot;Fensholt&quot;,&quot;given&quot;:&quot;Rasmus&quot;,&quot;parse-names&quot;:false,&quot;dropping-particle&quot;:&quot;&quot;,&quot;non-dropping-particle&quot;:&quot;&quot;}],&quot;container-title&quot;:&quot;Nature Ecology &amp; Evolution&quot;,&quot;DOI&quot;:&quot;10.1038/s41559-017-0081&quot;,&quot;ISSN&quot;:&quot;2397-334X&quot;,&quot;URL&quot;:&quot;http://www.nature.com/articles/s41559-017-0081&quot;,&quot;issued&quot;:{&quot;date-parts&quot;:[[2017]]},&quot;page&quot;:&quot;0081&quot;,&quot;abstract&quot;:&quo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quot;,&quot;publisher&quot;:&quot;Macmillan Publishers Limited, part of Springer Nature.&quot;,&quot;issue&quot;:&quot;4&quot;,&quot;volume&quot;:&quot;1&quot;,&quot;container-title-short&quot;:&quot;Nat Ecol Evol&quot;},&quot;uris&quot;:[&quot;http://www.mendeley.com/documents/?uuid=51a10bed-839d-4adf-8c73-d26263a9c3d1&quot;],&quot;isTemporary&quot;:false,&quot;legacyDesktopId&quot;:&quot;51a10bed-839d-4adf-8c73-d26263a9c3d1&quot;}]},{&quot;citationID&quot;:&quot;MENDELEY_CITATION_550e8ac2-26f9-4518-a7b9-0f40cabacc2a&quot;,&quot;properties&quot;:{&quot;noteIndex&quot;:0},&quot;isEdited&quot;:false,&quot;manualOverride&quot;:{&quot;citeprocText&quot;:&quot;(Archibald et al., 2010b; Brandt et al., 2017)&quot;,&quot;isManuallyOverridden&quot;:false,&quot;manualOverrideText&quot;:&quot;&quot;},&quot;citationTag&quot;:&quot;MENDELEY_CITATION_v3_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&quot;,&quot;citationItems&quot;:[{&quot;id&quot;:&quot;0c6acf7a-5b60-362c-8df3-31968854bf7f&quot;,&quot;itemData&quot;:{&quot;type&quot;:&quot;article-journal&quot;,&quot;id&quot;:&quot;0c6acf7a-5b60-362c-8df3-31968854bf7f&quot;,&quot;title&quot;:&quot;Human population growth offsets climate-driven increase in woody vegetation in sub-Saharan Africa&quot;,&quot;author&quot;:[{&quot;family&quot;:&quot;Brandt&quot;,&quot;given&quot;:&quot;Martin&quot;,&quot;parse-names&quot;:false,&quot;dropping-particle&quot;:&quot;&quot;,&quot;non-dropping-particle&quot;:&quot;&quot;},{&quot;family&quot;:&quot;Rasmussen&quot;,&quot;given&quot;:&quot;Kjeld&quot;,&quot;parse-names&quot;:false,&quot;dropping-particle&quot;:&quot;&quot;,&quot;non-dropping-particle&quot;:&quot;&quot;},{&quot;family&quot;:&quot;Peñuelas&quot;,&quot;given&quot;:&quot;Josep&quot;,&quot;parse-names&quot;:false,&quot;dropping-particle&quot;:&quot;&quot;,&quot;non-dropping-particle&quot;:&quot;&quot;},{&quot;family&quot;:&quot;Tian&quot;,&quot;given&quot;:&quot;Feng&quot;,&quot;parse-names&quot;:false,&quot;dropping-particle&quot;:&quot;&quot;,&quot;non-dropping-particle&quot;:&quot;&quot;},{&quot;family&quot;:&quot;Schurgers&quot;,&quot;given&quot;:&quot;Guy&quot;,&quot;parse-names&quot;:false,&quot;dropping-particle&quot;:&quot;&quot;,&quot;non-dropping-particle&quot;:&quot;&quot;},{&quot;family&quot;:&quot;Verger&quot;,&quot;given&quot;:&quot;Aleixandre&quot;,&quot;parse-names&quot;:false,&quot;dropping-particle&quot;:&quot;&quot;,&quot;non-dropping-particle&quot;:&quot;&quot;},{&quot;family&quot;:&quot;Mertz&quot;,&quot;given&quot;:&quot;Ole&quot;,&quot;parse-names&quot;:false,&quot;dropping-particle&quot;:&quot;&quot;,&quot;non-dropping-particle&quot;:&quot;&quot;},{&quot;family&quot;:&quot;Palmer&quot;,&quot;given&quot;:&quot;John R. B.&quot;,&quot;parse-names&quot;:false,&quot;dropping-particle&quot;:&quot;&quot;,&quot;non-dropping-particle&quot;:&quot;&quot;},{&quot;family&quot;:&quot;Fensholt&quot;,&quot;given&quot;:&quot;Rasmus&quot;,&quot;parse-names&quot;:false,&quot;dropping-particle&quot;:&quot;&quot;,&quot;non-dropping-particle&quot;:&quot;&quot;}],&quot;container-title&quot;:&quot;Nature Ecology &amp; Evolution&quot;,&quot;DOI&quot;:&quot;10.1038/s41559-017-0081&quot;,&quot;ISSN&quot;:&quot;2397-334X&quot;,&quot;URL&quot;:&quot;http://www.nature.com/articles/s41559-017-0081&quot;,&quot;issued&quot;:{&quot;date-parts&quot;:[[2017]]},&quot;page&quot;:&quot;0081&quot;,&quot;abstract&quot;:&quot;The rapidly growing human population in sub-Saharan Africa generates increasing demand for agricultural land and forest products, which presumably leads to deforestation. Conversely, a greening of African drylands has been reported, but this has been difficult to associate with changes in woody vegetation. There is thus an incomplete understanding of how woody vegetation responds to socio-economic and environmental change. Here we used a passive microwave Earth observation data set to document two different trends in land area with woody cover for 1992–2011: 36% of the land area (6,870,000 km 2) had an increase in woody cover largely in drylands, and 11% had a decrease (2,150,000 km 2), mostly in humid zones. Increases in woody cover were associated with low population growth, and were driven by increases in CO 2 in the humid zones and by increases in precipitation in drylands, whereas decreases in woody cover were associated with high population growth. The spatially distinct pattern of these opposing trends reflects, first, the natural response of vegetation to precipitation and atmo-spheric CO 2 , and second, deforestation in humid areas, minor in size but important for ecosystem services, such as biodiversity and carbon stocks. This nuanced picture of changes in woody cover challenges widely held views of a general and ongoing reduction of the woody vegetation in Africa.&quot;,&quot;publisher&quot;:&quot;Macmillan Publishers Limited, part of Springer Nature.&quot;,&quot;issue&quot;:&quot;4&quot;,&quot;volume&quot;:&quot;1&quot;,&quot;container-title-short&quot;:&quot;Nat Ecol Evol&quot;},&quot;uris&quot;:[&quot;http://www.mendeley.com/documents/?uuid=51a10bed-839d-4adf-8c73-d26263a9c3d1&quot;],&quot;isTemporary&quot;:false,&quot;legacyDesktopId&quot;:&quot;51a10bed-839d-4adf-8c73-d26263a9c3d1&quot;},{&quot;id&quot;:&quot;e29fa019-a80c-3b7c-98ed-750a8a83e2ef&quot;,&quot;itemData&quot;:{&quot;type&quot;:&quot;article-journal&quot;,&quot;id&quot;:&quot;e29fa019-a80c-3b7c-98ed-750a8a83e2ef&quot;,&quot;title&quot;:&quot;Southern African fire regimes as revealed by remote sensing&quot;,&quot;author&quot;:[{&quot;family&quot;:&quot;Archibald&quot;,&quot;given&quot;:&quot;S.&quot;,&quot;parse-names&quot;:false,&quot;dropping-particle&quot;:&quot;&quot;,&quot;non-dropping-particle&quot;:&quot;&quot;},{&quot;family&quot;:&quot;Scholes&quot;,&quot;given&quot;:&quot;R. J.&quot;,&quot;parse-names&quot;:false,&quot;dropping-particle&quot;:&quot;&quot;,&quot;non-dropping-particle&quot;:&quot;&quot;},{&quot;family&quot;:&quot;Roy&quot;,&quot;given&quot;:&quot;D. P.&quot;,&quot;parse-names&quot;:false,&quot;dropping-particle&quot;:&quot;&quot;,&quot;non-dropping-particle&quot;:&quot;&quot;},{&quot;family&quot;:&quot;Roberts&quot;,&quot;given&quot;:&quot;G.&quot;,&quot;parse-names&quot;:false,&quot;dropping-particle&quot;:&quot;&quot;,&quot;non-dropping-particle&quot;:&quot;&quot;},{&quot;family&quot;:&quot;Boschetti&quot;,&quot;given&quot;:&quot;L.&quot;,&quot;parse-names&quot;:false,&quot;dropping-particle&quot;:&quot;&quot;,&quot;non-dropping-particle&quot;:&quot;&quot;}],&quot;container-title&quot;:&quot;International Journal of Wildland Fire&quot;,&quot;DOI&quot;:&quot;10.1071/WF10008&quot;,&quot;ISBN&quot;:&quot;1049-8001&quot;,&quot;ISSN&quot;:&quot;10498001&quot;,&quot;issued&quot;:{&quot;date-parts&quot;:[[2010]]},&quot;page&quot;:&quot;861-878&quot;,&quot;abstract&quot;:&quot;Here we integrate spatial information on annual burnt area, fire frequency, fire seasonality, fire radiative power and fire size distributions to produce an integrated picture of fire regimes in southern Africa. The regional patterns are related to gradients of environmental and human controls of fire, and compared with findings from other grass-fuelled fire systems on the globe. The fire regime differs across a gradient of human land use intensity, and can be explained by the differential effect of humans on ignition frequencies and fire spread. Contrary to findings in the savannas of Australia, there is no obvious increase in fire size or fire intensity from the early to the late fire season in southern Africa, presumably because patterns of fire ignition are very different. Similarly, the importance of very large fires in driving the total annual area burnt is not obvious in southern Africa. These results point to the substantial effect that human activities can have on fire in a system with high rural population densities and active fire management. Not all aspects of a fire regime are equally impacted by people: fire-return time and fire radiative power show less response to human activities than fire size and annual burned area.&quot;,&quot;issue&quot;:&quot;7&quot;,&quot;volume&quot;:&quot;19&quot;,&quot;container-title-short&quot;:&quot;Int J Wildland Fire&quot;},&quot;uris&quot;:[&quot;http://www.mendeley.com/documents/?uuid=7a2c139c-7dd6-40a3-a670-a62b7b7b9415&quot;],&quot;isTemporary&quot;:false,&quot;legacyDesktopId&quot;:&quot;7a2c139c-7dd6-40a3-a670-a62b7b7b9415&quot;}]},{&quot;citationID&quot;:&quot;MENDELEY_CITATION_81e5a9ef-fa3e-4902-93c8-6df95683c925&quot;,&quot;properties&quot;:{&quot;noteIndex&quot;:0},&quot;isEdited&quot;:false,&quot;manualOverride&quot;:{&quot;citeprocText&quot;:&quot;(Abel et al., 2020)&quot;,&quot;isManuallyOverridden&quot;:false,&quot;manualOverrideText&quot;:&quot;&quot;},&quot;citationTag&quot;:&quot;MENDELEY_CITATION_v3_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&quot;,&quot;citationItems&quot;:[{&quot;id&quot;:&quot;166da292-382f-3ca4-9a19-fb09df24b7a0&quot;,&quot;itemData&quot;:{&quot;type&quot;:&quot;article-journal&quot;,&quot;id&quot;:&quot;166da292-382f-3ca4-9a19-fb09df24b7a0&quot;,&quot;title&quot;:&quot;The human–environment nexus and vegetation–rainfall sensitivity in tropical drylands&quot;,&quot;author&quot;:[{&quot;family&quot;:&quot;Abel&quot;,&quot;given&quot;:&quot;Christin&quot;,&quot;parse-names&quot;:false,&quot;dropping-particle&quot;:&quot;&quot;,&quot;non-dropping-particle&quot;:&quot;&quot;},{&quot;family&quot;:&quot;Horion&quot;,&quot;given&quot;:&quot;Stéphanie&quot;,&quot;parse-names&quot;:false,&quot;dropping-particle&quot;:&quot;&quot;,&quot;non-dropping-particle&quot;:&quot;&quot;},{&quot;family&quot;:&quot;Tagesson&quot;,&quot;given&quot;:&quot;Torbern&quot;,&quot;parse-names&quot;:false,&quot;dropping-particle&quot;:&quot;&quot;,&quot;non-dropping-particle&quot;:&quot;&quot;},{&quot;family&quot;:&quot;Keersmaecker&quot;,&quot;given&quot;:&quot;Wanda&quot;,&quot;parse-names&quot;:false,&quot;dropping-particle&quot;:&quot;&quot;,&quot;non-dropping-particle&quot;:&quot;de&quot;},{&quot;family&quot;:&quot;Seddon&quot;,&quot;given&quot;:&quot;Alistair W R&quot;,&quot;parse-names&quot;:false,&quot;dropping-particle&quot;:&quot;&quot;,&quot;non-dropping-particle&quot;:&quot;&quot;},{&quot;family&quot;:&quot;Abdi&quot;,&quot;given&quot;:&quot;Abdulhakim M&quot;,&quot;parse-names&quot;:false,&quot;dropping-particle&quot;:&quot;&quot;,&quot;non-dropping-particle&quot;:&quot;&quot;},{&quot;family&quot;:&quot;Fensholt&quot;,&quot;given&quot;:&quot;Rasmus&quot;,&quot;parse-names&quot;:false,&quot;dropping-particle&quot;:&quot;&quot;,&quot;non-dropping-particle&quot;:&quot;&quot;}],&quot;container-title&quot;:&quot;Nature Sustainability&quot;,&quot;DOI&quot;:&quot;10.1038/s41893-020-00597-z&quot;,&quot;ISSN&quot;:&quot;2398-9629&quot;,&quot;URL&quot;:&quot;https://doi.org/10.1038/s41893-020-00597-z&quot;,&quot;issued&quot;:{&quot;date-parts&quot;:[[2020]]},&quot;abstract&quot;:&quot;Global climate change is projected to lead to an increase in both the areal extent and degree of aridity in the world’s drylands. At the same time, the majority of drylands are located in developing countries where high population densities and rapid population growth place additional pressure on the ecosystem. Thus, drylands are particularly vulnerable to environmental changes and large-scale environmental degradation. However, little is known about the long-term functional response of vegetation to such changes induced by the interplay of complex human–environmental interactions. Here we use time series of satellite data to show how vegetation productivity in relation to water availability, which is a major aspect of vegetation functioning in tropical drylands, has changed over the past two decades. In total, one-third of tropical dryland ecosystems show significant (P &lt; 0.05) changes in vegetation–rainfall sensitivity with pronounced differences between regions and continents. We identify population as the main driver of negative changes, especially for developing countries. This is contrasted by positive changes in vegetation–rainfall sensitivity in richer countries, probably resulting from favourable climatic conditions and/or caused by an intensification and expansion of human land management. Our results highlight geographic and economic differences in the relationship between vegetation–rainfall sensitivity and associated drivers in tropical drylands, marking an important step towards the identification, understanding and mitigation of potential negative effects from a changing world on ecosystems and human well-being.&quot;,&quot;container-title-short&quot;:&quot;Nat Sustain&quot;},&quot;uris&quot;:[&quot;http://www.mendeley.com/documents/?uuid=8a42aec5-303b-492b-a348-32278e650ab7&quot;],&quot;isTemporary&quot;:false,&quot;legacyDesktopId&quot;:&quot;8a42aec5-303b-492b-a348-32278e650ab7&quot;}]},{&quot;citationID&quot;:&quot;MENDELEY_CITATION_103eb5f4-aecc-49a5-952a-c7302ed5b511&quot;,&quot;properties&quot;:{&quot;noteIndex&quot;:0},&quot;isEdited&quot;:false,&quot;manualOverride&quot;:{&quot;citeprocText&quot;:&quot;(Hijmans et al., 2022)&quot;,&quot;isManuallyOverridden&quot;:false,&quot;manualOverrideText&quot;:&quot;&quot;},&quot;citationTag&quot;:&quot;MENDELEY_CITATION_v3_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&quot;,&quot;citationItems&quot;:[{&quot;id&quot;:&quot;4e5c9e25-5e73-3d0e-989e-7ddd54bfb6d3&quot;,&quot;itemData&quot;:{&quot;type&quot;:&quot;report&quot;,&quot;id&quot;:&quot;4e5c9e25-5e73-3d0e-989e-7ddd54bfb6d3&quot;,&quot;title&quot;:&quot;Package 'terra'&quot;,&quot;author&quot;:[{&quot;family&quot;:&quot;Hijmans&quot;,&quot;given&quot;:&quot;R.J.&quot;,&quot;parse-names&quot;:false,&quot;dropping-particle&quot;:&quot;&quot;,&quot;non-dropping-particle&quot;:&quot;&quot;},{&quot;family&quot;:&quot;Bivand&quot;,&quot;given&quot;:&quot;R.&quot;,&quot;parse-names&quot;:false,&quot;dropping-particle&quot;:&quot;&quot;,&quot;non-dropping-particle&quot;:&quot;&quot;},{&quot;family&quot;:&quot;Forner&quot;,&quot;given&quot;:&quot;K.&quot;,&quot;parse-names&quot;:false,&quot;dropping-particle&quot;:&quot;&quot;,&quot;non-dropping-particle&quot;:&quot;&quot;},{&quot;family&quot;:&quot;Pebesma&quot;,&quot;given&quot;:&quot;E.&quot;,&quot;parse-names&quot;:false,&quot;dropping-particle&quot;:&quot;&quot;,&quot;non-dropping-particle&quot;:&quot;&quot;},{&quot;family&quot;:&quot;Sumner&quot;,&quot;given&quot;:&quot;M.D.&quot;,&quot;parse-names&quot;:false,&quot;dropping-particle&quot;:&quot;&quot;,&quot;non-dropping-particle&quot;:&quot;&quot;}],&quot;container-title&quot;:&quot;CRAN&quot;,&quot;ISBN&quot;:&quot;0000000181723&quot;,&quot;issued&quot;:{&quot;date-parts&quot;:[[2022]]},&quot;container-title-short&quot;:&quot;&quot;},&quot;uris&quot;:[&quot;http://www.mendeley.com/documents/?uuid=a033e75d-923b-46a8-bcc6-d2cbe77aad0b&quot;],&quot;isTemporary&quot;:false,&quot;legacyDesktopId&quot;:&quot;a033e75d-923b-46a8-bcc6-d2cbe77aad0b&quot;}]},{&quot;citationID&quot;:&quot;MENDELEY_CITATION_a424c34d-d3de-4489-8b60-410f62bcb2da&quot;,&quot;properties&quot;:{&quot;noteIndex&quot;:0},&quot;isEdited&quot;:false,&quot;manualOverride&quot;:{&quot;citeprocText&quot;:&quot;(de Jong et al., 2013; Eigenbrod et al., 2020)&quot;,&quot;isManuallyOverridden&quot;:false,&quot;manualOverrideText&quot;:&quot;&quot;},&quot;citationTag&quot;:&quot;MENDELEY_CITATION_v3_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&quot;,&quot;citationItems&quot;:[{&quot;id&quot;:&quot;bdb6d7db-931e-3dcd-bf48-bc13cb3b7f91&quot;,&quot;itemData&quot;:{&quot;type&quot;:&quot;article-journal&quot;,&quot;id&quot;:&quot;bdb6d7db-931e-3dcd-bf48-bc13cb3b7f91&quot;,&quot;title&quot;:&quot;Spatial relationship between climatologies and changes in global vegetation activity&quot;,&quot;author&quot;:[{&quot;family&quot;:&quot;Jong&quot;,&quot;given&quot;:&quot;Rogier&quot;,&quot;parse-names&quot;:false,&quot;dropping-particle&quot;:&quot;&quot;,&quot;non-dropping-particle&quot;:&quot;de&quot;},{&quot;family&quot;:&quot;Schaepman&quot;,&quot;given&quot;:&quot;Michael E.&quot;,&quot;parse-names&quot;:false,&quot;dropping-particle&quot;:&quot;&quot;,&quot;non-dropping-particle&quot;:&quot;&quot;},{&quot;family&quot;:&quot;Furrer&quot;,&quot;given&quot;:&quot;Reinhard&quot;,&quot;parse-names&quot;:false,&quot;dropping-particle&quot;:&quot;&quot;,&quot;non-dropping-particle&quot;:&quot;&quot;},{&quot;family&quot;:&quot;Bruin&quot;,&quot;given&quot;:&quot;Sytze&quot;,&quot;parse-names&quot;:false,&quot;dropping-particle&quot;:&quot;&quot;,&quot;non-dropping-particle&quot;:&quot;de&quot;},{&quot;family&quot;:&quot;Verburg&quot;,&quot;given&quot;:&quot;Peter H.&quot;,&quot;parse-names&quot;:false,&quot;dropping-particle&quot;:&quot;&quot;,&quot;non-dropping-particle&quot;:&quot;&quot;}],&quot;container-title&quot;:&quot;Global Change Biology&quot;,&quot;DOI&quot;:&quot;10.1111/gcb.12193&quot;,&quot;ISBN&quot;:&quot;1354-1013&quot;,&quot;ISSN&quot;:&quot;13541013&quot;,&quot;PMID&quot;:&quot;23512439&quot;,&quot;issued&quot;:{&quot;date-parts&quot;:[[2013]]},&quot;page&quot;:&quot;1953-1964&quot;,&quot;abstract&quot;:&quot;Vegetation forms a main component of the terrestrial biosphere and plays a crucial role in land-cover and climate-related studies. Activity of vegetation systems is commonly quantified using remotely sensed vegetation indices (VI). Extensive reports on temporal trends over the past decades in time series of such indices can be found in literature. However, little remains known about the processes underlying these changes at large spatial scales. In this study, we aimed at quantifying the spatial relationship between changes in potential climatic growth constraints (i.e. temperature, precipitation and incident solar radiation) and changes in vegetation activity (1982-2008). We demonstrate an additive spatial model with 0.5° resolution, consisting of a regression component representing climate-associated effects and a spatially correlated field representing the combined influence of other factors, including land-use change. Little over 50% of the spatial variance could be attributed to changes in climatologies; conspicuously, many greening trends and browning hotspots in Argentina and Australia. The nonassociated model component may contain large-scale human interventions, feedback mechanisms or natural effects, which were not captured by the climatologies. Browning hotspots in this component were especially found in subequatorial Africa. On the scale of land-cover types, strongest relationships between climatologies and vegetation activity were found in forests, including indications for browning under warming conditions (analogous to the divergence issue discussed in dendroclimatology).&quot;,&quot;issue&quot;:&quot;6&quot;,&quot;volume&quot;:&quot;19&quot;,&quot;container-title-short&quot;:&quot;Glob Chang Biol&quot;},&quot;uris&quot;:[&quot;http://www.mendeley.com/documents/?uuid=da85f015-ca0b-48e1-a9c8-a427b8274f1e&quot;],&quot;isTemporary&quot;:false,&quot;legacyDesktopId&quot;:&quot;da85f015-ca0b-48e1-a9c8-a427b8274f1e&quot;},{&quot;id&quot;:&quot;85b75397-6229-3967-a545-5bae86b1c24c&quot;,&quot;itemData&quot;:{&quot;type&quot;:&quot;article-journal&quot;,&quot;id&quot;:&quot;85b75397-6229-3967-a545-5bae86b1c24c&quot;,&quot;title&quot;:&quot;Identifying Agricultural Frontiers for Modeling Global Cropland Expansion&quot;,&quot;author&quot;:[{&quot;family&quot;:&quot;Eigenbrod&quot;,&quot;given&quot;:&quot;Felix&quot;,&quot;parse-names&quot;:false,&quot;dropping-particle&quot;:&quot;&quot;,&quot;non-dropping-particle&quot;:&quot;&quot;},{&quot;family&quot;:&quot;Beckmann&quot;,&quot;given&quot;:&quot;Michael&quot;,&quot;parse-names&quot;:false,&quot;dropping-particle&quot;:&quot;&quot;,&quot;non-dropping-particle&quot;:&quot;&quot;},{&quot;family&quot;:&quot;Dunnett&quot;,&quot;given&quot;:&quot;Sebastian&quot;,&quot;parse-names&quot;:false,&quot;dropping-particle&quot;:&quot;&quot;,&quot;non-dropping-particle&quot;:&quot;&quot;},{&quot;family&quot;:&quot;Graham&quot;,&quot;given&quot;:&quot;Laura&quot;,&quot;parse-names&quot;:false,&quot;dropping-particle&quot;:&quot;&quot;,&quot;non-dropping-particle&quot;:&quot;&quot;},{&quot;family&quot;:&quot;Holland&quot;,&quot;given&quot;:&quot;Robert A.&quot;,&quot;parse-names&quot;:false,&quot;dropping-particle&quot;:&quot;&quot;,&quot;non-dropping-particle&quot;:&quot;&quot;},{&quot;family&quot;:&quot;Meyfroidt&quot;,&quot;given&quot;:&quot;Patrick&quot;,&quot;parse-names&quot;:false,&quot;dropping-particle&quot;:&quot;&quot;,&quot;non-dropping-particle&quot;:&quot;&quot;},{&quot;family&quot;:&quot;Seppelt&quot;,&quot;given&quot;:&quot;Ralf&quot;,&quot;parse-names&quot;:false,&quot;dropping-particle&quot;:&quot;&quot;,&quot;non-dropping-particle&quot;:&quot;&quot;},{&quot;family&quot;:&quot;Song&quot;,&quot;given&quot;:&quot;Xiao Peng&quot;,&quot;parse-names&quot;:false,&quot;dropping-particle&quot;:&quot;&quot;,&quot;non-dropping-particle&quot;:&quot;&quot;},{&quot;family&quot;:&quot;Spake&quot;,&quot;given&quot;:&quot;Rebecca&quot;,&quot;parse-names&quot;:false,&quot;dropping-particle&quot;:&quot;&quot;,&quot;non-dropping-particle&quot;:&quot;&quot;},{&quot;family&quot;:&quot;Václavík&quot;,&quot;given&quot;:&quot;Tomáš&quot;,&quot;parse-names&quot;:false,&quot;dropping-particle&quot;:&quot;&quot;,&quot;non-dropping-particle&quot;:&quot;&quot;},{&quot;family&quot;:&quot;Verburg&quot;,&quot;given&quot;:&quot;Peter H.&quot;,&quot;parse-names&quot;:false,&quot;dropping-particle&quot;:&quot;&quot;,&quot;non-dropping-particle&quot;:&quot;&quot;}],&quot;container-title&quot;:&quot;One Earth&quot;,&quot;DOI&quot;:&quot;10.1016/j.oneear.2020.09.006&quot;,&quot;ISSN&quot;:&quot;25903322&quot;,&quot;issued&quot;:{&quot;date-parts&quot;:[[2020]]},&quot;page&quot;:&quot;504-514&quot;,&quot;abstract&quot;:&quo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findings have important implications as the frontierness approach offers a straightforward way to improve global land use change models.&quot;,&quot;issue&quot;:&quot;4&quot;,&quot;volume&quot;:&quot;3&quot;,&quot;container-title-short&quot;:&quot;&quot;},&quot;uris&quot;:[&quot;http://www.mendeley.com/documents/?uuid=ac12338b-532f-423d-be5d-3525c3189cd1&quot;],&quot;isTemporary&quot;:false,&quot;legacyDesktopId&quot;:&quot;ac12338b-532f-423d-be5d-3525c3189cd1&quot;}]},{&quot;citationID&quot;:&quot;MENDELEY_CITATION_81b2bd2c-d7e2-4aa2-952e-2d813d72bfd4&quot;,&quot;properties&quot;:{&quot;noteIndex&quot;:0},&quot;isEdited&quot;:false,&quot;manualOverride&quot;:{&quot;citeprocText&quot;:&quot;(Zuur et al., 2010)&quot;,&quot;isManuallyOverridden&quot;:false,&quot;manualOverrideText&quot;:&quot;&quot;},&quot;citationTag&quot;:&quot;MENDELEY_CITATION_v3_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&quot;,&quot;citationItems&quot;:[{&quot;id&quot;:&quot;40cf1016-c3c0-34d8-9b35-96d18e75c24b&quot;,&quot;itemData&quot;:{&quot;type&quot;:&quot;article-journal&quot;,&quot;id&quot;:&quot;40cf1016-c3c0-34d8-9b35-96d18e75c24b&quot;,&quot;title&quot;:&quot;A protocol for data exploration to avoid common statistical problems&quot;,&quot;author&quot;:[{&quot;family&quot;:&quot;Zuur&quot;,&quot;given&quot;:&quot;Alain F.&quot;,&quot;parse-names&quot;:false,&quot;dropping-particle&quot;:&quot;&quot;,&quot;non-dropping-particle&quot;:&quot;&quot;},{&quot;family&quot;:&quot;Ieno&quot;,&quot;given&quot;:&quot;Elena N.&quot;,&quot;parse-names&quot;:false,&quot;dropping-particle&quot;:&quot;&quot;,&quot;non-dropping-particle&quot;:&quot;&quot;},{&quot;family&quot;:&quot;Elphick&quot;,&quot;given&quot;:&quot;Chris S.&quot;,&quot;parse-names&quot;:false,&quot;dropping-particle&quot;:&quot;&quot;,&quot;non-dropping-particle&quot;:&quot;&quot;}],&quot;container-title&quot;:&quot;Methods in Ecology and Evolution&quot;,&quot;DOI&quot;:&quot;10.1111/j.2041-210x.2009.00001.x&quot;,&quot;issued&quot;:{&quot;date-parts&quot;:[[2010]]},&quot;page&quot;:&quot;3-14&quot;,&quot;abstract&quot;:&quot;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quot;,&quot;issue&quot;:&quot;1&quot;,&quot;volume&quot;:&quot;1&quot;,&quot;container-title-short&quot;:&quot;Methods Ecol Evol&quot;},&quot;uris&quot;:[&quot;http://www.mendeley.com/documents/?uuid=93abf26e-692d-44b5-9256-2961aab9aac2&quot;],&quot;isTemporary&quot;:false,&quot;legacyDesktopId&quot;:&quot;93abf26e-692d-44b5-9256-2961aab9aac2&quot;}]},{&quot;citationID&quot;:&quot;MENDELEY_CITATION_436d0856-1fe4-438c-b4a0-e44e53b7f756&quot;,&quot;properties&quot;:{&quot;noteIndex&quot;:0},&quot;isEdited&quot;:false,&quot;manualOverride&quot;:{&quot;citeprocText&quot;:&quot;(Dormann et al., 2013)&quot;,&quot;isManuallyOverridden&quot;:false,&quot;manualOverrideText&quot;:&quot;&quot;},&quot;citationTag&quot;:&quot;MENDELEY_CITATION_v3_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&quot;,&quot;citationItems&quot;:[{&quot;id&quot;:&quot;bf78ed71-b6bf-3813-912c-fc407550ce5f&quot;,&quot;itemData&quot;:{&quot;type&quot;:&quot;article-journal&quot;,&quot;id&quot;:&quot;bf78ed71-b6bf-3813-912c-fc407550ce5f&quot;,&quot;title&quot;:&quot;Collinearity: A review of methods to deal with it and a simulation study evaluating their performance&quot;,&quot;author&quot;:[{&quot;family&quot;:&quot;Dormann&quot;,&quot;given&quot;:&quot;Carsten F.&quot;,&quot;parse-names&quot;:false,&quot;dropping-particle&quot;:&quot;&quot;,&quot;non-dropping-particle&quot;:&quot;&quot;},{&quot;family&quot;:&quot;Elith&quot;,&quot;given&quot;:&quot;Jane&quot;,&quot;parse-names&quot;:false,&quot;dropping-particle&quot;:&quot;&quot;,&quot;non-dropping-particle&quot;:&quot;&quot;},{&quot;family&quot;:&quot;Bacher&quot;,&quot;given&quot;:&quot;Sven&quot;,&quot;parse-names&quot;:false,&quot;dropping-particle&quot;:&quot;&quot;,&quot;non-dropping-particle&quot;:&quot;&quot;},{&quot;family&quot;:&quot;Buchmann&quot;,&quot;given&quot;:&quot;Carsten&quot;,&quot;parse-names&quot;:false,&quot;dropping-particle&quot;:&quot;&quot;,&quot;non-dropping-particle&quot;:&quot;&quot;},{&quot;family&quot;:&quot;Carl&quot;,&quot;given&quot;:&quot;Gudrun&quot;,&quot;parse-names&quot;:false,&quot;dropping-particle&quot;:&quot;&quot;,&quot;non-dropping-particle&quot;:&quot;&quot;},{&quot;family&quot;:&quot;Carré&quot;,&quot;given&quot;:&quot;Gabriel&quot;,&quot;parse-names&quot;:false,&quot;dropping-particle&quot;:&quot;&quot;,&quot;non-dropping-particle&quot;:&quot;&quot;},{&quot;family&quot;:&quot;Marquéz&quot;,&quot;given&quot;:&quot;Jaime R.García&quot;,&quot;parse-names&quot;:false,&quot;dropping-particle&quot;:&quot;&quot;,&quot;non-dropping-particle&quot;:&quot;&quot;},{&quot;family&quot;:&quot;Gruber&quot;,&quot;given&quot;:&quot;Bernd&quot;,&quot;parse-names&quot;:false,&quot;dropping-particle&quot;:&quot;&quot;,&quot;non-dropping-particle&quot;:&quot;&quot;},{&quot;family&quot;:&quot;Lafourcade&quot;,&quot;given&quot;:&quot;Bruno&quot;,&quot;parse-names&quot;:false,&quot;dropping-particle&quot;:&quot;&quot;,&quot;non-dropping-particle&quot;:&quot;&quot;},{&quot;family&quot;:&quot;Leitão&quot;,&quot;given&quot;:&quot;Pedro J.&quot;,&quot;parse-names&quot;:false,&quot;dropping-particle&quot;:&quot;&quot;,&quot;non-dropping-particle&quot;:&quot;&quot;},{&quot;family&quot;:&quot;Münkemüller&quot;,&quot;given&quot;:&quot;Tamara&quot;,&quot;parse-names&quot;:false,&quot;dropping-particle&quot;:&quot;&quot;,&quot;non-dropping-particle&quot;:&quot;&quot;},{&quot;family&quot;:&quot;Mcclean&quot;,&quot;given&quot;:&quot;Colin&quot;,&quot;parse-names&quot;:false,&quot;dropping-particle&quot;:&quot;&quot;,&quot;non-dropping-particle&quot;:&quot;&quot;},{&quot;family&quot;:&quot;Osborne&quot;,&quot;given&quot;:&quot;Patrick E.&quot;,&quot;parse-names&quot;:false,&quot;dropping-particle&quot;:&quot;&quot;,&quot;non-dropping-particle&quot;:&quot;&quot;},{&quot;family&quot;:&quot;Reineking&quot;,&quot;given&quot;:&quot;Björn&quot;,&quot;parse-names&quot;:false,&quot;dropping-particle&quot;:&quot;&quot;,&quot;non-dropping-particle&quot;:&quot;&quot;},{&quot;family&quot;:&quot;Schröder&quot;,&quot;given&quot;:&quot;Boris&quot;,&quot;parse-names&quot;:false,&quot;dropping-particle&quot;:&quot;&quot;,&quot;non-dropping-particle&quot;:&quot;&quot;},{&quot;family&quot;:&quot;Skidmore&quot;,&quot;given&quot;:&quot;Andrew K.&quot;,&quot;parse-names&quot;:false,&quot;dropping-particle&quot;:&quot;&quot;,&quot;non-dropping-particle&quot;:&quot;&quot;},{&quot;family&quot;:&quot;Zurell&quot;,&quot;given&quot;:&quot;Damaris&quot;,&quot;parse-names&quot;:false,&quot;dropping-particle&quot;:&quot;&quot;,&quot;non-dropping-particle&quot;:&quot;&quot;},{&quot;family&quot;:&quot;Lautenbach&quot;,&quot;given&quot;:&quot;Sven&quot;,&quot;parse-names&quot;:false,&quot;dropping-particle&quot;:&quot;&quot;,&quot;non-dropping-particle&quot;:&quot;&quot;}],&quot;container-title&quot;:&quot;Ecography&quot;,&quot;DOI&quot;:&quot;10.1111/j.1600-0587.2012.07348.x&quot;,&quot;ISSN&quot;:&quot;16000587&quot;,&quot;issued&quot;:{&quot;date-parts&quot;:[[2013]]},&quot;page&quot;:&quot;27-46&quot;,&quot;abstract&quot;:&quot;Collinearity refers to the non independence of predictor variables, usually in a regression-type analysis. It is a common feature of any descriptive ecological data set and can be a problem for parameter estimation because it inflates the variance of regression parameters and hence potentially leads to the wrong identification of relevant predictors in a statistical model. Collinearity is a severe problem when a model is trained on data from one region or time, and predicted to another with a different or unknown structure of collinearity. To demonstrate the reach of the problem of collinearity in ecology, we show how relationships among predictors differ between biomes, change over spatial scales and through time. Across disciplines, different approaches to addressing collinearity problems have been developed, ranging from clustering of predictors, threshold-based pre-selection, through latent variable methods, to shrinkage and regularisation. Using simulated data with five predictor-response relationships of increasing complexity and eight levels of collinearity we compared ways to address collinearity with standard multiple regression and machine-learning approaches. We assessed the performance of each approach by testing its impact on prediction to new data. In the extreme, we tested whether the methods were able to identify the true underlying relationship in a training dataset with strong collinearity by evaluating its performance on a test dataset without any collinearity. We found that methods specifically designed for collinearity, such as latent variable methods and tree based models, did not outperform the traditional GLM and threshold-based pre-selection. Our results highlight the value of GLM in combination with penalised methods (particularly ridge) and threshold-based pre-selection when omitted variables are considered in the final interpretation. However, all approaches tested yielded degraded predictions under change in collinearity structure and the 'folk lore'-thresholds of correlation coefficients between predictor variables of |r| &gt;0.7 was an appropriate indicator for when collinearity begins to severely distort model estimation and subsequent prediction. The use of ecological understanding of the system in pre-analysis variable selection and the choice of the least sensitive statistical approaches reduce the problems of collinearity, but cannot ultimately solve them. © 2012 The Authors. Ecography © 2012 Nordic Society Oikos.&quot;,&quot;issue&quot;:&quot;1&quot;,&quot;volume&quot;:&quot;36&quot;,&quot;container-title-short&quot;:&quot;Ecography&quot;},&quot;uris&quot;:[&quot;http://www.mendeley.com/documents/?uuid=5c26378d-1a5e-451e-a07e-f19c54ff9820&quot;],&quot;isTemporary&quot;:false,&quot;legacyDesktopId&quot;:&quot;5c26378d-1a5e-451e-a07e-f19c54ff9820&quot;}]},{&quot;citationID&quot;:&quot;MENDELEY_CITATION_5875356e-2d1b-45ff-aee1-f07f3d4e5886&quot;,&quot;properties&quot;:{&quot;noteIndex&quot;:0},&quot;isEdited&quot;:false,&quot;manualOverride&quot;:{&quot;citeprocText&quot;:&quot;(Lehmann et al., 2014)&quot;,&quot;isManuallyOverridden&quot;:false,&quot;manualOverrideText&quot;:&quot;&quot;},&quot;citationItems&quot;:[{&quot;id&quot;:&quot;72b2062e-9e07-3ef3-a72c-a1c32e44ae8a&quot;,&quot;itemData&quot;:{&quot;type&quot;:&quot;article-journal&quot;,&quot;id&quot;:&quot;72b2062e-9e07-3ef3-a72c-a1c32e44ae8a&quot;,&quot;title&quot;:&quot;Savanna Vegetation-Fire-Climate Relationships Differ Among Continents&quot;,&quot;author&quot;:[{&quot;family&quot;:&quot;Lehmann&quot;,&quot;given&quot;:&quot;C. E. R.&quot;,&quot;parse-names&quot;:false,&quot;dropping-particle&quot;:&quot;&quot;,&quot;non-dropping-particle&quot;:&quot;&quot;},{&quot;family&quot;:&quot;Anderson&quot;,&quot;given&quot;:&quot;T. M.&quot;,&quot;parse-names&quot;:false,&quot;dropping-particle&quot;:&quot;&quot;,&quot;non-dropping-particle&quot;:&quot;&quot;},{&quot;family&quot;:&quot;Sankaran&quot;,&quot;given&quot;:&quot;M.&quot;,&quot;parse-names&quot;:false,&quot;dropping-particle&quot;:&quot;&quot;,&quot;non-dropping-particle&quot;:&quot;&quot;},{&quot;family&quot;:&quot;Higgins&quot;,&quot;given&quot;:&quot;S. I.&quot;,&quot;parse-names&quot;:false,&quot;dropping-particle&quot;:&quot;&quot;,&quot;non-dropping-particle&quot;:&quot;&quot;},{&quot;family&quot;:&quot;Archibald&quot;,&quot;given&quot;:&quot;S.&quot;,&quot;parse-names&quot;:false,&quot;dropping-particle&quot;:&quot;&quot;,&quot;non-dropping-particle&quot;:&quot;&quot;},{&quot;family&quot;:&quot;Hoffmann&quot;,&quot;given&quot;:&quot;W. A.&quot;,&quot;parse-names&quot;:false,&quot;dropping-particle&quot;:&quot;&quot;,&quot;non-dropping-particle&quot;:&quot;&quot;},{&quot;family&quot;:&quot;Hanan&quot;,&quot;given&quot;:&quot;N. P.&quot;,&quot;parse-names&quot;:false,&quot;dropping-particle&quot;:&quot;&quot;,&quot;non-dropping-particle&quot;:&quot;&quot;},{&quot;family&quot;:&quot;Williams&quot;,&quot;given&quot;:&quot;R. J.&quot;,&quot;parse-names&quot;:false,&quot;dropping-particle&quot;:&quot;&quot;,&quot;non-dropping-particle&quot;:&quot;&quot;},{&quot;family&quot;:&quot;Fensham&quot;,&quot;given&quot;:&quot;R. J.&quot;,&quot;parse-names&quot;:false,&quot;dropping-particle&quot;:&quot;&quot;,&quot;non-dropping-particle&quot;:&quot;&quot;},{&quot;family&quot;:&quot;Felfili&quot;,&quot;given&quot;:&quot;J.&quot;,&quot;parse-names&quot;:false,&quot;dropping-particle&quot;:&quot;&quot;,&quot;non-dropping-particle&quot;:&quot;&quot;},{&quot;family&quot;:&quot;Hutley&quot;,&quot;given&quot;:&quot;L. B.&quot;,&quot;parse-names&quot;:false,&quot;dropping-particle&quot;:&quot;&quot;,&quot;non-dropping-particle&quot;:&quot;&quot;},{&quot;family&quot;:&quot;Ratnam&quot;,&quot;given&quot;:&quot;J.&quot;,&quot;parse-names&quot;:false,&quot;dropping-particle&quot;:&quot;&quot;,&quot;non-dropping-particle&quot;:&quot;&quot;},{&quot;family&quot;:&quot;San Jose&quot;,&quot;given&quot;:&quot;J.&quot;,&quot;parse-names&quot;:false,&quot;dropping-particle&quot;:&quot;&quot;,&quot;non-dropping-particle&quot;:&quot;&quot;},{&quot;family&quot;:&quot;Montes&quot;,&quot;given&quot;:&quot;R.&quot;,&quot;parse-names&quot;:false,&quot;dropping-particle&quot;:&quot;&quot;,&quot;non-dropping-particle&quot;:&quot;&quot;},{&quot;family&quot;:&quot;Franklin&quot;,&quot;given&quot;:&quot;D.&quot;,&quot;parse-names&quot;:false,&quot;dropping-particle&quot;:&quot;&quot;,&quot;non-dropping-particle&quot;:&quot;&quot;},{&quot;family&quot;:&quot;Russell-Smith&quot;,&quot;given&quot;:&quot;J.&quot;,&quot;parse-names&quot;:false,&quot;dropping-particle&quot;:&quot;&quot;,&quot;non-dropping-particle&quot;:&quot;&quot;},{&quot;family&quot;:&quot;Ryan&quot;,&quot;given&quot;:&quot;C. M.&quot;,&quot;parse-names&quot;:false,&quot;dropping-particle&quot;:&quot;&quot;,&quot;non-dropping-particle&quot;:&quot;&quot;},{&quot;family&quot;:&quot;Durigan&quot;,&quot;given&quot;:&quot;G.&quot;,&quot;parse-names&quot;:false,&quot;dropping-particle&quot;:&quot;&quot;,&quot;non-dropping-particle&quot;:&quot;&quot;},{&quot;family&quot;:&quot;Hiernaux&quot;,&quot;given&quot;:&quot;P.&quot;,&quot;parse-names&quot;:false,&quot;dropping-particle&quot;:&quot;&quot;,&quot;non-dropping-particle&quot;:&quot;&quot;},{&quot;family&quot;:&quot;Haidar&quot;,&quot;given&quot;:&quot;R.&quot;,&quot;parse-names&quot;:false,&quot;dropping-particle&quot;:&quot;&quot;,&quot;non-dropping-particle&quot;:&quot;&quot;},{&quot;family&quot;:&quot;Bowman&quot;,&quot;given&quot;:&quot;D. M. J. S.&quot;,&quot;parse-names&quot;:false,&quot;dropping-particle&quot;:&quot;&quot;,&quot;non-dropping-particle&quot;:&quot;&quot;},{&quot;family&quot;:&quot;Bond&quot;,&quot;given&quot;:&quot;W. J.&quot;,&quot;parse-names&quot;:false,&quot;dropping-particle&quot;:&quot;&quot;,&quot;non-dropping-particle&quot;:&quot;&quot;}],&quot;container-title&quot;:&quot;Science&quot;,&quot;DOI&quot;:&quot;10.1126/science.1247355&quot;,&quot;ISBN&quot;:&quot;0036-8075&quot;,&quot;ISSN&quot;:&quot;0036-8075&quot;,&quot;PMID&quot;:&quot;24482480&quot;,&quot;URL&quot;:&quot;http://www.sciencemag.org/cgi/doi/10.1126/science.1247355&quot;,&quot;issued&quot;:{&quot;date-parts&quot;:[[2014]]},&quot;page&quot;:&quot;548-552&quot;,&quot;abstract&quot;:&quot;Ecologists have long sought to understand the factors controlling the structure of savanna vegetation. Using data from 2154 sites in savannas across Africa, Australia, and South America, we found that increasing moisture availability drives increases in fire and tree basal area, whereas fire reduces tree basal area. However, among continents, the magnitude of these effects varied substantially, so that a single model cannot adequately represent savanna woody biomass across these regions. Historical and environmental differences drive the regional variation in the functional relationships between woody vegetation, fire, and climate. These same differences will determine the regional responses of vegetation to future climates, with implications for global carbon stocks.&quot;,&quot;issue&quot;:&quot;6170&quot;,&quot;volume&quot;:&quot;343&quot;},&quot;uris&quot;:[&quot;http://www.mendeley.com/documents/?uuid=0b65d423-07e1-40f3-957d-7ce1c2dc6f03&quot;],&quot;isTemporary&quot;:false,&quot;legacyDesktopId&quot;:&quot;0b65d423-07e1-40f3-957d-7ce1c2dc6f03&quot;}],&quot;citationTag&quot;:&quot;MENDELEY_CITATION_v3_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&quot;},{&quot;citationID&quot;:&quot;MENDELEY_CITATION_259a60d0-acb2-4267-b327-94fa523bb075&quot;,&quot;properties&quot;:{&quot;noteIndex&quot;:0},&quot;isEdited&quot;:false,&quot;manualOverride&quot;:{&quot;isManuallyOverridden&quot;:false,&quot;citeprocText&quot;:&quot;(Tredennick et al., 2021)&quot;,&quot;manualOverrideText&quot;:&quot;&quot;},&quot;citationItems&quot;:[{&quot;id&quot;:&quot;ed964e95-5d17-3771-82dd-253d087c5c43&quot;,&quot;itemData&quot;:{&quot;type&quot;:&quot;article-journal&quot;,&quot;id&quot;:&quot;ed964e95-5d17-3771-82dd-253d087c5c43&quot;,&quot;title&quot;:&quot;A practical guide to selecting models for exploration, inference, and prediction in ecology&quot;,&quot;author&quot;:[{&quot;family&quot;:&quot;Tredennick&quot;,&quot;given&quot;:&quot;Andrew T.&quot;,&quot;parse-names&quot;:false,&quot;dropping-particle&quot;:&quot;&quot;,&quot;non-dropping-particle&quot;:&quot;&quot;},{&quot;family&quot;:&quot;Hooker&quot;,&quot;given&quot;:&quot;Giles&quot;,&quot;parse-names&quot;:false,&quot;dropping-particle&quot;:&quot;&quot;,&quot;non-dropping-particle&quot;:&quot;&quot;},{&quot;family&quot;:&quot;Ellner&quot;,&quot;given&quot;:&quot;Stephen P.&quot;,&quot;parse-names&quot;:false,&quot;dropping-particle&quot;:&quot;&quot;,&quot;non-dropping-particle&quot;:&quot;&quot;},{&quot;family&quot;:&quot;Adler&quot;,&quot;given&quot;:&quot;Peter B.&quot;,&quot;parse-names&quot;:false,&quot;dropping-particle&quot;:&quot;&quot;,&quot;non-dropping-particle&quot;:&quot;&quot;}],&quot;container-title&quot;:&quot;Ecology&quot;,&quot;DOI&quot;:&quot;10.1002/ecy.3336&quot;,&quot;ISSN&quot;:&quot;19399170&quot;,&quot;PMID&quot;:&quot;33710619&quot;,&quot;issued&quot;:{&quot;date-parts&quot;:[[2021,6,1]]},&quot;abstract&quot;:&quot;Selecting among competing statistical models is a core challenge in science. However, the many possible approaches and techniques for model selection, and the conflicting recommendations for their use, can be confusing. We contend that much confusion surrounding statistical model selection results from failing to first clearly specify the purpose of the analysis. We argue that there are three distinct goals for statistical modeling in ecology: data exploration, inference, and prediction. Once the modeling goal is clearly articulated, an appropriate model selection procedure is easier to identify. We review model selection approaches and highlight their strengths and weaknesses relative to each of the three modeling goals. We then present examples of modeling for exploration, inference, and prediction using a time series of butterfly population counts. These show how a model selection approach flows naturally from the modeling goal, leading to different models selected for different purposes, even with exactly the same data set. This review illustrates best practices for ecologists and should serve as a reminder that statistical recipes cannot substitute for critical thinking or for the use of independent data to test hypotheses and validate predictions.&quot;,&quot;publisher&quot;:&quot;Ecological Society of America&quot;,&quot;issue&quot;:&quot;6&quot;,&quot;volume&quot;:&quot;102&quot;},&quot;isTemporary&quot;:false}],&quot;citationTag&quot;:&quot;MENDELEY_CITATION_v3_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&quot;},{&quot;citationID&quot;:&quot;MENDELEY_CITATION_cc5e7035-a34b-4bf5-a268-2d191138bcde&quot;,&quot;properties&quot;:{&quot;noteIndex&quot;:0},&quot;isEdited&quot;:false,&quot;manualOverride&quot;:{&quot;citeprocText&quot;:&quot;(Archibald and Hempson, 2016)&quot;,&quot;isManuallyOverridden&quot;:true,&quot;manualOverrideText&quot;:&quot;Archibald and Hempson (2016)&quot;},&quot;citationItems&quot;:[{&quot;id&quot;:&quot;805b5278-1626-3766-87a1-a787eea6420f&quot;,&quot;itemData&quot;:{&quot;type&quot;:&quot;article-journal&quot;,&quot;id&quot;:&quot;805b5278-1626-3766-87a1-a787eea6420f&quot;,&quot;title&quot;:&quot;Competing consumers: Contrasting the patterns and impacts of fire and mammalian herbivory in Africa&quot;,&quot;author&quot;:[{&quot;family&quot;:&quot;Archibald&quot;,&quot;given&quot;:&quot;Sally&quot;,&quot;parse-names&quot;:false,&quot;dropping-particle&quot;:&quot;&quot;,&quot;non-dropping-particle&quot;:&quot;&quot;},{&quot;family&quot;:&quot;Hempson&quot;,&quot;given&quot;:&quot;Gareth P.&quot;,&quot;parse-names&quot;:false,&quot;dropping-particle&quot;:&quot;&quot;,&quot;non-dropping-particle&quot;:&quot;&quot;}],&quot;container-title&quot;:&quot;Philosophical Transactions of the Royal Society B: Biological Sciences&quot;,&quot;DOI&quot;:&quot;10.1098/rstb.2015.0309&quot;,&quot;ISSN&quot;:&quot;14712970&quot;,&quot;PMID&quot;:&quot;27502374&quot;,&quot;issued&quot;:{&quot;date-parts&quot;:[[2016]]},&quot;abstract&quot;:&quot;Fire and herbivory are the two consumers of above-ground biomass globally. They have contrasting impacts as they differ in terms of selectivity and temporal occurrence. Here, we integrate continental-scale data on fire and herbivory in Africa to explore (i) how environmental drivers constrain these two consumers and (ii) the degree to which each consumer affects the other. Environments conducive to mammalian herbivory are not necessarily the same as those conducive to fire, although their spheres of influence do overlap—especially in grassy ecosystems which are known for their frequent fires and abundance of large mammalian herbivores. Interactions between fire and herbivory can be competitive, facultative or antagonistic, and we explore this with reference to the potential for alternative ecosystem states. Although fire removes orders of magnitude more biomass than herbivory their methane emissions are very similar, and in the past, herbivores probably emitted more methane than fire. We contrast the type of herbivory and fire in different ecosystems to define ‘consumer-realms’.\\nThis article is part of the themed issue ‘Tropical grassy biomes: linking ecology, human use and conservation’.&quot;,&quot;issue&quot;:&quot;1703&quot;,&quot;volume&quot;:&quot;371:201503&quot;,&quot;container-title-short&quot;:&quot;&quot;},&quot;uris&quot;:[&quot;http://www.mendeley.com/documents/?uuid=1c74db42-c735-4d4d-a74e-1f7b2dd65490&quot;],&quot;isTemporary&quot;:false,&quot;legacyDesktopId&quot;:&quot;1c74db42-c735-4d4d-a74e-1f7b2dd65490&quot;}],&quot;citationTag&quot;:&quot;MENDELEY_CITATION_v3_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&quot;},{&quot;citationID&quot;:&quot;MENDELEY_CITATION_c481f652-f49d-4895-b4c4-84d1473e1953&quot;,&quot;properties&quot;:{&quot;noteIndex&quot;:0},&quot;isEdited&quot;:false,&quot;manualOverride&quot;:{&quot;citeprocText&quot;:&quot;(Charles-Dominique et al., 2018)&quot;,&quot;isManuallyOverridden&quot;:true,&quot;manualOverrideText&quot;:&quot;Charles-Dominique et al. (2018)&quot;},&quot;citationItems&quot;:[{&quot;id&quot;:&quot;2f92a4c8-f21e-3a65-b1f8-22d131217711&quot;,&quot;itemData&quot;:{&quot;type&quot;:&quot;article-journal&quot;,&quot;id&quot;:&quot;2f92a4c8-f21e-3a65-b1f8-22d131217711&quot;,&quot;title&quot;:&quot;Steal the light: shade vs fire adapted vegetation in forest–savanna mosaics&quot;,&quot;author&quot;:[{&quot;family&quot;:&quot;Charles-Dominique&quot;,&quot;given&quot;:&quot;Tristan&quot;,&quot;parse-names&quot;:false,&quot;dropping-particle&quot;:&quot;&quot;,&quot;non-dropping-particle&quot;:&quot;&quot;},{&quot;family&quot;:&quot;Midgley&quot;,&quot;given&quot;:&quot;Guy F.&quot;,&quot;parse-names&quot;:false,&quot;dropping-particle&quot;:&quot;&quot;,&quot;non-dropping-particle&quot;:&quot;&quot;},{&quot;family&quot;:&quot;Tomlinson&quot;,&quot;given&quot;:&quot;Kyle W.&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nph.15117&quot;,&quot;ISSN&quot;:&quot;14698137&quot;,&quot;PMID&quot;:&quot;29604213&quot;,&quot;issued&quot;:{&quot;date-parts&quot;:[[2018]]},&quot;page&quot;:&quot;1419-1429&quot;,&quot;abstract&quot;:&quot;Shade cast by trees, which suppresses grass growth, and fire fuelled by grass biomass, which prevents tree sapling establishment, are mutually exclusive and self-reinforcing drivers of biome distribution in savanna–forest mosaics. We investigated how shade depth, represented by canopy leaf area index (LAI), is generated by adult trees across savanna–forest boundaries and how a shade gradient filters tree functioning, and grass composition and biomass. Forest trees exerted greater shading through increased stem density and greater light interception per unit biomass. A critical transition at LAI c. 1.5 was linked to tree shifts from savanna to forest species, functional shifts from fire-tolerant to light-competitive species, and grass composition shifts from C4 to C3 pathways. A second transition to grass fuel loads too low to support fires, occurred at a lower canopy density (LAI &gt; 0.5), accompanied by shifts in C4 subtype dominance. This pattern suggests that shade suppression of grass biomass is an essential first step for the maintenance of alternative stable states.&quot;,&quot;issue&quot;:&quot;4&quot;,&quot;volume&quot;:&quot;218&quot;,&quot;container-title-short&quot;:&quot;&quot;},&quot;uris&quot;:[&quot;http://www.mendeley.com/documents/?uuid=ab3a6f5a-1043-4a8f-a88a-f9eed589d7c1&quot;],&quot;isTemporary&quot;:false,&quot;legacyDesktopId&quot;:&quot;ab3a6f5a-1043-4a8f-a88a-f9eed589d7c1&quot;}],&quot;citationTag&quot;:&quot;MENDELEY_CITATION_v3_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&quot;},{&quot;citationID&quot;:&quot;MENDELEY_CITATION_2d926da2-7fbb-4213-b64e-1f246d1a452a&quot;,&quot;properties&quot;:{&quot;noteIndex&quot;:0},&quot;isEdited&quot;:false,&quot;manualOverride&quot;:{&quot;citeprocText&quot;:&quot;(Oliveras and Malhi, 2016)&quot;,&quot;isManuallyOverridden&quot;:true,&quot;manualOverrideText&quot;:&quot;Oliveras and Malhi (2016)&quot;},&quot;citationItems&quot;:[{&quot;id&quot;:&quot;034d8cf7-5f75-39f8-9daa-54d180a3cd87&quot;,&quot;itemData&quot;:{&quot;type&quot;:&quot;article-journal&quot;,&quot;id&quot;:&quot;034d8cf7-5f75-39f8-9daa-54d180a3cd87&quot;,&quot;title&quot;:&quot;Many shades of green: The dynamic tropical forest–savannah transition zones&quot;,&quot;author&quot;:[{&quot;family&quot;:&quot;Oliveras&quot;,&quot;given&quot;:&quot;Immaculada&quot;,&quot;parse-names&quot;:false,&quot;dropping-particle&quot;:&quot;&quot;,&quot;non-dropping-particle&quot;:&quot;&quot;},{&quot;family&quot;:&quot;Malhi&quot;,&quot;given&quot;:&quot;Yadvinder&quot;,&quot;parse-names&quot;:false,&quot;dropping-particle&quot;:&quot;&quot;,&quot;non-dropping-particle&quot;:&quot;&quot;}],&quot;container-title&quot;:&quot;Philosophical Transactions of the Royal Society B: Biological Sciences&quot;,&quot;DOI&quot;:&quot;10.1098/rstb.2015.0308&quot;,&quot;ISBN&quot;:&quot;0266467416000&quot;,&quot;ISSN&quot;:&quot;14712970&quot;,&quot;PMID&quot;:&quot;27502373&quot;,&quot;issued&quot;:{&quot;date-parts&quot;:[[2016]]},&quot;abstract&quot;:&quot;One contribution of 15 to a theme issue 'Tropical grassy biomes: linking ecology, human use and conservation'. The forest–savannah transition is the most widespread ecotone in tropical areas, separating two of the most productive terrestrial ecosystems. Here, we review current understanding of the factors that shape this transition, and how it may change under various drivers of local or global change. At broadest scales, the location of the transition is shaped by water availability, mediated strongly at local scales by fire regimes, herbivory pressure and spatial variation in soil properties. The frequently dynamic nature of this tran-sition suggests that forest and savannah can exist as alternative stable states, maintained and separated by fire–grass feedbacks and tree shade–fire suppression feedback. However, this theory is still contested and the relative contributions of the main biotic and abiotic drivers and their interactions are yet not fully understood. These drivers interplay with a wide range of ecologi-cal processes and attributes at the global, continental, regional and local scales. The evolutionary history of the biotic and abiotic drivers and processes plays an important role in the current distributions of these transitions as well as in their species composition and ecosystem functioning. This ecotone can be sen-sitive to shifts in climate and other driving factors, but is also potentially stabilized by negative feedback processes. There is abundant evidence that these transitions are shifting under contemporary global and local changes, but the direction of shift varies according to region. However, it still remains uncertain how these transitions will respond to rapid and multi-faceted ongoing current changes, and how increasing human influence will interact with these shifts. This article is part of the themed issue 'Tropical grassy biomes: linking ecology, human use and conservation'.&quot;,&quot;issue&quot;:&quot;1703&quot;,&quot;volume&quot;:&quot;371: 20150&quot;,&quot;container-title-short&quot;:&quot;&quot;},&quot;uris&quot;:[&quot;http://www.mendeley.com/documents/?uuid=aaa72715-bfbe-4859-b1f4-b31fc1341864&quot;],&quot;isTemporary&quot;:false,&quot;legacyDesktopId&quot;:&quot;aaa72715-bfbe-4859-b1f4-b31fc1341864&quot;}],&quot;citationTag&quot;:&quot;MENDELEY_CITATION_v3_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&quot;},{&quot;citationID&quot;:&quot;MENDELEY_CITATION_ff1f87cd-3175-4ee7-a31f-8e3e723414d0&quot;,&quot;properties&quot;:{&quot;noteIndex&quot;:0},&quot;isEdited&quot;:false,&quot;manualOverride&quot;:{&quot;citeprocText&quot;:&quot;(Venter et al., 2018)&quot;,&quot;isManuallyOverridden&quot;:true,&quot;manualOverrideText&quot;:&quot;Venter et al. (2018)&quot;},&quot;citationItems&quot;:[{&quot;id&quot;:&quot;1d47a217-a584-3fda-9d79-73113cc717dc&quot;,&quot;itemData&quot;:{&quot;type&quot;:&quot;article-journal&quot;,&quot;id&quot;:&quot;1d47a217-a584-3fda-9d79-73113cc717dc&quot;,&quot;title&quot;:&quot;Drivers of woody plant encroachment over Africa&quot;,&quot;author&quot;:[{&quot;family&quot;:&quot;Venter&quot;,&quot;given&quot;:&quot;Z. S.&quot;,&quot;parse-names&quot;:false,&quot;dropping-particle&quot;:&quot;&quot;,&quot;non-dropping-particle&quot;:&quot;&quot;},{&quot;family&quot;:&quot;Cramer&quot;,&quot;given&quot;:&quot;M. D.&quot;,&quot;parse-names&quot;:false,&quot;dropping-particle&quot;:&quot;&quot;,&quot;non-dropping-particle&quot;:&quot;&quot;},{&quot;family&quot;:&quot;Hawkins&quot;,&quot;given&quot;:&quot;H. J.&quot;,&quot;parse-names&quot;:false,&quot;dropping-particle&quot;:&quot;&quot;,&quot;non-dropping-particle&quot;:&quot;&quot;}],&quot;container-title&quot;:&quot;Nature Communications&quot;,&quot;DOI&quot;:&quot;10.1038/s41467-018-04616-8&quot;,&quot;ISSN&quot;:&quot;20411723&quot;,&quot;PMID&quot;:&quot;29891933&quot;,&quot;URL&quot;:&quot;http://dx.doi.org/10.1038/s41467-018-04616-8&quot;,&quot;issued&quot;:{&quot;date-parts&quot;:[[2018]]},&quot;page&quot;:&quot;1-7&quot;,&quot;abstract&quot;:&quot;While global deforestation induced by human land use has been quantified, the drivers and extent of simultaneous woody plant encroachment (WPE) into open areas are only regionally known. WPE has important consequences for ecosystem functioning, global carbon balances and human economies. Here we report, using high-resolution satellite imagery, that woody vegetation cover over sub-Saharan Africa increased by 8% over the past three decades and that a diversity of drivers, other than CO2, were able to explain 78% of the spatial variation in this trend. A decline in burned area along with warmer, wetter climates drove WPE, although this has been mitigated in areas with high population growth rates, and high and low extremes of herbivory, specifically browsers. These results confirm global greening trends, thereby bringing into question widely held theories about declining terrestrial carbon balances and desert expansion. Importantly, while global drivers such as climate and CO2 may enhance the risk of WPE, managing fire and herbivory at the local scale provides tools to mitigate continental WPE.&quot;,&quot;publisher&quot;:&quot;Springer US&quot;,&quot;issue&quot;:&quot;1&quot;,&quot;volume&quot;:&quot;9&quot;,&quot;container-title-short&quot;:&quot;Nat Commun&quot;},&quot;uris&quot;:[&quot;http://www.mendeley.com/documents/?uuid=d11d03cf-846e-4983-8fbf-2d90575b4664&quot;],&quot;isTemporary&quot;:false,&quot;legacyDesktopId&quot;:&quot;d11d03cf-846e-4983-8fbf-2d90575b4664&quot;}],&quot;citationTag&quot;:&quot;MENDELEY_CITATION_v3_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&quot;},{&quot;citationID&quot;:&quot;MENDELEY_CITATION_53ed2215-df32-4c95-8fd6-b28075b8ff2f&quot;,&quot;properties&quot;:{&quot;noteIndex&quot;:0},&quot;isEdited&quot;:false,&quot;manualOverride&quot;:{&quot;citeprocText&quot;:&quot;(García Criado et al., 2020)&quot;,&quot;isManuallyOverridden&quot;:true,&quot;manualOverrideText&quot;:&quot;García Criado et al. (2020)&quot;},&quot;citationItems&quot;:[{&quot;id&quot;:&quot;9979ae80-1225-39f7-927e-f8a46d2b9188&quot;,&quot;itemData&quot;:{&quot;type&quot;:&quot;article-journal&quot;,&quot;id&quot;:&quot;9979ae80-1225-39f7-927e-f8a46d2b9188&quot;,&quot;title&quot;:&quot;Woody plant encroachment intensifies under climate change across tundra and savanna biomes&quot;,&quot;author&quot;:[{&quot;family&quot;:&quot;García Criado&quot;,&quot;given&quot;:&quot;Mariana&quot;,&quot;parse-names&quot;:false,&quot;dropping-particle&quot;:&quot;&quot;,&quot;non-dropping-particle&quot;:&quot;&quot;},{&quot;family&quot;:&quot;Myers-Smith&quot;,&quot;given&quot;:&quot;Isla H.&quot;,&quot;parse-names&quot;:false,&quot;dropping-particle&quot;:&quot;&quot;,&quot;non-dropping-particle&quot;:&quot;&quot;},{&quot;family&quot;:&quot;Bjorkman&quot;,&quot;given&quot;:&quot;Anne D.&quot;,&quot;parse-names&quot;:false,&quot;dropping-particle&quot;:&quot;&quot;,&quot;non-dropping-particle&quot;:&quot;&quot;},{&quot;family&quot;:&quot;Lehmann&quot;,&quot;given&quot;:&quot;Caroline E.R.&quot;,&quot;parse-names&quot;:false,&quot;dropping-particle&quot;:&quot;&quot;,&quot;non-dropping-particle&quot;:&quot;&quot;},{&quot;family&quot;:&quot;Stevens&quot;,&quot;given&quot;:&quot;Nicola&quot;,&quot;parse-names&quot;:false,&quot;dropping-particle&quot;:&quot;&quot;,&quot;non-dropping-particle&quot;:&quot;&quot;}],&quot;container-title&quot;:&quot;Global Ecology and Biogeography&quot;,&quot;DOI&quot;:&quot;10.1111/geb.13072&quot;,&quot;ISSN&quot;:&quot;14668238&quot;,&quot;issued&quot;:{&quot;date-parts&quot;:[[2020]]},&quot;page&quot;:&quot;925-943&quot;,&quot;abstract&quot;:&quot;Aim: Biomes worldwide are shifting with global change. Biomes whose extents are limited by temperature or precipitation, such as the tundra and savanna, may be particularly strongly affected by climate change. While woody plant encroachment is prevalent across both biomes, its relationship to temperature and precipitation change remains unknown. Here, we quantify the degree to which woody encroachment is related to climate change and identify its main associated drivers. Location: Tundra and savanna biomes. Time period: 1992 ± 20.27–2010 ± 5.62 (mean ± SD). 1876–2016 (range). Major taxa studied: Woody plants (shrubs and trees). Methods: We compiled a dataset comprising 1,089 records from 899 sites of woody plant cover over time and attributed drivers of woody cover change across these two biomes. We calculated cover change in each biome and assessed the degree to which cover change corresponds to concurrent temperature and precipitation changes using multiple climate metrics. Finally, we conducted a quantitative literature review of the relative importance of attributed drivers of woody cover change. Results: Woody encroachment was widespread geographically and across climate gradients. Rates of woody cover change (positive or negative) were 1.8 times lower in the tundra than in the savanna (1.8 vs. 3.2%), while rates of woody cover increase (i.e., encroachment) were c. 1.7 times lower in the tundra compared with the savanna (3.7 vs. 6.3% per decade). In the tundra, magnitudes of woody cover change did not correspond to climate, while in the savanna, greater cover change corresponded with increases in precipitation. We found higher rates of woody cover change in wetter versus drier sites with warming in the tundra biome, and higher rates of woody cover change in drier versus wetter sites with increasing precipitation in the savanna. However, faster rates of woody cover change were not associated with more rapid rates of climate change across sites, except for maximum precipitation in the savanna. Main conclusions: Woody encroachment was positively related to warming in the tundra and increased rainfall in the savanna. However, cover change rates were not predicted by rates of climate change, which can be partially explained by climate interactions in both biomes. Additional likely influences include site-level factors, time-lags, plant-specific responses, and land use and other non-climate drivers. Our findings highlight the complex nature of climate change impacts in biomes limited by seasonality, which should be accounted for to realistically estimate future responses across open biomes under global change scenarios.&quot;,&quot;issue&quot;:&quot;5&quot;,&quot;volume&quot;:&quot;29&quot;,&quot;container-title-short&quot;:&quot;&quot;},&quot;uris&quot;:[&quot;http://www.mendeley.com/documents/?uuid=7ad661ae-ac8a-43a1-97a1-1e5743fc6bef&quot;],&quot;isTemporary&quot;:false,&quot;legacyDesktopId&quot;:&quot;7ad661ae-ac8a-43a1-97a1-1e5743fc6bef&quot;}],&quot;citationTag&quot;:&quot;MENDELEY_CITATION_v3_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&quot;},{&quot;citationID&quot;:&quot;MENDELEY_CITATION_8de71630-10f9-4c51-93ba-87e78b057540&quot;,&quot;properties&quot;:{&quot;noteIndex&quot;:0},&quot;isEdited&quot;:false,&quot;manualOverride&quot;:{&quot;citeprocText&quot;:&quot;(Kelly et al., 2020)&quot;,&quot;isManuallyOverridden&quot;:true,&quot;manualOverrideText&quot;:&quot;Kelly et al. (2020)&quot;},&quot;citationItems&quot;:[{&quot;id&quot;:&quot;f364ed18-6837-351a-b42a-84f2701348d8&quot;,&quot;itemData&quot;:{&quot;type&quot;:&quot;article-journal&quot;,&quot;id&quot;:&quot;f364ed18-6837-351a-b42a-84f2701348d8&quot;,&quot;title&quot;:&quot;Fire and biodiversity in the Anthropocene&quot;,&quot;author&quot;:[{&quot;family&quot;:&quot;Kelly&quot;,&quot;given&quot;:&quot;Luke T&quot;,&quot;parse-names&quot;:false,&quot;dropping-particle&quot;:&quot;&quot;,&quot;non-dropping-particle&quot;:&quot;&quot;},{&quot;family&quot;:&quot;Giljohann&quot;,&quot;given&quot;:&quot;Katherine M&quot;,&quot;parse-names&quot;:false,&quot;dropping-particle&quot;:&quot;&quot;,&quot;non-dropping-particle&quot;:&quot;&quot;},{&quot;family&quot;:&quot;Duane&quot;,&quot;given&quot;:&quot;Andrea&quot;,&quot;parse-names&quot;:false,&quot;dropping-particle&quot;:&quot;&quot;,&quot;non-dropping-particle&quot;:&quot;&quot;},{&quot;family&quot;:&quot;Aquilué&quot;,&quot;given&quot;:&quot;Núria&quot;,&quot;parse-names&quot;:false,&quot;dropping-particle&quot;:&quot;&quot;,&quot;non-dropping-particle&quot;:&quot;&quot;},{&quot;family&quot;:&quot;Archibald&quot;,&quot;given&quot;:&quot;Sally&quot;,&quot;parse-names&quot;:false,&quot;dropping-particle&quot;:&quot;&quot;,&quot;non-dropping-particle&quot;:&quot;&quot;},{&quot;family&quot;:&quot;Batllori&quot;,&quot;given&quot;:&quot;Enric&quot;,&quot;parse-names&quot;:false,&quot;dropping-particle&quot;:&quot;&quot;,&quot;non-dropping-particle&quot;:&quot;&quot;},{&quot;family&quot;:&quot;Bennett&quot;,&quot;given&quot;:&quot;Andrew F&quot;,&quot;parse-names&quot;:false,&quot;dropping-particle&quot;:&quot;&quot;,&quot;non-dropping-particle&quot;:&quot;&quot;},{&quot;family&quot;:&quot;Buckland&quot;,&quot;given&quot;:&quot;Stephen T&quot;,&quot;parse-names&quot;:false,&quot;dropping-particle&quot;:&quot;&quot;,&quot;non-dropping-particle&quot;:&quot;&quot;},{&quot;family&quot;:&quot;Canelles&quot;,&quot;given&quot;:&quot;Quim&quot;,&quot;parse-names&quot;:false,&quot;dropping-particle&quot;:&quot;&quot;,&quot;non-dropping-particle&quot;:&quot;&quot;},{&quot;family&quot;:&quot;Clarke&quot;,&quot;given&quot;:&quot;Michael F&quot;,&quot;parse-names&quot;:false,&quot;dropping-particle&quot;:&quot;&quot;,&quot;non-dropping-particle&quot;:&quot;&quot;},{&quot;family&quot;:&quot;Fortin&quot;,&quot;given&quot;:&quot;Marie-josée&quot;,&quot;parse-names&quot;:false,&quot;dropping-particle&quot;:&quot;&quot;,&quot;non-dropping-particle&quot;:&quot;&quot;},{&quot;family&quot;:&quot;Hermoso&quot;,&quot;given&quot;:&quot;Virgilio&quot;,&quot;parse-names&quot;:false,&quot;dropping-particle&quot;:&quot;&quot;,&quot;non-dropping-particle&quot;:&quot;&quot;},{&quot;family&quot;:&quot;Herrando&quot;,&quot;given&quot;:&quot;Sergi&quot;,&quot;parse-names&quot;:false,&quot;dropping-particle&quot;:&quot;&quot;,&quot;non-dropping-particle&quot;:&quot;&quot;},{&quot;family&quot;:&quot;Keane&quot;,&quot;given&quot;:&quot;Robert E&quot;,&quot;parse-names&quot;:false,&quot;dropping-particle&quot;:&quot;&quot;,&quot;non-dropping-particle&quot;:&quot;&quot;},{&quot;family&quot;:&quot;Lake&quot;,&quot;given&quot;:&quot;Frank K&quot;,&quot;parse-names&quot;:false,&quot;dropping-particle&quot;:&quot;&quot;,&quot;non-dropping-particle&quot;:&quot;&quot;},{&quot;family&quot;:&quot;Mccarthy&quot;,&quot;given&quot;:&quot;Michael A&quot;,&quot;parse-names&quot;:false,&quot;dropping-particle&quot;:&quot;&quot;,&quot;non-dropping-particle&quot;:&quot;&quot;},{&quot;family&quot;:&quot;Morán-ordóñez&quot;,&quot;given&quot;:&quot;Alejandra&quot;,&quot;parse-names&quot;:false,&quot;dropping-particle&quot;:&quot;&quot;,&quot;non-dropping-particle&quot;:&quot;&quot;},{&quot;family&quot;:&quot;Parr&quot;,&quot;given&quot;:&quot;Catherine L&quot;,&quot;parse-names&quot;:false,&quot;dropping-particle&quot;:&quot;&quot;,&quot;non-dropping-particle&quot;:&quot;&quot;},{&quot;family&quot;:&quot;Pausas&quot;,&quot;given&quot;:&quot;Juli G&quot;,&quot;parse-names&quot;:false,&quot;dropping-particle&quot;:&quot;&quot;,&quot;non-dropping-particle&quot;:&quot;&quot;},{&quot;family&quot;:&quot;Penman&quot;,&quot;given&quot;:&quot;Trent D&quot;,&quot;parse-names&quot;:false,&quot;dropping-particle&quot;:&quot;&quot;,&quot;non-dropping-particle&quot;:&quot;&quot;},{&quot;family&quot;:&quot;Regos&quot;,&quot;given&quot;:&quot;Adrián&quot;,&quot;parse-names&quot;:false,&quot;dropping-particle&quot;:&quot;&quot;,&quot;non-dropping-particle&quot;:&quot;&quot;},{&quot;family&quot;:&quot;Rumpff&quot;,&quot;given&quot;:&quot;Libby&quot;,&quot;parse-names&quot;:false,&quot;dropping-particle&quot;:&quot;&quot;,&quot;non-dropping-particle&quot;:&quot;&quot;},{&quot;family&quot;:&quot;Santos&quot;,&quot;given&quot;:&quot;Julianna L&quot;,&quot;parse-names&quot;:false,&quot;dropping-particle&quot;:&quot;&quot;,&quot;non-dropping-particle&quot;:&quot;&quot;},{&quot;family&quot;:&quot;Smith&quot;,&quot;given&quot;:&quot;Annabel L&quot;,&quot;parse-names&quot;:false,&quot;dropping-particle&quot;:&quot;&quot;,&quot;non-dropping-particle&quot;:&quot;&quot;},{&quot;family&quot;:&quot;Syphard&quot;,&quot;given&quot;:&quot;Alexandra D&quot;,&quot;parse-names&quot;:false,&quot;dropping-particle&quot;:&quot;&quot;,&quot;non-dropping-particle&quot;:&quot;&quot;},{&quot;family&quot;:&quot;Tingley&quot;,&quot;given&quot;:&quot;Morgan W&quot;,&quot;parse-names&quot;:false,&quot;dropping-particle&quot;:&quot;&quot;,&quot;non-dropping-particle&quot;:&quot;&quot;},{&quot;family&quot;:&quot;Brotons&quot;,&quot;given&quot;:&quot;Lluís&quot;,&quot;parse-names&quot;:false,&quot;dropping-particle&quot;:&quot;&quot;,&quot;non-dropping-particle&quot;:&quot;&quot;}],&quot;container-title&quot;:&quot;Science&quot;,&quot;DOI&quot;:&quot;10.1126/science.abb0355&quot;,&quot;issued&quot;:{&quot;date-parts&quot;:[[2020]]},&quot;page&quot;:&quot;eabb0355&quot;,&quot;volume&quot;:&quot;370&quot;,&quot;container-title-short&quot;:&quot;Science (1979)&quot;},&quot;uris&quot;:[&quot;http://www.mendeley.com/documents/?uuid=4d3c9187-c081-46c5-8011-1d26b55fea1b&quot;],&quot;isTemporary&quot;:false,&quot;legacyDesktopId&quot;:&quot;4d3c9187-c081-46c5-8011-1d26b55fea1b&quot;}],&quot;citationTag&quot;:&quot;MENDELEY_CITATION_v3_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&quot;},{&quot;citationID&quot;:&quot;MENDELEY_CITATION_4da30f7d-db3d-444c-b018-6641b484972d&quot;,&quot;properties&quot;:{&quot;noteIndex&quot;:0},&quot;isEdited&quot;:false,&quot;manualOverride&quot;:{&quot;isManuallyOverridden&quot;:true,&quot;citeprocText&quot;:&quot;(Wei et al., 2019)&quot;,&quot;manualOverrideText&quot;:&quot;Wei et al. (2019),&quot;},&quot;citationItems&quot;:[{&quot;id&quot;:&quot;39b4453a-73fb-348b-b56f-3c2ef674ce32&quot;,&quot;itemData&quot;:{&quot;type&quot;:&quot;article-journal&quot;,&quot;id&quot;:&quot;39b4453a-73fb-348b-b56f-3c2ef674ce32&quot;,&quot;title&quot;:&quot;African dryland ecosystem changes controlled by soil water&quot;,&quot;author&quot;:[{&quot;family&quot;:&quot;Wei&quot;,&quot;given&quot;:&quot;Fangli&quot;,&quot;parse-names&quot;:false,&quot;dropping-particle&quot;:&quot;&quot;,&quot;non-dropping-particle&quot;:&quot;&quot;},{&quot;family&quot;:&quot;Wang&quot;,&quot;given&quot;:&quot;Shuai&quot;,&quot;parse-names&quot;:false,&quot;dropping-particle&quot;:&quot;&quot;,&quot;non-dropping-particle&quot;:&quot;&quot;},{&quot;family&quot;:&quot;Fu&quot;,&quot;given&quot;:&quot;Bojie&quot;,&quot;parse-names&quot;:false,&quot;dropping-particle&quot;:&quot;&quot;,&quot;non-dropping-particle&quot;:&quot;&quot;},{&quot;family&quot;:&quot;Wang&quot;,&quot;given&quot;:&quot;Lixin&quot;,&quot;parse-names&quot;:false,&quot;dropping-particle&quot;:&quot;&quot;,&quot;non-dropping-particle&quot;:&quot;&quot;},{&quot;family&quot;:&quot;Liu&quot;,&quot;given&quot;:&quot;Yi Y.&quot;,&quot;parse-names&quot;:false,&quot;dropping-particle&quot;:&quot;&quot;,&quot;non-dropping-particle&quot;:&quot;&quot;},{&quot;family&quot;:&quot;Li&quot;,&quot;given&quot;:&quot;Yan&quot;,&quot;parse-names&quot;:false,&quot;dropping-particle&quot;:&quot;&quot;,&quot;non-dropping-particle&quot;:&quot;&quot;}],&quot;container-title&quot;:&quot;Land Degradation and Development&quot;,&quot;DOI&quot;:&quot;10.1002/ldr.3342&quot;,&quot;ISSN&quot;:&quot;1099145X&quot;,&quot;issued&quot;:{&quot;date-parts&quot;:[[2019]]},&quot;page&quot;:&quot;1564-1573&quot;,&quot;abstract&quot;:&quot;Abstract Monitoring long-term vegetation dynamics in African drylands is of great importance for both ecosystem degradation studies and carbon-cycle modelling. Here, we exploited the complementary use of optical and passive microwave satellite data— normalized difference vegetation index (NDVI) and vegetation optical depth (VOD)—to provide new insights of ecosystem changes in African drylands. During 1993–2012, 54% of African drylands experienced a significant increase of VOD, mainly located in southern Africa and west and central Africa, with an average rate of increase of (1.2 ± 2.7) × 10−3 yr−1. However, a significant decreasing NDVI was observed over 43% of the African drylands, in particular in western Niger and eastern Africa, with an average browning rate of (−0.13 ± 1.5) × 10−3 yr−1. The contrasting vegetation trends (increasing VOD and decreasing NDVI) were largely caused by an increase in the relative proportion of the woody component of the vegetation, as a result of the prevailing woody encroachment in African drylands during the study period. Soil water emerges as the dominant driver of ecosystem changes in African drylands, in particular in arid and semiarid areas. This is evidenced by a strong spatio-temporal correlation between soil water and vegetation, where soil water changes explain about 48% of vegetation variations. This study emphasizes the potential of utilizing multiple satellite products with different strengths in monitoring different characteristics of ecosystems to evaluate ecosystem changes and reveal the underlying mechanisms of the observed changes.&quot;,&quot;issue&quot;:&quot;May&quot;,&quot;container-title-short&quot;:&quot;Land Degrad Dev&quot;},&quot;isTemporary&quot;:false}],&quot;citationTag&quot;:&quot;MENDELEY_CITATION_v3_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&quot;},{&quot;citationID&quot;:&quot;MENDELEY_CITATION_48e7f12b-b1ae-4ec8-84dd-c5cda063d1a7&quot;,&quot;properties&quot;:{&quot;noteIndex&quot;:0},&quot;isEdited&quot;:false,&quot;manualOverride&quot;:{&quot;citeprocText&quot;:&quot;(Lehmann et al., 2011)&quot;,&quot;isManuallyOverridden&quot;:true,&quot;manualOverrideText&quot;:&quot;Lehmann et al. (2011)&quot;},&quot;citationItems&quot;:[{&quot;id&quot;:&quot;912b127b-ec72-3d76-a7a2-ba0967297729&quot;,&quot;itemData&quot;:{&quot;type&quot;:&quot;article-journal&quot;,&quot;id&quot;:&quot;912b127b-ec72-3d76-a7a2-ba0967297729&quot;,&quot;title&quot;:&quot;Deciphering the distribution of the savanna biome&quot;,&quot;author&quot;:[{&quot;family&quot;:&quot;Lehmann&quot;,&quot;given&quot;:&quot;Caroline E.R.&quot;,&quot;parse-names&quot;:false,&quot;dropping-particle&quot;:&quot;&quot;,&quot;non-dropping-particle&quot;:&quot;&quot;},{&quot;family&quot;:&quot;Archibald&quot;,&quot;given&quot;:&quot;Sally A.&quot;,&quot;parse-names&quot;:false,&quot;dropping-particle&quot;:&quot;&quot;,&quot;non-dropping-particle&quot;:&quot;&quot;},{&quot;family&quot;:&quot;Hoffmann&quot;,&quot;given&quot;:&quot;William A.&quot;,&quot;parse-names&quot;:false,&quot;dropping-particle&quot;:&quot;&quot;,&quot;non-dropping-particle&quot;:&quot;&quot;},{&quot;family&quot;:&quot;Bond&quot;,&quot;given&quot;:&quot;William J.&quot;,&quot;parse-names&quot;:false,&quot;dropping-particle&quot;:&quot;&quot;,&quot;non-dropping-particle&quot;:&quot;&quot;}],&quot;container-title&quot;:&quot;New Phytologist&quot;,&quot;DOI&quot;:&quot;10.1111/j.1469-8137.2011.03689.x&quot;,&quot;ISSN&quot;:&quot;0028646X&quot;,&quot;PMID&quot;:&quot;21463328&quot;,&quot;issued&quot;:{&quot;date-parts&quot;:[[2011]]},&quot;page&quot;:&quot;197-209&quot;,&quot;abstract&quot;:&quot;We aimed to identify the limits of savanna across Africa, Australia and South America. We based our investigation on the rich history of hypotheses previously examined: that the limits of savanna are variously determined by rainfall, rainfall seasonality, soil fertility and disturbance. We categorized vegetation on all continents as 'savanna' (open habitats with a C4 grass layer) or 'not-savanna' (closed habitats with no C4 grass layer) and used a combination of statistical approaches to examine how the presence of savanna varied as a function of five environmental correlates. The presence of savanna is constrained by effective rainfall and rainfall seasonality. Soil fertility is regionally important, although the direction of its effect changes relative to rainfall. We identified three continental divergences in the limits of savanna that could not be explained by environment. Climate and soils do not have a deterministic effect on the distribution of savanna. Over the range of savanna, some proportion of the land is always 'not-savanna'. We reconciled previous contradictory views of savanna limits by developing a new conceptual framework for understanding these limits by categorizing environmental factors into whether they had a positive or negative effect on woody growth and the frequency of disturbance. © 2011 The Authors. New Phytologist © 2011 New Phytologist Trust.&quot;,&quot;issue&quot;:&quot;1&quot;,&quot;volume&quot;:&quot;191&quot;,&quot;container-title-short&quot;:&quot;&quot;},&quot;uris&quot;:[&quot;http://www.mendeley.com/documents/?uuid=430a4ca8-e1ac-4b54-b807-3865eeebfb70&quot;],&quot;isTemporary&quot;:false,&quot;legacyDesktopId&quot;:&quot;430a4ca8-e1ac-4b54-b807-3865eeebfb70&quot;}],&quot;citationTag&quot;:&quot;MENDELEY_CITATION_v3_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&quot;},{&quot;citationID&quot;:&quot;MENDELEY_CITATION_c33f5ae4-aa36-4a82-a021-00f62f58b4a7&quot;,&quot;properties&quot;:{&quot;noteIndex&quot;:0},&quot;isEdited&quot;:false,&quot;manualOverride&quot;:{&quot;citeprocText&quot;:&quot;(Andela et al., 2017)&quot;,&quot;isManuallyOverridden&quot;:true,&quot;manualOverrideText&quot;:&quot;Andela et al. (2017)&quot;},&quot;citationItems&quot;:[{&quot;id&quot;:&quot;58e2e6c8-121e-31c5-9434-13b816f348a7&quot;,&quot;itemData&quot;:{&quot;type&quot;:&quot;article-journal&quot;,&quot;id&quot;:&quot;58e2e6c8-121e-31c5-9434-13b816f348a7&quot;,&quot;title&quot;:&quot;A human-driven decline in global burned area&quot;,&quot;author&quot;:[{&quot;family&quot;:&quot;Andela&quot;,&quot;given&quot;:&quot;N.&quot;,&quot;parse-names&quot;:false,&quot;dropping-particle&quot;:&quot;&quot;,&quot;non-dropping-particle&quot;:&quot;&quot;},{&quot;family&quot;:&quot;Morton&quot;,&quot;given&quot;:&quot;D. C.&quot;,&quot;parse-names&quot;:false,&quot;dropping-particle&quot;:&quot;&quot;,&quot;non-dropping-particle&quot;:&quot;&quot;},{&quot;family&quot;:&quot;Giglio&quot;,&quot;given&quot;:&quot;L.&quot;,&quot;parse-names&quot;:false,&quot;dropping-particle&quot;:&quot;&quot;,&quot;non-dropping-particle&quot;:&quot;&quot;},{&quot;family&quot;:&quot;Chen&quot;,&quot;given&quot;:&quot;Y.&quot;,&quot;parse-names&quot;:false,&quot;dropping-particle&quot;:&quot;&quot;,&quot;non-dropping-particle&quot;:&quot;&quot;},{&quot;family&quot;:&quot;Werf&quot;,&quot;given&quot;:&quot;G. R.&quot;,&quot;parse-names&quot;:false,&quot;dropping-particle&quot;:&quot;&quot;,&quot;non-dropping-particle&quot;:&quot;van der&quot;},{&quot;family&quot;:&quot;Kasibhatla&quot;,&quot;given&quot;:&quot;P. S.&quot;,&quot;parse-names&quot;:false,&quot;dropping-particle&quot;:&quot;&quot;,&quot;non-dropping-particle&quot;:&quot;&quot;},{&quot;family&quot;:&quot;DeFries&quot;,&quot;given&quot;:&quot;R. S.&quot;,&quot;parse-names&quot;:false,&quot;dropping-particle&quot;:&quot;&quot;,&quot;non-dropping-particle&quot;:&quot;&quot;},{&quot;family&quot;:&quot;Collatz&quot;,&quot;given&quot;:&quot;G. J.&quot;,&quot;parse-names&quot;:false,&quot;dropping-particle&quot;:&quot;&quot;,&quot;non-dropping-particle&quot;:&quot;&quot;},{&quot;family&quot;:&quot;Hantson&quot;,&quot;given&quot;:&quot;S.&quot;,&quot;parse-names&quot;:false,&quot;dropping-particle&quot;:&quot;&quot;,&quot;non-dropping-particle&quot;:&quot;&quot;},{&quot;family&quot;:&quot;Kloster&quot;,&quot;given&quot;:&quot;S.&quot;,&quot;parse-names&quot;:false,&quot;dropping-particle&quot;:&quot;&quot;,&quot;non-dropping-particle&quot;:&quot;&quot;},{&quot;family&quot;:&quot;Bachelet&quot;,&quot;given&quot;:&quot;D.&quot;,&quot;parse-names&quot;:false,&quot;dropping-particle&quot;:&quot;&quot;,&quot;non-dropping-particle&quot;:&quot;&quot;},{&quot;family&quot;:&quot;Forrest&quot;,&quot;given&quot;:&quot;M.&quot;,&quot;parse-names&quot;:false,&quot;dropping-particle&quot;:&quot;&quot;,&quot;non-dropping-particle&quot;:&quot;&quot;},{&quot;family&quot;:&quot;Lasslop&quot;,&quot;given&quot;:&quot;G.&quot;,&quot;parse-names&quot;:false,&quot;dropping-particle&quot;:&quot;&quot;,&quot;non-dropping-particle&quot;:&quot;&quot;},{&quot;family&quot;:&quot;Li&quot;,&quot;given&quot;:&quot;F.&quot;,&quot;parse-names&quot;:false,&quot;dropping-particle&quot;:&quot;&quot;,&quot;non-dropping-particle&quot;:&quot;&quot;},{&quot;family&quot;:&quot;Mangeon&quot;,&quot;given&quot;:&quot;S.&quot;,&quot;parse-names&quot;:false,&quot;dropping-particle&quot;:&quot;&quot;,&quot;non-dropping-particle&quot;:&quot;&quot;},{&quot;family&quot;:&quot;Melton&quot;,&quot;given&quot;:&quot;J. R.&quot;,&quot;parse-names&quot;:false,&quot;dropping-particle&quot;:&quot;&quot;,&quot;non-dropping-particle&quot;:&quot;&quot;},{&quot;family&quot;:&quot;Yue&quot;,&quot;given&quot;:&quot;C.&quot;,&quot;parse-names&quot;:false,&quot;dropping-particle&quot;:&quot;&quot;,&quot;non-dropping-particle&quot;:&quot;&quot;},{&quot;family&quot;:&quot;Randerson&quot;,&quot;given&quot;:&quot;J. T.&quot;,&quot;parse-names&quot;:false,&quot;dropping-particle&quot;:&quot;&quot;,&quot;non-dropping-particle&quot;:&quot;&quot;}],&quot;container-title&quot;:&quot;Science&quot;,&quot;DOI&quot;:&quot;10.1126/science.aal4108&quot;,&quot;ISSN&quot;:&quot;0036-8075&quot;,&quot;issued&quot;:{&quot;date-parts&quot;:[[2017]]},&quot;page&quot;:&quot;1356-1362&quot;,&quot;abstract&quot;:&quo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quot;,&quot;issue&quot;:&quot;6345&quot;,&quot;volume&quot;:&quot;356&quot;,&quot;container-title-short&quot;:&quot;Science (1979)&quot;},&quot;uris&quot;:[&quot;http://www.mendeley.com/documents/?uuid=de9e9569-6157-4a99-a9aa-d8f94d11d2c0&quot;],&quot;isTemporary&quot;:false,&quot;legacyDesktopId&quot;:&quot;de9e9569-6157-4a99-a9aa-d8f94d11d2c0&quot;}],&quot;citationTag&quot;:&quot;MENDELEY_CITATION_v3_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&quot;},{&quot;citationID&quot;:&quot;MENDELEY_CITATION_e17aeb7a-c1e2-47fa-aedc-d367c57f5436&quot;,&quot;properties&quot;:{&quot;noteIndex&quot;:0},&quot;isEdited&quot;:false,&quot;manualOverride&quot;:{&quot;citeprocText&quot;:&quot;(Daskin et al., 2016)&quot;,&quot;isManuallyOverridden&quot;:true,&quot;manualOverrideText&quot;:&quot;Daskin et al. (2016)&quot;},&quot;citationItems&quot;:[{&quot;id&quot;:&quot;2aa5945b-e203-31eb-9782-099a97ba5cb5&quot;,&quot;itemData&quot;:{&quot;type&quot;:&quot;article-journal&quot;,&quot;id&quot;:&quot;2aa5945b-e203-31eb-9782-099a97ba5cb5&quot;,&quot;title&quot;:&quot;Ecological legacies of civil war: 35-year increase in savanna tree cover following wholesale large-mammal declines&quot;,&quot;author&quot;:[{&quot;family&quot;:&quot;Daskin&quot;,&quot;given&quot;:&quot;Joshua H.&quot;,&quot;parse-names&quot;:false,&quot;dropping-particle&quot;:&quot;&quot;,&quot;non-dropping-particle&quot;:&quot;&quot;},{&quot;family&quot;:&quot;Stalmans&quot;,&quot;given&quot;:&quot;Marc&quot;,&quot;parse-names&quot;:false,&quot;dropping-particle&quot;:&quot;&quot;,&quot;non-dropping-particle&quot;:&quot;&quot;},{&quot;family&quot;:&quot;Pringle&quot;,&quot;given&quot;:&quot;Robert M.&quot;,&quot;parse-names&quot;:false,&quot;dropping-particle&quot;:&quot;&quot;,&quot;non-dropping-particle&quot;:&quot;&quot;}],&quot;container-title&quot;:&quot;Journal of Ecology&quot;,&quot;DOI&quot;:&quot;10.1111/1365-2745.12483&quot;,&quot;ISSN&quot;:&quot;13652745&quot;,&quot;issued&quot;:{&quot;date-parts&quot;:[[2016]]},&quot;page&quot;:&quot;79-89&quot;,&quot;abstract&quot;:&quot;Large mammalian herbivores (LMH) exert strong effects on plants in tropical savannas, and many wild LMH populations are declining. However, predicting the impacts of these declines on vegetation structure remains challenging. Experiments suggest that tree cover can increase rapidly following LMH exclusion. Yet it is unclear whether these results scale up to predict ecosystem-level impacts of LMH declines, which often alter fire regimes, trigger compensatory responses of other herbivores and accompany anthropogenic land-use changes. Moreover, theory predicts that grazers and browsers should have opposing effects on tree cover, further complicating efforts to forecast the outcomes of community-wide declines. We used the near-extirpation of grazing and browsing LMH from Gorongosa National Park during the Mozambican Civil War (1977-1992) as a natural experiment to test whether megafaunal collapse increased tree cover. We classified herbaceous and tree cover in satellite images taken (a) at the onset of war in 1977 and (b) in 2012, two decades after hostilities ceased. Throughout the 3620-km2 park, proportional tree cover increased by 34% (from 0.29 to 0.39) - an addition of 362 km2. Four of the park's five major habitat zones (including miombo woodland, Acacia-Combretum-palm savanna, and floodplain grassland) showed even greater increases in tree cover (51-134%), with an average increase of 94% in ecologically critical Rift Valley habitats. Only in the eastern Cheringoma Plateau, which had historically low wildlife densities, did tree cover decrease (by 5%). The most parsimonious explanation for these results is that reduced browsing pressure enhanced tree growth, survival and/or recruitment; we found no directional trends in rainfall or fire that could explain increased tree cover. Synthesis. Catastrophic large-herbivore die-offs in Mozambique's flagship national park were followed by 35 years of woodland expansion, most severely in areas where pre-war wildlife biomass was greatest. These findings suggest that browsing release supersedes grazer-grass-fire feedbacks in governing ecosystem-level tree cover, consistent with smaller-scale experimental results, although the potentially complementary effect of CO2 fertilization cannot be definitively ruled out. Future work in Gorongosa will reveal whether recovering LMH populations reverse this trend, or alternatively whether woody encroachment hinders ongoing restoration efforts. Catastrophic large-herbivore die-offs in Mozambique's Gorongosa National Park were followed by 35 years of woodland expansion, most severely in areas where pre-war wildlife biomass was greatest. These findings suggest that release from browsing supersedes grazer-grass-fire feedbacks in governing ecosystem-level tree cover, consistent with smaller-scale experimental results. Future work in Gorongosa will reveal whether recovering LMH populations reverse this trend, or alternatively whether woody encroachment hinders ongoing restoration. Journal of Ecology&quot;,&quot;issue&quot;:&quot;1&quot;,&quot;volume&quot;:&quot;104&quot;,&quot;container-title-short&quot;:&quot;&quot;},&quot;uris&quot;:[&quot;http://www.mendeley.com/documents/?uuid=fcbf5215-b351-4ade-9670-53ca705c307b&quot;],&quot;isTemporary&quot;:false,&quot;legacyDesktopId&quot;:&quot;fcbf5215-b351-4ade-9670-53ca705c307b&quot;}],&quot;citationTag&quot;:&quot;MENDELEY_CITATION_v3_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&quot;},{&quot;citationID&quot;:&quot;MENDELEY_CITATION_17f4841d-ec1b-4524-a461-dde29eab6e46&quot;,&quot;properties&quot;:{&quot;noteIndex&quot;:0},&quot;isEdited&quot;:false,&quot;manualOverride&quot;:{&quot;citeprocText&quot;:&quot;(Stevens et al., 2016)&quot;,&quot;isManuallyOverridden&quot;:true,&quot;manualOverrideText&quot;:&quot;Stevens et al. (2016)&quot;},&quot;citationItems&quot;:[{&quot;id&quot;:&quot;81f957d2-d74a-3446-902a-d52946d76e75&quot;,&quot;itemData&quot;:{&quot;type&quot;:&quot;article-journal&quot;,&quot;id&quot;:&quot;81f957d2-d74a-3446-902a-d52946d76e75&quot;,&quot;title&quot;:&quot;Woody encroachment over 70 years in South African savannahs: overgrazing, global change or extinction aftershock?&quot;,&quot;author&quot;:[{&quot;family&quot;:&quot;Stevens&quot;,&quot;given&quot;:&quot;Nicola&quot;,&quot;parse-names&quot;:false,&quot;dropping-particle&quot;:&quot;&quot;,&quot;non-dropping-particle&quot;:&quot;&quot;},{&quot;family&quot;:&quot;Erasmus&quot;,&quot;given&quot;:&quot;B. F. N.&quot;,&quot;parse-names&quot;:false,&quot;dropping-particle&quot;:&quot;&quot;,&quot;non-dropping-particle&quot;:&quot;&quot;},{&quot;family&quot;:&quot;Archibald&quot;,&quot;given&quot;:&quot;S.&quot;,&quot;parse-names&quot;:false,&quot;dropping-particle&quot;:&quot;&quot;,&quot;non-dropping-particle&quot;:&quot;&quot;},{&quot;family&quot;:&quot;Bond&quot;,&quot;given&quot;:&quot;W. J.&quot;,&quot;parse-names&quot;:false,&quot;dropping-particle&quot;:&quot;&quot;,&quot;non-dropping-particle&quot;:&quot;&quot;}],&quot;container-title&quot;:&quot;Philosophical Transactions of the Royal Society B: Biological Sciences&quot;,&quot;DOI&quot;:&quot;10.1098/rstb.2015.0437&quot;,&quot;ISBN&quot;:&quot;0000000206938&quot;,&quot;ISSN&quot;:&quot;0962-8436&quot;,&quot;PMID&quot;:&quot;27502384&quot;,&quot;URL&quot;:&quot;http://rstb.royalsocietypublishing.org/lookup/doi/10.1098/rstb.2015.0437&quot;,&quot;issued&quot;:{&quot;date-parts&quot;:[[2016]]},&quot;page&quot;:&quot;20150437&quot;,&quot;abstract&quot;:&quot;One contribution of 15 to a theme issue 'Tropical grassy biomes: linking ecology, human use and conservation'. NS, 0000-0002-0693-8409; WJB, 0000-0002-3441-2084 Woody encroachment in 'open' biomes like grasslands and savannahs is occur-ring globally. Both local and global drivers, including elevated CO 2 , have been implicated in these increases. The relative importance of different processes is unresolved as there are few multi-site, multi-land-use evaluations of woody plant encroachment. We measured 70 years of woody cover changes over a 1020 km 2 area covering four land uses (commercial ranching, conservation with elephants, conservation without elephants and communal rangelands) across a rainfall gradient in South African savannahs. Different directions of woody cover change would be expected for each different land use, unless a global factor is causing the increases. Woody cover change was measured between 1940 and 2010 using the aerial photo record. Detection of woody cover from each aerial photograph was automated using eCognitions' Object-based image analysis (OBIA). Woody cover doubled in all land uses across the rainfall gradient, except in conservation areas with elephants in low-rainfall savannahs. Woody cover in 2010 in low-rainfall savannahs fre-quently exceeded the maximum woody cover threshold predicted for African savannahs. The results indicate that a global factor, of which elevated CO 2 is the likely candidate, may be driving encroachment. Elephants in low-rainfall savannahs prevent encroachment and localized megafaunal extinction is a probable additional cause of encroachment. This article is part of the themed issue 'Tropical grassy biomes: linking ecology, human use and conservation'.&quot;,&quot;issue&quot;:&quot;1703&quot;,&quot;volume&quot;:&quot;371&quot;,&quot;container-title-short&quot;:&quot;&quot;},&quot;uris&quot;:[&quot;http://www.mendeley.com/documents/?uuid=dc3ec0f7-d7c5-4d99-bfef-32ea2c847b72&quot;],&quot;isTemporary&quot;:false,&quot;legacyDesktopId&quot;:&quot;dc3ec0f7-d7c5-4d99-bfef-32ea2c847b72&quot;}],&quot;citationTag&quot;:&quot;MENDELEY_CITATION_v3_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&quot;},{&quot;citationID&quot;:&quot;MENDELEY_CITATION_840c986a-b970-4f6b-acee-092434a278ad&quot;,&quot;properties&quot;:{&quot;noteIndex&quot;:0},&quot;isEdited&quot;:false,&quot;manualOverride&quot;:{&quot;citeprocText&quot;:&quot;(Forkel et al., 2019)&quot;,&quot;isManuallyOverridden&quot;:true,&quot;manualOverrideText&quot;:&quot;Forkel et al. (2019)&quot;},&quot;citationItems&quot;:[{&quot;id&quot;:&quot;7d421d1c-0708-3a85-a272-f5ffcdff7730&quot;,&quot;itemData&quot;:{&quot;type&quot;:&quot;article-journal&quot;,&quot;id&quot;:&quot;7d421d1c-0708-3a85-a272-f5ffcdff7730&quot;,&quot;title&quot;:&quot;Recent global and regional trends in burned area and their compensating environmental controls&quot;,&quot;author&quot;:[{&quot;family&quot;:&quot;Forkel&quot;,&quot;given&quot;:&quot;Matthias&quot;,&quot;parse-names&quot;:false,&quot;dropping-particle&quot;:&quot;&quot;,&quot;non-dropping-particle&quot;:&quot;&quot;},{&quot;family&quot;:&quot;Dorigo&quot;,&quot;given&quot;:&quot;Wouter&quot;,&quot;parse-names&quot;:false,&quot;dropping-particle&quot;:&quot;&quot;,&quot;non-dropping-particle&quot;:&quot;&quot;},{&quot;family&quot;:&quot;Lasslop&quot;,&quot;given&quot;:&quot;Gitta&quot;,&quot;parse-names&quot;:false,&quot;dropping-particle&quot;:&quot;&quot;,&quot;non-dropping-particle&quot;:&quot;&quot;},{&quot;family&quot;:&quot;Chuvieco&quot;,&quot;given&quot;:&quot;Emilio&quot;,&quot;parse-names&quot;:false,&quot;dropping-particle&quot;:&quot;&quot;,&quot;non-dropping-particle&quot;:&quot;&quot;},{&quot;family&quot;:&quot;Hantson&quot;,&quot;given&quot;:&quot;Stijn&quot;,&quot;parse-names&quot;:false,&quot;dropping-particle&quot;:&quot;&quot;,&quot;non-dropping-particle&quot;:&quot;&quot;},{&quot;family&quot;:&quot;Heil&quot;,&quot;given&quot;:&quot;Angelika&quot;,&quot;parse-names&quot;:false,&quot;dropping-particle&quot;:&quot;&quot;,&quot;non-dropping-particle&quot;:&quot;&quot;},{&quot;family&quot;:&quot;Teubner&quot;,&quot;given&quot;:&quot;Irene&quot;,&quot;parse-names&quot;:false,&quot;dropping-particle&quot;:&quot;&quot;,&quot;non-dropping-particle&quot;:&quot;&quot;},{&quot;family&quot;:&quot;Thonicke&quot;,&quot;given&quot;:&quot;Kirsten&quot;,&quot;parse-names&quot;:false,&quot;dropping-particle&quot;:&quot;&quot;,&quot;non-dropping-particle&quot;:&quot;&quot;},{&quot;family&quot;:&quot;Harrison&quot;,&quot;given&quot;:&quot;Sandy P&quot;,&quot;parse-names&quot;:false,&quot;dropping-particle&quot;:&quot;&quot;,&quot;non-dropping-particle&quot;:&quot;&quot;}],&quot;container-title&quot;:&quot;Environmental Research Communications&quot;,&quot;DOI&quot;:&quot;10.1088/2515-7620/ab25d2&quot;,&quot;issued&quot;:{&quot;date-parts&quot;:[[2019]]},&quot;page&quot;:&quot;051005&quot;,&quot;publisher&quot;:&quot;IOP Publishing&quot;,&quot;issue&quot;:&quot;5&quot;,&quot;volume&quot;:&quot;1&quot;,&quot;container-title-short&quot;:&quot;Environ Res Commun&quot;},&quot;uris&quot;:[&quot;http://www.mendeley.com/documents/?uuid=935c9cb8-9b36-4f93-b786-1c68ce25ef2d&quot;],&quot;isTemporary&quot;:false,&quot;legacyDesktopId&quot;:&quot;935c9cb8-9b36-4f93-b786-1c68ce25ef2d&quot;}],&quot;citationTag&quot;:&quot;MENDELEY_CITATION_v3_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&quot;},{&quot;citationID&quot;:&quot;MENDELEY_CITATION_d043797f-995c-4571-a18d-b68e16df29c0&quot;,&quot;properties&quot;:{&quot;noteIndex&quot;:0},&quot;isEdited&quot;:false,&quot;manualOverride&quot;:{&quot;citeprocText&quot;:&quot;(Bowman et al., 2020)&quot;,&quot;isManuallyOverridden&quot;:true,&quot;manualOverrideText&quot;:&quot;Bowman et al. (2020)&quot;},&quot;citationItems&quot;:[{&quot;id&quot;:&quot;04985541-2422-3942-8e98-b392c845ce90&quot;,&quot;itemData&quot;:{&quot;type&quot;:&quot;article-journal&quot;,&quot;id&quot;:&quot;04985541-2422-3942-8e98-b392c845ce90&quot;,&quot;title&quot;:&quot;Vegetation fires in the Anthropocene&quot;,&quot;author&quot;:[{&quot;family&quot;:&quot;Bowman&quot;,&quot;given&quot;:&quot;David M.J.S.&quot;,&quot;parse-names&quot;:false,&quot;dropping-particle&quot;:&quot;&quot;,&quot;non-dropping-particle&quot;:&quot;&quot;},{&quot;family&quot;:&quot;Kolden&quot;,&quot;given&quot;:&quot;Crystal A.&quot;,&quot;parse-names&quot;:false,&quot;dropping-particle&quot;:&quot;&quot;,&quot;non-dropping-particle&quot;:&quot;&quot;},{&quot;family&quot;:&quot;Abatzoglou&quot;,&quot;given&quot;:&quot;John T.&quot;,&quot;parse-names&quot;:false,&quot;dropping-particle&quot;:&quot;&quot;,&quot;non-dropping-particle&quot;:&quot;&quot;},{&quot;family&quot;:&quot;Johnston&quot;,&quot;given&quot;:&quot;Fay H.&quot;,&quot;parse-names&quot;:false,&quot;dropping-particle&quot;:&quot;&quot;,&quot;non-dropping-particle&quot;:&quot;&quot;},{&quot;family&quot;:&quot;Werf&quot;,&quot;given&quot;:&quot;Guido R.&quot;,&quot;parse-names&quot;:false,&quot;dropping-particle&quot;:&quot;&quot;,&quot;non-dropping-particle&quot;:&quot;van der&quot;},{&quot;family&quot;:&quot;Flannigan&quot;,&quot;given&quot;:&quot;Mike&quot;,&quot;parse-names&quot;:false,&quot;dropping-particle&quot;:&quot;&quot;,&quot;non-dropping-particle&quot;:&quot;&quot;}],&quot;container-title&quot;:&quot;Nature Reviews Earth and Environment&quot;,&quot;DOI&quot;:&quot;10.1038/s43017-020-0085-3&quot;,&quot;ISSN&quot;:&quot;2662138X&quot;,&quot;URL&quot;:&quot;http://dx.doi.org/10.1038/s43017-020-0085-3&quot;,&quot;issued&quot;:{&quot;date-parts&quot;:[[2020]]},&quot;page&quot;:&quot;500-515&quot;,&quot;abstract&quot;:&quot;Vegetation fires are an essential component of the Earth system but can also cause substantial economic losses, severe air pollution, human mortality and environmental damage. Contemporary fire regimes are increasingly impacted by human activities and climate change, but, owing to the complex fire–human–climate interactions and incomplete historical or long-term datasets, it is difficult to detect and project fire-regime trajectories. In this Review, we describe recent global and regional trends in fire activity and examine projections for fire regimes in the near future. Although there are large uncertainties, it is likely that the economic and environmental impacts of vegetation fires will worsen as a result of anthropogenic climate change. These effects will be particularly prominent in flammable forests in populated temperate zones, the sparsely inhabited flammable boreal zone and fire-sensitive tropical rainforests, and will contribute to greenhouse gas emissions. The impacts of increased fire activity can be mitigated through effective stewardship of fire regimes, which should be achieved through evidence-based fire management that incorporates indigenous and local knowledge, combined with planning and design of natural and urban landscapes. Increasing transdisciplinary research is needed to fully understand how Anthropocene fire regimes are changing and how humans must adapt.&quot;,&quot;publisher&quot;:&quot;Springer US&quot;,&quot;issue&quot;:&quot;10&quot;,&quot;volume&quot;:&quot;1&quot;,&quot;container-title-short&quot;:&quot;Nat Rev Earth Environ&quot;},&quot;uris&quot;:[&quot;http://www.mendeley.com/documents/?uuid=a2490c3e-9b05-475d-8dff-e3063b7bfb5c&quot;],&quot;isTemporary&quot;:false,&quot;legacyDesktopId&quot;:&quot;a2490c3e-9b05-475d-8dff-e3063b7bfb5c&quot;}],&quot;citationTag&quot;:&quot;MENDELEY_CITATION_v3_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&quot;},{&quot;citationID&quot;:&quot;MENDELEY_CITATION_077236d6-6c1a-4263-aa9e-a7518cb32830&quot;,&quot;properties&quot;:{&quot;noteIndex&quot;:0},&quot;isEdited&quot;:false,&quot;manualOverride&quot;:{&quot;citeprocText&quot;:&quot;(Devine et al., 2017)&quot;,&quot;isManuallyOverridden&quot;:true,&quot;manualOverrideText&quot;:&quot;Devine et al. (2017)&quot;},&quot;citationItems&quot;:[{&quot;id&quot;:&quot;2523998f-3039-3522-8ad5-f5e6bfe684b8&quot;,&quot;itemData&quot;:{&quot;type&quot;:&quot;article-journal&quot;,&quot;id&quot;:&quot;2523998f-3039-3522-8ad5-f5e6bfe684b8&quot;,&quot;title&quot;:&quot;Determinants of woody encroachment and cover in African savannas&quot;,&quot;author&quot;:[{&quot;family&quot;:&quot;Devine&quot;,&quot;given&quot;:&quot;Aisling P.&quot;,&quot;parse-names&quot;:false,&quot;dropping-particle&quot;:&quot;&quot;,&quot;non-dropping-particle&quot;:&quot;&quot;},{&quot;family&quot;:&quot;McDonald&quot;,&quot;given&quot;:&quot;Robbie A.&quot;,&quot;parse-names&quot;:false,&quot;dropping-particle&quot;:&quot;&quot;,&quot;non-dropping-particle&quot;:&quot;&quot;},{&quot;family&quot;:&quot;Quaife&quot;,&quot;given&quot;:&quot;Tristan&quot;,&quot;parse-names&quot;:false,&quot;dropping-particle&quot;:&quot;&quot;,&quot;non-dropping-particle&quot;:&quot;&quot;},{&quot;family&quot;:&quot;Maclean&quot;,&quot;given&quot;:&quot;Ilya M.D.&quot;,&quot;parse-names&quot;:false,&quot;dropping-particle&quot;:&quot;&quot;,&quot;non-dropping-particle&quot;:&quot;&quot;}],&quot;container-title&quot;:&quot;Oecologia&quot;,&quot;DOI&quot;:&quot;10.1007/s00442-017-3807-6&quot;,&quot;ISSN&quot;:&quot;00298549&quot;,&quot;PMID&quot;:&quot;28116524&quot;,&quot;issued&quot;:{&quot;date-parts&quot;:[[2017]]},&quot;page&quot;:&quot;939-951&quot;,&quot;abstract&quot;:&quot;Savanna ecosystems are an integral part of the African landscape and sustain the livelihoods of millions of people. Woody encroachment in savannas is a wide- spread phenomenon but its causes are widely debated. We review the extensive literature on woody encroachment to help improve understanding of the possible causes and to highlight where and how future scientific efforts to fully understand these causes should be focused. Rainfall is the most important determinant of maximum woody cover across Africa, but fire and herbivory interact to reduce woody cover below the maximum at many locations. We postulate that woody encroachment is most likely driven by CO2 enrichment and propose a two-system conceptual framework, whereby mechanisms of woody encroach- ment differ depending on whether the savanna is a wet or dry system. In dry savannas, the increased water-use effi- ciency in plants relaxes precipitation-driven constraints and increases woody growth. In wet savannas, the increase of carbon allocation to tree roots results in faster recovery rates after disturbance and a greater likelihood of reach- ing sexual maturity. Our proposed framework can be tested using a mixture of experimental and earth observational techniques. At a local level, changes in precipitation, burn- ing regimes or herbivory could be driving woody encroach- ment, but are unlikely to be the explanation of this conti- nent-wide phenomenon.&quot;,&quot;publisher&quot;:&quot;Springer Berlin Heidelberg&quot;,&quot;issue&quot;:&quot;4&quot;,&quot;volume&quot;:&quot;183&quot;,&quot;container-title-short&quot;:&quot;Oecologia&quot;},&quot;uris&quot;:[&quot;http://www.mendeley.com/documents/?uuid=3662fcf6-684f-4ca3-95ed-090528c4ada3&quot;],&quot;isTemporary&quot;:false,&quot;legacyDesktopId&quot;:&quot;3662fcf6-684f-4ca3-95ed-090528c4ada3&quot;}],&quot;citationTag&quot;:&quot;MENDELEY_CITATION_v3_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&quot;},{&quot;citationID&quot;:&quot;MENDELEY_CITATION_f94a1c1c-673f-42ab-b39a-b51cd6ba38f0&quot;,&quot;properties&quot;:{&quot;noteIndex&quot;:0},&quot;isEdited&quot;:false,&quot;manualOverride&quot;:{&quot;citeprocText&quot;:&quot;(Osborne et al., 2018)&quot;,&quot;isManuallyOverridden&quot;:true,&quot;manualOverrideText&quot;:&quot;Osborne et al. (2018)&quot;},&quot;citationItems&quot;:[{&quot;id&quot;:&quot;2bb6283f-34b6-3296-982a-00f6fde87f9f&quot;,&quot;itemData&quot;:{&quot;type&quot;:&quot;article-journal&quot;,&quot;id&quot;:&quot;2bb6283f-34b6-3296-982a-00f6fde87f9f&quot;,&quot;title&quot;:&quot;Human impacts in African savannas are mediated by plant functional traits&quot;,&quot;author&quot;:[{&quot;family&quot;:&quot;Osborne&quot;,&quot;given&quot;:&quot;Colin P.&quot;,&quot;parse-names&quot;:false,&quot;dropping-particle&quot;:&quot;&quot;,&quot;non-dropping-particle&quot;:&quot;&quot;},{&quot;family&quot;:&quot;Charles-Dominique&quot;,&quot;given&quot;:&quot;Tristan&quot;,&quot;parse-names&quot;:false,&quot;dropping-particle&quot;:&quot;&quot;,&quot;non-dropping-particle&quot;:&quot;&quot;},{&quot;family&quot;:&quot;Stevens&quot;,&quot;given&quot;:&quot;Nicola&quot;,&quot;parse-names&quot;:false,&quot;dropping-particle&quot;:&quot;&quot;,&quot;non-dropping-particle&quot;:&quot;&quot;},{&quot;family&quot;:&quot;Bond&quot;,&quot;given&quot;:&quot;William J.&quot;,&quot;parse-names&quot;:false,&quot;dropping-particle&quot;:&quot;&quot;,&quot;non-dropping-particle&quot;:&quot;&quot;},{&quot;family&quot;:&quot;Midgley&quot;,&quot;given&quot;:&quot;Guy&quot;,&quot;parse-names&quot;:false,&quot;dropping-particle&quot;:&quot;&quot;,&quot;non-dropping-particle&quot;:&quot;&quot;},{&quot;family&quot;:&quot;Lehmann&quot;,&quot;given&quot;:&quot;Caroline E.R.&quot;,&quot;parse-names&quot;:false,&quot;dropping-particle&quot;:&quot;&quot;,&quot;non-dropping-particle&quot;:&quot;&quot;}],&quot;container-title&quot;:&quot;New Phytologist&quot;,&quot;DOI&quot;:&quot;10.1111/nph.15236&quot;,&quot;ISSN&quot;:&quot;14698137&quot;,&quot;issued&quot;:{&quot;date-parts&quot;:[[2018]]},&quot;page&quot;:&quot;10-24&quot;,&quot;abstract&quot;:&quot;Tropical savannas have a ground cover dominated by C 4 grasses, with fire and herbivory constraining woody cover below a rainfall-based potential. The savanna biome covers 50% of the African continent, encompassing diverse ecosystems that include densely wooded Miombo woodlands and Serengeti grasslands with scat-tered trees. African savannas provide water, grazing and browsing, food and fuel for tens of millions of people, and have a unique biodiversity that supports wildlife tourism. However, human impacts are causing widespread and accelerating degradation of savannas. The primary threats are land cover-change and transfor-mation, landscape fragmentation that disrupts herbivore commu-nities and fire regimes, climate change and rising atmospheric CO 2 . The interactions among these threats are poorly understood, with unknown consequences for ecosystem health and human liveli-hoods. We argue that the unique combinations of plant functional traits characterizing the major floristic assemblages of African savannas make them differentially susceptible and resilient to anthropogenic drivers of ecosystem change. Research must address how this functional diversity among African savannas differentially influences their vulnerability to global change and elucidate the mechanisms responsible. This knowledge will permit appropriate management strategies to be developed to maintain ecosystem integrity, biodiversity and livelihoods. African savannas face multiple anthropogenic threats&quot;,&quot;volume&quot;:&quot;220&quot;,&quot;container-title-short&quot;:&quot;&quot;},&quot;uris&quot;:[&quot;http://www.mendeley.com/documents/?uuid=776933ac-f1f4-4b90-9c0f-0595c2d498ba&quot;],&quot;isTemporary&quot;:false,&quot;legacyDesktopId&quot;:&quot;776933ac-f1f4-4b90-9c0f-0595c2d498ba&quot;}],&quot;citationTag&quot;:&quot;MENDELEY_CITATION_v3_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&quot;},{&quot;citationID&quot;:&quot;MENDELEY_CITATION_1f56f992-86c8-41fd-a3e9-d4e5f4d1b3ff&quot;,&quot;properties&quot;:{&quot;noteIndex&quot;:0},&quot;isEdited&quot;:false,&quot;manualOverride&quot;:{&quot;citeprocText&quot;:&quot;(Staver et al., 2017)&quot;,&quot;isManuallyOverridden&quot;:true,&quot;manualOverrideText&quot;:&quot;Staver et al. (2017)&quot;},&quot;citationItems&quot;:[{&quot;id&quot;:&quot;2709fee2-2fe7-35ce-bc5a-8b38318e2b7e&quot;,&quot;itemData&quot;:{&quot;type&quot;:&quot;article-journal&quot;,&quot;id&quot;:&quot;2709fee2-2fe7-35ce-bc5a-8b38318e2b7e&quot;,&quot;title&quot;:&quot;Soils and fire jointly determine vegetation structure in an African savanna&quot;,&quot;author&quot;:[{&quot;family&quot;:&quot;Staver&quot;,&quot;given&quot;:&quot;A. Carla&quot;,&quot;parse-names&quot;:false,&quot;dropping-particle&quot;:&quot;&quot;,&quot;non-dropping-particle&quot;:&quot;&quot;},{&quot;family&quot;:&quot;Botha&quot;,&quot;given&quot;:&quot;Judith&quot;,&quot;parse-names&quot;:false,&quot;dropping-particle&quot;:&quot;&quot;,&quot;non-dropping-particle&quot;:&quot;&quot;},{&quot;family&quot;:&quot;Hedin&quot;,&quot;given&quot;:&quot;Lars&quot;,&quot;parse-names&quot;:false,&quot;dropping-particle&quot;:&quot;&quot;,&quot;non-dropping-particle&quot;:&quot;&quot;}],&quot;container-title&quot;:&quot;New Phytologist&quot;,&quot;DOI&quot;:&quot;10.1111/nph.14738&quot;,&quot;ISSN&quot;:&quot;14698137&quot;,&quot;issued&quot;:{&quot;date-parts&quot;:[[2017]]},&quot;page&quot;:&quot;1151-1160&quot;,&quot;abstract&quot;:&quot;Savanna vegetation is variable, and predicting how water, nutrients, and chronic disturbances interact to determine vegetation structure in savannas represents a challenge. Here, we examined in situ interactions among rainfall, soils, grasses, fire, and elephants that determine tree layer responses to resource gradients in Kruger National Park in South Africa, using 363 long-term monitoring sites throughout the park. Grass biomass increased with rainfall and on nutrient-rich clay soils. Fire frequency, too, increased with rainfall. Conversely, tree density was greater on sandier soils, where water infiltrates more readily, and in areas where the maximum interval between fires was longer, irrespective of average fire frequency. Elephant density responded positively to tree density, but did not contribute significantly to decreasing tree density. Savanna vegetation structure was reasonably predictable, via a combination of rainfall (favoring grasses), soil (sandy soils favoring trees), and fire (limiting trees until a longer interval between fires allows them to establish). Explicit consideration of bottom-up and top-down interactions may thus contribute to a predictive understanding of savanna vegetation heterogeneity.&quot;,&quot;issue&quot;:&quot;4&quot;,&quot;volume&quot;:&quot;216&quot;,&quot;container-title-short&quot;:&quot;&quot;},&quot;uris&quot;:[&quot;http://www.mendeley.com/documents/?uuid=d7c12230-a55d-41fc-8935-e03bfbe46840&quot;],&quot;isTemporary&quot;:false,&quot;legacyDesktopId&quot;:&quot;d7c12230-a55d-41fc-8935-e03bfbe46840&quot;}],&quot;citationTag&quot;:&quot;MENDELEY_CITATION_v3_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&quot;},{&quot;citationID&quot;:&quot;MENDELEY_CITATION_353770df-7d2f-46d5-9522-9aa0d1ca8989&quot;,&quot;properties&quot;:{&quot;noteIndex&quot;:0},&quot;isEdited&quot;:false,&quot;manualOverride&quot;:{&quot;citeprocText&quot;:&quot;(Lefcheck et al., 2020)&quot;,&quot;isManuallyOverridden&quot;:false,&quot;manualOverrideText&quot;:&quot;&quot;},&quot;citationTag&quot;:&quot;MENDELEY_CITATION_v3_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&quot;,&quot;citationItems&quot;:[{&quot;id&quot;:&quot;c361d70a-b469-31a1-9e36-c0fd403502e5&quot;,&quot;itemData&quot;:{&quot;type&quot;:&quot;report&quot;,&quot;id&quot;:&quot;c361d70a-b469-31a1-9e36-c0fd403502e5&quot;,&quot;title&quot;:&quot;Package 'piecewiseSEM'&quot;,&quot;author&quot;:[{&quot;family&quot;:&quot;Lefcheck&quot;,&quot;given&quot;:&quot;J.&quot;,&quot;parse-names&quot;:false,&quot;dropping-particle&quot;:&quot;&quot;,&quot;non-dropping-particle&quot;:&quot;&quot;},{&quot;family&quot;:&quot;Byrnes&quot;,&quot;given&quot;:&quot;J.&quot;,&quot;parse-names&quot;:false,&quot;dropping-particle&quot;:&quot;&quot;,&quot;non-dropping-particle&quot;:&quot;&quot;},{&quot;family&quot;:&quot;James&quot;,&quot;given&quot;:&quot;G.&quot;,&quot;parse-names&quot;:false,&quot;dropping-particle&quot;:&quot;&quot;,&quot;non-dropping-particle&quot;:&quot;&quot;}],&quot;container-title&quot;:&quot;CRAN&quot;,&quot;issued&quot;:{&quot;date-parts&quot;:[[2020]]},&quot;container-title-short&quot;:&quot;&quot;},&quot;uris&quot;:[&quot;http://www.mendeley.com/documents/?uuid=a2921835-f4f0-4efb-b974-fe6e132eede7&quot;],&quot;isTemporary&quot;:false,&quot;legacyDesktopId&quot;:&quot;a2921835-f4f0-4efb-b974-fe6e132eede7&quot;}]},{&quot;citationID&quot;:&quot;MENDELEY_CITATION_a1f678d9-d928-4893-b6af-972f5c9ee03e&quot;,&quot;properties&quot;:{&quot;noteIndex&quot;:0},&quot;isEdited&quot;:false,&quot;manualOverride&quot;:{&quot;citeprocText&quot;:&quot;(Dormann et al., 2007)&quot;,&quot;isManuallyOverridden&quot;:false,&quot;manualOverrideText&quot;:&quot;&quot;},&quot;citationTag&quot;:&quot;MENDELEY_CITATION_v3_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&quot;,&quot;citationItems&quot;:[{&quot;id&quot;:&quot;cca9d966-ae67-3e6a-9545-2331ff6557b9&quot;,&quot;itemData&quot;:{&quot;type&quot;:&quot;article-journal&quot;,&quot;id&quot;:&quot;cca9d966-ae67-3e6a-9545-2331ff6557b9&quot;,&quot;title&quot;:&quot;Methods to account for spatial autocorrelation in the analysis of species distributional data: A review&quot;,&quot;author&quot;:[{&quot;family&quot;:&quot;Dormann&quot;,&quot;given&quot;:&quot;F.C.&quot;,&quot;parse-names&quot;:false,&quot;dropping-particle&quot;:&quot;&quot;,&quot;non-dropping-particle&quot;:&quot;&quot;},{&quot;family&quot;:&quot;McPherson&quot;,&quot;given&quot;:&quot;M.J.&quot;,&quot;parse-names&quot;:false,&quot;dropping-particle&quot;:&quot;&quot;,&quot;non-dropping-particle&quot;:&quot;&quot;},{&quot;family&quot;:&quot;Araújo&quot;,&quot;given&quot;:&quot;B.M.&quot;,&quot;parse-names&quot;:false,&quot;dropping-particle&quot;:&quot;&quot;,&quot;non-dropping-particle&quot;:&quot;&quot;},{&quot;family&quot;:&quot;Bivand&quot;,&quot;given&quot;:&quot;R.&quot;,&quot;parse-names&quot;:false,&quot;dropping-particle&quot;:&quot;&quot;,&quot;non-dropping-particle&quot;:&quot;&quot;},{&quot;family&quot;:&quot;Bolliger&quot;,&quot;given&quot;:&quot;J.&quot;,&quot;parse-names&quot;:false,&quot;dropping-particle&quot;:&quot;&quot;,&quot;non-dropping-particle&quot;:&quot;&quot;},{&quot;family&quot;:&quot;Carl&quot;,&quot;given&quot;:&quot;G.&quot;,&quot;parse-names&quot;:false,&quot;dropping-particle&quot;:&quot;&quot;,&quot;non-dropping-particle&quot;:&quot;&quot;},{&quot;family&quot;:&quot;Davies&quot;,&quot;given&quot;:&quot;G.R.&quot;,&quot;parse-names&quot;:false,&quot;dropping-particle&quot;:&quot;&quot;,&quot;non-dropping-particle&quot;:&quot;&quot;},{&quot;family&quot;:&quot;Hirzel&quot;,&quot;given&quot;:&quot;A.&quot;,&quot;parse-names&quot;:false,&quot;dropping-particle&quot;:&quot;&quot;,&quot;non-dropping-particle&quot;:&quot;&quot;},{&quot;family&quot;:&quot;Jetz&quot;,&quot;given&quot;:&quot;W.&quot;,&quot;parse-names&quot;:false,&quot;dropping-particle&quot;:&quot;&quot;,&quot;non-dropping-particle&quot;:&quot;&quot;},{&quot;family&quot;:&quot;Kissling&quot;,&quot;given&quot;:&quot;W.D.&quot;,&quot;parse-names&quot;:false,&quot;dropping-particle&quot;:&quot;&quot;,&quot;non-dropping-particle&quot;:&quot;&quot;},{&quot;family&quot;:&quot;Kühn&quot;,&quot;given&quot;:&quot;I.&quot;,&quot;parse-names&quot;:false,&quot;dropping-particle&quot;:&quot;&quot;,&quot;non-dropping-particle&quot;:&quot;&quot;},{&quot;family&quot;:&quot;Ohlemüller&quot;,&quot;given&quot;:&quot;R.&quot;,&quot;parse-names&quot;:false,&quot;dropping-particle&quot;:&quot;&quot;,&quot;non-dropping-particle&quot;:&quot;&quot;},{&quot;family&quot;:&quot;Peres-Neto&quot;,&quot;given&quot;:&quot;P.R.&quot;,&quot;parse-names&quot;:false,&quot;dropping-particle&quot;:&quot;&quot;,&quot;non-dropping-particle&quot;:&quot;&quot;},{&quot;family&quot;:&quot;Reineking&quot;,&quot;given&quot;:&quot;B.&quot;,&quot;parse-names&quot;:false,&quot;dropping-particle&quot;:&quot;&quot;,&quot;non-dropping-particle&quot;:&quot;&quot;},{&quot;family&quot;:&quot;Schröder&quot;,&quot;given&quot;:&quot;B.&quot;,&quot;parse-names&quot;:false,&quot;dropping-particle&quot;:&quot;&quot;,&quot;non-dropping-particle&quot;:&quot;&quot;},{&quot;family&quot;:&quot;Schurr&quot;,&quot;given&quot;:&quot;F.M.&quot;,&quot;parse-names&quot;:false,&quot;dropping-particle&quot;:&quot;&quot;,&quot;non-dropping-particle&quot;:&quot;&quot;},{&quot;family&quot;:&quot;Wilson&quot;,&quot;given&quot;:&quot;R.&quot;,&quot;parse-names&quot;:false,&quot;dropping-particle&quot;:&quot;&quot;,&quot;non-dropping-particle&quot;:&quot;&quot;}],&quot;container-title&quot;:&quot;Ecography&quot;,&quot;DOI&quot;:&quot;10.1111/j.2007.0906-7590.05171.x&quot;,&quot;ISSN&quot;:&quot;09067590&quot;,&quot;issued&quot;:{&quot;date-parts&quot;:[[2007]]},&quot;page&quot;:&quot;609-628&quot;,&quot;abstract&quot;:&quot;Species distributional or trait data based on range map (extent-of-occurrence) or atlas survey data often display spatial autocorrelation, i.e. locations close to each other exhibit more similar values than those further apart. If this pattern remains present in the residuals of a statistical model based on such data, one of the key assumptions of standard statistical analyses, that residuals are independent and identically distributed (i.i.d), is violated. The violation of the assumption of i.i.d. residuals may bias parameter estimates and can increase type I error rates (falsely rejecting the null hypothesis of no effect). While this is increasingly recognised by researchers analysing species distribution data, there is, to our knowledge, no comprehensive overview of the many available spatial statistical methods to take spatial autocorrelation into account in tests of statistical significance. Here, we describe six different statistical approaches to infer correlates of species' distributions, for both presence/absence (binary response) and species abundance data (poisson or normally distributed response), while accounting for spatial autocorrelation in model residuals: autocovariate regression; spatial eigenvector mapping; generalised least squares; (conditional and simultaneous) autoregressive models and generalised estimating equations. A comprehensive comparison of the relative merits of these methods is beyond the scope of this paper. To demonstrate each method's implementation, however, we undertook preliminary tests based on simulated data. These preliminary tests verified that most of the spatial modeling techniques we examined showed good type I error control and precise parameter estimates, at least when confronted with simplistic simulated data containing spatial autocorrelation in the errors. However, we found that for presence/absence data the results and conclusions were very variable between the different methods. This is likely due to the low information content of binary maps. Also, in contrast with previous studies, we found that autocovariate methods consistently underestimated the effects of environmental controls of species distributions. Given their widespread use, in particular for the modelling of species presence/absence data (e.g. climate envelope models), we argue that this warrants further study and caution in their use. To aid other ecologists in making use of the methods described, code to implement them in freely available software is provided in an electronic appendix. © Ecography.&quot;,&quot;issue&quot;:&quot;5&quot;,&quot;volume&quot;:&quot;30&quot;,&quot;container-title-short&quot;:&quot;Ecography&quot;},&quot;uris&quot;:[&quot;http://www.mendeley.com/documents/?uuid=3c481dbd-43e6-4324-a940-bd807b6a1955&quot;],&quot;isTemporary&quot;:false,&quot;legacyDesktopId&quot;:&quot;3c481dbd-43e6-4324-a940-bd807b6a1955&quot;}]},{&quot;citationID&quot;:&quot;MENDELEY_CITATION_df83f87a-513a-4c89-bd71-28e765235e20&quot;,&quot;properties&quot;:{&quot;noteIndex&quot;:0},&quot;isEdited&quot;:false,&quot;manualOverride&quot;:{&quot;citeprocText&quot;:&quot;(Bivand et al., 2022b)&quot;,&quot;isManuallyOverridden&quot;:true,&quot;manualOverrideText&quot;:&quot;(Bivand et al., 2022a)&quot;},&quot;citationTag&quot;:&quot;MENDELEY_CITATION_v3_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&quot;,&quot;citationItems&quot;:[{&quot;id&quot;:&quot;00e54461-8496-3395-b4df-6cca86912916&quot;,&quot;itemData&quot;:{&quot;type&quot;:&quot;report&quot;,&quot;id&quot;:&quot;00e54461-8496-3395-b4df-6cca86912916&quot;,&quot;title&quot;:&quot;Package ‘spatialreg’&quot;,&quot;author&quot;:[{&quot;family&quot;:&quot;Bivand&quot;,&quot;given&quot;:&quot;R.&quot;,&quot;parse-names&quot;:false,&quot;dropping-particle&quot;:&quot;&quot;,&quot;non-dropping-particle&quot;:&quot;&quot;},{&quot;family&quot;:&quot;Piras&quot;,&quot;given&quot;:&quot;G.&quot;,&quot;parse-names&quot;:false,&quot;dropping-particle&quot;:&quot;&quot;,&quot;non-dropping-particle&quot;:&quot;&quot;},{&quot;family&quot;:&quot;Anselin&quot;,&quot;given&quot;:&quot;L.&quot;,&quot;parse-names&quot;:false,&quot;dropping-particle&quot;:&quot;&quot;,&quot;non-dropping-particle&quot;:&quot;&quot;},{&quot;family&quot;:&quot;Bernat&quot;,&quot;given&quot;:&quot;A.&quot;,&quot;parse-names&quot;:false,&quot;dropping-particle&quot;:&quot;&quot;,&quot;non-dropping-particle&quot;:&quot;&quot;},{&quot;family&quot;:&quot;Blankmeyer&quot;,&quot;given&quot;:&quot;E.&quot;,&quot;parse-names&quot;:false,&quot;dropping-particle&quot;:&quot;&quot;,&quot;non-dropping-particle&quot;:&quot;&quot;},{&quot;family&quot;:&quot;Chun&quot;,&quot;given&quot;:&quot;Y.&quot;,&quot;parse-names&quot;:false,&quot;dropping-particle&quot;:&quot;&quot;,&quot;non-dropping-particle&quot;:&quot;&quot;},{&quot;family&quot;:&quot;Gómez-Rubio&quot;,&quot;given&quot;:&quot;V.&quot;,&quot;parse-names&quot;:false,&quot;dropping-particle&quot;:&quot;&quot;,&quot;non-dropping-particle&quot;:&quot;&quot;},{&quot;family&quot;:&quot;Griffith&quot;,&quot;given&quot;:&quot;D.&quot;,&quot;parse-names&quot;:false,&quot;dropping-particle&quot;:&quot;&quot;,&quot;non-dropping-particle&quot;:&quot;&quot;},{&quot;family&quot;:&quot;Gubri&quot;,&quot;given&quot;:&quot;M.&quot;,&quot;parse-names&quot;:false,&quot;dropping-particle&quot;:&quot;&quot;,&quot;non-dropping-particle&quot;:&quot;&quot;},{&quot;family&quot;:&quot;Halbersma&quot;,&quot;given&quot;:&quot;M.T.&quot;,&quot;parse-names&quot;:false,&quot;dropping-particle&quot;:&quot;&quot;,&quot;non-dropping-particle&quot;:&quot;&quot;},{&quot;family&quot;:&quot;LeSage&quot;,&quot;given&quot;:&quot;J.&quot;,&quot;parse-names&quot;:false,&quot;dropping-particle&quot;:&quot;&quot;,&quot;non-dropping-particle&quot;:&quot;&quot;},{&quot;family&quot;:&quot;Li&quot;,&quot;given&quot;:&quot;A.&quot;,&quot;parse-names&quot;:false,&quot;dropping-particle&quot;:&quot;&quot;,&quot;non-dropping-particle&quot;:&quot;&quot;},{&quot;family&quot;:&quot;Li&quot;,&quot;given&quot;:&quot;H.&quot;,&quot;parse-names&quot;:false,&quot;dropping-particle&quot;:&quot;&quot;,&quot;non-dropping-particle&quot;:&quot;&quot;},{&quot;family&quot;:&quot;Ma&quot;,&quot;given&quot;:&quot;J.&quot;,&quot;parse-names&quot;:false,&quot;dropping-particle&quot;:&quot;&quot;,&quot;non-dropping-particle&quot;:&quot;&quot;},{&quot;family&quot;:&quot;Mallik&quot;,&quot;given&quot;:&quot;A.&quot;,&quot;parse-names&quot;:false,&quot;dropping-particle&quot;:&quot;&quot;,&quot;non-dropping-particle&quot;:&quot;&quot;},{&quot;family&quot;:&quot;Millo&quot;,&quot;given&quot;:&quot;G.&quot;,&quot;parse-names&quot;:false,&quot;dropping-particle&quot;:&quot;&quot;,&quot;non-dropping-particle&quot;:&quot;&quot;},{&quot;family&quot;:&quot;Pace&quot;,&quot;given&quot;:&quot;K.&quot;,&quot;parse-names&quot;:false,&quot;dropping-particle&quot;:&quot;&quot;,&quot;non-dropping-particle&quot;:&quot;&quot;},{&quot;family&quot;:&quot;Peres-Neto&quot;,&quot;given&quot;:&quot;P.&quot;,&quot;parse-names&quot;:false,&quot;dropping-particle&quot;:&quot;&quot;,&quot;non-dropping-particle&quot;:&quot;&quot;},{&quot;family&quot;:&quot;Rüttenauer&quot;,&quot;given&quot;:&quot;T.&quot;,&quot;parse-names&quot;:false,&quot;dropping-particle&quot;:&quot;&quot;,&quot;non-dropping-particle&quot;:&quot;&quot;},{&quot;family&quot;:&quot;Sarrias&quot;,&quot;given&quot;:&quot;M.&quot;,&quot;parse-names&quot;:false,&quot;dropping-particle&quot;:&quot;&quot;,&quot;non-dropping-particle&quot;:&quot;&quot;},{&quot;family&quot;:&quot;Sayago&quot;,&quot;given&quot;:&quot;J.T.&quot;,&quot;parse-names&quot;:false,&quot;dropping-particle&quot;:&quot;&quot;,&quot;non-dropping-particle&quot;:&quot;&quot;},{&quot;family&quot;:&quot;Tiefelsdorf&quot;,&quot;given&quot;:&quot;M.&quot;,&quot;parse-names&quot;:false,&quot;dropping-particle&quot;:&quot;&quot;,&quot;non-dropping-particle&quot;:&quot;&quot;}],&quot;container-title&quot;:&quot;CRAN&quot;,&quot;issued&quot;:{&quot;date-parts&quot;:[[2022]]},&quot;container-title-short&quot;:&quot;&quot;},&quot;uris&quot;:[&quot;http://www.mendeley.com/documents/?uuid=76efb275-dc4f-4c57-b0e9-b25d7ce8891f&quot;],&quot;isTemporary&quot;:false,&quot;legacyDesktopId&quot;:&quot;76efb275-dc4f-4c57-b0e9-b25d7ce8891f&quot;}]},{&quot;citationID&quot;:&quot;MENDELEY_CITATION_0fa0529a-da99-4f69-8b4e-05ba15cdee3f&quot;,&quot;properties&quot;:{&quot;noteIndex&quot;:0},&quot;isEdited&quot;:false,&quot;manualOverride&quot;:{&quot;citeprocText&quot;:&quot;(Bivand and Wong, 2018; Dray et al., 2006)&quot;,&quot;isManuallyOverridden&quot;:false,&quot;manualOverrideText&quot;:&quot;&quot;},&quot;citationTag&quot;:&quot;MENDELEY_CITATION_v3_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&quot;,&quot;citationItems&quot;:[{&quot;id&quot;:&quot;7a615fd7-f74a-3a77-9d3a-78f12a6edbba&quot;,&quot;itemData&quot;:{&quot;type&quot;:&quot;article-journal&quot;,&quot;id&quot;:&quot;7a615fd7-f74a-3a77-9d3a-78f12a6edbba&quot;,&quot;title&quot;:&quot;Comparing implementations of global and local indicators of spatial association&quot;,&quot;author&quot;:[{&quot;family&quot;:&quot;Bivand&quot;,&quot;given&quot;:&quot;Roger S.&quot;,&quot;parse-names&quot;:false,&quot;dropping-particle&quot;:&quot;&quot;,&quot;non-dropping-particle&quot;:&quot;&quot;},{&quot;family&quot;:&quot;Wong&quot;,&quot;given&quot;:&quot;David W.S.&quot;,&quot;parse-names&quot;:false,&quot;dropping-particle&quot;:&quot;&quot;,&quot;non-dropping-particle&quot;:&quot;&quot;}],&quot;container-title&quot;:&quot;Test&quot;,&quot;DOI&quot;:&quot;10.1007/s11749-018-0599-x&quot;,&quot;ISSN&quot;:&quot;11330686&quot;,&quot;URL&quot;:&quot;https://doi.org/10.1007/s11749-018-0599-x&quot;,&quot;issued&quot;:{&quot;date-parts&quot;:[[2018]]},&quot;page&quot;:&quot;716-748&quot;,&quot;abstract&quot;:&quot;Functions to calculate measures of spatial association, especially measures of spatial autocorrelation, have been made available in many software applications. Measures may be global, applying to the whole data set under consideration, or local, applying to each observation in the data set. Methods of statistical inference may also be provided, but these will, like the measures themselves, depend on the support of the observations, chosen assumptions, and the way in which spatial association is represented; spatial weights are often used as a representational technique. In addition, assumptions may be made about the underlying mean model, and about error distributions. Different software implementations may choose to expose these choices to the analyst, but the sets of choices available may vary between these implementations, as may default settings. This comparison will consider the implementations of global Moran’s I, Getis–Ord G and Geary’s C, local Ii and Gi, available in a range of software including Crimestat, GeoDa, ArcGIS, PySAL and R contributed packages.&quot;,&quot;publisher&quot;:&quot;Springer Berlin Heidelberg&quot;,&quot;issue&quot;:&quot;3&quot;,&quot;volume&quot;:&quot;27&quot;,&quot;container-title-short&quot;:&quot;&quot;},&quot;uris&quot;:[&quot;http://www.mendeley.com/documents/?uuid=515ab88c-e60b-49bf-be32-ffd064992997&quot;],&quot;isTemporary&quot;:false,&quot;legacyDesktopId&quot;:&quot;515ab88c-e60b-49bf-be32-ffd064992997&quot;},{&quot;id&quot;:&quot;74b31877-dad5-36a2-b9e9-b60b49341d05&quot;,&quot;itemData&quot;:{&quot;type&quot;:&quot;article-journal&quot;,&quot;id&quot;:&quot;74b31877-dad5-36a2-b9e9-b60b49341d05&quot;,&quot;title&quot;:&quot;Spatial modelling: a comprehensive framework for principal coordinate analysis of neighbour matrices (PCNM)&quot;,&quot;author&quot;:[{&quot;family&quot;:&quot;Dray&quot;,&quot;given&quot;:&quot;Stéphane&quot;,&quot;parse-names&quot;:false,&quot;dropping-particle&quot;:&quot;&quot;,&quot;non-dropping-particle&quot;:&quot;&quot;},{&quot;family&quot;:&quot;Legendre&quot;,&quot;given&quot;:&quot;Pierre&quot;,&quot;parse-names&quot;:false,&quot;dropping-particle&quot;:&quot;&quot;,&quot;non-dropping-particle&quot;:&quot;&quot;},{&quot;family&quot;:&quot;Peres-Neto&quot;,&quot;given&quot;:&quot;Pedro R.&quot;,&quot;parse-names&quot;:false,&quot;dropping-particle&quot;:&quot;&quot;,&quot;non-dropping-particle&quot;:&quot;&quot;}],&quot;container-title&quot;:&quot;Ecological Modelling&quot;,&quot;DOI&quot;:&quot;10.1016/j.ecolmodel.2006.02.015&quot;,&quot;ISSN&quot;:&quot;03043800&quot;,&quot;issued&quot;:{&quot;date-parts&quot;:[[2006]]},&quot;page&quot;:&quot;483-493&quot;,&quot;abstract&quot;:&quot;Spatial structures of ecological communities may originate either from the dependence of community structure on environmental variables or/and from community-based processes. In order to assess the importance of these two sources, spatial relationships must be explicitly introduced into statistical models. Recently, a new approach called principal coordinates of neighbour matrices (PCNM) has been proposed to create spatial predictors that can be easily incorporated into regression or canonical analysis models, providing a flexible tool especially when contrasted to the family of autoregressive models and trend surface analysis, which are of common use in ecological and geographical analysis. In this paper, we explore the theory of the PCNM approach and demonstrate how it is linked to spatial autocorrelation structure functions. The method basically consists of diagonalizing a spatial weighting matrix, then extracting the eigenvectors that maximize the Moran's index of autocorrelation. These eigenvectors can then be used directly as explanatory variables in regression or canonical models. We propose improvements and extensions of the original method, and illustrate them with examples that will help ecologists choose the variant that will better suit their needs. © 2006 Elsevier B.V. All rights reserved.&quot;,&quot;issue&quot;:&quot;3-4&quot;,&quot;volume&quot;:&quot;196&quot;,&quot;container-title-short&quot;:&quot;Ecol Modell&quot;},&quot;uris&quot;:[&quot;http://www.mendeley.com/documents/?uuid=ec5c9b2f-a5cf-47cf-9bf5-d59df8b3804b&quot;],&quot;isTemporary&quot;:false,&quot;legacyDesktopId&quot;:&quot;ec5c9b2f-a5cf-47cf-9bf5-d59df8b3804b&quot;}]},{&quot;citationID&quot;:&quot;MENDELEY_CITATION_cc84614a-3291-4d42-909b-d4df54fadcbf&quot;,&quot;properties&quot;:{&quot;noteIndex&quot;:0},&quot;isEdited&quot;:false,&quot;manualOverride&quot;:{&quot;citeprocText&quot;:&quot;(Bivand et al., 2022a)&quot;,&quot;isManuallyOverridden&quot;:true,&quot;manualOverrideText&quot;:&quot;(Bivand et al., 2022b)&quot;},&quot;citationTag&quot;:&quot;MENDELEY_CITATION_v3_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&quot;,&quot;citationItems&quot;:[{&quot;id&quot;:&quot;108bb017-ec47-3ad6-8786-52bb124ad26c&quot;,&quot;itemData&quot;:{&quot;type&quot;:&quot;report&quot;,&quot;id&quot;:&quot;108bb017-ec47-3ad6-8786-52bb124ad26c&quot;,&quot;title&quot;:&quot;Package ‘spdep’&quot;,&quot;author&quot;:[{&quot;family&quot;:&quot;Bivand&quot;,&quot;given&quot;:&quot;R.&quot;,&quot;parse-names&quot;:false,&quot;dropping-particle&quot;:&quot;&quot;,&quot;non-dropping-particle&quot;:&quot;&quot;},{&quot;family&quot;:&quot;Altman&quot;,&quot;given&quot;:&quot;M.&quot;,&quot;parse-names&quot;:false,&quot;dropping-particle&quot;:&quot;&quot;,&quot;non-dropping-particle&quot;:&quot;&quot;},{&quot;family&quot;:&quot;Anselin&quot;,&quot;given&quot;:&quot;L.&quot;,&quot;parse-names&quot;:false,&quot;dropping-particle&quot;:&quot;&quot;,&quot;non-dropping-particle&quot;:&quot;&quot;},{&quot;family&quot;:&quot;Assunção&quot;,&quot;given&quot;:&quot;R.&quot;,&quot;parse-names&quot;:false,&quot;dropping-particle&quot;:&quot;&quot;,&quot;non-dropping-particle&quot;:&quot;&quot;},{&quot;family&quot;:&quot;Berke&quot;,&quot;given&quot;:&quot;O.&quot;,&quot;parse-names&quot;:false,&quot;dropping-particle&quot;:&quot;&quot;,&quot;non-dropping-particle&quot;:&quot;&quot;},{&quot;family&quot;:&quot;Blanchet&quot;,&quot;given&quot;:&quot;G.&quot;,&quot;parse-names&quot;:false,&quot;dropping-particle&quot;:&quot;&quot;,&quot;non-dropping-particle&quot;:&quot;&quot;},{&quot;family&quot;:&quot;Carvalho&quot;,&quot;given&quot;:&quot;M.&quot;,&quot;parse-names&quot;:false,&quot;dropping-particle&quot;:&quot;&quot;,&quot;non-dropping-particle&quot;:&quot;&quot;},{&quot;family&quot;:&quot;Christensen&quot;,&quot;given&quot;:&quot;B.&quot;,&quot;parse-names&quot;:false,&quot;dropping-particle&quot;:&quot;&quot;,&quot;non-dropping-particle&quot;:&quot;&quot;},{&quot;family&quot;:&quot;Chun&quot;,&quot;given&quot;:&quot;Y.&quot;,&quot;parse-names&quot;:false,&quot;dropping-particle&quot;:&quot;&quot;,&quot;non-dropping-particle&quot;:&quot;&quot;},{&quot;family&quot;:&quot;Dormann&quot;,&quot;given&quot;:&quot;C&quot;,&quot;parse-names&quot;:false,&quot;dropping-particle&quot;:&quot;&quot;,&quot;non-dropping-particle&quot;:&quot;&quot;},{&quot;family&quot;:&quot;Dray&quot;,&quot;given&quot;:&quot;S&quot;,&quot;parse-names&quot;:false,&quot;dropping-particle&quot;:&quot;&quot;,&quot;non-dropping-particle&quot;:&quot;&quot;},{&quot;family&quot;:&quot;Gómez-Rubio&quot;,&quot;given&quot;:&quot;V.&quot;,&quot;parse-names&quot;:false,&quot;dropping-particle&quot;:&quot;&quot;,&quot;non-dropping-particle&quot;:&quot;&quot;},{&quot;family&quot;:&quot;Krainski&quot;,&quot;given&quot;:&quot;E.&quot;,&quot;parse-names&quot;:false,&quot;dropping-particle&quot;:&quot;&quot;,&quot;non-dropping-particle&quot;:&quot;&quot;},{&quot;family&quot;:&quot;Legendre&quot;,&quot;given&quot;:&quot;P.&quot;,&quot;parse-names&quot;:false,&quot;dropping-particle&quot;:&quot;&quot;,&quot;non-dropping-particle&quot;:&quot;&quot;},{&quot;family&quot;:&quot;Lewin-Koh&quot;,&quot;given&quot;:&quot;N.&quot;,&quot;parse-names&quot;:false,&quot;dropping-particle&quot;:&quot;&quot;,&quot;non-dropping-particle&quot;:&quot;&quot;},{&quot;family&quot;:&quot;Li&quot;,&quot;given&quot;:&quot;A.&quot;,&quot;parse-names&quot;:false,&quot;dropping-particle&quot;:&quot;&quot;,&quot;non-dropping-particle&quot;:&quot;&quot;},{&quot;family&quot;:&quot;Millo&quot;,&quot;given&quot;:&quot;G.&quot;,&quot;parse-names&quot;:false,&quot;dropping-particle&quot;:&quot;&quot;,&quot;non-dropping-particle&quot;:&quot;&quot;},{&quot;family&quot;:&quot;Mueller&quot;,&quot;given&quot;:&quot;W.&quot;,&quot;parse-names&quot;:false,&quot;dropping-particle&quot;:&quot;&quot;,&quot;non-dropping-particle&quot;:&quot;&quot;},{&quot;family&quot;:&quot;Ono&quot;,&quot;given&quot;:&quot;H.&quot;,&quot;parse-names&quot;:false,&quot;dropping-particle&quot;:&quot;&quot;,&quot;non-dropping-particle&quot;:&quot;&quot;},{&quot;family&quot;:&quot;Parry&quot;,&quot;given&quot;:&quot;J.&quot;,&quot;parse-names&quot;:false,&quot;dropping-particle&quot;:&quot;&quot;,&quot;non-dropping-particle&quot;:&quot;&quot;},{&quot;family&quot;:&quot;Peres-Neto&quot;,&quot;given&quot;:&quot;P.&quot;,&quot;parse-names&quot;:false,&quot;dropping-particle&quot;:&quot;&quot;,&quot;non-dropping-particle&quot;:&quot;&quot;},{&quot;family&quot;:&quot;Piras&quot;,&quot;given&quot;:&quot;G.&quot;,&quot;parse-names&quot;:false,&quot;dropping-particle&quot;:&quot;&quot;,&quot;non-dropping-particle&quot;:&quot;&quot;},{&quot;family&quot;:&quot;Reder&quot;,&quot;given&quot;:&quot;M.&quot;,&quot;parse-names&quot;:false,&quot;dropping-particle&quot;:&quot;&quot;,&quot;non-dropping-particle&quot;:&quot;&quot;},{&quot;family&quot;:&quot;Sauer&quot;,&quot;given&quot;:&quot;J.&quot;,&quot;parse-names&quot;:false,&quot;dropping-particle&quot;:&quot;&quot;,&quot;non-dropping-particle&quot;:&quot;&quot;},{&quot;family&quot;:&quot;Tiefelsdorf&quot;,&quot;given&quot;:&quot;M.&quot;,&quot;parse-names&quot;:false,&quot;dropping-particle&quot;:&quot;&quot;,&quot;non-dropping-particle&quot;:&quot;&quot;},{&quot;family&quot;:&quot;Westerholt&quot;,&quot;given&quot;:&quot;R.&quot;,&quot;parse-names&quot;:false,&quot;dropping-particle&quot;:&quot;&quot;,&quot;non-dropping-particle&quot;:&quot;&quot;},{&quot;family&quot;:&quot;Wolf&quot;,&quot;given&quot;:&quot;L.&quot;,&quot;parse-names&quot;:false,&quot;dropping-particle&quot;:&quot;&quot;,&quot;non-dropping-particle&quot;:&quot;&quot;},{&quot;family&quot;:&quot;Yu&quot;,&quot;given&quot;:&quot;D.&quot;,&quot;parse-names&quot;:false,&quot;dropping-particle&quot;:&quot;&quot;,&quot;non-dropping-particle&quot;:&quot;&quot;}],&quot;container-title&quot;:&quot;CRAN&quot;,&quot;issued&quot;:{&quot;date-parts&quot;:[[2022]]},&quot;container-title-short&quot;:&quot;&quot;},&quot;uris&quot;:[&quot;http://www.mendeley.com/documents/?uuid=5da9d4a0-9cf5-4954-8f85-0affb5ed9790&quot;],&quot;isTemporary&quot;:false,&quot;legacyDesktopId&quot;:&quot;5da9d4a0-9cf5-4954-8f85-0affb5ed9790&quot;}]},{&quot;citationID&quot;:&quot;MENDELEY_CITATION_87e8969a-2848-4475-b5c9-22676559efac&quot;,&quot;properties&quot;:{&quot;noteIndex&quot;:0},&quot;isEdited&quot;:false,&quot;manualOverride&quot;:{&quot;citeprocText&quot;:&quot;(Haynes et al., 2022; Shipley, 2009)&quot;,&quot;isManuallyOverridden&quot;:false,&quot;manualOverrideText&quot;:&quot;&quot;},&quot;citationTag&quot;:&quot;MENDELEY_CITATION_v3_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&quot;,&quot;citationItems&quot;:[{&quot;id&quot;:&quot;06f55a56-b5eb-373c-8b32-118cff7e9a63&quot;,&quot;itemData&quot;:{&quot;type&quot;:&quot;article-journal&quot;,&quot;id&quot;:&quot;06f55a56-b5eb-373c-8b32-118cff7e9a63&quot;,&quot;title&quot;:&quot;Climate affects the outbreaks of a forest defoliator indirectly through its tree hosts&quot;,&quot;author&quot;:[{&quot;family&quot;:&quot;Haynes&quot;,&quot;given&quot;:&quot;Kyle J&quot;,&quot;parse-names&quot;:false,&quot;dropping-particle&quot;:&quot;&quot;,&quot;non-dropping-particle&quot;:&quot;&quot;},{&quot;family&quot;:&quot;Liebhold&quot;,&quot;given&quot;:&quot;Andrew M&quot;,&quot;parse-names&quot;:false,&quot;dropping-particle&quot;:&quot;&quot;,&quot;non-dropping-particle&quot;:&quot;&quot;},{&quot;family&quot;:&quot;Lefcheck&quot;,&quot;given&quot;:&quot;Jonathan S&quot;,&quot;parse-names&quot;:false,&quot;dropping-particle&quot;:&quot;&quot;,&quot;non-dropping-particle&quot;:&quot;&quot;},{&quot;family&quot;:&quot;Morin&quot;,&quot;given&quot;:&quot;Randall S&quot;,&quot;parse-names&quot;:false,&quot;dropping-particle&quot;:&quot;&quot;,&quot;non-dropping-particle&quot;:&quot;&quot;},{&quot;family&quot;:&quot;Wang&quot;,&quot;given&quot;:&quot;Guiming&quot;,&quot;parse-names&quot;:false,&quot;dropping-particle&quot;:&quot;&quot;,&quot;non-dropping-particle&quot;:&quot;&quot;}],&quot;container-title&quot;:&quot;Oecologia&quot;,&quot;DOI&quot;:&quot;10.1007/s00442-022-05123-w&quot;,&quot;ISBN&quot;:&quot;0123456789&quot;,&quot;ISSN&quot;:&quot;1432-1939&quot;,&quot;URL&quot;:&quot;https://doi.org/10.1007/s00442-022-05123-w&quot;,&quot;issued&quot;:{&quot;date-parts&quot;:[[2022]]},&quot;publisher&quot;:&quot;Springer Berlin Heidelberg&quot;,&quot;container-title-short&quot;:&quot;Oecologia&quot;},&quot;uris&quot;:[&quot;http://www.mendeley.com/documents/?uuid=22770701-949c-4b39-9738-2562c6c413b4&quot;],&quot;isTemporary&quot;:false,&quot;legacyDesktopId&quot;:&quot;22770701-949c-4b39-9738-2562c6c413b4&quot;},{&quot;id&quot;:&quot;5ff4c033-7146-3d8c-af43-4e2681d8cf96&quot;,&quot;itemData&quot;:{&quot;type&quot;:&quot;article-journal&quot;,&quot;id&quot;:&quot;5ff4c033-7146-3d8c-af43-4e2681d8cf96&quot;,&quot;title&quot;:&quot;Confirmatory path analysis in a generalized multilevel context&quot;,&quot;author&quot;:[{&quot;family&quot;:&quot;Shipley&quot;,&quot;given&quot;:&quot;Bill&quot;,&quot;parse-names&quot;:false,&quot;dropping-particle&quot;:&quot;&quot;,&quot;non-dropping-particle&quot;:&quot;&quot;}],&quot;container-title&quot;:&quot;Ecology&quot;,&quot;DOI&quot;:&quot;10.1890/08-1034.1&quot;,&quot;ISSN&quot;:&quot;00129658&quot;,&quot;PMID&quot;:&quot;19323220&quot;,&quot;issued&quot;:{&quot;date-parts&quot;:[[2009]]},&quot;page&quot;:&quot;363-368&quot;,&quot;abstract&quot;:&quot;This paper describes how to test, and potentially falsify, a multivariate causal hypothesis involving only observed variables (i.e., a path analysis) when the data have a hierarchical or multilevel structure, when different variables are potentially defined at different levels of such a hierarchy, and when different variables have different sampling distributions. The test is a generalization of Shipley's d-sep test and can be conducted using standard statistical programs capable of fitting generalized mixed models. © 2009 by the Ecological Society of America.&quot;,&quot;issue&quot;:&quot;2&quot;,&quot;volume&quot;:&quot;90&quot;,&quot;container-title-short&quot;:&quot;Ecology&quot;},&quot;uris&quot;:[&quot;http://www.mendeley.com/documents/?uuid=80f041ff-f912-480c-9494-e6e03e308270&quot;],&quot;isTemporary&quot;:false,&quot;legacyDesktopId&quot;:&quot;80f041ff-f912-480c-9494-e6e03e308270&quot;}]},{&quot;citationID&quot;:&quot;MENDELEY_CITATION_79cb13f0-13f6-41f3-ad2a-67ca4dd7a2d0&quot;,&quot;properties&quot;:{&quot;noteIndex&quot;:0},&quot;isEdited&quot;:false,&quot;manualOverride&quot;:{&quot;citeprocText&quot;:&quot;(Fan et al., 2016)&quot;,&quot;isManuallyOverridden&quot;:false,&quot;manualOverrideText&quot;:&quot;&quot;},&quot;citationTag&quot;:&quot;MENDELEY_CITATION_v3_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&quot;,&quot;citationItems&quot;:[{&quot;id&quot;:&quot;a2f39dc9-7235-366f-b996-c141209de63c&quot;,&quot;itemData&quot;:{&quot;type&quot;:&quot;article-journal&quot;,&quot;id&quot;:&quot;a2f39dc9-7235-366f-b996-c141209de63c&quot;,&quot;title&quot;:&quot;Applications of structural equation modeling (SEM) in ecological studies: an updated review&quot;,&quot;author&quot;:[{&quot;family&quot;:&quot;Fan&quot;,&quot;given&quot;:&quot;Yi&quot;,&quot;parse-names&quot;:false,&quot;dropping-particle&quot;:&quot;&quot;,&quot;non-dropping-particle&quot;:&quot;&quot;},{&quot;family&quot;:&quot;Chen&quot;,&quot;given&quot;:&quot;Jiquan&quot;,&quot;parse-names&quot;:false,&quot;dropping-particle&quot;:&quot;&quot;,&quot;non-dropping-particle&quot;:&quot;&quot;},{&quot;family&quot;:&quot;Shirkey&quot;,&quot;given&quot;:&quot;Gabriela&quot;,&quot;parse-names&quot;:false,&quot;dropping-particle&quot;:&quot;&quot;,&quot;non-dropping-particle&quot;:&quot;&quot;},{&quot;family&quot;:&quot;John&quot;,&quot;given&quot;:&quot;Ranjeet&quot;,&quot;parse-names&quot;:false,&quot;dropping-particle&quot;:&quot;&quot;,&quot;non-dropping-particle&quot;:&quot;&quot;},{&quot;family&quot;:&quot;Wu&quot;,&quot;given&quot;:&quot;Susie R.&quot;,&quot;parse-names&quot;:false,&quot;dropping-particle&quot;:&quot;&quot;,&quot;non-dropping-particle&quot;:&quot;&quot;},{&quot;family&quot;:&quot;Park&quot;,&quot;given&quot;:&quot;Hogeun&quot;,&quot;parse-names&quot;:false,&quot;dropping-particle&quot;:&quot;&quot;,&quot;non-dropping-particle&quot;:&quot;&quot;},{&quot;family&quot;:&quot;Shao&quot;,&quot;given&quot;:&quot;Changliang&quot;,&quot;parse-names&quot;:false,&quot;dropping-particle&quot;:&quot;&quot;,&quot;non-dropping-particle&quot;:&quot;&quot;}],&quot;container-title&quot;:&quot;Ecological Processes&quot;,&quot;DOI&quot;:&quot;10.1186/s13717-016-0063-3&quot;,&quot;ISSN&quot;:&quot;21921709&quot;,&quot;URL&quot;:&quot;http://dx.doi.org/10.1186/s13717-016-0063-3&quot;,&quot;issued&quot;:{&quot;date-parts&quot;:[[2016]]},&quot;abstract&quot;:&quot;Aims: This review was developed to introduce the essential components and variants of structural equation modeling (SEM), synthesize the common issues in SEM applications, and share our views on SEM’s future in ecological research. Methods: We searched the Web of Science on SEM applications in ecological studies from 1999 through 2016 and summarized the potential of SEMs, with a special focus on unexplored uses in ecology. We also analyzed and discussed the common issues with SEM applications in previous publications and presented our view for its future applications. Results: We searched and found 146 relevant publications on SEM applications in ecological studies. We found that five SEM variants had not commenly been applied in ecology, including the latent growth curve model, Bayesian SEM, partial least square SEM, hierarchical SEM, and variable/model selection. We identified ten common issues in SEM applications including strength of causal assumption, specification of feedback loops, selection of models and variables, identification of models, methods of estimation, explanation of latent variables, selection of fit indices, report of results, estimation of sample size, and the fit of model. Conclusions: In previous ecological studies, measurements of latent variables, explanations of model parameters, and reports of key statistics were commonly overlooked, while several advanced uses of SEM had been ignored overall. With the increasing availability of data, the use of SEM holds immense potential for ecologists in the future.&quot;,&quot;publisher&quot;:&quot;Ecological Processes&quot;,&quot;issue&quot;:&quot;1&quot;,&quot;volume&quot;:&quot;5&quot;,&quot;container-title-short&quot;:&quot;Ecol Process&quot;},&quot;uris&quot;:[&quot;http://www.mendeley.com/documents/?uuid=f60da101-cc47-4c9d-9646-8d0c47f46644&quot;],&quot;isTemporary&quot;:false,&quot;legacyDesktopId&quot;:&quot;f60da101-cc47-4c9d-9646-8d0c47f46644&quot;}]},{&quot;citationID&quot;:&quot;MENDELEY_CITATION_16b7bfbe-2ce4-420d-88ea-bb57d7eb7a30&quot;,&quot;properties&quot;:{&quot;noteIndex&quot;:0},&quot;isEdited&quot;:false,&quot;manualOverride&quot;:{&quot;citeprocText&quot;:&quot;(Cade, 2015)&quot;,&quot;isManuallyOverridden&quot;:false,&quot;manualOverrideText&quot;:&quot;&quot;},&quot;citationTag&quot;:&quot;MENDELEY_CITATION_v3_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&quot;,&quot;citationItems&quot;:[{&quot;id&quot;:&quot;0f7be577-dd8c-3587-aefa-c552ea7eb47c&quot;,&quot;itemData&quot;:{&quot;type&quot;:&quot;article-journal&quot;,&quot;id&quot;:&quot;0f7be577-dd8c-3587-aefa-c552ea7eb47c&quot;,&quot;title&quot;:&quot;Model averaging and muddled multimodel inferences&quot;,&quot;author&quot;:[{&quot;family&quot;:&quot;Cade&quot;,&quot;given&quot;:&quot;Brian S.&quot;,&quot;parse-names&quot;:false,&quot;dropping-particle&quot;:&quot;&quot;,&quot;non-dropping-particle&quot;:&quot;&quot;}],&quot;container-title&quot;:&quot;Ecology&quot;,&quot;DOI&quot;:&quot;10.1890/14-1639.1&quot;,&quot;ISSN&quot;:&quot;19399170&quot;,&quot;PMID&quot;:&quot;26594695&quot;,&quot;issued&quot;:{&quot;date-parts&quot;:[[2015]]},&quot;page&quot;:&quot;2370-2382&quot;,&quot;abstract&quot;:&quot;Three flawed practices associated with model averaging coefficients for predictor variables in regression models commonly occur when making multimodel inferences in analyses of ecological data. Model-averaged regression coefficients based on Akaike information criterion (AIC) weights have been recommended for addressing model uncertainty but they are not valid, interpretable estimates of partial effects for individual predictors when there is multicollinearity among the predictor variables. Multicollinearity implies that the scaling of units in the denominators of the regression coefficients may change across models such that neither the parameters nor their estimates have common scales, therefore averaging them makes no sense. The associated sums of AIC model weights recommended to assess relative importance of individual predictors are really a measure of relative importance of models, with little information about contributions by individual predictors compared to other measures of relative importance based on effects size or variance reduction. Sometimes the model-averaged regression coefficients for predictor variables are incorrectly used to make model-averaged predictions of the response variable when the models are not linear in the parameters. I demonstrate the issues with the first two practices using the college grade point average example extensively analyzed by Burnham and Anderson. I show how partial standard deviations of the predictor variables can be used to detect changing scales of their estimates with multicollinearity. Standardizing estimates based on partial standard deviations for their variables can be used to make the scaling of the estimates commensurate across models, a necessary but not sufficient condition for model averaging of the estimates to be sensible. A unimodal distribution of estimates and valid interpretation of individual parameters are additional requisite conditions. The standardized estimates or equivalently the t statistics on unstandardized estimates also can be used to provide more informative measures of relative importance than sums of AIC weights. Finally, I illustrate how seriously compromised statistical interpretations and predictions can be for all three of these flawed practices by critiquing their use in a recent species distribution modeling technique developed for predicting Greater Sage-Grouse (Centrocercus urophasianus) distribution in Colorado, USA. These model averaging issues are common in other ecological literature and ought to be discontinued if we are to make effective scientific contributions to ecological knowledge and conservation of natural resources.&quot;,&quot;issue&quot;:&quot;9&quot;,&quot;volume&quot;:&quot;96&quot;,&quot;container-title-short&quot;:&quot;Ecology&quot;},&quot;uris&quot;:[&quot;http://www.mendeley.com/documents/?uuid=84710bb7-4911-4a57-accb-a7f4bd9a8f21&quot;],&quot;isTemporary&quot;:false,&quot;legacyDesktopId&quot;:&quot;84710bb7-4911-4a57-accb-a7f4bd9a8f21&quot;}]},{&quot;citationID&quot;:&quot;MENDELEY_CITATION_93505043-6be8-48df-82e2-99e3bbe8abff&quot;,&quot;properties&quot;:{&quot;noteIndex&quot;:0},&quot;isEdited&quot;:false,&quot;manualOverride&quot;:{&quot;citeprocText&quot;:&quot;(Burnham et al., 2011)&quot;,&quot;isManuallyOverridden&quot;:false,&quot;manualOverrideText&quot;:&quot;&quot;},&quot;citationTag&quot;:&quot;MENDELEY_CITATION_v3_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&quot;,&quot;citationItems&quot;:[{&quot;id&quot;:&quot;8224243c-d504-3a83-a77d-106d4734695f&quot;,&quot;itemData&quot;:{&quot;type&quot;:&quot;article-journal&quot;,&quot;id&quot;:&quot;8224243c-d504-3a83-a77d-106d4734695f&quot;,&quot;title&quot;:&quot;AIC model selection and multimodel inference in behavioral ecology : some background , observations , and comparisons&quot;,&quot;author&quot;:[{&quot;family&quot;:&quot;Burnham&quot;,&quot;given&quot;:&quot;Kenneth P&quot;,&quot;parse-names&quot;:false,&quot;dropping-particle&quot;:&quot;&quot;,&quot;non-dropping-particle&quot;:&quot;&quot;},{&quot;family&quot;:&quot;Anderson&quot;,&quot;given&quot;:&quot;David R&quot;,&quot;parse-names&quot;:false,&quot;dropping-particle&quot;:&quot;&quot;,&quot;non-dropping-particle&quot;:&quot;&quot;},{&quot;family&quot;:&quot;Huyvaert&quot;,&quot;given&quot;:&quot;Kathryn P&quot;,&quot;parse-names&quot;:false,&quot;dropping-particle&quot;:&quot;&quot;,&quot;non-dropping-particle&quot;:&quot;&quot;}],&quot;container-title&quot;:&quot;Behavioral Ecology and Sociobiology&quot;,&quot;DOI&quot;:&quot;10.1007/s00265-010-1029-6&quot;,&quot;issued&quot;:{&quot;date-parts&quot;:[[2011]]},&quot;page&quot;:&quot;23-35&quot;,&quot;volume&quot;:&quot;65&quot;,&quot;container-title-short&quot;:&quot;Behav Ecol Sociobiol&quot;},&quot;uris&quot;:[&quot;http://www.mendeley.com/documents/?uuid=daaf6e87-f77f-49aa-8e18-68e4c00e6f06&quot;],&quot;isTemporary&quot;:false,&quot;legacyDesktopId&quot;:&quot;daaf6e87-f77f-49aa-8e18-68e4c00e6f06&quot;}]},{&quot;citationID&quot;:&quot;MENDELEY_CITATION_27cd2a2d-8d34-459a-861d-3e79b40f436e&quot;,&quot;properties&quot;:{&quot;noteIndex&quot;:0},&quot;isEdited&quot;:false,&quot;manualOverride&quot;:{&quot;citeprocText&quot;:&quot;(Zuur and Ieno, 2016)&quot;,&quot;isManuallyOverridden&quot;:false,&quot;manualOverrideText&quot;:&quot;&quot;},&quot;citationTag&quot;:&quot;MENDELEY_CITATION_v3_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&quot;,&quot;citationItems&quot;:[{&quot;id&quot;:&quot;300c9ff5-13f8-37ff-b306-1cfc9f2a8341&quot;,&quot;itemData&quot;:{&quot;type&quot;:&quot;article-journal&quot;,&quot;id&quot;:&quot;300c9ff5-13f8-37ff-b306-1cfc9f2a8341&quot;,&quot;title&quot;:&quot;A protocol for conducting and presenting results of regression-type analyses&quot;,&quot;author&quot;:[{&quot;family&quot;:&quot;Zuur&quot;,&quot;given&quot;:&quot;Alain F.&quot;,&quot;parse-names&quot;:false,&quot;dropping-particle&quot;:&quot;&quot;,&quot;non-dropping-particle&quot;:&quot;&quot;},{&quot;family&quot;:&quot;Ieno&quot;,&quot;given&quot;:&quot;Elena N.&quot;,&quot;parse-names&quot;:false,&quot;dropping-particle&quot;:&quot;&quot;,&quot;non-dropping-particle&quot;:&quot;&quot;}],&quot;container-title&quot;:&quot;Methods in Ecology and Evolution&quot;,&quot;DOI&quot;:&quot;10.1111/2041-210X.12577&quot;,&quot;ISSN&quot;:&quot;2041210X&quot;,&quot;issued&quot;:{&quot;date-parts&quot;:[[2016]]},&quot;page&quot;:&quot;636-645&quot;,&quot;abstract&quot;:&quo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quot;,&quot;issue&quot;:&quot;6&quot;,&quot;volume&quot;:&quot;7&quot;,&quot;container-title-short&quot;:&quot;Methods Ecol Evol&quot;},&quot;uris&quot;:[&quot;http://www.mendeley.com/documents/?uuid=4797794c-03b8-4d2f-82e0-f97d3a931f70&quot;],&quot;isTemporary&quot;:false,&quot;legacyDesktopId&quot;:&quot;4797794c-03b8-4d2f-82e0-f97d3a931f70&quot;}]},{&quot;citationID&quot;:&quot;MENDELEY_CITATION_3d8380c5-2ef4-464f-9cc7-f2419d4d1fc5&quot;,&quot;properties&quot;:{&quot;noteIndex&quot;:0},&quot;isEdited&quot;:false,&quot;manualOverride&quot;:{&quot;citeprocText&quot;:&quot;(Ramo et al., 2021)&quot;,&quot;isManuallyOverridden&quot;:false,&quot;manualOverrideText&quot;:&quot;&quot;},&quot;citationTag&quot;:&quot;MENDELEY_CITATION_v3_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&quot;,&quot;citationItems&quot;:[{&quot;id&quot;:&quot;13f08f59-74ed-3729-86d9-380fbe7fe6cf&quot;,&quot;itemData&quot;:{&quot;type&quot;:&quot;article-journal&quot;,&quot;id&quot;:&quot;13f08f59-74ed-3729-86d9-380fbe7fe6cf&quot;,&quot;title&quot;:&quot;African burned area and fire carbon emissions are strongly impacted by small fires undetected by coarse resolution satellite data&quot;,&quot;author&quot;:[{&quot;family&quot;:&quot;Ramo&quot;,&quot;given&quot;:&quot;Ruben&quot;,&quot;parse-names&quot;:false,&quot;dropping-particle&quot;:&quot;&quot;,&quot;non-dropping-particle&quot;:&quot;&quot;},{&quot;family&quot;:&quot;Roteta&quot;,&quot;given&quot;:&quot;Ekhi&quot;,&quot;parse-names&quot;:false,&quot;dropping-particle&quot;:&quot;&quot;,&quot;non-dropping-particle&quot;:&quot;&quot;},{&quot;family&quot;:&quot;Bistinas&quot;,&quot;given&quot;:&quot;Ioannis&quot;,&quot;parse-names&quot;:false,&quot;dropping-particle&quot;:&quot;&quot;,&quot;non-dropping-particle&quot;:&quot;&quot;},{&quot;family&quot;:&quot;Wees&quot;,&quot;given&quot;:&quot;Dave&quot;,&quot;parse-names&quot;:false,&quot;dropping-particle&quot;:&quot;&quot;,&quot;non-dropping-particle&quot;:&quot;van&quot;},{&quot;family&quot;:&quot;Bastarrika&quot;,&quot;given&quot;:&quot;Aitor&quot;,&quot;parse-names&quot;:false,&quot;dropping-particle&quot;:&quot;&quot;,&quot;non-dropping-particle&quot;:&quot;&quot;},{&quot;family&quot;:&quot;Chuvieco&quot;,&quot;given&quot;:&quot;Emilio&quot;,&quot;parse-names&quot;:false,&quot;dropping-particle&quot;:&quot;&quot;,&quot;non-dropping-particle&quot;:&quot;&quot;},{&quot;family&quot;:&quot;Werf&quot;,&quot;given&quot;:&quot;Guido R.&quot;,&quot;parse-names&quot;:false,&quot;dropping-particle&quot;:&quot;&quot;,&quot;non-dropping-particle&quot;:&quot;van der&quot;}],&quot;container-title&quot;:&quot;Proceedings of the National Academy of Sciences of the United States of America&quot;,&quot;DOI&quot;:&quot;10.1073/pnas.2011160118&quot;,&quot;ISSN&quot;:&quot;10916490&quot;,&quot;PMID&quot;:&quot;33619088&quot;,&quot;issued&quot;:{&quot;date-parts&quot;:[[2021]]},&quot;page&quot;:&quot;1-7&quot;,&quot;abstract&quot;:&quot;Fires are a major contributor to atmospheric budgets of greenhouse gases and aerosols, affect soils and vegetation properties, and are a key driver of land use change. Since the 1990s, global burned area (BA) estimates based on satellite observations have provided critical insights into patterns and trends of fire occurrence. However, these global BA products are based on coarse spatial-resolution sensors, which are unsuitable for detecting small fires that burn only a fraction of a satellite pixel. We estimated the relevance of those small fires by comparing a BA product generated from Sentinel-2 MSI (Multispectral Instrument) images (20-m spatial resolution) with a widely used global BA product based on Moderate Resolution Imaging Spectroradiometer (MODIS) images (500 m) focusing on sub-Saharan Africa. For the year 2016, we detected 80% more BA with Sentinel-2 images than with the MODIS product. This difference was predominately related to small fires: we observed that 2.02 Mkm2 (out of a total of 4.89 Mkm2) was burned by fires smaller than 100 ha, whereas the MODIS product only detected 0.13 million km2 BA in that fire-size class. This increase in BA subsequently resulted in increased estimates of fire emissions; we computed 31 to 101% more fire carbon emissions than current estimates based on MODIS products. We conclude that small fires are a critical driver of BA in sub-Saharan Africa and that including those small fires in emission estimates raises the contribution of biomass burning to global burdens of (greenhouse) gases and aerosols.&quot;,&quot;issue&quot;:&quot;9&quot;,&quot;volume&quot;:&quot;118&quot;,&quot;container-title-short&quot;:&quot;Proc Natl Acad Sci U S A&quot;},&quot;uris&quot;:[&quot;http://www.mendeley.com/documents/?uuid=15f1cfd4-322e-42e7-8685-3aade4fbcf39&quot;],&quot;isTemporary&quot;:false,&quot;legacyDesktopId&quot;:&quot;15f1cfd4-322e-42e7-8685-3aade4fbcf39&quot;}]},{&quot;citationID&quot;:&quot;MENDELEY_CITATION_2822d187-cd83-4581-a91c-0f1e28c1d75a&quot;,&quot;properties&quot;:{&quot;noteIndex&quot;:0},&quot;isEdited&quot;:false,&quot;manualOverride&quot;:{&quot;citeprocText&quot;:&quot;(Kelly et al., 2020)&quot;,&quot;isManuallyOverridden&quot;:false,&quot;manualOverrideText&quot;:&quot;&quot;},&quot;citationTag&quot;:&quot;MENDELEY_CITATION_v3_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&quot;,&quot;citationItems&quot;:[{&quot;id&quot;:&quot;f364ed18-6837-351a-b42a-84f2701348d8&quot;,&quot;itemData&quot;:{&quot;type&quot;:&quot;article-journal&quot;,&quot;id&quot;:&quot;f364ed18-6837-351a-b42a-84f2701348d8&quot;,&quot;title&quot;:&quot;Fire and biodiversity in the Anthropocene&quot;,&quot;author&quot;:[{&quot;family&quot;:&quot;Kelly&quot;,&quot;given&quot;:&quot;Luke T&quot;,&quot;parse-names&quot;:false,&quot;dropping-particle&quot;:&quot;&quot;,&quot;non-dropping-particle&quot;:&quot;&quot;},{&quot;family&quot;:&quot;Giljohann&quot;,&quot;given&quot;:&quot;Katherine M&quot;,&quot;parse-names&quot;:false,&quot;dropping-particle&quot;:&quot;&quot;,&quot;non-dropping-particle&quot;:&quot;&quot;},{&quot;family&quot;:&quot;Duane&quot;,&quot;given&quot;:&quot;Andrea&quot;,&quot;parse-names&quot;:false,&quot;dropping-particle&quot;:&quot;&quot;,&quot;non-dropping-particle&quot;:&quot;&quot;},{&quot;family&quot;:&quot;Aquilué&quot;,&quot;given&quot;:&quot;Núria&quot;,&quot;parse-names&quot;:false,&quot;dropping-particle&quot;:&quot;&quot;,&quot;non-dropping-particle&quot;:&quot;&quot;},{&quot;family&quot;:&quot;Archibald&quot;,&quot;given&quot;:&quot;Sally&quot;,&quot;parse-names&quot;:false,&quot;dropping-particle&quot;:&quot;&quot;,&quot;non-dropping-particle&quot;:&quot;&quot;},{&quot;family&quot;:&quot;Batllori&quot;,&quot;given&quot;:&quot;Enric&quot;,&quot;parse-names&quot;:false,&quot;dropping-particle&quot;:&quot;&quot;,&quot;non-dropping-particle&quot;:&quot;&quot;},{&quot;family&quot;:&quot;Bennett&quot;,&quot;given&quot;:&quot;Andrew F&quot;,&quot;parse-names&quot;:false,&quot;dropping-particle&quot;:&quot;&quot;,&quot;non-dropping-particle&quot;:&quot;&quot;},{&quot;family&quot;:&quot;Buckland&quot;,&quot;given&quot;:&quot;Stephen T&quot;,&quot;parse-names&quot;:false,&quot;dropping-particle&quot;:&quot;&quot;,&quot;non-dropping-particle&quot;:&quot;&quot;},{&quot;family&quot;:&quot;Canelles&quot;,&quot;given&quot;:&quot;Quim&quot;,&quot;parse-names&quot;:false,&quot;dropping-particle&quot;:&quot;&quot;,&quot;non-dropping-particle&quot;:&quot;&quot;},{&quot;family&quot;:&quot;Clarke&quot;,&quot;given&quot;:&quot;Michael F&quot;,&quot;parse-names&quot;:false,&quot;dropping-particle&quot;:&quot;&quot;,&quot;non-dropping-particle&quot;:&quot;&quot;},{&quot;family&quot;:&quot;Fortin&quot;,&quot;given&quot;:&quot;Marie-josée&quot;,&quot;parse-names&quot;:false,&quot;dropping-particle&quot;:&quot;&quot;,&quot;non-dropping-particle&quot;:&quot;&quot;},{&quot;family&quot;:&quot;Hermoso&quot;,&quot;given&quot;:&quot;Virgilio&quot;,&quot;parse-names&quot;:false,&quot;dropping-particle&quot;:&quot;&quot;,&quot;non-dropping-particle&quot;:&quot;&quot;},{&quot;family&quot;:&quot;Herrando&quot;,&quot;given&quot;:&quot;Sergi&quot;,&quot;parse-names&quot;:false,&quot;dropping-particle&quot;:&quot;&quot;,&quot;non-dropping-particle&quot;:&quot;&quot;},{&quot;family&quot;:&quot;Keane&quot;,&quot;given&quot;:&quot;Robert E&quot;,&quot;parse-names&quot;:false,&quot;dropping-particle&quot;:&quot;&quot;,&quot;non-dropping-particle&quot;:&quot;&quot;},{&quot;family&quot;:&quot;Lake&quot;,&quot;given&quot;:&quot;Frank K&quot;,&quot;parse-names&quot;:false,&quot;dropping-particle&quot;:&quot;&quot;,&quot;non-dropping-particle&quot;:&quot;&quot;},{&quot;family&quot;:&quot;Mccarthy&quot;,&quot;given&quot;:&quot;Michael A&quot;,&quot;parse-names&quot;:false,&quot;dropping-particle&quot;:&quot;&quot;,&quot;non-dropping-particle&quot;:&quot;&quot;},{&quot;family&quot;:&quot;Morán-ordóñez&quot;,&quot;given&quot;:&quot;Alejandra&quot;,&quot;parse-names&quot;:false,&quot;dropping-particle&quot;:&quot;&quot;,&quot;non-dropping-particle&quot;:&quot;&quot;},{&quot;family&quot;:&quot;Parr&quot;,&quot;given&quot;:&quot;Catherine L&quot;,&quot;parse-names&quot;:false,&quot;dropping-particle&quot;:&quot;&quot;,&quot;non-dropping-particle&quot;:&quot;&quot;},{&quot;family&quot;:&quot;Pausas&quot;,&quot;given&quot;:&quot;Juli G&quot;,&quot;parse-names&quot;:false,&quot;dropping-particle&quot;:&quot;&quot;,&quot;non-dropping-particle&quot;:&quot;&quot;},{&quot;family&quot;:&quot;Penman&quot;,&quot;given&quot;:&quot;Trent D&quot;,&quot;parse-names&quot;:false,&quot;dropping-particle&quot;:&quot;&quot;,&quot;non-dropping-particle&quot;:&quot;&quot;},{&quot;family&quot;:&quot;Regos&quot;,&quot;given&quot;:&quot;Adrián&quot;,&quot;parse-names&quot;:false,&quot;dropping-particle&quot;:&quot;&quot;,&quot;non-dropping-particle&quot;:&quot;&quot;},{&quot;family&quot;:&quot;Rumpff&quot;,&quot;given&quot;:&quot;Libby&quot;,&quot;parse-names&quot;:false,&quot;dropping-particle&quot;:&quot;&quot;,&quot;non-dropping-particle&quot;:&quot;&quot;},{&quot;family&quot;:&quot;Santos&quot;,&quot;given&quot;:&quot;Julianna L&quot;,&quot;parse-names&quot;:false,&quot;dropping-particle&quot;:&quot;&quot;,&quot;non-dropping-particle&quot;:&quot;&quot;},{&quot;family&quot;:&quot;Smith&quot;,&quot;given&quot;:&quot;Annabel L&quot;,&quot;parse-names&quot;:false,&quot;dropping-particle&quot;:&quot;&quot;,&quot;non-dropping-particle&quot;:&quot;&quot;},{&quot;family&quot;:&quot;Syphard&quot;,&quot;given&quot;:&quot;Alexandra D&quot;,&quot;parse-names&quot;:false,&quot;dropping-particle&quot;:&quot;&quot;,&quot;non-dropping-particle&quot;:&quot;&quot;},{&quot;family&quot;:&quot;Tingley&quot;,&quot;given&quot;:&quot;Morgan W&quot;,&quot;parse-names&quot;:false,&quot;dropping-particle&quot;:&quot;&quot;,&quot;non-dropping-particle&quot;:&quot;&quot;},{&quot;family&quot;:&quot;Brotons&quot;,&quot;given&quot;:&quot;Lluís&quot;,&quot;parse-names&quot;:false,&quot;dropping-particle&quot;:&quot;&quot;,&quot;non-dropping-particle&quot;:&quot;&quot;}],&quot;container-title&quot;:&quot;Science&quot;,&quot;DOI&quot;:&quot;10.1126/science.abb0355&quot;,&quot;issued&quot;:{&quot;date-parts&quot;:[[2020]]},&quot;page&quot;:&quot;eabb0355&quot;,&quot;volume&quot;:&quot;370&quot;,&quot;container-title-short&quot;:&quot;Science (1979)&quot;},&quot;uris&quot;:[&quot;http://www.mendeley.com/documents/?uuid=4d3c9187-c081-46c5-8011-1d26b55fea1b&quot;],&quot;isTemporary&quot;:false,&quot;legacyDesktopId&quot;:&quot;4d3c9187-c081-46c5-8011-1d26b55fea1b&quot;}]},{&quot;citationID&quot;:&quot;MENDELEY_CITATION_c3a54625-6be7-4144-a740-1b6bb0c89507&quot;,&quot;properties&quot;:{&quot;noteIndex&quot;:0},&quot;isEdited&quot;:false,&quot;manualOverride&quot;:{&quot;citeprocText&quot;:&quot;(Andela et al., 2017)&quot;,&quot;isManuallyOverridden&quot;:false,&quot;manualOverrideText&quot;:&quot;&quot;},&quot;citationTag&quot;:&quot;MENDELEY_CITATION_v3_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&quot;,&quot;citationItems&quot;:[{&quot;id&quot;:&quot;58e2e6c8-121e-31c5-9434-13b816f348a7&quot;,&quot;itemData&quot;:{&quot;type&quot;:&quot;article-journal&quot;,&quot;id&quot;:&quot;58e2e6c8-121e-31c5-9434-13b816f348a7&quot;,&quot;title&quot;:&quot;A human-driven decline in global burned area&quot;,&quot;author&quot;:[{&quot;family&quot;:&quot;Andela&quot;,&quot;given&quot;:&quot;N.&quot;,&quot;parse-names&quot;:false,&quot;dropping-particle&quot;:&quot;&quot;,&quot;non-dropping-particle&quot;:&quot;&quot;},{&quot;family&quot;:&quot;Morton&quot;,&quot;given&quot;:&quot;D. C.&quot;,&quot;parse-names&quot;:false,&quot;dropping-particle&quot;:&quot;&quot;,&quot;non-dropping-particle&quot;:&quot;&quot;},{&quot;family&quot;:&quot;Giglio&quot;,&quot;given&quot;:&quot;L.&quot;,&quot;parse-names&quot;:false,&quot;dropping-particle&quot;:&quot;&quot;,&quot;non-dropping-particle&quot;:&quot;&quot;},{&quot;family&quot;:&quot;Chen&quot;,&quot;given&quot;:&quot;Y.&quot;,&quot;parse-names&quot;:false,&quot;dropping-particle&quot;:&quot;&quot;,&quot;non-dropping-particle&quot;:&quot;&quot;},{&quot;family&quot;:&quot;Werf&quot;,&quot;given&quot;:&quot;G. R.&quot;,&quot;parse-names&quot;:false,&quot;dropping-particle&quot;:&quot;&quot;,&quot;non-dropping-particle&quot;:&quot;van der&quot;},{&quot;family&quot;:&quot;Kasibhatla&quot;,&quot;given&quot;:&quot;P. S.&quot;,&quot;parse-names&quot;:false,&quot;dropping-particle&quot;:&quot;&quot;,&quot;non-dropping-particle&quot;:&quot;&quot;},{&quot;family&quot;:&quot;DeFries&quot;,&quot;given&quot;:&quot;R. S.&quot;,&quot;parse-names&quot;:false,&quot;dropping-particle&quot;:&quot;&quot;,&quot;non-dropping-particle&quot;:&quot;&quot;},{&quot;family&quot;:&quot;Collatz&quot;,&quot;given&quot;:&quot;G. J.&quot;,&quot;parse-names&quot;:false,&quot;dropping-particle&quot;:&quot;&quot;,&quot;non-dropping-particle&quot;:&quot;&quot;},{&quot;family&quot;:&quot;Hantson&quot;,&quot;given&quot;:&quot;S.&quot;,&quot;parse-names&quot;:false,&quot;dropping-particle&quot;:&quot;&quot;,&quot;non-dropping-particle&quot;:&quot;&quot;},{&quot;family&quot;:&quot;Kloster&quot;,&quot;given&quot;:&quot;S.&quot;,&quot;parse-names&quot;:false,&quot;dropping-particle&quot;:&quot;&quot;,&quot;non-dropping-particle&quot;:&quot;&quot;},{&quot;family&quot;:&quot;Bachelet&quot;,&quot;given&quot;:&quot;D.&quot;,&quot;parse-names&quot;:false,&quot;dropping-particle&quot;:&quot;&quot;,&quot;non-dropping-particle&quot;:&quot;&quot;},{&quot;family&quot;:&quot;Forrest&quot;,&quot;given&quot;:&quot;M.&quot;,&quot;parse-names&quot;:false,&quot;dropping-particle&quot;:&quot;&quot;,&quot;non-dropping-particle&quot;:&quot;&quot;},{&quot;family&quot;:&quot;Lasslop&quot;,&quot;given&quot;:&quot;G.&quot;,&quot;parse-names&quot;:false,&quot;dropping-particle&quot;:&quot;&quot;,&quot;non-dropping-particle&quot;:&quot;&quot;},{&quot;family&quot;:&quot;Li&quot;,&quot;given&quot;:&quot;F.&quot;,&quot;parse-names&quot;:false,&quot;dropping-particle&quot;:&quot;&quot;,&quot;non-dropping-particle&quot;:&quot;&quot;},{&quot;family&quot;:&quot;Mangeon&quot;,&quot;given&quot;:&quot;S.&quot;,&quot;parse-names&quot;:false,&quot;dropping-particle&quot;:&quot;&quot;,&quot;non-dropping-particle&quot;:&quot;&quot;},{&quot;family&quot;:&quot;Melton&quot;,&quot;given&quot;:&quot;J. R.&quot;,&quot;parse-names&quot;:false,&quot;dropping-particle&quot;:&quot;&quot;,&quot;non-dropping-particle&quot;:&quot;&quot;},{&quot;family&quot;:&quot;Yue&quot;,&quot;given&quot;:&quot;C.&quot;,&quot;parse-names&quot;:false,&quot;dropping-particle&quot;:&quot;&quot;,&quot;non-dropping-particle&quot;:&quot;&quot;},{&quot;family&quot;:&quot;Randerson&quot;,&quot;given&quot;:&quot;J. T.&quot;,&quot;parse-names&quot;:false,&quot;dropping-particle&quot;:&quot;&quot;,&quot;non-dropping-particle&quot;:&quot;&quot;}],&quot;container-title&quot;:&quot;Science&quot;,&quot;DOI&quot;:&quot;10.1126/science.aal4108&quot;,&quot;ISSN&quot;:&quot;0036-8075&quot;,&quot;issued&quot;:{&quot;date-parts&quot;:[[2017]]},&quot;page&quot;:&quot;1356-1362&quot;,&quot;abstract&quot;:&quot;Fire is an essential Earth system process that alters ecosystem and atmospheric composition. Here we assessed long-term fire trends using multiple satellite data sets. We found that global burned area declined by 24.3 ±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quot;,&quot;issue&quot;:&quot;6345&quot;,&quot;volume&quot;:&quot;356&quot;,&quot;container-title-short&quot;:&quot;Science (1979)&quot;},&quot;uris&quot;:[&quot;http://www.mendeley.com/documents/?uuid=de9e9569-6157-4a99-a9aa-d8f94d11d2c0&quot;],&quot;isTemporary&quot;:false,&quot;legacyDesktopId&quot;:&quot;de9e9569-6157-4a99-a9aa-d8f94d11d2c0&quot;}]}]"/>
    <we:property name="MENDELEY_CITATIONS_LOCALE_CODE" value="&quot;en-US&quot;"/>
    <we:property name="MENDELEY_CITATIONS_STYLE" value="{&quot;id&quot;:&quot;https://www.zotero.org/styles/global-and-planetary-change&quot;,&quot;title&quot;:&quot;Global and Planetary Chang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405D65-849C-4343-8369-36DCF1F33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49758</Words>
  <Characters>275662</Characters>
  <Application>Microsoft Office Word</Application>
  <DocSecurity>0</DocSecurity>
  <Lines>4114</Lines>
  <Paragraphs>1103</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324317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2025-06-11T20:52:00Z</dcterms:created>
  <dcterms:modified xsi:type="dcterms:W3CDTF">2025-06-11T20:53:00Z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id="KrHUUWSG"/&gt;&lt;style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 name="delayCitationUpdates" value="true"/&gt;&lt;/prefs&gt;&lt;/data&gt;</vt:lpwstr>
  </property>
  <property fmtid="{D5CDD505-2E9C-101B-9397-08002B2CF9AE}" pid="4" name="grammarly_documentId">
    <vt:lpwstr>documentId_6134</vt:lpwstr>
  </property>
  <property fmtid="{D5CDD505-2E9C-101B-9397-08002B2CF9AE}" pid="5" name="grammarly_documentContext">
    <vt:lpwstr>{"goals":[],"domain":"general","emotions":[],"dialect":"british"}</vt:lpwstr>
  </property>
</Properties>
</file>