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0A157" w14:textId="77777777" w:rsidR="00C92681" w:rsidRPr="00A135A3" w:rsidRDefault="00C92681" w:rsidP="00C92681">
      <w:pPr>
        <w:spacing w:line="480" w:lineRule="auto"/>
        <w:rPr>
          <w:b/>
          <w:bCs/>
          <w:sz w:val="28"/>
          <w:szCs w:val="24"/>
        </w:rPr>
      </w:pPr>
      <w:r w:rsidRPr="00A135A3">
        <w:rPr>
          <w:b/>
          <w:bCs/>
          <w:sz w:val="28"/>
          <w:szCs w:val="24"/>
        </w:rPr>
        <w:t>TITLE</w:t>
      </w:r>
    </w:p>
    <w:p w14:paraId="1BCC035E" w14:textId="0C4500E9" w:rsidR="00DF653E" w:rsidRPr="00A135A3" w:rsidRDefault="00DF653E" w:rsidP="00C92681">
      <w:pPr>
        <w:spacing w:line="480" w:lineRule="auto"/>
      </w:pPr>
      <w:r w:rsidRPr="00A135A3">
        <w:t>MENTAL HEALTH HOMICIDE INQUIRIES IN ENGLAND 2010 – 2023: REVIEW OF METHODOLOGY AND FINDINGS</w:t>
      </w:r>
    </w:p>
    <w:p w14:paraId="267FF421" w14:textId="77777777" w:rsidR="00C92681" w:rsidRPr="00A135A3" w:rsidRDefault="00C92681" w:rsidP="00C92681">
      <w:pPr>
        <w:spacing w:line="480" w:lineRule="auto"/>
      </w:pPr>
    </w:p>
    <w:p w14:paraId="38A660E2" w14:textId="64BEA7B5" w:rsidR="00C92681" w:rsidRPr="00A135A3" w:rsidRDefault="00C92681" w:rsidP="00C92681">
      <w:pPr>
        <w:spacing w:line="480" w:lineRule="auto"/>
        <w:rPr>
          <w:b/>
          <w:bCs/>
          <w:sz w:val="28"/>
          <w:szCs w:val="24"/>
        </w:rPr>
      </w:pPr>
      <w:r w:rsidRPr="00A135A3">
        <w:rPr>
          <w:b/>
          <w:bCs/>
          <w:sz w:val="28"/>
          <w:szCs w:val="24"/>
        </w:rPr>
        <w:t xml:space="preserve">AUTHORS </w:t>
      </w:r>
    </w:p>
    <w:p w14:paraId="615CEB7E" w14:textId="315FF036" w:rsidR="00C92681" w:rsidRPr="00A135A3" w:rsidRDefault="00C92681" w:rsidP="00C92681">
      <w:pPr>
        <w:spacing w:line="480" w:lineRule="auto"/>
      </w:pPr>
      <w:r w:rsidRPr="00A135A3">
        <w:t xml:space="preserve">Mayura Deshpande, Julia </w:t>
      </w:r>
      <w:r w:rsidR="0063797D" w:rsidRPr="00A135A3">
        <w:t xml:space="preserve">MA </w:t>
      </w:r>
      <w:r w:rsidRPr="00A135A3">
        <w:t xml:space="preserve">Sinclair, Zoe Tebbs, David </w:t>
      </w:r>
      <w:r w:rsidR="0063797D" w:rsidRPr="00A135A3">
        <w:t xml:space="preserve">S </w:t>
      </w:r>
      <w:r w:rsidRPr="00A135A3">
        <w:t xml:space="preserve">Baldwin </w:t>
      </w:r>
    </w:p>
    <w:p w14:paraId="39C01875" w14:textId="77777777" w:rsidR="00C92681" w:rsidRPr="00A135A3" w:rsidRDefault="00C92681" w:rsidP="00C92681">
      <w:pPr>
        <w:spacing w:line="480" w:lineRule="auto"/>
      </w:pPr>
    </w:p>
    <w:p w14:paraId="2252C8E7" w14:textId="77777777" w:rsidR="00C92681" w:rsidRPr="00A135A3" w:rsidRDefault="00C92681" w:rsidP="00C92681">
      <w:pPr>
        <w:spacing w:line="480" w:lineRule="auto"/>
      </w:pPr>
    </w:p>
    <w:p w14:paraId="0606ECC6" w14:textId="77777777" w:rsidR="00C92681" w:rsidRPr="00A135A3" w:rsidRDefault="00C92681" w:rsidP="00C92681">
      <w:pPr>
        <w:spacing w:line="480" w:lineRule="auto"/>
      </w:pPr>
    </w:p>
    <w:p w14:paraId="05ED4B4A" w14:textId="77777777" w:rsidR="00C92681" w:rsidRPr="00A135A3" w:rsidRDefault="00C92681" w:rsidP="00C92681">
      <w:pPr>
        <w:spacing w:line="480" w:lineRule="auto"/>
      </w:pPr>
    </w:p>
    <w:p w14:paraId="1B0EC297" w14:textId="77777777" w:rsidR="00C92681" w:rsidRPr="00A135A3" w:rsidRDefault="00C92681" w:rsidP="00C92681">
      <w:pPr>
        <w:spacing w:line="480" w:lineRule="auto"/>
      </w:pPr>
    </w:p>
    <w:p w14:paraId="33B5D763" w14:textId="77777777" w:rsidR="00C92681" w:rsidRPr="00A135A3" w:rsidRDefault="00C92681" w:rsidP="00C92681">
      <w:pPr>
        <w:spacing w:line="480" w:lineRule="auto"/>
      </w:pPr>
    </w:p>
    <w:p w14:paraId="780240A4" w14:textId="77777777" w:rsidR="00C92681" w:rsidRPr="00A135A3" w:rsidRDefault="00C92681" w:rsidP="00C92681">
      <w:pPr>
        <w:spacing w:line="480" w:lineRule="auto"/>
      </w:pPr>
    </w:p>
    <w:p w14:paraId="5A120FCB" w14:textId="77777777" w:rsidR="00C92681" w:rsidRPr="00A135A3" w:rsidRDefault="00C92681" w:rsidP="00C92681">
      <w:pPr>
        <w:spacing w:line="480" w:lineRule="auto"/>
      </w:pPr>
    </w:p>
    <w:p w14:paraId="6ACED349" w14:textId="77777777" w:rsidR="00C92681" w:rsidRPr="00A135A3" w:rsidRDefault="00C92681" w:rsidP="00C92681">
      <w:pPr>
        <w:spacing w:line="480" w:lineRule="auto"/>
      </w:pPr>
    </w:p>
    <w:p w14:paraId="463A4CD6" w14:textId="77777777" w:rsidR="00C92681" w:rsidRPr="00A135A3" w:rsidRDefault="00C92681" w:rsidP="00C92681">
      <w:pPr>
        <w:spacing w:line="480" w:lineRule="auto"/>
      </w:pPr>
    </w:p>
    <w:p w14:paraId="476285AC" w14:textId="77777777" w:rsidR="00C92681" w:rsidRPr="00A135A3" w:rsidRDefault="00C92681" w:rsidP="00C92681">
      <w:pPr>
        <w:spacing w:line="480" w:lineRule="auto"/>
      </w:pPr>
    </w:p>
    <w:p w14:paraId="4F7C445C" w14:textId="77777777" w:rsidR="00C92681" w:rsidRPr="00A135A3" w:rsidRDefault="00C92681" w:rsidP="00C92681">
      <w:pPr>
        <w:spacing w:line="480" w:lineRule="auto"/>
      </w:pPr>
    </w:p>
    <w:p w14:paraId="2A77C090" w14:textId="77777777" w:rsidR="00C92681" w:rsidRPr="00A135A3" w:rsidRDefault="00C92681" w:rsidP="00C92681">
      <w:pPr>
        <w:spacing w:line="480" w:lineRule="auto"/>
      </w:pPr>
    </w:p>
    <w:p w14:paraId="700D065C" w14:textId="77777777" w:rsidR="00C92681" w:rsidRPr="00A135A3" w:rsidRDefault="00C92681" w:rsidP="00C92681">
      <w:pPr>
        <w:spacing w:line="480" w:lineRule="auto"/>
      </w:pPr>
    </w:p>
    <w:p w14:paraId="5E181203" w14:textId="34F5D24F" w:rsidR="00C92681" w:rsidRPr="00A135A3" w:rsidRDefault="00C92681" w:rsidP="00C92681">
      <w:pPr>
        <w:spacing w:line="480" w:lineRule="auto"/>
        <w:rPr>
          <w:b/>
          <w:bCs/>
          <w:sz w:val="28"/>
          <w:szCs w:val="24"/>
        </w:rPr>
      </w:pPr>
      <w:r w:rsidRPr="00A135A3">
        <w:rPr>
          <w:b/>
          <w:bCs/>
          <w:sz w:val="28"/>
          <w:szCs w:val="24"/>
        </w:rPr>
        <w:lastRenderedPageBreak/>
        <w:t xml:space="preserve">MAIN TEXT </w:t>
      </w:r>
    </w:p>
    <w:p w14:paraId="5C768DCE" w14:textId="7D7D77A7" w:rsidR="00DF653E" w:rsidRPr="00A135A3" w:rsidRDefault="00DF653E" w:rsidP="00DF653E">
      <w:pPr>
        <w:spacing w:line="480" w:lineRule="auto"/>
        <w:rPr>
          <w:b/>
          <w:bCs/>
        </w:rPr>
      </w:pPr>
      <w:r w:rsidRPr="00A135A3">
        <w:rPr>
          <w:b/>
          <w:bCs/>
        </w:rPr>
        <w:t>ABSTRACT</w:t>
      </w:r>
    </w:p>
    <w:p w14:paraId="6DFBFC28" w14:textId="5034372B" w:rsidR="00114CF7" w:rsidRPr="00A135A3" w:rsidRDefault="00114CF7" w:rsidP="007C6648">
      <w:pPr>
        <w:spacing w:line="480" w:lineRule="auto"/>
        <w:jc w:val="both"/>
      </w:pPr>
      <w:r w:rsidRPr="00A135A3">
        <w:rPr>
          <w:i/>
          <w:iCs/>
        </w:rPr>
        <w:t>Background</w:t>
      </w:r>
      <w:r w:rsidR="00107CD0" w:rsidRPr="00A135A3">
        <w:t xml:space="preserve">. </w:t>
      </w:r>
      <w:r w:rsidRPr="00A135A3">
        <w:t xml:space="preserve">The methodology and impact of independent inquiries of homicides by people in care of mental health services have been questioned. </w:t>
      </w:r>
    </w:p>
    <w:p w14:paraId="2B577815" w14:textId="725C09F0" w:rsidR="00114CF7" w:rsidRPr="00A135A3" w:rsidRDefault="00114CF7" w:rsidP="007C6648">
      <w:pPr>
        <w:spacing w:line="480" w:lineRule="auto"/>
        <w:jc w:val="both"/>
      </w:pPr>
      <w:r w:rsidRPr="00A135A3">
        <w:rPr>
          <w:i/>
          <w:iCs/>
        </w:rPr>
        <w:t>Aims</w:t>
      </w:r>
      <w:r w:rsidR="00107CD0" w:rsidRPr="00A135A3">
        <w:t>. T</w:t>
      </w:r>
      <w:r w:rsidRPr="00A135A3">
        <w:t xml:space="preserve">o provide a comprehensive analysis of characteristics of patients who committed homicide, their victims, and of the inquiries themselves, published in England between 2010 and 2023. </w:t>
      </w:r>
    </w:p>
    <w:p w14:paraId="6FD1CD82" w14:textId="5B22A6DD" w:rsidR="00114CF7" w:rsidRPr="00A135A3" w:rsidRDefault="00114CF7" w:rsidP="007C6648">
      <w:pPr>
        <w:spacing w:line="480" w:lineRule="auto"/>
        <w:jc w:val="both"/>
      </w:pPr>
      <w:r w:rsidRPr="00A135A3">
        <w:rPr>
          <w:i/>
          <w:iCs/>
        </w:rPr>
        <w:t>Method</w:t>
      </w:r>
      <w:r w:rsidR="00107CD0" w:rsidRPr="00A135A3">
        <w:t>. Documentary and t</w:t>
      </w:r>
      <w:r w:rsidRPr="00A135A3">
        <w:t>hematic</w:t>
      </w:r>
      <w:r w:rsidR="00107CD0" w:rsidRPr="00A135A3">
        <w:t xml:space="preserve"> analysis</w:t>
      </w:r>
      <w:r w:rsidRPr="00A135A3">
        <w:t xml:space="preserve"> </w:t>
      </w:r>
      <w:r w:rsidR="00107CD0" w:rsidRPr="00A135A3">
        <w:t xml:space="preserve">of </w:t>
      </w:r>
      <w:r w:rsidRPr="00A135A3">
        <w:t>162 mental health homicide</w:t>
      </w:r>
      <w:r w:rsidR="00107CD0" w:rsidRPr="00A135A3">
        <w:t xml:space="preserve"> </w:t>
      </w:r>
      <w:r w:rsidRPr="00A135A3">
        <w:t xml:space="preserve">inquiries. Characteristics of perpetrators were compared with those from the National Confidential Inquiry </w:t>
      </w:r>
      <w:r w:rsidR="0063797D" w:rsidRPr="00A135A3">
        <w:t xml:space="preserve">into </w:t>
      </w:r>
      <w:r w:rsidRPr="00A135A3">
        <w:t xml:space="preserve">Suicide </w:t>
      </w:r>
      <w:r w:rsidR="0063797D" w:rsidRPr="00A135A3">
        <w:t xml:space="preserve">and </w:t>
      </w:r>
      <w:r w:rsidRPr="00A135A3">
        <w:t>Safety (2018) and characteristics of victims were compared with those in the general population of England and Wales. We examined methodology used by inquiries and thematically analysed root causes</w:t>
      </w:r>
      <w:r w:rsidR="00D40D53" w:rsidRPr="00A135A3">
        <w:t xml:space="preserve">, </w:t>
      </w:r>
      <w:r w:rsidRPr="00A135A3">
        <w:t>contributory factors, recommendations</w:t>
      </w:r>
      <w:r w:rsidR="00D40D53" w:rsidRPr="00A135A3">
        <w:t>,</w:t>
      </w:r>
      <w:r w:rsidRPr="00A135A3">
        <w:t xml:space="preserve"> action plans, predictability and preventability. </w:t>
      </w:r>
    </w:p>
    <w:p w14:paraId="0A57D545" w14:textId="09C7A346" w:rsidR="00114CF7" w:rsidRPr="00A135A3" w:rsidRDefault="00114CF7" w:rsidP="00973D2B">
      <w:pPr>
        <w:spacing w:line="480" w:lineRule="auto"/>
        <w:jc w:val="both"/>
      </w:pPr>
      <w:r w:rsidRPr="00A135A3">
        <w:rPr>
          <w:i/>
          <w:iCs/>
        </w:rPr>
        <w:t>Results</w:t>
      </w:r>
      <w:r w:rsidR="00107CD0" w:rsidRPr="00A135A3">
        <w:t xml:space="preserve">. </w:t>
      </w:r>
      <w:r w:rsidRPr="00A135A3">
        <w:t xml:space="preserve">52% perpetrators had </w:t>
      </w:r>
      <w:r w:rsidR="00107CD0" w:rsidRPr="00A135A3">
        <w:t xml:space="preserve">a diagnosis of </w:t>
      </w:r>
      <w:r w:rsidRPr="00A135A3">
        <w:t xml:space="preserve">schizophrenia and 52% had a history of non-adherence with medication and follow-up. 71% </w:t>
      </w:r>
      <w:r w:rsidR="00107CD0" w:rsidRPr="00A135A3">
        <w:t xml:space="preserve">of </w:t>
      </w:r>
      <w:r w:rsidRPr="00A135A3">
        <w:t xml:space="preserve">victims </w:t>
      </w:r>
      <w:r w:rsidR="00107CD0" w:rsidRPr="00A135A3">
        <w:t>in</w:t>
      </w:r>
      <w:r w:rsidRPr="00A135A3">
        <w:t xml:space="preserve"> mental health homicides were family, friends or partners compared to 44% in the general population. 23% inquiries used the methodology of </w:t>
      </w:r>
      <w:r w:rsidR="0063797D" w:rsidRPr="00A135A3">
        <w:t xml:space="preserve">‘root cause analysis’ </w:t>
      </w:r>
      <w:r w:rsidRPr="00A135A3">
        <w:t>(RCA). Of the 77% that did not use RCA, 40% criticised the mental health service’s internal investigation for not using RCA. The most frequent root cause</w:t>
      </w:r>
      <w:r w:rsidR="000C6C9F" w:rsidRPr="00A135A3">
        <w:t>s</w:t>
      </w:r>
      <w:r w:rsidRPr="00A135A3">
        <w:t xml:space="preserve"> and contributory factor</w:t>
      </w:r>
      <w:r w:rsidR="000C6C9F" w:rsidRPr="00A135A3">
        <w:t>s</w:t>
      </w:r>
      <w:r w:rsidRPr="00A135A3">
        <w:t xml:space="preserve"> related to deficits in assessment, treatment, follow-up or discharge of the perpetrator; and deficits in risk assessment and management. There was no direct link between putative causes or problems and resulting recommendations, and the most frequent recommendations related to changing policy, improving clinical governance and </w:t>
      </w:r>
      <w:r w:rsidRPr="00A135A3">
        <w:lastRenderedPageBreak/>
        <w:t xml:space="preserve">training. 86% inquiries found that the homicide was neither predictable nor preventable. </w:t>
      </w:r>
    </w:p>
    <w:p w14:paraId="417576AF" w14:textId="72B651AF" w:rsidR="00114CF7" w:rsidRPr="00A135A3" w:rsidRDefault="00114CF7" w:rsidP="00973D2B">
      <w:pPr>
        <w:spacing w:line="480" w:lineRule="auto"/>
        <w:jc w:val="both"/>
      </w:pPr>
      <w:r w:rsidRPr="00A135A3">
        <w:rPr>
          <w:i/>
          <w:iCs/>
        </w:rPr>
        <w:t>Conclusion</w:t>
      </w:r>
      <w:r w:rsidR="00107CD0" w:rsidRPr="00A135A3">
        <w:t>. T</w:t>
      </w:r>
      <w:r w:rsidRPr="00A135A3">
        <w:t>here is much variation in methodology of mental health homicide in</w:t>
      </w:r>
      <w:r w:rsidR="00E5115F" w:rsidRPr="00A135A3">
        <w:t>quiries</w:t>
      </w:r>
      <w:r w:rsidRPr="00A135A3">
        <w:t xml:space="preserve">, with little evidence of use of human factors and systems theory. </w:t>
      </w:r>
      <w:r w:rsidR="00107CD0" w:rsidRPr="00A135A3">
        <w:t>Inquiries</w:t>
      </w:r>
      <w:r w:rsidRPr="00A135A3">
        <w:t xml:space="preserve"> repeatedly identify the same themes, and most mental health homicides are found to be neither predictable nor preventable. We make recommendations for improving consistency and usefulness. </w:t>
      </w:r>
    </w:p>
    <w:p w14:paraId="607640F2" w14:textId="77777777" w:rsidR="00114CF7" w:rsidRPr="00A135A3" w:rsidRDefault="00114CF7" w:rsidP="00973D2B">
      <w:pPr>
        <w:spacing w:line="480" w:lineRule="auto"/>
      </w:pPr>
    </w:p>
    <w:p w14:paraId="796BE9B4" w14:textId="77777777" w:rsidR="00D40D53" w:rsidRPr="00A135A3" w:rsidRDefault="00D40D53" w:rsidP="00973D2B">
      <w:pPr>
        <w:spacing w:line="480" w:lineRule="auto"/>
      </w:pPr>
    </w:p>
    <w:p w14:paraId="3613AC7A" w14:textId="77777777" w:rsidR="00D40D53" w:rsidRPr="00A135A3" w:rsidRDefault="00D40D53" w:rsidP="00973D2B">
      <w:pPr>
        <w:spacing w:line="480" w:lineRule="auto"/>
      </w:pPr>
    </w:p>
    <w:p w14:paraId="54ECB809" w14:textId="77777777" w:rsidR="00114CF7" w:rsidRPr="00A135A3" w:rsidRDefault="00114CF7" w:rsidP="00973D2B">
      <w:pPr>
        <w:spacing w:line="480" w:lineRule="auto"/>
      </w:pPr>
    </w:p>
    <w:p w14:paraId="60DBF7CE" w14:textId="77777777" w:rsidR="00114CF7" w:rsidRPr="00A135A3" w:rsidRDefault="00114CF7" w:rsidP="00973D2B">
      <w:pPr>
        <w:spacing w:line="480" w:lineRule="auto"/>
      </w:pPr>
    </w:p>
    <w:p w14:paraId="75ADB0C2" w14:textId="77777777" w:rsidR="00114CF7" w:rsidRPr="00A135A3" w:rsidRDefault="00114CF7" w:rsidP="00973D2B">
      <w:pPr>
        <w:spacing w:line="480" w:lineRule="auto"/>
      </w:pPr>
    </w:p>
    <w:p w14:paraId="1B62E4D1" w14:textId="77777777" w:rsidR="00114CF7" w:rsidRPr="00A135A3" w:rsidRDefault="00114CF7" w:rsidP="00973D2B">
      <w:pPr>
        <w:spacing w:line="480" w:lineRule="auto"/>
      </w:pPr>
    </w:p>
    <w:p w14:paraId="52039DDE" w14:textId="77777777" w:rsidR="00114CF7" w:rsidRPr="00A135A3" w:rsidRDefault="00114CF7" w:rsidP="00973D2B">
      <w:pPr>
        <w:spacing w:line="480" w:lineRule="auto"/>
      </w:pPr>
    </w:p>
    <w:p w14:paraId="42D4E32D" w14:textId="77777777" w:rsidR="00973D2B" w:rsidRPr="00A135A3" w:rsidRDefault="00973D2B" w:rsidP="00973D2B">
      <w:pPr>
        <w:spacing w:line="480" w:lineRule="auto"/>
        <w:rPr>
          <w:rFonts w:eastAsia="Calibri" w:cs="Times New Roman"/>
          <w:b/>
          <w:bCs/>
        </w:rPr>
      </w:pPr>
    </w:p>
    <w:p w14:paraId="6B320AED" w14:textId="77777777" w:rsidR="00973D2B" w:rsidRPr="00A135A3" w:rsidRDefault="00973D2B" w:rsidP="00973D2B">
      <w:pPr>
        <w:spacing w:line="480" w:lineRule="auto"/>
        <w:rPr>
          <w:rFonts w:eastAsia="Calibri" w:cs="Times New Roman"/>
          <w:b/>
          <w:bCs/>
        </w:rPr>
      </w:pPr>
    </w:p>
    <w:p w14:paraId="1FD66451" w14:textId="77777777" w:rsidR="00973D2B" w:rsidRPr="00A135A3" w:rsidRDefault="00973D2B" w:rsidP="00973D2B">
      <w:pPr>
        <w:spacing w:line="480" w:lineRule="auto"/>
        <w:rPr>
          <w:rFonts w:eastAsia="Calibri" w:cs="Times New Roman"/>
          <w:b/>
          <w:bCs/>
        </w:rPr>
      </w:pPr>
    </w:p>
    <w:p w14:paraId="3BEECD4C" w14:textId="77777777" w:rsidR="00973D2B" w:rsidRPr="00A135A3" w:rsidRDefault="00973D2B" w:rsidP="00973D2B">
      <w:pPr>
        <w:spacing w:line="480" w:lineRule="auto"/>
        <w:rPr>
          <w:rFonts w:eastAsia="Calibri" w:cs="Times New Roman"/>
          <w:b/>
          <w:bCs/>
        </w:rPr>
      </w:pPr>
    </w:p>
    <w:p w14:paraId="315CE882" w14:textId="77777777" w:rsidR="00973D2B" w:rsidRPr="00A135A3" w:rsidRDefault="00973D2B" w:rsidP="00973D2B">
      <w:pPr>
        <w:spacing w:line="480" w:lineRule="auto"/>
        <w:rPr>
          <w:rFonts w:eastAsia="Calibri" w:cs="Times New Roman"/>
          <w:b/>
          <w:bCs/>
        </w:rPr>
      </w:pPr>
    </w:p>
    <w:p w14:paraId="65A1E8BA" w14:textId="027377DE" w:rsidR="00107CD0" w:rsidRPr="00A135A3" w:rsidRDefault="00107CD0">
      <w:pPr>
        <w:rPr>
          <w:rFonts w:eastAsia="Calibri" w:cs="Times New Roman"/>
          <w:b/>
          <w:bCs/>
        </w:rPr>
      </w:pPr>
    </w:p>
    <w:p w14:paraId="46420F26" w14:textId="5768AC2C" w:rsidR="00C92A8C" w:rsidRPr="00A135A3" w:rsidRDefault="00C92A8C" w:rsidP="00C92A8C">
      <w:pPr>
        <w:spacing w:line="480" w:lineRule="auto"/>
        <w:jc w:val="both"/>
        <w:rPr>
          <w:rFonts w:eastAsia="Calibri" w:cs="Times New Roman"/>
          <w:b/>
          <w:bCs/>
        </w:rPr>
      </w:pPr>
      <w:r w:rsidRPr="00A135A3">
        <w:rPr>
          <w:rFonts w:eastAsia="Calibri" w:cs="Times New Roman"/>
          <w:b/>
          <w:bCs/>
        </w:rPr>
        <w:lastRenderedPageBreak/>
        <w:t>INTRODUCTION</w:t>
      </w:r>
    </w:p>
    <w:p w14:paraId="07942008" w14:textId="6F38057E" w:rsidR="00E80608" w:rsidRPr="00A135A3" w:rsidRDefault="004D4F36" w:rsidP="00C92A8C">
      <w:pPr>
        <w:spacing w:line="480" w:lineRule="auto"/>
        <w:jc w:val="both"/>
        <w:rPr>
          <w:rFonts w:eastAsia="Calibri" w:cs="Times New Roman"/>
        </w:rPr>
      </w:pPr>
      <w:r w:rsidRPr="00A135A3">
        <w:rPr>
          <w:rFonts w:eastAsia="Calibri" w:cs="Times New Roman"/>
        </w:rPr>
        <w:t xml:space="preserve">Independent inquiries into homicides perpetrated by patients in receipt of mental health services are an important part of </w:t>
      </w:r>
      <w:r w:rsidR="00845C63" w:rsidRPr="00A135A3">
        <w:rPr>
          <w:rFonts w:eastAsia="Calibri" w:cs="Times New Roman"/>
        </w:rPr>
        <w:t>learning from adverse events in psychiatry</w:t>
      </w:r>
      <w:r w:rsidR="00622324" w:rsidRPr="00A135A3">
        <w:rPr>
          <w:rFonts w:eastAsia="Calibri" w:cs="Times New Roman"/>
          <w:vertAlign w:val="superscript"/>
        </w:rPr>
        <w:t>1</w:t>
      </w:r>
      <w:r w:rsidR="00107CD0" w:rsidRPr="00A135A3">
        <w:rPr>
          <w:rFonts w:eastAsia="Calibri" w:cs="Times New Roman"/>
        </w:rPr>
        <w:t>. Inquiry reports form an important repository of information regarding homicides committed by those who received treatment from mental health services prior to the homicide and provide an impression of the state of those services at that point in time. However,</w:t>
      </w:r>
      <w:r w:rsidR="001C6547" w:rsidRPr="00A135A3">
        <w:rPr>
          <w:rFonts w:eastAsia="Calibri" w:cs="Times New Roman"/>
        </w:rPr>
        <w:t xml:space="preserve"> the</w:t>
      </w:r>
      <w:r w:rsidR="00046861" w:rsidRPr="00A135A3">
        <w:rPr>
          <w:rFonts w:eastAsia="Calibri" w:cs="Times New Roman"/>
        </w:rPr>
        <w:t xml:space="preserve">y remain </w:t>
      </w:r>
      <w:r w:rsidR="001C6547" w:rsidRPr="00A135A3">
        <w:rPr>
          <w:rFonts w:eastAsia="Calibri" w:cs="Times New Roman"/>
        </w:rPr>
        <w:t>controvers</w:t>
      </w:r>
      <w:r w:rsidR="00046861" w:rsidRPr="00A135A3">
        <w:rPr>
          <w:rFonts w:eastAsia="Calibri" w:cs="Times New Roman"/>
        </w:rPr>
        <w:t>ial</w:t>
      </w:r>
      <w:r w:rsidR="00537C77" w:rsidRPr="00A135A3">
        <w:rPr>
          <w:rFonts w:eastAsia="Calibri" w:cs="Times New Roman"/>
          <w:vertAlign w:val="superscript"/>
        </w:rPr>
        <w:t>2,3,4,5,6</w:t>
      </w:r>
      <w:r w:rsidR="004149FB" w:rsidRPr="00A135A3">
        <w:rPr>
          <w:rFonts w:eastAsia="Calibri" w:cs="Times New Roman"/>
          <w:vertAlign w:val="superscript"/>
        </w:rPr>
        <w:t>,</w:t>
      </w:r>
      <w:r w:rsidR="00711139" w:rsidRPr="00A135A3">
        <w:rPr>
          <w:rFonts w:eastAsia="Calibri" w:cs="Times New Roman"/>
          <w:vertAlign w:val="superscript"/>
        </w:rPr>
        <w:t>7</w:t>
      </w:r>
      <w:r w:rsidR="000945BE" w:rsidRPr="00A135A3">
        <w:rPr>
          <w:rFonts w:eastAsia="Calibri" w:cs="Times New Roman"/>
        </w:rPr>
        <w:t xml:space="preserve">, as does </w:t>
      </w:r>
      <w:r w:rsidR="00622324" w:rsidRPr="00A135A3">
        <w:rPr>
          <w:rFonts w:eastAsia="Calibri" w:cs="Times New Roman"/>
        </w:rPr>
        <w:t xml:space="preserve">the requirement that they use </w:t>
      </w:r>
      <w:r w:rsidR="0063797D" w:rsidRPr="00A135A3">
        <w:rPr>
          <w:rFonts w:eastAsia="Calibri" w:cs="Times New Roman"/>
        </w:rPr>
        <w:t xml:space="preserve">‘root cause analysis’ </w:t>
      </w:r>
      <w:r w:rsidR="000945BE" w:rsidRPr="00A135A3">
        <w:rPr>
          <w:rFonts w:eastAsia="Calibri" w:cs="Times New Roman"/>
        </w:rPr>
        <w:t>(RCA)</w:t>
      </w:r>
      <w:r w:rsidR="00622324" w:rsidRPr="00A135A3">
        <w:rPr>
          <w:rFonts w:eastAsia="Calibri" w:cs="Times New Roman"/>
        </w:rPr>
        <w:t xml:space="preserve"> as the methodology</w:t>
      </w:r>
      <w:r w:rsidR="000945BE" w:rsidRPr="00A135A3">
        <w:rPr>
          <w:rFonts w:eastAsia="Calibri" w:cs="Times New Roman"/>
        </w:rPr>
        <w:t>, the validity of which in mental health has been questioned</w:t>
      </w:r>
      <w:r w:rsidR="00711139" w:rsidRPr="00A135A3">
        <w:rPr>
          <w:rFonts w:eastAsia="Calibri" w:cs="Times New Roman"/>
          <w:vertAlign w:val="superscript"/>
        </w:rPr>
        <w:t>8</w:t>
      </w:r>
      <w:r w:rsidR="000945BE" w:rsidRPr="00A135A3">
        <w:rPr>
          <w:rFonts w:eastAsia="Calibri" w:cs="Times New Roman"/>
        </w:rPr>
        <w:t>.</w:t>
      </w:r>
      <w:r w:rsidR="00C849E9" w:rsidRPr="00A135A3">
        <w:rPr>
          <w:rFonts w:eastAsia="Calibri" w:cs="Times New Roman"/>
        </w:rPr>
        <w:t xml:space="preserve"> </w:t>
      </w:r>
    </w:p>
    <w:p w14:paraId="05C90839" w14:textId="22128F57" w:rsidR="00622324" w:rsidRPr="00A135A3" w:rsidRDefault="00622324" w:rsidP="00622324">
      <w:pPr>
        <w:spacing w:line="480" w:lineRule="auto"/>
        <w:jc w:val="both"/>
        <w:rPr>
          <w:rFonts w:eastAsia="Calibri" w:cs="Times New Roman"/>
        </w:rPr>
      </w:pPr>
      <w:r w:rsidRPr="00A135A3">
        <w:rPr>
          <w:rFonts w:eastAsia="Calibri" w:cs="Times New Roman"/>
        </w:rPr>
        <w:t xml:space="preserve">NHS England has been responsible for commissioning independent mental health homicide inquiries since 2013, and </w:t>
      </w:r>
      <w:r w:rsidR="0063797D" w:rsidRPr="00A135A3">
        <w:rPr>
          <w:rFonts w:eastAsia="Calibri" w:cs="Times New Roman"/>
        </w:rPr>
        <w:t xml:space="preserve">for </w:t>
      </w:r>
      <w:r w:rsidRPr="00A135A3">
        <w:rPr>
          <w:rFonts w:eastAsia="Calibri" w:cs="Times New Roman"/>
        </w:rPr>
        <w:t>ensuring that all provider organisations in England have appropriate systems in place for learning from these inquiries, to improve safety and quality of mental health services. These anonymised inquiries are published on its website</w:t>
      </w:r>
      <w:r w:rsidR="00A337C3" w:rsidRPr="00A135A3">
        <w:rPr>
          <w:rFonts w:eastAsia="Calibri" w:cs="Times New Roman"/>
          <w:vertAlign w:val="superscript"/>
        </w:rPr>
        <w:t>1</w:t>
      </w:r>
      <w:r w:rsidRPr="00A135A3">
        <w:rPr>
          <w:rFonts w:eastAsia="Calibri" w:cs="Times New Roman"/>
        </w:rPr>
        <w:t xml:space="preserve">. </w:t>
      </w:r>
    </w:p>
    <w:p w14:paraId="14B0BFDD" w14:textId="0BE4547B" w:rsidR="00622324" w:rsidRPr="00A135A3" w:rsidRDefault="00622324" w:rsidP="00622324">
      <w:pPr>
        <w:spacing w:line="480" w:lineRule="auto"/>
        <w:jc w:val="both"/>
        <w:rPr>
          <w:rFonts w:eastAsia="Calibri" w:cs="Times New Roman"/>
        </w:rPr>
      </w:pPr>
      <w:r w:rsidRPr="00A135A3">
        <w:rPr>
          <w:rFonts w:eastAsia="Calibri" w:cs="Times New Roman"/>
        </w:rPr>
        <w:t xml:space="preserve">Previous analyses of independent mental health homicide inquiries have found that they repeatedly identify the </w:t>
      </w:r>
      <w:r w:rsidR="00877BBD" w:rsidRPr="00A135A3">
        <w:rPr>
          <w:rFonts w:eastAsia="Calibri" w:cs="Times New Roman"/>
        </w:rPr>
        <w:t xml:space="preserve">same </w:t>
      </w:r>
      <w:r w:rsidRPr="00A135A3">
        <w:rPr>
          <w:rFonts w:eastAsia="Calibri" w:cs="Times New Roman"/>
        </w:rPr>
        <w:t>themes, raising questions regarding effectiveness of learning in mental health services</w:t>
      </w:r>
      <w:r w:rsidR="00D12F7C" w:rsidRPr="00A135A3">
        <w:rPr>
          <w:rFonts w:eastAsia="Calibri" w:cs="Times New Roman"/>
          <w:vertAlign w:val="superscript"/>
        </w:rPr>
        <w:t>2,3,4,</w:t>
      </w:r>
      <w:r w:rsidR="00E10D1F" w:rsidRPr="00A135A3">
        <w:rPr>
          <w:rFonts w:eastAsia="Calibri" w:cs="Times New Roman"/>
          <w:vertAlign w:val="superscript"/>
        </w:rPr>
        <w:t>6</w:t>
      </w:r>
      <w:r w:rsidRPr="00A135A3">
        <w:rPr>
          <w:rFonts w:eastAsia="Calibri" w:cs="Times New Roman"/>
        </w:rPr>
        <w:t>. However, there has been far less focus on methodology used by inquiries, or how they attribute causation. Despite these criticisms, inquiries have much influence on government policy and on the public’s perception of safety in mental health services</w:t>
      </w:r>
      <w:r w:rsidR="00D12F7C" w:rsidRPr="00A135A3">
        <w:rPr>
          <w:rFonts w:eastAsia="Calibri" w:cs="Times New Roman"/>
        </w:rPr>
        <w:t>.</w:t>
      </w:r>
    </w:p>
    <w:p w14:paraId="506188D4" w14:textId="54873FAB" w:rsidR="00C92A8C" w:rsidRPr="00A135A3" w:rsidRDefault="00C92A8C" w:rsidP="00C92A8C">
      <w:pPr>
        <w:spacing w:line="480" w:lineRule="auto"/>
        <w:jc w:val="both"/>
        <w:rPr>
          <w:rFonts w:eastAsia="Calibri" w:cs="Times New Roman"/>
        </w:rPr>
      </w:pPr>
      <w:r w:rsidRPr="00A135A3">
        <w:rPr>
          <w:rFonts w:eastAsia="Calibri" w:cs="Times New Roman"/>
        </w:rPr>
        <w:t>A comprehensive analysis of mental health homicides was published in 2011</w:t>
      </w:r>
      <w:r w:rsidRPr="00A135A3">
        <w:rPr>
          <w:rFonts w:eastAsia="Calibri" w:cs="Times New Roman"/>
          <w:vertAlign w:val="superscript"/>
        </w:rPr>
        <w:t>9</w:t>
      </w:r>
      <w:r w:rsidRPr="00A135A3">
        <w:rPr>
          <w:rFonts w:eastAsia="Calibri" w:cs="Times New Roman"/>
        </w:rPr>
        <w:t>, and the National Confidential Inquiry into Suicide and Safety</w:t>
      </w:r>
      <w:r w:rsidRPr="00A135A3">
        <w:rPr>
          <w:rFonts w:eastAsia="Calibri" w:cs="Times New Roman"/>
          <w:vertAlign w:val="superscript"/>
        </w:rPr>
        <w:t>10</w:t>
      </w:r>
      <w:r w:rsidRPr="00A135A3">
        <w:rPr>
          <w:rFonts w:eastAsia="Calibri" w:cs="Times New Roman"/>
        </w:rPr>
        <w:t xml:space="preserve"> (NCISH) provided an overview of key patient characteristics in its annual reports until 2018. NHS England </w:t>
      </w:r>
      <w:r w:rsidR="001A6014" w:rsidRPr="00A135A3">
        <w:rPr>
          <w:rFonts w:eastAsia="Calibri" w:cs="Times New Roman"/>
        </w:rPr>
        <w:t xml:space="preserve">(NHSE) </w:t>
      </w:r>
      <w:r w:rsidRPr="00A135A3">
        <w:rPr>
          <w:rFonts w:eastAsia="Calibri" w:cs="Times New Roman"/>
        </w:rPr>
        <w:t xml:space="preserve">published three thematic analyses of mental health homicide inquiries between 2013 </w:t>
      </w:r>
      <w:r w:rsidRPr="00A135A3">
        <w:rPr>
          <w:rFonts w:eastAsia="Calibri" w:cs="Times New Roman"/>
        </w:rPr>
        <w:lastRenderedPageBreak/>
        <w:t>and 2021, with a focus on reporting mechanisms and governance</w:t>
      </w:r>
      <w:r w:rsidR="00440F75" w:rsidRPr="00A135A3">
        <w:rPr>
          <w:rFonts w:eastAsia="Calibri" w:cs="Times New Roman"/>
          <w:vertAlign w:val="superscript"/>
        </w:rPr>
        <w:t>11</w:t>
      </w:r>
      <w:r w:rsidRPr="00A135A3">
        <w:rPr>
          <w:rFonts w:eastAsia="Calibri" w:cs="Times New Roman"/>
          <w:color w:val="4472C4" w:themeColor="accent1"/>
        </w:rPr>
        <w:t xml:space="preserve">. </w:t>
      </w:r>
      <w:r w:rsidR="00622324" w:rsidRPr="00A135A3">
        <w:rPr>
          <w:rFonts w:eastAsia="Calibri" w:cs="Times New Roman"/>
        </w:rPr>
        <w:t>However, there has been no recent comparative analysis of characteristics of mental health homicides with those in the general population, nor a review of methodology used in inquiries</w:t>
      </w:r>
      <w:r w:rsidR="00622324" w:rsidRPr="00A135A3">
        <w:rPr>
          <w:rFonts w:eastAsia="Calibri" w:cs="Times New Roman"/>
          <w:color w:val="4472C4" w:themeColor="accent1"/>
        </w:rPr>
        <w:t>.</w:t>
      </w:r>
    </w:p>
    <w:p w14:paraId="48CB1910" w14:textId="2AA8E97F" w:rsidR="00C92A8C" w:rsidRPr="00A135A3" w:rsidRDefault="00622324" w:rsidP="00C92A8C">
      <w:pPr>
        <w:spacing w:line="480" w:lineRule="auto"/>
        <w:jc w:val="both"/>
        <w:rPr>
          <w:rFonts w:eastAsia="Calibri" w:cs="Times New Roman"/>
        </w:rPr>
      </w:pPr>
      <w:r w:rsidRPr="00A135A3">
        <w:rPr>
          <w:rFonts w:eastAsia="Calibri" w:cs="Times New Roman"/>
        </w:rPr>
        <w:t xml:space="preserve">This study aims to provide a comprehensive analysis of the methodology </w:t>
      </w:r>
      <w:r w:rsidR="00541833" w:rsidRPr="00A135A3">
        <w:rPr>
          <w:rFonts w:eastAsia="Calibri" w:cs="Times New Roman"/>
        </w:rPr>
        <w:t>employed by</w:t>
      </w:r>
      <w:r w:rsidRPr="00A135A3">
        <w:rPr>
          <w:rFonts w:eastAsia="Calibri" w:cs="Times New Roman"/>
        </w:rPr>
        <w:t xml:space="preserve"> these inquiries, whether they commented on causation of homicides, their findings, and characteristics of perpetrators and their victims to examine similarities and differences. </w:t>
      </w:r>
    </w:p>
    <w:p w14:paraId="328D51CE" w14:textId="77777777" w:rsidR="00C92A8C" w:rsidRPr="00A135A3" w:rsidRDefault="00C92A8C" w:rsidP="00C92A8C">
      <w:pPr>
        <w:spacing w:line="480" w:lineRule="auto"/>
        <w:jc w:val="both"/>
        <w:rPr>
          <w:rFonts w:eastAsia="Calibri" w:cs="Times New Roman"/>
          <w:b/>
          <w:bCs/>
        </w:rPr>
      </w:pPr>
      <w:r w:rsidRPr="00A135A3">
        <w:rPr>
          <w:rFonts w:eastAsia="Calibri" w:cs="Times New Roman"/>
          <w:b/>
          <w:bCs/>
        </w:rPr>
        <w:t>METHOD</w:t>
      </w:r>
    </w:p>
    <w:p w14:paraId="56B2FEA8" w14:textId="78BE9090" w:rsidR="00622324" w:rsidRPr="00A135A3" w:rsidRDefault="00C92A8C" w:rsidP="00C92A8C">
      <w:pPr>
        <w:spacing w:line="480" w:lineRule="auto"/>
        <w:jc w:val="both"/>
        <w:rPr>
          <w:rFonts w:eastAsia="Calibri" w:cs="Times New Roman"/>
          <w:color w:val="4472C4" w:themeColor="accent1"/>
        </w:rPr>
      </w:pPr>
      <w:r w:rsidRPr="00A135A3">
        <w:rPr>
          <w:rFonts w:eastAsia="Calibri" w:cs="Times New Roman"/>
        </w:rPr>
        <w:t>We</w:t>
      </w:r>
      <w:r w:rsidR="00622324" w:rsidRPr="00A135A3">
        <w:rPr>
          <w:rFonts w:eastAsia="Calibri" w:cs="Times New Roman"/>
        </w:rPr>
        <w:t xml:space="preserve"> carried out a retrospective document analysis of </w:t>
      </w:r>
      <w:r w:rsidRPr="00A135A3">
        <w:rPr>
          <w:rFonts w:eastAsia="Calibri" w:cs="Times New Roman"/>
        </w:rPr>
        <w:t>all independent mental health inquiries relating to homicides that were published by NHS</w:t>
      </w:r>
      <w:r w:rsidR="001A6014" w:rsidRPr="00A135A3">
        <w:rPr>
          <w:rFonts w:eastAsia="Calibri" w:cs="Times New Roman"/>
        </w:rPr>
        <w:t xml:space="preserve">E </w:t>
      </w:r>
      <w:r w:rsidRPr="00A135A3">
        <w:rPr>
          <w:rFonts w:eastAsia="Calibri" w:cs="Times New Roman"/>
        </w:rPr>
        <w:t>on its website</w:t>
      </w:r>
      <w:r w:rsidR="00440F75" w:rsidRPr="00A135A3">
        <w:rPr>
          <w:rFonts w:eastAsia="Calibri" w:cs="Times New Roman"/>
          <w:vertAlign w:val="superscript"/>
        </w:rPr>
        <w:t>1</w:t>
      </w:r>
      <w:r w:rsidRPr="00A135A3">
        <w:rPr>
          <w:rFonts w:eastAsia="Calibri" w:cs="Times New Roman"/>
          <w:color w:val="4472C4" w:themeColor="accent1"/>
        </w:rPr>
        <w:t xml:space="preserve">. </w:t>
      </w:r>
      <w:r w:rsidR="00622324" w:rsidRPr="00A135A3">
        <w:rPr>
          <w:rFonts w:eastAsia="Calibri" w:cs="Times New Roman"/>
        </w:rPr>
        <w:t xml:space="preserve">This study was approved by the University of Southampton Research Ethics Committee, ERGO number 100030. Only material available to the public on the NHSE website and already in the public domain was included. Therefore formal NHS ethics approval was not required.  </w:t>
      </w:r>
    </w:p>
    <w:p w14:paraId="72882140" w14:textId="1802CB10" w:rsidR="00C92A8C" w:rsidRPr="00A135A3" w:rsidRDefault="00C92A8C" w:rsidP="00C92A8C">
      <w:pPr>
        <w:spacing w:line="480" w:lineRule="auto"/>
        <w:jc w:val="both"/>
        <w:rPr>
          <w:rFonts w:eastAsia="Calibri" w:cs="Times New Roman"/>
          <w:u w:val="single"/>
        </w:rPr>
      </w:pPr>
      <w:r w:rsidRPr="00A135A3">
        <w:rPr>
          <w:rFonts w:eastAsia="Calibri" w:cs="Times New Roman"/>
        </w:rPr>
        <w:t>NHS</w:t>
      </w:r>
      <w:r w:rsidR="00310F97" w:rsidRPr="00A135A3">
        <w:rPr>
          <w:rFonts w:eastAsia="Calibri" w:cs="Times New Roman"/>
        </w:rPr>
        <w:t>E</w:t>
      </w:r>
      <w:r w:rsidRPr="00A135A3">
        <w:rPr>
          <w:rFonts w:eastAsia="Calibri" w:cs="Times New Roman"/>
        </w:rPr>
        <w:t xml:space="preserve"> </w:t>
      </w:r>
      <w:r w:rsidR="00E04C8C" w:rsidRPr="00A135A3">
        <w:rPr>
          <w:rFonts w:eastAsia="Calibri" w:cs="Times New Roman"/>
        </w:rPr>
        <w:t>has been</w:t>
      </w:r>
      <w:r w:rsidR="00795037" w:rsidRPr="00A135A3">
        <w:rPr>
          <w:rFonts w:eastAsia="Calibri" w:cs="Times New Roman"/>
        </w:rPr>
        <w:t xml:space="preserve"> responsible</w:t>
      </w:r>
      <w:r w:rsidRPr="00A135A3">
        <w:rPr>
          <w:rFonts w:eastAsia="Calibri" w:cs="Times New Roman"/>
        </w:rPr>
        <w:t xml:space="preserve"> for commissioning independent mental health homicide inquiries</w:t>
      </w:r>
      <w:r w:rsidR="00E04C8C" w:rsidRPr="00A135A3">
        <w:rPr>
          <w:rFonts w:eastAsia="Calibri" w:cs="Times New Roman"/>
        </w:rPr>
        <w:t xml:space="preserve"> since 2013</w:t>
      </w:r>
      <w:r w:rsidRPr="00A135A3">
        <w:rPr>
          <w:rFonts w:eastAsia="Calibri" w:cs="Times New Roman"/>
        </w:rPr>
        <w:t>, and ensuring that all provider organisations have appropriate systems in place for learning from these inquiries</w:t>
      </w:r>
      <w:r w:rsidR="00795037" w:rsidRPr="00A135A3">
        <w:rPr>
          <w:rFonts w:eastAsia="Calibri" w:cs="Times New Roman"/>
        </w:rPr>
        <w:t>,</w:t>
      </w:r>
      <w:r w:rsidRPr="00A135A3">
        <w:rPr>
          <w:rFonts w:eastAsia="Calibri" w:cs="Times New Roman"/>
        </w:rPr>
        <w:t xml:space="preserve"> to improve safety and quality of mental health services. </w:t>
      </w:r>
      <w:r w:rsidR="00E04C8C" w:rsidRPr="00A135A3">
        <w:rPr>
          <w:rFonts w:eastAsia="Calibri" w:cs="Times New Roman"/>
        </w:rPr>
        <w:t>NHSE defines ‘mental health homicide’ as an act of homicide committed by a person in receipt of mental health services by an NHS-funded provider in England, and requires these to be investigated by an organisation independent of the provider NHS organisation</w:t>
      </w:r>
      <w:r w:rsidR="00906EB4" w:rsidRPr="00A135A3">
        <w:rPr>
          <w:rFonts w:eastAsia="Calibri" w:cs="Times New Roman"/>
          <w:vertAlign w:val="superscript"/>
        </w:rPr>
        <w:t>1</w:t>
      </w:r>
      <w:r w:rsidR="00E04C8C" w:rsidRPr="00A135A3">
        <w:rPr>
          <w:rFonts w:eastAsia="Calibri" w:cs="Times New Roman"/>
        </w:rPr>
        <w:t>. We therefore used these definitions.</w:t>
      </w:r>
    </w:p>
    <w:p w14:paraId="5963733B" w14:textId="1E3A6CBA" w:rsidR="00C92A8C" w:rsidRPr="00A135A3" w:rsidRDefault="00E04C8C" w:rsidP="00C92A8C">
      <w:pPr>
        <w:spacing w:line="480" w:lineRule="auto"/>
        <w:jc w:val="both"/>
        <w:rPr>
          <w:rFonts w:eastAsia="Calibri" w:cs="Times New Roman"/>
        </w:rPr>
      </w:pPr>
      <w:r w:rsidRPr="00A135A3">
        <w:rPr>
          <w:rFonts w:eastAsia="Calibri" w:cs="Times New Roman"/>
        </w:rPr>
        <w:t>In line with the above, i</w:t>
      </w:r>
      <w:r w:rsidR="00960EED" w:rsidRPr="00A135A3">
        <w:rPr>
          <w:rFonts w:eastAsia="Calibri" w:cs="Times New Roman"/>
        </w:rPr>
        <w:t xml:space="preserve">nquiry </w:t>
      </w:r>
      <w:r w:rsidR="00C92A8C" w:rsidRPr="00A135A3">
        <w:rPr>
          <w:rFonts w:eastAsia="Calibri" w:cs="Times New Roman"/>
        </w:rPr>
        <w:t>reports were included if they were of a completed homicide (</w:t>
      </w:r>
      <w:r w:rsidR="00795037" w:rsidRPr="00A135A3">
        <w:rPr>
          <w:rFonts w:eastAsia="Calibri" w:cs="Times New Roman"/>
        </w:rPr>
        <w:t xml:space="preserve">either </w:t>
      </w:r>
      <w:r w:rsidR="00C92A8C" w:rsidRPr="00A135A3">
        <w:rPr>
          <w:rFonts w:eastAsia="Calibri" w:cs="Times New Roman"/>
        </w:rPr>
        <w:t xml:space="preserve">full reports or executive summaries) and were conducted by a body independent of the provider NHS organisation. Reports were excluded if they were not </w:t>
      </w:r>
      <w:r w:rsidR="00C92A8C" w:rsidRPr="00A135A3">
        <w:rPr>
          <w:rFonts w:eastAsia="Calibri" w:cs="Times New Roman"/>
        </w:rPr>
        <w:lastRenderedPageBreak/>
        <w:t>related to a completed homicide</w:t>
      </w:r>
      <w:r w:rsidR="0063797D" w:rsidRPr="00A135A3">
        <w:rPr>
          <w:rFonts w:eastAsia="Calibri" w:cs="Times New Roman"/>
        </w:rPr>
        <w:t>,</w:t>
      </w:r>
      <w:r w:rsidR="00C92A8C" w:rsidRPr="00A135A3">
        <w:rPr>
          <w:rFonts w:eastAsia="Calibri" w:cs="Times New Roman"/>
        </w:rPr>
        <w:t xml:space="preserve"> </w:t>
      </w:r>
      <w:r w:rsidR="00B9066E" w:rsidRPr="00A135A3">
        <w:rPr>
          <w:rFonts w:eastAsia="Calibri" w:cs="Times New Roman"/>
        </w:rPr>
        <w:t xml:space="preserve">or </w:t>
      </w:r>
      <w:r w:rsidR="00C92A8C" w:rsidRPr="00A135A3">
        <w:rPr>
          <w:rFonts w:eastAsia="Calibri" w:cs="Times New Roman"/>
        </w:rPr>
        <w:t xml:space="preserve">were related to a homicide but </w:t>
      </w:r>
      <w:r w:rsidR="000E44CC" w:rsidRPr="00A135A3">
        <w:rPr>
          <w:rFonts w:eastAsia="Calibri" w:cs="Times New Roman"/>
        </w:rPr>
        <w:t xml:space="preserve">represented </w:t>
      </w:r>
      <w:r w:rsidR="00C92A8C" w:rsidRPr="00A135A3">
        <w:rPr>
          <w:rFonts w:eastAsia="Calibri" w:cs="Times New Roman"/>
        </w:rPr>
        <w:t>quality assurance</w:t>
      </w:r>
      <w:r w:rsidR="00552951" w:rsidRPr="00A135A3">
        <w:rPr>
          <w:rFonts w:eastAsia="Calibri" w:cs="Times New Roman"/>
        </w:rPr>
        <w:t>,</w:t>
      </w:r>
      <w:r w:rsidR="00C92A8C" w:rsidRPr="00A135A3">
        <w:rPr>
          <w:rFonts w:eastAsia="Calibri" w:cs="Times New Roman"/>
        </w:rPr>
        <w:t xml:space="preserve"> </w:t>
      </w:r>
      <w:r w:rsidR="00700636" w:rsidRPr="00A135A3">
        <w:rPr>
          <w:rFonts w:eastAsia="Calibri" w:cs="Times New Roman"/>
        </w:rPr>
        <w:t xml:space="preserve">or </w:t>
      </w:r>
      <w:r w:rsidR="00C92A8C" w:rsidRPr="00A135A3">
        <w:rPr>
          <w:rFonts w:eastAsia="Calibri" w:cs="Times New Roman"/>
        </w:rPr>
        <w:t>desk-top reviews</w:t>
      </w:r>
      <w:r w:rsidRPr="00A135A3">
        <w:rPr>
          <w:rFonts w:eastAsia="Calibri" w:cs="Times New Roman"/>
        </w:rPr>
        <w:t>, as these are not investigations</w:t>
      </w:r>
      <w:r w:rsidR="00700636" w:rsidRPr="00A135A3">
        <w:rPr>
          <w:rFonts w:eastAsia="Calibri" w:cs="Times New Roman"/>
        </w:rPr>
        <w:t>.</w:t>
      </w:r>
    </w:p>
    <w:p w14:paraId="361499E1" w14:textId="77777777" w:rsidR="00E04C8C" w:rsidRPr="00A135A3" w:rsidRDefault="00C92A8C" w:rsidP="00C92A8C">
      <w:pPr>
        <w:spacing w:line="480" w:lineRule="auto"/>
        <w:jc w:val="both"/>
        <w:rPr>
          <w:rFonts w:eastAsia="Calibri" w:cs="Times New Roman"/>
        </w:rPr>
      </w:pPr>
      <w:r w:rsidRPr="00A135A3">
        <w:rPr>
          <w:rFonts w:eastAsia="Calibri" w:cs="Times New Roman"/>
        </w:rPr>
        <w:t xml:space="preserve">Document analysis is a systematic procedure for reviewing or evaluating documents, used to provide context, generate questions, and track change over time; it can include both quantitative and qualitative components. We used a specific document analysis technique </w:t>
      </w:r>
      <w:r w:rsidR="000E44CC" w:rsidRPr="00A135A3">
        <w:rPr>
          <w:rFonts w:eastAsia="Calibri" w:cs="Times New Roman"/>
        </w:rPr>
        <w:t>(‘</w:t>
      </w:r>
      <w:r w:rsidRPr="00A135A3">
        <w:rPr>
          <w:rFonts w:eastAsia="Calibri" w:cs="Times New Roman"/>
        </w:rPr>
        <w:t>READ</w:t>
      </w:r>
      <w:r w:rsidR="000E44CC" w:rsidRPr="00A135A3">
        <w:rPr>
          <w:rFonts w:eastAsia="Calibri" w:cs="Times New Roman"/>
        </w:rPr>
        <w:t>’)</w:t>
      </w:r>
      <w:r w:rsidRPr="00A135A3">
        <w:rPr>
          <w:rFonts w:eastAsia="Calibri" w:cs="Times New Roman"/>
          <w:color w:val="4472C4" w:themeColor="accent1"/>
        </w:rPr>
        <w:t xml:space="preserve"> </w:t>
      </w:r>
      <w:r w:rsidRPr="00A135A3">
        <w:rPr>
          <w:rFonts w:eastAsia="Calibri" w:cs="Times New Roman"/>
        </w:rPr>
        <w:t>recommended in health policy research</w:t>
      </w:r>
      <w:r w:rsidRPr="00A135A3">
        <w:rPr>
          <w:rFonts w:eastAsia="Calibri" w:cs="Times New Roman"/>
          <w:vertAlign w:val="superscript"/>
        </w:rPr>
        <w:t>1</w:t>
      </w:r>
      <w:r w:rsidR="00440F75" w:rsidRPr="00A135A3">
        <w:rPr>
          <w:rFonts w:eastAsia="Calibri" w:cs="Times New Roman"/>
          <w:vertAlign w:val="superscript"/>
        </w:rPr>
        <w:t>2</w:t>
      </w:r>
      <w:r w:rsidRPr="00A135A3">
        <w:rPr>
          <w:rFonts w:eastAsia="Calibri" w:cs="Times New Roman"/>
          <w:color w:val="4472C4" w:themeColor="accent1"/>
        </w:rPr>
        <w:t xml:space="preserve">. </w:t>
      </w:r>
      <w:r w:rsidRPr="00A135A3">
        <w:rPr>
          <w:rFonts w:eastAsia="Calibri" w:cs="Times New Roman"/>
        </w:rPr>
        <w:t xml:space="preserve">This includes discrete steps of making the material ready, extracting data, analysing data, and distilling findings. </w:t>
      </w:r>
    </w:p>
    <w:p w14:paraId="13FB52EE" w14:textId="17FFFB1E" w:rsidR="00C92A8C" w:rsidRPr="00A135A3" w:rsidRDefault="006E4E68" w:rsidP="00C92A8C">
      <w:pPr>
        <w:spacing w:line="480" w:lineRule="auto"/>
        <w:jc w:val="both"/>
        <w:rPr>
          <w:rFonts w:eastAsia="Calibri" w:cs="Times New Roman"/>
        </w:rPr>
      </w:pPr>
      <w:r w:rsidRPr="00A135A3">
        <w:rPr>
          <w:rFonts w:eastAsia="Calibri" w:cs="Times New Roman"/>
        </w:rPr>
        <w:t>We</w:t>
      </w:r>
      <w:r w:rsidR="00C92A8C" w:rsidRPr="00A135A3">
        <w:rPr>
          <w:rFonts w:eastAsia="Calibri" w:cs="Times New Roman"/>
        </w:rPr>
        <w:t xml:space="preserve"> examined characteristics of the perpetrator and the victim(s). We </w:t>
      </w:r>
      <w:r w:rsidR="000E44CC" w:rsidRPr="00A135A3">
        <w:rPr>
          <w:rFonts w:eastAsia="Calibri" w:cs="Times New Roman"/>
        </w:rPr>
        <w:t xml:space="preserve">also </w:t>
      </w:r>
      <w:r w:rsidR="00C92A8C" w:rsidRPr="00A135A3">
        <w:rPr>
          <w:rFonts w:eastAsia="Calibri" w:cs="Times New Roman"/>
        </w:rPr>
        <w:t>identified characteristics of the inquiries, with a focus on methodology, and undertook an analysis of recommendations made by independent inquiries and action plans developed in response, with reference to safety science and human factors. In analysing root causes, contributory factors</w:t>
      </w:r>
      <w:r w:rsidR="000E44CC" w:rsidRPr="00A135A3">
        <w:rPr>
          <w:rFonts w:eastAsia="Calibri" w:cs="Times New Roman"/>
        </w:rPr>
        <w:t>,</w:t>
      </w:r>
      <w:r w:rsidR="00C92A8C" w:rsidRPr="00A135A3">
        <w:rPr>
          <w:rFonts w:eastAsia="Calibri" w:cs="Times New Roman"/>
        </w:rPr>
        <w:t xml:space="preserve"> and care and service delivery problems, we identified themes based on content similarities and unique relationships.</w:t>
      </w:r>
    </w:p>
    <w:p w14:paraId="2DD3E55D" w14:textId="77777777" w:rsidR="007E25D2" w:rsidRPr="00A135A3" w:rsidRDefault="00C92A8C" w:rsidP="00C92A8C">
      <w:pPr>
        <w:spacing w:line="480" w:lineRule="auto"/>
        <w:jc w:val="both"/>
        <w:rPr>
          <w:rFonts w:eastAsia="Calibri" w:cs="Times New Roman"/>
        </w:rPr>
      </w:pPr>
      <w:r w:rsidRPr="00A135A3">
        <w:rPr>
          <w:rFonts w:eastAsia="Calibri" w:cs="Times New Roman"/>
          <w:i/>
          <w:iCs/>
        </w:rPr>
        <w:t>Root causes</w:t>
      </w:r>
      <w:r w:rsidRPr="00A135A3">
        <w:rPr>
          <w:rFonts w:eastAsia="Calibri" w:cs="Times New Roman"/>
        </w:rPr>
        <w:t xml:space="preserve"> are factors expected to have directly caused the adverse event, and </w:t>
      </w:r>
      <w:r w:rsidRPr="00A135A3">
        <w:rPr>
          <w:rFonts w:eastAsia="Calibri" w:cs="Times New Roman"/>
          <w:i/>
          <w:iCs/>
        </w:rPr>
        <w:t>contributory cause</w:t>
      </w:r>
      <w:r w:rsidR="008C5BB9" w:rsidRPr="00A135A3">
        <w:rPr>
          <w:rFonts w:eastAsia="Calibri" w:cs="Times New Roman"/>
          <w:i/>
          <w:iCs/>
        </w:rPr>
        <w:t>s</w:t>
      </w:r>
      <w:r w:rsidRPr="00A135A3">
        <w:rPr>
          <w:rFonts w:eastAsia="Calibri" w:cs="Times New Roman"/>
        </w:rPr>
        <w:t xml:space="preserve"> as those that have made a substantial contribution to it</w:t>
      </w:r>
      <w:r w:rsidR="00C04FE6" w:rsidRPr="00A135A3">
        <w:rPr>
          <w:rFonts w:eastAsia="Calibri" w:cs="Times New Roman"/>
          <w:vertAlign w:val="superscript"/>
        </w:rPr>
        <w:t>1</w:t>
      </w:r>
      <w:r w:rsidR="00BB1812" w:rsidRPr="00A135A3">
        <w:rPr>
          <w:rFonts w:eastAsia="Calibri" w:cs="Times New Roman"/>
          <w:vertAlign w:val="superscript"/>
        </w:rPr>
        <w:t>3,14</w:t>
      </w:r>
      <w:r w:rsidRPr="00A135A3">
        <w:rPr>
          <w:rFonts w:eastAsia="Calibri" w:cs="Times New Roman"/>
        </w:rPr>
        <w:t xml:space="preserve">.  </w:t>
      </w:r>
      <w:r w:rsidRPr="00A135A3">
        <w:rPr>
          <w:rFonts w:eastAsia="Calibri" w:cs="Times New Roman"/>
          <w:i/>
          <w:iCs/>
        </w:rPr>
        <w:t>Care delivery problems</w:t>
      </w:r>
      <w:r w:rsidRPr="00A135A3">
        <w:rPr>
          <w:rFonts w:eastAsia="Calibri" w:cs="Times New Roman"/>
        </w:rPr>
        <w:t xml:space="preserve"> are acts or omissions in the delivery of individual treatment which diverge from the standard expected, and </w:t>
      </w:r>
      <w:r w:rsidRPr="00A135A3">
        <w:rPr>
          <w:rFonts w:eastAsia="Calibri" w:cs="Times New Roman"/>
          <w:i/>
          <w:iCs/>
        </w:rPr>
        <w:t>service delivery problems</w:t>
      </w:r>
      <w:r w:rsidRPr="00A135A3">
        <w:rPr>
          <w:rFonts w:eastAsia="Calibri" w:cs="Times New Roman"/>
        </w:rPr>
        <w:t xml:space="preserve"> </w:t>
      </w:r>
      <w:r w:rsidR="000E44CC" w:rsidRPr="00A135A3">
        <w:rPr>
          <w:rFonts w:eastAsia="Calibri" w:cs="Times New Roman"/>
        </w:rPr>
        <w:t>relate to</w:t>
      </w:r>
      <w:r w:rsidRPr="00A135A3">
        <w:rPr>
          <w:rFonts w:eastAsia="Calibri" w:cs="Times New Roman"/>
        </w:rPr>
        <w:t xml:space="preserve"> organisation and delivery of services, such as procedures and systems</w:t>
      </w:r>
      <w:r w:rsidR="00523ED2" w:rsidRPr="00A135A3">
        <w:rPr>
          <w:rFonts w:eastAsia="Calibri" w:cs="Times New Roman"/>
          <w:vertAlign w:val="superscript"/>
        </w:rPr>
        <w:t>1</w:t>
      </w:r>
      <w:r w:rsidR="00BB1812" w:rsidRPr="00A135A3">
        <w:rPr>
          <w:rFonts w:eastAsia="Calibri" w:cs="Times New Roman"/>
          <w:vertAlign w:val="superscript"/>
        </w:rPr>
        <w:t>5</w:t>
      </w:r>
      <w:r w:rsidR="00523ED2" w:rsidRPr="00A135A3">
        <w:rPr>
          <w:rFonts w:eastAsia="Calibri" w:cs="Times New Roman"/>
        </w:rPr>
        <w:t>.</w:t>
      </w:r>
      <w:r w:rsidR="00023566" w:rsidRPr="00A135A3">
        <w:rPr>
          <w:rFonts w:eastAsia="Calibri" w:cs="Times New Roman"/>
        </w:rPr>
        <w:t xml:space="preserve"> </w:t>
      </w:r>
    </w:p>
    <w:p w14:paraId="14C1249A" w14:textId="7439E5A8" w:rsidR="00C92A8C" w:rsidRPr="00A135A3" w:rsidRDefault="007E25D2" w:rsidP="00C92A8C">
      <w:pPr>
        <w:spacing w:line="480" w:lineRule="auto"/>
        <w:jc w:val="both"/>
        <w:rPr>
          <w:rFonts w:eastAsia="Calibri" w:cs="Times New Roman"/>
        </w:rPr>
      </w:pPr>
      <w:r w:rsidRPr="00A135A3">
        <w:rPr>
          <w:rFonts w:eastAsia="Calibri" w:cs="Times New Roman"/>
        </w:rPr>
        <w:t>We compared c</w:t>
      </w:r>
      <w:r w:rsidR="00C92A8C" w:rsidRPr="00A135A3">
        <w:rPr>
          <w:rFonts w:eastAsia="Calibri" w:cs="Times New Roman"/>
        </w:rPr>
        <w:t xml:space="preserve">haracteristics of victims of mental health homicides described in independent inquiry reports with </w:t>
      </w:r>
      <w:bookmarkStart w:id="0" w:name="_Hlk180749926"/>
      <w:r w:rsidR="00C92A8C" w:rsidRPr="00A135A3">
        <w:rPr>
          <w:rFonts w:eastAsia="Calibri" w:cs="Times New Roman"/>
        </w:rPr>
        <w:t xml:space="preserve">data on victims of homicides in the general population of England and Wales </w:t>
      </w:r>
      <w:r w:rsidR="001142B6" w:rsidRPr="00A135A3">
        <w:rPr>
          <w:rFonts w:eastAsia="Calibri" w:cs="Times New Roman"/>
        </w:rPr>
        <w:t xml:space="preserve">from </w:t>
      </w:r>
      <w:r w:rsidR="00C92A8C" w:rsidRPr="00A135A3">
        <w:rPr>
          <w:rFonts w:eastAsia="Calibri" w:cs="Times New Roman"/>
        </w:rPr>
        <w:t>the Home Office Homicide Index, published annually by the Office for National Statistics (ONS)</w:t>
      </w:r>
      <w:bookmarkEnd w:id="0"/>
      <w:r w:rsidR="00C92A8C" w:rsidRPr="00A135A3">
        <w:rPr>
          <w:rFonts w:eastAsia="Calibri" w:cs="Times New Roman"/>
          <w:vertAlign w:val="superscript"/>
        </w:rPr>
        <w:t>1</w:t>
      </w:r>
      <w:r w:rsidR="00BB1812" w:rsidRPr="00A135A3">
        <w:rPr>
          <w:rFonts w:eastAsia="Calibri" w:cs="Times New Roman"/>
          <w:vertAlign w:val="superscript"/>
        </w:rPr>
        <w:t>6</w:t>
      </w:r>
      <w:r w:rsidR="00C92A8C" w:rsidRPr="00A135A3">
        <w:rPr>
          <w:rFonts w:eastAsia="Calibri" w:cs="Times New Roman"/>
          <w:color w:val="4472C4" w:themeColor="accent1"/>
        </w:rPr>
        <w:t xml:space="preserve">. </w:t>
      </w:r>
      <w:r w:rsidR="00384975" w:rsidRPr="00A135A3">
        <w:rPr>
          <w:rFonts w:eastAsia="Calibri" w:cs="Times New Roman"/>
        </w:rPr>
        <w:t>We compared c</w:t>
      </w:r>
      <w:r w:rsidR="00C92A8C" w:rsidRPr="00A135A3">
        <w:rPr>
          <w:rFonts w:eastAsia="Calibri" w:cs="Times New Roman"/>
        </w:rPr>
        <w:t xml:space="preserve">haracteristics of </w:t>
      </w:r>
      <w:r w:rsidR="00384975" w:rsidRPr="00A135A3">
        <w:rPr>
          <w:rFonts w:eastAsia="Calibri" w:cs="Times New Roman"/>
        </w:rPr>
        <w:t xml:space="preserve">perpetrators </w:t>
      </w:r>
      <w:r w:rsidR="00C92A8C" w:rsidRPr="00A135A3">
        <w:rPr>
          <w:rFonts w:eastAsia="Calibri" w:cs="Times New Roman"/>
        </w:rPr>
        <w:t xml:space="preserve">with data from NCISH. </w:t>
      </w:r>
    </w:p>
    <w:p w14:paraId="2CB8DD58" w14:textId="77777777" w:rsidR="00E04C8C" w:rsidRPr="00A135A3" w:rsidRDefault="00E04C8C" w:rsidP="00E04C8C">
      <w:pPr>
        <w:spacing w:line="480" w:lineRule="auto"/>
        <w:jc w:val="both"/>
        <w:rPr>
          <w:rFonts w:eastAsia="Calibri" w:cs="Times New Roman"/>
        </w:rPr>
      </w:pPr>
      <w:r w:rsidRPr="00A135A3">
        <w:rPr>
          <w:rFonts w:eastAsia="Calibri" w:cs="Times New Roman"/>
        </w:rPr>
        <w:lastRenderedPageBreak/>
        <w:t xml:space="preserve">We identified 189 independent inquiry reports relating to homicides on the NHSE website published between 2013 and 2023. Of these, one duplicate (published in two places) was excluded, leaving 188 reports: a further 26 were excluded, as they either did not relate to mental health homicides, or were not full investigations but quality assurance or desk-top reviews. A total of 162 homicide inquiry reports were included in the final document analysis. </w:t>
      </w:r>
    </w:p>
    <w:p w14:paraId="4F41A1D2" w14:textId="0059D9E1" w:rsidR="00E04C8C" w:rsidRPr="00A135A3" w:rsidRDefault="00E04C8C" w:rsidP="00E04C8C">
      <w:pPr>
        <w:spacing w:line="480" w:lineRule="auto"/>
        <w:jc w:val="both"/>
        <w:rPr>
          <w:rFonts w:eastAsia="Calibri" w:cs="Times New Roman"/>
        </w:rPr>
      </w:pPr>
      <w:r w:rsidRPr="00A135A3">
        <w:rPr>
          <w:rFonts w:eastAsia="Calibri" w:cs="Times New Roman"/>
        </w:rPr>
        <w:t>After analysing approximately 50% of the sample, a review of test-retest reliability was completed based on a sample of 15% of inquiry reports, to examine agreement on characteristics of perpetrators, victims, homicides, recommendation and action plans. There was 98% agreement.  After the entire sample of 162 reports was analysed, an inter-rater reliability exercise was similarly undertaken based on a random sample of 15% of inquiry reports. This found 92.9% agreement.</w:t>
      </w:r>
    </w:p>
    <w:p w14:paraId="50A5E769" w14:textId="7FD2A645" w:rsidR="00C92A8C" w:rsidRPr="00A135A3" w:rsidRDefault="00C92A8C" w:rsidP="00E04C8C">
      <w:pPr>
        <w:spacing w:line="480" w:lineRule="auto"/>
        <w:jc w:val="both"/>
        <w:rPr>
          <w:rFonts w:eastAsia="Calibri" w:cs="Times New Roman"/>
        </w:rPr>
      </w:pPr>
      <w:r w:rsidRPr="00A135A3">
        <w:rPr>
          <w:rFonts w:eastAsia="Calibri" w:cs="Times New Roman"/>
        </w:rPr>
        <w:t xml:space="preserve">In the following comparison and analysis, for brevity, data extracted from this study of mental health homicide inquiries are referred to as MHHI (Mental Health Homicide Inquiry), those from ONS are referred to as such, and data from NCISH are also referred to as such. </w:t>
      </w:r>
    </w:p>
    <w:p w14:paraId="58A2BF2D" w14:textId="77777777" w:rsidR="00C92A8C" w:rsidRPr="00A135A3" w:rsidRDefault="00C92A8C" w:rsidP="00C92A8C">
      <w:pPr>
        <w:spacing w:line="480" w:lineRule="auto"/>
        <w:jc w:val="both"/>
        <w:rPr>
          <w:rFonts w:eastAsia="Calibri" w:cs="Times New Roman"/>
          <w:b/>
          <w:bCs/>
        </w:rPr>
      </w:pPr>
      <w:r w:rsidRPr="00A135A3">
        <w:rPr>
          <w:rFonts w:eastAsia="Calibri" w:cs="Times New Roman"/>
          <w:b/>
          <w:bCs/>
        </w:rPr>
        <w:t>RESULTS</w:t>
      </w:r>
    </w:p>
    <w:p w14:paraId="768D0526" w14:textId="77777777" w:rsidR="00C92A8C" w:rsidRPr="00A135A3" w:rsidRDefault="00C92A8C" w:rsidP="00C92A8C">
      <w:pPr>
        <w:spacing w:line="480" w:lineRule="auto"/>
        <w:jc w:val="both"/>
        <w:rPr>
          <w:rFonts w:eastAsia="Calibri" w:cs="Times New Roman"/>
          <w:u w:val="single"/>
        </w:rPr>
      </w:pPr>
      <w:r w:rsidRPr="00A135A3">
        <w:rPr>
          <w:rFonts w:eastAsia="Calibri" w:cs="Times New Roman"/>
          <w:u w:val="single"/>
        </w:rPr>
        <w:t>Homicides</w:t>
      </w:r>
    </w:p>
    <w:p w14:paraId="1B0B80E9" w14:textId="5B7193BA" w:rsidR="00C92A8C" w:rsidRPr="00A135A3" w:rsidRDefault="00C92A8C" w:rsidP="00C92A8C">
      <w:pPr>
        <w:spacing w:line="480" w:lineRule="auto"/>
        <w:jc w:val="both"/>
        <w:rPr>
          <w:rFonts w:eastAsia="Calibri" w:cs="Arial"/>
          <w:kern w:val="0"/>
          <w:szCs w:val="24"/>
          <w14:ligatures w14:val="none"/>
        </w:rPr>
      </w:pPr>
      <w:r w:rsidRPr="00A135A3">
        <w:rPr>
          <w:rFonts w:eastAsia="Calibri" w:cs="Arial"/>
          <w:kern w:val="0"/>
          <w:szCs w:val="24"/>
          <w14:ligatures w14:val="none"/>
        </w:rPr>
        <w:t>The 162 Mental Health Homicide Inquiries (MHHI) described the deaths of 168 victims by 162 individual perpetrators in receipt of clinical care by NHS-funded mental health services. There were 156 single homicides and 6 double homicides. Seven homicide investigations also involved other victims of severe violence</w:t>
      </w:r>
      <w:r w:rsidR="001206B7" w:rsidRPr="00A135A3">
        <w:rPr>
          <w:rFonts w:eastAsia="Calibri" w:cs="Arial"/>
          <w:kern w:val="0"/>
          <w:szCs w:val="24"/>
          <w14:ligatures w14:val="none"/>
        </w:rPr>
        <w:t xml:space="preserve"> but </w:t>
      </w:r>
      <w:r w:rsidRPr="00A135A3">
        <w:rPr>
          <w:rFonts w:eastAsia="Calibri" w:cs="Arial"/>
          <w:kern w:val="0"/>
          <w:szCs w:val="24"/>
          <w14:ligatures w14:val="none"/>
        </w:rPr>
        <w:t xml:space="preserve">survivors are not included in the analysis of victim characteristics. </w:t>
      </w:r>
    </w:p>
    <w:p w14:paraId="235D3919" w14:textId="523937E8" w:rsidR="00C92A8C" w:rsidRPr="00A135A3" w:rsidRDefault="00C92A8C" w:rsidP="00C92A8C">
      <w:pPr>
        <w:spacing w:line="480" w:lineRule="auto"/>
        <w:jc w:val="both"/>
        <w:rPr>
          <w:rFonts w:eastAsia="Calibri" w:cs="Times New Roman"/>
        </w:rPr>
      </w:pPr>
      <w:r w:rsidRPr="00A135A3">
        <w:rPr>
          <w:rFonts w:eastAsia="Calibri" w:cs="Times New Roman"/>
        </w:rPr>
        <w:lastRenderedPageBreak/>
        <w:t>ONS homicide trend analysis for England and Wales indicates that the number of homicides each year between 201</w:t>
      </w:r>
      <w:r w:rsidR="00234A19" w:rsidRPr="00A135A3">
        <w:rPr>
          <w:rFonts w:eastAsia="Calibri" w:cs="Times New Roman"/>
        </w:rPr>
        <w:t>2</w:t>
      </w:r>
      <w:r w:rsidRPr="00A135A3">
        <w:rPr>
          <w:rFonts w:eastAsia="Calibri" w:cs="Times New Roman"/>
        </w:rPr>
        <w:t xml:space="preserve"> and 2023 ranged between 488 and 661 (median 9.9 per million population, with a range between 8.8 and 11.9 per million population), with a mean of 565 and a median of 566</w:t>
      </w:r>
      <w:r w:rsidR="002011D8" w:rsidRPr="00A135A3">
        <w:rPr>
          <w:rFonts w:eastAsia="Calibri" w:cs="Times New Roman"/>
          <w:vertAlign w:val="superscript"/>
        </w:rPr>
        <w:t>1</w:t>
      </w:r>
      <w:r w:rsidR="00BB1812" w:rsidRPr="00A135A3">
        <w:rPr>
          <w:rFonts w:eastAsia="Calibri" w:cs="Times New Roman"/>
          <w:vertAlign w:val="superscript"/>
        </w:rPr>
        <w:t>6</w:t>
      </w:r>
      <w:r w:rsidRPr="00A135A3">
        <w:rPr>
          <w:rFonts w:eastAsia="Calibri" w:cs="Times New Roman"/>
          <w:color w:val="4472C4" w:themeColor="accent1"/>
        </w:rPr>
        <w:t xml:space="preserve">. </w:t>
      </w:r>
      <w:r w:rsidRPr="00A135A3">
        <w:rPr>
          <w:rFonts w:eastAsia="Calibri" w:cs="Times New Roman"/>
        </w:rPr>
        <w:t xml:space="preserve">The NCISH annual report 2018, which looks at data between 2006 and 2016, notes that </w:t>
      </w:r>
      <w:r w:rsidR="00781225" w:rsidRPr="00A135A3">
        <w:rPr>
          <w:rFonts w:eastAsia="Calibri" w:cs="Times New Roman"/>
        </w:rPr>
        <w:t>608 patient</w:t>
      </w:r>
      <w:r w:rsidRPr="00A135A3">
        <w:rPr>
          <w:rFonts w:eastAsia="Calibri" w:cs="Times New Roman"/>
        </w:rPr>
        <w:t xml:space="preserve"> homicides had been reported in that period, a mean of 55 patient homicides per year. </w:t>
      </w:r>
    </w:p>
    <w:p w14:paraId="4A642E60" w14:textId="77777777" w:rsidR="00C92A8C" w:rsidRPr="00A135A3" w:rsidRDefault="00C92A8C" w:rsidP="00C92A8C">
      <w:pPr>
        <w:spacing w:line="480" w:lineRule="auto"/>
        <w:jc w:val="both"/>
        <w:rPr>
          <w:rFonts w:eastAsia="Calibri" w:cs="Times New Roman"/>
          <w:b/>
          <w:bCs/>
          <w:u w:val="single"/>
        </w:rPr>
      </w:pPr>
      <w:r w:rsidRPr="00A135A3">
        <w:rPr>
          <w:rFonts w:eastAsia="Calibri" w:cs="Times New Roman"/>
          <w:b/>
          <w:bCs/>
          <w:u w:val="single"/>
        </w:rPr>
        <w:t>Perpetrator Demographic, Diagnostic and Treatment Characteristics</w:t>
      </w:r>
    </w:p>
    <w:p w14:paraId="0053FEDB" w14:textId="18E932B3" w:rsidR="00C92A8C" w:rsidRPr="00A135A3" w:rsidRDefault="00DD2705" w:rsidP="00C92A8C">
      <w:pPr>
        <w:spacing w:line="480" w:lineRule="auto"/>
        <w:jc w:val="both"/>
        <w:rPr>
          <w:rFonts w:eastAsia="Calibri" w:cs="Times New Roman"/>
        </w:rPr>
      </w:pPr>
      <w:r w:rsidRPr="00A135A3">
        <w:rPr>
          <w:rFonts w:eastAsia="Calibri" w:cs="Times New Roman"/>
        </w:rPr>
        <w:t>D</w:t>
      </w:r>
      <w:r w:rsidR="00C92A8C" w:rsidRPr="00A135A3">
        <w:rPr>
          <w:rFonts w:eastAsia="Calibri" w:cs="Times New Roman"/>
        </w:rPr>
        <w:t xml:space="preserve">emographic, diagnostic and treatment characteristics of perpetrators in the MHHI sample are shown in Table 1, alongside characteristics for perpetrators in the NCISH dataset (2006 -2016) and those for homicides in the general population (2020 – 2023). </w:t>
      </w:r>
    </w:p>
    <w:p w14:paraId="3164D334" w14:textId="38F8679F" w:rsidR="00C92A8C" w:rsidRPr="00A135A3" w:rsidRDefault="00C92A8C" w:rsidP="00C92A8C">
      <w:pPr>
        <w:spacing w:line="480" w:lineRule="auto"/>
        <w:jc w:val="both"/>
        <w:rPr>
          <w:rFonts w:eastAsia="Calibri" w:cs="Times New Roman"/>
        </w:rPr>
      </w:pPr>
      <w:r w:rsidRPr="00A135A3">
        <w:rPr>
          <w:rFonts w:eastAsia="Calibri" w:cs="Times New Roman"/>
        </w:rPr>
        <w:t xml:space="preserve">A breakdown by age of perpetrators is not available in the NCISH dataset; the 2018 report notes </w:t>
      </w:r>
      <w:r w:rsidR="00AF6072" w:rsidRPr="00A135A3">
        <w:rPr>
          <w:rFonts w:eastAsia="Calibri" w:cs="Times New Roman"/>
        </w:rPr>
        <w:t xml:space="preserve">the </w:t>
      </w:r>
      <w:r w:rsidRPr="00A135A3">
        <w:rPr>
          <w:rFonts w:eastAsia="Calibri" w:cs="Times New Roman"/>
        </w:rPr>
        <w:t>median age of perpetrators as 33, with a range of 13 to 83 years. Across all samples, most perpetrators were male, although 18% in MHHI were female</w:t>
      </w:r>
      <w:r w:rsidR="00DD2705" w:rsidRPr="00A135A3">
        <w:rPr>
          <w:rFonts w:eastAsia="Calibri" w:cs="Times New Roman"/>
        </w:rPr>
        <w:t>,</w:t>
      </w:r>
      <w:r w:rsidRPr="00A135A3">
        <w:rPr>
          <w:rFonts w:eastAsia="Calibri" w:cs="Times New Roman"/>
        </w:rPr>
        <w:t xml:space="preserve"> compared to 8% in the general population. More perpetrators were older in MHHI compared to perpetrators in the general population. Most MHHI reports did not state the ethnicity of the perpetrator. A total of 116 (71%) perpetrators in MHHI had a previous history of violence, </w:t>
      </w:r>
      <w:r w:rsidR="00DD2705" w:rsidRPr="00A135A3">
        <w:rPr>
          <w:rFonts w:eastAsia="Calibri" w:cs="Times New Roman"/>
        </w:rPr>
        <w:t xml:space="preserve">higher </w:t>
      </w:r>
      <w:r w:rsidR="00726F04" w:rsidRPr="00A135A3">
        <w:rPr>
          <w:rFonts w:eastAsia="Calibri" w:cs="Times New Roman"/>
        </w:rPr>
        <w:t>than in</w:t>
      </w:r>
      <w:r w:rsidRPr="00A135A3">
        <w:rPr>
          <w:rFonts w:eastAsia="Calibri" w:cs="Times New Roman"/>
        </w:rPr>
        <w:t xml:space="preserve"> NCISH (312, 53%). </w:t>
      </w:r>
    </w:p>
    <w:p w14:paraId="04073BDA" w14:textId="02812ECE" w:rsidR="00C92A8C" w:rsidRPr="00A135A3" w:rsidRDefault="00DD2705" w:rsidP="00C92A8C">
      <w:pPr>
        <w:spacing w:line="480" w:lineRule="auto"/>
        <w:jc w:val="both"/>
        <w:rPr>
          <w:rFonts w:eastAsia="Calibri" w:cs="Times New Roman"/>
        </w:rPr>
      </w:pPr>
      <w:r w:rsidRPr="00A135A3">
        <w:rPr>
          <w:rFonts w:eastAsia="Calibri" w:cs="Times New Roman"/>
        </w:rPr>
        <w:t xml:space="preserve">Seventy-five </w:t>
      </w:r>
      <w:r w:rsidR="00C92A8C" w:rsidRPr="00A135A3">
        <w:rPr>
          <w:rFonts w:eastAsia="Calibri" w:cs="Times New Roman"/>
        </w:rPr>
        <w:t>(46%) of the perpetrators in MHHI had a history of self-harm, comparable to 292 (51%) in NCISH</w:t>
      </w:r>
      <w:r w:rsidR="00AC2C83" w:rsidRPr="00A135A3">
        <w:rPr>
          <w:rFonts w:eastAsia="Calibri" w:cs="Times New Roman"/>
        </w:rPr>
        <w:t xml:space="preserve">. </w:t>
      </w:r>
      <w:r w:rsidR="00C92A8C" w:rsidRPr="00A135A3">
        <w:rPr>
          <w:rFonts w:eastAsia="Calibri" w:cs="Times New Roman"/>
        </w:rPr>
        <w:t xml:space="preserve">However, 52 (32%) were homeless in MHHI, compared to 24/308 (8%) in NCISH. </w:t>
      </w:r>
      <w:r w:rsidRPr="00A135A3">
        <w:rPr>
          <w:rFonts w:eastAsia="Calibri" w:cs="Times New Roman"/>
        </w:rPr>
        <w:t>Eleven (7%) perpetrators in MHHI were victims of domestic violence and 3 (2%) were perpetrators of domestic violence. Six (4%) perpetrators had been in care of the local authority as children. Three perpetrators (2%) were refugees.</w:t>
      </w:r>
    </w:p>
    <w:p w14:paraId="4639CE46" w14:textId="3C19C779" w:rsidR="00C92A8C" w:rsidRPr="00A135A3" w:rsidRDefault="00C92A8C" w:rsidP="00C92A8C">
      <w:pPr>
        <w:spacing w:line="480" w:lineRule="auto"/>
        <w:jc w:val="both"/>
        <w:rPr>
          <w:rFonts w:eastAsia="Calibri" w:cs="Times New Roman"/>
        </w:rPr>
      </w:pPr>
      <w:r w:rsidRPr="00A135A3">
        <w:rPr>
          <w:rFonts w:eastAsia="Calibri" w:cs="Times New Roman"/>
        </w:rPr>
        <w:t xml:space="preserve">In the MHHI sample, the single most frequent diagnosis was schizophrenia (N= 85, 52%, with primary diagnosis not stated in one inquiry). This is higher than in the NCISH </w:t>
      </w:r>
      <w:r w:rsidRPr="00A135A3">
        <w:rPr>
          <w:rFonts w:eastAsia="Calibri" w:cs="Times New Roman"/>
        </w:rPr>
        <w:lastRenderedPageBreak/>
        <w:t xml:space="preserve">cohort where schizophrenia was the primary diagnosis in 200 (34%) cases. </w:t>
      </w:r>
      <w:r w:rsidR="00DD2705" w:rsidRPr="00A135A3">
        <w:rPr>
          <w:rFonts w:eastAsia="Calibri" w:cs="Times New Roman"/>
        </w:rPr>
        <w:t xml:space="preserve">Eighty-four perpetrators in MHHI (52%) had been non-adherent with contact and treatment prior to the homicide, comparable with 258 (48%) in NCISH. In the MHHI cohort, 86 perpetrators (53%) had an abnormal mental state at the time of the offence, 44 (51%) were acutely psychotic, and 11 (13%) were severely depressed, and use of illicit substances and/or alcohol was the primary reason for an abnormal mental state in 17 (20%). </w:t>
      </w:r>
      <w:r w:rsidR="00E55456" w:rsidRPr="00A135A3">
        <w:rPr>
          <w:rFonts w:eastAsia="Calibri" w:cs="Times New Roman"/>
        </w:rPr>
        <w:t xml:space="preserve">In the NCISH </w:t>
      </w:r>
      <w:r w:rsidR="00315FC0" w:rsidRPr="00A135A3">
        <w:rPr>
          <w:rFonts w:eastAsia="Calibri" w:cs="Times New Roman"/>
        </w:rPr>
        <w:t xml:space="preserve">sample a </w:t>
      </w:r>
      <w:r w:rsidR="00DD2705" w:rsidRPr="00A135A3">
        <w:rPr>
          <w:rFonts w:eastAsia="Calibri" w:cs="Times New Roman"/>
        </w:rPr>
        <w:t>total of 202 individuals (33%) had an abnormal mental state at the time of the homicide.</w:t>
      </w:r>
    </w:p>
    <w:p w14:paraId="6BC683CE" w14:textId="77777777" w:rsidR="00C92A8C" w:rsidRPr="00A135A3" w:rsidRDefault="00C92A8C" w:rsidP="00C92A8C">
      <w:pPr>
        <w:spacing w:line="480" w:lineRule="auto"/>
        <w:jc w:val="both"/>
        <w:rPr>
          <w:rFonts w:eastAsia="Calibri" w:cs="Times New Roman"/>
          <w:b/>
          <w:bCs/>
          <w:u w:val="single"/>
        </w:rPr>
      </w:pPr>
      <w:r w:rsidRPr="00A135A3">
        <w:rPr>
          <w:rFonts w:eastAsia="Calibri" w:cs="Times New Roman"/>
          <w:b/>
          <w:bCs/>
          <w:u w:val="single"/>
        </w:rPr>
        <w:t>Victim Characteristics</w:t>
      </w:r>
    </w:p>
    <w:p w14:paraId="65FD02C7" w14:textId="27009966" w:rsidR="00C92A8C" w:rsidRPr="00A135A3" w:rsidRDefault="00C92A8C" w:rsidP="00C92A8C">
      <w:pPr>
        <w:spacing w:line="480" w:lineRule="auto"/>
        <w:jc w:val="both"/>
        <w:rPr>
          <w:rFonts w:eastAsia="Calibri" w:cs="Times New Roman"/>
        </w:rPr>
      </w:pPr>
      <w:r w:rsidRPr="00A135A3">
        <w:rPr>
          <w:rFonts w:eastAsia="Calibri" w:cs="Times New Roman"/>
        </w:rPr>
        <w:t xml:space="preserve">Table 2 shows key characteristics of victims described in the MHHI cohort, which are compared, where </w:t>
      </w:r>
      <w:r w:rsidR="00DD2705" w:rsidRPr="00A135A3">
        <w:rPr>
          <w:rFonts w:eastAsia="Calibri" w:cs="Times New Roman"/>
        </w:rPr>
        <w:t xml:space="preserve">relevant </w:t>
      </w:r>
      <w:r w:rsidRPr="00A135A3">
        <w:rPr>
          <w:rFonts w:eastAsia="Calibri" w:cs="Times New Roman"/>
        </w:rPr>
        <w:t xml:space="preserve">data are available, with characteristics of victims of homicide in the general population and with victims of mental health homicides in the NCISH sample. </w:t>
      </w:r>
    </w:p>
    <w:p w14:paraId="366070FF" w14:textId="409435C3" w:rsidR="00C92A8C" w:rsidRPr="00A135A3" w:rsidRDefault="00C92A8C" w:rsidP="00C92A8C">
      <w:pPr>
        <w:spacing w:line="480" w:lineRule="auto"/>
        <w:jc w:val="both"/>
        <w:rPr>
          <w:rFonts w:eastAsia="Calibri" w:cs="Times New Roman"/>
        </w:rPr>
      </w:pPr>
      <w:r w:rsidRPr="00A135A3">
        <w:rPr>
          <w:rFonts w:eastAsia="Calibri" w:cs="Times New Roman"/>
        </w:rPr>
        <w:t xml:space="preserve">The age of victims is not stated in 110 (65%) of the MHHI cohort. There are similarities in the gender of victims between the three cohorts. However, most homicides in the general population </w:t>
      </w:r>
      <w:r w:rsidR="00260E2B" w:rsidRPr="00A135A3">
        <w:rPr>
          <w:rFonts w:eastAsia="Calibri" w:cs="Times New Roman"/>
        </w:rPr>
        <w:t>we</w:t>
      </w:r>
      <w:r w:rsidRPr="00A135A3">
        <w:rPr>
          <w:rFonts w:eastAsia="Calibri" w:cs="Times New Roman"/>
        </w:rPr>
        <w:t>re “stranger” homicides, wh</w:t>
      </w:r>
      <w:r w:rsidR="00406EED" w:rsidRPr="00A135A3">
        <w:rPr>
          <w:rFonts w:eastAsia="Calibri" w:cs="Times New Roman"/>
        </w:rPr>
        <w:t xml:space="preserve">ich </w:t>
      </w:r>
      <w:r w:rsidRPr="00A135A3">
        <w:rPr>
          <w:rFonts w:eastAsia="Calibri" w:cs="Times New Roman"/>
        </w:rPr>
        <w:t>account for only 14% in mental health homicides. Proportion</w:t>
      </w:r>
      <w:r w:rsidR="00B70B03" w:rsidRPr="00A135A3">
        <w:rPr>
          <w:rFonts w:eastAsia="Calibri" w:cs="Times New Roman"/>
        </w:rPr>
        <w:t>s</w:t>
      </w:r>
      <w:r w:rsidRPr="00A135A3">
        <w:rPr>
          <w:rFonts w:eastAsia="Calibri" w:cs="Times New Roman"/>
        </w:rPr>
        <w:t xml:space="preserve"> of victims who </w:t>
      </w:r>
      <w:r w:rsidR="003D03D9" w:rsidRPr="00A135A3">
        <w:rPr>
          <w:rFonts w:eastAsia="Calibri" w:cs="Times New Roman"/>
        </w:rPr>
        <w:t xml:space="preserve">were </w:t>
      </w:r>
      <w:r w:rsidRPr="00A135A3">
        <w:rPr>
          <w:rFonts w:eastAsia="Calibri" w:cs="Times New Roman"/>
        </w:rPr>
        <w:t xml:space="preserve">partners or ex-partners </w:t>
      </w:r>
      <w:r w:rsidR="003D03D9" w:rsidRPr="00A135A3">
        <w:rPr>
          <w:rFonts w:eastAsia="Calibri" w:cs="Times New Roman"/>
        </w:rPr>
        <w:t xml:space="preserve">were </w:t>
      </w:r>
      <w:r w:rsidRPr="00A135A3">
        <w:rPr>
          <w:rFonts w:eastAsia="Calibri" w:cs="Times New Roman"/>
        </w:rPr>
        <w:t xml:space="preserve">similar in all groups, whereas family members as victims </w:t>
      </w:r>
      <w:r w:rsidR="003D03D9" w:rsidRPr="00A135A3">
        <w:rPr>
          <w:rFonts w:eastAsia="Calibri" w:cs="Times New Roman"/>
        </w:rPr>
        <w:t xml:space="preserve">were </w:t>
      </w:r>
      <w:r w:rsidRPr="00A135A3">
        <w:rPr>
          <w:rFonts w:eastAsia="Calibri" w:cs="Times New Roman"/>
        </w:rPr>
        <w:t xml:space="preserve">over-represented in mental health homicides. </w:t>
      </w:r>
    </w:p>
    <w:p w14:paraId="2CDBC546" w14:textId="77777777" w:rsidR="00C92A8C" w:rsidRPr="00A135A3" w:rsidRDefault="00C92A8C" w:rsidP="00C92A8C">
      <w:pPr>
        <w:spacing w:line="480" w:lineRule="auto"/>
        <w:jc w:val="both"/>
        <w:rPr>
          <w:rFonts w:eastAsia="Calibri" w:cs="Times New Roman"/>
          <w:b/>
          <w:bCs/>
          <w:u w:val="single"/>
        </w:rPr>
      </w:pPr>
      <w:r w:rsidRPr="00A135A3">
        <w:rPr>
          <w:rFonts w:eastAsia="Calibri" w:cs="Times New Roman"/>
          <w:b/>
          <w:bCs/>
          <w:u w:val="single"/>
        </w:rPr>
        <w:t xml:space="preserve">Homicide Characteristics and Trial Outcomes </w:t>
      </w:r>
    </w:p>
    <w:p w14:paraId="5A1937AA" w14:textId="788E4293" w:rsidR="00C92A8C" w:rsidRPr="00A135A3" w:rsidRDefault="002B546B" w:rsidP="00C92A8C">
      <w:pPr>
        <w:spacing w:line="480" w:lineRule="auto"/>
        <w:jc w:val="both"/>
        <w:rPr>
          <w:rFonts w:eastAsia="Calibri" w:cs="Times New Roman"/>
        </w:rPr>
      </w:pPr>
      <w:r>
        <w:rPr>
          <w:rFonts w:eastAsia="Calibri" w:cs="Times New Roman"/>
        </w:rPr>
        <w:t>The key characteristics of homicides are shown in Table 3. T</w:t>
      </w:r>
      <w:r w:rsidR="00C92A8C" w:rsidRPr="00A135A3">
        <w:rPr>
          <w:rFonts w:eastAsia="Calibri" w:cs="Times New Roman"/>
        </w:rPr>
        <w:t xml:space="preserve">he use of a sharp instrument is comparable across NCISH and MHHI, and higher than in the general population. Over half of all homicides in the general population were in a private dwelling but ONS provides no breakdown of whether the homicide occurred in the </w:t>
      </w:r>
      <w:r w:rsidR="00C92A8C" w:rsidRPr="00A135A3">
        <w:rPr>
          <w:rFonts w:eastAsia="Calibri" w:cs="Times New Roman"/>
        </w:rPr>
        <w:lastRenderedPageBreak/>
        <w:t xml:space="preserve">perpetrator’s home or the victim’s; 83 (49%) of homicides in MHHI were in the victim’s home. These data are not available for the NCISH sample. </w:t>
      </w:r>
      <w:r w:rsidR="00DD2705" w:rsidRPr="00A135A3">
        <w:rPr>
          <w:rFonts w:eastAsia="Calibri" w:cs="Times New Roman"/>
        </w:rPr>
        <w:t xml:space="preserve">Ten </w:t>
      </w:r>
      <w:r w:rsidR="00C92A8C" w:rsidRPr="00A135A3">
        <w:rPr>
          <w:rFonts w:eastAsia="Calibri" w:cs="Times New Roman"/>
        </w:rPr>
        <w:t>(6%) homicides in MHHI were followed by suicide compared to 15 (</w:t>
      </w:r>
      <w:r w:rsidR="00292BB5" w:rsidRPr="00A135A3">
        <w:rPr>
          <w:rFonts w:eastAsia="Calibri" w:cs="Times New Roman"/>
        </w:rPr>
        <w:t>8</w:t>
      </w:r>
      <w:r w:rsidR="00C92A8C" w:rsidRPr="00A135A3">
        <w:rPr>
          <w:rFonts w:eastAsia="Calibri" w:cs="Times New Roman"/>
        </w:rPr>
        <w:t xml:space="preserve">%) in NCISH. </w:t>
      </w:r>
    </w:p>
    <w:p w14:paraId="14795AF7" w14:textId="171AAF55" w:rsidR="00C92A8C" w:rsidRPr="00A135A3" w:rsidRDefault="00C92A8C" w:rsidP="00C92A8C">
      <w:pPr>
        <w:spacing w:line="480" w:lineRule="auto"/>
        <w:jc w:val="both"/>
        <w:rPr>
          <w:rFonts w:eastAsia="Calibri" w:cs="Times New Roman"/>
        </w:rPr>
      </w:pPr>
      <w:r w:rsidRPr="00A135A3">
        <w:rPr>
          <w:rFonts w:eastAsia="Calibri" w:cs="Times New Roman"/>
        </w:rPr>
        <w:t xml:space="preserve">A comparison of ‘disposal’, referring to a sentence or outcome of a criminal case, shows some differences between </w:t>
      </w:r>
      <w:r w:rsidR="00DD2705" w:rsidRPr="00A135A3">
        <w:rPr>
          <w:rFonts w:eastAsia="Calibri" w:cs="Times New Roman"/>
        </w:rPr>
        <w:t>groups</w:t>
      </w:r>
      <w:r w:rsidRPr="00A135A3">
        <w:rPr>
          <w:rFonts w:eastAsia="Calibri" w:cs="Times New Roman"/>
        </w:rPr>
        <w:t xml:space="preserve">. </w:t>
      </w:r>
      <w:r w:rsidR="00DD2705" w:rsidRPr="00A135A3">
        <w:rPr>
          <w:rFonts w:eastAsia="Calibri" w:cs="Times New Roman"/>
        </w:rPr>
        <w:t xml:space="preserve">Fifty-five </w:t>
      </w:r>
      <w:r w:rsidRPr="00A135A3">
        <w:rPr>
          <w:rFonts w:eastAsia="Calibri" w:cs="Times New Roman"/>
        </w:rPr>
        <w:t>(34%) perpetrators in MHHI were diverted to hospital by way of Section 37 of the Mental Health Act 1983</w:t>
      </w:r>
      <w:r w:rsidR="002C4F36" w:rsidRPr="00A135A3">
        <w:rPr>
          <w:rFonts w:eastAsia="Calibri" w:cs="Times New Roman"/>
          <w:vertAlign w:val="superscript"/>
        </w:rPr>
        <w:t>1</w:t>
      </w:r>
      <w:r w:rsidR="00BB1812" w:rsidRPr="00A135A3">
        <w:rPr>
          <w:rFonts w:eastAsia="Calibri" w:cs="Times New Roman"/>
          <w:vertAlign w:val="superscript"/>
        </w:rPr>
        <w:t>7</w:t>
      </w:r>
      <w:r w:rsidRPr="00A135A3">
        <w:rPr>
          <w:rFonts w:eastAsia="Calibri" w:cs="Times New Roman"/>
        </w:rPr>
        <w:t xml:space="preserve"> (MHA 1983), the so-called ‘Hospital Order’</w:t>
      </w:r>
      <w:r w:rsidR="00F76976" w:rsidRPr="00A135A3">
        <w:rPr>
          <w:rFonts w:eastAsia="Calibri" w:cs="Times New Roman"/>
        </w:rPr>
        <w:t>,</w:t>
      </w:r>
      <w:r w:rsidRPr="00A135A3">
        <w:rPr>
          <w:rFonts w:eastAsia="Calibri" w:cs="Times New Roman"/>
        </w:rPr>
        <w:t xml:space="preserve"> compared to 143 (24%) in NCISH and 5% in the general population. </w:t>
      </w:r>
      <w:r w:rsidR="00DD2705" w:rsidRPr="00A135A3">
        <w:rPr>
          <w:rFonts w:eastAsia="Calibri" w:cs="Times New Roman"/>
        </w:rPr>
        <w:t xml:space="preserve">Eight </w:t>
      </w:r>
      <w:r w:rsidRPr="00A135A3">
        <w:rPr>
          <w:rFonts w:eastAsia="Calibri" w:cs="Times New Roman"/>
        </w:rPr>
        <w:t xml:space="preserve">(5%) perpetrators in MHHI received a so-called ‘Hybrid Order’ under Section 45A of the MHA 1983. </w:t>
      </w:r>
      <w:r w:rsidR="00DD2705" w:rsidRPr="00A135A3">
        <w:rPr>
          <w:rFonts w:eastAsia="Calibri" w:cs="Times New Roman"/>
        </w:rPr>
        <w:t xml:space="preserve">Seventy-one </w:t>
      </w:r>
      <w:r w:rsidRPr="00A135A3">
        <w:rPr>
          <w:rFonts w:eastAsia="Calibri" w:cs="Times New Roman"/>
        </w:rPr>
        <w:t xml:space="preserve">perpetrators (44%) in MHHI received a custodial sentence, whereas 446 (74%) did so in NCISH and 94% in the general population. </w:t>
      </w:r>
    </w:p>
    <w:p w14:paraId="0EA35FEB" w14:textId="77777777" w:rsidR="00C92A8C" w:rsidRPr="00A135A3" w:rsidRDefault="00C92A8C" w:rsidP="00C92A8C">
      <w:pPr>
        <w:spacing w:line="480" w:lineRule="auto"/>
        <w:jc w:val="both"/>
        <w:rPr>
          <w:rFonts w:eastAsia="Calibri" w:cs="Times New Roman"/>
          <w:b/>
          <w:bCs/>
          <w:u w:val="single"/>
        </w:rPr>
      </w:pPr>
      <w:r w:rsidRPr="00A135A3">
        <w:rPr>
          <w:rFonts w:eastAsia="Calibri" w:cs="Times New Roman"/>
          <w:b/>
          <w:bCs/>
          <w:u w:val="single"/>
        </w:rPr>
        <w:t>Inquiry Characteristics</w:t>
      </w:r>
    </w:p>
    <w:p w14:paraId="72929FC5" w14:textId="7E6F47AA" w:rsidR="00DD2705" w:rsidRPr="00A135A3" w:rsidRDefault="00C92A8C" w:rsidP="00DD2705">
      <w:pPr>
        <w:spacing w:line="480" w:lineRule="auto"/>
        <w:jc w:val="both"/>
        <w:rPr>
          <w:rFonts w:eastAsia="Calibri" w:cs="Times New Roman"/>
        </w:rPr>
      </w:pPr>
      <w:r w:rsidRPr="00A135A3">
        <w:rPr>
          <w:rFonts w:eastAsia="Calibri" w:cs="Times New Roman"/>
        </w:rPr>
        <w:t xml:space="preserve">A comparison of inquiry characteristics is included in Table 4. There was wide variation in nearly all domains. </w:t>
      </w:r>
      <w:r w:rsidR="00DD2705" w:rsidRPr="00A135A3">
        <w:rPr>
          <w:rFonts w:eastAsia="Calibri" w:cs="Times New Roman"/>
        </w:rPr>
        <w:t xml:space="preserve">The length of the full investigation reports ranged from 35 to 228 pages, and in 11 cases, only an executive summary was published on the NHSE website (ranging from 10 to 71 pages). Ten commercial companies undertook 157 of these independent investigations, with two companies </w:t>
      </w:r>
      <w:r w:rsidR="009F50DC" w:rsidRPr="00A135A3">
        <w:rPr>
          <w:rFonts w:eastAsia="Calibri" w:cs="Times New Roman"/>
        </w:rPr>
        <w:t xml:space="preserve">separately </w:t>
      </w:r>
      <w:r w:rsidR="00DD2705" w:rsidRPr="00A135A3">
        <w:rPr>
          <w:rFonts w:eastAsia="Calibri" w:cs="Times New Roman"/>
        </w:rPr>
        <w:t xml:space="preserve">carrying out 68 (43%) and 32 (20%) respectively. </w:t>
      </w:r>
      <w:r w:rsidR="009F50DC" w:rsidRPr="00A135A3">
        <w:rPr>
          <w:rFonts w:eastAsia="Calibri" w:cs="Times New Roman"/>
        </w:rPr>
        <w:t>F</w:t>
      </w:r>
      <w:r w:rsidR="00DD2705" w:rsidRPr="00A135A3">
        <w:rPr>
          <w:rFonts w:eastAsia="Calibri" w:cs="Times New Roman"/>
        </w:rPr>
        <w:t>ive investigations were carried out by individuals not affiliated with any commercial companies.</w:t>
      </w:r>
    </w:p>
    <w:p w14:paraId="56493436" w14:textId="6F459230" w:rsidR="00C92A8C" w:rsidRPr="00A135A3" w:rsidRDefault="00C92A8C" w:rsidP="00C92A8C">
      <w:pPr>
        <w:spacing w:line="480" w:lineRule="auto"/>
        <w:jc w:val="both"/>
        <w:rPr>
          <w:rFonts w:eastAsia="Calibri" w:cs="Times New Roman"/>
        </w:rPr>
      </w:pPr>
      <w:r w:rsidRPr="00A135A3">
        <w:rPr>
          <w:rFonts w:eastAsia="Calibri" w:cs="Times New Roman"/>
        </w:rPr>
        <w:t>There was no consistent format, and inquiry reports carried out by the same commercial firm varied</w:t>
      </w:r>
      <w:r w:rsidR="00023566" w:rsidRPr="00A135A3">
        <w:rPr>
          <w:rFonts w:eastAsia="Calibri" w:cs="Times New Roman"/>
        </w:rPr>
        <w:t xml:space="preserve"> in approach</w:t>
      </w:r>
      <w:r w:rsidRPr="00A135A3">
        <w:rPr>
          <w:rFonts w:eastAsia="Calibri" w:cs="Times New Roman"/>
        </w:rPr>
        <w:t xml:space="preserve">. Some reports included the Terms of Reference, others a Summary, but many did not include either. No report had a statement regarding conflicts of interests of the inquiry panel. Two reports noted that the panel </w:t>
      </w:r>
      <w:r w:rsidRPr="00A135A3">
        <w:rPr>
          <w:rFonts w:eastAsia="Calibri" w:cs="Times New Roman"/>
        </w:rPr>
        <w:lastRenderedPageBreak/>
        <w:t xml:space="preserve">had been chaired “independently” but did not explain what this meant. Eight reports (5%) contained a victim impact statement from the victim’s family members. </w:t>
      </w:r>
    </w:p>
    <w:p w14:paraId="43CD6116" w14:textId="77777777" w:rsidR="003B22DA" w:rsidRPr="00A135A3" w:rsidRDefault="00213567" w:rsidP="009F50DC">
      <w:pPr>
        <w:spacing w:line="480" w:lineRule="auto"/>
        <w:jc w:val="both"/>
        <w:rPr>
          <w:rFonts w:eastAsia="Calibri" w:cs="Arial"/>
          <w:kern w:val="0"/>
          <w:szCs w:val="24"/>
          <w14:ligatures w14:val="none"/>
        </w:rPr>
      </w:pPr>
      <w:r w:rsidRPr="00A135A3">
        <w:rPr>
          <w:rFonts w:eastAsia="Calibri" w:cs="Arial"/>
          <w:kern w:val="0"/>
          <w:szCs w:val="24"/>
          <w14:ligatures w14:val="none"/>
        </w:rPr>
        <w:t xml:space="preserve">Inquiry panel composition varied. </w:t>
      </w:r>
      <w:r w:rsidR="009F50DC" w:rsidRPr="00A135A3">
        <w:rPr>
          <w:rFonts w:eastAsia="Calibri" w:cs="Arial"/>
          <w:kern w:val="0"/>
          <w:szCs w:val="24"/>
          <w14:ligatures w14:val="none"/>
        </w:rPr>
        <w:t>In</w:t>
      </w:r>
      <w:r w:rsidR="00C92A8C" w:rsidRPr="00A135A3">
        <w:rPr>
          <w:rFonts w:eastAsia="Calibri" w:cs="Arial"/>
          <w:kern w:val="0"/>
          <w:szCs w:val="24"/>
          <w14:ligatures w14:val="none"/>
        </w:rPr>
        <w:t xml:space="preserve"> nine reports a legally qualified individual was part of the inquiry panel, </w:t>
      </w:r>
      <w:r w:rsidR="009F50DC" w:rsidRPr="00A135A3">
        <w:rPr>
          <w:rFonts w:eastAsia="Calibri" w:cs="Arial"/>
          <w:kern w:val="0"/>
          <w:szCs w:val="24"/>
          <w14:ligatures w14:val="none"/>
        </w:rPr>
        <w:t xml:space="preserve">and </w:t>
      </w:r>
      <w:r w:rsidR="00C92A8C" w:rsidRPr="00A135A3">
        <w:rPr>
          <w:rFonts w:eastAsia="Calibri" w:cs="Arial"/>
          <w:kern w:val="0"/>
          <w:szCs w:val="24"/>
          <w14:ligatures w14:val="none"/>
        </w:rPr>
        <w:t xml:space="preserve">seven reports referred to a lawyers’ firm that had provided legal oversight. Two </w:t>
      </w:r>
      <w:r w:rsidR="0088342F" w:rsidRPr="00A135A3">
        <w:rPr>
          <w:rFonts w:eastAsia="Calibri" w:cs="Arial"/>
          <w:kern w:val="0"/>
          <w:szCs w:val="24"/>
          <w14:ligatures w14:val="none"/>
        </w:rPr>
        <w:t xml:space="preserve">panels </w:t>
      </w:r>
      <w:r w:rsidR="00C92A8C" w:rsidRPr="00A135A3">
        <w:rPr>
          <w:rFonts w:eastAsia="Calibri" w:cs="Arial"/>
          <w:kern w:val="0"/>
          <w:szCs w:val="24"/>
          <w14:ligatures w14:val="none"/>
        </w:rPr>
        <w:t>had specific individuals for liaising with families of the perpetrator and victim(s).</w:t>
      </w:r>
      <w:r w:rsidR="009F50DC" w:rsidRPr="00A135A3">
        <w:rPr>
          <w:rFonts w:eastAsia="Calibri" w:cs="Arial"/>
          <w:kern w:val="0"/>
          <w:szCs w:val="24"/>
          <w14:ligatures w14:val="none"/>
        </w:rPr>
        <w:t xml:space="preserve"> Thirty-four (21%) of the reports provided only the name of panel members. Information regarding the background and qualifications of the panel members was variable in the remaining 128 (79%) reports, ranging from a single line to detailed </w:t>
      </w:r>
      <w:r w:rsidR="003B22DA" w:rsidRPr="00A135A3">
        <w:rPr>
          <w:rFonts w:eastAsia="Calibri" w:cs="Arial"/>
          <w:kern w:val="0"/>
          <w:szCs w:val="24"/>
          <w14:ligatures w14:val="none"/>
        </w:rPr>
        <w:t xml:space="preserve">biographies. </w:t>
      </w:r>
    </w:p>
    <w:p w14:paraId="0C9BF87C" w14:textId="2A98D26D" w:rsidR="009F50DC" w:rsidRPr="00A135A3" w:rsidRDefault="0054513D" w:rsidP="009F50DC">
      <w:pPr>
        <w:spacing w:line="480" w:lineRule="auto"/>
        <w:jc w:val="both"/>
        <w:rPr>
          <w:rFonts w:eastAsia="Calibri" w:cs="Times New Roman"/>
        </w:rPr>
      </w:pPr>
      <w:r w:rsidRPr="00A135A3">
        <w:rPr>
          <w:rFonts w:eastAsia="Calibri" w:cs="Times New Roman"/>
        </w:rPr>
        <w:t>The</w:t>
      </w:r>
      <w:r w:rsidR="009F50DC" w:rsidRPr="00A135A3">
        <w:rPr>
          <w:rFonts w:eastAsia="Calibri" w:cs="Times New Roman"/>
        </w:rPr>
        <w:t xml:space="preserve"> date of the homicide was not stated in two inquiry reports. Of the remaining 160 inquiries, the average time between the homicide and publication of the inquiry was 40 months, with a range of 4 - 112 months. </w:t>
      </w:r>
    </w:p>
    <w:p w14:paraId="350257D4" w14:textId="77777777" w:rsidR="00C92A8C" w:rsidRPr="00A135A3" w:rsidRDefault="00C92A8C" w:rsidP="00C92A8C">
      <w:pPr>
        <w:spacing w:line="480" w:lineRule="auto"/>
        <w:jc w:val="both"/>
        <w:rPr>
          <w:rFonts w:eastAsia="Calibri" w:cs="Arial"/>
          <w:kern w:val="0"/>
          <w:szCs w:val="24"/>
          <w:u w:val="single"/>
          <w14:ligatures w14:val="none"/>
        </w:rPr>
      </w:pPr>
      <w:r w:rsidRPr="00A135A3">
        <w:rPr>
          <w:rFonts w:eastAsia="Calibri" w:cs="Arial"/>
          <w:kern w:val="0"/>
          <w:szCs w:val="24"/>
          <w:u w:val="single"/>
          <w14:ligatures w14:val="none"/>
        </w:rPr>
        <w:t>Investigation methodology</w:t>
      </w:r>
    </w:p>
    <w:p w14:paraId="072D1A83" w14:textId="7B86D2D5" w:rsidR="009F50DC" w:rsidRPr="00A135A3" w:rsidRDefault="00C92A8C" w:rsidP="009F50DC">
      <w:pPr>
        <w:spacing w:line="480" w:lineRule="auto"/>
        <w:jc w:val="both"/>
        <w:rPr>
          <w:rFonts w:eastAsia="Calibri" w:cs="Arial"/>
          <w:kern w:val="0"/>
          <w:szCs w:val="24"/>
          <w14:ligatures w14:val="none"/>
        </w:rPr>
      </w:pPr>
      <w:r w:rsidRPr="00A135A3">
        <w:rPr>
          <w:rFonts w:eastAsia="Calibri" w:cs="Arial"/>
          <w:kern w:val="0"/>
          <w:szCs w:val="24"/>
          <w14:ligatures w14:val="none"/>
        </w:rPr>
        <w:t>In 40</w:t>
      </w:r>
      <w:r w:rsidR="00B827BE" w:rsidRPr="00A135A3">
        <w:rPr>
          <w:rFonts w:eastAsia="Calibri" w:cs="Arial"/>
          <w:kern w:val="0"/>
          <w:szCs w:val="24"/>
          <w14:ligatures w14:val="none"/>
        </w:rPr>
        <w:t xml:space="preserve"> of the </w:t>
      </w:r>
      <w:r w:rsidRPr="00A135A3">
        <w:rPr>
          <w:rFonts w:eastAsia="Calibri" w:cs="Arial"/>
          <w:kern w:val="0"/>
          <w:szCs w:val="24"/>
          <w14:ligatures w14:val="none"/>
        </w:rPr>
        <w:t xml:space="preserve">162 (25%) investigations, the methodology used was not stated. </w:t>
      </w:r>
      <w:r w:rsidR="009F50DC" w:rsidRPr="00A135A3">
        <w:rPr>
          <w:rFonts w:eastAsia="Calibri" w:cs="Arial"/>
          <w:kern w:val="0"/>
          <w:szCs w:val="24"/>
          <w14:ligatures w14:val="none"/>
        </w:rPr>
        <w:t>Of the remaining, 33 (27%) made reference to Department of Health and Social Care (DHSC) guidance</w:t>
      </w:r>
      <w:r w:rsidR="009F50DC" w:rsidRPr="00A135A3">
        <w:rPr>
          <w:rFonts w:eastAsia="Calibri" w:cs="Arial"/>
          <w:kern w:val="0"/>
          <w:szCs w:val="24"/>
          <w:vertAlign w:val="superscript"/>
          <w14:ligatures w14:val="none"/>
        </w:rPr>
        <w:t>18,</w:t>
      </w:r>
      <w:r w:rsidR="009F50DC" w:rsidRPr="00A135A3">
        <w:rPr>
          <w:rFonts w:eastAsia="Calibri" w:cs="Arial"/>
          <w:color w:val="0563C1" w:themeColor="hyperlink"/>
          <w:kern w:val="0"/>
          <w:szCs w:val="24"/>
          <w14:ligatures w14:val="none"/>
        </w:rPr>
        <w:t xml:space="preserve"> </w:t>
      </w:r>
      <w:r w:rsidR="009F50DC" w:rsidRPr="00A135A3">
        <w:rPr>
          <w:rFonts w:eastAsia="Calibri" w:cs="Arial"/>
          <w:kern w:val="0"/>
          <w:szCs w:val="24"/>
          <w14:ligatures w14:val="none"/>
        </w:rPr>
        <w:t xml:space="preserve">which mandated independent investigations after adverse events such as homicides (although this document was archived in 2013). 34 </w:t>
      </w:r>
      <w:r w:rsidR="00023566" w:rsidRPr="00A135A3">
        <w:rPr>
          <w:rFonts w:eastAsia="Calibri" w:cs="Arial"/>
          <w:kern w:val="0"/>
          <w:szCs w:val="24"/>
          <w14:ligatures w14:val="none"/>
        </w:rPr>
        <w:t xml:space="preserve">investigations </w:t>
      </w:r>
      <w:r w:rsidR="009F50DC" w:rsidRPr="00A135A3">
        <w:rPr>
          <w:rFonts w:eastAsia="Calibri" w:cs="Arial"/>
          <w:kern w:val="0"/>
          <w:szCs w:val="24"/>
          <w14:ligatures w14:val="none"/>
        </w:rPr>
        <w:t>(28%) referred to the 2015 Serious Incident Framework</w:t>
      </w:r>
      <w:r w:rsidR="009F50DC" w:rsidRPr="00A135A3">
        <w:rPr>
          <w:rFonts w:eastAsia="Calibri" w:cs="Arial"/>
          <w:kern w:val="0"/>
          <w:szCs w:val="24"/>
          <w:vertAlign w:val="superscript"/>
          <w14:ligatures w14:val="none"/>
        </w:rPr>
        <w:t>15</w:t>
      </w:r>
      <w:r w:rsidR="009F50DC" w:rsidRPr="00A135A3">
        <w:rPr>
          <w:rFonts w:eastAsia="Calibri" w:cs="Arial"/>
          <w:kern w:val="0"/>
          <w:szCs w:val="24"/>
          <w14:ligatures w14:val="none"/>
        </w:rPr>
        <w:t>, 28 (23%) to RCA, (usually in conjunction with the DHSC guidance), and 18 (15%) referred to the DHSC guidance on Article 2 Human Rights Act</w:t>
      </w:r>
      <w:r w:rsidR="009F50DC" w:rsidRPr="00A135A3">
        <w:rPr>
          <w:rFonts w:eastAsia="Calibri" w:cs="Arial"/>
          <w:kern w:val="0"/>
          <w:szCs w:val="24"/>
          <w:vertAlign w:val="superscript"/>
          <w14:ligatures w14:val="none"/>
        </w:rPr>
        <w:t>19</w:t>
      </w:r>
      <w:r w:rsidR="009F50DC" w:rsidRPr="00A135A3">
        <w:rPr>
          <w:rFonts w:eastAsia="Calibri" w:cs="Arial"/>
          <w:color w:val="4472C4" w:themeColor="accent1"/>
          <w:kern w:val="0"/>
          <w:szCs w:val="24"/>
          <w14:ligatures w14:val="none"/>
        </w:rPr>
        <w:t xml:space="preserve">. </w:t>
      </w:r>
      <w:r w:rsidR="009F50DC" w:rsidRPr="00A135A3">
        <w:rPr>
          <w:rFonts w:eastAsia="Calibri" w:cs="Arial"/>
          <w:kern w:val="0"/>
          <w:szCs w:val="24"/>
          <w14:ligatures w14:val="none"/>
        </w:rPr>
        <w:t>Forty-two</w:t>
      </w:r>
      <w:r w:rsidR="009F50DC" w:rsidRPr="00A135A3">
        <w:rPr>
          <w:rFonts w:eastAsia="Calibri" w:cs="Arial"/>
          <w:color w:val="4472C4" w:themeColor="accent1"/>
          <w:kern w:val="0"/>
          <w:szCs w:val="24"/>
          <w14:ligatures w14:val="none"/>
        </w:rPr>
        <w:t xml:space="preserve"> </w:t>
      </w:r>
      <w:r w:rsidR="009F50DC" w:rsidRPr="00A135A3">
        <w:rPr>
          <w:rFonts w:eastAsia="Calibri" w:cs="Arial"/>
          <w:kern w:val="0"/>
          <w:szCs w:val="24"/>
          <w14:ligatures w14:val="none"/>
        </w:rPr>
        <w:t xml:space="preserve">(35%) reports referred to more than one of these documents. </w:t>
      </w:r>
    </w:p>
    <w:p w14:paraId="50DC43AB" w14:textId="77777777" w:rsidR="00C92A8C" w:rsidRPr="00A135A3" w:rsidRDefault="00C92A8C" w:rsidP="00C92A8C">
      <w:pPr>
        <w:spacing w:line="480" w:lineRule="auto"/>
        <w:jc w:val="both"/>
        <w:rPr>
          <w:rFonts w:eastAsia="Calibri" w:cs="Arial"/>
          <w:kern w:val="0"/>
          <w:szCs w:val="24"/>
          <w14:ligatures w14:val="none"/>
        </w:rPr>
      </w:pPr>
      <w:bookmarkStart w:id="1" w:name="_Hlk180748736"/>
      <w:r w:rsidRPr="00A135A3">
        <w:rPr>
          <w:rFonts w:eastAsia="Calibri" w:cs="Arial"/>
          <w:kern w:val="0"/>
          <w:szCs w:val="24"/>
          <w14:ligatures w14:val="none"/>
        </w:rPr>
        <w:t xml:space="preserve">RCA was not mentioned as the methodology used in 124 (77%) reports, but 49 of these 124 (40%) criticised the provider mental health organisation’s internal investigation reports for not using RCA. Of the 124 inquiries that did not list RCA as </w:t>
      </w:r>
      <w:r w:rsidRPr="00A135A3">
        <w:rPr>
          <w:rFonts w:eastAsia="Calibri" w:cs="Arial"/>
          <w:kern w:val="0"/>
          <w:szCs w:val="24"/>
          <w14:ligatures w14:val="none"/>
        </w:rPr>
        <w:lastRenderedPageBreak/>
        <w:t xml:space="preserve">the methodology described, 44 reports (35%) described root causes and contributory factors. Conversely, of the 38 reports which stated that they used RCA as the methodology, 29 (76%) did not describe any root causes or contributory factors. </w:t>
      </w:r>
    </w:p>
    <w:p w14:paraId="57B714AE" w14:textId="268A7B11" w:rsidR="00541833" w:rsidRPr="00A135A3" w:rsidRDefault="00541833" w:rsidP="00C92A8C">
      <w:pPr>
        <w:spacing w:line="480" w:lineRule="auto"/>
        <w:jc w:val="both"/>
        <w:rPr>
          <w:rFonts w:eastAsia="Calibri" w:cs="Arial"/>
          <w:kern w:val="0"/>
          <w:szCs w:val="24"/>
          <w14:ligatures w14:val="none"/>
        </w:rPr>
      </w:pPr>
      <w:r w:rsidRPr="00A135A3">
        <w:rPr>
          <w:rFonts w:eastAsia="Calibri" w:cs="Arial"/>
          <w:kern w:val="0"/>
          <w:szCs w:val="24"/>
          <w14:ligatures w14:val="none"/>
        </w:rPr>
        <w:t>No inquiry described what model it used to attribute causation</w:t>
      </w:r>
      <w:r w:rsidR="00E35FB0" w:rsidRPr="00A135A3">
        <w:rPr>
          <w:rFonts w:eastAsia="Calibri" w:cs="Arial"/>
          <w:kern w:val="0"/>
          <w:szCs w:val="24"/>
          <w14:ligatures w14:val="none"/>
        </w:rPr>
        <w:t xml:space="preserve">. No inquiry described how it chose certain factors – whether omission or commissions by clinical teams, or system factors – to be causative, or contributory in nature. </w:t>
      </w:r>
    </w:p>
    <w:bookmarkEnd w:id="1"/>
    <w:p w14:paraId="2D1CE08C" w14:textId="77777777" w:rsidR="00C92A8C" w:rsidRPr="00A135A3" w:rsidRDefault="00C92A8C" w:rsidP="00C92A8C">
      <w:pPr>
        <w:spacing w:line="480" w:lineRule="auto"/>
        <w:jc w:val="both"/>
        <w:rPr>
          <w:rFonts w:eastAsia="Calibri" w:cs="Arial"/>
          <w:kern w:val="0"/>
          <w:szCs w:val="24"/>
          <w:u w:val="single"/>
          <w14:ligatures w14:val="none"/>
        </w:rPr>
      </w:pPr>
      <w:r w:rsidRPr="00A135A3">
        <w:rPr>
          <w:rFonts w:eastAsia="Calibri" w:cs="Arial"/>
          <w:kern w:val="0"/>
          <w:szCs w:val="24"/>
          <w:u w:val="single"/>
          <w14:ligatures w14:val="none"/>
        </w:rPr>
        <w:t>Interview of Key Stakeholders</w:t>
      </w:r>
    </w:p>
    <w:p w14:paraId="47DF2424" w14:textId="76BBC0FB" w:rsidR="00C92A8C" w:rsidRPr="00A135A3" w:rsidRDefault="009F50DC" w:rsidP="00C92A8C">
      <w:pPr>
        <w:spacing w:line="480" w:lineRule="auto"/>
        <w:jc w:val="both"/>
        <w:rPr>
          <w:rFonts w:eastAsia="Calibri" w:cs="Arial"/>
          <w:kern w:val="0"/>
          <w:szCs w:val="24"/>
          <w14:ligatures w14:val="none"/>
        </w:rPr>
      </w:pPr>
      <w:r w:rsidRPr="00A135A3">
        <w:rPr>
          <w:rFonts w:eastAsia="Calibri" w:cs="Arial"/>
          <w:kern w:val="0"/>
          <w:szCs w:val="24"/>
          <w14:ligatures w14:val="none"/>
        </w:rPr>
        <w:t xml:space="preserve">Seventy </w:t>
      </w:r>
      <w:r w:rsidR="00CA394E" w:rsidRPr="00A135A3">
        <w:rPr>
          <w:rFonts w:eastAsia="Calibri" w:cs="Arial"/>
          <w:kern w:val="0"/>
          <w:szCs w:val="24"/>
          <w14:ligatures w14:val="none"/>
        </w:rPr>
        <w:t xml:space="preserve">of 162 inquiries </w:t>
      </w:r>
      <w:r w:rsidR="00C92A8C" w:rsidRPr="00A135A3">
        <w:rPr>
          <w:rFonts w:eastAsia="Calibri" w:cs="Arial"/>
          <w:kern w:val="0"/>
          <w:szCs w:val="24"/>
          <w14:ligatures w14:val="none"/>
        </w:rPr>
        <w:t xml:space="preserve">(43%) interviewed the perpetrator’s family, 92 (57%) interviewed the victim’s family, 134 (83%) interviewed clinical staff and 24 (15%) interviewed commissioners of the service. In the 28 </w:t>
      </w:r>
      <w:r w:rsidR="00FC542F" w:rsidRPr="00A135A3">
        <w:rPr>
          <w:rFonts w:eastAsia="Calibri" w:cs="Arial"/>
          <w:kern w:val="0"/>
          <w:szCs w:val="24"/>
          <w14:ligatures w14:val="none"/>
        </w:rPr>
        <w:t>inquirie</w:t>
      </w:r>
      <w:r w:rsidR="00C92A8C" w:rsidRPr="00A135A3">
        <w:rPr>
          <w:rFonts w:eastAsia="Calibri" w:cs="Arial"/>
          <w:kern w:val="0"/>
          <w:szCs w:val="24"/>
          <w14:ligatures w14:val="none"/>
        </w:rPr>
        <w:t xml:space="preserve">s where clinical staff were not interviewed, no reasons for their exclusion was provided, although all 28 inquiries criticised the clinical practice of clinical staff. </w:t>
      </w:r>
    </w:p>
    <w:p w14:paraId="567A4547" w14:textId="77D09794" w:rsidR="00C92A8C" w:rsidRPr="00A135A3" w:rsidRDefault="00E35FB0" w:rsidP="00C92A8C">
      <w:pPr>
        <w:spacing w:line="480" w:lineRule="auto"/>
        <w:jc w:val="both"/>
        <w:rPr>
          <w:rFonts w:eastAsia="Calibri" w:cs="Arial"/>
          <w:b/>
          <w:bCs/>
          <w:kern w:val="0"/>
          <w:szCs w:val="24"/>
          <w:u w:val="single"/>
          <w14:ligatures w14:val="none"/>
        </w:rPr>
      </w:pPr>
      <w:r w:rsidRPr="00A135A3">
        <w:rPr>
          <w:rFonts w:eastAsia="Calibri" w:cs="Arial"/>
          <w:b/>
          <w:bCs/>
          <w:kern w:val="0"/>
          <w:szCs w:val="24"/>
          <w:u w:val="single"/>
          <w14:ligatures w14:val="none"/>
        </w:rPr>
        <w:t xml:space="preserve">Thematic </w:t>
      </w:r>
      <w:r w:rsidR="00C92A8C" w:rsidRPr="00A135A3">
        <w:rPr>
          <w:rFonts w:eastAsia="Calibri" w:cs="Arial"/>
          <w:b/>
          <w:bCs/>
          <w:kern w:val="0"/>
          <w:szCs w:val="24"/>
          <w:u w:val="single"/>
          <w14:ligatures w14:val="none"/>
        </w:rPr>
        <w:t xml:space="preserve">Analysis of Root Causes </w:t>
      </w:r>
      <w:r w:rsidR="00023566" w:rsidRPr="00A135A3">
        <w:rPr>
          <w:rFonts w:eastAsia="Calibri" w:cs="Arial"/>
          <w:b/>
          <w:bCs/>
          <w:kern w:val="0"/>
          <w:szCs w:val="24"/>
          <w:u w:val="single"/>
          <w14:ligatures w14:val="none"/>
        </w:rPr>
        <w:t xml:space="preserve">and </w:t>
      </w:r>
      <w:r w:rsidR="00C92A8C" w:rsidRPr="00A135A3">
        <w:rPr>
          <w:rFonts w:eastAsia="Calibri" w:cs="Arial"/>
          <w:b/>
          <w:bCs/>
          <w:kern w:val="0"/>
          <w:szCs w:val="24"/>
          <w:u w:val="single"/>
          <w14:ligatures w14:val="none"/>
        </w:rPr>
        <w:t>Contributory Factors</w:t>
      </w:r>
    </w:p>
    <w:p w14:paraId="2072A071" w14:textId="072E582A" w:rsidR="009F50DC" w:rsidRPr="00A135A3" w:rsidRDefault="00F16B2F" w:rsidP="00C92A8C">
      <w:pPr>
        <w:spacing w:line="480" w:lineRule="auto"/>
        <w:jc w:val="both"/>
        <w:rPr>
          <w:rFonts w:eastAsia="Calibri" w:cs="Arial"/>
          <w:kern w:val="0"/>
          <w:szCs w:val="24"/>
          <w14:ligatures w14:val="none"/>
        </w:rPr>
      </w:pPr>
      <w:r w:rsidRPr="00A135A3">
        <w:rPr>
          <w:rFonts w:eastAsia="Calibri" w:cs="Arial"/>
          <w:kern w:val="0"/>
          <w:szCs w:val="24"/>
          <w14:ligatures w14:val="none"/>
        </w:rPr>
        <w:t xml:space="preserve">Our </w:t>
      </w:r>
      <w:r w:rsidR="00E35FB0" w:rsidRPr="00A135A3">
        <w:rPr>
          <w:rFonts w:eastAsia="Calibri" w:cs="Arial"/>
          <w:kern w:val="0"/>
          <w:szCs w:val="24"/>
          <w14:ligatures w14:val="none"/>
        </w:rPr>
        <w:t xml:space="preserve">thematic </w:t>
      </w:r>
      <w:r w:rsidRPr="00A135A3">
        <w:rPr>
          <w:rFonts w:eastAsia="Calibri" w:cs="Arial"/>
          <w:kern w:val="0"/>
          <w:szCs w:val="24"/>
          <w14:ligatures w14:val="none"/>
        </w:rPr>
        <w:t xml:space="preserve">analysis of </w:t>
      </w:r>
      <w:r w:rsidR="00C92A8C" w:rsidRPr="00A135A3">
        <w:rPr>
          <w:rFonts w:eastAsia="Calibri" w:cs="Arial"/>
          <w:kern w:val="0"/>
          <w:szCs w:val="24"/>
          <w14:ligatures w14:val="none"/>
        </w:rPr>
        <w:t>root causes, contributory factors, care and service delivery problems and recommendations</w:t>
      </w:r>
      <w:r w:rsidRPr="00A135A3">
        <w:rPr>
          <w:rFonts w:eastAsia="Calibri" w:cs="Arial"/>
          <w:kern w:val="0"/>
          <w:szCs w:val="24"/>
          <w14:ligatures w14:val="none"/>
        </w:rPr>
        <w:t xml:space="preserve"> is </w:t>
      </w:r>
      <w:r w:rsidR="00C92A8C" w:rsidRPr="00A135A3">
        <w:rPr>
          <w:rFonts w:eastAsia="Calibri" w:cs="Arial"/>
          <w:kern w:val="0"/>
          <w:szCs w:val="24"/>
          <w14:ligatures w14:val="none"/>
        </w:rPr>
        <w:t xml:space="preserve">shown in Table 5. </w:t>
      </w:r>
      <w:r w:rsidR="009F50DC" w:rsidRPr="00A135A3">
        <w:rPr>
          <w:rFonts w:eastAsia="Calibri" w:cs="Arial"/>
          <w:kern w:val="0"/>
          <w:szCs w:val="24"/>
          <w14:ligatures w14:val="none"/>
        </w:rPr>
        <w:t xml:space="preserve">No inquiry had a definition of root cause, or how </w:t>
      </w:r>
      <w:r w:rsidR="00DB6390" w:rsidRPr="00A135A3">
        <w:rPr>
          <w:rFonts w:eastAsia="Calibri" w:cs="Arial"/>
          <w:kern w:val="0"/>
          <w:szCs w:val="24"/>
          <w14:ligatures w14:val="none"/>
        </w:rPr>
        <w:t xml:space="preserve">particular </w:t>
      </w:r>
      <w:r w:rsidR="009F50DC" w:rsidRPr="00A135A3">
        <w:rPr>
          <w:rFonts w:eastAsia="Calibri" w:cs="Arial"/>
          <w:kern w:val="0"/>
          <w:szCs w:val="24"/>
          <w14:ligatures w14:val="none"/>
        </w:rPr>
        <w:t>findings were determined to be root causes. Therefore, it was unclear whether a root cause was the ultimate causal factor, or the event most proximate to the index event, in this case homicide, where clinical services could have done something different that might have changed the course of events</w:t>
      </w:r>
      <w:r w:rsidR="009F50DC" w:rsidRPr="00A135A3">
        <w:rPr>
          <w:rFonts w:eastAsia="Calibri" w:cs="Arial"/>
          <w:kern w:val="0"/>
          <w:szCs w:val="24"/>
          <w:vertAlign w:val="superscript"/>
          <w14:ligatures w14:val="none"/>
        </w:rPr>
        <w:t>20,21,22</w:t>
      </w:r>
      <w:r w:rsidR="009F50DC" w:rsidRPr="00A135A3">
        <w:rPr>
          <w:rFonts w:eastAsia="Calibri" w:cs="Arial"/>
          <w:kern w:val="0"/>
          <w:szCs w:val="24"/>
          <w14:ligatures w14:val="none"/>
        </w:rPr>
        <w:t>. Similarly, no inquiry included a definition of contributory factor. Of the 162 independent inquiry reports, 24 (15%) described root causes, with 15 reports describing multiple root causes: 51 (31%) described contributory factors, and 45/51 (88%) reports described multiple contributory factors.</w:t>
      </w:r>
    </w:p>
    <w:p w14:paraId="27857D8D" w14:textId="1B6B1E2E" w:rsidR="009F50DC" w:rsidRPr="00A135A3" w:rsidRDefault="00C92A8C" w:rsidP="009F50DC">
      <w:pPr>
        <w:spacing w:line="480" w:lineRule="auto"/>
        <w:jc w:val="both"/>
        <w:rPr>
          <w:rFonts w:eastAsia="Calibri" w:cs="Arial"/>
          <w:kern w:val="0"/>
          <w:szCs w:val="24"/>
          <w14:ligatures w14:val="none"/>
        </w:rPr>
      </w:pPr>
      <w:r w:rsidRPr="00A135A3">
        <w:rPr>
          <w:rFonts w:eastAsia="Calibri" w:cs="Arial"/>
          <w:kern w:val="0"/>
          <w:szCs w:val="24"/>
          <w14:ligatures w14:val="none"/>
        </w:rPr>
        <w:lastRenderedPageBreak/>
        <w:t xml:space="preserve">Altogether, 59 reports (36%) described root causes and/or contributory factors. </w:t>
      </w:r>
      <w:r w:rsidR="009F50DC" w:rsidRPr="00A135A3">
        <w:rPr>
          <w:rFonts w:eastAsia="Calibri" w:cs="Arial"/>
          <w:kern w:val="0"/>
          <w:szCs w:val="24"/>
          <w14:ligatures w14:val="none"/>
        </w:rPr>
        <w:t xml:space="preserve">We undertook a thematic analysis of root causes and contributory factors from </w:t>
      </w:r>
      <w:r w:rsidR="0054513D" w:rsidRPr="00A135A3">
        <w:rPr>
          <w:rFonts w:eastAsia="Calibri" w:cs="Arial"/>
          <w:kern w:val="0"/>
          <w:szCs w:val="24"/>
          <w14:ligatures w14:val="none"/>
        </w:rPr>
        <w:t>these reports</w:t>
      </w:r>
      <w:r w:rsidR="00BC297A" w:rsidRPr="00A135A3">
        <w:rPr>
          <w:rFonts w:eastAsia="Calibri" w:cs="Arial"/>
          <w:kern w:val="0"/>
          <w:szCs w:val="24"/>
          <w14:ligatures w14:val="none"/>
        </w:rPr>
        <w:t xml:space="preserve"> using the ‘READ’ technique</w:t>
      </w:r>
      <w:r w:rsidR="00F04E62" w:rsidRPr="00A135A3">
        <w:rPr>
          <w:rFonts w:eastAsia="Calibri" w:cs="Arial"/>
          <w:kern w:val="0"/>
          <w:szCs w:val="24"/>
          <w:vertAlign w:val="superscript"/>
          <w14:ligatures w14:val="none"/>
        </w:rPr>
        <w:t>12</w:t>
      </w:r>
      <w:r w:rsidR="009F50DC" w:rsidRPr="00A135A3">
        <w:rPr>
          <w:rFonts w:eastAsia="Calibri" w:cs="Arial"/>
          <w:kern w:val="0"/>
          <w:szCs w:val="24"/>
          <w14:ligatures w14:val="none"/>
        </w:rPr>
        <w:t>. Fourteen final themes were identified,</w:t>
      </w:r>
      <w:r w:rsidR="009F50DC" w:rsidRPr="00A135A3">
        <w:rPr>
          <w:rFonts w:ascii="Calibri" w:eastAsia="Calibri" w:hAnsi="Calibri" w:cs="Times New Roman"/>
          <w:kern w:val="0"/>
          <w:sz w:val="22"/>
          <w14:ligatures w14:val="none"/>
        </w:rPr>
        <w:t xml:space="preserve"> </w:t>
      </w:r>
      <w:r w:rsidR="009F50DC" w:rsidRPr="00A135A3">
        <w:rPr>
          <w:rFonts w:eastAsia="Calibri" w:cs="Arial"/>
          <w:kern w:val="0"/>
          <w:szCs w:val="24"/>
          <w14:ligatures w14:val="none"/>
        </w:rPr>
        <w:t xml:space="preserve">based on content similarities and unique relationships, which included perpetrator characteristics (such as illness), pathway (such as assessment and discharge), risk assessment, and communication. </w:t>
      </w:r>
    </w:p>
    <w:p w14:paraId="16157066" w14:textId="77777777" w:rsidR="00C92A8C" w:rsidRPr="00A135A3" w:rsidRDefault="00C92A8C" w:rsidP="00C92A8C">
      <w:pPr>
        <w:spacing w:line="480" w:lineRule="auto"/>
        <w:jc w:val="both"/>
        <w:rPr>
          <w:rFonts w:eastAsia="Calibri" w:cs="Arial"/>
          <w:kern w:val="0"/>
          <w:szCs w:val="24"/>
          <w14:ligatures w14:val="none"/>
        </w:rPr>
      </w:pPr>
      <w:r w:rsidRPr="00A135A3">
        <w:rPr>
          <w:rFonts w:eastAsia="Calibri" w:cs="Arial"/>
          <w:kern w:val="0"/>
          <w:szCs w:val="24"/>
          <w14:ligatures w14:val="none"/>
        </w:rPr>
        <w:t xml:space="preserve">Most themes were identified in more than one report, with nearly all reports describing a combination of these themes. The most frequent theme identified in MHHI was </w:t>
      </w:r>
      <w:bookmarkStart w:id="2" w:name="_Hlk180752737"/>
      <w:r w:rsidRPr="00A135A3">
        <w:rPr>
          <w:rFonts w:eastAsia="Calibri" w:cs="Arial"/>
          <w:i/>
          <w:iCs/>
          <w:kern w:val="0"/>
          <w:szCs w:val="24"/>
          <w14:ligatures w14:val="none"/>
        </w:rPr>
        <w:t>deficits in assessment, treatment, follow-up or discharge of the perpetrator</w:t>
      </w:r>
      <w:r w:rsidRPr="00A135A3">
        <w:rPr>
          <w:rFonts w:eastAsia="Calibri" w:cs="Arial"/>
          <w:kern w:val="0"/>
          <w:szCs w:val="24"/>
          <w14:ligatures w14:val="none"/>
        </w:rPr>
        <w:t xml:space="preserve"> (N=37, 63%), followed by </w:t>
      </w:r>
      <w:r w:rsidRPr="00A135A3">
        <w:rPr>
          <w:rFonts w:eastAsia="Calibri" w:cs="Arial"/>
          <w:i/>
          <w:iCs/>
          <w:kern w:val="0"/>
          <w:szCs w:val="24"/>
          <w14:ligatures w14:val="none"/>
        </w:rPr>
        <w:t>deficits in risk assessment and management</w:t>
      </w:r>
      <w:r w:rsidRPr="00A135A3">
        <w:rPr>
          <w:rFonts w:eastAsia="Calibri" w:cs="Arial"/>
          <w:kern w:val="0"/>
          <w:szCs w:val="24"/>
          <w14:ligatures w14:val="none"/>
        </w:rPr>
        <w:t xml:space="preserve"> (N=26, 44%) and </w:t>
      </w:r>
      <w:r w:rsidRPr="00A135A3">
        <w:rPr>
          <w:rFonts w:eastAsia="Calibri" w:cs="Arial"/>
          <w:i/>
          <w:iCs/>
          <w:kern w:val="0"/>
          <w:szCs w:val="24"/>
          <w14:ligatures w14:val="none"/>
        </w:rPr>
        <w:t>patient factors</w:t>
      </w:r>
      <w:r w:rsidRPr="00A135A3">
        <w:rPr>
          <w:rFonts w:eastAsia="Calibri" w:cs="Arial"/>
          <w:kern w:val="0"/>
          <w:szCs w:val="24"/>
          <w14:ligatures w14:val="none"/>
        </w:rPr>
        <w:t xml:space="preserve"> </w:t>
      </w:r>
      <w:bookmarkEnd w:id="2"/>
      <w:r w:rsidRPr="00A135A3">
        <w:rPr>
          <w:rFonts w:eastAsia="Calibri" w:cs="Arial"/>
          <w:kern w:val="0"/>
          <w:szCs w:val="24"/>
          <w14:ligatures w14:val="none"/>
        </w:rPr>
        <w:t xml:space="preserve">(N=26, 44%). </w:t>
      </w:r>
      <w:r w:rsidRPr="00A135A3">
        <w:rPr>
          <w:rFonts w:eastAsia="Calibri" w:cs="Arial"/>
          <w:i/>
          <w:iCs/>
          <w:kern w:val="0"/>
          <w:szCs w:val="24"/>
          <w14:ligatures w14:val="none"/>
        </w:rPr>
        <w:t>Deficits in Care Programme Approach (CPA) and care planning</w:t>
      </w:r>
      <w:r w:rsidRPr="00A135A3">
        <w:rPr>
          <w:rFonts w:eastAsia="Calibri" w:cs="Arial"/>
          <w:kern w:val="0"/>
          <w:szCs w:val="24"/>
          <w14:ligatures w14:val="none"/>
        </w:rPr>
        <w:t xml:space="preserve"> was the theme in 21 (36%) reports. </w:t>
      </w:r>
      <w:r w:rsidRPr="00A135A3">
        <w:rPr>
          <w:rFonts w:eastAsia="Calibri" w:cs="Arial"/>
          <w:i/>
          <w:iCs/>
          <w:kern w:val="0"/>
          <w:szCs w:val="24"/>
          <w14:ligatures w14:val="none"/>
        </w:rPr>
        <w:t>Communication with other agencies</w:t>
      </w:r>
      <w:r w:rsidRPr="00A135A3">
        <w:rPr>
          <w:rFonts w:eastAsia="Calibri" w:cs="Arial"/>
          <w:kern w:val="0"/>
          <w:szCs w:val="24"/>
          <w14:ligatures w14:val="none"/>
        </w:rPr>
        <w:t xml:space="preserve"> featured 17 times (29%), and </w:t>
      </w:r>
      <w:r w:rsidRPr="00A135A3">
        <w:rPr>
          <w:rFonts w:eastAsia="Calibri" w:cs="Arial"/>
          <w:i/>
          <w:iCs/>
          <w:kern w:val="0"/>
          <w:szCs w:val="24"/>
          <w14:ligatures w14:val="none"/>
        </w:rPr>
        <w:t>inadequate resource</w:t>
      </w:r>
      <w:r w:rsidRPr="00A135A3">
        <w:rPr>
          <w:rFonts w:eastAsia="Calibri" w:cs="Arial"/>
          <w:kern w:val="0"/>
          <w:szCs w:val="24"/>
          <w14:ligatures w14:val="none"/>
        </w:rPr>
        <w:t xml:space="preserve"> 11 times (19%). </w:t>
      </w:r>
    </w:p>
    <w:p w14:paraId="4F85BB97" w14:textId="36FA0C75" w:rsidR="00C92A8C" w:rsidRPr="00A135A3" w:rsidRDefault="00C92A8C" w:rsidP="00C92A8C">
      <w:pPr>
        <w:spacing w:line="480" w:lineRule="auto"/>
        <w:jc w:val="both"/>
        <w:rPr>
          <w:rFonts w:eastAsia="Calibri" w:cs="Arial"/>
          <w:kern w:val="0"/>
          <w:szCs w:val="24"/>
          <w14:ligatures w14:val="none"/>
        </w:rPr>
      </w:pPr>
      <w:bookmarkStart w:id="3" w:name="_Hlk180752781"/>
      <w:r w:rsidRPr="00A135A3">
        <w:rPr>
          <w:rFonts w:eastAsia="Calibri" w:cs="Arial"/>
          <w:kern w:val="0"/>
          <w:szCs w:val="24"/>
          <w14:ligatures w14:val="none"/>
        </w:rPr>
        <w:t>Only one inquiry of 162 made a statement that there was a “</w:t>
      </w:r>
      <w:r w:rsidRPr="00A135A3">
        <w:rPr>
          <w:rFonts w:eastAsia="Calibri" w:cs="Arial"/>
          <w:i/>
          <w:iCs/>
          <w:kern w:val="0"/>
          <w:szCs w:val="24"/>
          <w14:ligatures w14:val="none"/>
        </w:rPr>
        <w:t>direct causal link</w:t>
      </w:r>
      <w:r w:rsidRPr="00A135A3">
        <w:rPr>
          <w:rFonts w:eastAsia="Calibri" w:cs="Arial"/>
          <w:kern w:val="0"/>
          <w:szCs w:val="24"/>
          <w14:ligatures w14:val="none"/>
        </w:rPr>
        <w:t>” between the care and treatment of the perpetrator, the relapse of his mental illness, and the homicide of the victim</w:t>
      </w:r>
      <w:bookmarkEnd w:id="3"/>
      <w:r w:rsidRPr="00A135A3">
        <w:rPr>
          <w:rFonts w:eastAsia="Calibri" w:cs="Arial"/>
          <w:kern w:val="0"/>
          <w:szCs w:val="24"/>
          <w14:ligatures w14:val="none"/>
        </w:rPr>
        <w:t xml:space="preserve">. </w:t>
      </w:r>
    </w:p>
    <w:p w14:paraId="6CEA8FAD" w14:textId="38B9F2B7" w:rsidR="00C92A8C" w:rsidRPr="00A135A3" w:rsidRDefault="00A06B4F" w:rsidP="00C92A8C">
      <w:pPr>
        <w:spacing w:line="480" w:lineRule="auto"/>
        <w:jc w:val="both"/>
        <w:rPr>
          <w:rFonts w:eastAsia="Calibri" w:cs="Arial"/>
          <w:kern w:val="0"/>
          <w:szCs w:val="24"/>
          <w14:ligatures w14:val="none"/>
        </w:rPr>
      </w:pPr>
      <w:r w:rsidRPr="00A135A3">
        <w:rPr>
          <w:rFonts w:eastAsia="Calibri" w:cs="Arial"/>
          <w:kern w:val="0"/>
          <w:szCs w:val="24"/>
          <w14:ligatures w14:val="none"/>
        </w:rPr>
        <w:t>C</w:t>
      </w:r>
      <w:r w:rsidR="00C92A8C" w:rsidRPr="00A135A3">
        <w:rPr>
          <w:rFonts w:eastAsia="Calibri" w:cs="Arial"/>
          <w:kern w:val="0"/>
          <w:szCs w:val="24"/>
          <w14:ligatures w14:val="none"/>
        </w:rPr>
        <w:t>are and service delivery problems</w:t>
      </w:r>
      <w:r w:rsidRPr="00A135A3">
        <w:rPr>
          <w:rFonts w:eastAsia="Calibri" w:cs="Arial"/>
          <w:kern w:val="0"/>
          <w:szCs w:val="24"/>
          <w14:ligatures w14:val="none"/>
        </w:rPr>
        <w:t xml:space="preserve"> were </w:t>
      </w:r>
      <w:r w:rsidR="00C92A8C" w:rsidRPr="00A135A3">
        <w:rPr>
          <w:rFonts w:eastAsia="Calibri" w:cs="Arial"/>
          <w:kern w:val="0"/>
          <w:szCs w:val="24"/>
          <w14:ligatures w14:val="none"/>
        </w:rPr>
        <w:t>frequently described together in inquiry reports. No</w:t>
      </w:r>
      <w:r w:rsidR="0015269F" w:rsidRPr="00A135A3">
        <w:rPr>
          <w:rFonts w:eastAsia="Calibri" w:cs="Arial"/>
          <w:kern w:val="0"/>
          <w:szCs w:val="24"/>
          <w14:ligatures w14:val="none"/>
        </w:rPr>
        <w:t xml:space="preserve"> inquiry report </w:t>
      </w:r>
      <w:r w:rsidR="00C92A8C" w:rsidRPr="00A135A3">
        <w:rPr>
          <w:rFonts w:eastAsia="Calibri" w:cs="Arial"/>
          <w:kern w:val="0"/>
          <w:szCs w:val="24"/>
          <w14:ligatures w14:val="none"/>
        </w:rPr>
        <w:t xml:space="preserve">included a definition of a care or service delivery problem. </w:t>
      </w:r>
      <w:r w:rsidR="00750DA2" w:rsidRPr="00A135A3">
        <w:rPr>
          <w:rFonts w:eastAsia="Calibri" w:cs="Arial"/>
          <w:kern w:val="0"/>
          <w:szCs w:val="24"/>
          <w14:ligatures w14:val="none"/>
        </w:rPr>
        <w:t>Of the 162 MHHI reports, 89 (55%) described either care or service delivery problems. Altogether, 291 individual items were described. We identified 15 themes, based on content similarities and unique relationships.</w:t>
      </w:r>
    </w:p>
    <w:p w14:paraId="1E29FAF9" w14:textId="27F1AE3C" w:rsidR="00C92A8C" w:rsidRPr="00A135A3" w:rsidRDefault="00E35FB0" w:rsidP="00C92A8C">
      <w:pPr>
        <w:spacing w:line="480" w:lineRule="auto"/>
        <w:jc w:val="both"/>
        <w:rPr>
          <w:rFonts w:eastAsia="Calibri" w:cs="Arial"/>
          <w:b/>
          <w:bCs/>
          <w:kern w:val="0"/>
          <w:szCs w:val="24"/>
          <w:u w:val="single"/>
          <w14:ligatures w14:val="none"/>
        </w:rPr>
      </w:pPr>
      <w:r w:rsidRPr="00A135A3">
        <w:rPr>
          <w:rFonts w:eastAsia="Calibri" w:cs="Arial"/>
          <w:b/>
          <w:bCs/>
          <w:kern w:val="0"/>
          <w:szCs w:val="24"/>
          <w:u w:val="single"/>
          <w14:ligatures w14:val="none"/>
        </w:rPr>
        <w:t xml:space="preserve">Thematic </w:t>
      </w:r>
      <w:r w:rsidR="00C92A8C" w:rsidRPr="00A135A3">
        <w:rPr>
          <w:rFonts w:eastAsia="Calibri" w:cs="Arial"/>
          <w:b/>
          <w:bCs/>
          <w:kern w:val="0"/>
          <w:szCs w:val="24"/>
          <w:u w:val="single"/>
          <w14:ligatures w14:val="none"/>
        </w:rPr>
        <w:t>Analysis of Recommendations</w:t>
      </w:r>
    </w:p>
    <w:p w14:paraId="48E07573" w14:textId="77777777" w:rsidR="00BF79F2" w:rsidRPr="00A135A3" w:rsidRDefault="00C92A8C" w:rsidP="00BF79F2">
      <w:pPr>
        <w:spacing w:line="480" w:lineRule="auto"/>
        <w:jc w:val="both"/>
        <w:rPr>
          <w:rFonts w:eastAsia="Calibri" w:cs="Arial"/>
          <w:kern w:val="0"/>
          <w:szCs w:val="24"/>
          <w14:ligatures w14:val="none"/>
        </w:rPr>
      </w:pPr>
      <w:r w:rsidRPr="00A135A3">
        <w:rPr>
          <w:rFonts w:eastAsia="Calibri" w:cs="Arial"/>
          <w:kern w:val="0"/>
          <w:szCs w:val="24"/>
          <w14:ligatures w14:val="none"/>
        </w:rPr>
        <w:t>Of 162 MHHI reports, three made no recommendations. The remaining reports made between 1</w:t>
      </w:r>
      <w:r w:rsidR="00BF79F2" w:rsidRPr="00A135A3">
        <w:rPr>
          <w:rFonts w:eastAsia="Calibri" w:cs="Arial"/>
          <w:kern w:val="0"/>
          <w:szCs w:val="24"/>
          <w14:ligatures w14:val="none"/>
        </w:rPr>
        <w:t>-</w:t>
      </w:r>
      <w:r w:rsidRPr="00A135A3">
        <w:rPr>
          <w:rFonts w:eastAsia="Calibri" w:cs="Arial"/>
          <w:kern w:val="0"/>
          <w:szCs w:val="24"/>
          <w14:ligatures w14:val="none"/>
        </w:rPr>
        <w:t>29 recommendations</w:t>
      </w:r>
      <w:r w:rsidR="00BF79F2" w:rsidRPr="00A135A3">
        <w:rPr>
          <w:rFonts w:eastAsia="Calibri" w:cs="Arial"/>
          <w:kern w:val="0"/>
          <w:szCs w:val="24"/>
          <w14:ligatures w14:val="none"/>
        </w:rPr>
        <w:t>:</w:t>
      </w:r>
      <w:r w:rsidRPr="00A135A3">
        <w:rPr>
          <w:rFonts w:eastAsia="Calibri" w:cs="Arial"/>
          <w:kern w:val="0"/>
          <w:szCs w:val="24"/>
          <w14:ligatures w14:val="none"/>
        </w:rPr>
        <w:t xml:space="preserve"> </w:t>
      </w:r>
      <w:r w:rsidR="00BF79F2" w:rsidRPr="00A135A3">
        <w:rPr>
          <w:rFonts w:eastAsia="Calibri" w:cs="Arial"/>
          <w:kern w:val="0"/>
          <w:szCs w:val="24"/>
          <w14:ligatures w14:val="none"/>
        </w:rPr>
        <w:t>m</w:t>
      </w:r>
      <w:r w:rsidRPr="00A135A3">
        <w:rPr>
          <w:rFonts w:eastAsia="Calibri" w:cs="Arial"/>
          <w:kern w:val="0"/>
          <w:szCs w:val="24"/>
          <w14:ligatures w14:val="none"/>
        </w:rPr>
        <w:t xml:space="preserve">any recommendations were multi-faceted. </w:t>
      </w:r>
      <w:r w:rsidRPr="00A135A3">
        <w:rPr>
          <w:rFonts w:eastAsia="Calibri" w:cs="Arial"/>
          <w:kern w:val="0"/>
          <w:szCs w:val="24"/>
          <w14:ligatures w14:val="none"/>
        </w:rPr>
        <w:lastRenderedPageBreak/>
        <w:t xml:space="preserve">Altogether, 2562 individual recommendations were analysed, and 18 themes were identified. Fourteen of these overlap with themes from root causes, contributory factors and care and service delivery problems. </w:t>
      </w:r>
      <w:bookmarkStart w:id="4" w:name="_Hlk180752818"/>
      <w:r w:rsidR="00BF79F2" w:rsidRPr="00A135A3">
        <w:rPr>
          <w:rFonts w:eastAsia="Calibri" w:cs="Arial"/>
          <w:kern w:val="0"/>
          <w:szCs w:val="24"/>
          <w14:ligatures w14:val="none"/>
        </w:rPr>
        <w:t xml:space="preserve">The most frequent recommendations related to </w:t>
      </w:r>
      <w:r w:rsidR="00BF79F2" w:rsidRPr="00A135A3">
        <w:rPr>
          <w:rFonts w:eastAsia="Calibri" w:cs="Arial"/>
          <w:i/>
          <w:iCs/>
          <w:kern w:val="0"/>
          <w:szCs w:val="24"/>
          <w14:ligatures w14:val="none"/>
        </w:rPr>
        <w:t>changing policy</w:t>
      </w:r>
      <w:r w:rsidR="00BF79F2" w:rsidRPr="00A135A3">
        <w:rPr>
          <w:rFonts w:eastAsia="Calibri" w:cs="Arial"/>
          <w:kern w:val="0"/>
          <w:szCs w:val="24"/>
          <w14:ligatures w14:val="none"/>
        </w:rPr>
        <w:t xml:space="preserve"> (n=155) and </w:t>
      </w:r>
      <w:r w:rsidR="00BF79F2" w:rsidRPr="00A135A3">
        <w:rPr>
          <w:rFonts w:eastAsia="Calibri" w:cs="Arial"/>
          <w:i/>
          <w:iCs/>
          <w:kern w:val="0"/>
          <w:szCs w:val="24"/>
          <w14:ligatures w14:val="none"/>
        </w:rPr>
        <w:t>improving clinical governance</w:t>
      </w:r>
      <w:r w:rsidR="00BF79F2" w:rsidRPr="00A135A3">
        <w:rPr>
          <w:rFonts w:eastAsia="Calibri" w:cs="Arial"/>
          <w:kern w:val="0"/>
          <w:szCs w:val="24"/>
          <w14:ligatures w14:val="none"/>
        </w:rPr>
        <w:t xml:space="preserve"> (n=104), followed by </w:t>
      </w:r>
      <w:r w:rsidR="00BF79F2" w:rsidRPr="00A135A3">
        <w:rPr>
          <w:rFonts w:eastAsia="Calibri" w:cs="Arial"/>
          <w:i/>
          <w:iCs/>
          <w:kern w:val="0"/>
          <w:szCs w:val="24"/>
          <w14:ligatures w14:val="none"/>
        </w:rPr>
        <w:t>changes to training</w:t>
      </w:r>
      <w:r w:rsidR="00BF79F2" w:rsidRPr="00A135A3">
        <w:rPr>
          <w:rFonts w:eastAsia="Calibri" w:cs="Arial"/>
          <w:kern w:val="0"/>
          <w:szCs w:val="24"/>
          <w14:ligatures w14:val="none"/>
        </w:rPr>
        <w:t xml:space="preserve"> (n=43).  </w:t>
      </w:r>
    </w:p>
    <w:bookmarkEnd w:id="4"/>
    <w:p w14:paraId="5EDBC7E6" w14:textId="2FB04621" w:rsidR="009B390B" w:rsidRPr="00A135A3" w:rsidRDefault="00980A58" w:rsidP="00C92A8C">
      <w:pPr>
        <w:spacing w:line="480" w:lineRule="auto"/>
        <w:jc w:val="both"/>
        <w:rPr>
          <w:rFonts w:eastAsia="Calibri" w:cs="Arial"/>
          <w:kern w:val="0"/>
          <w:szCs w:val="24"/>
          <w14:ligatures w14:val="none"/>
        </w:rPr>
      </w:pPr>
      <w:r w:rsidRPr="00A135A3">
        <w:rPr>
          <w:rFonts w:eastAsia="Calibri" w:cs="Arial"/>
          <w:kern w:val="0"/>
          <w:szCs w:val="24"/>
          <w14:ligatures w14:val="none"/>
        </w:rPr>
        <w:t xml:space="preserve">In most inquiries, </w:t>
      </w:r>
      <w:bookmarkStart w:id="5" w:name="_Hlk180752857"/>
      <w:r w:rsidRPr="00A135A3">
        <w:rPr>
          <w:rFonts w:eastAsia="Calibri" w:cs="Arial"/>
          <w:kern w:val="0"/>
          <w:szCs w:val="24"/>
          <w14:ligatures w14:val="none"/>
        </w:rPr>
        <w:t>there was no direct link between putative causes or problems, and resulting recommendations</w:t>
      </w:r>
      <w:bookmarkEnd w:id="5"/>
      <w:r w:rsidRPr="00A135A3">
        <w:rPr>
          <w:rFonts w:eastAsia="Calibri" w:cs="Arial"/>
          <w:kern w:val="0"/>
          <w:szCs w:val="24"/>
          <w14:ligatures w14:val="none"/>
        </w:rPr>
        <w:t xml:space="preserve">. </w:t>
      </w:r>
      <w:r w:rsidRPr="00A135A3">
        <w:rPr>
          <w:rFonts w:eastAsia="Calibri" w:cs="Arial"/>
          <w:i/>
          <w:iCs/>
          <w:kern w:val="0"/>
          <w:szCs w:val="24"/>
          <w14:ligatures w14:val="none"/>
        </w:rPr>
        <w:t>Assessment, treatment and follow-up</w:t>
      </w:r>
      <w:r w:rsidRPr="00A135A3">
        <w:rPr>
          <w:rFonts w:eastAsia="Calibri" w:cs="Arial"/>
          <w:kern w:val="0"/>
          <w:szCs w:val="24"/>
          <w14:ligatures w14:val="none"/>
        </w:rPr>
        <w:t xml:space="preserve"> was the most frequent problem identified, followed by </w:t>
      </w:r>
      <w:r w:rsidRPr="00A135A3">
        <w:rPr>
          <w:rFonts w:eastAsia="Calibri" w:cs="Arial"/>
          <w:i/>
          <w:iCs/>
          <w:kern w:val="0"/>
          <w:szCs w:val="24"/>
          <w14:ligatures w14:val="none"/>
        </w:rPr>
        <w:t>risk assessment</w:t>
      </w:r>
      <w:r w:rsidRPr="00A135A3">
        <w:rPr>
          <w:rFonts w:eastAsia="Calibri" w:cs="Arial"/>
          <w:kern w:val="0"/>
          <w:szCs w:val="24"/>
          <w14:ligatures w14:val="none"/>
        </w:rPr>
        <w:t>, but the most frequent recommendation</w:t>
      </w:r>
      <w:r w:rsidR="00750DA2" w:rsidRPr="00A135A3">
        <w:rPr>
          <w:rFonts w:eastAsia="Calibri" w:cs="Arial"/>
          <w:kern w:val="0"/>
          <w:szCs w:val="24"/>
          <w14:ligatures w14:val="none"/>
        </w:rPr>
        <w:t>s</w:t>
      </w:r>
      <w:r w:rsidRPr="00A135A3">
        <w:rPr>
          <w:rFonts w:eastAsia="Calibri" w:cs="Arial"/>
          <w:kern w:val="0"/>
          <w:szCs w:val="24"/>
          <w14:ligatures w14:val="none"/>
        </w:rPr>
        <w:t xml:space="preserve"> </w:t>
      </w:r>
      <w:r w:rsidR="00750DA2" w:rsidRPr="00A135A3">
        <w:rPr>
          <w:rFonts w:eastAsia="Calibri" w:cs="Arial"/>
          <w:kern w:val="0"/>
          <w:szCs w:val="24"/>
          <w14:ligatures w14:val="none"/>
        </w:rPr>
        <w:t xml:space="preserve">were </w:t>
      </w:r>
      <w:r w:rsidRPr="00A135A3">
        <w:rPr>
          <w:rFonts w:eastAsia="Calibri" w:cs="Arial"/>
          <w:kern w:val="0"/>
          <w:szCs w:val="24"/>
          <w14:ligatures w14:val="none"/>
        </w:rPr>
        <w:t xml:space="preserve">to </w:t>
      </w:r>
      <w:r w:rsidRPr="00A135A3">
        <w:rPr>
          <w:rFonts w:eastAsia="Calibri" w:cs="Arial"/>
          <w:i/>
          <w:iCs/>
          <w:kern w:val="0"/>
          <w:szCs w:val="24"/>
          <w14:ligatures w14:val="none"/>
        </w:rPr>
        <w:t>change policy</w:t>
      </w:r>
      <w:r w:rsidRPr="00A135A3">
        <w:rPr>
          <w:rFonts w:eastAsia="Calibri" w:cs="Arial"/>
          <w:kern w:val="0"/>
          <w:szCs w:val="24"/>
          <w14:ligatures w14:val="none"/>
        </w:rPr>
        <w:t xml:space="preserve">, </w:t>
      </w:r>
      <w:r w:rsidRPr="00A135A3">
        <w:rPr>
          <w:rFonts w:eastAsia="Calibri" w:cs="Arial"/>
          <w:i/>
          <w:iCs/>
          <w:kern w:val="0"/>
          <w:szCs w:val="24"/>
          <w14:ligatures w14:val="none"/>
        </w:rPr>
        <w:t>change clinical governance</w:t>
      </w:r>
      <w:r w:rsidRPr="00A135A3">
        <w:rPr>
          <w:rFonts w:eastAsia="Calibri" w:cs="Arial"/>
          <w:kern w:val="0"/>
          <w:szCs w:val="24"/>
          <w14:ligatures w14:val="none"/>
        </w:rPr>
        <w:t xml:space="preserve"> and </w:t>
      </w:r>
      <w:r w:rsidRPr="00A135A3">
        <w:rPr>
          <w:rFonts w:eastAsia="Calibri" w:cs="Arial"/>
          <w:i/>
          <w:iCs/>
          <w:kern w:val="0"/>
          <w:szCs w:val="24"/>
          <w14:ligatures w14:val="none"/>
        </w:rPr>
        <w:t>provide training</w:t>
      </w:r>
      <w:r w:rsidRPr="00A135A3">
        <w:rPr>
          <w:rFonts w:eastAsia="Calibri" w:cs="Arial"/>
          <w:kern w:val="0"/>
          <w:szCs w:val="24"/>
          <w14:ligatures w14:val="none"/>
        </w:rPr>
        <w:t xml:space="preserve"> to staff. </w:t>
      </w:r>
      <w:r w:rsidR="006A1A82" w:rsidRPr="00A135A3">
        <w:rPr>
          <w:rFonts w:eastAsia="Calibri" w:cs="Arial"/>
          <w:kern w:val="0"/>
          <w:szCs w:val="24"/>
          <w14:ligatures w14:val="none"/>
        </w:rPr>
        <w:t xml:space="preserve">If </w:t>
      </w:r>
      <w:r w:rsidRPr="00A135A3">
        <w:rPr>
          <w:rFonts w:eastAsia="Calibri" w:cs="Arial"/>
          <w:kern w:val="0"/>
          <w:szCs w:val="24"/>
          <w14:ligatures w14:val="none"/>
        </w:rPr>
        <w:t>MHHIs assume</w:t>
      </w:r>
      <w:r w:rsidR="006A1A82" w:rsidRPr="00A135A3">
        <w:rPr>
          <w:rFonts w:eastAsia="Calibri" w:cs="Arial"/>
          <w:kern w:val="0"/>
          <w:szCs w:val="24"/>
          <w14:ligatures w14:val="none"/>
        </w:rPr>
        <w:t>d</w:t>
      </w:r>
      <w:r w:rsidRPr="00A135A3">
        <w:rPr>
          <w:rFonts w:eastAsia="Calibri" w:cs="Arial"/>
          <w:kern w:val="0"/>
          <w:szCs w:val="24"/>
          <w14:ligatures w14:val="none"/>
        </w:rPr>
        <w:t xml:space="preserve"> that the reason clinical staff did not assess or treat the perpetrator’s illness or risk adequately was insufficient policy, or inadequate training</w:t>
      </w:r>
      <w:r w:rsidR="006A1A82" w:rsidRPr="00A135A3">
        <w:rPr>
          <w:rFonts w:eastAsia="Calibri" w:cs="Arial"/>
          <w:kern w:val="0"/>
          <w:szCs w:val="24"/>
          <w14:ligatures w14:val="none"/>
        </w:rPr>
        <w:t xml:space="preserve">, they provided no </w:t>
      </w:r>
      <w:r w:rsidRPr="00A135A3">
        <w:rPr>
          <w:rFonts w:eastAsia="Calibri" w:cs="Arial"/>
          <w:kern w:val="0"/>
          <w:szCs w:val="24"/>
          <w14:ligatures w14:val="none"/>
        </w:rPr>
        <w:t>evidence of this. No MHHI report acknowledged human factors and no inquiry provided evidence that it used systems thinking</w:t>
      </w:r>
      <w:r w:rsidR="0065327C" w:rsidRPr="00A135A3">
        <w:rPr>
          <w:rFonts w:eastAsia="Calibri" w:cs="Arial"/>
          <w:kern w:val="0"/>
          <w:szCs w:val="24"/>
          <w:vertAlign w:val="superscript"/>
          <w14:ligatures w14:val="none"/>
        </w:rPr>
        <w:t>23</w:t>
      </w:r>
      <w:r w:rsidRPr="00A135A3">
        <w:rPr>
          <w:rFonts w:eastAsia="Calibri" w:cs="Arial"/>
          <w:kern w:val="0"/>
          <w:szCs w:val="24"/>
          <w14:ligatures w14:val="none"/>
        </w:rPr>
        <w:t>.</w:t>
      </w:r>
    </w:p>
    <w:p w14:paraId="58D49AE4" w14:textId="77777777" w:rsidR="00C92A8C" w:rsidRPr="00A135A3" w:rsidRDefault="00C92A8C" w:rsidP="00C92A8C">
      <w:pPr>
        <w:spacing w:line="480" w:lineRule="auto"/>
        <w:jc w:val="both"/>
        <w:rPr>
          <w:rFonts w:eastAsia="Calibri" w:cs="Arial"/>
          <w:kern w:val="0"/>
          <w:szCs w:val="24"/>
          <w:u w:val="single"/>
          <w14:ligatures w14:val="none"/>
        </w:rPr>
      </w:pPr>
      <w:r w:rsidRPr="00A135A3">
        <w:rPr>
          <w:rFonts w:eastAsia="Calibri" w:cs="Arial"/>
          <w:kern w:val="0"/>
          <w:szCs w:val="24"/>
          <w:u w:val="single"/>
          <w14:ligatures w14:val="none"/>
        </w:rPr>
        <w:t>Predictability and preventability</w:t>
      </w:r>
    </w:p>
    <w:p w14:paraId="6F46F8EA" w14:textId="169E31D6" w:rsidR="00C92A8C" w:rsidRPr="00A135A3" w:rsidRDefault="00C92A8C" w:rsidP="00C92A8C">
      <w:pPr>
        <w:spacing w:line="480" w:lineRule="auto"/>
        <w:jc w:val="both"/>
        <w:rPr>
          <w:rFonts w:eastAsia="Calibri" w:cs="Arial"/>
          <w:kern w:val="0"/>
          <w:szCs w:val="24"/>
          <w14:ligatures w14:val="none"/>
        </w:rPr>
      </w:pPr>
      <w:r w:rsidRPr="00A135A3">
        <w:rPr>
          <w:rFonts w:eastAsia="Calibri" w:cs="Arial"/>
          <w:kern w:val="0"/>
          <w:szCs w:val="24"/>
          <w14:ligatures w14:val="none"/>
        </w:rPr>
        <w:t>‘Predictability’ and ‘preventability’ are required to be commented on by MHHIs</w:t>
      </w:r>
      <w:r w:rsidRPr="00A135A3">
        <w:rPr>
          <w:rFonts w:eastAsia="Calibri" w:cs="Arial"/>
          <w:kern w:val="0"/>
          <w:szCs w:val="24"/>
          <w:vertAlign w:val="superscript"/>
          <w14:ligatures w14:val="none"/>
        </w:rPr>
        <w:t>1</w:t>
      </w:r>
      <w:r w:rsidR="0055248D" w:rsidRPr="00A135A3">
        <w:rPr>
          <w:rFonts w:eastAsia="Calibri" w:cs="Arial"/>
          <w:kern w:val="0"/>
          <w:szCs w:val="24"/>
          <w:vertAlign w:val="superscript"/>
          <w14:ligatures w14:val="none"/>
        </w:rPr>
        <w:t>8</w:t>
      </w:r>
      <w:r w:rsidRPr="00A135A3">
        <w:rPr>
          <w:rFonts w:eastAsia="Calibri" w:cs="Arial"/>
          <w:kern w:val="0"/>
          <w:szCs w:val="24"/>
          <w14:ligatures w14:val="none"/>
        </w:rPr>
        <w:t xml:space="preserve">. However, DHSC provides no definition or description of these terms. Therefore, MHHIs reports either contained no definition, or variable definitions. </w:t>
      </w:r>
    </w:p>
    <w:p w14:paraId="10C80BEB" w14:textId="23034DF7" w:rsidR="00C92A8C" w:rsidRPr="00A135A3" w:rsidRDefault="00750DA2" w:rsidP="00C92A8C">
      <w:pPr>
        <w:spacing w:line="480" w:lineRule="auto"/>
        <w:jc w:val="both"/>
        <w:rPr>
          <w:rFonts w:eastAsia="Calibri" w:cs="Arial"/>
          <w:kern w:val="0"/>
          <w:szCs w:val="24"/>
          <w14:ligatures w14:val="none"/>
        </w:rPr>
      </w:pPr>
      <w:r w:rsidRPr="00A135A3">
        <w:rPr>
          <w:rFonts w:eastAsia="Calibri" w:cs="Arial"/>
          <w:kern w:val="0"/>
          <w:szCs w:val="24"/>
          <w14:ligatures w14:val="none"/>
        </w:rPr>
        <w:t xml:space="preserve">A total of </w:t>
      </w:r>
      <w:r w:rsidR="00C92A8C" w:rsidRPr="00A135A3">
        <w:rPr>
          <w:rFonts w:eastAsia="Calibri" w:cs="Arial"/>
          <w:kern w:val="0"/>
          <w:szCs w:val="24"/>
          <w14:ligatures w14:val="none"/>
        </w:rPr>
        <w:t xml:space="preserve">130 of the 162 inquiries (80%) commented on </w:t>
      </w:r>
      <w:bookmarkStart w:id="6" w:name="_Hlk161234243"/>
      <w:r w:rsidR="00C92A8C" w:rsidRPr="00A135A3">
        <w:rPr>
          <w:rFonts w:eastAsia="Calibri" w:cs="Arial"/>
          <w:kern w:val="0"/>
          <w:szCs w:val="24"/>
          <w14:ligatures w14:val="none"/>
        </w:rPr>
        <w:t>either predictability or preventability</w:t>
      </w:r>
      <w:bookmarkEnd w:id="6"/>
      <w:r w:rsidR="00C92A8C" w:rsidRPr="00A135A3">
        <w:rPr>
          <w:rFonts w:eastAsia="Calibri" w:cs="Arial"/>
          <w:kern w:val="0"/>
          <w:szCs w:val="24"/>
          <w14:ligatures w14:val="none"/>
        </w:rPr>
        <w:t>, or both</w:t>
      </w:r>
      <w:r w:rsidRPr="00A135A3">
        <w:rPr>
          <w:rFonts w:eastAsia="Calibri" w:cs="Arial"/>
          <w:kern w:val="0"/>
          <w:szCs w:val="24"/>
          <w14:ligatures w14:val="none"/>
        </w:rPr>
        <w:t xml:space="preserve">: 32 </w:t>
      </w:r>
      <w:r w:rsidR="00C92A8C" w:rsidRPr="00A135A3">
        <w:rPr>
          <w:rFonts w:eastAsia="Calibri" w:cs="Arial"/>
          <w:kern w:val="0"/>
          <w:szCs w:val="24"/>
          <w14:ligatures w14:val="none"/>
        </w:rPr>
        <w:t xml:space="preserve">inquiries (20%) did not mention predictability or preventability. Of the 130 reports commenting on predictability and/or preventability, six (0.5%) stated that the homicide was “maybe” predictable, whilst 20 (15%) stated that the homicide was “maybe” preventable. Altogether, 105 (81%) provided a firm view on both predictability and preventability. Of these, four homicides (4%) were deemed to be both predictable and preventable, ten (9%) were preventable but not </w:t>
      </w:r>
      <w:r w:rsidR="00C92A8C" w:rsidRPr="00A135A3">
        <w:rPr>
          <w:rFonts w:eastAsia="Calibri" w:cs="Arial"/>
          <w:kern w:val="0"/>
          <w:szCs w:val="24"/>
          <w14:ligatures w14:val="none"/>
        </w:rPr>
        <w:lastRenderedPageBreak/>
        <w:t xml:space="preserve">predictable, five (5%) were predictable but not preventable, and 86 (82%) were neither predictable nor preventable. </w:t>
      </w:r>
    </w:p>
    <w:p w14:paraId="657DE0DA" w14:textId="77777777" w:rsidR="00C92A8C" w:rsidRPr="00A135A3" w:rsidRDefault="00C92A8C" w:rsidP="00C92A8C">
      <w:pPr>
        <w:spacing w:line="480" w:lineRule="auto"/>
        <w:rPr>
          <w:rFonts w:eastAsia="Calibri" w:cs="Arial"/>
          <w:kern w:val="0"/>
          <w:szCs w:val="24"/>
          <w:u w:val="single"/>
          <w14:ligatures w14:val="none"/>
        </w:rPr>
      </w:pPr>
      <w:r w:rsidRPr="00A135A3">
        <w:rPr>
          <w:rFonts w:eastAsia="Calibri" w:cs="Arial"/>
          <w:kern w:val="0"/>
          <w:szCs w:val="24"/>
          <w:u w:val="single"/>
          <w14:ligatures w14:val="none"/>
        </w:rPr>
        <w:t>Action Plan Characteristics</w:t>
      </w:r>
    </w:p>
    <w:p w14:paraId="29280B06" w14:textId="4E73B68D" w:rsidR="00C92A8C" w:rsidRPr="00A135A3" w:rsidRDefault="00C92A8C" w:rsidP="00C92A8C">
      <w:pPr>
        <w:spacing w:line="480" w:lineRule="auto"/>
        <w:jc w:val="both"/>
        <w:rPr>
          <w:rFonts w:eastAsia="Calibri" w:cs="Arial"/>
          <w:kern w:val="0"/>
          <w:szCs w:val="24"/>
          <w14:ligatures w14:val="none"/>
        </w:rPr>
      </w:pPr>
      <w:r w:rsidRPr="00A135A3">
        <w:rPr>
          <w:rFonts w:eastAsia="Calibri" w:cs="Arial"/>
          <w:kern w:val="0"/>
          <w:szCs w:val="24"/>
          <w14:ligatures w14:val="none"/>
        </w:rPr>
        <w:t>For 84 /162 (52%) reports, the NHSE website also listed action plans developed by the provider organisations. Several had more than one action plan, as several mental health organisations and other public service agencies had been involved in the inquiry. Altogether, we analysed 737 individual actions. Due to the wide variation in the way that actions were described and grouped, it was not possible to undertake a thematic analysis. An analysis of the relative strength of actions was undertaken instead, using the action hierarchy</w:t>
      </w:r>
      <w:r w:rsidR="009E7C92" w:rsidRPr="00A135A3">
        <w:rPr>
          <w:rFonts w:eastAsia="Calibri" w:cs="Arial"/>
          <w:kern w:val="0"/>
          <w:szCs w:val="24"/>
          <w:vertAlign w:val="superscript"/>
          <w14:ligatures w14:val="none"/>
        </w:rPr>
        <w:t>24,25</w:t>
      </w:r>
      <w:r w:rsidRPr="00A135A3">
        <w:rPr>
          <w:rFonts w:eastAsia="Calibri" w:cs="Arial"/>
          <w:kern w:val="0"/>
          <w:szCs w:val="24"/>
          <w14:ligatures w14:val="none"/>
        </w:rPr>
        <w:t xml:space="preserve"> which is based on a systems approach to bringing about sustainable organisational change. </w:t>
      </w:r>
    </w:p>
    <w:p w14:paraId="42DD7237" w14:textId="4E0F93D2" w:rsidR="008A2A6C" w:rsidRPr="00A135A3" w:rsidRDefault="00C92A8C" w:rsidP="00E24693">
      <w:pPr>
        <w:spacing w:line="480" w:lineRule="auto"/>
        <w:jc w:val="both"/>
        <w:rPr>
          <w:rFonts w:eastAsia="Calibri" w:cs="Arial"/>
          <w:kern w:val="0"/>
          <w:szCs w:val="24"/>
          <w14:ligatures w14:val="none"/>
        </w:rPr>
      </w:pPr>
      <w:r w:rsidRPr="00A135A3">
        <w:rPr>
          <w:rFonts w:eastAsia="Calibri" w:cs="Arial"/>
          <w:kern w:val="0"/>
          <w:szCs w:val="24"/>
          <w14:ligatures w14:val="none"/>
        </w:rPr>
        <w:t>Only 13 of the 84 inquiry action plans (15%) had evidence of ‘strong’ actions. Of the 737 actions, 34 (5%) actions were judged to be ‘strong’, 83 (11%) ‘intermediate’, whilst 620 (84%) were ‘weak’</w:t>
      </w:r>
      <w:r w:rsidR="003A48C1" w:rsidRPr="00A135A3">
        <w:t xml:space="preserve">, despite </w:t>
      </w:r>
      <w:r w:rsidR="003A48C1" w:rsidRPr="00A135A3">
        <w:rPr>
          <w:rFonts w:eastAsia="Calibri" w:cs="Arial"/>
          <w:kern w:val="0"/>
          <w:szCs w:val="24"/>
          <w14:ligatures w14:val="none"/>
        </w:rPr>
        <w:t xml:space="preserve">nearly all action plans declared themselves to be </w:t>
      </w:r>
      <w:r w:rsidR="00750DA2" w:rsidRPr="00A135A3">
        <w:rPr>
          <w:rFonts w:eastAsia="Calibri" w:cs="Arial"/>
          <w:kern w:val="0"/>
          <w:szCs w:val="24"/>
          <w14:ligatures w14:val="none"/>
        </w:rPr>
        <w:t>‘</w:t>
      </w:r>
      <w:r w:rsidR="003A48C1" w:rsidRPr="00A135A3">
        <w:rPr>
          <w:rFonts w:eastAsia="Calibri" w:cs="Arial"/>
          <w:kern w:val="0"/>
          <w:szCs w:val="24"/>
          <w14:ligatures w14:val="none"/>
        </w:rPr>
        <w:t>SMART</w:t>
      </w:r>
      <w:r w:rsidR="00290829" w:rsidRPr="00A135A3">
        <w:rPr>
          <w:rFonts w:eastAsia="Calibri" w:cs="Arial"/>
          <w:kern w:val="0"/>
          <w:szCs w:val="24"/>
          <w14:ligatures w14:val="none"/>
        </w:rPr>
        <w:t xml:space="preserve"> </w:t>
      </w:r>
      <w:r w:rsidR="00E24693" w:rsidRPr="00A135A3">
        <w:rPr>
          <w:rFonts w:eastAsia="Calibri" w:cs="Arial"/>
          <w:kern w:val="0"/>
          <w:szCs w:val="24"/>
          <w14:ligatures w14:val="none"/>
        </w:rPr>
        <w:t>–</w:t>
      </w:r>
      <w:r w:rsidR="00290829" w:rsidRPr="00A135A3">
        <w:rPr>
          <w:rFonts w:eastAsia="Calibri" w:cs="Arial"/>
          <w:kern w:val="0"/>
          <w:szCs w:val="24"/>
          <w14:ligatures w14:val="none"/>
        </w:rPr>
        <w:t xml:space="preserve"> </w:t>
      </w:r>
      <w:r w:rsidR="00E24693" w:rsidRPr="00A135A3">
        <w:rPr>
          <w:rFonts w:eastAsia="Calibri" w:cs="Arial"/>
          <w:kern w:val="0"/>
          <w:szCs w:val="24"/>
          <w14:ligatures w14:val="none"/>
        </w:rPr>
        <w:t>Specific, Measurable, Achievable, Relevant, Timely</w:t>
      </w:r>
      <w:r w:rsidR="00750DA2" w:rsidRPr="00A135A3">
        <w:rPr>
          <w:rFonts w:eastAsia="Calibri" w:cs="Arial"/>
          <w:kern w:val="0"/>
          <w:szCs w:val="24"/>
          <w14:ligatures w14:val="none"/>
        </w:rPr>
        <w:t>’</w:t>
      </w:r>
      <w:r w:rsidR="00DD6957" w:rsidRPr="00A135A3">
        <w:rPr>
          <w:rFonts w:eastAsia="Calibri" w:cs="Arial"/>
          <w:kern w:val="0"/>
          <w:szCs w:val="24"/>
          <w:vertAlign w:val="superscript"/>
          <w14:ligatures w14:val="none"/>
        </w:rPr>
        <w:t>15</w:t>
      </w:r>
      <w:r w:rsidR="009A4B61" w:rsidRPr="00A135A3">
        <w:rPr>
          <w:rFonts w:eastAsia="Calibri" w:cs="Arial"/>
          <w:kern w:val="0"/>
          <w:szCs w:val="24"/>
          <w:vertAlign w:val="superscript"/>
          <w14:ligatures w14:val="none"/>
        </w:rPr>
        <w:t>,</w:t>
      </w:r>
      <w:r w:rsidR="00DD6957" w:rsidRPr="00A135A3">
        <w:rPr>
          <w:rFonts w:eastAsia="Calibri" w:cs="Arial"/>
          <w:kern w:val="0"/>
          <w:szCs w:val="24"/>
          <w:vertAlign w:val="superscript"/>
          <w14:ligatures w14:val="none"/>
        </w:rPr>
        <w:t>26</w:t>
      </w:r>
      <w:r w:rsidR="00DD6957" w:rsidRPr="00A135A3">
        <w:rPr>
          <w:rFonts w:eastAsia="Calibri" w:cs="Arial"/>
          <w:kern w:val="0"/>
          <w:szCs w:val="24"/>
          <w14:ligatures w14:val="none"/>
        </w:rPr>
        <w:t>.</w:t>
      </w:r>
      <w:r w:rsidR="003A48C1" w:rsidRPr="00A135A3">
        <w:rPr>
          <w:rFonts w:eastAsia="Calibri" w:cs="Arial"/>
          <w:kern w:val="0"/>
          <w:szCs w:val="24"/>
          <w14:ligatures w14:val="none"/>
        </w:rPr>
        <w:t xml:space="preserve"> Few actions attempted to address systemic problems, and none acknowledged that clinical decision-making is heavily influenced by organisational and systemic problems</w:t>
      </w:r>
      <w:r w:rsidR="008A2A6C" w:rsidRPr="00A135A3">
        <w:rPr>
          <w:rFonts w:eastAsia="Calibri" w:cs="Arial"/>
          <w:kern w:val="0"/>
          <w:szCs w:val="24"/>
          <w:vertAlign w:val="superscript"/>
          <w14:ligatures w14:val="none"/>
        </w:rPr>
        <w:t>27,28</w:t>
      </w:r>
      <w:r w:rsidR="008A2A6C" w:rsidRPr="00A135A3">
        <w:rPr>
          <w:rFonts w:eastAsia="Calibri" w:cs="Arial"/>
          <w:kern w:val="0"/>
          <w:szCs w:val="24"/>
          <w14:ligatures w14:val="none"/>
        </w:rPr>
        <w:t>.</w:t>
      </w:r>
    </w:p>
    <w:p w14:paraId="150D7DE4" w14:textId="2349C5C1" w:rsidR="007C50EB" w:rsidRPr="00A135A3" w:rsidRDefault="007C50EB" w:rsidP="007C50EB">
      <w:pPr>
        <w:spacing w:line="480" w:lineRule="auto"/>
        <w:jc w:val="both"/>
        <w:rPr>
          <w:rFonts w:eastAsia="Calibri" w:cs="Arial"/>
          <w:b/>
          <w:bCs/>
          <w:kern w:val="0"/>
          <w:szCs w:val="24"/>
          <w14:ligatures w14:val="none"/>
        </w:rPr>
      </w:pPr>
      <w:r w:rsidRPr="00A135A3">
        <w:rPr>
          <w:rFonts w:eastAsia="Calibri" w:cs="Arial"/>
          <w:b/>
          <w:bCs/>
          <w:kern w:val="0"/>
          <w:szCs w:val="24"/>
          <w14:ligatures w14:val="none"/>
        </w:rPr>
        <w:t>DISCUSSION</w:t>
      </w:r>
    </w:p>
    <w:p w14:paraId="41A35790" w14:textId="77777777" w:rsidR="007C50EB" w:rsidRPr="00A135A3" w:rsidRDefault="007C50EB" w:rsidP="007C50EB">
      <w:pPr>
        <w:spacing w:line="480" w:lineRule="auto"/>
        <w:jc w:val="both"/>
        <w:rPr>
          <w:rFonts w:eastAsia="Calibri" w:cs="Arial"/>
          <w:kern w:val="0"/>
          <w:szCs w:val="24"/>
          <w14:ligatures w14:val="none"/>
        </w:rPr>
      </w:pPr>
      <w:r w:rsidRPr="00A135A3">
        <w:rPr>
          <w:rFonts w:eastAsia="Calibri" w:cs="Arial"/>
          <w:kern w:val="0"/>
          <w:szCs w:val="24"/>
          <w14:ligatures w14:val="none"/>
        </w:rPr>
        <w:t xml:space="preserve">Our analysis of characteristics of perpetrators who committed homicides and their victims reveals similarities with findings of NCISH and ONS, and key differences. </w:t>
      </w:r>
    </w:p>
    <w:p w14:paraId="773CB131" w14:textId="4F02C721" w:rsidR="006A7F7F" w:rsidRPr="00A135A3" w:rsidRDefault="00670701" w:rsidP="007C50EB">
      <w:pPr>
        <w:spacing w:line="480" w:lineRule="auto"/>
        <w:jc w:val="both"/>
        <w:rPr>
          <w:rFonts w:eastAsia="Calibri" w:cs="Arial"/>
          <w:kern w:val="0"/>
          <w:szCs w:val="24"/>
          <w14:ligatures w14:val="none"/>
        </w:rPr>
      </w:pPr>
      <w:r w:rsidRPr="00A135A3">
        <w:rPr>
          <w:rFonts w:eastAsia="Calibri" w:cs="Arial"/>
          <w:kern w:val="0"/>
          <w:szCs w:val="24"/>
          <w14:ligatures w14:val="none"/>
        </w:rPr>
        <w:t>Th</w:t>
      </w:r>
      <w:r w:rsidR="003E0DB5" w:rsidRPr="00A135A3">
        <w:rPr>
          <w:rFonts w:eastAsia="Calibri" w:cs="Arial"/>
          <w:kern w:val="0"/>
          <w:szCs w:val="24"/>
          <w14:ligatures w14:val="none"/>
        </w:rPr>
        <w:t xml:space="preserve">e differences </w:t>
      </w:r>
      <w:r w:rsidRPr="00A135A3">
        <w:rPr>
          <w:rFonts w:eastAsia="Calibri" w:cs="Arial"/>
          <w:kern w:val="0"/>
          <w:szCs w:val="24"/>
          <w14:ligatures w14:val="none"/>
        </w:rPr>
        <w:t xml:space="preserve">may be because </w:t>
      </w:r>
      <w:r w:rsidR="007C50EB" w:rsidRPr="00A135A3">
        <w:rPr>
          <w:rFonts w:eastAsia="Calibri" w:cs="Arial"/>
          <w:kern w:val="0"/>
          <w:szCs w:val="24"/>
          <w14:ligatures w14:val="none"/>
        </w:rPr>
        <w:t>MHHI are more likely to be commissioned for perpetrators with schizophrenia, compared to perpetrators with other diagnoses, especially use of illicit substances and alcohol</w:t>
      </w:r>
      <w:r w:rsidR="00E35FB0" w:rsidRPr="00A135A3">
        <w:rPr>
          <w:rFonts w:eastAsia="Calibri" w:cs="Arial"/>
          <w:kern w:val="0"/>
          <w:szCs w:val="24"/>
          <w14:ligatures w14:val="none"/>
        </w:rPr>
        <w:t xml:space="preserve"> – 15% of patients with a primary diagnosis of schizophrenia had a history of use of alcohol or illicit substances in our </w:t>
      </w:r>
      <w:r w:rsidR="00E35FB0" w:rsidRPr="00A135A3">
        <w:rPr>
          <w:rFonts w:eastAsia="Calibri" w:cs="Arial"/>
          <w:kern w:val="0"/>
          <w:szCs w:val="24"/>
          <w14:ligatures w14:val="none"/>
        </w:rPr>
        <w:lastRenderedPageBreak/>
        <w:t>sample, compared to 87% in NCISH – whereas NCISH returns included all mental health patients convicted of homicide, irrespective of diagnosis</w:t>
      </w:r>
      <w:r w:rsidR="007C50EB" w:rsidRPr="00A135A3">
        <w:rPr>
          <w:rFonts w:eastAsia="Calibri" w:cs="Arial"/>
          <w:kern w:val="0"/>
          <w:szCs w:val="24"/>
          <w14:ligatures w14:val="none"/>
        </w:rPr>
        <w:t>.</w:t>
      </w:r>
      <w:r w:rsidR="007C50EB" w:rsidRPr="00A135A3">
        <w:rPr>
          <w:rFonts w:eastAsia="Calibri" w:cs="Arial"/>
          <w:color w:val="4472C4" w:themeColor="accent1"/>
          <w:kern w:val="0"/>
          <w:szCs w:val="24"/>
          <w14:ligatures w14:val="none"/>
        </w:rPr>
        <w:t xml:space="preserve"> </w:t>
      </w:r>
      <w:r w:rsidR="007C50EB" w:rsidRPr="00A135A3">
        <w:rPr>
          <w:rFonts w:eastAsia="Calibri" w:cs="Arial"/>
          <w:kern w:val="0"/>
          <w:szCs w:val="24"/>
          <w14:ligatures w14:val="none"/>
        </w:rPr>
        <w:t xml:space="preserve">Another explanation is that the type of information captured in MHHI is heavily influenced by Terms of Reference set for each inquiry, which are </w:t>
      </w:r>
      <w:r w:rsidR="00750DA2" w:rsidRPr="00A135A3">
        <w:rPr>
          <w:rFonts w:eastAsia="Calibri" w:cs="Arial"/>
          <w:kern w:val="0"/>
          <w:szCs w:val="24"/>
          <w14:ligatures w14:val="none"/>
        </w:rPr>
        <w:t xml:space="preserve">highly </w:t>
      </w:r>
      <w:r w:rsidR="007C50EB" w:rsidRPr="00A135A3">
        <w:rPr>
          <w:rFonts w:eastAsia="Calibri" w:cs="Arial"/>
          <w:kern w:val="0"/>
          <w:szCs w:val="24"/>
          <w14:ligatures w14:val="none"/>
        </w:rPr>
        <w:t>variable, whereas NCISH ha</w:t>
      </w:r>
      <w:r w:rsidR="00AD235F" w:rsidRPr="00A135A3">
        <w:rPr>
          <w:rFonts w:eastAsia="Calibri" w:cs="Arial"/>
          <w:kern w:val="0"/>
          <w:szCs w:val="24"/>
          <w14:ligatures w14:val="none"/>
        </w:rPr>
        <w:t>d</w:t>
      </w:r>
      <w:r w:rsidR="007C50EB" w:rsidRPr="00A135A3">
        <w:rPr>
          <w:rFonts w:eastAsia="Calibri" w:cs="Arial"/>
          <w:kern w:val="0"/>
          <w:szCs w:val="24"/>
          <w14:ligatures w14:val="none"/>
        </w:rPr>
        <w:t xml:space="preserve"> a standardised methodology</w:t>
      </w:r>
      <w:r w:rsidR="007C50EB" w:rsidRPr="00A135A3">
        <w:rPr>
          <w:rFonts w:eastAsia="Calibri" w:cs="Arial"/>
          <w:kern w:val="0"/>
          <w:szCs w:val="24"/>
          <w:vertAlign w:val="superscript"/>
          <w14:ligatures w14:val="none"/>
        </w:rPr>
        <w:t>2</w:t>
      </w:r>
      <w:r w:rsidR="00F86778" w:rsidRPr="00A135A3">
        <w:rPr>
          <w:rFonts w:eastAsia="Calibri" w:cs="Arial"/>
          <w:kern w:val="0"/>
          <w:szCs w:val="24"/>
          <w:vertAlign w:val="superscript"/>
          <w14:ligatures w14:val="none"/>
        </w:rPr>
        <w:t>9</w:t>
      </w:r>
      <w:r w:rsidR="007C50EB" w:rsidRPr="00A135A3">
        <w:rPr>
          <w:rFonts w:eastAsia="Calibri" w:cs="Arial"/>
          <w:kern w:val="0"/>
          <w:szCs w:val="24"/>
          <w14:ligatures w14:val="none"/>
        </w:rPr>
        <w:t xml:space="preserve">. </w:t>
      </w:r>
    </w:p>
    <w:p w14:paraId="06831DC8" w14:textId="5F0239BE" w:rsidR="00E35FB0" w:rsidRPr="00A135A3" w:rsidRDefault="00E35FB0" w:rsidP="007C50EB">
      <w:pPr>
        <w:spacing w:line="480" w:lineRule="auto"/>
        <w:jc w:val="both"/>
        <w:rPr>
          <w:rFonts w:eastAsia="Calibri" w:cs="Arial"/>
          <w:kern w:val="0"/>
          <w:szCs w:val="24"/>
          <w14:ligatures w14:val="none"/>
        </w:rPr>
      </w:pPr>
      <w:r w:rsidRPr="00A135A3">
        <w:rPr>
          <w:rFonts w:eastAsia="Calibri" w:cs="Arial"/>
          <w:kern w:val="0"/>
          <w:szCs w:val="24"/>
          <w14:ligatures w14:val="none"/>
        </w:rPr>
        <w:t xml:space="preserve">The use of external commercial companies to conduct inquiries has the advantage that they are separate from provider organisations and therefore </w:t>
      </w:r>
      <w:r w:rsidR="008B61C7" w:rsidRPr="00A135A3">
        <w:rPr>
          <w:rFonts w:eastAsia="Calibri" w:cs="Arial"/>
          <w:kern w:val="0"/>
          <w:szCs w:val="24"/>
          <w14:ligatures w14:val="none"/>
        </w:rPr>
        <w:t xml:space="preserve">from </w:t>
      </w:r>
      <w:r w:rsidRPr="00A135A3">
        <w:rPr>
          <w:rFonts w:eastAsia="Calibri" w:cs="Arial"/>
          <w:kern w:val="0"/>
          <w:szCs w:val="24"/>
          <w14:ligatures w14:val="none"/>
        </w:rPr>
        <w:t>the clinical teams involved in the care of the perpetrator, which may be important for bereaved families. However, the lack of consistency of approach is an important downside.</w:t>
      </w:r>
    </w:p>
    <w:p w14:paraId="2D94F6EA" w14:textId="35C5F635" w:rsidR="007C50EB" w:rsidRPr="00A135A3" w:rsidRDefault="003E0DB5" w:rsidP="007C50EB">
      <w:pPr>
        <w:spacing w:line="480" w:lineRule="auto"/>
        <w:jc w:val="both"/>
        <w:rPr>
          <w:rFonts w:eastAsia="Calibri" w:cs="Arial"/>
          <w:kern w:val="0"/>
          <w:szCs w:val="24"/>
          <w14:ligatures w14:val="none"/>
        </w:rPr>
      </w:pPr>
      <w:r w:rsidRPr="00A135A3">
        <w:rPr>
          <w:rFonts w:eastAsia="Calibri" w:cs="Arial"/>
          <w:kern w:val="0"/>
          <w:szCs w:val="24"/>
          <w14:ligatures w14:val="none"/>
        </w:rPr>
        <w:t xml:space="preserve">A </w:t>
      </w:r>
      <w:r w:rsidR="006069A6" w:rsidRPr="00A135A3">
        <w:rPr>
          <w:rFonts w:eastAsia="Calibri" w:cs="Arial"/>
          <w:kern w:val="0"/>
          <w:szCs w:val="24"/>
          <w14:ligatures w14:val="none"/>
        </w:rPr>
        <w:t>troublesome aspect of</w:t>
      </w:r>
      <w:r w:rsidRPr="00A135A3">
        <w:rPr>
          <w:rFonts w:eastAsia="Calibri" w:cs="Arial"/>
          <w:kern w:val="0"/>
          <w:szCs w:val="24"/>
          <w14:ligatures w14:val="none"/>
        </w:rPr>
        <w:t xml:space="preserve"> the methodology of MHHI</w:t>
      </w:r>
      <w:r w:rsidR="00371645" w:rsidRPr="00A135A3">
        <w:rPr>
          <w:rFonts w:eastAsia="Calibri" w:cs="Arial"/>
          <w:kern w:val="0"/>
          <w:szCs w:val="24"/>
          <w14:ligatures w14:val="none"/>
        </w:rPr>
        <w:t xml:space="preserve"> is that n</w:t>
      </w:r>
      <w:r w:rsidR="007C50EB" w:rsidRPr="00A135A3">
        <w:rPr>
          <w:rFonts w:eastAsia="Calibri" w:cs="Arial"/>
          <w:kern w:val="0"/>
          <w:szCs w:val="24"/>
          <w14:ligatures w14:val="none"/>
        </w:rPr>
        <w:t xml:space="preserve">one of the reports described how they attributed causation. </w:t>
      </w:r>
      <w:r w:rsidR="00BF79F2" w:rsidRPr="00A135A3">
        <w:rPr>
          <w:rFonts w:eastAsia="Calibri" w:cs="Arial"/>
          <w:kern w:val="0"/>
          <w:szCs w:val="24"/>
          <w14:ligatures w14:val="none"/>
        </w:rPr>
        <w:t>Reports</w:t>
      </w:r>
      <w:r w:rsidR="007C50EB" w:rsidRPr="00A135A3">
        <w:rPr>
          <w:rFonts w:eastAsia="Calibri" w:cs="Arial"/>
          <w:kern w:val="0"/>
          <w:szCs w:val="24"/>
          <w14:ligatures w14:val="none"/>
        </w:rPr>
        <w:t xml:space="preserve"> appear</w:t>
      </w:r>
      <w:r w:rsidR="00BF79F2" w:rsidRPr="00A135A3">
        <w:rPr>
          <w:rFonts w:eastAsia="Calibri" w:cs="Arial"/>
          <w:kern w:val="0"/>
          <w:szCs w:val="24"/>
          <w14:ligatures w14:val="none"/>
        </w:rPr>
        <w:t>ed</w:t>
      </w:r>
      <w:r w:rsidR="007C50EB" w:rsidRPr="00A135A3">
        <w:rPr>
          <w:rFonts w:eastAsia="Calibri" w:cs="Arial"/>
          <w:kern w:val="0"/>
          <w:szCs w:val="24"/>
          <w14:ligatures w14:val="none"/>
        </w:rPr>
        <w:t xml:space="preserve"> to </w:t>
      </w:r>
      <w:r w:rsidR="00C00EE6" w:rsidRPr="00A135A3">
        <w:rPr>
          <w:rFonts w:eastAsia="Calibri" w:cs="Arial"/>
          <w:kern w:val="0"/>
          <w:szCs w:val="24"/>
          <w14:ligatures w14:val="none"/>
        </w:rPr>
        <w:t xml:space="preserve">assume </w:t>
      </w:r>
      <w:r w:rsidR="007C50EB" w:rsidRPr="00A135A3">
        <w:rPr>
          <w:rFonts w:eastAsia="Calibri" w:cs="Arial"/>
          <w:kern w:val="0"/>
          <w:szCs w:val="24"/>
          <w14:ligatures w14:val="none"/>
        </w:rPr>
        <w:t>that causality is linear, with a direct relationship between cause and effect, which is measurable</w:t>
      </w:r>
      <w:r w:rsidR="00750DA2" w:rsidRPr="00A135A3">
        <w:rPr>
          <w:rFonts w:eastAsia="Calibri" w:cs="Arial"/>
          <w:kern w:val="0"/>
          <w:szCs w:val="24"/>
          <w14:ligatures w14:val="none"/>
        </w:rPr>
        <w:t xml:space="preserve"> and </w:t>
      </w:r>
      <w:r w:rsidR="007C50EB" w:rsidRPr="00A135A3">
        <w:rPr>
          <w:rFonts w:eastAsia="Calibri" w:cs="Arial"/>
          <w:kern w:val="0"/>
          <w:szCs w:val="24"/>
          <w14:ligatures w14:val="none"/>
        </w:rPr>
        <w:t>foreseeable</w:t>
      </w:r>
      <w:r w:rsidR="0037409C" w:rsidRPr="00A135A3">
        <w:rPr>
          <w:rFonts w:eastAsia="Calibri" w:cs="Arial"/>
          <w:kern w:val="0"/>
          <w:szCs w:val="24"/>
          <w14:ligatures w14:val="none"/>
        </w:rPr>
        <w:t>;</w:t>
      </w:r>
      <w:r w:rsidR="007C50EB" w:rsidRPr="00A135A3">
        <w:rPr>
          <w:rFonts w:eastAsia="Calibri" w:cs="Arial"/>
          <w:kern w:val="0"/>
          <w:szCs w:val="24"/>
          <w14:ligatures w14:val="none"/>
        </w:rPr>
        <w:t xml:space="preserve"> and is also symmetrical</w:t>
      </w:r>
      <w:r w:rsidR="007C50EB" w:rsidRPr="00A135A3">
        <w:rPr>
          <w:rFonts w:eastAsia="Calibri" w:cs="Arial"/>
          <w:kern w:val="0"/>
          <w:szCs w:val="24"/>
          <w:vertAlign w:val="superscript"/>
          <w14:ligatures w14:val="none"/>
        </w:rPr>
        <w:t>3</w:t>
      </w:r>
      <w:r w:rsidR="00C00EE6" w:rsidRPr="00A135A3">
        <w:rPr>
          <w:rFonts w:eastAsia="Calibri" w:cs="Arial"/>
          <w:kern w:val="0"/>
          <w:szCs w:val="24"/>
          <w:vertAlign w:val="superscript"/>
          <w14:ligatures w14:val="none"/>
        </w:rPr>
        <w:t>0,31,32</w:t>
      </w:r>
      <w:r w:rsidR="007C50EB" w:rsidRPr="00A135A3">
        <w:rPr>
          <w:rFonts w:eastAsia="Calibri" w:cs="Arial"/>
          <w:kern w:val="0"/>
          <w:szCs w:val="24"/>
          <w14:ligatures w14:val="none"/>
        </w:rPr>
        <w:t>, so that the cause-effect relationship will still hold when examined in retrospect. This has been explored in detail in literature regarding safety</w:t>
      </w:r>
      <w:r w:rsidR="007C50EB" w:rsidRPr="00A135A3">
        <w:rPr>
          <w:rFonts w:eastAsia="Calibri" w:cs="Arial"/>
          <w:kern w:val="0"/>
          <w:szCs w:val="24"/>
          <w:vertAlign w:val="superscript"/>
          <w14:ligatures w14:val="none"/>
        </w:rPr>
        <w:t>3</w:t>
      </w:r>
      <w:r w:rsidR="00F17746" w:rsidRPr="00A135A3">
        <w:rPr>
          <w:rFonts w:eastAsia="Calibri" w:cs="Arial"/>
          <w:kern w:val="0"/>
          <w:szCs w:val="24"/>
          <w:vertAlign w:val="superscript"/>
          <w14:ligatures w14:val="none"/>
        </w:rPr>
        <w:t>3,</w:t>
      </w:r>
      <w:r w:rsidR="007C50EB" w:rsidRPr="00A135A3">
        <w:rPr>
          <w:rFonts w:eastAsia="Calibri" w:cs="Arial"/>
          <w:kern w:val="0"/>
          <w:szCs w:val="24"/>
          <w:vertAlign w:val="superscript"/>
          <w14:ligatures w14:val="none"/>
        </w:rPr>
        <w:t>34,35</w:t>
      </w:r>
      <w:r w:rsidR="007C50EB" w:rsidRPr="00A135A3">
        <w:rPr>
          <w:rFonts w:eastAsia="Calibri" w:cs="Arial"/>
          <w:color w:val="4472C4" w:themeColor="accent1"/>
          <w:kern w:val="0"/>
          <w:szCs w:val="24"/>
          <w14:ligatures w14:val="none"/>
        </w:rPr>
        <w:t xml:space="preserve">, </w:t>
      </w:r>
      <w:r w:rsidR="007C50EB" w:rsidRPr="00A135A3">
        <w:rPr>
          <w:rFonts w:eastAsia="Calibri" w:cs="Arial"/>
          <w:kern w:val="0"/>
          <w:szCs w:val="24"/>
          <w14:ligatures w14:val="none"/>
        </w:rPr>
        <w:t xml:space="preserve">which describes </w:t>
      </w:r>
      <w:r w:rsidR="00BF79F2" w:rsidRPr="00A135A3">
        <w:rPr>
          <w:rFonts w:eastAsia="Calibri" w:cs="Arial"/>
          <w:kern w:val="0"/>
          <w:szCs w:val="24"/>
          <w14:ligatures w14:val="none"/>
        </w:rPr>
        <w:t>‘</w:t>
      </w:r>
      <w:r w:rsidR="007C50EB" w:rsidRPr="00A135A3">
        <w:rPr>
          <w:rFonts w:eastAsia="Calibri" w:cs="Arial"/>
          <w:kern w:val="0"/>
          <w:szCs w:val="24"/>
          <w14:ligatures w14:val="none"/>
        </w:rPr>
        <w:t>emergent causality</w:t>
      </w:r>
      <w:r w:rsidR="00BF79F2" w:rsidRPr="00A135A3">
        <w:rPr>
          <w:rFonts w:eastAsia="Calibri" w:cs="Arial"/>
          <w:kern w:val="0"/>
          <w:szCs w:val="24"/>
          <w14:ligatures w14:val="none"/>
        </w:rPr>
        <w:t>’</w:t>
      </w:r>
      <w:r w:rsidR="007C50EB" w:rsidRPr="00A135A3">
        <w:rPr>
          <w:rFonts w:eastAsia="Calibri" w:cs="Arial"/>
          <w:kern w:val="0"/>
          <w:szCs w:val="24"/>
          <w14:ligatures w14:val="none"/>
        </w:rPr>
        <w:t xml:space="preserve">, where factors (many of which </w:t>
      </w:r>
      <w:r w:rsidR="0037409C" w:rsidRPr="00A135A3">
        <w:rPr>
          <w:rFonts w:eastAsia="Calibri" w:cs="Arial"/>
          <w:kern w:val="0"/>
          <w:szCs w:val="24"/>
          <w14:ligatures w14:val="none"/>
        </w:rPr>
        <w:t>may be covert</w:t>
      </w:r>
      <w:r w:rsidR="007C50EB" w:rsidRPr="00A135A3">
        <w:rPr>
          <w:rFonts w:eastAsia="Calibri" w:cs="Arial"/>
          <w:kern w:val="0"/>
          <w:szCs w:val="24"/>
          <w14:ligatures w14:val="none"/>
        </w:rPr>
        <w:t xml:space="preserve">) interact with one another in foreseeable and understandable but also unforeseeable and ultimately un-knowable ways. </w:t>
      </w:r>
    </w:p>
    <w:p w14:paraId="46D14061" w14:textId="0C9206CB" w:rsidR="007C50EB" w:rsidRPr="00A135A3" w:rsidRDefault="007C50EB" w:rsidP="007C50EB">
      <w:pPr>
        <w:spacing w:line="480" w:lineRule="auto"/>
        <w:jc w:val="both"/>
        <w:rPr>
          <w:rFonts w:eastAsia="Calibri" w:cs="Arial"/>
          <w:kern w:val="0"/>
          <w:szCs w:val="24"/>
          <w14:ligatures w14:val="none"/>
        </w:rPr>
      </w:pPr>
      <w:r w:rsidRPr="00A135A3">
        <w:rPr>
          <w:rFonts w:eastAsia="Calibri" w:cs="Arial"/>
          <w:kern w:val="0"/>
          <w:szCs w:val="24"/>
          <w14:ligatures w14:val="none"/>
        </w:rPr>
        <w:t>In addition, the type of causation is obscure</w:t>
      </w:r>
      <w:r w:rsidRPr="00A135A3">
        <w:rPr>
          <w:rFonts w:eastAsia="Calibri" w:cs="Arial"/>
          <w:kern w:val="0"/>
          <w:szCs w:val="24"/>
          <w:vertAlign w:val="superscript"/>
          <w14:ligatures w14:val="none"/>
        </w:rPr>
        <w:t>36</w:t>
      </w:r>
      <w:r w:rsidRPr="00A135A3">
        <w:rPr>
          <w:rFonts w:eastAsia="Calibri" w:cs="Arial"/>
          <w:color w:val="4472C4" w:themeColor="accent1"/>
          <w:kern w:val="0"/>
          <w:szCs w:val="24"/>
          <w14:ligatures w14:val="none"/>
        </w:rPr>
        <w:t xml:space="preserve">. </w:t>
      </w:r>
      <w:r w:rsidRPr="00A135A3">
        <w:rPr>
          <w:rFonts w:eastAsia="Calibri" w:cs="Arial"/>
          <w:kern w:val="0"/>
          <w:szCs w:val="24"/>
          <w14:ligatures w14:val="none"/>
        </w:rPr>
        <w:t xml:space="preserve">MHHI reports do not specify whether they assume </w:t>
      </w:r>
      <w:r w:rsidRPr="00A135A3">
        <w:rPr>
          <w:rFonts w:eastAsia="Calibri" w:cs="Arial"/>
          <w:i/>
          <w:iCs/>
          <w:kern w:val="0"/>
          <w:szCs w:val="24"/>
          <w14:ligatures w14:val="none"/>
        </w:rPr>
        <w:t>absolute</w:t>
      </w:r>
      <w:r w:rsidRPr="00A135A3">
        <w:rPr>
          <w:rFonts w:eastAsia="Calibri" w:cs="Arial"/>
          <w:kern w:val="0"/>
          <w:szCs w:val="24"/>
          <w14:ligatures w14:val="none"/>
        </w:rPr>
        <w:t xml:space="preserve"> causality, where the issue identified is both necessary and sufficient to have caused the homicide; </w:t>
      </w:r>
      <w:r w:rsidRPr="00A135A3">
        <w:rPr>
          <w:rFonts w:eastAsia="Calibri" w:cs="Arial"/>
          <w:i/>
          <w:iCs/>
          <w:kern w:val="0"/>
          <w:szCs w:val="24"/>
          <w14:ligatures w14:val="none"/>
        </w:rPr>
        <w:t>conditional</w:t>
      </w:r>
      <w:r w:rsidRPr="00A135A3">
        <w:rPr>
          <w:rFonts w:eastAsia="Calibri" w:cs="Arial"/>
          <w:kern w:val="0"/>
          <w:szCs w:val="24"/>
          <w14:ligatures w14:val="none"/>
        </w:rPr>
        <w:t xml:space="preserve"> causality, where the issue identified is necessary but not sufficient to cause the homicide; or </w:t>
      </w:r>
      <w:r w:rsidRPr="00A135A3">
        <w:rPr>
          <w:rFonts w:eastAsia="Calibri" w:cs="Arial"/>
          <w:i/>
          <w:iCs/>
          <w:kern w:val="0"/>
          <w:szCs w:val="24"/>
          <w14:ligatures w14:val="none"/>
        </w:rPr>
        <w:t>contributory</w:t>
      </w:r>
      <w:r w:rsidRPr="00A135A3">
        <w:rPr>
          <w:rFonts w:eastAsia="Calibri" w:cs="Arial"/>
          <w:kern w:val="0"/>
          <w:szCs w:val="24"/>
          <w14:ligatures w14:val="none"/>
        </w:rPr>
        <w:t xml:space="preserve"> causality, where the issue identified had </w:t>
      </w:r>
      <w:r w:rsidR="0037409C" w:rsidRPr="00A135A3">
        <w:rPr>
          <w:rFonts w:eastAsia="Calibri" w:cs="Arial"/>
          <w:kern w:val="0"/>
          <w:szCs w:val="24"/>
          <w14:ligatures w14:val="none"/>
        </w:rPr>
        <w:t>an</w:t>
      </w:r>
      <w:r w:rsidRPr="00A135A3">
        <w:rPr>
          <w:rFonts w:eastAsia="Calibri" w:cs="Arial"/>
          <w:kern w:val="0"/>
          <w:szCs w:val="24"/>
          <w14:ligatures w14:val="none"/>
        </w:rPr>
        <w:t xml:space="preserve"> influence but was in itself neither necessary nor sufficient. This is important, </w:t>
      </w:r>
      <w:r w:rsidR="00BF79F2" w:rsidRPr="00A135A3">
        <w:rPr>
          <w:rFonts w:eastAsia="Calibri" w:cs="Arial"/>
          <w:kern w:val="0"/>
          <w:szCs w:val="24"/>
          <w14:ligatures w14:val="none"/>
        </w:rPr>
        <w:t>as</w:t>
      </w:r>
      <w:r w:rsidRPr="00A135A3">
        <w:rPr>
          <w:rFonts w:eastAsia="Calibri" w:cs="Arial"/>
          <w:kern w:val="0"/>
          <w:szCs w:val="24"/>
          <w14:ligatures w14:val="none"/>
        </w:rPr>
        <w:t xml:space="preserve"> key stakeholders</w:t>
      </w:r>
      <w:r w:rsidR="00BF79F2" w:rsidRPr="00A135A3">
        <w:rPr>
          <w:rFonts w:eastAsia="Calibri" w:cs="Arial"/>
          <w:kern w:val="0"/>
          <w:szCs w:val="24"/>
          <w14:ligatures w14:val="none"/>
        </w:rPr>
        <w:t xml:space="preserve"> (</w:t>
      </w:r>
      <w:r w:rsidRPr="00A135A3">
        <w:rPr>
          <w:rFonts w:eastAsia="Calibri" w:cs="Arial"/>
          <w:kern w:val="0"/>
          <w:szCs w:val="24"/>
          <w14:ligatures w14:val="none"/>
        </w:rPr>
        <w:t xml:space="preserve">including the </w:t>
      </w:r>
      <w:r w:rsidR="00BF79F2" w:rsidRPr="00A135A3">
        <w:rPr>
          <w:rFonts w:eastAsia="Calibri" w:cs="Arial"/>
          <w:kern w:val="0"/>
          <w:szCs w:val="24"/>
          <w14:ligatures w14:val="none"/>
        </w:rPr>
        <w:t xml:space="preserve">families of </w:t>
      </w:r>
      <w:r w:rsidRPr="00A135A3">
        <w:rPr>
          <w:rFonts w:eastAsia="Calibri" w:cs="Arial"/>
          <w:kern w:val="0"/>
          <w:szCs w:val="24"/>
          <w14:ligatures w14:val="none"/>
        </w:rPr>
        <w:t>victims, the patient and clinical staff</w:t>
      </w:r>
      <w:r w:rsidR="00BF79F2" w:rsidRPr="00A135A3">
        <w:rPr>
          <w:rFonts w:eastAsia="Calibri" w:cs="Arial"/>
          <w:kern w:val="0"/>
          <w:szCs w:val="24"/>
          <w14:ligatures w14:val="none"/>
        </w:rPr>
        <w:t>)</w:t>
      </w:r>
      <w:r w:rsidRPr="00A135A3">
        <w:rPr>
          <w:rFonts w:eastAsia="Calibri" w:cs="Arial"/>
          <w:kern w:val="0"/>
          <w:szCs w:val="24"/>
          <w14:ligatures w14:val="none"/>
        </w:rPr>
        <w:t xml:space="preserve">, will likely assume that where an issue is being identified by an inquiry as </w:t>
      </w:r>
      <w:r w:rsidRPr="00A135A3">
        <w:rPr>
          <w:rFonts w:eastAsia="Calibri" w:cs="Arial"/>
          <w:kern w:val="0"/>
          <w:szCs w:val="24"/>
          <w14:ligatures w14:val="none"/>
        </w:rPr>
        <w:lastRenderedPageBreak/>
        <w:t xml:space="preserve">a root cause, a contributory factor or even a care and service delivery problem, the type or standard of causality was absolute. </w:t>
      </w:r>
    </w:p>
    <w:p w14:paraId="7B58C8EC" w14:textId="1139C896" w:rsidR="007C50EB" w:rsidRPr="00A135A3" w:rsidRDefault="007C50EB" w:rsidP="007C50EB">
      <w:pPr>
        <w:spacing w:line="480" w:lineRule="auto"/>
        <w:jc w:val="both"/>
        <w:rPr>
          <w:rFonts w:eastAsia="Calibri" w:cs="Arial"/>
          <w:kern w:val="0"/>
          <w:szCs w:val="24"/>
          <w14:ligatures w14:val="none"/>
        </w:rPr>
      </w:pPr>
      <w:r w:rsidRPr="00A135A3">
        <w:rPr>
          <w:rFonts w:eastAsia="Calibri" w:cs="Arial"/>
          <w:kern w:val="0"/>
          <w:szCs w:val="24"/>
          <w14:ligatures w14:val="none"/>
        </w:rPr>
        <w:t>The concepts of predictability and preventability in mental health homicide investigations have been criticised</w:t>
      </w:r>
      <w:r w:rsidRPr="00A135A3">
        <w:rPr>
          <w:rFonts w:eastAsia="Calibri" w:cs="Arial"/>
          <w:kern w:val="0"/>
          <w:szCs w:val="24"/>
          <w:vertAlign w:val="superscript"/>
          <w14:ligatures w14:val="none"/>
        </w:rPr>
        <w:t>9</w:t>
      </w:r>
      <w:r w:rsidR="004A4673" w:rsidRPr="00A135A3">
        <w:rPr>
          <w:rFonts w:eastAsia="Calibri" w:cs="Arial"/>
          <w:kern w:val="0"/>
          <w:szCs w:val="24"/>
          <w:vertAlign w:val="superscript"/>
          <w14:ligatures w14:val="none"/>
        </w:rPr>
        <w:t>,11</w:t>
      </w:r>
      <w:r w:rsidRPr="00A135A3">
        <w:rPr>
          <w:rFonts w:eastAsia="Calibri" w:cs="Arial"/>
          <w:kern w:val="0"/>
          <w:szCs w:val="24"/>
          <w14:ligatures w14:val="none"/>
        </w:rPr>
        <w:t xml:space="preserve"> as being subjective, adhering to neither the civil nor criminal burden of proof</w:t>
      </w:r>
      <w:r w:rsidR="00D12F38" w:rsidRPr="00A135A3">
        <w:rPr>
          <w:rFonts w:eastAsia="Calibri" w:cs="Arial"/>
          <w:kern w:val="0"/>
          <w:szCs w:val="24"/>
          <w:vertAlign w:val="superscript"/>
          <w14:ligatures w14:val="none"/>
        </w:rPr>
        <w:t>37</w:t>
      </w:r>
      <w:r w:rsidRPr="00A135A3">
        <w:rPr>
          <w:rFonts w:eastAsia="Calibri" w:cs="Arial"/>
          <w:kern w:val="0"/>
          <w:szCs w:val="24"/>
          <w14:ligatures w14:val="none"/>
        </w:rPr>
        <w:t>, yet being influential in policy formation and public perception of mental disorder and violence. Furthermore, these constructs, as with RCA, suggest that a causal link can be established between omissions in care and treatment, and the final act of homicide.</w:t>
      </w:r>
      <w:r w:rsidRPr="00A135A3">
        <w:rPr>
          <w:rFonts w:eastAsia="Calibri" w:cs="Arial"/>
          <w:color w:val="4472C4" w:themeColor="accent1"/>
          <w:kern w:val="0"/>
          <w:szCs w:val="24"/>
          <w14:ligatures w14:val="none"/>
        </w:rPr>
        <w:t xml:space="preserve"> </w:t>
      </w:r>
      <w:r w:rsidRPr="00A135A3">
        <w:rPr>
          <w:rFonts w:eastAsia="Calibri" w:cs="Arial"/>
          <w:kern w:val="0"/>
          <w:szCs w:val="24"/>
          <w14:ligatures w14:val="none"/>
        </w:rPr>
        <w:t xml:space="preserve">We found that 86% of MHHI reports which commented on predictability and preventability said that the homicide was neither predictable nor preventable; yet these inquiries also identified root causes, contributory factors and care and service delivery problems.  </w:t>
      </w:r>
    </w:p>
    <w:p w14:paraId="50287466" w14:textId="3507DAB1" w:rsidR="00877BBD" w:rsidRPr="00A135A3" w:rsidRDefault="00877BBD" w:rsidP="00877BBD">
      <w:pPr>
        <w:spacing w:line="480" w:lineRule="auto"/>
        <w:jc w:val="both"/>
        <w:rPr>
          <w:rFonts w:eastAsia="Calibri" w:cs="Arial"/>
          <w:kern w:val="0"/>
          <w:szCs w:val="24"/>
          <w14:ligatures w14:val="none"/>
        </w:rPr>
      </w:pPr>
      <w:r w:rsidRPr="00A135A3">
        <w:rPr>
          <w:rFonts w:eastAsia="Calibri" w:cs="Arial"/>
          <w:kern w:val="0"/>
          <w:szCs w:val="24"/>
          <w14:ligatures w14:val="none"/>
        </w:rPr>
        <w:t>There is a considerable delay between the homicide and the publication of the final inquiry report, with half taking up to three years and another 41% taking between</w:t>
      </w:r>
      <w:r w:rsidR="00D12F38" w:rsidRPr="00A135A3">
        <w:rPr>
          <w:rFonts w:eastAsia="Calibri" w:cs="Arial"/>
          <w:kern w:val="0"/>
          <w:szCs w:val="24"/>
          <w14:ligatures w14:val="none"/>
        </w:rPr>
        <w:t xml:space="preserve"> 3 - 6 </w:t>
      </w:r>
      <w:r w:rsidRPr="00A135A3">
        <w:rPr>
          <w:rFonts w:eastAsia="Calibri" w:cs="Arial"/>
          <w:kern w:val="0"/>
          <w:szCs w:val="24"/>
          <w14:ligatures w14:val="none"/>
        </w:rPr>
        <w:t xml:space="preserve">years for publication. This is an inordinately long time for bereaved families to discover circumstances of their relative’s death, and </w:t>
      </w:r>
      <w:r w:rsidR="00DB6390" w:rsidRPr="00A135A3">
        <w:rPr>
          <w:rFonts w:eastAsia="Calibri" w:cs="Arial"/>
          <w:kern w:val="0"/>
          <w:szCs w:val="24"/>
          <w14:ligatures w14:val="none"/>
        </w:rPr>
        <w:t xml:space="preserve">for </w:t>
      </w:r>
      <w:r w:rsidRPr="00A135A3">
        <w:rPr>
          <w:rFonts w:eastAsia="Calibri" w:cs="Arial"/>
          <w:kern w:val="0"/>
          <w:szCs w:val="24"/>
          <w14:ligatures w14:val="none"/>
        </w:rPr>
        <w:t>the family of the patient, who may also feel let down by mental health services; and is arguably also too long for mental health services and clinicians.</w:t>
      </w:r>
    </w:p>
    <w:p w14:paraId="5837F28C" w14:textId="5579997B" w:rsidR="00877BBD" w:rsidRPr="00A135A3" w:rsidRDefault="00877BBD" w:rsidP="00877BBD">
      <w:pPr>
        <w:spacing w:line="480" w:lineRule="auto"/>
        <w:jc w:val="both"/>
        <w:rPr>
          <w:rFonts w:eastAsia="Calibri" w:cs="Arial"/>
          <w:kern w:val="0"/>
          <w:szCs w:val="24"/>
          <w14:ligatures w14:val="none"/>
        </w:rPr>
      </w:pPr>
      <w:r w:rsidRPr="00A135A3">
        <w:rPr>
          <w:rFonts w:eastAsia="Calibri" w:cs="Arial"/>
          <w:kern w:val="0"/>
          <w:szCs w:val="24"/>
          <w14:ligatures w14:val="none"/>
        </w:rPr>
        <w:t xml:space="preserve">A </w:t>
      </w:r>
      <w:r w:rsidR="00DB6390" w:rsidRPr="00A135A3">
        <w:rPr>
          <w:rFonts w:eastAsia="Calibri" w:cs="Arial"/>
          <w:kern w:val="0"/>
          <w:szCs w:val="24"/>
          <w14:ligatures w14:val="none"/>
        </w:rPr>
        <w:t>recurring</w:t>
      </w:r>
      <w:r w:rsidRPr="00A135A3">
        <w:rPr>
          <w:rFonts w:eastAsia="Calibri" w:cs="Arial"/>
          <w:kern w:val="0"/>
          <w:szCs w:val="24"/>
          <w14:ligatures w14:val="none"/>
        </w:rPr>
        <w:t xml:space="preserve"> criticism</w:t>
      </w:r>
      <w:r w:rsidRPr="00A135A3">
        <w:rPr>
          <w:rFonts w:eastAsia="Calibri" w:cs="Arial"/>
          <w:kern w:val="0"/>
          <w:szCs w:val="24"/>
          <w:vertAlign w:val="superscript"/>
          <w14:ligatures w14:val="none"/>
        </w:rPr>
        <w:t>5,9,28</w:t>
      </w:r>
      <w:r w:rsidRPr="00A135A3">
        <w:rPr>
          <w:rFonts w:eastAsia="Calibri" w:cs="Arial"/>
          <w:color w:val="4472C4" w:themeColor="accent1"/>
          <w:kern w:val="0"/>
          <w:szCs w:val="24"/>
          <w14:ligatures w14:val="none"/>
        </w:rPr>
        <w:t xml:space="preserve"> </w:t>
      </w:r>
      <w:r w:rsidRPr="00A135A3">
        <w:rPr>
          <w:rFonts w:eastAsia="Calibri" w:cs="Arial"/>
          <w:kern w:val="0"/>
          <w:szCs w:val="24"/>
          <w14:ligatures w14:val="none"/>
        </w:rPr>
        <w:t>of all mental health safety investigations, particularly of MHHI, is that they repeatedly identify the same five themes: risk assessment, care planning, communication between professional agencies, communication with perpetrators’ families, and record-keeping. Whilst mental health services do need to improve in quality and safety, it may be the case that MHHI can only ever identify the same recurring themes because the methodology employed is unable lead to different conclusions.</w:t>
      </w:r>
    </w:p>
    <w:p w14:paraId="3EFFDF35" w14:textId="54C07331" w:rsidR="00877BBD" w:rsidRPr="00A135A3" w:rsidRDefault="00877BBD" w:rsidP="00877BBD">
      <w:pPr>
        <w:spacing w:line="480" w:lineRule="auto"/>
        <w:jc w:val="both"/>
        <w:rPr>
          <w:rFonts w:eastAsia="Calibri" w:cs="Arial"/>
          <w:kern w:val="0"/>
          <w:szCs w:val="24"/>
          <w14:ligatures w14:val="none"/>
        </w:rPr>
      </w:pPr>
      <w:r w:rsidRPr="00A135A3">
        <w:rPr>
          <w:rFonts w:eastAsia="Calibri" w:cs="Arial"/>
          <w:kern w:val="0"/>
          <w:szCs w:val="24"/>
          <w14:ligatures w14:val="none"/>
        </w:rPr>
        <w:lastRenderedPageBreak/>
        <w:t>It is unclear whether victims’ families find the process and outcome useful, or whether they are persuaded by findings of these inquiries</w:t>
      </w:r>
      <w:r w:rsidRPr="00A135A3">
        <w:rPr>
          <w:rFonts w:eastAsia="Calibri" w:cs="Arial"/>
          <w:kern w:val="0"/>
          <w:szCs w:val="24"/>
          <w:vertAlign w:val="superscript"/>
          <w14:ligatures w14:val="none"/>
        </w:rPr>
        <w:t>28,38</w:t>
      </w:r>
      <w:r w:rsidRPr="00A135A3">
        <w:rPr>
          <w:rFonts w:eastAsia="Calibri" w:cs="Arial"/>
          <w:kern w:val="0"/>
          <w:szCs w:val="24"/>
          <w14:ligatures w14:val="none"/>
        </w:rPr>
        <w:t>. Not all inquiries are published, and lack of clarity regarding the balance between the perpetrator’s confidentiality and public interest is thought to be a reason.</w:t>
      </w:r>
      <w:r w:rsidR="00153C45" w:rsidRPr="00A135A3">
        <w:rPr>
          <w:rFonts w:eastAsia="Calibri" w:cs="Arial"/>
          <w:kern w:val="0"/>
          <w:szCs w:val="24"/>
          <w14:ligatures w14:val="none"/>
        </w:rPr>
        <w:t xml:space="preserve"> </w:t>
      </w:r>
      <w:r w:rsidRPr="00A135A3">
        <w:rPr>
          <w:rFonts w:eastAsia="Calibri" w:cs="Arial"/>
          <w:kern w:val="0"/>
          <w:szCs w:val="24"/>
          <w14:ligatures w14:val="none"/>
        </w:rPr>
        <w:t>Clinical staff can find the process adversarial</w:t>
      </w:r>
      <w:r w:rsidRPr="00A135A3">
        <w:rPr>
          <w:rFonts w:eastAsia="Calibri" w:cs="Arial"/>
          <w:kern w:val="0"/>
          <w:szCs w:val="24"/>
          <w:vertAlign w:val="superscript"/>
          <w14:ligatures w14:val="none"/>
        </w:rPr>
        <w:t>39,40,41</w:t>
      </w:r>
      <w:r w:rsidRPr="00A135A3">
        <w:rPr>
          <w:rFonts w:eastAsia="Calibri" w:cs="Arial"/>
          <w:kern w:val="0"/>
          <w:szCs w:val="24"/>
          <w14:ligatures w14:val="none"/>
        </w:rPr>
        <w:t>, and involvement in such inquiries has been called “career-ending.” Clinical staff and services have no right of appeal. MHHI adopt a quasi-legal approach and the burden of proof applied is unclear, but these inquiries are immensely influential in shaping public perception and mental health policy</w:t>
      </w:r>
      <w:r w:rsidRPr="00A135A3">
        <w:rPr>
          <w:rFonts w:eastAsia="Calibri" w:cs="Arial"/>
          <w:kern w:val="0"/>
          <w:szCs w:val="24"/>
          <w:vertAlign w:val="superscript"/>
          <w14:ligatures w14:val="none"/>
        </w:rPr>
        <w:t>9</w:t>
      </w:r>
      <w:r w:rsidRPr="00A135A3">
        <w:rPr>
          <w:rFonts w:eastAsia="Calibri" w:cs="Arial"/>
          <w:kern w:val="0"/>
          <w:szCs w:val="24"/>
          <w14:ligatures w14:val="none"/>
        </w:rPr>
        <w:t xml:space="preserve">. Recommendations made by MHHI tend not to address systemic or structural problems but revert to </w:t>
      </w:r>
      <w:r w:rsidR="00AA527B" w:rsidRPr="00A135A3">
        <w:rPr>
          <w:rFonts w:eastAsia="Calibri" w:cs="Arial"/>
          <w:kern w:val="0"/>
          <w:szCs w:val="24"/>
          <w14:ligatures w14:val="none"/>
        </w:rPr>
        <w:t>matters</w:t>
      </w:r>
      <w:r w:rsidRPr="00A135A3">
        <w:rPr>
          <w:rFonts w:eastAsia="Calibri" w:cs="Arial"/>
          <w:kern w:val="0"/>
          <w:szCs w:val="24"/>
          <w14:ligatures w14:val="none"/>
        </w:rPr>
        <w:t xml:space="preserve"> like change of policy, change in clinical governance and provision of training, which are undoubtedly easier, quicker, and less expensive; these therefore result in weak actions. It is therefore not surprising that there is little evidence of sustained, systemic change as a result of these inquiries. They are not inexpensive: the NHSE review states that £1,170,629 was spent in 2019/20 on these in England, with an assumed average cost of £23,530 per investigation, and notes that costs are increasing due to increasing complexity</w:t>
      </w:r>
      <w:r w:rsidR="00DB6390" w:rsidRPr="00A135A3">
        <w:rPr>
          <w:rFonts w:eastAsia="Calibri" w:cs="Arial"/>
          <w:kern w:val="0"/>
          <w:szCs w:val="24"/>
          <w:vertAlign w:val="superscript"/>
          <w14:ligatures w14:val="none"/>
        </w:rPr>
        <w:t>11</w:t>
      </w:r>
      <w:r w:rsidRPr="00A135A3">
        <w:rPr>
          <w:rFonts w:eastAsia="Calibri" w:cs="Arial"/>
          <w:kern w:val="0"/>
          <w:szCs w:val="24"/>
          <w14:ligatures w14:val="none"/>
        </w:rPr>
        <w:t>.</w:t>
      </w:r>
    </w:p>
    <w:p w14:paraId="45F6399F" w14:textId="09FE0F56" w:rsidR="007C50EB" w:rsidRPr="00A135A3" w:rsidRDefault="007C50EB" w:rsidP="007C50EB">
      <w:pPr>
        <w:spacing w:line="480" w:lineRule="auto"/>
        <w:jc w:val="both"/>
        <w:rPr>
          <w:rFonts w:eastAsia="Calibri" w:cs="Arial"/>
          <w:kern w:val="0"/>
          <w:szCs w:val="24"/>
          <w14:ligatures w14:val="none"/>
        </w:rPr>
      </w:pPr>
      <w:r w:rsidRPr="00A135A3">
        <w:rPr>
          <w:rFonts w:eastAsia="Calibri" w:cs="Arial"/>
          <w:i/>
          <w:iCs/>
          <w:kern w:val="0"/>
          <w:szCs w:val="24"/>
          <w14:ligatures w14:val="none"/>
        </w:rPr>
        <w:t>Strengths</w:t>
      </w:r>
      <w:r w:rsidR="006069A6" w:rsidRPr="00A135A3">
        <w:rPr>
          <w:rFonts w:eastAsia="Calibri" w:cs="Arial"/>
          <w:kern w:val="0"/>
          <w:szCs w:val="24"/>
          <w14:ligatures w14:val="none"/>
        </w:rPr>
        <w:t xml:space="preserve">. </w:t>
      </w:r>
      <w:r w:rsidRPr="00A135A3">
        <w:rPr>
          <w:rFonts w:eastAsia="Calibri" w:cs="Arial"/>
          <w:kern w:val="0"/>
          <w:szCs w:val="24"/>
          <w14:ligatures w14:val="none"/>
        </w:rPr>
        <w:t>The last comprehensive evaluation of MHHIs was undertaken in 2011; NCISH stopped collecting data on mental health homicides after 201</w:t>
      </w:r>
      <w:r w:rsidR="00422303" w:rsidRPr="00A135A3">
        <w:rPr>
          <w:rFonts w:eastAsia="Calibri" w:cs="Arial"/>
          <w:kern w:val="0"/>
          <w:szCs w:val="24"/>
          <w14:ligatures w14:val="none"/>
        </w:rPr>
        <w:t>6</w:t>
      </w:r>
      <w:r w:rsidRPr="00A135A3">
        <w:rPr>
          <w:rFonts w:eastAsia="Calibri" w:cs="Arial"/>
          <w:kern w:val="0"/>
          <w:szCs w:val="24"/>
          <w14:ligatures w14:val="none"/>
        </w:rPr>
        <w:t xml:space="preserve">. Therefore, this study provides a detailed description </w:t>
      </w:r>
      <w:bookmarkStart w:id="7" w:name="_Hlk180753654"/>
      <w:r w:rsidRPr="00A135A3">
        <w:rPr>
          <w:rFonts w:eastAsia="Calibri" w:cs="Arial"/>
          <w:kern w:val="0"/>
          <w:szCs w:val="24"/>
          <w14:ligatures w14:val="none"/>
        </w:rPr>
        <w:t>of characteristics of mental health patients who have committed homicides and of their victims and the homicides</w:t>
      </w:r>
      <w:bookmarkEnd w:id="7"/>
      <w:r w:rsidRPr="00A135A3">
        <w:rPr>
          <w:rFonts w:eastAsia="Calibri" w:cs="Arial"/>
          <w:kern w:val="0"/>
          <w:szCs w:val="24"/>
          <w14:ligatures w14:val="none"/>
        </w:rPr>
        <w:t xml:space="preserve">, which are compared with NCISH and ONS. In addition, this study provides an analysis of </w:t>
      </w:r>
      <w:bookmarkStart w:id="8" w:name="_Hlk180753715"/>
      <w:r w:rsidR="00DB6390" w:rsidRPr="00A135A3">
        <w:rPr>
          <w:rFonts w:eastAsia="Calibri" w:cs="Arial"/>
          <w:kern w:val="0"/>
          <w:szCs w:val="24"/>
          <w14:ligatures w14:val="none"/>
        </w:rPr>
        <w:t xml:space="preserve">the </w:t>
      </w:r>
      <w:r w:rsidRPr="00A135A3">
        <w:rPr>
          <w:rFonts w:eastAsia="Calibri" w:cs="Arial"/>
          <w:kern w:val="0"/>
          <w:szCs w:val="24"/>
          <w14:ligatures w14:val="none"/>
        </w:rPr>
        <w:t>methodology used by MHHI, their recommendations, and action plans</w:t>
      </w:r>
      <w:bookmarkEnd w:id="8"/>
      <w:r w:rsidRPr="00A135A3">
        <w:rPr>
          <w:rFonts w:eastAsia="Calibri" w:cs="Arial"/>
          <w:kern w:val="0"/>
          <w:szCs w:val="24"/>
          <w14:ligatures w14:val="none"/>
        </w:rPr>
        <w:t xml:space="preserve">. </w:t>
      </w:r>
      <w:r w:rsidR="0037409C" w:rsidRPr="00A135A3">
        <w:rPr>
          <w:rFonts w:eastAsia="Calibri" w:cs="Arial"/>
          <w:kern w:val="0"/>
          <w:szCs w:val="24"/>
          <w14:ligatures w14:val="none"/>
        </w:rPr>
        <w:t>We believe</w:t>
      </w:r>
      <w:r w:rsidRPr="00A135A3">
        <w:rPr>
          <w:rFonts w:eastAsia="Calibri" w:cs="Arial"/>
          <w:kern w:val="0"/>
          <w:szCs w:val="24"/>
          <w14:ligatures w14:val="none"/>
        </w:rPr>
        <w:t xml:space="preserve"> this is also the </w:t>
      </w:r>
      <w:bookmarkStart w:id="9" w:name="_Hlk180753942"/>
      <w:r w:rsidRPr="00A135A3">
        <w:rPr>
          <w:rFonts w:eastAsia="Calibri" w:cs="Arial"/>
          <w:kern w:val="0"/>
          <w:szCs w:val="24"/>
          <w14:ligatures w14:val="none"/>
        </w:rPr>
        <w:t xml:space="preserve">only thematic analysis of </w:t>
      </w:r>
      <w:r w:rsidR="00911114" w:rsidRPr="00A135A3">
        <w:rPr>
          <w:rFonts w:eastAsia="Calibri" w:cs="Arial"/>
          <w:kern w:val="0"/>
          <w:szCs w:val="24"/>
          <w14:ligatures w14:val="none"/>
        </w:rPr>
        <w:t xml:space="preserve">English </w:t>
      </w:r>
      <w:r w:rsidRPr="00A135A3">
        <w:rPr>
          <w:rFonts w:eastAsia="Calibri" w:cs="Arial"/>
          <w:kern w:val="0"/>
          <w:szCs w:val="24"/>
          <w14:ligatures w14:val="none"/>
        </w:rPr>
        <w:t>mental health homicide inquiries which includes the period of the global coronavirus pandemic</w:t>
      </w:r>
      <w:bookmarkEnd w:id="9"/>
      <w:r w:rsidRPr="00A135A3">
        <w:rPr>
          <w:rFonts w:eastAsia="Calibri" w:cs="Arial"/>
          <w:kern w:val="0"/>
          <w:szCs w:val="24"/>
          <w14:ligatures w14:val="none"/>
        </w:rPr>
        <w:t xml:space="preserve">. </w:t>
      </w:r>
      <w:r w:rsidR="00877BBD" w:rsidRPr="00A135A3">
        <w:rPr>
          <w:rFonts w:eastAsia="Calibri" w:cs="Arial"/>
          <w:kern w:val="0"/>
          <w:szCs w:val="24"/>
          <w14:ligatures w14:val="none"/>
        </w:rPr>
        <w:t xml:space="preserve">Availability of such data for the periods of </w:t>
      </w:r>
      <w:r w:rsidR="00877BBD" w:rsidRPr="00A135A3">
        <w:rPr>
          <w:rFonts w:eastAsia="Calibri" w:cs="Arial"/>
          <w:kern w:val="0"/>
          <w:szCs w:val="24"/>
          <w14:ligatures w14:val="none"/>
        </w:rPr>
        <w:lastRenderedPageBreak/>
        <w:t>lockdown, which are thought to have had an impact on the mental health of the population, might help inform policy and planning of mental health delivery.</w:t>
      </w:r>
    </w:p>
    <w:p w14:paraId="26B79DAE" w14:textId="4C248E8E" w:rsidR="007C50EB" w:rsidRPr="00A135A3" w:rsidRDefault="007C50EB" w:rsidP="007C50EB">
      <w:pPr>
        <w:spacing w:line="480" w:lineRule="auto"/>
        <w:jc w:val="both"/>
        <w:rPr>
          <w:rFonts w:eastAsia="Calibri" w:cs="Arial"/>
          <w:kern w:val="0"/>
          <w:szCs w:val="24"/>
          <w14:ligatures w14:val="none"/>
        </w:rPr>
      </w:pPr>
      <w:r w:rsidRPr="00A135A3">
        <w:rPr>
          <w:rFonts w:eastAsia="Calibri" w:cs="Arial"/>
          <w:i/>
          <w:iCs/>
          <w:kern w:val="0"/>
          <w:szCs w:val="24"/>
          <w14:ligatures w14:val="none"/>
        </w:rPr>
        <w:t>Limitations</w:t>
      </w:r>
      <w:r w:rsidR="006069A6" w:rsidRPr="00A135A3">
        <w:rPr>
          <w:rFonts w:eastAsia="Calibri" w:cs="Arial"/>
          <w:kern w:val="0"/>
          <w:szCs w:val="24"/>
          <w14:ligatures w14:val="none"/>
        </w:rPr>
        <w:t xml:space="preserve">. </w:t>
      </w:r>
      <w:r w:rsidRPr="00A135A3">
        <w:rPr>
          <w:rFonts w:eastAsia="Calibri" w:cs="Arial"/>
          <w:kern w:val="0"/>
          <w:szCs w:val="24"/>
          <w14:ligatures w14:val="none"/>
        </w:rPr>
        <w:t>MHHI reports in this study were those published for England between 2010 and 20</w:t>
      </w:r>
      <w:r w:rsidR="00977760" w:rsidRPr="00A135A3">
        <w:rPr>
          <w:rFonts w:eastAsia="Calibri" w:cs="Arial"/>
          <w:kern w:val="0"/>
          <w:szCs w:val="24"/>
          <w14:ligatures w14:val="none"/>
        </w:rPr>
        <w:t>2</w:t>
      </w:r>
      <w:r w:rsidRPr="00A135A3">
        <w:rPr>
          <w:rFonts w:eastAsia="Calibri" w:cs="Arial"/>
          <w:kern w:val="0"/>
          <w:szCs w:val="24"/>
          <w14:ligatures w14:val="none"/>
        </w:rPr>
        <w:t xml:space="preserve">3, whereas the NCISH report 2018 included data on mental health homicides between 2006 and 2016, also for England. ONS data are for 2012 – 2023 for England and Wales. </w:t>
      </w:r>
    </w:p>
    <w:p w14:paraId="6D28DE25" w14:textId="56E57B44" w:rsidR="007C50EB" w:rsidRPr="00A135A3" w:rsidRDefault="007C50EB" w:rsidP="007C50EB">
      <w:pPr>
        <w:spacing w:line="480" w:lineRule="auto"/>
        <w:jc w:val="both"/>
        <w:rPr>
          <w:rFonts w:eastAsia="Calibri" w:cs="Arial"/>
          <w:kern w:val="0"/>
          <w:szCs w:val="24"/>
          <w14:ligatures w14:val="none"/>
        </w:rPr>
      </w:pPr>
      <w:r w:rsidRPr="00A135A3">
        <w:rPr>
          <w:rFonts w:eastAsia="Calibri" w:cs="Arial"/>
          <w:kern w:val="0"/>
          <w:szCs w:val="24"/>
          <w14:ligatures w14:val="none"/>
        </w:rPr>
        <w:t xml:space="preserve">We do not know how many MHHI are </w:t>
      </w:r>
      <w:r w:rsidR="0037409C" w:rsidRPr="00A135A3">
        <w:rPr>
          <w:rFonts w:eastAsia="Calibri" w:cs="Arial"/>
          <w:kern w:val="0"/>
          <w:szCs w:val="24"/>
          <w14:ligatures w14:val="none"/>
        </w:rPr>
        <w:t>not published</w:t>
      </w:r>
      <w:r w:rsidRPr="00A135A3">
        <w:rPr>
          <w:rFonts w:eastAsia="Calibri" w:cs="Arial"/>
          <w:kern w:val="0"/>
          <w:szCs w:val="24"/>
          <w14:ligatures w14:val="none"/>
        </w:rPr>
        <w:t xml:space="preserve">. NCISH reports an average of 71 patient homicides per year, and we found 162 MHHI published reports over a 13 year period, representing crudely around 12 homicides per year. Therefore, it appears </w:t>
      </w:r>
      <w:r w:rsidR="00DB6390" w:rsidRPr="00A135A3">
        <w:rPr>
          <w:rFonts w:eastAsia="Calibri" w:cs="Arial"/>
          <w:kern w:val="0"/>
          <w:szCs w:val="24"/>
          <w14:ligatures w14:val="none"/>
        </w:rPr>
        <w:t xml:space="preserve">probable </w:t>
      </w:r>
      <w:r w:rsidRPr="00A135A3">
        <w:rPr>
          <w:rFonts w:eastAsia="Calibri" w:cs="Arial"/>
          <w:kern w:val="0"/>
          <w:szCs w:val="24"/>
          <w14:ligatures w14:val="none"/>
        </w:rPr>
        <w:t xml:space="preserve">that many mental health homicides do not lead to an independent inquiry, and of the ones that do, many are not published. </w:t>
      </w:r>
    </w:p>
    <w:p w14:paraId="339A6309" w14:textId="7D4C397B" w:rsidR="007C50EB" w:rsidRPr="00A135A3" w:rsidRDefault="007C50EB" w:rsidP="007C50EB">
      <w:pPr>
        <w:spacing w:line="480" w:lineRule="auto"/>
        <w:jc w:val="both"/>
        <w:rPr>
          <w:rFonts w:eastAsia="Calibri" w:cs="Arial"/>
          <w:kern w:val="0"/>
          <w:szCs w:val="24"/>
          <w14:ligatures w14:val="none"/>
        </w:rPr>
      </w:pPr>
      <w:r w:rsidRPr="00A135A3">
        <w:rPr>
          <w:rFonts w:eastAsia="Calibri" w:cs="Arial"/>
          <w:i/>
          <w:iCs/>
          <w:kern w:val="0"/>
          <w:szCs w:val="24"/>
          <w14:ligatures w14:val="none"/>
        </w:rPr>
        <w:t>Implications</w:t>
      </w:r>
      <w:r w:rsidR="006069A6" w:rsidRPr="00A135A3">
        <w:rPr>
          <w:rFonts w:eastAsia="Calibri" w:cs="Arial"/>
          <w:i/>
          <w:iCs/>
          <w:kern w:val="0"/>
          <w:szCs w:val="24"/>
          <w14:ligatures w14:val="none"/>
        </w:rPr>
        <w:t xml:space="preserve">. </w:t>
      </w:r>
      <w:r w:rsidR="00877BBD" w:rsidRPr="00A135A3">
        <w:rPr>
          <w:rFonts w:eastAsia="Calibri" w:cs="Arial"/>
          <w:kern w:val="0"/>
          <w:szCs w:val="24"/>
          <w14:ligatures w14:val="none"/>
        </w:rPr>
        <w:t xml:space="preserve">There are significant shortcomings in almost every aspect of independent mental health inquiries, including methodology, attribution of causation, timeliness, and effectiveness of recommendations and actions in bringing about improvement in safety. </w:t>
      </w:r>
      <w:r w:rsidRPr="00A135A3">
        <w:rPr>
          <w:rFonts w:eastAsia="Calibri" w:cs="Arial"/>
          <w:kern w:val="0"/>
          <w:szCs w:val="24"/>
          <w14:ligatures w14:val="none"/>
        </w:rPr>
        <w:t xml:space="preserve"> </w:t>
      </w:r>
    </w:p>
    <w:p w14:paraId="56AE3C16" w14:textId="0E40E2D1" w:rsidR="007C50EB" w:rsidRPr="00A135A3" w:rsidRDefault="006069A6" w:rsidP="007C50EB">
      <w:pPr>
        <w:spacing w:line="480" w:lineRule="auto"/>
        <w:jc w:val="both"/>
        <w:rPr>
          <w:rFonts w:eastAsia="Calibri" w:cs="Arial"/>
          <w:kern w:val="0"/>
          <w:szCs w:val="24"/>
          <w14:ligatures w14:val="none"/>
        </w:rPr>
      </w:pPr>
      <w:r w:rsidRPr="00A135A3">
        <w:rPr>
          <w:rFonts w:eastAsia="Calibri" w:cs="Arial"/>
          <w:i/>
          <w:iCs/>
          <w:kern w:val="0"/>
          <w:szCs w:val="24"/>
          <w14:ligatures w14:val="none"/>
        </w:rPr>
        <w:t>Recommendations</w:t>
      </w:r>
      <w:r w:rsidRPr="00A135A3">
        <w:rPr>
          <w:rFonts w:eastAsia="Calibri" w:cs="Arial"/>
          <w:kern w:val="0"/>
          <w:szCs w:val="24"/>
          <w14:ligatures w14:val="none"/>
        </w:rPr>
        <w:t xml:space="preserve">. </w:t>
      </w:r>
      <w:r w:rsidR="007C50EB" w:rsidRPr="00A135A3">
        <w:rPr>
          <w:rFonts w:eastAsia="Calibri" w:cs="Arial"/>
          <w:kern w:val="0"/>
          <w:szCs w:val="24"/>
          <w14:ligatures w14:val="none"/>
        </w:rPr>
        <w:t>If independent inquiries of mental health homicides are to continue, we make some key recommendations</w:t>
      </w:r>
      <w:r w:rsidR="003007D6" w:rsidRPr="00A135A3">
        <w:rPr>
          <w:rFonts w:eastAsia="Calibri" w:cs="Arial"/>
          <w:kern w:val="0"/>
          <w:szCs w:val="24"/>
          <w14:ligatures w14:val="none"/>
        </w:rPr>
        <w:t>, based on our analysis</w:t>
      </w:r>
      <w:r w:rsidR="007C50EB" w:rsidRPr="00A135A3">
        <w:rPr>
          <w:rFonts w:eastAsia="Calibri" w:cs="Arial"/>
          <w:kern w:val="0"/>
          <w:szCs w:val="24"/>
          <w14:ligatures w14:val="none"/>
        </w:rPr>
        <w:t xml:space="preserve">.  </w:t>
      </w:r>
    </w:p>
    <w:p w14:paraId="7544059C" w14:textId="37B4E32D" w:rsidR="007C50EB" w:rsidRPr="00A135A3" w:rsidRDefault="007C50EB" w:rsidP="006069A6">
      <w:pPr>
        <w:spacing w:line="480" w:lineRule="auto"/>
        <w:jc w:val="both"/>
        <w:rPr>
          <w:rFonts w:eastAsia="Calibri" w:cs="Arial"/>
          <w:kern w:val="0"/>
          <w:szCs w:val="24"/>
          <w14:ligatures w14:val="none"/>
        </w:rPr>
      </w:pPr>
      <w:r w:rsidRPr="00A135A3">
        <w:rPr>
          <w:rFonts w:eastAsia="Calibri" w:cs="Arial"/>
          <w:kern w:val="0"/>
          <w:szCs w:val="24"/>
          <w14:ligatures w14:val="none"/>
        </w:rPr>
        <w:t xml:space="preserve">1. </w:t>
      </w:r>
      <w:r w:rsidRPr="00A135A3">
        <w:rPr>
          <w:rFonts w:eastAsia="Calibri" w:cs="Arial"/>
          <w:i/>
          <w:iCs/>
          <w:kern w:val="0"/>
          <w:szCs w:val="24"/>
          <w14:ligatures w14:val="none"/>
        </w:rPr>
        <w:t>Adoption of human factors and systems thinking as standard methodology</w:t>
      </w:r>
      <w:r w:rsidRPr="00A135A3">
        <w:rPr>
          <w:rFonts w:eastAsia="Calibri" w:cs="Arial"/>
          <w:kern w:val="0"/>
          <w:szCs w:val="24"/>
          <w14:ligatures w14:val="none"/>
        </w:rPr>
        <w:t>. While the importance of this is stated in PSIRF, MHHI have continued to be done with no reference to human factors.</w:t>
      </w:r>
      <w:r w:rsidRPr="00A135A3">
        <w:rPr>
          <w:rFonts w:eastAsia="Calibri" w:cs="Times New Roman"/>
        </w:rPr>
        <w:t xml:space="preserve"> This applies to development of r</w:t>
      </w:r>
      <w:r w:rsidRPr="00A135A3">
        <w:rPr>
          <w:rFonts w:eastAsia="Calibri" w:cs="Arial"/>
          <w:kern w:val="0"/>
          <w:szCs w:val="24"/>
          <w14:ligatures w14:val="none"/>
        </w:rPr>
        <w:t xml:space="preserve">ecommendations and action plans, which have not been helped by the insistence that they be SMART. This leads to short-term recommendations and actions which are suited for assurance, but do not lead to lasting or systemic improvement. </w:t>
      </w:r>
      <w:r w:rsidR="00877BBD" w:rsidRPr="00A135A3">
        <w:rPr>
          <w:rFonts w:eastAsia="Calibri" w:cs="Arial"/>
          <w:kern w:val="0"/>
          <w:szCs w:val="24"/>
          <w14:ligatures w14:val="none"/>
        </w:rPr>
        <w:t xml:space="preserve">Whilst system engineering and human factors methodologies such as </w:t>
      </w:r>
      <w:r w:rsidR="00060D83" w:rsidRPr="00A135A3">
        <w:rPr>
          <w:rFonts w:eastAsia="Calibri" w:cs="Arial"/>
          <w:kern w:val="0"/>
          <w:szCs w:val="24"/>
          <w14:ligatures w14:val="none"/>
        </w:rPr>
        <w:t xml:space="preserve">Human Factors Analysis and Classification System </w:t>
      </w:r>
      <w:r w:rsidR="00060D83" w:rsidRPr="00A135A3">
        <w:rPr>
          <w:rFonts w:eastAsia="Calibri" w:cs="Arial"/>
          <w:kern w:val="0"/>
          <w:szCs w:val="24"/>
          <w14:ligatures w14:val="none"/>
        </w:rPr>
        <w:lastRenderedPageBreak/>
        <w:t>(</w:t>
      </w:r>
      <w:r w:rsidR="00877BBD" w:rsidRPr="00A135A3">
        <w:rPr>
          <w:rFonts w:eastAsia="Calibri" w:cs="Arial"/>
          <w:kern w:val="0"/>
          <w:szCs w:val="24"/>
          <w14:ligatures w14:val="none"/>
        </w:rPr>
        <w:t>HFACS</w:t>
      </w:r>
      <w:r w:rsidR="00060D83" w:rsidRPr="00A135A3">
        <w:rPr>
          <w:rFonts w:eastAsia="Calibri" w:cs="Arial"/>
          <w:kern w:val="0"/>
          <w:szCs w:val="24"/>
          <w14:ligatures w14:val="none"/>
        </w:rPr>
        <w:t>)</w:t>
      </w:r>
      <w:r w:rsidR="00F56658" w:rsidRPr="00A135A3">
        <w:rPr>
          <w:rFonts w:eastAsia="Calibri" w:cs="Arial"/>
          <w:kern w:val="0"/>
          <w:szCs w:val="24"/>
          <w:vertAlign w:val="superscript"/>
          <w14:ligatures w14:val="none"/>
        </w:rPr>
        <w:t>42</w:t>
      </w:r>
      <w:r w:rsidR="00060D83" w:rsidRPr="00A135A3">
        <w:rPr>
          <w:rFonts w:eastAsia="Calibri" w:cs="Arial"/>
          <w:kern w:val="0"/>
          <w:szCs w:val="24"/>
          <w14:ligatures w14:val="none"/>
        </w:rPr>
        <w:t xml:space="preserve"> and Systems Engineering Initiative for Patient Safety (</w:t>
      </w:r>
      <w:r w:rsidR="00877BBD" w:rsidRPr="00A135A3">
        <w:rPr>
          <w:rFonts w:eastAsia="Calibri" w:cs="Arial"/>
          <w:kern w:val="0"/>
          <w:szCs w:val="24"/>
          <w14:ligatures w14:val="none"/>
        </w:rPr>
        <w:t>SEIPS</w:t>
      </w:r>
      <w:r w:rsidR="00060D83" w:rsidRPr="00A135A3">
        <w:rPr>
          <w:rFonts w:eastAsia="Calibri" w:cs="Arial"/>
          <w:kern w:val="0"/>
          <w:szCs w:val="24"/>
          <w14:ligatures w14:val="none"/>
        </w:rPr>
        <w:t>)</w:t>
      </w:r>
      <w:r w:rsidR="00F84C6D" w:rsidRPr="00A135A3">
        <w:rPr>
          <w:rFonts w:eastAsia="Calibri" w:cs="Arial"/>
          <w:kern w:val="0"/>
          <w:szCs w:val="24"/>
          <w:vertAlign w:val="superscript"/>
          <w14:ligatures w14:val="none"/>
        </w:rPr>
        <w:t>23</w:t>
      </w:r>
      <w:r w:rsidR="00877BBD" w:rsidRPr="00A135A3">
        <w:rPr>
          <w:rFonts w:eastAsia="Calibri" w:cs="Arial"/>
          <w:kern w:val="0"/>
          <w:szCs w:val="24"/>
          <w14:ligatures w14:val="none"/>
        </w:rPr>
        <w:t xml:space="preserve"> are starting to be used in investigations, it remains far from clear how these can be operationalised to ensure consistency, and to address the issue of attribution of causation and counterfactuals. They may have most to offer in the development of recommendations and corrective actions rather than to explain why a homicide occurred.</w:t>
      </w:r>
    </w:p>
    <w:p w14:paraId="4D9827E9" w14:textId="6F461522" w:rsidR="007C50EB" w:rsidRPr="00A135A3" w:rsidRDefault="007C50EB" w:rsidP="006069A6">
      <w:pPr>
        <w:spacing w:line="480" w:lineRule="auto"/>
        <w:jc w:val="both"/>
        <w:rPr>
          <w:rFonts w:eastAsia="Calibri" w:cs="Arial"/>
          <w:kern w:val="0"/>
          <w:szCs w:val="24"/>
          <w14:ligatures w14:val="none"/>
        </w:rPr>
      </w:pPr>
      <w:r w:rsidRPr="00A135A3">
        <w:rPr>
          <w:rFonts w:eastAsia="Calibri" w:cs="Arial"/>
          <w:kern w:val="0"/>
          <w:szCs w:val="24"/>
          <w14:ligatures w14:val="none"/>
        </w:rPr>
        <w:t xml:space="preserve">2. </w:t>
      </w:r>
      <w:r w:rsidR="003007D6" w:rsidRPr="00A135A3">
        <w:rPr>
          <w:rFonts w:eastAsia="Calibri" w:cs="Arial"/>
          <w:i/>
          <w:iCs/>
          <w:kern w:val="0"/>
          <w:szCs w:val="24"/>
          <w14:ligatures w14:val="none"/>
        </w:rPr>
        <w:t xml:space="preserve">Development of a </w:t>
      </w:r>
      <w:r w:rsidRPr="00A135A3">
        <w:rPr>
          <w:rFonts w:eastAsia="Calibri" w:cs="Arial"/>
          <w:i/>
          <w:iCs/>
          <w:kern w:val="0"/>
          <w:szCs w:val="24"/>
          <w14:ligatures w14:val="none"/>
        </w:rPr>
        <w:t>standardised template for reports</w:t>
      </w:r>
      <w:r w:rsidRPr="00A135A3">
        <w:rPr>
          <w:rFonts w:eastAsia="Calibri" w:cs="Arial"/>
          <w:kern w:val="0"/>
          <w:szCs w:val="24"/>
          <w14:ligatures w14:val="none"/>
        </w:rPr>
        <w:t>, which will ensure that all MHHI address a number of key areas. This will enable a thematic analysis to be undertaken regularly.</w:t>
      </w:r>
    </w:p>
    <w:p w14:paraId="613FE165" w14:textId="31D124BF" w:rsidR="007C50EB" w:rsidRPr="00A135A3" w:rsidRDefault="007C50EB" w:rsidP="006069A6">
      <w:pPr>
        <w:spacing w:line="480" w:lineRule="auto"/>
        <w:jc w:val="both"/>
        <w:rPr>
          <w:rFonts w:eastAsia="Calibri" w:cs="Arial"/>
          <w:kern w:val="0"/>
          <w:szCs w:val="24"/>
          <w14:ligatures w14:val="none"/>
        </w:rPr>
      </w:pPr>
      <w:r w:rsidRPr="00A135A3">
        <w:rPr>
          <w:rFonts w:eastAsia="Calibri" w:cs="Arial"/>
          <w:kern w:val="0"/>
          <w:szCs w:val="24"/>
          <w14:ligatures w14:val="none"/>
        </w:rPr>
        <w:t xml:space="preserve">3. </w:t>
      </w:r>
      <w:r w:rsidRPr="00A135A3">
        <w:rPr>
          <w:rFonts w:eastAsia="Calibri" w:cs="Arial"/>
          <w:i/>
          <w:iCs/>
          <w:kern w:val="0"/>
          <w:szCs w:val="24"/>
          <w14:ligatures w14:val="none"/>
        </w:rPr>
        <w:t xml:space="preserve">NHSE </w:t>
      </w:r>
      <w:r w:rsidR="003007D6" w:rsidRPr="00A135A3">
        <w:rPr>
          <w:rFonts w:eastAsia="Calibri" w:cs="Arial"/>
          <w:i/>
          <w:iCs/>
          <w:kern w:val="0"/>
          <w:szCs w:val="24"/>
          <w14:ligatures w14:val="none"/>
        </w:rPr>
        <w:t xml:space="preserve">should </w:t>
      </w:r>
      <w:r w:rsidRPr="00A135A3">
        <w:rPr>
          <w:rFonts w:eastAsia="Calibri" w:cs="Arial"/>
          <w:i/>
          <w:iCs/>
          <w:kern w:val="0"/>
          <w:szCs w:val="24"/>
          <w14:ligatures w14:val="none"/>
        </w:rPr>
        <w:t xml:space="preserve">provide a definition of predictability and preventability, with a burden of proof specified, or </w:t>
      </w:r>
      <w:r w:rsidR="003007D6" w:rsidRPr="00A135A3">
        <w:rPr>
          <w:rFonts w:eastAsia="Calibri" w:cs="Arial"/>
          <w:i/>
          <w:iCs/>
          <w:kern w:val="0"/>
          <w:szCs w:val="24"/>
          <w14:ligatures w14:val="none"/>
        </w:rPr>
        <w:t xml:space="preserve">otherwise abandon </w:t>
      </w:r>
      <w:r w:rsidRPr="00A135A3">
        <w:rPr>
          <w:rFonts w:eastAsia="Calibri" w:cs="Arial"/>
          <w:i/>
          <w:iCs/>
          <w:kern w:val="0"/>
          <w:szCs w:val="24"/>
          <w14:ligatures w14:val="none"/>
        </w:rPr>
        <w:t>these concepts</w:t>
      </w:r>
      <w:r w:rsidRPr="00A135A3">
        <w:rPr>
          <w:rFonts w:eastAsia="Calibri" w:cs="Arial"/>
          <w:kern w:val="0"/>
          <w:szCs w:val="24"/>
          <w14:ligatures w14:val="none"/>
        </w:rPr>
        <w:t>. The issue of attribution of causality needs to be addressed. If the standard of causality that operates is contributory causality, rather than absolute or conditional, this should be made explicit.</w:t>
      </w:r>
    </w:p>
    <w:p w14:paraId="6AB6D208" w14:textId="77777777" w:rsidR="007C50EB" w:rsidRPr="00A135A3" w:rsidRDefault="007C50EB" w:rsidP="007C50EB">
      <w:pPr>
        <w:spacing w:line="480" w:lineRule="auto"/>
        <w:jc w:val="both"/>
        <w:rPr>
          <w:rFonts w:eastAsia="Calibri" w:cs="Arial"/>
          <w:kern w:val="0"/>
          <w:szCs w:val="24"/>
          <w14:ligatures w14:val="none"/>
        </w:rPr>
      </w:pPr>
      <w:r w:rsidRPr="00A135A3">
        <w:rPr>
          <w:rFonts w:eastAsia="Calibri" w:cs="Arial"/>
          <w:kern w:val="0"/>
          <w:szCs w:val="24"/>
          <w14:ligatures w14:val="none"/>
        </w:rPr>
        <w:t>In addition, we recommend the following.</w:t>
      </w:r>
    </w:p>
    <w:p w14:paraId="76AEE2E6" w14:textId="5FC5A739" w:rsidR="007C50EB" w:rsidRPr="00A135A3" w:rsidRDefault="005E4E46" w:rsidP="006069A6">
      <w:pPr>
        <w:spacing w:line="480" w:lineRule="auto"/>
        <w:jc w:val="both"/>
        <w:rPr>
          <w:rFonts w:eastAsia="Calibri" w:cs="Arial"/>
          <w:kern w:val="0"/>
          <w:szCs w:val="24"/>
          <w14:ligatures w14:val="none"/>
        </w:rPr>
      </w:pPr>
      <w:r w:rsidRPr="00A135A3">
        <w:rPr>
          <w:rFonts w:eastAsia="Calibri" w:cs="Arial"/>
          <w:kern w:val="0"/>
          <w:szCs w:val="24"/>
          <w14:ligatures w14:val="none"/>
        </w:rPr>
        <w:t>1.</w:t>
      </w:r>
      <w:r w:rsidR="007C50EB" w:rsidRPr="00A135A3">
        <w:rPr>
          <w:rFonts w:eastAsia="Calibri" w:cs="Arial"/>
          <w:kern w:val="0"/>
          <w:szCs w:val="24"/>
          <w14:ligatures w14:val="none"/>
        </w:rPr>
        <w:t xml:space="preserve"> </w:t>
      </w:r>
      <w:r w:rsidR="006069A6" w:rsidRPr="00A135A3">
        <w:rPr>
          <w:rFonts w:eastAsia="Calibri" w:cs="Arial"/>
          <w:i/>
          <w:iCs/>
          <w:kern w:val="0"/>
          <w:szCs w:val="24"/>
          <w14:ligatures w14:val="none"/>
        </w:rPr>
        <w:t>Prompt completion of inquiries</w:t>
      </w:r>
      <w:r w:rsidR="006069A6" w:rsidRPr="00A135A3">
        <w:rPr>
          <w:rFonts w:eastAsia="Calibri" w:cs="Arial"/>
          <w:kern w:val="0"/>
          <w:szCs w:val="24"/>
          <w14:ligatures w14:val="none"/>
        </w:rPr>
        <w:t xml:space="preserve">. </w:t>
      </w:r>
      <w:r w:rsidR="007C50EB" w:rsidRPr="00A135A3">
        <w:rPr>
          <w:rFonts w:eastAsia="Calibri" w:cs="Arial"/>
          <w:kern w:val="0"/>
          <w:szCs w:val="24"/>
          <w14:ligatures w14:val="none"/>
        </w:rPr>
        <w:t xml:space="preserve">For MHHI to be useful to improve services, and for them to be useful for victims, they should be completed in a more timely fashion. </w:t>
      </w:r>
    </w:p>
    <w:p w14:paraId="2E438D91" w14:textId="4C042BDD" w:rsidR="007C50EB" w:rsidRPr="00A135A3" w:rsidRDefault="005E4E46" w:rsidP="006069A6">
      <w:pPr>
        <w:spacing w:line="480" w:lineRule="auto"/>
        <w:jc w:val="both"/>
        <w:rPr>
          <w:rFonts w:eastAsia="Calibri" w:cs="Arial"/>
          <w:kern w:val="0"/>
          <w:szCs w:val="24"/>
          <w14:ligatures w14:val="none"/>
        </w:rPr>
      </w:pPr>
      <w:r w:rsidRPr="00A135A3">
        <w:rPr>
          <w:rFonts w:eastAsia="Calibri" w:cs="Arial"/>
          <w:kern w:val="0"/>
          <w:szCs w:val="24"/>
          <w14:ligatures w14:val="none"/>
        </w:rPr>
        <w:t>2.</w:t>
      </w:r>
      <w:r w:rsidR="007C50EB" w:rsidRPr="00A135A3">
        <w:rPr>
          <w:rFonts w:eastAsia="Calibri" w:cs="Arial"/>
          <w:kern w:val="0"/>
          <w:szCs w:val="24"/>
          <w14:ligatures w14:val="none"/>
        </w:rPr>
        <w:t xml:space="preserve"> </w:t>
      </w:r>
      <w:r w:rsidR="006069A6" w:rsidRPr="00A135A3">
        <w:rPr>
          <w:rFonts w:eastAsia="Calibri" w:cs="Arial"/>
          <w:i/>
          <w:iCs/>
          <w:kern w:val="0"/>
          <w:szCs w:val="24"/>
          <w14:ligatures w14:val="none"/>
        </w:rPr>
        <w:t xml:space="preserve">Provision of </w:t>
      </w:r>
      <w:r w:rsidR="007C50EB" w:rsidRPr="00A135A3">
        <w:rPr>
          <w:rFonts w:eastAsia="Calibri" w:cs="Arial"/>
          <w:i/>
          <w:iCs/>
          <w:kern w:val="0"/>
          <w:szCs w:val="24"/>
          <w14:ligatures w14:val="none"/>
        </w:rPr>
        <w:t>guidance regarding terms of reference</w:t>
      </w:r>
      <w:r w:rsidR="006069A6" w:rsidRPr="00A135A3">
        <w:rPr>
          <w:rFonts w:eastAsia="Calibri" w:cs="Arial"/>
          <w:kern w:val="0"/>
          <w:szCs w:val="24"/>
          <w14:ligatures w14:val="none"/>
        </w:rPr>
        <w:t>.</w:t>
      </w:r>
      <w:r w:rsidR="007C50EB" w:rsidRPr="00A135A3">
        <w:rPr>
          <w:rFonts w:eastAsia="Calibri" w:cs="Arial"/>
          <w:kern w:val="0"/>
          <w:szCs w:val="24"/>
          <w14:ligatures w14:val="none"/>
        </w:rPr>
        <w:t xml:space="preserve"> </w:t>
      </w:r>
      <w:r w:rsidR="006069A6" w:rsidRPr="00A135A3">
        <w:rPr>
          <w:rFonts w:eastAsia="Calibri" w:cs="Arial"/>
          <w:kern w:val="0"/>
          <w:szCs w:val="24"/>
          <w14:ligatures w14:val="none"/>
        </w:rPr>
        <w:t>This should be</w:t>
      </w:r>
      <w:r w:rsidR="007C50EB" w:rsidRPr="00A135A3">
        <w:rPr>
          <w:rFonts w:eastAsia="Calibri" w:cs="Arial"/>
          <w:kern w:val="0"/>
          <w:szCs w:val="24"/>
          <w14:ligatures w14:val="none"/>
        </w:rPr>
        <w:t xml:space="preserve"> specific, but also include some issues as standard, </w:t>
      </w:r>
      <w:r w:rsidR="006069A6" w:rsidRPr="00A135A3">
        <w:rPr>
          <w:rFonts w:eastAsia="Calibri" w:cs="Arial"/>
          <w:kern w:val="0"/>
          <w:szCs w:val="24"/>
          <w14:ligatures w14:val="none"/>
        </w:rPr>
        <w:t>to</w:t>
      </w:r>
      <w:r w:rsidR="007C50EB" w:rsidRPr="00A135A3">
        <w:rPr>
          <w:rFonts w:eastAsia="Calibri" w:cs="Arial"/>
          <w:kern w:val="0"/>
          <w:szCs w:val="24"/>
          <w14:ligatures w14:val="none"/>
        </w:rPr>
        <w:t xml:space="preserve"> aid thematic analyses</w:t>
      </w:r>
      <w:r w:rsidR="003007D6" w:rsidRPr="00A135A3">
        <w:rPr>
          <w:rFonts w:eastAsia="Calibri" w:cs="Arial"/>
          <w:kern w:val="0"/>
          <w:szCs w:val="24"/>
          <w14:ligatures w14:val="none"/>
        </w:rPr>
        <w:t>.</w:t>
      </w:r>
    </w:p>
    <w:p w14:paraId="709AAF64" w14:textId="28E69247" w:rsidR="007C50EB" w:rsidRPr="00A135A3" w:rsidRDefault="005E4E46" w:rsidP="006069A6">
      <w:pPr>
        <w:spacing w:line="480" w:lineRule="auto"/>
        <w:jc w:val="both"/>
        <w:rPr>
          <w:rFonts w:eastAsia="Calibri" w:cs="Arial"/>
          <w:kern w:val="0"/>
          <w:szCs w:val="24"/>
          <w14:ligatures w14:val="none"/>
        </w:rPr>
      </w:pPr>
      <w:r w:rsidRPr="00A135A3">
        <w:rPr>
          <w:rFonts w:eastAsia="Calibri" w:cs="Arial"/>
          <w:kern w:val="0"/>
          <w:szCs w:val="24"/>
          <w14:ligatures w14:val="none"/>
        </w:rPr>
        <w:t>3</w:t>
      </w:r>
      <w:r w:rsidR="007C50EB" w:rsidRPr="00A135A3">
        <w:rPr>
          <w:rFonts w:eastAsia="Calibri" w:cs="Arial"/>
          <w:kern w:val="0"/>
          <w:szCs w:val="24"/>
          <w14:ligatures w14:val="none"/>
        </w:rPr>
        <w:t xml:space="preserve">. </w:t>
      </w:r>
      <w:r w:rsidR="006069A6" w:rsidRPr="00A135A3">
        <w:rPr>
          <w:rFonts w:eastAsia="Calibri" w:cs="Arial"/>
          <w:i/>
          <w:iCs/>
          <w:kern w:val="0"/>
          <w:szCs w:val="24"/>
          <w14:ligatures w14:val="none"/>
        </w:rPr>
        <w:t>C</w:t>
      </w:r>
      <w:r w:rsidR="007C50EB" w:rsidRPr="00A135A3">
        <w:rPr>
          <w:rFonts w:eastAsia="Calibri" w:cs="Arial"/>
          <w:i/>
          <w:iCs/>
          <w:kern w:val="0"/>
          <w:szCs w:val="24"/>
          <w14:ligatures w14:val="none"/>
        </w:rPr>
        <w:t>onsistency in inquiry panel composition</w:t>
      </w:r>
      <w:r w:rsidR="007C50EB" w:rsidRPr="00A135A3">
        <w:rPr>
          <w:rFonts w:eastAsia="Calibri" w:cs="Arial"/>
          <w:kern w:val="0"/>
          <w:szCs w:val="24"/>
          <w14:ligatures w14:val="none"/>
        </w:rPr>
        <w:t xml:space="preserve">. We recommend that a patient or family or lay representative is considered for each inquiry.  </w:t>
      </w:r>
    </w:p>
    <w:p w14:paraId="7947869C" w14:textId="30D5C985" w:rsidR="007C50EB" w:rsidRPr="00A135A3" w:rsidRDefault="005E4E46" w:rsidP="006069A6">
      <w:pPr>
        <w:spacing w:line="480" w:lineRule="auto"/>
        <w:jc w:val="both"/>
        <w:rPr>
          <w:rFonts w:eastAsia="Calibri" w:cs="Arial"/>
          <w:kern w:val="0"/>
          <w:szCs w:val="24"/>
          <w14:ligatures w14:val="none"/>
        </w:rPr>
      </w:pPr>
      <w:r w:rsidRPr="00A135A3">
        <w:rPr>
          <w:rFonts w:eastAsia="Calibri" w:cs="Arial"/>
          <w:kern w:val="0"/>
          <w:szCs w:val="24"/>
          <w14:ligatures w14:val="none"/>
        </w:rPr>
        <w:t>4</w:t>
      </w:r>
      <w:r w:rsidR="007C50EB" w:rsidRPr="00A135A3">
        <w:rPr>
          <w:rFonts w:eastAsia="Calibri" w:cs="Arial"/>
          <w:kern w:val="0"/>
          <w:szCs w:val="24"/>
          <w14:ligatures w14:val="none"/>
        </w:rPr>
        <w:t xml:space="preserve">. </w:t>
      </w:r>
      <w:r w:rsidR="006069A6" w:rsidRPr="00A135A3">
        <w:rPr>
          <w:rFonts w:eastAsia="Calibri" w:cs="Arial"/>
          <w:i/>
          <w:iCs/>
          <w:kern w:val="0"/>
          <w:szCs w:val="24"/>
          <w14:ligatures w14:val="none"/>
        </w:rPr>
        <w:t>Avoidance of duplication</w:t>
      </w:r>
      <w:r w:rsidR="006069A6" w:rsidRPr="00A135A3">
        <w:rPr>
          <w:rFonts w:eastAsia="Calibri" w:cs="Arial"/>
          <w:kern w:val="0"/>
          <w:szCs w:val="24"/>
          <w14:ligatures w14:val="none"/>
        </w:rPr>
        <w:t xml:space="preserve">. </w:t>
      </w:r>
      <w:r w:rsidR="007C50EB" w:rsidRPr="00A135A3">
        <w:rPr>
          <w:rFonts w:eastAsia="Calibri" w:cs="Arial"/>
          <w:kern w:val="0"/>
          <w:szCs w:val="24"/>
          <w14:ligatures w14:val="none"/>
        </w:rPr>
        <w:t>There is unlikely to be any value in duplicating processes, with the provider of mental health services undertaking an internal investigation and an independent panel undertaking an external inquiry. One well-considered inquiry is likely to be more beneficial.</w:t>
      </w:r>
    </w:p>
    <w:p w14:paraId="48041578" w14:textId="291C3507" w:rsidR="007C50EB" w:rsidRPr="00A135A3" w:rsidRDefault="005E4E46" w:rsidP="006069A6">
      <w:pPr>
        <w:spacing w:line="480" w:lineRule="auto"/>
        <w:jc w:val="both"/>
        <w:rPr>
          <w:rFonts w:eastAsia="Calibri" w:cs="Arial"/>
          <w:kern w:val="0"/>
          <w:szCs w:val="24"/>
          <w14:ligatures w14:val="none"/>
        </w:rPr>
      </w:pPr>
      <w:r w:rsidRPr="00A135A3">
        <w:rPr>
          <w:rFonts w:eastAsia="Calibri" w:cs="Arial"/>
          <w:kern w:val="0"/>
          <w:szCs w:val="24"/>
          <w14:ligatures w14:val="none"/>
        </w:rPr>
        <w:lastRenderedPageBreak/>
        <w:t>5</w:t>
      </w:r>
      <w:r w:rsidR="007C50EB" w:rsidRPr="00A135A3">
        <w:rPr>
          <w:rFonts w:eastAsia="Calibri" w:cs="Arial"/>
          <w:kern w:val="0"/>
          <w:szCs w:val="24"/>
          <w14:ligatures w14:val="none"/>
        </w:rPr>
        <w:t xml:space="preserve">. </w:t>
      </w:r>
      <w:r w:rsidR="006069A6" w:rsidRPr="00A135A3">
        <w:rPr>
          <w:rFonts w:eastAsia="Calibri" w:cs="Arial"/>
          <w:i/>
          <w:iCs/>
          <w:kern w:val="0"/>
          <w:szCs w:val="24"/>
          <w14:ligatures w14:val="none"/>
        </w:rPr>
        <w:t>Reconsideration of t</w:t>
      </w:r>
      <w:r w:rsidR="007C50EB" w:rsidRPr="00A135A3">
        <w:rPr>
          <w:rFonts w:eastAsia="Calibri" w:cs="Arial"/>
          <w:i/>
          <w:iCs/>
          <w:kern w:val="0"/>
          <w:szCs w:val="24"/>
          <w14:ligatures w14:val="none"/>
        </w:rPr>
        <w:t>he balance between patient-perpetrator confidentiality and public interest, as well as the rights of victims</w:t>
      </w:r>
      <w:r w:rsidR="007C50EB" w:rsidRPr="00A135A3">
        <w:rPr>
          <w:rFonts w:eastAsia="Calibri" w:cs="Arial"/>
          <w:kern w:val="0"/>
          <w:szCs w:val="24"/>
          <w14:ligatures w14:val="none"/>
        </w:rPr>
        <w:t>. Most organisations apply the Caldicott Guardian principles to decision</w:t>
      </w:r>
      <w:r w:rsidR="003007D6" w:rsidRPr="00A135A3">
        <w:rPr>
          <w:rFonts w:eastAsia="Calibri" w:cs="Arial"/>
          <w:kern w:val="0"/>
          <w:szCs w:val="24"/>
          <w14:ligatures w14:val="none"/>
        </w:rPr>
        <w:t>s</w:t>
      </w:r>
      <w:r w:rsidR="007C50EB" w:rsidRPr="00A135A3">
        <w:rPr>
          <w:rFonts w:eastAsia="Calibri" w:cs="Arial"/>
          <w:kern w:val="0"/>
          <w:szCs w:val="24"/>
          <w14:ligatures w14:val="none"/>
        </w:rPr>
        <w:t xml:space="preserve"> regarding whether to publish an MHHI; however, this risks ignoring the public interest issue. We recommend that NHSE provides clear guidance to the system on this issue.</w:t>
      </w:r>
    </w:p>
    <w:p w14:paraId="5FB86DBD" w14:textId="4A691658" w:rsidR="007C50EB" w:rsidRPr="00A135A3" w:rsidRDefault="005E4E46" w:rsidP="006069A6">
      <w:pPr>
        <w:spacing w:line="480" w:lineRule="auto"/>
        <w:jc w:val="both"/>
        <w:rPr>
          <w:rFonts w:eastAsia="Calibri" w:cs="Arial"/>
          <w:kern w:val="0"/>
          <w:szCs w:val="24"/>
          <w14:ligatures w14:val="none"/>
        </w:rPr>
      </w:pPr>
      <w:r w:rsidRPr="00A135A3">
        <w:rPr>
          <w:rFonts w:eastAsia="Calibri" w:cs="Arial"/>
          <w:kern w:val="0"/>
          <w:szCs w:val="24"/>
          <w14:ligatures w14:val="none"/>
        </w:rPr>
        <w:t>6</w:t>
      </w:r>
      <w:r w:rsidR="007C50EB" w:rsidRPr="00A135A3">
        <w:rPr>
          <w:rFonts w:eastAsia="Calibri" w:cs="Arial"/>
          <w:kern w:val="0"/>
          <w:szCs w:val="24"/>
          <w14:ligatures w14:val="none"/>
        </w:rPr>
        <w:t xml:space="preserve">. </w:t>
      </w:r>
      <w:r w:rsidR="006069A6" w:rsidRPr="00A135A3">
        <w:rPr>
          <w:rFonts w:eastAsia="Calibri" w:cs="Arial"/>
          <w:i/>
          <w:iCs/>
          <w:kern w:val="0"/>
          <w:szCs w:val="24"/>
          <w14:ligatures w14:val="none"/>
        </w:rPr>
        <w:t>Renewed publication of data relating to homicides</w:t>
      </w:r>
      <w:r w:rsidR="006069A6" w:rsidRPr="00A135A3">
        <w:rPr>
          <w:rFonts w:eastAsia="Calibri" w:cs="Arial"/>
          <w:kern w:val="0"/>
          <w:szCs w:val="24"/>
          <w14:ligatures w14:val="none"/>
        </w:rPr>
        <w:t xml:space="preserve">. </w:t>
      </w:r>
      <w:r w:rsidR="007C50EB" w:rsidRPr="00A135A3">
        <w:rPr>
          <w:rFonts w:eastAsia="Calibri" w:cs="Arial"/>
          <w:kern w:val="0"/>
          <w:szCs w:val="24"/>
          <w14:ligatures w14:val="none"/>
        </w:rPr>
        <w:t>NCISH has not, since 201</w:t>
      </w:r>
      <w:r w:rsidR="00FB6861" w:rsidRPr="00A135A3">
        <w:rPr>
          <w:rFonts w:eastAsia="Calibri" w:cs="Arial"/>
          <w:kern w:val="0"/>
          <w:szCs w:val="24"/>
          <w14:ligatures w14:val="none"/>
        </w:rPr>
        <w:t>8</w:t>
      </w:r>
      <w:r w:rsidR="007C50EB" w:rsidRPr="00A135A3">
        <w:rPr>
          <w:rFonts w:eastAsia="Calibri" w:cs="Arial"/>
          <w:kern w:val="0"/>
          <w:szCs w:val="24"/>
          <w14:ligatures w14:val="none"/>
        </w:rPr>
        <w:t xml:space="preserve">, </w:t>
      </w:r>
      <w:r w:rsidR="00FB6861" w:rsidRPr="00A135A3">
        <w:rPr>
          <w:rFonts w:eastAsia="Calibri" w:cs="Arial"/>
          <w:kern w:val="0"/>
          <w:szCs w:val="24"/>
          <w14:ligatures w14:val="none"/>
        </w:rPr>
        <w:t xml:space="preserve">published </w:t>
      </w:r>
      <w:r w:rsidR="007C50EB" w:rsidRPr="00A135A3">
        <w:rPr>
          <w:rFonts w:eastAsia="Calibri" w:cs="Arial"/>
          <w:kern w:val="0"/>
          <w:szCs w:val="24"/>
          <w14:ligatures w14:val="none"/>
        </w:rPr>
        <w:t xml:space="preserve">data on mental health homicides. This means that there has not been an annual repository of information regarding mental health homicides. This is unfortunate, as NCISH has a standardised process, which reduces gaps in data. However, NCISH homicide data collection is not an independent inquiry, and NCISH analysed themes rather than commenting on individual cases, which may not be enough for victims’ families. Whilst independent mental health homicide inquiries do examine individual homicides in detail, they suffer from deficits detailed in this study. Therefore, both are needed, or a process that brings both approaches together. </w:t>
      </w:r>
    </w:p>
    <w:p w14:paraId="4156E100" w14:textId="04C505D9" w:rsidR="007C50EB" w:rsidRPr="00A135A3" w:rsidRDefault="006069A6" w:rsidP="009E7924">
      <w:pPr>
        <w:spacing w:line="480" w:lineRule="auto"/>
        <w:jc w:val="both"/>
        <w:rPr>
          <w:rFonts w:eastAsia="Calibri" w:cs="Arial"/>
          <w:kern w:val="0"/>
          <w:szCs w:val="24"/>
          <w14:ligatures w14:val="none"/>
        </w:rPr>
      </w:pPr>
      <w:r w:rsidRPr="00A135A3">
        <w:rPr>
          <w:rFonts w:eastAsia="Calibri" w:cs="Arial"/>
          <w:kern w:val="0"/>
          <w:szCs w:val="24"/>
          <w14:ligatures w14:val="none"/>
        </w:rPr>
        <w:t xml:space="preserve">7. </w:t>
      </w:r>
      <w:r w:rsidRPr="00A135A3">
        <w:rPr>
          <w:rFonts w:eastAsia="Calibri" w:cs="Arial"/>
          <w:i/>
          <w:iCs/>
          <w:kern w:val="0"/>
          <w:szCs w:val="24"/>
          <w14:ligatures w14:val="none"/>
        </w:rPr>
        <w:t>Development and composition of a standardised template</w:t>
      </w:r>
      <w:r w:rsidR="009E7924" w:rsidRPr="00A135A3">
        <w:rPr>
          <w:rFonts w:eastAsia="Calibri" w:cs="Arial"/>
          <w:kern w:val="0"/>
          <w:szCs w:val="24"/>
          <w14:ligatures w14:val="none"/>
        </w:rPr>
        <w:t xml:space="preserve">. </w:t>
      </w:r>
      <w:r w:rsidR="007C50EB" w:rsidRPr="00A135A3">
        <w:rPr>
          <w:rFonts w:eastAsia="Calibri" w:cs="Arial"/>
          <w:kern w:val="0"/>
          <w:szCs w:val="24"/>
          <w14:ligatures w14:val="none"/>
        </w:rPr>
        <w:t>We recommend that the following are included in a standardised template:</w:t>
      </w:r>
    </w:p>
    <w:p w14:paraId="3D0281B6" w14:textId="77777777" w:rsidR="007C50EB" w:rsidRPr="00A135A3" w:rsidRDefault="007C50EB" w:rsidP="006069A6">
      <w:pPr>
        <w:numPr>
          <w:ilvl w:val="0"/>
          <w:numId w:val="1"/>
        </w:numPr>
        <w:spacing w:line="480" w:lineRule="auto"/>
        <w:ind w:left="720"/>
        <w:contextualSpacing/>
        <w:jc w:val="both"/>
        <w:rPr>
          <w:rFonts w:eastAsia="Calibri" w:cs="Arial"/>
          <w:kern w:val="0"/>
          <w:szCs w:val="24"/>
          <w14:ligatures w14:val="none"/>
        </w:rPr>
      </w:pPr>
      <w:r w:rsidRPr="00A135A3">
        <w:rPr>
          <w:rFonts w:eastAsia="Calibri" w:cs="Arial"/>
          <w:kern w:val="0"/>
          <w:szCs w:val="24"/>
          <w14:ligatures w14:val="none"/>
        </w:rPr>
        <w:t xml:space="preserve">Acknowledgement of hindsight, availability and confirmation bias </w:t>
      </w:r>
    </w:p>
    <w:p w14:paraId="2436EC40" w14:textId="77777777" w:rsidR="007C50EB" w:rsidRPr="00A135A3" w:rsidRDefault="007C50EB" w:rsidP="006069A6">
      <w:pPr>
        <w:numPr>
          <w:ilvl w:val="0"/>
          <w:numId w:val="1"/>
        </w:numPr>
        <w:spacing w:line="480" w:lineRule="auto"/>
        <w:ind w:left="720"/>
        <w:contextualSpacing/>
        <w:jc w:val="both"/>
        <w:rPr>
          <w:rFonts w:eastAsia="Calibri" w:cs="Arial"/>
          <w:kern w:val="0"/>
          <w:szCs w:val="24"/>
          <w14:ligatures w14:val="none"/>
        </w:rPr>
      </w:pPr>
      <w:r w:rsidRPr="00A135A3">
        <w:rPr>
          <w:rFonts w:eastAsia="Calibri" w:cs="Arial"/>
          <w:kern w:val="0"/>
          <w:szCs w:val="24"/>
          <w14:ligatures w14:val="none"/>
        </w:rPr>
        <w:t>Declaration of conflicts of interest of inquiry panel members</w:t>
      </w:r>
    </w:p>
    <w:p w14:paraId="6A121183" w14:textId="398975D8" w:rsidR="007C50EB" w:rsidRPr="00A135A3" w:rsidRDefault="007C50EB" w:rsidP="006069A6">
      <w:pPr>
        <w:numPr>
          <w:ilvl w:val="0"/>
          <w:numId w:val="1"/>
        </w:numPr>
        <w:spacing w:line="480" w:lineRule="auto"/>
        <w:ind w:left="720"/>
        <w:contextualSpacing/>
        <w:jc w:val="both"/>
        <w:rPr>
          <w:rFonts w:eastAsia="Calibri" w:cs="Arial"/>
          <w:kern w:val="0"/>
          <w:szCs w:val="24"/>
          <w14:ligatures w14:val="none"/>
        </w:rPr>
      </w:pPr>
      <w:r w:rsidRPr="00A135A3">
        <w:rPr>
          <w:rFonts w:eastAsia="Calibri" w:cs="Arial"/>
          <w:kern w:val="0"/>
          <w:szCs w:val="24"/>
          <w14:ligatures w14:val="none"/>
        </w:rPr>
        <w:t xml:space="preserve">Information </w:t>
      </w:r>
      <w:r w:rsidR="000D78BD" w:rsidRPr="00A135A3">
        <w:rPr>
          <w:rFonts w:eastAsia="Calibri" w:cs="Arial"/>
          <w:kern w:val="0"/>
          <w:szCs w:val="24"/>
          <w14:ligatures w14:val="none"/>
        </w:rPr>
        <w:t>regarding</w:t>
      </w:r>
      <w:r w:rsidRPr="00A135A3">
        <w:rPr>
          <w:rFonts w:eastAsia="Calibri" w:cs="Arial"/>
          <w:kern w:val="0"/>
          <w:szCs w:val="24"/>
          <w14:ligatures w14:val="none"/>
        </w:rPr>
        <w:t xml:space="preserve"> the background of inquiry panel members</w:t>
      </w:r>
    </w:p>
    <w:p w14:paraId="5236CC9E" w14:textId="77777777" w:rsidR="007C50EB" w:rsidRPr="00A135A3" w:rsidRDefault="007C50EB" w:rsidP="006069A6">
      <w:pPr>
        <w:numPr>
          <w:ilvl w:val="0"/>
          <w:numId w:val="1"/>
        </w:numPr>
        <w:spacing w:line="480" w:lineRule="auto"/>
        <w:ind w:left="720"/>
        <w:contextualSpacing/>
        <w:jc w:val="both"/>
        <w:rPr>
          <w:rFonts w:eastAsia="Calibri" w:cs="Arial"/>
          <w:kern w:val="0"/>
          <w:szCs w:val="24"/>
          <w14:ligatures w14:val="none"/>
        </w:rPr>
      </w:pPr>
      <w:r w:rsidRPr="00A135A3">
        <w:rPr>
          <w:rFonts w:eastAsia="Calibri" w:cs="Arial"/>
          <w:kern w:val="0"/>
          <w:szCs w:val="24"/>
          <w14:ligatures w14:val="none"/>
        </w:rPr>
        <w:t xml:space="preserve">Inclusion of a specific individual on the panel for liaising with the victim’s and patient’s families </w:t>
      </w:r>
    </w:p>
    <w:p w14:paraId="1B54B72C" w14:textId="77777777" w:rsidR="007C50EB" w:rsidRPr="00A135A3" w:rsidRDefault="007C50EB" w:rsidP="006069A6">
      <w:pPr>
        <w:numPr>
          <w:ilvl w:val="0"/>
          <w:numId w:val="1"/>
        </w:numPr>
        <w:spacing w:line="480" w:lineRule="auto"/>
        <w:ind w:left="720"/>
        <w:contextualSpacing/>
        <w:jc w:val="both"/>
        <w:rPr>
          <w:rFonts w:eastAsia="Calibri" w:cs="Arial"/>
          <w:kern w:val="0"/>
          <w:szCs w:val="24"/>
          <w14:ligatures w14:val="none"/>
        </w:rPr>
      </w:pPr>
      <w:r w:rsidRPr="00A135A3">
        <w:rPr>
          <w:rFonts w:eastAsia="Calibri" w:cs="Arial"/>
          <w:kern w:val="0"/>
          <w:szCs w:val="24"/>
          <w14:ligatures w14:val="none"/>
        </w:rPr>
        <w:t>Inclusion of terms of reference</w:t>
      </w:r>
    </w:p>
    <w:p w14:paraId="1C03CA6F" w14:textId="77777777" w:rsidR="007C50EB" w:rsidRPr="00A135A3" w:rsidRDefault="007C50EB" w:rsidP="006069A6">
      <w:pPr>
        <w:numPr>
          <w:ilvl w:val="0"/>
          <w:numId w:val="1"/>
        </w:numPr>
        <w:spacing w:line="480" w:lineRule="auto"/>
        <w:ind w:left="720"/>
        <w:contextualSpacing/>
        <w:jc w:val="both"/>
        <w:rPr>
          <w:rFonts w:eastAsia="Calibri" w:cs="Arial"/>
          <w:kern w:val="0"/>
          <w:szCs w:val="24"/>
          <w14:ligatures w14:val="none"/>
        </w:rPr>
      </w:pPr>
      <w:r w:rsidRPr="00A135A3">
        <w:rPr>
          <w:rFonts w:eastAsia="Calibri" w:cs="Arial"/>
          <w:kern w:val="0"/>
          <w:szCs w:val="24"/>
          <w14:ligatures w14:val="none"/>
        </w:rPr>
        <w:t>Description of methodology used, with evidence of validity of that methodology in MHHI</w:t>
      </w:r>
    </w:p>
    <w:p w14:paraId="5879C7AF" w14:textId="48F8F8AF" w:rsidR="007C50EB" w:rsidRPr="00A135A3" w:rsidRDefault="007C50EB" w:rsidP="006069A6">
      <w:pPr>
        <w:numPr>
          <w:ilvl w:val="0"/>
          <w:numId w:val="1"/>
        </w:numPr>
        <w:spacing w:line="480" w:lineRule="auto"/>
        <w:ind w:left="720"/>
        <w:contextualSpacing/>
        <w:jc w:val="both"/>
        <w:rPr>
          <w:rFonts w:eastAsia="Calibri" w:cs="Arial"/>
          <w:kern w:val="0"/>
          <w:szCs w:val="24"/>
          <w14:ligatures w14:val="none"/>
        </w:rPr>
      </w:pPr>
      <w:r w:rsidRPr="00A135A3">
        <w:rPr>
          <w:rFonts w:eastAsia="Calibri" w:cs="Arial"/>
          <w:kern w:val="0"/>
          <w:szCs w:val="24"/>
          <w14:ligatures w14:val="none"/>
        </w:rPr>
        <w:lastRenderedPageBreak/>
        <w:t xml:space="preserve">Acknowledgement of </w:t>
      </w:r>
      <w:r w:rsidR="003007D6" w:rsidRPr="00A135A3">
        <w:rPr>
          <w:rFonts w:eastAsia="Calibri" w:cs="Arial"/>
          <w:kern w:val="0"/>
          <w:szCs w:val="24"/>
          <w14:ligatures w14:val="none"/>
        </w:rPr>
        <w:t xml:space="preserve">potential </w:t>
      </w:r>
      <w:r w:rsidRPr="00A135A3">
        <w:rPr>
          <w:rFonts w:eastAsia="Calibri" w:cs="Arial"/>
          <w:kern w:val="0"/>
          <w:szCs w:val="24"/>
          <w14:ligatures w14:val="none"/>
        </w:rPr>
        <w:t xml:space="preserve">counterfactuals </w:t>
      </w:r>
    </w:p>
    <w:p w14:paraId="52EE69BA" w14:textId="77777777" w:rsidR="007C50EB" w:rsidRPr="00A135A3" w:rsidRDefault="007C50EB" w:rsidP="006069A6">
      <w:pPr>
        <w:numPr>
          <w:ilvl w:val="0"/>
          <w:numId w:val="1"/>
        </w:numPr>
        <w:spacing w:line="480" w:lineRule="auto"/>
        <w:ind w:left="720"/>
        <w:contextualSpacing/>
        <w:jc w:val="both"/>
        <w:rPr>
          <w:rFonts w:eastAsia="Calibri" w:cs="Arial"/>
          <w:kern w:val="0"/>
          <w:szCs w:val="24"/>
          <w14:ligatures w14:val="none"/>
        </w:rPr>
      </w:pPr>
      <w:r w:rsidRPr="00A135A3">
        <w:rPr>
          <w:rFonts w:eastAsia="Calibri" w:cs="Arial"/>
          <w:kern w:val="0"/>
          <w:szCs w:val="24"/>
          <w14:ligatures w14:val="none"/>
        </w:rPr>
        <w:t xml:space="preserve">Mandated inclusion of specific perpetrator and victim characteristics, and characteristics of the homicide </w:t>
      </w:r>
    </w:p>
    <w:p w14:paraId="1F5AE6A7" w14:textId="77777777" w:rsidR="007C50EB" w:rsidRPr="00A135A3" w:rsidRDefault="007C50EB" w:rsidP="006069A6">
      <w:pPr>
        <w:numPr>
          <w:ilvl w:val="0"/>
          <w:numId w:val="1"/>
        </w:numPr>
        <w:spacing w:line="480" w:lineRule="auto"/>
        <w:ind w:left="720"/>
        <w:contextualSpacing/>
        <w:jc w:val="both"/>
        <w:rPr>
          <w:rFonts w:eastAsia="Calibri" w:cs="Arial"/>
          <w:kern w:val="0"/>
          <w:szCs w:val="24"/>
          <w14:ligatures w14:val="none"/>
        </w:rPr>
      </w:pPr>
      <w:r w:rsidRPr="00A135A3">
        <w:rPr>
          <w:rFonts w:eastAsia="Calibri" w:cs="Arial"/>
          <w:kern w:val="0"/>
          <w:szCs w:val="24"/>
          <w14:ligatures w14:val="none"/>
        </w:rPr>
        <w:t xml:space="preserve">Use of human factors and systems thinking in development of recommendations and action plans </w:t>
      </w:r>
    </w:p>
    <w:p w14:paraId="0ECA5E23" w14:textId="77777777" w:rsidR="007C50EB" w:rsidRPr="00A135A3" w:rsidRDefault="007C50EB" w:rsidP="00C92A8C">
      <w:pPr>
        <w:spacing w:line="480" w:lineRule="auto"/>
        <w:jc w:val="both"/>
        <w:rPr>
          <w:rFonts w:eastAsia="Calibri" w:cs="Arial"/>
          <w:b/>
          <w:bCs/>
          <w:kern w:val="0"/>
          <w:szCs w:val="24"/>
          <w14:ligatures w14:val="none"/>
        </w:rPr>
      </w:pPr>
    </w:p>
    <w:p w14:paraId="69B7FD4A" w14:textId="77777777" w:rsidR="007C50EB" w:rsidRPr="00A135A3" w:rsidRDefault="007C50EB" w:rsidP="003F4C64">
      <w:pPr>
        <w:spacing w:line="480" w:lineRule="auto"/>
        <w:jc w:val="both"/>
        <w:rPr>
          <w:rFonts w:eastAsia="Calibri" w:cs="Arial"/>
          <w:b/>
          <w:bCs/>
          <w:kern w:val="0"/>
          <w:szCs w:val="24"/>
          <w14:ligatures w14:val="none"/>
        </w:rPr>
      </w:pPr>
    </w:p>
    <w:p w14:paraId="0E7FAD94" w14:textId="77777777" w:rsidR="00DE599B" w:rsidRPr="00A135A3" w:rsidRDefault="00DE599B" w:rsidP="003F4C64">
      <w:pPr>
        <w:spacing w:line="480" w:lineRule="auto"/>
      </w:pPr>
    </w:p>
    <w:p w14:paraId="479A9019" w14:textId="77777777" w:rsidR="00F11F42" w:rsidRPr="00A135A3" w:rsidRDefault="00F11F42" w:rsidP="003F4C64">
      <w:pPr>
        <w:spacing w:line="480" w:lineRule="auto"/>
      </w:pPr>
    </w:p>
    <w:p w14:paraId="2FCCF8C6" w14:textId="77777777" w:rsidR="00F11F42" w:rsidRPr="00A135A3" w:rsidRDefault="00F11F42" w:rsidP="003F4C64">
      <w:pPr>
        <w:spacing w:line="480" w:lineRule="auto"/>
      </w:pPr>
    </w:p>
    <w:p w14:paraId="40D8408A" w14:textId="77777777" w:rsidR="00F11F42" w:rsidRPr="00A135A3" w:rsidRDefault="00F11F42" w:rsidP="003F4C64">
      <w:pPr>
        <w:spacing w:line="480" w:lineRule="auto"/>
      </w:pPr>
    </w:p>
    <w:p w14:paraId="751D22B5" w14:textId="77777777" w:rsidR="00F11F42" w:rsidRPr="00A135A3" w:rsidRDefault="00F11F42" w:rsidP="003F4C64">
      <w:pPr>
        <w:spacing w:line="480" w:lineRule="auto"/>
      </w:pPr>
    </w:p>
    <w:p w14:paraId="1D762191" w14:textId="77777777" w:rsidR="005E69F2" w:rsidRPr="00A135A3" w:rsidRDefault="005E69F2" w:rsidP="003F4C64">
      <w:pPr>
        <w:spacing w:line="480" w:lineRule="auto"/>
      </w:pPr>
    </w:p>
    <w:p w14:paraId="785A00D7" w14:textId="77777777" w:rsidR="00F11F42" w:rsidRPr="00A135A3" w:rsidRDefault="00F11F42" w:rsidP="003F4C64">
      <w:pPr>
        <w:spacing w:line="480" w:lineRule="auto"/>
      </w:pPr>
    </w:p>
    <w:p w14:paraId="35A21BF6" w14:textId="77777777" w:rsidR="00D0016F" w:rsidRPr="00A135A3" w:rsidRDefault="00D0016F" w:rsidP="003F4C64">
      <w:pPr>
        <w:spacing w:line="480" w:lineRule="auto"/>
      </w:pPr>
    </w:p>
    <w:p w14:paraId="3CEF592E" w14:textId="77777777" w:rsidR="00D0016F" w:rsidRPr="00A135A3" w:rsidRDefault="00D0016F" w:rsidP="003F4C64">
      <w:pPr>
        <w:spacing w:line="480" w:lineRule="auto"/>
      </w:pPr>
    </w:p>
    <w:p w14:paraId="2EA42929" w14:textId="77777777" w:rsidR="00242F42" w:rsidRPr="00A135A3" w:rsidRDefault="00242F42" w:rsidP="008D636B">
      <w:pPr>
        <w:spacing w:line="480" w:lineRule="auto"/>
        <w:jc w:val="both"/>
      </w:pPr>
    </w:p>
    <w:p w14:paraId="39FE0AD4" w14:textId="77777777" w:rsidR="00242F42" w:rsidRPr="00A135A3" w:rsidRDefault="00242F42" w:rsidP="008D636B">
      <w:pPr>
        <w:spacing w:line="480" w:lineRule="auto"/>
        <w:jc w:val="both"/>
      </w:pPr>
    </w:p>
    <w:p w14:paraId="6BC4236B" w14:textId="77777777" w:rsidR="00F84C6D" w:rsidRPr="00A135A3" w:rsidRDefault="00F84C6D" w:rsidP="008D636B">
      <w:pPr>
        <w:spacing w:line="480" w:lineRule="auto"/>
        <w:jc w:val="both"/>
      </w:pPr>
    </w:p>
    <w:p w14:paraId="509CAEC8" w14:textId="77777777" w:rsidR="00F84C6D" w:rsidRPr="00A135A3" w:rsidRDefault="00F84C6D" w:rsidP="008D636B">
      <w:pPr>
        <w:spacing w:line="480" w:lineRule="auto"/>
        <w:jc w:val="both"/>
      </w:pPr>
    </w:p>
    <w:p w14:paraId="11D3188A" w14:textId="77777777" w:rsidR="00242F42" w:rsidRPr="00A135A3" w:rsidRDefault="00242F42" w:rsidP="008D636B">
      <w:pPr>
        <w:spacing w:line="480" w:lineRule="auto"/>
        <w:jc w:val="both"/>
        <w:rPr>
          <w:b/>
          <w:bCs/>
          <w:sz w:val="20"/>
          <w:szCs w:val="18"/>
        </w:rPr>
      </w:pPr>
    </w:p>
    <w:p w14:paraId="57A15BAC" w14:textId="77777777" w:rsidR="00316FDB" w:rsidRPr="00A135A3" w:rsidRDefault="00316FDB" w:rsidP="008D636B">
      <w:pPr>
        <w:spacing w:line="480" w:lineRule="auto"/>
        <w:jc w:val="both"/>
        <w:rPr>
          <w:b/>
          <w:bCs/>
          <w:sz w:val="20"/>
          <w:szCs w:val="18"/>
        </w:rPr>
      </w:pPr>
    </w:p>
    <w:p w14:paraId="43761A32" w14:textId="5149A887" w:rsidR="008D636B" w:rsidRPr="00A135A3" w:rsidRDefault="008D636B" w:rsidP="008D636B">
      <w:pPr>
        <w:spacing w:line="480" w:lineRule="auto"/>
        <w:jc w:val="both"/>
        <w:rPr>
          <w:b/>
          <w:bCs/>
          <w:sz w:val="20"/>
          <w:szCs w:val="18"/>
        </w:rPr>
      </w:pPr>
      <w:r w:rsidRPr="00A135A3">
        <w:rPr>
          <w:b/>
          <w:bCs/>
          <w:sz w:val="20"/>
          <w:szCs w:val="18"/>
        </w:rPr>
        <w:t>Table 1 – P</w:t>
      </w:r>
      <w:r w:rsidR="00710440" w:rsidRPr="00A135A3">
        <w:rPr>
          <w:b/>
          <w:bCs/>
          <w:sz w:val="20"/>
          <w:szCs w:val="18"/>
        </w:rPr>
        <w:t>erpetrator</w:t>
      </w:r>
      <w:r w:rsidRPr="00A135A3">
        <w:rPr>
          <w:b/>
          <w:bCs/>
          <w:sz w:val="20"/>
          <w:szCs w:val="18"/>
        </w:rPr>
        <w:t xml:space="preserve"> </w:t>
      </w:r>
      <w:r w:rsidR="009E7924" w:rsidRPr="00A135A3">
        <w:rPr>
          <w:b/>
          <w:bCs/>
          <w:sz w:val="20"/>
          <w:szCs w:val="18"/>
        </w:rPr>
        <w:t>c</w:t>
      </w:r>
      <w:r w:rsidRPr="00A135A3">
        <w:rPr>
          <w:b/>
          <w:bCs/>
          <w:sz w:val="20"/>
          <w:szCs w:val="18"/>
        </w:rPr>
        <w:t>haracteristics in MHHI, NCISH and general populations</w:t>
      </w:r>
    </w:p>
    <w:tbl>
      <w:tblPr>
        <w:tblStyle w:val="TableGrid"/>
        <w:tblW w:w="5000" w:type="pct"/>
        <w:tblLook w:val="04A0" w:firstRow="1" w:lastRow="0" w:firstColumn="1" w:lastColumn="0" w:noHBand="0" w:noVBand="1"/>
      </w:tblPr>
      <w:tblGrid>
        <w:gridCol w:w="2689"/>
        <w:gridCol w:w="2126"/>
        <w:gridCol w:w="1947"/>
        <w:gridCol w:w="2254"/>
      </w:tblGrid>
      <w:tr w:rsidR="008D636B" w:rsidRPr="00A135A3" w14:paraId="5E4B8AE4" w14:textId="77777777" w:rsidTr="009A3F71">
        <w:tc>
          <w:tcPr>
            <w:tcW w:w="1491" w:type="pct"/>
          </w:tcPr>
          <w:p w14:paraId="24D7D2D9" w14:textId="77777777" w:rsidR="008D636B" w:rsidRPr="00A135A3" w:rsidRDefault="008D636B" w:rsidP="008D636B">
            <w:pPr>
              <w:jc w:val="center"/>
              <w:rPr>
                <w:rFonts w:cs="Arial"/>
                <w:b/>
                <w:bCs/>
                <w:color w:val="4472C4" w:themeColor="accent1"/>
                <w:sz w:val="20"/>
                <w:szCs w:val="20"/>
              </w:rPr>
            </w:pPr>
            <w:r w:rsidRPr="00A135A3">
              <w:rPr>
                <w:rFonts w:cs="Arial"/>
                <w:b/>
                <w:bCs/>
                <w:color w:val="4472C4" w:themeColor="accent1"/>
                <w:sz w:val="20"/>
                <w:szCs w:val="20"/>
              </w:rPr>
              <w:t>Characteristic</w:t>
            </w:r>
          </w:p>
        </w:tc>
        <w:tc>
          <w:tcPr>
            <w:tcW w:w="1179" w:type="pct"/>
          </w:tcPr>
          <w:p w14:paraId="06C08AC7" w14:textId="77777777" w:rsidR="008D636B" w:rsidRPr="00A135A3" w:rsidRDefault="008D636B" w:rsidP="008D636B">
            <w:pPr>
              <w:jc w:val="center"/>
              <w:rPr>
                <w:rFonts w:cs="Arial"/>
                <w:b/>
                <w:bCs/>
                <w:color w:val="4472C4" w:themeColor="accent1"/>
                <w:sz w:val="20"/>
                <w:szCs w:val="20"/>
              </w:rPr>
            </w:pPr>
            <w:r w:rsidRPr="00A135A3">
              <w:rPr>
                <w:rFonts w:cs="Arial"/>
                <w:b/>
                <w:bCs/>
                <w:color w:val="4472C4" w:themeColor="accent1"/>
                <w:sz w:val="20"/>
                <w:szCs w:val="20"/>
              </w:rPr>
              <w:t>MHHI (2013-2023) N=162</w:t>
            </w:r>
          </w:p>
        </w:tc>
        <w:tc>
          <w:tcPr>
            <w:tcW w:w="1080" w:type="pct"/>
          </w:tcPr>
          <w:p w14:paraId="2398B3C2" w14:textId="77777777" w:rsidR="008D636B" w:rsidRPr="00A135A3" w:rsidRDefault="008D636B" w:rsidP="008D636B">
            <w:pPr>
              <w:jc w:val="center"/>
              <w:rPr>
                <w:rFonts w:cs="Arial"/>
                <w:b/>
                <w:bCs/>
                <w:color w:val="4472C4" w:themeColor="accent1"/>
                <w:sz w:val="20"/>
                <w:szCs w:val="20"/>
              </w:rPr>
            </w:pPr>
            <w:r w:rsidRPr="00A135A3">
              <w:rPr>
                <w:rFonts w:cs="Arial"/>
                <w:b/>
                <w:bCs/>
                <w:color w:val="4472C4" w:themeColor="accent1"/>
                <w:sz w:val="20"/>
                <w:szCs w:val="20"/>
              </w:rPr>
              <w:t>NCISH (2006 – 2016)</w:t>
            </w:r>
          </w:p>
          <w:p w14:paraId="3434ED8C" w14:textId="77777777" w:rsidR="008D636B" w:rsidRPr="00A135A3" w:rsidRDefault="008D636B" w:rsidP="008D636B">
            <w:pPr>
              <w:jc w:val="center"/>
              <w:rPr>
                <w:rFonts w:cs="Arial"/>
                <w:b/>
                <w:bCs/>
                <w:color w:val="4472C4" w:themeColor="accent1"/>
                <w:sz w:val="20"/>
                <w:szCs w:val="20"/>
              </w:rPr>
            </w:pPr>
            <w:r w:rsidRPr="00A135A3">
              <w:rPr>
                <w:rFonts w:cs="Arial"/>
                <w:b/>
                <w:bCs/>
                <w:color w:val="4472C4" w:themeColor="accent1"/>
                <w:sz w:val="20"/>
                <w:szCs w:val="20"/>
              </w:rPr>
              <w:t>N=608</w:t>
            </w:r>
          </w:p>
        </w:tc>
        <w:tc>
          <w:tcPr>
            <w:tcW w:w="1250" w:type="pct"/>
          </w:tcPr>
          <w:p w14:paraId="6D89E60E" w14:textId="77777777" w:rsidR="008D636B" w:rsidRPr="00A135A3" w:rsidRDefault="008D636B" w:rsidP="008D636B">
            <w:pPr>
              <w:jc w:val="center"/>
              <w:rPr>
                <w:rFonts w:cs="Arial"/>
                <w:b/>
                <w:bCs/>
                <w:color w:val="4472C4" w:themeColor="accent1"/>
                <w:sz w:val="20"/>
                <w:szCs w:val="20"/>
              </w:rPr>
            </w:pPr>
            <w:r w:rsidRPr="00A135A3">
              <w:rPr>
                <w:rFonts w:cs="Arial"/>
                <w:b/>
                <w:bCs/>
                <w:color w:val="4472C4" w:themeColor="accent1"/>
                <w:sz w:val="20"/>
                <w:szCs w:val="20"/>
              </w:rPr>
              <w:t>ONS general population (2020- 2023)</w:t>
            </w:r>
          </w:p>
        </w:tc>
      </w:tr>
      <w:tr w:rsidR="008D636B" w:rsidRPr="00A135A3" w14:paraId="4D8FBA9F" w14:textId="77777777" w:rsidTr="009A3F71">
        <w:tc>
          <w:tcPr>
            <w:tcW w:w="1491" w:type="pct"/>
          </w:tcPr>
          <w:p w14:paraId="131C2492" w14:textId="77777777" w:rsidR="008D636B" w:rsidRPr="00A135A3" w:rsidRDefault="008D636B" w:rsidP="008D636B">
            <w:pPr>
              <w:jc w:val="both"/>
              <w:rPr>
                <w:rFonts w:cs="Arial"/>
                <w:b/>
                <w:bCs/>
                <w:sz w:val="20"/>
                <w:szCs w:val="20"/>
              </w:rPr>
            </w:pPr>
            <w:r w:rsidRPr="00A135A3">
              <w:rPr>
                <w:rFonts w:cs="Arial"/>
                <w:b/>
                <w:bCs/>
                <w:sz w:val="20"/>
                <w:szCs w:val="20"/>
              </w:rPr>
              <w:t>Age</w:t>
            </w:r>
          </w:p>
        </w:tc>
        <w:tc>
          <w:tcPr>
            <w:tcW w:w="1179" w:type="pct"/>
          </w:tcPr>
          <w:p w14:paraId="39B3C36A"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Not stated N=52</w:t>
            </w:r>
          </w:p>
          <w:p w14:paraId="405C9333"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Remaining N= 110</w:t>
            </w:r>
          </w:p>
        </w:tc>
        <w:tc>
          <w:tcPr>
            <w:tcW w:w="1080" w:type="pct"/>
            <w:shd w:val="clear" w:color="auto" w:fill="auto"/>
          </w:tcPr>
          <w:p w14:paraId="3A87CF43"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 xml:space="preserve">Median age 33 </w:t>
            </w:r>
          </w:p>
          <w:p w14:paraId="07271EFA"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(range 13 - 83)</w:t>
            </w:r>
          </w:p>
        </w:tc>
        <w:tc>
          <w:tcPr>
            <w:tcW w:w="1250" w:type="pct"/>
            <w:shd w:val="clear" w:color="auto" w:fill="auto"/>
          </w:tcPr>
          <w:p w14:paraId="02DC03F0" w14:textId="77777777" w:rsidR="008D636B" w:rsidRPr="00A135A3" w:rsidRDefault="008D636B" w:rsidP="008D636B">
            <w:pPr>
              <w:rPr>
                <w:rFonts w:cs="Arial"/>
                <w:sz w:val="20"/>
                <w:szCs w:val="20"/>
              </w:rPr>
            </w:pPr>
          </w:p>
        </w:tc>
      </w:tr>
      <w:tr w:rsidR="008D636B" w:rsidRPr="00A135A3" w14:paraId="62CCC99C" w14:textId="77777777" w:rsidTr="009A3F71">
        <w:tc>
          <w:tcPr>
            <w:tcW w:w="1491" w:type="pct"/>
          </w:tcPr>
          <w:p w14:paraId="1DF73497" w14:textId="77777777" w:rsidR="008D636B" w:rsidRPr="00A135A3" w:rsidRDefault="008D636B" w:rsidP="008D636B">
            <w:pPr>
              <w:jc w:val="both"/>
              <w:rPr>
                <w:rFonts w:cs="Arial"/>
                <w:b/>
                <w:bCs/>
                <w:color w:val="595959" w:themeColor="text1" w:themeTint="A6"/>
                <w:sz w:val="20"/>
                <w:szCs w:val="20"/>
              </w:rPr>
            </w:pPr>
            <w:r w:rsidRPr="00A135A3">
              <w:rPr>
                <w:rFonts w:cs="Arial"/>
                <w:color w:val="595959" w:themeColor="text1" w:themeTint="A6"/>
                <w:sz w:val="20"/>
                <w:szCs w:val="20"/>
              </w:rPr>
              <w:t>&lt;16</w:t>
            </w:r>
          </w:p>
        </w:tc>
        <w:tc>
          <w:tcPr>
            <w:tcW w:w="1179" w:type="pct"/>
          </w:tcPr>
          <w:p w14:paraId="2FA952A2"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0</w:t>
            </w:r>
          </w:p>
        </w:tc>
        <w:tc>
          <w:tcPr>
            <w:tcW w:w="1080" w:type="pct"/>
            <w:vMerge w:val="restart"/>
            <w:shd w:val="clear" w:color="auto" w:fill="auto"/>
          </w:tcPr>
          <w:p w14:paraId="0DD3D929"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Not available</w:t>
            </w:r>
          </w:p>
          <w:p w14:paraId="133EB83D" w14:textId="77777777" w:rsidR="008D636B" w:rsidRPr="00A135A3" w:rsidRDefault="008D636B" w:rsidP="008D636B">
            <w:pPr>
              <w:jc w:val="center"/>
              <w:rPr>
                <w:rFonts w:cs="Arial"/>
                <w:color w:val="595959" w:themeColor="text1" w:themeTint="A6"/>
                <w:sz w:val="20"/>
                <w:szCs w:val="20"/>
              </w:rPr>
            </w:pPr>
          </w:p>
        </w:tc>
        <w:tc>
          <w:tcPr>
            <w:tcW w:w="1250" w:type="pct"/>
            <w:shd w:val="clear" w:color="auto" w:fill="auto"/>
          </w:tcPr>
          <w:p w14:paraId="682EB46E"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4%</w:t>
            </w:r>
          </w:p>
        </w:tc>
      </w:tr>
      <w:tr w:rsidR="008D636B" w:rsidRPr="00A135A3" w14:paraId="2FF5A90D" w14:textId="77777777" w:rsidTr="009A3F71">
        <w:tc>
          <w:tcPr>
            <w:tcW w:w="1491" w:type="pct"/>
          </w:tcPr>
          <w:p w14:paraId="655F43DB" w14:textId="77777777" w:rsidR="008D636B" w:rsidRPr="00A135A3" w:rsidRDefault="008D636B" w:rsidP="008D636B">
            <w:pPr>
              <w:jc w:val="both"/>
              <w:rPr>
                <w:rFonts w:cs="Arial"/>
                <w:b/>
                <w:bCs/>
                <w:color w:val="595959" w:themeColor="text1" w:themeTint="A6"/>
                <w:sz w:val="20"/>
                <w:szCs w:val="20"/>
              </w:rPr>
            </w:pPr>
            <w:r w:rsidRPr="00A135A3">
              <w:rPr>
                <w:rFonts w:cs="Arial"/>
                <w:color w:val="595959" w:themeColor="text1" w:themeTint="A6"/>
                <w:sz w:val="20"/>
                <w:szCs w:val="20"/>
              </w:rPr>
              <w:t>16-24</w:t>
            </w:r>
          </w:p>
        </w:tc>
        <w:tc>
          <w:tcPr>
            <w:tcW w:w="1179" w:type="pct"/>
          </w:tcPr>
          <w:p w14:paraId="12BB0EC4"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20 (18%)</w:t>
            </w:r>
          </w:p>
        </w:tc>
        <w:tc>
          <w:tcPr>
            <w:tcW w:w="1080" w:type="pct"/>
            <w:vMerge/>
            <w:shd w:val="clear" w:color="auto" w:fill="auto"/>
          </w:tcPr>
          <w:p w14:paraId="2D321F64" w14:textId="77777777" w:rsidR="008D636B" w:rsidRPr="00A135A3" w:rsidRDefault="008D636B" w:rsidP="008D636B">
            <w:pPr>
              <w:jc w:val="center"/>
              <w:rPr>
                <w:rFonts w:cs="Arial"/>
                <w:color w:val="595959" w:themeColor="text1" w:themeTint="A6"/>
                <w:sz w:val="20"/>
                <w:szCs w:val="20"/>
              </w:rPr>
            </w:pPr>
          </w:p>
        </w:tc>
        <w:tc>
          <w:tcPr>
            <w:tcW w:w="1250" w:type="pct"/>
            <w:shd w:val="clear" w:color="auto" w:fill="auto"/>
          </w:tcPr>
          <w:p w14:paraId="76EAFCEB"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35%</w:t>
            </w:r>
          </w:p>
        </w:tc>
      </w:tr>
      <w:tr w:rsidR="008D636B" w:rsidRPr="00A135A3" w14:paraId="69A44A95" w14:textId="77777777" w:rsidTr="009A3F71">
        <w:tc>
          <w:tcPr>
            <w:tcW w:w="1491" w:type="pct"/>
          </w:tcPr>
          <w:p w14:paraId="7E631DED" w14:textId="77777777" w:rsidR="008D636B" w:rsidRPr="00A135A3" w:rsidRDefault="008D636B" w:rsidP="008D636B">
            <w:pPr>
              <w:jc w:val="both"/>
              <w:rPr>
                <w:rFonts w:cs="Arial"/>
                <w:b/>
                <w:bCs/>
                <w:color w:val="595959" w:themeColor="text1" w:themeTint="A6"/>
                <w:sz w:val="20"/>
                <w:szCs w:val="20"/>
              </w:rPr>
            </w:pPr>
            <w:r w:rsidRPr="00A135A3">
              <w:rPr>
                <w:rFonts w:cs="Arial"/>
                <w:color w:val="595959" w:themeColor="text1" w:themeTint="A6"/>
                <w:sz w:val="20"/>
                <w:szCs w:val="20"/>
              </w:rPr>
              <w:t>25-44</w:t>
            </w:r>
          </w:p>
        </w:tc>
        <w:tc>
          <w:tcPr>
            <w:tcW w:w="1179" w:type="pct"/>
          </w:tcPr>
          <w:p w14:paraId="3B8014DE"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60 (54%)</w:t>
            </w:r>
          </w:p>
        </w:tc>
        <w:tc>
          <w:tcPr>
            <w:tcW w:w="1080" w:type="pct"/>
            <w:vMerge/>
            <w:shd w:val="clear" w:color="auto" w:fill="auto"/>
          </w:tcPr>
          <w:p w14:paraId="3BAD6795" w14:textId="77777777" w:rsidR="008D636B" w:rsidRPr="00A135A3" w:rsidRDefault="008D636B" w:rsidP="008D636B">
            <w:pPr>
              <w:jc w:val="center"/>
              <w:rPr>
                <w:rFonts w:cs="Arial"/>
                <w:color w:val="595959" w:themeColor="text1" w:themeTint="A6"/>
                <w:sz w:val="20"/>
                <w:szCs w:val="20"/>
              </w:rPr>
            </w:pPr>
          </w:p>
        </w:tc>
        <w:tc>
          <w:tcPr>
            <w:tcW w:w="1250" w:type="pct"/>
            <w:shd w:val="clear" w:color="auto" w:fill="auto"/>
          </w:tcPr>
          <w:p w14:paraId="066B9E4B"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46%</w:t>
            </w:r>
          </w:p>
        </w:tc>
      </w:tr>
      <w:tr w:rsidR="008D636B" w:rsidRPr="00A135A3" w14:paraId="7437C36E" w14:textId="77777777" w:rsidTr="009A3F71">
        <w:tc>
          <w:tcPr>
            <w:tcW w:w="1491" w:type="pct"/>
          </w:tcPr>
          <w:p w14:paraId="5ECE1DD4" w14:textId="77777777" w:rsidR="008D636B" w:rsidRPr="00A135A3" w:rsidRDefault="008D636B" w:rsidP="008D636B">
            <w:pPr>
              <w:jc w:val="both"/>
              <w:rPr>
                <w:rFonts w:cs="Arial"/>
                <w:b/>
                <w:bCs/>
                <w:color w:val="595959" w:themeColor="text1" w:themeTint="A6"/>
                <w:sz w:val="20"/>
                <w:szCs w:val="20"/>
              </w:rPr>
            </w:pPr>
            <w:r w:rsidRPr="00A135A3">
              <w:rPr>
                <w:rFonts w:cs="Arial"/>
                <w:color w:val="595959" w:themeColor="text1" w:themeTint="A6"/>
                <w:sz w:val="20"/>
                <w:szCs w:val="20"/>
              </w:rPr>
              <w:t>&gt;45</w:t>
            </w:r>
          </w:p>
        </w:tc>
        <w:tc>
          <w:tcPr>
            <w:tcW w:w="1179" w:type="pct"/>
          </w:tcPr>
          <w:p w14:paraId="245B36D8"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30 (27%)</w:t>
            </w:r>
          </w:p>
        </w:tc>
        <w:tc>
          <w:tcPr>
            <w:tcW w:w="1080" w:type="pct"/>
            <w:vMerge/>
            <w:shd w:val="clear" w:color="auto" w:fill="auto"/>
          </w:tcPr>
          <w:p w14:paraId="5A53B45D" w14:textId="77777777" w:rsidR="008D636B" w:rsidRPr="00A135A3" w:rsidRDefault="008D636B" w:rsidP="008D636B">
            <w:pPr>
              <w:jc w:val="center"/>
              <w:rPr>
                <w:rFonts w:cs="Arial"/>
                <w:color w:val="595959" w:themeColor="text1" w:themeTint="A6"/>
                <w:sz w:val="20"/>
                <w:szCs w:val="20"/>
              </w:rPr>
            </w:pPr>
          </w:p>
        </w:tc>
        <w:tc>
          <w:tcPr>
            <w:tcW w:w="1250" w:type="pct"/>
            <w:shd w:val="clear" w:color="auto" w:fill="auto"/>
          </w:tcPr>
          <w:p w14:paraId="583B40F4"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15%</w:t>
            </w:r>
          </w:p>
        </w:tc>
      </w:tr>
      <w:tr w:rsidR="008D636B" w:rsidRPr="00A135A3" w14:paraId="210274ED" w14:textId="77777777" w:rsidTr="009A3F71">
        <w:tc>
          <w:tcPr>
            <w:tcW w:w="1491" w:type="pct"/>
          </w:tcPr>
          <w:p w14:paraId="1A51374B" w14:textId="77777777" w:rsidR="008D636B" w:rsidRPr="00A135A3" w:rsidRDefault="008D636B" w:rsidP="008D636B">
            <w:pPr>
              <w:jc w:val="both"/>
              <w:rPr>
                <w:rFonts w:cs="Arial"/>
                <w:b/>
                <w:bCs/>
                <w:sz w:val="20"/>
                <w:szCs w:val="20"/>
              </w:rPr>
            </w:pPr>
            <w:r w:rsidRPr="00A135A3">
              <w:rPr>
                <w:rFonts w:cs="Arial"/>
                <w:b/>
                <w:bCs/>
                <w:sz w:val="20"/>
                <w:szCs w:val="20"/>
              </w:rPr>
              <w:t>Sex</w:t>
            </w:r>
          </w:p>
        </w:tc>
        <w:tc>
          <w:tcPr>
            <w:tcW w:w="1179" w:type="pct"/>
          </w:tcPr>
          <w:p w14:paraId="38C2F41D" w14:textId="77777777" w:rsidR="008D636B" w:rsidRPr="00A135A3" w:rsidRDefault="008D636B" w:rsidP="008D636B">
            <w:pPr>
              <w:jc w:val="center"/>
              <w:rPr>
                <w:rFonts w:cs="Arial"/>
                <w:sz w:val="20"/>
                <w:szCs w:val="20"/>
              </w:rPr>
            </w:pPr>
            <w:r w:rsidRPr="00A135A3">
              <w:rPr>
                <w:rFonts w:cs="Arial"/>
                <w:sz w:val="20"/>
                <w:szCs w:val="20"/>
              </w:rPr>
              <w:t>Sex not stated in N=1</w:t>
            </w:r>
          </w:p>
        </w:tc>
        <w:tc>
          <w:tcPr>
            <w:tcW w:w="1080" w:type="pct"/>
          </w:tcPr>
          <w:p w14:paraId="2A1BDB65" w14:textId="77777777" w:rsidR="008D636B" w:rsidRPr="00A135A3" w:rsidRDefault="008D636B" w:rsidP="008D636B">
            <w:pPr>
              <w:jc w:val="center"/>
              <w:rPr>
                <w:rFonts w:cs="Arial"/>
                <w:sz w:val="20"/>
                <w:szCs w:val="20"/>
              </w:rPr>
            </w:pPr>
          </w:p>
        </w:tc>
        <w:tc>
          <w:tcPr>
            <w:tcW w:w="1250" w:type="pct"/>
          </w:tcPr>
          <w:p w14:paraId="09BC89E3" w14:textId="77777777" w:rsidR="008D636B" w:rsidRPr="00A135A3" w:rsidRDefault="008D636B" w:rsidP="008D636B">
            <w:pPr>
              <w:jc w:val="center"/>
              <w:rPr>
                <w:rFonts w:cs="Arial"/>
                <w:sz w:val="20"/>
                <w:szCs w:val="20"/>
              </w:rPr>
            </w:pPr>
          </w:p>
        </w:tc>
      </w:tr>
      <w:tr w:rsidR="008D636B" w:rsidRPr="00A135A3" w14:paraId="770A58C7" w14:textId="77777777" w:rsidTr="009A3F71">
        <w:tc>
          <w:tcPr>
            <w:tcW w:w="1491" w:type="pct"/>
          </w:tcPr>
          <w:p w14:paraId="764C690F" w14:textId="77777777" w:rsidR="008D636B" w:rsidRPr="00A135A3" w:rsidRDefault="008D636B" w:rsidP="008D636B">
            <w:pPr>
              <w:jc w:val="both"/>
              <w:rPr>
                <w:rFonts w:cs="Arial"/>
                <w:b/>
                <w:bCs/>
                <w:color w:val="595959" w:themeColor="text1" w:themeTint="A6"/>
                <w:sz w:val="20"/>
                <w:szCs w:val="20"/>
              </w:rPr>
            </w:pPr>
            <w:r w:rsidRPr="00A135A3">
              <w:rPr>
                <w:rFonts w:cs="Arial"/>
                <w:color w:val="595959" w:themeColor="text1" w:themeTint="A6"/>
                <w:sz w:val="20"/>
                <w:szCs w:val="20"/>
              </w:rPr>
              <w:t>Male</w:t>
            </w:r>
          </w:p>
        </w:tc>
        <w:tc>
          <w:tcPr>
            <w:tcW w:w="1179" w:type="pct"/>
          </w:tcPr>
          <w:p w14:paraId="6C6750CB"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134 (82%)</w:t>
            </w:r>
          </w:p>
        </w:tc>
        <w:tc>
          <w:tcPr>
            <w:tcW w:w="1080" w:type="pct"/>
          </w:tcPr>
          <w:p w14:paraId="52936EC3"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521 (86%)</w:t>
            </w:r>
          </w:p>
        </w:tc>
        <w:tc>
          <w:tcPr>
            <w:tcW w:w="1250" w:type="pct"/>
          </w:tcPr>
          <w:p w14:paraId="7D0D01C8"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92%</w:t>
            </w:r>
          </w:p>
        </w:tc>
      </w:tr>
      <w:tr w:rsidR="008D636B" w:rsidRPr="00A135A3" w14:paraId="78A531F7" w14:textId="77777777" w:rsidTr="009A3F71">
        <w:tc>
          <w:tcPr>
            <w:tcW w:w="1491" w:type="pct"/>
          </w:tcPr>
          <w:p w14:paraId="62FCC5B3" w14:textId="77777777" w:rsidR="008D636B" w:rsidRPr="00A135A3" w:rsidRDefault="008D636B" w:rsidP="008D636B">
            <w:pPr>
              <w:jc w:val="both"/>
              <w:rPr>
                <w:rFonts w:cs="Arial"/>
                <w:b/>
                <w:bCs/>
                <w:color w:val="595959" w:themeColor="text1" w:themeTint="A6"/>
                <w:sz w:val="20"/>
                <w:szCs w:val="20"/>
              </w:rPr>
            </w:pPr>
            <w:r w:rsidRPr="00A135A3">
              <w:rPr>
                <w:rFonts w:cs="Arial"/>
                <w:color w:val="595959" w:themeColor="text1" w:themeTint="A6"/>
                <w:sz w:val="20"/>
                <w:szCs w:val="20"/>
              </w:rPr>
              <w:t>Female</w:t>
            </w:r>
          </w:p>
        </w:tc>
        <w:tc>
          <w:tcPr>
            <w:tcW w:w="1179" w:type="pct"/>
          </w:tcPr>
          <w:p w14:paraId="1639442A"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27 (18%)</w:t>
            </w:r>
          </w:p>
        </w:tc>
        <w:tc>
          <w:tcPr>
            <w:tcW w:w="1080" w:type="pct"/>
          </w:tcPr>
          <w:p w14:paraId="2DF8B475"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87 (14%)</w:t>
            </w:r>
          </w:p>
        </w:tc>
        <w:tc>
          <w:tcPr>
            <w:tcW w:w="1250" w:type="pct"/>
          </w:tcPr>
          <w:p w14:paraId="392FC4FF"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8%</w:t>
            </w:r>
          </w:p>
        </w:tc>
      </w:tr>
      <w:tr w:rsidR="008D636B" w:rsidRPr="00A135A3" w14:paraId="087A1E28" w14:textId="77777777" w:rsidTr="009A3F71">
        <w:tc>
          <w:tcPr>
            <w:tcW w:w="1491" w:type="pct"/>
          </w:tcPr>
          <w:p w14:paraId="747ACDEF" w14:textId="77777777" w:rsidR="008D636B" w:rsidRPr="00A135A3" w:rsidRDefault="008D636B" w:rsidP="008D636B">
            <w:pPr>
              <w:jc w:val="both"/>
              <w:rPr>
                <w:rFonts w:cs="Arial"/>
                <w:b/>
                <w:bCs/>
                <w:sz w:val="20"/>
                <w:szCs w:val="20"/>
              </w:rPr>
            </w:pPr>
            <w:r w:rsidRPr="00A135A3">
              <w:rPr>
                <w:rFonts w:cs="Arial"/>
                <w:b/>
                <w:bCs/>
                <w:sz w:val="20"/>
                <w:szCs w:val="20"/>
              </w:rPr>
              <w:t>History of Self-Harm</w:t>
            </w:r>
          </w:p>
        </w:tc>
        <w:tc>
          <w:tcPr>
            <w:tcW w:w="1179" w:type="pct"/>
          </w:tcPr>
          <w:p w14:paraId="263B37BF"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75 (46%)</w:t>
            </w:r>
          </w:p>
        </w:tc>
        <w:tc>
          <w:tcPr>
            <w:tcW w:w="1080" w:type="pct"/>
          </w:tcPr>
          <w:p w14:paraId="48D65FD8"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292 (51%)</w:t>
            </w:r>
          </w:p>
        </w:tc>
        <w:tc>
          <w:tcPr>
            <w:tcW w:w="1250" w:type="pct"/>
          </w:tcPr>
          <w:p w14:paraId="6327C9EB"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 xml:space="preserve">Not available </w:t>
            </w:r>
          </w:p>
        </w:tc>
      </w:tr>
      <w:tr w:rsidR="008D636B" w:rsidRPr="00A135A3" w14:paraId="27BDE115" w14:textId="77777777" w:rsidTr="009A3F71">
        <w:tc>
          <w:tcPr>
            <w:tcW w:w="1491" w:type="pct"/>
          </w:tcPr>
          <w:p w14:paraId="4FE39994" w14:textId="77777777" w:rsidR="008D636B" w:rsidRPr="00A135A3" w:rsidRDefault="008D636B" w:rsidP="008D636B">
            <w:pPr>
              <w:jc w:val="both"/>
              <w:rPr>
                <w:rFonts w:cs="Arial"/>
                <w:b/>
                <w:bCs/>
                <w:sz w:val="20"/>
                <w:szCs w:val="20"/>
              </w:rPr>
            </w:pPr>
            <w:r w:rsidRPr="00A135A3">
              <w:rPr>
                <w:rFonts w:cs="Arial"/>
                <w:b/>
                <w:bCs/>
                <w:sz w:val="20"/>
                <w:szCs w:val="20"/>
              </w:rPr>
              <w:t>Homelessness</w:t>
            </w:r>
          </w:p>
        </w:tc>
        <w:tc>
          <w:tcPr>
            <w:tcW w:w="1179" w:type="pct"/>
          </w:tcPr>
          <w:p w14:paraId="6987B3AE"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52 (32%)</w:t>
            </w:r>
          </w:p>
        </w:tc>
        <w:tc>
          <w:tcPr>
            <w:tcW w:w="1080" w:type="pct"/>
          </w:tcPr>
          <w:p w14:paraId="16051027"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24 (8%) (N=308)</w:t>
            </w:r>
          </w:p>
        </w:tc>
        <w:tc>
          <w:tcPr>
            <w:tcW w:w="1250" w:type="pct"/>
          </w:tcPr>
          <w:p w14:paraId="5B4957E5"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 xml:space="preserve">Not available </w:t>
            </w:r>
          </w:p>
        </w:tc>
      </w:tr>
      <w:tr w:rsidR="008D636B" w:rsidRPr="00A135A3" w14:paraId="3F1E83A3" w14:textId="77777777" w:rsidTr="009A3F71">
        <w:tc>
          <w:tcPr>
            <w:tcW w:w="1491" w:type="pct"/>
          </w:tcPr>
          <w:p w14:paraId="3A70A3E4" w14:textId="77777777" w:rsidR="008D636B" w:rsidRPr="00A135A3" w:rsidRDefault="008D636B" w:rsidP="008D636B">
            <w:pPr>
              <w:rPr>
                <w:rFonts w:cs="Arial"/>
                <w:b/>
                <w:bCs/>
                <w:sz w:val="20"/>
                <w:szCs w:val="20"/>
              </w:rPr>
            </w:pPr>
            <w:r w:rsidRPr="00A135A3">
              <w:rPr>
                <w:rFonts w:cs="Arial"/>
                <w:b/>
                <w:bCs/>
                <w:sz w:val="20"/>
                <w:szCs w:val="20"/>
              </w:rPr>
              <w:t xml:space="preserve">Forensic History </w:t>
            </w:r>
            <w:r w:rsidRPr="00A135A3">
              <w:rPr>
                <w:rFonts w:cs="Arial"/>
                <w:sz w:val="20"/>
                <w:szCs w:val="20"/>
              </w:rPr>
              <w:t>Previous History of Violence</w:t>
            </w:r>
          </w:p>
        </w:tc>
        <w:tc>
          <w:tcPr>
            <w:tcW w:w="1179" w:type="pct"/>
          </w:tcPr>
          <w:p w14:paraId="0E4C43B0" w14:textId="77777777" w:rsidR="008D636B" w:rsidRPr="00A135A3" w:rsidRDefault="008D636B" w:rsidP="008D636B">
            <w:pPr>
              <w:tabs>
                <w:tab w:val="left" w:pos="615"/>
                <w:tab w:val="center" w:pos="955"/>
              </w:tabs>
              <w:rPr>
                <w:rFonts w:cs="Arial"/>
                <w:color w:val="595959" w:themeColor="text1" w:themeTint="A6"/>
                <w:sz w:val="20"/>
                <w:szCs w:val="20"/>
              </w:rPr>
            </w:pPr>
            <w:r w:rsidRPr="00A135A3">
              <w:rPr>
                <w:rFonts w:cs="Arial"/>
                <w:color w:val="595959" w:themeColor="text1" w:themeTint="A6"/>
                <w:sz w:val="20"/>
                <w:szCs w:val="20"/>
              </w:rPr>
              <w:tab/>
              <w:t>116 (71%)</w:t>
            </w:r>
          </w:p>
        </w:tc>
        <w:tc>
          <w:tcPr>
            <w:tcW w:w="1080" w:type="pct"/>
          </w:tcPr>
          <w:p w14:paraId="1ECD72F5"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312 (53%)</w:t>
            </w:r>
          </w:p>
        </w:tc>
        <w:tc>
          <w:tcPr>
            <w:tcW w:w="1250" w:type="pct"/>
          </w:tcPr>
          <w:p w14:paraId="4ABFE770"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Not available</w:t>
            </w:r>
          </w:p>
        </w:tc>
      </w:tr>
      <w:tr w:rsidR="008D636B" w:rsidRPr="00A135A3" w14:paraId="609B9F55" w14:textId="77777777" w:rsidTr="009A3F71">
        <w:tc>
          <w:tcPr>
            <w:tcW w:w="1491" w:type="pct"/>
          </w:tcPr>
          <w:p w14:paraId="10ACD6CA" w14:textId="77777777" w:rsidR="008D636B" w:rsidRPr="00A135A3" w:rsidRDefault="008D636B" w:rsidP="008D636B">
            <w:pPr>
              <w:rPr>
                <w:rFonts w:cs="Arial"/>
                <w:b/>
                <w:bCs/>
                <w:sz w:val="20"/>
                <w:szCs w:val="20"/>
              </w:rPr>
            </w:pPr>
            <w:r w:rsidRPr="00A135A3">
              <w:rPr>
                <w:rFonts w:cs="Arial"/>
                <w:b/>
                <w:bCs/>
                <w:sz w:val="20"/>
                <w:szCs w:val="20"/>
              </w:rPr>
              <w:t>Primary Diagnosis</w:t>
            </w:r>
          </w:p>
        </w:tc>
        <w:tc>
          <w:tcPr>
            <w:tcW w:w="1179" w:type="pct"/>
          </w:tcPr>
          <w:p w14:paraId="51B8BD4D" w14:textId="77777777" w:rsidR="008D636B" w:rsidRPr="00A135A3" w:rsidRDefault="008D636B" w:rsidP="008D636B">
            <w:pPr>
              <w:jc w:val="center"/>
              <w:rPr>
                <w:rFonts w:cs="Arial"/>
                <w:sz w:val="20"/>
                <w:szCs w:val="20"/>
              </w:rPr>
            </w:pPr>
          </w:p>
        </w:tc>
        <w:tc>
          <w:tcPr>
            <w:tcW w:w="1080" w:type="pct"/>
          </w:tcPr>
          <w:p w14:paraId="37431C79" w14:textId="77777777" w:rsidR="008D636B" w:rsidRPr="00A135A3" w:rsidRDefault="008D636B" w:rsidP="008D636B">
            <w:pPr>
              <w:jc w:val="center"/>
              <w:rPr>
                <w:rFonts w:cs="Arial"/>
                <w:sz w:val="20"/>
                <w:szCs w:val="20"/>
              </w:rPr>
            </w:pPr>
          </w:p>
        </w:tc>
        <w:tc>
          <w:tcPr>
            <w:tcW w:w="1250" w:type="pct"/>
          </w:tcPr>
          <w:p w14:paraId="24A81E35" w14:textId="77777777" w:rsidR="008D636B" w:rsidRPr="00A135A3" w:rsidRDefault="008D636B" w:rsidP="008D636B">
            <w:pPr>
              <w:jc w:val="center"/>
              <w:rPr>
                <w:rFonts w:cs="Arial"/>
                <w:sz w:val="20"/>
                <w:szCs w:val="20"/>
              </w:rPr>
            </w:pPr>
          </w:p>
        </w:tc>
      </w:tr>
      <w:tr w:rsidR="008D636B" w:rsidRPr="00A135A3" w14:paraId="4A2CEF0F" w14:textId="77777777" w:rsidTr="009A3F71">
        <w:tc>
          <w:tcPr>
            <w:tcW w:w="1491" w:type="pct"/>
          </w:tcPr>
          <w:p w14:paraId="4D3C760A"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Schizophrenia &amp; Other Delusional Disorders</w:t>
            </w:r>
          </w:p>
        </w:tc>
        <w:tc>
          <w:tcPr>
            <w:tcW w:w="1179" w:type="pct"/>
          </w:tcPr>
          <w:p w14:paraId="238948A2"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85 (52%)</w:t>
            </w:r>
          </w:p>
        </w:tc>
        <w:tc>
          <w:tcPr>
            <w:tcW w:w="1080" w:type="pct"/>
          </w:tcPr>
          <w:p w14:paraId="64B43103"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200 (34%)</w:t>
            </w:r>
          </w:p>
        </w:tc>
        <w:tc>
          <w:tcPr>
            <w:tcW w:w="1250" w:type="pct"/>
            <w:vMerge w:val="restart"/>
          </w:tcPr>
          <w:p w14:paraId="6FC928D6"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 xml:space="preserve">Not available </w:t>
            </w:r>
          </w:p>
          <w:p w14:paraId="13309766" w14:textId="77777777" w:rsidR="008D636B" w:rsidRPr="00A135A3" w:rsidRDefault="008D636B" w:rsidP="008D636B">
            <w:pPr>
              <w:jc w:val="center"/>
              <w:rPr>
                <w:rFonts w:cs="Arial"/>
                <w:color w:val="595959" w:themeColor="text1" w:themeTint="A6"/>
                <w:sz w:val="20"/>
                <w:szCs w:val="20"/>
              </w:rPr>
            </w:pPr>
          </w:p>
        </w:tc>
      </w:tr>
      <w:tr w:rsidR="008D636B" w:rsidRPr="00A135A3" w14:paraId="4B056E88" w14:textId="77777777" w:rsidTr="009A3F71">
        <w:tc>
          <w:tcPr>
            <w:tcW w:w="1491" w:type="pct"/>
          </w:tcPr>
          <w:p w14:paraId="38DBE578"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Affective Disorders</w:t>
            </w:r>
          </w:p>
        </w:tc>
        <w:tc>
          <w:tcPr>
            <w:tcW w:w="1179" w:type="pct"/>
          </w:tcPr>
          <w:p w14:paraId="66FF1052"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32 (20%)</w:t>
            </w:r>
          </w:p>
        </w:tc>
        <w:tc>
          <w:tcPr>
            <w:tcW w:w="1080" w:type="pct"/>
          </w:tcPr>
          <w:p w14:paraId="622210EC"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67 (11%)</w:t>
            </w:r>
          </w:p>
        </w:tc>
        <w:tc>
          <w:tcPr>
            <w:tcW w:w="1250" w:type="pct"/>
            <w:vMerge/>
          </w:tcPr>
          <w:p w14:paraId="4FF02698" w14:textId="77777777" w:rsidR="008D636B" w:rsidRPr="00A135A3" w:rsidRDefault="008D636B" w:rsidP="008D636B">
            <w:pPr>
              <w:jc w:val="center"/>
              <w:rPr>
                <w:rFonts w:cs="Arial"/>
                <w:color w:val="595959" w:themeColor="text1" w:themeTint="A6"/>
                <w:sz w:val="20"/>
                <w:szCs w:val="20"/>
              </w:rPr>
            </w:pPr>
          </w:p>
        </w:tc>
      </w:tr>
      <w:tr w:rsidR="008D636B" w:rsidRPr="00A135A3" w14:paraId="1F58F58C" w14:textId="77777777" w:rsidTr="009A3F71">
        <w:tc>
          <w:tcPr>
            <w:tcW w:w="1491" w:type="pct"/>
          </w:tcPr>
          <w:p w14:paraId="2A6E4507"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Personality Disorder</w:t>
            </w:r>
          </w:p>
        </w:tc>
        <w:tc>
          <w:tcPr>
            <w:tcW w:w="1179" w:type="pct"/>
          </w:tcPr>
          <w:p w14:paraId="635AED6A"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19 (12%)</w:t>
            </w:r>
          </w:p>
        </w:tc>
        <w:tc>
          <w:tcPr>
            <w:tcW w:w="1080" w:type="pct"/>
          </w:tcPr>
          <w:p w14:paraId="3252ED7A"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73 (12%)</w:t>
            </w:r>
          </w:p>
        </w:tc>
        <w:tc>
          <w:tcPr>
            <w:tcW w:w="1250" w:type="pct"/>
            <w:vMerge/>
          </w:tcPr>
          <w:p w14:paraId="326D1F5D" w14:textId="77777777" w:rsidR="008D636B" w:rsidRPr="00A135A3" w:rsidRDefault="008D636B" w:rsidP="008D636B">
            <w:pPr>
              <w:jc w:val="center"/>
              <w:rPr>
                <w:rFonts w:cs="Arial"/>
                <w:color w:val="595959" w:themeColor="text1" w:themeTint="A6"/>
                <w:sz w:val="20"/>
                <w:szCs w:val="20"/>
              </w:rPr>
            </w:pPr>
          </w:p>
        </w:tc>
      </w:tr>
      <w:tr w:rsidR="008D636B" w:rsidRPr="00A135A3" w14:paraId="61C9A605" w14:textId="77777777" w:rsidTr="009A3F71">
        <w:tc>
          <w:tcPr>
            <w:tcW w:w="1491" w:type="pct"/>
          </w:tcPr>
          <w:p w14:paraId="32D0CFA1"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Drug dependence/misuse</w:t>
            </w:r>
          </w:p>
        </w:tc>
        <w:tc>
          <w:tcPr>
            <w:tcW w:w="1179" w:type="pct"/>
          </w:tcPr>
          <w:p w14:paraId="0FBA302E"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9 (6%)</w:t>
            </w:r>
          </w:p>
        </w:tc>
        <w:tc>
          <w:tcPr>
            <w:tcW w:w="1080" w:type="pct"/>
          </w:tcPr>
          <w:p w14:paraId="74D6FC45"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98 (17%)</w:t>
            </w:r>
          </w:p>
        </w:tc>
        <w:tc>
          <w:tcPr>
            <w:tcW w:w="1250" w:type="pct"/>
            <w:vMerge/>
          </w:tcPr>
          <w:p w14:paraId="7698DFAB" w14:textId="77777777" w:rsidR="008D636B" w:rsidRPr="00A135A3" w:rsidRDefault="008D636B" w:rsidP="008D636B">
            <w:pPr>
              <w:jc w:val="center"/>
              <w:rPr>
                <w:rFonts w:cs="Arial"/>
                <w:color w:val="595959" w:themeColor="text1" w:themeTint="A6"/>
                <w:sz w:val="20"/>
                <w:szCs w:val="20"/>
              </w:rPr>
            </w:pPr>
          </w:p>
        </w:tc>
      </w:tr>
      <w:tr w:rsidR="008D636B" w:rsidRPr="00A135A3" w14:paraId="43683CB7" w14:textId="77777777" w:rsidTr="009A3F71">
        <w:tc>
          <w:tcPr>
            <w:tcW w:w="1491" w:type="pct"/>
          </w:tcPr>
          <w:p w14:paraId="0FF2F43F"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Alcohol dependence</w:t>
            </w:r>
          </w:p>
        </w:tc>
        <w:tc>
          <w:tcPr>
            <w:tcW w:w="1179" w:type="pct"/>
          </w:tcPr>
          <w:p w14:paraId="7690D3F9"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3 (2%)</w:t>
            </w:r>
          </w:p>
        </w:tc>
        <w:tc>
          <w:tcPr>
            <w:tcW w:w="1080" w:type="pct"/>
          </w:tcPr>
          <w:p w14:paraId="2D20F56A"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54 (9%)</w:t>
            </w:r>
          </w:p>
        </w:tc>
        <w:tc>
          <w:tcPr>
            <w:tcW w:w="1250" w:type="pct"/>
            <w:vMerge/>
          </w:tcPr>
          <w:p w14:paraId="6473A405" w14:textId="77777777" w:rsidR="008D636B" w:rsidRPr="00A135A3" w:rsidRDefault="008D636B" w:rsidP="008D636B">
            <w:pPr>
              <w:jc w:val="center"/>
              <w:rPr>
                <w:rFonts w:cs="Arial"/>
                <w:color w:val="595959" w:themeColor="text1" w:themeTint="A6"/>
                <w:sz w:val="20"/>
                <w:szCs w:val="20"/>
              </w:rPr>
            </w:pPr>
          </w:p>
        </w:tc>
      </w:tr>
      <w:tr w:rsidR="008D636B" w:rsidRPr="00A135A3" w14:paraId="4ED021BB" w14:textId="77777777" w:rsidTr="009A3F71">
        <w:tc>
          <w:tcPr>
            <w:tcW w:w="1491" w:type="pct"/>
          </w:tcPr>
          <w:p w14:paraId="10EE1DB6"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Dementia</w:t>
            </w:r>
          </w:p>
        </w:tc>
        <w:tc>
          <w:tcPr>
            <w:tcW w:w="1179" w:type="pct"/>
          </w:tcPr>
          <w:p w14:paraId="19F691CE"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2 (1%)</w:t>
            </w:r>
          </w:p>
        </w:tc>
        <w:tc>
          <w:tcPr>
            <w:tcW w:w="1080" w:type="pct"/>
          </w:tcPr>
          <w:p w14:paraId="234458A4"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w:t>
            </w:r>
          </w:p>
        </w:tc>
        <w:tc>
          <w:tcPr>
            <w:tcW w:w="1250" w:type="pct"/>
            <w:vMerge/>
          </w:tcPr>
          <w:p w14:paraId="10094607" w14:textId="77777777" w:rsidR="008D636B" w:rsidRPr="00A135A3" w:rsidRDefault="008D636B" w:rsidP="008D636B">
            <w:pPr>
              <w:jc w:val="center"/>
              <w:rPr>
                <w:rFonts w:cs="Arial"/>
                <w:color w:val="595959" w:themeColor="text1" w:themeTint="A6"/>
                <w:sz w:val="20"/>
                <w:szCs w:val="20"/>
              </w:rPr>
            </w:pPr>
          </w:p>
        </w:tc>
      </w:tr>
      <w:tr w:rsidR="008D636B" w:rsidRPr="00A135A3" w14:paraId="60C55EFA" w14:textId="77777777" w:rsidTr="009A3F71">
        <w:tc>
          <w:tcPr>
            <w:tcW w:w="1491" w:type="pct"/>
          </w:tcPr>
          <w:p w14:paraId="21AADCB3"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Other</w:t>
            </w:r>
          </w:p>
        </w:tc>
        <w:tc>
          <w:tcPr>
            <w:tcW w:w="1179" w:type="pct"/>
          </w:tcPr>
          <w:p w14:paraId="32E189BB"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11 (7%)</w:t>
            </w:r>
          </w:p>
        </w:tc>
        <w:tc>
          <w:tcPr>
            <w:tcW w:w="1080" w:type="pct"/>
          </w:tcPr>
          <w:p w14:paraId="116DA873"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101 (17%)</w:t>
            </w:r>
          </w:p>
        </w:tc>
        <w:tc>
          <w:tcPr>
            <w:tcW w:w="1250" w:type="pct"/>
            <w:vMerge/>
          </w:tcPr>
          <w:p w14:paraId="36E3EB44" w14:textId="77777777" w:rsidR="008D636B" w:rsidRPr="00A135A3" w:rsidRDefault="008D636B" w:rsidP="008D636B">
            <w:pPr>
              <w:jc w:val="center"/>
              <w:rPr>
                <w:rFonts w:cs="Arial"/>
                <w:color w:val="595959" w:themeColor="text1" w:themeTint="A6"/>
                <w:sz w:val="20"/>
                <w:szCs w:val="20"/>
              </w:rPr>
            </w:pPr>
          </w:p>
        </w:tc>
      </w:tr>
      <w:tr w:rsidR="00541833" w:rsidRPr="00A135A3" w14:paraId="4915500A" w14:textId="77777777" w:rsidTr="009A3F71">
        <w:tc>
          <w:tcPr>
            <w:tcW w:w="1491" w:type="pct"/>
          </w:tcPr>
          <w:p w14:paraId="459CA959" w14:textId="233E7F72" w:rsidR="00541833" w:rsidRPr="00A135A3" w:rsidRDefault="00541833" w:rsidP="008D636B">
            <w:pPr>
              <w:rPr>
                <w:rFonts w:cs="Arial"/>
                <w:color w:val="595959" w:themeColor="text1" w:themeTint="A6"/>
                <w:sz w:val="20"/>
                <w:szCs w:val="20"/>
              </w:rPr>
            </w:pPr>
            <w:r w:rsidRPr="00A135A3">
              <w:rPr>
                <w:rFonts w:cs="Arial"/>
                <w:color w:val="595959" w:themeColor="text1" w:themeTint="A6"/>
                <w:sz w:val="20"/>
                <w:szCs w:val="20"/>
              </w:rPr>
              <w:t>Dual Diagnosis</w:t>
            </w:r>
          </w:p>
        </w:tc>
        <w:tc>
          <w:tcPr>
            <w:tcW w:w="1179" w:type="pct"/>
          </w:tcPr>
          <w:p w14:paraId="2619A4E8" w14:textId="77777777" w:rsidR="00541833" w:rsidRPr="00A135A3" w:rsidRDefault="00541833" w:rsidP="008D636B">
            <w:pPr>
              <w:jc w:val="center"/>
              <w:rPr>
                <w:rFonts w:cs="Arial"/>
                <w:color w:val="595959" w:themeColor="text1" w:themeTint="A6"/>
                <w:sz w:val="20"/>
                <w:szCs w:val="20"/>
              </w:rPr>
            </w:pPr>
          </w:p>
        </w:tc>
        <w:tc>
          <w:tcPr>
            <w:tcW w:w="1080" w:type="pct"/>
          </w:tcPr>
          <w:p w14:paraId="40D82F80" w14:textId="77777777" w:rsidR="00541833" w:rsidRPr="00A135A3" w:rsidRDefault="00541833" w:rsidP="008D636B">
            <w:pPr>
              <w:jc w:val="center"/>
              <w:rPr>
                <w:rFonts w:cs="Arial"/>
                <w:color w:val="595959" w:themeColor="text1" w:themeTint="A6"/>
                <w:sz w:val="20"/>
                <w:szCs w:val="20"/>
              </w:rPr>
            </w:pPr>
          </w:p>
        </w:tc>
        <w:tc>
          <w:tcPr>
            <w:tcW w:w="1250" w:type="pct"/>
          </w:tcPr>
          <w:p w14:paraId="40A30576" w14:textId="77777777" w:rsidR="00541833" w:rsidRPr="00A135A3" w:rsidRDefault="00541833" w:rsidP="008D636B">
            <w:pPr>
              <w:jc w:val="center"/>
              <w:rPr>
                <w:rFonts w:cs="Arial"/>
                <w:color w:val="595959" w:themeColor="text1" w:themeTint="A6"/>
                <w:sz w:val="20"/>
                <w:szCs w:val="20"/>
              </w:rPr>
            </w:pPr>
          </w:p>
        </w:tc>
      </w:tr>
      <w:tr w:rsidR="00541833" w:rsidRPr="00A135A3" w14:paraId="2D27EEFA" w14:textId="77777777" w:rsidTr="009A3F71">
        <w:tc>
          <w:tcPr>
            <w:tcW w:w="1491" w:type="pct"/>
          </w:tcPr>
          <w:p w14:paraId="4D69E9C4" w14:textId="00B8BDF7" w:rsidR="00541833" w:rsidRPr="00A135A3" w:rsidRDefault="00541833" w:rsidP="008D636B">
            <w:pPr>
              <w:rPr>
                <w:rFonts w:cs="Arial"/>
                <w:b/>
                <w:bCs/>
                <w:sz w:val="20"/>
                <w:szCs w:val="20"/>
              </w:rPr>
            </w:pPr>
            <w:r w:rsidRPr="00A135A3">
              <w:rPr>
                <w:rFonts w:cs="Arial"/>
                <w:b/>
                <w:bCs/>
                <w:sz w:val="20"/>
                <w:szCs w:val="20"/>
              </w:rPr>
              <w:t>Psychosis and drug and/or alcohol use</w:t>
            </w:r>
          </w:p>
        </w:tc>
        <w:tc>
          <w:tcPr>
            <w:tcW w:w="1179" w:type="pct"/>
          </w:tcPr>
          <w:p w14:paraId="7339E5E8" w14:textId="670F6897" w:rsidR="00541833" w:rsidRPr="00A135A3" w:rsidRDefault="00541833" w:rsidP="008D636B">
            <w:pPr>
              <w:tabs>
                <w:tab w:val="left" w:pos="720"/>
                <w:tab w:val="center" w:pos="955"/>
              </w:tabs>
              <w:rPr>
                <w:rFonts w:cs="Arial"/>
                <w:color w:val="595959" w:themeColor="text1" w:themeTint="A6"/>
                <w:sz w:val="20"/>
                <w:szCs w:val="20"/>
              </w:rPr>
            </w:pPr>
            <w:r w:rsidRPr="00A135A3">
              <w:rPr>
                <w:rFonts w:cs="Arial"/>
                <w:color w:val="595959" w:themeColor="text1" w:themeTint="A6"/>
                <w:sz w:val="20"/>
                <w:szCs w:val="20"/>
              </w:rPr>
              <w:t>25 (15%)</w:t>
            </w:r>
          </w:p>
        </w:tc>
        <w:tc>
          <w:tcPr>
            <w:tcW w:w="1080" w:type="pct"/>
          </w:tcPr>
          <w:p w14:paraId="0F35F018" w14:textId="3EB1B96A" w:rsidR="00541833" w:rsidRPr="00A135A3" w:rsidRDefault="00541833" w:rsidP="008D636B">
            <w:pPr>
              <w:jc w:val="center"/>
              <w:rPr>
                <w:rFonts w:cs="Arial"/>
                <w:color w:val="595959" w:themeColor="text1" w:themeTint="A6"/>
                <w:sz w:val="20"/>
                <w:szCs w:val="20"/>
              </w:rPr>
            </w:pPr>
            <w:r w:rsidRPr="00A135A3">
              <w:rPr>
                <w:rFonts w:cs="Arial"/>
                <w:color w:val="595959" w:themeColor="text1" w:themeTint="A6"/>
                <w:sz w:val="20"/>
                <w:szCs w:val="20"/>
              </w:rPr>
              <w:t>174 (87%) N= 200</w:t>
            </w:r>
          </w:p>
        </w:tc>
        <w:tc>
          <w:tcPr>
            <w:tcW w:w="1250" w:type="pct"/>
          </w:tcPr>
          <w:p w14:paraId="2348711B" w14:textId="017B1919" w:rsidR="00541833" w:rsidRPr="00A135A3" w:rsidRDefault="00541833" w:rsidP="008D636B">
            <w:pPr>
              <w:jc w:val="center"/>
              <w:rPr>
                <w:rFonts w:cs="Arial"/>
                <w:color w:val="595959" w:themeColor="text1" w:themeTint="A6"/>
                <w:sz w:val="20"/>
                <w:szCs w:val="20"/>
              </w:rPr>
            </w:pPr>
            <w:r w:rsidRPr="00A135A3">
              <w:rPr>
                <w:rFonts w:cs="Arial"/>
                <w:color w:val="595959" w:themeColor="text1" w:themeTint="A6"/>
                <w:sz w:val="20"/>
                <w:szCs w:val="20"/>
              </w:rPr>
              <w:t xml:space="preserve">Not available </w:t>
            </w:r>
          </w:p>
        </w:tc>
      </w:tr>
      <w:tr w:rsidR="008D636B" w:rsidRPr="00A135A3" w14:paraId="14C7E4E2" w14:textId="77777777" w:rsidTr="009A3F71">
        <w:tc>
          <w:tcPr>
            <w:tcW w:w="1491" w:type="pct"/>
          </w:tcPr>
          <w:p w14:paraId="0ED97D68" w14:textId="77777777" w:rsidR="008D636B" w:rsidRPr="00A135A3" w:rsidRDefault="008D636B" w:rsidP="008D636B">
            <w:pPr>
              <w:rPr>
                <w:rFonts w:cs="Arial"/>
                <w:b/>
                <w:bCs/>
                <w:color w:val="FF0000"/>
                <w:sz w:val="20"/>
                <w:szCs w:val="20"/>
              </w:rPr>
            </w:pPr>
            <w:r w:rsidRPr="00A135A3">
              <w:rPr>
                <w:rFonts w:cs="Arial"/>
                <w:b/>
                <w:bCs/>
                <w:sz w:val="20"/>
                <w:szCs w:val="20"/>
              </w:rPr>
              <w:t>Previous History of Mental Disorder</w:t>
            </w:r>
          </w:p>
        </w:tc>
        <w:tc>
          <w:tcPr>
            <w:tcW w:w="1179" w:type="pct"/>
          </w:tcPr>
          <w:p w14:paraId="48ACB76D" w14:textId="77777777" w:rsidR="008D636B" w:rsidRPr="00A135A3" w:rsidRDefault="008D636B" w:rsidP="008D636B">
            <w:pPr>
              <w:tabs>
                <w:tab w:val="left" w:pos="720"/>
                <w:tab w:val="center" w:pos="955"/>
              </w:tabs>
              <w:rPr>
                <w:rFonts w:cs="Arial"/>
                <w:color w:val="595959" w:themeColor="text1" w:themeTint="A6"/>
                <w:sz w:val="20"/>
                <w:szCs w:val="20"/>
              </w:rPr>
            </w:pPr>
            <w:r w:rsidRPr="00A135A3">
              <w:rPr>
                <w:rFonts w:cs="Arial"/>
                <w:color w:val="595959" w:themeColor="text1" w:themeTint="A6"/>
                <w:sz w:val="20"/>
                <w:szCs w:val="20"/>
              </w:rPr>
              <w:tab/>
              <w:t>154 (95%)</w:t>
            </w:r>
          </w:p>
        </w:tc>
        <w:tc>
          <w:tcPr>
            <w:tcW w:w="1080" w:type="pct"/>
          </w:tcPr>
          <w:p w14:paraId="2505B6BA"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Not available</w:t>
            </w:r>
          </w:p>
        </w:tc>
        <w:tc>
          <w:tcPr>
            <w:tcW w:w="1250" w:type="pct"/>
          </w:tcPr>
          <w:p w14:paraId="673FC726"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Not available</w:t>
            </w:r>
          </w:p>
        </w:tc>
      </w:tr>
      <w:tr w:rsidR="008D636B" w:rsidRPr="00A135A3" w14:paraId="610A800E" w14:textId="77777777" w:rsidTr="009A3F71">
        <w:tc>
          <w:tcPr>
            <w:tcW w:w="1491" w:type="pct"/>
          </w:tcPr>
          <w:p w14:paraId="53A4710A" w14:textId="77777777" w:rsidR="008D636B" w:rsidRPr="00A135A3" w:rsidRDefault="008D636B" w:rsidP="008D636B">
            <w:pPr>
              <w:rPr>
                <w:rFonts w:cs="Arial"/>
                <w:b/>
                <w:bCs/>
                <w:color w:val="FF0000"/>
                <w:sz w:val="20"/>
                <w:szCs w:val="20"/>
              </w:rPr>
            </w:pPr>
            <w:r w:rsidRPr="00A135A3">
              <w:rPr>
                <w:rFonts w:cs="Arial"/>
                <w:b/>
                <w:bCs/>
                <w:sz w:val="20"/>
                <w:szCs w:val="20"/>
              </w:rPr>
              <w:t>History of non-adherence with medication and follow-up</w:t>
            </w:r>
          </w:p>
        </w:tc>
        <w:tc>
          <w:tcPr>
            <w:tcW w:w="1179" w:type="pct"/>
          </w:tcPr>
          <w:p w14:paraId="66917CA6"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84 (52%)</w:t>
            </w:r>
          </w:p>
        </w:tc>
        <w:tc>
          <w:tcPr>
            <w:tcW w:w="1080" w:type="pct"/>
          </w:tcPr>
          <w:p w14:paraId="7667DB58"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258 (48%) (N=537)</w:t>
            </w:r>
          </w:p>
        </w:tc>
        <w:tc>
          <w:tcPr>
            <w:tcW w:w="1250" w:type="pct"/>
          </w:tcPr>
          <w:p w14:paraId="0956C685"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Not available</w:t>
            </w:r>
          </w:p>
        </w:tc>
      </w:tr>
      <w:tr w:rsidR="008D636B" w:rsidRPr="00A135A3" w14:paraId="4719AF7A" w14:textId="77777777" w:rsidTr="009A3F71">
        <w:tc>
          <w:tcPr>
            <w:tcW w:w="1491" w:type="pct"/>
          </w:tcPr>
          <w:p w14:paraId="6ADF8B93" w14:textId="77777777" w:rsidR="008D636B" w:rsidRPr="00A135A3" w:rsidRDefault="008D636B" w:rsidP="008D636B">
            <w:pPr>
              <w:jc w:val="both"/>
              <w:rPr>
                <w:rFonts w:cs="Arial"/>
                <w:b/>
                <w:bCs/>
                <w:sz w:val="20"/>
                <w:szCs w:val="20"/>
              </w:rPr>
            </w:pPr>
            <w:r w:rsidRPr="00A135A3">
              <w:rPr>
                <w:rFonts w:cs="Arial"/>
                <w:b/>
                <w:bCs/>
                <w:sz w:val="20"/>
                <w:szCs w:val="20"/>
              </w:rPr>
              <w:t>Abnormal Mental State at time of Offence</w:t>
            </w:r>
          </w:p>
        </w:tc>
        <w:tc>
          <w:tcPr>
            <w:tcW w:w="1179" w:type="pct"/>
          </w:tcPr>
          <w:p w14:paraId="1CFA7539" w14:textId="77777777" w:rsidR="008D636B" w:rsidRPr="00A135A3" w:rsidRDefault="008D636B" w:rsidP="008D636B">
            <w:pPr>
              <w:tabs>
                <w:tab w:val="left" w:pos="720"/>
                <w:tab w:val="center" w:pos="955"/>
              </w:tabs>
              <w:jc w:val="both"/>
              <w:rPr>
                <w:rFonts w:cs="Arial"/>
                <w:color w:val="595959" w:themeColor="text1" w:themeTint="A6"/>
                <w:sz w:val="20"/>
                <w:szCs w:val="20"/>
              </w:rPr>
            </w:pPr>
            <w:r w:rsidRPr="00A135A3">
              <w:rPr>
                <w:rFonts w:cs="Arial"/>
                <w:color w:val="595959" w:themeColor="text1" w:themeTint="A6"/>
                <w:sz w:val="20"/>
                <w:szCs w:val="20"/>
              </w:rPr>
              <w:tab/>
              <w:t>86 (53%)</w:t>
            </w:r>
          </w:p>
        </w:tc>
        <w:tc>
          <w:tcPr>
            <w:tcW w:w="1080" w:type="pct"/>
          </w:tcPr>
          <w:p w14:paraId="4F6FD80F"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202 (33%)</w:t>
            </w:r>
          </w:p>
        </w:tc>
        <w:tc>
          <w:tcPr>
            <w:tcW w:w="1250" w:type="pct"/>
          </w:tcPr>
          <w:p w14:paraId="10C094D0"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Not available</w:t>
            </w:r>
          </w:p>
        </w:tc>
      </w:tr>
      <w:tr w:rsidR="008D636B" w:rsidRPr="00A135A3" w14:paraId="50F45F79" w14:textId="77777777" w:rsidTr="009A3F71">
        <w:tc>
          <w:tcPr>
            <w:tcW w:w="1491" w:type="pct"/>
          </w:tcPr>
          <w:p w14:paraId="3F6DB2D6" w14:textId="77777777" w:rsidR="008D636B" w:rsidRPr="00A135A3" w:rsidRDefault="008D636B" w:rsidP="008D636B">
            <w:pPr>
              <w:rPr>
                <w:rFonts w:cs="Arial"/>
                <w:b/>
                <w:bCs/>
                <w:sz w:val="20"/>
                <w:szCs w:val="20"/>
              </w:rPr>
            </w:pPr>
            <w:r w:rsidRPr="00A135A3">
              <w:rPr>
                <w:rFonts w:cs="Arial"/>
                <w:b/>
                <w:bCs/>
                <w:sz w:val="20"/>
                <w:szCs w:val="20"/>
              </w:rPr>
              <w:t>Mental Health Act Detention at time of Homicide</w:t>
            </w:r>
          </w:p>
        </w:tc>
        <w:tc>
          <w:tcPr>
            <w:tcW w:w="1179" w:type="pct"/>
          </w:tcPr>
          <w:p w14:paraId="6E729B93" w14:textId="77777777" w:rsidR="008D636B" w:rsidRPr="00A135A3" w:rsidRDefault="008D636B" w:rsidP="008D636B">
            <w:pPr>
              <w:jc w:val="center"/>
              <w:rPr>
                <w:rFonts w:cs="Arial"/>
                <w:color w:val="595959" w:themeColor="text1" w:themeTint="A6"/>
                <w:sz w:val="20"/>
                <w:szCs w:val="20"/>
              </w:rPr>
            </w:pPr>
          </w:p>
        </w:tc>
        <w:tc>
          <w:tcPr>
            <w:tcW w:w="1080" w:type="pct"/>
            <w:shd w:val="clear" w:color="auto" w:fill="auto"/>
          </w:tcPr>
          <w:p w14:paraId="3DC73C75" w14:textId="77777777" w:rsidR="008D636B" w:rsidRPr="00A135A3" w:rsidRDefault="008D636B" w:rsidP="008D636B">
            <w:pPr>
              <w:jc w:val="center"/>
              <w:rPr>
                <w:rFonts w:cs="Arial"/>
                <w:color w:val="595959" w:themeColor="text1" w:themeTint="A6"/>
                <w:sz w:val="20"/>
                <w:szCs w:val="20"/>
              </w:rPr>
            </w:pPr>
          </w:p>
        </w:tc>
        <w:tc>
          <w:tcPr>
            <w:tcW w:w="1250" w:type="pct"/>
          </w:tcPr>
          <w:p w14:paraId="1F671744" w14:textId="77777777" w:rsidR="008D636B" w:rsidRPr="00A135A3" w:rsidRDefault="008D636B" w:rsidP="008D636B">
            <w:pPr>
              <w:jc w:val="center"/>
              <w:rPr>
                <w:rFonts w:cs="Arial"/>
                <w:sz w:val="20"/>
                <w:szCs w:val="20"/>
              </w:rPr>
            </w:pPr>
          </w:p>
        </w:tc>
      </w:tr>
      <w:tr w:rsidR="008D636B" w:rsidRPr="00A135A3" w14:paraId="39D81662" w14:textId="77777777" w:rsidTr="009A3F71">
        <w:tc>
          <w:tcPr>
            <w:tcW w:w="1491" w:type="pct"/>
          </w:tcPr>
          <w:p w14:paraId="49FF81A5"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s3 MHA, inpatient</w:t>
            </w:r>
          </w:p>
        </w:tc>
        <w:tc>
          <w:tcPr>
            <w:tcW w:w="1179" w:type="pct"/>
          </w:tcPr>
          <w:p w14:paraId="6A1D64DD"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N=5 (3%)</w:t>
            </w:r>
          </w:p>
        </w:tc>
        <w:tc>
          <w:tcPr>
            <w:tcW w:w="1080" w:type="pct"/>
            <w:shd w:val="clear" w:color="auto" w:fill="auto"/>
          </w:tcPr>
          <w:p w14:paraId="04B36EE5"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19 (3%)</w:t>
            </w:r>
          </w:p>
        </w:tc>
        <w:tc>
          <w:tcPr>
            <w:tcW w:w="1250" w:type="pct"/>
            <w:vMerge w:val="restart"/>
          </w:tcPr>
          <w:p w14:paraId="72B1FD49"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Not available</w:t>
            </w:r>
          </w:p>
          <w:p w14:paraId="314EDF45" w14:textId="77777777" w:rsidR="008D636B" w:rsidRPr="00A135A3" w:rsidRDefault="008D636B" w:rsidP="008D636B">
            <w:pPr>
              <w:jc w:val="center"/>
              <w:rPr>
                <w:rFonts w:cs="Arial"/>
                <w:color w:val="595959" w:themeColor="text1" w:themeTint="A6"/>
                <w:sz w:val="20"/>
                <w:szCs w:val="20"/>
              </w:rPr>
            </w:pPr>
          </w:p>
        </w:tc>
      </w:tr>
      <w:tr w:rsidR="008D636B" w:rsidRPr="00A135A3" w14:paraId="72EF69B8" w14:textId="77777777" w:rsidTr="009A3F71">
        <w:tc>
          <w:tcPr>
            <w:tcW w:w="1491" w:type="pct"/>
          </w:tcPr>
          <w:p w14:paraId="31DF8FE9" w14:textId="77777777" w:rsidR="008D636B" w:rsidRPr="00A135A3" w:rsidRDefault="008D636B" w:rsidP="008D636B">
            <w:pPr>
              <w:jc w:val="both"/>
              <w:rPr>
                <w:rFonts w:cs="Arial"/>
                <w:b/>
                <w:bCs/>
                <w:color w:val="595959" w:themeColor="text1" w:themeTint="A6"/>
                <w:sz w:val="20"/>
                <w:szCs w:val="20"/>
              </w:rPr>
            </w:pPr>
            <w:r w:rsidRPr="00A135A3">
              <w:rPr>
                <w:rFonts w:cs="Arial"/>
                <w:color w:val="595959" w:themeColor="text1" w:themeTint="A6"/>
                <w:sz w:val="20"/>
                <w:szCs w:val="20"/>
              </w:rPr>
              <w:t>Inpatient, s17 leave</w:t>
            </w:r>
          </w:p>
        </w:tc>
        <w:tc>
          <w:tcPr>
            <w:tcW w:w="1179" w:type="pct"/>
          </w:tcPr>
          <w:p w14:paraId="68A09D1B"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N=4</w:t>
            </w:r>
          </w:p>
        </w:tc>
        <w:tc>
          <w:tcPr>
            <w:tcW w:w="1080" w:type="pct"/>
            <w:shd w:val="clear" w:color="auto" w:fill="auto"/>
          </w:tcPr>
          <w:p w14:paraId="74B80F3D"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Not available</w:t>
            </w:r>
          </w:p>
        </w:tc>
        <w:tc>
          <w:tcPr>
            <w:tcW w:w="1250" w:type="pct"/>
            <w:vMerge/>
          </w:tcPr>
          <w:p w14:paraId="542D8FB8" w14:textId="77777777" w:rsidR="008D636B" w:rsidRPr="00A135A3" w:rsidRDefault="008D636B" w:rsidP="008D636B">
            <w:pPr>
              <w:jc w:val="center"/>
              <w:rPr>
                <w:rFonts w:cs="Arial"/>
                <w:color w:val="595959" w:themeColor="text1" w:themeTint="A6"/>
                <w:sz w:val="20"/>
                <w:szCs w:val="20"/>
              </w:rPr>
            </w:pPr>
          </w:p>
        </w:tc>
      </w:tr>
      <w:tr w:rsidR="008D636B" w:rsidRPr="00A135A3" w14:paraId="6CB5137A" w14:textId="77777777" w:rsidTr="009A3F71">
        <w:tc>
          <w:tcPr>
            <w:tcW w:w="1491" w:type="pct"/>
          </w:tcPr>
          <w:p w14:paraId="65B7BCEA"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 xml:space="preserve">Community Treatment Order </w:t>
            </w:r>
          </w:p>
        </w:tc>
        <w:tc>
          <w:tcPr>
            <w:tcW w:w="1179" w:type="pct"/>
          </w:tcPr>
          <w:p w14:paraId="54D74DA0"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N=1</w:t>
            </w:r>
          </w:p>
        </w:tc>
        <w:tc>
          <w:tcPr>
            <w:tcW w:w="1080" w:type="pct"/>
            <w:shd w:val="clear" w:color="auto" w:fill="auto"/>
          </w:tcPr>
          <w:p w14:paraId="62C9CD30"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Not available</w:t>
            </w:r>
          </w:p>
        </w:tc>
        <w:tc>
          <w:tcPr>
            <w:tcW w:w="1250" w:type="pct"/>
            <w:vMerge/>
          </w:tcPr>
          <w:p w14:paraId="72D19103" w14:textId="77777777" w:rsidR="008D636B" w:rsidRPr="00A135A3" w:rsidRDefault="008D636B" w:rsidP="008D636B">
            <w:pPr>
              <w:jc w:val="center"/>
              <w:rPr>
                <w:rFonts w:cs="Arial"/>
                <w:color w:val="595959" w:themeColor="text1" w:themeTint="A6"/>
                <w:sz w:val="20"/>
                <w:szCs w:val="20"/>
              </w:rPr>
            </w:pPr>
          </w:p>
        </w:tc>
      </w:tr>
      <w:tr w:rsidR="008D636B" w:rsidRPr="00A135A3" w14:paraId="17FFF788" w14:textId="77777777" w:rsidTr="009A3F71">
        <w:tc>
          <w:tcPr>
            <w:tcW w:w="1491" w:type="pct"/>
          </w:tcPr>
          <w:p w14:paraId="79B92508" w14:textId="77777777" w:rsidR="008D636B" w:rsidRPr="00A135A3" w:rsidRDefault="008D636B" w:rsidP="008D636B">
            <w:pPr>
              <w:jc w:val="both"/>
              <w:rPr>
                <w:rFonts w:cs="Arial"/>
                <w:b/>
                <w:bCs/>
                <w:color w:val="595959" w:themeColor="text1" w:themeTint="A6"/>
                <w:sz w:val="20"/>
                <w:szCs w:val="20"/>
              </w:rPr>
            </w:pPr>
            <w:r w:rsidRPr="00A135A3">
              <w:rPr>
                <w:rFonts w:cs="Arial"/>
                <w:color w:val="595959" w:themeColor="text1" w:themeTint="A6"/>
                <w:sz w:val="20"/>
                <w:szCs w:val="20"/>
              </w:rPr>
              <w:t>s42 Conditional Discharge</w:t>
            </w:r>
          </w:p>
        </w:tc>
        <w:tc>
          <w:tcPr>
            <w:tcW w:w="1179" w:type="pct"/>
          </w:tcPr>
          <w:p w14:paraId="4ECE8B88"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N=2</w:t>
            </w:r>
          </w:p>
        </w:tc>
        <w:tc>
          <w:tcPr>
            <w:tcW w:w="1080" w:type="pct"/>
            <w:shd w:val="clear" w:color="auto" w:fill="auto"/>
          </w:tcPr>
          <w:p w14:paraId="64CBC256"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Not available</w:t>
            </w:r>
          </w:p>
        </w:tc>
        <w:tc>
          <w:tcPr>
            <w:tcW w:w="1250" w:type="pct"/>
            <w:vMerge/>
          </w:tcPr>
          <w:p w14:paraId="77EB4697" w14:textId="77777777" w:rsidR="008D636B" w:rsidRPr="00A135A3" w:rsidRDefault="008D636B" w:rsidP="008D636B">
            <w:pPr>
              <w:jc w:val="center"/>
              <w:rPr>
                <w:rFonts w:cs="Arial"/>
                <w:color w:val="595959" w:themeColor="text1" w:themeTint="A6"/>
                <w:sz w:val="20"/>
                <w:szCs w:val="20"/>
              </w:rPr>
            </w:pPr>
          </w:p>
        </w:tc>
      </w:tr>
    </w:tbl>
    <w:p w14:paraId="51C7ECCE" w14:textId="77777777" w:rsidR="008D636B" w:rsidRPr="00A135A3" w:rsidRDefault="008D636B" w:rsidP="008D636B">
      <w:pPr>
        <w:spacing w:line="480" w:lineRule="auto"/>
        <w:jc w:val="both"/>
        <w:rPr>
          <w:b/>
          <w:bCs/>
          <w:sz w:val="20"/>
          <w:szCs w:val="18"/>
        </w:rPr>
      </w:pPr>
    </w:p>
    <w:p w14:paraId="7DD470DA" w14:textId="77777777" w:rsidR="008D636B" w:rsidRPr="00A135A3" w:rsidRDefault="008D636B" w:rsidP="008D636B">
      <w:pPr>
        <w:spacing w:line="480" w:lineRule="auto"/>
        <w:jc w:val="both"/>
        <w:rPr>
          <w:rFonts w:cs="Arial"/>
          <w:kern w:val="0"/>
          <w:szCs w:val="24"/>
          <w14:ligatures w14:val="none"/>
        </w:rPr>
      </w:pPr>
    </w:p>
    <w:p w14:paraId="59FA491D" w14:textId="77777777" w:rsidR="008D636B" w:rsidRPr="00A135A3" w:rsidRDefault="008D636B" w:rsidP="008D636B">
      <w:pPr>
        <w:spacing w:line="480" w:lineRule="auto"/>
        <w:jc w:val="both"/>
        <w:rPr>
          <w:rFonts w:cs="Arial"/>
          <w:kern w:val="0"/>
          <w:szCs w:val="24"/>
          <w14:ligatures w14:val="none"/>
        </w:rPr>
      </w:pPr>
    </w:p>
    <w:p w14:paraId="64E09082" w14:textId="7BF38095" w:rsidR="008D636B" w:rsidRPr="00A135A3" w:rsidRDefault="006069A6" w:rsidP="00242F42">
      <w:pPr>
        <w:rPr>
          <w:b/>
          <w:bCs/>
          <w:sz w:val="20"/>
          <w:szCs w:val="18"/>
        </w:rPr>
      </w:pPr>
      <w:r w:rsidRPr="00A135A3">
        <w:rPr>
          <w:b/>
          <w:bCs/>
          <w:sz w:val="20"/>
          <w:szCs w:val="18"/>
        </w:rPr>
        <w:br w:type="page"/>
      </w:r>
      <w:r w:rsidR="008D636B" w:rsidRPr="00A135A3">
        <w:rPr>
          <w:b/>
          <w:bCs/>
          <w:sz w:val="20"/>
          <w:szCs w:val="18"/>
        </w:rPr>
        <w:lastRenderedPageBreak/>
        <w:t xml:space="preserve">Table 2 – Victim </w:t>
      </w:r>
      <w:r w:rsidR="009E7924" w:rsidRPr="00A135A3">
        <w:rPr>
          <w:b/>
          <w:bCs/>
          <w:sz w:val="20"/>
          <w:szCs w:val="18"/>
        </w:rPr>
        <w:t>c</w:t>
      </w:r>
      <w:r w:rsidR="008D636B" w:rsidRPr="00A135A3">
        <w:rPr>
          <w:b/>
          <w:bCs/>
          <w:sz w:val="20"/>
          <w:szCs w:val="18"/>
        </w:rPr>
        <w:t>haracteristics in MHHI, NCISH and general populations</w:t>
      </w:r>
    </w:p>
    <w:tbl>
      <w:tblPr>
        <w:tblStyle w:val="TableGrid"/>
        <w:tblW w:w="5000" w:type="pct"/>
        <w:tblLook w:val="04A0" w:firstRow="1" w:lastRow="0" w:firstColumn="1" w:lastColumn="0" w:noHBand="0" w:noVBand="1"/>
      </w:tblPr>
      <w:tblGrid>
        <w:gridCol w:w="2234"/>
        <w:gridCol w:w="2687"/>
        <w:gridCol w:w="2014"/>
        <w:gridCol w:w="2081"/>
      </w:tblGrid>
      <w:tr w:rsidR="008D636B" w:rsidRPr="00A135A3" w14:paraId="0413C46F" w14:textId="77777777" w:rsidTr="009A3F71">
        <w:tc>
          <w:tcPr>
            <w:tcW w:w="1239" w:type="pct"/>
          </w:tcPr>
          <w:p w14:paraId="1614AD29" w14:textId="77777777" w:rsidR="008D636B" w:rsidRPr="00A135A3" w:rsidRDefault="008D636B" w:rsidP="008D636B">
            <w:pPr>
              <w:jc w:val="center"/>
              <w:rPr>
                <w:rFonts w:cs="Arial"/>
                <w:b/>
                <w:bCs/>
                <w:color w:val="4472C4" w:themeColor="accent1"/>
                <w:sz w:val="20"/>
                <w:szCs w:val="20"/>
              </w:rPr>
            </w:pPr>
            <w:r w:rsidRPr="00A135A3">
              <w:rPr>
                <w:rFonts w:cs="Arial"/>
                <w:b/>
                <w:bCs/>
                <w:color w:val="4472C4" w:themeColor="accent1"/>
                <w:sz w:val="20"/>
                <w:szCs w:val="20"/>
              </w:rPr>
              <w:t>Characteristic</w:t>
            </w:r>
          </w:p>
        </w:tc>
        <w:tc>
          <w:tcPr>
            <w:tcW w:w="1490" w:type="pct"/>
          </w:tcPr>
          <w:p w14:paraId="3243C0E2" w14:textId="77777777" w:rsidR="008D636B" w:rsidRPr="00A135A3" w:rsidRDefault="008D636B" w:rsidP="008D636B">
            <w:pPr>
              <w:jc w:val="center"/>
              <w:rPr>
                <w:rFonts w:cs="Arial"/>
                <w:b/>
                <w:bCs/>
                <w:color w:val="4472C4" w:themeColor="accent1"/>
                <w:sz w:val="20"/>
                <w:szCs w:val="20"/>
              </w:rPr>
            </w:pPr>
            <w:r w:rsidRPr="00A135A3">
              <w:rPr>
                <w:rFonts w:cs="Arial"/>
                <w:b/>
                <w:bCs/>
                <w:color w:val="4472C4" w:themeColor="accent1"/>
                <w:sz w:val="20"/>
                <w:szCs w:val="20"/>
              </w:rPr>
              <w:t>MHHI (2013-2023) (N=168)</w:t>
            </w:r>
          </w:p>
        </w:tc>
        <w:tc>
          <w:tcPr>
            <w:tcW w:w="1117" w:type="pct"/>
          </w:tcPr>
          <w:p w14:paraId="6C4B6069" w14:textId="77777777" w:rsidR="008D636B" w:rsidRPr="00A135A3" w:rsidRDefault="008D636B" w:rsidP="008D636B">
            <w:pPr>
              <w:jc w:val="center"/>
              <w:rPr>
                <w:rFonts w:cs="Arial"/>
                <w:b/>
                <w:bCs/>
                <w:color w:val="4472C4" w:themeColor="accent1"/>
                <w:sz w:val="20"/>
                <w:szCs w:val="20"/>
              </w:rPr>
            </w:pPr>
            <w:r w:rsidRPr="00A135A3">
              <w:rPr>
                <w:rFonts w:cs="Arial"/>
                <w:b/>
                <w:bCs/>
                <w:color w:val="4472C4" w:themeColor="accent1"/>
                <w:sz w:val="20"/>
                <w:szCs w:val="20"/>
              </w:rPr>
              <w:t>NCISH (2006 – 2016) (N= 641)</w:t>
            </w:r>
          </w:p>
        </w:tc>
        <w:tc>
          <w:tcPr>
            <w:tcW w:w="1154" w:type="pct"/>
          </w:tcPr>
          <w:p w14:paraId="22BE92D5" w14:textId="77777777" w:rsidR="008D636B" w:rsidRPr="00A135A3" w:rsidRDefault="008D636B" w:rsidP="008D636B">
            <w:pPr>
              <w:jc w:val="center"/>
              <w:rPr>
                <w:rFonts w:cs="Arial"/>
                <w:b/>
                <w:bCs/>
                <w:color w:val="4472C4" w:themeColor="accent1"/>
                <w:sz w:val="20"/>
                <w:szCs w:val="20"/>
              </w:rPr>
            </w:pPr>
            <w:r w:rsidRPr="00A135A3">
              <w:rPr>
                <w:rFonts w:cs="Arial"/>
                <w:b/>
                <w:bCs/>
                <w:color w:val="4472C4" w:themeColor="accent1"/>
                <w:sz w:val="20"/>
                <w:szCs w:val="20"/>
              </w:rPr>
              <w:t>ONS general population (2012 - 2023)</w:t>
            </w:r>
          </w:p>
        </w:tc>
      </w:tr>
      <w:tr w:rsidR="008D636B" w:rsidRPr="00A135A3" w14:paraId="368E8E6B" w14:textId="77777777" w:rsidTr="009A3F71">
        <w:tc>
          <w:tcPr>
            <w:tcW w:w="1239" w:type="pct"/>
          </w:tcPr>
          <w:p w14:paraId="05637BA4" w14:textId="77777777" w:rsidR="008D636B" w:rsidRPr="00A135A3" w:rsidRDefault="008D636B" w:rsidP="008D636B">
            <w:pPr>
              <w:jc w:val="both"/>
              <w:rPr>
                <w:rFonts w:cs="Arial"/>
                <w:b/>
                <w:bCs/>
                <w:sz w:val="20"/>
                <w:szCs w:val="20"/>
              </w:rPr>
            </w:pPr>
            <w:r w:rsidRPr="00A135A3">
              <w:rPr>
                <w:rFonts w:cs="Arial"/>
                <w:b/>
                <w:bCs/>
                <w:sz w:val="20"/>
                <w:szCs w:val="20"/>
              </w:rPr>
              <w:t>Sex</w:t>
            </w:r>
          </w:p>
        </w:tc>
        <w:tc>
          <w:tcPr>
            <w:tcW w:w="1490" w:type="pct"/>
          </w:tcPr>
          <w:p w14:paraId="548B0796"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Not stated in 8 cases</w:t>
            </w:r>
          </w:p>
          <w:p w14:paraId="74AEEA7E"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 xml:space="preserve">N=160 </w:t>
            </w:r>
          </w:p>
        </w:tc>
        <w:tc>
          <w:tcPr>
            <w:tcW w:w="1117" w:type="pct"/>
          </w:tcPr>
          <w:p w14:paraId="7566DE47" w14:textId="77777777" w:rsidR="008D636B" w:rsidRPr="00A135A3" w:rsidRDefault="008D636B" w:rsidP="008D636B">
            <w:pPr>
              <w:jc w:val="center"/>
              <w:rPr>
                <w:rFonts w:cs="Arial"/>
                <w:color w:val="595959" w:themeColor="text1" w:themeTint="A6"/>
                <w:sz w:val="20"/>
                <w:szCs w:val="20"/>
              </w:rPr>
            </w:pPr>
          </w:p>
        </w:tc>
        <w:tc>
          <w:tcPr>
            <w:tcW w:w="1154" w:type="pct"/>
          </w:tcPr>
          <w:p w14:paraId="066A4966" w14:textId="77777777" w:rsidR="008D636B" w:rsidRPr="00A135A3" w:rsidRDefault="008D636B" w:rsidP="008D636B">
            <w:pPr>
              <w:jc w:val="center"/>
              <w:rPr>
                <w:rFonts w:cs="Arial"/>
                <w:color w:val="595959" w:themeColor="text1" w:themeTint="A6"/>
                <w:sz w:val="20"/>
                <w:szCs w:val="20"/>
              </w:rPr>
            </w:pPr>
          </w:p>
        </w:tc>
      </w:tr>
      <w:tr w:rsidR="008D636B" w:rsidRPr="00A135A3" w14:paraId="3D8EB3D2" w14:textId="77777777" w:rsidTr="009A3F71">
        <w:tc>
          <w:tcPr>
            <w:tcW w:w="1239" w:type="pct"/>
          </w:tcPr>
          <w:p w14:paraId="15FA79D6" w14:textId="77777777" w:rsidR="008D636B" w:rsidRPr="00A135A3" w:rsidRDefault="008D636B" w:rsidP="008D636B">
            <w:pPr>
              <w:jc w:val="both"/>
              <w:rPr>
                <w:rFonts w:cs="Arial"/>
                <w:b/>
                <w:bCs/>
                <w:color w:val="595959" w:themeColor="text1" w:themeTint="A6"/>
                <w:sz w:val="20"/>
                <w:szCs w:val="20"/>
              </w:rPr>
            </w:pPr>
            <w:r w:rsidRPr="00A135A3">
              <w:rPr>
                <w:rFonts w:cs="Arial"/>
                <w:color w:val="595959" w:themeColor="text1" w:themeTint="A6"/>
                <w:sz w:val="20"/>
                <w:szCs w:val="20"/>
              </w:rPr>
              <w:t>Male</w:t>
            </w:r>
          </w:p>
        </w:tc>
        <w:tc>
          <w:tcPr>
            <w:tcW w:w="1490" w:type="pct"/>
          </w:tcPr>
          <w:p w14:paraId="4520CDD9"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94 (56%)</w:t>
            </w:r>
          </w:p>
        </w:tc>
        <w:tc>
          <w:tcPr>
            <w:tcW w:w="1117" w:type="pct"/>
          </w:tcPr>
          <w:p w14:paraId="1685E623"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68%</w:t>
            </w:r>
          </w:p>
        </w:tc>
        <w:tc>
          <w:tcPr>
            <w:tcW w:w="1154" w:type="pct"/>
          </w:tcPr>
          <w:p w14:paraId="29DA7A33"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69%</w:t>
            </w:r>
          </w:p>
        </w:tc>
      </w:tr>
      <w:tr w:rsidR="008D636B" w:rsidRPr="00A135A3" w14:paraId="794A50AC" w14:textId="77777777" w:rsidTr="009A3F71">
        <w:tc>
          <w:tcPr>
            <w:tcW w:w="1239" w:type="pct"/>
          </w:tcPr>
          <w:p w14:paraId="26954918" w14:textId="77777777" w:rsidR="008D636B" w:rsidRPr="00A135A3" w:rsidRDefault="008D636B" w:rsidP="008D636B">
            <w:pPr>
              <w:jc w:val="both"/>
              <w:rPr>
                <w:rFonts w:cs="Arial"/>
                <w:b/>
                <w:bCs/>
                <w:color w:val="595959" w:themeColor="text1" w:themeTint="A6"/>
                <w:sz w:val="20"/>
                <w:szCs w:val="20"/>
              </w:rPr>
            </w:pPr>
            <w:r w:rsidRPr="00A135A3">
              <w:rPr>
                <w:rFonts w:cs="Arial"/>
                <w:color w:val="595959" w:themeColor="text1" w:themeTint="A6"/>
                <w:sz w:val="20"/>
                <w:szCs w:val="20"/>
              </w:rPr>
              <w:t>Female</w:t>
            </w:r>
          </w:p>
        </w:tc>
        <w:tc>
          <w:tcPr>
            <w:tcW w:w="1490" w:type="pct"/>
          </w:tcPr>
          <w:p w14:paraId="4821F456"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65 (38%)</w:t>
            </w:r>
          </w:p>
        </w:tc>
        <w:tc>
          <w:tcPr>
            <w:tcW w:w="1117" w:type="pct"/>
          </w:tcPr>
          <w:p w14:paraId="59A7602E"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32%</w:t>
            </w:r>
          </w:p>
        </w:tc>
        <w:tc>
          <w:tcPr>
            <w:tcW w:w="1154" w:type="pct"/>
          </w:tcPr>
          <w:p w14:paraId="0521B5DB"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31%</w:t>
            </w:r>
          </w:p>
        </w:tc>
      </w:tr>
      <w:tr w:rsidR="008D636B" w:rsidRPr="00A135A3" w14:paraId="0DB798D8" w14:textId="77777777" w:rsidTr="009A3F71">
        <w:tc>
          <w:tcPr>
            <w:tcW w:w="1239" w:type="pct"/>
          </w:tcPr>
          <w:p w14:paraId="3305C694" w14:textId="77777777" w:rsidR="008D636B" w:rsidRPr="00A135A3" w:rsidRDefault="008D636B" w:rsidP="008D636B">
            <w:pPr>
              <w:jc w:val="both"/>
              <w:rPr>
                <w:rFonts w:cs="Arial"/>
                <w:b/>
                <w:bCs/>
                <w:sz w:val="20"/>
                <w:szCs w:val="20"/>
              </w:rPr>
            </w:pPr>
            <w:r w:rsidRPr="00A135A3">
              <w:rPr>
                <w:rFonts w:cs="Arial"/>
                <w:b/>
                <w:bCs/>
                <w:sz w:val="20"/>
                <w:szCs w:val="20"/>
              </w:rPr>
              <w:t xml:space="preserve">Relationship between victim and patient </w:t>
            </w:r>
          </w:p>
        </w:tc>
        <w:tc>
          <w:tcPr>
            <w:tcW w:w="1490" w:type="pct"/>
          </w:tcPr>
          <w:p w14:paraId="7F9FEB69"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 xml:space="preserve">Not stated in 11 cases. </w:t>
            </w:r>
          </w:p>
          <w:p w14:paraId="35171E92"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N=157</w:t>
            </w:r>
          </w:p>
        </w:tc>
        <w:tc>
          <w:tcPr>
            <w:tcW w:w="1117" w:type="pct"/>
            <w:shd w:val="clear" w:color="auto" w:fill="auto"/>
          </w:tcPr>
          <w:p w14:paraId="52FC9198" w14:textId="77777777" w:rsidR="008D636B" w:rsidRPr="00A135A3" w:rsidRDefault="008D636B" w:rsidP="008D636B">
            <w:pPr>
              <w:jc w:val="center"/>
              <w:rPr>
                <w:rFonts w:cs="Arial"/>
                <w:color w:val="595959" w:themeColor="text1" w:themeTint="A6"/>
                <w:sz w:val="20"/>
                <w:szCs w:val="20"/>
              </w:rPr>
            </w:pPr>
          </w:p>
        </w:tc>
        <w:tc>
          <w:tcPr>
            <w:tcW w:w="1154" w:type="pct"/>
          </w:tcPr>
          <w:p w14:paraId="3E6A43CB" w14:textId="77777777" w:rsidR="008D636B" w:rsidRPr="00A135A3" w:rsidRDefault="008D636B" w:rsidP="008D636B">
            <w:pPr>
              <w:jc w:val="center"/>
              <w:rPr>
                <w:rFonts w:cs="Arial"/>
                <w:color w:val="595959" w:themeColor="text1" w:themeTint="A6"/>
                <w:sz w:val="20"/>
                <w:szCs w:val="20"/>
              </w:rPr>
            </w:pPr>
          </w:p>
        </w:tc>
      </w:tr>
      <w:tr w:rsidR="008D636B" w:rsidRPr="00A135A3" w14:paraId="475102A0" w14:textId="77777777" w:rsidTr="009A3F71">
        <w:tc>
          <w:tcPr>
            <w:tcW w:w="1239" w:type="pct"/>
          </w:tcPr>
          <w:p w14:paraId="576F3EA1" w14:textId="77777777" w:rsidR="008D636B" w:rsidRPr="00A135A3" w:rsidRDefault="008D636B" w:rsidP="008D636B">
            <w:pPr>
              <w:jc w:val="both"/>
              <w:rPr>
                <w:rFonts w:cs="Arial"/>
                <w:b/>
                <w:bCs/>
                <w:color w:val="595959" w:themeColor="text1" w:themeTint="A6"/>
                <w:sz w:val="20"/>
                <w:szCs w:val="20"/>
              </w:rPr>
            </w:pPr>
            <w:r w:rsidRPr="00A135A3">
              <w:rPr>
                <w:rFonts w:cs="Arial"/>
                <w:color w:val="595959" w:themeColor="text1" w:themeTint="A6"/>
                <w:sz w:val="20"/>
                <w:szCs w:val="20"/>
              </w:rPr>
              <w:t>Stranger</w:t>
            </w:r>
          </w:p>
        </w:tc>
        <w:tc>
          <w:tcPr>
            <w:tcW w:w="1490" w:type="pct"/>
          </w:tcPr>
          <w:p w14:paraId="61C28E1D"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22 (14%)</w:t>
            </w:r>
          </w:p>
        </w:tc>
        <w:tc>
          <w:tcPr>
            <w:tcW w:w="1117" w:type="pct"/>
          </w:tcPr>
          <w:p w14:paraId="7FD2D063"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86 (16%)</w:t>
            </w:r>
          </w:p>
        </w:tc>
        <w:tc>
          <w:tcPr>
            <w:tcW w:w="1154" w:type="pct"/>
          </w:tcPr>
          <w:p w14:paraId="55916EB5"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46%</w:t>
            </w:r>
          </w:p>
        </w:tc>
      </w:tr>
      <w:tr w:rsidR="008D636B" w:rsidRPr="00A135A3" w14:paraId="1A03C6F6" w14:textId="77777777" w:rsidTr="009A3F71">
        <w:tc>
          <w:tcPr>
            <w:tcW w:w="1239" w:type="pct"/>
          </w:tcPr>
          <w:p w14:paraId="09DE8B0C" w14:textId="77777777" w:rsidR="008D636B" w:rsidRPr="00A135A3" w:rsidRDefault="008D636B" w:rsidP="008D636B">
            <w:pPr>
              <w:jc w:val="both"/>
              <w:rPr>
                <w:rFonts w:cs="Arial"/>
                <w:b/>
                <w:bCs/>
                <w:color w:val="595959" w:themeColor="text1" w:themeTint="A6"/>
                <w:sz w:val="20"/>
                <w:szCs w:val="20"/>
              </w:rPr>
            </w:pPr>
            <w:r w:rsidRPr="00A135A3">
              <w:rPr>
                <w:rFonts w:cs="Arial"/>
                <w:color w:val="595959" w:themeColor="text1" w:themeTint="A6"/>
                <w:sz w:val="20"/>
                <w:szCs w:val="20"/>
              </w:rPr>
              <w:t xml:space="preserve">Family </w:t>
            </w:r>
          </w:p>
        </w:tc>
        <w:tc>
          <w:tcPr>
            <w:tcW w:w="1490" w:type="pct"/>
          </w:tcPr>
          <w:p w14:paraId="3988F372"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36 (23%)</w:t>
            </w:r>
          </w:p>
        </w:tc>
        <w:tc>
          <w:tcPr>
            <w:tcW w:w="1117" w:type="pct"/>
          </w:tcPr>
          <w:p w14:paraId="55F03D12"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107 (20%)</w:t>
            </w:r>
          </w:p>
        </w:tc>
        <w:tc>
          <w:tcPr>
            <w:tcW w:w="1154" w:type="pct"/>
          </w:tcPr>
          <w:p w14:paraId="7C63C183"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8%</w:t>
            </w:r>
          </w:p>
        </w:tc>
      </w:tr>
      <w:tr w:rsidR="008D636B" w:rsidRPr="00A135A3" w14:paraId="3F7527BE" w14:textId="77777777" w:rsidTr="009A3F71">
        <w:tc>
          <w:tcPr>
            <w:tcW w:w="1239" w:type="pct"/>
          </w:tcPr>
          <w:p w14:paraId="1DF49553" w14:textId="77777777" w:rsidR="008D636B" w:rsidRPr="00A135A3" w:rsidRDefault="008D636B" w:rsidP="008D636B">
            <w:pPr>
              <w:jc w:val="both"/>
              <w:rPr>
                <w:rFonts w:cs="Arial"/>
                <w:b/>
                <w:bCs/>
                <w:color w:val="595959" w:themeColor="text1" w:themeTint="A6"/>
                <w:sz w:val="20"/>
                <w:szCs w:val="20"/>
              </w:rPr>
            </w:pPr>
            <w:r w:rsidRPr="00A135A3">
              <w:rPr>
                <w:rFonts w:cs="Arial"/>
                <w:color w:val="595959" w:themeColor="text1" w:themeTint="A6"/>
                <w:sz w:val="20"/>
                <w:szCs w:val="20"/>
              </w:rPr>
              <w:t>Friend &amp; Acquaintance</w:t>
            </w:r>
          </w:p>
        </w:tc>
        <w:tc>
          <w:tcPr>
            <w:tcW w:w="1490" w:type="pct"/>
          </w:tcPr>
          <w:p w14:paraId="4B114F58"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47 (30%)</w:t>
            </w:r>
          </w:p>
        </w:tc>
        <w:tc>
          <w:tcPr>
            <w:tcW w:w="1117" w:type="pct"/>
          </w:tcPr>
          <w:p w14:paraId="721DB3AA"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256 (47%)</w:t>
            </w:r>
          </w:p>
        </w:tc>
        <w:tc>
          <w:tcPr>
            <w:tcW w:w="1154" w:type="pct"/>
          </w:tcPr>
          <w:p w14:paraId="788272A5"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20%</w:t>
            </w:r>
          </w:p>
        </w:tc>
      </w:tr>
      <w:tr w:rsidR="008D636B" w:rsidRPr="00A135A3" w14:paraId="334D1124" w14:textId="77777777" w:rsidTr="009A3F71">
        <w:tc>
          <w:tcPr>
            <w:tcW w:w="1239" w:type="pct"/>
          </w:tcPr>
          <w:p w14:paraId="0C826AFC" w14:textId="77777777" w:rsidR="008D636B" w:rsidRPr="00A135A3" w:rsidRDefault="008D636B" w:rsidP="008D636B">
            <w:pPr>
              <w:jc w:val="both"/>
              <w:rPr>
                <w:rFonts w:cs="Arial"/>
                <w:b/>
                <w:bCs/>
                <w:color w:val="595959" w:themeColor="text1" w:themeTint="A6"/>
                <w:sz w:val="20"/>
                <w:szCs w:val="20"/>
              </w:rPr>
            </w:pPr>
            <w:r w:rsidRPr="00A135A3">
              <w:rPr>
                <w:rFonts w:cs="Arial"/>
                <w:color w:val="595959" w:themeColor="text1" w:themeTint="A6"/>
                <w:sz w:val="20"/>
                <w:szCs w:val="20"/>
              </w:rPr>
              <w:t>Partner or Ex-Partner</w:t>
            </w:r>
          </w:p>
        </w:tc>
        <w:tc>
          <w:tcPr>
            <w:tcW w:w="1490" w:type="pct"/>
          </w:tcPr>
          <w:p w14:paraId="024EF98D"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29 (18%)</w:t>
            </w:r>
          </w:p>
        </w:tc>
        <w:tc>
          <w:tcPr>
            <w:tcW w:w="1117" w:type="pct"/>
          </w:tcPr>
          <w:p w14:paraId="2AC84BF3"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97 (18%)</w:t>
            </w:r>
          </w:p>
        </w:tc>
        <w:tc>
          <w:tcPr>
            <w:tcW w:w="1154" w:type="pct"/>
          </w:tcPr>
          <w:p w14:paraId="611665D2"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16%</w:t>
            </w:r>
          </w:p>
        </w:tc>
      </w:tr>
      <w:tr w:rsidR="008D636B" w:rsidRPr="00A135A3" w14:paraId="4E150190" w14:textId="77777777" w:rsidTr="009A3F71">
        <w:trPr>
          <w:trHeight w:val="70"/>
        </w:trPr>
        <w:tc>
          <w:tcPr>
            <w:tcW w:w="1239" w:type="pct"/>
          </w:tcPr>
          <w:p w14:paraId="2E97627A" w14:textId="77777777" w:rsidR="008D636B" w:rsidRPr="00A135A3" w:rsidRDefault="008D636B" w:rsidP="008D636B">
            <w:pPr>
              <w:jc w:val="both"/>
              <w:rPr>
                <w:rFonts w:cs="Arial"/>
                <w:b/>
                <w:bCs/>
                <w:color w:val="595959" w:themeColor="text1" w:themeTint="A6"/>
                <w:sz w:val="20"/>
                <w:szCs w:val="20"/>
              </w:rPr>
            </w:pPr>
            <w:r w:rsidRPr="00A135A3">
              <w:rPr>
                <w:rFonts w:cs="Arial"/>
                <w:color w:val="595959" w:themeColor="text1" w:themeTint="A6"/>
                <w:sz w:val="20"/>
                <w:szCs w:val="20"/>
              </w:rPr>
              <w:t>Fellow Patient</w:t>
            </w:r>
          </w:p>
        </w:tc>
        <w:tc>
          <w:tcPr>
            <w:tcW w:w="1490" w:type="pct"/>
          </w:tcPr>
          <w:p w14:paraId="00A9B858"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19 (12%)</w:t>
            </w:r>
          </w:p>
        </w:tc>
        <w:tc>
          <w:tcPr>
            <w:tcW w:w="1117" w:type="pct"/>
          </w:tcPr>
          <w:p w14:paraId="0A11A92A"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Not stated</w:t>
            </w:r>
          </w:p>
        </w:tc>
        <w:tc>
          <w:tcPr>
            <w:tcW w:w="1154" w:type="pct"/>
            <w:vMerge w:val="restart"/>
          </w:tcPr>
          <w:p w14:paraId="629375A4" w14:textId="77777777" w:rsidR="008D636B" w:rsidRPr="00A135A3" w:rsidRDefault="008D636B" w:rsidP="008D636B">
            <w:pPr>
              <w:jc w:val="center"/>
              <w:rPr>
                <w:rFonts w:cs="Arial"/>
                <w:color w:val="595959" w:themeColor="text1" w:themeTint="A6"/>
                <w:sz w:val="20"/>
                <w:szCs w:val="20"/>
              </w:rPr>
            </w:pPr>
            <w:r w:rsidRPr="00A135A3">
              <w:rPr>
                <w:rFonts w:cs="Arial"/>
                <w:color w:val="595959" w:themeColor="text1" w:themeTint="A6"/>
                <w:sz w:val="20"/>
                <w:szCs w:val="20"/>
              </w:rPr>
              <w:t>Recorded as “other” – 10%</w:t>
            </w:r>
          </w:p>
        </w:tc>
      </w:tr>
      <w:tr w:rsidR="008D636B" w:rsidRPr="00A135A3" w14:paraId="02ED746C" w14:textId="77777777" w:rsidTr="009A3F71">
        <w:tc>
          <w:tcPr>
            <w:tcW w:w="1239" w:type="pct"/>
          </w:tcPr>
          <w:p w14:paraId="16E9BF8A" w14:textId="77777777" w:rsidR="008D636B" w:rsidRPr="00A135A3" w:rsidRDefault="008D636B" w:rsidP="008D636B">
            <w:pPr>
              <w:jc w:val="both"/>
              <w:rPr>
                <w:rFonts w:cs="Arial"/>
                <w:b/>
                <w:bCs/>
                <w:color w:val="595959" w:themeColor="text1" w:themeTint="A6"/>
                <w:sz w:val="20"/>
                <w:szCs w:val="20"/>
              </w:rPr>
            </w:pPr>
            <w:r w:rsidRPr="00A135A3">
              <w:rPr>
                <w:rFonts w:cs="Arial"/>
                <w:color w:val="595959" w:themeColor="text1" w:themeTint="A6"/>
                <w:sz w:val="20"/>
                <w:szCs w:val="20"/>
              </w:rPr>
              <w:t>Professional</w:t>
            </w:r>
          </w:p>
        </w:tc>
        <w:tc>
          <w:tcPr>
            <w:tcW w:w="1490" w:type="pct"/>
          </w:tcPr>
          <w:p w14:paraId="2065DCE3" w14:textId="77777777" w:rsidR="008D636B" w:rsidRPr="00A135A3" w:rsidRDefault="008D636B" w:rsidP="008D636B">
            <w:pPr>
              <w:jc w:val="center"/>
              <w:rPr>
                <w:rFonts w:cs="Arial"/>
                <w:sz w:val="20"/>
                <w:szCs w:val="20"/>
              </w:rPr>
            </w:pPr>
            <w:r w:rsidRPr="00A135A3">
              <w:rPr>
                <w:rFonts w:cs="Arial"/>
                <w:sz w:val="20"/>
                <w:szCs w:val="20"/>
              </w:rPr>
              <w:t>4 (3%)</w:t>
            </w:r>
          </w:p>
        </w:tc>
        <w:tc>
          <w:tcPr>
            <w:tcW w:w="1117" w:type="pct"/>
          </w:tcPr>
          <w:p w14:paraId="7ED7BC70" w14:textId="77777777" w:rsidR="008D636B" w:rsidRPr="00A135A3" w:rsidRDefault="008D636B" w:rsidP="008D636B">
            <w:pPr>
              <w:jc w:val="center"/>
              <w:rPr>
                <w:rFonts w:cs="Arial"/>
                <w:sz w:val="20"/>
                <w:szCs w:val="20"/>
              </w:rPr>
            </w:pPr>
            <w:r w:rsidRPr="00A135A3">
              <w:rPr>
                <w:rFonts w:cs="Arial"/>
                <w:color w:val="595959" w:themeColor="text1" w:themeTint="A6"/>
                <w:sz w:val="20"/>
                <w:szCs w:val="20"/>
              </w:rPr>
              <w:t>Not stated</w:t>
            </w:r>
          </w:p>
        </w:tc>
        <w:tc>
          <w:tcPr>
            <w:tcW w:w="1154" w:type="pct"/>
            <w:vMerge/>
          </w:tcPr>
          <w:p w14:paraId="35651BEF" w14:textId="77777777" w:rsidR="008D636B" w:rsidRPr="00A135A3" w:rsidRDefault="008D636B" w:rsidP="008D636B">
            <w:pPr>
              <w:jc w:val="center"/>
              <w:rPr>
                <w:rFonts w:cs="Arial"/>
                <w:sz w:val="20"/>
                <w:szCs w:val="20"/>
              </w:rPr>
            </w:pPr>
          </w:p>
        </w:tc>
      </w:tr>
    </w:tbl>
    <w:p w14:paraId="6A98097B" w14:textId="77777777" w:rsidR="008D636B" w:rsidRPr="00A135A3" w:rsidRDefault="008D636B" w:rsidP="008D636B">
      <w:pPr>
        <w:spacing w:line="480" w:lineRule="auto"/>
        <w:jc w:val="both"/>
        <w:rPr>
          <w:rFonts w:cs="Arial"/>
          <w:kern w:val="0"/>
          <w:szCs w:val="24"/>
          <w14:ligatures w14:val="none"/>
        </w:rPr>
      </w:pPr>
    </w:p>
    <w:p w14:paraId="65B0A101" w14:textId="77777777" w:rsidR="008D636B" w:rsidRPr="00A135A3" w:rsidRDefault="008D636B" w:rsidP="008D636B">
      <w:pPr>
        <w:spacing w:line="480" w:lineRule="auto"/>
        <w:jc w:val="both"/>
        <w:rPr>
          <w:b/>
          <w:bCs/>
          <w:sz w:val="20"/>
          <w:szCs w:val="18"/>
        </w:rPr>
      </w:pPr>
    </w:p>
    <w:p w14:paraId="441D94BB" w14:textId="77777777" w:rsidR="008D636B" w:rsidRPr="00A135A3" w:rsidRDefault="008D636B" w:rsidP="008D636B">
      <w:pPr>
        <w:spacing w:line="480" w:lineRule="auto"/>
        <w:jc w:val="both"/>
        <w:rPr>
          <w:b/>
          <w:bCs/>
          <w:sz w:val="20"/>
          <w:szCs w:val="18"/>
        </w:rPr>
      </w:pPr>
    </w:p>
    <w:p w14:paraId="3DDF9CF4" w14:textId="77777777" w:rsidR="008D636B" w:rsidRPr="00A135A3" w:rsidRDefault="008D636B" w:rsidP="008D636B">
      <w:pPr>
        <w:spacing w:line="480" w:lineRule="auto"/>
        <w:jc w:val="both"/>
        <w:rPr>
          <w:b/>
          <w:bCs/>
          <w:sz w:val="20"/>
          <w:szCs w:val="18"/>
        </w:rPr>
      </w:pPr>
    </w:p>
    <w:p w14:paraId="4695205F" w14:textId="77777777" w:rsidR="008D636B" w:rsidRPr="00A135A3" w:rsidRDefault="008D636B" w:rsidP="008D636B">
      <w:pPr>
        <w:spacing w:line="480" w:lineRule="auto"/>
        <w:jc w:val="both"/>
        <w:rPr>
          <w:b/>
          <w:bCs/>
          <w:sz w:val="20"/>
          <w:szCs w:val="18"/>
        </w:rPr>
      </w:pPr>
    </w:p>
    <w:p w14:paraId="6207AD48" w14:textId="77777777" w:rsidR="008D636B" w:rsidRPr="00A135A3" w:rsidRDefault="008D636B" w:rsidP="008D636B">
      <w:pPr>
        <w:spacing w:line="480" w:lineRule="auto"/>
        <w:jc w:val="both"/>
        <w:rPr>
          <w:b/>
          <w:bCs/>
          <w:sz w:val="20"/>
          <w:szCs w:val="18"/>
        </w:rPr>
      </w:pPr>
    </w:p>
    <w:p w14:paraId="5B8F9C04" w14:textId="77777777" w:rsidR="008D636B" w:rsidRPr="00A135A3" w:rsidRDefault="008D636B" w:rsidP="008D636B">
      <w:pPr>
        <w:spacing w:line="480" w:lineRule="auto"/>
        <w:jc w:val="both"/>
        <w:rPr>
          <w:b/>
          <w:bCs/>
          <w:sz w:val="20"/>
          <w:szCs w:val="18"/>
        </w:rPr>
      </w:pPr>
    </w:p>
    <w:p w14:paraId="2F611EC5" w14:textId="77777777" w:rsidR="008D636B" w:rsidRPr="00A135A3" w:rsidRDefault="008D636B" w:rsidP="008D636B">
      <w:pPr>
        <w:spacing w:line="480" w:lineRule="auto"/>
        <w:jc w:val="both"/>
        <w:rPr>
          <w:b/>
          <w:bCs/>
          <w:sz w:val="20"/>
          <w:szCs w:val="18"/>
        </w:rPr>
      </w:pPr>
    </w:p>
    <w:p w14:paraId="3BE632D3" w14:textId="77777777" w:rsidR="008D636B" w:rsidRPr="00A135A3" w:rsidRDefault="008D636B" w:rsidP="008D636B">
      <w:pPr>
        <w:spacing w:line="480" w:lineRule="auto"/>
        <w:jc w:val="both"/>
        <w:rPr>
          <w:b/>
          <w:bCs/>
          <w:sz w:val="20"/>
          <w:szCs w:val="18"/>
        </w:rPr>
      </w:pPr>
    </w:p>
    <w:p w14:paraId="09389888" w14:textId="77777777" w:rsidR="008D636B" w:rsidRPr="00A135A3" w:rsidRDefault="008D636B" w:rsidP="008D636B">
      <w:pPr>
        <w:spacing w:line="480" w:lineRule="auto"/>
        <w:jc w:val="both"/>
        <w:rPr>
          <w:b/>
          <w:bCs/>
          <w:sz w:val="20"/>
          <w:szCs w:val="18"/>
        </w:rPr>
      </w:pPr>
    </w:p>
    <w:p w14:paraId="5B403EA5" w14:textId="77777777" w:rsidR="008D636B" w:rsidRPr="00A135A3" w:rsidRDefault="008D636B" w:rsidP="008D636B">
      <w:pPr>
        <w:spacing w:line="480" w:lineRule="auto"/>
        <w:jc w:val="both"/>
        <w:rPr>
          <w:b/>
          <w:bCs/>
          <w:sz w:val="20"/>
          <w:szCs w:val="18"/>
        </w:rPr>
      </w:pPr>
    </w:p>
    <w:p w14:paraId="4AB02458" w14:textId="77777777" w:rsidR="008D636B" w:rsidRPr="00A135A3" w:rsidRDefault="008D636B" w:rsidP="008D636B">
      <w:pPr>
        <w:spacing w:line="480" w:lineRule="auto"/>
        <w:jc w:val="both"/>
        <w:rPr>
          <w:b/>
          <w:bCs/>
          <w:sz w:val="20"/>
          <w:szCs w:val="18"/>
        </w:rPr>
      </w:pPr>
    </w:p>
    <w:p w14:paraId="626F2D17" w14:textId="77777777" w:rsidR="008D636B" w:rsidRPr="00A135A3" w:rsidRDefault="008D636B" w:rsidP="008D636B">
      <w:pPr>
        <w:spacing w:line="480" w:lineRule="auto"/>
        <w:jc w:val="both"/>
        <w:rPr>
          <w:b/>
          <w:bCs/>
          <w:sz w:val="20"/>
          <w:szCs w:val="18"/>
        </w:rPr>
      </w:pPr>
    </w:p>
    <w:p w14:paraId="5E21C57D" w14:textId="77777777" w:rsidR="008D636B" w:rsidRPr="00A135A3" w:rsidRDefault="008D636B" w:rsidP="008D636B">
      <w:pPr>
        <w:spacing w:line="480" w:lineRule="auto"/>
        <w:jc w:val="both"/>
        <w:rPr>
          <w:b/>
          <w:bCs/>
          <w:sz w:val="20"/>
          <w:szCs w:val="18"/>
        </w:rPr>
      </w:pPr>
    </w:p>
    <w:p w14:paraId="50A22919" w14:textId="77777777" w:rsidR="008D636B" w:rsidRPr="00A135A3" w:rsidRDefault="008D636B" w:rsidP="008D636B">
      <w:pPr>
        <w:spacing w:line="480" w:lineRule="auto"/>
        <w:jc w:val="both"/>
        <w:rPr>
          <w:b/>
          <w:bCs/>
          <w:sz w:val="20"/>
          <w:szCs w:val="18"/>
        </w:rPr>
      </w:pPr>
    </w:p>
    <w:p w14:paraId="26A80531" w14:textId="77777777" w:rsidR="00D0016F" w:rsidRPr="00A135A3" w:rsidRDefault="00D0016F" w:rsidP="008D636B">
      <w:pPr>
        <w:spacing w:line="480" w:lineRule="auto"/>
        <w:jc w:val="both"/>
        <w:rPr>
          <w:b/>
          <w:bCs/>
          <w:sz w:val="20"/>
          <w:szCs w:val="18"/>
        </w:rPr>
      </w:pPr>
    </w:p>
    <w:p w14:paraId="780F7201" w14:textId="4B792ABB" w:rsidR="008D636B" w:rsidRPr="00A135A3" w:rsidRDefault="008D636B" w:rsidP="008D636B">
      <w:pPr>
        <w:spacing w:line="480" w:lineRule="auto"/>
        <w:jc w:val="both"/>
        <w:rPr>
          <w:b/>
          <w:bCs/>
          <w:sz w:val="20"/>
          <w:szCs w:val="18"/>
        </w:rPr>
      </w:pPr>
      <w:r w:rsidRPr="00A135A3">
        <w:rPr>
          <w:b/>
          <w:bCs/>
          <w:sz w:val="20"/>
          <w:szCs w:val="18"/>
        </w:rPr>
        <w:lastRenderedPageBreak/>
        <w:t xml:space="preserve">Table 3 Homicide </w:t>
      </w:r>
      <w:r w:rsidR="009E7924" w:rsidRPr="00A135A3">
        <w:rPr>
          <w:b/>
          <w:bCs/>
          <w:sz w:val="20"/>
          <w:szCs w:val="18"/>
        </w:rPr>
        <w:t>c</w:t>
      </w:r>
      <w:r w:rsidRPr="00A135A3">
        <w:rPr>
          <w:b/>
          <w:bCs/>
          <w:sz w:val="20"/>
          <w:szCs w:val="18"/>
        </w:rPr>
        <w:t xml:space="preserve">haracteristics </w:t>
      </w:r>
      <w:r w:rsidR="009E7924" w:rsidRPr="00A135A3">
        <w:rPr>
          <w:b/>
          <w:bCs/>
          <w:sz w:val="20"/>
          <w:szCs w:val="18"/>
        </w:rPr>
        <w:t>and</w:t>
      </w:r>
      <w:r w:rsidRPr="00A135A3">
        <w:rPr>
          <w:b/>
          <w:bCs/>
          <w:sz w:val="20"/>
          <w:szCs w:val="18"/>
        </w:rPr>
        <w:t xml:space="preserve"> </w:t>
      </w:r>
      <w:r w:rsidR="009E7924" w:rsidRPr="00A135A3">
        <w:rPr>
          <w:b/>
          <w:bCs/>
          <w:sz w:val="20"/>
          <w:szCs w:val="18"/>
        </w:rPr>
        <w:t>c</w:t>
      </w:r>
      <w:r w:rsidRPr="00A135A3">
        <w:rPr>
          <w:b/>
          <w:bCs/>
          <w:sz w:val="20"/>
          <w:szCs w:val="18"/>
        </w:rPr>
        <w:t xml:space="preserve">ourt </w:t>
      </w:r>
      <w:r w:rsidR="009E7924" w:rsidRPr="00A135A3">
        <w:rPr>
          <w:b/>
          <w:bCs/>
          <w:sz w:val="20"/>
          <w:szCs w:val="18"/>
        </w:rPr>
        <w:t>o</w:t>
      </w:r>
      <w:r w:rsidRPr="00A135A3">
        <w:rPr>
          <w:b/>
          <w:bCs/>
          <w:sz w:val="20"/>
          <w:szCs w:val="18"/>
        </w:rPr>
        <w:t>utcomes</w:t>
      </w:r>
    </w:p>
    <w:tbl>
      <w:tblPr>
        <w:tblStyle w:val="TableGrid"/>
        <w:tblW w:w="5000" w:type="pct"/>
        <w:tblLook w:val="04A0" w:firstRow="1" w:lastRow="0" w:firstColumn="1" w:lastColumn="0" w:noHBand="0" w:noVBand="1"/>
      </w:tblPr>
      <w:tblGrid>
        <w:gridCol w:w="2427"/>
        <w:gridCol w:w="2582"/>
        <w:gridCol w:w="1915"/>
        <w:gridCol w:w="2092"/>
      </w:tblGrid>
      <w:tr w:rsidR="008D636B" w:rsidRPr="00A135A3" w14:paraId="3678FC04" w14:textId="77777777" w:rsidTr="009A3F71">
        <w:tc>
          <w:tcPr>
            <w:tcW w:w="1346" w:type="pct"/>
          </w:tcPr>
          <w:p w14:paraId="03958CF9" w14:textId="77777777" w:rsidR="008D636B" w:rsidRPr="00A135A3" w:rsidRDefault="008D636B" w:rsidP="008D636B">
            <w:pPr>
              <w:jc w:val="center"/>
              <w:rPr>
                <w:rFonts w:cs="Arial"/>
                <w:b/>
                <w:bCs/>
                <w:color w:val="4472C4" w:themeColor="accent1"/>
                <w:sz w:val="20"/>
                <w:szCs w:val="20"/>
              </w:rPr>
            </w:pPr>
            <w:r w:rsidRPr="00A135A3">
              <w:rPr>
                <w:rFonts w:cs="Arial"/>
                <w:b/>
                <w:bCs/>
                <w:color w:val="4472C4" w:themeColor="accent1"/>
                <w:sz w:val="20"/>
                <w:szCs w:val="20"/>
              </w:rPr>
              <w:t>Characteristic</w:t>
            </w:r>
          </w:p>
        </w:tc>
        <w:tc>
          <w:tcPr>
            <w:tcW w:w="1432" w:type="pct"/>
          </w:tcPr>
          <w:p w14:paraId="1B4DE2A2" w14:textId="77777777" w:rsidR="008D636B" w:rsidRPr="00A135A3" w:rsidRDefault="008D636B" w:rsidP="008D636B">
            <w:pPr>
              <w:jc w:val="center"/>
              <w:rPr>
                <w:rFonts w:cs="Arial"/>
                <w:b/>
                <w:bCs/>
                <w:color w:val="4472C4" w:themeColor="accent1"/>
                <w:sz w:val="20"/>
                <w:szCs w:val="20"/>
              </w:rPr>
            </w:pPr>
            <w:r w:rsidRPr="00A135A3">
              <w:rPr>
                <w:rFonts w:cs="Arial"/>
                <w:b/>
                <w:bCs/>
                <w:color w:val="4472C4" w:themeColor="accent1"/>
                <w:sz w:val="20"/>
                <w:szCs w:val="20"/>
              </w:rPr>
              <w:t xml:space="preserve">MHHI </w:t>
            </w:r>
          </w:p>
          <w:p w14:paraId="15FC20D8" w14:textId="77777777" w:rsidR="008D636B" w:rsidRPr="00A135A3" w:rsidRDefault="008D636B" w:rsidP="008D636B">
            <w:pPr>
              <w:jc w:val="center"/>
              <w:rPr>
                <w:rFonts w:cs="Arial"/>
                <w:b/>
                <w:bCs/>
                <w:color w:val="4472C4" w:themeColor="accent1"/>
                <w:sz w:val="20"/>
                <w:szCs w:val="20"/>
              </w:rPr>
            </w:pPr>
            <w:r w:rsidRPr="00A135A3">
              <w:rPr>
                <w:rFonts w:cs="Arial"/>
                <w:b/>
                <w:bCs/>
                <w:color w:val="4472C4" w:themeColor="accent1"/>
                <w:sz w:val="20"/>
                <w:szCs w:val="20"/>
              </w:rPr>
              <w:t>(2013-2023) (N=168)</w:t>
            </w:r>
          </w:p>
        </w:tc>
        <w:tc>
          <w:tcPr>
            <w:tcW w:w="1062" w:type="pct"/>
          </w:tcPr>
          <w:p w14:paraId="0484B698" w14:textId="77777777" w:rsidR="008D636B" w:rsidRPr="00A135A3" w:rsidRDefault="008D636B" w:rsidP="008D636B">
            <w:pPr>
              <w:jc w:val="center"/>
              <w:rPr>
                <w:rFonts w:cs="Arial"/>
                <w:b/>
                <w:bCs/>
                <w:color w:val="4472C4" w:themeColor="accent1"/>
                <w:sz w:val="20"/>
                <w:szCs w:val="20"/>
              </w:rPr>
            </w:pPr>
            <w:r w:rsidRPr="00A135A3">
              <w:rPr>
                <w:rFonts w:cs="Arial"/>
                <w:b/>
                <w:bCs/>
                <w:color w:val="4472C4" w:themeColor="accent1"/>
                <w:sz w:val="20"/>
                <w:szCs w:val="20"/>
              </w:rPr>
              <w:t xml:space="preserve">NCISH </w:t>
            </w:r>
          </w:p>
          <w:p w14:paraId="725D9A91" w14:textId="77777777" w:rsidR="008D636B" w:rsidRPr="00A135A3" w:rsidRDefault="008D636B" w:rsidP="008D636B">
            <w:pPr>
              <w:jc w:val="center"/>
              <w:rPr>
                <w:rFonts w:cs="Arial"/>
                <w:b/>
                <w:bCs/>
                <w:color w:val="4472C4" w:themeColor="accent1"/>
                <w:sz w:val="20"/>
                <w:szCs w:val="20"/>
              </w:rPr>
            </w:pPr>
            <w:r w:rsidRPr="00A135A3">
              <w:rPr>
                <w:rFonts w:cs="Arial"/>
                <w:b/>
                <w:bCs/>
                <w:color w:val="4472C4" w:themeColor="accent1"/>
                <w:sz w:val="20"/>
                <w:szCs w:val="20"/>
              </w:rPr>
              <w:t>(2006 – 2016) (N=608)</w:t>
            </w:r>
          </w:p>
        </w:tc>
        <w:tc>
          <w:tcPr>
            <w:tcW w:w="1160" w:type="pct"/>
          </w:tcPr>
          <w:p w14:paraId="0BFF931B" w14:textId="77777777" w:rsidR="008D636B" w:rsidRPr="00A135A3" w:rsidRDefault="008D636B" w:rsidP="008D636B">
            <w:pPr>
              <w:jc w:val="center"/>
              <w:rPr>
                <w:rFonts w:cs="Arial"/>
                <w:b/>
                <w:bCs/>
                <w:color w:val="4472C4" w:themeColor="accent1"/>
                <w:sz w:val="20"/>
                <w:szCs w:val="20"/>
              </w:rPr>
            </w:pPr>
            <w:r w:rsidRPr="00A135A3">
              <w:rPr>
                <w:rFonts w:cs="Arial"/>
                <w:b/>
                <w:bCs/>
                <w:color w:val="4472C4" w:themeColor="accent1"/>
                <w:sz w:val="20"/>
                <w:szCs w:val="20"/>
              </w:rPr>
              <w:t xml:space="preserve">ONS </w:t>
            </w:r>
          </w:p>
          <w:p w14:paraId="66BB31F9" w14:textId="77777777" w:rsidR="008D636B" w:rsidRPr="00A135A3" w:rsidRDefault="008D636B" w:rsidP="008D636B">
            <w:pPr>
              <w:jc w:val="center"/>
              <w:rPr>
                <w:rFonts w:cs="Arial"/>
                <w:b/>
                <w:bCs/>
                <w:color w:val="4472C4" w:themeColor="accent1"/>
                <w:sz w:val="20"/>
                <w:szCs w:val="20"/>
              </w:rPr>
            </w:pPr>
            <w:r w:rsidRPr="00A135A3">
              <w:rPr>
                <w:rFonts w:cs="Arial"/>
                <w:b/>
                <w:bCs/>
                <w:color w:val="4472C4" w:themeColor="accent1"/>
                <w:sz w:val="20"/>
                <w:szCs w:val="20"/>
              </w:rPr>
              <w:t>(2012 - 2023)</w:t>
            </w:r>
          </w:p>
        </w:tc>
      </w:tr>
      <w:tr w:rsidR="008D636B" w:rsidRPr="00A135A3" w14:paraId="53C72D78" w14:textId="77777777" w:rsidTr="009A3F71">
        <w:tc>
          <w:tcPr>
            <w:tcW w:w="1346" w:type="pct"/>
          </w:tcPr>
          <w:p w14:paraId="5A690822" w14:textId="77777777" w:rsidR="008D636B" w:rsidRPr="00A135A3" w:rsidRDefault="008D636B" w:rsidP="008D636B">
            <w:pPr>
              <w:jc w:val="both"/>
              <w:rPr>
                <w:rFonts w:cs="Arial"/>
                <w:b/>
                <w:bCs/>
                <w:sz w:val="20"/>
                <w:szCs w:val="20"/>
              </w:rPr>
            </w:pPr>
            <w:r w:rsidRPr="00A135A3">
              <w:rPr>
                <w:rFonts w:cs="Arial"/>
                <w:b/>
                <w:bCs/>
                <w:sz w:val="20"/>
                <w:szCs w:val="20"/>
              </w:rPr>
              <w:t>Modus of Homicide</w:t>
            </w:r>
          </w:p>
        </w:tc>
        <w:tc>
          <w:tcPr>
            <w:tcW w:w="1432" w:type="pct"/>
          </w:tcPr>
          <w:p w14:paraId="0A69E2A9" w14:textId="77777777" w:rsidR="008D636B" w:rsidRPr="00A135A3" w:rsidRDefault="008D636B" w:rsidP="008D636B">
            <w:pPr>
              <w:jc w:val="center"/>
              <w:rPr>
                <w:rFonts w:cs="Arial"/>
                <w:sz w:val="20"/>
                <w:szCs w:val="20"/>
              </w:rPr>
            </w:pPr>
          </w:p>
        </w:tc>
        <w:tc>
          <w:tcPr>
            <w:tcW w:w="1062" w:type="pct"/>
          </w:tcPr>
          <w:p w14:paraId="1B292CDD" w14:textId="77777777" w:rsidR="008D636B" w:rsidRPr="00A135A3" w:rsidRDefault="008D636B" w:rsidP="008D636B">
            <w:pPr>
              <w:jc w:val="center"/>
              <w:rPr>
                <w:rFonts w:cs="Arial"/>
                <w:sz w:val="20"/>
                <w:szCs w:val="20"/>
              </w:rPr>
            </w:pPr>
          </w:p>
        </w:tc>
        <w:tc>
          <w:tcPr>
            <w:tcW w:w="1160" w:type="pct"/>
          </w:tcPr>
          <w:p w14:paraId="15AAC7FF" w14:textId="77777777" w:rsidR="008D636B" w:rsidRPr="00A135A3" w:rsidRDefault="008D636B" w:rsidP="008D636B">
            <w:pPr>
              <w:jc w:val="center"/>
              <w:rPr>
                <w:rFonts w:cs="Arial"/>
                <w:sz w:val="20"/>
                <w:szCs w:val="20"/>
              </w:rPr>
            </w:pPr>
          </w:p>
        </w:tc>
      </w:tr>
      <w:tr w:rsidR="008D636B" w:rsidRPr="00A135A3" w14:paraId="55C68436" w14:textId="77777777" w:rsidTr="009A3F71">
        <w:tc>
          <w:tcPr>
            <w:tcW w:w="1346" w:type="pct"/>
          </w:tcPr>
          <w:p w14:paraId="1B283867"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Sharp instrument</w:t>
            </w:r>
          </w:p>
        </w:tc>
        <w:tc>
          <w:tcPr>
            <w:tcW w:w="1432" w:type="pct"/>
          </w:tcPr>
          <w:p w14:paraId="710878CB"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101 (60%)</w:t>
            </w:r>
          </w:p>
        </w:tc>
        <w:tc>
          <w:tcPr>
            <w:tcW w:w="1062" w:type="pct"/>
          </w:tcPr>
          <w:p w14:paraId="6D0EF87B"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334 (57%)</w:t>
            </w:r>
          </w:p>
        </w:tc>
        <w:tc>
          <w:tcPr>
            <w:tcW w:w="1160" w:type="pct"/>
          </w:tcPr>
          <w:p w14:paraId="725F86E2"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38%</w:t>
            </w:r>
          </w:p>
        </w:tc>
      </w:tr>
      <w:tr w:rsidR="008D636B" w:rsidRPr="00A135A3" w14:paraId="34AA97DA" w14:textId="77777777" w:rsidTr="009A3F71">
        <w:tc>
          <w:tcPr>
            <w:tcW w:w="1346" w:type="pct"/>
          </w:tcPr>
          <w:p w14:paraId="3BCAEC0D"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Blunt instrument</w:t>
            </w:r>
          </w:p>
        </w:tc>
        <w:tc>
          <w:tcPr>
            <w:tcW w:w="1432" w:type="pct"/>
          </w:tcPr>
          <w:p w14:paraId="72CE7FCB"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6 (4%)</w:t>
            </w:r>
          </w:p>
        </w:tc>
        <w:tc>
          <w:tcPr>
            <w:tcW w:w="1062" w:type="pct"/>
            <w:vMerge w:val="restart"/>
          </w:tcPr>
          <w:p w14:paraId="77097D1D"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Not available</w:t>
            </w:r>
          </w:p>
          <w:p w14:paraId="4211B0CE" w14:textId="77777777" w:rsidR="008D636B" w:rsidRPr="00A135A3" w:rsidRDefault="008D636B" w:rsidP="008D636B">
            <w:pPr>
              <w:rPr>
                <w:rFonts w:cs="Arial"/>
                <w:color w:val="595959" w:themeColor="text1" w:themeTint="A6"/>
                <w:sz w:val="20"/>
                <w:szCs w:val="20"/>
              </w:rPr>
            </w:pPr>
          </w:p>
        </w:tc>
        <w:tc>
          <w:tcPr>
            <w:tcW w:w="1160" w:type="pct"/>
          </w:tcPr>
          <w:p w14:paraId="3BB89EA3"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7%</w:t>
            </w:r>
          </w:p>
        </w:tc>
      </w:tr>
      <w:tr w:rsidR="008D636B" w:rsidRPr="00A135A3" w14:paraId="1AEC7C72" w14:textId="77777777" w:rsidTr="009A3F71">
        <w:tc>
          <w:tcPr>
            <w:tcW w:w="1346" w:type="pct"/>
          </w:tcPr>
          <w:p w14:paraId="0F90485C"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Hitting, kicking (no weapon)</w:t>
            </w:r>
          </w:p>
        </w:tc>
        <w:tc>
          <w:tcPr>
            <w:tcW w:w="1432" w:type="pct"/>
          </w:tcPr>
          <w:p w14:paraId="2D34B3CF"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25 (15%)</w:t>
            </w:r>
          </w:p>
        </w:tc>
        <w:tc>
          <w:tcPr>
            <w:tcW w:w="1062" w:type="pct"/>
            <w:vMerge/>
            <w:shd w:val="clear" w:color="auto" w:fill="auto"/>
          </w:tcPr>
          <w:p w14:paraId="59E2E37D" w14:textId="77777777" w:rsidR="008D636B" w:rsidRPr="00A135A3" w:rsidRDefault="008D636B" w:rsidP="008D636B">
            <w:pPr>
              <w:rPr>
                <w:rFonts w:cs="Arial"/>
                <w:color w:val="595959" w:themeColor="text1" w:themeTint="A6"/>
                <w:sz w:val="20"/>
                <w:szCs w:val="20"/>
              </w:rPr>
            </w:pPr>
          </w:p>
        </w:tc>
        <w:tc>
          <w:tcPr>
            <w:tcW w:w="1160" w:type="pct"/>
            <w:shd w:val="clear" w:color="auto" w:fill="auto"/>
          </w:tcPr>
          <w:p w14:paraId="703E23B3"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18%</w:t>
            </w:r>
          </w:p>
        </w:tc>
      </w:tr>
      <w:tr w:rsidR="008D636B" w:rsidRPr="00A135A3" w14:paraId="48A2D624" w14:textId="77777777" w:rsidTr="009A3F71">
        <w:tc>
          <w:tcPr>
            <w:tcW w:w="1346" w:type="pct"/>
          </w:tcPr>
          <w:p w14:paraId="7D6EE2F9"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Strangulation &amp; smothering</w:t>
            </w:r>
          </w:p>
        </w:tc>
        <w:tc>
          <w:tcPr>
            <w:tcW w:w="1432" w:type="pct"/>
          </w:tcPr>
          <w:p w14:paraId="22066830"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8 (5%)</w:t>
            </w:r>
          </w:p>
        </w:tc>
        <w:tc>
          <w:tcPr>
            <w:tcW w:w="1062" w:type="pct"/>
            <w:vMerge/>
            <w:shd w:val="clear" w:color="auto" w:fill="auto"/>
          </w:tcPr>
          <w:p w14:paraId="6AD7CB7B" w14:textId="77777777" w:rsidR="008D636B" w:rsidRPr="00A135A3" w:rsidRDefault="008D636B" w:rsidP="008D636B">
            <w:pPr>
              <w:rPr>
                <w:rFonts w:cs="Arial"/>
                <w:color w:val="595959" w:themeColor="text1" w:themeTint="A6"/>
                <w:sz w:val="20"/>
                <w:szCs w:val="20"/>
              </w:rPr>
            </w:pPr>
          </w:p>
        </w:tc>
        <w:tc>
          <w:tcPr>
            <w:tcW w:w="1160" w:type="pct"/>
            <w:shd w:val="clear" w:color="auto" w:fill="auto"/>
          </w:tcPr>
          <w:p w14:paraId="73A629E9"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10%</w:t>
            </w:r>
          </w:p>
        </w:tc>
      </w:tr>
      <w:tr w:rsidR="008D636B" w:rsidRPr="00A135A3" w14:paraId="53668869" w14:textId="77777777" w:rsidTr="009A3F71">
        <w:tc>
          <w:tcPr>
            <w:tcW w:w="1346" w:type="pct"/>
          </w:tcPr>
          <w:p w14:paraId="29FDFEB8"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 xml:space="preserve">Burning </w:t>
            </w:r>
          </w:p>
        </w:tc>
        <w:tc>
          <w:tcPr>
            <w:tcW w:w="1432" w:type="pct"/>
          </w:tcPr>
          <w:p w14:paraId="102191F1"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2 (1%)</w:t>
            </w:r>
          </w:p>
        </w:tc>
        <w:tc>
          <w:tcPr>
            <w:tcW w:w="1062" w:type="pct"/>
            <w:vMerge/>
            <w:shd w:val="clear" w:color="auto" w:fill="auto"/>
          </w:tcPr>
          <w:p w14:paraId="72E88DC2" w14:textId="77777777" w:rsidR="008D636B" w:rsidRPr="00A135A3" w:rsidRDefault="008D636B" w:rsidP="008D636B">
            <w:pPr>
              <w:rPr>
                <w:rFonts w:cs="Arial"/>
                <w:color w:val="595959" w:themeColor="text1" w:themeTint="A6"/>
                <w:sz w:val="20"/>
                <w:szCs w:val="20"/>
              </w:rPr>
            </w:pPr>
          </w:p>
        </w:tc>
        <w:tc>
          <w:tcPr>
            <w:tcW w:w="1160" w:type="pct"/>
            <w:shd w:val="clear" w:color="auto" w:fill="auto"/>
          </w:tcPr>
          <w:p w14:paraId="5E93490E"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2%</w:t>
            </w:r>
          </w:p>
        </w:tc>
      </w:tr>
      <w:tr w:rsidR="008D636B" w:rsidRPr="00A135A3" w14:paraId="3B4286D5" w14:textId="77777777" w:rsidTr="009A3F71">
        <w:tc>
          <w:tcPr>
            <w:tcW w:w="1346" w:type="pct"/>
          </w:tcPr>
          <w:p w14:paraId="1F8BF452"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 xml:space="preserve">Other </w:t>
            </w:r>
          </w:p>
        </w:tc>
        <w:tc>
          <w:tcPr>
            <w:tcW w:w="1432" w:type="pct"/>
          </w:tcPr>
          <w:p w14:paraId="5728AEE7"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6 (4%)</w:t>
            </w:r>
          </w:p>
        </w:tc>
        <w:tc>
          <w:tcPr>
            <w:tcW w:w="1062" w:type="pct"/>
            <w:vMerge/>
            <w:shd w:val="clear" w:color="auto" w:fill="auto"/>
          </w:tcPr>
          <w:p w14:paraId="4ECAA7D6" w14:textId="77777777" w:rsidR="008D636B" w:rsidRPr="00A135A3" w:rsidRDefault="008D636B" w:rsidP="008D636B">
            <w:pPr>
              <w:rPr>
                <w:rFonts w:cs="Arial"/>
                <w:color w:val="595959" w:themeColor="text1" w:themeTint="A6"/>
                <w:sz w:val="20"/>
                <w:szCs w:val="20"/>
              </w:rPr>
            </w:pPr>
          </w:p>
        </w:tc>
        <w:tc>
          <w:tcPr>
            <w:tcW w:w="1160" w:type="pct"/>
            <w:shd w:val="clear" w:color="auto" w:fill="auto"/>
          </w:tcPr>
          <w:p w14:paraId="4F95A75D"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19%</w:t>
            </w:r>
          </w:p>
        </w:tc>
      </w:tr>
      <w:tr w:rsidR="008D636B" w:rsidRPr="00A135A3" w14:paraId="28CB67B2" w14:textId="77777777" w:rsidTr="009A3F71">
        <w:tc>
          <w:tcPr>
            <w:tcW w:w="1346" w:type="pct"/>
          </w:tcPr>
          <w:p w14:paraId="023B7060"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Not stated</w:t>
            </w:r>
          </w:p>
        </w:tc>
        <w:tc>
          <w:tcPr>
            <w:tcW w:w="1432" w:type="pct"/>
          </w:tcPr>
          <w:p w14:paraId="3D52C1EE"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20 (11%)</w:t>
            </w:r>
          </w:p>
        </w:tc>
        <w:tc>
          <w:tcPr>
            <w:tcW w:w="1062" w:type="pct"/>
            <w:vMerge/>
            <w:shd w:val="clear" w:color="auto" w:fill="auto"/>
          </w:tcPr>
          <w:p w14:paraId="2AE6A400" w14:textId="77777777" w:rsidR="008D636B" w:rsidRPr="00A135A3" w:rsidRDefault="008D636B" w:rsidP="008D636B">
            <w:pPr>
              <w:rPr>
                <w:rFonts w:cs="Arial"/>
                <w:color w:val="595959" w:themeColor="text1" w:themeTint="A6"/>
                <w:sz w:val="20"/>
                <w:szCs w:val="20"/>
              </w:rPr>
            </w:pPr>
          </w:p>
        </w:tc>
        <w:tc>
          <w:tcPr>
            <w:tcW w:w="1160" w:type="pct"/>
            <w:shd w:val="clear" w:color="auto" w:fill="auto"/>
          </w:tcPr>
          <w:p w14:paraId="6D2E6AFD"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6%</w:t>
            </w:r>
          </w:p>
        </w:tc>
      </w:tr>
      <w:tr w:rsidR="008D636B" w:rsidRPr="00A135A3" w14:paraId="2E38EC60" w14:textId="77777777" w:rsidTr="009A3F71">
        <w:tc>
          <w:tcPr>
            <w:tcW w:w="1346" w:type="pct"/>
          </w:tcPr>
          <w:p w14:paraId="1E55CDD7" w14:textId="77777777" w:rsidR="008D636B" w:rsidRPr="00A135A3" w:rsidRDefault="008D636B" w:rsidP="008D636B">
            <w:pPr>
              <w:rPr>
                <w:rFonts w:cs="Arial"/>
                <w:b/>
                <w:bCs/>
                <w:sz w:val="20"/>
                <w:szCs w:val="20"/>
              </w:rPr>
            </w:pPr>
            <w:r w:rsidRPr="00A135A3">
              <w:rPr>
                <w:rFonts w:cs="Arial"/>
                <w:b/>
                <w:bCs/>
                <w:sz w:val="20"/>
                <w:szCs w:val="20"/>
              </w:rPr>
              <w:t>Location of Homicide</w:t>
            </w:r>
          </w:p>
        </w:tc>
        <w:tc>
          <w:tcPr>
            <w:tcW w:w="1432" w:type="pct"/>
          </w:tcPr>
          <w:p w14:paraId="5CC67118" w14:textId="77777777" w:rsidR="008D636B" w:rsidRPr="00A135A3" w:rsidRDefault="008D636B" w:rsidP="008D636B">
            <w:pPr>
              <w:rPr>
                <w:rFonts w:cs="Arial"/>
                <w:sz w:val="20"/>
                <w:szCs w:val="20"/>
              </w:rPr>
            </w:pPr>
          </w:p>
        </w:tc>
        <w:tc>
          <w:tcPr>
            <w:tcW w:w="1062" w:type="pct"/>
            <w:shd w:val="clear" w:color="auto" w:fill="auto"/>
          </w:tcPr>
          <w:p w14:paraId="43ED8434" w14:textId="77777777" w:rsidR="008D636B" w:rsidRPr="00A135A3" w:rsidRDefault="008D636B" w:rsidP="008D636B">
            <w:pPr>
              <w:rPr>
                <w:rFonts w:cs="Arial"/>
                <w:sz w:val="20"/>
                <w:szCs w:val="20"/>
              </w:rPr>
            </w:pPr>
          </w:p>
        </w:tc>
        <w:tc>
          <w:tcPr>
            <w:tcW w:w="1160" w:type="pct"/>
          </w:tcPr>
          <w:p w14:paraId="09F59A9B" w14:textId="77777777" w:rsidR="008D636B" w:rsidRPr="00A135A3" w:rsidRDefault="008D636B" w:rsidP="008D636B">
            <w:pPr>
              <w:rPr>
                <w:rFonts w:cs="Arial"/>
                <w:sz w:val="20"/>
                <w:szCs w:val="20"/>
              </w:rPr>
            </w:pPr>
          </w:p>
        </w:tc>
      </w:tr>
      <w:tr w:rsidR="008D636B" w:rsidRPr="00A135A3" w14:paraId="1314A65F" w14:textId="77777777" w:rsidTr="009A3F71">
        <w:tc>
          <w:tcPr>
            <w:tcW w:w="1346" w:type="pct"/>
          </w:tcPr>
          <w:p w14:paraId="58D0DDF7"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Victim’s Home</w:t>
            </w:r>
          </w:p>
        </w:tc>
        <w:tc>
          <w:tcPr>
            <w:tcW w:w="1432" w:type="pct"/>
          </w:tcPr>
          <w:p w14:paraId="5FE02452"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83 (49%)</w:t>
            </w:r>
          </w:p>
        </w:tc>
        <w:tc>
          <w:tcPr>
            <w:tcW w:w="1062" w:type="pct"/>
            <w:vMerge w:val="restart"/>
          </w:tcPr>
          <w:p w14:paraId="34DE4497"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 xml:space="preserve">Not available </w:t>
            </w:r>
          </w:p>
        </w:tc>
        <w:tc>
          <w:tcPr>
            <w:tcW w:w="1160" w:type="pct"/>
            <w:vMerge w:val="restart"/>
          </w:tcPr>
          <w:p w14:paraId="4DFA36C9"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51% (no distinction made in ONS between victim and perpetrator’s home)</w:t>
            </w:r>
          </w:p>
        </w:tc>
      </w:tr>
      <w:tr w:rsidR="008D636B" w:rsidRPr="00A135A3" w14:paraId="166D4850" w14:textId="77777777" w:rsidTr="009A3F71">
        <w:tc>
          <w:tcPr>
            <w:tcW w:w="1346" w:type="pct"/>
          </w:tcPr>
          <w:p w14:paraId="1A3F4CD3"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Perpetrator’s Home</w:t>
            </w:r>
          </w:p>
        </w:tc>
        <w:tc>
          <w:tcPr>
            <w:tcW w:w="1432" w:type="pct"/>
          </w:tcPr>
          <w:p w14:paraId="09730AFB"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14 (8%)</w:t>
            </w:r>
          </w:p>
        </w:tc>
        <w:tc>
          <w:tcPr>
            <w:tcW w:w="1062" w:type="pct"/>
            <w:vMerge/>
          </w:tcPr>
          <w:p w14:paraId="1D78E7DF" w14:textId="77777777" w:rsidR="008D636B" w:rsidRPr="00A135A3" w:rsidRDefault="008D636B" w:rsidP="008D636B">
            <w:pPr>
              <w:rPr>
                <w:rFonts w:cs="Arial"/>
                <w:color w:val="595959" w:themeColor="text1" w:themeTint="A6"/>
                <w:sz w:val="20"/>
                <w:szCs w:val="20"/>
              </w:rPr>
            </w:pPr>
          </w:p>
        </w:tc>
        <w:tc>
          <w:tcPr>
            <w:tcW w:w="1160" w:type="pct"/>
            <w:vMerge/>
          </w:tcPr>
          <w:p w14:paraId="426421B1" w14:textId="77777777" w:rsidR="008D636B" w:rsidRPr="00A135A3" w:rsidRDefault="008D636B" w:rsidP="008D636B">
            <w:pPr>
              <w:rPr>
                <w:rFonts w:cs="Arial"/>
                <w:color w:val="595959" w:themeColor="text1" w:themeTint="A6"/>
                <w:sz w:val="20"/>
                <w:szCs w:val="20"/>
              </w:rPr>
            </w:pPr>
          </w:p>
        </w:tc>
      </w:tr>
      <w:tr w:rsidR="008D636B" w:rsidRPr="00A135A3" w14:paraId="32B3613C" w14:textId="77777777" w:rsidTr="009A3F71">
        <w:tc>
          <w:tcPr>
            <w:tcW w:w="1346" w:type="pct"/>
          </w:tcPr>
          <w:p w14:paraId="797BE3B3"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Public Place</w:t>
            </w:r>
          </w:p>
        </w:tc>
        <w:tc>
          <w:tcPr>
            <w:tcW w:w="1432" w:type="pct"/>
          </w:tcPr>
          <w:p w14:paraId="20DB448A"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25 (15%)</w:t>
            </w:r>
          </w:p>
        </w:tc>
        <w:tc>
          <w:tcPr>
            <w:tcW w:w="1062" w:type="pct"/>
            <w:vMerge/>
          </w:tcPr>
          <w:p w14:paraId="16E11503" w14:textId="77777777" w:rsidR="008D636B" w:rsidRPr="00A135A3" w:rsidRDefault="008D636B" w:rsidP="008D636B">
            <w:pPr>
              <w:rPr>
                <w:rFonts w:cs="Arial"/>
                <w:color w:val="595959" w:themeColor="text1" w:themeTint="A6"/>
                <w:sz w:val="20"/>
                <w:szCs w:val="20"/>
              </w:rPr>
            </w:pPr>
          </w:p>
        </w:tc>
        <w:tc>
          <w:tcPr>
            <w:tcW w:w="1160" w:type="pct"/>
          </w:tcPr>
          <w:p w14:paraId="53EFD461"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10%</w:t>
            </w:r>
          </w:p>
        </w:tc>
      </w:tr>
      <w:tr w:rsidR="008D636B" w:rsidRPr="00A135A3" w14:paraId="2194AFD2" w14:textId="77777777" w:rsidTr="009A3F71">
        <w:tc>
          <w:tcPr>
            <w:tcW w:w="1346" w:type="pct"/>
          </w:tcPr>
          <w:p w14:paraId="26A60607"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Residential Place</w:t>
            </w:r>
          </w:p>
        </w:tc>
        <w:tc>
          <w:tcPr>
            <w:tcW w:w="1432" w:type="pct"/>
          </w:tcPr>
          <w:p w14:paraId="4A41FC1B"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19 (12%)</w:t>
            </w:r>
          </w:p>
        </w:tc>
        <w:tc>
          <w:tcPr>
            <w:tcW w:w="1062" w:type="pct"/>
            <w:vMerge/>
          </w:tcPr>
          <w:p w14:paraId="60716F2C" w14:textId="77777777" w:rsidR="008D636B" w:rsidRPr="00A135A3" w:rsidRDefault="008D636B" w:rsidP="008D636B">
            <w:pPr>
              <w:rPr>
                <w:rFonts w:cs="Arial"/>
                <w:color w:val="595959" w:themeColor="text1" w:themeTint="A6"/>
                <w:sz w:val="20"/>
                <w:szCs w:val="20"/>
              </w:rPr>
            </w:pPr>
          </w:p>
        </w:tc>
        <w:tc>
          <w:tcPr>
            <w:tcW w:w="1160" w:type="pct"/>
          </w:tcPr>
          <w:p w14:paraId="7AC2E33E"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3%</w:t>
            </w:r>
          </w:p>
        </w:tc>
      </w:tr>
      <w:tr w:rsidR="008D636B" w:rsidRPr="00A135A3" w14:paraId="014B6F91" w14:textId="77777777" w:rsidTr="009A3F71">
        <w:tc>
          <w:tcPr>
            <w:tcW w:w="1346" w:type="pct"/>
          </w:tcPr>
          <w:p w14:paraId="6029CD26"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Hospital</w:t>
            </w:r>
          </w:p>
        </w:tc>
        <w:tc>
          <w:tcPr>
            <w:tcW w:w="1432" w:type="pct"/>
          </w:tcPr>
          <w:p w14:paraId="3EB01E0B"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6 (4%)</w:t>
            </w:r>
          </w:p>
        </w:tc>
        <w:tc>
          <w:tcPr>
            <w:tcW w:w="1062" w:type="pct"/>
            <w:vMerge/>
          </w:tcPr>
          <w:p w14:paraId="057D73C7" w14:textId="77777777" w:rsidR="008D636B" w:rsidRPr="00A135A3" w:rsidRDefault="008D636B" w:rsidP="008D636B">
            <w:pPr>
              <w:rPr>
                <w:rFonts w:cs="Arial"/>
                <w:color w:val="595959" w:themeColor="text1" w:themeTint="A6"/>
                <w:sz w:val="20"/>
                <w:szCs w:val="20"/>
              </w:rPr>
            </w:pPr>
          </w:p>
        </w:tc>
        <w:tc>
          <w:tcPr>
            <w:tcW w:w="1160" w:type="pct"/>
            <w:vMerge w:val="restart"/>
          </w:tcPr>
          <w:p w14:paraId="38CF3C5C"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Not available</w:t>
            </w:r>
          </w:p>
        </w:tc>
      </w:tr>
      <w:tr w:rsidR="008D636B" w:rsidRPr="00A135A3" w14:paraId="221F7EEE" w14:textId="77777777" w:rsidTr="009A3F71">
        <w:tc>
          <w:tcPr>
            <w:tcW w:w="1346" w:type="pct"/>
          </w:tcPr>
          <w:p w14:paraId="4603AE7F"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Other</w:t>
            </w:r>
          </w:p>
        </w:tc>
        <w:tc>
          <w:tcPr>
            <w:tcW w:w="1432" w:type="pct"/>
          </w:tcPr>
          <w:p w14:paraId="164A070C"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21 (12%)</w:t>
            </w:r>
          </w:p>
        </w:tc>
        <w:tc>
          <w:tcPr>
            <w:tcW w:w="1062" w:type="pct"/>
            <w:vMerge/>
          </w:tcPr>
          <w:p w14:paraId="30FD0C2F" w14:textId="77777777" w:rsidR="008D636B" w:rsidRPr="00A135A3" w:rsidRDefault="008D636B" w:rsidP="008D636B">
            <w:pPr>
              <w:rPr>
                <w:rFonts w:cs="Arial"/>
                <w:color w:val="595959" w:themeColor="text1" w:themeTint="A6"/>
                <w:sz w:val="20"/>
                <w:szCs w:val="20"/>
              </w:rPr>
            </w:pPr>
          </w:p>
        </w:tc>
        <w:tc>
          <w:tcPr>
            <w:tcW w:w="1160" w:type="pct"/>
            <w:vMerge/>
          </w:tcPr>
          <w:p w14:paraId="76C94315" w14:textId="77777777" w:rsidR="008D636B" w:rsidRPr="00A135A3" w:rsidRDefault="008D636B" w:rsidP="008D636B">
            <w:pPr>
              <w:rPr>
                <w:rFonts w:cs="Arial"/>
                <w:color w:val="595959" w:themeColor="text1" w:themeTint="A6"/>
                <w:sz w:val="20"/>
                <w:szCs w:val="20"/>
              </w:rPr>
            </w:pPr>
          </w:p>
        </w:tc>
      </w:tr>
      <w:tr w:rsidR="008D636B" w:rsidRPr="00A135A3" w14:paraId="73C51AF1" w14:textId="77777777" w:rsidTr="009A3F71">
        <w:tc>
          <w:tcPr>
            <w:tcW w:w="1346" w:type="pct"/>
          </w:tcPr>
          <w:p w14:paraId="2D554582" w14:textId="77777777" w:rsidR="008D636B" w:rsidRPr="00A135A3" w:rsidRDefault="008D636B" w:rsidP="008D636B">
            <w:pPr>
              <w:rPr>
                <w:rFonts w:cs="Arial"/>
                <w:b/>
                <w:bCs/>
                <w:sz w:val="20"/>
                <w:szCs w:val="20"/>
              </w:rPr>
            </w:pPr>
            <w:r w:rsidRPr="00A135A3">
              <w:rPr>
                <w:rFonts w:cs="Arial"/>
                <w:b/>
                <w:bCs/>
                <w:sz w:val="20"/>
                <w:szCs w:val="20"/>
              </w:rPr>
              <w:t>Homicide followed by Suicide</w:t>
            </w:r>
          </w:p>
        </w:tc>
        <w:tc>
          <w:tcPr>
            <w:tcW w:w="1432" w:type="pct"/>
          </w:tcPr>
          <w:p w14:paraId="3B5845EC"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10 (6%)</w:t>
            </w:r>
          </w:p>
        </w:tc>
        <w:tc>
          <w:tcPr>
            <w:tcW w:w="1062" w:type="pct"/>
          </w:tcPr>
          <w:p w14:paraId="447F4354" w14:textId="2C76E23B"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15 (</w:t>
            </w:r>
            <w:r w:rsidR="00CE322C" w:rsidRPr="00A135A3">
              <w:rPr>
                <w:rFonts w:cs="Arial"/>
                <w:color w:val="595959" w:themeColor="text1" w:themeTint="A6"/>
                <w:sz w:val="20"/>
                <w:szCs w:val="20"/>
              </w:rPr>
              <w:t>8</w:t>
            </w:r>
            <w:r w:rsidRPr="00A135A3">
              <w:rPr>
                <w:rFonts w:cs="Arial"/>
                <w:color w:val="595959" w:themeColor="text1" w:themeTint="A6"/>
                <w:sz w:val="20"/>
                <w:szCs w:val="20"/>
              </w:rPr>
              <w:t>%)</w:t>
            </w:r>
          </w:p>
        </w:tc>
        <w:tc>
          <w:tcPr>
            <w:tcW w:w="1160" w:type="pct"/>
          </w:tcPr>
          <w:p w14:paraId="6146CA20"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 xml:space="preserve">Not available </w:t>
            </w:r>
          </w:p>
        </w:tc>
      </w:tr>
      <w:tr w:rsidR="008D636B" w:rsidRPr="00A135A3" w14:paraId="02DC4026" w14:textId="77777777" w:rsidTr="009A3F71">
        <w:tc>
          <w:tcPr>
            <w:tcW w:w="1346" w:type="pct"/>
          </w:tcPr>
          <w:p w14:paraId="6BA79046" w14:textId="77777777" w:rsidR="008D636B" w:rsidRPr="00A135A3" w:rsidRDefault="008D636B" w:rsidP="008D636B">
            <w:pPr>
              <w:rPr>
                <w:rFonts w:cs="Arial"/>
                <w:b/>
                <w:bCs/>
                <w:sz w:val="20"/>
                <w:szCs w:val="20"/>
              </w:rPr>
            </w:pPr>
            <w:r w:rsidRPr="00A135A3">
              <w:rPr>
                <w:rFonts w:cs="Arial"/>
                <w:b/>
                <w:bCs/>
                <w:sz w:val="20"/>
                <w:szCs w:val="20"/>
              </w:rPr>
              <w:t xml:space="preserve">Court Outcome </w:t>
            </w:r>
          </w:p>
        </w:tc>
        <w:tc>
          <w:tcPr>
            <w:tcW w:w="1432" w:type="pct"/>
          </w:tcPr>
          <w:p w14:paraId="1656D008" w14:textId="77777777" w:rsidR="008D636B" w:rsidRPr="00A135A3" w:rsidRDefault="008D636B" w:rsidP="008D636B">
            <w:pPr>
              <w:rPr>
                <w:rFonts w:cs="Arial"/>
                <w:color w:val="595959" w:themeColor="text1" w:themeTint="A6"/>
                <w:sz w:val="20"/>
                <w:szCs w:val="20"/>
              </w:rPr>
            </w:pPr>
          </w:p>
        </w:tc>
        <w:tc>
          <w:tcPr>
            <w:tcW w:w="1062" w:type="pct"/>
          </w:tcPr>
          <w:p w14:paraId="1B778D76" w14:textId="77777777" w:rsidR="008D636B" w:rsidRPr="00A135A3" w:rsidRDefault="008D636B" w:rsidP="008D636B">
            <w:pPr>
              <w:rPr>
                <w:rFonts w:cs="Arial"/>
                <w:color w:val="595959" w:themeColor="text1" w:themeTint="A6"/>
                <w:sz w:val="20"/>
                <w:szCs w:val="20"/>
              </w:rPr>
            </w:pPr>
          </w:p>
        </w:tc>
        <w:tc>
          <w:tcPr>
            <w:tcW w:w="1160" w:type="pct"/>
          </w:tcPr>
          <w:p w14:paraId="547AB771" w14:textId="77777777" w:rsidR="008D636B" w:rsidRPr="00A135A3" w:rsidRDefault="008D636B" w:rsidP="008D636B">
            <w:pPr>
              <w:rPr>
                <w:rFonts w:cs="Arial"/>
                <w:color w:val="595959" w:themeColor="text1" w:themeTint="A6"/>
                <w:sz w:val="20"/>
                <w:szCs w:val="20"/>
              </w:rPr>
            </w:pPr>
          </w:p>
        </w:tc>
      </w:tr>
      <w:tr w:rsidR="008D636B" w:rsidRPr="00A135A3" w14:paraId="68922A31" w14:textId="77777777" w:rsidTr="009A3F71">
        <w:tc>
          <w:tcPr>
            <w:tcW w:w="1346" w:type="pct"/>
          </w:tcPr>
          <w:p w14:paraId="569599F7"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Murder</w:t>
            </w:r>
          </w:p>
        </w:tc>
        <w:tc>
          <w:tcPr>
            <w:tcW w:w="1432" w:type="pct"/>
          </w:tcPr>
          <w:p w14:paraId="4440805C"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53 (32%)</w:t>
            </w:r>
          </w:p>
        </w:tc>
        <w:tc>
          <w:tcPr>
            <w:tcW w:w="1062" w:type="pct"/>
          </w:tcPr>
          <w:p w14:paraId="79891BEA"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315 (52%)</w:t>
            </w:r>
          </w:p>
        </w:tc>
        <w:tc>
          <w:tcPr>
            <w:tcW w:w="1160" w:type="pct"/>
          </w:tcPr>
          <w:p w14:paraId="1C00DFB0"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50%</w:t>
            </w:r>
          </w:p>
        </w:tc>
      </w:tr>
      <w:tr w:rsidR="008D636B" w:rsidRPr="00A135A3" w14:paraId="44918C70" w14:textId="77777777" w:rsidTr="009A3F71">
        <w:tc>
          <w:tcPr>
            <w:tcW w:w="1346" w:type="pct"/>
          </w:tcPr>
          <w:p w14:paraId="4A69900A"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Manslaughter</w:t>
            </w:r>
          </w:p>
        </w:tc>
        <w:tc>
          <w:tcPr>
            <w:tcW w:w="1432" w:type="pct"/>
          </w:tcPr>
          <w:p w14:paraId="4EC79B3C"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25 (15%)</w:t>
            </w:r>
          </w:p>
        </w:tc>
        <w:tc>
          <w:tcPr>
            <w:tcW w:w="1062" w:type="pct"/>
          </w:tcPr>
          <w:p w14:paraId="5A9B3133"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173 (28%)</w:t>
            </w:r>
          </w:p>
        </w:tc>
        <w:tc>
          <w:tcPr>
            <w:tcW w:w="1160" w:type="pct"/>
          </w:tcPr>
          <w:p w14:paraId="0EBB5AA8"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23%</w:t>
            </w:r>
          </w:p>
        </w:tc>
      </w:tr>
      <w:tr w:rsidR="008D636B" w:rsidRPr="00A135A3" w14:paraId="6DB8E3EF" w14:textId="77777777" w:rsidTr="009A3F71">
        <w:tc>
          <w:tcPr>
            <w:tcW w:w="1346" w:type="pct"/>
          </w:tcPr>
          <w:p w14:paraId="1EC58160"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 xml:space="preserve">Manslaughter Diminished Responsibility </w:t>
            </w:r>
          </w:p>
        </w:tc>
        <w:tc>
          <w:tcPr>
            <w:tcW w:w="1432" w:type="pct"/>
          </w:tcPr>
          <w:p w14:paraId="1A010DCE"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57 (57%)</w:t>
            </w:r>
          </w:p>
        </w:tc>
        <w:tc>
          <w:tcPr>
            <w:tcW w:w="1062" w:type="pct"/>
          </w:tcPr>
          <w:p w14:paraId="357B47B7"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104 (17%)</w:t>
            </w:r>
          </w:p>
        </w:tc>
        <w:tc>
          <w:tcPr>
            <w:tcW w:w="1160" w:type="pct"/>
          </w:tcPr>
          <w:p w14:paraId="557B13F1"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5%</w:t>
            </w:r>
          </w:p>
        </w:tc>
      </w:tr>
      <w:tr w:rsidR="008D636B" w:rsidRPr="00A135A3" w14:paraId="2E5A9EA9" w14:textId="77777777" w:rsidTr="009A3F71">
        <w:tc>
          <w:tcPr>
            <w:tcW w:w="1346" w:type="pct"/>
          </w:tcPr>
          <w:p w14:paraId="690D2A6D" w14:textId="77777777" w:rsidR="008D636B" w:rsidRPr="00A135A3" w:rsidRDefault="008D636B" w:rsidP="008D636B">
            <w:pPr>
              <w:rPr>
                <w:rFonts w:cs="Arial"/>
                <w:b/>
                <w:bCs/>
                <w:sz w:val="20"/>
                <w:szCs w:val="20"/>
              </w:rPr>
            </w:pPr>
            <w:r w:rsidRPr="00A135A3">
              <w:rPr>
                <w:rFonts w:cs="Arial"/>
                <w:sz w:val="20"/>
                <w:szCs w:val="20"/>
              </w:rPr>
              <w:t xml:space="preserve">Unfit to Plead/Not Guilty by Reason of Insanity </w:t>
            </w:r>
          </w:p>
        </w:tc>
        <w:tc>
          <w:tcPr>
            <w:tcW w:w="1432" w:type="pct"/>
          </w:tcPr>
          <w:p w14:paraId="3921994D"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4 (2%)</w:t>
            </w:r>
          </w:p>
        </w:tc>
        <w:tc>
          <w:tcPr>
            <w:tcW w:w="1062" w:type="pct"/>
          </w:tcPr>
          <w:p w14:paraId="5902E28F"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12 (2%)</w:t>
            </w:r>
          </w:p>
        </w:tc>
        <w:tc>
          <w:tcPr>
            <w:tcW w:w="1160" w:type="pct"/>
          </w:tcPr>
          <w:p w14:paraId="5EBA5BA4"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 xml:space="preserve">Not available for full period </w:t>
            </w:r>
          </w:p>
        </w:tc>
      </w:tr>
      <w:tr w:rsidR="008D636B" w:rsidRPr="00A135A3" w14:paraId="34C7284F" w14:textId="77777777" w:rsidTr="009A3F71">
        <w:tc>
          <w:tcPr>
            <w:tcW w:w="1346" w:type="pct"/>
          </w:tcPr>
          <w:p w14:paraId="65858B70" w14:textId="77777777" w:rsidR="008D636B" w:rsidRPr="00A135A3" w:rsidRDefault="008D636B" w:rsidP="008D636B">
            <w:pPr>
              <w:rPr>
                <w:rFonts w:cs="Arial"/>
                <w:b/>
                <w:bCs/>
                <w:sz w:val="20"/>
                <w:szCs w:val="20"/>
              </w:rPr>
            </w:pPr>
            <w:r w:rsidRPr="00A135A3">
              <w:rPr>
                <w:rFonts w:cs="Arial"/>
                <w:sz w:val="20"/>
                <w:szCs w:val="20"/>
              </w:rPr>
              <w:t xml:space="preserve">Infanticide </w:t>
            </w:r>
          </w:p>
        </w:tc>
        <w:tc>
          <w:tcPr>
            <w:tcW w:w="1432" w:type="pct"/>
          </w:tcPr>
          <w:p w14:paraId="4F4343EB"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 xml:space="preserve">0 </w:t>
            </w:r>
          </w:p>
        </w:tc>
        <w:tc>
          <w:tcPr>
            <w:tcW w:w="1062" w:type="pct"/>
          </w:tcPr>
          <w:p w14:paraId="62916E5A"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4 (1%)</w:t>
            </w:r>
          </w:p>
        </w:tc>
        <w:tc>
          <w:tcPr>
            <w:tcW w:w="1160" w:type="pct"/>
          </w:tcPr>
          <w:p w14:paraId="004366B0"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&lt;0.5%</w:t>
            </w:r>
          </w:p>
        </w:tc>
      </w:tr>
      <w:tr w:rsidR="008D636B" w:rsidRPr="00A135A3" w14:paraId="1447EE77" w14:textId="77777777" w:rsidTr="009A3F71">
        <w:tc>
          <w:tcPr>
            <w:tcW w:w="1346" w:type="pct"/>
          </w:tcPr>
          <w:p w14:paraId="57622548" w14:textId="77777777" w:rsidR="008D636B" w:rsidRPr="00A135A3" w:rsidRDefault="008D636B" w:rsidP="008D636B">
            <w:pPr>
              <w:rPr>
                <w:rFonts w:cs="Arial"/>
                <w:b/>
                <w:bCs/>
                <w:sz w:val="20"/>
                <w:szCs w:val="20"/>
              </w:rPr>
            </w:pPr>
            <w:r w:rsidRPr="00A135A3">
              <w:rPr>
                <w:rFonts w:cs="Arial"/>
                <w:b/>
                <w:bCs/>
                <w:sz w:val="20"/>
                <w:szCs w:val="20"/>
              </w:rPr>
              <w:t>Disposal</w:t>
            </w:r>
            <w:r w:rsidRPr="00A135A3">
              <w:rPr>
                <w:rFonts w:cs="Arial"/>
                <w:b/>
                <w:bCs/>
                <w:sz w:val="20"/>
                <w:szCs w:val="20"/>
                <w:vertAlign w:val="superscript"/>
              </w:rPr>
              <w:footnoteReference w:id="1"/>
            </w:r>
          </w:p>
        </w:tc>
        <w:tc>
          <w:tcPr>
            <w:tcW w:w="1432" w:type="pct"/>
          </w:tcPr>
          <w:p w14:paraId="6B3D276D"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N=162</w:t>
            </w:r>
          </w:p>
        </w:tc>
        <w:tc>
          <w:tcPr>
            <w:tcW w:w="1062" w:type="pct"/>
          </w:tcPr>
          <w:p w14:paraId="241E6C7F" w14:textId="77777777" w:rsidR="008D636B" w:rsidRPr="00A135A3" w:rsidRDefault="008D636B" w:rsidP="008D636B">
            <w:pPr>
              <w:rPr>
                <w:rFonts w:cs="Arial"/>
                <w:color w:val="595959" w:themeColor="text1" w:themeTint="A6"/>
                <w:sz w:val="20"/>
                <w:szCs w:val="20"/>
              </w:rPr>
            </w:pPr>
          </w:p>
        </w:tc>
        <w:tc>
          <w:tcPr>
            <w:tcW w:w="1160" w:type="pct"/>
          </w:tcPr>
          <w:p w14:paraId="3E350D31" w14:textId="77777777" w:rsidR="008D636B" w:rsidRPr="00A135A3" w:rsidRDefault="008D636B" w:rsidP="008D636B">
            <w:pPr>
              <w:rPr>
                <w:rFonts w:cs="Arial"/>
                <w:color w:val="595959" w:themeColor="text1" w:themeTint="A6"/>
                <w:sz w:val="20"/>
                <w:szCs w:val="20"/>
              </w:rPr>
            </w:pPr>
          </w:p>
        </w:tc>
      </w:tr>
      <w:tr w:rsidR="008D636B" w:rsidRPr="00A135A3" w14:paraId="0017F311" w14:textId="77777777" w:rsidTr="009A3F71">
        <w:tc>
          <w:tcPr>
            <w:tcW w:w="1346" w:type="pct"/>
          </w:tcPr>
          <w:p w14:paraId="269400A8"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 xml:space="preserve">Custodial Sentence </w:t>
            </w:r>
          </w:p>
        </w:tc>
        <w:tc>
          <w:tcPr>
            <w:tcW w:w="1432" w:type="pct"/>
          </w:tcPr>
          <w:p w14:paraId="16E9F411"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71 (44%)</w:t>
            </w:r>
          </w:p>
        </w:tc>
        <w:tc>
          <w:tcPr>
            <w:tcW w:w="1062" w:type="pct"/>
          </w:tcPr>
          <w:p w14:paraId="2844EB25"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446 (74%)</w:t>
            </w:r>
          </w:p>
        </w:tc>
        <w:tc>
          <w:tcPr>
            <w:tcW w:w="1160" w:type="pct"/>
          </w:tcPr>
          <w:p w14:paraId="76FDC267"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94%</w:t>
            </w:r>
          </w:p>
        </w:tc>
      </w:tr>
      <w:tr w:rsidR="008D636B" w:rsidRPr="00A135A3" w14:paraId="3B270EE3" w14:textId="77777777" w:rsidTr="009A3F71">
        <w:tc>
          <w:tcPr>
            <w:tcW w:w="1346" w:type="pct"/>
          </w:tcPr>
          <w:p w14:paraId="31D47A37"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Hospital Diversion</w:t>
            </w:r>
          </w:p>
        </w:tc>
        <w:tc>
          <w:tcPr>
            <w:tcW w:w="1432" w:type="pct"/>
          </w:tcPr>
          <w:p w14:paraId="3F615BCF"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55 (34%)</w:t>
            </w:r>
          </w:p>
        </w:tc>
        <w:tc>
          <w:tcPr>
            <w:tcW w:w="1062" w:type="pct"/>
          </w:tcPr>
          <w:p w14:paraId="150BF4C9"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143 (24%)</w:t>
            </w:r>
          </w:p>
        </w:tc>
        <w:tc>
          <w:tcPr>
            <w:tcW w:w="1160" w:type="pct"/>
          </w:tcPr>
          <w:p w14:paraId="06BA7BAB"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5%</w:t>
            </w:r>
          </w:p>
        </w:tc>
      </w:tr>
      <w:tr w:rsidR="008D636B" w:rsidRPr="00A135A3" w14:paraId="44E2954E" w14:textId="77777777" w:rsidTr="009A3F71">
        <w:tc>
          <w:tcPr>
            <w:tcW w:w="1346" w:type="pct"/>
          </w:tcPr>
          <w:p w14:paraId="6472E40B"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 xml:space="preserve">Prison + Hospital </w:t>
            </w:r>
          </w:p>
        </w:tc>
        <w:tc>
          <w:tcPr>
            <w:tcW w:w="1432" w:type="pct"/>
          </w:tcPr>
          <w:p w14:paraId="26A36213"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8 (5%)</w:t>
            </w:r>
          </w:p>
        </w:tc>
        <w:tc>
          <w:tcPr>
            <w:tcW w:w="1062" w:type="pct"/>
          </w:tcPr>
          <w:p w14:paraId="64F631D7"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Not stated</w:t>
            </w:r>
          </w:p>
        </w:tc>
        <w:tc>
          <w:tcPr>
            <w:tcW w:w="1160" w:type="pct"/>
          </w:tcPr>
          <w:p w14:paraId="53E2F51F"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Not stated</w:t>
            </w:r>
          </w:p>
        </w:tc>
      </w:tr>
      <w:tr w:rsidR="008D636B" w:rsidRPr="00A135A3" w14:paraId="2DD79B99" w14:textId="77777777" w:rsidTr="009A3F71">
        <w:tc>
          <w:tcPr>
            <w:tcW w:w="1346" w:type="pct"/>
          </w:tcPr>
          <w:p w14:paraId="4386B285"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 xml:space="preserve">Death </w:t>
            </w:r>
          </w:p>
        </w:tc>
        <w:tc>
          <w:tcPr>
            <w:tcW w:w="1432" w:type="pct"/>
          </w:tcPr>
          <w:p w14:paraId="217B6259"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15 (9%)</w:t>
            </w:r>
          </w:p>
        </w:tc>
        <w:tc>
          <w:tcPr>
            <w:tcW w:w="1062" w:type="pct"/>
          </w:tcPr>
          <w:p w14:paraId="1578B57E"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Not stated</w:t>
            </w:r>
          </w:p>
        </w:tc>
        <w:tc>
          <w:tcPr>
            <w:tcW w:w="1160" w:type="pct"/>
          </w:tcPr>
          <w:p w14:paraId="52D76F59"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Not stated</w:t>
            </w:r>
          </w:p>
        </w:tc>
      </w:tr>
      <w:tr w:rsidR="008D636B" w:rsidRPr="00A135A3" w14:paraId="1855E851" w14:textId="77777777" w:rsidTr="009A3F71">
        <w:tc>
          <w:tcPr>
            <w:tcW w:w="1346" w:type="pct"/>
          </w:tcPr>
          <w:p w14:paraId="4379167F" w14:textId="77777777" w:rsidR="008D636B" w:rsidRPr="00A135A3" w:rsidRDefault="008D636B" w:rsidP="008D636B">
            <w:pPr>
              <w:rPr>
                <w:rFonts w:cs="Arial"/>
                <w:b/>
                <w:bCs/>
                <w:color w:val="595959" w:themeColor="text1" w:themeTint="A6"/>
                <w:sz w:val="20"/>
                <w:szCs w:val="20"/>
              </w:rPr>
            </w:pPr>
            <w:r w:rsidRPr="00A135A3">
              <w:rPr>
                <w:rFonts w:cs="Arial"/>
                <w:color w:val="595959" w:themeColor="text1" w:themeTint="A6"/>
                <w:sz w:val="20"/>
                <w:szCs w:val="20"/>
              </w:rPr>
              <w:t xml:space="preserve">Not Stated or Other </w:t>
            </w:r>
          </w:p>
        </w:tc>
        <w:tc>
          <w:tcPr>
            <w:tcW w:w="1432" w:type="pct"/>
          </w:tcPr>
          <w:p w14:paraId="1760DEC8"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13 (8%)</w:t>
            </w:r>
          </w:p>
        </w:tc>
        <w:tc>
          <w:tcPr>
            <w:tcW w:w="1062" w:type="pct"/>
          </w:tcPr>
          <w:p w14:paraId="7A4F4D8F"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16 (3%)</w:t>
            </w:r>
          </w:p>
        </w:tc>
        <w:tc>
          <w:tcPr>
            <w:tcW w:w="1160" w:type="pct"/>
          </w:tcPr>
          <w:p w14:paraId="4F5F5BE9" w14:textId="77777777" w:rsidR="008D636B" w:rsidRPr="00A135A3" w:rsidRDefault="008D636B" w:rsidP="008D636B">
            <w:pPr>
              <w:rPr>
                <w:rFonts w:cs="Arial"/>
                <w:color w:val="595959" w:themeColor="text1" w:themeTint="A6"/>
                <w:sz w:val="20"/>
                <w:szCs w:val="20"/>
              </w:rPr>
            </w:pPr>
            <w:r w:rsidRPr="00A135A3">
              <w:rPr>
                <w:rFonts w:cs="Arial"/>
                <w:color w:val="595959" w:themeColor="text1" w:themeTint="A6"/>
                <w:sz w:val="20"/>
                <w:szCs w:val="20"/>
              </w:rPr>
              <w:t>1% (Other*)</w:t>
            </w:r>
          </w:p>
        </w:tc>
      </w:tr>
    </w:tbl>
    <w:p w14:paraId="32BE29C4" w14:textId="77777777" w:rsidR="008D636B" w:rsidRPr="00A135A3" w:rsidRDefault="008D636B" w:rsidP="008D636B">
      <w:pPr>
        <w:spacing w:line="480" w:lineRule="auto"/>
        <w:jc w:val="both"/>
        <w:rPr>
          <w:rFonts w:cs="Arial"/>
          <w:kern w:val="0"/>
          <w:szCs w:val="24"/>
          <w14:ligatures w14:val="none"/>
        </w:rPr>
      </w:pPr>
    </w:p>
    <w:p w14:paraId="445522D6" w14:textId="19973432" w:rsidR="008D636B" w:rsidRPr="00A135A3" w:rsidRDefault="008D636B" w:rsidP="008D636B">
      <w:pPr>
        <w:spacing w:line="276" w:lineRule="auto"/>
        <w:jc w:val="both"/>
        <w:rPr>
          <w:rFonts w:cs="Arial"/>
          <w:b/>
          <w:bCs/>
          <w:kern w:val="0"/>
          <w:sz w:val="22"/>
          <w14:ligatures w14:val="none"/>
        </w:rPr>
      </w:pPr>
      <w:r w:rsidRPr="00A135A3">
        <w:rPr>
          <w:rFonts w:cs="Arial"/>
          <w:b/>
          <w:bCs/>
          <w:kern w:val="0"/>
          <w:sz w:val="22"/>
          <w14:ligatures w14:val="none"/>
        </w:rPr>
        <w:lastRenderedPageBreak/>
        <w:t xml:space="preserve">Table 4 – Inquiry </w:t>
      </w:r>
      <w:r w:rsidR="009E7924" w:rsidRPr="00A135A3">
        <w:rPr>
          <w:rFonts w:cs="Arial"/>
          <w:b/>
          <w:bCs/>
          <w:kern w:val="0"/>
          <w:sz w:val="22"/>
          <w14:ligatures w14:val="none"/>
        </w:rPr>
        <w:t>c</w:t>
      </w:r>
      <w:r w:rsidRPr="00A135A3">
        <w:rPr>
          <w:rFonts w:cs="Arial"/>
          <w:b/>
          <w:bCs/>
          <w:kern w:val="0"/>
          <w:sz w:val="22"/>
          <w14:ligatures w14:val="none"/>
        </w:rPr>
        <w:t xml:space="preserve">haracteristics </w:t>
      </w:r>
    </w:p>
    <w:tbl>
      <w:tblPr>
        <w:tblStyle w:val="TableGrid2"/>
        <w:tblW w:w="0" w:type="auto"/>
        <w:tblLayout w:type="fixed"/>
        <w:tblLook w:val="04A0" w:firstRow="1" w:lastRow="0" w:firstColumn="1" w:lastColumn="0" w:noHBand="0" w:noVBand="1"/>
      </w:tblPr>
      <w:tblGrid>
        <w:gridCol w:w="6516"/>
        <w:gridCol w:w="1560"/>
      </w:tblGrid>
      <w:tr w:rsidR="008D636B" w:rsidRPr="00A135A3" w14:paraId="457476CB" w14:textId="77777777" w:rsidTr="009A3F71">
        <w:tc>
          <w:tcPr>
            <w:tcW w:w="6516" w:type="dxa"/>
          </w:tcPr>
          <w:p w14:paraId="11265565" w14:textId="77777777" w:rsidR="008D636B" w:rsidRPr="00A135A3" w:rsidRDefault="008D636B" w:rsidP="008D636B">
            <w:pPr>
              <w:spacing w:line="276" w:lineRule="auto"/>
              <w:jc w:val="both"/>
              <w:rPr>
                <w:rFonts w:ascii="Arial" w:hAnsi="Arial" w:cs="Arial"/>
                <w:b/>
                <w:bCs/>
                <w:sz w:val="20"/>
                <w:szCs w:val="20"/>
              </w:rPr>
            </w:pPr>
            <w:r w:rsidRPr="00A135A3">
              <w:rPr>
                <w:rFonts w:ascii="Arial" w:hAnsi="Arial" w:cs="Arial"/>
                <w:b/>
                <w:bCs/>
                <w:sz w:val="20"/>
                <w:szCs w:val="20"/>
              </w:rPr>
              <w:t>Time between homicide and inquiry report publication N=160</w:t>
            </w:r>
          </w:p>
        </w:tc>
        <w:tc>
          <w:tcPr>
            <w:tcW w:w="1560" w:type="dxa"/>
          </w:tcPr>
          <w:p w14:paraId="06A6BB84" w14:textId="77777777" w:rsidR="008D636B" w:rsidRPr="00A135A3" w:rsidRDefault="008D636B" w:rsidP="008D636B">
            <w:pPr>
              <w:spacing w:line="276" w:lineRule="auto"/>
              <w:jc w:val="both"/>
              <w:rPr>
                <w:rFonts w:ascii="Arial" w:hAnsi="Arial" w:cs="Arial"/>
                <w:b/>
                <w:bCs/>
                <w:sz w:val="20"/>
                <w:szCs w:val="20"/>
              </w:rPr>
            </w:pPr>
            <w:r w:rsidRPr="00A135A3">
              <w:rPr>
                <w:rFonts w:ascii="Arial" w:hAnsi="Arial" w:cs="Arial"/>
                <w:b/>
                <w:bCs/>
                <w:sz w:val="20"/>
                <w:szCs w:val="20"/>
              </w:rPr>
              <w:t>%</w:t>
            </w:r>
          </w:p>
        </w:tc>
      </w:tr>
      <w:tr w:rsidR="00CC44FF" w:rsidRPr="00A135A3" w14:paraId="2572F135" w14:textId="77777777" w:rsidTr="009A3F71">
        <w:tc>
          <w:tcPr>
            <w:tcW w:w="6516" w:type="dxa"/>
          </w:tcPr>
          <w:p w14:paraId="1FFE1A4C"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0 - 36 months</w:t>
            </w:r>
          </w:p>
        </w:tc>
        <w:tc>
          <w:tcPr>
            <w:tcW w:w="1560" w:type="dxa"/>
          </w:tcPr>
          <w:p w14:paraId="72439333"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81 (51%)</w:t>
            </w:r>
          </w:p>
        </w:tc>
      </w:tr>
      <w:tr w:rsidR="00CC44FF" w:rsidRPr="00A135A3" w14:paraId="4077105D" w14:textId="77777777" w:rsidTr="009A3F71">
        <w:tc>
          <w:tcPr>
            <w:tcW w:w="6516" w:type="dxa"/>
          </w:tcPr>
          <w:p w14:paraId="459C4476"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37 – 72 months</w:t>
            </w:r>
          </w:p>
        </w:tc>
        <w:tc>
          <w:tcPr>
            <w:tcW w:w="1560" w:type="dxa"/>
          </w:tcPr>
          <w:p w14:paraId="16FB4447"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65 (41%)</w:t>
            </w:r>
          </w:p>
        </w:tc>
      </w:tr>
      <w:tr w:rsidR="00CC44FF" w:rsidRPr="00A135A3" w14:paraId="7F72A9BB" w14:textId="77777777" w:rsidTr="009A3F71">
        <w:tc>
          <w:tcPr>
            <w:tcW w:w="6516" w:type="dxa"/>
          </w:tcPr>
          <w:p w14:paraId="32BB9EF2"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73 – 108 months</w:t>
            </w:r>
          </w:p>
        </w:tc>
        <w:tc>
          <w:tcPr>
            <w:tcW w:w="1560" w:type="dxa"/>
          </w:tcPr>
          <w:p w14:paraId="62CD779D"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13 (7%)</w:t>
            </w:r>
          </w:p>
        </w:tc>
      </w:tr>
      <w:tr w:rsidR="00CC44FF" w:rsidRPr="00A135A3" w14:paraId="38FA1C6F" w14:textId="77777777" w:rsidTr="009A3F71">
        <w:tc>
          <w:tcPr>
            <w:tcW w:w="6516" w:type="dxa"/>
          </w:tcPr>
          <w:p w14:paraId="6CE67A1F"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109 – 144 months</w:t>
            </w:r>
          </w:p>
        </w:tc>
        <w:tc>
          <w:tcPr>
            <w:tcW w:w="1560" w:type="dxa"/>
          </w:tcPr>
          <w:p w14:paraId="60E7D598"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1 (0.6%)</w:t>
            </w:r>
          </w:p>
        </w:tc>
      </w:tr>
      <w:tr w:rsidR="008D636B" w:rsidRPr="00A135A3" w14:paraId="33F64558" w14:textId="77777777" w:rsidTr="009A3F71">
        <w:tc>
          <w:tcPr>
            <w:tcW w:w="6516" w:type="dxa"/>
          </w:tcPr>
          <w:p w14:paraId="6E219D99" w14:textId="77777777" w:rsidR="008D636B" w:rsidRPr="00A135A3" w:rsidRDefault="008D636B" w:rsidP="008D636B">
            <w:pPr>
              <w:spacing w:line="276" w:lineRule="auto"/>
              <w:jc w:val="both"/>
              <w:rPr>
                <w:rFonts w:ascii="Arial" w:hAnsi="Arial" w:cs="Arial"/>
                <w:b/>
                <w:bCs/>
                <w:sz w:val="20"/>
                <w:szCs w:val="20"/>
              </w:rPr>
            </w:pPr>
            <w:r w:rsidRPr="00A135A3">
              <w:rPr>
                <w:rFonts w:ascii="Arial" w:hAnsi="Arial" w:cs="Arial"/>
                <w:b/>
                <w:bCs/>
                <w:sz w:val="20"/>
                <w:szCs w:val="20"/>
              </w:rPr>
              <w:t>Panel Composition</w:t>
            </w:r>
          </w:p>
        </w:tc>
        <w:tc>
          <w:tcPr>
            <w:tcW w:w="1560" w:type="dxa"/>
          </w:tcPr>
          <w:p w14:paraId="1AA7D72B" w14:textId="77777777" w:rsidR="008D636B" w:rsidRPr="00A135A3" w:rsidRDefault="008D636B" w:rsidP="008D636B">
            <w:pPr>
              <w:spacing w:line="276" w:lineRule="auto"/>
              <w:jc w:val="both"/>
              <w:rPr>
                <w:rFonts w:ascii="Arial" w:hAnsi="Arial" w:cs="Arial"/>
                <w:b/>
                <w:bCs/>
                <w:sz w:val="20"/>
                <w:szCs w:val="20"/>
              </w:rPr>
            </w:pPr>
          </w:p>
        </w:tc>
      </w:tr>
      <w:tr w:rsidR="008D636B" w:rsidRPr="00A135A3" w14:paraId="2388F249" w14:textId="77777777" w:rsidTr="009A3F71">
        <w:tc>
          <w:tcPr>
            <w:tcW w:w="6516" w:type="dxa"/>
          </w:tcPr>
          <w:p w14:paraId="09CF07B4"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Legally Qualified Member</w:t>
            </w:r>
          </w:p>
        </w:tc>
        <w:tc>
          <w:tcPr>
            <w:tcW w:w="1560" w:type="dxa"/>
          </w:tcPr>
          <w:p w14:paraId="666749D9"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9 (5%)</w:t>
            </w:r>
          </w:p>
        </w:tc>
      </w:tr>
      <w:tr w:rsidR="008D636B" w:rsidRPr="00A135A3" w14:paraId="339D2580" w14:textId="77777777" w:rsidTr="009A3F71">
        <w:tc>
          <w:tcPr>
            <w:tcW w:w="6516" w:type="dxa"/>
          </w:tcPr>
          <w:p w14:paraId="57C395F0"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Patient Representative</w:t>
            </w:r>
          </w:p>
        </w:tc>
        <w:tc>
          <w:tcPr>
            <w:tcW w:w="1560" w:type="dxa"/>
          </w:tcPr>
          <w:p w14:paraId="055BF39B"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1 (0.6%)</w:t>
            </w:r>
          </w:p>
        </w:tc>
      </w:tr>
      <w:tr w:rsidR="008D636B" w:rsidRPr="00A135A3" w14:paraId="76576229" w14:textId="77777777" w:rsidTr="009A3F71">
        <w:tc>
          <w:tcPr>
            <w:tcW w:w="6516" w:type="dxa"/>
          </w:tcPr>
          <w:p w14:paraId="2EB46F13"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Carer/Family Representative</w:t>
            </w:r>
          </w:p>
        </w:tc>
        <w:tc>
          <w:tcPr>
            <w:tcW w:w="1560" w:type="dxa"/>
          </w:tcPr>
          <w:p w14:paraId="5B1601FE"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1 (0.6%)</w:t>
            </w:r>
          </w:p>
        </w:tc>
      </w:tr>
      <w:tr w:rsidR="008D636B" w:rsidRPr="00A135A3" w14:paraId="74F7403C" w14:textId="77777777" w:rsidTr="009A3F71">
        <w:tc>
          <w:tcPr>
            <w:tcW w:w="6516" w:type="dxa"/>
          </w:tcPr>
          <w:p w14:paraId="115DA686"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Psychiatrist</w:t>
            </w:r>
          </w:p>
        </w:tc>
        <w:tc>
          <w:tcPr>
            <w:tcW w:w="1560" w:type="dxa"/>
          </w:tcPr>
          <w:p w14:paraId="50CA1E3F"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85 (52%)</w:t>
            </w:r>
          </w:p>
        </w:tc>
      </w:tr>
      <w:tr w:rsidR="008D636B" w:rsidRPr="00A135A3" w14:paraId="49183913" w14:textId="77777777" w:rsidTr="009A3F71">
        <w:tc>
          <w:tcPr>
            <w:tcW w:w="6516" w:type="dxa"/>
          </w:tcPr>
          <w:p w14:paraId="4C682679"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 xml:space="preserve">Nurse </w:t>
            </w:r>
          </w:p>
        </w:tc>
        <w:tc>
          <w:tcPr>
            <w:tcW w:w="1560" w:type="dxa"/>
          </w:tcPr>
          <w:p w14:paraId="5298C05B"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37 (23%)</w:t>
            </w:r>
          </w:p>
        </w:tc>
      </w:tr>
      <w:tr w:rsidR="008D636B" w:rsidRPr="00A135A3" w14:paraId="049821C1" w14:textId="77777777" w:rsidTr="009A3F71">
        <w:tc>
          <w:tcPr>
            <w:tcW w:w="6516" w:type="dxa"/>
          </w:tcPr>
          <w:p w14:paraId="41527BD3" w14:textId="77777777" w:rsidR="008D636B" w:rsidRPr="00A135A3" w:rsidRDefault="008D636B" w:rsidP="008D636B">
            <w:pPr>
              <w:spacing w:line="276" w:lineRule="auto"/>
              <w:jc w:val="both"/>
              <w:rPr>
                <w:rFonts w:ascii="Arial" w:hAnsi="Arial" w:cs="Arial"/>
                <w:b/>
                <w:bCs/>
                <w:sz w:val="20"/>
                <w:szCs w:val="20"/>
              </w:rPr>
            </w:pPr>
            <w:r w:rsidRPr="00A135A3">
              <w:rPr>
                <w:rFonts w:ascii="Arial" w:hAnsi="Arial" w:cs="Arial"/>
                <w:b/>
                <w:bCs/>
                <w:sz w:val="20"/>
                <w:szCs w:val="20"/>
              </w:rPr>
              <w:t>Interview of key stakeholder</w:t>
            </w:r>
            <w:r w:rsidRPr="00A135A3">
              <w:rPr>
                <w:rFonts w:ascii="Arial" w:hAnsi="Arial" w:cs="Arial"/>
                <w:b/>
                <w:bCs/>
                <w:sz w:val="20"/>
                <w:szCs w:val="20"/>
              </w:rPr>
              <w:tab/>
            </w:r>
            <w:r w:rsidRPr="00A135A3">
              <w:rPr>
                <w:rFonts w:ascii="Arial" w:hAnsi="Arial" w:cs="Arial"/>
                <w:b/>
                <w:bCs/>
                <w:sz w:val="20"/>
                <w:szCs w:val="20"/>
              </w:rPr>
              <w:tab/>
            </w:r>
          </w:p>
        </w:tc>
        <w:tc>
          <w:tcPr>
            <w:tcW w:w="1560" w:type="dxa"/>
          </w:tcPr>
          <w:p w14:paraId="1465130A" w14:textId="77777777" w:rsidR="008D636B" w:rsidRPr="00A135A3" w:rsidRDefault="008D636B" w:rsidP="008D636B">
            <w:pPr>
              <w:spacing w:line="276" w:lineRule="auto"/>
              <w:jc w:val="both"/>
              <w:rPr>
                <w:rFonts w:ascii="Arial" w:hAnsi="Arial" w:cs="Arial"/>
                <w:b/>
                <w:bCs/>
                <w:sz w:val="20"/>
                <w:szCs w:val="20"/>
              </w:rPr>
            </w:pPr>
          </w:p>
        </w:tc>
      </w:tr>
      <w:tr w:rsidR="008D636B" w:rsidRPr="00A135A3" w14:paraId="670792D4" w14:textId="77777777" w:rsidTr="009A3F71">
        <w:tc>
          <w:tcPr>
            <w:tcW w:w="6516" w:type="dxa"/>
          </w:tcPr>
          <w:p w14:paraId="5B53A8A7"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Patient’s Family</w:t>
            </w:r>
            <w:r w:rsidRPr="00A135A3">
              <w:rPr>
                <w:rFonts w:ascii="Arial" w:hAnsi="Arial" w:cs="Arial"/>
                <w:color w:val="595959" w:themeColor="text1" w:themeTint="A6"/>
                <w:sz w:val="20"/>
                <w:szCs w:val="20"/>
              </w:rPr>
              <w:tab/>
            </w:r>
          </w:p>
        </w:tc>
        <w:tc>
          <w:tcPr>
            <w:tcW w:w="1560" w:type="dxa"/>
          </w:tcPr>
          <w:p w14:paraId="3379E9B5" w14:textId="38A2806D" w:rsidR="008D636B" w:rsidRPr="00A135A3" w:rsidRDefault="008D636B" w:rsidP="00FB7855">
            <w:pPr>
              <w:spacing w:line="276" w:lineRule="auto"/>
              <w:rPr>
                <w:rFonts w:ascii="Arial" w:hAnsi="Arial" w:cs="Arial"/>
                <w:color w:val="595959" w:themeColor="text1" w:themeTint="A6"/>
                <w:sz w:val="20"/>
                <w:szCs w:val="20"/>
              </w:rPr>
            </w:pPr>
            <w:r w:rsidRPr="00A135A3">
              <w:rPr>
                <w:rFonts w:ascii="Arial" w:hAnsi="Arial" w:cs="Arial"/>
                <w:color w:val="595959" w:themeColor="text1" w:themeTint="A6"/>
                <w:sz w:val="20"/>
                <w:szCs w:val="20"/>
              </w:rPr>
              <w:t>70</w:t>
            </w:r>
            <w:r w:rsidR="00FB7855" w:rsidRPr="00A135A3">
              <w:rPr>
                <w:rFonts w:ascii="Arial" w:hAnsi="Arial" w:cs="Arial"/>
                <w:color w:val="595959" w:themeColor="text1" w:themeTint="A6"/>
                <w:sz w:val="20"/>
                <w:szCs w:val="20"/>
              </w:rPr>
              <w:t xml:space="preserve"> </w:t>
            </w:r>
            <w:r w:rsidRPr="00A135A3">
              <w:rPr>
                <w:rFonts w:ascii="Arial" w:hAnsi="Arial" w:cs="Arial"/>
                <w:color w:val="595959" w:themeColor="text1" w:themeTint="A6"/>
                <w:sz w:val="20"/>
                <w:szCs w:val="20"/>
              </w:rPr>
              <w:t>(43%</w:t>
            </w:r>
            <w:r w:rsidR="00FB7855" w:rsidRPr="00A135A3">
              <w:rPr>
                <w:rFonts w:ascii="Arial" w:hAnsi="Arial" w:cs="Arial"/>
                <w:color w:val="595959" w:themeColor="text1" w:themeTint="A6"/>
                <w:sz w:val="20"/>
                <w:szCs w:val="20"/>
              </w:rPr>
              <w:t>)</w:t>
            </w:r>
          </w:p>
        </w:tc>
      </w:tr>
      <w:tr w:rsidR="008D636B" w:rsidRPr="00A135A3" w14:paraId="1EB4E4BD" w14:textId="77777777" w:rsidTr="009A3F71">
        <w:tc>
          <w:tcPr>
            <w:tcW w:w="6516" w:type="dxa"/>
          </w:tcPr>
          <w:p w14:paraId="2898B332"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Victim’s Family</w:t>
            </w:r>
          </w:p>
        </w:tc>
        <w:tc>
          <w:tcPr>
            <w:tcW w:w="1560" w:type="dxa"/>
          </w:tcPr>
          <w:p w14:paraId="051F5963"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92 (57%)</w:t>
            </w:r>
          </w:p>
        </w:tc>
      </w:tr>
      <w:tr w:rsidR="008D636B" w:rsidRPr="00A135A3" w14:paraId="75AB2CD6" w14:textId="77777777" w:rsidTr="009A3F71">
        <w:tc>
          <w:tcPr>
            <w:tcW w:w="6516" w:type="dxa"/>
          </w:tcPr>
          <w:p w14:paraId="1CB7DBDD"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Clinical Staff</w:t>
            </w:r>
          </w:p>
        </w:tc>
        <w:tc>
          <w:tcPr>
            <w:tcW w:w="1560" w:type="dxa"/>
          </w:tcPr>
          <w:p w14:paraId="547A5F69" w14:textId="684546F4"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134</w:t>
            </w:r>
            <w:r w:rsidR="00FB7855" w:rsidRPr="00A135A3">
              <w:rPr>
                <w:rFonts w:ascii="Arial" w:hAnsi="Arial" w:cs="Arial"/>
                <w:color w:val="595959" w:themeColor="text1" w:themeTint="A6"/>
                <w:sz w:val="20"/>
                <w:szCs w:val="20"/>
              </w:rPr>
              <w:t xml:space="preserve"> </w:t>
            </w:r>
            <w:r w:rsidRPr="00A135A3">
              <w:rPr>
                <w:rFonts w:ascii="Arial" w:hAnsi="Arial" w:cs="Arial"/>
                <w:color w:val="595959" w:themeColor="text1" w:themeTint="A6"/>
                <w:sz w:val="20"/>
                <w:szCs w:val="20"/>
              </w:rPr>
              <w:t>(83%)</w:t>
            </w:r>
          </w:p>
        </w:tc>
      </w:tr>
      <w:tr w:rsidR="008D636B" w:rsidRPr="00A135A3" w14:paraId="1FBF7E21" w14:textId="77777777" w:rsidTr="009A3F71">
        <w:trPr>
          <w:trHeight w:val="235"/>
        </w:trPr>
        <w:tc>
          <w:tcPr>
            <w:tcW w:w="6516" w:type="dxa"/>
          </w:tcPr>
          <w:p w14:paraId="42E40AF3"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Commissioners</w:t>
            </w:r>
          </w:p>
        </w:tc>
        <w:tc>
          <w:tcPr>
            <w:tcW w:w="1560" w:type="dxa"/>
          </w:tcPr>
          <w:p w14:paraId="4184D3D6"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24(15%)</w:t>
            </w:r>
          </w:p>
        </w:tc>
      </w:tr>
      <w:tr w:rsidR="008D636B" w:rsidRPr="00A135A3" w14:paraId="67DCF927" w14:textId="77777777" w:rsidTr="009A3F71">
        <w:tc>
          <w:tcPr>
            <w:tcW w:w="6516" w:type="dxa"/>
          </w:tcPr>
          <w:p w14:paraId="1056731C" w14:textId="77777777" w:rsidR="008D636B" w:rsidRPr="00A135A3" w:rsidRDefault="008D636B" w:rsidP="008D636B">
            <w:pPr>
              <w:spacing w:line="276" w:lineRule="auto"/>
              <w:jc w:val="both"/>
              <w:rPr>
                <w:rFonts w:ascii="Arial" w:hAnsi="Arial" w:cs="Arial"/>
                <w:b/>
                <w:bCs/>
                <w:sz w:val="20"/>
                <w:szCs w:val="20"/>
              </w:rPr>
            </w:pPr>
            <w:r w:rsidRPr="00A135A3">
              <w:rPr>
                <w:rFonts w:ascii="Arial" w:hAnsi="Arial" w:cs="Arial"/>
                <w:b/>
                <w:bCs/>
                <w:sz w:val="20"/>
                <w:szCs w:val="20"/>
              </w:rPr>
              <w:t>Methodology used N = 122</w:t>
            </w:r>
          </w:p>
        </w:tc>
        <w:tc>
          <w:tcPr>
            <w:tcW w:w="1560" w:type="dxa"/>
          </w:tcPr>
          <w:p w14:paraId="5F8AB8B6" w14:textId="77777777" w:rsidR="008D636B" w:rsidRPr="00A135A3" w:rsidRDefault="008D636B" w:rsidP="008D636B">
            <w:pPr>
              <w:spacing w:line="276" w:lineRule="auto"/>
              <w:jc w:val="both"/>
              <w:rPr>
                <w:rFonts w:ascii="Arial" w:hAnsi="Arial" w:cs="Arial"/>
                <w:b/>
                <w:bCs/>
                <w:sz w:val="20"/>
                <w:szCs w:val="20"/>
              </w:rPr>
            </w:pPr>
          </w:p>
        </w:tc>
      </w:tr>
      <w:tr w:rsidR="008D636B" w:rsidRPr="00A135A3" w14:paraId="0EE97EA2" w14:textId="77777777" w:rsidTr="009A3F71">
        <w:tc>
          <w:tcPr>
            <w:tcW w:w="6516" w:type="dxa"/>
          </w:tcPr>
          <w:p w14:paraId="234F419C"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HSG (94) 27</w:t>
            </w:r>
          </w:p>
        </w:tc>
        <w:tc>
          <w:tcPr>
            <w:tcW w:w="1560" w:type="dxa"/>
          </w:tcPr>
          <w:p w14:paraId="3294BB7D"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33 (27%)</w:t>
            </w:r>
          </w:p>
        </w:tc>
      </w:tr>
      <w:tr w:rsidR="008D636B" w:rsidRPr="00A135A3" w14:paraId="197351A5" w14:textId="77777777" w:rsidTr="009A3F71">
        <w:tc>
          <w:tcPr>
            <w:tcW w:w="6516" w:type="dxa"/>
          </w:tcPr>
          <w:p w14:paraId="2EABC69F"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Root Cause Analysis</w:t>
            </w:r>
          </w:p>
        </w:tc>
        <w:tc>
          <w:tcPr>
            <w:tcW w:w="1560" w:type="dxa"/>
          </w:tcPr>
          <w:p w14:paraId="0EEF9D54"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28 (23%)</w:t>
            </w:r>
          </w:p>
        </w:tc>
      </w:tr>
      <w:tr w:rsidR="008D636B" w:rsidRPr="00A135A3" w14:paraId="0240A6FE" w14:textId="77777777" w:rsidTr="009A3F71">
        <w:tc>
          <w:tcPr>
            <w:tcW w:w="6516" w:type="dxa"/>
          </w:tcPr>
          <w:p w14:paraId="780FEE45"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2015 SI Framework</w:t>
            </w:r>
          </w:p>
        </w:tc>
        <w:tc>
          <w:tcPr>
            <w:tcW w:w="1560" w:type="dxa"/>
          </w:tcPr>
          <w:p w14:paraId="1634CA46"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34 (28%)</w:t>
            </w:r>
          </w:p>
        </w:tc>
      </w:tr>
      <w:tr w:rsidR="008D636B" w:rsidRPr="00A135A3" w14:paraId="3D516778" w14:textId="77777777" w:rsidTr="009A3F71">
        <w:tc>
          <w:tcPr>
            <w:tcW w:w="6516" w:type="dxa"/>
          </w:tcPr>
          <w:p w14:paraId="0552FD4C"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DH Article 2 Guidance</w:t>
            </w:r>
          </w:p>
        </w:tc>
        <w:tc>
          <w:tcPr>
            <w:tcW w:w="1560" w:type="dxa"/>
          </w:tcPr>
          <w:p w14:paraId="5BCC07BB"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18 (15%)</w:t>
            </w:r>
          </w:p>
        </w:tc>
      </w:tr>
      <w:tr w:rsidR="008D636B" w:rsidRPr="00A135A3" w14:paraId="627F46E2" w14:textId="77777777" w:rsidTr="009A3F71">
        <w:tc>
          <w:tcPr>
            <w:tcW w:w="6516" w:type="dxa"/>
          </w:tcPr>
          <w:p w14:paraId="76FB2947"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Safeguarding</w:t>
            </w:r>
          </w:p>
        </w:tc>
        <w:tc>
          <w:tcPr>
            <w:tcW w:w="1560" w:type="dxa"/>
          </w:tcPr>
          <w:p w14:paraId="1C6B7BF6"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1 (1%)</w:t>
            </w:r>
          </w:p>
        </w:tc>
      </w:tr>
      <w:tr w:rsidR="008D636B" w:rsidRPr="00A135A3" w14:paraId="2197ADE2" w14:textId="77777777" w:rsidTr="009A3F71">
        <w:tc>
          <w:tcPr>
            <w:tcW w:w="6516" w:type="dxa"/>
          </w:tcPr>
          <w:p w14:paraId="47CF46FC"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Domestic Homicide Review</w:t>
            </w:r>
          </w:p>
        </w:tc>
        <w:tc>
          <w:tcPr>
            <w:tcW w:w="1560" w:type="dxa"/>
          </w:tcPr>
          <w:p w14:paraId="75E30730"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2 (2%)</w:t>
            </w:r>
          </w:p>
        </w:tc>
      </w:tr>
      <w:tr w:rsidR="008D636B" w:rsidRPr="00A135A3" w14:paraId="078326A5" w14:textId="77777777" w:rsidTr="009A3F71">
        <w:tc>
          <w:tcPr>
            <w:tcW w:w="6516" w:type="dxa"/>
          </w:tcPr>
          <w:p w14:paraId="52F66AE0"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Fishbone</w:t>
            </w:r>
          </w:p>
        </w:tc>
        <w:tc>
          <w:tcPr>
            <w:tcW w:w="1560" w:type="dxa"/>
          </w:tcPr>
          <w:p w14:paraId="526F00EB"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2 (2%)</w:t>
            </w:r>
          </w:p>
        </w:tc>
      </w:tr>
      <w:tr w:rsidR="008D636B" w:rsidRPr="00A135A3" w14:paraId="47F25BA5" w14:textId="77777777" w:rsidTr="009A3F71">
        <w:tc>
          <w:tcPr>
            <w:tcW w:w="6516" w:type="dxa"/>
          </w:tcPr>
          <w:p w14:paraId="4D6E314D"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Mixed Methods</w:t>
            </w:r>
          </w:p>
        </w:tc>
        <w:tc>
          <w:tcPr>
            <w:tcW w:w="1560" w:type="dxa"/>
          </w:tcPr>
          <w:p w14:paraId="17663B01"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1 (1%)</w:t>
            </w:r>
          </w:p>
        </w:tc>
      </w:tr>
      <w:tr w:rsidR="008D636B" w:rsidRPr="00A135A3" w14:paraId="5FD842B1" w14:textId="77777777" w:rsidTr="009A3F71">
        <w:tc>
          <w:tcPr>
            <w:tcW w:w="6516" w:type="dxa"/>
          </w:tcPr>
          <w:p w14:paraId="37B2B151" w14:textId="77777777" w:rsidR="008D636B" w:rsidRPr="00A135A3" w:rsidRDefault="008D636B" w:rsidP="008D636B">
            <w:pPr>
              <w:spacing w:line="276" w:lineRule="auto"/>
              <w:rPr>
                <w:rFonts w:ascii="Arial" w:hAnsi="Arial" w:cs="Arial"/>
                <w:color w:val="595959" w:themeColor="text1" w:themeTint="A6"/>
                <w:sz w:val="20"/>
                <w:szCs w:val="20"/>
              </w:rPr>
            </w:pPr>
            <w:r w:rsidRPr="00A135A3">
              <w:rPr>
                <w:rFonts w:ascii="Arial" w:hAnsi="Arial" w:cs="Arial"/>
                <w:color w:val="595959" w:themeColor="text1" w:themeTint="A6"/>
                <w:sz w:val="20"/>
                <w:szCs w:val="20"/>
              </w:rPr>
              <w:t>NHSE Delivering a Single Operating Model for Mental Health Homicide Investigations</w:t>
            </w:r>
          </w:p>
        </w:tc>
        <w:tc>
          <w:tcPr>
            <w:tcW w:w="1560" w:type="dxa"/>
          </w:tcPr>
          <w:p w14:paraId="5D494B3D" w14:textId="77777777" w:rsidR="008D636B" w:rsidRPr="00A135A3" w:rsidRDefault="008D636B" w:rsidP="008D636B">
            <w:pPr>
              <w:spacing w:line="276" w:lineRule="auto"/>
              <w:rPr>
                <w:rFonts w:ascii="Arial" w:hAnsi="Arial" w:cs="Arial"/>
                <w:color w:val="595959" w:themeColor="text1" w:themeTint="A6"/>
                <w:sz w:val="20"/>
                <w:szCs w:val="20"/>
              </w:rPr>
            </w:pPr>
            <w:r w:rsidRPr="00A135A3">
              <w:rPr>
                <w:rFonts w:ascii="Arial" w:hAnsi="Arial" w:cs="Arial"/>
                <w:color w:val="595959" w:themeColor="text1" w:themeTint="A6"/>
                <w:sz w:val="20"/>
                <w:szCs w:val="20"/>
              </w:rPr>
              <w:t>1 (1%)</w:t>
            </w:r>
          </w:p>
        </w:tc>
      </w:tr>
      <w:tr w:rsidR="008D636B" w:rsidRPr="00A135A3" w14:paraId="66B63C02" w14:textId="77777777" w:rsidTr="009A3F71">
        <w:tc>
          <w:tcPr>
            <w:tcW w:w="6516" w:type="dxa"/>
          </w:tcPr>
          <w:p w14:paraId="068370D9"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 xml:space="preserve">National Patient Safety Agency </w:t>
            </w:r>
          </w:p>
        </w:tc>
        <w:tc>
          <w:tcPr>
            <w:tcW w:w="1560" w:type="dxa"/>
          </w:tcPr>
          <w:p w14:paraId="7B8CE190"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6 (5%)</w:t>
            </w:r>
          </w:p>
        </w:tc>
      </w:tr>
      <w:tr w:rsidR="008D636B" w:rsidRPr="00A135A3" w14:paraId="74AA0922" w14:textId="77777777" w:rsidTr="009A3F71">
        <w:tc>
          <w:tcPr>
            <w:tcW w:w="6516" w:type="dxa"/>
          </w:tcPr>
          <w:p w14:paraId="78290BBD"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Multiple</w:t>
            </w:r>
          </w:p>
        </w:tc>
        <w:tc>
          <w:tcPr>
            <w:tcW w:w="1560" w:type="dxa"/>
          </w:tcPr>
          <w:p w14:paraId="59B44AE5"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42 (35%)</w:t>
            </w:r>
          </w:p>
        </w:tc>
      </w:tr>
      <w:tr w:rsidR="008D636B" w:rsidRPr="00A135A3" w14:paraId="69CB31F4" w14:textId="77777777" w:rsidTr="009A3F71">
        <w:tc>
          <w:tcPr>
            <w:tcW w:w="6516" w:type="dxa"/>
          </w:tcPr>
          <w:p w14:paraId="3A2D444E"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 xml:space="preserve">None stated </w:t>
            </w:r>
          </w:p>
        </w:tc>
        <w:tc>
          <w:tcPr>
            <w:tcW w:w="1560" w:type="dxa"/>
          </w:tcPr>
          <w:p w14:paraId="75A22DFD" w14:textId="77777777" w:rsidR="008D636B" w:rsidRPr="00A135A3" w:rsidRDefault="008D636B" w:rsidP="008D636B">
            <w:pPr>
              <w:spacing w:line="276" w:lineRule="auto"/>
              <w:jc w:val="both"/>
              <w:rPr>
                <w:rFonts w:ascii="Arial" w:hAnsi="Arial" w:cs="Arial"/>
                <w:color w:val="595959" w:themeColor="text1" w:themeTint="A6"/>
                <w:sz w:val="20"/>
                <w:szCs w:val="20"/>
              </w:rPr>
            </w:pPr>
            <w:r w:rsidRPr="00A135A3">
              <w:rPr>
                <w:rFonts w:ascii="Arial" w:hAnsi="Arial" w:cs="Arial"/>
                <w:color w:val="595959" w:themeColor="text1" w:themeTint="A6"/>
                <w:sz w:val="20"/>
                <w:szCs w:val="20"/>
              </w:rPr>
              <w:t>30 (25%)</w:t>
            </w:r>
          </w:p>
        </w:tc>
      </w:tr>
    </w:tbl>
    <w:p w14:paraId="33483EF9" w14:textId="77777777" w:rsidR="008D636B" w:rsidRPr="00A135A3" w:rsidRDefault="008D636B" w:rsidP="008D636B">
      <w:pPr>
        <w:spacing w:line="480" w:lineRule="auto"/>
        <w:jc w:val="both"/>
        <w:rPr>
          <w:rFonts w:cs="Arial"/>
          <w:kern w:val="0"/>
          <w:szCs w:val="24"/>
          <w14:ligatures w14:val="none"/>
        </w:rPr>
      </w:pPr>
    </w:p>
    <w:p w14:paraId="75A4AE6B" w14:textId="77777777" w:rsidR="008D636B" w:rsidRPr="00A135A3" w:rsidRDefault="008D636B" w:rsidP="008D636B">
      <w:pPr>
        <w:spacing w:line="480" w:lineRule="auto"/>
        <w:jc w:val="both"/>
        <w:rPr>
          <w:rFonts w:cs="Arial"/>
          <w:kern w:val="0"/>
          <w:szCs w:val="24"/>
          <w14:ligatures w14:val="none"/>
        </w:rPr>
      </w:pPr>
    </w:p>
    <w:p w14:paraId="49C44884" w14:textId="77777777" w:rsidR="008D636B" w:rsidRPr="00A135A3" w:rsidRDefault="008D636B" w:rsidP="008D636B">
      <w:pPr>
        <w:spacing w:line="480" w:lineRule="auto"/>
        <w:jc w:val="both"/>
        <w:rPr>
          <w:rFonts w:cs="Arial"/>
          <w:kern w:val="0"/>
          <w:szCs w:val="24"/>
          <w14:ligatures w14:val="none"/>
        </w:rPr>
      </w:pPr>
    </w:p>
    <w:p w14:paraId="0A1EBD5C" w14:textId="77777777" w:rsidR="008D636B" w:rsidRPr="00A135A3" w:rsidRDefault="008D636B" w:rsidP="008D636B">
      <w:pPr>
        <w:spacing w:line="480" w:lineRule="auto"/>
        <w:jc w:val="both"/>
        <w:rPr>
          <w:rFonts w:cs="Arial"/>
          <w:kern w:val="0"/>
          <w:szCs w:val="24"/>
          <w14:ligatures w14:val="none"/>
        </w:rPr>
      </w:pPr>
    </w:p>
    <w:p w14:paraId="585317E3" w14:textId="77777777" w:rsidR="008D636B" w:rsidRPr="00A135A3" w:rsidRDefault="008D636B" w:rsidP="008D636B">
      <w:pPr>
        <w:spacing w:line="480" w:lineRule="auto"/>
        <w:jc w:val="both"/>
        <w:rPr>
          <w:rFonts w:cs="Arial"/>
          <w:kern w:val="0"/>
          <w:szCs w:val="24"/>
          <w14:ligatures w14:val="none"/>
        </w:rPr>
      </w:pPr>
    </w:p>
    <w:p w14:paraId="06C8326A" w14:textId="77777777" w:rsidR="008D636B" w:rsidRPr="00A135A3" w:rsidRDefault="008D636B" w:rsidP="008D636B">
      <w:pPr>
        <w:spacing w:line="480" w:lineRule="auto"/>
        <w:jc w:val="both"/>
        <w:rPr>
          <w:rFonts w:cs="Arial"/>
          <w:kern w:val="0"/>
          <w:szCs w:val="24"/>
          <w14:ligatures w14:val="none"/>
        </w:rPr>
      </w:pPr>
    </w:p>
    <w:p w14:paraId="4942C2E8" w14:textId="77777777" w:rsidR="008D636B" w:rsidRPr="00A135A3" w:rsidRDefault="008D636B" w:rsidP="008D636B">
      <w:pPr>
        <w:spacing w:line="480" w:lineRule="auto"/>
        <w:jc w:val="both"/>
        <w:rPr>
          <w:rFonts w:cs="Arial"/>
          <w:kern w:val="0"/>
          <w:szCs w:val="24"/>
          <w14:ligatures w14:val="none"/>
        </w:rPr>
      </w:pPr>
    </w:p>
    <w:p w14:paraId="213C132D" w14:textId="77777777" w:rsidR="008D636B" w:rsidRPr="00A135A3" w:rsidRDefault="008D636B" w:rsidP="008D636B">
      <w:pPr>
        <w:spacing w:line="240" w:lineRule="auto"/>
        <w:jc w:val="both"/>
        <w:rPr>
          <w:rFonts w:cs="Arial"/>
          <w:b/>
          <w:bCs/>
          <w:kern w:val="0"/>
          <w:sz w:val="20"/>
          <w:szCs w:val="20"/>
          <w14:ligatures w14:val="none"/>
        </w:rPr>
      </w:pPr>
      <w:r w:rsidRPr="00A135A3">
        <w:rPr>
          <w:rFonts w:cs="Arial"/>
          <w:b/>
          <w:bCs/>
          <w:kern w:val="0"/>
          <w:sz w:val="20"/>
          <w:szCs w:val="20"/>
          <w14:ligatures w14:val="none"/>
        </w:rPr>
        <w:lastRenderedPageBreak/>
        <w:t xml:space="preserve">Table 5 – Frequency of Root Causes, Contributory Factors, Care and Service Delivery Problems and Recommendations </w:t>
      </w:r>
    </w:p>
    <w:tbl>
      <w:tblPr>
        <w:tblStyle w:val="TableGrid4"/>
        <w:tblW w:w="5000" w:type="pct"/>
        <w:tblInd w:w="0" w:type="dxa"/>
        <w:tblLook w:val="04A0" w:firstRow="1" w:lastRow="0" w:firstColumn="1" w:lastColumn="0" w:noHBand="0" w:noVBand="1"/>
      </w:tblPr>
      <w:tblGrid>
        <w:gridCol w:w="539"/>
        <w:gridCol w:w="3783"/>
        <w:gridCol w:w="1427"/>
        <w:gridCol w:w="1370"/>
        <w:gridCol w:w="1897"/>
      </w:tblGrid>
      <w:tr w:rsidR="008D636B" w:rsidRPr="00A135A3" w14:paraId="3600F2CE" w14:textId="77777777" w:rsidTr="009A3F71">
        <w:tc>
          <w:tcPr>
            <w:tcW w:w="299" w:type="pct"/>
          </w:tcPr>
          <w:p w14:paraId="18B87779" w14:textId="77777777" w:rsidR="008D636B" w:rsidRPr="00A135A3" w:rsidRDefault="008D636B" w:rsidP="008D636B">
            <w:pPr>
              <w:spacing w:line="256" w:lineRule="auto"/>
              <w:rPr>
                <w:rFonts w:cs="Arial"/>
                <w:b/>
                <w:bCs/>
                <w:color w:val="4472C4" w:themeColor="accent1"/>
                <w:sz w:val="20"/>
                <w:szCs w:val="20"/>
              </w:rPr>
            </w:pPr>
            <w:r w:rsidRPr="00A135A3">
              <w:rPr>
                <w:rFonts w:cs="Arial"/>
                <w:b/>
                <w:bCs/>
                <w:color w:val="4472C4" w:themeColor="accent1"/>
                <w:sz w:val="20"/>
                <w:szCs w:val="20"/>
              </w:rPr>
              <w:t>No</w:t>
            </w:r>
          </w:p>
        </w:tc>
        <w:tc>
          <w:tcPr>
            <w:tcW w:w="2098" w:type="pct"/>
          </w:tcPr>
          <w:p w14:paraId="77CC136D" w14:textId="77777777" w:rsidR="008D636B" w:rsidRPr="00A135A3" w:rsidRDefault="008D636B" w:rsidP="008D636B">
            <w:pPr>
              <w:spacing w:line="256" w:lineRule="auto"/>
              <w:rPr>
                <w:rFonts w:cs="Arial"/>
                <w:b/>
                <w:bCs/>
                <w:color w:val="4472C4" w:themeColor="accent1"/>
                <w:sz w:val="20"/>
                <w:szCs w:val="20"/>
              </w:rPr>
            </w:pPr>
            <w:r w:rsidRPr="00A135A3">
              <w:rPr>
                <w:rFonts w:cs="Arial"/>
                <w:b/>
                <w:bCs/>
                <w:color w:val="4472C4" w:themeColor="accent1"/>
                <w:sz w:val="20"/>
                <w:szCs w:val="20"/>
              </w:rPr>
              <w:t>Theme</w:t>
            </w:r>
          </w:p>
        </w:tc>
        <w:tc>
          <w:tcPr>
            <w:tcW w:w="2603" w:type="pct"/>
            <w:gridSpan w:val="3"/>
          </w:tcPr>
          <w:p w14:paraId="6B123ED2" w14:textId="77777777" w:rsidR="008D636B" w:rsidRPr="00A135A3" w:rsidRDefault="008D636B" w:rsidP="008D636B">
            <w:pPr>
              <w:spacing w:line="256" w:lineRule="auto"/>
              <w:jc w:val="center"/>
              <w:rPr>
                <w:rFonts w:cs="Arial"/>
                <w:b/>
                <w:bCs/>
                <w:color w:val="4472C4" w:themeColor="accent1"/>
                <w:sz w:val="20"/>
                <w:szCs w:val="20"/>
              </w:rPr>
            </w:pPr>
            <w:r w:rsidRPr="00A135A3">
              <w:rPr>
                <w:rFonts w:cs="Arial"/>
                <w:b/>
                <w:bCs/>
                <w:color w:val="4472C4" w:themeColor="accent1"/>
                <w:sz w:val="20"/>
                <w:szCs w:val="20"/>
              </w:rPr>
              <w:t xml:space="preserve">Frequency </w:t>
            </w:r>
          </w:p>
        </w:tc>
      </w:tr>
      <w:tr w:rsidR="008D636B" w:rsidRPr="00A135A3" w14:paraId="27E96D70" w14:textId="77777777" w:rsidTr="009A3F71">
        <w:tc>
          <w:tcPr>
            <w:tcW w:w="299" w:type="pct"/>
          </w:tcPr>
          <w:p w14:paraId="5D6F8DB2" w14:textId="77777777" w:rsidR="008D636B" w:rsidRPr="00A135A3" w:rsidRDefault="008D636B" w:rsidP="008D636B">
            <w:pPr>
              <w:spacing w:line="256" w:lineRule="auto"/>
              <w:jc w:val="center"/>
              <w:rPr>
                <w:rFonts w:cs="Arial"/>
                <w:b/>
                <w:bCs/>
                <w:sz w:val="20"/>
                <w:szCs w:val="20"/>
              </w:rPr>
            </w:pPr>
          </w:p>
        </w:tc>
        <w:tc>
          <w:tcPr>
            <w:tcW w:w="2098" w:type="pct"/>
          </w:tcPr>
          <w:p w14:paraId="1B9BBCBC" w14:textId="77777777" w:rsidR="008D636B" w:rsidRPr="00A135A3" w:rsidRDefault="008D636B" w:rsidP="008D636B">
            <w:pPr>
              <w:spacing w:line="256" w:lineRule="auto"/>
              <w:jc w:val="center"/>
              <w:rPr>
                <w:rFonts w:cs="Arial"/>
                <w:b/>
                <w:bCs/>
                <w:sz w:val="20"/>
                <w:szCs w:val="20"/>
              </w:rPr>
            </w:pPr>
          </w:p>
        </w:tc>
        <w:tc>
          <w:tcPr>
            <w:tcW w:w="791" w:type="pct"/>
          </w:tcPr>
          <w:p w14:paraId="40A42E52" w14:textId="77777777" w:rsidR="008D636B" w:rsidRPr="00A135A3" w:rsidRDefault="008D636B" w:rsidP="008D636B">
            <w:pPr>
              <w:spacing w:line="256" w:lineRule="auto"/>
              <w:jc w:val="center"/>
              <w:rPr>
                <w:rFonts w:cs="Arial"/>
                <w:b/>
                <w:bCs/>
                <w:sz w:val="20"/>
                <w:szCs w:val="20"/>
              </w:rPr>
            </w:pPr>
            <w:r w:rsidRPr="00A135A3">
              <w:rPr>
                <w:rFonts w:cs="Arial"/>
                <w:b/>
                <w:bCs/>
                <w:sz w:val="20"/>
                <w:szCs w:val="20"/>
              </w:rPr>
              <w:t>Root Cause &amp; Contributory Factor</w:t>
            </w:r>
          </w:p>
        </w:tc>
        <w:tc>
          <w:tcPr>
            <w:tcW w:w="760" w:type="pct"/>
          </w:tcPr>
          <w:p w14:paraId="7591D834" w14:textId="77777777" w:rsidR="008D636B" w:rsidRPr="00A135A3" w:rsidRDefault="008D636B" w:rsidP="008D636B">
            <w:pPr>
              <w:spacing w:line="256" w:lineRule="auto"/>
              <w:jc w:val="center"/>
              <w:rPr>
                <w:rFonts w:cs="Arial"/>
                <w:b/>
                <w:bCs/>
                <w:sz w:val="20"/>
                <w:szCs w:val="20"/>
              </w:rPr>
            </w:pPr>
            <w:r w:rsidRPr="00A135A3">
              <w:rPr>
                <w:rFonts w:cs="Arial"/>
                <w:b/>
                <w:bCs/>
                <w:sz w:val="20"/>
                <w:szCs w:val="20"/>
              </w:rPr>
              <w:t>Care and Service Delivery Problem</w:t>
            </w:r>
          </w:p>
        </w:tc>
        <w:tc>
          <w:tcPr>
            <w:tcW w:w="1051" w:type="pct"/>
          </w:tcPr>
          <w:p w14:paraId="7720299D" w14:textId="77777777" w:rsidR="008D636B" w:rsidRPr="00A135A3" w:rsidRDefault="008D636B" w:rsidP="008D636B">
            <w:pPr>
              <w:spacing w:line="256" w:lineRule="auto"/>
              <w:jc w:val="center"/>
              <w:rPr>
                <w:rFonts w:cs="Arial"/>
                <w:b/>
                <w:bCs/>
                <w:sz w:val="20"/>
                <w:szCs w:val="20"/>
              </w:rPr>
            </w:pPr>
            <w:r w:rsidRPr="00A135A3">
              <w:rPr>
                <w:rFonts w:cs="Arial"/>
                <w:b/>
                <w:bCs/>
                <w:sz w:val="20"/>
                <w:szCs w:val="20"/>
              </w:rPr>
              <w:t xml:space="preserve">Recommendation </w:t>
            </w:r>
          </w:p>
        </w:tc>
      </w:tr>
      <w:tr w:rsidR="008D636B" w:rsidRPr="00A135A3" w14:paraId="0AF36FA9" w14:textId="77777777" w:rsidTr="009A3F71">
        <w:tc>
          <w:tcPr>
            <w:tcW w:w="299" w:type="pct"/>
          </w:tcPr>
          <w:p w14:paraId="41182FD7" w14:textId="77777777" w:rsidR="008D636B" w:rsidRPr="00A135A3" w:rsidRDefault="008D636B" w:rsidP="008D636B">
            <w:pPr>
              <w:spacing w:line="256" w:lineRule="auto"/>
              <w:rPr>
                <w:rFonts w:cs="Arial"/>
                <w:sz w:val="20"/>
                <w:szCs w:val="20"/>
              </w:rPr>
            </w:pPr>
            <w:r w:rsidRPr="00A135A3">
              <w:rPr>
                <w:rFonts w:cs="Arial"/>
                <w:sz w:val="20"/>
                <w:szCs w:val="20"/>
              </w:rPr>
              <w:t>1</w:t>
            </w:r>
          </w:p>
        </w:tc>
        <w:tc>
          <w:tcPr>
            <w:tcW w:w="2098" w:type="pct"/>
          </w:tcPr>
          <w:p w14:paraId="57F00FE3" w14:textId="77777777" w:rsidR="008D636B" w:rsidRPr="00A135A3" w:rsidRDefault="008D636B" w:rsidP="008D636B">
            <w:pPr>
              <w:spacing w:line="256" w:lineRule="auto"/>
              <w:rPr>
                <w:rFonts w:cs="Arial"/>
                <w:sz w:val="20"/>
                <w:szCs w:val="20"/>
              </w:rPr>
            </w:pPr>
            <w:r w:rsidRPr="00A135A3">
              <w:rPr>
                <w:rFonts w:cs="Arial"/>
                <w:sz w:val="20"/>
                <w:szCs w:val="20"/>
              </w:rPr>
              <w:t>Patient factors</w:t>
            </w:r>
          </w:p>
        </w:tc>
        <w:tc>
          <w:tcPr>
            <w:tcW w:w="791" w:type="pct"/>
          </w:tcPr>
          <w:p w14:paraId="2F9E6DEE"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26</w:t>
            </w:r>
          </w:p>
        </w:tc>
        <w:tc>
          <w:tcPr>
            <w:tcW w:w="760" w:type="pct"/>
          </w:tcPr>
          <w:p w14:paraId="6BEBFD9A"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1</w:t>
            </w:r>
          </w:p>
        </w:tc>
        <w:tc>
          <w:tcPr>
            <w:tcW w:w="1051" w:type="pct"/>
          </w:tcPr>
          <w:p w14:paraId="576CFB59"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0</w:t>
            </w:r>
          </w:p>
        </w:tc>
      </w:tr>
      <w:tr w:rsidR="008D636B" w:rsidRPr="00A135A3" w14:paraId="7DBE2B18" w14:textId="77777777" w:rsidTr="009A3F71">
        <w:tc>
          <w:tcPr>
            <w:tcW w:w="299" w:type="pct"/>
          </w:tcPr>
          <w:p w14:paraId="380F5035" w14:textId="77777777" w:rsidR="008D636B" w:rsidRPr="00A135A3" w:rsidRDefault="008D636B" w:rsidP="008D636B">
            <w:pPr>
              <w:spacing w:line="256" w:lineRule="auto"/>
              <w:rPr>
                <w:rFonts w:cs="Arial"/>
                <w:sz w:val="20"/>
                <w:szCs w:val="20"/>
              </w:rPr>
            </w:pPr>
            <w:r w:rsidRPr="00A135A3">
              <w:rPr>
                <w:rFonts w:cs="Arial"/>
                <w:sz w:val="20"/>
                <w:szCs w:val="20"/>
              </w:rPr>
              <w:t>2</w:t>
            </w:r>
          </w:p>
        </w:tc>
        <w:tc>
          <w:tcPr>
            <w:tcW w:w="2098" w:type="pct"/>
          </w:tcPr>
          <w:p w14:paraId="3E84C25E" w14:textId="77777777" w:rsidR="008D636B" w:rsidRPr="00A135A3" w:rsidRDefault="008D636B" w:rsidP="008D636B">
            <w:pPr>
              <w:spacing w:line="256" w:lineRule="auto"/>
              <w:rPr>
                <w:rFonts w:cs="Arial"/>
                <w:sz w:val="20"/>
                <w:szCs w:val="20"/>
              </w:rPr>
            </w:pPr>
            <w:r w:rsidRPr="00A135A3">
              <w:rPr>
                <w:rFonts w:cs="Arial"/>
                <w:sz w:val="20"/>
                <w:szCs w:val="20"/>
              </w:rPr>
              <w:t xml:space="preserve">Assessment, treatment, </w:t>
            </w:r>
          </w:p>
          <w:p w14:paraId="06216412" w14:textId="77777777" w:rsidR="008D636B" w:rsidRPr="00A135A3" w:rsidRDefault="008D636B" w:rsidP="008D636B">
            <w:pPr>
              <w:spacing w:line="256" w:lineRule="auto"/>
              <w:rPr>
                <w:rFonts w:cs="Arial"/>
                <w:sz w:val="20"/>
                <w:szCs w:val="20"/>
              </w:rPr>
            </w:pPr>
            <w:r w:rsidRPr="00A135A3">
              <w:rPr>
                <w:rFonts w:cs="Arial"/>
                <w:sz w:val="20"/>
                <w:szCs w:val="20"/>
              </w:rPr>
              <w:t>follow up and discharge</w:t>
            </w:r>
          </w:p>
        </w:tc>
        <w:tc>
          <w:tcPr>
            <w:tcW w:w="791" w:type="pct"/>
          </w:tcPr>
          <w:p w14:paraId="4A08CACC"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37</w:t>
            </w:r>
          </w:p>
        </w:tc>
        <w:tc>
          <w:tcPr>
            <w:tcW w:w="760" w:type="pct"/>
          </w:tcPr>
          <w:p w14:paraId="4E58E028"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55</w:t>
            </w:r>
          </w:p>
        </w:tc>
        <w:tc>
          <w:tcPr>
            <w:tcW w:w="1051" w:type="pct"/>
          </w:tcPr>
          <w:p w14:paraId="429C3586"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27</w:t>
            </w:r>
          </w:p>
        </w:tc>
      </w:tr>
      <w:tr w:rsidR="008D636B" w:rsidRPr="00A135A3" w14:paraId="4EF34A7D" w14:textId="77777777" w:rsidTr="009A3F71">
        <w:tc>
          <w:tcPr>
            <w:tcW w:w="299" w:type="pct"/>
          </w:tcPr>
          <w:p w14:paraId="03883A9F" w14:textId="77777777" w:rsidR="008D636B" w:rsidRPr="00A135A3" w:rsidRDefault="008D636B" w:rsidP="008D636B">
            <w:pPr>
              <w:spacing w:line="256" w:lineRule="auto"/>
              <w:rPr>
                <w:rFonts w:cs="Arial"/>
                <w:sz w:val="20"/>
                <w:szCs w:val="20"/>
              </w:rPr>
            </w:pPr>
            <w:r w:rsidRPr="00A135A3">
              <w:rPr>
                <w:rFonts w:cs="Arial"/>
                <w:sz w:val="20"/>
                <w:szCs w:val="20"/>
              </w:rPr>
              <w:t>3</w:t>
            </w:r>
          </w:p>
        </w:tc>
        <w:tc>
          <w:tcPr>
            <w:tcW w:w="2098" w:type="pct"/>
          </w:tcPr>
          <w:p w14:paraId="1C3DA5D4" w14:textId="77777777" w:rsidR="008D636B" w:rsidRPr="00A135A3" w:rsidRDefault="008D636B" w:rsidP="008D636B">
            <w:pPr>
              <w:spacing w:line="256" w:lineRule="auto"/>
              <w:rPr>
                <w:rFonts w:cs="Arial"/>
                <w:sz w:val="20"/>
                <w:szCs w:val="20"/>
              </w:rPr>
            </w:pPr>
            <w:r w:rsidRPr="00A135A3">
              <w:rPr>
                <w:rFonts w:cs="Arial"/>
                <w:sz w:val="20"/>
                <w:szCs w:val="20"/>
              </w:rPr>
              <w:t>CPA and care planning</w:t>
            </w:r>
          </w:p>
        </w:tc>
        <w:tc>
          <w:tcPr>
            <w:tcW w:w="791" w:type="pct"/>
          </w:tcPr>
          <w:p w14:paraId="040F751C"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21</w:t>
            </w:r>
          </w:p>
        </w:tc>
        <w:tc>
          <w:tcPr>
            <w:tcW w:w="760" w:type="pct"/>
          </w:tcPr>
          <w:p w14:paraId="600C6466"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39</w:t>
            </w:r>
          </w:p>
        </w:tc>
        <w:tc>
          <w:tcPr>
            <w:tcW w:w="1051" w:type="pct"/>
          </w:tcPr>
          <w:p w14:paraId="567483DB"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32</w:t>
            </w:r>
          </w:p>
        </w:tc>
      </w:tr>
      <w:tr w:rsidR="008D636B" w:rsidRPr="00A135A3" w14:paraId="3B4674E3" w14:textId="77777777" w:rsidTr="009A3F71">
        <w:tc>
          <w:tcPr>
            <w:tcW w:w="299" w:type="pct"/>
          </w:tcPr>
          <w:p w14:paraId="667D86C2" w14:textId="77777777" w:rsidR="008D636B" w:rsidRPr="00A135A3" w:rsidRDefault="008D636B" w:rsidP="008D636B">
            <w:pPr>
              <w:spacing w:line="256" w:lineRule="auto"/>
              <w:rPr>
                <w:rFonts w:cs="Arial"/>
                <w:sz w:val="20"/>
                <w:szCs w:val="20"/>
              </w:rPr>
            </w:pPr>
            <w:r w:rsidRPr="00A135A3">
              <w:rPr>
                <w:rFonts w:cs="Arial"/>
                <w:sz w:val="20"/>
                <w:szCs w:val="20"/>
              </w:rPr>
              <w:t>4</w:t>
            </w:r>
          </w:p>
        </w:tc>
        <w:tc>
          <w:tcPr>
            <w:tcW w:w="2098" w:type="pct"/>
          </w:tcPr>
          <w:p w14:paraId="78A7A926" w14:textId="77777777" w:rsidR="008D636B" w:rsidRPr="00A135A3" w:rsidRDefault="008D636B" w:rsidP="008D636B">
            <w:pPr>
              <w:spacing w:line="256" w:lineRule="auto"/>
              <w:rPr>
                <w:rFonts w:cs="Arial"/>
                <w:sz w:val="20"/>
                <w:szCs w:val="20"/>
              </w:rPr>
            </w:pPr>
            <w:r w:rsidRPr="00A135A3">
              <w:rPr>
                <w:rFonts w:cs="Arial"/>
                <w:sz w:val="20"/>
                <w:szCs w:val="20"/>
              </w:rPr>
              <w:t>Risk assessment &amp; management</w:t>
            </w:r>
          </w:p>
        </w:tc>
        <w:tc>
          <w:tcPr>
            <w:tcW w:w="791" w:type="pct"/>
          </w:tcPr>
          <w:p w14:paraId="53110D7E"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26</w:t>
            </w:r>
          </w:p>
        </w:tc>
        <w:tc>
          <w:tcPr>
            <w:tcW w:w="760" w:type="pct"/>
          </w:tcPr>
          <w:p w14:paraId="503F69D2"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34</w:t>
            </w:r>
          </w:p>
        </w:tc>
        <w:tc>
          <w:tcPr>
            <w:tcW w:w="1051" w:type="pct"/>
          </w:tcPr>
          <w:p w14:paraId="2BCB8F55"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27</w:t>
            </w:r>
          </w:p>
        </w:tc>
      </w:tr>
      <w:tr w:rsidR="008D636B" w:rsidRPr="00A135A3" w14:paraId="49AB5046" w14:textId="77777777" w:rsidTr="009A3F71">
        <w:tc>
          <w:tcPr>
            <w:tcW w:w="299" w:type="pct"/>
          </w:tcPr>
          <w:p w14:paraId="18FF0D79" w14:textId="77777777" w:rsidR="008D636B" w:rsidRPr="00A135A3" w:rsidRDefault="008D636B" w:rsidP="008D636B">
            <w:pPr>
              <w:spacing w:line="256" w:lineRule="auto"/>
              <w:rPr>
                <w:rFonts w:cs="Arial"/>
                <w:sz w:val="20"/>
                <w:szCs w:val="20"/>
              </w:rPr>
            </w:pPr>
            <w:r w:rsidRPr="00A135A3">
              <w:rPr>
                <w:rFonts w:cs="Arial"/>
                <w:sz w:val="20"/>
                <w:szCs w:val="20"/>
              </w:rPr>
              <w:t>5</w:t>
            </w:r>
          </w:p>
        </w:tc>
        <w:tc>
          <w:tcPr>
            <w:tcW w:w="2098" w:type="pct"/>
          </w:tcPr>
          <w:p w14:paraId="0BB488BE" w14:textId="77777777" w:rsidR="008D636B" w:rsidRPr="00A135A3" w:rsidRDefault="008D636B" w:rsidP="008D636B">
            <w:pPr>
              <w:spacing w:line="256" w:lineRule="auto"/>
              <w:rPr>
                <w:rFonts w:cs="Arial"/>
                <w:sz w:val="20"/>
                <w:szCs w:val="20"/>
              </w:rPr>
            </w:pPr>
            <w:r w:rsidRPr="00A135A3">
              <w:rPr>
                <w:rFonts w:cs="Arial"/>
                <w:sz w:val="20"/>
                <w:szCs w:val="20"/>
              </w:rPr>
              <w:t>Communication</w:t>
            </w:r>
          </w:p>
        </w:tc>
        <w:tc>
          <w:tcPr>
            <w:tcW w:w="791" w:type="pct"/>
          </w:tcPr>
          <w:p w14:paraId="27EE93D4"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17</w:t>
            </w:r>
          </w:p>
        </w:tc>
        <w:tc>
          <w:tcPr>
            <w:tcW w:w="760" w:type="pct"/>
          </w:tcPr>
          <w:p w14:paraId="06A9E557"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37</w:t>
            </w:r>
          </w:p>
        </w:tc>
        <w:tc>
          <w:tcPr>
            <w:tcW w:w="1051" w:type="pct"/>
          </w:tcPr>
          <w:p w14:paraId="3ECFEC5C"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28</w:t>
            </w:r>
          </w:p>
        </w:tc>
      </w:tr>
      <w:tr w:rsidR="008D636B" w:rsidRPr="00A135A3" w14:paraId="548EA6E5" w14:textId="77777777" w:rsidTr="009A3F71">
        <w:tc>
          <w:tcPr>
            <w:tcW w:w="299" w:type="pct"/>
          </w:tcPr>
          <w:p w14:paraId="4C3378E0" w14:textId="77777777" w:rsidR="008D636B" w:rsidRPr="00A135A3" w:rsidRDefault="008D636B" w:rsidP="008D636B">
            <w:pPr>
              <w:spacing w:line="256" w:lineRule="auto"/>
              <w:rPr>
                <w:rFonts w:cs="Arial"/>
                <w:sz w:val="20"/>
                <w:szCs w:val="20"/>
              </w:rPr>
            </w:pPr>
            <w:r w:rsidRPr="00A135A3">
              <w:rPr>
                <w:rFonts w:cs="Arial"/>
                <w:sz w:val="20"/>
                <w:szCs w:val="20"/>
              </w:rPr>
              <w:t>6</w:t>
            </w:r>
          </w:p>
        </w:tc>
        <w:tc>
          <w:tcPr>
            <w:tcW w:w="2098" w:type="pct"/>
          </w:tcPr>
          <w:p w14:paraId="6DB11558" w14:textId="2212BF28" w:rsidR="008D636B" w:rsidRPr="00A135A3" w:rsidRDefault="008D636B" w:rsidP="008D636B">
            <w:pPr>
              <w:spacing w:line="256" w:lineRule="auto"/>
              <w:rPr>
                <w:rFonts w:cs="Arial"/>
                <w:sz w:val="20"/>
                <w:szCs w:val="20"/>
              </w:rPr>
            </w:pPr>
            <w:r w:rsidRPr="00A135A3">
              <w:rPr>
                <w:rFonts w:cs="Arial"/>
                <w:sz w:val="20"/>
                <w:szCs w:val="20"/>
              </w:rPr>
              <w:t>Record</w:t>
            </w:r>
            <w:r w:rsidR="00615645" w:rsidRPr="00A135A3">
              <w:rPr>
                <w:rFonts w:cs="Arial"/>
                <w:sz w:val="20"/>
                <w:szCs w:val="20"/>
              </w:rPr>
              <w:t>-</w:t>
            </w:r>
            <w:r w:rsidRPr="00A135A3">
              <w:rPr>
                <w:rFonts w:cs="Arial"/>
                <w:sz w:val="20"/>
                <w:szCs w:val="20"/>
              </w:rPr>
              <w:t>keeping</w:t>
            </w:r>
          </w:p>
        </w:tc>
        <w:tc>
          <w:tcPr>
            <w:tcW w:w="791" w:type="pct"/>
          </w:tcPr>
          <w:p w14:paraId="3D8CC75B"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5</w:t>
            </w:r>
          </w:p>
        </w:tc>
        <w:tc>
          <w:tcPr>
            <w:tcW w:w="760" w:type="pct"/>
          </w:tcPr>
          <w:p w14:paraId="5CC8C799"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11</w:t>
            </w:r>
          </w:p>
        </w:tc>
        <w:tc>
          <w:tcPr>
            <w:tcW w:w="1051" w:type="pct"/>
          </w:tcPr>
          <w:p w14:paraId="1D9E14BF"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19</w:t>
            </w:r>
          </w:p>
        </w:tc>
      </w:tr>
      <w:tr w:rsidR="008D636B" w:rsidRPr="00A135A3" w14:paraId="2BC94516" w14:textId="77777777" w:rsidTr="009A3F71">
        <w:tc>
          <w:tcPr>
            <w:tcW w:w="299" w:type="pct"/>
          </w:tcPr>
          <w:p w14:paraId="7FA59247" w14:textId="77777777" w:rsidR="008D636B" w:rsidRPr="00A135A3" w:rsidRDefault="008D636B" w:rsidP="008D636B">
            <w:pPr>
              <w:spacing w:line="256" w:lineRule="auto"/>
              <w:rPr>
                <w:rFonts w:cs="Arial"/>
                <w:sz w:val="20"/>
                <w:szCs w:val="20"/>
              </w:rPr>
            </w:pPr>
            <w:r w:rsidRPr="00A135A3">
              <w:rPr>
                <w:rFonts w:cs="Arial"/>
                <w:sz w:val="20"/>
                <w:szCs w:val="20"/>
              </w:rPr>
              <w:t>7</w:t>
            </w:r>
          </w:p>
        </w:tc>
        <w:tc>
          <w:tcPr>
            <w:tcW w:w="2098" w:type="pct"/>
          </w:tcPr>
          <w:p w14:paraId="0DE9AE00" w14:textId="77777777" w:rsidR="008D636B" w:rsidRPr="00A135A3" w:rsidRDefault="008D636B" w:rsidP="008D636B">
            <w:pPr>
              <w:spacing w:line="256" w:lineRule="auto"/>
              <w:rPr>
                <w:rFonts w:cs="Arial"/>
                <w:sz w:val="20"/>
                <w:szCs w:val="20"/>
              </w:rPr>
            </w:pPr>
            <w:r w:rsidRPr="00A135A3">
              <w:rPr>
                <w:rFonts w:cs="Arial"/>
                <w:sz w:val="20"/>
                <w:szCs w:val="20"/>
              </w:rPr>
              <w:t>Operational management</w:t>
            </w:r>
          </w:p>
        </w:tc>
        <w:tc>
          <w:tcPr>
            <w:tcW w:w="791" w:type="pct"/>
          </w:tcPr>
          <w:p w14:paraId="58C4E162"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6</w:t>
            </w:r>
          </w:p>
        </w:tc>
        <w:tc>
          <w:tcPr>
            <w:tcW w:w="760" w:type="pct"/>
          </w:tcPr>
          <w:p w14:paraId="14074CF6"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50</w:t>
            </w:r>
          </w:p>
        </w:tc>
        <w:tc>
          <w:tcPr>
            <w:tcW w:w="1051" w:type="pct"/>
          </w:tcPr>
          <w:p w14:paraId="77204378"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w:t>
            </w:r>
          </w:p>
        </w:tc>
      </w:tr>
      <w:tr w:rsidR="008D636B" w:rsidRPr="00A135A3" w14:paraId="1DE881E8" w14:textId="77777777" w:rsidTr="009A3F71">
        <w:tc>
          <w:tcPr>
            <w:tcW w:w="299" w:type="pct"/>
          </w:tcPr>
          <w:p w14:paraId="636C2572" w14:textId="77777777" w:rsidR="008D636B" w:rsidRPr="00A135A3" w:rsidRDefault="008D636B" w:rsidP="008D636B">
            <w:pPr>
              <w:spacing w:line="256" w:lineRule="auto"/>
              <w:rPr>
                <w:rFonts w:cs="Arial"/>
                <w:sz w:val="20"/>
                <w:szCs w:val="20"/>
              </w:rPr>
            </w:pPr>
            <w:r w:rsidRPr="00A135A3">
              <w:rPr>
                <w:rFonts w:cs="Arial"/>
                <w:sz w:val="20"/>
                <w:szCs w:val="20"/>
              </w:rPr>
              <w:t>8</w:t>
            </w:r>
          </w:p>
        </w:tc>
        <w:tc>
          <w:tcPr>
            <w:tcW w:w="2098" w:type="pct"/>
          </w:tcPr>
          <w:p w14:paraId="46E5790E" w14:textId="77777777" w:rsidR="008D636B" w:rsidRPr="00A135A3" w:rsidRDefault="008D636B" w:rsidP="008D636B">
            <w:pPr>
              <w:spacing w:line="256" w:lineRule="auto"/>
              <w:rPr>
                <w:rFonts w:cs="Arial"/>
                <w:sz w:val="20"/>
                <w:szCs w:val="20"/>
              </w:rPr>
            </w:pPr>
            <w:r w:rsidRPr="00A135A3">
              <w:rPr>
                <w:rFonts w:cs="Arial"/>
                <w:sz w:val="20"/>
                <w:szCs w:val="20"/>
              </w:rPr>
              <w:t>Resource</w:t>
            </w:r>
          </w:p>
        </w:tc>
        <w:tc>
          <w:tcPr>
            <w:tcW w:w="791" w:type="pct"/>
          </w:tcPr>
          <w:p w14:paraId="6C61E47A"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11</w:t>
            </w:r>
          </w:p>
        </w:tc>
        <w:tc>
          <w:tcPr>
            <w:tcW w:w="760" w:type="pct"/>
          </w:tcPr>
          <w:p w14:paraId="028706B9"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25</w:t>
            </w:r>
          </w:p>
        </w:tc>
        <w:tc>
          <w:tcPr>
            <w:tcW w:w="1051" w:type="pct"/>
          </w:tcPr>
          <w:p w14:paraId="111997FD"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12</w:t>
            </w:r>
          </w:p>
        </w:tc>
      </w:tr>
      <w:tr w:rsidR="008D636B" w:rsidRPr="00A135A3" w14:paraId="3C4683E7" w14:textId="77777777" w:rsidTr="009A3F71">
        <w:tc>
          <w:tcPr>
            <w:tcW w:w="299" w:type="pct"/>
          </w:tcPr>
          <w:p w14:paraId="7BCC6636" w14:textId="77777777" w:rsidR="008D636B" w:rsidRPr="00A135A3" w:rsidRDefault="008D636B" w:rsidP="008D636B">
            <w:pPr>
              <w:spacing w:line="256" w:lineRule="auto"/>
              <w:rPr>
                <w:rFonts w:cs="Arial"/>
                <w:sz w:val="20"/>
                <w:szCs w:val="20"/>
              </w:rPr>
            </w:pPr>
            <w:r w:rsidRPr="00A135A3">
              <w:rPr>
                <w:rFonts w:cs="Arial"/>
                <w:sz w:val="20"/>
                <w:szCs w:val="20"/>
              </w:rPr>
              <w:t>9</w:t>
            </w:r>
          </w:p>
        </w:tc>
        <w:tc>
          <w:tcPr>
            <w:tcW w:w="2098" w:type="pct"/>
          </w:tcPr>
          <w:p w14:paraId="6B7A2A03" w14:textId="77777777" w:rsidR="008D636B" w:rsidRPr="00A135A3" w:rsidRDefault="008D636B" w:rsidP="008D636B">
            <w:pPr>
              <w:spacing w:line="256" w:lineRule="auto"/>
              <w:rPr>
                <w:rFonts w:cs="Arial"/>
                <w:sz w:val="20"/>
                <w:szCs w:val="20"/>
              </w:rPr>
            </w:pPr>
            <w:r w:rsidRPr="00A135A3">
              <w:rPr>
                <w:rFonts w:cs="Arial"/>
                <w:sz w:val="20"/>
                <w:szCs w:val="20"/>
              </w:rPr>
              <w:t>Clinical governance</w:t>
            </w:r>
          </w:p>
        </w:tc>
        <w:tc>
          <w:tcPr>
            <w:tcW w:w="791" w:type="pct"/>
          </w:tcPr>
          <w:p w14:paraId="48AAB3CB"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1</w:t>
            </w:r>
          </w:p>
        </w:tc>
        <w:tc>
          <w:tcPr>
            <w:tcW w:w="760" w:type="pct"/>
          </w:tcPr>
          <w:p w14:paraId="57C05294"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5</w:t>
            </w:r>
          </w:p>
        </w:tc>
        <w:tc>
          <w:tcPr>
            <w:tcW w:w="1051" w:type="pct"/>
          </w:tcPr>
          <w:p w14:paraId="082CDDD2"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104</w:t>
            </w:r>
          </w:p>
        </w:tc>
      </w:tr>
      <w:tr w:rsidR="008D636B" w:rsidRPr="00A135A3" w14:paraId="49139ECA" w14:textId="77777777" w:rsidTr="009A3F71">
        <w:tc>
          <w:tcPr>
            <w:tcW w:w="299" w:type="pct"/>
          </w:tcPr>
          <w:p w14:paraId="783EFABF" w14:textId="77777777" w:rsidR="008D636B" w:rsidRPr="00A135A3" w:rsidRDefault="008D636B" w:rsidP="008D636B">
            <w:pPr>
              <w:spacing w:line="256" w:lineRule="auto"/>
              <w:rPr>
                <w:rFonts w:cs="Arial"/>
                <w:sz w:val="20"/>
                <w:szCs w:val="20"/>
              </w:rPr>
            </w:pPr>
            <w:r w:rsidRPr="00A135A3">
              <w:rPr>
                <w:rFonts w:cs="Arial"/>
                <w:sz w:val="20"/>
                <w:szCs w:val="20"/>
              </w:rPr>
              <w:t>10</w:t>
            </w:r>
          </w:p>
        </w:tc>
        <w:tc>
          <w:tcPr>
            <w:tcW w:w="2098" w:type="pct"/>
          </w:tcPr>
          <w:p w14:paraId="23267CAE" w14:textId="77777777" w:rsidR="008D636B" w:rsidRPr="00A135A3" w:rsidRDefault="008D636B" w:rsidP="008D636B">
            <w:pPr>
              <w:spacing w:line="256" w:lineRule="auto"/>
              <w:rPr>
                <w:rFonts w:cs="Arial"/>
                <w:sz w:val="20"/>
                <w:szCs w:val="20"/>
              </w:rPr>
            </w:pPr>
            <w:r w:rsidRPr="00A135A3">
              <w:rPr>
                <w:rFonts w:cs="Arial"/>
                <w:sz w:val="20"/>
                <w:szCs w:val="20"/>
              </w:rPr>
              <w:t>Clinical leadership</w:t>
            </w:r>
          </w:p>
        </w:tc>
        <w:tc>
          <w:tcPr>
            <w:tcW w:w="791" w:type="pct"/>
          </w:tcPr>
          <w:p w14:paraId="1689EC77"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2</w:t>
            </w:r>
          </w:p>
        </w:tc>
        <w:tc>
          <w:tcPr>
            <w:tcW w:w="760" w:type="pct"/>
          </w:tcPr>
          <w:p w14:paraId="44414F1F"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5</w:t>
            </w:r>
          </w:p>
        </w:tc>
        <w:tc>
          <w:tcPr>
            <w:tcW w:w="1051" w:type="pct"/>
          </w:tcPr>
          <w:p w14:paraId="18853374"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w:t>
            </w:r>
          </w:p>
        </w:tc>
      </w:tr>
      <w:tr w:rsidR="008D636B" w:rsidRPr="00A135A3" w14:paraId="756D7827" w14:textId="77777777" w:rsidTr="009A3F71">
        <w:tc>
          <w:tcPr>
            <w:tcW w:w="299" w:type="pct"/>
          </w:tcPr>
          <w:p w14:paraId="10BF8753" w14:textId="77777777" w:rsidR="008D636B" w:rsidRPr="00A135A3" w:rsidRDefault="008D636B" w:rsidP="008D636B">
            <w:pPr>
              <w:spacing w:line="256" w:lineRule="auto"/>
              <w:rPr>
                <w:rFonts w:cs="Arial"/>
                <w:sz w:val="20"/>
                <w:szCs w:val="20"/>
              </w:rPr>
            </w:pPr>
            <w:r w:rsidRPr="00A135A3">
              <w:rPr>
                <w:rFonts w:cs="Arial"/>
                <w:sz w:val="20"/>
                <w:szCs w:val="20"/>
              </w:rPr>
              <w:t>11</w:t>
            </w:r>
          </w:p>
        </w:tc>
        <w:tc>
          <w:tcPr>
            <w:tcW w:w="2098" w:type="pct"/>
          </w:tcPr>
          <w:p w14:paraId="1EB729C3" w14:textId="77777777" w:rsidR="008D636B" w:rsidRPr="00A135A3" w:rsidRDefault="008D636B" w:rsidP="008D636B">
            <w:pPr>
              <w:spacing w:line="256" w:lineRule="auto"/>
              <w:rPr>
                <w:rFonts w:cs="Arial"/>
                <w:sz w:val="20"/>
                <w:szCs w:val="20"/>
              </w:rPr>
            </w:pPr>
            <w:r w:rsidRPr="00A135A3">
              <w:rPr>
                <w:rFonts w:cs="Arial"/>
                <w:sz w:val="20"/>
                <w:szCs w:val="20"/>
              </w:rPr>
              <w:t>Safeguarding</w:t>
            </w:r>
          </w:p>
        </w:tc>
        <w:tc>
          <w:tcPr>
            <w:tcW w:w="791" w:type="pct"/>
          </w:tcPr>
          <w:p w14:paraId="73C9D090"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1</w:t>
            </w:r>
          </w:p>
        </w:tc>
        <w:tc>
          <w:tcPr>
            <w:tcW w:w="760" w:type="pct"/>
          </w:tcPr>
          <w:p w14:paraId="20532365"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13</w:t>
            </w:r>
          </w:p>
        </w:tc>
        <w:tc>
          <w:tcPr>
            <w:tcW w:w="1051" w:type="pct"/>
          </w:tcPr>
          <w:p w14:paraId="30818F91"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2</w:t>
            </w:r>
          </w:p>
        </w:tc>
      </w:tr>
      <w:tr w:rsidR="008D636B" w:rsidRPr="00A135A3" w14:paraId="303A5BB7" w14:textId="77777777" w:rsidTr="009A3F71">
        <w:tc>
          <w:tcPr>
            <w:tcW w:w="299" w:type="pct"/>
          </w:tcPr>
          <w:p w14:paraId="03A75F24" w14:textId="77777777" w:rsidR="008D636B" w:rsidRPr="00A135A3" w:rsidRDefault="008D636B" w:rsidP="008D636B">
            <w:pPr>
              <w:spacing w:line="256" w:lineRule="auto"/>
              <w:rPr>
                <w:rFonts w:cs="Arial"/>
                <w:sz w:val="20"/>
                <w:szCs w:val="20"/>
              </w:rPr>
            </w:pPr>
            <w:r w:rsidRPr="00A135A3">
              <w:rPr>
                <w:rFonts w:cs="Arial"/>
                <w:sz w:val="20"/>
                <w:szCs w:val="20"/>
              </w:rPr>
              <w:t>12</w:t>
            </w:r>
          </w:p>
        </w:tc>
        <w:tc>
          <w:tcPr>
            <w:tcW w:w="2098" w:type="pct"/>
          </w:tcPr>
          <w:p w14:paraId="46F99C01" w14:textId="77777777" w:rsidR="008D636B" w:rsidRPr="00A135A3" w:rsidRDefault="008D636B" w:rsidP="008D636B">
            <w:pPr>
              <w:spacing w:line="256" w:lineRule="auto"/>
              <w:rPr>
                <w:rFonts w:cs="Arial"/>
                <w:sz w:val="20"/>
                <w:szCs w:val="20"/>
              </w:rPr>
            </w:pPr>
            <w:r w:rsidRPr="00A135A3">
              <w:rPr>
                <w:rFonts w:cs="Arial"/>
                <w:sz w:val="20"/>
                <w:szCs w:val="20"/>
              </w:rPr>
              <w:t>Service configuration</w:t>
            </w:r>
          </w:p>
        </w:tc>
        <w:tc>
          <w:tcPr>
            <w:tcW w:w="791" w:type="pct"/>
          </w:tcPr>
          <w:p w14:paraId="70E2A77B"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4</w:t>
            </w:r>
          </w:p>
        </w:tc>
        <w:tc>
          <w:tcPr>
            <w:tcW w:w="760" w:type="pct"/>
          </w:tcPr>
          <w:p w14:paraId="424000B6"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9</w:t>
            </w:r>
          </w:p>
        </w:tc>
        <w:tc>
          <w:tcPr>
            <w:tcW w:w="1051" w:type="pct"/>
          </w:tcPr>
          <w:p w14:paraId="2C6816AB"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5</w:t>
            </w:r>
          </w:p>
        </w:tc>
      </w:tr>
      <w:tr w:rsidR="008D636B" w:rsidRPr="00A135A3" w14:paraId="7C3FB080" w14:textId="77777777" w:rsidTr="009A3F71">
        <w:tc>
          <w:tcPr>
            <w:tcW w:w="299" w:type="pct"/>
          </w:tcPr>
          <w:p w14:paraId="49DD3ACB" w14:textId="77777777" w:rsidR="008D636B" w:rsidRPr="00A135A3" w:rsidRDefault="008D636B" w:rsidP="008D636B">
            <w:pPr>
              <w:spacing w:line="256" w:lineRule="auto"/>
              <w:rPr>
                <w:rFonts w:cs="Arial"/>
                <w:sz w:val="20"/>
                <w:szCs w:val="20"/>
              </w:rPr>
            </w:pPr>
            <w:r w:rsidRPr="00A135A3">
              <w:rPr>
                <w:rFonts w:cs="Arial"/>
                <w:sz w:val="20"/>
                <w:szCs w:val="20"/>
              </w:rPr>
              <w:t>13</w:t>
            </w:r>
          </w:p>
        </w:tc>
        <w:tc>
          <w:tcPr>
            <w:tcW w:w="2098" w:type="pct"/>
          </w:tcPr>
          <w:p w14:paraId="47256A3E" w14:textId="77777777" w:rsidR="008D636B" w:rsidRPr="00A135A3" w:rsidRDefault="008D636B" w:rsidP="008D636B">
            <w:pPr>
              <w:spacing w:line="256" w:lineRule="auto"/>
              <w:rPr>
                <w:rFonts w:cs="Arial"/>
                <w:sz w:val="20"/>
                <w:szCs w:val="20"/>
              </w:rPr>
            </w:pPr>
            <w:r w:rsidRPr="00A135A3">
              <w:rPr>
                <w:rFonts w:cs="Arial"/>
                <w:sz w:val="20"/>
                <w:szCs w:val="20"/>
              </w:rPr>
              <w:t>Training</w:t>
            </w:r>
          </w:p>
        </w:tc>
        <w:tc>
          <w:tcPr>
            <w:tcW w:w="791" w:type="pct"/>
          </w:tcPr>
          <w:p w14:paraId="0169A6F7"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1</w:t>
            </w:r>
          </w:p>
        </w:tc>
        <w:tc>
          <w:tcPr>
            <w:tcW w:w="760" w:type="pct"/>
          </w:tcPr>
          <w:p w14:paraId="4D370E6C"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1</w:t>
            </w:r>
          </w:p>
        </w:tc>
        <w:tc>
          <w:tcPr>
            <w:tcW w:w="1051" w:type="pct"/>
          </w:tcPr>
          <w:p w14:paraId="54312405"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43</w:t>
            </w:r>
          </w:p>
        </w:tc>
      </w:tr>
      <w:tr w:rsidR="008D636B" w:rsidRPr="00A135A3" w14:paraId="15894770" w14:textId="77777777" w:rsidTr="009A3F71">
        <w:tc>
          <w:tcPr>
            <w:tcW w:w="299" w:type="pct"/>
          </w:tcPr>
          <w:p w14:paraId="326312CA" w14:textId="77777777" w:rsidR="008D636B" w:rsidRPr="00A135A3" w:rsidRDefault="008D636B" w:rsidP="008D636B">
            <w:pPr>
              <w:spacing w:line="256" w:lineRule="auto"/>
              <w:rPr>
                <w:rFonts w:cs="Arial"/>
                <w:sz w:val="20"/>
                <w:szCs w:val="20"/>
              </w:rPr>
            </w:pPr>
            <w:r w:rsidRPr="00A135A3">
              <w:rPr>
                <w:rFonts w:cs="Arial"/>
                <w:sz w:val="20"/>
                <w:szCs w:val="20"/>
              </w:rPr>
              <w:t>14</w:t>
            </w:r>
          </w:p>
        </w:tc>
        <w:tc>
          <w:tcPr>
            <w:tcW w:w="2098" w:type="pct"/>
          </w:tcPr>
          <w:p w14:paraId="1DD4A5A1" w14:textId="77777777" w:rsidR="008D636B" w:rsidRPr="00A135A3" w:rsidRDefault="008D636B" w:rsidP="008D636B">
            <w:pPr>
              <w:spacing w:line="256" w:lineRule="auto"/>
              <w:rPr>
                <w:rFonts w:cs="Arial"/>
                <w:sz w:val="20"/>
                <w:szCs w:val="20"/>
              </w:rPr>
            </w:pPr>
            <w:r w:rsidRPr="00A135A3">
              <w:rPr>
                <w:rFonts w:cs="Arial"/>
                <w:sz w:val="20"/>
                <w:szCs w:val="20"/>
              </w:rPr>
              <w:t>Commissioning of services</w:t>
            </w:r>
          </w:p>
          <w:p w14:paraId="01E2C797" w14:textId="77777777" w:rsidR="008D636B" w:rsidRPr="00A135A3" w:rsidRDefault="008D636B" w:rsidP="008D636B">
            <w:pPr>
              <w:spacing w:line="256" w:lineRule="auto"/>
              <w:rPr>
                <w:rFonts w:cs="Arial"/>
                <w:sz w:val="20"/>
                <w:szCs w:val="20"/>
              </w:rPr>
            </w:pPr>
            <w:r w:rsidRPr="00A135A3">
              <w:rPr>
                <w:rFonts w:cs="Arial"/>
                <w:sz w:val="20"/>
                <w:szCs w:val="20"/>
              </w:rPr>
              <w:t xml:space="preserve"> to meet population needs</w:t>
            </w:r>
          </w:p>
        </w:tc>
        <w:tc>
          <w:tcPr>
            <w:tcW w:w="791" w:type="pct"/>
          </w:tcPr>
          <w:p w14:paraId="740FA4E0"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6</w:t>
            </w:r>
          </w:p>
        </w:tc>
        <w:tc>
          <w:tcPr>
            <w:tcW w:w="760" w:type="pct"/>
          </w:tcPr>
          <w:p w14:paraId="173507FC"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4</w:t>
            </w:r>
          </w:p>
        </w:tc>
        <w:tc>
          <w:tcPr>
            <w:tcW w:w="1051" w:type="pct"/>
          </w:tcPr>
          <w:p w14:paraId="68801A99"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24</w:t>
            </w:r>
          </w:p>
        </w:tc>
      </w:tr>
      <w:tr w:rsidR="008D636B" w:rsidRPr="00A135A3" w14:paraId="1225C0AE" w14:textId="77777777" w:rsidTr="009A3F71">
        <w:tc>
          <w:tcPr>
            <w:tcW w:w="299" w:type="pct"/>
          </w:tcPr>
          <w:p w14:paraId="4E863DB9" w14:textId="77777777" w:rsidR="008D636B" w:rsidRPr="00A135A3" w:rsidRDefault="008D636B" w:rsidP="008D636B">
            <w:pPr>
              <w:spacing w:line="256" w:lineRule="auto"/>
              <w:rPr>
                <w:rFonts w:cs="Arial"/>
                <w:sz w:val="20"/>
                <w:szCs w:val="20"/>
              </w:rPr>
            </w:pPr>
            <w:r w:rsidRPr="00A135A3">
              <w:rPr>
                <w:rFonts w:cs="Arial"/>
                <w:sz w:val="20"/>
                <w:szCs w:val="20"/>
              </w:rPr>
              <w:t>15</w:t>
            </w:r>
          </w:p>
        </w:tc>
        <w:tc>
          <w:tcPr>
            <w:tcW w:w="2098" w:type="pct"/>
          </w:tcPr>
          <w:p w14:paraId="0EFAB83A" w14:textId="77777777" w:rsidR="008D636B" w:rsidRPr="00A135A3" w:rsidRDefault="008D636B" w:rsidP="008D636B">
            <w:pPr>
              <w:spacing w:line="256" w:lineRule="auto"/>
              <w:rPr>
                <w:rFonts w:cs="Arial"/>
                <w:sz w:val="20"/>
                <w:szCs w:val="20"/>
              </w:rPr>
            </w:pPr>
            <w:r w:rsidRPr="00A135A3">
              <w:rPr>
                <w:rFonts w:cs="Arial"/>
                <w:sz w:val="20"/>
                <w:szCs w:val="20"/>
              </w:rPr>
              <w:t>Tools</w:t>
            </w:r>
          </w:p>
        </w:tc>
        <w:tc>
          <w:tcPr>
            <w:tcW w:w="791" w:type="pct"/>
          </w:tcPr>
          <w:p w14:paraId="437A50A0"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0</w:t>
            </w:r>
          </w:p>
        </w:tc>
        <w:tc>
          <w:tcPr>
            <w:tcW w:w="760" w:type="pct"/>
          </w:tcPr>
          <w:p w14:paraId="4673F5DF"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1</w:t>
            </w:r>
          </w:p>
        </w:tc>
        <w:tc>
          <w:tcPr>
            <w:tcW w:w="1051" w:type="pct"/>
          </w:tcPr>
          <w:p w14:paraId="69AC4D7E"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8</w:t>
            </w:r>
          </w:p>
        </w:tc>
      </w:tr>
      <w:tr w:rsidR="008D636B" w:rsidRPr="00A135A3" w14:paraId="6DDF1471" w14:textId="77777777" w:rsidTr="009A3F71">
        <w:tc>
          <w:tcPr>
            <w:tcW w:w="299" w:type="pct"/>
          </w:tcPr>
          <w:p w14:paraId="4D5D87E3" w14:textId="77777777" w:rsidR="008D636B" w:rsidRPr="00A135A3" w:rsidRDefault="008D636B" w:rsidP="008D636B">
            <w:pPr>
              <w:spacing w:line="256" w:lineRule="auto"/>
              <w:rPr>
                <w:rFonts w:cs="Arial"/>
                <w:sz w:val="20"/>
                <w:szCs w:val="20"/>
              </w:rPr>
            </w:pPr>
            <w:r w:rsidRPr="00A135A3">
              <w:rPr>
                <w:rFonts w:cs="Arial"/>
                <w:sz w:val="20"/>
                <w:szCs w:val="20"/>
              </w:rPr>
              <w:t>16</w:t>
            </w:r>
          </w:p>
        </w:tc>
        <w:tc>
          <w:tcPr>
            <w:tcW w:w="2098" w:type="pct"/>
          </w:tcPr>
          <w:p w14:paraId="1832DD8B" w14:textId="77777777" w:rsidR="008D636B" w:rsidRPr="00A135A3" w:rsidRDefault="008D636B" w:rsidP="008D636B">
            <w:pPr>
              <w:spacing w:line="256" w:lineRule="auto"/>
              <w:rPr>
                <w:rFonts w:cs="Arial"/>
                <w:sz w:val="20"/>
                <w:szCs w:val="20"/>
              </w:rPr>
            </w:pPr>
            <w:r w:rsidRPr="00A135A3">
              <w:rPr>
                <w:rFonts w:cs="Arial"/>
                <w:sz w:val="20"/>
                <w:szCs w:val="20"/>
              </w:rPr>
              <w:t xml:space="preserve">Policy Changes </w:t>
            </w:r>
          </w:p>
        </w:tc>
        <w:tc>
          <w:tcPr>
            <w:tcW w:w="791" w:type="pct"/>
          </w:tcPr>
          <w:p w14:paraId="7269DB4F"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0</w:t>
            </w:r>
          </w:p>
        </w:tc>
        <w:tc>
          <w:tcPr>
            <w:tcW w:w="760" w:type="pct"/>
          </w:tcPr>
          <w:p w14:paraId="620F6048"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0</w:t>
            </w:r>
          </w:p>
        </w:tc>
        <w:tc>
          <w:tcPr>
            <w:tcW w:w="1051" w:type="pct"/>
          </w:tcPr>
          <w:p w14:paraId="02ED8A4B" w14:textId="77777777" w:rsidR="008D636B" w:rsidRPr="00A135A3" w:rsidRDefault="008D636B" w:rsidP="008D636B">
            <w:pPr>
              <w:spacing w:line="256" w:lineRule="auto"/>
              <w:jc w:val="center"/>
              <w:rPr>
                <w:rFonts w:cs="Arial"/>
                <w:color w:val="44546A" w:themeColor="text2"/>
                <w:sz w:val="20"/>
                <w:szCs w:val="20"/>
              </w:rPr>
            </w:pPr>
            <w:r w:rsidRPr="00A135A3">
              <w:rPr>
                <w:rFonts w:cs="Arial"/>
                <w:color w:val="44546A" w:themeColor="text2"/>
                <w:sz w:val="20"/>
                <w:szCs w:val="20"/>
              </w:rPr>
              <w:t>155</w:t>
            </w:r>
          </w:p>
        </w:tc>
      </w:tr>
    </w:tbl>
    <w:p w14:paraId="222031E9" w14:textId="77777777" w:rsidR="008D636B" w:rsidRPr="00A135A3" w:rsidRDefault="008D636B" w:rsidP="008D636B">
      <w:pPr>
        <w:spacing w:line="480" w:lineRule="auto"/>
        <w:jc w:val="both"/>
        <w:rPr>
          <w:rFonts w:cs="Arial"/>
          <w:kern w:val="0"/>
          <w:szCs w:val="24"/>
          <w14:ligatures w14:val="none"/>
        </w:rPr>
      </w:pPr>
    </w:p>
    <w:p w14:paraId="48276F9E" w14:textId="77777777" w:rsidR="008D636B" w:rsidRPr="00A135A3" w:rsidRDefault="008D636B" w:rsidP="008D636B">
      <w:pPr>
        <w:spacing w:line="480" w:lineRule="auto"/>
        <w:jc w:val="both"/>
        <w:rPr>
          <w:rFonts w:cs="Arial"/>
          <w:kern w:val="0"/>
          <w:szCs w:val="24"/>
          <w14:ligatures w14:val="none"/>
        </w:rPr>
      </w:pPr>
    </w:p>
    <w:p w14:paraId="2BF1CE2D" w14:textId="77777777" w:rsidR="008D636B" w:rsidRPr="00A135A3" w:rsidRDefault="008D636B" w:rsidP="008D636B">
      <w:pPr>
        <w:spacing w:line="480" w:lineRule="auto"/>
        <w:jc w:val="both"/>
        <w:rPr>
          <w:rFonts w:cs="Arial"/>
          <w:kern w:val="0"/>
          <w:szCs w:val="24"/>
          <w14:ligatures w14:val="none"/>
        </w:rPr>
      </w:pPr>
    </w:p>
    <w:p w14:paraId="767F5CA7" w14:textId="77777777" w:rsidR="008D636B" w:rsidRPr="00A135A3" w:rsidRDefault="008D636B" w:rsidP="008D636B">
      <w:pPr>
        <w:spacing w:line="480" w:lineRule="auto"/>
        <w:jc w:val="both"/>
        <w:rPr>
          <w:rFonts w:cs="Arial"/>
          <w:kern w:val="0"/>
          <w:szCs w:val="24"/>
          <w14:ligatures w14:val="none"/>
        </w:rPr>
      </w:pPr>
    </w:p>
    <w:p w14:paraId="0F125760" w14:textId="77777777" w:rsidR="008D636B" w:rsidRPr="00A135A3" w:rsidRDefault="008D636B" w:rsidP="008D636B">
      <w:pPr>
        <w:spacing w:line="480" w:lineRule="auto"/>
        <w:jc w:val="both"/>
        <w:rPr>
          <w:rFonts w:cs="Arial"/>
          <w:kern w:val="0"/>
          <w:szCs w:val="24"/>
          <w14:ligatures w14:val="none"/>
        </w:rPr>
      </w:pPr>
    </w:p>
    <w:p w14:paraId="4DAEB625" w14:textId="77777777" w:rsidR="008D636B" w:rsidRPr="00A135A3" w:rsidRDefault="008D636B" w:rsidP="008D636B">
      <w:pPr>
        <w:spacing w:line="480" w:lineRule="auto"/>
        <w:jc w:val="both"/>
        <w:rPr>
          <w:rFonts w:cs="Arial"/>
          <w:kern w:val="0"/>
          <w:szCs w:val="24"/>
          <w14:ligatures w14:val="none"/>
        </w:rPr>
      </w:pPr>
    </w:p>
    <w:p w14:paraId="428E9317" w14:textId="77777777" w:rsidR="008D636B" w:rsidRPr="00A135A3" w:rsidRDefault="008D636B" w:rsidP="008D636B">
      <w:pPr>
        <w:spacing w:line="480" w:lineRule="auto"/>
        <w:jc w:val="both"/>
        <w:rPr>
          <w:rFonts w:cs="Arial"/>
          <w:kern w:val="0"/>
          <w:szCs w:val="24"/>
          <w14:ligatures w14:val="none"/>
        </w:rPr>
      </w:pPr>
    </w:p>
    <w:p w14:paraId="72ADB78A" w14:textId="77777777" w:rsidR="008D636B" w:rsidRPr="00A135A3" w:rsidRDefault="008D636B" w:rsidP="008D636B">
      <w:pPr>
        <w:spacing w:line="480" w:lineRule="auto"/>
        <w:jc w:val="both"/>
        <w:rPr>
          <w:rFonts w:cs="Arial"/>
          <w:kern w:val="0"/>
          <w:szCs w:val="24"/>
          <w14:ligatures w14:val="none"/>
        </w:rPr>
      </w:pPr>
    </w:p>
    <w:p w14:paraId="0D670F57" w14:textId="77777777" w:rsidR="008D636B" w:rsidRPr="00A135A3" w:rsidRDefault="008D636B" w:rsidP="008D636B">
      <w:pPr>
        <w:spacing w:line="480" w:lineRule="auto"/>
        <w:jc w:val="both"/>
        <w:rPr>
          <w:rFonts w:cs="Arial"/>
          <w:kern w:val="0"/>
          <w:szCs w:val="24"/>
          <w14:ligatures w14:val="none"/>
        </w:rPr>
      </w:pPr>
    </w:p>
    <w:p w14:paraId="45C426CA" w14:textId="77777777" w:rsidR="008D636B" w:rsidRPr="00A135A3" w:rsidRDefault="008D636B" w:rsidP="008D636B">
      <w:pPr>
        <w:spacing w:line="480" w:lineRule="auto"/>
        <w:jc w:val="both"/>
        <w:rPr>
          <w:rFonts w:cs="Arial"/>
          <w:kern w:val="0"/>
          <w:szCs w:val="24"/>
          <w14:ligatures w14:val="none"/>
        </w:rPr>
      </w:pPr>
    </w:p>
    <w:p w14:paraId="1110F757" w14:textId="77777777" w:rsidR="008D636B" w:rsidRPr="00A135A3" w:rsidRDefault="008D636B" w:rsidP="008D636B">
      <w:pPr>
        <w:spacing w:line="480" w:lineRule="auto"/>
        <w:jc w:val="both"/>
        <w:rPr>
          <w:rFonts w:cs="Arial"/>
          <w:kern w:val="0"/>
          <w:szCs w:val="24"/>
          <w14:ligatures w14:val="none"/>
        </w:rPr>
      </w:pPr>
    </w:p>
    <w:p w14:paraId="52ED83EB" w14:textId="1AD795A4" w:rsidR="008D636B" w:rsidRPr="00A135A3" w:rsidRDefault="008D636B" w:rsidP="008D636B">
      <w:pPr>
        <w:spacing w:line="480" w:lineRule="auto"/>
        <w:jc w:val="both"/>
        <w:rPr>
          <w:rFonts w:cs="Arial"/>
          <w:b/>
          <w:bCs/>
          <w:kern w:val="0"/>
          <w:szCs w:val="24"/>
          <w14:ligatures w14:val="none"/>
        </w:rPr>
      </w:pPr>
      <w:r w:rsidRPr="00A135A3">
        <w:rPr>
          <w:rFonts w:cs="Arial"/>
          <w:b/>
          <w:bCs/>
          <w:kern w:val="0"/>
          <w:szCs w:val="24"/>
          <w14:ligatures w14:val="none"/>
        </w:rPr>
        <w:lastRenderedPageBreak/>
        <w:t xml:space="preserve">REFERENCES </w:t>
      </w:r>
    </w:p>
    <w:p w14:paraId="2813408B" w14:textId="40A02100" w:rsidR="00D410AE" w:rsidRPr="00A135A3" w:rsidRDefault="00D410AE" w:rsidP="00316FDB">
      <w:pPr>
        <w:spacing w:line="480" w:lineRule="auto"/>
        <w:ind w:left="720" w:hanging="720"/>
      </w:pPr>
      <w:r w:rsidRPr="00A135A3">
        <w:t>1.</w:t>
      </w:r>
      <w:r w:rsidRPr="00A135A3">
        <w:tab/>
        <w:t>Independent Investigation Reports. NHS England. https://www.england.nhs.uk/publications/reviews-and-reports/invest-reports/</w:t>
      </w:r>
    </w:p>
    <w:p w14:paraId="059FCF05" w14:textId="77777777" w:rsidR="00D410AE" w:rsidRPr="00A135A3" w:rsidRDefault="00D410AE" w:rsidP="00316FDB">
      <w:pPr>
        <w:spacing w:line="480" w:lineRule="auto"/>
        <w:ind w:left="720" w:hanging="720"/>
      </w:pPr>
      <w:r w:rsidRPr="00A135A3">
        <w:t xml:space="preserve">2.      </w:t>
      </w:r>
      <w:r w:rsidRPr="00A135A3">
        <w:tab/>
        <w:t>Eastman N. Inquiry Into homicides by psychiatric patients: systematic audit should replace mandatory inquiries. BMJ: British Medical Journal. 1996;313(7064):1069</w:t>
      </w:r>
    </w:p>
    <w:p w14:paraId="5ED5A0F8" w14:textId="77777777" w:rsidR="00D410AE" w:rsidRPr="00A135A3" w:rsidRDefault="00D410AE" w:rsidP="00316FDB">
      <w:pPr>
        <w:spacing w:line="480" w:lineRule="auto"/>
        <w:ind w:left="720" w:hanging="720"/>
      </w:pPr>
      <w:r w:rsidRPr="00A135A3">
        <w:t>3</w:t>
      </w:r>
      <w:r w:rsidRPr="00A135A3">
        <w:tab/>
        <w:t>Peay J. Clinicians and inquiries: demons, drones or demigods? International Review of Psychiatry. 1997;9(2-3):171-8. -71.</w:t>
      </w:r>
    </w:p>
    <w:p w14:paraId="448D461A" w14:textId="77777777" w:rsidR="00D410AE" w:rsidRPr="00A135A3" w:rsidRDefault="00D410AE" w:rsidP="00316FDB">
      <w:pPr>
        <w:spacing w:line="480" w:lineRule="auto"/>
        <w:ind w:left="720" w:hanging="720"/>
      </w:pPr>
      <w:r w:rsidRPr="00A135A3">
        <w:t>4</w:t>
      </w:r>
      <w:r w:rsidRPr="00A135A3">
        <w:tab/>
        <w:t>Szmukler G. Homicide inquiries: what sense do they make? Psychiatric Bulletin. 2000;24(1):6-10.</w:t>
      </w:r>
    </w:p>
    <w:p w14:paraId="7AC71E85" w14:textId="77777777" w:rsidR="00D410AE" w:rsidRPr="00A135A3" w:rsidRDefault="00D410AE" w:rsidP="00316FDB">
      <w:pPr>
        <w:spacing w:line="480" w:lineRule="auto"/>
        <w:ind w:left="720" w:hanging="720"/>
      </w:pPr>
      <w:r w:rsidRPr="00A135A3">
        <w:t>5</w:t>
      </w:r>
      <w:r w:rsidRPr="00A135A3">
        <w:tab/>
        <w:t>Munro E. Mental health tragedies: investigating beyond human error. The Journal of Forensic Psychiatry &amp; Psychology. 2004;15(3):475-93.</w:t>
      </w:r>
    </w:p>
    <w:p w14:paraId="43EAD4AB" w14:textId="77777777" w:rsidR="00D410AE" w:rsidRPr="00A135A3" w:rsidRDefault="00D410AE" w:rsidP="00316FDB">
      <w:pPr>
        <w:spacing w:line="480" w:lineRule="auto"/>
        <w:ind w:left="720" w:hanging="720"/>
      </w:pPr>
      <w:r w:rsidRPr="00A135A3">
        <w:t>6</w:t>
      </w:r>
      <w:r w:rsidRPr="00A135A3">
        <w:tab/>
        <w:t>Pearson A, Swinson N, Shaw J. Independent investigations after homicide. Mental health today (Brighton, England). 2009:24-9.</w:t>
      </w:r>
    </w:p>
    <w:p w14:paraId="22ED83CE" w14:textId="77777777" w:rsidR="00D410AE" w:rsidRPr="00A135A3" w:rsidRDefault="00D410AE" w:rsidP="00316FDB">
      <w:pPr>
        <w:spacing w:line="480" w:lineRule="auto"/>
        <w:ind w:left="720" w:hanging="720"/>
      </w:pPr>
      <w:r w:rsidRPr="00A135A3">
        <w:t>7</w:t>
      </w:r>
      <w:r w:rsidRPr="00A135A3">
        <w:tab/>
        <w:t>Ng L, Merry S, Paterson R, Merry AF. Mental health inquiries in the case of homicide. Psychiatry, Psychology and Law. 2020;27(5):894-911.</w:t>
      </w:r>
    </w:p>
    <w:p w14:paraId="0CE64DF4" w14:textId="77777777" w:rsidR="00D410AE" w:rsidRPr="00A135A3" w:rsidRDefault="00D410AE" w:rsidP="00316FDB">
      <w:pPr>
        <w:spacing w:line="480" w:lineRule="auto"/>
        <w:ind w:left="720" w:hanging="720"/>
      </w:pPr>
      <w:r w:rsidRPr="00A135A3">
        <w:t>8</w:t>
      </w:r>
      <w:r w:rsidRPr="00A135A3">
        <w:tab/>
        <w:t>Deshpande M, Sinclair JMA, Baldwin DS. Validity of root cause analysis in investigating adverse events in psychiatry. The British Journal of Psychiatry. 2023;222(4):153–6. doi:10.1192/bjp.2023.2</w:t>
      </w:r>
    </w:p>
    <w:p w14:paraId="7A49547E" w14:textId="77777777" w:rsidR="00D410AE" w:rsidRPr="00A135A3" w:rsidRDefault="00D410AE" w:rsidP="00316FDB">
      <w:pPr>
        <w:spacing w:line="480" w:lineRule="auto"/>
        <w:ind w:left="720" w:hanging="720"/>
      </w:pPr>
      <w:r w:rsidRPr="00A135A3">
        <w:t>9</w:t>
      </w:r>
      <w:r w:rsidRPr="00A135A3">
        <w:tab/>
        <w:t>Crichton JHM. A review of published independent inquiries in England into psychiatric patient homicide, 1995-2010. Journal of Forensic Psychiatry and Psychology. 2011;22(6):761-89.</w:t>
      </w:r>
    </w:p>
    <w:p w14:paraId="6A3B5138" w14:textId="77777777" w:rsidR="00D410AE" w:rsidRPr="00A135A3" w:rsidRDefault="00D410AE" w:rsidP="00316FDB">
      <w:pPr>
        <w:spacing w:line="480" w:lineRule="auto"/>
        <w:ind w:left="720" w:hanging="720"/>
      </w:pPr>
      <w:r w:rsidRPr="00A135A3">
        <w:lastRenderedPageBreak/>
        <w:t>10</w:t>
      </w:r>
      <w:r w:rsidRPr="00A135A3">
        <w:tab/>
        <w:t xml:space="preserve">The National Confidential Inquiry into Suicide and Safety in Mental Health. Annual Report: England, Northern Ireland, Scotland, Wales. October 2018. University of Manchester. https://sites.manchester.ac.uk/ncish/ </w:t>
      </w:r>
    </w:p>
    <w:p w14:paraId="00A7BD78" w14:textId="77777777" w:rsidR="00D410AE" w:rsidRPr="00A135A3" w:rsidRDefault="00D410AE" w:rsidP="00316FDB">
      <w:pPr>
        <w:spacing w:line="480" w:lineRule="auto"/>
        <w:ind w:left="720" w:hanging="720"/>
      </w:pPr>
      <w:r w:rsidRPr="00A135A3">
        <w:t>11</w:t>
      </w:r>
      <w:r w:rsidRPr="00A135A3">
        <w:tab/>
        <w:t>NHS England. An independent review of the Independent Investigations for Mental Health Homicides in England (published and unpublished) from 2013 to the present day. 2018. https://www.england.nhs.uk/south-east/wp-content/uploads/sites/45/2019/10/independent-investigations-for-mental-health-homicides-in-england-report.pdf</w:t>
      </w:r>
    </w:p>
    <w:p w14:paraId="3E1C5C31" w14:textId="77777777" w:rsidR="00D410AE" w:rsidRPr="00A135A3" w:rsidRDefault="00D410AE" w:rsidP="00316FDB">
      <w:pPr>
        <w:spacing w:line="480" w:lineRule="auto"/>
        <w:ind w:left="720" w:hanging="720"/>
      </w:pPr>
      <w:r w:rsidRPr="00A135A3">
        <w:t>12</w:t>
      </w:r>
      <w:r w:rsidRPr="00A135A3">
        <w:tab/>
        <w:t>Dalglish SL, Khalid H, McMahon SA. Document analysis in health policy research: the READ approach. Health Policy and Planning. 2020;35(10):1424-31.</w:t>
      </w:r>
    </w:p>
    <w:p w14:paraId="61099519" w14:textId="77777777" w:rsidR="00D410AE" w:rsidRPr="00A135A3" w:rsidRDefault="00D410AE" w:rsidP="00316FDB">
      <w:pPr>
        <w:spacing w:line="480" w:lineRule="auto"/>
        <w:ind w:left="720" w:hanging="720"/>
      </w:pPr>
      <w:r w:rsidRPr="00A135A3">
        <w:t>13</w:t>
      </w:r>
      <w:r w:rsidRPr="00A135A3">
        <w:tab/>
        <w:t>Vincent C, Taylor-Adams S, Stanhope N. Framework for analysing risk and safety in clinical medicine. BMJ. 1998;316(7138):1154-7.</w:t>
      </w:r>
    </w:p>
    <w:p w14:paraId="47A9C875" w14:textId="77777777" w:rsidR="00D410AE" w:rsidRPr="00A135A3" w:rsidRDefault="00D410AE" w:rsidP="00316FDB">
      <w:pPr>
        <w:spacing w:line="480" w:lineRule="auto"/>
        <w:ind w:left="720" w:hanging="720"/>
      </w:pPr>
      <w:r w:rsidRPr="00A135A3">
        <w:t>14</w:t>
      </w:r>
      <w:r w:rsidRPr="00A135A3">
        <w:tab/>
        <w:t>Stavropoulou C, Doherty C, Tosey P. How effective are incident-reporting systems for improving patient safety? A systematic literature review. Milbank Q. 2015;93(4):826-66.</w:t>
      </w:r>
    </w:p>
    <w:p w14:paraId="577C0B51" w14:textId="77777777" w:rsidR="00D410AE" w:rsidRPr="00A135A3" w:rsidRDefault="00D410AE" w:rsidP="00316FDB">
      <w:pPr>
        <w:spacing w:line="480" w:lineRule="auto"/>
        <w:ind w:left="720" w:hanging="720"/>
      </w:pPr>
      <w:r w:rsidRPr="00A135A3">
        <w:t>15</w:t>
      </w:r>
      <w:r w:rsidRPr="00A135A3">
        <w:tab/>
        <w:t xml:space="preserve">Serious Incident Framework. NHS England. 2015.  https://www.england.nhs.uk/wp-content/uploads/2015/04/serious-incidnt-framwrk-upd.pdf   </w:t>
      </w:r>
    </w:p>
    <w:p w14:paraId="4CCB01F5" w14:textId="77777777" w:rsidR="00D410AE" w:rsidRPr="00A135A3" w:rsidRDefault="00D410AE" w:rsidP="00316FDB">
      <w:pPr>
        <w:spacing w:line="480" w:lineRule="auto"/>
        <w:ind w:left="720" w:hanging="720"/>
      </w:pPr>
      <w:r w:rsidRPr="00A135A3">
        <w:t>16</w:t>
      </w:r>
      <w:r w:rsidRPr="00A135A3">
        <w:tab/>
        <w:t>Office for National Statistics. Homicide in England and Wales: year ending March 2023. ONS, 2021. https://www.ons.gov.uk/peoplepopulationandcommunity/crimeandjustice/articles/homicideinenglandandwales/yearendingmarch2023</w:t>
      </w:r>
    </w:p>
    <w:p w14:paraId="2317048C" w14:textId="77777777" w:rsidR="00D410AE" w:rsidRPr="00A135A3" w:rsidRDefault="00D410AE" w:rsidP="00316FDB">
      <w:pPr>
        <w:spacing w:line="480" w:lineRule="auto"/>
        <w:ind w:left="720" w:hanging="720"/>
      </w:pPr>
      <w:r w:rsidRPr="00A135A3">
        <w:lastRenderedPageBreak/>
        <w:t>17</w:t>
      </w:r>
      <w:r w:rsidRPr="00A135A3">
        <w:tab/>
        <w:t>Mental Health Act 1983. https://www.legislation.gov.uk/ukpga/1983/20/contents 18</w:t>
      </w:r>
      <w:r w:rsidRPr="00A135A3">
        <w:tab/>
        <w:t xml:space="preserve">Independent Investigation of Adverse Events in Mental Health Services. Department of Health. </w:t>
      </w:r>
      <w:r w:rsidRPr="00A135A3">
        <w:fldChar w:fldCharType="begin"/>
      </w:r>
      <w:r w:rsidRPr="00A135A3">
        <w:instrText xml:space="preserve">HYPERLINK "https://webarchive.nationalarchives.gov.uk/ukgwa/20130107105354/http:/www.dh.gov.uk/prod_consum_dh/groups/dh_digitalassets/@dh/@en/documents/digitalasset/dh_4113574.pdf </w:instrText>
      </w:r>
    </w:p>
    <w:p w14:paraId="451641F4" w14:textId="77777777" w:rsidR="00D410AE" w:rsidRPr="00A135A3" w:rsidRDefault="00D410AE" w:rsidP="00D410AE">
      <w:pPr>
        <w:spacing w:line="480" w:lineRule="auto"/>
        <w:rPr>
          <w:rStyle w:val="Hyperlink"/>
        </w:rPr>
      </w:pPr>
      <w:r w:rsidRPr="00A135A3">
        <w:instrText>18"</w:instrText>
      </w:r>
      <w:r w:rsidRPr="00A135A3">
        <w:fldChar w:fldCharType="separate"/>
      </w:r>
      <w:r w:rsidRPr="00A135A3">
        <w:rPr>
          <w:rStyle w:val="Hyperlink"/>
        </w:rPr>
        <w:t xml:space="preserve">https://webarchive.nationalarchives.gov.uk/ukgwa/20130107105354/http:/www.dh.gov.uk/prod_consum_dh/groups/dh_digitalassets/@dh/@en/documents/digitalasset/dh_4113574.pdf </w:t>
      </w:r>
    </w:p>
    <w:p w14:paraId="01ED1858" w14:textId="77777777" w:rsidR="00D410AE" w:rsidRPr="00A135A3" w:rsidRDefault="00D410AE" w:rsidP="00316FDB">
      <w:pPr>
        <w:spacing w:line="480" w:lineRule="auto"/>
        <w:ind w:left="720" w:hanging="720"/>
      </w:pPr>
      <w:r w:rsidRPr="00A135A3">
        <w:rPr>
          <w:rStyle w:val="Hyperlink"/>
        </w:rPr>
        <w:t>18</w:t>
      </w:r>
      <w:r w:rsidRPr="00A135A3">
        <w:fldChar w:fldCharType="end"/>
      </w:r>
      <w:r w:rsidRPr="00A135A3">
        <w:tab/>
        <w:t xml:space="preserve">Independent Investigation of Adverse Events in Mental Health Services. Department of Health. </w:t>
      </w:r>
      <w:hyperlink r:id="rId8" w:history="1">
        <w:r w:rsidRPr="00A135A3">
          <w:rPr>
            <w:rStyle w:val="Hyperlink"/>
          </w:rPr>
          <w:t>https://webarchive.nationalarchives.gov.uk/ukgwa/20130107105354/http:/www.dh.gov.uk/prod_consum_dh/groups/dh_digitalassets/@dh/@en/documents/digitalasset/dh_4113574.pdf</w:t>
        </w:r>
      </w:hyperlink>
    </w:p>
    <w:p w14:paraId="7FCB8E41" w14:textId="77777777" w:rsidR="00D410AE" w:rsidRPr="00A135A3" w:rsidRDefault="00D410AE" w:rsidP="00316FDB">
      <w:pPr>
        <w:spacing w:line="480" w:lineRule="auto"/>
        <w:ind w:left="720" w:hanging="720"/>
      </w:pPr>
      <w:r w:rsidRPr="00A135A3">
        <w:t>19</w:t>
      </w:r>
      <w:r w:rsidRPr="00A135A3">
        <w:tab/>
        <w:t xml:space="preserve">Article 2 of the European Convention on Human Rights and the investigation of serious incidents in mental health services. Department of Health, 2015. https://assets.publishing.service.gov.uk/media/5a7f1c04ed915d74e33f4637/Article_2_advice_acc.pdf  </w:t>
      </w:r>
    </w:p>
    <w:p w14:paraId="3F1D4CDA" w14:textId="77777777" w:rsidR="00D410AE" w:rsidRPr="00A135A3" w:rsidRDefault="00D410AE" w:rsidP="00316FDB">
      <w:pPr>
        <w:spacing w:line="480" w:lineRule="auto"/>
        <w:ind w:left="720" w:hanging="720"/>
      </w:pPr>
      <w:r w:rsidRPr="00A135A3">
        <w:t>20</w:t>
      </w:r>
      <w:r w:rsidRPr="00A135A3">
        <w:tab/>
        <w:t>Card AJ. The problem with '5 whys'. BMJ Quality &amp; Safety. 2017;26(8):671-677. doi:10.1136/bmjqs-2016-005849</w:t>
      </w:r>
    </w:p>
    <w:p w14:paraId="621A0DB3" w14:textId="77777777" w:rsidR="00D410AE" w:rsidRPr="00A135A3" w:rsidRDefault="00D410AE" w:rsidP="00316FDB">
      <w:pPr>
        <w:spacing w:line="480" w:lineRule="auto"/>
        <w:ind w:left="720" w:hanging="720"/>
      </w:pPr>
      <w:r w:rsidRPr="00A135A3">
        <w:t>21</w:t>
      </w:r>
      <w:r w:rsidRPr="00A135A3">
        <w:tab/>
        <w:t>Vrklevski LP, McKechnie L, OʼConnor N. The causes of their death appear (unto our shame perpetual): Why Root Cause Analysis is not the best model for error investigation in mental health services. Journal of Patient Safety. 2018;14(1):41-8.</w:t>
      </w:r>
    </w:p>
    <w:p w14:paraId="1C8C894F" w14:textId="77777777" w:rsidR="00D410AE" w:rsidRPr="00A135A3" w:rsidRDefault="00D410AE" w:rsidP="00316FDB">
      <w:pPr>
        <w:spacing w:line="480" w:lineRule="auto"/>
        <w:ind w:left="720" w:hanging="720"/>
      </w:pPr>
      <w:r w:rsidRPr="00A135A3">
        <w:t>22</w:t>
      </w:r>
      <w:r w:rsidRPr="00A135A3">
        <w:tab/>
        <w:t>Vincent CA. Analysis of clinical incidents: a window on the system not a search for root causes. Quality &amp; Safety in Health Care. 2004;13(4):242-3.</w:t>
      </w:r>
    </w:p>
    <w:p w14:paraId="567C6A26" w14:textId="77777777" w:rsidR="00D410AE" w:rsidRPr="00A135A3" w:rsidRDefault="00D410AE" w:rsidP="00316FDB">
      <w:pPr>
        <w:spacing w:line="480" w:lineRule="auto"/>
        <w:ind w:left="720" w:hanging="720"/>
      </w:pPr>
      <w:r w:rsidRPr="00A135A3">
        <w:lastRenderedPageBreak/>
        <w:t>23</w:t>
      </w:r>
      <w:r w:rsidRPr="00A135A3">
        <w:tab/>
        <w:t>Holden RJ, Carayon P. SEIPS 101 and seven simple SEIPS tools. BMJ Quality &amp; Safety. 2021; 30(11):901-10.</w:t>
      </w:r>
    </w:p>
    <w:p w14:paraId="7E011475" w14:textId="77777777" w:rsidR="00D410AE" w:rsidRPr="00A135A3" w:rsidRDefault="00D410AE" w:rsidP="00316FDB">
      <w:pPr>
        <w:spacing w:line="480" w:lineRule="auto"/>
        <w:ind w:left="720" w:hanging="720"/>
      </w:pPr>
      <w:r w:rsidRPr="00A135A3">
        <w:t>24</w:t>
      </w:r>
      <w:r w:rsidRPr="00A135A3">
        <w:tab/>
        <w:t xml:space="preserve">Institute for Health Improvement. Patient Safety Essentials Toolkit: Action Hierarchy. </w:t>
      </w:r>
      <w:hyperlink r:id="rId9" w:history="1">
        <w:r w:rsidRPr="00A135A3">
          <w:rPr>
            <w:rStyle w:val="Hyperlink"/>
          </w:rPr>
          <w:t>https://www.ihi.org/sites/default/files/SafetyToolkit_ActionHierarchy.pdf</w:t>
        </w:r>
      </w:hyperlink>
    </w:p>
    <w:p w14:paraId="0A7AD8D9" w14:textId="77777777" w:rsidR="00D410AE" w:rsidRPr="00A135A3" w:rsidRDefault="00D410AE" w:rsidP="00316FDB">
      <w:pPr>
        <w:spacing w:line="480" w:lineRule="auto"/>
        <w:ind w:left="720" w:hanging="720"/>
      </w:pPr>
      <w:r w:rsidRPr="00A135A3">
        <w:t>25</w:t>
      </w:r>
      <w:r w:rsidRPr="00A135A3">
        <w:tab/>
        <w:t>Hibbert PD, Thomas MJW, Deakin A, Runciman WB, Braithwaite J, Lomax S, et al. Are root cause analyses recommendations effective and sustainable? An observational study. International Journal for Quality in Healthcare.  2018;30(2):124-31</w:t>
      </w:r>
    </w:p>
    <w:p w14:paraId="25DDB88D" w14:textId="77777777" w:rsidR="00D410AE" w:rsidRPr="00A135A3" w:rsidRDefault="00D410AE" w:rsidP="00316FDB">
      <w:pPr>
        <w:spacing w:line="480" w:lineRule="auto"/>
        <w:ind w:left="720" w:hanging="720"/>
      </w:pPr>
      <w:r w:rsidRPr="00A135A3">
        <w:t>26</w:t>
      </w:r>
      <w:r w:rsidRPr="00A135A3">
        <w:tab/>
        <w:t>Doran, G.T. There’s a SMART way to write management’s goals and objectives. Journal of Management Review. 1981. 70, 35-36.</w:t>
      </w:r>
    </w:p>
    <w:p w14:paraId="45FDCA25" w14:textId="77777777" w:rsidR="00D410AE" w:rsidRPr="00A135A3" w:rsidRDefault="00D410AE" w:rsidP="00316FDB">
      <w:pPr>
        <w:spacing w:line="480" w:lineRule="auto"/>
        <w:ind w:left="720" w:hanging="720"/>
      </w:pPr>
      <w:r w:rsidRPr="00A135A3">
        <w:t>27</w:t>
      </w:r>
      <w:r w:rsidRPr="00A135A3">
        <w:tab/>
        <w:t>Waterson P, Catchpole K. Human factors in healthcare: welcome progress, but still scratching the surface. BMJ Quality &amp; Safety 2016; 25(7):480-4.</w:t>
      </w:r>
    </w:p>
    <w:p w14:paraId="3440CDE0" w14:textId="77777777" w:rsidR="00D410AE" w:rsidRPr="00A135A3" w:rsidRDefault="00D410AE" w:rsidP="00316FDB">
      <w:pPr>
        <w:spacing w:line="480" w:lineRule="auto"/>
        <w:ind w:left="720" w:hanging="720"/>
      </w:pPr>
      <w:r w:rsidRPr="00A135A3">
        <w:t>28</w:t>
      </w:r>
      <w:r w:rsidRPr="00A135A3">
        <w:tab/>
        <w:t>Horton, D. Mental health homicide and society: understanding health care governance.  Oxford: Hart Publishing, 2019.</w:t>
      </w:r>
    </w:p>
    <w:p w14:paraId="3526DB73" w14:textId="77777777" w:rsidR="00D410AE" w:rsidRPr="00A135A3" w:rsidRDefault="00D410AE" w:rsidP="00316FDB">
      <w:pPr>
        <w:spacing w:line="480" w:lineRule="auto"/>
        <w:ind w:left="720" w:hanging="720"/>
      </w:pPr>
      <w:r w:rsidRPr="00A135A3">
        <w:t>29</w:t>
      </w:r>
      <w:r w:rsidRPr="00A135A3">
        <w:tab/>
        <w:t>National Confidential Inquiry into Suicide and Safety in Mental Health. NCISH methodology, 2023. University of Manchester. https://documents.manchester.ac.uk/display.aspx?DocID=68668  Google Scholar</w:t>
      </w:r>
    </w:p>
    <w:p w14:paraId="2EBD92C9" w14:textId="77777777" w:rsidR="00D410AE" w:rsidRPr="00A135A3" w:rsidRDefault="00D410AE" w:rsidP="00316FDB">
      <w:pPr>
        <w:spacing w:line="480" w:lineRule="auto"/>
        <w:ind w:left="720" w:hanging="720"/>
      </w:pPr>
      <w:r w:rsidRPr="00A135A3">
        <w:t>30</w:t>
      </w:r>
      <w:r w:rsidRPr="00A135A3">
        <w:tab/>
        <w:t>Bhandari S, Thomassen Ø, Nathan R. Causation, historiographic approaches and the investigation of serious adverse incidents in mental health settings. Health (London). 2023;27(6):1019-32.</w:t>
      </w:r>
    </w:p>
    <w:p w14:paraId="39B4F1DA" w14:textId="77777777" w:rsidR="00D410AE" w:rsidRPr="00A135A3" w:rsidRDefault="00D410AE" w:rsidP="00316FDB">
      <w:pPr>
        <w:spacing w:line="480" w:lineRule="auto"/>
        <w:ind w:left="720" w:hanging="720"/>
      </w:pPr>
      <w:r w:rsidRPr="00A135A3">
        <w:lastRenderedPageBreak/>
        <w:t>31</w:t>
      </w:r>
      <w:r w:rsidRPr="00A135A3">
        <w:tab/>
        <w:t>Hollnagel E., Wears R.L. and Braithwaite J. From Safety-I to Safety-II: A White Paper. The Resilient Health Care Net: Published simultaneously by the University of Southern Denmark, University of Florida, USA, and Macquarie University, Australia</w:t>
      </w:r>
    </w:p>
    <w:p w14:paraId="6DAF00F3" w14:textId="77777777" w:rsidR="00D410AE" w:rsidRPr="00A135A3" w:rsidRDefault="00D410AE" w:rsidP="00316FDB">
      <w:pPr>
        <w:spacing w:line="480" w:lineRule="auto"/>
        <w:ind w:left="720" w:hanging="720"/>
      </w:pPr>
      <w:r w:rsidRPr="00A135A3">
        <w:t>32</w:t>
      </w:r>
      <w:r w:rsidRPr="00A135A3">
        <w:tab/>
        <w:t>Stretton P. Beyond root cause analysis: How variation analysis can provide a deeper understanding of causation in complex adaptive systems. Journal of Patient Safety and Risk Management. 2021;26(2):74-80</w:t>
      </w:r>
    </w:p>
    <w:p w14:paraId="6DC4526D" w14:textId="77777777" w:rsidR="00D410AE" w:rsidRPr="00A135A3" w:rsidRDefault="00D410AE" w:rsidP="00316FDB">
      <w:pPr>
        <w:spacing w:line="480" w:lineRule="auto"/>
        <w:ind w:left="720" w:hanging="720"/>
      </w:pPr>
      <w:r w:rsidRPr="00A135A3">
        <w:t>33</w:t>
      </w:r>
      <w:r w:rsidRPr="00A135A3">
        <w:tab/>
        <w:t>Svensson J. Patient safety strategies in psychiatry and how they construct the notion of preventable harm: a scoping review. Journal of Patient Safety. 2022;18(3):245-52.</w:t>
      </w:r>
    </w:p>
    <w:p w14:paraId="1F9B0C05" w14:textId="77777777" w:rsidR="00D410AE" w:rsidRPr="00A135A3" w:rsidRDefault="00D410AE" w:rsidP="00316FDB">
      <w:pPr>
        <w:spacing w:line="480" w:lineRule="auto"/>
        <w:ind w:left="720" w:hanging="720"/>
      </w:pPr>
      <w:r w:rsidRPr="00A135A3">
        <w:t>34</w:t>
      </w:r>
      <w:r w:rsidRPr="00A135A3">
        <w:tab/>
        <w:t>Woodward S. Moving towards a safety II approach. Journal of Patient Safety and Risk Management. 2019;24(3):96-9.</w:t>
      </w:r>
    </w:p>
    <w:p w14:paraId="1A28EF5D" w14:textId="77777777" w:rsidR="00D410AE" w:rsidRPr="00A135A3" w:rsidRDefault="00D410AE" w:rsidP="00316FDB">
      <w:pPr>
        <w:spacing w:line="480" w:lineRule="auto"/>
        <w:ind w:left="720" w:hanging="720"/>
      </w:pPr>
      <w:r w:rsidRPr="00A135A3">
        <w:t>35</w:t>
      </w:r>
      <w:r w:rsidRPr="00A135A3">
        <w:tab/>
        <w:t>Holden RJ. People or systems? To blame is human. The fix is to engineer. Professional Safety. 2009;54(12):34-41</w:t>
      </w:r>
    </w:p>
    <w:p w14:paraId="2F738A91" w14:textId="77777777" w:rsidR="00D410AE" w:rsidRPr="00A135A3" w:rsidRDefault="00D410AE" w:rsidP="00316FDB">
      <w:pPr>
        <w:spacing w:line="480" w:lineRule="auto"/>
        <w:ind w:left="720" w:hanging="720"/>
      </w:pPr>
      <w:r w:rsidRPr="00A135A3">
        <w:t>36</w:t>
      </w:r>
      <w:r w:rsidRPr="00A135A3">
        <w:tab/>
        <w:t>Gyekye, S. A. (2010). Occupational safety management: The role of causal attribution. International Journal of Psychology, 45(6), 405–416. https://doi.org/10.1080/00207594.2010.501337</w:t>
      </w:r>
    </w:p>
    <w:p w14:paraId="7E97B6F6" w14:textId="1B46AD53" w:rsidR="00D410AE" w:rsidRPr="00A135A3" w:rsidRDefault="00D410AE" w:rsidP="00316FDB">
      <w:pPr>
        <w:spacing w:line="480" w:lineRule="auto"/>
        <w:ind w:left="720" w:hanging="720"/>
      </w:pPr>
      <w:r w:rsidRPr="00A135A3">
        <w:t xml:space="preserve">37 </w:t>
      </w:r>
      <w:r w:rsidRPr="00A135A3">
        <w:tab/>
        <w:t xml:space="preserve">The Open University </w:t>
      </w:r>
      <w:hyperlink r:id="rId10" w:history="1">
        <w:r w:rsidR="00B108F0" w:rsidRPr="00A135A3">
          <w:rPr>
            <w:rStyle w:val="Hyperlink"/>
          </w:rPr>
          <w:t>https://www.open.edu/openlearn/mod/oucontent/view.php?id=114406&amp;section=5.1</w:t>
        </w:r>
      </w:hyperlink>
      <w:r w:rsidRPr="00A135A3">
        <w:t xml:space="preserve"> </w:t>
      </w:r>
    </w:p>
    <w:p w14:paraId="1D52F6DA" w14:textId="77777777" w:rsidR="00D410AE" w:rsidRPr="00A135A3" w:rsidRDefault="00D410AE" w:rsidP="00316FDB">
      <w:pPr>
        <w:spacing w:line="480" w:lineRule="auto"/>
        <w:ind w:left="720" w:hanging="720"/>
      </w:pPr>
      <w:r w:rsidRPr="00A135A3">
        <w:t>38</w:t>
      </w:r>
      <w:r w:rsidRPr="00A135A3">
        <w:tab/>
        <w:t>Ng L, Merry AF, Paterson R, Merry SN. Families of victims of homicide: qualitative study of their experiences with mental health inquiries. BJPsych Open. 2020;6(5):e100.</w:t>
      </w:r>
    </w:p>
    <w:p w14:paraId="12D4C9DD" w14:textId="77777777" w:rsidR="00D410AE" w:rsidRPr="00A135A3" w:rsidRDefault="00D410AE" w:rsidP="00316FDB">
      <w:pPr>
        <w:spacing w:line="480" w:lineRule="auto"/>
        <w:ind w:left="720" w:hanging="720"/>
      </w:pPr>
      <w:r w:rsidRPr="00A135A3">
        <w:lastRenderedPageBreak/>
        <w:t>39</w:t>
      </w:r>
      <w:r w:rsidRPr="00A135A3">
        <w:tab/>
        <w:t>Mezey G, Rowe R, Adshead G. Impact of homicide by a psychiatric patient on forensic psychiatrists: national survey. BJPsych Bull. 2021;45(3):183-9.</w:t>
      </w:r>
    </w:p>
    <w:p w14:paraId="0850CD66" w14:textId="77777777" w:rsidR="00D410AE" w:rsidRPr="00A135A3" w:rsidRDefault="00D410AE" w:rsidP="00316FDB">
      <w:pPr>
        <w:spacing w:line="480" w:lineRule="auto"/>
        <w:ind w:left="720" w:hanging="720"/>
      </w:pPr>
      <w:r w:rsidRPr="00A135A3">
        <w:t>40</w:t>
      </w:r>
      <w:r w:rsidRPr="00A135A3">
        <w:tab/>
        <w:t>Holliday E, Taylor PJ. Consequences for clinicians and mental health services of a homicide by a current or recent patient: A European Union (EU) wide survey. International Journal of Forensic Mental Health. 2015;14(3):218-29.</w:t>
      </w:r>
    </w:p>
    <w:p w14:paraId="1EE478AE" w14:textId="77777777" w:rsidR="00D410AE" w:rsidRPr="00A135A3" w:rsidRDefault="00D410AE" w:rsidP="00316FDB">
      <w:pPr>
        <w:spacing w:line="480" w:lineRule="auto"/>
        <w:ind w:left="720" w:hanging="720"/>
      </w:pPr>
      <w:r w:rsidRPr="00A135A3">
        <w:t>41</w:t>
      </w:r>
      <w:r w:rsidRPr="00A135A3">
        <w:tab/>
        <w:t xml:space="preserve">Royal College of Psychiatrists (2024) College Report CR239 – Supporting staff following a patient-perpetrated homicide (PPH): A prevention and postvention framework. https://www.rcpsych.ac.uk/docs/default-source/improving-care/better-mh-policy/college-reports/cr239-patient-homicide.pdf?sfvrsn=3dc72d8d_7 </w:t>
      </w:r>
    </w:p>
    <w:p w14:paraId="3DF66EA6" w14:textId="77777777" w:rsidR="00D410AE" w:rsidRPr="00A135A3" w:rsidRDefault="00D410AE" w:rsidP="00316FDB">
      <w:pPr>
        <w:spacing w:line="480" w:lineRule="auto"/>
        <w:ind w:left="720" w:hanging="720"/>
      </w:pPr>
      <w:r w:rsidRPr="00A135A3">
        <w:t>42</w:t>
      </w:r>
      <w:r w:rsidRPr="00A135A3">
        <w:tab/>
        <w:t>Shappell, SA, &amp; Wiegmann, DA (2001). Applying reason: The human factors analysis and classification system (HFACS). Human Factors and Aerospace Safety, 1(1), 59–86.</w:t>
      </w:r>
    </w:p>
    <w:p w14:paraId="31FF9C10" w14:textId="77777777" w:rsidR="00D410AE" w:rsidRPr="00A135A3" w:rsidRDefault="00D410AE" w:rsidP="00D410AE">
      <w:pPr>
        <w:spacing w:line="480" w:lineRule="auto"/>
      </w:pPr>
      <w:r w:rsidRPr="00A135A3">
        <w:tab/>
      </w:r>
    </w:p>
    <w:p w14:paraId="3612EFC6" w14:textId="77777777" w:rsidR="00D410AE" w:rsidRPr="00A135A3" w:rsidRDefault="00D410AE" w:rsidP="00D410AE">
      <w:pPr>
        <w:spacing w:line="480" w:lineRule="auto"/>
      </w:pPr>
    </w:p>
    <w:p w14:paraId="055742EF" w14:textId="77777777" w:rsidR="003637E4" w:rsidRPr="00A135A3" w:rsidRDefault="003637E4" w:rsidP="00D410AE">
      <w:pPr>
        <w:spacing w:line="480" w:lineRule="auto"/>
        <w:rPr>
          <w:b/>
          <w:bCs/>
          <w:sz w:val="28"/>
          <w:szCs w:val="24"/>
        </w:rPr>
      </w:pPr>
    </w:p>
    <w:p w14:paraId="4E5E70E8" w14:textId="77777777" w:rsidR="003637E4" w:rsidRPr="00A135A3" w:rsidRDefault="003637E4" w:rsidP="00D410AE">
      <w:pPr>
        <w:spacing w:line="480" w:lineRule="auto"/>
        <w:rPr>
          <w:b/>
          <w:bCs/>
          <w:sz w:val="28"/>
          <w:szCs w:val="24"/>
        </w:rPr>
      </w:pPr>
    </w:p>
    <w:p w14:paraId="42A40C95" w14:textId="77777777" w:rsidR="003637E4" w:rsidRPr="00A135A3" w:rsidRDefault="003637E4" w:rsidP="00D410AE">
      <w:pPr>
        <w:spacing w:line="480" w:lineRule="auto"/>
        <w:rPr>
          <w:b/>
          <w:bCs/>
          <w:sz w:val="28"/>
          <w:szCs w:val="24"/>
        </w:rPr>
      </w:pPr>
    </w:p>
    <w:p w14:paraId="14F9AB62" w14:textId="77777777" w:rsidR="003637E4" w:rsidRPr="00A135A3" w:rsidRDefault="003637E4" w:rsidP="00D410AE">
      <w:pPr>
        <w:spacing w:line="480" w:lineRule="auto"/>
        <w:rPr>
          <w:b/>
          <w:bCs/>
          <w:sz w:val="28"/>
          <w:szCs w:val="24"/>
        </w:rPr>
      </w:pPr>
    </w:p>
    <w:p w14:paraId="6E37CEA9" w14:textId="77777777" w:rsidR="003637E4" w:rsidRPr="00A135A3" w:rsidRDefault="003637E4" w:rsidP="00D410AE">
      <w:pPr>
        <w:spacing w:line="480" w:lineRule="auto"/>
        <w:rPr>
          <w:b/>
          <w:bCs/>
          <w:sz w:val="28"/>
          <w:szCs w:val="24"/>
        </w:rPr>
      </w:pPr>
    </w:p>
    <w:p w14:paraId="633B9D8F" w14:textId="77777777" w:rsidR="003637E4" w:rsidRPr="00A135A3" w:rsidRDefault="003637E4" w:rsidP="00D410AE">
      <w:pPr>
        <w:spacing w:line="480" w:lineRule="auto"/>
        <w:rPr>
          <w:b/>
          <w:bCs/>
          <w:sz w:val="28"/>
          <w:szCs w:val="24"/>
        </w:rPr>
      </w:pPr>
    </w:p>
    <w:p w14:paraId="61C81E0F" w14:textId="0FCA172E" w:rsidR="00D2440F" w:rsidRPr="00A135A3" w:rsidRDefault="00D2440F" w:rsidP="00D2440F">
      <w:pPr>
        <w:spacing w:line="360" w:lineRule="auto"/>
        <w:rPr>
          <w:b/>
          <w:bCs/>
          <w:sz w:val="28"/>
          <w:szCs w:val="24"/>
        </w:rPr>
      </w:pPr>
      <w:r w:rsidRPr="00A135A3">
        <w:rPr>
          <w:b/>
          <w:bCs/>
          <w:sz w:val="28"/>
          <w:szCs w:val="24"/>
        </w:rPr>
        <w:lastRenderedPageBreak/>
        <w:t>AUTHOR DETAILS</w:t>
      </w:r>
    </w:p>
    <w:p w14:paraId="5536105F" w14:textId="3D71DE25" w:rsidR="00D2440F" w:rsidRPr="00A135A3" w:rsidRDefault="00D2440F" w:rsidP="00060D83">
      <w:pPr>
        <w:spacing w:line="480" w:lineRule="auto"/>
        <w:jc w:val="both"/>
      </w:pPr>
      <w:r w:rsidRPr="00A135A3">
        <w:t>Mayura Deshpande MBBS FRCPsych, University of Southampton, Faculty of Medicine, Southampton, UK</w:t>
      </w:r>
      <w:r w:rsidR="00E519E4" w:rsidRPr="00A135A3">
        <w:t>, and Hampshire and Isle of Wight Healthcare NHS Foundation Trust, Southampton, UK</w:t>
      </w:r>
    </w:p>
    <w:p w14:paraId="161EEE12" w14:textId="29570E91" w:rsidR="00D2440F" w:rsidRPr="00A135A3" w:rsidRDefault="00D2440F" w:rsidP="00D2440F">
      <w:pPr>
        <w:spacing w:line="480" w:lineRule="auto"/>
        <w:jc w:val="both"/>
      </w:pPr>
      <w:r w:rsidRPr="00A135A3">
        <w:t xml:space="preserve">Julia </w:t>
      </w:r>
      <w:r w:rsidR="008B4525" w:rsidRPr="00A135A3">
        <w:t xml:space="preserve">MA </w:t>
      </w:r>
      <w:r w:rsidRPr="00A135A3">
        <w:t>Sinclair BSc MBBS MSc DPhil FHEA FRCPsych, University of Southampton, Faculty of Medicine, Southampton, UK</w:t>
      </w:r>
    </w:p>
    <w:p w14:paraId="16FA3BCE" w14:textId="6F992B99" w:rsidR="00CA13EA" w:rsidRPr="00A135A3" w:rsidRDefault="00CA13EA" w:rsidP="00D2440F">
      <w:pPr>
        <w:spacing w:line="480" w:lineRule="auto"/>
        <w:jc w:val="both"/>
      </w:pPr>
      <w:r w:rsidRPr="00A135A3">
        <w:t>Zoe Tebbs</w:t>
      </w:r>
      <w:r w:rsidR="00570B7B" w:rsidRPr="00A135A3">
        <w:t xml:space="preserve"> </w:t>
      </w:r>
      <w:r w:rsidR="00565974" w:rsidRPr="00A135A3">
        <w:t xml:space="preserve">BMBS </w:t>
      </w:r>
      <w:r w:rsidR="00570B7B" w:rsidRPr="00A135A3">
        <w:t>MRCPsych</w:t>
      </w:r>
      <w:r w:rsidRPr="00A135A3">
        <w:t xml:space="preserve">, Specialty </w:t>
      </w:r>
      <w:r w:rsidR="00585526" w:rsidRPr="00A135A3">
        <w:t>Registrar</w:t>
      </w:r>
      <w:r w:rsidRPr="00A135A3">
        <w:t>,</w:t>
      </w:r>
      <w:r w:rsidR="00585526" w:rsidRPr="00A135A3">
        <w:t xml:space="preserve"> Hampshire </w:t>
      </w:r>
      <w:r w:rsidR="00E519E4" w:rsidRPr="00A135A3">
        <w:t xml:space="preserve">and </w:t>
      </w:r>
      <w:r w:rsidR="00585526" w:rsidRPr="00A135A3">
        <w:t xml:space="preserve">Isle of Wight </w:t>
      </w:r>
      <w:r w:rsidR="00E519E4" w:rsidRPr="00A135A3">
        <w:t xml:space="preserve">Healthcare </w:t>
      </w:r>
      <w:r w:rsidR="00585526" w:rsidRPr="00A135A3">
        <w:t>NHS Foundation Trust</w:t>
      </w:r>
      <w:r w:rsidR="00BF4CC3" w:rsidRPr="00A135A3">
        <w:t xml:space="preserve">, </w:t>
      </w:r>
      <w:r w:rsidR="009F53D1" w:rsidRPr="00A135A3">
        <w:t>Southampton, UK</w:t>
      </w:r>
    </w:p>
    <w:p w14:paraId="3B9FEF0C" w14:textId="17767F87" w:rsidR="00D2440F" w:rsidRPr="00A135A3" w:rsidRDefault="00D2440F" w:rsidP="00D2440F">
      <w:pPr>
        <w:spacing w:line="480" w:lineRule="auto"/>
        <w:jc w:val="both"/>
        <w:rPr>
          <w:i/>
          <w:iCs/>
        </w:rPr>
      </w:pPr>
      <w:r w:rsidRPr="00A135A3">
        <w:t xml:space="preserve">David </w:t>
      </w:r>
      <w:r w:rsidR="008B4525" w:rsidRPr="00A135A3">
        <w:t xml:space="preserve">S. </w:t>
      </w:r>
      <w:r w:rsidRPr="00A135A3">
        <w:t>Baldwin</w:t>
      </w:r>
      <w:r w:rsidR="008B4525" w:rsidRPr="00A135A3">
        <w:t xml:space="preserve"> MA DM FRCPsych</w:t>
      </w:r>
      <w:r w:rsidRPr="00A135A3">
        <w:t>, University of Southampton, Faculty of Medicine, Southampton, UK and University Department of Psychiatry &amp; Mental Health, University of Cape Town, South Africa</w:t>
      </w:r>
    </w:p>
    <w:p w14:paraId="01A27648" w14:textId="77777777" w:rsidR="00D2440F" w:rsidRPr="00A135A3" w:rsidRDefault="00D2440F" w:rsidP="00D2440F">
      <w:pPr>
        <w:spacing w:line="360" w:lineRule="auto"/>
        <w:jc w:val="both"/>
        <w:rPr>
          <w:b/>
          <w:bCs/>
          <w:sz w:val="28"/>
          <w:szCs w:val="24"/>
        </w:rPr>
      </w:pPr>
    </w:p>
    <w:p w14:paraId="50A0503E" w14:textId="77777777" w:rsidR="00D2440F" w:rsidRPr="00A135A3" w:rsidRDefault="00D2440F" w:rsidP="00D2440F">
      <w:pPr>
        <w:spacing w:line="480" w:lineRule="auto"/>
        <w:jc w:val="both"/>
        <w:rPr>
          <w:b/>
          <w:bCs/>
          <w:sz w:val="28"/>
          <w:szCs w:val="24"/>
        </w:rPr>
      </w:pPr>
      <w:r w:rsidRPr="00A135A3">
        <w:rPr>
          <w:b/>
          <w:bCs/>
          <w:sz w:val="28"/>
          <w:szCs w:val="24"/>
        </w:rPr>
        <w:t>CORRESPONDENCE:</w:t>
      </w:r>
    </w:p>
    <w:p w14:paraId="31333B2F" w14:textId="77777777" w:rsidR="00D2440F" w:rsidRPr="00A135A3" w:rsidRDefault="00D2440F" w:rsidP="00D2440F">
      <w:pPr>
        <w:spacing w:line="480" w:lineRule="auto"/>
        <w:jc w:val="both"/>
      </w:pPr>
      <w:r w:rsidRPr="00A135A3">
        <w:t>Dr Mayura Deshpande</w:t>
      </w:r>
    </w:p>
    <w:p w14:paraId="15724528" w14:textId="77777777" w:rsidR="00D2440F" w:rsidRPr="00A135A3" w:rsidRDefault="00D2440F" w:rsidP="00D2440F">
      <w:pPr>
        <w:spacing w:line="480" w:lineRule="auto"/>
        <w:jc w:val="both"/>
      </w:pPr>
      <w:r w:rsidRPr="00A135A3">
        <w:t xml:space="preserve">Email: </w:t>
      </w:r>
      <w:hyperlink r:id="rId11" w:history="1">
        <w:r w:rsidRPr="00A135A3">
          <w:rPr>
            <w:rStyle w:val="Hyperlink"/>
          </w:rPr>
          <w:t>Mayura.Deshpande@soton.ac.uk</w:t>
        </w:r>
      </w:hyperlink>
      <w:r w:rsidRPr="00A135A3">
        <w:t xml:space="preserve"> </w:t>
      </w:r>
    </w:p>
    <w:p w14:paraId="5BD3C328" w14:textId="77777777" w:rsidR="00D2440F" w:rsidRPr="00A135A3" w:rsidRDefault="00D2440F" w:rsidP="00D2440F">
      <w:pPr>
        <w:spacing w:line="480" w:lineRule="auto"/>
        <w:jc w:val="both"/>
        <w:rPr>
          <w:b/>
          <w:bCs/>
          <w:sz w:val="28"/>
          <w:szCs w:val="24"/>
        </w:rPr>
      </w:pPr>
    </w:p>
    <w:p w14:paraId="65F2B523" w14:textId="77777777" w:rsidR="00D2440F" w:rsidRPr="00A135A3" w:rsidRDefault="00D2440F" w:rsidP="00D2440F">
      <w:pPr>
        <w:spacing w:line="480" w:lineRule="auto"/>
        <w:jc w:val="both"/>
        <w:rPr>
          <w:b/>
          <w:bCs/>
          <w:sz w:val="28"/>
          <w:szCs w:val="24"/>
        </w:rPr>
      </w:pPr>
      <w:r w:rsidRPr="00A135A3">
        <w:rPr>
          <w:b/>
          <w:bCs/>
          <w:sz w:val="28"/>
          <w:szCs w:val="24"/>
        </w:rPr>
        <w:t>DECLARATION OF INTEREST:</w:t>
      </w:r>
    </w:p>
    <w:p w14:paraId="2B1BF73A" w14:textId="1390ADD3" w:rsidR="00D2440F" w:rsidRPr="00A135A3" w:rsidRDefault="00D2440F" w:rsidP="00D2440F">
      <w:pPr>
        <w:spacing w:line="480" w:lineRule="auto"/>
        <w:jc w:val="both"/>
      </w:pPr>
      <w:r w:rsidRPr="00A135A3">
        <w:t>None</w:t>
      </w:r>
      <w:r w:rsidR="00685526">
        <w:t xml:space="preserve">. </w:t>
      </w:r>
      <w:r w:rsidR="00685526" w:rsidRPr="00685526">
        <w:t>DSB is a member of the Editorial Board of the British Journal of Psychiatry but did not take part in the peer review or decision-making process of this paper.</w:t>
      </w:r>
    </w:p>
    <w:p w14:paraId="6AE83B0B" w14:textId="77777777" w:rsidR="00D2440F" w:rsidRPr="00A135A3" w:rsidRDefault="00D2440F" w:rsidP="00D2440F">
      <w:pPr>
        <w:spacing w:line="480" w:lineRule="auto"/>
        <w:jc w:val="both"/>
      </w:pPr>
    </w:p>
    <w:p w14:paraId="6A2E0011" w14:textId="77777777" w:rsidR="00D2440F" w:rsidRPr="00A135A3" w:rsidRDefault="00D2440F" w:rsidP="00D2440F">
      <w:pPr>
        <w:spacing w:line="480" w:lineRule="auto"/>
      </w:pPr>
      <w:r w:rsidRPr="00A135A3">
        <w:rPr>
          <w:b/>
          <w:bCs/>
          <w:sz w:val="28"/>
          <w:szCs w:val="24"/>
        </w:rPr>
        <w:lastRenderedPageBreak/>
        <w:t>FUNDING STATEMENT:</w:t>
      </w:r>
      <w:r w:rsidRPr="00A135A3">
        <w:rPr>
          <w:b/>
          <w:bCs/>
          <w:sz w:val="28"/>
          <w:szCs w:val="24"/>
        </w:rPr>
        <w:br/>
      </w:r>
      <w:r w:rsidRPr="00A135A3">
        <w:t>This research received no specific grant from any funding agency, commercial or not-for-profit sectors.</w:t>
      </w:r>
    </w:p>
    <w:p w14:paraId="01C57BC0" w14:textId="77777777" w:rsidR="00D2440F" w:rsidRPr="00A135A3" w:rsidRDefault="00D2440F" w:rsidP="00D2440F">
      <w:pPr>
        <w:spacing w:line="480" w:lineRule="auto"/>
        <w:jc w:val="both"/>
      </w:pPr>
    </w:p>
    <w:p w14:paraId="102913A0" w14:textId="77777777" w:rsidR="00D2440F" w:rsidRPr="00A135A3" w:rsidRDefault="00D2440F" w:rsidP="00D2440F">
      <w:pPr>
        <w:spacing w:line="480" w:lineRule="auto"/>
        <w:jc w:val="both"/>
        <w:rPr>
          <w:b/>
          <w:bCs/>
          <w:sz w:val="28"/>
          <w:szCs w:val="24"/>
        </w:rPr>
      </w:pPr>
      <w:r w:rsidRPr="00A135A3">
        <w:rPr>
          <w:b/>
          <w:bCs/>
          <w:sz w:val="28"/>
          <w:szCs w:val="24"/>
        </w:rPr>
        <w:t>DATA AVAILABILITY:</w:t>
      </w:r>
    </w:p>
    <w:p w14:paraId="187A4B7C" w14:textId="4C43A0AE" w:rsidR="00D2440F" w:rsidRDefault="002C68CF" w:rsidP="00D2440F">
      <w:pPr>
        <w:spacing w:line="480" w:lineRule="auto"/>
        <w:jc w:val="both"/>
      </w:pPr>
      <w:r w:rsidRPr="00A135A3">
        <w:t>The data that support the findings of this study are available from the corresponding author, MD, upon reasonable request.</w:t>
      </w:r>
    </w:p>
    <w:p w14:paraId="32DD78A1" w14:textId="77777777" w:rsidR="009F76B5" w:rsidRPr="00A135A3" w:rsidRDefault="009F76B5" w:rsidP="00D2440F">
      <w:pPr>
        <w:spacing w:line="480" w:lineRule="auto"/>
        <w:jc w:val="both"/>
      </w:pPr>
    </w:p>
    <w:p w14:paraId="26AEA545" w14:textId="77777777" w:rsidR="00D2440F" w:rsidRPr="00A135A3" w:rsidRDefault="00D2440F" w:rsidP="00D2440F">
      <w:pPr>
        <w:spacing w:line="480" w:lineRule="auto"/>
        <w:jc w:val="both"/>
        <w:rPr>
          <w:b/>
          <w:bCs/>
          <w:sz w:val="28"/>
          <w:szCs w:val="24"/>
        </w:rPr>
      </w:pPr>
      <w:r w:rsidRPr="00A135A3">
        <w:rPr>
          <w:b/>
          <w:bCs/>
          <w:sz w:val="28"/>
          <w:szCs w:val="24"/>
        </w:rPr>
        <w:t>AUTHOR CONTRIBUTION:</w:t>
      </w:r>
    </w:p>
    <w:p w14:paraId="15071E03" w14:textId="27AEEDA4" w:rsidR="00D2440F" w:rsidRPr="00A135A3" w:rsidRDefault="00D2440F" w:rsidP="00D2440F">
      <w:pPr>
        <w:spacing w:line="480" w:lineRule="auto"/>
        <w:jc w:val="both"/>
      </w:pPr>
      <w:r w:rsidRPr="00A135A3">
        <w:t>MD</w:t>
      </w:r>
      <w:r w:rsidR="008B4525" w:rsidRPr="00A135A3">
        <w:t>, JMAS</w:t>
      </w:r>
      <w:r w:rsidRPr="00A135A3">
        <w:t xml:space="preserve"> and D</w:t>
      </w:r>
      <w:r w:rsidR="008B4525" w:rsidRPr="00A135A3">
        <w:t>S</w:t>
      </w:r>
      <w:r w:rsidRPr="00A135A3">
        <w:t>B conceptualised the analysis</w:t>
      </w:r>
      <w:r w:rsidR="00905019" w:rsidRPr="00A135A3">
        <w:t xml:space="preserve">. MD carried out the extraction of data and completed the thematic analysis. </w:t>
      </w:r>
      <w:r w:rsidRPr="00A135A3">
        <w:t xml:space="preserve">MD drafted the manuscript. </w:t>
      </w:r>
      <w:r w:rsidR="00D63E3E" w:rsidRPr="00A135A3">
        <w:t xml:space="preserve">ZT carried out the inter-rater reliability analysis.  </w:t>
      </w:r>
      <w:r w:rsidRPr="00A135A3">
        <w:t>J</w:t>
      </w:r>
      <w:r w:rsidR="008B4525" w:rsidRPr="00A135A3">
        <w:t>MA</w:t>
      </w:r>
      <w:r w:rsidRPr="00A135A3">
        <w:t>S and D</w:t>
      </w:r>
      <w:r w:rsidR="008B4525" w:rsidRPr="00A135A3">
        <w:t>S</w:t>
      </w:r>
      <w:r w:rsidRPr="00A135A3">
        <w:t>B provided critical feedback and suggested edits and additions to the text.</w:t>
      </w:r>
      <w:r w:rsidR="001440EF" w:rsidRPr="00A135A3">
        <w:t xml:space="preserve"> </w:t>
      </w:r>
    </w:p>
    <w:p w14:paraId="73B77B04" w14:textId="45B7D728" w:rsidR="00D2440F" w:rsidRDefault="00F00582" w:rsidP="003B09B3">
      <w:pPr>
        <w:spacing w:line="480" w:lineRule="auto"/>
        <w:jc w:val="both"/>
      </w:pPr>
      <w:r w:rsidRPr="00A135A3">
        <w:t>All authors approved the final version of the manuscript</w:t>
      </w:r>
      <w:r w:rsidR="00A13205" w:rsidRPr="00A135A3">
        <w:t>.</w:t>
      </w:r>
    </w:p>
    <w:sectPr w:rsidR="00D2440F" w:rsidSect="00020ADB">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7AE26" w14:textId="77777777" w:rsidR="00961C1E" w:rsidRDefault="00961C1E" w:rsidP="00C92A8C">
      <w:pPr>
        <w:spacing w:after="0" w:line="240" w:lineRule="auto"/>
      </w:pPr>
      <w:r>
        <w:separator/>
      </w:r>
    </w:p>
  </w:endnote>
  <w:endnote w:type="continuationSeparator" w:id="0">
    <w:p w14:paraId="3664DF81" w14:textId="77777777" w:rsidR="00961C1E" w:rsidRDefault="00961C1E" w:rsidP="00C92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36898"/>
      <w:docPartObj>
        <w:docPartGallery w:val="Page Numbers (Bottom of Page)"/>
        <w:docPartUnique/>
      </w:docPartObj>
    </w:sdtPr>
    <w:sdtEndPr>
      <w:rPr>
        <w:noProof/>
      </w:rPr>
    </w:sdtEndPr>
    <w:sdtContent>
      <w:p w14:paraId="0D1F2055" w14:textId="5DB21C86" w:rsidR="00C92A8C" w:rsidRDefault="00C92A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F52706" w14:textId="77777777" w:rsidR="00C92A8C" w:rsidRDefault="00C9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BC458" w14:textId="77777777" w:rsidR="00961C1E" w:rsidRDefault="00961C1E" w:rsidP="00C92A8C">
      <w:pPr>
        <w:spacing w:after="0" w:line="240" w:lineRule="auto"/>
      </w:pPr>
      <w:r>
        <w:separator/>
      </w:r>
    </w:p>
  </w:footnote>
  <w:footnote w:type="continuationSeparator" w:id="0">
    <w:p w14:paraId="4CC519EC" w14:textId="77777777" w:rsidR="00961C1E" w:rsidRDefault="00961C1E" w:rsidP="00C92A8C">
      <w:pPr>
        <w:spacing w:after="0" w:line="240" w:lineRule="auto"/>
      </w:pPr>
      <w:r>
        <w:continuationSeparator/>
      </w:r>
    </w:p>
  </w:footnote>
  <w:footnote w:id="1">
    <w:p w14:paraId="039D22E5" w14:textId="211A03AF" w:rsidR="008D636B" w:rsidRDefault="008D636B" w:rsidP="008D636B">
      <w:pPr>
        <w:pStyle w:val="FootnoteText"/>
      </w:pPr>
      <w:r>
        <w:rPr>
          <w:rStyle w:val="FootnoteReference"/>
        </w:rPr>
        <w:footnoteRef/>
      </w:r>
      <w:r>
        <w:t xml:space="preserve"> </w:t>
      </w:r>
      <w:r w:rsidRPr="00C0715B">
        <w:t xml:space="preserve">Under English law, there are several defences to a charge of murder. Murder may be reduced to manslaughter on the basis of diminished responsibility if the criteria set out in the Homicide Act 1957 s2, as substituted by s52 of the Coroners and Justice Act 2009, are satisfied. Murder carries a mandatory life sentence whereas manslaughter attracts a range of sentences, including complete diversion to hospital under s37 of the Mental Health Act 1983. A Hybrid Order under s45A may be imposed when the court is satisfied that the person needs treatment in hospital, but must also serve a prison sentence. </w:t>
      </w:r>
      <w:r w:rsidR="00F22F8E" w:rsidRPr="00C0715B">
        <w:t>Unfit to Plead may be a finding where the defendant is unable to meet the criteria set out in R v Pritchard, as described in the Criminal Procedure</w:t>
      </w:r>
      <w:r w:rsidR="00A56DCC">
        <w:t xml:space="preserve"> </w:t>
      </w:r>
      <w:r w:rsidR="00A56DCC" w:rsidRPr="00C0715B">
        <w:t>(Insanity and Unfitness to Plead) Act 1991</w:t>
      </w:r>
      <w:r w:rsidR="00F22F8E" w:rsidRPr="00C0715B">
        <w:t>.</w:t>
      </w:r>
      <w:r w:rsidR="00F22F8E">
        <w:t xml:space="preserve"> </w:t>
      </w:r>
      <w:r w:rsidRPr="00C0715B">
        <w:t xml:space="preserve">Not Guilty by Reason of Insanity, as defined in the </w:t>
      </w:r>
      <w:r w:rsidR="00862161">
        <w:t>same Act</w:t>
      </w:r>
      <w:r w:rsidRPr="00C0715B">
        <w:t xml:space="preserve">, refers to cases where at the time of the commission of the act, the defendant was suffering from such </w:t>
      </w:r>
      <w:r w:rsidR="00EE5A17">
        <w:t xml:space="preserve">a defect of reason, from </w:t>
      </w:r>
      <w:r w:rsidR="00CB227F">
        <w:t>disease</w:t>
      </w:r>
      <w:r w:rsidR="00EE5A17">
        <w:t xml:space="preserve"> </w:t>
      </w:r>
      <w:r w:rsidR="00DD73E9">
        <w:t>o</w:t>
      </w:r>
      <w:r w:rsidR="00EE5A17">
        <w:t xml:space="preserve">f the </w:t>
      </w:r>
      <w:r w:rsidR="00CB227F">
        <w:t>mind</w:t>
      </w:r>
      <w:r w:rsidR="00EE5A17">
        <w:t xml:space="preserve">, </w:t>
      </w:r>
      <w:r w:rsidRPr="00C0715B">
        <w:t>that he was unable to appreciate the nature or quality of the act</w:t>
      </w:r>
      <w:r w:rsidR="00CB227F">
        <w:t>, or did not know that what he was doing was wrong</w:t>
      </w:r>
      <w:r w:rsidRPr="00C0715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B0DA5"/>
    <w:multiLevelType w:val="hybridMultilevel"/>
    <w:tmpl w:val="8C0C3B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74605123"/>
    <w:multiLevelType w:val="hybridMultilevel"/>
    <w:tmpl w:val="EFBE00AE"/>
    <w:lvl w:ilvl="0" w:tplc="850EEC9E">
      <w:start w:val="1"/>
      <w:numFmt w:val="decimal"/>
      <w:lvlText w:val="%1."/>
      <w:lvlJc w:val="left"/>
      <w:pPr>
        <w:ind w:left="1020" w:hanging="360"/>
      </w:pPr>
    </w:lvl>
    <w:lvl w:ilvl="1" w:tplc="FC1C7E3E">
      <w:start w:val="1"/>
      <w:numFmt w:val="decimal"/>
      <w:lvlText w:val="%2."/>
      <w:lvlJc w:val="left"/>
      <w:pPr>
        <w:ind w:left="1020" w:hanging="360"/>
      </w:pPr>
    </w:lvl>
    <w:lvl w:ilvl="2" w:tplc="AB30FB6A">
      <w:start w:val="1"/>
      <w:numFmt w:val="decimal"/>
      <w:lvlText w:val="%3."/>
      <w:lvlJc w:val="left"/>
      <w:pPr>
        <w:ind w:left="1020" w:hanging="360"/>
      </w:pPr>
    </w:lvl>
    <w:lvl w:ilvl="3" w:tplc="CBB444E6">
      <w:start w:val="1"/>
      <w:numFmt w:val="decimal"/>
      <w:lvlText w:val="%4."/>
      <w:lvlJc w:val="left"/>
      <w:pPr>
        <w:ind w:left="1020" w:hanging="360"/>
      </w:pPr>
    </w:lvl>
    <w:lvl w:ilvl="4" w:tplc="B17A2FD8">
      <w:start w:val="1"/>
      <w:numFmt w:val="decimal"/>
      <w:lvlText w:val="%5."/>
      <w:lvlJc w:val="left"/>
      <w:pPr>
        <w:ind w:left="1020" w:hanging="360"/>
      </w:pPr>
    </w:lvl>
    <w:lvl w:ilvl="5" w:tplc="CCBE448C">
      <w:start w:val="1"/>
      <w:numFmt w:val="decimal"/>
      <w:lvlText w:val="%6."/>
      <w:lvlJc w:val="left"/>
      <w:pPr>
        <w:ind w:left="1020" w:hanging="360"/>
      </w:pPr>
    </w:lvl>
    <w:lvl w:ilvl="6" w:tplc="2F6CC678">
      <w:start w:val="1"/>
      <w:numFmt w:val="decimal"/>
      <w:lvlText w:val="%7."/>
      <w:lvlJc w:val="left"/>
      <w:pPr>
        <w:ind w:left="1020" w:hanging="360"/>
      </w:pPr>
    </w:lvl>
    <w:lvl w:ilvl="7" w:tplc="94343CE0">
      <w:start w:val="1"/>
      <w:numFmt w:val="decimal"/>
      <w:lvlText w:val="%8."/>
      <w:lvlJc w:val="left"/>
      <w:pPr>
        <w:ind w:left="1020" w:hanging="360"/>
      </w:pPr>
    </w:lvl>
    <w:lvl w:ilvl="8" w:tplc="E1F05980">
      <w:start w:val="1"/>
      <w:numFmt w:val="decimal"/>
      <w:lvlText w:val="%9."/>
      <w:lvlJc w:val="left"/>
      <w:pPr>
        <w:ind w:left="1020" w:hanging="360"/>
      </w:pPr>
    </w:lvl>
  </w:abstractNum>
  <w:num w:numId="1" w16cid:durableId="75249889">
    <w:abstractNumId w:val="0"/>
  </w:num>
  <w:num w:numId="2" w16cid:durableId="1020861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8C"/>
    <w:rsid w:val="00010FEB"/>
    <w:rsid w:val="00011CD0"/>
    <w:rsid w:val="0002006E"/>
    <w:rsid w:val="00020ADB"/>
    <w:rsid w:val="00023566"/>
    <w:rsid w:val="00041234"/>
    <w:rsid w:val="00046861"/>
    <w:rsid w:val="00051FB3"/>
    <w:rsid w:val="00052D67"/>
    <w:rsid w:val="00060D83"/>
    <w:rsid w:val="00086AD5"/>
    <w:rsid w:val="000945BE"/>
    <w:rsid w:val="000C0BB6"/>
    <w:rsid w:val="000C1AFE"/>
    <w:rsid w:val="000C6C9F"/>
    <w:rsid w:val="000C7A19"/>
    <w:rsid w:val="000D7470"/>
    <w:rsid w:val="000D78BD"/>
    <w:rsid w:val="000E3494"/>
    <w:rsid w:val="000E44CC"/>
    <w:rsid w:val="000F18FB"/>
    <w:rsid w:val="000F53CD"/>
    <w:rsid w:val="00107CD0"/>
    <w:rsid w:val="00107F0C"/>
    <w:rsid w:val="001142B6"/>
    <w:rsid w:val="00114CF7"/>
    <w:rsid w:val="001206B7"/>
    <w:rsid w:val="001207D8"/>
    <w:rsid w:val="001212C8"/>
    <w:rsid w:val="00130EF8"/>
    <w:rsid w:val="001440EF"/>
    <w:rsid w:val="00145835"/>
    <w:rsid w:val="0015269F"/>
    <w:rsid w:val="00153C45"/>
    <w:rsid w:val="00155687"/>
    <w:rsid w:val="00185574"/>
    <w:rsid w:val="001865AB"/>
    <w:rsid w:val="001A199C"/>
    <w:rsid w:val="001A3A6D"/>
    <w:rsid w:val="001A6014"/>
    <w:rsid w:val="001B370D"/>
    <w:rsid w:val="001B7E2C"/>
    <w:rsid w:val="001C00EC"/>
    <w:rsid w:val="001C482E"/>
    <w:rsid w:val="001C6547"/>
    <w:rsid w:val="001D1FB9"/>
    <w:rsid w:val="001D586F"/>
    <w:rsid w:val="001F4487"/>
    <w:rsid w:val="001F782A"/>
    <w:rsid w:val="002011D8"/>
    <w:rsid w:val="0020674B"/>
    <w:rsid w:val="00213567"/>
    <w:rsid w:val="00226233"/>
    <w:rsid w:val="00234A19"/>
    <w:rsid w:val="00242F42"/>
    <w:rsid w:val="0025520B"/>
    <w:rsid w:val="00260E2B"/>
    <w:rsid w:val="00271550"/>
    <w:rsid w:val="00276BD5"/>
    <w:rsid w:val="002875BF"/>
    <w:rsid w:val="00290829"/>
    <w:rsid w:val="00292BB5"/>
    <w:rsid w:val="00296930"/>
    <w:rsid w:val="002A37DC"/>
    <w:rsid w:val="002B2F74"/>
    <w:rsid w:val="002B51CC"/>
    <w:rsid w:val="002B546B"/>
    <w:rsid w:val="002C1447"/>
    <w:rsid w:val="002C2C4A"/>
    <w:rsid w:val="002C4F36"/>
    <w:rsid w:val="002C68CF"/>
    <w:rsid w:val="002D56BF"/>
    <w:rsid w:val="002F21C4"/>
    <w:rsid w:val="002F5891"/>
    <w:rsid w:val="003007D6"/>
    <w:rsid w:val="0030269A"/>
    <w:rsid w:val="003034C7"/>
    <w:rsid w:val="0031095D"/>
    <w:rsid w:val="00310F97"/>
    <w:rsid w:val="00311EE4"/>
    <w:rsid w:val="00315FC0"/>
    <w:rsid w:val="00316FDB"/>
    <w:rsid w:val="00333E88"/>
    <w:rsid w:val="00350DDF"/>
    <w:rsid w:val="00355B87"/>
    <w:rsid w:val="003571B8"/>
    <w:rsid w:val="00363453"/>
    <w:rsid w:val="003637E4"/>
    <w:rsid w:val="00365643"/>
    <w:rsid w:val="00371645"/>
    <w:rsid w:val="0037409C"/>
    <w:rsid w:val="00377B14"/>
    <w:rsid w:val="00384975"/>
    <w:rsid w:val="00394D0F"/>
    <w:rsid w:val="003A45EC"/>
    <w:rsid w:val="003A48C1"/>
    <w:rsid w:val="003A75FF"/>
    <w:rsid w:val="003B09B3"/>
    <w:rsid w:val="003B22DA"/>
    <w:rsid w:val="003B5DEF"/>
    <w:rsid w:val="003B6E74"/>
    <w:rsid w:val="003C5F07"/>
    <w:rsid w:val="003C60D8"/>
    <w:rsid w:val="003C7D6D"/>
    <w:rsid w:val="003D03D9"/>
    <w:rsid w:val="003D4FAD"/>
    <w:rsid w:val="003E0DB5"/>
    <w:rsid w:val="003E14E2"/>
    <w:rsid w:val="003F4C64"/>
    <w:rsid w:val="003F66DF"/>
    <w:rsid w:val="003F7B82"/>
    <w:rsid w:val="00406EED"/>
    <w:rsid w:val="004149FB"/>
    <w:rsid w:val="00422303"/>
    <w:rsid w:val="00422A1C"/>
    <w:rsid w:val="00435A41"/>
    <w:rsid w:val="00440F75"/>
    <w:rsid w:val="00455489"/>
    <w:rsid w:val="00460F9F"/>
    <w:rsid w:val="00463467"/>
    <w:rsid w:val="0046463E"/>
    <w:rsid w:val="004876BF"/>
    <w:rsid w:val="004918A2"/>
    <w:rsid w:val="004A4673"/>
    <w:rsid w:val="004A588F"/>
    <w:rsid w:val="004D4F36"/>
    <w:rsid w:val="004D74C9"/>
    <w:rsid w:val="004F7F13"/>
    <w:rsid w:val="00507F3E"/>
    <w:rsid w:val="00523ED2"/>
    <w:rsid w:val="00526061"/>
    <w:rsid w:val="005317D0"/>
    <w:rsid w:val="00537C77"/>
    <w:rsid w:val="005417D4"/>
    <w:rsid w:val="00541833"/>
    <w:rsid w:val="00543F61"/>
    <w:rsid w:val="0054513D"/>
    <w:rsid w:val="0055248D"/>
    <w:rsid w:val="00552951"/>
    <w:rsid w:val="00556251"/>
    <w:rsid w:val="00565974"/>
    <w:rsid w:val="00570B7B"/>
    <w:rsid w:val="00582C44"/>
    <w:rsid w:val="00585104"/>
    <w:rsid w:val="00585526"/>
    <w:rsid w:val="00585B68"/>
    <w:rsid w:val="00594732"/>
    <w:rsid w:val="005955FA"/>
    <w:rsid w:val="005A3406"/>
    <w:rsid w:val="005B67E1"/>
    <w:rsid w:val="005C2001"/>
    <w:rsid w:val="005C6693"/>
    <w:rsid w:val="005E1CCB"/>
    <w:rsid w:val="005E31A7"/>
    <w:rsid w:val="005E4335"/>
    <w:rsid w:val="005E4E46"/>
    <w:rsid w:val="005E515A"/>
    <w:rsid w:val="005E515D"/>
    <w:rsid w:val="005E6630"/>
    <w:rsid w:val="005E69F2"/>
    <w:rsid w:val="006069A6"/>
    <w:rsid w:val="00610EE2"/>
    <w:rsid w:val="00615645"/>
    <w:rsid w:val="00622324"/>
    <w:rsid w:val="0063797D"/>
    <w:rsid w:val="0065327C"/>
    <w:rsid w:val="006635DE"/>
    <w:rsid w:val="00670701"/>
    <w:rsid w:val="006805C0"/>
    <w:rsid w:val="00685526"/>
    <w:rsid w:val="006A1A82"/>
    <w:rsid w:val="006A7F7F"/>
    <w:rsid w:val="006B4535"/>
    <w:rsid w:val="006C6B2D"/>
    <w:rsid w:val="006E4E68"/>
    <w:rsid w:val="006F148C"/>
    <w:rsid w:val="006F4949"/>
    <w:rsid w:val="00700636"/>
    <w:rsid w:val="00710440"/>
    <w:rsid w:val="00711139"/>
    <w:rsid w:val="0071762C"/>
    <w:rsid w:val="007204A3"/>
    <w:rsid w:val="00726F04"/>
    <w:rsid w:val="00731063"/>
    <w:rsid w:val="00741E35"/>
    <w:rsid w:val="00745990"/>
    <w:rsid w:val="00750DA2"/>
    <w:rsid w:val="00761C2E"/>
    <w:rsid w:val="00781225"/>
    <w:rsid w:val="00794681"/>
    <w:rsid w:val="00795037"/>
    <w:rsid w:val="00795BF5"/>
    <w:rsid w:val="007B14DD"/>
    <w:rsid w:val="007B6075"/>
    <w:rsid w:val="007C2D63"/>
    <w:rsid w:val="007C322A"/>
    <w:rsid w:val="007C50EB"/>
    <w:rsid w:val="007C6648"/>
    <w:rsid w:val="007D13D0"/>
    <w:rsid w:val="007E19C9"/>
    <w:rsid w:val="007E25D2"/>
    <w:rsid w:val="007E62DA"/>
    <w:rsid w:val="007F1547"/>
    <w:rsid w:val="007F21A9"/>
    <w:rsid w:val="008023D4"/>
    <w:rsid w:val="00814775"/>
    <w:rsid w:val="00815ABC"/>
    <w:rsid w:val="00817996"/>
    <w:rsid w:val="00845C63"/>
    <w:rsid w:val="00862161"/>
    <w:rsid w:val="0086640F"/>
    <w:rsid w:val="00871F6F"/>
    <w:rsid w:val="0087279C"/>
    <w:rsid w:val="00875160"/>
    <w:rsid w:val="00877BBD"/>
    <w:rsid w:val="00881B22"/>
    <w:rsid w:val="0088342F"/>
    <w:rsid w:val="008846A4"/>
    <w:rsid w:val="008873CC"/>
    <w:rsid w:val="008A2A6C"/>
    <w:rsid w:val="008B4525"/>
    <w:rsid w:val="008B61C7"/>
    <w:rsid w:val="008C32DB"/>
    <w:rsid w:val="008C5BB9"/>
    <w:rsid w:val="008D1CC1"/>
    <w:rsid w:val="008D4469"/>
    <w:rsid w:val="008D636B"/>
    <w:rsid w:val="008E2CF1"/>
    <w:rsid w:val="008E46AC"/>
    <w:rsid w:val="008F5266"/>
    <w:rsid w:val="00905019"/>
    <w:rsid w:val="00905A10"/>
    <w:rsid w:val="00906EB4"/>
    <w:rsid w:val="00910EBD"/>
    <w:rsid w:val="00911114"/>
    <w:rsid w:val="00923667"/>
    <w:rsid w:val="00930690"/>
    <w:rsid w:val="0093187D"/>
    <w:rsid w:val="00935ADC"/>
    <w:rsid w:val="00951E79"/>
    <w:rsid w:val="00954A89"/>
    <w:rsid w:val="00960EED"/>
    <w:rsid w:val="00961C1E"/>
    <w:rsid w:val="00972964"/>
    <w:rsid w:val="00973D2B"/>
    <w:rsid w:val="00975428"/>
    <w:rsid w:val="00977760"/>
    <w:rsid w:val="0098095E"/>
    <w:rsid w:val="00980A58"/>
    <w:rsid w:val="00986D87"/>
    <w:rsid w:val="009923A9"/>
    <w:rsid w:val="009A4B61"/>
    <w:rsid w:val="009B152D"/>
    <w:rsid w:val="009B1EDA"/>
    <w:rsid w:val="009B390B"/>
    <w:rsid w:val="009B3E1B"/>
    <w:rsid w:val="009C0E26"/>
    <w:rsid w:val="009D41F0"/>
    <w:rsid w:val="009E1320"/>
    <w:rsid w:val="009E7924"/>
    <w:rsid w:val="009E7C92"/>
    <w:rsid w:val="009F50DC"/>
    <w:rsid w:val="009F53D1"/>
    <w:rsid w:val="009F76B5"/>
    <w:rsid w:val="00A04392"/>
    <w:rsid w:val="00A06B4F"/>
    <w:rsid w:val="00A13205"/>
    <w:rsid w:val="00A135A3"/>
    <w:rsid w:val="00A319E4"/>
    <w:rsid w:val="00A337C3"/>
    <w:rsid w:val="00A411CA"/>
    <w:rsid w:val="00A44756"/>
    <w:rsid w:val="00A473AB"/>
    <w:rsid w:val="00A56DCC"/>
    <w:rsid w:val="00A7114F"/>
    <w:rsid w:val="00A76EED"/>
    <w:rsid w:val="00A83A14"/>
    <w:rsid w:val="00A9142C"/>
    <w:rsid w:val="00A92BA4"/>
    <w:rsid w:val="00AA527B"/>
    <w:rsid w:val="00AC2C83"/>
    <w:rsid w:val="00AD235F"/>
    <w:rsid w:val="00AD7152"/>
    <w:rsid w:val="00AE2EB9"/>
    <w:rsid w:val="00AE679A"/>
    <w:rsid w:val="00AF6072"/>
    <w:rsid w:val="00B108F0"/>
    <w:rsid w:val="00B15475"/>
    <w:rsid w:val="00B20D7C"/>
    <w:rsid w:val="00B448CE"/>
    <w:rsid w:val="00B45286"/>
    <w:rsid w:val="00B51608"/>
    <w:rsid w:val="00B549EF"/>
    <w:rsid w:val="00B57F4D"/>
    <w:rsid w:val="00B63C29"/>
    <w:rsid w:val="00B70B03"/>
    <w:rsid w:val="00B77F02"/>
    <w:rsid w:val="00B81760"/>
    <w:rsid w:val="00B82603"/>
    <w:rsid w:val="00B827BE"/>
    <w:rsid w:val="00B841D4"/>
    <w:rsid w:val="00B9066E"/>
    <w:rsid w:val="00B940D2"/>
    <w:rsid w:val="00BA13D1"/>
    <w:rsid w:val="00BA5675"/>
    <w:rsid w:val="00BB1812"/>
    <w:rsid w:val="00BB1BE9"/>
    <w:rsid w:val="00BB29AA"/>
    <w:rsid w:val="00BB5D00"/>
    <w:rsid w:val="00BC297A"/>
    <w:rsid w:val="00BD04AE"/>
    <w:rsid w:val="00BD775B"/>
    <w:rsid w:val="00BE775D"/>
    <w:rsid w:val="00BF02A4"/>
    <w:rsid w:val="00BF2328"/>
    <w:rsid w:val="00BF4CC3"/>
    <w:rsid w:val="00BF5250"/>
    <w:rsid w:val="00BF7025"/>
    <w:rsid w:val="00BF79F2"/>
    <w:rsid w:val="00C00EE6"/>
    <w:rsid w:val="00C04FE6"/>
    <w:rsid w:val="00C10404"/>
    <w:rsid w:val="00C11D75"/>
    <w:rsid w:val="00C15B22"/>
    <w:rsid w:val="00C17933"/>
    <w:rsid w:val="00C20185"/>
    <w:rsid w:val="00C36AD1"/>
    <w:rsid w:val="00C52FAF"/>
    <w:rsid w:val="00C54B00"/>
    <w:rsid w:val="00C70CF3"/>
    <w:rsid w:val="00C8493A"/>
    <w:rsid w:val="00C849E9"/>
    <w:rsid w:val="00C87860"/>
    <w:rsid w:val="00C92681"/>
    <w:rsid w:val="00C92A8C"/>
    <w:rsid w:val="00C92CDF"/>
    <w:rsid w:val="00CA13EA"/>
    <w:rsid w:val="00CA394E"/>
    <w:rsid w:val="00CB227F"/>
    <w:rsid w:val="00CB6AF5"/>
    <w:rsid w:val="00CC0CCF"/>
    <w:rsid w:val="00CC44FF"/>
    <w:rsid w:val="00CC6C96"/>
    <w:rsid w:val="00CD3F0D"/>
    <w:rsid w:val="00CE322C"/>
    <w:rsid w:val="00CE4B4C"/>
    <w:rsid w:val="00CF6ADD"/>
    <w:rsid w:val="00CF7A6E"/>
    <w:rsid w:val="00D0016F"/>
    <w:rsid w:val="00D07351"/>
    <w:rsid w:val="00D120D0"/>
    <w:rsid w:val="00D12F38"/>
    <w:rsid w:val="00D12F7C"/>
    <w:rsid w:val="00D13795"/>
    <w:rsid w:val="00D20FB1"/>
    <w:rsid w:val="00D2440F"/>
    <w:rsid w:val="00D35A02"/>
    <w:rsid w:val="00D40D53"/>
    <w:rsid w:val="00D410AE"/>
    <w:rsid w:val="00D43D14"/>
    <w:rsid w:val="00D516A4"/>
    <w:rsid w:val="00D54FFD"/>
    <w:rsid w:val="00D61AA7"/>
    <w:rsid w:val="00D62F1D"/>
    <w:rsid w:val="00D63E3E"/>
    <w:rsid w:val="00D93606"/>
    <w:rsid w:val="00D95310"/>
    <w:rsid w:val="00D953AD"/>
    <w:rsid w:val="00D9707F"/>
    <w:rsid w:val="00DA0F7A"/>
    <w:rsid w:val="00DA1BB3"/>
    <w:rsid w:val="00DB6390"/>
    <w:rsid w:val="00DC15BB"/>
    <w:rsid w:val="00DD2705"/>
    <w:rsid w:val="00DD2EE0"/>
    <w:rsid w:val="00DD6957"/>
    <w:rsid w:val="00DD73E9"/>
    <w:rsid w:val="00DE0F4B"/>
    <w:rsid w:val="00DE599B"/>
    <w:rsid w:val="00DF653E"/>
    <w:rsid w:val="00E04C8C"/>
    <w:rsid w:val="00E10D1F"/>
    <w:rsid w:val="00E24693"/>
    <w:rsid w:val="00E26B0A"/>
    <w:rsid w:val="00E328D3"/>
    <w:rsid w:val="00E35FB0"/>
    <w:rsid w:val="00E5115F"/>
    <w:rsid w:val="00E519E4"/>
    <w:rsid w:val="00E55456"/>
    <w:rsid w:val="00E67161"/>
    <w:rsid w:val="00E80608"/>
    <w:rsid w:val="00E81F3F"/>
    <w:rsid w:val="00E8212E"/>
    <w:rsid w:val="00E963C7"/>
    <w:rsid w:val="00EA32C6"/>
    <w:rsid w:val="00ED42F6"/>
    <w:rsid w:val="00EE5A17"/>
    <w:rsid w:val="00F00582"/>
    <w:rsid w:val="00F00B3A"/>
    <w:rsid w:val="00F02CEE"/>
    <w:rsid w:val="00F04035"/>
    <w:rsid w:val="00F04E62"/>
    <w:rsid w:val="00F11F42"/>
    <w:rsid w:val="00F13D41"/>
    <w:rsid w:val="00F16B2F"/>
    <w:rsid w:val="00F17746"/>
    <w:rsid w:val="00F22F8E"/>
    <w:rsid w:val="00F4310B"/>
    <w:rsid w:val="00F53AE9"/>
    <w:rsid w:val="00F54AB6"/>
    <w:rsid w:val="00F56658"/>
    <w:rsid w:val="00F62390"/>
    <w:rsid w:val="00F76976"/>
    <w:rsid w:val="00F84C6D"/>
    <w:rsid w:val="00F86778"/>
    <w:rsid w:val="00F91ECE"/>
    <w:rsid w:val="00F95496"/>
    <w:rsid w:val="00FB0062"/>
    <w:rsid w:val="00FB6861"/>
    <w:rsid w:val="00FB7855"/>
    <w:rsid w:val="00FC542F"/>
    <w:rsid w:val="00FE4508"/>
    <w:rsid w:val="00FF7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710A"/>
  <w15:chartTrackingRefBased/>
  <w15:docId w15:val="{AF7CD60F-1207-4A68-8938-5750B7EC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2A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A8C"/>
    <w:rPr>
      <w:sz w:val="20"/>
      <w:szCs w:val="20"/>
    </w:rPr>
  </w:style>
  <w:style w:type="paragraph" w:styleId="CommentText">
    <w:name w:val="annotation text"/>
    <w:basedOn w:val="Normal"/>
    <w:link w:val="CommentTextChar"/>
    <w:uiPriority w:val="99"/>
    <w:unhideWhenUsed/>
    <w:rsid w:val="00C92A8C"/>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C92A8C"/>
    <w:rPr>
      <w:rFonts w:eastAsia="Calibri" w:cs="Times New Roman"/>
      <w:sz w:val="20"/>
      <w:szCs w:val="20"/>
    </w:rPr>
  </w:style>
  <w:style w:type="character" w:styleId="FootnoteReference">
    <w:name w:val="footnote reference"/>
    <w:basedOn w:val="DefaultParagraphFont"/>
    <w:uiPriority w:val="99"/>
    <w:semiHidden/>
    <w:unhideWhenUsed/>
    <w:rsid w:val="00C92A8C"/>
    <w:rPr>
      <w:vertAlign w:val="superscript"/>
    </w:rPr>
  </w:style>
  <w:style w:type="character" w:styleId="CommentReference">
    <w:name w:val="annotation reference"/>
    <w:basedOn w:val="DefaultParagraphFont"/>
    <w:uiPriority w:val="99"/>
    <w:semiHidden/>
    <w:unhideWhenUsed/>
    <w:rsid w:val="00C92A8C"/>
    <w:rPr>
      <w:sz w:val="16"/>
      <w:szCs w:val="16"/>
    </w:rPr>
  </w:style>
  <w:style w:type="paragraph" w:styleId="Header">
    <w:name w:val="header"/>
    <w:basedOn w:val="Normal"/>
    <w:link w:val="HeaderChar"/>
    <w:uiPriority w:val="99"/>
    <w:unhideWhenUsed/>
    <w:rsid w:val="00C92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A8C"/>
  </w:style>
  <w:style w:type="paragraph" w:styleId="Footer">
    <w:name w:val="footer"/>
    <w:basedOn w:val="Normal"/>
    <w:link w:val="FooterChar"/>
    <w:uiPriority w:val="99"/>
    <w:unhideWhenUsed/>
    <w:rsid w:val="00C92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A8C"/>
  </w:style>
  <w:style w:type="paragraph" w:styleId="Revision">
    <w:name w:val="Revision"/>
    <w:hidden/>
    <w:uiPriority w:val="99"/>
    <w:semiHidden/>
    <w:rsid w:val="00E80608"/>
    <w:pPr>
      <w:spacing w:after="0" w:line="240" w:lineRule="auto"/>
    </w:pPr>
  </w:style>
  <w:style w:type="table" w:styleId="TableGrid">
    <w:name w:val="Table Grid"/>
    <w:basedOn w:val="TableNormal"/>
    <w:uiPriority w:val="39"/>
    <w:rsid w:val="00F11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D636B"/>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D636B"/>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E44CC"/>
    <w:rPr>
      <w:rFonts w:eastAsiaTheme="minorHAnsi" w:cstheme="minorBidi"/>
      <w:b/>
      <w:bCs/>
    </w:rPr>
  </w:style>
  <w:style w:type="character" w:customStyle="1" w:styleId="CommentSubjectChar">
    <w:name w:val="Comment Subject Char"/>
    <w:basedOn w:val="CommentTextChar"/>
    <w:link w:val="CommentSubject"/>
    <w:uiPriority w:val="99"/>
    <w:semiHidden/>
    <w:rsid w:val="000E44CC"/>
    <w:rPr>
      <w:rFonts w:eastAsia="Calibri" w:cs="Times New Roman"/>
      <w:b/>
      <w:bCs/>
      <w:sz w:val="20"/>
      <w:szCs w:val="20"/>
    </w:rPr>
  </w:style>
  <w:style w:type="character" w:styleId="Hyperlink">
    <w:name w:val="Hyperlink"/>
    <w:basedOn w:val="DefaultParagraphFont"/>
    <w:uiPriority w:val="99"/>
    <w:unhideWhenUsed/>
    <w:rsid w:val="008023D4"/>
    <w:rPr>
      <w:color w:val="0563C1" w:themeColor="hyperlink"/>
      <w:u w:val="single"/>
    </w:rPr>
  </w:style>
  <w:style w:type="character" w:styleId="UnresolvedMention">
    <w:name w:val="Unresolved Mention"/>
    <w:basedOn w:val="DefaultParagraphFont"/>
    <w:uiPriority w:val="99"/>
    <w:semiHidden/>
    <w:unhideWhenUsed/>
    <w:rsid w:val="008023D4"/>
    <w:rPr>
      <w:color w:val="605E5C"/>
      <w:shd w:val="clear" w:color="auto" w:fill="E1DFDD"/>
    </w:rPr>
  </w:style>
  <w:style w:type="character" w:styleId="LineNumber">
    <w:name w:val="line number"/>
    <w:basedOn w:val="DefaultParagraphFont"/>
    <w:uiPriority w:val="99"/>
    <w:semiHidden/>
    <w:unhideWhenUsed/>
    <w:rsid w:val="00020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402541">
      <w:bodyDiv w:val="1"/>
      <w:marLeft w:val="0"/>
      <w:marRight w:val="0"/>
      <w:marTop w:val="0"/>
      <w:marBottom w:val="0"/>
      <w:divBdr>
        <w:top w:val="none" w:sz="0" w:space="0" w:color="auto"/>
        <w:left w:val="none" w:sz="0" w:space="0" w:color="auto"/>
        <w:bottom w:val="none" w:sz="0" w:space="0" w:color="auto"/>
        <w:right w:val="none" w:sz="0" w:space="0" w:color="auto"/>
      </w:divBdr>
    </w:div>
    <w:div w:id="188517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nationalarchives.gov.uk/ukgwa/20130107105354/http:/www.dh.gov.uk/prod_consum_dh/groups/dh_digitalassets/@dh/@en/documents/digitalasset/dh_411357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yura.Deshpande@soton.ac.uk" TargetMode="External"/><Relationship Id="rId5" Type="http://schemas.openxmlformats.org/officeDocument/2006/relationships/webSettings" Target="webSettings.xml"/><Relationship Id="rId10" Type="http://schemas.openxmlformats.org/officeDocument/2006/relationships/hyperlink" Target="https://www.open.edu/openlearn/mod/oucontent/view.php?id=114406&amp;section=5.1" TargetMode="External"/><Relationship Id="rId4" Type="http://schemas.openxmlformats.org/officeDocument/2006/relationships/settings" Target="settings.xml"/><Relationship Id="rId9" Type="http://schemas.openxmlformats.org/officeDocument/2006/relationships/hyperlink" Target="https://www.ihi.org/sites/default/files/SafetyToolkit_ActionHierarch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2A941-44B2-4AD8-A1E5-88249BED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7372</Words>
  <Characters>42021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49295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Deshpande, Mayura</dc:creator>
  <cp:keywords/>
  <dc:description/>
  <cp:lastModifiedBy>Deshpande, Mayura</cp:lastModifiedBy>
  <cp:revision>5</cp:revision>
  <dcterms:created xsi:type="dcterms:W3CDTF">2025-01-31T14:43:00Z</dcterms:created>
  <dcterms:modified xsi:type="dcterms:W3CDTF">2025-01-31T15:21:00Z</dcterms:modified>
</cp:coreProperties>
</file>