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0524" w14:textId="59DC74F6" w:rsidR="00226DC8" w:rsidRDefault="00226DC8" w:rsidP="00223026">
      <w:pPr>
        <w:ind w:left="0"/>
      </w:pPr>
    </w:p>
    <w:p w14:paraId="382E8353" w14:textId="77777777" w:rsidR="00987619" w:rsidRDefault="00987619" w:rsidP="00987619">
      <w:pPr>
        <w:jc w:val="center"/>
      </w:pPr>
    </w:p>
    <w:p w14:paraId="61638540" w14:textId="24068049" w:rsidR="00987619" w:rsidRDefault="00987619" w:rsidP="00987619">
      <w:r>
        <w:t xml:space="preserve">Valeria Ottonelli and Tiziana </w:t>
      </w:r>
      <w:proofErr w:type="spellStart"/>
      <w:r>
        <w:t>Torresi</w:t>
      </w:r>
      <w:proofErr w:type="spellEnd"/>
      <w:r>
        <w:t xml:space="preserve"> have written an important book for the political philosophy of migration, one that draws attention to conceptual and substantive issues that have been overlooked or neglected in much of the existing literature but whose importance they cogently draw out. Their contribution includes demonstrating the </w:t>
      </w:r>
      <w:r w:rsidR="00C761BA">
        <w:t xml:space="preserve">normative significance and specificity of temporary migration projects (TMPs), highlighting the </w:t>
      </w:r>
      <w:r>
        <w:t xml:space="preserve">salience of migration for ideal theory against the tendency to treat it as a matter of non-ideal theory, offering an account of the concept of the voluntary (and non-voluntary) and its significance for </w:t>
      </w:r>
      <w:r w:rsidR="00C761BA">
        <w:t xml:space="preserve">a liberal theory of justice in migration, </w:t>
      </w:r>
      <w:r w:rsidR="008743DF">
        <w:t xml:space="preserve">and </w:t>
      </w:r>
      <w:r w:rsidR="00C761BA">
        <w:t xml:space="preserve">developing a substantive account of special rights for individuals engaged in temporary migration projects. My appreciation of, and respect for, their work </w:t>
      </w:r>
      <w:r w:rsidR="00241994">
        <w:t>does not</w:t>
      </w:r>
      <w:r w:rsidR="00C761BA">
        <w:t xml:space="preserve">, however, </w:t>
      </w:r>
      <w:r w:rsidR="00A82F44">
        <w:t>prevent me from having significant</w:t>
      </w:r>
      <w:r w:rsidR="00C761BA">
        <w:t xml:space="preserve"> disagreement</w:t>
      </w:r>
      <w:r w:rsidR="00A82F44">
        <w:t>s</w:t>
      </w:r>
      <w:r w:rsidR="00C761BA">
        <w:t xml:space="preserve"> with the argument that they advance. This disagreement ranges across methodological, conceptual and substantive issues but the most fundamental one concerns – as my title indicates – concerns the</w:t>
      </w:r>
      <w:r w:rsidR="00F93F2F">
        <w:t xml:space="preserve"> methodological issue of the</w:t>
      </w:r>
      <w:r w:rsidR="00C761BA">
        <w:t xml:space="preserve"> </w:t>
      </w:r>
      <w:r w:rsidR="00506376">
        <w:rPr>
          <w:i/>
          <w:iCs/>
        </w:rPr>
        <w:t>context</w:t>
      </w:r>
      <w:r w:rsidR="00C761BA">
        <w:t xml:space="preserve"> of justice in terms of which TMPs are addressed. I will begin by sketching out</w:t>
      </w:r>
      <w:r w:rsidR="00FD3E07">
        <w:t xml:space="preserve"> the concept of TMPs </w:t>
      </w:r>
      <w:r w:rsidR="004D4C4D">
        <w:t xml:space="preserve">for the sake of clarification </w:t>
      </w:r>
      <w:r w:rsidR="00FD3E07">
        <w:t xml:space="preserve">before addressing </w:t>
      </w:r>
      <w:r w:rsidR="00C761BA">
        <w:t xml:space="preserve">the character of </w:t>
      </w:r>
      <w:r w:rsidR="00567D78">
        <w:t>my methodological</w:t>
      </w:r>
      <w:r w:rsidR="00C761BA">
        <w:t xml:space="preserve"> concern </w:t>
      </w:r>
      <w:r w:rsidR="00FD3E07">
        <w:t>and then proceed</w:t>
      </w:r>
      <w:r w:rsidR="00C761BA">
        <w:t xml:space="preserve"> to </w:t>
      </w:r>
      <w:r w:rsidR="003D7722">
        <w:t>address some substantive issues</w:t>
      </w:r>
      <w:r w:rsidR="00FD3E07">
        <w:t xml:space="preserve"> raised by this excellent book</w:t>
      </w:r>
      <w:r w:rsidR="003D7722">
        <w:t>.</w:t>
      </w:r>
    </w:p>
    <w:p w14:paraId="3243C70E" w14:textId="77777777" w:rsidR="003D7722" w:rsidRDefault="003D7722" w:rsidP="00987619"/>
    <w:p w14:paraId="214DA30A" w14:textId="39DB612F" w:rsidR="003D7722" w:rsidRDefault="00FD3E07" w:rsidP="00FD3E07">
      <w:pPr>
        <w:pStyle w:val="ListParagraph"/>
        <w:numPr>
          <w:ilvl w:val="0"/>
          <w:numId w:val="1"/>
        </w:numPr>
      </w:pPr>
      <w:r>
        <w:t xml:space="preserve">The </w:t>
      </w:r>
      <w:r w:rsidR="00F926E4">
        <w:t>C</w:t>
      </w:r>
      <w:r>
        <w:t xml:space="preserve">oncept of </w:t>
      </w:r>
      <w:r w:rsidR="00F926E4">
        <w:t xml:space="preserve">a </w:t>
      </w:r>
      <w:r>
        <w:t>T</w:t>
      </w:r>
      <w:r w:rsidR="00F926E4">
        <w:t xml:space="preserve">emporary </w:t>
      </w:r>
      <w:r>
        <w:t>M</w:t>
      </w:r>
      <w:r w:rsidR="00F926E4">
        <w:t xml:space="preserve">igration </w:t>
      </w:r>
      <w:r>
        <w:t>P</w:t>
      </w:r>
      <w:r w:rsidR="00F926E4">
        <w:t>roject</w:t>
      </w:r>
    </w:p>
    <w:p w14:paraId="197FCD05" w14:textId="07F57E06" w:rsidR="003D7722" w:rsidRDefault="00767061" w:rsidP="00987619">
      <w:r>
        <w:t>T</w:t>
      </w:r>
      <w:r w:rsidR="00F5510C">
        <w:t>MP</w:t>
      </w:r>
      <w:r>
        <w:t>s are defined thus:</w:t>
      </w:r>
    </w:p>
    <w:p w14:paraId="0E527EC6" w14:textId="02E29D8D" w:rsidR="00767061" w:rsidRDefault="00767061" w:rsidP="00767061">
      <w:pPr>
        <w:ind w:left="1440"/>
      </w:pPr>
      <w:r>
        <w:t>Temporary migration projects consist in migrating to a foreign country for a variable but limited span of time or in repeated engagement in short migrations, such as what we see in circular migration patterns. The migratory project is undertaken with the purpose of sending money home, accumulating capital, and acquiring knowledge and expertise needed to advance specific aims once back in one’s country. (2022: 23)</w:t>
      </w:r>
    </w:p>
    <w:p w14:paraId="6B2125EE" w14:textId="0F8C1347" w:rsidR="00545D9A" w:rsidRDefault="00986776" w:rsidP="003F7447">
      <w:r>
        <w:t xml:space="preserve">Notice that </w:t>
      </w:r>
      <w:r w:rsidR="00733C87">
        <w:t>to be a migrant engaged in a TMP has</w:t>
      </w:r>
      <w:r w:rsidR="00D73A80">
        <w:t xml:space="preserve"> no necessary relationship to the length of time that they are present in the state</w:t>
      </w:r>
      <w:r w:rsidR="000156DA">
        <w:t>, the individual may intend to</w:t>
      </w:r>
      <w:r w:rsidR="00CD6C6C">
        <w:t xml:space="preserve"> </w:t>
      </w:r>
      <w:r w:rsidR="00CD6C6C">
        <w:lastRenderedPageBreak/>
        <w:t>stay for a long period,</w:t>
      </w:r>
      <w:r w:rsidR="000156DA">
        <w:t xml:space="preserve"> return</w:t>
      </w:r>
      <w:r w:rsidR="00CD6C6C">
        <w:t>ing only</w:t>
      </w:r>
      <w:r w:rsidR="000156DA">
        <w:t xml:space="preserve"> at the end of their working life</w:t>
      </w:r>
      <w:r w:rsidR="00224DFB">
        <w:t xml:space="preserve">. Rather </w:t>
      </w:r>
      <w:r w:rsidR="00F85318">
        <w:t xml:space="preserve">a TMP is constituted only by </w:t>
      </w:r>
      <w:r w:rsidR="00C72174">
        <w:t>the structure of intentions described</w:t>
      </w:r>
      <w:r w:rsidR="005C5491">
        <w:t xml:space="preserve"> conceived as a part of an individual life-plan</w:t>
      </w:r>
      <w:r w:rsidR="00AB2E62">
        <w:t xml:space="preserve">. </w:t>
      </w:r>
      <w:r w:rsidR="00DA3B07">
        <w:t xml:space="preserve">This will </w:t>
      </w:r>
      <w:r w:rsidR="00C53619">
        <w:t xml:space="preserve">eventually </w:t>
      </w:r>
      <w:r w:rsidR="00DA3B07">
        <w:t xml:space="preserve">lead </w:t>
      </w:r>
      <w:r w:rsidR="00742C02">
        <w:t xml:space="preserve">Ottonelli and </w:t>
      </w:r>
      <w:proofErr w:type="spellStart"/>
      <w:r w:rsidR="00742C02">
        <w:t>Torres</w:t>
      </w:r>
      <w:r w:rsidR="00066B3E">
        <w:t>i</w:t>
      </w:r>
      <w:proofErr w:type="spellEnd"/>
      <w:r w:rsidR="00DA3B07">
        <w:t xml:space="preserve"> to argue that any migrant should have the option of choosing between</w:t>
      </w:r>
      <w:r w:rsidR="00081C75">
        <w:t xml:space="preserve"> two different types of migration status </w:t>
      </w:r>
      <w:r w:rsidR="00E05537">
        <w:t xml:space="preserve">– </w:t>
      </w:r>
      <w:r w:rsidR="000C2C62">
        <w:t>one that is geared to</w:t>
      </w:r>
      <w:r w:rsidR="00FF6434">
        <w:t xml:space="preserve"> the </w:t>
      </w:r>
      <w:r w:rsidR="000C2C62">
        <w:t xml:space="preserve">permanent </w:t>
      </w:r>
      <w:r w:rsidR="007856F9">
        <w:t>migration projects</w:t>
      </w:r>
      <w:r w:rsidR="000C2C62">
        <w:t xml:space="preserve"> and another that is oriented to </w:t>
      </w:r>
      <w:r w:rsidR="00AE4D44">
        <w:t>TMPs</w:t>
      </w:r>
      <w:r w:rsidR="002D2497">
        <w:t xml:space="preserve"> – with very different implication</w:t>
      </w:r>
      <w:r w:rsidR="00FE4393">
        <w:t>s</w:t>
      </w:r>
      <w:r w:rsidR="002D2497">
        <w:t xml:space="preserve"> for their rights and duties</w:t>
      </w:r>
      <w:r w:rsidR="000D594A">
        <w:t>.</w:t>
      </w:r>
      <w:r w:rsidR="00E05537">
        <w:t xml:space="preserve"> </w:t>
      </w:r>
      <w:r w:rsidR="000A752D">
        <w:t>I</w:t>
      </w:r>
      <w:r w:rsidR="004E113D">
        <w:t xml:space="preserve">n this respect, </w:t>
      </w:r>
      <w:r w:rsidR="00AE4D44">
        <w:t>TMPs</w:t>
      </w:r>
      <w:r w:rsidR="004E113D">
        <w:t xml:space="preserve"> </w:t>
      </w:r>
      <w:r w:rsidR="00CB258E">
        <w:t>have no relationship to temporary migration programmes</w:t>
      </w:r>
      <w:r w:rsidR="00327D45">
        <w:t xml:space="preserve"> except to deny that any such programmes that do not allow </w:t>
      </w:r>
      <w:r w:rsidR="00291777">
        <w:t>migrants</w:t>
      </w:r>
      <w:r w:rsidR="002D64E5">
        <w:t xml:space="preserve"> </w:t>
      </w:r>
      <w:r w:rsidR="00B51DBB">
        <w:t>‘after living for some time in the host society’</w:t>
      </w:r>
      <w:r w:rsidR="006A736A">
        <w:t xml:space="preserve"> (2022: 118)</w:t>
      </w:r>
      <w:r w:rsidR="00291777">
        <w:t xml:space="preserve"> to choose, and </w:t>
      </w:r>
      <w:r w:rsidR="00745A5D">
        <w:t xml:space="preserve">change their choice, between these two general statuses </w:t>
      </w:r>
      <w:r w:rsidR="007C2A4C">
        <w:t>are</w:t>
      </w:r>
      <w:r w:rsidR="00745A5D">
        <w:t xml:space="preserve"> </w:t>
      </w:r>
      <w:r w:rsidR="001200B1">
        <w:t>unjust.</w:t>
      </w:r>
      <w:r w:rsidR="00406918">
        <w:rPr>
          <w:rStyle w:val="FootnoteReference"/>
        </w:rPr>
        <w:footnoteReference w:id="1"/>
      </w:r>
      <w:r w:rsidR="003F7447">
        <w:t xml:space="preserve"> </w:t>
      </w:r>
    </w:p>
    <w:p w14:paraId="64E5C066" w14:textId="77777777" w:rsidR="00545D9A" w:rsidRDefault="00545D9A" w:rsidP="003F7447"/>
    <w:p w14:paraId="1E072388" w14:textId="7ECBC22B" w:rsidR="006A736A" w:rsidRDefault="00545D9A" w:rsidP="003F7447">
      <w:r>
        <w:t xml:space="preserve">The key point for us is </w:t>
      </w:r>
      <w:r w:rsidR="002D55B3">
        <w:t xml:space="preserve">not to confuse </w:t>
      </w:r>
      <w:r w:rsidR="00AE4D44">
        <w:t>TMP</w:t>
      </w:r>
      <w:r w:rsidR="002D55B3">
        <w:t>s with temporary migration programmes</w:t>
      </w:r>
      <w:r w:rsidR="0053721E">
        <w:t xml:space="preserve"> not least since a</w:t>
      </w:r>
      <w:r w:rsidR="00BA7D15">
        <w:t xml:space="preserve"> permanent residency visa may be the best way of</w:t>
      </w:r>
      <w:r w:rsidR="00E72F69">
        <w:t xml:space="preserve"> – or even necessary to - </w:t>
      </w:r>
      <w:r w:rsidR="00BA7D15">
        <w:t xml:space="preserve">pursuing a </w:t>
      </w:r>
      <w:r w:rsidR="00E72F69">
        <w:t>medium</w:t>
      </w:r>
      <w:r w:rsidR="008D6586">
        <w:t xml:space="preserve"> or long term </w:t>
      </w:r>
      <w:r w:rsidR="00B147E7">
        <w:t>TMP</w:t>
      </w:r>
      <w:r w:rsidR="008D6586">
        <w:t>.</w:t>
      </w:r>
    </w:p>
    <w:p w14:paraId="54ACA3DD" w14:textId="77777777" w:rsidR="006A736A" w:rsidRDefault="006A736A" w:rsidP="007D353F">
      <w:pPr>
        <w:ind w:left="0"/>
      </w:pPr>
    </w:p>
    <w:p w14:paraId="7F610569" w14:textId="52544E3D" w:rsidR="00467A85" w:rsidRDefault="00F5510C" w:rsidP="00987619">
      <w:r>
        <w:t>II.</w:t>
      </w:r>
      <w:r w:rsidR="00B147E7">
        <w:t xml:space="preserve"> </w:t>
      </w:r>
      <w:r w:rsidR="00825B05">
        <w:t xml:space="preserve">A </w:t>
      </w:r>
      <w:r w:rsidR="00866C04">
        <w:t xml:space="preserve">Methodological Concern: </w:t>
      </w:r>
      <w:r w:rsidR="003A6813">
        <w:t xml:space="preserve">The </w:t>
      </w:r>
      <w:r w:rsidR="003254A1">
        <w:t xml:space="preserve">Transnational </w:t>
      </w:r>
      <w:r w:rsidR="00506376">
        <w:t>Context</w:t>
      </w:r>
      <w:r w:rsidR="003A6813">
        <w:t xml:space="preserve"> of Justice</w:t>
      </w:r>
    </w:p>
    <w:p w14:paraId="4FDF92EF" w14:textId="1F0F4544" w:rsidR="00902250" w:rsidRDefault="00517C87" w:rsidP="00987619">
      <w:r>
        <w:t>People engaged in TMPs are, as</w:t>
      </w:r>
      <w:r w:rsidR="009469F0">
        <w:t xml:space="preserve"> Ottonelli and </w:t>
      </w:r>
      <w:proofErr w:type="spellStart"/>
      <w:r w:rsidR="009469F0">
        <w:t>Torresi</w:t>
      </w:r>
      <w:proofErr w:type="spellEnd"/>
      <w:r w:rsidR="009469F0">
        <w:t xml:space="preserve"> acknowledge, engaged in transnational lives</w:t>
      </w:r>
      <w:r w:rsidR="00C43CCF">
        <w:t xml:space="preserve"> (e.g., 2022: </w:t>
      </w:r>
      <w:r w:rsidR="009E6FBF">
        <w:t>119)</w:t>
      </w:r>
      <w:r w:rsidR="00FC69B8">
        <w:t xml:space="preserve"> and at various points in the book they acknowledge the importance of </w:t>
      </w:r>
      <w:r w:rsidR="00A206AE">
        <w:t xml:space="preserve">mechanisms such as bilateral agreements with </w:t>
      </w:r>
      <w:r w:rsidR="00FC69B8">
        <w:t>the sending state</w:t>
      </w:r>
      <w:r w:rsidR="00A206AE">
        <w:t xml:space="preserve"> for</w:t>
      </w:r>
      <w:r w:rsidR="00107E5C">
        <w:t xml:space="preserve"> addressing issues such a welfare measures (2022: 126). </w:t>
      </w:r>
      <w:r w:rsidR="00D067F1">
        <w:t xml:space="preserve">But they do not explicitly address the question of the </w:t>
      </w:r>
      <w:r w:rsidR="00E11D23">
        <w:rPr>
          <w:i/>
          <w:iCs/>
        </w:rPr>
        <w:t>context</w:t>
      </w:r>
      <w:r w:rsidR="00D067F1">
        <w:t xml:space="preserve"> of justice</w:t>
      </w:r>
      <w:r w:rsidR="00ED4A2A">
        <w:t xml:space="preserve"> for persons engaged in TMPs</w:t>
      </w:r>
      <w:r w:rsidR="00E11D23">
        <w:t xml:space="preserve"> by which I </w:t>
      </w:r>
      <w:r w:rsidR="00A50C7C">
        <w:t xml:space="preserve">refer to the relevant frame </w:t>
      </w:r>
      <w:r w:rsidR="00406918">
        <w:t xml:space="preserve">(national, transnational or global) </w:t>
      </w:r>
      <w:r w:rsidR="00956658">
        <w:t>within which</w:t>
      </w:r>
      <w:r w:rsidR="00E82BE6">
        <w:t xml:space="preserve"> </w:t>
      </w:r>
      <w:r w:rsidR="00406918">
        <w:t xml:space="preserve">the schedule of </w:t>
      </w:r>
      <w:r w:rsidR="00E82BE6">
        <w:t xml:space="preserve">rights and duties are </w:t>
      </w:r>
      <w:r w:rsidR="006515EE">
        <w:t xml:space="preserve">appropriately </w:t>
      </w:r>
      <w:r w:rsidR="00E96A8F">
        <w:t>specified</w:t>
      </w:r>
      <w:r w:rsidR="00F03DD2">
        <w:t>, rather they operate throughout in methodologically nationalist terms</w:t>
      </w:r>
      <w:r w:rsidR="00E96A8F">
        <w:t>.</w:t>
      </w:r>
      <w:r w:rsidR="00F03DD2">
        <w:t xml:space="preserve"> Should we accept this framing of the normative issues?</w:t>
      </w:r>
      <w:r w:rsidR="006515EE">
        <w:t xml:space="preserve"> </w:t>
      </w:r>
      <w:r w:rsidR="003B0BD2">
        <w:t xml:space="preserve">How do we </w:t>
      </w:r>
      <w:r w:rsidR="00FD6771">
        <w:t>ident</w:t>
      </w:r>
      <w:r w:rsidR="003B0BD2">
        <w:t xml:space="preserve">ify </w:t>
      </w:r>
      <w:r w:rsidR="00235CEA">
        <w:t>the relevant context</w:t>
      </w:r>
      <w:r w:rsidR="001E50F4">
        <w:t xml:space="preserve"> in relationship to temporary migration projects</w:t>
      </w:r>
      <w:r w:rsidR="00235CEA">
        <w:t>?</w:t>
      </w:r>
    </w:p>
    <w:p w14:paraId="6AE4B296" w14:textId="77777777" w:rsidR="00902250" w:rsidRDefault="00902250" w:rsidP="00987619"/>
    <w:p w14:paraId="79EEC04A" w14:textId="7C9DACA6" w:rsidR="00406918" w:rsidRDefault="00406918" w:rsidP="007E7D75">
      <w:r>
        <w:lastRenderedPageBreak/>
        <w:t>To identify the context of justice requires appeal to a principle that identifies the</w:t>
      </w:r>
      <w:r w:rsidR="00F94C42">
        <w:t xml:space="preserve"> </w:t>
      </w:r>
      <w:r w:rsidR="000A20C9">
        <w:t>relevant basic structure as the subject</w:t>
      </w:r>
      <w:r w:rsidR="00F94C42">
        <w:t xml:space="preserve"> of justice in relation to persons engaged in TMPs. There are three main candidates:</w:t>
      </w:r>
    </w:p>
    <w:p w14:paraId="0C6E4336" w14:textId="164D9BC4" w:rsidR="00F94C42" w:rsidRDefault="00F94C42" w:rsidP="00F94C42">
      <w:pPr>
        <w:pStyle w:val="ListParagraph"/>
        <w:numPr>
          <w:ilvl w:val="0"/>
          <w:numId w:val="2"/>
        </w:numPr>
      </w:pPr>
      <w:r>
        <w:t xml:space="preserve">The </w:t>
      </w:r>
      <w:r w:rsidR="00EE6694">
        <w:t>context</w:t>
      </w:r>
      <w:r>
        <w:t xml:space="preserve"> of justice is</w:t>
      </w:r>
      <w:r w:rsidR="0003675C">
        <w:t xml:space="preserve"> </w:t>
      </w:r>
      <w:r>
        <w:t xml:space="preserve">specified by </w:t>
      </w:r>
      <w:r w:rsidR="00F65A52">
        <w:t>the domain of social cooperation</w:t>
      </w:r>
      <w:r w:rsidR="00DD3A57">
        <w:t xml:space="preserve"> for persons </w:t>
      </w:r>
      <w:r w:rsidR="00260723">
        <w:t>whose life-plans involve the pursuit of</w:t>
      </w:r>
      <w:r w:rsidR="00DD3A57">
        <w:t xml:space="preserve"> TMP</w:t>
      </w:r>
      <w:r w:rsidR="00711CE4">
        <w:t>s</w:t>
      </w:r>
      <w:r w:rsidR="00F65A52">
        <w:t xml:space="preserve">. </w:t>
      </w:r>
    </w:p>
    <w:p w14:paraId="07BF4EEF" w14:textId="10A53A99" w:rsidR="00F94C42" w:rsidRDefault="00F94C42" w:rsidP="00F94C42">
      <w:pPr>
        <w:pStyle w:val="ListParagraph"/>
        <w:numPr>
          <w:ilvl w:val="0"/>
          <w:numId w:val="2"/>
        </w:numPr>
      </w:pPr>
      <w:r>
        <w:t xml:space="preserve">The </w:t>
      </w:r>
      <w:r w:rsidR="00EE6694">
        <w:t>context</w:t>
      </w:r>
      <w:r>
        <w:t xml:space="preserve"> of justice is</w:t>
      </w:r>
      <w:r w:rsidR="00833485">
        <w:t xml:space="preserve"> </w:t>
      </w:r>
      <w:r>
        <w:t xml:space="preserve">specified by </w:t>
      </w:r>
      <w:r w:rsidR="00833485">
        <w:t xml:space="preserve">the </w:t>
      </w:r>
      <w:r w:rsidR="00566B8A">
        <w:t>institution</w:t>
      </w:r>
      <w:r w:rsidR="00DD3A57">
        <w:t xml:space="preserve">al </w:t>
      </w:r>
      <w:r w:rsidR="004227AE">
        <w:t>domain</w:t>
      </w:r>
      <w:r w:rsidR="00566B8A">
        <w:t xml:space="preserve"> that </w:t>
      </w:r>
      <w:r w:rsidR="00711CE4">
        <w:t xml:space="preserve">pervasively and profoundly shapes the life-chances of individuals </w:t>
      </w:r>
      <w:r w:rsidR="00857986">
        <w:t xml:space="preserve">whose life-plans involve the pursuit of TMPs. </w:t>
      </w:r>
    </w:p>
    <w:p w14:paraId="670DA79F" w14:textId="1184864F" w:rsidR="00F94C42" w:rsidRDefault="00F94C42" w:rsidP="00F94C42">
      <w:pPr>
        <w:pStyle w:val="ListParagraph"/>
        <w:numPr>
          <w:ilvl w:val="0"/>
          <w:numId w:val="2"/>
        </w:numPr>
      </w:pPr>
      <w:r>
        <w:t xml:space="preserve">The </w:t>
      </w:r>
      <w:r w:rsidR="00EE6694">
        <w:t>context</w:t>
      </w:r>
      <w:r>
        <w:t xml:space="preserve"> of justice is specified by </w:t>
      </w:r>
      <w:r w:rsidR="00F572D1">
        <w:t xml:space="preserve">the institutional </w:t>
      </w:r>
      <w:r w:rsidR="004227AE">
        <w:t>domain</w:t>
      </w:r>
      <w:r w:rsidR="00F572D1">
        <w:t xml:space="preserve"> </w:t>
      </w:r>
      <w:r w:rsidR="00126AB5">
        <w:t>that subjects persons whose life-plans involve TMPs to coercion.</w:t>
      </w:r>
      <w:r w:rsidR="007E332C">
        <w:t xml:space="preserve"> </w:t>
      </w:r>
    </w:p>
    <w:p w14:paraId="045983E7" w14:textId="63FFBCAB" w:rsidR="001C5DBE" w:rsidRDefault="009F21CE" w:rsidP="00F94C42">
      <w:r>
        <w:t>To keep the discussion tractable</w:t>
      </w:r>
      <w:r w:rsidR="000D6225">
        <w:t>, it will be helpful to consider a case in which the individual pursuing a TMP</w:t>
      </w:r>
      <w:r w:rsidR="00C15398">
        <w:t xml:space="preserve"> as part of their life-plan is a nation</w:t>
      </w:r>
      <w:r w:rsidR="0040401E">
        <w:t>al</w:t>
      </w:r>
      <w:r w:rsidR="00C15398">
        <w:t xml:space="preserve"> of home state</w:t>
      </w:r>
      <w:r w:rsidR="00D048EE">
        <w:t xml:space="preserve"> A</w:t>
      </w:r>
      <w:r w:rsidR="00C15398">
        <w:t xml:space="preserve"> and is </w:t>
      </w:r>
      <w:r w:rsidR="00D048EE">
        <w:t>working in state</w:t>
      </w:r>
      <w:r w:rsidR="0092567D">
        <w:t xml:space="preserve"> of residence</w:t>
      </w:r>
      <w:r w:rsidR="00D048EE">
        <w:t xml:space="preserve"> B. </w:t>
      </w:r>
      <w:r w:rsidR="00FE2524">
        <w:t xml:space="preserve">The </w:t>
      </w:r>
      <w:r w:rsidR="003D76EE">
        <w:t xml:space="preserve">salient </w:t>
      </w:r>
      <w:r w:rsidR="00FE2524">
        <w:t>point that emerges from consideration</w:t>
      </w:r>
      <w:r w:rsidR="00DF06EA">
        <w:t xml:space="preserve"> of </w:t>
      </w:r>
      <w:r w:rsidR="00F03DD2">
        <w:t xml:space="preserve">any of </w:t>
      </w:r>
      <w:r w:rsidR="00DF06EA">
        <w:t>the</w:t>
      </w:r>
      <w:r w:rsidR="0040401E">
        <w:t xml:space="preserve"> three</w:t>
      </w:r>
      <w:r w:rsidR="00DF06EA">
        <w:t xml:space="preserve"> specification</w:t>
      </w:r>
      <w:r w:rsidR="00004042">
        <w:t xml:space="preserve">s is that the relevant context of justice is </w:t>
      </w:r>
      <w:r w:rsidR="00F73928">
        <w:t xml:space="preserve">the transnational context </w:t>
      </w:r>
      <w:r w:rsidR="00004042">
        <w:t>‘A</w:t>
      </w:r>
      <w:r w:rsidR="00E80067">
        <w:t>-</w:t>
      </w:r>
      <w:r w:rsidR="00004042">
        <w:t>and</w:t>
      </w:r>
      <w:r w:rsidR="00E80067">
        <w:t>-</w:t>
      </w:r>
      <w:r w:rsidR="00004042">
        <w:t>B’</w:t>
      </w:r>
      <w:r w:rsidR="007E7D75">
        <w:t xml:space="preserve"> </w:t>
      </w:r>
      <w:r w:rsidR="0009495C">
        <w:t xml:space="preserve">and the relevant duty-bearer to </w:t>
      </w:r>
      <w:r w:rsidR="00975D3B">
        <w:t>the individual pursuing a TMP as a</w:t>
      </w:r>
      <w:r w:rsidR="00E80067">
        <w:t xml:space="preserve"> part of their life-plan is ‘A-and-B’</w:t>
      </w:r>
      <w:r w:rsidR="00B3034B">
        <w:t xml:space="preserve">. The duty of justice towards this </w:t>
      </w:r>
      <w:r w:rsidR="00822892">
        <w:t>individual is a joint duty that is shared by A and B.</w:t>
      </w:r>
    </w:p>
    <w:p w14:paraId="2BBE34C4" w14:textId="77777777" w:rsidR="00950A00" w:rsidRDefault="00950A00" w:rsidP="007E7D75"/>
    <w:p w14:paraId="4E53E3A4" w14:textId="24152A6A" w:rsidR="00950A00" w:rsidRDefault="00950A00" w:rsidP="007E7D75">
      <w:r>
        <w:t>Why does this point matter</w:t>
      </w:r>
      <w:r w:rsidR="0006506D">
        <w:t xml:space="preserve"> in relation to </w:t>
      </w:r>
      <w:r w:rsidR="008F2B7F">
        <w:t xml:space="preserve">Ottonelli and </w:t>
      </w:r>
      <w:proofErr w:type="spellStart"/>
      <w:r w:rsidR="008F2B7F">
        <w:t>Torresi’s</w:t>
      </w:r>
      <w:proofErr w:type="spellEnd"/>
      <w:r w:rsidR="008F2B7F">
        <w:t xml:space="preserve"> argument? </w:t>
      </w:r>
      <w:r w:rsidR="00541A5C">
        <w:t xml:space="preserve">After all, they acknowledge that </w:t>
      </w:r>
      <w:r w:rsidR="00D158C4">
        <w:t xml:space="preserve">their account is one of the ethics of immigration relevant to individuals engaged in TMPs that </w:t>
      </w:r>
      <w:r w:rsidR="00DE1CF4">
        <w:t>c</w:t>
      </w:r>
      <w:r w:rsidR="00FE42E8">
        <w:t>ould be extended by taking up the ethics of emigration in relation to these same individuals</w:t>
      </w:r>
      <w:r w:rsidR="00E5507A">
        <w:t>. Further, they ar</w:t>
      </w:r>
      <w:r w:rsidR="004D14D7">
        <w:t>gu</w:t>
      </w:r>
      <w:r w:rsidR="00E5507A">
        <w:t xml:space="preserve">e both </w:t>
      </w:r>
      <w:r w:rsidR="004D14D7">
        <w:t>t</w:t>
      </w:r>
      <w:r w:rsidR="00E5507A">
        <w:t>hat receiving states have a duty to set up bilateral treaties with sending states</w:t>
      </w:r>
      <w:r w:rsidR="00C55202">
        <w:t xml:space="preserve"> ‘which implies correlative duties on the part of sending states</w:t>
      </w:r>
      <w:r w:rsidR="004D14D7">
        <w:t xml:space="preserve"> to participate in the establish</w:t>
      </w:r>
      <w:r w:rsidR="00670C8B">
        <w:t xml:space="preserve">ment of such agreements’ and that </w:t>
      </w:r>
      <w:r w:rsidR="00C174B7">
        <w:t>‘there are many other duties and obligations of sending states</w:t>
      </w:r>
      <w:r w:rsidR="008D7167">
        <w:t xml:space="preserve"> that mainly or exclusively fall within their own jurisdiction’</w:t>
      </w:r>
      <w:r w:rsidR="000219E8">
        <w:t xml:space="preserve"> (2022: 172)</w:t>
      </w:r>
      <w:r w:rsidR="00217AF8">
        <w:t xml:space="preserve"> Is my objection then simply that their book only gives us a </w:t>
      </w:r>
      <w:r w:rsidR="00B84FE6">
        <w:t xml:space="preserve">one </w:t>
      </w:r>
      <w:r w:rsidR="00217AF8">
        <w:t xml:space="preserve">part of what a full account of justice-in-migration </w:t>
      </w:r>
      <w:r w:rsidR="00B84FE6">
        <w:t>relative to TMPs would require?</w:t>
      </w:r>
      <w:r w:rsidR="00C174B7">
        <w:t xml:space="preserve"> </w:t>
      </w:r>
      <w:r w:rsidR="003A7FE4">
        <w:t xml:space="preserve">Although it </w:t>
      </w:r>
      <w:r w:rsidR="00345ED3">
        <w:t xml:space="preserve">might be read in this way, the point that I am concerned to highlight </w:t>
      </w:r>
      <w:r w:rsidR="00781550">
        <w:t xml:space="preserve">is more </w:t>
      </w:r>
      <w:r w:rsidR="00410190">
        <w:t xml:space="preserve">conceptually challenging to their approach than this interpretation would suggest. </w:t>
      </w:r>
      <w:r w:rsidR="00A864F3">
        <w:t>Let me explain.</w:t>
      </w:r>
    </w:p>
    <w:p w14:paraId="3FDE3F81" w14:textId="77777777" w:rsidR="00A864F3" w:rsidRDefault="00A864F3" w:rsidP="007E7D75"/>
    <w:p w14:paraId="4B5E4AE5" w14:textId="080F37F7" w:rsidR="00EE6694" w:rsidRDefault="00A864F3" w:rsidP="00EE6694">
      <w:r>
        <w:lastRenderedPageBreak/>
        <w:t>If it is the case that the duty of justice to</w:t>
      </w:r>
      <w:r w:rsidR="00A44EB3">
        <w:t xml:space="preserve">wards individuals pursuing TMPs across states A and B is a joint duty shared by A and B, </w:t>
      </w:r>
      <w:r w:rsidR="00935A8E">
        <w:t>then it follows that A and B have</w:t>
      </w:r>
      <w:r w:rsidR="00D072D2">
        <w:t xml:space="preserve"> an obligation to cooperate </w:t>
      </w:r>
      <w:r w:rsidR="00752B06">
        <w:t>in realizing this duty where, given</w:t>
      </w:r>
      <w:r w:rsidR="004D3549">
        <w:t xml:space="preserve"> that they are states with distinct territorial jurisdictions,</w:t>
      </w:r>
      <w:r w:rsidR="00752B06">
        <w:t xml:space="preserve"> this</w:t>
      </w:r>
      <w:r w:rsidR="00D5102E">
        <w:t xml:space="preserve"> entails </w:t>
      </w:r>
      <w:r w:rsidR="00654533">
        <w:t>that they e</w:t>
      </w:r>
      <w:r w:rsidR="00160CEF">
        <w:t>ngage in joint action (e.g., a bilateral treaty</w:t>
      </w:r>
      <w:r w:rsidR="004D41CE">
        <w:t>)</w:t>
      </w:r>
      <w:r w:rsidR="00752B06">
        <w:t xml:space="preserve"> </w:t>
      </w:r>
      <w:r w:rsidR="00B47621">
        <w:t xml:space="preserve">which establishes </w:t>
      </w:r>
      <w:r w:rsidR="00665F3B">
        <w:t xml:space="preserve">a </w:t>
      </w:r>
      <w:r w:rsidR="00891CEF">
        <w:t xml:space="preserve">fair </w:t>
      </w:r>
      <w:r w:rsidR="005367C1">
        <w:t>division of duty-bearing labour</w:t>
      </w:r>
      <w:r w:rsidR="00891CEF">
        <w:t xml:space="preserve"> between them.</w:t>
      </w:r>
      <w:r w:rsidR="00675446">
        <w:t xml:space="preserve"> </w:t>
      </w:r>
      <w:r w:rsidR="008D1863">
        <w:t>Put th</w:t>
      </w:r>
      <w:r w:rsidR="00365117">
        <w:t>u</w:t>
      </w:r>
      <w:r w:rsidR="008D1863">
        <w:t>s</w:t>
      </w:r>
      <w:r w:rsidR="006207C3">
        <w:t xml:space="preserve"> this may seem at least practically consonant with the position sketched by </w:t>
      </w:r>
      <w:r w:rsidR="006207C3" w:rsidRPr="006207C3">
        <w:t xml:space="preserve">Ottonelli and </w:t>
      </w:r>
      <w:proofErr w:type="spellStart"/>
      <w:r w:rsidR="006207C3" w:rsidRPr="006207C3">
        <w:t>Torresi</w:t>
      </w:r>
      <w:proofErr w:type="spellEnd"/>
      <w:r w:rsidR="00933D85">
        <w:t xml:space="preserve">, but </w:t>
      </w:r>
      <w:r w:rsidR="00AF4C2B">
        <w:t>conceiving of the duty of just</w:t>
      </w:r>
      <w:r w:rsidR="0071185E">
        <w:t>i</w:t>
      </w:r>
      <w:r w:rsidR="00AF4C2B">
        <w:t>ce as a joint duty shared by A and B</w:t>
      </w:r>
      <w:r w:rsidR="00935A8E">
        <w:t xml:space="preserve"> </w:t>
      </w:r>
      <w:r w:rsidR="0071185E">
        <w:t>has the implication</w:t>
      </w:r>
      <w:r w:rsidR="006C4821">
        <w:t xml:space="preserve"> that</w:t>
      </w:r>
      <w:r w:rsidR="0071185E">
        <w:t xml:space="preserve"> </w:t>
      </w:r>
      <w:r w:rsidR="00877824">
        <w:t>since</w:t>
      </w:r>
      <w:r w:rsidR="0071185E">
        <w:t xml:space="preserve"> </w:t>
      </w:r>
      <w:r w:rsidR="00857F03">
        <w:t>the</w:t>
      </w:r>
      <w:r w:rsidR="005E73EC">
        <w:t xml:space="preserve"> </w:t>
      </w:r>
      <w:r w:rsidR="00877824">
        <w:t>primary context of</w:t>
      </w:r>
      <w:r w:rsidR="005E73EC">
        <w:t xml:space="preserve"> justice is the whole transnational </w:t>
      </w:r>
      <w:r w:rsidR="00877824">
        <w:t xml:space="preserve">scheme regulating TMPs across </w:t>
      </w:r>
      <w:r w:rsidR="006C4821">
        <w:t>A-and-B</w:t>
      </w:r>
      <w:r w:rsidR="0006752E">
        <w:t xml:space="preserve">, it is necessary to specify the conditions of transnational justice prior to specifying </w:t>
      </w:r>
      <w:r w:rsidR="00F930A5">
        <w:t>what justice in</w:t>
      </w:r>
      <w:r w:rsidR="0006752E">
        <w:t xml:space="preserve"> A and </w:t>
      </w:r>
      <w:r w:rsidR="00F930A5">
        <w:t>justice in</w:t>
      </w:r>
      <w:r w:rsidR="0006752E">
        <w:t xml:space="preserve"> B</w:t>
      </w:r>
      <w:r w:rsidR="00BD1A58">
        <w:t xml:space="preserve"> require</w:t>
      </w:r>
      <w:r w:rsidR="000E1D9F">
        <w:t>.</w:t>
      </w:r>
      <w:r w:rsidR="0058255A">
        <w:t xml:space="preserve"> Put another way, the duties of A cannot be specified independently of the duties of B</w:t>
      </w:r>
      <w:r w:rsidR="005B79AF">
        <w:t>.</w:t>
      </w:r>
      <w:r w:rsidR="00DB5908">
        <w:t xml:space="preserve"> </w:t>
      </w:r>
      <w:r w:rsidR="000E1D9F">
        <w:t>It is</w:t>
      </w:r>
      <w:r w:rsidR="00733DDD">
        <w:t>, I think,</w:t>
      </w:r>
      <w:r w:rsidR="000E1D9F">
        <w:t xml:space="preserve"> a methodological error to suppose that one can deal first</w:t>
      </w:r>
      <w:r w:rsidR="00032919">
        <w:t xml:space="preserve"> the duties of B and then go on separately to specify the duties of A</w:t>
      </w:r>
      <w:r w:rsidR="005108EF">
        <w:t xml:space="preserve"> and then think about what cooperation </w:t>
      </w:r>
      <w:r w:rsidR="00522829">
        <w:t xml:space="preserve">achieving </w:t>
      </w:r>
      <w:r w:rsidR="005108EF">
        <w:t>this may require</w:t>
      </w:r>
      <w:r w:rsidR="00032919">
        <w:t>.</w:t>
      </w:r>
      <w:r w:rsidR="005108EF">
        <w:t xml:space="preserve"> </w:t>
      </w:r>
      <w:r w:rsidR="00EE6694">
        <w:t xml:space="preserve">This is however precisely how Ottonelli and </w:t>
      </w:r>
      <w:proofErr w:type="spellStart"/>
      <w:r w:rsidR="00EE6694">
        <w:t>Torresi</w:t>
      </w:r>
      <w:proofErr w:type="spellEnd"/>
      <w:r w:rsidR="00EE6694">
        <w:t xml:space="preserve"> proceed</w:t>
      </w:r>
      <w:r w:rsidR="000A20C9">
        <w:t xml:space="preserve"> albeit that they only seek to specify fully the duties of B</w:t>
      </w:r>
      <w:r w:rsidR="00EE6694">
        <w:t>.</w:t>
      </w:r>
    </w:p>
    <w:p w14:paraId="79991075" w14:textId="77777777" w:rsidR="00EE6694" w:rsidRDefault="00EE6694" w:rsidP="00EE6694"/>
    <w:p w14:paraId="0ACBC77A" w14:textId="07ED910D" w:rsidR="002668BD" w:rsidRDefault="002668BD" w:rsidP="00EE6694">
      <w:r>
        <w:t>Consider the case of emigrant voting rights. If we approach this</w:t>
      </w:r>
      <w:r w:rsidR="001176C9">
        <w:t xml:space="preserve"> question from the </w:t>
      </w:r>
      <w:r w:rsidR="000A0C1D">
        <w:t xml:space="preserve">national </w:t>
      </w:r>
      <w:r w:rsidR="001176C9">
        <w:t>standpoint of state</w:t>
      </w:r>
      <w:r w:rsidR="0048486B">
        <w:t xml:space="preserve"> A</w:t>
      </w:r>
      <w:r w:rsidR="001176C9">
        <w:t xml:space="preserve"> </w:t>
      </w:r>
      <w:r w:rsidR="00BC05D8">
        <w:t xml:space="preserve">in the contemporary global context, then we have good reason to think that </w:t>
      </w:r>
      <w:r w:rsidR="005E0CE7">
        <w:t>such rights are permissible, neither forbidden nor required by justice</w:t>
      </w:r>
      <w:r w:rsidR="007D6006">
        <w:t xml:space="preserve">, </w:t>
      </w:r>
      <w:r w:rsidR="00052A3B">
        <w:t>at least for 1</w:t>
      </w:r>
      <w:r w:rsidR="00052A3B" w:rsidRPr="00052A3B">
        <w:rPr>
          <w:vertAlign w:val="superscript"/>
        </w:rPr>
        <w:t>st</w:t>
      </w:r>
      <w:r w:rsidR="00052A3B">
        <w:t xml:space="preserve"> and 2</w:t>
      </w:r>
      <w:r w:rsidR="00052A3B" w:rsidRPr="00052A3B">
        <w:rPr>
          <w:vertAlign w:val="superscript"/>
        </w:rPr>
        <w:t>nd</w:t>
      </w:r>
      <w:r w:rsidR="00052A3B">
        <w:t xml:space="preserve"> generation emigrants</w:t>
      </w:r>
      <w:r w:rsidR="005E0CE7">
        <w:t>.</w:t>
      </w:r>
      <w:r w:rsidR="003C34D8">
        <w:t xml:space="preserve"> </w:t>
      </w:r>
      <w:r w:rsidR="0048486B">
        <w:t>However</w:t>
      </w:r>
      <w:r w:rsidR="00BA3331">
        <w:t>,</w:t>
      </w:r>
      <w:r w:rsidR="0048486B">
        <w:t xml:space="preserve"> if we approach the same question from the</w:t>
      </w:r>
      <w:r w:rsidR="00BA3331">
        <w:t xml:space="preserve"> transnational context of A-and-B</w:t>
      </w:r>
      <w:r w:rsidR="00135E25">
        <w:t xml:space="preserve"> relative to individuals engaged in TMPs, then there</w:t>
      </w:r>
      <w:r w:rsidR="0073763F">
        <w:t xml:space="preserve"> is strong reason to see them as required</w:t>
      </w:r>
      <w:r w:rsidR="00CA414F">
        <w:t xml:space="preserve"> precisely because the individuals in state B engaged in TMPs are </w:t>
      </w:r>
      <w:r w:rsidR="00685FFA">
        <w:t>oriented towards to home state rather than the state of residence</w:t>
      </w:r>
      <w:r w:rsidR="00086CA7">
        <w:t>, the home state is the</w:t>
      </w:r>
      <w:r w:rsidR="002969E9">
        <w:t xml:space="preserve"> primary</w:t>
      </w:r>
      <w:r w:rsidR="00086CA7">
        <w:t xml:space="preserve"> locus of the</w:t>
      </w:r>
      <w:r w:rsidR="0020376B">
        <w:t xml:space="preserve"> social bases of their</w:t>
      </w:r>
      <w:r w:rsidR="002969E9">
        <w:t xml:space="preserve"> self-respect</w:t>
      </w:r>
      <w:r w:rsidR="006F7FE6">
        <w:t xml:space="preserve"> and they</w:t>
      </w:r>
      <w:r w:rsidR="00F13950">
        <w:t xml:space="preserve"> </w:t>
      </w:r>
      <w:r w:rsidR="00FA1599">
        <w:t>identify themselves are members of its political community</w:t>
      </w:r>
      <w:r w:rsidR="003D0769">
        <w:t>.</w:t>
      </w:r>
      <w:r w:rsidR="00614DDD">
        <w:t xml:space="preserve"> They are </w:t>
      </w:r>
      <w:r w:rsidR="000A20C9">
        <w:t xml:space="preserve">thus </w:t>
      </w:r>
      <w:r w:rsidR="00614DDD">
        <w:t>more akin to diplomats or soldiers stationed abroad than to permanent emigrants</w:t>
      </w:r>
      <w:r w:rsidR="00E133E3">
        <w:t xml:space="preserve"> who are looking to make another state the</w:t>
      </w:r>
      <w:r w:rsidR="00245855">
        <w:t>i</w:t>
      </w:r>
      <w:r w:rsidR="00E133E3">
        <w:t>r home.</w:t>
      </w:r>
      <w:r w:rsidR="00EE6694">
        <w:rPr>
          <w:rStyle w:val="FootnoteReference"/>
        </w:rPr>
        <w:footnoteReference w:id="2"/>
      </w:r>
      <w:r w:rsidR="00004669">
        <w:t xml:space="preserve"> </w:t>
      </w:r>
    </w:p>
    <w:p w14:paraId="72FD90B2" w14:textId="77777777" w:rsidR="006A6C31" w:rsidRDefault="006A6C31" w:rsidP="004A3315">
      <w:pPr>
        <w:ind w:left="0"/>
      </w:pPr>
    </w:p>
    <w:p w14:paraId="0CB60E36" w14:textId="1BDB12EF" w:rsidR="006E4893" w:rsidRDefault="00924005" w:rsidP="00AE6040">
      <w:r>
        <w:t>There is a further i</w:t>
      </w:r>
      <w:r w:rsidR="00035831">
        <w:t>ssue</w:t>
      </w:r>
      <w:r>
        <w:t xml:space="preserve"> that also arises from the</w:t>
      </w:r>
      <w:r w:rsidR="00705F28">
        <w:t xml:space="preserve"> fact the duty o</w:t>
      </w:r>
      <w:r w:rsidR="00035831">
        <w:t>f</w:t>
      </w:r>
      <w:r w:rsidR="00705F28">
        <w:t xml:space="preserve"> justice is a joint duty shared by A and B</w:t>
      </w:r>
      <w:r w:rsidR="006E4893">
        <w:t xml:space="preserve">. If the duty of A could be specified independently of the duty of B, then </w:t>
      </w:r>
      <w:r w:rsidR="008D6C7C">
        <w:t xml:space="preserve">in a scenario in which A was not fulfilling its duty whereas </w:t>
      </w:r>
      <w:r w:rsidR="00AA103F">
        <w:t>B was, B could legitimately claim that</w:t>
      </w:r>
      <w:r w:rsidR="006B541A">
        <w:t xml:space="preserve"> it bears no moral responsibility for the fact that </w:t>
      </w:r>
      <w:r w:rsidR="002A2B59">
        <w:t xml:space="preserve">the condition of individuals pursuing TMPs </w:t>
      </w:r>
      <w:r w:rsidR="0057601C">
        <w:t xml:space="preserve">across A and B </w:t>
      </w:r>
      <w:r w:rsidR="002A2B59">
        <w:t>is unjust</w:t>
      </w:r>
      <w:r w:rsidR="00AE6040">
        <w:t>.</w:t>
      </w:r>
      <w:r w:rsidR="0057601C">
        <w:t xml:space="preserve"> Whereas if we conceive of the duty</w:t>
      </w:r>
      <w:r w:rsidR="00E768A5">
        <w:t xml:space="preserve"> of justice as a joint duty shared by A and B, </w:t>
      </w:r>
      <w:r w:rsidR="00376038">
        <w:t xml:space="preserve">then under the same scenario B cannot claim that it </w:t>
      </w:r>
      <w:r w:rsidR="001C366D">
        <w:t>bears no responsibility</w:t>
      </w:r>
      <w:r w:rsidR="00AE6040">
        <w:t xml:space="preserve"> </w:t>
      </w:r>
      <w:r w:rsidR="001C366D" w:rsidRPr="001C366D">
        <w:t>for the fact that the condition of individuals pursuing TMPs across A and B is unjust</w:t>
      </w:r>
      <w:r w:rsidR="00987994">
        <w:t xml:space="preserve">. </w:t>
      </w:r>
      <w:r w:rsidR="008A744A">
        <w:t xml:space="preserve">On the contrary, B would have obligations to </w:t>
      </w:r>
      <w:r w:rsidR="007D288D">
        <w:t>attempt</w:t>
      </w:r>
      <w:r w:rsidR="008A744A">
        <w:t xml:space="preserve"> to</w:t>
      </w:r>
      <w:r w:rsidR="009D3B97">
        <w:t xml:space="preserve"> bring A into compliance </w:t>
      </w:r>
      <w:r w:rsidR="00D25BB6">
        <w:t xml:space="preserve">with </w:t>
      </w:r>
      <w:r w:rsidR="006847DE">
        <w:t>the duty-bearing requirement</w:t>
      </w:r>
      <w:r w:rsidR="00D25BB6">
        <w:t>s</w:t>
      </w:r>
      <w:r w:rsidR="006847DE">
        <w:t xml:space="preserve"> that compose its fair share or to take up the slack</w:t>
      </w:r>
      <w:r w:rsidR="008228C2">
        <w:t xml:space="preserve"> (at least to some degree)</w:t>
      </w:r>
      <w:r w:rsidR="006847DE">
        <w:t>.</w:t>
      </w:r>
      <w:r w:rsidR="00657FB7">
        <w:t xml:space="preserve"> </w:t>
      </w:r>
      <w:r w:rsidR="0099264F">
        <w:t>Thus</w:t>
      </w:r>
      <w:r w:rsidR="008228C2">
        <w:t>,</w:t>
      </w:r>
      <w:r w:rsidR="0099264F">
        <w:t xml:space="preserve"> if we suppose that it is part of A’s share of the joint duty to </w:t>
      </w:r>
      <w:r w:rsidR="004976F4">
        <w:t>enact and implement emigrant voting rights</w:t>
      </w:r>
      <w:r w:rsidR="00CE5389">
        <w:t xml:space="preserve"> and it fails to do so without good reason, then B is obligated to </w:t>
      </w:r>
      <w:r w:rsidR="00380A07">
        <w:t xml:space="preserve">try to persuade A to introduce emigrant voting rights or to </w:t>
      </w:r>
      <w:r w:rsidR="00AC5098">
        <w:t xml:space="preserve">take up the slack by </w:t>
      </w:r>
      <w:r w:rsidR="00A006C3">
        <w:t xml:space="preserve">provide individuals engaged in </w:t>
      </w:r>
      <w:r w:rsidR="00883EBA">
        <w:t xml:space="preserve">TMPs with other </w:t>
      </w:r>
      <w:r w:rsidR="003E2159">
        <w:t>means for fulfilling the relevant ends.</w:t>
      </w:r>
    </w:p>
    <w:p w14:paraId="2926CBD5" w14:textId="77777777" w:rsidR="00C761BA" w:rsidRDefault="00C761BA" w:rsidP="00987619"/>
    <w:p w14:paraId="4422D791" w14:textId="12645635" w:rsidR="00C91DC7" w:rsidRDefault="00726DED" w:rsidP="00987619">
      <w:r>
        <w:t>III</w:t>
      </w:r>
      <w:r w:rsidR="00866C04">
        <w:t xml:space="preserve"> </w:t>
      </w:r>
      <w:r w:rsidR="00B22697">
        <w:t>T</w:t>
      </w:r>
      <w:r w:rsidR="00ED3FEE">
        <w:t>ransnationalism and t</w:t>
      </w:r>
      <w:r w:rsidR="00B22697">
        <w:t xml:space="preserve">he </w:t>
      </w:r>
      <w:r w:rsidR="00ED3FEE">
        <w:t xml:space="preserve">Rights and </w:t>
      </w:r>
      <w:r w:rsidR="00B22697">
        <w:t xml:space="preserve">Duties of </w:t>
      </w:r>
      <w:r w:rsidR="00474AD2">
        <w:t>TMP Migrants</w:t>
      </w:r>
    </w:p>
    <w:p w14:paraId="0A06D07B" w14:textId="4288D491" w:rsidR="00474AD2" w:rsidRDefault="00D54117" w:rsidP="00987619">
      <w:r>
        <w:t>Recogni</w:t>
      </w:r>
      <w:r w:rsidR="00093B70">
        <w:t xml:space="preserve">zing that people engaged in TMPs are living transnational lives that </w:t>
      </w:r>
      <w:r w:rsidR="00395F2A">
        <w:t xml:space="preserve">contribute to </w:t>
      </w:r>
      <w:r w:rsidR="00884898">
        <w:t>a</w:t>
      </w:r>
      <w:r w:rsidR="00395F2A">
        <w:t xml:space="preserve"> transnational scheme of social cooperation</w:t>
      </w:r>
      <w:r w:rsidR="00884898">
        <w:t xml:space="preserve"> across states A and B</w:t>
      </w:r>
      <w:r w:rsidR="00C35ADA">
        <w:t xml:space="preserve">, that these lives </w:t>
      </w:r>
      <w:r w:rsidR="00EE6694">
        <w:t>ar</w:t>
      </w:r>
      <w:r w:rsidR="00C35ADA">
        <w:t>e profoundly and pervasively impacted by the institution</w:t>
      </w:r>
      <w:r w:rsidR="00D44BDB">
        <w:t>al context</w:t>
      </w:r>
      <w:r w:rsidR="006B5CEB">
        <w:t xml:space="preserve"> of A</w:t>
      </w:r>
      <w:r w:rsidR="00D44BDB">
        <w:t>-</w:t>
      </w:r>
      <w:r w:rsidR="006B5CEB">
        <w:t>and</w:t>
      </w:r>
      <w:r w:rsidR="00D44BDB">
        <w:t>-</w:t>
      </w:r>
      <w:r w:rsidR="006B5CEB">
        <w:t>B, and are subject to coercion by th</w:t>
      </w:r>
      <w:r w:rsidR="00D44BDB">
        <w:t>is institutional context</w:t>
      </w:r>
      <w:r w:rsidR="00802C2C">
        <w:t>, entails that the relevant specification of equal treatment</w:t>
      </w:r>
      <w:r w:rsidR="0093637D">
        <w:t xml:space="preserve"> </w:t>
      </w:r>
      <w:r w:rsidR="00C102FB">
        <w:t xml:space="preserve">must be attuned to this transnational context. </w:t>
      </w:r>
      <w:r w:rsidR="00D24FB7">
        <w:t>Th</w:t>
      </w:r>
      <w:r w:rsidR="006C516F">
        <w:t>at these migrants live transnational lives</w:t>
      </w:r>
      <w:r w:rsidR="00D24FB7">
        <w:t xml:space="preserve"> leads </w:t>
      </w:r>
      <w:r w:rsidR="006C6BCB" w:rsidRPr="006207C3">
        <w:t xml:space="preserve">Ottonelli and </w:t>
      </w:r>
      <w:proofErr w:type="spellStart"/>
      <w:r w:rsidR="006C6BCB" w:rsidRPr="006207C3">
        <w:t>Torresi</w:t>
      </w:r>
      <w:proofErr w:type="spellEnd"/>
      <w:r w:rsidR="00D24FB7">
        <w:t xml:space="preserve"> to argue</w:t>
      </w:r>
      <w:r w:rsidR="00C427D0">
        <w:t xml:space="preserve">, </w:t>
      </w:r>
      <w:r w:rsidR="00EE6694">
        <w:t xml:space="preserve">albeit </w:t>
      </w:r>
      <w:r w:rsidR="00C427D0">
        <w:t xml:space="preserve">in their </w:t>
      </w:r>
      <w:r w:rsidR="000A20C9">
        <w:t xml:space="preserve">methodologically </w:t>
      </w:r>
      <w:r w:rsidR="00C427D0" w:rsidRPr="00EE6694">
        <w:rPr>
          <w:i/>
          <w:iCs/>
        </w:rPr>
        <w:t>national</w:t>
      </w:r>
      <w:r w:rsidR="000A20C9">
        <w:rPr>
          <w:i/>
          <w:iCs/>
        </w:rPr>
        <w:t>ist</w:t>
      </w:r>
      <w:r w:rsidR="00C427D0">
        <w:t xml:space="preserve"> framing</w:t>
      </w:r>
      <w:r w:rsidR="004166CB">
        <w:t xml:space="preserve"> of the normative issues,</w:t>
      </w:r>
      <w:r w:rsidR="00D24FB7">
        <w:t xml:space="preserve"> that individuals engaged in TMPs resident in state B require a set of special rights that </w:t>
      </w:r>
      <w:r w:rsidR="006E01E6">
        <w:t xml:space="preserve">acknowledge the transnational-specific </w:t>
      </w:r>
      <w:r w:rsidR="00644DA6">
        <w:t>needs and risks</w:t>
      </w:r>
      <w:r w:rsidR="00785299">
        <w:t xml:space="preserve"> that are bound up with their life-plan. </w:t>
      </w:r>
      <w:r w:rsidR="00C8093B">
        <w:t>We might reasonably note though</w:t>
      </w:r>
      <w:r w:rsidR="00327251">
        <w:t xml:space="preserve"> that</w:t>
      </w:r>
      <w:r w:rsidR="00644DA6">
        <w:t xml:space="preserve"> </w:t>
      </w:r>
      <w:r w:rsidR="00327251">
        <w:t>the same logic applies to state A</w:t>
      </w:r>
      <w:r w:rsidR="00F92F67">
        <w:t xml:space="preserve">. How does this impact </w:t>
      </w:r>
      <w:r w:rsidR="00F92F67" w:rsidRPr="006207C3">
        <w:t xml:space="preserve">Ottonelli and </w:t>
      </w:r>
      <w:proofErr w:type="spellStart"/>
      <w:r w:rsidR="00F92F67" w:rsidRPr="006207C3">
        <w:t>Torresi</w:t>
      </w:r>
      <w:r w:rsidR="00F92F67">
        <w:t>’s</w:t>
      </w:r>
      <w:proofErr w:type="spellEnd"/>
      <w:r w:rsidR="00F92F67">
        <w:t xml:space="preserve"> </w:t>
      </w:r>
      <w:r w:rsidR="00F92F67">
        <w:lastRenderedPageBreak/>
        <w:t xml:space="preserve">argument? It might be thought that this simply entails </w:t>
      </w:r>
      <w:r w:rsidR="00121E8E">
        <w:t xml:space="preserve">that state A has a set of special rights for </w:t>
      </w:r>
      <w:r w:rsidR="00225AAF">
        <w:t xml:space="preserve">those engaged in TMPs </w:t>
      </w:r>
      <w:r w:rsidR="00721644">
        <w:t xml:space="preserve">which apply only in territory of state A. This seems to be the presumption that </w:t>
      </w:r>
      <w:r w:rsidR="00721644" w:rsidRPr="00721644">
        <w:t xml:space="preserve">Ottonelli and </w:t>
      </w:r>
      <w:proofErr w:type="spellStart"/>
      <w:r w:rsidR="00721644" w:rsidRPr="00721644">
        <w:t>Torresi</w:t>
      </w:r>
      <w:proofErr w:type="spellEnd"/>
      <w:r w:rsidR="004D7696">
        <w:t xml:space="preserve"> make when they talk about bilateral treaties for welfare provisions that allow</w:t>
      </w:r>
      <w:r w:rsidR="006B3B48">
        <w:t xml:space="preserve">, for example, pension pots </w:t>
      </w:r>
      <w:r w:rsidR="008665B6">
        <w:t xml:space="preserve">built up by the migrant in state B to be transferred to for their use in state A. </w:t>
      </w:r>
      <w:r w:rsidR="00647133">
        <w:t>But the implications goes further than this and we can illustrate the point by considering the discussion of wor</w:t>
      </w:r>
      <w:r w:rsidR="004E4C9B">
        <w:t>k rights.</w:t>
      </w:r>
    </w:p>
    <w:p w14:paraId="53143FFE" w14:textId="77777777" w:rsidR="004E4C9B" w:rsidRDefault="004E4C9B" w:rsidP="00987619"/>
    <w:p w14:paraId="3D4999F4" w14:textId="22CA9C04" w:rsidR="004E4C9B" w:rsidRDefault="004E4C9B" w:rsidP="00987619">
      <w:r w:rsidRPr="004E4C9B">
        <w:t xml:space="preserve">Ottonelli and </w:t>
      </w:r>
      <w:proofErr w:type="spellStart"/>
      <w:r w:rsidRPr="004E4C9B">
        <w:t>Torresi</w:t>
      </w:r>
      <w:proofErr w:type="spellEnd"/>
      <w:r>
        <w:t xml:space="preserve"> make a compelling case for the claim that work and employment rights may be justifiably different in some respects for </w:t>
      </w:r>
      <w:r w:rsidR="00825265">
        <w:t>workers engaged in TMPs compared to other workers</w:t>
      </w:r>
      <w:r w:rsidR="00B83A3D">
        <w:t xml:space="preserve"> in ways that are responsive to the transnational character of their lives – for example, when not constrained by safety considerations, TMP workers should be entitled to work more than 35 hours a week and, by doing so, should be able build additional holiday time that they can take</w:t>
      </w:r>
      <w:r w:rsidR="00DB5200">
        <w:t xml:space="preserve"> in ways that support their </w:t>
      </w:r>
      <w:r w:rsidR="00747D03">
        <w:t xml:space="preserve">transnational </w:t>
      </w:r>
      <w:r w:rsidR="00DB5200">
        <w:t>family lives</w:t>
      </w:r>
      <w:r w:rsidR="00747D03">
        <w:t xml:space="preserve">. Particularly important though is their argument that </w:t>
      </w:r>
      <w:r w:rsidR="000D43EC">
        <w:t xml:space="preserve">TMP workers </w:t>
      </w:r>
      <w:r w:rsidR="00610449">
        <w:t xml:space="preserve">should have more than the usual associational rights to </w:t>
      </w:r>
      <w:r w:rsidR="00B573FC">
        <w:t>‘defend and enhance their bargaining power in the labour market</w:t>
      </w:r>
      <w:r w:rsidR="004D6B1F">
        <w:t>’</w:t>
      </w:r>
      <w:r w:rsidR="00D1224F">
        <w:t xml:space="preserve"> </w:t>
      </w:r>
      <w:r w:rsidR="000C49A7">
        <w:t xml:space="preserve">precisely because ‘these associational rights </w:t>
      </w:r>
      <w:r w:rsidR="001446E3">
        <w:t>come to play a different and more extensive role than they do for citizens since they must function a</w:t>
      </w:r>
      <w:r w:rsidR="00952B3C">
        <w:t>s substitutes for the right to vote in elections, which is of little use to temporary migrants</w:t>
      </w:r>
      <w:r w:rsidR="000E222F">
        <w:t xml:space="preserve">.’ </w:t>
      </w:r>
      <w:r w:rsidR="00D1224F">
        <w:t>(2022: 123)</w:t>
      </w:r>
      <w:r w:rsidR="000E222F">
        <w:t xml:space="preserve"> Thus they </w:t>
      </w:r>
      <w:r w:rsidR="007A5E5F">
        <w:t>propose that for TMP workers:</w:t>
      </w:r>
    </w:p>
    <w:p w14:paraId="4D36BFC3" w14:textId="77777777" w:rsidR="00496D1E" w:rsidRDefault="00A03F18" w:rsidP="007D6BBA">
      <w:pPr>
        <w:ind w:left="1440"/>
      </w:pPr>
      <w:r>
        <w:t>associational rights, and the right to join trade unions</w:t>
      </w:r>
      <w:r w:rsidR="00D2653D">
        <w:t xml:space="preserve"> must entail new forms of mobilization such as the enhancement of transnational workers’ organi</w:t>
      </w:r>
      <w:r w:rsidR="00780225">
        <w:t>z</w:t>
      </w:r>
      <w:r w:rsidR="00D2653D">
        <w:t>ations</w:t>
      </w:r>
      <w:r w:rsidR="00780225">
        <w:t>, bilateral agreements among unions based in different countries, a closer interaction</w:t>
      </w:r>
      <w:r w:rsidR="00FE5497">
        <w:t xml:space="preserve"> with worker centres and migrant networks, the creation of specific sub-branches</w:t>
      </w:r>
      <w:r w:rsidR="00ED37C8">
        <w:t xml:space="preserve"> of existing national unions, or partnerships with self-organised migration movements.</w:t>
      </w:r>
      <w:r w:rsidR="00496D1E">
        <w:t xml:space="preserve"> (2022: 123)</w:t>
      </w:r>
    </w:p>
    <w:p w14:paraId="0BD57237" w14:textId="0FFB68DD" w:rsidR="00D62716" w:rsidRDefault="00496D1E" w:rsidP="00496D1E">
      <w:r>
        <w:t xml:space="preserve">This is all very pertinent but why should the question of work rights </w:t>
      </w:r>
      <w:r w:rsidR="003E5FF6">
        <w:t>be limited to this context? TMP workers are citizens of state A working in state B</w:t>
      </w:r>
      <w:r w:rsidR="000B3DF1">
        <w:t xml:space="preserve">, and we may reasonably suppose that as part of the special rights due to them </w:t>
      </w:r>
      <w:r w:rsidR="00533185">
        <w:t>is an extension of their right to diplomatic protection to the field of labour relations</w:t>
      </w:r>
      <w:r w:rsidR="008D67D7">
        <w:t xml:space="preserve"> such that state A works to ensure that </w:t>
      </w:r>
      <w:r w:rsidR="00AF1907">
        <w:t xml:space="preserve">their TMP citizens are not exploited. This could be </w:t>
      </w:r>
      <w:r w:rsidR="00AF1907">
        <w:lastRenderedPageBreak/>
        <w:t xml:space="preserve">done by having specialist staff at the embassy focused on the </w:t>
      </w:r>
      <w:r w:rsidR="00EA23B8">
        <w:t>needs of the TMP citizens</w:t>
      </w:r>
      <w:r w:rsidR="002177D4">
        <w:t>. Furthermore</w:t>
      </w:r>
      <w:r w:rsidR="00EA23B8">
        <w:t xml:space="preserve">, if we consider </w:t>
      </w:r>
      <w:r w:rsidR="00223026">
        <w:t xml:space="preserve">institutional examples tied to </w:t>
      </w:r>
      <w:r w:rsidR="00EA23B8">
        <w:t xml:space="preserve">other groups of persons who lack </w:t>
      </w:r>
      <w:r w:rsidR="005D0279">
        <w:t>national voting rights</w:t>
      </w:r>
      <w:r w:rsidR="0048101B">
        <w:t xml:space="preserve"> in state B</w:t>
      </w:r>
      <w:r w:rsidR="005D0279">
        <w:t xml:space="preserve"> – such as children and future generations </w:t>
      </w:r>
      <w:r w:rsidR="0048101B">
        <w:t>–</w:t>
      </w:r>
      <w:r w:rsidR="00FE5497">
        <w:t xml:space="preserve"> </w:t>
      </w:r>
      <w:r w:rsidR="0048101B">
        <w:t xml:space="preserve">then </w:t>
      </w:r>
      <w:r w:rsidR="00223026">
        <w:t xml:space="preserve">we can see that </w:t>
      </w:r>
      <w:r w:rsidR="0048101B">
        <w:t>this</w:t>
      </w:r>
      <w:r w:rsidR="002177D4">
        <w:t xml:space="preserve"> oversight and monitoring by state A</w:t>
      </w:r>
      <w:r w:rsidR="0048101B">
        <w:t xml:space="preserve"> could be combined with an Ombudsman</w:t>
      </w:r>
      <w:r w:rsidR="00D62716">
        <w:t xml:space="preserve"> in state B</w:t>
      </w:r>
      <w:r w:rsidR="004D0313">
        <w:t xml:space="preserve"> whos</w:t>
      </w:r>
      <w:r w:rsidR="00104577">
        <w:t>e</w:t>
      </w:r>
      <w:r w:rsidR="004D0313">
        <w:t xml:space="preserve"> role is to represent the interests of </w:t>
      </w:r>
      <w:r w:rsidR="0034426F">
        <w:t>TMP migrants</w:t>
      </w:r>
      <w:r w:rsidR="00104577">
        <w:t xml:space="preserve">. </w:t>
      </w:r>
      <w:r w:rsidR="00157602">
        <w:t xml:space="preserve">The special rights of TMP citizens of state A may then be integral to </w:t>
      </w:r>
      <w:r w:rsidR="00454D88">
        <w:t>realizing the political representation of the</w:t>
      </w:r>
      <w:r w:rsidR="00A8775E">
        <w:t>ir interests in state B.</w:t>
      </w:r>
    </w:p>
    <w:p w14:paraId="7DE6CAA7" w14:textId="77777777" w:rsidR="00D62716" w:rsidRDefault="00D62716" w:rsidP="00496D1E"/>
    <w:p w14:paraId="34E0995D" w14:textId="3AA27C2D" w:rsidR="007A5E5F" w:rsidRDefault="002B6590" w:rsidP="00496D1E">
      <w:r>
        <w:t>I have two further questions to raise in this context</w:t>
      </w:r>
      <w:r w:rsidR="006E055A">
        <w:t>, both of which concern the issue of time</w:t>
      </w:r>
      <w:r>
        <w:t xml:space="preserve">. The first concerns whether there are </w:t>
      </w:r>
      <w:r w:rsidR="006E055A">
        <w:t xml:space="preserve">TMP workers who should </w:t>
      </w:r>
      <w:r w:rsidR="00393EDF">
        <w:t xml:space="preserve">not be able to transfer to a </w:t>
      </w:r>
      <w:r w:rsidR="00565FC6">
        <w:t>permanent migration project</w:t>
      </w:r>
      <w:r w:rsidR="00290B03">
        <w:t xml:space="preserve"> (PMP)</w:t>
      </w:r>
      <w:r w:rsidR="00565FC6">
        <w:t xml:space="preserve"> status. The second concerns whether, as </w:t>
      </w:r>
      <w:r w:rsidR="00565FC6" w:rsidRPr="006207C3">
        <w:t xml:space="preserve">Ottonelli and </w:t>
      </w:r>
      <w:proofErr w:type="spellStart"/>
      <w:r w:rsidR="00565FC6" w:rsidRPr="006207C3">
        <w:t>Torresi</w:t>
      </w:r>
      <w:r w:rsidR="00A94D5D">
        <w:t>’s</w:t>
      </w:r>
      <w:proofErr w:type="spellEnd"/>
      <w:r w:rsidR="00A94D5D">
        <w:t xml:space="preserve"> argument supposes, the duration of a TMP project has no </w:t>
      </w:r>
      <w:r w:rsidR="00C71EA7">
        <w:t xml:space="preserve">normative </w:t>
      </w:r>
      <w:r w:rsidR="00A94D5D">
        <w:t>implications</w:t>
      </w:r>
      <w:r w:rsidR="00290B03">
        <w:t xml:space="preserve"> (beyond acquiring the option to switch to a PMP status</w:t>
      </w:r>
      <w:r w:rsidR="00C71EA7">
        <w:t>) for the rights and duties of those engaged in TMP projects.</w:t>
      </w:r>
    </w:p>
    <w:p w14:paraId="2C483777" w14:textId="77777777" w:rsidR="009A6E27" w:rsidRDefault="009A6E27" w:rsidP="00496D1E"/>
    <w:p w14:paraId="1E3E8B97" w14:textId="58C38F6A" w:rsidR="009A6E27" w:rsidRDefault="009A6E27" w:rsidP="00496D1E">
      <w:r>
        <w:t xml:space="preserve">To </w:t>
      </w:r>
      <w:r w:rsidR="00173407">
        <w:t>pose</w:t>
      </w:r>
      <w:r>
        <w:t xml:space="preserve"> the first question, we can consider </w:t>
      </w:r>
      <w:r w:rsidR="00F877DF">
        <w:t xml:space="preserve">the case of critical medical personnel from states </w:t>
      </w:r>
      <w:r w:rsidR="004A5004">
        <w:t>with weak health systems</w:t>
      </w:r>
      <w:r w:rsidR="00833468">
        <w:t xml:space="preserve"> </w:t>
      </w:r>
      <w:r w:rsidR="00223026">
        <w:t xml:space="preserve">migrating </w:t>
      </w:r>
      <w:r w:rsidR="00833468">
        <w:t>to states with strong health systems</w:t>
      </w:r>
      <w:r w:rsidR="002D0966">
        <w:t xml:space="preserve">. There are good reasons why such personnel might wish to engage in </w:t>
      </w:r>
      <w:r w:rsidR="00115AE3">
        <w:t xml:space="preserve">short-term (or circular) </w:t>
      </w:r>
      <w:r w:rsidR="002D0966">
        <w:t>TMPs</w:t>
      </w:r>
      <w:r w:rsidR="009D7674">
        <w:t xml:space="preserve"> to improve their knowledge and skills</w:t>
      </w:r>
      <w:r w:rsidR="00833468">
        <w:t>,</w:t>
      </w:r>
      <w:r w:rsidR="009D7674">
        <w:t xml:space="preserve"> and why their home states might support them in this endeavour</w:t>
      </w:r>
      <w:r w:rsidR="00115AE3">
        <w:t>. But th</w:t>
      </w:r>
      <w:r w:rsidR="00975476">
        <w:t xml:space="preserve">ere are also good reasons why these states may be </w:t>
      </w:r>
      <w:r w:rsidR="00A65110">
        <w:t>opposed to the loss of these personnel to long-term TMPs or PMPs</w:t>
      </w:r>
      <w:r w:rsidR="004A59FC">
        <w:t xml:space="preserve">. Can the life-plans of these individuals be legitimately </w:t>
      </w:r>
      <w:r w:rsidR="00700858">
        <w:t>circumscribed</w:t>
      </w:r>
      <w:r w:rsidR="00173407">
        <w:t>?</w:t>
      </w:r>
      <w:r w:rsidR="000F5EE2">
        <w:t xml:space="preserve"> </w:t>
      </w:r>
      <w:r w:rsidR="00C42D5D">
        <w:t xml:space="preserve">My own view here is that </w:t>
      </w:r>
      <w:r w:rsidR="00261F6E">
        <w:t xml:space="preserve">the answer to this question is conditional on whether </w:t>
      </w:r>
      <w:r w:rsidR="00BE1810">
        <w:t xml:space="preserve">states A and B can jointly realise circumstances that ensure that the </w:t>
      </w:r>
      <w:r w:rsidR="00982916">
        <w:t xml:space="preserve">human right to health of the </w:t>
      </w:r>
      <w:r w:rsidR="00BE1810">
        <w:t xml:space="preserve">citizens of A </w:t>
      </w:r>
      <w:r w:rsidR="00982916">
        <w:t xml:space="preserve">is not </w:t>
      </w:r>
      <w:r w:rsidR="00247FF4">
        <w:t xml:space="preserve">threatened by the norms governing the </w:t>
      </w:r>
      <w:r w:rsidR="00570C8A">
        <w:t>migration of medical perso</w:t>
      </w:r>
      <w:r w:rsidR="00016CB9">
        <w:t>n</w:t>
      </w:r>
      <w:r w:rsidR="00570C8A">
        <w:t xml:space="preserve">nel </w:t>
      </w:r>
      <w:r w:rsidR="00016CB9">
        <w:t>between</w:t>
      </w:r>
      <w:r w:rsidR="00570C8A">
        <w:t xml:space="preserve"> state A to state B.</w:t>
      </w:r>
      <w:r w:rsidR="00016CB9">
        <w:t xml:space="preserve"> </w:t>
      </w:r>
      <w:r w:rsidR="00814DD1">
        <w:t xml:space="preserve">But given the normative weight that </w:t>
      </w:r>
      <w:r w:rsidR="00B83095" w:rsidRPr="00B83095">
        <w:t xml:space="preserve">Ottonelli and </w:t>
      </w:r>
      <w:proofErr w:type="spellStart"/>
      <w:r w:rsidR="00B83095" w:rsidRPr="00B83095">
        <w:t>Torresi</w:t>
      </w:r>
      <w:proofErr w:type="spellEnd"/>
      <w:r w:rsidR="00B83095">
        <w:t xml:space="preserve"> put on individual life-plans in their liberal framework, it is not clear to me that they would accept this constraint</w:t>
      </w:r>
      <w:r w:rsidR="003157DE">
        <w:t xml:space="preserve"> on individual freedom. </w:t>
      </w:r>
    </w:p>
    <w:p w14:paraId="6BAC4258" w14:textId="77777777" w:rsidR="00B232EC" w:rsidRDefault="00B232EC" w:rsidP="00496D1E"/>
    <w:p w14:paraId="3B6F65B3" w14:textId="6161BBEF" w:rsidR="0032417E" w:rsidRDefault="003157DE" w:rsidP="00496D1E">
      <w:r>
        <w:lastRenderedPageBreak/>
        <w:t>The second question concerns</w:t>
      </w:r>
      <w:r w:rsidR="001E39D0">
        <w:t xml:space="preserve"> whether the duration of a TMP has any implications</w:t>
      </w:r>
      <w:r w:rsidR="001B1602">
        <w:t xml:space="preserve"> for their rights and duties</w:t>
      </w:r>
      <w:r w:rsidR="007A2457">
        <w:t xml:space="preserve">. We can put this starkly by asking whether </w:t>
      </w:r>
      <w:r w:rsidR="00164ED1">
        <w:t>a TMP individual who has been present in a municipality of sta</w:t>
      </w:r>
      <w:r w:rsidR="000D29D6">
        <w:t xml:space="preserve">te B for 1 year and another who has been present for 40 years are in the same position as far as their rights and duties go. </w:t>
      </w:r>
      <w:r w:rsidR="009B0720">
        <w:t>My general intuition here is that time does matter</w:t>
      </w:r>
      <w:r w:rsidR="00DE18E5">
        <w:t xml:space="preserve"> because even if both remain oriented to the home state in the way that </w:t>
      </w:r>
      <w:r w:rsidR="006E6AC0" w:rsidRPr="006E6AC0">
        <w:t xml:space="preserve">Ottonelli and </w:t>
      </w:r>
      <w:proofErr w:type="spellStart"/>
      <w:r w:rsidR="006E6AC0" w:rsidRPr="006E6AC0">
        <w:t>Torresi’s</w:t>
      </w:r>
      <w:proofErr w:type="spellEnd"/>
      <w:r w:rsidR="006E6AC0">
        <w:t xml:space="preserve"> argument stipulates, </w:t>
      </w:r>
      <w:r w:rsidR="005157A3">
        <w:t xml:space="preserve">presence does </w:t>
      </w:r>
      <w:r w:rsidR="00851ABF">
        <w:t xml:space="preserve">still, I think, </w:t>
      </w:r>
      <w:r w:rsidR="005157A3">
        <w:t xml:space="preserve">have implications for </w:t>
      </w:r>
      <w:r w:rsidR="00141829">
        <w:t xml:space="preserve">social membership and </w:t>
      </w:r>
      <w:r w:rsidR="005157A3">
        <w:t xml:space="preserve">relational </w:t>
      </w:r>
      <w:r w:rsidR="00285DB5">
        <w:t>obligations.</w:t>
      </w:r>
      <w:r w:rsidR="00851ABF">
        <w:t xml:space="preserve"> Of course</w:t>
      </w:r>
      <w:r w:rsidR="00223026">
        <w:t>,</w:t>
      </w:r>
      <w:r w:rsidR="00851ABF">
        <w:t xml:space="preserve"> it may be that the kind of social membership acquired by the long-term TMP worker is distinct from that of </w:t>
      </w:r>
      <w:r w:rsidR="00EE3276">
        <w:t xml:space="preserve">individuals engaged in PMP projects, but it is implausible to imagine that </w:t>
      </w:r>
      <w:r w:rsidR="00D26E13">
        <w:t xml:space="preserve">this hypothesised TMP migrant has not, simply as a product of the ordinary conduct of everyday life, </w:t>
      </w:r>
      <w:r w:rsidR="0020212E">
        <w:t xml:space="preserve">formed social relations outside of other TMP workers. </w:t>
      </w:r>
      <w:r w:rsidR="002550B4">
        <w:t>This may lead to the view that</w:t>
      </w:r>
      <w:r w:rsidR="001C4BFF">
        <w:t>, given the service delivery focus on municipal government, that the TMP</w:t>
      </w:r>
      <w:r w:rsidR="00B935F9">
        <w:t xml:space="preserve"> migrant should acquire a right to local voting rights (regardless of whether they wish to have it or to exercise it)</w:t>
      </w:r>
      <w:r w:rsidR="00F716EF">
        <w:t xml:space="preserve"> after a period of time – or to the view that whereas the </w:t>
      </w:r>
      <w:r w:rsidR="002362D9">
        <w:t>short-term TMP migrant might be excused from jury duty that the long-term TMP migrant should not be.</w:t>
      </w:r>
      <w:r w:rsidR="005527A1">
        <w:t xml:space="preserve"> I simply raise this issue here – and note that it might also matter for rights and duties in the home state </w:t>
      </w:r>
      <w:r w:rsidR="008238D6">
        <w:t>–</w:t>
      </w:r>
      <w:r w:rsidR="005527A1">
        <w:t xml:space="preserve"> </w:t>
      </w:r>
      <w:r w:rsidR="008238D6">
        <w:t xml:space="preserve">because it is not one that </w:t>
      </w:r>
      <w:r w:rsidR="008238D6" w:rsidRPr="008238D6">
        <w:t xml:space="preserve">Ottonelli and </w:t>
      </w:r>
      <w:proofErr w:type="spellStart"/>
      <w:r w:rsidR="008238D6" w:rsidRPr="008238D6">
        <w:t>Torresi</w:t>
      </w:r>
      <w:proofErr w:type="spellEnd"/>
      <w:r w:rsidR="008238D6">
        <w:t xml:space="preserve"> address</w:t>
      </w:r>
      <w:r w:rsidR="0024763E">
        <w:t>,</w:t>
      </w:r>
      <w:r w:rsidR="008238D6">
        <w:t xml:space="preserve"> but it is significant for </w:t>
      </w:r>
      <w:r w:rsidR="0032417E">
        <w:t>the kind of proposals that they advance.</w:t>
      </w:r>
    </w:p>
    <w:p w14:paraId="211B08D2" w14:textId="77777777" w:rsidR="0032417E" w:rsidRDefault="0032417E" w:rsidP="00496D1E"/>
    <w:p w14:paraId="7B9228B3" w14:textId="77777777" w:rsidR="0032417E" w:rsidRDefault="0032417E" w:rsidP="00496D1E">
      <w:r>
        <w:t>Conclusion</w:t>
      </w:r>
    </w:p>
    <w:p w14:paraId="2D246C2F" w14:textId="291211A2" w:rsidR="00A8775E" w:rsidRDefault="0024763E" w:rsidP="00496D1E">
      <w:r>
        <w:t>My primary purpose in this commentary</w:t>
      </w:r>
      <w:r w:rsidR="00F227BC">
        <w:t xml:space="preserve"> has been to raise an objection to what we may call ‘the normative methodological nationalism’ of </w:t>
      </w:r>
      <w:r w:rsidR="00F227BC" w:rsidRPr="00F227BC">
        <w:t xml:space="preserve">Ottonelli and </w:t>
      </w:r>
      <w:proofErr w:type="spellStart"/>
      <w:r w:rsidR="00F227BC" w:rsidRPr="00F227BC">
        <w:t>Torresi’s</w:t>
      </w:r>
      <w:proofErr w:type="spellEnd"/>
      <w:r w:rsidR="00ED5A3C">
        <w:t xml:space="preserve"> argument and to argue that the appropriate context of justice is </w:t>
      </w:r>
      <w:r w:rsidR="00B00BD3">
        <w:t>transnational and that this has non-trivial implications for the kind of argument that they want to make.</w:t>
      </w:r>
      <w:r w:rsidR="00851ABF">
        <w:t xml:space="preserve"> </w:t>
      </w:r>
      <w:r w:rsidR="000B3307">
        <w:t xml:space="preserve">Following from this argument, </w:t>
      </w:r>
      <w:r w:rsidR="00900B4D">
        <w:t xml:space="preserve">I have suggested that their framing of work rights – although insightful and important in </w:t>
      </w:r>
      <w:proofErr w:type="gramStart"/>
      <w:r w:rsidR="00900B4D">
        <w:t>a number of</w:t>
      </w:r>
      <w:proofErr w:type="gramEnd"/>
      <w:r w:rsidR="00900B4D">
        <w:t xml:space="preserve"> respects – limits itself precisely because it does not consider the duties of the home state towards TMP workers</w:t>
      </w:r>
      <w:r w:rsidR="00771030">
        <w:t xml:space="preserve"> within the state of residence. I have concluded by raising to questions where I am not clear about the implications of the argument advanced in this original and provocative book.</w:t>
      </w:r>
      <w:r w:rsidR="000B3307">
        <w:t xml:space="preserve"> </w:t>
      </w:r>
      <w:r w:rsidR="00285DB5">
        <w:t xml:space="preserve"> </w:t>
      </w:r>
    </w:p>
    <w:p w14:paraId="3EBE955F" w14:textId="77777777" w:rsidR="00771030" w:rsidRDefault="00771030" w:rsidP="00496D1E"/>
    <w:p w14:paraId="19C8612A" w14:textId="77777777" w:rsidR="00771030" w:rsidRDefault="00771030" w:rsidP="00496D1E"/>
    <w:p w14:paraId="5409FB0C" w14:textId="6C89AF17" w:rsidR="00771030" w:rsidRDefault="00771030" w:rsidP="00496D1E">
      <w:r>
        <w:t>Acknowledgments</w:t>
      </w:r>
    </w:p>
    <w:p w14:paraId="4A9170FA" w14:textId="46B1F888" w:rsidR="00A8775E" w:rsidRDefault="00771030" w:rsidP="00820D5A">
      <w:r>
        <w:t xml:space="preserve">I am </w:t>
      </w:r>
      <w:r w:rsidR="0046269A">
        <w:t xml:space="preserve">grateful to Valerie </w:t>
      </w:r>
      <w:r w:rsidR="0046269A" w:rsidRPr="006207C3">
        <w:t xml:space="preserve">Ottonelli and </w:t>
      </w:r>
      <w:r w:rsidR="0046269A">
        <w:t xml:space="preserve">Tiziana </w:t>
      </w:r>
      <w:proofErr w:type="spellStart"/>
      <w:r w:rsidR="0046269A" w:rsidRPr="006207C3">
        <w:t>Torresi</w:t>
      </w:r>
      <w:proofErr w:type="spellEnd"/>
      <w:r w:rsidR="0046269A">
        <w:t xml:space="preserve"> for providing the occasion for this event</w:t>
      </w:r>
      <w:r w:rsidR="00E72496">
        <w:t>, to Gloria Zuccarelli for the invitation to contribute to it</w:t>
      </w:r>
      <w:r w:rsidR="00E82E07">
        <w:t>, and an anonymous referee for pushing me to clarify some elements of the argument</w:t>
      </w:r>
      <w:r w:rsidR="00E72496">
        <w:t>.</w:t>
      </w:r>
    </w:p>
    <w:p w14:paraId="6A1FCBDE" w14:textId="77777777" w:rsidR="00245855" w:rsidRDefault="00245855" w:rsidP="00820D5A"/>
    <w:p w14:paraId="1793AEC5" w14:textId="35F30570" w:rsidR="00245855" w:rsidRDefault="00245855" w:rsidP="00820D5A">
      <w:r>
        <w:t>References</w:t>
      </w:r>
    </w:p>
    <w:p w14:paraId="60C86A19" w14:textId="71EBDF98" w:rsidR="0095501A" w:rsidRPr="0095501A" w:rsidRDefault="00245855" w:rsidP="0095501A">
      <w:r>
        <w:t xml:space="preserve">Ottonelli, V. and Torresi, T. 2022. </w:t>
      </w:r>
      <w:r w:rsidR="0095501A" w:rsidRPr="0095501A">
        <w:t>The Right Not to Stay</w:t>
      </w:r>
      <w:r w:rsidR="0095501A">
        <w:t xml:space="preserve">: </w:t>
      </w:r>
      <w:r w:rsidR="0095501A" w:rsidRPr="0095501A">
        <w:t>Justice in Migration, the Liberal Democratic State, and the Case of Temporary Migration Projects</w:t>
      </w:r>
      <w:r w:rsidR="0095501A">
        <w:t>. Oxford: Oxford University Press.</w:t>
      </w:r>
    </w:p>
    <w:p w14:paraId="5DCF83F0" w14:textId="039B33BA" w:rsidR="00245855" w:rsidRPr="0095501A" w:rsidRDefault="00245855" w:rsidP="00820D5A">
      <w:pPr>
        <w:rPr>
          <w:i/>
          <w:iCs/>
        </w:rPr>
      </w:pPr>
    </w:p>
    <w:sectPr w:rsidR="00245855" w:rsidRPr="0095501A"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3B37" w14:textId="77777777" w:rsidR="00404ACE" w:rsidRDefault="00404ACE" w:rsidP="00406918">
      <w:pPr>
        <w:spacing w:line="240" w:lineRule="auto"/>
      </w:pPr>
      <w:r>
        <w:separator/>
      </w:r>
    </w:p>
  </w:endnote>
  <w:endnote w:type="continuationSeparator" w:id="0">
    <w:p w14:paraId="31F7B382" w14:textId="77777777" w:rsidR="00404ACE" w:rsidRDefault="00404ACE" w:rsidP="00406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B9F1" w14:textId="77777777" w:rsidR="00404ACE" w:rsidRDefault="00404ACE" w:rsidP="00406918">
      <w:pPr>
        <w:spacing w:line="240" w:lineRule="auto"/>
      </w:pPr>
      <w:r>
        <w:separator/>
      </w:r>
    </w:p>
  </w:footnote>
  <w:footnote w:type="continuationSeparator" w:id="0">
    <w:p w14:paraId="70AA9D65" w14:textId="77777777" w:rsidR="00404ACE" w:rsidRDefault="00404ACE" w:rsidP="00406918">
      <w:pPr>
        <w:spacing w:line="240" w:lineRule="auto"/>
      </w:pPr>
      <w:r>
        <w:continuationSeparator/>
      </w:r>
    </w:p>
  </w:footnote>
  <w:footnote w:id="1">
    <w:p w14:paraId="0BCC44DE" w14:textId="52EAECCA" w:rsidR="00406918" w:rsidRPr="00406918" w:rsidRDefault="00406918">
      <w:pPr>
        <w:pStyle w:val="FootnoteText"/>
        <w:rPr>
          <w:lang w:val="en-US"/>
        </w:rPr>
      </w:pPr>
      <w:r>
        <w:rPr>
          <w:rStyle w:val="FootnoteReference"/>
        </w:rPr>
        <w:footnoteRef/>
      </w:r>
      <w:r>
        <w:t xml:space="preserve"> </w:t>
      </w:r>
      <w:r w:rsidRPr="00406918">
        <w:t xml:space="preserve">At times Ottonelli and </w:t>
      </w:r>
      <w:proofErr w:type="spellStart"/>
      <w:r w:rsidRPr="00406918">
        <w:t>Torresi</w:t>
      </w:r>
      <w:proofErr w:type="spellEnd"/>
      <w:r w:rsidRPr="00406918">
        <w:t xml:space="preserve"> seem to suggest a stronger thesis, namely, that temporary migration programmes that have fixed time limits are, in the absence of the option to stay, necessarily non-voluntary (2022: 84) but since such a view would not cohere with their own methodological approach to, and substantive account of, voluntariness so I will take it that they are not committed to such a thesis.</w:t>
      </w:r>
    </w:p>
  </w:footnote>
  <w:footnote w:id="2">
    <w:p w14:paraId="4589E9CE" w14:textId="3AFC94FB" w:rsidR="00EE6694" w:rsidRPr="00EE6694" w:rsidRDefault="00EE6694">
      <w:pPr>
        <w:pStyle w:val="FootnoteText"/>
        <w:rPr>
          <w:lang w:val="en-US"/>
        </w:rPr>
      </w:pPr>
      <w:r>
        <w:rPr>
          <w:rStyle w:val="FootnoteReference"/>
        </w:rPr>
        <w:footnoteRef/>
      </w:r>
      <w:r>
        <w:t xml:space="preserve"> Note, however, that if there are compelling prudential reasons for A not to enact and implement emigrant voting rights that outweigh the reasons to adopt this practice, then the duty-bearing agent A-and-B would have a duty to adopt or invent alternative measures for ensuring that the ends that are otherwise served by enfranchisement in the home state 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9A7"/>
    <w:multiLevelType w:val="hybridMultilevel"/>
    <w:tmpl w:val="C4C0A74A"/>
    <w:lvl w:ilvl="0" w:tplc="BA083E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705F6"/>
    <w:multiLevelType w:val="hybridMultilevel"/>
    <w:tmpl w:val="DA3843D4"/>
    <w:lvl w:ilvl="0" w:tplc="D53038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9907396">
    <w:abstractNumId w:val="0"/>
  </w:num>
  <w:num w:numId="2" w16cid:durableId="3331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19"/>
    <w:rsid w:val="00004042"/>
    <w:rsid w:val="00004669"/>
    <w:rsid w:val="00013229"/>
    <w:rsid w:val="000150EC"/>
    <w:rsid w:val="000156DA"/>
    <w:rsid w:val="00016CB9"/>
    <w:rsid w:val="00016E14"/>
    <w:rsid w:val="00020584"/>
    <w:rsid w:val="00020B10"/>
    <w:rsid w:val="000219E8"/>
    <w:rsid w:val="00024A16"/>
    <w:rsid w:val="00032919"/>
    <w:rsid w:val="00035831"/>
    <w:rsid w:val="00036642"/>
    <w:rsid w:val="0003675C"/>
    <w:rsid w:val="000369F4"/>
    <w:rsid w:val="00037201"/>
    <w:rsid w:val="00040908"/>
    <w:rsid w:val="00041E30"/>
    <w:rsid w:val="000448DF"/>
    <w:rsid w:val="00046A9E"/>
    <w:rsid w:val="00052A3B"/>
    <w:rsid w:val="00060E85"/>
    <w:rsid w:val="0006506D"/>
    <w:rsid w:val="00066B3E"/>
    <w:rsid w:val="0006752E"/>
    <w:rsid w:val="000705EE"/>
    <w:rsid w:val="00075662"/>
    <w:rsid w:val="000800E5"/>
    <w:rsid w:val="00081C75"/>
    <w:rsid w:val="00086CA7"/>
    <w:rsid w:val="00093B70"/>
    <w:rsid w:val="00093CC0"/>
    <w:rsid w:val="0009426E"/>
    <w:rsid w:val="0009495C"/>
    <w:rsid w:val="00094D9F"/>
    <w:rsid w:val="0009554F"/>
    <w:rsid w:val="000955A8"/>
    <w:rsid w:val="000A0C1D"/>
    <w:rsid w:val="000A20C9"/>
    <w:rsid w:val="000A2756"/>
    <w:rsid w:val="000A752D"/>
    <w:rsid w:val="000B3307"/>
    <w:rsid w:val="000B3DF1"/>
    <w:rsid w:val="000C2052"/>
    <w:rsid w:val="000C2C62"/>
    <w:rsid w:val="000C49A7"/>
    <w:rsid w:val="000C4B71"/>
    <w:rsid w:val="000D29D6"/>
    <w:rsid w:val="000D43EC"/>
    <w:rsid w:val="000D594A"/>
    <w:rsid w:val="000D6225"/>
    <w:rsid w:val="000E12F1"/>
    <w:rsid w:val="000E1425"/>
    <w:rsid w:val="000E1D9F"/>
    <w:rsid w:val="000E222F"/>
    <w:rsid w:val="000F5EE2"/>
    <w:rsid w:val="00104577"/>
    <w:rsid w:val="00107E5C"/>
    <w:rsid w:val="00115AE3"/>
    <w:rsid w:val="001176C9"/>
    <w:rsid w:val="001200B1"/>
    <w:rsid w:val="00121E8E"/>
    <w:rsid w:val="00124117"/>
    <w:rsid w:val="00124B90"/>
    <w:rsid w:val="00126AB5"/>
    <w:rsid w:val="00130184"/>
    <w:rsid w:val="00132864"/>
    <w:rsid w:val="00134803"/>
    <w:rsid w:val="00135E25"/>
    <w:rsid w:val="00136638"/>
    <w:rsid w:val="001368DC"/>
    <w:rsid w:val="001407B5"/>
    <w:rsid w:val="0014157F"/>
    <w:rsid w:val="00141829"/>
    <w:rsid w:val="001446E3"/>
    <w:rsid w:val="00145860"/>
    <w:rsid w:val="00150109"/>
    <w:rsid w:val="00157602"/>
    <w:rsid w:val="00160CEF"/>
    <w:rsid w:val="00164ED1"/>
    <w:rsid w:val="00173407"/>
    <w:rsid w:val="0017343B"/>
    <w:rsid w:val="00173E0B"/>
    <w:rsid w:val="0017604E"/>
    <w:rsid w:val="00176B0B"/>
    <w:rsid w:val="00184C7B"/>
    <w:rsid w:val="0018570A"/>
    <w:rsid w:val="00186403"/>
    <w:rsid w:val="00195BF8"/>
    <w:rsid w:val="001B1602"/>
    <w:rsid w:val="001B4BC1"/>
    <w:rsid w:val="001C366D"/>
    <w:rsid w:val="001C4BFF"/>
    <w:rsid w:val="001C5DBE"/>
    <w:rsid w:val="001E05C5"/>
    <w:rsid w:val="001E06AE"/>
    <w:rsid w:val="001E39D0"/>
    <w:rsid w:val="001E50F4"/>
    <w:rsid w:val="001F0A2C"/>
    <w:rsid w:val="001F15CC"/>
    <w:rsid w:val="0020212E"/>
    <w:rsid w:val="0020376B"/>
    <w:rsid w:val="00210767"/>
    <w:rsid w:val="002177D4"/>
    <w:rsid w:val="00217A86"/>
    <w:rsid w:val="00217AF8"/>
    <w:rsid w:val="00223026"/>
    <w:rsid w:val="00224DFB"/>
    <w:rsid w:val="00225AAF"/>
    <w:rsid w:val="00226DC8"/>
    <w:rsid w:val="00230B09"/>
    <w:rsid w:val="00233693"/>
    <w:rsid w:val="00235CEA"/>
    <w:rsid w:val="002362D9"/>
    <w:rsid w:val="00241994"/>
    <w:rsid w:val="00243196"/>
    <w:rsid w:val="00245855"/>
    <w:rsid w:val="0024763E"/>
    <w:rsid w:val="00247FF4"/>
    <w:rsid w:val="002550B4"/>
    <w:rsid w:val="00260723"/>
    <w:rsid w:val="00261F6E"/>
    <w:rsid w:val="002629D0"/>
    <w:rsid w:val="0026551E"/>
    <w:rsid w:val="002668BD"/>
    <w:rsid w:val="00267D61"/>
    <w:rsid w:val="00277881"/>
    <w:rsid w:val="00280802"/>
    <w:rsid w:val="00285DB5"/>
    <w:rsid w:val="00290B03"/>
    <w:rsid w:val="00291777"/>
    <w:rsid w:val="00296417"/>
    <w:rsid w:val="002969E9"/>
    <w:rsid w:val="002A2B59"/>
    <w:rsid w:val="002A447B"/>
    <w:rsid w:val="002B141B"/>
    <w:rsid w:val="002B6402"/>
    <w:rsid w:val="002B6590"/>
    <w:rsid w:val="002B6DE3"/>
    <w:rsid w:val="002D0966"/>
    <w:rsid w:val="002D0A9B"/>
    <w:rsid w:val="002D0D62"/>
    <w:rsid w:val="002D2497"/>
    <w:rsid w:val="002D41D5"/>
    <w:rsid w:val="002D55B3"/>
    <w:rsid w:val="002D64E5"/>
    <w:rsid w:val="002E7786"/>
    <w:rsid w:val="002F6845"/>
    <w:rsid w:val="00300158"/>
    <w:rsid w:val="003033D0"/>
    <w:rsid w:val="003044B2"/>
    <w:rsid w:val="00306D3D"/>
    <w:rsid w:val="0031148F"/>
    <w:rsid w:val="00314F7A"/>
    <w:rsid w:val="003157DE"/>
    <w:rsid w:val="00317106"/>
    <w:rsid w:val="00321E86"/>
    <w:rsid w:val="00322766"/>
    <w:rsid w:val="00323A2D"/>
    <w:rsid w:val="0032417E"/>
    <w:rsid w:val="003254A1"/>
    <w:rsid w:val="00327251"/>
    <w:rsid w:val="00327D45"/>
    <w:rsid w:val="0034081F"/>
    <w:rsid w:val="0034426F"/>
    <w:rsid w:val="003443BE"/>
    <w:rsid w:val="00345ED3"/>
    <w:rsid w:val="00356444"/>
    <w:rsid w:val="00365117"/>
    <w:rsid w:val="00371570"/>
    <w:rsid w:val="00374A3D"/>
    <w:rsid w:val="00376038"/>
    <w:rsid w:val="00380A07"/>
    <w:rsid w:val="003918EF"/>
    <w:rsid w:val="003927AD"/>
    <w:rsid w:val="00393EDF"/>
    <w:rsid w:val="0039450A"/>
    <w:rsid w:val="00395F2A"/>
    <w:rsid w:val="003A496D"/>
    <w:rsid w:val="003A4EAC"/>
    <w:rsid w:val="003A5FDD"/>
    <w:rsid w:val="003A64A3"/>
    <w:rsid w:val="003A6813"/>
    <w:rsid w:val="003A7FE4"/>
    <w:rsid w:val="003B0BD2"/>
    <w:rsid w:val="003C0BE8"/>
    <w:rsid w:val="003C0FEE"/>
    <w:rsid w:val="003C34D8"/>
    <w:rsid w:val="003D0769"/>
    <w:rsid w:val="003D38F6"/>
    <w:rsid w:val="003D76EE"/>
    <w:rsid w:val="003D7722"/>
    <w:rsid w:val="003E2159"/>
    <w:rsid w:val="003E263B"/>
    <w:rsid w:val="003E5FF6"/>
    <w:rsid w:val="003F183A"/>
    <w:rsid w:val="003F19C6"/>
    <w:rsid w:val="003F3E52"/>
    <w:rsid w:val="003F7447"/>
    <w:rsid w:val="00402263"/>
    <w:rsid w:val="0040401E"/>
    <w:rsid w:val="00404ACE"/>
    <w:rsid w:val="00406918"/>
    <w:rsid w:val="00410190"/>
    <w:rsid w:val="004147DE"/>
    <w:rsid w:val="004152A5"/>
    <w:rsid w:val="004166CB"/>
    <w:rsid w:val="004227AE"/>
    <w:rsid w:val="004340CD"/>
    <w:rsid w:val="00434C38"/>
    <w:rsid w:val="0044030B"/>
    <w:rsid w:val="00444332"/>
    <w:rsid w:val="0044788F"/>
    <w:rsid w:val="00454D88"/>
    <w:rsid w:val="00461940"/>
    <w:rsid w:val="0046269A"/>
    <w:rsid w:val="00467A85"/>
    <w:rsid w:val="004730AD"/>
    <w:rsid w:val="00474AD2"/>
    <w:rsid w:val="0048101B"/>
    <w:rsid w:val="0048486B"/>
    <w:rsid w:val="00496D1E"/>
    <w:rsid w:val="004976F4"/>
    <w:rsid w:val="004A0CA4"/>
    <w:rsid w:val="004A3315"/>
    <w:rsid w:val="004A5004"/>
    <w:rsid w:val="004A59FC"/>
    <w:rsid w:val="004A5FA2"/>
    <w:rsid w:val="004A7242"/>
    <w:rsid w:val="004B1A69"/>
    <w:rsid w:val="004B6507"/>
    <w:rsid w:val="004C361A"/>
    <w:rsid w:val="004D0313"/>
    <w:rsid w:val="004D14D7"/>
    <w:rsid w:val="004D3549"/>
    <w:rsid w:val="004D41CE"/>
    <w:rsid w:val="004D4C4D"/>
    <w:rsid w:val="004D5C18"/>
    <w:rsid w:val="004D6312"/>
    <w:rsid w:val="004D6981"/>
    <w:rsid w:val="004D6B1F"/>
    <w:rsid w:val="004D6CA8"/>
    <w:rsid w:val="004D74CB"/>
    <w:rsid w:val="004D7696"/>
    <w:rsid w:val="004E113D"/>
    <w:rsid w:val="004E4719"/>
    <w:rsid w:val="004E4C9B"/>
    <w:rsid w:val="004F3EA8"/>
    <w:rsid w:val="004F6224"/>
    <w:rsid w:val="00500C6F"/>
    <w:rsid w:val="00506376"/>
    <w:rsid w:val="005108EF"/>
    <w:rsid w:val="00514797"/>
    <w:rsid w:val="005157A3"/>
    <w:rsid w:val="00517C87"/>
    <w:rsid w:val="00517D4A"/>
    <w:rsid w:val="00522829"/>
    <w:rsid w:val="005262D2"/>
    <w:rsid w:val="00533185"/>
    <w:rsid w:val="00534C10"/>
    <w:rsid w:val="005367C1"/>
    <w:rsid w:val="0053721E"/>
    <w:rsid w:val="00541A5C"/>
    <w:rsid w:val="00542C98"/>
    <w:rsid w:val="00545D9A"/>
    <w:rsid w:val="005505D5"/>
    <w:rsid w:val="0055217B"/>
    <w:rsid w:val="005527A1"/>
    <w:rsid w:val="0055285D"/>
    <w:rsid w:val="005550FD"/>
    <w:rsid w:val="00563535"/>
    <w:rsid w:val="00564514"/>
    <w:rsid w:val="00565FC6"/>
    <w:rsid w:val="00566B8A"/>
    <w:rsid w:val="00567D78"/>
    <w:rsid w:val="00570C8A"/>
    <w:rsid w:val="0057601C"/>
    <w:rsid w:val="00582216"/>
    <w:rsid w:val="0058255A"/>
    <w:rsid w:val="00582DEF"/>
    <w:rsid w:val="00583757"/>
    <w:rsid w:val="005862DD"/>
    <w:rsid w:val="00596CE1"/>
    <w:rsid w:val="005A3311"/>
    <w:rsid w:val="005A3327"/>
    <w:rsid w:val="005B0455"/>
    <w:rsid w:val="005B46E7"/>
    <w:rsid w:val="005B6C40"/>
    <w:rsid w:val="005B79AF"/>
    <w:rsid w:val="005C27B5"/>
    <w:rsid w:val="005C5491"/>
    <w:rsid w:val="005D0279"/>
    <w:rsid w:val="005D204F"/>
    <w:rsid w:val="005D27D1"/>
    <w:rsid w:val="005D680A"/>
    <w:rsid w:val="005D6A49"/>
    <w:rsid w:val="005D7554"/>
    <w:rsid w:val="005E0CE7"/>
    <w:rsid w:val="005E73EC"/>
    <w:rsid w:val="005F0258"/>
    <w:rsid w:val="005F04FF"/>
    <w:rsid w:val="00603B73"/>
    <w:rsid w:val="00603E8E"/>
    <w:rsid w:val="00610449"/>
    <w:rsid w:val="00614DDD"/>
    <w:rsid w:val="00616326"/>
    <w:rsid w:val="00620621"/>
    <w:rsid w:val="006207C3"/>
    <w:rsid w:val="006329CE"/>
    <w:rsid w:val="006362CF"/>
    <w:rsid w:val="00644DA6"/>
    <w:rsid w:val="00647133"/>
    <w:rsid w:val="00647A6E"/>
    <w:rsid w:val="006515EE"/>
    <w:rsid w:val="00654533"/>
    <w:rsid w:val="00657FB7"/>
    <w:rsid w:val="00663F3D"/>
    <w:rsid w:val="00665F3B"/>
    <w:rsid w:val="00670720"/>
    <w:rsid w:val="00670C8B"/>
    <w:rsid w:val="00675446"/>
    <w:rsid w:val="006754D9"/>
    <w:rsid w:val="006772C4"/>
    <w:rsid w:val="006847DE"/>
    <w:rsid w:val="00685FFA"/>
    <w:rsid w:val="00691B14"/>
    <w:rsid w:val="0069432E"/>
    <w:rsid w:val="006A6520"/>
    <w:rsid w:val="006A6C31"/>
    <w:rsid w:val="006A736A"/>
    <w:rsid w:val="006B21EA"/>
    <w:rsid w:val="006B36AB"/>
    <w:rsid w:val="006B3B48"/>
    <w:rsid w:val="006B4189"/>
    <w:rsid w:val="006B541A"/>
    <w:rsid w:val="006B5CEB"/>
    <w:rsid w:val="006B6E23"/>
    <w:rsid w:val="006B73F7"/>
    <w:rsid w:val="006C0DF0"/>
    <w:rsid w:val="006C4821"/>
    <w:rsid w:val="006C48B9"/>
    <w:rsid w:val="006C516F"/>
    <w:rsid w:val="006C6BCB"/>
    <w:rsid w:val="006D2651"/>
    <w:rsid w:val="006E01E6"/>
    <w:rsid w:val="006E055A"/>
    <w:rsid w:val="006E4893"/>
    <w:rsid w:val="006E6AC0"/>
    <w:rsid w:val="006F0CCE"/>
    <w:rsid w:val="006F2CE5"/>
    <w:rsid w:val="006F7FE6"/>
    <w:rsid w:val="00700858"/>
    <w:rsid w:val="00705F28"/>
    <w:rsid w:val="0071185E"/>
    <w:rsid w:val="00711997"/>
    <w:rsid w:val="00711CE4"/>
    <w:rsid w:val="007134DA"/>
    <w:rsid w:val="00720812"/>
    <w:rsid w:val="007215FA"/>
    <w:rsid w:val="00721644"/>
    <w:rsid w:val="00726DED"/>
    <w:rsid w:val="007279E2"/>
    <w:rsid w:val="007330FB"/>
    <w:rsid w:val="0073361B"/>
    <w:rsid w:val="00733C87"/>
    <w:rsid w:val="00733DDD"/>
    <w:rsid w:val="0073763F"/>
    <w:rsid w:val="00742C02"/>
    <w:rsid w:val="00743ED1"/>
    <w:rsid w:val="00744E00"/>
    <w:rsid w:val="00745A5D"/>
    <w:rsid w:val="00747D03"/>
    <w:rsid w:val="00752B06"/>
    <w:rsid w:val="0075543D"/>
    <w:rsid w:val="00767061"/>
    <w:rsid w:val="00771030"/>
    <w:rsid w:val="00777418"/>
    <w:rsid w:val="00780225"/>
    <w:rsid w:val="00781550"/>
    <w:rsid w:val="007845F0"/>
    <w:rsid w:val="00785299"/>
    <w:rsid w:val="007856F9"/>
    <w:rsid w:val="00794BA8"/>
    <w:rsid w:val="007950F4"/>
    <w:rsid w:val="007A2457"/>
    <w:rsid w:val="007A5E5F"/>
    <w:rsid w:val="007B1E14"/>
    <w:rsid w:val="007C0B2E"/>
    <w:rsid w:val="007C2A4C"/>
    <w:rsid w:val="007C6B62"/>
    <w:rsid w:val="007D288D"/>
    <w:rsid w:val="007D353F"/>
    <w:rsid w:val="007D4498"/>
    <w:rsid w:val="007D4826"/>
    <w:rsid w:val="007D6006"/>
    <w:rsid w:val="007D6877"/>
    <w:rsid w:val="007D6BBA"/>
    <w:rsid w:val="007D7752"/>
    <w:rsid w:val="007E0762"/>
    <w:rsid w:val="007E332C"/>
    <w:rsid w:val="007E7D75"/>
    <w:rsid w:val="007F4351"/>
    <w:rsid w:val="00801BBC"/>
    <w:rsid w:val="00802C2C"/>
    <w:rsid w:val="00814DD1"/>
    <w:rsid w:val="00820D5A"/>
    <w:rsid w:val="00822892"/>
    <w:rsid w:val="008228C2"/>
    <w:rsid w:val="008238D6"/>
    <w:rsid w:val="00825121"/>
    <w:rsid w:val="00825265"/>
    <w:rsid w:val="00825B05"/>
    <w:rsid w:val="00826929"/>
    <w:rsid w:val="008331C1"/>
    <w:rsid w:val="00833468"/>
    <w:rsid w:val="00833485"/>
    <w:rsid w:val="00844BC3"/>
    <w:rsid w:val="00851ABF"/>
    <w:rsid w:val="00851F8C"/>
    <w:rsid w:val="008562FA"/>
    <w:rsid w:val="00856EA0"/>
    <w:rsid w:val="00857986"/>
    <w:rsid w:val="00857F03"/>
    <w:rsid w:val="00865ECB"/>
    <w:rsid w:val="008665B6"/>
    <w:rsid w:val="00866C04"/>
    <w:rsid w:val="008743DF"/>
    <w:rsid w:val="00877824"/>
    <w:rsid w:val="00881090"/>
    <w:rsid w:val="00883EBA"/>
    <w:rsid w:val="00884898"/>
    <w:rsid w:val="00891CEF"/>
    <w:rsid w:val="00897A95"/>
    <w:rsid w:val="008A7253"/>
    <w:rsid w:val="008A744A"/>
    <w:rsid w:val="008B789A"/>
    <w:rsid w:val="008C0EC4"/>
    <w:rsid w:val="008C490C"/>
    <w:rsid w:val="008C7865"/>
    <w:rsid w:val="008D0075"/>
    <w:rsid w:val="008D0ECC"/>
    <w:rsid w:val="008D1863"/>
    <w:rsid w:val="008D6586"/>
    <w:rsid w:val="008D67D7"/>
    <w:rsid w:val="008D6C7C"/>
    <w:rsid w:val="008D7167"/>
    <w:rsid w:val="008E33B6"/>
    <w:rsid w:val="008E34E6"/>
    <w:rsid w:val="008F2B7F"/>
    <w:rsid w:val="008F5818"/>
    <w:rsid w:val="00900B4D"/>
    <w:rsid w:val="00902250"/>
    <w:rsid w:val="00902CC3"/>
    <w:rsid w:val="0090589B"/>
    <w:rsid w:val="009101DF"/>
    <w:rsid w:val="0091089B"/>
    <w:rsid w:val="009147F7"/>
    <w:rsid w:val="00924005"/>
    <w:rsid w:val="0092567D"/>
    <w:rsid w:val="009278DA"/>
    <w:rsid w:val="00933D85"/>
    <w:rsid w:val="00935A8E"/>
    <w:rsid w:val="0093637D"/>
    <w:rsid w:val="00941D31"/>
    <w:rsid w:val="00943D76"/>
    <w:rsid w:val="009462F5"/>
    <w:rsid w:val="009469F0"/>
    <w:rsid w:val="00950A00"/>
    <w:rsid w:val="00952B3C"/>
    <w:rsid w:val="00954D02"/>
    <w:rsid w:val="0095501A"/>
    <w:rsid w:val="00956658"/>
    <w:rsid w:val="00964472"/>
    <w:rsid w:val="00967BEA"/>
    <w:rsid w:val="00970C15"/>
    <w:rsid w:val="009718E7"/>
    <w:rsid w:val="00975476"/>
    <w:rsid w:val="00975D3B"/>
    <w:rsid w:val="00980A04"/>
    <w:rsid w:val="00982916"/>
    <w:rsid w:val="0098575D"/>
    <w:rsid w:val="00986776"/>
    <w:rsid w:val="00987619"/>
    <w:rsid w:val="00987994"/>
    <w:rsid w:val="0099264F"/>
    <w:rsid w:val="009A3A35"/>
    <w:rsid w:val="009A6E27"/>
    <w:rsid w:val="009B0720"/>
    <w:rsid w:val="009B0A6C"/>
    <w:rsid w:val="009B589E"/>
    <w:rsid w:val="009B6DCC"/>
    <w:rsid w:val="009C0553"/>
    <w:rsid w:val="009C0C10"/>
    <w:rsid w:val="009C4756"/>
    <w:rsid w:val="009C68E4"/>
    <w:rsid w:val="009C7072"/>
    <w:rsid w:val="009D3B6E"/>
    <w:rsid w:val="009D3B97"/>
    <w:rsid w:val="009D550A"/>
    <w:rsid w:val="009D56FD"/>
    <w:rsid w:val="009D7674"/>
    <w:rsid w:val="009E1B5B"/>
    <w:rsid w:val="009E6FBF"/>
    <w:rsid w:val="009F21CE"/>
    <w:rsid w:val="00A006C3"/>
    <w:rsid w:val="00A00E7E"/>
    <w:rsid w:val="00A03F18"/>
    <w:rsid w:val="00A206AE"/>
    <w:rsid w:val="00A3649A"/>
    <w:rsid w:val="00A44EB3"/>
    <w:rsid w:val="00A50C7C"/>
    <w:rsid w:val="00A52C51"/>
    <w:rsid w:val="00A53CB0"/>
    <w:rsid w:val="00A65110"/>
    <w:rsid w:val="00A65E55"/>
    <w:rsid w:val="00A67344"/>
    <w:rsid w:val="00A735BE"/>
    <w:rsid w:val="00A81216"/>
    <w:rsid w:val="00A82F44"/>
    <w:rsid w:val="00A864F3"/>
    <w:rsid w:val="00A86659"/>
    <w:rsid w:val="00A8775E"/>
    <w:rsid w:val="00A91389"/>
    <w:rsid w:val="00A9243A"/>
    <w:rsid w:val="00A94D5D"/>
    <w:rsid w:val="00A950A3"/>
    <w:rsid w:val="00AA103F"/>
    <w:rsid w:val="00AB1227"/>
    <w:rsid w:val="00AB2E62"/>
    <w:rsid w:val="00AB3CA4"/>
    <w:rsid w:val="00AB657F"/>
    <w:rsid w:val="00AC0621"/>
    <w:rsid w:val="00AC5098"/>
    <w:rsid w:val="00AE2A36"/>
    <w:rsid w:val="00AE31B4"/>
    <w:rsid w:val="00AE384E"/>
    <w:rsid w:val="00AE4D44"/>
    <w:rsid w:val="00AE6040"/>
    <w:rsid w:val="00AE710F"/>
    <w:rsid w:val="00AF0124"/>
    <w:rsid w:val="00AF1907"/>
    <w:rsid w:val="00AF3A94"/>
    <w:rsid w:val="00AF4C2B"/>
    <w:rsid w:val="00AF5CB8"/>
    <w:rsid w:val="00B00BD3"/>
    <w:rsid w:val="00B02462"/>
    <w:rsid w:val="00B02486"/>
    <w:rsid w:val="00B10ECA"/>
    <w:rsid w:val="00B133C2"/>
    <w:rsid w:val="00B147E7"/>
    <w:rsid w:val="00B16981"/>
    <w:rsid w:val="00B22697"/>
    <w:rsid w:val="00B232EC"/>
    <w:rsid w:val="00B26AC3"/>
    <w:rsid w:val="00B3034B"/>
    <w:rsid w:val="00B35482"/>
    <w:rsid w:val="00B47621"/>
    <w:rsid w:val="00B51CCD"/>
    <w:rsid w:val="00B51DBB"/>
    <w:rsid w:val="00B573FC"/>
    <w:rsid w:val="00B57B42"/>
    <w:rsid w:val="00B769BA"/>
    <w:rsid w:val="00B77385"/>
    <w:rsid w:val="00B83095"/>
    <w:rsid w:val="00B83A3D"/>
    <w:rsid w:val="00B84FE6"/>
    <w:rsid w:val="00B917E6"/>
    <w:rsid w:val="00B935F9"/>
    <w:rsid w:val="00BA3331"/>
    <w:rsid w:val="00BA46C9"/>
    <w:rsid w:val="00BA7D15"/>
    <w:rsid w:val="00BB25CA"/>
    <w:rsid w:val="00BC05D8"/>
    <w:rsid w:val="00BD02AB"/>
    <w:rsid w:val="00BD1A58"/>
    <w:rsid w:val="00BD2783"/>
    <w:rsid w:val="00BD3817"/>
    <w:rsid w:val="00BD3F50"/>
    <w:rsid w:val="00BD72F1"/>
    <w:rsid w:val="00BD7855"/>
    <w:rsid w:val="00BE1810"/>
    <w:rsid w:val="00BE2912"/>
    <w:rsid w:val="00BE6D39"/>
    <w:rsid w:val="00C102FB"/>
    <w:rsid w:val="00C15398"/>
    <w:rsid w:val="00C174B7"/>
    <w:rsid w:val="00C20495"/>
    <w:rsid w:val="00C208F1"/>
    <w:rsid w:val="00C3311C"/>
    <w:rsid w:val="00C3357B"/>
    <w:rsid w:val="00C35ADA"/>
    <w:rsid w:val="00C40A9D"/>
    <w:rsid w:val="00C427D0"/>
    <w:rsid w:val="00C42D5D"/>
    <w:rsid w:val="00C43CCF"/>
    <w:rsid w:val="00C47236"/>
    <w:rsid w:val="00C53619"/>
    <w:rsid w:val="00C55202"/>
    <w:rsid w:val="00C6123E"/>
    <w:rsid w:val="00C65D53"/>
    <w:rsid w:val="00C71EA7"/>
    <w:rsid w:val="00C72174"/>
    <w:rsid w:val="00C761BA"/>
    <w:rsid w:val="00C76E4A"/>
    <w:rsid w:val="00C8093B"/>
    <w:rsid w:val="00C84FBC"/>
    <w:rsid w:val="00C91DC7"/>
    <w:rsid w:val="00C9320B"/>
    <w:rsid w:val="00C95FEA"/>
    <w:rsid w:val="00CA414F"/>
    <w:rsid w:val="00CB258E"/>
    <w:rsid w:val="00CB2FD9"/>
    <w:rsid w:val="00CB42CF"/>
    <w:rsid w:val="00CC2ABC"/>
    <w:rsid w:val="00CC4531"/>
    <w:rsid w:val="00CC4555"/>
    <w:rsid w:val="00CD1250"/>
    <w:rsid w:val="00CD1DFF"/>
    <w:rsid w:val="00CD6C6C"/>
    <w:rsid w:val="00CE5389"/>
    <w:rsid w:val="00CE6DF8"/>
    <w:rsid w:val="00CF1334"/>
    <w:rsid w:val="00CF2E4C"/>
    <w:rsid w:val="00D01E3D"/>
    <w:rsid w:val="00D03391"/>
    <w:rsid w:val="00D048EE"/>
    <w:rsid w:val="00D067F1"/>
    <w:rsid w:val="00D072D2"/>
    <w:rsid w:val="00D1224F"/>
    <w:rsid w:val="00D14B32"/>
    <w:rsid w:val="00D158C4"/>
    <w:rsid w:val="00D204B2"/>
    <w:rsid w:val="00D20A88"/>
    <w:rsid w:val="00D22ED2"/>
    <w:rsid w:val="00D24FB7"/>
    <w:rsid w:val="00D25BB6"/>
    <w:rsid w:val="00D2653D"/>
    <w:rsid w:val="00D26E13"/>
    <w:rsid w:val="00D361E6"/>
    <w:rsid w:val="00D44BDB"/>
    <w:rsid w:val="00D5102E"/>
    <w:rsid w:val="00D54117"/>
    <w:rsid w:val="00D62716"/>
    <w:rsid w:val="00D73A80"/>
    <w:rsid w:val="00D7550D"/>
    <w:rsid w:val="00D87518"/>
    <w:rsid w:val="00D92E0A"/>
    <w:rsid w:val="00DA3B07"/>
    <w:rsid w:val="00DB2CF1"/>
    <w:rsid w:val="00DB34F1"/>
    <w:rsid w:val="00DB5200"/>
    <w:rsid w:val="00DB5908"/>
    <w:rsid w:val="00DB7A18"/>
    <w:rsid w:val="00DC0C74"/>
    <w:rsid w:val="00DC65FC"/>
    <w:rsid w:val="00DD3A57"/>
    <w:rsid w:val="00DE18E5"/>
    <w:rsid w:val="00DE1CF4"/>
    <w:rsid w:val="00DE1EA0"/>
    <w:rsid w:val="00DE2916"/>
    <w:rsid w:val="00DE56B8"/>
    <w:rsid w:val="00DE62BB"/>
    <w:rsid w:val="00DF06EA"/>
    <w:rsid w:val="00DF0FC9"/>
    <w:rsid w:val="00E00BAB"/>
    <w:rsid w:val="00E018B5"/>
    <w:rsid w:val="00E0407F"/>
    <w:rsid w:val="00E05537"/>
    <w:rsid w:val="00E11D23"/>
    <w:rsid w:val="00E12C19"/>
    <w:rsid w:val="00E133E3"/>
    <w:rsid w:val="00E15E3B"/>
    <w:rsid w:val="00E24963"/>
    <w:rsid w:val="00E322CF"/>
    <w:rsid w:val="00E51C68"/>
    <w:rsid w:val="00E55013"/>
    <w:rsid w:val="00E5507A"/>
    <w:rsid w:val="00E559CF"/>
    <w:rsid w:val="00E56C43"/>
    <w:rsid w:val="00E64B06"/>
    <w:rsid w:val="00E67640"/>
    <w:rsid w:val="00E72496"/>
    <w:rsid w:val="00E72F69"/>
    <w:rsid w:val="00E749DA"/>
    <w:rsid w:val="00E768A5"/>
    <w:rsid w:val="00E80067"/>
    <w:rsid w:val="00E810A1"/>
    <w:rsid w:val="00E82BE6"/>
    <w:rsid w:val="00E82E07"/>
    <w:rsid w:val="00E87EBA"/>
    <w:rsid w:val="00E925C1"/>
    <w:rsid w:val="00E96A8F"/>
    <w:rsid w:val="00E96C41"/>
    <w:rsid w:val="00EA23B8"/>
    <w:rsid w:val="00EA451C"/>
    <w:rsid w:val="00EA4BAE"/>
    <w:rsid w:val="00EB35A1"/>
    <w:rsid w:val="00EB4E30"/>
    <w:rsid w:val="00EC37C1"/>
    <w:rsid w:val="00EC651E"/>
    <w:rsid w:val="00EC7C6B"/>
    <w:rsid w:val="00ED17DD"/>
    <w:rsid w:val="00ED37C8"/>
    <w:rsid w:val="00ED3FEE"/>
    <w:rsid w:val="00ED4A2A"/>
    <w:rsid w:val="00ED5A3C"/>
    <w:rsid w:val="00ED7D25"/>
    <w:rsid w:val="00EE0890"/>
    <w:rsid w:val="00EE3276"/>
    <w:rsid w:val="00EE6694"/>
    <w:rsid w:val="00EF3378"/>
    <w:rsid w:val="00F03DD2"/>
    <w:rsid w:val="00F05D0B"/>
    <w:rsid w:val="00F13950"/>
    <w:rsid w:val="00F13EA8"/>
    <w:rsid w:val="00F14372"/>
    <w:rsid w:val="00F227BC"/>
    <w:rsid w:val="00F25862"/>
    <w:rsid w:val="00F45E3A"/>
    <w:rsid w:val="00F475F1"/>
    <w:rsid w:val="00F50B8D"/>
    <w:rsid w:val="00F54709"/>
    <w:rsid w:val="00F54C42"/>
    <w:rsid w:val="00F5510C"/>
    <w:rsid w:val="00F572D1"/>
    <w:rsid w:val="00F63F92"/>
    <w:rsid w:val="00F64BC2"/>
    <w:rsid w:val="00F65A52"/>
    <w:rsid w:val="00F6777F"/>
    <w:rsid w:val="00F716EF"/>
    <w:rsid w:val="00F73928"/>
    <w:rsid w:val="00F75A04"/>
    <w:rsid w:val="00F85318"/>
    <w:rsid w:val="00F877DF"/>
    <w:rsid w:val="00F9209A"/>
    <w:rsid w:val="00F926E4"/>
    <w:rsid w:val="00F92DD6"/>
    <w:rsid w:val="00F92F67"/>
    <w:rsid w:val="00F930A5"/>
    <w:rsid w:val="00F93F2F"/>
    <w:rsid w:val="00F942FA"/>
    <w:rsid w:val="00F94C42"/>
    <w:rsid w:val="00FA1599"/>
    <w:rsid w:val="00FA3488"/>
    <w:rsid w:val="00FA66D1"/>
    <w:rsid w:val="00FB2EB9"/>
    <w:rsid w:val="00FC1D93"/>
    <w:rsid w:val="00FC69B8"/>
    <w:rsid w:val="00FD2813"/>
    <w:rsid w:val="00FD3E07"/>
    <w:rsid w:val="00FD6060"/>
    <w:rsid w:val="00FD6771"/>
    <w:rsid w:val="00FD7E9E"/>
    <w:rsid w:val="00FE2524"/>
    <w:rsid w:val="00FE2A32"/>
    <w:rsid w:val="00FE42E8"/>
    <w:rsid w:val="00FE4393"/>
    <w:rsid w:val="00FE5497"/>
    <w:rsid w:val="00FF6434"/>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4DC34F"/>
  <w14:defaultImageDpi w14:val="32767"/>
  <w15:chartTrackingRefBased/>
  <w15:docId w15:val="{6081730D-A542-4847-B19A-320D63C7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619"/>
    <w:rPr>
      <w:rFonts w:eastAsiaTheme="majorEastAsia" w:cstheme="majorBidi"/>
      <w:color w:val="272727" w:themeColor="text1" w:themeTint="D8"/>
    </w:rPr>
  </w:style>
  <w:style w:type="paragraph" w:styleId="Title">
    <w:name w:val="Title"/>
    <w:basedOn w:val="Normal"/>
    <w:next w:val="Normal"/>
    <w:link w:val="TitleChar"/>
    <w:uiPriority w:val="10"/>
    <w:qFormat/>
    <w:rsid w:val="00987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619"/>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619"/>
    <w:rPr>
      <w:i/>
      <w:iCs/>
      <w:color w:val="404040" w:themeColor="text1" w:themeTint="BF"/>
    </w:rPr>
  </w:style>
  <w:style w:type="paragraph" w:styleId="ListParagraph">
    <w:name w:val="List Paragraph"/>
    <w:basedOn w:val="Normal"/>
    <w:uiPriority w:val="34"/>
    <w:qFormat/>
    <w:rsid w:val="00987619"/>
    <w:pPr>
      <w:contextualSpacing/>
    </w:pPr>
  </w:style>
  <w:style w:type="character" w:styleId="IntenseEmphasis">
    <w:name w:val="Intense Emphasis"/>
    <w:basedOn w:val="DefaultParagraphFont"/>
    <w:uiPriority w:val="21"/>
    <w:qFormat/>
    <w:rsid w:val="00987619"/>
    <w:rPr>
      <w:i/>
      <w:iCs/>
      <w:color w:val="0F4761" w:themeColor="accent1" w:themeShade="BF"/>
    </w:rPr>
  </w:style>
  <w:style w:type="paragraph" w:styleId="IntenseQuote">
    <w:name w:val="Intense Quote"/>
    <w:basedOn w:val="Normal"/>
    <w:next w:val="Normal"/>
    <w:link w:val="IntenseQuoteChar"/>
    <w:uiPriority w:val="30"/>
    <w:qFormat/>
    <w:rsid w:val="00987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619"/>
    <w:rPr>
      <w:i/>
      <w:iCs/>
      <w:color w:val="0F4761" w:themeColor="accent1" w:themeShade="BF"/>
    </w:rPr>
  </w:style>
  <w:style w:type="character" w:styleId="IntenseReference">
    <w:name w:val="Intense Reference"/>
    <w:basedOn w:val="DefaultParagraphFont"/>
    <w:uiPriority w:val="32"/>
    <w:qFormat/>
    <w:rsid w:val="00987619"/>
    <w:rPr>
      <w:b/>
      <w:bCs/>
      <w:smallCaps/>
      <w:color w:val="0F4761" w:themeColor="accent1" w:themeShade="BF"/>
      <w:spacing w:val="5"/>
    </w:rPr>
  </w:style>
  <w:style w:type="paragraph" w:styleId="FootnoteText">
    <w:name w:val="footnote text"/>
    <w:basedOn w:val="Normal"/>
    <w:link w:val="FootnoteTextChar"/>
    <w:uiPriority w:val="99"/>
    <w:semiHidden/>
    <w:unhideWhenUsed/>
    <w:rsid w:val="00406918"/>
    <w:pPr>
      <w:spacing w:line="240" w:lineRule="auto"/>
    </w:pPr>
    <w:rPr>
      <w:sz w:val="20"/>
      <w:szCs w:val="20"/>
    </w:rPr>
  </w:style>
  <w:style w:type="character" w:customStyle="1" w:styleId="FootnoteTextChar">
    <w:name w:val="Footnote Text Char"/>
    <w:basedOn w:val="DefaultParagraphFont"/>
    <w:link w:val="FootnoteText"/>
    <w:uiPriority w:val="99"/>
    <w:semiHidden/>
    <w:rsid w:val="00406918"/>
    <w:rPr>
      <w:sz w:val="20"/>
      <w:szCs w:val="20"/>
    </w:rPr>
  </w:style>
  <w:style w:type="character" w:styleId="FootnoteReference">
    <w:name w:val="footnote reference"/>
    <w:basedOn w:val="DefaultParagraphFont"/>
    <w:uiPriority w:val="99"/>
    <w:semiHidden/>
    <w:unhideWhenUsed/>
    <w:rsid w:val="00406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7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2</cp:revision>
  <cp:lastPrinted>2025-03-27T14:55:00Z</cp:lastPrinted>
  <dcterms:created xsi:type="dcterms:W3CDTF">2025-05-28T11:04:00Z</dcterms:created>
  <dcterms:modified xsi:type="dcterms:W3CDTF">2025-05-28T11:04:00Z</dcterms:modified>
</cp:coreProperties>
</file>