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D15F" w14:textId="77777777" w:rsidR="00A26D9B" w:rsidRPr="00166E61" w:rsidRDefault="00A26D9B" w:rsidP="00A26D9B">
      <w:pPr>
        <w:pStyle w:val="Articletitle"/>
      </w:pPr>
      <w:r w:rsidRPr="00F8154A">
        <w:t>Tackling misinformation: where do educational</w:t>
      </w:r>
      <w:r>
        <w:t>ists</w:t>
      </w:r>
      <w:r w:rsidRPr="00F8154A">
        <w:t xml:space="preserve"> need to target their efforts</w:t>
      </w:r>
      <w:r>
        <w:t>?</w:t>
      </w:r>
    </w:p>
    <w:p w14:paraId="2BFE57F0" w14:textId="79E0F323" w:rsidR="00442B9C" w:rsidRDefault="00A26D9B" w:rsidP="009914A5">
      <w:pPr>
        <w:pStyle w:val="Authornames"/>
      </w:pPr>
      <w:r>
        <w:t>Chris Brown</w:t>
      </w:r>
      <w:r w:rsidR="004F428E">
        <w:t>*</w:t>
      </w:r>
      <w:r w:rsidR="003D3676">
        <w:rPr>
          <w:vertAlign w:val="superscript"/>
        </w:rPr>
        <w:t>a</w:t>
      </w:r>
      <w:r>
        <w:t>,</w:t>
      </w:r>
      <w:r w:rsidR="004F428E">
        <w:t xml:space="preserve"> </w:t>
      </w:r>
      <w:r>
        <w:t>Yin Wang</w:t>
      </w:r>
      <w:r w:rsidR="003D3676">
        <w:rPr>
          <w:vertAlign w:val="superscript"/>
        </w:rPr>
        <w:t>a</w:t>
      </w:r>
      <w:r>
        <w:t xml:space="preserve"> and Ruth Luzmore</w:t>
      </w:r>
      <w:r>
        <w:rPr>
          <w:vertAlign w:val="superscript"/>
        </w:rPr>
        <w:t>a</w:t>
      </w:r>
    </w:p>
    <w:p w14:paraId="5780565F" w14:textId="3E86F692" w:rsidR="00997B0F" w:rsidRDefault="00B64FA3" w:rsidP="00A2360E">
      <w:pPr>
        <w:pStyle w:val="Affiliation"/>
      </w:pPr>
      <w:r w:rsidRPr="00394920">
        <w:rPr>
          <w:vertAlign w:val="superscript"/>
        </w:rPr>
        <w:t>a</w:t>
      </w:r>
      <w:r w:rsidR="00A26D9B">
        <w:t>Southampton Education School</w:t>
      </w:r>
      <w:r>
        <w:t>, University</w:t>
      </w:r>
      <w:r w:rsidR="00A26D9B">
        <w:t xml:space="preserve"> of Southampton</w:t>
      </w:r>
      <w:r>
        <w:t xml:space="preserve">, </w:t>
      </w:r>
      <w:r w:rsidR="00A26D9B">
        <w:t>Southampton</w:t>
      </w:r>
      <w:r>
        <w:t xml:space="preserve">, </w:t>
      </w:r>
      <w:r w:rsidR="00A26D9B">
        <w:t>United Kingdom</w:t>
      </w:r>
    </w:p>
    <w:p w14:paraId="258A908B" w14:textId="0619B8D8" w:rsidR="00D10C87" w:rsidRDefault="00D10C87" w:rsidP="00D10C87">
      <w:pPr>
        <w:pStyle w:val="Correspondencedetails"/>
        <w:spacing w:before="0" w:line="240" w:lineRule="auto"/>
      </w:pPr>
      <w:r>
        <w:t xml:space="preserve">Chris Brown, </w:t>
      </w:r>
      <w:hyperlink r:id="rId11" w:history="1">
        <w:r w:rsidRPr="00327704">
          <w:rPr>
            <w:rStyle w:val="Hyperlink"/>
          </w:rPr>
          <w:t>Christopher.brown@soton.ac.uk</w:t>
        </w:r>
      </w:hyperlink>
      <w:r>
        <w:t xml:space="preserve"> </w:t>
      </w:r>
      <w:hyperlink r:id="rId12" w:history="1">
        <w:r>
          <w:rPr>
            <w:rStyle w:val="Hyperlink"/>
          </w:rPr>
          <w:t>https://orcid.org/0000-0002-9759-9624</w:t>
        </w:r>
      </w:hyperlink>
    </w:p>
    <w:p w14:paraId="3820119B" w14:textId="4EAD28A1" w:rsidR="00D10C87" w:rsidRPr="00607C13" w:rsidRDefault="00D10C87" w:rsidP="00D10C87">
      <w:pPr>
        <w:pStyle w:val="Correspondencedetails"/>
        <w:spacing w:before="0" w:line="240" w:lineRule="auto"/>
        <w:rPr>
          <w:lang w:val="nl-NL"/>
        </w:rPr>
      </w:pPr>
      <w:r w:rsidRPr="00607C13">
        <w:rPr>
          <w:lang w:val="nl-NL"/>
        </w:rPr>
        <w:t xml:space="preserve">Yin Wang </w:t>
      </w:r>
      <w:hyperlink r:id="rId13" w:history="1">
        <w:r w:rsidRPr="00607C13">
          <w:rPr>
            <w:rStyle w:val="Hyperlink"/>
            <w:lang w:val="nl-NL"/>
          </w:rPr>
          <w:t>yin.wang@soton.ac.uk</w:t>
        </w:r>
      </w:hyperlink>
      <w:r w:rsidRPr="00607C13">
        <w:rPr>
          <w:lang w:val="nl-NL"/>
        </w:rPr>
        <w:t xml:space="preserve"> </w:t>
      </w:r>
      <w:hyperlink r:id="rId14" w:history="1">
        <w:r w:rsidRPr="00607C13">
          <w:rPr>
            <w:rStyle w:val="Hyperlink"/>
            <w:lang w:val="nl-NL"/>
          </w:rPr>
          <w:t>https://orcid.org/0009-0004-9440-2410</w:t>
        </w:r>
      </w:hyperlink>
    </w:p>
    <w:p w14:paraId="73964959" w14:textId="53B10A73" w:rsidR="00D10C87" w:rsidRDefault="00D10C87" w:rsidP="00D10C87">
      <w:pPr>
        <w:pStyle w:val="Correspondencedetails"/>
        <w:spacing w:before="0" w:line="240" w:lineRule="auto"/>
      </w:pPr>
      <w:r>
        <w:t xml:space="preserve">Ruth Luzmore </w:t>
      </w:r>
      <w:hyperlink r:id="rId15" w:history="1">
        <w:r w:rsidRPr="00327704">
          <w:rPr>
            <w:rStyle w:val="Hyperlink"/>
          </w:rPr>
          <w:t>r.e.a.luzmore@soton.ac.uk</w:t>
        </w:r>
      </w:hyperlink>
      <w:r>
        <w:t xml:space="preserve"> </w:t>
      </w:r>
      <w:hyperlink r:id="rId16" w:history="1">
        <w:r w:rsidRPr="00D10C87">
          <w:rPr>
            <w:rStyle w:val="Hyperlink"/>
          </w:rPr>
          <w:t>https://orcid.org/0000-0002-2454-9407</w:t>
        </w:r>
      </w:hyperlink>
    </w:p>
    <w:p w14:paraId="1825FEF9" w14:textId="31F6EBA2" w:rsidR="00C14585" w:rsidRDefault="00C14585" w:rsidP="005E2EEA">
      <w:pPr>
        <w:pStyle w:val="Notesoncontributors"/>
      </w:pPr>
    </w:p>
    <w:p w14:paraId="53BE51C8" w14:textId="77777777" w:rsidR="00D10C87" w:rsidRPr="00166E61" w:rsidRDefault="00C14585" w:rsidP="00D10C87">
      <w:pPr>
        <w:pStyle w:val="Articletitle"/>
      </w:pPr>
      <w:r>
        <w:br w:type="page"/>
      </w:r>
      <w:r w:rsidR="00D10C87" w:rsidRPr="00F8154A">
        <w:lastRenderedPageBreak/>
        <w:t>Tackling misinformation: where do educational</w:t>
      </w:r>
      <w:r w:rsidR="00D10C87">
        <w:t>ists</w:t>
      </w:r>
      <w:r w:rsidR="00D10C87" w:rsidRPr="00F8154A">
        <w:t xml:space="preserve"> need to target their efforts</w:t>
      </w:r>
      <w:r w:rsidR="00D10C87">
        <w:t>?</w:t>
      </w:r>
    </w:p>
    <w:p w14:paraId="0F233E4C" w14:textId="366581E4" w:rsidR="00E949CA" w:rsidRPr="00E949CA" w:rsidRDefault="00E949CA" w:rsidP="00E949CA">
      <w:pPr>
        <w:pStyle w:val="Keywords"/>
      </w:pPr>
      <w:r w:rsidRPr="00E949CA">
        <w:t xml:space="preserve">Misinformation, disinformation, and conspiracy theories pose growing challenges to educators world-wide. This study explores how education can help citizens embrace beneficial ideas while resisting </w:t>
      </w:r>
      <w:r w:rsidR="001C2B71">
        <w:t xml:space="preserve">those that are </w:t>
      </w:r>
      <w:r w:rsidRPr="00E949CA">
        <w:t xml:space="preserve">harmful. Using data from 7,000 respondents across seven European countries, it applies Latent Profile Analysis (LPA) and Factor Mixture Modelling (FMM) </w:t>
      </w:r>
      <w:r w:rsidRPr="00681258">
        <w:rPr>
          <w:color w:val="FF0000"/>
        </w:rPr>
        <w:t xml:space="preserve">to examine how </w:t>
      </w:r>
      <w:r w:rsidR="00681258" w:rsidRPr="00681258">
        <w:rPr>
          <w:color w:val="FF0000"/>
        </w:rPr>
        <w:t>the varying nature of individuals</w:t>
      </w:r>
      <w:r w:rsidR="006332B2">
        <w:rPr>
          <w:color w:val="FF0000"/>
        </w:rPr>
        <w:t>’</w:t>
      </w:r>
      <w:r w:rsidR="00681258" w:rsidRPr="00681258">
        <w:rPr>
          <w:color w:val="FF0000"/>
        </w:rPr>
        <w:t xml:space="preserve"> </w:t>
      </w:r>
      <w:r w:rsidRPr="00681258">
        <w:rPr>
          <w:color w:val="FF0000"/>
        </w:rPr>
        <w:t>social networks, prospective mindset</w:t>
      </w:r>
      <w:r w:rsidR="00990A63">
        <w:rPr>
          <w:color w:val="FF0000"/>
        </w:rPr>
        <w:t>s</w:t>
      </w:r>
      <w:r w:rsidRPr="00681258">
        <w:rPr>
          <w:color w:val="FF0000"/>
        </w:rPr>
        <w:t>, and critical thinking influence</w:t>
      </w:r>
      <w:r w:rsidR="00681258">
        <w:rPr>
          <w:color w:val="FF0000"/>
        </w:rPr>
        <w:t xml:space="preserve">s </w:t>
      </w:r>
      <w:r w:rsidR="006332B2">
        <w:rPr>
          <w:color w:val="FF0000"/>
        </w:rPr>
        <w:t>their</w:t>
      </w:r>
      <w:r w:rsidR="006332B2" w:rsidRPr="00681258">
        <w:rPr>
          <w:color w:val="FF0000"/>
        </w:rPr>
        <w:t xml:space="preserve"> </w:t>
      </w:r>
      <w:r w:rsidR="00681258" w:rsidRPr="00681258">
        <w:rPr>
          <w:color w:val="FF0000"/>
        </w:rPr>
        <w:t xml:space="preserve">engagement with </w:t>
      </w:r>
      <w:r w:rsidRPr="00681258">
        <w:rPr>
          <w:color w:val="FF0000"/>
        </w:rPr>
        <w:t>ideas</w:t>
      </w:r>
      <w:r w:rsidRPr="00E949CA">
        <w:t>. The findings identify four prospective mindset profiles, five social network profiles, and three critical thinking profiles. Individuals with a strong prospective mindset</w:t>
      </w:r>
      <w:r w:rsidR="001C2B71">
        <w:t>:</w:t>
      </w:r>
      <w:r w:rsidRPr="00E949CA">
        <w:t xml:space="preserve"> characterized by future-oriented thinking and adaptive planning, as well as higher critical thinking ability, were more likely to engage with valid ideas and reject misinformation. Conversely, those embedded in dense, homophilic networks</w:t>
      </w:r>
      <w:r w:rsidR="00990A63">
        <w:t>,</w:t>
      </w:r>
      <w:r w:rsidRPr="00E949CA">
        <w:t xml:space="preserve"> valued ideas-engagement but showed greater vulnerability to misinformation</w:t>
      </w:r>
      <w:r w:rsidR="00990A63">
        <w:t>:</w:t>
      </w:r>
      <w:r w:rsidR="00990A63" w:rsidRPr="00E949CA">
        <w:t xml:space="preserve"> </w:t>
      </w:r>
      <w:r w:rsidRPr="00E949CA">
        <w:t>highlighting the risks of ‘information silos</w:t>
      </w:r>
      <w:r w:rsidR="001C2B71">
        <w:t>’</w:t>
      </w:r>
      <w:r w:rsidRPr="00E949CA">
        <w:t xml:space="preserve">. Lower education levels, routine-based jobs, and weaker critical thinking skills were linked to lower ideas-engagement and </w:t>
      </w:r>
      <w:r w:rsidR="006332B2">
        <w:t xml:space="preserve">a </w:t>
      </w:r>
      <w:r w:rsidRPr="00E949CA">
        <w:t xml:space="preserve">greater belief in misinformation. The study highlights the need for targeted interventions to promote prospective mindsets, critical thinking, and balanced social networks:  </w:t>
      </w:r>
      <w:r w:rsidR="00990A63">
        <w:t xml:space="preserve">those which </w:t>
      </w:r>
      <w:r w:rsidRPr="00E949CA">
        <w:t>combin</w:t>
      </w:r>
      <w:r w:rsidR="00990A63">
        <w:t>e</w:t>
      </w:r>
      <w:r w:rsidRPr="00E949CA">
        <w:t xml:space="preserve"> strong, trusted ties with diverse, idea-rich connections. By identifying key profile characteristics, the research provides a basis for evidence-based strategies for educators and policymakers to support citizens in navigating an increasingly complex information landscape.</w:t>
      </w:r>
    </w:p>
    <w:p w14:paraId="26E59387" w14:textId="146D8EF9" w:rsidR="0020415E" w:rsidRPr="00271D6A" w:rsidRDefault="00997B0F" w:rsidP="00271D6A">
      <w:pPr>
        <w:pStyle w:val="Keywords"/>
      </w:pPr>
      <w:r w:rsidRPr="00681258">
        <w:rPr>
          <w:b/>
          <w:bCs/>
        </w:rPr>
        <w:t>Keywords:</w:t>
      </w:r>
      <w:r w:rsidRPr="00271D6A">
        <w:t xml:space="preserve"> </w:t>
      </w:r>
      <w:hyperlink r:id="rId17" w:history="1">
        <w:r w:rsidR="00271D6A" w:rsidRPr="00607C13">
          <w:rPr>
            <w:rStyle w:val="Hyperlink"/>
            <w:color w:val="auto"/>
            <w:u w:val="none"/>
          </w:rPr>
          <w:t>ideas</w:t>
        </w:r>
      </w:hyperlink>
      <w:r w:rsidR="00271D6A" w:rsidRPr="00271D6A">
        <w:t>; </w:t>
      </w:r>
      <w:hyperlink r:id="rId18" w:history="1">
        <w:r w:rsidR="00271D6A" w:rsidRPr="00607C13">
          <w:rPr>
            <w:rStyle w:val="Hyperlink"/>
            <w:color w:val="auto"/>
            <w:u w:val="none"/>
          </w:rPr>
          <w:t>social networks</w:t>
        </w:r>
      </w:hyperlink>
      <w:r w:rsidR="00271D6A" w:rsidRPr="00271D6A">
        <w:t>; </w:t>
      </w:r>
      <w:hyperlink r:id="rId19" w:history="1">
        <w:r w:rsidR="00271D6A" w:rsidRPr="00607C13">
          <w:rPr>
            <w:rStyle w:val="Hyperlink"/>
            <w:color w:val="auto"/>
            <w:u w:val="none"/>
          </w:rPr>
          <w:t>prospection</w:t>
        </w:r>
      </w:hyperlink>
      <w:r w:rsidR="00271D6A" w:rsidRPr="00271D6A">
        <w:t>; </w:t>
      </w:r>
      <w:hyperlink r:id="rId20" w:history="1">
        <w:r w:rsidR="00271D6A" w:rsidRPr="00607C13">
          <w:rPr>
            <w:rStyle w:val="Hyperlink"/>
            <w:color w:val="auto"/>
            <w:u w:val="none"/>
          </w:rPr>
          <w:t>misinformation</w:t>
        </w:r>
      </w:hyperlink>
      <w:r w:rsidR="00271D6A" w:rsidRPr="00271D6A">
        <w:t>; </w:t>
      </w:r>
      <w:hyperlink r:id="rId21" w:history="1">
        <w:r w:rsidR="00271D6A" w:rsidRPr="00607C13">
          <w:rPr>
            <w:rStyle w:val="Hyperlink"/>
            <w:color w:val="auto"/>
            <w:u w:val="none"/>
          </w:rPr>
          <w:t>education</w:t>
        </w:r>
      </w:hyperlink>
      <w:r w:rsidR="00271D6A" w:rsidRPr="00271D6A">
        <w:t>; </w:t>
      </w:r>
      <w:hyperlink r:id="rId22" w:history="1">
        <w:r w:rsidR="00271D6A" w:rsidRPr="00607C13">
          <w:rPr>
            <w:rStyle w:val="Hyperlink"/>
            <w:color w:val="auto"/>
            <w:u w:val="none"/>
          </w:rPr>
          <w:t>ideas-engagement</w:t>
        </w:r>
      </w:hyperlink>
      <w:r w:rsidR="00271D6A" w:rsidRPr="00271D6A" w:rsidDel="00271D6A">
        <w:t xml:space="preserve"> </w:t>
      </w:r>
    </w:p>
    <w:p w14:paraId="4535207E" w14:textId="77777777" w:rsidR="00492F48" w:rsidRDefault="00492F48" w:rsidP="00492F48">
      <w:pPr>
        <w:pStyle w:val="Heading1"/>
      </w:pPr>
      <w:r>
        <w:t>Introduction</w:t>
      </w:r>
    </w:p>
    <w:p w14:paraId="541F9847" w14:textId="154A1165" w:rsidR="00492F48" w:rsidRPr="00C343FD" w:rsidRDefault="00492F48" w:rsidP="00492F48">
      <w:pPr>
        <w:pStyle w:val="Paragraph"/>
      </w:pPr>
      <w:r w:rsidRPr="00C343FD">
        <w:t>Misinformation (false or misleading information shared regardless of intent), disinformation (deliberately spread false information), and conspiracy theories (claims that secret, powerful groups control events) are growing concerns worldwide (Commission into Countering Online Conspiracies in Schools, 2025</w:t>
      </w:r>
      <w:r>
        <w:t xml:space="preserve">; </w:t>
      </w:r>
      <w:r w:rsidRPr="00834C48">
        <w:t>Jerome</w:t>
      </w:r>
      <w:r w:rsidRPr="00834C48">
        <w:rPr>
          <w:rFonts w:cs="Calibri"/>
          <w:color w:val="000000"/>
        </w:rPr>
        <w:t xml:space="preserve"> et al., 2024</w:t>
      </w:r>
      <w:r w:rsidRPr="00C343FD">
        <w:t xml:space="preserve">). While not exclusive to populist politicians, such figures often exploit </w:t>
      </w:r>
      <w:r w:rsidR="006332B2">
        <w:t>these</w:t>
      </w:r>
      <w:r w:rsidR="001C2B71">
        <w:t xml:space="preserve"> </w:t>
      </w:r>
      <w:r w:rsidR="001C2B71">
        <w:lastRenderedPageBreak/>
        <w:t>devices</w:t>
      </w:r>
      <w:r w:rsidR="001C2B71" w:rsidRPr="00C343FD">
        <w:t xml:space="preserve"> </w:t>
      </w:r>
      <w:r w:rsidRPr="00C343FD">
        <w:t xml:space="preserve">to mobilize supporters, discredit opponents, and create a sense of crisis. </w:t>
      </w:r>
      <w:r w:rsidR="002B1B13" w:rsidRPr="00667A8B">
        <w:rPr>
          <w:rFonts w:hint="eastAsia"/>
          <w:color w:val="000000"/>
        </w:rPr>
        <w:t xml:space="preserve">This tactic </w:t>
      </w:r>
      <w:r w:rsidR="006332B2">
        <w:rPr>
          <w:color w:val="000000"/>
        </w:rPr>
        <w:t>can involve</w:t>
      </w:r>
      <w:r w:rsidR="002B1B13" w:rsidRPr="00667A8B">
        <w:rPr>
          <w:rFonts w:hint="eastAsia"/>
          <w:color w:val="000000"/>
        </w:rPr>
        <w:t xml:space="preserve"> </w:t>
      </w:r>
      <w:r w:rsidR="002B1B13" w:rsidRPr="00667A8B">
        <w:rPr>
          <w:rFonts w:hint="eastAsia"/>
          <w:color w:val="000000"/>
        </w:rPr>
        <w:t>‘</w:t>
      </w:r>
      <w:r w:rsidR="002B1B13" w:rsidRPr="00667A8B">
        <w:rPr>
          <w:rFonts w:hint="eastAsia"/>
          <w:color w:val="000000"/>
        </w:rPr>
        <w:t>flooding the zone</w:t>
      </w:r>
      <w:r w:rsidR="002B1B13" w:rsidRPr="00667A8B">
        <w:rPr>
          <w:rFonts w:hint="eastAsia"/>
          <w:color w:val="000000"/>
        </w:rPr>
        <w:t>’</w:t>
      </w:r>
      <w:r w:rsidR="006332B2">
        <w:rPr>
          <w:color w:val="000000"/>
        </w:rPr>
        <w:t xml:space="preserve">: </w:t>
      </w:r>
      <w:r w:rsidR="002B1B13" w:rsidRPr="00667A8B">
        <w:rPr>
          <w:rFonts w:hint="eastAsia"/>
          <w:color w:val="000000"/>
        </w:rPr>
        <w:t xml:space="preserve"> overwhelm</w:t>
      </w:r>
      <w:r w:rsidR="006332B2">
        <w:rPr>
          <w:color w:val="000000"/>
        </w:rPr>
        <w:t>ing</w:t>
      </w:r>
      <w:r w:rsidR="002B1B13" w:rsidRPr="00667A8B">
        <w:rPr>
          <w:rFonts w:hint="eastAsia"/>
          <w:color w:val="000000"/>
        </w:rPr>
        <w:t xml:space="preserve"> the public and media with conflicting narratives, making it hard to focus on any one issue and letting falsehoods slip through unchecked (Clack, in press)</w:t>
      </w:r>
      <w:r w:rsidRPr="002B1B13">
        <w:t>.</w:t>
      </w:r>
      <w:r w:rsidRPr="00C343FD">
        <w:t xml:space="preserve"> Though these challenges are already significant, their effects are likely to intensify for the next generation. </w:t>
      </w:r>
      <w:r>
        <w:t xml:space="preserve">For instance, in </w:t>
      </w:r>
      <w:r w:rsidRPr="00C343FD">
        <w:rPr>
          <w:rFonts w:cs="Calibri"/>
          <w:color w:val="000000"/>
        </w:rPr>
        <w:t xml:space="preserve">a </w:t>
      </w:r>
      <w:r w:rsidRPr="005B4631">
        <w:t>recent survey in England, focussing on extremism in the classroom, almost 90 percent of teachers had encountered conspiracy belief from students and 21 percent had such encounters fairly regularly (Taylor et al., 2021). In a subsequent online survey of 5,284 secondary school teachers (Jerome et al., 2024), 62 percent of teachers said they had heard students mention conspiracy theories in the past two</w:t>
      </w:r>
      <w:r w:rsidRPr="00C343FD">
        <w:rPr>
          <w:rFonts w:cs="Calibri"/>
          <w:color w:val="000000"/>
        </w:rPr>
        <w:t xml:space="preserve"> years, with 41</w:t>
      </w:r>
      <w:r>
        <w:rPr>
          <w:rFonts w:cs="Calibri"/>
          <w:color w:val="000000"/>
        </w:rPr>
        <w:t xml:space="preserve"> percent</w:t>
      </w:r>
      <w:r w:rsidRPr="00C343FD">
        <w:rPr>
          <w:rFonts w:cs="Calibri"/>
          <w:color w:val="000000"/>
        </w:rPr>
        <w:t xml:space="preserve"> citing some variation of a global secretive elite (e.g., the Illuminati or New World Order) and 25</w:t>
      </w:r>
      <w:r>
        <w:rPr>
          <w:rFonts w:cs="Calibri"/>
          <w:color w:val="000000"/>
        </w:rPr>
        <w:t xml:space="preserve"> percent</w:t>
      </w:r>
      <w:r w:rsidRPr="00C343FD">
        <w:rPr>
          <w:rFonts w:cs="Calibri"/>
          <w:color w:val="000000"/>
        </w:rPr>
        <w:t xml:space="preserve"> mentioning climate scepticism. </w:t>
      </w:r>
    </w:p>
    <w:p w14:paraId="5998C0C8" w14:textId="361FEF97" w:rsidR="00492F48" w:rsidRPr="00D338F4" w:rsidRDefault="00492F48" w:rsidP="00667A8B">
      <w:pPr>
        <w:pStyle w:val="Newparagraph"/>
        <w:spacing w:before="240" w:after="240"/>
      </w:pPr>
      <w:r w:rsidRPr="00C343FD">
        <w:t>Findings from the UK’s Commission into Countering Online Conspiracies in Schools (2025) suggest that young people and adults are now accessing news through vastly different sources. Among 11-18-year-olds, 41</w:t>
      </w:r>
      <w:r>
        <w:t xml:space="preserve"> percent</w:t>
      </w:r>
      <w:r w:rsidRPr="00C343FD">
        <w:t xml:space="preserve"> rely on word of mouth and 38</w:t>
      </w:r>
      <w:r>
        <w:t xml:space="preserve"> percent</w:t>
      </w:r>
      <w:r w:rsidRPr="00C343FD">
        <w:t xml:space="preserve"> on social media, whereas adults </w:t>
      </w:r>
      <w:r w:rsidR="00AB700D">
        <w:t>–</w:t>
      </w:r>
      <w:r w:rsidRPr="00C343FD">
        <w:t xml:space="preserve"> 65</w:t>
      </w:r>
      <w:r>
        <w:t xml:space="preserve"> percent</w:t>
      </w:r>
      <w:r w:rsidRPr="00C343FD">
        <w:t xml:space="preserve"> of parents and 51</w:t>
      </w:r>
      <w:r>
        <w:t xml:space="preserve"> percent</w:t>
      </w:r>
      <w:r w:rsidRPr="00C343FD">
        <w:t xml:space="preserve"> of school staff</w:t>
      </w:r>
      <w:r w:rsidR="007E7E8E">
        <w:t xml:space="preserve"> </w:t>
      </w:r>
      <w:r w:rsidR="00AB700D">
        <w:t>–</w:t>
      </w:r>
      <w:r w:rsidRPr="00C343FD">
        <w:t xml:space="preserve"> tend to trust national TV news. Further, platforms like TikTok also play a major role in shaping young people’s perspectives, with 36</w:t>
      </w:r>
      <w:r>
        <w:t xml:space="preserve"> percent</w:t>
      </w:r>
      <w:r w:rsidRPr="00C343FD">
        <w:t xml:space="preserve"> reporting that social media changed their views on mainstream news, rising to 44</w:t>
      </w:r>
      <w:r>
        <w:t xml:space="preserve"> percent</w:t>
      </w:r>
      <w:r w:rsidRPr="00C343FD">
        <w:t xml:space="preserve"> among 17-18-year-olds. Worryingly, however, </w:t>
      </w:r>
      <w:r>
        <w:t xml:space="preserve">is that </w:t>
      </w:r>
      <w:r w:rsidRPr="00C343FD">
        <w:t>social media’s design increases vulnerability to misinformation</w:t>
      </w:r>
      <w:r>
        <w:t>: with</w:t>
      </w:r>
      <w:r w:rsidRPr="00C343FD">
        <w:t xml:space="preserve"> </w:t>
      </w:r>
      <w:r>
        <w:t>p</w:t>
      </w:r>
      <w:r w:rsidRPr="00C343FD">
        <w:t>latforms like X (formerly Twitter) and Facebook prioritiz</w:t>
      </w:r>
      <w:r>
        <w:t>ing</w:t>
      </w:r>
      <w:r w:rsidRPr="00C343FD">
        <w:t xml:space="preserve"> content that maximizes engagement </w:t>
      </w:r>
      <w:r w:rsidR="00AB700D">
        <w:t>–</w:t>
      </w:r>
      <w:r w:rsidRPr="00C343FD">
        <w:t xml:space="preserve"> likes, shares, and comments </w:t>
      </w:r>
      <w:r w:rsidR="00AB700D">
        <w:t>–</w:t>
      </w:r>
      <w:r w:rsidRPr="00C343FD">
        <w:t xml:space="preserve"> often at the expense of factual accuracy and diverse viewpoints. This amplification fosters filter bubbles and echo chambers, reinforcing users’ existing beliefs while limiting exposure to alternative ideas (Guess et al., 2018; Vosoughi et al., 2018). </w:t>
      </w:r>
      <w:r w:rsidR="006332B2">
        <w:t>As a c</w:t>
      </w:r>
      <w:r w:rsidRPr="00C343FD">
        <w:t>onsequen</w:t>
      </w:r>
      <w:r w:rsidR="00990A63">
        <w:t>c</w:t>
      </w:r>
      <w:r w:rsidR="006332B2">
        <w:t>e</w:t>
      </w:r>
      <w:r w:rsidRPr="00C343FD">
        <w:t xml:space="preserve">, </w:t>
      </w:r>
      <w:r w:rsidRPr="00C343FD">
        <w:lastRenderedPageBreak/>
        <w:t xml:space="preserve">‘information silos’ are clearly emerging, with young people encountering different conspiracy theories than adults. For example, UK students are more familiar with moon landing hoaxes and flat Earth theories, while adults are more aware of conspiracies </w:t>
      </w:r>
      <w:r w:rsidRPr="00D338F4">
        <w:t xml:space="preserve">about </w:t>
      </w:r>
      <w:r w:rsidR="006332B2">
        <w:t xml:space="preserve">the death of </w:t>
      </w:r>
      <w:r w:rsidRPr="00D338F4">
        <w:t>Princess Diana and COVID-19. This disconnect complicates efforts to counter misinformation among young people, as educators and parents may remain unaware of the specific falsehoods circulating among</w:t>
      </w:r>
      <w:r w:rsidR="00990A63">
        <w:t>st yonger members of the population</w:t>
      </w:r>
      <w:r w:rsidRPr="00D338F4">
        <w:t xml:space="preserve">. Additionally, young people’s heavier social media use increases their exposure to influencers </w:t>
      </w:r>
      <w:r w:rsidR="00AB700D" w:rsidRPr="00D338F4">
        <w:t>–</w:t>
      </w:r>
      <w:r w:rsidRPr="00D338F4">
        <w:t xml:space="preserve"> including populist figures </w:t>
      </w:r>
      <w:r w:rsidR="00AB700D" w:rsidRPr="00D338F4">
        <w:t>–</w:t>
      </w:r>
      <w:r w:rsidRPr="00D338F4">
        <w:t xml:space="preserve"> who exploit algorithms to spread misleading content (Commission into Countering Online Conspiracies in Schools, 2025; Guess et al., 2018; Vosoughi et al., 2018). A critical question, therefore, is how educational policymakers and practitioners can equip young people with the skills to embrace positive ideas (those leading to beneficial outcomes) while rejecting harmful ones. </w:t>
      </w:r>
    </w:p>
    <w:p w14:paraId="20FCA8A8" w14:textId="77777777" w:rsidR="00492F48" w:rsidRPr="00D338F4" w:rsidRDefault="00492F48" w:rsidP="00667A8B">
      <w:pPr>
        <w:pStyle w:val="Heading1"/>
        <w:spacing w:before="240" w:after="240" w:line="480" w:lineRule="auto"/>
        <w:rPr>
          <w:szCs w:val="24"/>
        </w:rPr>
      </w:pPr>
      <w:r w:rsidRPr="00D338F4">
        <w:rPr>
          <w:szCs w:val="24"/>
        </w:rPr>
        <w:t>Perspectives</w:t>
      </w:r>
    </w:p>
    <w:p w14:paraId="30522112" w14:textId="023735CC" w:rsidR="00702BE2" w:rsidRPr="00D338F4" w:rsidRDefault="00702BE2" w:rsidP="00667A8B">
      <w:pPr>
        <w:pStyle w:val="Paragraph"/>
        <w:spacing w:after="240"/>
      </w:pPr>
      <w:r w:rsidRPr="00D338F4">
        <w:t xml:space="preserve">Our previous work into the area of effective ideas-engagement (e.g. see: Brown et al., 2022a-d; Brown et al., 2024) resulted in the development and testing of a theoretical frame comprising three key factors that potentially influence individuals' ability to engage productively with ideas (Brown and Luzmore, 2024; Brown et al., 2025a, b). </w:t>
      </w:r>
      <w:r w:rsidR="00D338F4">
        <w:t>In brief, t</w:t>
      </w:r>
      <w:r w:rsidRPr="00D338F4">
        <w:t xml:space="preserve">hese factors are: </w:t>
      </w:r>
    </w:p>
    <w:p w14:paraId="29F2A5BF" w14:textId="2CF721C5" w:rsidR="00702BE2" w:rsidRPr="00D338F4" w:rsidRDefault="00702BE2" w:rsidP="00D338F4">
      <w:pPr>
        <w:pStyle w:val="Numberedlist"/>
      </w:pPr>
      <w:r w:rsidRPr="00D338F4">
        <w:rPr>
          <w:b/>
          <w:bCs/>
        </w:rPr>
        <w:t>Prospective mindset</w:t>
      </w:r>
      <w:r w:rsidRPr="00D338F4">
        <w:t xml:space="preserve">: </w:t>
      </w:r>
      <w:r w:rsidR="00681258">
        <w:rPr>
          <w:color w:val="000000"/>
        </w:rPr>
        <w:t>Possessing a</w:t>
      </w:r>
      <w:r w:rsidR="00E75EF9" w:rsidRPr="00667A8B">
        <w:rPr>
          <w:rFonts w:hint="eastAsia"/>
          <w:color w:val="000000"/>
        </w:rPr>
        <w:t xml:space="preserve"> forward-looking attitude enables individuals to value engaging with ideas and commit to actions aligned with positive, long-term outcomes (Baumeister et al., 2016; Baumeister &amp; Lim, 2023).</w:t>
      </w:r>
      <w:r w:rsidR="00681258">
        <w:rPr>
          <w:color w:val="000000"/>
        </w:rPr>
        <w:t xml:space="preserve"> The notion of</w:t>
      </w:r>
      <w:r w:rsidR="00E75EF9" w:rsidRPr="00667A8B">
        <w:rPr>
          <w:rFonts w:hint="eastAsia"/>
          <w:color w:val="000000"/>
        </w:rPr>
        <w:t xml:space="preserve"> </w:t>
      </w:r>
      <w:r w:rsidR="00681258">
        <w:rPr>
          <w:color w:val="000000"/>
        </w:rPr>
        <w:t>p</w:t>
      </w:r>
      <w:r w:rsidR="00E75EF9" w:rsidRPr="00667A8B">
        <w:rPr>
          <w:rFonts w:hint="eastAsia"/>
          <w:color w:val="000000"/>
        </w:rPr>
        <w:t>ragmatic prospection</w:t>
      </w:r>
      <w:r w:rsidR="00681258">
        <w:rPr>
          <w:color w:val="000000"/>
        </w:rPr>
        <w:t>, meanwhile, represents one’s</w:t>
      </w:r>
      <w:r w:rsidR="00E75EF9" w:rsidRPr="00667A8B">
        <w:rPr>
          <w:rFonts w:hint="eastAsia"/>
          <w:color w:val="000000"/>
        </w:rPr>
        <w:t xml:space="preserve"> ability to anticipate future choices and actions</w:t>
      </w:r>
      <w:r w:rsidR="00D338F4">
        <w:rPr>
          <w:color w:val="000000"/>
        </w:rPr>
        <w:t xml:space="preserve"> -</w:t>
      </w:r>
      <w:r w:rsidR="006332B2">
        <w:rPr>
          <w:color w:val="000000"/>
        </w:rPr>
        <w:t xml:space="preserve"> thus</w:t>
      </w:r>
      <w:r w:rsidR="00D338F4">
        <w:rPr>
          <w:color w:val="000000"/>
        </w:rPr>
        <w:t xml:space="preserve"> </w:t>
      </w:r>
      <w:r w:rsidR="00E75EF9" w:rsidRPr="00667A8B">
        <w:rPr>
          <w:rFonts w:hint="eastAsia"/>
          <w:color w:val="000000"/>
        </w:rPr>
        <w:t>significantly increas</w:t>
      </w:r>
      <w:r w:rsidR="00681258">
        <w:rPr>
          <w:color w:val="000000"/>
        </w:rPr>
        <w:t>ing</w:t>
      </w:r>
      <w:r w:rsidR="00E75EF9" w:rsidRPr="00667A8B">
        <w:rPr>
          <w:rFonts w:hint="eastAsia"/>
          <w:color w:val="000000"/>
        </w:rPr>
        <w:t xml:space="preserve"> the perceived </w:t>
      </w:r>
      <w:r w:rsidR="00E75EF9" w:rsidRPr="00667A8B">
        <w:rPr>
          <w:rFonts w:hint="eastAsia"/>
          <w:color w:val="000000"/>
        </w:rPr>
        <w:lastRenderedPageBreak/>
        <w:t xml:space="preserve">importance of engaging with new ideas (Brown et al., 2022b). </w:t>
      </w:r>
      <w:r w:rsidR="00681258">
        <w:rPr>
          <w:color w:val="000000"/>
        </w:rPr>
        <w:t xml:space="preserve">As such, higher levels of pragmatic prospection </w:t>
      </w:r>
      <w:r w:rsidR="00E75EF9" w:rsidRPr="00667A8B">
        <w:rPr>
          <w:rFonts w:hint="eastAsia"/>
          <w:color w:val="000000"/>
        </w:rPr>
        <w:t>support goal-oriented behaviours</w:t>
      </w:r>
      <w:r w:rsidR="00681258">
        <w:rPr>
          <w:color w:val="000000"/>
        </w:rPr>
        <w:t>:</w:t>
      </w:r>
      <w:r w:rsidR="00E75EF9" w:rsidRPr="00667A8B">
        <w:rPr>
          <w:rFonts w:hint="eastAsia"/>
          <w:color w:val="000000"/>
        </w:rPr>
        <w:t xml:space="preserve"> </w:t>
      </w:r>
      <w:r w:rsidR="00681258">
        <w:rPr>
          <w:color w:val="000000"/>
        </w:rPr>
        <w:t xml:space="preserve">everything </w:t>
      </w:r>
      <w:r w:rsidR="00E75EF9" w:rsidRPr="00667A8B">
        <w:rPr>
          <w:rFonts w:hint="eastAsia"/>
          <w:color w:val="000000"/>
        </w:rPr>
        <w:t>from improving health habits to enhancing academic performance (Atance &amp; O</w:t>
      </w:r>
      <w:r w:rsidR="00E75EF9" w:rsidRPr="00667A8B">
        <w:rPr>
          <w:rFonts w:hint="eastAsia"/>
          <w:color w:val="000000"/>
        </w:rPr>
        <w:t>’</w:t>
      </w:r>
      <w:r w:rsidR="00E75EF9" w:rsidRPr="00667A8B">
        <w:rPr>
          <w:rFonts w:hint="eastAsia"/>
          <w:color w:val="000000"/>
        </w:rPr>
        <w:t>Neill, 2001; Pawlak &amp; Moustafa, 2023).</w:t>
      </w:r>
      <w:r w:rsidRPr="00D338F4">
        <w:t xml:space="preserve"> </w:t>
      </w:r>
    </w:p>
    <w:p w14:paraId="5CCD697A" w14:textId="2BDF5C64" w:rsidR="00702BE2" w:rsidRPr="00D338F4" w:rsidRDefault="00702BE2" w:rsidP="00D338F4">
      <w:pPr>
        <w:pStyle w:val="Numberedlist"/>
      </w:pPr>
      <w:r w:rsidRPr="00D338F4">
        <w:rPr>
          <w:b/>
          <w:bCs/>
        </w:rPr>
        <w:t>Social network characteristics</w:t>
      </w:r>
      <w:r w:rsidRPr="00D338F4">
        <w:t xml:space="preserve">: </w:t>
      </w:r>
      <w:r w:rsidR="00E75EF9" w:rsidRPr="00667A8B">
        <w:rPr>
          <w:rFonts w:hint="eastAsia"/>
          <w:color w:val="000000"/>
        </w:rPr>
        <w:t>The nature of an individual</w:t>
      </w:r>
      <w:r w:rsidR="00681258">
        <w:rPr>
          <w:color w:val="000000"/>
        </w:rPr>
        <w:t>’</w:t>
      </w:r>
      <w:r w:rsidR="00E75EF9" w:rsidRPr="00667A8B">
        <w:rPr>
          <w:rFonts w:hint="eastAsia"/>
          <w:color w:val="000000"/>
        </w:rPr>
        <w:t xml:space="preserve">s </w:t>
      </w:r>
      <w:r w:rsidR="00681258">
        <w:rPr>
          <w:color w:val="000000"/>
        </w:rPr>
        <w:t xml:space="preserve">inter-personal </w:t>
      </w:r>
      <w:r w:rsidR="00E75EF9" w:rsidRPr="00667A8B">
        <w:rPr>
          <w:rFonts w:hint="eastAsia"/>
          <w:color w:val="000000"/>
        </w:rPr>
        <w:t xml:space="preserve">networks shapes how they access, perceive, and engage with ideas. </w:t>
      </w:r>
      <w:r w:rsidR="00681258">
        <w:rPr>
          <w:color w:val="000000"/>
        </w:rPr>
        <w:t>For example, d</w:t>
      </w:r>
      <w:r w:rsidR="00E75EF9" w:rsidRPr="00667A8B">
        <w:rPr>
          <w:rFonts w:hint="eastAsia"/>
          <w:color w:val="000000"/>
        </w:rPr>
        <w:t>ense networks foster trust and cohesion but can limit exposure to new perspectives, while sparse networks and weak ties promote novelty and innovation (Burt, 2000; Granovetter, 1985; Christakis &amp; Fowler, 2010). At the same time, homophily</w:t>
      </w:r>
      <w:r w:rsidR="00D338F4">
        <w:rPr>
          <w:color w:val="000000"/>
        </w:rPr>
        <w:t xml:space="preserve"> - </w:t>
      </w:r>
      <w:r w:rsidR="00E75EF9" w:rsidRPr="00667A8B">
        <w:rPr>
          <w:rFonts w:hint="eastAsia"/>
          <w:color w:val="000000"/>
        </w:rPr>
        <w:t>the tendency to form connections with similar others</w:t>
      </w:r>
      <w:r w:rsidR="00D338F4">
        <w:rPr>
          <w:color w:val="000000"/>
        </w:rPr>
        <w:t xml:space="preserve"> - </w:t>
      </w:r>
      <w:r w:rsidR="00E75EF9" w:rsidRPr="00667A8B">
        <w:rPr>
          <w:rFonts w:hint="eastAsia"/>
          <w:color w:val="000000"/>
        </w:rPr>
        <w:t>can enhance belonging but restrict cross-group idea exchange (Putnam, 2000; Singer et al., 2021).</w:t>
      </w:r>
    </w:p>
    <w:p w14:paraId="464A35BA" w14:textId="3B6C7E8A" w:rsidR="00E75EF9" w:rsidRPr="00D338F4" w:rsidRDefault="00702BE2" w:rsidP="00D338F4">
      <w:pPr>
        <w:pStyle w:val="Numberedlist"/>
        <w:rPr>
          <w:color w:val="000000" w:themeColor="text1"/>
        </w:rPr>
      </w:pPr>
      <w:r w:rsidRPr="00D338F4">
        <w:rPr>
          <w:b/>
          <w:bCs/>
        </w:rPr>
        <w:t>Critical thinking ability</w:t>
      </w:r>
      <w:r w:rsidRPr="00D338F4">
        <w:t xml:space="preserve">: </w:t>
      </w:r>
      <w:r w:rsidR="00E75EF9" w:rsidRPr="00667A8B">
        <w:rPr>
          <w:rFonts w:hint="eastAsia"/>
          <w:color w:val="000000"/>
        </w:rPr>
        <w:t xml:space="preserve">This includes curiosity, intellectual honesty, humility, empathy, sophisticated epistemic beliefs, information literacy, and general critical reasoning skills (Cramer et al., 2023; Bago et al., 2020). Together, these capacities help individuals assess the credibility, relevance, and implications of the ideas they encounter. </w:t>
      </w:r>
    </w:p>
    <w:p w14:paraId="11AFB982" w14:textId="77777777" w:rsidR="00E75EF9" w:rsidRPr="00D338F4" w:rsidRDefault="00E75EF9" w:rsidP="00D338F4">
      <w:pPr>
        <w:pStyle w:val="Numberedlist"/>
        <w:numPr>
          <w:ilvl w:val="0"/>
          <w:numId w:val="0"/>
        </w:numPr>
        <w:ind w:left="567"/>
        <w:rPr>
          <w:color w:val="000000" w:themeColor="text1"/>
        </w:rPr>
      </w:pPr>
    </w:p>
    <w:p w14:paraId="45C9DA29" w14:textId="52A66BE6" w:rsidR="00FA49CE" w:rsidRDefault="00D338F4" w:rsidP="00D338F4">
      <w:pPr>
        <w:spacing w:before="240" w:after="240"/>
        <w:rPr>
          <w:rStyle w:val="apple-converted-space"/>
          <w:color w:val="000000"/>
        </w:rPr>
      </w:pPr>
      <w:r>
        <w:rPr>
          <w:color w:val="000000"/>
        </w:rPr>
        <w:t>Our subsequent development of a s</w:t>
      </w:r>
      <w:r w:rsidR="00E75EF9" w:rsidRPr="00667A8B">
        <w:rPr>
          <w:rFonts w:hint="eastAsia"/>
          <w:color w:val="000000"/>
        </w:rPr>
        <w:t>tructural equation model (</w:t>
      </w:r>
      <w:r>
        <w:rPr>
          <w:color w:val="000000"/>
        </w:rPr>
        <w:t xml:space="preserve">see </w:t>
      </w:r>
      <w:r w:rsidR="00E75EF9" w:rsidRPr="00667A8B">
        <w:rPr>
          <w:rFonts w:hint="eastAsia"/>
          <w:color w:val="000000"/>
        </w:rPr>
        <w:t>Brown et al., 2025a</w:t>
      </w:r>
      <w:r>
        <w:rPr>
          <w:color w:val="000000"/>
        </w:rPr>
        <w:t xml:space="preserve"> and below</w:t>
      </w:r>
      <w:r w:rsidR="00E75EF9" w:rsidRPr="00667A8B">
        <w:rPr>
          <w:rFonts w:hint="eastAsia"/>
          <w:color w:val="000000"/>
        </w:rPr>
        <w:t xml:space="preserve">) confirmed that these factors interlink </w:t>
      </w:r>
      <w:r w:rsidR="00681258">
        <w:rPr>
          <w:color w:val="000000"/>
        </w:rPr>
        <w:t xml:space="preserve">to support effective ideas-engagement </w:t>
      </w:r>
      <w:r w:rsidR="00E75EF9" w:rsidRPr="00667A8B">
        <w:rPr>
          <w:rFonts w:hint="eastAsia"/>
          <w:color w:val="000000"/>
        </w:rPr>
        <w:t>through two main pathways</w:t>
      </w:r>
      <w:r w:rsidR="00681258">
        <w:rPr>
          <w:color w:val="000000"/>
        </w:rPr>
        <w:t xml:space="preserve">. In the first, </w:t>
      </w:r>
      <w:r w:rsidR="00E75EF9" w:rsidRPr="00667A8B">
        <w:rPr>
          <w:rFonts w:hint="eastAsia"/>
          <w:color w:val="000000"/>
        </w:rPr>
        <w:t xml:space="preserve">pragmatic prospection strengthens </w:t>
      </w:r>
      <w:r w:rsidR="00681258">
        <w:rPr>
          <w:color w:val="000000"/>
        </w:rPr>
        <w:t>ideas-</w:t>
      </w:r>
      <w:r w:rsidR="00E75EF9" w:rsidRPr="00667A8B">
        <w:rPr>
          <w:rFonts w:hint="eastAsia"/>
          <w:color w:val="000000"/>
        </w:rPr>
        <w:t xml:space="preserve">engagement </w:t>
      </w:r>
      <w:r w:rsidR="006332B2">
        <w:rPr>
          <w:color w:val="000000"/>
        </w:rPr>
        <w:t>through a</w:t>
      </w:r>
      <w:r w:rsidR="00E75EF9" w:rsidRPr="00667A8B">
        <w:rPr>
          <w:rFonts w:hint="eastAsia"/>
          <w:color w:val="000000"/>
        </w:rPr>
        <w:t xml:space="preserve"> fostering </w:t>
      </w:r>
      <w:r w:rsidR="006332B2">
        <w:rPr>
          <w:color w:val="000000"/>
        </w:rPr>
        <w:t xml:space="preserve">of </w:t>
      </w:r>
      <w:r w:rsidR="00E75EF9" w:rsidRPr="00667A8B">
        <w:rPr>
          <w:rFonts w:hint="eastAsia"/>
          <w:color w:val="000000"/>
        </w:rPr>
        <w:t>networks rich in social capital</w:t>
      </w:r>
      <w:r w:rsidR="00E75EF9" w:rsidRPr="00667A8B">
        <w:rPr>
          <w:color w:val="000000"/>
        </w:rPr>
        <w:t xml:space="preserve"> and homophily</w:t>
      </w:r>
      <w:r w:rsidR="00FA49CE">
        <w:rPr>
          <w:color w:val="000000"/>
        </w:rPr>
        <w:t xml:space="preserve">. That is, </w:t>
      </w:r>
      <w:r w:rsidR="00E75EF9" w:rsidRPr="00667A8B">
        <w:rPr>
          <w:rFonts w:hint="eastAsia"/>
          <w:color w:val="000000"/>
        </w:rPr>
        <w:t>pragmatic prospection leads individuals to build relationships within networks and communities that share their social identities and goals</w:t>
      </w:r>
      <w:r w:rsidR="00681258">
        <w:rPr>
          <w:color w:val="000000"/>
        </w:rPr>
        <w:t>:</w:t>
      </w:r>
      <w:r>
        <w:rPr>
          <w:color w:val="000000"/>
        </w:rPr>
        <w:t xml:space="preserve"> </w:t>
      </w:r>
      <w:r w:rsidR="00990A63">
        <w:t>t</w:t>
      </w:r>
      <w:r w:rsidR="00FA49CE" w:rsidRPr="00205389">
        <w:t xml:space="preserve">his is because shared beliefs, values and interests foster collaboration, trust and motivation, making it easier to </w:t>
      </w:r>
      <w:r w:rsidR="00FA49CE" w:rsidRPr="00205389">
        <w:lastRenderedPageBreak/>
        <w:t xml:space="preserve">navigate obstacles and achieve </w:t>
      </w:r>
      <w:r w:rsidR="00990A63">
        <w:t xml:space="preserve">one’s </w:t>
      </w:r>
      <w:r w:rsidR="00FA49CE" w:rsidRPr="00205389">
        <w:t>desired outcomes. In turn, belonging to a network of individuals with a shared identity creates a foundation for the meaningful exchange of ideas: being part of a likeminded community or group increases the likelihood of frequent discussions in relation to topics that matter, as well as the seeking out of ideas from different sources</w:t>
      </w:r>
      <w:r w:rsidR="00FA49CE">
        <w:t xml:space="preserve">. </w:t>
      </w:r>
      <w:r w:rsidR="006332B2">
        <w:rPr>
          <w:color w:val="000000"/>
        </w:rPr>
        <w:t>Our</w:t>
      </w:r>
      <w:r w:rsidR="00E75EF9" w:rsidRPr="00667A8B">
        <w:rPr>
          <w:color w:val="000000"/>
        </w:rPr>
        <w:t xml:space="preserve"> second path links pragmatic prospection to</w:t>
      </w:r>
      <w:r w:rsidR="00E75EF9" w:rsidRPr="00667A8B">
        <w:rPr>
          <w:rFonts w:hint="eastAsia"/>
          <w:color w:val="000000"/>
        </w:rPr>
        <w:t xml:space="preserve"> </w:t>
      </w:r>
      <w:r w:rsidR="00E75EF9" w:rsidRPr="00667A8B">
        <w:rPr>
          <w:color w:val="000000"/>
        </w:rPr>
        <w:t>enhancements in</w:t>
      </w:r>
      <w:r w:rsidR="00E75EF9" w:rsidRPr="00667A8B">
        <w:rPr>
          <w:rFonts w:hint="eastAsia"/>
          <w:color w:val="000000"/>
        </w:rPr>
        <w:t xml:space="preserve"> individuals</w:t>
      </w:r>
      <w:r w:rsidR="00E75EF9" w:rsidRPr="00667A8B">
        <w:rPr>
          <w:rFonts w:hint="eastAsia"/>
          <w:color w:val="000000"/>
        </w:rPr>
        <w:t>’</w:t>
      </w:r>
      <w:r w:rsidR="00E75EF9" w:rsidRPr="00667A8B">
        <w:rPr>
          <w:rFonts w:hint="eastAsia"/>
          <w:color w:val="000000"/>
        </w:rPr>
        <w:t xml:space="preserve"> capacity to critically evaluate, share, and apply ideas</w:t>
      </w:r>
      <w:r w:rsidR="00FA49CE">
        <w:rPr>
          <w:color w:val="000000"/>
        </w:rPr>
        <w:t xml:space="preserve">. In other words, </w:t>
      </w:r>
      <w:r w:rsidR="00E75EF9" w:rsidRPr="00667A8B">
        <w:rPr>
          <w:color w:val="000000"/>
        </w:rPr>
        <w:t>pragmatic prospection</w:t>
      </w:r>
      <w:r w:rsidR="00E75EF9" w:rsidRPr="00667A8B">
        <w:rPr>
          <w:rFonts w:hint="eastAsia"/>
          <w:color w:val="000000"/>
        </w:rPr>
        <w:t xml:space="preserve"> leads to critical thinking, the identification of positive versus dark ideas, and a drive to acquire knowledge. This </w:t>
      </w:r>
      <w:r w:rsidR="00FA49CE">
        <w:rPr>
          <w:color w:val="000000"/>
        </w:rPr>
        <w:t xml:space="preserve">second </w:t>
      </w:r>
      <w:r w:rsidR="00E75EF9" w:rsidRPr="00667A8B">
        <w:rPr>
          <w:rFonts w:hint="eastAsia"/>
          <w:color w:val="000000"/>
        </w:rPr>
        <w:t xml:space="preserve">pathway </w:t>
      </w:r>
      <w:r w:rsidR="00FA49CE">
        <w:rPr>
          <w:color w:val="000000"/>
        </w:rPr>
        <w:t xml:space="preserve">thus </w:t>
      </w:r>
      <w:r w:rsidR="00E75EF9" w:rsidRPr="00667A8B">
        <w:rPr>
          <w:rFonts w:hint="eastAsia"/>
          <w:color w:val="000000"/>
        </w:rPr>
        <w:t>enables individuals to make informed decisions, distinguish beneficial ideas from harmful ones, and actively pursue intellectual exchanges through sharing and discussion.</w:t>
      </w:r>
      <w:r w:rsidR="00E75EF9" w:rsidRPr="00667A8B">
        <w:rPr>
          <w:rStyle w:val="apple-converted-space"/>
          <w:rFonts w:hint="eastAsia"/>
          <w:color w:val="000000"/>
        </w:rPr>
        <w:t> </w:t>
      </w:r>
    </w:p>
    <w:p w14:paraId="3FE962B7" w14:textId="118B69B3" w:rsidR="00FA49CE" w:rsidRDefault="00E75EF9">
      <w:pPr>
        <w:spacing w:before="240" w:after="240"/>
        <w:rPr>
          <w:color w:val="000000"/>
        </w:rPr>
      </w:pPr>
      <w:r w:rsidRPr="00667A8B">
        <w:rPr>
          <w:rFonts w:hint="eastAsia"/>
          <w:color w:val="000000"/>
        </w:rPr>
        <w:t>Both pathways reinforce a cycle of meaningful, goal-oriented ideas engagement.</w:t>
      </w:r>
      <w:r w:rsidRPr="00667A8B">
        <w:rPr>
          <w:color w:val="000000"/>
        </w:rPr>
        <w:t xml:space="preserve"> Vitally, however, these pathways </w:t>
      </w:r>
      <w:r w:rsidR="00FA49CE">
        <w:rPr>
          <w:color w:val="000000"/>
        </w:rPr>
        <w:t xml:space="preserve">also </w:t>
      </w:r>
      <w:r w:rsidR="006332B2">
        <w:rPr>
          <w:color w:val="000000"/>
        </w:rPr>
        <w:t xml:space="preserve">help </w:t>
      </w:r>
      <w:r w:rsidR="00702BE2" w:rsidRPr="00D338F4">
        <w:t>i</w:t>
      </w:r>
      <w:r w:rsidR="00FA49CE">
        <w:t>llustrate how</w:t>
      </w:r>
      <w:r w:rsidR="00702BE2" w:rsidRPr="00D338F4">
        <w:t xml:space="preserve"> ideas relating to misinformation and conspiracy can take root when critical thinking is lacking, social networks function ineffectively, and individuals fail to engage in pragmatic prospection. For instance,</w:t>
      </w:r>
      <w:r w:rsidR="00D338F4">
        <w:rPr>
          <w:color w:val="000000"/>
        </w:rPr>
        <w:t xml:space="preserve"> </w:t>
      </w:r>
      <w:r w:rsidR="006332B2">
        <w:rPr>
          <w:color w:val="000000"/>
        </w:rPr>
        <w:t xml:space="preserve">they align with </w:t>
      </w:r>
      <w:r w:rsidR="00D338F4">
        <w:rPr>
          <w:color w:val="000000"/>
        </w:rPr>
        <w:t>r</w:t>
      </w:r>
      <w:r w:rsidR="00D338F4" w:rsidRPr="00D338F4">
        <w:rPr>
          <w:color w:val="000000"/>
        </w:rPr>
        <w:t>esearch on epistemic networks</w:t>
      </w:r>
      <w:r w:rsidR="006332B2">
        <w:rPr>
          <w:color w:val="000000"/>
        </w:rPr>
        <w:t xml:space="preserve"> </w:t>
      </w:r>
      <w:r w:rsidR="00990A63">
        <w:rPr>
          <w:color w:val="000000"/>
        </w:rPr>
        <w:t xml:space="preserve">that </w:t>
      </w:r>
      <w:r w:rsidR="006332B2">
        <w:rPr>
          <w:color w:val="000000"/>
        </w:rPr>
        <w:t>show</w:t>
      </w:r>
      <w:r w:rsidR="00990A63">
        <w:rPr>
          <w:color w:val="000000"/>
        </w:rPr>
        <w:t>s</w:t>
      </w:r>
      <w:r w:rsidR="00D338F4" w:rsidRPr="00D338F4">
        <w:rPr>
          <w:color w:val="000000"/>
        </w:rPr>
        <w:t xml:space="preserve"> how beliefs, including misinformation and conspiracy theories, spread quickly through social circles and often persist even after being debunked (Feinstein &amp; Baram-Tsabari, 2024). </w:t>
      </w:r>
      <w:r w:rsidR="006332B2">
        <w:rPr>
          <w:color w:val="000000"/>
        </w:rPr>
        <w:t>Likewise in terms of research on s</w:t>
      </w:r>
      <w:r w:rsidR="00FA49CE" w:rsidRPr="00D338F4">
        <w:rPr>
          <w:color w:val="000000"/>
        </w:rPr>
        <w:t>ocial dynamics</w:t>
      </w:r>
      <w:r w:rsidR="00DE1717">
        <w:rPr>
          <w:color w:val="000000"/>
        </w:rPr>
        <w:t xml:space="preserve"> and social media</w:t>
      </w:r>
      <w:r w:rsidR="00FA49CE" w:rsidRPr="00D338F4">
        <w:rPr>
          <w:color w:val="000000"/>
        </w:rPr>
        <w:t xml:space="preserve">: </w:t>
      </w:r>
      <w:r w:rsidR="00FA49CE">
        <w:rPr>
          <w:color w:val="000000"/>
        </w:rPr>
        <w:t xml:space="preserve">with </w:t>
      </w:r>
      <w:r w:rsidR="00FA49CE" w:rsidRPr="00D338F4">
        <w:rPr>
          <w:color w:val="000000"/>
        </w:rPr>
        <w:t>people tend</w:t>
      </w:r>
      <w:r w:rsidR="00FA49CE">
        <w:rPr>
          <w:color w:val="000000"/>
        </w:rPr>
        <w:t>ing</w:t>
      </w:r>
      <w:r w:rsidR="00FA49CE" w:rsidRPr="00D338F4">
        <w:rPr>
          <w:color w:val="000000"/>
        </w:rPr>
        <w:t xml:space="preserve"> to trust familiar individuals, especially when they share political views, over distant experts (Haran &amp; Shalvi, 2019; Warner &amp; Procaccino, 2007).</w:t>
      </w:r>
      <w:r w:rsidR="00FA49CE">
        <w:rPr>
          <w:color w:val="000000"/>
        </w:rPr>
        <w:t xml:space="preserve"> </w:t>
      </w:r>
      <w:r w:rsidR="00DE1717">
        <w:rPr>
          <w:color w:val="000000"/>
        </w:rPr>
        <w:t>or</w:t>
      </w:r>
      <w:r w:rsidR="00FA49CE" w:rsidRPr="00D338F4">
        <w:rPr>
          <w:color w:val="000000"/>
        </w:rPr>
        <w:t xml:space="preserve"> </w:t>
      </w:r>
      <w:r w:rsidR="00FA49CE">
        <w:rPr>
          <w:color w:val="000000"/>
        </w:rPr>
        <w:t>‘official’ sources of knowledge</w:t>
      </w:r>
      <w:r w:rsidR="00FA49CE" w:rsidRPr="00D338F4">
        <w:rPr>
          <w:color w:val="000000"/>
        </w:rPr>
        <w:t xml:space="preserve"> (Marks et al., 2019; Jerome et al., 2024).</w:t>
      </w:r>
      <w:r w:rsidR="00990A63">
        <w:rPr>
          <w:color w:val="000000"/>
        </w:rPr>
        <w:t xml:space="preserve"> Thus, we may believe the views of someone on, say, health related matters (such as Covid 19 vaccinations), even though the bond that connects us concerns an entirely different matter (e.g. political affiliation)</w:t>
      </w:r>
      <w:r w:rsidR="00F60098">
        <w:rPr>
          <w:color w:val="000000"/>
        </w:rPr>
        <w:t xml:space="preserve"> (Stone, in press)</w:t>
      </w:r>
      <w:r w:rsidR="00990A63">
        <w:rPr>
          <w:color w:val="000000"/>
        </w:rPr>
        <w:t xml:space="preserve">. </w:t>
      </w:r>
    </w:p>
    <w:p w14:paraId="164A2F5E" w14:textId="3292AC24" w:rsidR="00D338F4" w:rsidRPr="00667A8B" w:rsidRDefault="00FA49CE" w:rsidP="00667A8B">
      <w:pPr>
        <w:spacing w:before="240" w:after="240"/>
      </w:pPr>
      <w:r>
        <w:rPr>
          <w:color w:val="000000"/>
        </w:rPr>
        <w:lastRenderedPageBreak/>
        <w:t>Moreover, the</w:t>
      </w:r>
      <w:r w:rsidR="00DE1717">
        <w:rPr>
          <w:color w:val="000000"/>
        </w:rPr>
        <w:t>re is alignment between our model and</w:t>
      </w:r>
      <w:r w:rsidR="00D338F4" w:rsidRPr="00D338F4">
        <w:rPr>
          <w:color w:val="000000"/>
        </w:rPr>
        <w:t xml:space="preserve"> concept</w:t>
      </w:r>
      <w:r w:rsidR="00DE1717">
        <w:rPr>
          <w:color w:val="000000"/>
        </w:rPr>
        <w:t>s such as</w:t>
      </w:r>
      <w:r w:rsidR="00D338F4" w:rsidRPr="00D338F4">
        <w:rPr>
          <w:color w:val="000000"/>
        </w:rPr>
        <w:t xml:space="preserve"> of</w:t>
      </w:r>
      <w:r w:rsidR="00D338F4" w:rsidRPr="00D338F4">
        <w:rPr>
          <w:rStyle w:val="apple-converted-space"/>
          <w:color w:val="000000"/>
        </w:rPr>
        <w:t> </w:t>
      </w:r>
      <w:r w:rsidR="00D338F4" w:rsidRPr="00D338F4">
        <w:rPr>
          <w:rStyle w:val="Emphasis"/>
          <w:color w:val="000000"/>
        </w:rPr>
        <w:t>crippled epistemology</w:t>
      </w:r>
      <w:r w:rsidR="00DE1717">
        <w:rPr>
          <w:rStyle w:val="Emphasis"/>
          <w:color w:val="000000"/>
        </w:rPr>
        <w:t>,</w:t>
      </w:r>
      <w:r w:rsidR="00D338F4" w:rsidRPr="00D338F4">
        <w:rPr>
          <w:rStyle w:val="apple-converted-space"/>
          <w:color w:val="000000"/>
        </w:rPr>
        <w:t> </w:t>
      </w:r>
      <w:r w:rsidR="00DE1717">
        <w:rPr>
          <w:rStyle w:val="apple-converted-space"/>
          <w:color w:val="000000"/>
        </w:rPr>
        <w:t xml:space="preserve">which </w:t>
      </w:r>
      <w:r w:rsidR="00D338F4" w:rsidRPr="00D338F4">
        <w:rPr>
          <w:color w:val="000000"/>
        </w:rPr>
        <w:t xml:space="preserve">explains how, without access to diverse, credible sources, people may rationally adopt false beliefs within their own cognitive framework, deepening distrust in institutional knowledge (Kerwer &amp; Rosman, 2018; Sunstein &amp; Vermeule, 2009). </w:t>
      </w:r>
      <w:r w:rsidR="00DE1717">
        <w:rPr>
          <w:color w:val="000000"/>
        </w:rPr>
        <w:t>Other studies suggest that</w:t>
      </w:r>
      <w:r>
        <w:rPr>
          <w:color w:val="000000"/>
        </w:rPr>
        <w:t xml:space="preserve"> e</w:t>
      </w:r>
      <w:r w:rsidR="00D338F4" w:rsidRPr="00D338F4">
        <w:rPr>
          <w:color w:val="000000"/>
        </w:rPr>
        <w:t xml:space="preserve">motionally comforting beliefs can overpower rational thinking, making individuals resistant to evidence that contradicts their worldview (Griffin &amp; Ohlson, 2001). Combined with low forward-thinking motivation, many </w:t>
      </w:r>
      <w:r w:rsidR="00774272">
        <w:rPr>
          <w:color w:val="000000"/>
        </w:rPr>
        <w:t xml:space="preserve">can </w:t>
      </w:r>
      <w:r w:rsidR="00DE1717">
        <w:rPr>
          <w:color w:val="000000"/>
        </w:rPr>
        <w:t xml:space="preserve">thus </w:t>
      </w:r>
      <w:r w:rsidR="00D338F4" w:rsidRPr="00D338F4">
        <w:rPr>
          <w:color w:val="000000"/>
        </w:rPr>
        <w:t>default to short-term, simplistic solutions from populist figures, heightening vulnerability to manipulation (Chong et al., 2018; Kool &amp; Botvinick, 2014).</w:t>
      </w:r>
      <w:r w:rsidR="00774272">
        <w:rPr>
          <w:color w:val="000000"/>
        </w:rPr>
        <w:t xml:space="preserve"> This can be especially the case when </w:t>
      </w:r>
      <w:r w:rsidR="00774272" w:rsidRPr="00D338F4">
        <w:rPr>
          <w:color w:val="000000"/>
        </w:rPr>
        <w:t xml:space="preserve">trust in institutions </w:t>
      </w:r>
      <w:r w:rsidR="00774272">
        <w:rPr>
          <w:color w:val="000000"/>
        </w:rPr>
        <w:t xml:space="preserve">is in decline (serving to </w:t>
      </w:r>
      <w:r w:rsidR="00774272" w:rsidRPr="00D338F4">
        <w:rPr>
          <w:color w:val="000000"/>
        </w:rPr>
        <w:t>further trap people in ideologically closed networks where misinformation thrives</w:t>
      </w:r>
      <w:r w:rsidR="00774272">
        <w:rPr>
          <w:color w:val="000000"/>
        </w:rPr>
        <w:t>:</w:t>
      </w:r>
      <w:r w:rsidR="00774272" w:rsidRPr="00D338F4">
        <w:rPr>
          <w:color w:val="000000"/>
        </w:rPr>
        <w:t xml:space="preserve"> Naughton, Leal et al., 2018; Valgarðsson et al., 2025).</w:t>
      </w:r>
    </w:p>
    <w:p w14:paraId="6F7253EC" w14:textId="65B988A8" w:rsidR="00702BE2" w:rsidRPr="00D338F4" w:rsidRDefault="00702BE2" w:rsidP="00D338F4">
      <w:pPr>
        <w:spacing w:before="240" w:after="240"/>
      </w:pPr>
    </w:p>
    <w:p w14:paraId="521112A0" w14:textId="434BED93" w:rsidR="00702BE2" w:rsidRPr="00D338F4" w:rsidRDefault="00702BE2" w:rsidP="00667A8B">
      <w:pPr>
        <w:pStyle w:val="Newparagraph"/>
        <w:spacing w:before="240" w:after="240"/>
      </w:pPr>
      <w:r w:rsidRPr="00D338F4">
        <w:t>Given these issues</w:t>
      </w:r>
      <w:r w:rsidR="00DE1717">
        <w:t xml:space="preserve"> that arise from low levels of </w:t>
      </w:r>
      <w:r w:rsidR="00DE1717" w:rsidRPr="00D338F4">
        <w:t>critical thinking</w:t>
      </w:r>
      <w:r w:rsidR="00645AE2">
        <w:t>,</w:t>
      </w:r>
      <w:r w:rsidR="00DE1717">
        <w:t xml:space="preserve"> </w:t>
      </w:r>
      <w:r w:rsidR="00DE1717" w:rsidRPr="00D338F4">
        <w:t xml:space="preserve">pragmatic prospection </w:t>
      </w:r>
      <w:r w:rsidR="00DE1717">
        <w:t>and from some of the ways that</w:t>
      </w:r>
      <w:r w:rsidR="00DE1717" w:rsidRPr="00D338F4">
        <w:t xml:space="preserve"> social networks </w:t>
      </w:r>
      <w:r w:rsidR="00DE1717">
        <w:t>can be structured</w:t>
      </w:r>
      <w:r w:rsidRPr="00D338F4">
        <w:t>, better understanding is thus needed to inform effective policy and practice in terms of developing effective interventions to promote ideas-engagement. Specifically, we need to better understand:</w:t>
      </w:r>
    </w:p>
    <w:p w14:paraId="74047078" w14:textId="3DADD659" w:rsidR="00702BE2" w:rsidRPr="00D338F4" w:rsidRDefault="00702BE2" w:rsidP="00D338F4">
      <w:pPr>
        <w:pStyle w:val="Bulletedlist"/>
      </w:pPr>
      <w:r w:rsidRPr="00D338F4">
        <w:rPr>
          <w:b/>
          <w:bCs/>
        </w:rPr>
        <w:t xml:space="preserve">Research Question 1: </w:t>
      </w:r>
      <w:r w:rsidRPr="00D338F4">
        <w:t xml:space="preserve">Which </w:t>
      </w:r>
      <w:r w:rsidR="00847B73" w:rsidRPr="00D338F4">
        <w:t xml:space="preserve">social demographic </w:t>
      </w:r>
      <w:r w:rsidRPr="00D338F4">
        <w:t xml:space="preserve">characteristics </w:t>
      </w:r>
      <w:r w:rsidR="0056321E" w:rsidRPr="00D338F4">
        <w:t>(e.g. gender, highest qualification attained, occupation status etc.) best account for the variability in</w:t>
      </w:r>
      <w:r w:rsidRPr="00D338F4">
        <w:t xml:space="preserve"> individuals</w:t>
      </w:r>
      <w:r w:rsidR="0056321E" w:rsidRPr="00D338F4">
        <w:t>’</w:t>
      </w:r>
      <w:r w:rsidRPr="00D338F4">
        <w:t xml:space="preserve"> </w:t>
      </w:r>
      <w:r w:rsidR="0056321E" w:rsidRPr="00D338F4">
        <w:t xml:space="preserve">levels of prospective mindset, social network structures, and critical thinking abilities (so potentially identify those </w:t>
      </w:r>
      <w:r w:rsidRPr="00D338F4">
        <w:t xml:space="preserve">most likely to benefit from interventions designed to equip </w:t>
      </w:r>
      <w:r w:rsidR="00774272">
        <w:t>young people and other citizens</w:t>
      </w:r>
      <w:r w:rsidRPr="00D338F4">
        <w:t xml:space="preserve"> with the skills to embrace positive ideas while rejecting harmful ones</w:t>
      </w:r>
      <w:r w:rsidR="0056321E" w:rsidRPr="00D338F4">
        <w:t>)</w:t>
      </w:r>
      <w:r w:rsidRPr="00D338F4">
        <w:t xml:space="preserve">. </w:t>
      </w:r>
    </w:p>
    <w:p w14:paraId="695B9E75" w14:textId="7A7D3BE4" w:rsidR="00702BE2" w:rsidRPr="00D338F4" w:rsidRDefault="00702BE2" w:rsidP="00D338F4">
      <w:pPr>
        <w:pStyle w:val="Bulletedlist"/>
      </w:pPr>
      <w:r w:rsidRPr="00D338F4">
        <w:rPr>
          <w:b/>
          <w:bCs/>
        </w:rPr>
        <w:lastRenderedPageBreak/>
        <w:t>Research Question 2</w:t>
      </w:r>
      <w:r w:rsidRPr="00D338F4">
        <w:t xml:space="preserve">: </w:t>
      </w:r>
      <w:r w:rsidR="0072789D" w:rsidRPr="00667A8B">
        <w:rPr>
          <w:rFonts w:hint="eastAsia"/>
        </w:rPr>
        <w:t>Based on the findings of RQ1, what ideas-related attitudes, beliefs, and behaviours (e.g., perceived value of engaging with ideas, actual engagement with ideas, and ability to engage effectively) offer promising targets or pathways for interventions designed to equip young people and other citizens with the skills to embrace positive ideas while rejecting harmful ones?</w:t>
      </w:r>
    </w:p>
    <w:p w14:paraId="12853D2C" w14:textId="1ED734B7" w:rsidR="00702BE2" w:rsidRPr="00C343FD" w:rsidRDefault="00702BE2" w:rsidP="00702BE2">
      <w:pPr>
        <w:pStyle w:val="Paragraph"/>
      </w:pPr>
      <w:r w:rsidRPr="00C343FD">
        <w:t xml:space="preserve">By answering these questions, </w:t>
      </w:r>
      <w:r w:rsidR="00774272">
        <w:t>we can th</w:t>
      </w:r>
      <w:r w:rsidR="00DE1717">
        <w:t>u</w:t>
      </w:r>
      <w:r w:rsidR="00774272">
        <w:t xml:space="preserve">s </w:t>
      </w:r>
      <w:r w:rsidR="00645AE2">
        <w:t xml:space="preserve">help to </w:t>
      </w:r>
      <w:r w:rsidR="00774272">
        <w:t xml:space="preserve">better position </w:t>
      </w:r>
      <w:r w:rsidRPr="00C343FD">
        <w:t xml:space="preserve">educational policymakers and practitioners  design evidence-based strategies to arm young people with the tools to navigate the complex, information-rich world they face </w:t>
      </w:r>
      <w:r w:rsidR="00AB700D">
        <w:t>–</w:t>
      </w:r>
      <w:r w:rsidRPr="00C343FD">
        <w:t xml:space="preserve"> fostering resilience against misinformation and empowering them to pursue positive, well-informed futures.</w:t>
      </w:r>
    </w:p>
    <w:p w14:paraId="1AF07E4D" w14:textId="77777777" w:rsidR="00702BE2" w:rsidRDefault="00702BE2" w:rsidP="00702BE2">
      <w:pPr>
        <w:pStyle w:val="Heading1"/>
      </w:pPr>
      <w:r>
        <w:t xml:space="preserve">Methodology </w:t>
      </w:r>
    </w:p>
    <w:p w14:paraId="2EFA3AE7" w14:textId="410E04A1" w:rsidR="00185B44" w:rsidRDefault="00774272" w:rsidP="00FD489C">
      <w:r>
        <w:t xml:space="preserve">The </w:t>
      </w:r>
      <w:r w:rsidR="00702BE2">
        <w:t>theoretical framework outlined above was originally operationalised and tested via development of a questionnaire (the ‘Ideas-engagement Networks Prospection and Education Survey’: INPES) and the collection and analysis of INPES data from some 7,000 participants across Europe (with nationally representative samples of 1,000 respondents aged 18+ collected from each of England, Finland, Italy, the Netherlands, Spain, Sweden, and Switzerland</w:t>
      </w:r>
      <w:r w:rsidR="00847B73">
        <w:t>.</w:t>
      </w:r>
      <w:r w:rsidR="00185B44">
        <w:t xml:space="preserve"> A full account of </w:t>
      </w:r>
      <w:r>
        <w:t>our</w:t>
      </w:r>
      <w:r w:rsidR="00185B44">
        <w:t xml:space="preserve"> </w:t>
      </w:r>
      <w:r>
        <w:t xml:space="preserve">research </w:t>
      </w:r>
      <w:r w:rsidR="00185B44">
        <w:t>approach can be found in Brown et al., (2025).</w:t>
      </w:r>
      <w:r w:rsidR="00847B73">
        <w:t xml:space="preserve"> </w:t>
      </w:r>
      <w:r w:rsidR="00185B44">
        <w:t xml:space="preserve">Ethical approval for the project was obtained from University of Southampton’s Faculty for Social Sciences’ ethics committee (approval number ERGO II 93510.  All research was conducted with participants’ full consent through a double opt-in panel registration process, ensuring ethical standards were maintained throughout the study. </w:t>
      </w:r>
    </w:p>
    <w:p w14:paraId="1BE34944" w14:textId="697FC437" w:rsidR="00A830B5" w:rsidRDefault="00A830B5" w:rsidP="00667A8B"/>
    <w:p w14:paraId="2064EA4C" w14:textId="14735317" w:rsidR="00DA51E0" w:rsidRDefault="00702BE2" w:rsidP="00702BE2">
      <w:pPr>
        <w:pStyle w:val="Paragraph"/>
      </w:pPr>
      <w:r w:rsidRPr="00C343FD">
        <w:t xml:space="preserve">Survey items were constructed for each variable </w:t>
      </w:r>
      <w:r>
        <w:t>comprising our three factors of</w:t>
      </w:r>
      <w:r w:rsidRPr="00C343FD">
        <w:t xml:space="preserve"> </w:t>
      </w:r>
      <w:r w:rsidRPr="00C343FD">
        <w:lastRenderedPageBreak/>
        <w:t xml:space="preserve">prospective mindset, social networks, and critical thinking, along </w:t>
      </w:r>
      <w:r>
        <w:t xml:space="preserve">with </w:t>
      </w:r>
      <w:r w:rsidRPr="00C343FD">
        <w:t xml:space="preserve">a measure for ideas-engagement </w:t>
      </w:r>
      <w:r>
        <w:t>and</w:t>
      </w:r>
      <w:r w:rsidRPr="00C343FD">
        <w:t xml:space="preserve"> relevant demographic variables (age, gender, </w:t>
      </w:r>
      <w:r>
        <w:t>highest level of qualification</w:t>
      </w:r>
      <w:r w:rsidRPr="00C343FD">
        <w:t>, occupation</w:t>
      </w:r>
      <w:r>
        <w:t xml:space="preserve"> etc.</w:t>
      </w:r>
      <w:r w:rsidRPr="00C343FD">
        <w:t>) (Kline, 2011). Additionally, we introduced a calibration element, asking respondents to assess the veracity of statements that were either factual</w:t>
      </w:r>
      <w:r w:rsidR="000164C2">
        <w:t xml:space="preserve"> (i.e. proven by scientific method)</w:t>
      </w:r>
      <w:r w:rsidRPr="00C343FD">
        <w:t>, conspiratorial</w:t>
      </w:r>
      <w:r w:rsidR="000164C2">
        <w:t xml:space="preserve"> (indicative of </w:t>
      </w:r>
      <w:r w:rsidR="000164C2" w:rsidRPr="00C343FD">
        <w:t>claims that secret, powerful groups control events</w:t>
      </w:r>
      <w:r w:rsidR="000164C2">
        <w:t>)</w:t>
      </w:r>
      <w:r w:rsidRPr="00C343FD">
        <w:t>, or false but populist</w:t>
      </w:r>
      <w:r w:rsidR="000164C2">
        <w:t xml:space="preserve"> (claims that make emotionally appeals and may ring true ‘intuitively’, but have no basis in fact)</w:t>
      </w:r>
      <w:r w:rsidRPr="00C343FD">
        <w:t>. For instance, respondents were asked to rate the truth of statements like “there is evidence to suggest the Earth is actually flat, rather than round” (factually incorrect)</w:t>
      </w:r>
      <w:r w:rsidR="00DE1717">
        <w:t>.</w:t>
      </w:r>
      <w:r w:rsidR="00DA51E0">
        <w:t xml:space="preserve"> </w:t>
      </w:r>
      <w:r w:rsidR="00DE1717">
        <w:t>F</w:t>
      </w:r>
      <w:r w:rsidR="00DA51E0">
        <w:t xml:space="preserve">or these </w:t>
      </w:r>
      <w:r w:rsidR="00DE1717">
        <w:t>calibration</w:t>
      </w:r>
      <w:r w:rsidR="00DA51E0">
        <w:t xml:space="preserve"> questions, a five point scale was utilised, which ranged from ‘I strongly believe this to be true’ to ‘I strong believe this to be untrue’). </w:t>
      </w:r>
      <w:r w:rsidR="00DE1717">
        <w:t>The c</w:t>
      </w:r>
      <w:r w:rsidR="00DA51E0">
        <w:t xml:space="preserve">alibration </w:t>
      </w:r>
      <w:r w:rsidR="00DE1717">
        <w:t xml:space="preserve">aspect of our approach </w:t>
      </w:r>
      <w:r w:rsidRPr="00C343FD">
        <w:t xml:space="preserve"> </w:t>
      </w:r>
      <w:r w:rsidR="00DE1717">
        <w:t xml:space="preserve">thus </w:t>
      </w:r>
      <w:r w:rsidRPr="00C343FD">
        <w:t xml:space="preserve">intended to help us distinguish between respondents </w:t>
      </w:r>
      <w:r w:rsidR="00645AE2">
        <w:t xml:space="preserve">who </w:t>
      </w:r>
      <w:r w:rsidR="00645AE2" w:rsidRPr="00C343FD">
        <w:t>engag</w:t>
      </w:r>
      <w:r w:rsidR="00645AE2">
        <w:t>ed</w:t>
      </w:r>
      <w:r w:rsidR="00645AE2" w:rsidRPr="00C343FD">
        <w:t xml:space="preserve"> </w:t>
      </w:r>
      <w:r w:rsidRPr="00C343FD">
        <w:t xml:space="preserve">with valid ideas versus </w:t>
      </w:r>
      <w:r>
        <w:t>‘</w:t>
      </w:r>
      <w:r w:rsidRPr="00C343FD">
        <w:t>dark</w:t>
      </w:r>
      <w:r>
        <w:t>’</w:t>
      </w:r>
      <w:r w:rsidRPr="00C343FD">
        <w:t xml:space="preserve"> ideas (i.e. those corresponding to misinformation, disinformation and conspiracy theory) and to explore whether engagement with valid ideas also correspond</w:t>
      </w:r>
      <w:r>
        <w:t>s</w:t>
      </w:r>
      <w:r w:rsidRPr="00C343FD">
        <w:t xml:space="preserve"> to respondents rejecting dark ideas</w:t>
      </w:r>
      <w:r w:rsidR="00DE1717">
        <w:t xml:space="preserve"> - </w:t>
      </w:r>
      <w:r w:rsidRPr="00C343FD">
        <w:t xml:space="preserve">or if respondents could engage with both. </w:t>
      </w:r>
    </w:p>
    <w:p w14:paraId="5806E49D" w14:textId="27474FD5" w:rsidR="00774272" w:rsidRDefault="00DA51E0" w:rsidP="00774272">
      <w:r>
        <w:t>I</w:t>
      </w:r>
      <w:r w:rsidRPr="004F0861">
        <w:t xml:space="preserve">n developing our questionnaire, we reviewed </w:t>
      </w:r>
      <w:r>
        <w:t xml:space="preserve">whether </w:t>
      </w:r>
      <w:r w:rsidRPr="004F0861">
        <w:t xml:space="preserve">scales </w:t>
      </w:r>
      <w:r>
        <w:t xml:space="preserve">and items already existed </w:t>
      </w:r>
      <w:r w:rsidRPr="004F0861">
        <w:t xml:space="preserve">for </w:t>
      </w:r>
      <w:r>
        <w:t xml:space="preserve">each of </w:t>
      </w:r>
      <w:r w:rsidRPr="004F0861">
        <w:t xml:space="preserve">our variables, incorporating </w:t>
      </w:r>
      <w:r w:rsidRPr="00645AE2">
        <w:t xml:space="preserve">previously tested measures wherever possible. For example, for the calibration questions we drew on surveys undertaken by </w:t>
      </w:r>
      <w:commentRangeStart w:id="0"/>
      <w:r w:rsidR="000164C2" w:rsidRPr="00667A8B">
        <w:t>Jennings et al., 2023 and Kenny et al., (undated working paper</w:t>
      </w:r>
      <w:commentRangeEnd w:id="0"/>
      <w:r w:rsidR="000164C2" w:rsidRPr="00667A8B">
        <w:commentReference w:id="0"/>
      </w:r>
      <w:r w:rsidR="000164C2" w:rsidRPr="00667A8B">
        <w:t>).</w:t>
      </w:r>
      <w:r w:rsidRPr="00645AE2">
        <w:t xml:space="preserve"> Once the</w:t>
      </w:r>
      <w:r>
        <w:t xml:space="preserve"> survey was developed, </w:t>
      </w:r>
      <w:r w:rsidRPr="004F0861">
        <w:t>two experts reviewed the questionnaire for face and content validity, and two laypersons test</w:t>
      </w:r>
      <w:r w:rsidR="00DE1717">
        <w:t>ed</w:t>
      </w:r>
      <w:r w:rsidRPr="004F0861">
        <w:t xml:space="preserve"> it for clarity to identify any potential ambiguities. </w:t>
      </w:r>
      <w:r>
        <w:t>A</w:t>
      </w:r>
      <w:r w:rsidRPr="004F0861">
        <w:t xml:space="preserve"> pilot study with 100 respondents in each of the seven countries </w:t>
      </w:r>
      <w:r>
        <w:t xml:space="preserve">was also undertaken </w:t>
      </w:r>
      <w:r w:rsidRPr="004F0861">
        <w:t>to confirm that questions were clear and effectively interpreted by respondents.</w:t>
      </w:r>
      <w:r>
        <w:t xml:space="preserve"> A full copy of the survey can be found in Appendix A of Brown et al., 2025a)</w:t>
      </w:r>
      <w:r w:rsidR="000164C2">
        <w:t>.</w:t>
      </w:r>
    </w:p>
    <w:p w14:paraId="2CCCA6DE" w14:textId="77777777" w:rsidR="00774272" w:rsidRDefault="00774272" w:rsidP="00774272"/>
    <w:p w14:paraId="791FCD8C" w14:textId="0AC5C9E5" w:rsidR="00774272" w:rsidRPr="00070E0E" w:rsidRDefault="00774272" w:rsidP="00774272">
      <w:r>
        <w:t xml:space="preserve">A </w:t>
      </w:r>
      <w:r w:rsidRPr="00070E0E">
        <w:rPr>
          <w:rFonts w:hint="eastAsia"/>
        </w:rPr>
        <w:t xml:space="preserve">comprehensive description of the sample characteristics </w:t>
      </w:r>
      <w:r>
        <w:t xml:space="preserve">of our 7,000 respondents is </w:t>
      </w:r>
      <w:r w:rsidRPr="00070E0E">
        <w:rPr>
          <w:rFonts w:hint="eastAsia"/>
        </w:rPr>
        <w:t xml:space="preserve">provided in Table 1 of </w:t>
      </w:r>
      <w:r>
        <w:t xml:space="preserve">our </w:t>
      </w:r>
      <w:r w:rsidRPr="00070E0E">
        <w:rPr>
          <w:rFonts w:hint="eastAsia"/>
        </w:rPr>
        <w:t xml:space="preserve">supplementary materials (specifically, this </w:t>
      </w:r>
      <w:r>
        <w:t xml:space="preserve">Table </w:t>
      </w:r>
      <w:r w:rsidRPr="00070E0E">
        <w:rPr>
          <w:rFonts w:hint="eastAsia"/>
        </w:rPr>
        <w:t>provides detailed data on participant demographics - age, gender, qualifications, occupation - across our sampled seven countries). A full descriptive analysis of our sample can also be found in Brown et al., 2025b</w:t>
      </w:r>
      <w:r>
        <w:t xml:space="preserve"> </w:t>
      </w:r>
      <w:r w:rsidRPr="00070E0E">
        <w:t>including analysis of country-level differences in demographic and ideas-related characteristics</w:t>
      </w:r>
      <w:r w:rsidRPr="00070E0E">
        <w:rPr>
          <w:rFonts w:hint="eastAsia"/>
        </w:rPr>
        <w:t>.</w:t>
      </w:r>
      <w:r w:rsidRPr="00070E0E">
        <w:t xml:space="preserve"> Further, Tables 2 to 4 of the supplementary materials provide profiles of our samples’ levels of prospective mindset (ranging from high to very low), social network characteristics (from limited to exceptionally high homophily and social capital), and critical thinking ability (low, moderate, high). Each profile is cross-tabulated with demographic variables, offering a comparative view of how future-oriented thinking, network structures, and reasoning skills vary by </w:t>
      </w:r>
      <w:r w:rsidRPr="00774272">
        <w:t>demographic</w:t>
      </w:r>
      <w:r w:rsidRPr="00070E0E">
        <w:t xml:space="preserve"> characteristic</w:t>
      </w:r>
      <w:r w:rsidRPr="00070E0E">
        <w:rPr>
          <w:rFonts w:hint="eastAsia"/>
        </w:rPr>
        <w:t xml:space="preserve">. </w:t>
      </w:r>
    </w:p>
    <w:p w14:paraId="77AF7D15" w14:textId="77777777" w:rsidR="00774272" w:rsidRDefault="00774272" w:rsidP="008C1302">
      <w:pPr>
        <w:pStyle w:val="Paragraph"/>
      </w:pPr>
    </w:p>
    <w:p w14:paraId="2FAEF789" w14:textId="0B06A186" w:rsidR="008C1302" w:rsidRDefault="008C1302" w:rsidP="008C1302">
      <w:pPr>
        <w:pStyle w:val="Paragraph"/>
      </w:pPr>
      <w:r w:rsidRPr="008C1302">
        <w:t xml:space="preserve">To address </w:t>
      </w:r>
      <w:r w:rsidR="00774272">
        <w:t xml:space="preserve">the </w:t>
      </w:r>
      <w:r w:rsidRPr="008C1302">
        <w:t>cross-cultural consistency</w:t>
      </w:r>
      <w:r w:rsidR="00774272">
        <w:t xml:space="preserve"> of our data</w:t>
      </w:r>
      <w:r w:rsidRPr="008C1302">
        <w:t>, we tested measurement invariance across the seven countries using multi-group confirmatory factor analyses (MG-CFA) for six key constructs: Prospective Mindset, Critical Thinking Ability, Network Homophily, Network Social Capital, Positive Ideas, and Dark Ideas (Brown et al., 2017). For each, we estimated three nested models (configural, metric</w:t>
      </w:r>
      <w:r w:rsidR="00645AE2">
        <w:t xml:space="preserve"> and</w:t>
      </w:r>
      <w:r w:rsidRPr="008C1302">
        <w:t xml:space="preserve"> partial scalar invariance) using robust maximum likelihood estimation (MLR) to account for non-normal data (Pan &amp; Fang, 2002; Xu &amp; Tracey, 2017). We assessed model fit using standard indices, including AIC, BIC, χ², RMSEA, CFI, TLI, and SRMR, applying established cut-offs (Cheung &amp; Rensvold, 2002; Meade et al., 2008; Pendergast et al., 2017).</w:t>
      </w:r>
    </w:p>
    <w:p w14:paraId="6ACA0FA4" w14:textId="7B16AB1A" w:rsidR="008C1302" w:rsidRPr="00667A8B" w:rsidRDefault="008C1302" w:rsidP="00667A8B">
      <w:pPr>
        <w:pStyle w:val="Paragraph"/>
      </w:pPr>
      <w:r w:rsidRPr="008C1302">
        <w:rPr>
          <w:rFonts w:eastAsia="Times New Roman"/>
          <w:color w:val="000000"/>
        </w:rPr>
        <w:lastRenderedPageBreak/>
        <w:t>Results showed acceptable to good fit for configural and metric invariance across all constructs, supporting the comparability of factor structures and loadings across countries. While some deviations emerged at the scalar level (e.g., slightly elevated RMSEA for Critical Thinking Ability; a ΔCFI of 0.015 for Prospective Mindset), partial scalar invariance was established by freeing a small number of intercepts. This is acceptable in cross-cultural research, where minor item-level differences are expected (Byrne et al., 1989; Steenkamp &amp; Baumgartner, 1998). Crucially, as this study focuses on structural relationships rather than cross-national mean comparisons, the partial invariance achieved provides a robust foundation for interpreting constructs consistently across cultural contexts.</w:t>
      </w:r>
    </w:p>
    <w:p w14:paraId="7AC06D2A" w14:textId="75CE53E0" w:rsidR="00702BE2" w:rsidRPr="00C343FD" w:rsidRDefault="00702BE2" w:rsidP="00702BE2">
      <w:pPr>
        <w:pStyle w:val="Paragraph"/>
      </w:pPr>
      <w:r w:rsidRPr="00C343FD">
        <w:t>To analyse our dat</w:t>
      </w:r>
      <w:r w:rsidR="00774272">
        <w:t xml:space="preserve">a as part of our original </w:t>
      </w:r>
      <w:r w:rsidR="00E36A2D">
        <w:t>analyis (i.e. that reported Brown et al., 2025)</w:t>
      </w:r>
      <w:r w:rsidR="009F266C">
        <w:t>,</w:t>
      </w:r>
      <w:r w:rsidRPr="00C343FD">
        <w:t xml:space="preserve"> we utilized a multi-step process that combined exploratory factor analysis (EFA), confirmatory factor analysis (CFA), and structural equation modelling (SEM) to identify latent constructs and examine the hypothesized relationships between constructs. The latent constructs that emerged from this process, and which provide the focus for this paper are detailed in Table 1, below: </w:t>
      </w:r>
    </w:p>
    <w:p w14:paraId="4F8B9591" w14:textId="77777777" w:rsidR="00702BE2" w:rsidRDefault="00702BE2" w:rsidP="00702BE2">
      <w:pPr>
        <w:pStyle w:val="Tabletitle"/>
        <w:sectPr w:rsidR="00702BE2" w:rsidSect="00074B81">
          <w:headerReference w:type="even" r:id="rId27"/>
          <w:headerReference w:type="default" r:id="rId28"/>
          <w:footerReference w:type="even" r:id="rId29"/>
          <w:footerReference w:type="default" r:id="rId30"/>
          <w:headerReference w:type="first" r:id="rId31"/>
          <w:footerReference w:type="first" r:id="rId32"/>
          <w:pgSz w:w="11901" w:h="16840" w:code="9"/>
          <w:pgMar w:top="1418" w:right="1701" w:bottom="1418" w:left="1701" w:header="709" w:footer="709" w:gutter="0"/>
          <w:cols w:space="708"/>
          <w:docGrid w:linePitch="360"/>
        </w:sectPr>
      </w:pPr>
    </w:p>
    <w:p w14:paraId="5BA39C4F" w14:textId="085AB50D" w:rsidR="00702BE2" w:rsidRDefault="00702BE2" w:rsidP="00702BE2">
      <w:pPr>
        <w:pStyle w:val="Tabletitle"/>
      </w:pPr>
      <w:r>
        <w:lastRenderedPageBreak/>
        <w:t xml:space="preserve">Table 1: Latent constructs emerging from </w:t>
      </w:r>
      <w:r w:rsidRPr="00005A87">
        <w:t xml:space="preserve">exploratory factor </w:t>
      </w:r>
      <w:r>
        <w:t>and</w:t>
      </w:r>
      <w:r w:rsidRPr="00005A87">
        <w:t xml:space="preserve"> </w:t>
      </w:r>
      <w:r w:rsidR="006D7437">
        <w:rPr>
          <w:lang w:eastAsia="zh-CN"/>
        </w:rPr>
        <w:t>multiple-group</w:t>
      </w:r>
      <w:r w:rsidR="006D7437">
        <w:rPr>
          <w:rFonts w:hint="eastAsia"/>
          <w:lang w:eastAsia="zh-CN"/>
        </w:rPr>
        <w:t xml:space="preserve"> </w:t>
      </w:r>
      <w:r w:rsidRPr="00005A87">
        <w:t xml:space="preserve">confirmatory factor analysis </w:t>
      </w:r>
    </w:p>
    <w:tbl>
      <w:tblPr>
        <w:tblW w:w="5000" w:type="pct"/>
        <w:tblLook w:val="04A0" w:firstRow="1" w:lastRow="0" w:firstColumn="1" w:lastColumn="0" w:noHBand="0" w:noVBand="1"/>
      </w:tblPr>
      <w:tblGrid>
        <w:gridCol w:w="1693"/>
        <w:gridCol w:w="1563"/>
        <w:gridCol w:w="6662"/>
        <w:gridCol w:w="2368"/>
        <w:gridCol w:w="901"/>
        <w:gridCol w:w="1261"/>
        <w:gridCol w:w="1262"/>
        <w:gridCol w:w="1061"/>
        <w:gridCol w:w="893"/>
        <w:gridCol w:w="1011"/>
        <w:gridCol w:w="713"/>
        <w:gridCol w:w="713"/>
        <w:gridCol w:w="864"/>
      </w:tblGrid>
      <w:tr w:rsidR="00CA39F3" w:rsidRPr="00CA39F3" w14:paraId="09A8626F" w14:textId="77777777" w:rsidTr="00CA39F3">
        <w:trPr>
          <w:trHeight w:val="20"/>
        </w:trPr>
        <w:tc>
          <w:tcPr>
            <w:tcW w:w="404" w:type="pct"/>
            <w:tcBorders>
              <w:top w:val="single" w:sz="4" w:space="0" w:color="000000"/>
              <w:left w:val="single" w:sz="4" w:space="0" w:color="000000"/>
              <w:bottom w:val="single" w:sz="8" w:space="0" w:color="000000"/>
              <w:right w:val="single" w:sz="8" w:space="0" w:color="000000"/>
            </w:tcBorders>
            <w:shd w:val="clear" w:color="auto" w:fill="auto"/>
            <w:hideMark/>
          </w:tcPr>
          <w:p w14:paraId="2FB5FA00" w14:textId="77777777" w:rsidR="0032288F" w:rsidRPr="0032288F" w:rsidRDefault="0032288F" w:rsidP="0032288F">
            <w:pPr>
              <w:spacing w:line="240" w:lineRule="auto"/>
              <w:rPr>
                <w:rFonts w:eastAsia="SimSun"/>
                <w:b/>
                <w:bCs/>
                <w:color w:val="000000"/>
                <w:sz w:val="22"/>
                <w:szCs w:val="22"/>
                <w:lang w:eastAsia="zh-CN"/>
              </w:rPr>
            </w:pPr>
            <w:r w:rsidRPr="0032288F">
              <w:rPr>
                <w:rFonts w:eastAsia="SimSun"/>
                <w:b/>
                <w:bCs/>
                <w:color w:val="000000"/>
                <w:sz w:val="22"/>
                <w:szCs w:val="22"/>
                <w:lang w:eastAsia="zh-CN"/>
              </w:rPr>
              <w:t>Aspect of theoretical frame</w:t>
            </w:r>
            <w:r w:rsidRPr="0032288F">
              <w:rPr>
                <w:rFonts w:eastAsia="SimSun"/>
                <w:color w:val="000000"/>
                <w:sz w:val="22"/>
                <w:szCs w:val="22"/>
                <w:lang w:eastAsia="zh-CN"/>
              </w:rPr>
              <w:t xml:space="preserve"> </w:t>
            </w:r>
          </w:p>
        </w:tc>
        <w:tc>
          <w:tcPr>
            <w:tcW w:w="373" w:type="pct"/>
            <w:tcBorders>
              <w:top w:val="single" w:sz="4" w:space="0" w:color="000000"/>
              <w:left w:val="single" w:sz="8" w:space="0" w:color="000000"/>
              <w:bottom w:val="single" w:sz="8" w:space="0" w:color="000000"/>
              <w:right w:val="single" w:sz="8" w:space="0" w:color="000000"/>
            </w:tcBorders>
            <w:shd w:val="clear" w:color="auto" w:fill="auto"/>
            <w:hideMark/>
          </w:tcPr>
          <w:p w14:paraId="73448D57" w14:textId="77777777" w:rsidR="0032288F" w:rsidRPr="0032288F" w:rsidRDefault="0032288F" w:rsidP="0032288F">
            <w:pPr>
              <w:spacing w:line="240" w:lineRule="auto"/>
              <w:rPr>
                <w:rFonts w:eastAsia="SimSun"/>
                <w:b/>
                <w:bCs/>
                <w:color w:val="000000"/>
                <w:sz w:val="22"/>
                <w:szCs w:val="22"/>
                <w:lang w:eastAsia="zh-CN"/>
              </w:rPr>
            </w:pPr>
            <w:r w:rsidRPr="0032288F">
              <w:rPr>
                <w:rFonts w:eastAsia="SimSun"/>
                <w:b/>
                <w:bCs/>
                <w:color w:val="000000"/>
                <w:sz w:val="22"/>
                <w:szCs w:val="22"/>
                <w:lang w:eastAsia="zh-CN"/>
              </w:rPr>
              <w:t>Name of factor following EFA/CFA</w:t>
            </w:r>
            <w:r w:rsidRPr="0032288F">
              <w:rPr>
                <w:rFonts w:eastAsia="SimSun"/>
                <w:color w:val="000000"/>
                <w:sz w:val="22"/>
                <w:szCs w:val="22"/>
                <w:lang w:eastAsia="zh-CN"/>
              </w:rPr>
              <w:t xml:space="preserve"> </w:t>
            </w:r>
          </w:p>
        </w:tc>
        <w:tc>
          <w:tcPr>
            <w:tcW w:w="1589" w:type="pct"/>
            <w:tcBorders>
              <w:top w:val="single" w:sz="4" w:space="0" w:color="000000"/>
              <w:left w:val="single" w:sz="8" w:space="0" w:color="000000"/>
              <w:bottom w:val="single" w:sz="8" w:space="0" w:color="000000"/>
              <w:right w:val="single" w:sz="8" w:space="0" w:color="000000"/>
            </w:tcBorders>
            <w:shd w:val="clear" w:color="auto" w:fill="auto"/>
            <w:hideMark/>
          </w:tcPr>
          <w:p w14:paraId="27EF3D6A" w14:textId="77777777" w:rsidR="0032288F" w:rsidRPr="0032288F" w:rsidRDefault="0032288F" w:rsidP="0032288F">
            <w:pPr>
              <w:spacing w:line="240" w:lineRule="auto"/>
              <w:rPr>
                <w:rFonts w:eastAsia="SimSun"/>
                <w:b/>
                <w:bCs/>
                <w:color w:val="000000"/>
                <w:sz w:val="22"/>
                <w:szCs w:val="22"/>
                <w:lang w:eastAsia="zh-CN"/>
              </w:rPr>
            </w:pPr>
            <w:r w:rsidRPr="0032288F">
              <w:rPr>
                <w:rFonts w:eastAsia="SimSun"/>
                <w:b/>
                <w:bCs/>
                <w:color w:val="000000"/>
                <w:sz w:val="22"/>
                <w:szCs w:val="22"/>
                <w:lang w:eastAsia="zh-CN"/>
              </w:rPr>
              <w:t>Survey questions corresponding to factor</w:t>
            </w:r>
            <w:r w:rsidRPr="0032288F">
              <w:rPr>
                <w:rFonts w:eastAsia="SimSun"/>
                <w:color w:val="000000"/>
                <w:sz w:val="22"/>
                <w:szCs w:val="22"/>
                <w:lang w:eastAsia="zh-CN"/>
              </w:rPr>
              <w:t xml:space="preserve"> </w:t>
            </w:r>
          </w:p>
        </w:tc>
        <w:tc>
          <w:tcPr>
            <w:tcW w:w="565" w:type="pct"/>
            <w:tcBorders>
              <w:top w:val="single" w:sz="4" w:space="0" w:color="000000"/>
              <w:left w:val="single" w:sz="8" w:space="0" w:color="000000"/>
              <w:bottom w:val="single" w:sz="8" w:space="0" w:color="000000"/>
              <w:right w:val="nil"/>
            </w:tcBorders>
            <w:shd w:val="clear" w:color="auto" w:fill="auto"/>
            <w:hideMark/>
          </w:tcPr>
          <w:p w14:paraId="2013DA42" w14:textId="77777777" w:rsidR="0032288F" w:rsidRPr="0032288F" w:rsidRDefault="0032288F" w:rsidP="0032288F">
            <w:pPr>
              <w:spacing w:line="240" w:lineRule="auto"/>
              <w:rPr>
                <w:rFonts w:eastAsia="SimSun"/>
                <w:b/>
                <w:bCs/>
                <w:color w:val="000000"/>
                <w:sz w:val="22"/>
                <w:szCs w:val="22"/>
                <w:lang w:eastAsia="zh-CN"/>
              </w:rPr>
            </w:pPr>
            <w:r w:rsidRPr="0032288F">
              <w:rPr>
                <w:rFonts w:eastAsia="SimSun"/>
                <w:b/>
                <w:bCs/>
                <w:color w:val="000000"/>
                <w:sz w:val="22"/>
                <w:szCs w:val="22"/>
                <w:lang w:eastAsia="zh-CN"/>
              </w:rPr>
              <w:t>Response options</w:t>
            </w:r>
            <w:r w:rsidRPr="0032288F">
              <w:rPr>
                <w:rFonts w:eastAsia="SimSun"/>
                <w:color w:val="000000"/>
                <w:sz w:val="22"/>
                <w:szCs w:val="22"/>
                <w:lang w:eastAsia="zh-CN"/>
              </w:rPr>
              <w:t xml:space="preserve"> </w:t>
            </w:r>
          </w:p>
        </w:tc>
        <w:tc>
          <w:tcPr>
            <w:tcW w:w="215" w:type="pct"/>
            <w:tcBorders>
              <w:top w:val="single" w:sz="8" w:space="0" w:color="000000"/>
              <w:left w:val="single" w:sz="8" w:space="0" w:color="000000"/>
              <w:bottom w:val="single" w:sz="8" w:space="0" w:color="000000"/>
              <w:right w:val="single" w:sz="8" w:space="0" w:color="000000"/>
            </w:tcBorders>
            <w:shd w:val="clear" w:color="auto" w:fill="auto"/>
            <w:hideMark/>
          </w:tcPr>
          <w:p w14:paraId="34A8EC25" w14:textId="306E6FC7" w:rsidR="0032288F" w:rsidRPr="0032288F" w:rsidRDefault="0032288F" w:rsidP="0032288F">
            <w:pPr>
              <w:spacing w:line="240" w:lineRule="auto"/>
              <w:rPr>
                <w:rFonts w:eastAsia="SimSun"/>
                <w:b/>
                <w:bCs/>
                <w:color w:val="000000"/>
                <w:sz w:val="22"/>
                <w:szCs w:val="22"/>
                <w:lang w:eastAsia="zh-CN"/>
              </w:rPr>
            </w:pPr>
            <w:r w:rsidRPr="0032288F">
              <w:rPr>
                <w:rFonts w:eastAsia="SimSun"/>
                <w:b/>
                <w:bCs/>
                <w:color w:val="000000"/>
                <w:sz w:val="22"/>
                <w:szCs w:val="22"/>
                <w:lang w:eastAsia="zh-CN"/>
              </w:rPr>
              <w:t>Models</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4F781CEF" w14:textId="7685E1C7" w:rsidR="0032288F" w:rsidRPr="0032288F" w:rsidRDefault="0032288F" w:rsidP="0032288F">
            <w:pPr>
              <w:spacing w:line="240" w:lineRule="auto"/>
              <w:rPr>
                <w:rFonts w:eastAsia="SimSun"/>
                <w:b/>
                <w:bCs/>
                <w:color w:val="000000"/>
                <w:sz w:val="22"/>
                <w:szCs w:val="22"/>
                <w:lang w:eastAsia="zh-CN"/>
              </w:rPr>
            </w:pPr>
            <w:r w:rsidRPr="0032288F">
              <w:rPr>
                <w:rFonts w:eastAsia="SimSun"/>
                <w:b/>
                <w:bCs/>
                <w:color w:val="000000"/>
                <w:sz w:val="22"/>
                <w:szCs w:val="22"/>
                <w:lang w:eastAsia="zh-CN"/>
              </w:rPr>
              <w:t xml:space="preserve"> AIC</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4DFAE054" w14:textId="2127EEB1" w:rsidR="0032288F" w:rsidRPr="0032288F" w:rsidRDefault="0032288F" w:rsidP="0032288F">
            <w:pPr>
              <w:spacing w:line="240" w:lineRule="auto"/>
              <w:rPr>
                <w:rFonts w:eastAsia="SimSun"/>
                <w:b/>
                <w:bCs/>
                <w:color w:val="000000"/>
                <w:sz w:val="22"/>
                <w:szCs w:val="22"/>
                <w:lang w:eastAsia="zh-CN"/>
              </w:rPr>
            </w:pPr>
            <w:r w:rsidRPr="0032288F">
              <w:rPr>
                <w:rFonts w:eastAsia="SimSun"/>
                <w:b/>
                <w:bCs/>
                <w:color w:val="000000"/>
                <w:sz w:val="22"/>
                <w:szCs w:val="22"/>
                <w:lang w:eastAsia="zh-CN"/>
              </w:rPr>
              <w:t xml:space="preserve"> BIC</w:t>
            </w:r>
          </w:p>
        </w:tc>
        <w:tc>
          <w:tcPr>
            <w:tcW w:w="253" w:type="pct"/>
            <w:tcBorders>
              <w:top w:val="single" w:sz="8" w:space="0" w:color="000000"/>
              <w:left w:val="single" w:sz="8" w:space="0" w:color="000000"/>
              <w:bottom w:val="single" w:sz="8" w:space="0" w:color="000000"/>
              <w:right w:val="single" w:sz="8" w:space="0" w:color="000000"/>
            </w:tcBorders>
            <w:shd w:val="clear" w:color="auto" w:fill="auto"/>
            <w:hideMark/>
          </w:tcPr>
          <w:p w14:paraId="2C7CD8C0" w14:textId="6A1F0F11" w:rsidR="0032288F" w:rsidRPr="0032288F" w:rsidRDefault="001934F8" w:rsidP="0032288F">
            <w:pPr>
              <w:spacing w:line="240" w:lineRule="auto"/>
              <w:rPr>
                <w:rFonts w:eastAsia="SimSun"/>
                <w:b/>
                <w:bCs/>
                <w:color w:val="000000"/>
                <w:sz w:val="22"/>
                <w:szCs w:val="22"/>
                <w:lang w:eastAsia="zh-CN"/>
              </w:rPr>
            </w:pPr>
            <w:r>
              <w:rPr>
                <w:rFonts w:eastAsia="SimSun"/>
                <w:b/>
                <w:bCs/>
                <w:color w:val="000000"/>
                <w:sz w:val="22"/>
                <w:szCs w:val="22"/>
                <w:lang w:eastAsia="zh-CN"/>
              </w:rPr>
              <w:t>χ</w:t>
            </w:r>
            <w:r w:rsidR="00CA39F3" w:rsidRPr="00CA39F3">
              <w:rPr>
                <w:rFonts w:eastAsia="SimSun"/>
                <w:b/>
                <w:bCs/>
                <w:color w:val="000000"/>
                <w:sz w:val="22"/>
                <w:szCs w:val="22"/>
                <w:lang w:eastAsia="zh-CN"/>
              </w:rPr>
              <w:t>²</w:t>
            </w:r>
          </w:p>
        </w:tc>
        <w:tc>
          <w:tcPr>
            <w:tcW w:w="213" w:type="pct"/>
            <w:tcBorders>
              <w:top w:val="single" w:sz="8" w:space="0" w:color="000000"/>
              <w:left w:val="single" w:sz="8" w:space="0" w:color="000000"/>
              <w:bottom w:val="single" w:sz="8" w:space="0" w:color="000000"/>
              <w:right w:val="single" w:sz="8" w:space="0" w:color="000000"/>
            </w:tcBorders>
            <w:shd w:val="clear" w:color="auto" w:fill="auto"/>
            <w:hideMark/>
          </w:tcPr>
          <w:p w14:paraId="4C93F63F" w14:textId="11C9959A" w:rsidR="0032288F" w:rsidRPr="001934F8" w:rsidRDefault="001934F8" w:rsidP="0032288F">
            <w:pPr>
              <w:spacing w:line="240" w:lineRule="auto"/>
              <w:rPr>
                <w:rFonts w:eastAsia="SimSun"/>
                <w:b/>
                <w:bCs/>
                <w:color w:val="000000"/>
                <w:sz w:val="22"/>
                <w:szCs w:val="22"/>
                <w:vertAlign w:val="superscript"/>
                <w:lang w:eastAsia="zh-CN"/>
              </w:rPr>
            </w:pPr>
            <w:r>
              <w:rPr>
                <w:rFonts w:eastAsia="SimSun"/>
                <w:b/>
                <w:bCs/>
                <w:color w:val="000000"/>
                <w:sz w:val="22"/>
                <w:szCs w:val="22"/>
                <w:lang w:eastAsia="zh-CN"/>
              </w:rPr>
              <w:t>χ</w:t>
            </w:r>
            <w:r w:rsidRPr="001934F8">
              <w:rPr>
                <w:rFonts w:eastAsia="SimSun" w:hint="eastAsia"/>
                <w:b/>
                <w:bCs/>
                <w:color w:val="000000"/>
                <w:sz w:val="22"/>
                <w:szCs w:val="22"/>
                <w:vertAlign w:val="superscript"/>
                <w:lang w:eastAsia="zh-CN"/>
              </w:rPr>
              <w:t>2</w:t>
            </w:r>
            <w:r w:rsidRPr="001934F8">
              <w:rPr>
                <w:rFonts w:eastAsia="SimSun" w:hint="eastAsia"/>
                <w:b/>
                <w:bCs/>
                <w:color w:val="000000"/>
                <w:sz w:val="22"/>
                <w:szCs w:val="22"/>
                <w:lang w:eastAsia="zh-CN"/>
              </w:rPr>
              <w:t>(df)</w:t>
            </w:r>
          </w:p>
        </w:tc>
        <w:tc>
          <w:tcPr>
            <w:tcW w:w="241" w:type="pct"/>
            <w:tcBorders>
              <w:top w:val="single" w:sz="8" w:space="0" w:color="000000"/>
              <w:left w:val="single" w:sz="8" w:space="0" w:color="000000"/>
              <w:bottom w:val="single" w:sz="8" w:space="0" w:color="000000"/>
              <w:right w:val="single" w:sz="8" w:space="0" w:color="000000"/>
            </w:tcBorders>
            <w:shd w:val="clear" w:color="auto" w:fill="auto"/>
            <w:hideMark/>
          </w:tcPr>
          <w:p w14:paraId="635AA713" w14:textId="77777777" w:rsidR="0032288F" w:rsidRPr="0032288F" w:rsidRDefault="0032288F" w:rsidP="0032288F">
            <w:pPr>
              <w:spacing w:line="240" w:lineRule="auto"/>
              <w:rPr>
                <w:rFonts w:eastAsia="SimSun"/>
                <w:b/>
                <w:bCs/>
                <w:color w:val="000000"/>
                <w:sz w:val="22"/>
                <w:szCs w:val="22"/>
                <w:lang w:eastAsia="zh-CN"/>
              </w:rPr>
            </w:pPr>
            <w:r w:rsidRPr="0032288F">
              <w:rPr>
                <w:rFonts w:eastAsia="SimSun"/>
                <w:b/>
                <w:bCs/>
                <w:color w:val="000000"/>
                <w:sz w:val="22"/>
                <w:szCs w:val="22"/>
                <w:lang w:eastAsia="zh-CN"/>
              </w:rPr>
              <w:t>RMSEA</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27C87C17" w14:textId="77777777" w:rsidR="0032288F" w:rsidRPr="0032288F" w:rsidRDefault="0032288F" w:rsidP="0032288F">
            <w:pPr>
              <w:spacing w:line="240" w:lineRule="auto"/>
              <w:rPr>
                <w:rFonts w:eastAsia="SimSun"/>
                <w:b/>
                <w:bCs/>
                <w:color w:val="000000"/>
                <w:sz w:val="22"/>
                <w:szCs w:val="22"/>
                <w:lang w:eastAsia="zh-CN"/>
              </w:rPr>
            </w:pPr>
            <w:r w:rsidRPr="0032288F">
              <w:rPr>
                <w:rFonts w:eastAsia="SimSun"/>
                <w:b/>
                <w:bCs/>
                <w:color w:val="000000"/>
                <w:sz w:val="22"/>
                <w:szCs w:val="22"/>
                <w:lang w:eastAsia="zh-CN"/>
              </w:rPr>
              <w:t>CFI</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514D3F51" w14:textId="77777777" w:rsidR="0032288F" w:rsidRPr="0032288F" w:rsidRDefault="0032288F" w:rsidP="0032288F">
            <w:pPr>
              <w:spacing w:line="240" w:lineRule="auto"/>
              <w:rPr>
                <w:rFonts w:eastAsia="SimSun"/>
                <w:b/>
                <w:bCs/>
                <w:color w:val="000000"/>
                <w:sz w:val="22"/>
                <w:szCs w:val="22"/>
                <w:lang w:eastAsia="zh-CN"/>
              </w:rPr>
            </w:pPr>
            <w:r w:rsidRPr="0032288F">
              <w:rPr>
                <w:rFonts w:eastAsia="SimSun"/>
                <w:b/>
                <w:bCs/>
                <w:color w:val="000000"/>
                <w:sz w:val="22"/>
                <w:szCs w:val="22"/>
                <w:lang w:eastAsia="zh-CN"/>
              </w:rPr>
              <w:t>TLI</w:t>
            </w:r>
          </w:p>
        </w:tc>
        <w:tc>
          <w:tcPr>
            <w:tcW w:w="206" w:type="pct"/>
            <w:tcBorders>
              <w:top w:val="single" w:sz="8" w:space="0" w:color="000000"/>
              <w:left w:val="single" w:sz="8" w:space="0" w:color="000000"/>
              <w:bottom w:val="single" w:sz="8" w:space="0" w:color="000000"/>
              <w:right w:val="single" w:sz="4" w:space="0" w:color="auto"/>
            </w:tcBorders>
            <w:shd w:val="clear" w:color="auto" w:fill="auto"/>
            <w:hideMark/>
          </w:tcPr>
          <w:p w14:paraId="1B82F2C6" w14:textId="77777777" w:rsidR="0032288F" w:rsidRPr="0032288F" w:rsidRDefault="0032288F" w:rsidP="0032288F">
            <w:pPr>
              <w:spacing w:line="240" w:lineRule="auto"/>
              <w:rPr>
                <w:rFonts w:eastAsia="SimSun"/>
                <w:b/>
                <w:bCs/>
                <w:color w:val="000000"/>
                <w:sz w:val="22"/>
                <w:szCs w:val="22"/>
                <w:lang w:eastAsia="zh-CN"/>
              </w:rPr>
            </w:pPr>
            <w:r w:rsidRPr="0032288F">
              <w:rPr>
                <w:rFonts w:eastAsia="SimSun"/>
                <w:b/>
                <w:bCs/>
                <w:color w:val="000000"/>
                <w:sz w:val="22"/>
                <w:szCs w:val="22"/>
                <w:lang w:eastAsia="zh-CN"/>
              </w:rPr>
              <w:t>SRMR</w:t>
            </w:r>
          </w:p>
        </w:tc>
      </w:tr>
      <w:tr w:rsidR="00CA39F3" w:rsidRPr="00CA39F3" w14:paraId="23C2B97E" w14:textId="77777777" w:rsidTr="00E04B4E">
        <w:trPr>
          <w:trHeight w:val="292"/>
        </w:trPr>
        <w:tc>
          <w:tcPr>
            <w:tcW w:w="404" w:type="pct"/>
            <w:vMerge w:val="restart"/>
            <w:tcBorders>
              <w:top w:val="single" w:sz="8" w:space="0" w:color="000000"/>
              <w:left w:val="single" w:sz="4" w:space="0" w:color="000000"/>
              <w:bottom w:val="single" w:sz="8" w:space="0" w:color="000000"/>
              <w:right w:val="single" w:sz="8" w:space="0" w:color="000000"/>
            </w:tcBorders>
            <w:shd w:val="clear" w:color="auto" w:fill="auto"/>
            <w:hideMark/>
          </w:tcPr>
          <w:p w14:paraId="1BD50143" w14:textId="77777777" w:rsidR="0032288F" w:rsidRPr="0032288F" w:rsidRDefault="0032288F" w:rsidP="0032288F">
            <w:pPr>
              <w:spacing w:line="240" w:lineRule="auto"/>
              <w:rPr>
                <w:rFonts w:eastAsia="SimSun"/>
                <w:color w:val="000000"/>
                <w:sz w:val="22"/>
                <w:szCs w:val="22"/>
                <w:lang w:eastAsia="zh-CN"/>
              </w:rPr>
            </w:pPr>
            <w:bookmarkStart w:id="1" w:name="_Hlk197280964"/>
            <w:r w:rsidRPr="0032288F">
              <w:rPr>
                <w:rFonts w:eastAsia="SimSun"/>
                <w:color w:val="000000"/>
                <w:sz w:val="22"/>
                <w:szCs w:val="22"/>
                <w:lang w:eastAsia="zh-CN"/>
              </w:rPr>
              <w:t xml:space="preserve">Prospective mindset </w:t>
            </w:r>
            <w:bookmarkEnd w:id="1"/>
          </w:p>
        </w:tc>
        <w:tc>
          <w:tcPr>
            <w:tcW w:w="373"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559E1F03"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Imagining Future Outcomes and Adaptive Planning  </w:t>
            </w:r>
          </w:p>
        </w:tc>
        <w:tc>
          <w:tcPr>
            <w:tcW w:w="1589" w:type="pct"/>
            <w:tcBorders>
              <w:top w:val="single" w:sz="8" w:space="0" w:color="000000"/>
              <w:left w:val="single" w:sz="8" w:space="0" w:color="000000"/>
              <w:bottom w:val="nil"/>
              <w:right w:val="single" w:sz="8" w:space="0" w:color="000000"/>
            </w:tcBorders>
            <w:shd w:val="clear" w:color="auto" w:fill="auto"/>
            <w:hideMark/>
          </w:tcPr>
          <w:p w14:paraId="2E188E5B"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To what extent do you agree with the following statements: </w:t>
            </w:r>
          </w:p>
        </w:tc>
        <w:tc>
          <w:tcPr>
            <w:tcW w:w="565" w:type="pct"/>
            <w:tcBorders>
              <w:top w:val="single" w:sz="8" w:space="0" w:color="000000"/>
              <w:left w:val="single" w:sz="8" w:space="0" w:color="000000"/>
              <w:bottom w:val="nil"/>
              <w:right w:val="nil"/>
            </w:tcBorders>
            <w:shd w:val="clear" w:color="auto" w:fill="auto"/>
            <w:hideMark/>
          </w:tcPr>
          <w:p w14:paraId="7F1A11D8"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Strongly Disagree  </w:t>
            </w:r>
          </w:p>
        </w:tc>
        <w:tc>
          <w:tcPr>
            <w:tcW w:w="215" w:type="pct"/>
            <w:tcBorders>
              <w:top w:val="single" w:sz="8" w:space="0" w:color="000000"/>
              <w:left w:val="single" w:sz="8" w:space="0" w:color="000000"/>
              <w:bottom w:val="single" w:sz="8" w:space="0" w:color="000000"/>
              <w:right w:val="single" w:sz="8" w:space="0" w:color="000000"/>
            </w:tcBorders>
            <w:shd w:val="clear" w:color="auto" w:fill="auto"/>
            <w:hideMark/>
          </w:tcPr>
          <w:p w14:paraId="262B950A"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1.a</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710166FD"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112014.378</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5DD8E741"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113023.35</w:t>
            </w:r>
          </w:p>
        </w:tc>
        <w:tc>
          <w:tcPr>
            <w:tcW w:w="253" w:type="pct"/>
            <w:tcBorders>
              <w:top w:val="single" w:sz="8" w:space="0" w:color="000000"/>
              <w:left w:val="single" w:sz="8" w:space="0" w:color="000000"/>
              <w:bottom w:val="single" w:sz="8" w:space="0" w:color="000000"/>
              <w:right w:val="single" w:sz="8" w:space="0" w:color="000000"/>
            </w:tcBorders>
            <w:shd w:val="clear" w:color="auto" w:fill="auto"/>
            <w:hideMark/>
          </w:tcPr>
          <w:p w14:paraId="652C7F74" w14:textId="65F4D116"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444.209</w:t>
            </w:r>
            <w:r w:rsidR="00E04B4E">
              <w:rPr>
                <w:rFonts w:eastAsia="SimSun" w:hint="eastAsia"/>
                <w:color w:val="000000"/>
                <w:sz w:val="22"/>
                <w:szCs w:val="22"/>
                <w:lang w:eastAsia="zh-CN"/>
              </w:rPr>
              <w:t>*</w:t>
            </w:r>
          </w:p>
        </w:tc>
        <w:tc>
          <w:tcPr>
            <w:tcW w:w="213" w:type="pct"/>
            <w:tcBorders>
              <w:top w:val="single" w:sz="8" w:space="0" w:color="000000"/>
              <w:left w:val="single" w:sz="8" w:space="0" w:color="000000"/>
              <w:bottom w:val="single" w:sz="8" w:space="0" w:color="000000"/>
              <w:right w:val="single" w:sz="8" w:space="0" w:color="000000"/>
            </w:tcBorders>
            <w:shd w:val="clear" w:color="auto" w:fill="auto"/>
            <w:hideMark/>
          </w:tcPr>
          <w:p w14:paraId="772272FC"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98</w:t>
            </w:r>
          </w:p>
        </w:tc>
        <w:tc>
          <w:tcPr>
            <w:tcW w:w="241" w:type="pct"/>
            <w:tcBorders>
              <w:top w:val="single" w:sz="8" w:space="0" w:color="000000"/>
              <w:left w:val="single" w:sz="8" w:space="0" w:color="000000"/>
              <w:bottom w:val="single" w:sz="8" w:space="0" w:color="000000"/>
              <w:right w:val="single" w:sz="8" w:space="0" w:color="000000"/>
            </w:tcBorders>
            <w:shd w:val="clear" w:color="auto" w:fill="auto"/>
            <w:hideMark/>
          </w:tcPr>
          <w:p w14:paraId="7FA21252"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0.059</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07A5DFD5"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0.956</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0188B497"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0.933</w:t>
            </w:r>
          </w:p>
        </w:tc>
        <w:tc>
          <w:tcPr>
            <w:tcW w:w="206" w:type="pct"/>
            <w:tcBorders>
              <w:top w:val="single" w:sz="8" w:space="0" w:color="000000"/>
              <w:left w:val="single" w:sz="8" w:space="0" w:color="000000"/>
              <w:bottom w:val="single" w:sz="8" w:space="0" w:color="000000"/>
              <w:right w:val="single" w:sz="4" w:space="0" w:color="auto"/>
            </w:tcBorders>
            <w:shd w:val="clear" w:color="auto" w:fill="auto"/>
            <w:hideMark/>
          </w:tcPr>
          <w:p w14:paraId="7484BFE5"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0.033</w:t>
            </w:r>
          </w:p>
        </w:tc>
      </w:tr>
      <w:tr w:rsidR="00CA39F3" w:rsidRPr="00CA39F3" w14:paraId="5DF741CD"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0052DB30"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05AF6DB3"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3610146B"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Q1: I contemplate my ideal outcomes for the future. </w:t>
            </w:r>
          </w:p>
        </w:tc>
        <w:tc>
          <w:tcPr>
            <w:tcW w:w="565" w:type="pct"/>
            <w:tcBorders>
              <w:top w:val="nil"/>
              <w:left w:val="single" w:sz="8" w:space="0" w:color="000000"/>
              <w:bottom w:val="nil"/>
              <w:right w:val="nil"/>
            </w:tcBorders>
            <w:shd w:val="clear" w:color="auto" w:fill="auto"/>
            <w:hideMark/>
          </w:tcPr>
          <w:p w14:paraId="21EC0B0D"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Disagree </w:t>
            </w:r>
          </w:p>
        </w:tc>
        <w:tc>
          <w:tcPr>
            <w:tcW w:w="215" w:type="pct"/>
            <w:tcBorders>
              <w:top w:val="single" w:sz="8" w:space="0" w:color="000000"/>
              <w:left w:val="single" w:sz="8" w:space="0" w:color="000000"/>
              <w:bottom w:val="single" w:sz="8" w:space="0" w:color="000000"/>
              <w:right w:val="single" w:sz="8" w:space="0" w:color="000000"/>
            </w:tcBorders>
            <w:shd w:val="clear" w:color="auto" w:fill="auto"/>
            <w:hideMark/>
          </w:tcPr>
          <w:p w14:paraId="7770AB90"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1.b</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3872BC35"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112033.251</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24AB11B3"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112795.128</w:t>
            </w:r>
          </w:p>
        </w:tc>
        <w:tc>
          <w:tcPr>
            <w:tcW w:w="253" w:type="pct"/>
            <w:tcBorders>
              <w:top w:val="single" w:sz="8" w:space="0" w:color="000000"/>
              <w:left w:val="single" w:sz="8" w:space="0" w:color="000000"/>
              <w:bottom w:val="single" w:sz="8" w:space="0" w:color="000000"/>
              <w:right w:val="single" w:sz="8" w:space="0" w:color="000000"/>
            </w:tcBorders>
            <w:shd w:val="clear" w:color="auto" w:fill="auto"/>
            <w:hideMark/>
          </w:tcPr>
          <w:p w14:paraId="51D2CEB4" w14:textId="3428BC81"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528.345</w:t>
            </w:r>
            <w:r w:rsidR="00E04B4E">
              <w:rPr>
                <w:rFonts w:eastAsia="SimSun" w:hint="eastAsia"/>
                <w:color w:val="000000"/>
                <w:sz w:val="22"/>
                <w:szCs w:val="22"/>
                <w:lang w:eastAsia="zh-CN"/>
              </w:rPr>
              <w:t>*</w:t>
            </w:r>
          </w:p>
        </w:tc>
        <w:tc>
          <w:tcPr>
            <w:tcW w:w="213" w:type="pct"/>
            <w:tcBorders>
              <w:top w:val="single" w:sz="8" w:space="0" w:color="000000"/>
              <w:left w:val="single" w:sz="8" w:space="0" w:color="000000"/>
              <w:bottom w:val="single" w:sz="8" w:space="0" w:color="000000"/>
              <w:right w:val="single" w:sz="8" w:space="0" w:color="000000"/>
            </w:tcBorders>
            <w:shd w:val="clear" w:color="auto" w:fill="auto"/>
            <w:hideMark/>
          </w:tcPr>
          <w:p w14:paraId="1F509E98"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134</w:t>
            </w:r>
          </w:p>
        </w:tc>
        <w:tc>
          <w:tcPr>
            <w:tcW w:w="241" w:type="pct"/>
            <w:tcBorders>
              <w:top w:val="single" w:sz="8" w:space="0" w:color="000000"/>
              <w:left w:val="single" w:sz="8" w:space="0" w:color="000000"/>
              <w:bottom w:val="single" w:sz="8" w:space="0" w:color="000000"/>
              <w:right w:val="single" w:sz="8" w:space="0" w:color="000000"/>
            </w:tcBorders>
            <w:shd w:val="clear" w:color="auto" w:fill="auto"/>
            <w:hideMark/>
          </w:tcPr>
          <w:p w14:paraId="72E0E078"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0.054</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38103EBA"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0.949</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62432508"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0.944</w:t>
            </w:r>
          </w:p>
        </w:tc>
        <w:tc>
          <w:tcPr>
            <w:tcW w:w="206" w:type="pct"/>
            <w:tcBorders>
              <w:top w:val="single" w:sz="8" w:space="0" w:color="000000"/>
              <w:left w:val="single" w:sz="8" w:space="0" w:color="000000"/>
              <w:bottom w:val="single" w:sz="8" w:space="0" w:color="000000"/>
              <w:right w:val="single" w:sz="4" w:space="0" w:color="auto"/>
            </w:tcBorders>
            <w:shd w:val="clear" w:color="auto" w:fill="auto"/>
            <w:hideMark/>
          </w:tcPr>
          <w:p w14:paraId="44F09E57"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0.054</w:t>
            </w:r>
          </w:p>
        </w:tc>
      </w:tr>
      <w:tr w:rsidR="00CA39F3" w:rsidRPr="00CA39F3" w14:paraId="2EA5AD84"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71A43946"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44363089"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6DF0C638"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Q2: I consider alternative paths toward a goal and choose the best one. </w:t>
            </w:r>
          </w:p>
        </w:tc>
        <w:tc>
          <w:tcPr>
            <w:tcW w:w="565" w:type="pct"/>
            <w:tcBorders>
              <w:top w:val="nil"/>
              <w:left w:val="single" w:sz="8" w:space="0" w:color="000000"/>
              <w:bottom w:val="nil"/>
              <w:right w:val="nil"/>
            </w:tcBorders>
            <w:shd w:val="clear" w:color="auto" w:fill="auto"/>
            <w:hideMark/>
          </w:tcPr>
          <w:p w14:paraId="48F13300"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Neither agree nor disagree </w:t>
            </w:r>
          </w:p>
        </w:tc>
        <w:tc>
          <w:tcPr>
            <w:tcW w:w="215" w:type="pct"/>
            <w:tcBorders>
              <w:top w:val="single" w:sz="8" w:space="0" w:color="000000"/>
              <w:left w:val="single" w:sz="8" w:space="0" w:color="000000"/>
              <w:bottom w:val="single" w:sz="8" w:space="0" w:color="000000"/>
              <w:right w:val="single" w:sz="8" w:space="0" w:color="000000"/>
            </w:tcBorders>
            <w:shd w:val="clear" w:color="auto" w:fill="auto"/>
            <w:hideMark/>
          </w:tcPr>
          <w:p w14:paraId="683E6D20"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1.c</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3DED5491"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112151.275</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54D226C0"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112720.967</w:t>
            </w:r>
          </w:p>
        </w:tc>
        <w:tc>
          <w:tcPr>
            <w:tcW w:w="253" w:type="pct"/>
            <w:tcBorders>
              <w:top w:val="single" w:sz="8" w:space="0" w:color="000000"/>
              <w:left w:val="single" w:sz="8" w:space="0" w:color="000000"/>
              <w:bottom w:val="single" w:sz="8" w:space="0" w:color="000000"/>
              <w:right w:val="single" w:sz="8" w:space="0" w:color="000000"/>
            </w:tcBorders>
            <w:shd w:val="clear" w:color="auto" w:fill="auto"/>
            <w:hideMark/>
          </w:tcPr>
          <w:p w14:paraId="1D25790E" w14:textId="7F522284"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686.781</w:t>
            </w:r>
            <w:r w:rsidR="00E04B4E" w:rsidRPr="00E04B4E">
              <w:rPr>
                <w:rFonts w:eastAsia="SimSun" w:hint="eastAsia"/>
                <w:color w:val="000000"/>
                <w:sz w:val="22"/>
                <w:szCs w:val="22"/>
                <w:lang w:eastAsia="zh-CN"/>
              </w:rPr>
              <w:t>*</w:t>
            </w:r>
          </w:p>
        </w:tc>
        <w:tc>
          <w:tcPr>
            <w:tcW w:w="213" w:type="pct"/>
            <w:tcBorders>
              <w:top w:val="single" w:sz="8" w:space="0" w:color="000000"/>
              <w:left w:val="single" w:sz="8" w:space="0" w:color="000000"/>
              <w:bottom w:val="single" w:sz="8" w:space="0" w:color="000000"/>
              <w:right w:val="single" w:sz="8" w:space="0" w:color="000000"/>
            </w:tcBorders>
            <w:shd w:val="clear" w:color="auto" w:fill="auto"/>
            <w:hideMark/>
          </w:tcPr>
          <w:p w14:paraId="41A1D7BE"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162</w:t>
            </w:r>
          </w:p>
        </w:tc>
        <w:tc>
          <w:tcPr>
            <w:tcW w:w="241" w:type="pct"/>
            <w:tcBorders>
              <w:top w:val="single" w:sz="8" w:space="0" w:color="000000"/>
              <w:left w:val="single" w:sz="8" w:space="0" w:color="000000"/>
              <w:bottom w:val="single" w:sz="8" w:space="0" w:color="000000"/>
              <w:right w:val="single" w:sz="8" w:space="0" w:color="000000"/>
            </w:tcBorders>
            <w:shd w:val="clear" w:color="auto" w:fill="auto"/>
            <w:hideMark/>
          </w:tcPr>
          <w:p w14:paraId="78DE5CB3"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0.056</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05974694"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0.934</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177B3F82"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0.939</w:t>
            </w:r>
          </w:p>
        </w:tc>
        <w:tc>
          <w:tcPr>
            <w:tcW w:w="206" w:type="pct"/>
            <w:tcBorders>
              <w:top w:val="single" w:sz="8" w:space="0" w:color="000000"/>
              <w:left w:val="single" w:sz="8" w:space="0" w:color="000000"/>
              <w:bottom w:val="single" w:sz="8" w:space="0" w:color="000000"/>
              <w:right w:val="single" w:sz="4" w:space="0" w:color="auto"/>
            </w:tcBorders>
            <w:shd w:val="clear" w:color="auto" w:fill="auto"/>
            <w:hideMark/>
          </w:tcPr>
          <w:p w14:paraId="6E402A5A"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0.067</w:t>
            </w:r>
          </w:p>
        </w:tc>
      </w:tr>
      <w:tr w:rsidR="00CA39F3" w:rsidRPr="00CA39F3" w14:paraId="1833ABC8"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24FE6D4F"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4FB426B2"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4D3D60F1"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Q3: I make plans that specify different courses of action depending on how things progress. </w:t>
            </w:r>
          </w:p>
        </w:tc>
        <w:tc>
          <w:tcPr>
            <w:tcW w:w="565" w:type="pct"/>
            <w:tcBorders>
              <w:top w:val="nil"/>
              <w:left w:val="single" w:sz="8" w:space="0" w:color="000000"/>
              <w:bottom w:val="nil"/>
              <w:right w:val="nil"/>
            </w:tcBorders>
            <w:shd w:val="clear" w:color="auto" w:fill="auto"/>
            <w:hideMark/>
          </w:tcPr>
          <w:p w14:paraId="46BCD511"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Agree  </w:t>
            </w:r>
          </w:p>
        </w:tc>
        <w:tc>
          <w:tcPr>
            <w:tcW w:w="2070" w:type="pct"/>
            <w:gridSpan w:val="9"/>
            <w:vMerge w:val="restart"/>
            <w:tcBorders>
              <w:top w:val="single" w:sz="8" w:space="0" w:color="000000"/>
              <w:left w:val="single" w:sz="8" w:space="0" w:color="000000"/>
              <w:bottom w:val="single" w:sz="8" w:space="0" w:color="000000"/>
              <w:right w:val="single" w:sz="4" w:space="0" w:color="auto"/>
            </w:tcBorders>
            <w:shd w:val="clear" w:color="auto" w:fill="auto"/>
            <w:hideMark/>
          </w:tcPr>
          <w:p w14:paraId="5546CD02" w14:textId="2552E93D"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*In the 1.c model, this study freed a subset of item intercepts in UK (Q6); Finland (Q1, Q2, Q6,</w:t>
            </w:r>
            <w:r w:rsidR="00CA39F3">
              <w:rPr>
                <w:rFonts w:eastAsia="SimSun"/>
                <w:color w:val="000000"/>
                <w:sz w:val="22"/>
                <w:szCs w:val="22"/>
                <w:lang w:eastAsia="zh-CN"/>
              </w:rPr>
              <w:t xml:space="preserve"> </w:t>
            </w:r>
            <w:r w:rsidRPr="0032288F">
              <w:rPr>
                <w:rFonts w:eastAsia="SimSun"/>
                <w:color w:val="000000"/>
                <w:sz w:val="22"/>
                <w:szCs w:val="22"/>
                <w:lang w:eastAsia="zh-CN"/>
              </w:rPr>
              <w:t>Q7); Italy (Q4, Q6,</w:t>
            </w:r>
            <w:r w:rsidR="00CA39F3">
              <w:rPr>
                <w:rFonts w:eastAsia="SimSun"/>
                <w:color w:val="000000"/>
                <w:sz w:val="22"/>
                <w:szCs w:val="22"/>
                <w:lang w:eastAsia="zh-CN"/>
              </w:rPr>
              <w:t xml:space="preserve"> </w:t>
            </w:r>
            <w:r w:rsidRPr="0032288F">
              <w:rPr>
                <w:rFonts w:eastAsia="SimSun"/>
                <w:color w:val="000000"/>
                <w:sz w:val="22"/>
                <w:szCs w:val="22"/>
                <w:lang w:eastAsia="zh-CN"/>
              </w:rPr>
              <w:t>Q5); Spain (Q4, Q2,</w:t>
            </w:r>
            <w:r w:rsidR="00CA39F3">
              <w:rPr>
                <w:rFonts w:eastAsia="SimSun"/>
                <w:color w:val="000000"/>
                <w:sz w:val="22"/>
                <w:szCs w:val="22"/>
                <w:lang w:eastAsia="zh-CN"/>
              </w:rPr>
              <w:t xml:space="preserve"> </w:t>
            </w:r>
            <w:r w:rsidRPr="0032288F">
              <w:rPr>
                <w:rFonts w:eastAsia="SimSun"/>
                <w:color w:val="000000"/>
                <w:sz w:val="22"/>
                <w:szCs w:val="22"/>
                <w:lang w:eastAsia="zh-CN"/>
              </w:rPr>
              <w:t>Q1);</w:t>
            </w:r>
            <w:r w:rsidR="00CA39F3">
              <w:rPr>
                <w:rFonts w:eastAsia="SimSun"/>
                <w:color w:val="000000"/>
                <w:sz w:val="22"/>
                <w:szCs w:val="22"/>
                <w:lang w:eastAsia="zh-CN"/>
              </w:rPr>
              <w:t xml:space="preserve"> </w:t>
            </w:r>
            <w:r w:rsidRPr="0032288F">
              <w:rPr>
                <w:rFonts w:eastAsia="SimSun"/>
                <w:color w:val="000000"/>
                <w:sz w:val="22"/>
                <w:szCs w:val="22"/>
                <w:lang w:eastAsia="zh-CN"/>
              </w:rPr>
              <w:t>Netherlands (Q6,</w:t>
            </w:r>
            <w:r w:rsidR="00CA39F3">
              <w:rPr>
                <w:rFonts w:eastAsia="SimSun"/>
                <w:color w:val="000000"/>
                <w:sz w:val="22"/>
                <w:szCs w:val="22"/>
                <w:lang w:eastAsia="zh-CN"/>
              </w:rPr>
              <w:t xml:space="preserve"> </w:t>
            </w:r>
            <w:r w:rsidRPr="0032288F">
              <w:rPr>
                <w:rFonts w:eastAsia="SimSun"/>
                <w:color w:val="000000"/>
                <w:sz w:val="22"/>
                <w:szCs w:val="22"/>
                <w:lang w:eastAsia="zh-CN"/>
              </w:rPr>
              <w:t>Q2);</w:t>
            </w:r>
            <w:r w:rsidR="00CA39F3">
              <w:rPr>
                <w:rFonts w:eastAsia="SimSun"/>
                <w:color w:val="000000"/>
                <w:sz w:val="22"/>
                <w:szCs w:val="22"/>
                <w:lang w:eastAsia="zh-CN"/>
              </w:rPr>
              <w:t xml:space="preserve"> </w:t>
            </w:r>
            <w:r w:rsidRPr="0032288F">
              <w:rPr>
                <w:rFonts w:eastAsia="SimSun"/>
                <w:color w:val="000000"/>
                <w:sz w:val="22"/>
                <w:szCs w:val="22"/>
                <w:lang w:eastAsia="zh-CN"/>
              </w:rPr>
              <w:t>Switzerland (Q6).</w:t>
            </w:r>
          </w:p>
        </w:tc>
      </w:tr>
      <w:tr w:rsidR="00CA39F3" w:rsidRPr="00CA39F3" w14:paraId="4B0EC695"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1151DA45"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0C2F4EE7"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0DF2B27D"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Q4: I envision the outcomes I want most. </w:t>
            </w:r>
          </w:p>
        </w:tc>
        <w:tc>
          <w:tcPr>
            <w:tcW w:w="565" w:type="pct"/>
            <w:tcBorders>
              <w:top w:val="nil"/>
              <w:left w:val="single" w:sz="8" w:space="0" w:color="000000"/>
              <w:bottom w:val="nil"/>
              <w:right w:val="nil"/>
            </w:tcBorders>
            <w:shd w:val="clear" w:color="auto" w:fill="auto"/>
            <w:hideMark/>
          </w:tcPr>
          <w:p w14:paraId="32B60C39"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Strongly Agree </w:t>
            </w:r>
          </w:p>
        </w:tc>
        <w:tc>
          <w:tcPr>
            <w:tcW w:w="2070" w:type="pct"/>
            <w:gridSpan w:val="9"/>
            <w:vMerge/>
            <w:tcBorders>
              <w:top w:val="nil"/>
              <w:left w:val="single" w:sz="8" w:space="0" w:color="000000"/>
              <w:bottom w:val="nil"/>
              <w:right w:val="single" w:sz="4" w:space="0" w:color="auto"/>
            </w:tcBorders>
            <w:vAlign w:val="center"/>
            <w:hideMark/>
          </w:tcPr>
          <w:p w14:paraId="0CFFC3FF" w14:textId="77777777" w:rsidR="0032288F" w:rsidRPr="0032288F" w:rsidRDefault="0032288F" w:rsidP="0032288F">
            <w:pPr>
              <w:spacing w:line="240" w:lineRule="auto"/>
              <w:rPr>
                <w:rFonts w:eastAsia="SimSun"/>
                <w:color w:val="000000"/>
                <w:sz w:val="22"/>
                <w:szCs w:val="22"/>
                <w:lang w:eastAsia="zh-CN"/>
              </w:rPr>
            </w:pPr>
          </w:p>
        </w:tc>
      </w:tr>
      <w:tr w:rsidR="00CA39F3" w:rsidRPr="00CA39F3" w14:paraId="06273F5B"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10E51DC5"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40B3C7A9"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4BFF87F8"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Q5: I consider obstacles I might encounter on the way to my goal and plan how I will deal with them. </w:t>
            </w:r>
          </w:p>
        </w:tc>
        <w:tc>
          <w:tcPr>
            <w:tcW w:w="565" w:type="pct"/>
            <w:tcBorders>
              <w:top w:val="nil"/>
              <w:left w:val="single" w:sz="8" w:space="0" w:color="000000"/>
              <w:bottom w:val="nil"/>
              <w:right w:val="nil"/>
            </w:tcBorders>
            <w:shd w:val="clear" w:color="auto" w:fill="auto"/>
            <w:hideMark/>
          </w:tcPr>
          <w:p w14:paraId="25100C50" w14:textId="77777777" w:rsidR="0032288F" w:rsidRPr="0032288F" w:rsidRDefault="0032288F" w:rsidP="00CA39F3">
            <w:pPr>
              <w:spacing w:line="240" w:lineRule="auto"/>
              <w:rPr>
                <w:rFonts w:eastAsia="SimSun"/>
                <w:color w:val="000000"/>
                <w:sz w:val="22"/>
                <w:szCs w:val="22"/>
                <w:lang w:eastAsia="zh-CN"/>
              </w:rPr>
            </w:pPr>
          </w:p>
        </w:tc>
        <w:tc>
          <w:tcPr>
            <w:tcW w:w="2070" w:type="pct"/>
            <w:gridSpan w:val="9"/>
            <w:vMerge/>
            <w:tcBorders>
              <w:top w:val="nil"/>
              <w:left w:val="single" w:sz="8" w:space="0" w:color="000000"/>
              <w:bottom w:val="nil"/>
              <w:right w:val="single" w:sz="4" w:space="0" w:color="auto"/>
            </w:tcBorders>
            <w:vAlign w:val="center"/>
            <w:hideMark/>
          </w:tcPr>
          <w:p w14:paraId="73B51D05" w14:textId="77777777" w:rsidR="0032288F" w:rsidRPr="0032288F" w:rsidRDefault="0032288F" w:rsidP="0032288F">
            <w:pPr>
              <w:spacing w:line="240" w:lineRule="auto"/>
              <w:rPr>
                <w:rFonts w:eastAsia="SimSun"/>
                <w:color w:val="000000"/>
                <w:sz w:val="22"/>
                <w:szCs w:val="22"/>
                <w:lang w:eastAsia="zh-CN"/>
              </w:rPr>
            </w:pPr>
          </w:p>
        </w:tc>
      </w:tr>
      <w:tr w:rsidR="00CA39F3" w:rsidRPr="00CA39F3" w14:paraId="27EDEBA0"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2AB64753"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2DDAF6A6"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4434FA53"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Q6: I identify the outcome I am hoping for among the possible future outcomes. </w:t>
            </w:r>
          </w:p>
        </w:tc>
        <w:tc>
          <w:tcPr>
            <w:tcW w:w="565" w:type="pct"/>
            <w:tcBorders>
              <w:top w:val="nil"/>
              <w:left w:val="single" w:sz="8" w:space="0" w:color="000000"/>
              <w:bottom w:val="nil"/>
              <w:right w:val="nil"/>
            </w:tcBorders>
            <w:shd w:val="clear" w:color="auto" w:fill="auto"/>
            <w:hideMark/>
          </w:tcPr>
          <w:p w14:paraId="3F740896" w14:textId="77777777" w:rsidR="0032288F" w:rsidRPr="0032288F" w:rsidRDefault="0032288F" w:rsidP="00CA39F3">
            <w:pPr>
              <w:spacing w:line="240" w:lineRule="auto"/>
              <w:rPr>
                <w:rFonts w:eastAsia="SimSun"/>
                <w:color w:val="000000"/>
                <w:sz w:val="22"/>
                <w:szCs w:val="22"/>
                <w:lang w:eastAsia="zh-CN"/>
              </w:rPr>
            </w:pPr>
          </w:p>
        </w:tc>
        <w:tc>
          <w:tcPr>
            <w:tcW w:w="2070" w:type="pct"/>
            <w:gridSpan w:val="9"/>
            <w:vMerge/>
            <w:tcBorders>
              <w:top w:val="nil"/>
              <w:left w:val="single" w:sz="8" w:space="0" w:color="000000"/>
              <w:bottom w:val="nil"/>
              <w:right w:val="single" w:sz="4" w:space="0" w:color="auto"/>
            </w:tcBorders>
            <w:vAlign w:val="center"/>
            <w:hideMark/>
          </w:tcPr>
          <w:p w14:paraId="617A3270" w14:textId="77777777" w:rsidR="0032288F" w:rsidRPr="0032288F" w:rsidRDefault="0032288F" w:rsidP="0032288F">
            <w:pPr>
              <w:spacing w:line="240" w:lineRule="auto"/>
              <w:rPr>
                <w:rFonts w:eastAsia="SimSun"/>
                <w:color w:val="000000"/>
                <w:sz w:val="22"/>
                <w:szCs w:val="22"/>
                <w:lang w:eastAsia="zh-CN"/>
              </w:rPr>
            </w:pPr>
          </w:p>
        </w:tc>
      </w:tr>
      <w:tr w:rsidR="00CA39F3" w:rsidRPr="00CA39F3" w14:paraId="25003188"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6D75130B"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3F68767F"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single" w:sz="8" w:space="0" w:color="000000"/>
              <w:right w:val="single" w:sz="8" w:space="0" w:color="000000"/>
            </w:tcBorders>
            <w:shd w:val="clear" w:color="auto" w:fill="auto"/>
            <w:hideMark/>
          </w:tcPr>
          <w:p w14:paraId="2596B663"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Q7: I imagine how I will feel after reaching my goal. </w:t>
            </w:r>
          </w:p>
        </w:tc>
        <w:tc>
          <w:tcPr>
            <w:tcW w:w="565" w:type="pct"/>
            <w:tcBorders>
              <w:top w:val="nil"/>
              <w:left w:val="single" w:sz="8" w:space="0" w:color="000000"/>
              <w:bottom w:val="single" w:sz="8" w:space="0" w:color="000000"/>
              <w:right w:val="nil"/>
            </w:tcBorders>
            <w:shd w:val="clear" w:color="auto" w:fill="auto"/>
            <w:hideMark/>
          </w:tcPr>
          <w:p w14:paraId="21DFBC0C" w14:textId="77777777" w:rsidR="0032288F" w:rsidRPr="0032288F" w:rsidRDefault="0032288F" w:rsidP="00CA39F3">
            <w:pPr>
              <w:spacing w:line="240" w:lineRule="auto"/>
              <w:rPr>
                <w:rFonts w:eastAsia="SimSun"/>
                <w:color w:val="000000"/>
                <w:sz w:val="22"/>
                <w:szCs w:val="22"/>
                <w:lang w:eastAsia="zh-CN"/>
              </w:rPr>
            </w:pPr>
          </w:p>
        </w:tc>
        <w:tc>
          <w:tcPr>
            <w:tcW w:w="2070" w:type="pct"/>
            <w:gridSpan w:val="9"/>
            <w:vMerge/>
            <w:tcBorders>
              <w:top w:val="nil"/>
              <w:left w:val="single" w:sz="8" w:space="0" w:color="000000"/>
              <w:bottom w:val="single" w:sz="8" w:space="0" w:color="000000"/>
              <w:right w:val="single" w:sz="4" w:space="0" w:color="auto"/>
            </w:tcBorders>
            <w:vAlign w:val="center"/>
            <w:hideMark/>
          </w:tcPr>
          <w:p w14:paraId="1F3DE829" w14:textId="77777777" w:rsidR="0032288F" w:rsidRPr="0032288F" w:rsidRDefault="0032288F" w:rsidP="0032288F">
            <w:pPr>
              <w:spacing w:line="240" w:lineRule="auto"/>
              <w:rPr>
                <w:rFonts w:eastAsia="SimSun"/>
                <w:color w:val="000000"/>
                <w:sz w:val="22"/>
                <w:szCs w:val="22"/>
                <w:lang w:eastAsia="zh-CN"/>
              </w:rPr>
            </w:pPr>
          </w:p>
        </w:tc>
      </w:tr>
      <w:tr w:rsidR="00CA39F3" w:rsidRPr="00CA39F3" w14:paraId="60B6F6D3" w14:textId="77777777" w:rsidTr="00CA39F3">
        <w:trPr>
          <w:trHeight w:val="20"/>
        </w:trPr>
        <w:tc>
          <w:tcPr>
            <w:tcW w:w="404" w:type="pct"/>
            <w:vMerge w:val="restart"/>
            <w:tcBorders>
              <w:top w:val="single" w:sz="8" w:space="0" w:color="000000"/>
              <w:left w:val="single" w:sz="4" w:space="0" w:color="000000"/>
              <w:bottom w:val="single" w:sz="8" w:space="0" w:color="000000"/>
              <w:right w:val="single" w:sz="8" w:space="0" w:color="000000"/>
            </w:tcBorders>
            <w:shd w:val="clear" w:color="auto" w:fill="auto"/>
            <w:hideMark/>
          </w:tcPr>
          <w:p w14:paraId="1378F092"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Social network characteristics </w:t>
            </w:r>
          </w:p>
        </w:tc>
        <w:tc>
          <w:tcPr>
            <w:tcW w:w="373"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21B1D36D"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Network Homophily </w:t>
            </w:r>
          </w:p>
        </w:tc>
        <w:tc>
          <w:tcPr>
            <w:tcW w:w="1589" w:type="pct"/>
            <w:tcBorders>
              <w:top w:val="single" w:sz="8" w:space="0" w:color="000000"/>
              <w:left w:val="single" w:sz="8" w:space="0" w:color="000000"/>
              <w:bottom w:val="nil"/>
              <w:right w:val="single" w:sz="8" w:space="0" w:color="000000"/>
            </w:tcBorders>
            <w:shd w:val="clear" w:color="auto" w:fill="auto"/>
            <w:hideMark/>
          </w:tcPr>
          <w:p w14:paraId="3E08D3E4"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To what extent do your close friends: </w:t>
            </w:r>
          </w:p>
        </w:tc>
        <w:tc>
          <w:tcPr>
            <w:tcW w:w="565" w:type="pct"/>
            <w:tcBorders>
              <w:top w:val="single" w:sz="8" w:space="0" w:color="000000"/>
              <w:left w:val="single" w:sz="8" w:space="0" w:color="000000"/>
              <w:bottom w:val="nil"/>
              <w:right w:val="nil"/>
            </w:tcBorders>
            <w:shd w:val="clear" w:color="auto" w:fill="auto"/>
            <w:hideMark/>
          </w:tcPr>
          <w:p w14:paraId="73B59CC1"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All do </w:t>
            </w:r>
          </w:p>
        </w:tc>
        <w:tc>
          <w:tcPr>
            <w:tcW w:w="215" w:type="pct"/>
            <w:tcBorders>
              <w:top w:val="single" w:sz="8" w:space="0" w:color="000000"/>
              <w:left w:val="single" w:sz="8" w:space="0" w:color="000000"/>
              <w:bottom w:val="single" w:sz="8" w:space="0" w:color="000000"/>
              <w:right w:val="single" w:sz="8" w:space="0" w:color="000000"/>
            </w:tcBorders>
            <w:shd w:val="clear" w:color="auto" w:fill="auto"/>
            <w:hideMark/>
          </w:tcPr>
          <w:p w14:paraId="194B8A88" w14:textId="085B425D"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2.a</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020E44F9"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94109.749</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7878B575"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94686.304</w:t>
            </w:r>
          </w:p>
        </w:tc>
        <w:tc>
          <w:tcPr>
            <w:tcW w:w="253" w:type="pct"/>
            <w:tcBorders>
              <w:top w:val="single" w:sz="8" w:space="0" w:color="000000"/>
              <w:left w:val="single" w:sz="8" w:space="0" w:color="000000"/>
              <w:bottom w:val="single" w:sz="8" w:space="0" w:color="000000"/>
              <w:right w:val="single" w:sz="8" w:space="0" w:color="000000"/>
            </w:tcBorders>
            <w:shd w:val="clear" w:color="auto" w:fill="auto"/>
            <w:hideMark/>
          </w:tcPr>
          <w:p w14:paraId="49D641C4" w14:textId="29371201"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48.287</w:t>
            </w:r>
            <w:r w:rsidR="00E04B4E">
              <w:rPr>
                <w:rFonts w:eastAsia="SimSun" w:hint="eastAsia"/>
                <w:color w:val="000000"/>
                <w:sz w:val="22"/>
                <w:szCs w:val="22"/>
                <w:lang w:eastAsia="zh-CN"/>
              </w:rPr>
              <w:t>*</w:t>
            </w:r>
          </w:p>
        </w:tc>
        <w:tc>
          <w:tcPr>
            <w:tcW w:w="213" w:type="pct"/>
            <w:tcBorders>
              <w:top w:val="single" w:sz="8" w:space="0" w:color="000000"/>
              <w:left w:val="single" w:sz="8" w:space="0" w:color="000000"/>
              <w:bottom w:val="single" w:sz="8" w:space="0" w:color="000000"/>
              <w:right w:val="single" w:sz="8" w:space="0" w:color="000000"/>
            </w:tcBorders>
            <w:shd w:val="clear" w:color="auto" w:fill="auto"/>
            <w:hideMark/>
          </w:tcPr>
          <w:p w14:paraId="3BA5DB23"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14</w:t>
            </w:r>
          </w:p>
        </w:tc>
        <w:tc>
          <w:tcPr>
            <w:tcW w:w="241" w:type="pct"/>
            <w:tcBorders>
              <w:top w:val="single" w:sz="8" w:space="0" w:color="000000"/>
              <w:left w:val="single" w:sz="8" w:space="0" w:color="000000"/>
              <w:bottom w:val="single" w:sz="8" w:space="0" w:color="000000"/>
              <w:right w:val="single" w:sz="8" w:space="0" w:color="000000"/>
            </w:tcBorders>
            <w:shd w:val="clear" w:color="auto" w:fill="auto"/>
            <w:hideMark/>
          </w:tcPr>
          <w:p w14:paraId="64D4ACDF"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0.049</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4DF8DB13"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0.989</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5EF94F9A"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0.966</w:t>
            </w:r>
          </w:p>
        </w:tc>
        <w:tc>
          <w:tcPr>
            <w:tcW w:w="206" w:type="pct"/>
            <w:tcBorders>
              <w:top w:val="single" w:sz="8" w:space="0" w:color="000000"/>
              <w:left w:val="single" w:sz="8" w:space="0" w:color="000000"/>
              <w:bottom w:val="single" w:sz="8" w:space="0" w:color="000000"/>
              <w:right w:val="single" w:sz="4" w:space="0" w:color="auto"/>
            </w:tcBorders>
            <w:shd w:val="clear" w:color="auto" w:fill="auto"/>
            <w:hideMark/>
          </w:tcPr>
          <w:p w14:paraId="1D6FAFC6"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0.017</w:t>
            </w:r>
          </w:p>
        </w:tc>
      </w:tr>
      <w:tr w:rsidR="00CA39F3" w:rsidRPr="00CA39F3" w14:paraId="1FE7F379"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6627E9D2"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24421015"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156FB399"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Q1: Share the same political views as you? </w:t>
            </w:r>
          </w:p>
        </w:tc>
        <w:tc>
          <w:tcPr>
            <w:tcW w:w="565" w:type="pct"/>
            <w:tcBorders>
              <w:top w:val="nil"/>
              <w:left w:val="single" w:sz="8" w:space="0" w:color="000000"/>
              <w:bottom w:val="nil"/>
              <w:right w:val="nil"/>
            </w:tcBorders>
            <w:shd w:val="clear" w:color="auto" w:fill="auto"/>
            <w:hideMark/>
          </w:tcPr>
          <w:p w14:paraId="7949B05F"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Most do </w:t>
            </w:r>
          </w:p>
        </w:tc>
        <w:tc>
          <w:tcPr>
            <w:tcW w:w="215" w:type="pct"/>
            <w:tcBorders>
              <w:top w:val="single" w:sz="8" w:space="0" w:color="000000"/>
              <w:left w:val="single" w:sz="8" w:space="0" w:color="000000"/>
              <w:bottom w:val="single" w:sz="8" w:space="0" w:color="000000"/>
              <w:right w:val="single" w:sz="8" w:space="0" w:color="000000"/>
            </w:tcBorders>
            <w:shd w:val="clear" w:color="auto" w:fill="auto"/>
            <w:hideMark/>
          </w:tcPr>
          <w:p w14:paraId="1B002AC5"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2.b</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70757D96"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94104.214</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665FE245"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94557.222</w:t>
            </w:r>
          </w:p>
        </w:tc>
        <w:tc>
          <w:tcPr>
            <w:tcW w:w="253" w:type="pct"/>
            <w:tcBorders>
              <w:top w:val="single" w:sz="8" w:space="0" w:color="000000"/>
              <w:left w:val="single" w:sz="8" w:space="0" w:color="000000"/>
              <w:bottom w:val="single" w:sz="8" w:space="0" w:color="000000"/>
              <w:right w:val="single" w:sz="8" w:space="0" w:color="000000"/>
            </w:tcBorders>
            <w:shd w:val="clear" w:color="auto" w:fill="auto"/>
            <w:hideMark/>
          </w:tcPr>
          <w:p w14:paraId="077857CC" w14:textId="48632376"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68.559</w:t>
            </w:r>
            <w:r w:rsidR="00E04B4E">
              <w:rPr>
                <w:rFonts w:eastAsia="SimSun" w:hint="eastAsia"/>
                <w:color w:val="000000"/>
                <w:sz w:val="22"/>
                <w:szCs w:val="22"/>
                <w:lang w:eastAsia="zh-CN"/>
              </w:rPr>
              <w:t>*</w:t>
            </w:r>
          </w:p>
        </w:tc>
        <w:tc>
          <w:tcPr>
            <w:tcW w:w="213" w:type="pct"/>
            <w:tcBorders>
              <w:top w:val="single" w:sz="8" w:space="0" w:color="000000"/>
              <w:left w:val="single" w:sz="8" w:space="0" w:color="000000"/>
              <w:bottom w:val="single" w:sz="8" w:space="0" w:color="000000"/>
              <w:right w:val="single" w:sz="8" w:space="0" w:color="000000"/>
            </w:tcBorders>
            <w:shd w:val="clear" w:color="auto" w:fill="auto"/>
            <w:hideMark/>
          </w:tcPr>
          <w:p w14:paraId="2ECCE1B6"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32</w:t>
            </w:r>
          </w:p>
        </w:tc>
        <w:tc>
          <w:tcPr>
            <w:tcW w:w="241" w:type="pct"/>
            <w:tcBorders>
              <w:top w:val="single" w:sz="8" w:space="0" w:color="000000"/>
              <w:left w:val="single" w:sz="8" w:space="0" w:color="000000"/>
              <w:bottom w:val="single" w:sz="8" w:space="0" w:color="000000"/>
              <w:right w:val="single" w:sz="8" w:space="0" w:color="000000"/>
            </w:tcBorders>
            <w:shd w:val="clear" w:color="auto" w:fill="auto"/>
            <w:hideMark/>
          </w:tcPr>
          <w:p w14:paraId="04FBCA3A"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0.034</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4A89D502"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0.988</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24BD8193"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0.984</w:t>
            </w:r>
          </w:p>
        </w:tc>
        <w:tc>
          <w:tcPr>
            <w:tcW w:w="206" w:type="pct"/>
            <w:tcBorders>
              <w:top w:val="single" w:sz="8" w:space="0" w:color="000000"/>
              <w:left w:val="single" w:sz="8" w:space="0" w:color="000000"/>
              <w:bottom w:val="single" w:sz="8" w:space="0" w:color="000000"/>
              <w:right w:val="single" w:sz="4" w:space="0" w:color="auto"/>
            </w:tcBorders>
            <w:shd w:val="clear" w:color="auto" w:fill="auto"/>
            <w:hideMark/>
          </w:tcPr>
          <w:p w14:paraId="1520A1B2"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0.029</w:t>
            </w:r>
          </w:p>
        </w:tc>
      </w:tr>
      <w:tr w:rsidR="00CA39F3" w:rsidRPr="00CA39F3" w14:paraId="7967ADC6"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20741937"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20F8058F"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65FA09BA"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Q2: Share something else in common with you (such as interests or hobbies)?  </w:t>
            </w:r>
          </w:p>
        </w:tc>
        <w:tc>
          <w:tcPr>
            <w:tcW w:w="565" w:type="pct"/>
            <w:tcBorders>
              <w:top w:val="nil"/>
              <w:left w:val="single" w:sz="8" w:space="0" w:color="000000"/>
              <w:bottom w:val="nil"/>
              <w:right w:val="nil"/>
            </w:tcBorders>
            <w:shd w:val="clear" w:color="auto" w:fill="auto"/>
            <w:hideMark/>
          </w:tcPr>
          <w:p w14:paraId="4454090D"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Some do </w:t>
            </w:r>
          </w:p>
        </w:tc>
        <w:tc>
          <w:tcPr>
            <w:tcW w:w="215" w:type="pct"/>
            <w:tcBorders>
              <w:top w:val="single" w:sz="8" w:space="0" w:color="000000"/>
              <w:left w:val="single" w:sz="8" w:space="0" w:color="000000"/>
              <w:bottom w:val="single" w:sz="8" w:space="0" w:color="000000"/>
              <w:right w:val="single" w:sz="8" w:space="0" w:color="000000"/>
            </w:tcBorders>
            <w:shd w:val="clear" w:color="auto" w:fill="auto"/>
            <w:hideMark/>
          </w:tcPr>
          <w:p w14:paraId="66EC0173"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2.c</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07008ECB"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94122.313</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3B72B872"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94486.092</w:t>
            </w:r>
          </w:p>
        </w:tc>
        <w:tc>
          <w:tcPr>
            <w:tcW w:w="253" w:type="pct"/>
            <w:tcBorders>
              <w:top w:val="single" w:sz="8" w:space="0" w:color="000000"/>
              <w:left w:val="single" w:sz="8" w:space="0" w:color="000000"/>
              <w:bottom w:val="single" w:sz="8" w:space="0" w:color="000000"/>
              <w:right w:val="single" w:sz="8" w:space="0" w:color="000000"/>
            </w:tcBorders>
            <w:shd w:val="clear" w:color="auto" w:fill="auto"/>
            <w:hideMark/>
          </w:tcPr>
          <w:p w14:paraId="3B1AB7D2" w14:textId="3D26A27C"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108.189</w:t>
            </w:r>
            <w:r w:rsidR="00E04B4E" w:rsidRPr="00E04B4E">
              <w:rPr>
                <w:rFonts w:eastAsia="SimSun" w:hint="eastAsia"/>
                <w:color w:val="000000"/>
                <w:sz w:val="22"/>
                <w:szCs w:val="22"/>
                <w:lang w:eastAsia="zh-CN"/>
              </w:rPr>
              <w:t>*</w:t>
            </w:r>
          </w:p>
        </w:tc>
        <w:tc>
          <w:tcPr>
            <w:tcW w:w="213" w:type="pct"/>
            <w:tcBorders>
              <w:top w:val="single" w:sz="8" w:space="0" w:color="000000"/>
              <w:left w:val="single" w:sz="8" w:space="0" w:color="000000"/>
              <w:bottom w:val="single" w:sz="8" w:space="0" w:color="000000"/>
              <w:right w:val="single" w:sz="8" w:space="0" w:color="000000"/>
            </w:tcBorders>
            <w:shd w:val="clear" w:color="auto" w:fill="auto"/>
            <w:hideMark/>
          </w:tcPr>
          <w:p w14:paraId="0B0AB4EE"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45</w:t>
            </w:r>
          </w:p>
        </w:tc>
        <w:tc>
          <w:tcPr>
            <w:tcW w:w="241" w:type="pct"/>
            <w:tcBorders>
              <w:top w:val="single" w:sz="8" w:space="0" w:color="000000"/>
              <w:left w:val="single" w:sz="8" w:space="0" w:color="000000"/>
              <w:bottom w:val="single" w:sz="8" w:space="0" w:color="000000"/>
              <w:right w:val="single" w:sz="8" w:space="0" w:color="000000"/>
            </w:tcBorders>
            <w:shd w:val="clear" w:color="auto" w:fill="auto"/>
            <w:hideMark/>
          </w:tcPr>
          <w:p w14:paraId="34CBC66F"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0.037</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08885E1A"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0.979</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728ED3C0"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0.981</w:t>
            </w:r>
          </w:p>
        </w:tc>
        <w:tc>
          <w:tcPr>
            <w:tcW w:w="206" w:type="pct"/>
            <w:tcBorders>
              <w:top w:val="single" w:sz="8" w:space="0" w:color="000000"/>
              <w:left w:val="single" w:sz="8" w:space="0" w:color="000000"/>
              <w:bottom w:val="single" w:sz="8" w:space="0" w:color="000000"/>
              <w:right w:val="single" w:sz="4" w:space="0" w:color="auto"/>
            </w:tcBorders>
            <w:shd w:val="clear" w:color="auto" w:fill="auto"/>
            <w:hideMark/>
          </w:tcPr>
          <w:p w14:paraId="6C5E5174"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0.038</w:t>
            </w:r>
          </w:p>
        </w:tc>
      </w:tr>
      <w:tr w:rsidR="00CA39F3" w:rsidRPr="00CA39F3" w14:paraId="22DF7CCA"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19826EA8"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3BDBE1E6"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7D75F73D"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Q3: Believe the same kinds of things to be true as you? </w:t>
            </w:r>
          </w:p>
        </w:tc>
        <w:tc>
          <w:tcPr>
            <w:tcW w:w="565" w:type="pct"/>
            <w:tcBorders>
              <w:top w:val="nil"/>
              <w:left w:val="single" w:sz="8" w:space="0" w:color="000000"/>
              <w:bottom w:val="nil"/>
              <w:right w:val="nil"/>
            </w:tcBorders>
            <w:shd w:val="clear" w:color="auto" w:fill="auto"/>
            <w:hideMark/>
          </w:tcPr>
          <w:p w14:paraId="319AD253"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Very few do </w:t>
            </w:r>
          </w:p>
        </w:tc>
        <w:tc>
          <w:tcPr>
            <w:tcW w:w="2070" w:type="pct"/>
            <w:gridSpan w:val="9"/>
            <w:vMerge w:val="restart"/>
            <w:tcBorders>
              <w:top w:val="single" w:sz="8" w:space="0" w:color="000000"/>
              <w:left w:val="single" w:sz="8" w:space="0" w:color="000000"/>
              <w:bottom w:val="single" w:sz="8" w:space="0" w:color="000000"/>
              <w:right w:val="single" w:sz="4" w:space="0" w:color="auto"/>
            </w:tcBorders>
            <w:shd w:val="clear" w:color="auto" w:fill="auto"/>
            <w:hideMark/>
          </w:tcPr>
          <w:p w14:paraId="1B839B0A" w14:textId="7E113FCA"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In the 2.c model, this study freed a subset of item intercepts in </w:t>
            </w:r>
            <w:r w:rsidR="00CA39F3">
              <w:rPr>
                <w:rFonts w:eastAsia="SimSun"/>
                <w:color w:val="000000"/>
                <w:sz w:val="22"/>
                <w:szCs w:val="22"/>
                <w:lang w:eastAsia="zh-CN"/>
              </w:rPr>
              <w:t xml:space="preserve">the </w:t>
            </w:r>
            <w:r w:rsidRPr="0032288F">
              <w:rPr>
                <w:rFonts w:eastAsia="SimSun"/>
                <w:color w:val="000000"/>
                <w:sz w:val="22"/>
                <w:szCs w:val="22"/>
                <w:lang w:eastAsia="zh-CN"/>
              </w:rPr>
              <w:t>UK (Q3, Q4); Finland (Q3, Q4); Italy (Q3); Spain (Q3, Q2, Q1); Netherlands (Q4); Sweden (Q3); Switzerland (Q1).</w:t>
            </w:r>
          </w:p>
        </w:tc>
      </w:tr>
      <w:tr w:rsidR="00CA39F3" w:rsidRPr="00CA39F3" w14:paraId="79C0D26A"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72C32706"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43BD029F"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451A67E7"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Q4: Know one another? </w:t>
            </w:r>
          </w:p>
        </w:tc>
        <w:tc>
          <w:tcPr>
            <w:tcW w:w="565" w:type="pct"/>
            <w:tcBorders>
              <w:top w:val="nil"/>
              <w:left w:val="single" w:sz="8" w:space="0" w:color="000000"/>
              <w:bottom w:val="nil"/>
              <w:right w:val="nil"/>
            </w:tcBorders>
            <w:shd w:val="clear" w:color="auto" w:fill="auto"/>
            <w:hideMark/>
          </w:tcPr>
          <w:p w14:paraId="2110D01A"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None do</w:t>
            </w:r>
            <w:r w:rsidRPr="0032288F">
              <w:rPr>
                <w:rFonts w:ascii="Calibri" w:eastAsia="SimSun" w:hAnsi="Calibri" w:cs="Calibri"/>
                <w:color w:val="000000"/>
                <w:sz w:val="22"/>
                <w:szCs w:val="22"/>
                <w:lang w:eastAsia="zh-CN"/>
              </w:rPr>
              <w:t xml:space="preserve"> </w:t>
            </w:r>
            <w:r w:rsidRPr="0032288F">
              <w:rPr>
                <w:rFonts w:eastAsia="SimSun"/>
                <w:color w:val="000000"/>
                <w:sz w:val="22"/>
                <w:szCs w:val="22"/>
                <w:lang w:eastAsia="zh-CN"/>
              </w:rPr>
              <w:t xml:space="preserve"> </w:t>
            </w:r>
          </w:p>
        </w:tc>
        <w:tc>
          <w:tcPr>
            <w:tcW w:w="2070" w:type="pct"/>
            <w:gridSpan w:val="9"/>
            <w:vMerge/>
            <w:tcBorders>
              <w:top w:val="nil"/>
              <w:left w:val="single" w:sz="8" w:space="0" w:color="000000"/>
              <w:bottom w:val="nil"/>
              <w:right w:val="single" w:sz="4" w:space="0" w:color="auto"/>
            </w:tcBorders>
            <w:vAlign w:val="center"/>
            <w:hideMark/>
          </w:tcPr>
          <w:p w14:paraId="1D0C3E5A" w14:textId="77777777" w:rsidR="0032288F" w:rsidRPr="0032288F" w:rsidRDefault="0032288F" w:rsidP="0032288F">
            <w:pPr>
              <w:spacing w:line="240" w:lineRule="auto"/>
              <w:rPr>
                <w:rFonts w:eastAsia="SimSun"/>
                <w:color w:val="000000"/>
                <w:sz w:val="22"/>
                <w:szCs w:val="22"/>
                <w:lang w:eastAsia="zh-CN"/>
              </w:rPr>
            </w:pPr>
          </w:p>
        </w:tc>
      </w:tr>
      <w:tr w:rsidR="00CA39F3" w:rsidRPr="00CA39F3" w14:paraId="2400B459"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755536E6"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61280246"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56EC26D9" w14:textId="77777777" w:rsidR="0032288F" w:rsidRPr="0032288F" w:rsidRDefault="0032288F" w:rsidP="0032288F">
            <w:pPr>
              <w:spacing w:line="240" w:lineRule="auto"/>
              <w:ind w:firstLineChars="100" w:firstLine="220"/>
              <w:rPr>
                <w:rFonts w:eastAsia="SimSun"/>
                <w:color w:val="000000"/>
                <w:sz w:val="22"/>
                <w:szCs w:val="22"/>
                <w:lang w:eastAsia="zh-CN"/>
              </w:rPr>
            </w:pPr>
          </w:p>
        </w:tc>
        <w:tc>
          <w:tcPr>
            <w:tcW w:w="565" w:type="pct"/>
            <w:tcBorders>
              <w:top w:val="nil"/>
              <w:left w:val="single" w:sz="8" w:space="0" w:color="000000"/>
              <w:bottom w:val="nil"/>
              <w:right w:val="nil"/>
            </w:tcBorders>
            <w:shd w:val="clear" w:color="auto" w:fill="auto"/>
            <w:hideMark/>
          </w:tcPr>
          <w:p w14:paraId="3C9B307E"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Don’t know  </w:t>
            </w:r>
          </w:p>
        </w:tc>
        <w:tc>
          <w:tcPr>
            <w:tcW w:w="2070" w:type="pct"/>
            <w:gridSpan w:val="9"/>
            <w:vMerge/>
            <w:tcBorders>
              <w:top w:val="nil"/>
              <w:left w:val="single" w:sz="8" w:space="0" w:color="000000"/>
              <w:bottom w:val="nil"/>
              <w:right w:val="single" w:sz="4" w:space="0" w:color="auto"/>
            </w:tcBorders>
            <w:vAlign w:val="center"/>
            <w:hideMark/>
          </w:tcPr>
          <w:p w14:paraId="28A02D90" w14:textId="77777777" w:rsidR="0032288F" w:rsidRPr="0032288F" w:rsidRDefault="0032288F" w:rsidP="0032288F">
            <w:pPr>
              <w:spacing w:line="240" w:lineRule="auto"/>
              <w:rPr>
                <w:rFonts w:eastAsia="SimSun"/>
                <w:color w:val="000000"/>
                <w:sz w:val="22"/>
                <w:szCs w:val="22"/>
                <w:lang w:eastAsia="zh-CN"/>
              </w:rPr>
            </w:pPr>
          </w:p>
        </w:tc>
      </w:tr>
      <w:tr w:rsidR="00CA39F3" w:rsidRPr="00CA39F3" w14:paraId="2FA0C45D"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4A13754D"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6787E2F0"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single" w:sz="8" w:space="0" w:color="000000"/>
              <w:right w:val="single" w:sz="8" w:space="0" w:color="000000"/>
            </w:tcBorders>
            <w:shd w:val="clear" w:color="auto" w:fill="auto"/>
            <w:hideMark/>
          </w:tcPr>
          <w:p w14:paraId="6319F477" w14:textId="77777777" w:rsidR="0032288F" w:rsidRPr="0032288F" w:rsidRDefault="0032288F" w:rsidP="0032288F">
            <w:pPr>
              <w:spacing w:line="240" w:lineRule="auto"/>
              <w:ind w:firstLineChars="100" w:firstLine="220"/>
              <w:rPr>
                <w:rFonts w:eastAsia="SimSun"/>
                <w:color w:val="000000"/>
                <w:sz w:val="22"/>
                <w:szCs w:val="22"/>
                <w:lang w:eastAsia="zh-CN"/>
              </w:rPr>
            </w:pPr>
          </w:p>
        </w:tc>
        <w:tc>
          <w:tcPr>
            <w:tcW w:w="565" w:type="pct"/>
            <w:tcBorders>
              <w:top w:val="nil"/>
              <w:left w:val="single" w:sz="8" w:space="0" w:color="000000"/>
              <w:bottom w:val="single" w:sz="8" w:space="0" w:color="000000"/>
              <w:right w:val="nil"/>
            </w:tcBorders>
            <w:shd w:val="clear" w:color="auto" w:fill="auto"/>
            <w:hideMark/>
          </w:tcPr>
          <w:p w14:paraId="75C46CEB"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n/a </w:t>
            </w:r>
          </w:p>
        </w:tc>
        <w:tc>
          <w:tcPr>
            <w:tcW w:w="2070" w:type="pct"/>
            <w:gridSpan w:val="9"/>
            <w:vMerge/>
            <w:tcBorders>
              <w:top w:val="nil"/>
              <w:left w:val="single" w:sz="8" w:space="0" w:color="000000"/>
              <w:bottom w:val="single" w:sz="8" w:space="0" w:color="000000"/>
              <w:right w:val="single" w:sz="4" w:space="0" w:color="auto"/>
            </w:tcBorders>
            <w:vAlign w:val="center"/>
            <w:hideMark/>
          </w:tcPr>
          <w:p w14:paraId="0B935E99" w14:textId="77777777" w:rsidR="0032288F" w:rsidRPr="0032288F" w:rsidRDefault="0032288F" w:rsidP="0032288F">
            <w:pPr>
              <w:spacing w:line="240" w:lineRule="auto"/>
              <w:rPr>
                <w:rFonts w:eastAsia="SimSun"/>
                <w:color w:val="000000"/>
                <w:sz w:val="22"/>
                <w:szCs w:val="22"/>
                <w:lang w:eastAsia="zh-CN"/>
              </w:rPr>
            </w:pPr>
          </w:p>
        </w:tc>
      </w:tr>
      <w:tr w:rsidR="00CA39F3" w:rsidRPr="00CA39F3" w14:paraId="0C5CD904" w14:textId="77777777" w:rsidTr="00CA39F3">
        <w:trPr>
          <w:trHeight w:val="20"/>
        </w:trPr>
        <w:tc>
          <w:tcPr>
            <w:tcW w:w="404" w:type="pct"/>
            <w:vMerge w:val="restart"/>
            <w:tcBorders>
              <w:top w:val="single" w:sz="8" w:space="0" w:color="000000"/>
              <w:left w:val="single" w:sz="4" w:space="0" w:color="000000"/>
              <w:bottom w:val="single" w:sz="8" w:space="0" w:color="000000"/>
              <w:right w:val="single" w:sz="8" w:space="0" w:color="000000"/>
            </w:tcBorders>
            <w:shd w:val="clear" w:color="auto" w:fill="auto"/>
            <w:hideMark/>
          </w:tcPr>
          <w:p w14:paraId="4599E0C7"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Social network characteristics </w:t>
            </w:r>
          </w:p>
        </w:tc>
        <w:tc>
          <w:tcPr>
            <w:tcW w:w="373"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3B510697"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Network Social Capital </w:t>
            </w:r>
          </w:p>
        </w:tc>
        <w:tc>
          <w:tcPr>
            <w:tcW w:w="1589" w:type="pct"/>
            <w:tcBorders>
              <w:top w:val="single" w:sz="8" w:space="0" w:color="000000"/>
              <w:left w:val="single" w:sz="8" w:space="0" w:color="000000"/>
              <w:bottom w:val="nil"/>
              <w:right w:val="single" w:sz="8" w:space="0" w:color="000000"/>
            </w:tcBorders>
            <w:shd w:val="clear" w:color="auto" w:fill="auto"/>
            <w:hideMark/>
          </w:tcPr>
          <w:p w14:paraId="2E768F98"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To what extent do your close friends: </w:t>
            </w:r>
          </w:p>
        </w:tc>
        <w:tc>
          <w:tcPr>
            <w:tcW w:w="565" w:type="pct"/>
            <w:tcBorders>
              <w:top w:val="single" w:sz="8" w:space="0" w:color="000000"/>
              <w:left w:val="single" w:sz="8" w:space="0" w:color="000000"/>
              <w:bottom w:val="nil"/>
              <w:right w:val="nil"/>
            </w:tcBorders>
            <w:shd w:val="clear" w:color="auto" w:fill="auto"/>
            <w:hideMark/>
          </w:tcPr>
          <w:p w14:paraId="156F91AA"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All do </w:t>
            </w:r>
          </w:p>
        </w:tc>
        <w:tc>
          <w:tcPr>
            <w:tcW w:w="215" w:type="pct"/>
            <w:tcBorders>
              <w:top w:val="single" w:sz="8" w:space="0" w:color="000000"/>
              <w:left w:val="single" w:sz="8" w:space="0" w:color="000000"/>
              <w:bottom w:val="single" w:sz="8" w:space="0" w:color="000000"/>
              <w:right w:val="single" w:sz="8" w:space="0" w:color="000000"/>
            </w:tcBorders>
            <w:shd w:val="clear" w:color="auto" w:fill="auto"/>
            <w:hideMark/>
          </w:tcPr>
          <w:p w14:paraId="7433D942"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3.a</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0422A327"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104079.57</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3FD9D17B"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104656.126</w:t>
            </w:r>
          </w:p>
        </w:tc>
        <w:tc>
          <w:tcPr>
            <w:tcW w:w="253" w:type="pct"/>
            <w:tcBorders>
              <w:top w:val="single" w:sz="8" w:space="0" w:color="000000"/>
              <w:left w:val="single" w:sz="8" w:space="0" w:color="000000"/>
              <w:bottom w:val="single" w:sz="8" w:space="0" w:color="000000"/>
              <w:right w:val="single" w:sz="8" w:space="0" w:color="000000"/>
            </w:tcBorders>
            <w:shd w:val="clear" w:color="auto" w:fill="auto"/>
            <w:hideMark/>
          </w:tcPr>
          <w:p w14:paraId="22462C02" w14:textId="0391BD8B"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40.334</w:t>
            </w:r>
            <w:r w:rsidR="00E04B4E" w:rsidRPr="00E04B4E">
              <w:rPr>
                <w:rFonts w:eastAsia="SimSun" w:hint="eastAsia"/>
                <w:color w:val="000000"/>
                <w:sz w:val="22"/>
                <w:szCs w:val="22"/>
                <w:lang w:eastAsia="zh-CN"/>
              </w:rPr>
              <w:t>*</w:t>
            </w:r>
          </w:p>
        </w:tc>
        <w:tc>
          <w:tcPr>
            <w:tcW w:w="213" w:type="pct"/>
            <w:tcBorders>
              <w:top w:val="single" w:sz="8" w:space="0" w:color="000000"/>
              <w:left w:val="single" w:sz="8" w:space="0" w:color="000000"/>
              <w:bottom w:val="single" w:sz="8" w:space="0" w:color="000000"/>
              <w:right w:val="single" w:sz="8" w:space="0" w:color="000000"/>
            </w:tcBorders>
            <w:shd w:val="clear" w:color="auto" w:fill="auto"/>
            <w:hideMark/>
          </w:tcPr>
          <w:p w14:paraId="791317C6"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14</w:t>
            </w:r>
          </w:p>
        </w:tc>
        <w:tc>
          <w:tcPr>
            <w:tcW w:w="241" w:type="pct"/>
            <w:tcBorders>
              <w:top w:val="single" w:sz="8" w:space="0" w:color="000000"/>
              <w:left w:val="single" w:sz="8" w:space="0" w:color="000000"/>
              <w:bottom w:val="single" w:sz="8" w:space="0" w:color="000000"/>
              <w:right w:val="single" w:sz="8" w:space="0" w:color="000000"/>
            </w:tcBorders>
            <w:shd w:val="clear" w:color="auto" w:fill="auto"/>
            <w:hideMark/>
          </w:tcPr>
          <w:p w14:paraId="6C83F8F8"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0.043</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1DF32D9E"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0.993</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1529D30E"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0.979</w:t>
            </w:r>
          </w:p>
        </w:tc>
        <w:tc>
          <w:tcPr>
            <w:tcW w:w="206" w:type="pct"/>
            <w:tcBorders>
              <w:top w:val="single" w:sz="8" w:space="0" w:color="000000"/>
              <w:left w:val="single" w:sz="8" w:space="0" w:color="000000"/>
              <w:bottom w:val="single" w:sz="8" w:space="0" w:color="000000"/>
              <w:right w:val="single" w:sz="4" w:space="0" w:color="auto"/>
            </w:tcBorders>
            <w:shd w:val="clear" w:color="auto" w:fill="auto"/>
            <w:hideMark/>
          </w:tcPr>
          <w:p w14:paraId="00926C99"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0.015</w:t>
            </w:r>
          </w:p>
        </w:tc>
      </w:tr>
      <w:tr w:rsidR="00CA39F3" w:rsidRPr="00CA39F3" w14:paraId="763C3197"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60FE211B"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1048E60F"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57AE9621"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Q1: Have the same occupation as you?  </w:t>
            </w:r>
          </w:p>
        </w:tc>
        <w:tc>
          <w:tcPr>
            <w:tcW w:w="565" w:type="pct"/>
            <w:tcBorders>
              <w:top w:val="nil"/>
              <w:left w:val="single" w:sz="8" w:space="0" w:color="000000"/>
              <w:bottom w:val="nil"/>
              <w:right w:val="nil"/>
            </w:tcBorders>
            <w:shd w:val="clear" w:color="auto" w:fill="auto"/>
            <w:hideMark/>
          </w:tcPr>
          <w:p w14:paraId="5FC2512B"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Most do </w:t>
            </w:r>
          </w:p>
        </w:tc>
        <w:tc>
          <w:tcPr>
            <w:tcW w:w="215" w:type="pct"/>
            <w:tcBorders>
              <w:top w:val="single" w:sz="8" w:space="0" w:color="000000"/>
              <w:left w:val="single" w:sz="8" w:space="0" w:color="000000"/>
              <w:bottom w:val="single" w:sz="8" w:space="0" w:color="000000"/>
              <w:right w:val="single" w:sz="8" w:space="0" w:color="000000"/>
            </w:tcBorders>
            <w:shd w:val="clear" w:color="auto" w:fill="auto"/>
            <w:hideMark/>
          </w:tcPr>
          <w:p w14:paraId="3CB0CF04"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3.b</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6602919C"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104106.5</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0B99009E"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104559.508</w:t>
            </w:r>
          </w:p>
        </w:tc>
        <w:tc>
          <w:tcPr>
            <w:tcW w:w="253" w:type="pct"/>
            <w:tcBorders>
              <w:top w:val="single" w:sz="8" w:space="0" w:color="000000"/>
              <w:left w:val="single" w:sz="8" w:space="0" w:color="000000"/>
              <w:bottom w:val="single" w:sz="8" w:space="0" w:color="000000"/>
              <w:right w:val="single" w:sz="8" w:space="0" w:color="000000"/>
            </w:tcBorders>
            <w:shd w:val="clear" w:color="auto" w:fill="auto"/>
            <w:hideMark/>
          </w:tcPr>
          <w:p w14:paraId="07B952F1" w14:textId="3A16C1D5"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97.249</w:t>
            </w:r>
            <w:r w:rsidR="00E04B4E" w:rsidRPr="00E04B4E">
              <w:rPr>
                <w:rFonts w:eastAsia="SimSun" w:hint="eastAsia"/>
                <w:color w:val="000000"/>
                <w:sz w:val="22"/>
                <w:szCs w:val="22"/>
                <w:lang w:eastAsia="zh-CN"/>
              </w:rPr>
              <w:t>*</w:t>
            </w:r>
          </w:p>
        </w:tc>
        <w:tc>
          <w:tcPr>
            <w:tcW w:w="213" w:type="pct"/>
            <w:tcBorders>
              <w:top w:val="single" w:sz="8" w:space="0" w:color="000000"/>
              <w:left w:val="single" w:sz="8" w:space="0" w:color="000000"/>
              <w:bottom w:val="single" w:sz="8" w:space="0" w:color="000000"/>
              <w:right w:val="single" w:sz="8" w:space="0" w:color="000000"/>
            </w:tcBorders>
            <w:shd w:val="clear" w:color="auto" w:fill="auto"/>
            <w:hideMark/>
          </w:tcPr>
          <w:p w14:paraId="6BAF9B19"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32</w:t>
            </w:r>
          </w:p>
        </w:tc>
        <w:tc>
          <w:tcPr>
            <w:tcW w:w="241" w:type="pct"/>
            <w:tcBorders>
              <w:top w:val="single" w:sz="8" w:space="0" w:color="000000"/>
              <w:left w:val="single" w:sz="8" w:space="0" w:color="000000"/>
              <w:bottom w:val="single" w:sz="8" w:space="0" w:color="000000"/>
              <w:right w:val="single" w:sz="8" w:space="0" w:color="000000"/>
            </w:tcBorders>
            <w:shd w:val="clear" w:color="auto" w:fill="auto"/>
            <w:hideMark/>
          </w:tcPr>
          <w:p w14:paraId="4ADE0D16"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0.045</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43A8DA56"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0.983</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3FCCEAD0"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0.978</w:t>
            </w:r>
          </w:p>
        </w:tc>
        <w:tc>
          <w:tcPr>
            <w:tcW w:w="206" w:type="pct"/>
            <w:tcBorders>
              <w:top w:val="single" w:sz="8" w:space="0" w:color="000000"/>
              <w:left w:val="single" w:sz="8" w:space="0" w:color="000000"/>
              <w:bottom w:val="single" w:sz="8" w:space="0" w:color="000000"/>
              <w:right w:val="single" w:sz="4" w:space="0" w:color="auto"/>
            </w:tcBorders>
            <w:shd w:val="clear" w:color="auto" w:fill="auto"/>
            <w:hideMark/>
          </w:tcPr>
          <w:p w14:paraId="3358F1AC"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0.033</w:t>
            </w:r>
          </w:p>
        </w:tc>
      </w:tr>
      <w:tr w:rsidR="00CA39F3" w:rsidRPr="00CA39F3" w14:paraId="6F421053"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7E477373"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1624FDE3"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242CB1BA"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Q2: Belong to the same clubs you belong to (such as a sports club)?  </w:t>
            </w:r>
          </w:p>
        </w:tc>
        <w:tc>
          <w:tcPr>
            <w:tcW w:w="565" w:type="pct"/>
            <w:tcBorders>
              <w:top w:val="nil"/>
              <w:left w:val="single" w:sz="8" w:space="0" w:color="000000"/>
              <w:bottom w:val="nil"/>
              <w:right w:val="nil"/>
            </w:tcBorders>
            <w:shd w:val="clear" w:color="auto" w:fill="auto"/>
            <w:hideMark/>
          </w:tcPr>
          <w:p w14:paraId="61AAF240"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Some do </w:t>
            </w:r>
          </w:p>
        </w:tc>
        <w:tc>
          <w:tcPr>
            <w:tcW w:w="215" w:type="pct"/>
            <w:tcBorders>
              <w:top w:val="single" w:sz="8" w:space="0" w:color="000000"/>
              <w:left w:val="single" w:sz="8" w:space="0" w:color="000000"/>
              <w:bottom w:val="single" w:sz="8" w:space="0" w:color="000000"/>
              <w:right w:val="single" w:sz="8" w:space="0" w:color="000000"/>
            </w:tcBorders>
            <w:shd w:val="clear" w:color="auto" w:fill="auto"/>
            <w:hideMark/>
          </w:tcPr>
          <w:p w14:paraId="761C7E9A"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3.c</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3E31D5BA"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104129.646</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18E11D1C"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104479.698</w:t>
            </w:r>
          </w:p>
        </w:tc>
        <w:tc>
          <w:tcPr>
            <w:tcW w:w="253" w:type="pct"/>
            <w:tcBorders>
              <w:top w:val="single" w:sz="8" w:space="0" w:color="000000"/>
              <w:left w:val="single" w:sz="8" w:space="0" w:color="000000"/>
              <w:bottom w:val="single" w:sz="8" w:space="0" w:color="000000"/>
              <w:right w:val="single" w:sz="8" w:space="0" w:color="000000"/>
            </w:tcBorders>
            <w:shd w:val="clear" w:color="auto" w:fill="auto"/>
            <w:hideMark/>
          </w:tcPr>
          <w:p w14:paraId="0F267B2A" w14:textId="073A27A5"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149.834</w:t>
            </w:r>
            <w:r w:rsidR="00E04B4E" w:rsidRPr="00E04B4E">
              <w:rPr>
                <w:rFonts w:eastAsia="SimSun" w:hint="eastAsia"/>
                <w:color w:val="000000"/>
                <w:sz w:val="22"/>
                <w:szCs w:val="22"/>
                <w:lang w:eastAsia="zh-CN"/>
              </w:rPr>
              <w:t>*</w:t>
            </w:r>
          </w:p>
        </w:tc>
        <w:tc>
          <w:tcPr>
            <w:tcW w:w="213" w:type="pct"/>
            <w:tcBorders>
              <w:top w:val="single" w:sz="8" w:space="0" w:color="000000"/>
              <w:left w:val="single" w:sz="8" w:space="0" w:color="000000"/>
              <w:bottom w:val="single" w:sz="8" w:space="0" w:color="000000"/>
              <w:right w:val="single" w:sz="8" w:space="0" w:color="000000"/>
            </w:tcBorders>
            <w:shd w:val="clear" w:color="auto" w:fill="auto"/>
            <w:hideMark/>
          </w:tcPr>
          <w:p w14:paraId="524FB261"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47</w:t>
            </w:r>
          </w:p>
        </w:tc>
        <w:tc>
          <w:tcPr>
            <w:tcW w:w="241" w:type="pct"/>
            <w:tcBorders>
              <w:top w:val="single" w:sz="8" w:space="0" w:color="000000"/>
              <w:left w:val="single" w:sz="8" w:space="0" w:color="000000"/>
              <w:bottom w:val="single" w:sz="8" w:space="0" w:color="000000"/>
              <w:right w:val="single" w:sz="8" w:space="0" w:color="000000"/>
            </w:tcBorders>
            <w:shd w:val="clear" w:color="auto" w:fill="auto"/>
            <w:hideMark/>
          </w:tcPr>
          <w:p w14:paraId="567B0EF3"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0.047</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49F966B4"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0.973</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7FE5ECD7"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0.976</w:t>
            </w:r>
          </w:p>
        </w:tc>
        <w:tc>
          <w:tcPr>
            <w:tcW w:w="206" w:type="pct"/>
            <w:tcBorders>
              <w:top w:val="single" w:sz="8" w:space="0" w:color="000000"/>
              <w:left w:val="single" w:sz="8" w:space="0" w:color="000000"/>
              <w:bottom w:val="single" w:sz="8" w:space="0" w:color="000000"/>
              <w:right w:val="single" w:sz="4" w:space="0" w:color="auto"/>
            </w:tcBorders>
            <w:shd w:val="clear" w:color="auto" w:fill="auto"/>
            <w:hideMark/>
          </w:tcPr>
          <w:p w14:paraId="32BBF210"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0.04</w:t>
            </w:r>
          </w:p>
        </w:tc>
      </w:tr>
      <w:tr w:rsidR="00CA39F3" w:rsidRPr="00CA39F3" w14:paraId="017E20D9"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5479290D"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4728BCF3"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00E59F55"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Q3: Belong to the same groups or communities you belong to? </w:t>
            </w:r>
          </w:p>
        </w:tc>
        <w:tc>
          <w:tcPr>
            <w:tcW w:w="565" w:type="pct"/>
            <w:tcBorders>
              <w:top w:val="nil"/>
              <w:left w:val="single" w:sz="8" w:space="0" w:color="000000"/>
              <w:bottom w:val="nil"/>
              <w:right w:val="nil"/>
            </w:tcBorders>
            <w:shd w:val="clear" w:color="auto" w:fill="auto"/>
            <w:hideMark/>
          </w:tcPr>
          <w:p w14:paraId="041E2652"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Very few do </w:t>
            </w:r>
          </w:p>
        </w:tc>
        <w:tc>
          <w:tcPr>
            <w:tcW w:w="2070" w:type="pct"/>
            <w:gridSpan w:val="9"/>
            <w:vMerge w:val="restart"/>
            <w:tcBorders>
              <w:top w:val="single" w:sz="8" w:space="0" w:color="000000"/>
              <w:left w:val="single" w:sz="8" w:space="0" w:color="000000"/>
              <w:bottom w:val="single" w:sz="8" w:space="0" w:color="000000"/>
              <w:right w:val="single" w:sz="4" w:space="0" w:color="auto"/>
            </w:tcBorders>
            <w:shd w:val="clear" w:color="auto" w:fill="auto"/>
            <w:hideMark/>
          </w:tcPr>
          <w:p w14:paraId="13B0D23D" w14:textId="6F7F00E4"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In the 3.c model, this study freed a subset of item intercepts in </w:t>
            </w:r>
            <w:r w:rsidR="00CA39F3">
              <w:rPr>
                <w:rFonts w:eastAsia="SimSun"/>
                <w:color w:val="000000"/>
                <w:sz w:val="22"/>
                <w:szCs w:val="22"/>
                <w:lang w:eastAsia="zh-CN"/>
              </w:rPr>
              <w:t xml:space="preserve">the </w:t>
            </w:r>
            <w:r w:rsidRPr="0032288F">
              <w:rPr>
                <w:rFonts w:eastAsia="SimSun"/>
                <w:color w:val="000000"/>
                <w:sz w:val="22"/>
                <w:szCs w:val="22"/>
                <w:lang w:eastAsia="zh-CN"/>
              </w:rPr>
              <w:t>UK (Q3); Italy (Q4, Q1); Netherlands (Q1, Q2); Sweden (Q3, Q2); Switzerland (Q1, Q2).</w:t>
            </w:r>
          </w:p>
        </w:tc>
      </w:tr>
      <w:tr w:rsidR="00CA39F3" w:rsidRPr="00CA39F3" w14:paraId="64120640"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5EBEDF41"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5B87BC60"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01529EBF"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Q4: Belong to the same religious group you belong to (such as church, mosque or synagogue)? </w:t>
            </w:r>
          </w:p>
        </w:tc>
        <w:tc>
          <w:tcPr>
            <w:tcW w:w="565" w:type="pct"/>
            <w:tcBorders>
              <w:top w:val="nil"/>
              <w:left w:val="single" w:sz="8" w:space="0" w:color="000000"/>
              <w:bottom w:val="nil"/>
              <w:right w:val="nil"/>
            </w:tcBorders>
            <w:shd w:val="clear" w:color="auto" w:fill="auto"/>
            <w:hideMark/>
          </w:tcPr>
          <w:p w14:paraId="59A0C021"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None do</w:t>
            </w:r>
            <w:r w:rsidRPr="0032288F">
              <w:rPr>
                <w:rFonts w:ascii="Calibri" w:eastAsia="SimSun" w:hAnsi="Calibri" w:cs="Calibri"/>
                <w:color w:val="000000"/>
                <w:sz w:val="22"/>
                <w:szCs w:val="22"/>
                <w:lang w:eastAsia="zh-CN"/>
              </w:rPr>
              <w:t xml:space="preserve"> </w:t>
            </w:r>
            <w:r w:rsidRPr="0032288F">
              <w:rPr>
                <w:rFonts w:eastAsia="SimSun"/>
                <w:color w:val="000000"/>
                <w:sz w:val="22"/>
                <w:szCs w:val="22"/>
                <w:lang w:eastAsia="zh-CN"/>
              </w:rPr>
              <w:t xml:space="preserve"> </w:t>
            </w:r>
          </w:p>
        </w:tc>
        <w:tc>
          <w:tcPr>
            <w:tcW w:w="2070" w:type="pct"/>
            <w:gridSpan w:val="9"/>
            <w:vMerge/>
            <w:tcBorders>
              <w:top w:val="nil"/>
              <w:left w:val="single" w:sz="8" w:space="0" w:color="000000"/>
              <w:bottom w:val="nil"/>
              <w:right w:val="single" w:sz="4" w:space="0" w:color="auto"/>
            </w:tcBorders>
            <w:vAlign w:val="center"/>
            <w:hideMark/>
          </w:tcPr>
          <w:p w14:paraId="06F79B6B" w14:textId="77777777" w:rsidR="0032288F" w:rsidRPr="0032288F" w:rsidRDefault="0032288F" w:rsidP="0032288F">
            <w:pPr>
              <w:spacing w:line="240" w:lineRule="auto"/>
              <w:rPr>
                <w:rFonts w:eastAsia="SimSun"/>
                <w:color w:val="000000"/>
                <w:sz w:val="22"/>
                <w:szCs w:val="22"/>
                <w:lang w:eastAsia="zh-CN"/>
              </w:rPr>
            </w:pPr>
          </w:p>
        </w:tc>
      </w:tr>
      <w:tr w:rsidR="00CA39F3" w:rsidRPr="00CA39F3" w14:paraId="3A88696F"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2286AFCD"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24130A31"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097AAE8E" w14:textId="77777777" w:rsidR="0032288F" w:rsidRPr="0032288F" w:rsidRDefault="0032288F" w:rsidP="0032288F">
            <w:pPr>
              <w:spacing w:line="240" w:lineRule="auto"/>
              <w:ind w:firstLineChars="100" w:firstLine="220"/>
              <w:rPr>
                <w:rFonts w:eastAsia="SimSun"/>
                <w:color w:val="000000"/>
                <w:sz w:val="22"/>
                <w:szCs w:val="22"/>
                <w:lang w:eastAsia="zh-CN"/>
              </w:rPr>
            </w:pPr>
          </w:p>
        </w:tc>
        <w:tc>
          <w:tcPr>
            <w:tcW w:w="565" w:type="pct"/>
            <w:tcBorders>
              <w:top w:val="nil"/>
              <w:left w:val="single" w:sz="8" w:space="0" w:color="000000"/>
              <w:bottom w:val="nil"/>
              <w:right w:val="nil"/>
            </w:tcBorders>
            <w:shd w:val="clear" w:color="auto" w:fill="auto"/>
            <w:hideMark/>
          </w:tcPr>
          <w:p w14:paraId="42872C44"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Don’t know  </w:t>
            </w:r>
          </w:p>
        </w:tc>
        <w:tc>
          <w:tcPr>
            <w:tcW w:w="2070" w:type="pct"/>
            <w:gridSpan w:val="9"/>
            <w:vMerge/>
            <w:tcBorders>
              <w:top w:val="nil"/>
              <w:left w:val="single" w:sz="8" w:space="0" w:color="000000"/>
              <w:bottom w:val="nil"/>
              <w:right w:val="single" w:sz="4" w:space="0" w:color="auto"/>
            </w:tcBorders>
            <w:vAlign w:val="center"/>
            <w:hideMark/>
          </w:tcPr>
          <w:p w14:paraId="56BA0CC3" w14:textId="77777777" w:rsidR="0032288F" w:rsidRPr="0032288F" w:rsidRDefault="0032288F" w:rsidP="0032288F">
            <w:pPr>
              <w:spacing w:line="240" w:lineRule="auto"/>
              <w:rPr>
                <w:rFonts w:eastAsia="SimSun"/>
                <w:color w:val="000000"/>
                <w:sz w:val="22"/>
                <w:szCs w:val="22"/>
                <w:lang w:eastAsia="zh-CN"/>
              </w:rPr>
            </w:pPr>
          </w:p>
        </w:tc>
      </w:tr>
      <w:tr w:rsidR="00CA39F3" w:rsidRPr="00CA39F3" w14:paraId="3DCCAC6D"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1E41A3F0"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573AF525"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single" w:sz="8" w:space="0" w:color="000000"/>
              <w:right w:val="single" w:sz="8" w:space="0" w:color="000000"/>
            </w:tcBorders>
            <w:shd w:val="clear" w:color="auto" w:fill="auto"/>
            <w:hideMark/>
          </w:tcPr>
          <w:p w14:paraId="0BDB66CF" w14:textId="77777777" w:rsidR="0032288F" w:rsidRPr="0032288F" w:rsidRDefault="0032288F" w:rsidP="0032288F">
            <w:pPr>
              <w:spacing w:line="240" w:lineRule="auto"/>
              <w:ind w:firstLineChars="100" w:firstLine="220"/>
              <w:rPr>
                <w:rFonts w:eastAsia="SimSun"/>
                <w:color w:val="000000"/>
                <w:sz w:val="22"/>
                <w:szCs w:val="22"/>
                <w:lang w:eastAsia="zh-CN"/>
              </w:rPr>
            </w:pPr>
          </w:p>
        </w:tc>
        <w:tc>
          <w:tcPr>
            <w:tcW w:w="565" w:type="pct"/>
            <w:tcBorders>
              <w:top w:val="nil"/>
              <w:left w:val="single" w:sz="8" w:space="0" w:color="000000"/>
              <w:bottom w:val="single" w:sz="8" w:space="0" w:color="000000"/>
              <w:right w:val="nil"/>
            </w:tcBorders>
            <w:shd w:val="clear" w:color="auto" w:fill="auto"/>
            <w:hideMark/>
          </w:tcPr>
          <w:p w14:paraId="7B03C8EB"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n/a </w:t>
            </w:r>
          </w:p>
        </w:tc>
        <w:tc>
          <w:tcPr>
            <w:tcW w:w="2070" w:type="pct"/>
            <w:gridSpan w:val="9"/>
            <w:vMerge/>
            <w:tcBorders>
              <w:top w:val="nil"/>
              <w:left w:val="single" w:sz="8" w:space="0" w:color="000000"/>
              <w:bottom w:val="single" w:sz="8" w:space="0" w:color="000000"/>
              <w:right w:val="single" w:sz="4" w:space="0" w:color="auto"/>
            </w:tcBorders>
            <w:vAlign w:val="center"/>
            <w:hideMark/>
          </w:tcPr>
          <w:p w14:paraId="5B3FE8A3" w14:textId="77777777" w:rsidR="0032288F" w:rsidRPr="0032288F" w:rsidRDefault="0032288F" w:rsidP="0032288F">
            <w:pPr>
              <w:spacing w:line="240" w:lineRule="auto"/>
              <w:rPr>
                <w:rFonts w:eastAsia="SimSun"/>
                <w:color w:val="000000"/>
                <w:sz w:val="22"/>
                <w:szCs w:val="22"/>
                <w:lang w:eastAsia="zh-CN"/>
              </w:rPr>
            </w:pPr>
          </w:p>
        </w:tc>
      </w:tr>
      <w:tr w:rsidR="00CA39F3" w:rsidRPr="00CA39F3" w14:paraId="70817487" w14:textId="77777777" w:rsidTr="00CA39F3">
        <w:trPr>
          <w:trHeight w:val="20"/>
        </w:trPr>
        <w:tc>
          <w:tcPr>
            <w:tcW w:w="404" w:type="pct"/>
            <w:vMerge w:val="restart"/>
            <w:tcBorders>
              <w:top w:val="single" w:sz="8" w:space="0" w:color="000000"/>
              <w:left w:val="single" w:sz="4" w:space="0" w:color="000000"/>
              <w:bottom w:val="single" w:sz="8" w:space="0" w:color="000000"/>
              <w:right w:val="single" w:sz="8" w:space="0" w:color="000000"/>
            </w:tcBorders>
            <w:shd w:val="clear" w:color="auto" w:fill="auto"/>
            <w:hideMark/>
          </w:tcPr>
          <w:p w14:paraId="6FFFAB0F" w14:textId="77777777" w:rsidR="0032288F" w:rsidRPr="0032288F" w:rsidRDefault="0032288F" w:rsidP="0032288F">
            <w:pPr>
              <w:spacing w:line="240" w:lineRule="auto"/>
              <w:rPr>
                <w:rFonts w:eastAsia="SimSun"/>
                <w:color w:val="000000"/>
                <w:sz w:val="22"/>
                <w:szCs w:val="22"/>
                <w:lang w:eastAsia="zh-CN"/>
              </w:rPr>
            </w:pPr>
            <w:bookmarkStart w:id="2" w:name="_Hlk197280894"/>
            <w:r w:rsidRPr="0032288F">
              <w:rPr>
                <w:rFonts w:eastAsia="SimSun"/>
                <w:color w:val="000000"/>
                <w:sz w:val="22"/>
                <w:szCs w:val="22"/>
                <w:lang w:eastAsia="zh-CN"/>
              </w:rPr>
              <w:t xml:space="preserve">Critical thinking ability </w:t>
            </w:r>
            <w:bookmarkEnd w:id="2"/>
          </w:p>
        </w:tc>
        <w:tc>
          <w:tcPr>
            <w:tcW w:w="373"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3E525A02"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Critical thinking and engagement </w:t>
            </w:r>
          </w:p>
        </w:tc>
        <w:tc>
          <w:tcPr>
            <w:tcW w:w="1589" w:type="pct"/>
            <w:tcBorders>
              <w:top w:val="single" w:sz="8" w:space="0" w:color="000000"/>
              <w:left w:val="single" w:sz="8" w:space="0" w:color="000000"/>
              <w:bottom w:val="nil"/>
              <w:right w:val="single" w:sz="8" w:space="0" w:color="000000"/>
            </w:tcBorders>
            <w:shd w:val="clear" w:color="auto" w:fill="auto"/>
            <w:hideMark/>
          </w:tcPr>
          <w:p w14:paraId="7853C66E"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To what extent do you agree with the following statements: </w:t>
            </w:r>
          </w:p>
        </w:tc>
        <w:tc>
          <w:tcPr>
            <w:tcW w:w="565" w:type="pct"/>
            <w:tcBorders>
              <w:top w:val="single" w:sz="8" w:space="0" w:color="000000"/>
              <w:left w:val="single" w:sz="8" w:space="0" w:color="000000"/>
              <w:bottom w:val="nil"/>
              <w:right w:val="nil"/>
            </w:tcBorders>
            <w:shd w:val="clear" w:color="auto" w:fill="auto"/>
            <w:hideMark/>
          </w:tcPr>
          <w:p w14:paraId="40F063A5"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Strongly Disagree  </w:t>
            </w:r>
          </w:p>
        </w:tc>
        <w:tc>
          <w:tcPr>
            <w:tcW w:w="215" w:type="pct"/>
            <w:tcBorders>
              <w:top w:val="single" w:sz="8" w:space="0" w:color="000000"/>
              <w:left w:val="single" w:sz="8" w:space="0" w:color="000000"/>
              <w:bottom w:val="single" w:sz="8" w:space="0" w:color="000000"/>
              <w:right w:val="single" w:sz="8" w:space="0" w:color="000000"/>
            </w:tcBorders>
            <w:shd w:val="clear" w:color="auto" w:fill="auto"/>
            <w:hideMark/>
          </w:tcPr>
          <w:p w14:paraId="612B8A2E"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4.a</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5E60ED5C"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83395.672</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477EDCC8"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84260.506</w:t>
            </w:r>
          </w:p>
        </w:tc>
        <w:tc>
          <w:tcPr>
            <w:tcW w:w="253" w:type="pct"/>
            <w:tcBorders>
              <w:top w:val="single" w:sz="8" w:space="0" w:color="000000"/>
              <w:left w:val="single" w:sz="8" w:space="0" w:color="000000"/>
              <w:bottom w:val="single" w:sz="8" w:space="0" w:color="000000"/>
              <w:right w:val="single" w:sz="8" w:space="0" w:color="000000"/>
            </w:tcBorders>
            <w:shd w:val="clear" w:color="auto" w:fill="auto"/>
            <w:hideMark/>
          </w:tcPr>
          <w:p w14:paraId="68E8AFE2" w14:textId="188F5018"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593.96</w:t>
            </w:r>
            <w:r w:rsidR="00E04B4E" w:rsidRPr="00E04B4E">
              <w:rPr>
                <w:rFonts w:eastAsia="SimSun" w:hint="eastAsia"/>
                <w:color w:val="000000"/>
                <w:sz w:val="22"/>
                <w:szCs w:val="22"/>
                <w:lang w:eastAsia="zh-CN"/>
              </w:rPr>
              <w:t>*</w:t>
            </w:r>
          </w:p>
        </w:tc>
        <w:tc>
          <w:tcPr>
            <w:tcW w:w="213" w:type="pct"/>
            <w:tcBorders>
              <w:top w:val="single" w:sz="8" w:space="0" w:color="000000"/>
              <w:left w:val="single" w:sz="8" w:space="0" w:color="000000"/>
              <w:bottom w:val="single" w:sz="8" w:space="0" w:color="000000"/>
              <w:right w:val="single" w:sz="8" w:space="0" w:color="000000"/>
            </w:tcBorders>
            <w:shd w:val="clear" w:color="auto" w:fill="auto"/>
            <w:hideMark/>
          </w:tcPr>
          <w:p w14:paraId="41B05907"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63</w:t>
            </w:r>
          </w:p>
        </w:tc>
        <w:tc>
          <w:tcPr>
            <w:tcW w:w="241" w:type="pct"/>
            <w:tcBorders>
              <w:top w:val="single" w:sz="8" w:space="0" w:color="000000"/>
              <w:left w:val="single" w:sz="8" w:space="0" w:color="000000"/>
              <w:bottom w:val="single" w:sz="8" w:space="0" w:color="000000"/>
              <w:right w:val="single" w:sz="8" w:space="0" w:color="000000"/>
            </w:tcBorders>
            <w:shd w:val="clear" w:color="auto" w:fill="auto"/>
            <w:hideMark/>
          </w:tcPr>
          <w:p w14:paraId="255438E9"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0.091</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2B18148B"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0.929</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55D8E06D"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0.881</w:t>
            </w:r>
          </w:p>
        </w:tc>
        <w:tc>
          <w:tcPr>
            <w:tcW w:w="206" w:type="pct"/>
            <w:tcBorders>
              <w:top w:val="single" w:sz="8" w:space="0" w:color="000000"/>
              <w:left w:val="single" w:sz="8" w:space="0" w:color="000000"/>
              <w:bottom w:val="single" w:sz="8" w:space="0" w:color="000000"/>
              <w:right w:val="single" w:sz="4" w:space="0" w:color="auto"/>
            </w:tcBorders>
            <w:shd w:val="clear" w:color="auto" w:fill="auto"/>
            <w:hideMark/>
          </w:tcPr>
          <w:p w14:paraId="7C269DD2"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0.04</w:t>
            </w:r>
          </w:p>
        </w:tc>
      </w:tr>
      <w:tr w:rsidR="00CA39F3" w:rsidRPr="00CA39F3" w14:paraId="3AD59A33"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316046F8"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558F6F89"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7AB6B3A2"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Q1: I can grasp the logical connections between different ideas. </w:t>
            </w:r>
          </w:p>
        </w:tc>
        <w:tc>
          <w:tcPr>
            <w:tcW w:w="565" w:type="pct"/>
            <w:tcBorders>
              <w:top w:val="nil"/>
              <w:left w:val="single" w:sz="8" w:space="0" w:color="000000"/>
              <w:bottom w:val="nil"/>
              <w:right w:val="nil"/>
            </w:tcBorders>
            <w:shd w:val="clear" w:color="auto" w:fill="auto"/>
            <w:hideMark/>
          </w:tcPr>
          <w:p w14:paraId="4E163806"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Disagree </w:t>
            </w:r>
          </w:p>
        </w:tc>
        <w:tc>
          <w:tcPr>
            <w:tcW w:w="215" w:type="pct"/>
            <w:tcBorders>
              <w:top w:val="single" w:sz="8" w:space="0" w:color="000000"/>
              <w:left w:val="single" w:sz="8" w:space="0" w:color="000000"/>
              <w:bottom w:val="single" w:sz="8" w:space="0" w:color="000000"/>
              <w:right w:val="single" w:sz="8" w:space="0" w:color="000000"/>
            </w:tcBorders>
            <w:shd w:val="clear" w:color="auto" w:fill="auto"/>
            <w:hideMark/>
          </w:tcPr>
          <w:p w14:paraId="457026DB"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4.b</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7A8F6FE1"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83372.741</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6BC40026"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84031.662</w:t>
            </w:r>
          </w:p>
        </w:tc>
        <w:tc>
          <w:tcPr>
            <w:tcW w:w="253" w:type="pct"/>
            <w:tcBorders>
              <w:top w:val="single" w:sz="8" w:space="0" w:color="000000"/>
              <w:left w:val="single" w:sz="8" w:space="0" w:color="000000"/>
              <w:bottom w:val="single" w:sz="8" w:space="0" w:color="000000"/>
              <w:right w:val="single" w:sz="8" w:space="0" w:color="000000"/>
            </w:tcBorders>
            <w:shd w:val="clear" w:color="auto" w:fill="auto"/>
            <w:hideMark/>
          </w:tcPr>
          <w:p w14:paraId="5946A3EB" w14:textId="0385E01C"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638.432</w:t>
            </w:r>
            <w:r w:rsidR="00E04B4E" w:rsidRPr="00E04B4E">
              <w:rPr>
                <w:rFonts w:eastAsia="SimSun" w:hint="eastAsia"/>
                <w:color w:val="000000"/>
                <w:sz w:val="22"/>
                <w:szCs w:val="22"/>
                <w:lang w:eastAsia="zh-CN"/>
              </w:rPr>
              <w:t>*</w:t>
            </w:r>
          </w:p>
        </w:tc>
        <w:tc>
          <w:tcPr>
            <w:tcW w:w="213" w:type="pct"/>
            <w:tcBorders>
              <w:top w:val="single" w:sz="8" w:space="0" w:color="000000"/>
              <w:left w:val="single" w:sz="8" w:space="0" w:color="000000"/>
              <w:bottom w:val="single" w:sz="8" w:space="0" w:color="000000"/>
              <w:right w:val="single" w:sz="8" w:space="0" w:color="000000"/>
            </w:tcBorders>
            <w:shd w:val="clear" w:color="auto" w:fill="auto"/>
            <w:hideMark/>
          </w:tcPr>
          <w:p w14:paraId="060B60CA"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93</w:t>
            </w:r>
          </w:p>
        </w:tc>
        <w:tc>
          <w:tcPr>
            <w:tcW w:w="241" w:type="pct"/>
            <w:tcBorders>
              <w:top w:val="single" w:sz="8" w:space="0" w:color="000000"/>
              <w:left w:val="single" w:sz="8" w:space="0" w:color="000000"/>
              <w:bottom w:val="single" w:sz="8" w:space="0" w:color="000000"/>
              <w:right w:val="single" w:sz="8" w:space="0" w:color="000000"/>
            </w:tcBorders>
            <w:shd w:val="clear" w:color="auto" w:fill="auto"/>
            <w:hideMark/>
          </w:tcPr>
          <w:p w14:paraId="7D8CE6DE"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0.076</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2181C969"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0.927</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0B18973E"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0.917</w:t>
            </w:r>
          </w:p>
        </w:tc>
        <w:tc>
          <w:tcPr>
            <w:tcW w:w="206" w:type="pct"/>
            <w:tcBorders>
              <w:top w:val="single" w:sz="8" w:space="0" w:color="000000"/>
              <w:left w:val="single" w:sz="8" w:space="0" w:color="000000"/>
              <w:bottom w:val="single" w:sz="8" w:space="0" w:color="000000"/>
              <w:right w:val="single" w:sz="4" w:space="0" w:color="auto"/>
            </w:tcBorders>
            <w:shd w:val="clear" w:color="auto" w:fill="auto"/>
            <w:hideMark/>
          </w:tcPr>
          <w:p w14:paraId="496ECDAF"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0.051</w:t>
            </w:r>
          </w:p>
        </w:tc>
      </w:tr>
      <w:tr w:rsidR="00CA39F3" w:rsidRPr="00CA39F3" w14:paraId="71BC1FB0"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2F897863"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47DC29FB"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64436EFA"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Q2: I can interpret, evaluate, and analyse facts to make informed judgments. </w:t>
            </w:r>
          </w:p>
        </w:tc>
        <w:tc>
          <w:tcPr>
            <w:tcW w:w="565" w:type="pct"/>
            <w:tcBorders>
              <w:top w:val="nil"/>
              <w:left w:val="single" w:sz="8" w:space="0" w:color="000000"/>
              <w:bottom w:val="nil"/>
              <w:right w:val="nil"/>
            </w:tcBorders>
            <w:shd w:val="clear" w:color="auto" w:fill="auto"/>
            <w:hideMark/>
          </w:tcPr>
          <w:p w14:paraId="0A056323"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Neither agree nor disagree </w:t>
            </w:r>
          </w:p>
        </w:tc>
        <w:tc>
          <w:tcPr>
            <w:tcW w:w="215" w:type="pct"/>
            <w:tcBorders>
              <w:top w:val="single" w:sz="8" w:space="0" w:color="000000"/>
              <w:left w:val="single" w:sz="8" w:space="0" w:color="000000"/>
              <w:bottom w:val="single" w:sz="8" w:space="0" w:color="000000"/>
              <w:right w:val="single" w:sz="8" w:space="0" w:color="000000"/>
            </w:tcBorders>
            <w:shd w:val="clear" w:color="auto" w:fill="auto"/>
            <w:hideMark/>
          </w:tcPr>
          <w:p w14:paraId="0BB8E1ED"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4.c</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4EBFFB04"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83411.261</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360DB1F4"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83919.179</w:t>
            </w:r>
          </w:p>
        </w:tc>
        <w:tc>
          <w:tcPr>
            <w:tcW w:w="253" w:type="pct"/>
            <w:tcBorders>
              <w:top w:val="single" w:sz="8" w:space="0" w:color="000000"/>
              <w:left w:val="single" w:sz="8" w:space="0" w:color="000000"/>
              <w:bottom w:val="single" w:sz="8" w:space="0" w:color="000000"/>
              <w:right w:val="single" w:sz="8" w:space="0" w:color="000000"/>
            </w:tcBorders>
            <w:shd w:val="clear" w:color="auto" w:fill="auto"/>
            <w:hideMark/>
          </w:tcPr>
          <w:p w14:paraId="4670ADE4" w14:textId="30B36201"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742.26</w:t>
            </w:r>
            <w:r w:rsidR="00E04B4E" w:rsidRPr="00E04B4E">
              <w:rPr>
                <w:rFonts w:eastAsia="SimSun" w:hint="eastAsia"/>
                <w:color w:val="000000"/>
                <w:sz w:val="22"/>
                <w:szCs w:val="22"/>
                <w:lang w:eastAsia="zh-CN"/>
              </w:rPr>
              <w:t>*</w:t>
            </w:r>
          </w:p>
        </w:tc>
        <w:tc>
          <w:tcPr>
            <w:tcW w:w="213" w:type="pct"/>
            <w:tcBorders>
              <w:top w:val="single" w:sz="8" w:space="0" w:color="000000"/>
              <w:left w:val="single" w:sz="8" w:space="0" w:color="000000"/>
              <w:bottom w:val="single" w:sz="8" w:space="0" w:color="000000"/>
              <w:right w:val="single" w:sz="8" w:space="0" w:color="000000"/>
            </w:tcBorders>
            <w:shd w:val="clear" w:color="auto" w:fill="auto"/>
            <w:hideMark/>
          </w:tcPr>
          <w:p w14:paraId="6BCBCBE8"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115</w:t>
            </w:r>
          </w:p>
        </w:tc>
        <w:tc>
          <w:tcPr>
            <w:tcW w:w="241" w:type="pct"/>
            <w:tcBorders>
              <w:top w:val="single" w:sz="8" w:space="0" w:color="000000"/>
              <w:left w:val="single" w:sz="8" w:space="0" w:color="000000"/>
              <w:bottom w:val="single" w:sz="8" w:space="0" w:color="000000"/>
              <w:right w:val="single" w:sz="8" w:space="0" w:color="000000"/>
            </w:tcBorders>
            <w:shd w:val="clear" w:color="auto" w:fill="auto"/>
            <w:hideMark/>
          </w:tcPr>
          <w:p w14:paraId="045A7972"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0.073</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1DF1CF20"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0.916</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60A3C7C1"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0.923</w:t>
            </w:r>
          </w:p>
        </w:tc>
        <w:tc>
          <w:tcPr>
            <w:tcW w:w="206" w:type="pct"/>
            <w:tcBorders>
              <w:top w:val="single" w:sz="8" w:space="0" w:color="000000"/>
              <w:left w:val="single" w:sz="8" w:space="0" w:color="000000"/>
              <w:bottom w:val="single" w:sz="8" w:space="0" w:color="000000"/>
              <w:right w:val="single" w:sz="4" w:space="0" w:color="auto"/>
            </w:tcBorders>
            <w:shd w:val="clear" w:color="auto" w:fill="auto"/>
            <w:hideMark/>
          </w:tcPr>
          <w:p w14:paraId="06331BBF"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0.055</w:t>
            </w:r>
          </w:p>
        </w:tc>
      </w:tr>
      <w:tr w:rsidR="00CA39F3" w:rsidRPr="00CA39F3" w14:paraId="6BD0D996"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591890B5"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1E744DA4"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6ED356E8"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Q3: If I am not sure about something, I will research to find out more.</w:t>
            </w:r>
          </w:p>
        </w:tc>
        <w:tc>
          <w:tcPr>
            <w:tcW w:w="565" w:type="pct"/>
            <w:tcBorders>
              <w:top w:val="nil"/>
              <w:left w:val="single" w:sz="8" w:space="0" w:color="000000"/>
              <w:bottom w:val="nil"/>
              <w:right w:val="nil"/>
            </w:tcBorders>
            <w:shd w:val="clear" w:color="auto" w:fill="auto"/>
            <w:hideMark/>
          </w:tcPr>
          <w:p w14:paraId="3CB9E350"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Agree  </w:t>
            </w:r>
          </w:p>
        </w:tc>
        <w:tc>
          <w:tcPr>
            <w:tcW w:w="2070" w:type="pct"/>
            <w:gridSpan w:val="9"/>
            <w:vMerge w:val="restart"/>
            <w:tcBorders>
              <w:top w:val="single" w:sz="8" w:space="0" w:color="000000"/>
              <w:left w:val="single" w:sz="8" w:space="0" w:color="000000"/>
              <w:bottom w:val="single" w:sz="4" w:space="0" w:color="auto"/>
              <w:right w:val="single" w:sz="4" w:space="0" w:color="auto"/>
            </w:tcBorders>
            <w:shd w:val="clear" w:color="auto" w:fill="auto"/>
            <w:hideMark/>
          </w:tcPr>
          <w:p w14:paraId="42525698"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In the 4.c model, this study freed a subset of item intercepts in each country: Italy (Q3, Q6); Netherlands (Q3); Sweden (Q1, Q4, Q2); Switzerland (Q1, Q4).</w:t>
            </w:r>
          </w:p>
        </w:tc>
      </w:tr>
      <w:tr w:rsidR="00CA39F3" w:rsidRPr="00CA39F3" w14:paraId="2CF60CCE"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46383D90"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769E90B4"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3C224FF6"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Q4: I am confident in my ability to assess the credibility of information sources.</w:t>
            </w:r>
          </w:p>
        </w:tc>
        <w:tc>
          <w:tcPr>
            <w:tcW w:w="565" w:type="pct"/>
            <w:tcBorders>
              <w:top w:val="nil"/>
              <w:left w:val="single" w:sz="8" w:space="0" w:color="000000"/>
              <w:bottom w:val="nil"/>
              <w:right w:val="nil"/>
            </w:tcBorders>
            <w:shd w:val="clear" w:color="auto" w:fill="auto"/>
            <w:hideMark/>
          </w:tcPr>
          <w:p w14:paraId="0B6272E7"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Strongly Agree </w:t>
            </w:r>
          </w:p>
        </w:tc>
        <w:tc>
          <w:tcPr>
            <w:tcW w:w="2070" w:type="pct"/>
            <w:gridSpan w:val="9"/>
            <w:vMerge/>
            <w:tcBorders>
              <w:top w:val="nil"/>
              <w:left w:val="single" w:sz="8" w:space="0" w:color="000000"/>
              <w:bottom w:val="single" w:sz="4" w:space="0" w:color="auto"/>
              <w:right w:val="single" w:sz="4" w:space="0" w:color="auto"/>
            </w:tcBorders>
            <w:vAlign w:val="center"/>
            <w:hideMark/>
          </w:tcPr>
          <w:p w14:paraId="5ADEB5EC" w14:textId="77777777" w:rsidR="0032288F" w:rsidRPr="0032288F" w:rsidRDefault="0032288F" w:rsidP="0032288F">
            <w:pPr>
              <w:spacing w:line="240" w:lineRule="auto"/>
              <w:rPr>
                <w:rFonts w:eastAsia="SimSun"/>
                <w:color w:val="000000"/>
                <w:sz w:val="22"/>
                <w:szCs w:val="22"/>
                <w:lang w:eastAsia="zh-CN"/>
              </w:rPr>
            </w:pPr>
          </w:p>
        </w:tc>
      </w:tr>
      <w:tr w:rsidR="00CA39F3" w:rsidRPr="00CA39F3" w14:paraId="055DB896"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76560E27"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5E69EDC5"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20D3854C"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Q5: I know how to search for reliable information to develop my knowledge of a topic. </w:t>
            </w:r>
          </w:p>
        </w:tc>
        <w:tc>
          <w:tcPr>
            <w:tcW w:w="565" w:type="pct"/>
            <w:tcBorders>
              <w:top w:val="nil"/>
              <w:left w:val="single" w:sz="8" w:space="0" w:color="000000"/>
              <w:bottom w:val="nil"/>
              <w:right w:val="nil"/>
            </w:tcBorders>
            <w:shd w:val="clear" w:color="auto" w:fill="auto"/>
            <w:hideMark/>
          </w:tcPr>
          <w:p w14:paraId="6DAD6935" w14:textId="77777777" w:rsidR="0032288F" w:rsidRPr="0032288F" w:rsidRDefault="0032288F" w:rsidP="00CA39F3">
            <w:pPr>
              <w:spacing w:line="240" w:lineRule="auto"/>
              <w:rPr>
                <w:rFonts w:eastAsia="SimSun"/>
                <w:color w:val="000000"/>
                <w:sz w:val="22"/>
                <w:szCs w:val="22"/>
                <w:lang w:eastAsia="zh-CN"/>
              </w:rPr>
            </w:pPr>
          </w:p>
        </w:tc>
        <w:tc>
          <w:tcPr>
            <w:tcW w:w="2070" w:type="pct"/>
            <w:gridSpan w:val="9"/>
            <w:vMerge/>
            <w:tcBorders>
              <w:top w:val="nil"/>
              <w:left w:val="single" w:sz="8" w:space="0" w:color="000000"/>
              <w:bottom w:val="single" w:sz="4" w:space="0" w:color="auto"/>
              <w:right w:val="single" w:sz="4" w:space="0" w:color="auto"/>
            </w:tcBorders>
            <w:vAlign w:val="center"/>
            <w:hideMark/>
          </w:tcPr>
          <w:p w14:paraId="30AA03BA" w14:textId="77777777" w:rsidR="0032288F" w:rsidRPr="0032288F" w:rsidRDefault="0032288F" w:rsidP="0032288F">
            <w:pPr>
              <w:spacing w:line="240" w:lineRule="auto"/>
              <w:rPr>
                <w:rFonts w:eastAsia="SimSun"/>
                <w:color w:val="000000"/>
                <w:sz w:val="22"/>
                <w:szCs w:val="22"/>
                <w:lang w:eastAsia="zh-CN"/>
              </w:rPr>
            </w:pPr>
          </w:p>
        </w:tc>
      </w:tr>
      <w:tr w:rsidR="00CA39F3" w:rsidRPr="00CA39F3" w14:paraId="7D645195"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777F06F0"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5F3A2B15"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5593B53F"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Q6: It’s important that my opinions are influenced by evidence and not solely emotion or personal experience </w:t>
            </w:r>
          </w:p>
        </w:tc>
        <w:tc>
          <w:tcPr>
            <w:tcW w:w="565" w:type="pct"/>
            <w:tcBorders>
              <w:top w:val="nil"/>
              <w:left w:val="single" w:sz="8" w:space="0" w:color="000000"/>
              <w:bottom w:val="nil"/>
              <w:right w:val="nil"/>
            </w:tcBorders>
            <w:shd w:val="clear" w:color="auto" w:fill="auto"/>
            <w:hideMark/>
          </w:tcPr>
          <w:p w14:paraId="1E9D0BF4" w14:textId="77777777" w:rsidR="0032288F" w:rsidRPr="0032288F" w:rsidRDefault="0032288F" w:rsidP="00CA39F3">
            <w:pPr>
              <w:spacing w:line="240" w:lineRule="auto"/>
              <w:rPr>
                <w:rFonts w:eastAsia="SimSun"/>
                <w:color w:val="000000"/>
                <w:sz w:val="22"/>
                <w:szCs w:val="22"/>
                <w:lang w:eastAsia="zh-CN"/>
              </w:rPr>
            </w:pPr>
          </w:p>
        </w:tc>
        <w:tc>
          <w:tcPr>
            <w:tcW w:w="2070" w:type="pct"/>
            <w:gridSpan w:val="9"/>
            <w:vMerge/>
            <w:tcBorders>
              <w:top w:val="nil"/>
              <w:left w:val="single" w:sz="8" w:space="0" w:color="000000"/>
              <w:bottom w:val="single" w:sz="4" w:space="0" w:color="auto"/>
              <w:right w:val="single" w:sz="4" w:space="0" w:color="auto"/>
            </w:tcBorders>
            <w:vAlign w:val="center"/>
            <w:hideMark/>
          </w:tcPr>
          <w:p w14:paraId="09E04FDC" w14:textId="77777777" w:rsidR="0032288F" w:rsidRPr="0032288F" w:rsidRDefault="0032288F" w:rsidP="0032288F">
            <w:pPr>
              <w:spacing w:line="240" w:lineRule="auto"/>
              <w:rPr>
                <w:rFonts w:eastAsia="SimSun"/>
                <w:color w:val="000000"/>
                <w:sz w:val="22"/>
                <w:szCs w:val="22"/>
                <w:lang w:eastAsia="zh-CN"/>
              </w:rPr>
            </w:pPr>
          </w:p>
        </w:tc>
      </w:tr>
      <w:tr w:rsidR="00CA39F3" w:rsidRPr="00CA39F3" w14:paraId="2D20FAB3" w14:textId="77777777" w:rsidTr="00CA39F3">
        <w:trPr>
          <w:trHeight w:val="20"/>
        </w:trPr>
        <w:tc>
          <w:tcPr>
            <w:tcW w:w="404" w:type="pct"/>
            <w:vMerge w:val="restart"/>
            <w:tcBorders>
              <w:top w:val="single" w:sz="8" w:space="0" w:color="000000"/>
              <w:left w:val="single" w:sz="4" w:space="0" w:color="000000"/>
              <w:bottom w:val="single" w:sz="8" w:space="0" w:color="000000"/>
              <w:right w:val="single" w:sz="8" w:space="0" w:color="000000"/>
            </w:tcBorders>
            <w:shd w:val="clear" w:color="auto" w:fill="auto"/>
            <w:hideMark/>
          </w:tcPr>
          <w:p w14:paraId="0C9AB6D8"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Ideas-engagement </w:t>
            </w:r>
          </w:p>
        </w:tc>
        <w:tc>
          <w:tcPr>
            <w:tcW w:w="373"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26653DBC"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Value of ideas-engagement </w:t>
            </w:r>
          </w:p>
        </w:tc>
        <w:tc>
          <w:tcPr>
            <w:tcW w:w="1589"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14FE10CB"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How important is it for you to keep yourself well-informed? For example, by finding out more about different ideas or perspectives; learning more about scientific discoveries and new technology; and/or </w:t>
            </w:r>
            <w:r w:rsidRPr="0032288F">
              <w:rPr>
                <w:rFonts w:eastAsia="SimSun"/>
                <w:color w:val="000000"/>
                <w:sz w:val="22"/>
                <w:szCs w:val="22"/>
                <w:lang w:eastAsia="zh-CN"/>
              </w:rPr>
              <w:lastRenderedPageBreak/>
              <w:t xml:space="preserve">discovering more about different aspects of history and culture (including arts, literature etc.). </w:t>
            </w:r>
          </w:p>
        </w:tc>
        <w:tc>
          <w:tcPr>
            <w:tcW w:w="565" w:type="pct"/>
            <w:tcBorders>
              <w:top w:val="single" w:sz="8" w:space="0" w:color="000000"/>
              <w:left w:val="single" w:sz="8" w:space="0" w:color="000000"/>
              <w:bottom w:val="nil"/>
              <w:right w:val="single" w:sz="4" w:space="0" w:color="000000"/>
            </w:tcBorders>
            <w:shd w:val="clear" w:color="auto" w:fill="auto"/>
            <w:hideMark/>
          </w:tcPr>
          <w:p w14:paraId="71D6F7C3"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lastRenderedPageBreak/>
              <w:t xml:space="preserve">Very important </w:t>
            </w:r>
          </w:p>
        </w:tc>
        <w:tc>
          <w:tcPr>
            <w:tcW w:w="215" w:type="pct"/>
            <w:tcBorders>
              <w:top w:val="single" w:sz="4" w:space="0" w:color="auto"/>
              <w:left w:val="nil"/>
              <w:bottom w:val="nil"/>
              <w:right w:val="nil"/>
            </w:tcBorders>
            <w:shd w:val="clear" w:color="auto" w:fill="auto"/>
            <w:hideMark/>
          </w:tcPr>
          <w:p w14:paraId="5EEBE0A2" w14:textId="77777777" w:rsidR="0032288F" w:rsidRPr="0032288F" w:rsidRDefault="0032288F" w:rsidP="0032288F">
            <w:pPr>
              <w:spacing w:line="240" w:lineRule="auto"/>
              <w:ind w:firstLineChars="100" w:firstLine="220"/>
              <w:rPr>
                <w:rFonts w:eastAsia="SimSun"/>
                <w:color w:val="000000"/>
                <w:sz w:val="22"/>
                <w:szCs w:val="22"/>
                <w:lang w:eastAsia="zh-CN"/>
              </w:rPr>
            </w:pPr>
          </w:p>
        </w:tc>
        <w:tc>
          <w:tcPr>
            <w:tcW w:w="301" w:type="pct"/>
            <w:tcBorders>
              <w:top w:val="single" w:sz="4" w:space="0" w:color="auto"/>
              <w:left w:val="nil"/>
              <w:bottom w:val="nil"/>
              <w:right w:val="nil"/>
            </w:tcBorders>
            <w:shd w:val="clear" w:color="auto" w:fill="auto"/>
            <w:hideMark/>
          </w:tcPr>
          <w:p w14:paraId="1A159D2A" w14:textId="77777777" w:rsidR="0032288F" w:rsidRPr="0032288F" w:rsidRDefault="0032288F" w:rsidP="0032288F">
            <w:pPr>
              <w:spacing w:line="240" w:lineRule="auto"/>
              <w:rPr>
                <w:rFonts w:eastAsia="Times New Roman"/>
                <w:sz w:val="22"/>
                <w:szCs w:val="22"/>
                <w:lang w:eastAsia="zh-CN"/>
              </w:rPr>
            </w:pPr>
          </w:p>
        </w:tc>
        <w:tc>
          <w:tcPr>
            <w:tcW w:w="301" w:type="pct"/>
            <w:tcBorders>
              <w:top w:val="single" w:sz="4" w:space="0" w:color="auto"/>
              <w:left w:val="nil"/>
              <w:bottom w:val="nil"/>
              <w:right w:val="nil"/>
            </w:tcBorders>
            <w:shd w:val="clear" w:color="auto" w:fill="auto"/>
            <w:hideMark/>
          </w:tcPr>
          <w:p w14:paraId="4A3B26D4" w14:textId="77777777" w:rsidR="0032288F" w:rsidRPr="0032288F" w:rsidRDefault="0032288F" w:rsidP="0032288F">
            <w:pPr>
              <w:spacing w:line="240" w:lineRule="auto"/>
              <w:rPr>
                <w:rFonts w:eastAsia="Times New Roman"/>
                <w:sz w:val="22"/>
                <w:szCs w:val="22"/>
                <w:lang w:eastAsia="zh-CN"/>
              </w:rPr>
            </w:pPr>
          </w:p>
        </w:tc>
        <w:tc>
          <w:tcPr>
            <w:tcW w:w="253" w:type="pct"/>
            <w:tcBorders>
              <w:top w:val="single" w:sz="4" w:space="0" w:color="auto"/>
              <w:left w:val="nil"/>
              <w:bottom w:val="nil"/>
              <w:right w:val="nil"/>
            </w:tcBorders>
            <w:shd w:val="clear" w:color="auto" w:fill="auto"/>
            <w:hideMark/>
          </w:tcPr>
          <w:p w14:paraId="5A4D734C" w14:textId="77777777" w:rsidR="0032288F" w:rsidRPr="0032288F" w:rsidRDefault="0032288F" w:rsidP="0032288F">
            <w:pPr>
              <w:spacing w:line="240" w:lineRule="auto"/>
              <w:rPr>
                <w:rFonts w:eastAsia="Times New Roman"/>
                <w:sz w:val="22"/>
                <w:szCs w:val="22"/>
                <w:lang w:eastAsia="zh-CN"/>
              </w:rPr>
            </w:pPr>
          </w:p>
        </w:tc>
        <w:tc>
          <w:tcPr>
            <w:tcW w:w="213" w:type="pct"/>
            <w:tcBorders>
              <w:top w:val="single" w:sz="4" w:space="0" w:color="auto"/>
              <w:left w:val="nil"/>
              <w:bottom w:val="nil"/>
              <w:right w:val="nil"/>
            </w:tcBorders>
            <w:shd w:val="clear" w:color="auto" w:fill="auto"/>
            <w:hideMark/>
          </w:tcPr>
          <w:p w14:paraId="684D141B" w14:textId="77777777" w:rsidR="0032288F" w:rsidRPr="0032288F" w:rsidRDefault="0032288F" w:rsidP="0032288F">
            <w:pPr>
              <w:spacing w:line="240" w:lineRule="auto"/>
              <w:rPr>
                <w:rFonts w:eastAsia="Times New Roman"/>
                <w:sz w:val="22"/>
                <w:szCs w:val="22"/>
                <w:lang w:eastAsia="zh-CN"/>
              </w:rPr>
            </w:pPr>
          </w:p>
        </w:tc>
        <w:tc>
          <w:tcPr>
            <w:tcW w:w="241" w:type="pct"/>
            <w:tcBorders>
              <w:top w:val="single" w:sz="4" w:space="0" w:color="auto"/>
              <w:left w:val="nil"/>
              <w:bottom w:val="nil"/>
              <w:right w:val="nil"/>
            </w:tcBorders>
            <w:shd w:val="clear" w:color="auto" w:fill="auto"/>
            <w:hideMark/>
          </w:tcPr>
          <w:p w14:paraId="7009466B" w14:textId="77777777" w:rsidR="0032288F" w:rsidRPr="0032288F" w:rsidRDefault="0032288F" w:rsidP="0032288F">
            <w:pPr>
              <w:spacing w:line="240" w:lineRule="auto"/>
              <w:rPr>
                <w:rFonts w:eastAsia="Times New Roman"/>
                <w:sz w:val="22"/>
                <w:szCs w:val="22"/>
                <w:lang w:eastAsia="zh-CN"/>
              </w:rPr>
            </w:pPr>
          </w:p>
        </w:tc>
        <w:tc>
          <w:tcPr>
            <w:tcW w:w="170" w:type="pct"/>
            <w:tcBorders>
              <w:top w:val="single" w:sz="4" w:space="0" w:color="auto"/>
              <w:left w:val="nil"/>
              <w:bottom w:val="nil"/>
              <w:right w:val="nil"/>
            </w:tcBorders>
            <w:shd w:val="clear" w:color="auto" w:fill="auto"/>
            <w:hideMark/>
          </w:tcPr>
          <w:p w14:paraId="2EDF6551" w14:textId="77777777" w:rsidR="0032288F" w:rsidRPr="0032288F" w:rsidRDefault="0032288F" w:rsidP="0032288F">
            <w:pPr>
              <w:spacing w:line="240" w:lineRule="auto"/>
              <w:rPr>
                <w:rFonts w:eastAsia="Times New Roman"/>
                <w:sz w:val="22"/>
                <w:szCs w:val="22"/>
                <w:lang w:eastAsia="zh-CN"/>
              </w:rPr>
            </w:pPr>
          </w:p>
        </w:tc>
        <w:tc>
          <w:tcPr>
            <w:tcW w:w="170" w:type="pct"/>
            <w:tcBorders>
              <w:top w:val="single" w:sz="4" w:space="0" w:color="auto"/>
              <w:left w:val="nil"/>
              <w:bottom w:val="nil"/>
              <w:right w:val="nil"/>
            </w:tcBorders>
            <w:shd w:val="clear" w:color="auto" w:fill="auto"/>
            <w:hideMark/>
          </w:tcPr>
          <w:p w14:paraId="4B3EA460" w14:textId="77777777" w:rsidR="0032288F" w:rsidRPr="0032288F" w:rsidRDefault="0032288F" w:rsidP="0032288F">
            <w:pPr>
              <w:spacing w:line="240" w:lineRule="auto"/>
              <w:rPr>
                <w:rFonts w:eastAsia="Times New Roman"/>
                <w:sz w:val="22"/>
                <w:szCs w:val="22"/>
                <w:lang w:eastAsia="zh-CN"/>
              </w:rPr>
            </w:pPr>
          </w:p>
        </w:tc>
        <w:tc>
          <w:tcPr>
            <w:tcW w:w="206" w:type="pct"/>
            <w:tcBorders>
              <w:top w:val="single" w:sz="4" w:space="0" w:color="auto"/>
              <w:left w:val="nil"/>
              <w:bottom w:val="nil"/>
              <w:right w:val="single" w:sz="4" w:space="0" w:color="auto"/>
            </w:tcBorders>
            <w:shd w:val="clear" w:color="auto" w:fill="auto"/>
            <w:hideMark/>
          </w:tcPr>
          <w:p w14:paraId="3D34C972" w14:textId="77777777" w:rsidR="0032288F" w:rsidRPr="0032288F" w:rsidRDefault="0032288F" w:rsidP="0032288F">
            <w:pPr>
              <w:spacing w:line="240" w:lineRule="auto"/>
              <w:rPr>
                <w:rFonts w:eastAsia="Times New Roman"/>
                <w:sz w:val="22"/>
                <w:szCs w:val="22"/>
                <w:lang w:eastAsia="zh-CN"/>
              </w:rPr>
            </w:pPr>
          </w:p>
        </w:tc>
      </w:tr>
      <w:tr w:rsidR="00CA39F3" w:rsidRPr="00CA39F3" w14:paraId="4D7DC586"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653E6829"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262EE382" w14:textId="77777777" w:rsidR="0032288F" w:rsidRPr="0032288F" w:rsidRDefault="0032288F" w:rsidP="0032288F">
            <w:pPr>
              <w:spacing w:line="240" w:lineRule="auto"/>
              <w:rPr>
                <w:rFonts w:eastAsia="SimSun"/>
                <w:color w:val="000000"/>
                <w:sz w:val="22"/>
                <w:szCs w:val="22"/>
                <w:lang w:eastAsia="zh-CN"/>
              </w:rPr>
            </w:pPr>
          </w:p>
        </w:tc>
        <w:tc>
          <w:tcPr>
            <w:tcW w:w="1589" w:type="pct"/>
            <w:vMerge/>
            <w:tcBorders>
              <w:top w:val="single" w:sz="8" w:space="0" w:color="000000"/>
              <w:left w:val="single" w:sz="8" w:space="0" w:color="000000"/>
              <w:bottom w:val="single" w:sz="8" w:space="0" w:color="000000"/>
              <w:right w:val="single" w:sz="8" w:space="0" w:color="000000"/>
            </w:tcBorders>
            <w:vAlign w:val="center"/>
            <w:hideMark/>
          </w:tcPr>
          <w:p w14:paraId="6FDABA4E" w14:textId="77777777" w:rsidR="0032288F" w:rsidRPr="0032288F" w:rsidRDefault="0032288F" w:rsidP="0032288F">
            <w:pPr>
              <w:spacing w:line="240" w:lineRule="auto"/>
              <w:rPr>
                <w:rFonts w:eastAsia="SimSun"/>
                <w:color w:val="000000"/>
                <w:sz w:val="22"/>
                <w:szCs w:val="22"/>
                <w:lang w:eastAsia="zh-CN"/>
              </w:rPr>
            </w:pPr>
          </w:p>
        </w:tc>
        <w:tc>
          <w:tcPr>
            <w:tcW w:w="565" w:type="pct"/>
            <w:tcBorders>
              <w:top w:val="nil"/>
              <w:left w:val="single" w:sz="8" w:space="0" w:color="000000"/>
              <w:bottom w:val="nil"/>
              <w:right w:val="single" w:sz="4" w:space="0" w:color="000000"/>
            </w:tcBorders>
            <w:shd w:val="clear" w:color="auto" w:fill="auto"/>
            <w:hideMark/>
          </w:tcPr>
          <w:p w14:paraId="352A3880"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Important </w:t>
            </w:r>
          </w:p>
        </w:tc>
        <w:tc>
          <w:tcPr>
            <w:tcW w:w="215" w:type="pct"/>
            <w:tcBorders>
              <w:top w:val="nil"/>
              <w:left w:val="nil"/>
              <w:bottom w:val="nil"/>
              <w:right w:val="nil"/>
            </w:tcBorders>
            <w:shd w:val="clear" w:color="auto" w:fill="auto"/>
            <w:hideMark/>
          </w:tcPr>
          <w:p w14:paraId="2FC64B36" w14:textId="77777777" w:rsidR="0032288F" w:rsidRPr="0032288F" w:rsidRDefault="0032288F" w:rsidP="0032288F">
            <w:pPr>
              <w:spacing w:line="240" w:lineRule="auto"/>
              <w:ind w:firstLineChars="100" w:firstLine="220"/>
              <w:rPr>
                <w:rFonts w:eastAsia="SimSun"/>
                <w:color w:val="000000"/>
                <w:sz w:val="22"/>
                <w:szCs w:val="22"/>
                <w:lang w:eastAsia="zh-CN"/>
              </w:rPr>
            </w:pPr>
          </w:p>
        </w:tc>
        <w:tc>
          <w:tcPr>
            <w:tcW w:w="301" w:type="pct"/>
            <w:tcBorders>
              <w:top w:val="nil"/>
              <w:left w:val="nil"/>
              <w:bottom w:val="nil"/>
              <w:right w:val="nil"/>
            </w:tcBorders>
            <w:shd w:val="clear" w:color="auto" w:fill="auto"/>
            <w:hideMark/>
          </w:tcPr>
          <w:p w14:paraId="65401FBF" w14:textId="77777777" w:rsidR="0032288F" w:rsidRPr="0032288F" w:rsidRDefault="0032288F" w:rsidP="0032288F">
            <w:pPr>
              <w:spacing w:line="240" w:lineRule="auto"/>
              <w:rPr>
                <w:rFonts w:eastAsia="Times New Roman"/>
                <w:sz w:val="22"/>
                <w:szCs w:val="22"/>
                <w:lang w:eastAsia="zh-CN"/>
              </w:rPr>
            </w:pPr>
          </w:p>
        </w:tc>
        <w:tc>
          <w:tcPr>
            <w:tcW w:w="301" w:type="pct"/>
            <w:tcBorders>
              <w:top w:val="nil"/>
              <w:left w:val="nil"/>
              <w:bottom w:val="nil"/>
              <w:right w:val="nil"/>
            </w:tcBorders>
            <w:shd w:val="clear" w:color="auto" w:fill="auto"/>
            <w:hideMark/>
          </w:tcPr>
          <w:p w14:paraId="680EC703" w14:textId="77777777" w:rsidR="0032288F" w:rsidRPr="0032288F" w:rsidRDefault="0032288F" w:rsidP="0032288F">
            <w:pPr>
              <w:spacing w:line="240" w:lineRule="auto"/>
              <w:rPr>
                <w:rFonts w:eastAsia="Times New Roman"/>
                <w:sz w:val="22"/>
                <w:szCs w:val="22"/>
                <w:lang w:eastAsia="zh-CN"/>
              </w:rPr>
            </w:pPr>
          </w:p>
        </w:tc>
        <w:tc>
          <w:tcPr>
            <w:tcW w:w="253" w:type="pct"/>
            <w:tcBorders>
              <w:top w:val="nil"/>
              <w:left w:val="nil"/>
              <w:bottom w:val="nil"/>
              <w:right w:val="nil"/>
            </w:tcBorders>
            <w:shd w:val="clear" w:color="auto" w:fill="auto"/>
            <w:hideMark/>
          </w:tcPr>
          <w:p w14:paraId="19F5BC1F" w14:textId="77777777" w:rsidR="0032288F" w:rsidRPr="0032288F" w:rsidRDefault="0032288F" w:rsidP="0032288F">
            <w:pPr>
              <w:spacing w:line="240" w:lineRule="auto"/>
              <w:rPr>
                <w:rFonts w:eastAsia="Times New Roman"/>
                <w:sz w:val="22"/>
                <w:szCs w:val="22"/>
                <w:lang w:eastAsia="zh-CN"/>
              </w:rPr>
            </w:pPr>
          </w:p>
        </w:tc>
        <w:tc>
          <w:tcPr>
            <w:tcW w:w="213" w:type="pct"/>
            <w:tcBorders>
              <w:top w:val="nil"/>
              <w:left w:val="nil"/>
              <w:bottom w:val="nil"/>
              <w:right w:val="nil"/>
            </w:tcBorders>
            <w:shd w:val="clear" w:color="auto" w:fill="auto"/>
            <w:hideMark/>
          </w:tcPr>
          <w:p w14:paraId="033EB8AC" w14:textId="77777777" w:rsidR="0032288F" w:rsidRPr="0032288F" w:rsidRDefault="0032288F" w:rsidP="0032288F">
            <w:pPr>
              <w:spacing w:line="240" w:lineRule="auto"/>
              <w:rPr>
                <w:rFonts w:eastAsia="Times New Roman"/>
                <w:sz w:val="22"/>
                <w:szCs w:val="22"/>
                <w:lang w:eastAsia="zh-CN"/>
              </w:rPr>
            </w:pPr>
          </w:p>
        </w:tc>
        <w:tc>
          <w:tcPr>
            <w:tcW w:w="241" w:type="pct"/>
            <w:tcBorders>
              <w:top w:val="nil"/>
              <w:left w:val="nil"/>
              <w:bottom w:val="nil"/>
              <w:right w:val="nil"/>
            </w:tcBorders>
            <w:shd w:val="clear" w:color="auto" w:fill="auto"/>
            <w:hideMark/>
          </w:tcPr>
          <w:p w14:paraId="183F55EF" w14:textId="77777777" w:rsidR="0032288F" w:rsidRPr="0032288F" w:rsidRDefault="0032288F" w:rsidP="0032288F">
            <w:pPr>
              <w:spacing w:line="240" w:lineRule="auto"/>
              <w:rPr>
                <w:rFonts w:eastAsia="Times New Roman"/>
                <w:sz w:val="22"/>
                <w:szCs w:val="22"/>
                <w:lang w:eastAsia="zh-CN"/>
              </w:rPr>
            </w:pPr>
          </w:p>
        </w:tc>
        <w:tc>
          <w:tcPr>
            <w:tcW w:w="170" w:type="pct"/>
            <w:tcBorders>
              <w:top w:val="nil"/>
              <w:left w:val="nil"/>
              <w:bottom w:val="nil"/>
              <w:right w:val="nil"/>
            </w:tcBorders>
            <w:shd w:val="clear" w:color="auto" w:fill="auto"/>
            <w:hideMark/>
          </w:tcPr>
          <w:p w14:paraId="50D07530" w14:textId="77777777" w:rsidR="0032288F" w:rsidRPr="0032288F" w:rsidRDefault="0032288F" w:rsidP="0032288F">
            <w:pPr>
              <w:spacing w:line="240" w:lineRule="auto"/>
              <w:rPr>
                <w:rFonts w:eastAsia="Times New Roman"/>
                <w:sz w:val="22"/>
                <w:szCs w:val="22"/>
                <w:lang w:eastAsia="zh-CN"/>
              </w:rPr>
            </w:pPr>
          </w:p>
        </w:tc>
        <w:tc>
          <w:tcPr>
            <w:tcW w:w="170" w:type="pct"/>
            <w:tcBorders>
              <w:top w:val="nil"/>
              <w:left w:val="nil"/>
              <w:bottom w:val="nil"/>
              <w:right w:val="nil"/>
            </w:tcBorders>
            <w:shd w:val="clear" w:color="auto" w:fill="auto"/>
            <w:hideMark/>
          </w:tcPr>
          <w:p w14:paraId="682C883A" w14:textId="77777777" w:rsidR="0032288F" w:rsidRPr="0032288F" w:rsidRDefault="0032288F" w:rsidP="0032288F">
            <w:pPr>
              <w:spacing w:line="240" w:lineRule="auto"/>
              <w:rPr>
                <w:rFonts w:eastAsia="Times New Roman"/>
                <w:sz w:val="22"/>
                <w:szCs w:val="22"/>
                <w:lang w:eastAsia="zh-CN"/>
              </w:rPr>
            </w:pPr>
          </w:p>
        </w:tc>
        <w:tc>
          <w:tcPr>
            <w:tcW w:w="206" w:type="pct"/>
            <w:tcBorders>
              <w:top w:val="nil"/>
              <w:left w:val="nil"/>
              <w:bottom w:val="nil"/>
              <w:right w:val="single" w:sz="4" w:space="0" w:color="auto"/>
            </w:tcBorders>
            <w:shd w:val="clear" w:color="auto" w:fill="auto"/>
            <w:hideMark/>
          </w:tcPr>
          <w:p w14:paraId="0F731874" w14:textId="77777777" w:rsidR="0032288F" w:rsidRPr="0032288F" w:rsidRDefault="0032288F" w:rsidP="0032288F">
            <w:pPr>
              <w:spacing w:line="240" w:lineRule="auto"/>
              <w:rPr>
                <w:rFonts w:eastAsia="Times New Roman"/>
                <w:sz w:val="22"/>
                <w:szCs w:val="22"/>
                <w:lang w:eastAsia="zh-CN"/>
              </w:rPr>
            </w:pPr>
          </w:p>
        </w:tc>
      </w:tr>
      <w:tr w:rsidR="00CA39F3" w:rsidRPr="00CA39F3" w14:paraId="6450DF4D"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6D0F8609"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0795F7BE" w14:textId="77777777" w:rsidR="0032288F" w:rsidRPr="0032288F" w:rsidRDefault="0032288F" w:rsidP="0032288F">
            <w:pPr>
              <w:spacing w:line="240" w:lineRule="auto"/>
              <w:rPr>
                <w:rFonts w:eastAsia="SimSun"/>
                <w:color w:val="000000"/>
                <w:sz w:val="22"/>
                <w:szCs w:val="22"/>
                <w:lang w:eastAsia="zh-CN"/>
              </w:rPr>
            </w:pPr>
          </w:p>
        </w:tc>
        <w:tc>
          <w:tcPr>
            <w:tcW w:w="1589" w:type="pct"/>
            <w:vMerge/>
            <w:tcBorders>
              <w:top w:val="single" w:sz="8" w:space="0" w:color="000000"/>
              <w:left w:val="single" w:sz="8" w:space="0" w:color="000000"/>
              <w:bottom w:val="single" w:sz="8" w:space="0" w:color="000000"/>
              <w:right w:val="single" w:sz="8" w:space="0" w:color="000000"/>
            </w:tcBorders>
            <w:vAlign w:val="center"/>
            <w:hideMark/>
          </w:tcPr>
          <w:p w14:paraId="1F4DD9DD" w14:textId="77777777" w:rsidR="0032288F" w:rsidRPr="0032288F" w:rsidRDefault="0032288F" w:rsidP="0032288F">
            <w:pPr>
              <w:spacing w:line="240" w:lineRule="auto"/>
              <w:rPr>
                <w:rFonts w:eastAsia="SimSun"/>
                <w:color w:val="000000"/>
                <w:sz w:val="22"/>
                <w:szCs w:val="22"/>
                <w:lang w:eastAsia="zh-CN"/>
              </w:rPr>
            </w:pPr>
          </w:p>
        </w:tc>
        <w:tc>
          <w:tcPr>
            <w:tcW w:w="565" w:type="pct"/>
            <w:tcBorders>
              <w:top w:val="nil"/>
              <w:left w:val="single" w:sz="8" w:space="0" w:color="000000"/>
              <w:bottom w:val="nil"/>
              <w:right w:val="single" w:sz="4" w:space="0" w:color="000000"/>
            </w:tcBorders>
            <w:shd w:val="clear" w:color="auto" w:fill="auto"/>
            <w:hideMark/>
          </w:tcPr>
          <w:p w14:paraId="08ABC2B6"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Neither important or unimportant </w:t>
            </w:r>
          </w:p>
        </w:tc>
        <w:tc>
          <w:tcPr>
            <w:tcW w:w="215" w:type="pct"/>
            <w:tcBorders>
              <w:top w:val="nil"/>
              <w:left w:val="nil"/>
              <w:bottom w:val="nil"/>
              <w:right w:val="nil"/>
            </w:tcBorders>
            <w:shd w:val="clear" w:color="auto" w:fill="auto"/>
            <w:hideMark/>
          </w:tcPr>
          <w:p w14:paraId="40598846" w14:textId="77777777" w:rsidR="0032288F" w:rsidRPr="0032288F" w:rsidRDefault="0032288F" w:rsidP="0032288F">
            <w:pPr>
              <w:spacing w:line="240" w:lineRule="auto"/>
              <w:ind w:firstLineChars="100" w:firstLine="220"/>
              <w:rPr>
                <w:rFonts w:eastAsia="SimSun"/>
                <w:color w:val="000000"/>
                <w:sz w:val="22"/>
                <w:szCs w:val="22"/>
                <w:lang w:eastAsia="zh-CN"/>
              </w:rPr>
            </w:pPr>
          </w:p>
        </w:tc>
        <w:tc>
          <w:tcPr>
            <w:tcW w:w="301" w:type="pct"/>
            <w:tcBorders>
              <w:top w:val="nil"/>
              <w:left w:val="nil"/>
              <w:bottom w:val="nil"/>
              <w:right w:val="nil"/>
            </w:tcBorders>
            <w:shd w:val="clear" w:color="auto" w:fill="auto"/>
            <w:hideMark/>
          </w:tcPr>
          <w:p w14:paraId="45CDBC32" w14:textId="77777777" w:rsidR="0032288F" w:rsidRPr="0032288F" w:rsidRDefault="0032288F" w:rsidP="0032288F">
            <w:pPr>
              <w:spacing w:line="240" w:lineRule="auto"/>
              <w:rPr>
                <w:rFonts w:eastAsia="Times New Roman"/>
                <w:sz w:val="22"/>
                <w:szCs w:val="22"/>
                <w:lang w:eastAsia="zh-CN"/>
              </w:rPr>
            </w:pPr>
          </w:p>
        </w:tc>
        <w:tc>
          <w:tcPr>
            <w:tcW w:w="301" w:type="pct"/>
            <w:tcBorders>
              <w:top w:val="nil"/>
              <w:left w:val="nil"/>
              <w:bottom w:val="nil"/>
              <w:right w:val="nil"/>
            </w:tcBorders>
            <w:shd w:val="clear" w:color="auto" w:fill="auto"/>
            <w:hideMark/>
          </w:tcPr>
          <w:p w14:paraId="00B9B10B" w14:textId="77777777" w:rsidR="0032288F" w:rsidRPr="0032288F" w:rsidRDefault="0032288F" w:rsidP="0032288F">
            <w:pPr>
              <w:spacing w:line="240" w:lineRule="auto"/>
              <w:rPr>
                <w:rFonts w:eastAsia="Times New Roman"/>
                <w:sz w:val="22"/>
                <w:szCs w:val="22"/>
                <w:lang w:eastAsia="zh-CN"/>
              </w:rPr>
            </w:pPr>
          </w:p>
        </w:tc>
        <w:tc>
          <w:tcPr>
            <w:tcW w:w="253" w:type="pct"/>
            <w:tcBorders>
              <w:top w:val="nil"/>
              <w:left w:val="nil"/>
              <w:bottom w:val="nil"/>
              <w:right w:val="nil"/>
            </w:tcBorders>
            <w:shd w:val="clear" w:color="auto" w:fill="auto"/>
            <w:hideMark/>
          </w:tcPr>
          <w:p w14:paraId="6EC9B588" w14:textId="77777777" w:rsidR="0032288F" w:rsidRPr="0032288F" w:rsidRDefault="0032288F" w:rsidP="0032288F">
            <w:pPr>
              <w:spacing w:line="240" w:lineRule="auto"/>
              <w:rPr>
                <w:rFonts w:eastAsia="Times New Roman"/>
                <w:sz w:val="22"/>
                <w:szCs w:val="22"/>
                <w:lang w:eastAsia="zh-CN"/>
              </w:rPr>
            </w:pPr>
          </w:p>
        </w:tc>
        <w:tc>
          <w:tcPr>
            <w:tcW w:w="213" w:type="pct"/>
            <w:tcBorders>
              <w:top w:val="nil"/>
              <w:left w:val="nil"/>
              <w:bottom w:val="nil"/>
              <w:right w:val="nil"/>
            </w:tcBorders>
            <w:shd w:val="clear" w:color="auto" w:fill="auto"/>
            <w:hideMark/>
          </w:tcPr>
          <w:p w14:paraId="4B4607A3" w14:textId="77777777" w:rsidR="0032288F" w:rsidRPr="0032288F" w:rsidRDefault="0032288F" w:rsidP="0032288F">
            <w:pPr>
              <w:spacing w:line="240" w:lineRule="auto"/>
              <w:rPr>
                <w:rFonts w:eastAsia="Times New Roman"/>
                <w:sz w:val="22"/>
                <w:szCs w:val="22"/>
                <w:lang w:eastAsia="zh-CN"/>
              </w:rPr>
            </w:pPr>
          </w:p>
        </w:tc>
        <w:tc>
          <w:tcPr>
            <w:tcW w:w="241" w:type="pct"/>
            <w:tcBorders>
              <w:top w:val="nil"/>
              <w:left w:val="nil"/>
              <w:bottom w:val="nil"/>
              <w:right w:val="nil"/>
            </w:tcBorders>
            <w:shd w:val="clear" w:color="auto" w:fill="auto"/>
            <w:hideMark/>
          </w:tcPr>
          <w:p w14:paraId="589FC684" w14:textId="77777777" w:rsidR="0032288F" w:rsidRPr="0032288F" w:rsidRDefault="0032288F" w:rsidP="0032288F">
            <w:pPr>
              <w:spacing w:line="240" w:lineRule="auto"/>
              <w:rPr>
                <w:rFonts w:eastAsia="Times New Roman"/>
                <w:sz w:val="22"/>
                <w:szCs w:val="22"/>
                <w:lang w:eastAsia="zh-CN"/>
              </w:rPr>
            </w:pPr>
          </w:p>
        </w:tc>
        <w:tc>
          <w:tcPr>
            <w:tcW w:w="170" w:type="pct"/>
            <w:tcBorders>
              <w:top w:val="nil"/>
              <w:left w:val="nil"/>
              <w:bottom w:val="nil"/>
              <w:right w:val="nil"/>
            </w:tcBorders>
            <w:shd w:val="clear" w:color="auto" w:fill="auto"/>
            <w:hideMark/>
          </w:tcPr>
          <w:p w14:paraId="048F88AE" w14:textId="77777777" w:rsidR="0032288F" w:rsidRPr="0032288F" w:rsidRDefault="0032288F" w:rsidP="0032288F">
            <w:pPr>
              <w:spacing w:line="240" w:lineRule="auto"/>
              <w:rPr>
                <w:rFonts w:eastAsia="Times New Roman"/>
                <w:sz w:val="22"/>
                <w:szCs w:val="22"/>
                <w:lang w:eastAsia="zh-CN"/>
              </w:rPr>
            </w:pPr>
          </w:p>
        </w:tc>
        <w:tc>
          <w:tcPr>
            <w:tcW w:w="170" w:type="pct"/>
            <w:tcBorders>
              <w:top w:val="nil"/>
              <w:left w:val="nil"/>
              <w:bottom w:val="nil"/>
              <w:right w:val="nil"/>
            </w:tcBorders>
            <w:shd w:val="clear" w:color="auto" w:fill="auto"/>
            <w:hideMark/>
          </w:tcPr>
          <w:p w14:paraId="117B1CB5" w14:textId="77777777" w:rsidR="0032288F" w:rsidRPr="0032288F" w:rsidRDefault="0032288F" w:rsidP="0032288F">
            <w:pPr>
              <w:spacing w:line="240" w:lineRule="auto"/>
              <w:rPr>
                <w:rFonts w:eastAsia="Times New Roman"/>
                <w:sz w:val="22"/>
                <w:szCs w:val="22"/>
                <w:lang w:eastAsia="zh-CN"/>
              </w:rPr>
            </w:pPr>
          </w:p>
        </w:tc>
        <w:tc>
          <w:tcPr>
            <w:tcW w:w="206" w:type="pct"/>
            <w:tcBorders>
              <w:top w:val="nil"/>
              <w:left w:val="nil"/>
              <w:bottom w:val="nil"/>
              <w:right w:val="single" w:sz="4" w:space="0" w:color="auto"/>
            </w:tcBorders>
            <w:shd w:val="clear" w:color="auto" w:fill="auto"/>
            <w:hideMark/>
          </w:tcPr>
          <w:p w14:paraId="3B0906A6" w14:textId="77777777" w:rsidR="0032288F" w:rsidRPr="0032288F" w:rsidRDefault="0032288F" w:rsidP="0032288F">
            <w:pPr>
              <w:spacing w:line="240" w:lineRule="auto"/>
              <w:rPr>
                <w:rFonts w:eastAsia="Times New Roman"/>
                <w:sz w:val="22"/>
                <w:szCs w:val="22"/>
                <w:lang w:eastAsia="zh-CN"/>
              </w:rPr>
            </w:pPr>
          </w:p>
        </w:tc>
      </w:tr>
      <w:tr w:rsidR="00CA39F3" w:rsidRPr="00CA39F3" w14:paraId="01ED85F8"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0D937461"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6CE453D3" w14:textId="77777777" w:rsidR="0032288F" w:rsidRPr="0032288F" w:rsidRDefault="0032288F" w:rsidP="0032288F">
            <w:pPr>
              <w:spacing w:line="240" w:lineRule="auto"/>
              <w:rPr>
                <w:rFonts w:eastAsia="SimSun"/>
                <w:color w:val="000000"/>
                <w:sz w:val="22"/>
                <w:szCs w:val="22"/>
                <w:lang w:eastAsia="zh-CN"/>
              </w:rPr>
            </w:pPr>
          </w:p>
        </w:tc>
        <w:tc>
          <w:tcPr>
            <w:tcW w:w="1589" w:type="pct"/>
            <w:vMerge/>
            <w:tcBorders>
              <w:top w:val="single" w:sz="8" w:space="0" w:color="000000"/>
              <w:left w:val="single" w:sz="8" w:space="0" w:color="000000"/>
              <w:bottom w:val="single" w:sz="8" w:space="0" w:color="000000"/>
              <w:right w:val="single" w:sz="8" w:space="0" w:color="000000"/>
            </w:tcBorders>
            <w:vAlign w:val="center"/>
            <w:hideMark/>
          </w:tcPr>
          <w:p w14:paraId="0E70B466" w14:textId="77777777" w:rsidR="0032288F" w:rsidRPr="0032288F" w:rsidRDefault="0032288F" w:rsidP="0032288F">
            <w:pPr>
              <w:spacing w:line="240" w:lineRule="auto"/>
              <w:rPr>
                <w:rFonts w:eastAsia="SimSun"/>
                <w:color w:val="000000"/>
                <w:sz w:val="22"/>
                <w:szCs w:val="22"/>
                <w:lang w:eastAsia="zh-CN"/>
              </w:rPr>
            </w:pPr>
          </w:p>
        </w:tc>
        <w:tc>
          <w:tcPr>
            <w:tcW w:w="565" w:type="pct"/>
            <w:tcBorders>
              <w:top w:val="nil"/>
              <w:left w:val="single" w:sz="8" w:space="0" w:color="000000"/>
              <w:bottom w:val="nil"/>
              <w:right w:val="single" w:sz="4" w:space="0" w:color="000000"/>
            </w:tcBorders>
            <w:shd w:val="clear" w:color="auto" w:fill="auto"/>
            <w:hideMark/>
          </w:tcPr>
          <w:p w14:paraId="14C57284"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Somewhat important </w:t>
            </w:r>
          </w:p>
        </w:tc>
        <w:tc>
          <w:tcPr>
            <w:tcW w:w="215" w:type="pct"/>
            <w:tcBorders>
              <w:top w:val="nil"/>
              <w:left w:val="nil"/>
              <w:right w:val="nil"/>
            </w:tcBorders>
            <w:shd w:val="clear" w:color="auto" w:fill="auto"/>
            <w:hideMark/>
          </w:tcPr>
          <w:p w14:paraId="75C6F409" w14:textId="77777777" w:rsidR="0032288F" w:rsidRPr="0032288F" w:rsidRDefault="0032288F" w:rsidP="0032288F">
            <w:pPr>
              <w:spacing w:line="240" w:lineRule="auto"/>
              <w:ind w:firstLineChars="100" w:firstLine="220"/>
              <w:rPr>
                <w:rFonts w:eastAsia="SimSun"/>
                <w:color w:val="000000"/>
                <w:sz w:val="22"/>
                <w:szCs w:val="22"/>
                <w:lang w:eastAsia="zh-CN"/>
              </w:rPr>
            </w:pPr>
          </w:p>
        </w:tc>
        <w:tc>
          <w:tcPr>
            <w:tcW w:w="301" w:type="pct"/>
            <w:tcBorders>
              <w:top w:val="nil"/>
              <w:left w:val="nil"/>
              <w:right w:val="nil"/>
            </w:tcBorders>
            <w:shd w:val="clear" w:color="auto" w:fill="auto"/>
            <w:hideMark/>
          </w:tcPr>
          <w:p w14:paraId="6C8D0569" w14:textId="77777777" w:rsidR="0032288F" w:rsidRPr="0032288F" w:rsidRDefault="0032288F" w:rsidP="0032288F">
            <w:pPr>
              <w:spacing w:line="240" w:lineRule="auto"/>
              <w:rPr>
                <w:rFonts w:eastAsia="Times New Roman"/>
                <w:sz w:val="22"/>
                <w:szCs w:val="22"/>
                <w:lang w:eastAsia="zh-CN"/>
              </w:rPr>
            </w:pPr>
          </w:p>
        </w:tc>
        <w:tc>
          <w:tcPr>
            <w:tcW w:w="301" w:type="pct"/>
            <w:tcBorders>
              <w:top w:val="nil"/>
              <w:left w:val="nil"/>
              <w:right w:val="nil"/>
            </w:tcBorders>
            <w:shd w:val="clear" w:color="auto" w:fill="auto"/>
            <w:hideMark/>
          </w:tcPr>
          <w:p w14:paraId="79158EFE" w14:textId="77777777" w:rsidR="0032288F" w:rsidRPr="0032288F" w:rsidRDefault="0032288F" w:rsidP="0032288F">
            <w:pPr>
              <w:spacing w:line="240" w:lineRule="auto"/>
              <w:rPr>
                <w:rFonts w:eastAsia="Times New Roman"/>
                <w:sz w:val="22"/>
                <w:szCs w:val="22"/>
                <w:lang w:eastAsia="zh-CN"/>
              </w:rPr>
            </w:pPr>
          </w:p>
        </w:tc>
        <w:tc>
          <w:tcPr>
            <w:tcW w:w="253" w:type="pct"/>
            <w:tcBorders>
              <w:top w:val="nil"/>
              <w:left w:val="nil"/>
              <w:right w:val="nil"/>
            </w:tcBorders>
            <w:shd w:val="clear" w:color="auto" w:fill="auto"/>
            <w:hideMark/>
          </w:tcPr>
          <w:p w14:paraId="4B1B9E3C" w14:textId="77777777" w:rsidR="0032288F" w:rsidRPr="0032288F" w:rsidRDefault="0032288F" w:rsidP="0032288F">
            <w:pPr>
              <w:spacing w:line="240" w:lineRule="auto"/>
              <w:rPr>
                <w:rFonts w:eastAsia="Times New Roman"/>
                <w:sz w:val="22"/>
                <w:szCs w:val="22"/>
                <w:lang w:eastAsia="zh-CN"/>
              </w:rPr>
            </w:pPr>
          </w:p>
        </w:tc>
        <w:tc>
          <w:tcPr>
            <w:tcW w:w="213" w:type="pct"/>
            <w:tcBorders>
              <w:top w:val="nil"/>
              <w:left w:val="nil"/>
              <w:right w:val="nil"/>
            </w:tcBorders>
            <w:shd w:val="clear" w:color="auto" w:fill="auto"/>
            <w:hideMark/>
          </w:tcPr>
          <w:p w14:paraId="7D92364A" w14:textId="77777777" w:rsidR="0032288F" w:rsidRPr="0032288F" w:rsidRDefault="0032288F" w:rsidP="0032288F">
            <w:pPr>
              <w:spacing w:line="240" w:lineRule="auto"/>
              <w:rPr>
                <w:rFonts w:eastAsia="Times New Roman"/>
                <w:sz w:val="22"/>
                <w:szCs w:val="22"/>
                <w:lang w:eastAsia="zh-CN"/>
              </w:rPr>
            </w:pPr>
          </w:p>
        </w:tc>
        <w:tc>
          <w:tcPr>
            <w:tcW w:w="241" w:type="pct"/>
            <w:tcBorders>
              <w:top w:val="nil"/>
              <w:left w:val="nil"/>
              <w:right w:val="nil"/>
            </w:tcBorders>
            <w:shd w:val="clear" w:color="auto" w:fill="auto"/>
            <w:hideMark/>
          </w:tcPr>
          <w:p w14:paraId="6D39B48F" w14:textId="77777777" w:rsidR="0032288F" w:rsidRPr="0032288F" w:rsidRDefault="0032288F" w:rsidP="0032288F">
            <w:pPr>
              <w:spacing w:line="240" w:lineRule="auto"/>
              <w:rPr>
                <w:rFonts w:eastAsia="Times New Roman"/>
                <w:sz w:val="22"/>
                <w:szCs w:val="22"/>
                <w:lang w:eastAsia="zh-CN"/>
              </w:rPr>
            </w:pPr>
          </w:p>
        </w:tc>
        <w:tc>
          <w:tcPr>
            <w:tcW w:w="170" w:type="pct"/>
            <w:tcBorders>
              <w:top w:val="nil"/>
              <w:left w:val="nil"/>
              <w:right w:val="nil"/>
            </w:tcBorders>
            <w:shd w:val="clear" w:color="auto" w:fill="auto"/>
            <w:hideMark/>
          </w:tcPr>
          <w:p w14:paraId="59D0BF91" w14:textId="77777777" w:rsidR="0032288F" w:rsidRPr="0032288F" w:rsidRDefault="0032288F" w:rsidP="0032288F">
            <w:pPr>
              <w:spacing w:line="240" w:lineRule="auto"/>
              <w:rPr>
                <w:rFonts w:eastAsia="Times New Roman"/>
                <w:sz w:val="22"/>
                <w:szCs w:val="22"/>
                <w:lang w:eastAsia="zh-CN"/>
              </w:rPr>
            </w:pPr>
          </w:p>
        </w:tc>
        <w:tc>
          <w:tcPr>
            <w:tcW w:w="170" w:type="pct"/>
            <w:tcBorders>
              <w:top w:val="nil"/>
              <w:left w:val="nil"/>
              <w:right w:val="nil"/>
            </w:tcBorders>
            <w:shd w:val="clear" w:color="auto" w:fill="auto"/>
            <w:hideMark/>
          </w:tcPr>
          <w:p w14:paraId="385213FD" w14:textId="77777777" w:rsidR="0032288F" w:rsidRPr="0032288F" w:rsidRDefault="0032288F" w:rsidP="0032288F">
            <w:pPr>
              <w:spacing w:line="240" w:lineRule="auto"/>
              <w:rPr>
                <w:rFonts w:eastAsia="Times New Roman"/>
                <w:sz w:val="22"/>
                <w:szCs w:val="22"/>
                <w:lang w:eastAsia="zh-CN"/>
              </w:rPr>
            </w:pPr>
          </w:p>
        </w:tc>
        <w:tc>
          <w:tcPr>
            <w:tcW w:w="206" w:type="pct"/>
            <w:tcBorders>
              <w:top w:val="nil"/>
              <w:left w:val="nil"/>
              <w:right w:val="single" w:sz="4" w:space="0" w:color="auto"/>
            </w:tcBorders>
            <w:shd w:val="clear" w:color="auto" w:fill="auto"/>
            <w:hideMark/>
          </w:tcPr>
          <w:p w14:paraId="3FD5A37B" w14:textId="77777777" w:rsidR="0032288F" w:rsidRPr="0032288F" w:rsidRDefault="0032288F" w:rsidP="0032288F">
            <w:pPr>
              <w:spacing w:line="240" w:lineRule="auto"/>
              <w:rPr>
                <w:rFonts w:eastAsia="Times New Roman"/>
                <w:sz w:val="22"/>
                <w:szCs w:val="22"/>
                <w:lang w:eastAsia="zh-CN"/>
              </w:rPr>
            </w:pPr>
          </w:p>
        </w:tc>
      </w:tr>
      <w:tr w:rsidR="00CA39F3" w:rsidRPr="00CA39F3" w14:paraId="21AAD1E3"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10393E3C"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7F152DAE" w14:textId="77777777" w:rsidR="0032288F" w:rsidRPr="0032288F" w:rsidRDefault="0032288F" w:rsidP="0032288F">
            <w:pPr>
              <w:spacing w:line="240" w:lineRule="auto"/>
              <w:rPr>
                <w:rFonts w:eastAsia="SimSun"/>
                <w:color w:val="000000"/>
                <w:sz w:val="22"/>
                <w:szCs w:val="22"/>
                <w:lang w:eastAsia="zh-CN"/>
              </w:rPr>
            </w:pPr>
          </w:p>
        </w:tc>
        <w:tc>
          <w:tcPr>
            <w:tcW w:w="1589" w:type="pct"/>
            <w:vMerge/>
            <w:tcBorders>
              <w:top w:val="single" w:sz="8" w:space="0" w:color="000000"/>
              <w:left w:val="single" w:sz="8" w:space="0" w:color="000000"/>
              <w:bottom w:val="single" w:sz="8" w:space="0" w:color="000000"/>
              <w:right w:val="single" w:sz="8" w:space="0" w:color="000000"/>
            </w:tcBorders>
            <w:vAlign w:val="center"/>
            <w:hideMark/>
          </w:tcPr>
          <w:p w14:paraId="6A8671A8" w14:textId="77777777" w:rsidR="0032288F" w:rsidRPr="0032288F" w:rsidRDefault="0032288F" w:rsidP="0032288F">
            <w:pPr>
              <w:spacing w:line="240" w:lineRule="auto"/>
              <w:rPr>
                <w:rFonts w:eastAsia="SimSun"/>
                <w:color w:val="000000"/>
                <w:sz w:val="22"/>
                <w:szCs w:val="22"/>
                <w:lang w:eastAsia="zh-CN"/>
              </w:rPr>
            </w:pPr>
          </w:p>
        </w:tc>
        <w:tc>
          <w:tcPr>
            <w:tcW w:w="565" w:type="pct"/>
            <w:tcBorders>
              <w:top w:val="nil"/>
              <w:left w:val="single" w:sz="8" w:space="0" w:color="000000"/>
              <w:bottom w:val="single" w:sz="8" w:space="0" w:color="000000"/>
              <w:right w:val="single" w:sz="4" w:space="0" w:color="000000"/>
            </w:tcBorders>
            <w:shd w:val="clear" w:color="auto" w:fill="auto"/>
            <w:hideMark/>
          </w:tcPr>
          <w:p w14:paraId="42C32734"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Not important </w:t>
            </w:r>
          </w:p>
        </w:tc>
        <w:tc>
          <w:tcPr>
            <w:tcW w:w="215" w:type="pct"/>
            <w:tcBorders>
              <w:top w:val="nil"/>
              <w:left w:val="nil"/>
              <w:bottom w:val="single" w:sz="4" w:space="0" w:color="auto"/>
              <w:right w:val="nil"/>
            </w:tcBorders>
            <w:shd w:val="clear" w:color="auto" w:fill="auto"/>
            <w:hideMark/>
          </w:tcPr>
          <w:p w14:paraId="53C3C251" w14:textId="77777777" w:rsidR="0032288F" w:rsidRPr="0032288F" w:rsidRDefault="0032288F" w:rsidP="0032288F">
            <w:pPr>
              <w:spacing w:line="240" w:lineRule="auto"/>
              <w:ind w:firstLineChars="100" w:firstLine="220"/>
              <w:rPr>
                <w:rFonts w:eastAsia="SimSun"/>
                <w:color w:val="000000"/>
                <w:sz w:val="22"/>
                <w:szCs w:val="22"/>
                <w:lang w:eastAsia="zh-CN"/>
              </w:rPr>
            </w:pPr>
          </w:p>
        </w:tc>
        <w:tc>
          <w:tcPr>
            <w:tcW w:w="301" w:type="pct"/>
            <w:tcBorders>
              <w:top w:val="nil"/>
              <w:left w:val="nil"/>
              <w:bottom w:val="single" w:sz="4" w:space="0" w:color="auto"/>
              <w:right w:val="nil"/>
            </w:tcBorders>
            <w:shd w:val="clear" w:color="auto" w:fill="auto"/>
            <w:hideMark/>
          </w:tcPr>
          <w:p w14:paraId="180281C2" w14:textId="77777777" w:rsidR="0032288F" w:rsidRPr="0032288F" w:rsidRDefault="0032288F" w:rsidP="0032288F">
            <w:pPr>
              <w:spacing w:line="240" w:lineRule="auto"/>
              <w:rPr>
                <w:rFonts w:eastAsia="Times New Roman"/>
                <w:sz w:val="22"/>
                <w:szCs w:val="22"/>
                <w:lang w:eastAsia="zh-CN"/>
              </w:rPr>
            </w:pPr>
          </w:p>
        </w:tc>
        <w:tc>
          <w:tcPr>
            <w:tcW w:w="301" w:type="pct"/>
            <w:tcBorders>
              <w:top w:val="nil"/>
              <w:left w:val="nil"/>
              <w:bottom w:val="single" w:sz="4" w:space="0" w:color="auto"/>
              <w:right w:val="nil"/>
            </w:tcBorders>
            <w:shd w:val="clear" w:color="auto" w:fill="auto"/>
            <w:hideMark/>
          </w:tcPr>
          <w:p w14:paraId="3338AB45" w14:textId="77777777" w:rsidR="0032288F" w:rsidRPr="0032288F" w:rsidRDefault="0032288F" w:rsidP="0032288F">
            <w:pPr>
              <w:spacing w:line="240" w:lineRule="auto"/>
              <w:rPr>
                <w:rFonts w:eastAsia="Times New Roman"/>
                <w:sz w:val="22"/>
                <w:szCs w:val="22"/>
                <w:lang w:eastAsia="zh-CN"/>
              </w:rPr>
            </w:pPr>
          </w:p>
        </w:tc>
        <w:tc>
          <w:tcPr>
            <w:tcW w:w="253" w:type="pct"/>
            <w:tcBorders>
              <w:top w:val="nil"/>
              <w:left w:val="nil"/>
              <w:bottom w:val="single" w:sz="4" w:space="0" w:color="auto"/>
              <w:right w:val="nil"/>
            </w:tcBorders>
            <w:shd w:val="clear" w:color="auto" w:fill="auto"/>
            <w:hideMark/>
          </w:tcPr>
          <w:p w14:paraId="200F4DF6" w14:textId="77777777" w:rsidR="0032288F" w:rsidRPr="0032288F" w:rsidRDefault="0032288F" w:rsidP="0032288F">
            <w:pPr>
              <w:spacing w:line="240" w:lineRule="auto"/>
              <w:rPr>
                <w:rFonts w:eastAsia="Times New Roman"/>
                <w:sz w:val="22"/>
                <w:szCs w:val="22"/>
                <w:lang w:eastAsia="zh-CN"/>
              </w:rPr>
            </w:pPr>
          </w:p>
        </w:tc>
        <w:tc>
          <w:tcPr>
            <w:tcW w:w="213" w:type="pct"/>
            <w:tcBorders>
              <w:top w:val="nil"/>
              <w:left w:val="nil"/>
              <w:bottom w:val="single" w:sz="4" w:space="0" w:color="auto"/>
              <w:right w:val="nil"/>
            </w:tcBorders>
            <w:shd w:val="clear" w:color="auto" w:fill="auto"/>
            <w:hideMark/>
          </w:tcPr>
          <w:p w14:paraId="062E8C52" w14:textId="77777777" w:rsidR="0032288F" w:rsidRPr="0032288F" w:rsidRDefault="0032288F" w:rsidP="0032288F">
            <w:pPr>
              <w:spacing w:line="240" w:lineRule="auto"/>
              <w:rPr>
                <w:rFonts w:eastAsia="Times New Roman"/>
                <w:sz w:val="22"/>
                <w:szCs w:val="22"/>
                <w:lang w:eastAsia="zh-CN"/>
              </w:rPr>
            </w:pPr>
          </w:p>
        </w:tc>
        <w:tc>
          <w:tcPr>
            <w:tcW w:w="241" w:type="pct"/>
            <w:tcBorders>
              <w:top w:val="nil"/>
              <w:left w:val="nil"/>
              <w:bottom w:val="single" w:sz="4" w:space="0" w:color="auto"/>
              <w:right w:val="nil"/>
            </w:tcBorders>
            <w:shd w:val="clear" w:color="auto" w:fill="auto"/>
            <w:hideMark/>
          </w:tcPr>
          <w:p w14:paraId="42C9D0DF" w14:textId="77777777" w:rsidR="0032288F" w:rsidRPr="0032288F" w:rsidRDefault="0032288F" w:rsidP="0032288F">
            <w:pPr>
              <w:spacing w:line="240" w:lineRule="auto"/>
              <w:rPr>
                <w:rFonts w:eastAsia="Times New Roman"/>
                <w:sz w:val="22"/>
                <w:szCs w:val="22"/>
                <w:lang w:eastAsia="zh-CN"/>
              </w:rPr>
            </w:pPr>
          </w:p>
        </w:tc>
        <w:tc>
          <w:tcPr>
            <w:tcW w:w="170" w:type="pct"/>
            <w:tcBorders>
              <w:top w:val="nil"/>
              <w:left w:val="nil"/>
              <w:bottom w:val="single" w:sz="4" w:space="0" w:color="auto"/>
              <w:right w:val="nil"/>
            </w:tcBorders>
            <w:shd w:val="clear" w:color="auto" w:fill="auto"/>
            <w:hideMark/>
          </w:tcPr>
          <w:p w14:paraId="535EE5DC" w14:textId="77777777" w:rsidR="0032288F" w:rsidRPr="0032288F" w:rsidRDefault="0032288F" w:rsidP="0032288F">
            <w:pPr>
              <w:spacing w:line="240" w:lineRule="auto"/>
              <w:rPr>
                <w:rFonts w:eastAsia="Times New Roman"/>
                <w:sz w:val="22"/>
                <w:szCs w:val="22"/>
                <w:lang w:eastAsia="zh-CN"/>
              </w:rPr>
            </w:pPr>
          </w:p>
        </w:tc>
        <w:tc>
          <w:tcPr>
            <w:tcW w:w="170" w:type="pct"/>
            <w:tcBorders>
              <w:top w:val="nil"/>
              <w:left w:val="nil"/>
              <w:bottom w:val="single" w:sz="4" w:space="0" w:color="auto"/>
              <w:right w:val="nil"/>
            </w:tcBorders>
            <w:shd w:val="clear" w:color="auto" w:fill="auto"/>
            <w:hideMark/>
          </w:tcPr>
          <w:p w14:paraId="7AA50382" w14:textId="77777777" w:rsidR="0032288F" w:rsidRPr="0032288F" w:rsidRDefault="0032288F" w:rsidP="0032288F">
            <w:pPr>
              <w:spacing w:line="240" w:lineRule="auto"/>
              <w:rPr>
                <w:rFonts w:eastAsia="Times New Roman"/>
                <w:sz w:val="22"/>
                <w:szCs w:val="22"/>
                <w:lang w:eastAsia="zh-CN"/>
              </w:rPr>
            </w:pPr>
          </w:p>
        </w:tc>
        <w:tc>
          <w:tcPr>
            <w:tcW w:w="206" w:type="pct"/>
            <w:tcBorders>
              <w:top w:val="nil"/>
              <w:left w:val="nil"/>
              <w:bottom w:val="single" w:sz="4" w:space="0" w:color="auto"/>
              <w:right w:val="single" w:sz="4" w:space="0" w:color="auto"/>
            </w:tcBorders>
            <w:shd w:val="clear" w:color="auto" w:fill="auto"/>
            <w:hideMark/>
          </w:tcPr>
          <w:p w14:paraId="27848338" w14:textId="77777777" w:rsidR="0032288F" w:rsidRPr="0032288F" w:rsidRDefault="0032288F" w:rsidP="0032288F">
            <w:pPr>
              <w:spacing w:line="240" w:lineRule="auto"/>
              <w:rPr>
                <w:rFonts w:eastAsia="Times New Roman"/>
                <w:sz w:val="22"/>
                <w:szCs w:val="22"/>
                <w:lang w:eastAsia="zh-CN"/>
              </w:rPr>
            </w:pPr>
          </w:p>
        </w:tc>
      </w:tr>
      <w:tr w:rsidR="00CA39F3" w:rsidRPr="00CA39F3" w14:paraId="075C551B" w14:textId="77777777" w:rsidTr="00CA39F3">
        <w:trPr>
          <w:trHeight w:val="20"/>
        </w:trPr>
        <w:tc>
          <w:tcPr>
            <w:tcW w:w="404" w:type="pct"/>
            <w:vMerge w:val="restart"/>
            <w:tcBorders>
              <w:top w:val="single" w:sz="8" w:space="0" w:color="000000"/>
              <w:left w:val="single" w:sz="4" w:space="0" w:color="000000"/>
              <w:bottom w:val="single" w:sz="8" w:space="0" w:color="000000"/>
              <w:right w:val="single" w:sz="8" w:space="0" w:color="000000"/>
            </w:tcBorders>
            <w:shd w:val="clear" w:color="auto" w:fill="auto"/>
            <w:hideMark/>
          </w:tcPr>
          <w:p w14:paraId="3142C370"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Calibration </w:t>
            </w:r>
          </w:p>
        </w:tc>
        <w:tc>
          <w:tcPr>
            <w:tcW w:w="373"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69506E96"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Ability to identify Positive Ideas correctly </w:t>
            </w:r>
          </w:p>
        </w:tc>
        <w:tc>
          <w:tcPr>
            <w:tcW w:w="1589" w:type="pct"/>
            <w:tcBorders>
              <w:top w:val="single" w:sz="8" w:space="0" w:color="000000"/>
              <w:left w:val="single" w:sz="8" w:space="0" w:color="000000"/>
              <w:bottom w:val="nil"/>
              <w:right w:val="single" w:sz="8" w:space="0" w:color="000000"/>
            </w:tcBorders>
            <w:shd w:val="clear" w:color="auto" w:fill="auto"/>
            <w:hideMark/>
          </w:tcPr>
          <w:p w14:paraId="4DAF5499"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Please indicate the extent to which you believe the following statements to be true: </w:t>
            </w:r>
          </w:p>
        </w:tc>
        <w:tc>
          <w:tcPr>
            <w:tcW w:w="565" w:type="pct"/>
            <w:tcBorders>
              <w:top w:val="single" w:sz="8" w:space="0" w:color="000000"/>
              <w:left w:val="single" w:sz="8" w:space="0" w:color="000000"/>
              <w:bottom w:val="nil"/>
              <w:right w:val="nil"/>
            </w:tcBorders>
            <w:shd w:val="clear" w:color="auto" w:fill="auto"/>
            <w:hideMark/>
          </w:tcPr>
          <w:p w14:paraId="5A4D3ED5"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I strongly believe this to be true </w:t>
            </w:r>
          </w:p>
        </w:tc>
        <w:tc>
          <w:tcPr>
            <w:tcW w:w="215" w:type="pct"/>
            <w:tcBorders>
              <w:top w:val="single" w:sz="4" w:space="0" w:color="auto"/>
              <w:left w:val="single" w:sz="8" w:space="0" w:color="000000"/>
              <w:bottom w:val="single" w:sz="8" w:space="0" w:color="000000"/>
              <w:right w:val="single" w:sz="8" w:space="0" w:color="000000"/>
            </w:tcBorders>
            <w:shd w:val="clear" w:color="auto" w:fill="auto"/>
            <w:hideMark/>
          </w:tcPr>
          <w:p w14:paraId="607055A2"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5.a</w:t>
            </w:r>
          </w:p>
        </w:tc>
        <w:tc>
          <w:tcPr>
            <w:tcW w:w="301" w:type="pct"/>
            <w:tcBorders>
              <w:top w:val="single" w:sz="4" w:space="0" w:color="auto"/>
              <w:left w:val="single" w:sz="8" w:space="0" w:color="000000"/>
              <w:bottom w:val="single" w:sz="8" w:space="0" w:color="000000"/>
              <w:right w:val="single" w:sz="8" w:space="0" w:color="000000"/>
            </w:tcBorders>
            <w:shd w:val="clear" w:color="auto" w:fill="auto"/>
            <w:hideMark/>
          </w:tcPr>
          <w:p w14:paraId="5092030A"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102451.177</w:t>
            </w:r>
          </w:p>
        </w:tc>
        <w:tc>
          <w:tcPr>
            <w:tcW w:w="301" w:type="pct"/>
            <w:tcBorders>
              <w:top w:val="single" w:sz="4" w:space="0" w:color="auto"/>
              <w:left w:val="single" w:sz="8" w:space="0" w:color="000000"/>
              <w:bottom w:val="single" w:sz="8" w:space="0" w:color="000000"/>
              <w:right w:val="single" w:sz="8" w:space="0" w:color="000000"/>
            </w:tcBorders>
            <w:shd w:val="clear" w:color="auto" w:fill="auto"/>
            <w:hideMark/>
          </w:tcPr>
          <w:p w14:paraId="0C8B72A6"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103171.872</w:t>
            </w:r>
          </w:p>
        </w:tc>
        <w:tc>
          <w:tcPr>
            <w:tcW w:w="253" w:type="pct"/>
            <w:tcBorders>
              <w:top w:val="single" w:sz="4" w:space="0" w:color="auto"/>
              <w:left w:val="single" w:sz="8" w:space="0" w:color="000000"/>
              <w:bottom w:val="single" w:sz="8" w:space="0" w:color="000000"/>
              <w:right w:val="single" w:sz="8" w:space="0" w:color="000000"/>
            </w:tcBorders>
            <w:shd w:val="clear" w:color="auto" w:fill="auto"/>
            <w:hideMark/>
          </w:tcPr>
          <w:p w14:paraId="5CB9FFE1" w14:textId="327ABFC6"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225.39</w:t>
            </w:r>
            <w:r w:rsidR="00E04B4E" w:rsidRPr="00E04B4E">
              <w:rPr>
                <w:rFonts w:eastAsia="SimSun" w:hint="eastAsia"/>
                <w:color w:val="000000"/>
                <w:sz w:val="22"/>
                <w:szCs w:val="22"/>
                <w:lang w:eastAsia="zh-CN"/>
              </w:rPr>
              <w:t>*</w:t>
            </w:r>
          </w:p>
        </w:tc>
        <w:tc>
          <w:tcPr>
            <w:tcW w:w="213" w:type="pct"/>
            <w:tcBorders>
              <w:top w:val="single" w:sz="4" w:space="0" w:color="auto"/>
              <w:left w:val="single" w:sz="8" w:space="0" w:color="000000"/>
              <w:bottom w:val="single" w:sz="8" w:space="0" w:color="000000"/>
              <w:right w:val="single" w:sz="8" w:space="0" w:color="000000"/>
            </w:tcBorders>
            <w:shd w:val="clear" w:color="auto" w:fill="auto"/>
            <w:hideMark/>
          </w:tcPr>
          <w:p w14:paraId="669A2FB4"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35</w:t>
            </w:r>
          </w:p>
        </w:tc>
        <w:tc>
          <w:tcPr>
            <w:tcW w:w="241" w:type="pct"/>
            <w:tcBorders>
              <w:top w:val="single" w:sz="4" w:space="0" w:color="auto"/>
              <w:left w:val="single" w:sz="8" w:space="0" w:color="000000"/>
              <w:bottom w:val="single" w:sz="8" w:space="0" w:color="000000"/>
              <w:right w:val="single" w:sz="8" w:space="0" w:color="000000"/>
            </w:tcBorders>
            <w:shd w:val="clear" w:color="auto" w:fill="auto"/>
            <w:hideMark/>
          </w:tcPr>
          <w:p w14:paraId="44250BD8"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0.073</w:t>
            </w:r>
          </w:p>
        </w:tc>
        <w:tc>
          <w:tcPr>
            <w:tcW w:w="170" w:type="pct"/>
            <w:tcBorders>
              <w:top w:val="single" w:sz="4" w:space="0" w:color="auto"/>
              <w:left w:val="single" w:sz="8" w:space="0" w:color="000000"/>
              <w:bottom w:val="single" w:sz="8" w:space="0" w:color="000000"/>
              <w:right w:val="single" w:sz="8" w:space="0" w:color="000000"/>
            </w:tcBorders>
            <w:shd w:val="clear" w:color="auto" w:fill="auto"/>
            <w:hideMark/>
          </w:tcPr>
          <w:p w14:paraId="5C44362F"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0.952</w:t>
            </w:r>
          </w:p>
        </w:tc>
        <w:tc>
          <w:tcPr>
            <w:tcW w:w="170" w:type="pct"/>
            <w:tcBorders>
              <w:top w:val="single" w:sz="4" w:space="0" w:color="auto"/>
              <w:left w:val="single" w:sz="8" w:space="0" w:color="000000"/>
              <w:bottom w:val="single" w:sz="8" w:space="0" w:color="000000"/>
              <w:right w:val="single" w:sz="8" w:space="0" w:color="000000"/>
            </w:tcBorders>
            <w:shd w:val="clear" w:color="auto" w:fill="auto"/>
            <w:hideMark/>
          </w:tcPr>
          <w:p w14:paraId="3FDF8550"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0.904</w:t>
            </w:r>
          </w:p>
        </w:tc>
        <w:tc>
          <w:tcPr>
            <w:tcW w:w="206" w:type="pct"/>
            <w:tcBorders>
              <w:top w:val="single" w:sz="4" w:space="0" w:color="auto"/>
              <w:left w:val="single" w:sz="8" w:space="0" w:color="000000"/>
              <w:bottom w:val="single" w:sz="8" w:space="0" w:color="000000"/>
              <w:right w:val="single" w:sz="4" w:space="0" w:color="auto"/>
            </w:tcBorders>
            <w:shd w:val="clear" w:color="auto" w:fill="auto"/>
            <w:hideMark/>
          </w:tcPr>
          <w:p w14:paraId="7D0A188A"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0.03</w:t>
            </w:r>
          </w:p>
        </w:tc>
      </w:tr>
      <w:tr w:rsidR="00CA39F3" w:rsidRPr="00CA39F3" w14:paraId="5BC2ED3C"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7C39A0BB"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49D8216A"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0386C68A"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Q1: Participating in cultural activities – such as visiting museums or galleries – can have positive impacts, beyond just learning. </w:t>
            </w:r>
          </w:p>
        </w:tc>
        <w:tc>
          <w:tcPr>
            <w:tcW w:w="565" w:type="pct"/>
            <w:tcBorders>
              <w:top w:val="nil"/>
              <w:left w:val="single" w:sz="8" w:space="0" w:color="000000"/>
              <w:bottom w:val="nil"/>
              <w:right w:val="nil"/>
            </w:tcBorders>
            <w:shd w:val="clear" w:color="auto" w:fill="auto"/>
            <w:hideMark/>
          </w:tcPr>
          <w:p w14:paraId="647B463E"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I believe this to be true </w:t>
            </w:r>
          </w:p>
        </w:tc>
        <w:tc>
          <w:tcPr>
            <w:tcW w:w="215" w:type="pct"/>
            <w:tcBorders>
              <w:top w:val="single" w:sz="8" w:space="0" w:color="000000"/>
              <w:left w:val="single" w:sz="8" w:space="0" w:color="000000"/>
              <w:bottom w:val="single" w:sz="8" w:space="0" w:color="000000"/>
              <w:right w:val="single" w:sz="8" w:space="0" w:color="000000"/>
            </w:tcBorders>
            <w:shd w:val="clear" w:color="auto" w:fill="auto"/>
            <w:hideMark/>
          </w:tcPr>
          <w:p w14:paraId="68429582"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5.b</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5D6E8606"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102527.183</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7418804C"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103083.148</w:t>
            </w:r>
          </w:p>
        </w:tc>
        <w:tc>
          <w:tcPr>
            <w:tcW w:w="253" w:type="pct"/>
            <w:tcBorders>
              <w:top w:val="single" w:sz="8" w:space="0" w:color="000000"/>
              <w:left w:val="single" w:sz="8" w:space="0" w:color="000000"/>
              <w:bottom w:val="single" w:sz="8" w:space="0" w:color="000000"/>
              <w:right w:val="single" w:sz="8" w:space="0" w:color="000000"/>
            </w:tcBorders>
            <w:shd w:val="clear" w:color="auto" w:fill="auto"/>
            <w:hideMark/>
          </w:tcPr>
          <w:p w14:paraId="6AFEE7EE" w14:textId="2C282458"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327.347</w:t>
            </w:r>
            <w:r w:rsidR="00E04B4E" w:rsidRPr="00E04B4E">
              <w:rPr>
                <w:rFonts w:eastAsia="SimSun" w:hint="eastAsia"/>
                <w:color w:val="000000"/>
                <w:sz w:val="22"/>
                <w:szCs w:val="22"/>
                <w:lang w:eastAsia="zh-CN"/>
              </w:rPr>
              <w:t>*</w:t>
            </w:r>
          </w:p>
        </w:tc>
        <w:tc>
          <w:tcPr>
            <w:tcW w:w="213" w:type="pct"/>
            <w:tcBorders>
              <w:top w:val="single" w:sz="8" w:space="0" w:color="000000"/>
              <w:left w:val="single" w:sz="8" w:space="0" w:color="000000"/>
              <w:bottom w:val="single" w:sz="8" w:space="0" w:color="000000"/>
              <w:right w:val="single" w:sz="8" w:space="0" w:color="000000"/>
            </w:tcBorders>
            <w:shd w:val="clear" w:color="auto" w:fill="auto"/>
            <w:hideMark/>
          </w:tcPr>
          <w:p w14:paraId="50148D45"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59</w:t>
            </w:r>
          </w:p>
        </w:tc>
        <w:tc>
          <w:tcPr>
            <w:tcW w:w="241" w:type="pct"/>
            <w:tcBorders>
              <w:top w:val="single" w:sz="8" w:space="0" w:color="000000"/>
              <w:left w:val="single" w:sz="8" w:space="0" w:color="000000"/>
              <w:bottom w:val="single" w:sz="8" w:space="0" w:color="000000"/>
              <w:right w:val="single" w:sz="8" w:space="0" w:color="000000"/>
            </w:tcBorders>
            <w:shd w:val="clear" w:color="auto" w:fill="auto"/>
            <w:hideMark/>
          </w:tcPr>
          <w:p w14:paraId="3F7C7AFD"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0.067</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25871D78"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0.933</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4B824B1A"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0.92</w:t>
            </w:r>
          </w:p>
        </w:tc>
        <w:tc>
          <w:tcPr>
            <w:tcW w:w="206" w:type="pct"/>
            <w:tcBorders>
              <w:top w:val="single" w:sz="8" w:space="0" w:color="000000"/>
              <w:left w:val="single" w:sz="8" w:space="0" w:color="000000"/>
              <w:bottom w:val="single" w:sz="8" w:space="0" w:color="000000"/>
              <w:right w:val="single" w:sz="4" w:space="0" w:color="auto"/>
            </w:tcBorders>
            <w:shd w:val="clear" w:color="auto" w:fill="auto"/>
            <w:hideMark/>
          </w:tcPr>
          <w:p w14:paraId="6087FB5C"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0.051</w:t>
            </w:r>
          </w:p>
        </w:tc>
      </w:tr>
      <w:tr w:rsidR="00CA39F3" w:rsidRPr="00CA39F3" w14:paraId="6061DBD8"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6013F774"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7909031D"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69C977E7"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Q2: Being obese can contribute to mental health issues like depression. </w:t>
            </w:r>
          </w:p>
        </w:tc>
        <w:tc>
          <w:tcPr>
            <w:tcW w:w="565" w:type="pct"/>
            <w:tcBorders>
              <w:top w:val="nil"/>
              <w:left w:val="single" w:sz="8" w:space="0" w:color="000000"/>
              <w:bottom w:val="nil"/>
              <w:right w:val="nil"/>
            </w:tcBorders>
            <w:shd w:val="clear" w:color="auto" w:fill="auto"/>
            <w:hideMark/>
          </w:tcPr>
          <w:p w14:paraId="7109C93C"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I need more information to be able to judge this statement </w:t>
            </w:r>
          </w:p>
        </w:tc>
        <w:tc>
          <w:tcPr>
            <w:tcW w:w="215" w:type="pct"/>
            <w:tcBorders>
              <w:top w:val="single" w:sz="8" w:space="0" w:color="000000"/>
              <w:left w:val="single" w:sz="8" w:space="0" w:color="000000"/>
              <w:bottom w:val="single" w:sz="8" w:space="0" w:color="000000"/>
              <w:right w:val="single" w:sz="8" w:space="0" w:color="000000"/>
            </w:tcBorders>
            <w:shd w:val="clear" w:color="auto" w:fill="auto"/>
            <w:hideMark/>
          </w:tcPr>
          <w:p w14:paraId="1F79E75A"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5.c</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22AD388C"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102523.881</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6A5F05F5"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103059.254</w:t>
            </w:r>
          </w:p>
        </w:tc>
        <w:tc>
          <w:tcPr>
            <w:tcW w:w="253" w:type="pct"/>
            <w:tcBorders>
              <w:top w:val="single" w:sz="8" w:space="0" w:color="000000"/>
              <w:left w:val="single" w:sz="8" w:space="0" w:color="000000"/>
              <w:bottom w:val="single" w:sz="8" w:space="0" w:color="000000"/>
              <w:right w:val="single" w:sz="8" w:space="0" w:color="000000"/>
            </w:tcBorders>
            <w:shd w:val="clear" w:color="auto" w:fill="auto"/>
            <w:hideMark/>
          </w:tcPr>
          <w:p w14:paraId="5A74838F" w14:textId="7D613EEB"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384.934</w:t>
            </w:r>
            <w:r w:rsidR="00E04B4E" w:rsidRPr="00E04B4E">
              <w:rPr>
                <w:rFonts w:eastAsia="SimSun" w:hint="eastAsia"/>
                <w:color w:val="000000"/>
                <w:sz w:val="22"/>
                <w:szCs w:val="22"/>
                <w:lang w:eastAsia="zh-CN"/>
              </w:rPr>
              <w:t>*</w:t>
            </w:r>
          </w:p>
        </w:tc>
        <w:tc>
          <w:tcPr>
            <w:tcW w:w="213" w:type="pct"/>
            <w:tcBorders>
              <w:top w:val="single" w:sz="8" w:space="0" w:color="000000"/>
              <w:left w:val="single" w:sz="8" w:space="0" w:color="000000"/>
              <w:bottom w:val="single" w:sz="8" w:space="0" w:color="000000"/>
              <w:right w:val="single" w:sz="8" w:space="0" w:color="000000"/>
            </w:tcBorders>
            <w:shd w:val="clear" w:color="auto" w:fill="auto"/>
            <w:hideMark/>
          </w:tcPr>
          <w:p w14:paraId="42E7F2F2"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62</w:t>
            </w:r>
          </w:p>
        </w:tc>
        <w:tc>
          <w:tcPr>
            <w:tcW w:w="241" w:type="pct"/>
            <w:tcBorders>
              <w:top w:val="single" w:sz="8" w:space="0" w:color="000000"/>
              <w:left w:val="single" w:sz="8" w:space="0" w:color="000000"/>
              <w:bottom w:val="single" w:sz="8" w:space="0" w:color="000000"/>
              <w:right w:val="single" w:sz="8" w:space="0" w:color="000000"/>
            </w:tcBorders>
            <w:shd w:val="clear" w:color="auto" w:fill="auto"/>
            <w:hideMark/>
          </w:tcPr>
          <w:p w14:paraId="575FFA44"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0.072</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1810E011"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0.936</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5A70AC17"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0.928</w:t>
            </w:r>
          </w:p>
        </w:tc>
        <w:tc>
          <w:tcPr>
            <w:tcW w:w="206" w:type="pct"/>
            <w:tcBorders>
              <w:top w:val="single" w:sz="8" w:space="0" w:color="000000"/>
              <w:left w:val="single" w:sz="8" w:space="0" w:color="000000"/>
              <w:bottom w:val="single" w:sz="8" w:space="0" w:color="000000"/>
              <w:right w:val="single" w:sz="4" w:space="0" w:color="auto"/>
            </w:tcBorders>
            <w:shd w:val="clear" w:color="auto" w:fill="auto"/>
            <w:hideMark/>
          </w:tcPr>
          <w:p w14:paraId="2F86C5DF"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0.052</w:t>
            </w:r>
          </w:p>
        </w:tc>
      </w:tr>
      <w:tr w:rsidR="00CA39F3" w:rsidRPr="00CA39F3" w14:paraId="5F528F30"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253BD386"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032E7E4C"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29AFC915"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Q3: Our outlook on life, (e.g. our attitudes and beliefs), is influenced by the those in our social circles. </w:t>
            </w:r>
          </w:p>
        </w:tc>
        <w:tc>
          <w:tcPr>
            <w:tcW w:w="565" w:type="pct"/>
            <w:tcBorders>
              <w:top w:val="nil"/>
              <w:left w:val="single" w:sz="8" w:space="0" w:color="000000"/>
              <w:bottom w:val="nil"/>
              <w:right w:val="nil"/>
            </w:tcBorders>
            <w:shd w:val="clear" w:color="auto" w:fill="auto"/>
            <w:hideMark/>
          </w:tcPr>
          <w:p w14:paraId="57C1E932"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I believe this to be untrue </w:t>
            </w:r>
          </w:p>
        </w:tc>
        <w:tc>
          <w:tcPr>
            <w:tcW w:w="2070" w:type="pct"/>
            <w:gridSpan w:val="9"/>
            <w:vMerge w:val="restart"/>
            <w:tcBorders>
              <w:top w:val="nil"/>
              <w:left w:val="single" w:sz="8" w:space="0" w:color="000000"/>
              <w:bottom w:val="nil"/>
              <w:right w:val="single" w:sz="4" w:space="0" w:color="auto"/>
            </w:tcBorders>
            <w:shd w:val="clear" w:color="auto" w:fill="auto"/>
            <w:hideMark/>
          </w:tcPr>
          <w:p w14:paraId="451C0758"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In the 5.c model, this study freed a subset of item intercepts in UK (Q1, Q3); Finland (Q1, Q3); Italy (Q1, Q3, Q4); Spain (Q1, Q3, Q4, Q2); Netherlands (Q1, Q4, Q2); Sweden (Q3).</w:t>
            </w:r>
          </w:p>
        </w:tc>
      </w:tr>
      <w:tr w:rsidR="00CA39F3" w:rsidRPr="00CA39F3" w14:paraId="4EDB1548"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7D4C0491"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68583099"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single" w:sz="8" w:space="0" w:color="000000"/>
              <w:right w:val="single" w:sz="8" w:space="0" w:color="000000"/>
            </w:tcBorders>
            <w:shd w:val="clear" w:color="auto" w:fill="auto"/>
            <w:hideMark/>
          </w:tcPr>
          <w:p w14:paraId="1A4D5C97"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Q4: Global heating (climate change) is directly caused by human activity. </w:t>
            </w:r>
          </w:p>
        </w:tc>
        <w:tc>
          <w:tcPr>
            <w:tcW w:w="565" w:type="pct"/>
            <w:tcBorders>
              <w:top w:val="nil"/>
              <w:left w:val="single" w:sz="8" w:space="0" w:color="000000"/>
              <w:bottom w:val="single" w:sz="8" w:space="0" w:color="000000"/>
              <w:right w:val="nil"/>
            </w:tcBorders>
            <w:shd w:val="clear" w:color="auto" w:fill="auto"/>
            <w:hideMark/>
          </w:tcPr>
          <w:p w14:paraId="24E5BBC3"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I strongly believe this to be untrue </w:t>
            </w:r>
          </w:p>
        </w:tc>
        <w:tc>
          <w:tcPr>
            <w:tcW w:w="2070" w:type="pct"/>
            <w:gridSpan w:val="9"/>
            <w:vMerge/>
            <w:tcBorders>
              <w:top w:val="nil"/>
              <w:left w:val="single" w:sz="8" w:space="0" w:color="000000"/>
              <w:bottom w:val="single" w:sz="8" w:space="0" w:color="000000"/>
              <w:right w:val="single" w:sz="4" w:space="0" w:color="auto"/>
            </w:tcBorders>
            <w:vAlign w:val="center"/>
            <w:hideMark/>
          </w:tcPr>
          <w:p w14:paraId="1C60F671" w14:textId="77777777" w:rsidR="0032288F" w:rsidRPr="0032288F" w:rsidRDefault="0032288F" w:rsidP="0032288F">
            <w:pPr>
              <w:spacing w:line="240" w:lineRule="auto"/>
              <w:rPr>
                <w:rFonts w:eastAsia="SimSun"/>
                <w:color w:val="000000"/>
                <w:sz w:val="22"/>
                <w:szCs w:val="22"/>
                <w:lang w:eastAsia="zh-CN"/>
              </w:rPr>
            </w:pPr>
          </w:p>
        </w:tc>
      </w:tr>
      <w:tr w:rsidR="00CA39F3" w:rsidRPr="00CA39F3" w14:paraId="48D2FFCB" w14:textId="77777777" w:rsidTr="00CA39F3">
        <w:trPr>
          <w:trHeight w:val="20"/>
        </w:trPr>
        <w:tc>
          <w:tcPr>
            <w:tcW w:w="404" w:type="pct"/>
            <w:vMerge w:val="restart"/>
            <w:tcBorders>
              <w:top w:val="single" w:sz="8" w:space="0" w:color="000000"/>
              <w:left w:val="single" w:sz="4" w:space="0" w:color="000000"/>
              <w:bottom w:val="single" w:sz="8" w:space="0" w:color="000000"/>
              <w:right w:val="single" w:sz="8" w:space="0" w:color="000000"/>
            </w:tcBorders>
            <w:shd w:val="clear" w:color="auto" w:fill="auto"/>
            <w:hideMark/>
          </w:tcPr>
          <w:p w14:paraId="45CC48E4"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Calibration </w:t>
            </w:r>
          </w:p>
        </w:tc>
        <w:tc>
          <w:tcPr>
            <w:tcW w:w="373"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49153595"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Ability to identify Dark Ideas correctly </w:t>
            </w:r>
          </w:p>
        </w:tc>
        <w:tc>
          <w:tcPr>
            <w:tcW w:w="1589" w:type="pct"/>
            <w:tcBorders>
              <w:top w:val="single" w:sz="8" w:space="0" w:color="000000"/>
              <w:left w:val="single" w:sz="8" w:space="0" w:color="000000"/>
              <w:bottom w:val="nil"/>
              <w:right w:val="single" w:sz="8" w:space="0" w:color="000000"/>
            </w:tcBorders>
            <w:shd w:val="clear" w:color="auto" w:fill="auto"/>
            <w:hideMark/>
          </w:tcPr>
          <w:p w14:paraId="4DB57E67"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 xml:space="preserve">Please indicate the extent to which you believe the following statements to be true: </w:t>
            </w:r>
          </w:p>
        </w:tc>
        <w:tc>
          <w:tcPr>
            <w:tcW w:w="565" w:type="pct"/>
            <w:tcBorders>
              <w:top w:val="single" w:sz="8" w:space="0" w:color="000000"/>
              <w:left w:val="single" w:sz="8" w:space="0" w:color="000000"/>
              <w:bottom w:val="nil"/>
              <w:right w:val="nil"/>
            </w:tcBorders>
            <w:shd w:val="clear" w:color="auto" w:fill="auto"/>
            <w:hideMark/>
          </w:tcPr>
          <w:p w14:paraId="46BF1720"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I strongly believe this to be true </w:t>
            </w:r>
          </w:p>
        </w:tc>
        <w:tc>
          <w:tcPr>
            <w:tcW w:w="215" w:type="pct"/>
            <w:tcBorders>
              <w:top w:val="single" w:sz="8" w:space="0" w:color="000000"/>
              <w:left w:val="single" w:sz="8" w:space="0" w:color="000000"/>
              <w:bottom w:val="single" w:sz="8" w:space="0" w:color="000000"/>
              <w:right w:val="single" w:sz="8" w:space="0" w:color="000000"/>
            </w:tcBorders>
            <w:shd w:val="clear" w:color="auto" w:fill="auto"/>
            <w:hideMark/>
          </w:tcPr>
          <w:p w14:paraId="2BE6FB12"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6.a</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573AB036"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102451.177</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0186FD2F"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103171.872</w:t>
            </w:r>
          </w:p>
        </w:tc>
        <w:tc>
          <w:tcPr>
            <w:tcW w:w="253" w:type="pct"/>
            <w:tcBorders>
              <w:top w:val="single" w:sz="8" w:space="0" w:color="000000"/>
              <w:left w:val="single" w:sz="8" w:space="0" w:color="000000"/>
              <w:bottom w:val="single" w:sz="8" w:space="0" w:color="000000"/>
              <w:right w:val="single" w:sz="8" w:space="0" w:color="000000"/>
            </w:tcBorders>
            <w:shd w:val="clear" w:color="auto" w:fill="auto"/>
            <w:hideMark/>
          </w:tcPr>
          <w:p w14:paraId="32ABA754" w14:textId="591CC919"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225.39</w:t>
            </w:r>
            <w:r w:rsidR="00E04B4E" w:rsidRPr="00E04B4E">
              <w:rPr>
                <w:rFonts w:eastAsia="SimSun" w:hint="eastAsia"/>
                <w:color w:val="000000"/>
                <w:sz w:val="22"/>
                <w:szCs w:val="22"/>
                <w:lang w:eastAsia="zh-CN"/>
              </w:rPr>
              <w:t>*</w:t>
            </w:r>
          </w:p>
        </w:tc>
        <w:tc>
          <w:tcPr>
            <w:tcW w:w="213" w:type="pct"/>
            <w:tcBorders>
              <w:top w:val="single" w:sz="8" w:space="0" w:color="000000"/>
              <w:left w:val="single" w:sz="8" w:space="0" w:color="000000"/>
              <w:bottom w:val="single" w:sz="8" w:space="0" w:color="000000"/>
              <w:right w:val="single" w:sz="8" w:space="0" w:color="000000"/>
            </w:tcBorders>
            <w:shd w:val="clear" w:color="auto" w:fill="auto"/>
            <w:hideMark/>
          </w:tcPr>
          <w:p w14:paraId="7E3EFE48"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35</w:t>
            </w:r>
          </w:p>
        </w:tc>
        <w:tc>
          <w:tcPr>
            <w:tcW w:w="241" w:type="pct"/>
            <w:tcBorders>
              <w:top w:val="single" w:sz="8" w:space="0" w:color="000000"/>
              <w:left w:val="single" w:sz="8" w:space="0" w:color="000000"/>
              <w:bottom w:val="single" w:sz="8" w:space="0" w:color="000000"/>
              <w:right w:val="single" w:sz="8" w:space="0" w:color="000000"/>
            </w:tcBorders>
            <w:shd w:val="clear" w:color="auto" w:fill="auto"/>
            <w:hideMark/>
          </w:tcPr>
          <w:p w14:paraId="51AE0169"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0.073</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1B78F4EF"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0.952</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0A593BDC"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0.904</w:t>
            </w:r>
          </w:p>
        </w:tc>
        <w:tc>
          <w:tcPr>
            <w:tcW w:w="206" w:type="pct"/>
            <w:tcBorders>
              <w:top w:val="single" w:sz="8" w:space="0" w:color="000000"/>
              <w:left w:val="single" w:sz="8" w:space="0" w:color="000000"/>
              <w:bottom w:val="single" w:sz="8" w:space="0" w:color="000000"/>
              <w:right w:val="single" w:sz="4" w:space="0" w:color="auto"/>
            </w:tcBorders>
            <w:shd w:val="clear" w:color="auto" w:fill="auto"/>
            <w:hideMark/>
          </w:tcPr>
          <w:p w14:paraId="1C5A21E5"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0.03</w:t>
            </w:r>
          </w:p>
        </w:tc>
      </w:tr>
      <w:tr w:rsidR="00CA39F3" w:rsidRPr="00CA39F3" w14:paraId="5EA8E0EA"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61ABF206"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1C70C3DF"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2D1706DF"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Q1: There is currently no evidence to suggest vaping is bad for your health. </w:t>
            </w:r>
          </w:p>
        </w:tc>
        <w:tc>
          <w:tcPr>
            <w:tcW w:w="565" w:type="pct"/>
            <w:tcBorders>
              <w:top w:val="nil"/>
              <w:left w:val="single" w:sz="8" w:space="0" w:color="000000"/>
              <w:bottom w:val="nil"/>
              <w:right w:val="nil"/>
            </w:tcBorders>
            <w:shd w:val="clear" w:color="auto" w:fill="auto"/>
            <w:hideMark/>
          </w:tcPr>
          <w:p w14:paraId="676F7014"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I believe this to be true </w:t>
            </w:r>
          </w:p>
        </w:tc>
        <w:tc>
          <w:tcPr>
            <w:tcW w:w="215" w:type="pct"/>
            <w:tcBorders>
              <w:top w:val="single" w:sz="8" w:space="0" w:color="000000"/>
              <w:left w:val="single" w:sz="8" w:space="0" w:color="000000"/>
              <w:bottom w:val="single" w:sz="8" w:space="0" w:color="000000"/>
              <w:right w:val="single" w:sz="8" w:space="0" w:color="000000"/>
            </w:tcBorders>
            <w:shd w:val="clear" w:color="auto" w:fill="auto"/>
            <w:hideMark/>
          </w:tcPr>
          <w:p w14:paraId="392B8BA7"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6.b</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56995E15"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102527.183</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54BB325B"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103083.148</w:t>
            </w:r>
          </w:p>
        </w:tc>
        <w:tc>
          <w:tcPr>
            <w:tcW w:w="253" w:type="pct"/>
            <w:tcBorders>
              <w:top w:val="single" w:sz="8" w:space="0" w:color="000000"/>
              <w:left w:val="single" w:sz="8" w:space="0" w:color="000000"/>
              <w:bottom w:val="single" w:sz="8" w:space="0" w:color="000000"/>
              <w:right w:val="single" w:sz="8" w:space="0" w:color="000000"/>
            </w:tcBorders>
            <w:shd w:val="clear" w:color="auto" w:fill="auto"/>
            <w:hideMark/>
          </w:tcPr>
          <w:p w14:paraId="2C87A806" w14:textId="604BD238"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327.347</w:t>
            </w:r>
            <w:r w:rsidR="00E04B4E" w:rsidRPr="00E04B4E">
              <w:rPr>
                <w:rFonts w:eastAsia="SimSun" w:hint="eastAsia"/>
                <w:color w:val="000000"/>
                <w:sz w:val="22"/>
                <w:szCs w:val="22"/>
                <w:lang w:eastAsia="zh-CN"/>
              </w:rPr>
              <w:t>*</w:t>
            </w:r>
          </w:p>
        </w:tc>
        <w:tc>
          <w:tcPr>
            <w:tcW w:w="213" w:type="pct"/>
            <w:tcBorders>
              <w:top w:val="single" w:sz="8" w:space="0" w:color="000000"/>
              <w:left w:val="single" w:sz="8" w:space="0" w:color="000000"/>
              <w:bottom w:val="single" w:sz="8" w:space="0" w:color="000000"/>
              <w:right w:val="single" w:sz="8" w:space="0" w:color="000000"/>
            </w:tcBorders>
            <w:shd w:val="clear" w:color="auto" w:fill="auto"/>
            <w:hideMark/>
          </w:tcPr>
          <w:p w14:paraId="6B45B549"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59</w:t>
            </w:r>
          </w:p>
        </w:tc>
        <w:tc>
          <w:tcPr>
            <w:tcW w:w="241" w:type="pct"/>
            <w:tcBorders>
              <w:top w:val="single" w:sz="8" w:space="0" w:color="000000"/>
              <w:left w:val="single" w:sz="8" w:space="0" w:color="000000"/>
              <w:bottom w:val="single" w:sz="8" w:space="0" w:color="000000"/>
              <w:right w:val="single" w:sz="8" w:space="0" w:color="000000"/>
            </w:tcBorders>
            <w:shd w:val="clear" w:color="auto" w:fill="auto"/>
            <w:hideMark/>
          </w:tcPr>
          <w:p w14:paraId="6C4899D1"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0.067</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3841E122"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0.933</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5266B915"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0.92</w:t>
            </w:r>
          </w:p>
        </w:tc>
        <w:tc>
          <w:tcPr>
            <w:tcW w:w="206" w:type="pct"/>
            <w:tcBorders>
              <w:top w:val="single" w:sz="8" w:space="0" w:color="000000"/>
              <w:left w:val="single" w:sz="8" w:space="0" w:color="000000"/>
              <w:bottom w:val="single" w:sz="8" w:space="0" w:color="000000"/>
              <w:right w:val="single" w:sz="4" w:space="0" w:color="auto"/>
            </w:tcBorders>
            <w:shd w:val="clear" w:color="auto" w:fill="auto"/>
            <w:hideMark/>
          </w:tcPr>
          <w:p w14:paraId="49D72B67"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0.051</w:t>
            </w:r>
          </w:p>
        </w:tc>
      </w:tr>
      <w:tr w:rsidR="00CA39F3" w:rsidRPr="00CA39F3" w14:paraId="38D16B3E"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0FC94A53"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38351969"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681CA104"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Q2: Immigration is the biggest threat facing society and the economy </w:t>
            </w:r>
          </w:p>
        </w:tc>
        <w:tc>
          <w:tcPr>
            <w:tcW w:w="565" w:type="pct"/>
            <w:tcBorders>
              <w:top w:val="nil"/>
              <w:left w:val="single" w:sz="8" w:space="0" w:color="000000"/>
              <w:bottom w:val="nil"/>
              <w:right w:val="nil"/>
            </w:tcBorders>
            <w:shd w:val="clear" w:color="auto" w:fill="auto"/>
            <w:hideMark/>
          </w:tcPr>
          <w:p w14:paraId="2D5A086C"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I need more information to be able to judge this statement </w:t>
            </w:r>
          </w:p>
        </w:tc>
        <w:tc>
          <w:tcPr>
            <w:tcW w:w="215" w:type="pct"/>
            <w:tcBorders>
              <w:top w:val="single" w:sz="8" w:space="0" w:color="000000"/>
              <w:left w:val="single" w:sz="8" w:space="0" w:color="000000"/>
              <w:bottom w:val="single" w:sz="8" w:space="0" w:color="000000"/>
              <w:right w:val="single" w:sz="8" w:space="0" w:color="000000"/>
            </w:tcBorders>
            <w:shd w:val="clear" w:color="auto" w:fill="auto"/>
            <w:hideMark/>
          </w:tcPr>
          <w:p w14:paraId="7201D546"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6.c</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4B5FC78E"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102523.881</w:t>
            </w:r>
          </w:p>
        </w:tc>
        <w:tc>
          <w:tcPr>
            <w:tcW w:w="301" w:type="pct"/>
            <w:tcBorders>
              <w:top w:val="single" w:sz="8" w:space="0" w:color="000000"/>
              <w:left w:val="single" w:sz="8" w:space="0" w:color="000000"/>
              <w:bottom w:val="single" w:sz="8" w:space="0" w:color="000000"/>
              <w:right w:val="single" w:sz="8" w:space="0" w:color="000000"/>
            </w:tcBorders>
            <w:shd w:val="clear" w:color="auto" w:fill="auto"/>
            <w:hideMark/>
          </w:tcPr>
          <w:p w14:paraId="3477666F"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103059.254</w:t>
            </w:r>
          </w:p>
        </w:tc>
        <w:tc>
          <w:tcPr>
            <w:tcW w:w="253" w:type="pct"/>
            <w:tcBorders>
              <w:top w:val="single" w:sz="8" w:space="0" w:color="000000"/>
              <w:left w:val="single" w:sz="8" w:space="0" w:color="000000"/>
              <w:bottom w:val="single" w:sz="8" w:space="0" w:color="000000"/>
              <w:right w:val="single" w:sz="8" w:space="0" w:color="000000"/>
            </w:tcBorders>
            <w:shd w:val="clear" w:color="auto" w:fill="auto"/>
            <w:hideMark/>
          </w:tcPr>
          <w:p w14:paraId="63A16D9D" w14:textId="58B22FEC"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384.934</w:t>
            </w:r>
            <w:r w:rsidR="00E04B4E" w:rsidRPr="00E04B4E">
              <w:rPr>
                <w:rFonts w:eastAsia="SimSun" w:hint="eastAsia"/>
                <w:color w:val="000000"/>
                <w:sz w:val="22"/>
                <w:szCs w:val="22"/>
                <w:lang w:eastAsia="zh-CN"/>
              </w:rPr>
              <w:t>*</w:t>
            </w:r>
          </w:p>
        </w:tc>
        <w:tc>
          <w:tcPr>
            <w:tcW w:w="213" w:type="pct"/>
            <w:tcBorders>
              <w:top w:val="single" w:sz="8" w:space="0" w:color="000000"/>
              <w:left w:val="single" w:sz="8" w:space="0" w:color="000000"/>
              <w:bottom w:val="single" w:sz="8" w:space="0" w:color="000000"/>
              <w:right w:val="single" w:sz="8" w:space="0" w:color="000000"/>
            </w:tcBorders>
            <w:shd w:val="clear" w:color="auto" w:fill="auto"/>
            <w:hideMark/>
          </w:tcPr>
          <w:p w14:paraId="42F71034"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62</w:t>
            </w:r>
          </w:p>
        </w:tc>
        <w:tc>
          <w:tcPr>
            <w:tcW w:w="241" w:type="pct"/>
            <w:tcBorders>
              <w:top w:val="single" w:sz="8" w:space="0" w:color="000000"/>
              <w:left w:val="single" w:sz="8" w:space="0" w:color="000000"/>
              <w:bottom w:val="single" w:sz="8" w:space="0" w:color="000000"/>
              <w:right w:val="single" w:sz="8" w:space="0" w:color="000000"/>
            </w:tcBorders>
            <w:shd w:val="clear" w:color="auto" w:fill="auto"/>
            <w:hideMark/>
          </w:tcPr>
          <w:p w14:paraId="1B357183"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0.072</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6C50612A"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0.936</w:t>
            </w:r>
          </w:p>
        </w:tc>
        <w:tc>
          <w:tcPr>
            <w:tcW w:w="170" w:type="pct"/>
            <w:tcBorders>
              <w:top w:val="single" w:sz="8" w:space="0" w:color="000000"/>
              <w:left w:val="single" w:sz="8" w:space="0" w:color="000000"/>
              <w:bottom w:val="single" w:sz="8" w:space="0" w:color="000000"/>
              <w:right w:val="single" w:sz="8" w:space="0" w:color="000000"/>
            </w:tcBorders>
            <w:shd w:val="clear" w:color="auto" w:fill="auto"/>
            <w:hideMark/>
          </w:tcPr>
          <w:p w14:paraId="62AC7966"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0.928</w:t>
            </w:r>
          </w:p>
        </w:tc>
        <w:tc>
          <w:tcPr>
            <w:tcW w:w="206" w:type="pct"/>
            <w:tcBorders>
              <w:top w:val="single" w:sz="8" w:space="0" w:color="000000"/>
              <w:left w:val="single" w:sz="8" w:space="0" w:color="000000"/>
              <w:bottom w:val="single" w:sz="8" w:space="0" w:color="000000"/>
              <w:right w:val="single" w:sz="4" w:space="0" w:color="auto"/>
            </w:tcBorders>
            <w:shd w:val="clear" w:color="auto" w:fill="auto"/>
            <w:hideMark/>
          </w:tcPr>
          <w:p w14:paraId="0DBA22B0"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0.052</w:t>
            </w:r>
          </w:p>
        </w:tc>
      </w:tr>
      <w:tr w:rsidR="00CA39F3" w:rsidRPr="00CA39F3" w14:paraId="3FE5131E"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550BF0EE"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4626B845"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567818CA" w14:textId="00DA7A92"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Q3: Vaccines (such as MMR or the </w:t>
            </w:r>
            <w:r w:rsidR="00CA39F3">
              <w:rPr>
                <w:rFonts w:eastAsia="SimSun"/>
                <w:color w:val="000000"/>
                <w:sz w:val="22"/>
                <w:szCs w:val="22"/>
                <w:lang w:eastAsia="zh-CN"/>
              </w:rPr>
              <w:t>COVID-19</w:t>
            </w:r>
            <w:r w:rsidRPr="0032288F">
              <w:rPr>
                <w:rFonts w:eastAsia="SimSun"/>
                <w:color w:val="000000"/>
                <w:sz w:val="22"/>
                <w:szCs w:val="22"/>
                <w:lang w:eastAsia="zh-CN"/>
              </w:rPr>
              <w:t xml:space="preserve"> vaccine) are generally more dangerous to our health than the diseases they are designed to cure.  </w:t>
            </w:r>
          </w:p>
        </w:tc>
        <w:tc>
          <w:tcPr>
            <w:tcW w:w="565" w:type="pct"/>
            <w:tcBorders>
              <w:top w:val="nil"/>
              <w:left w:val="single" w:sz="8" w:space="0" w:color="000000"/>
              <w:bottom w:val="nil"/>
              <w:right w:val="nil"/>
            </w:tcBorders>
            <w:shd w:val="clear" w:color="auto" w:fill="auto"/>
            <w:hideMark/>
          </w:tcPr>
          <w:p w14:paraId="585BE289"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I believe this to be untrue </w:t>
            </w:r>
          </w:p>
        </w:tc>
        <w:tc>
          <w:tcPr>
            <w:tcW w:w="2070" w:type="pct"/>
            <w:gridSpan w:val="9"/>
            <w:vMerge w:val="restart"/>
            <w:tcBorders>
              <w:top w:val="single" w:sz="8" w:space="0" w:color="000000"/>
              <w:left w:val="single" w:sz="8" w:space="0" w:color="000000"/>
              <w:bottom w:val="single" w:sz="8" w:space="0" w:color="000000"/>
              <w:right w:val="single" w:sz="4" w:space="0" w:color="auto"/>
            </w:tcBorders>
            <w:shd w:val="clear" w:color="auto" w:fill="auto"/>
            <w:hideMark/>
          </w:tcPr>
          <w:p w14:paraId="580E83D9" w14:textId="77777777" w:rsidR="0032288F" w:rsidRPr="0032288F" w:rsidRDefault="0032288F" w:rsidP="0032288F">
            <w:pPr>
              <w:spacing w:line="240" w:lineRule="auto"/>
              <w:rPr>
                <w:rFonts w:eastAsia="SimSun"/>
                <w:color w:val="000000"/>
                <w:sz w:val="22"/>
                <w:szCs w:val="22"/>
                <w:lang w:eastAsia="zh-CN"/>
              </w:rPr>
            </w:pPr>
            <w:r w:rsidRPr="0032288F">
              <w:rPr>
                <w:rFonts w:eastAsia="SimSun"/>
                <w:color w:val="000000"/>
                <w:sz w:val="22"/>
                <w:szCs w:val="22"/>
                <w:lang w:eastAsia="zh-CN"/>
              </w:rPr>
              <w:t>*In the 6.c model, this study freed the intercepts of Q1, Q2, Q3, and Q4 in all seven countries and the intercept of Q5 in Finland, Italy, and Sweden.</w:t>
            </w:r>
          </w:p>
        </w:tc>
      </w:tr>
      <w:tr w:rsidR="00CA39F3" w:rsidRPr="00CA39F3" w14:paraId="04482CA4" w14:textId="77777777" w:rsidTr="00CA39F3">
        <w:trPr>
          <w:trHeight w:val="20"/>
        </w:trPr>
        <w:tc>
          <w:tcPr>
            <w:tcW w:w="404" w:type="pct"/>
            <w:vMerge/>
            <w:tcBorders>
              <w:top w:val="single" w:sz="8" w:space="0" w:color="000000"/>
              <w:left w:val="single" w:sz="4" w:space="0" w:color="000000"/>
              <w:bottom w:val="single" w:sz="8" w:space="0" w:color="000000"/>
              <w:right w:val="single" w:sz="8" w:space="0" w:color="000000"/>
            </w:tcBorders>
            <w:vAlign w:val="center"/>
            <w:hideMark/>
          </w:tcPr>
          <w:p w14:paraId="521B4655"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8" w:space="0" w:color="000000"/>
              <w:right w:val="single" w:sz="8" w:space="0" w:color="000000"/>
            </w:tcBorders>
            <w:vAlign w:val="center"/>
            <w:hideMark/>
          </w:tcPr>
          <w:p w14:paraId="7B65FBF3"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nil"/>
              <w:right w:val="single" w:sz="8" w:space="0" w:color="000000"/>
            </w:tcBorders>
            <w:shd w:val="clear" w:color="auto" w:fill="auto"/>
            <w:hideMark/>
          </w:tcPr>
          <w:p w14:paraId="127F87A6"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Q4: A number of terrorist attacks and incidents (such as 9/11) were carried about by national governments to provide an excuse to impose stricter and more prohibitive laws. </w:t>
            </w:r>
          </w:p>
        </w:tc>
        <w:tc>
          <w:tcPr>
            <w:tcW w:w="565" w:type="pct"/>
            <w:tcBorders>
              <w:top w:val="nil"/>
              <w:left w:val="single" w:sz="8" w:space="0" w:color="000000"/>
              <w:bottom w:val="nil"/>
              <w:right w:val="nil"/>
            </w:tcBorders>
            <w:shd w:val="clear" w:color="auto" w:fill="auto"/>
            <w:hideMark/>
          </w:tcPr>
          <w:p w14:paraId="4183B436" w14:textId="77777777" w:rsidR="0032288F" w:rsidRPr="0032288F" w:rsidRDefault="0032288F" w:rsidP="00CA39F3">
            <w:pPr>
              <w:spacing w:line="240" w:lineRule="auto"/>
              <w:rPr>
                <w:rFonts w:eastAsia="SimSun"/>
                <w:color w:val="000000"/>
                <w:sz w:val="22"/>
                <w:szCs w:val="22"/>
                <w:lang w:eastAsia="zh-CN"/>
              </w:rPr>
            </w:pPr>
            <w:r w:rsidRPr="0032288F">
              <w:rPr>
                <w:rFonts w:eastAsia="SimSun"/>
                <w:color w:val="000000"/>
                <w:sz w:val="22"/>
                <w:szCs w:val="22"/>
                <w:lang w:eastAsia="zh-CN"/>
              </w:rPr>
              <w:t xml:space="preserve">I strongly believe this to be untrue </w:t>
            </w:r>
          </w:p>
        </w:tc>
        <w:tc>
          <w:tcPr>
            <w:tcW w:w="2070" w:type="pct"/>
            <w:gridSpan w:val="9"/>
            <w:vMerge/>
            <w:tcBorders>
              <w:top w:val="nil"/>
              <w:left w:val="single" w:sz="8" w:space="0" w:color="000000"/>
              <w:bottom w:val="nil"/>
              <w:right w:val="single" w:sz="4" w:space="0" w:color="auto"/>
            </w:tcBorders>
            <w:vAlign w:val="center"/>
            <w:hideMark/>
          </w:tcPr>
          <w:p w14:paraId="74A54B57" w14:textId="77777777" w:rsidR="0032288F" w:rsidRPr="0032288F" w:rsidRDefault="0032288F" w:rsidP="0032288F">
            <w:pPr>
              <w:spacing w:line="240" w:lineRule="auto"/>
              <w:rPr>
                <w:rFonts w:eastAsia="SimSun"/>
                <w:color w:val="000000"/>
                <w:sz w:val="22"/>
                <w:szCs w:val="22"/>
                <w:lang w:eastAsia="zh-CN"/>
              </w:rPr>
            </w:pPr>
          </w:p>
        </w:tc>
      </w:tr>
      <w:tr w:rsidR="00CA39F3" w:rsidRPr="00CA39F3" w14:paraId="09C7C72F" w14:textId="77777777" w:rsidTr="00CA39F3">
        <w:trPr>
          <w:trHeight w:val="20"/>
        </w:trPr>
        <w:tc>
          <w:tcPr>
            <w:tcW w:w="404" w:type="pct"/>
            <w:vMerge/>
            <w:tcBorders>
              <w:top w:val="single" w:sz="8" w:space="0" w:color="000000"/>
              <w:left w:val="single" w:sz="4" w:space="0" w:color="000000"/>
              <w:bottom w:val="single" w:sz="4" w:space="0" w:color="auto"/>
              <w:right w:val="single" w:sz="8" w:space="0" w:color="000000"/>
            </w:tcBorders>
            <w:vAlign w:val="center"/>
            <w:hideMark/>
          </w:tcPr>
          <w:p w14:paraId="5FE52F92" w14:textId="77777777" w:rsidR="0032288F" w:rsidRPr="0032288F" w:rsidRDefault="0032288F" w:rsidP="0032288F">
            <w:pPr>
              <w:spacing w:line="240" w:lineRule="auto"/>
              <w:rPr>
                <w:rFonts w:eastAsia="SimSun"/>
                <w:color w:val="000000"/>
                <w:sz w:val="22"/>
                <w:szCs w:val="22"/>
                <w:lang w:eastAsia="zh-CN"/>
              </w:rPr>
            </w:pPr>
          </w:p>
        </w:tc>
        <w:tc>
          <w:tcPr>
            <w:tcW w:w="373" w:type="pct"/>
            <w:vMerge/>
            <w:tcBorders>
              <w:top w:val="single" w:sz="8" w:space="0" w:color="000000"/>
              <w:left w:val="single" w:sz="8" w:space="0" w:color="000000"/>
              <w:bottom w:val="single" w:sz="4" w:space="0" w:color="auto"/>
              <w:right w:val="single" w:sz="8" w:space="0" w:color="000000"/>
            </w:tcBorders>
            <w:vAlign w:val="center"/>
            <w:hideMark/>
          </w:tcPr>
          <w:p w14:paraId="765EE361" w14:textId="77777777" w:rsidR="0032288F" w:rsidRPr="0032288F" w:rsidRDefault="0032288F" w:rsidP="0032288F">
            <w:pPr>
              <w:spacing w:line="240" w:lineRule="auto"/>
              <w:rPr>
                <w:rFonts w:eastAsia="SimSun"/>
                <w:color w:val="000000"/>
                <w:sz w:val="22"/>
                <w:szCs w:val="22"/>
                <w:lang w:eastAsia="zh-CN"/>
              </w:rPr>
            </w:pPr>
          </w:p>
        </w:tc>
        <w:tc>
          <w:tcPr>
            <w:tcW w:w="1589" w:type="pct"/>
            <w:tcBorders>
              <w:top w:val="nil"/>
              <w:left w:val="single" w:sz="8" w:space="0" w:color="000000"/>
              <w:bottom w:val="single" w:sz="4" w:space="0" w:color="auto"/>
              <w:right w:val="single" w:sz="8" w:space="0" w:color="000000"/>
            </w:tcBorders>
            <w:shd w:val="clear" w:color="auto" w:fill="auto"/>
            <w:hideMark/>
          </w:tcPr>
          <w:p w14:paraId="3145FD4B" w14:textId="77777777" w:rsidR="0032288F" w:rsidRPr="0032288F" w:rsidRDefault="0032288F" w:rsidP="0032288F">
            <w:pPr>
              <w:spacing w:line="240" w:lineRule="auto"/>
              <w:ind w:firstLineChars="100" w:firstLine="220"/>
              <w:rPr>
                <w:rFonts w:eastAsia="SimSun"/>
                <w:color w:val="000000"/>
                <w:sz w:val="22"/>
                <w:szCs w:val="22"/>
                <w:lang w:eastAsia="zh-CN"/>
              </w:rPr>
            </w:pPr>
            <w:r w:rsidRPr="0032288F">
              <w:rPr>
                <w:rFonts w:eastAsia="SimSun"/>
                <w:color w:val="000000"/>
                <w:sz w:val="22"/>
                <w:szCs w:val="22"/>
                <w:lang w:eastAsia="zh-CN"/>
              </w:rPr>
              <w:t xml:space="preserve">Q5: There is evidence to suggest the Earth is actually flat, rather than round. </w:t>
            </w:r>
          </w:p>
        </w:tc>
        <w:tc>
          <w:tcPr>
            <w:tcW w:w="565" w:type="pct"/>
            <w:tcBorders>
              <w:top w:val="nil"/>
              <w:left w:val="single" w:sz="8" w:space="0" w:color="000000"/>
              <w:bottom w:val="single" w:sz="4" w:space="0" w:color="auto"/>
              <w:right w:val="nil"/>
            </w:tcBorders>
            <w:shd w:val="clear" w:color="auto" w:fill="auto"/>
            <w:hideMark/>
          </w:tcPr>
          <w:p w14:paraId="6513063A" w14:textId="77777777" w:rsidR="0032288F" w:rsidRPr="0032288F" w:rsidRDefault="0032288F" w:rsidP="0032288F">
            <w:pPr>
              <w:spacing w:line="240" w:lineRule="auto"/>
              <w:ind w:firstLineChars="100" w:firstLine="220"/>
              <w:rPr>
                <w:rFonts w:eastAsia="SimSun"/>
                <w:color w:val="000000"/>
                <w:sz w:val="22"/>
                <w:szCs w:val="22"/>
                <w:lang w:eastAsia="zh-CN"/>
              </w:rPr>
            </w:pPr>
          </w:p>
        </w:tc>
        <w:tc>
          <w:tcPr>
            <w:tcW w:w="2070" w:type="pct"/>
            <w:gridSpan w:val="9"/>
            <w:vMerge/>
            <w:tcBorders>
              <w:top w:val="nil"/>
              <w:left w:val="single" w:sz="8" w:space="0" w:color="000000"/>
              <w:bottom w:val="single" w:sz="4" w:space="0" w:color="auto"/>
              <w:right w:val="single" w:sz="4" w:space="0" w:color="auto"/>
            </w:tcBorders>
            <w:vAlign w:val="center"/>
            <w:hideMark/>
          </w:tcPr>
          <w:p w14:paraId="25E2D310" w14:textId="77777777" w:rsidR="0032288F" w:rsidRPr="0032288F" w:rsidRDefault="0032288F" w:rsidP="0032288F">
            <w:pPr>
              <w:spacing w:line="240" w:lineRule="auto"/>
              <w:rPr>
                <w:rFonts w:eastAsia="SimSun"/>
                <w:color w:val="000000"/>
                <w:sz w:val="22"/>
                <w:szCs w:val="22"/>
                <w:lang w:eastAsia="zh-CN"/>
              </w:rPr>
            </w:pPr>
          </w:p>
        </w:tc>
      </w:tr>
      <w:tr w:rsidR="0032288F" w:rsidRPr="0032288F" w14:paraId="072536EC" w14:textId="77777777" w:rsidTr="00CA39F3">
        <w:trPr>
          <w:trHeight w:val="20"/>
        </w:trPr>
        <w:tc>
          <w:tcPr>
            <w:tcW w:w="5000" w:type="pct"/>
            <w:gridSpan w:val="13"/>
            <w:tcBorders>
              <w:top w:val="single" w:sz="4" w:space="0" w:color="auto"/>
              <w:left w:val="nil"/>
              <w:bottom w:val="nil"/>
            </w:tcBorders>
            <w:shd w:val="clear" w:color="auto" w:fill="auto"/>
            <w:hideMark/>
          </w:tcPr>
          <w:p w14:paraId="50311CA8" w14:textId="77777777" w:rsidR="0032288F" w:rsidRPr="00E04B4E" w:rsidRDefault="0032288F" w:rsidP="0032288F">
            <w:pPr>
              <w:spacing w:line="240" w:lineRule="auto"/>
              <w:rPr>
                <w:rFonts w:eastAsia="SimSun"/>
                <w:i/>
                <w:iCs/>
                <w:color w:val="000000"/>
                <w:sz w:val="22"/>
                <w:szCs w:val="22"/>
                <w:lang w:eastAsia="zh-CN"/>
              </w:rPr>
            </w:pPr>
            <w:r w:rsidRPr="00E04B4E">
              <w:rPr>
                <w:rFonts w:eastAsia="SimSun"/>
                <w:i/>
                <w:iCs/>
                <w:color w:val="000000"/>
                <w:sz w:val="22"/>
                <w:szCs w:val="22"/>
                <w:lang w:eastAsia="zh-CN"/>
              </w:rPr>
              <w:t>*Model X.a (configural invariance): the same factor‐indicator configuration was estimated in each country, with no equality constraints on factor loadings or item intercepts. This model establishes whether all groups share a common pattern of factor structure.</w:t>
            </w:r>
          </w:p>
        </w:tc>
      </w:tr>
      <w:tr w:rsidR="0032288F" w:rsidRPr="0032288F" w14:paraId="7AD3770E" w14:textId="77777777" w:rsidTr="00CA39F3">
        <w:trPr>
          <w:trHeight w:val="20"/>
        </w:trPr>
        <w:tc>
          <w:tcPr>
            <w:tcW w:w="5000" w:type="pct"/>
            <w:gridSpan w:val="13"/>
            <w:tcBorders>
              <w:top w:val="nil"/>
              <w:left w:val="nil"/>
              <w:bottom w:val="nil"/>
              <w:right w:val="nil"/>
            </w:tcBorders>
            <w:shd w:val="clear" w:color="auto" w:fill="auto"/>
            <w:hideMark/>
          </w:tcPr>
          <w:p w14:paraId="39B89FB3" w14:textId="77777777" w:rsidR="0032288F" w:rsidRPr="00E04B4E" w:rsidRDefault="0032288F" w:rsidP="0032288F">
            <w:pPr>
              <w:spacing w:line="240" w:lineRule="auto"/>
              <w:rPr>
                <w:rFonts w:eastAsia="SimSun"/>
                <w:i/>
                <w:iCs/>
                <w:color w:val="000000"/>
                <w:sz w:val="22"/>
                <w:szCs w:val="22"/>
                <w:lang w:eastAsia="zh-CN"/>
              </w:rPr>
            </w:pPr>
            <w:r w:rsidRPr="00E04B4E">
              <w:rPr>
                <w:rFonts w:eastAsia="SimSun"/>
                <w:i/>
                <w:iCs/>
                <w:color w:val="000000"/>
                <w:sz w:val="22"/>
                <w:szCs w:val="22"/>
                <w:lang w:eastAsia="zh-CN"/>
              </w:rPr>
              <w:t>*Model X.b (metric invariance): all factor loadings were constrained equal across the seven countries while intercepts and residual variances remained freely estimated. By fixing loadings to be identical, this model tests whether the constructs have the same measurement units across groups.</w:t>
            </w:r>
          </w:p>
        </w:tc>
      </w:tr>
      <w:tr w:rsidR="0032288F" w:rsidRPr="0032288F" w14:paraId="0677FDD6" w14:textId="77777777" w:rsidTr="00CA39F3">
        <w:trPr>
          <w:trHeight w:val="20"/>
        </w:trPr>
        <w:tc>
          <w:tcPr>
            <w:tcW w:w="5000" w:type="pct"/>
            <w:gridSpan w:val="13"/>
            <w:tcBorders>
              <w:top w:val="nil"/>
              <w:left w:val="nil"/>
              <w:bottom w:val="nil"/>
              <w:right w:val="nil"/>
            </w:tcBorders>
            <w:shd w:val="clear" w:color="auto" w:fill="auto"/>
            <w:hideMark/>
          </w:tcPr>
          <w:p w14:paraId="3A49DBD1" w14:textId="77777777" w:rsidR="0032288F" w:rsidRPr="00E04B4E" w:rsidRDefault="0032288F" w:rsidP="0032288F">
            <w:pPr>
              <w:spacing w:line="240" w:lineRule="auto"/>
              <w:rPr>
                <w:rFonts w:eastAsia="SimSun"/>
                <w:i/>
                <w:iCs/>
                <w:color w:val="000000"/>
                <w:sz w:val="22"/>
                <w:szCs w:val="22"/>
                <w:lang w:eastAsia="zh-CN"/>
              </w:rPr>
            </w:pPr>
            <w:r w:rsidRPr="00E04B4E">
              <w:rPr>
                <w:rFonts w:eastAsia="SimSun"/>
                <w:i/>
                <w:iCs/>
                <w:color w:val="000000"/>
                <w:sz w:val="22"/>
                <w:szCs w:val="22"/>
                <w:lang w:eastAsia="zh-CN"/>
              </w:rPr>
              <w:t>*Model X.c (partial scalar invariance): starting from the metric model, this study further constrained most item intercepts to equality across countries but freed a small subset of intercepts (those flagged by modification indices) in specific groups. This approach secures comparability of both measurement units and most item thresholds, while allowing targeted intercepts to vary so that valid latent-mean comparisons can still be made.</w:t>
            </w:r>
          </w:p>
          <w:p w14:paraId="1D8B5CE8" w14:textId="765EF30C" w:rsidR="00E04B4E" w:rsidRPr="00E04B4E" w:rsidRDefault="00E04B4E" w:rsidP="0032288F">
            <w:pPr>
              <w:spacing w:line="240" w:lineRule="auto"/>
              <w:rPr>
                <w:rFonts w:eastAsia="SimSun"/>
                <w:i/>
                <w:iCs/>
                <w:color w:val="000000"/>
                <w:sz w:val="22"/>
                <w:szCs w:val="22"/>
                <w:lang w:eastAsia="zh-CN"/>
              </w:rPr>
            </w:pPr>
            <w:r w:rsidRPr="00E04B4E">
              <w:rPr>
                <w:rFonts w:eastAsia="SimSun" w:hint="eastAsia"/>
                <w:i/>
                <w:iCs/>
                <w:color w:val="000000"/>
                <w:sz w:val="22"/>
                <w:szCs w:val="22"/>
                <w:lang w:eastAsia="zh-CN"/>
              </w:rPr>
              <w:t>*</w:t>
            </w:r>
            <w:r w:rsidRPr="00E04B4E">
              <w:rPr>
                <w:rFonts w:eastAsia="SimSun"/>
                <w:i/>
                <w:iCs/>
                <w:color w:val="000000"/>
                <w:sz w:val="22"/>
                <w:szCs w:val="22"/>
                <w:lang w:eastAsia="zh-CN"/>
              </w:rPr>
              <w:t>Note. * p &lt; .001.</w:t>
            </w:r>
          </w:p>
        </w:tc>
      </w:tr>
    </w:tbl>
    <w:p w14:paraId="45CB315A" w14:textId="77777777" w:rsidR="00702BE2" w:rsidRDefault="00702BE2" w:rsidP="00702BE2">
      <w:pPr>
        <w:pStyle w:val="Paragraph"/>
        <w:spacing w:before="0" w:line="240" w:lineRule="auto"/>
      </w:pPr>
    </w:p>
    <w:p w14:paraId="5D570521" w14:textId="69BB6040" w:rsidR="4E96D345" w:rsidRDefault="4E96D345" w:rsidP="00667A8B">
      <w:pPr>
        <w:pStyle w:val="Newparagraph"/>
      </w:pPr>
    </w:p>
    <w:p w14:paraId="7D882F4E" w14:textId="2C568727" w:rsidR="4E96D345" w:rsidRDefault="4E96D345" w:rsidP="00667A8B">
      <w:pPr>
        <w:pStyle w:val="Newparagraph"/>
        <w:ind w:firstLine="0"/>
        <w:sectPr w:rsidR="4E96D345" w:rsidSect="00FB4F3D">
          <w:pgSz w:w="23811" w:h="16838" w:orient="landscape" w:code="8"/>
          <w:pgMar w:top="1701" w:right="1418" w:bottom="1701" w:left="1418" w:header="709" w:footer="709" w:gutter="0"/>
          <w:cols w:space="708"/>
          <w:docGrid w:linePitch="360"/>
        </w:sectPr>
      </w:pPr>
    </w:p>
    <w:p w14:paraId="1C4C3046" w14:textId="71497564" w:rsidR="00322927" w:rsidRPr="00667A8B" w:rsidRDefault="005332C0" w:rsidP="00667A8B">
      <w:pPr>
        <w:pStyle w:val="Newparagraph"/>
        <w:ind w:firstLine="0"/>
        <w:rPr>
          <w:b/>
          <w:bCs/>
        </w:rPr>
      </w:pPr>
      <w:r w:rsidRPr="00667A8B">
        <w:rPr>
          <w:b/>
          <w:bCs/>
        </w:rPr>
        <w:lastRenderedPageBreak/>
        <w:t>Analysis</w:t>
      </w:r>
    </w:p>
    <w:p w14:paraId="60C3E0C8" w14:textId="0971AFD0" w:rsidR="00702BE2" w:rsidRDefault="006266FF" w:rsidP="00702BE2">
      <w:pPr>
        <w:pStyle w:val="Newparagraph"/>
      </w:pPr>
      <w:r w:rsidRPr="00667A8B">
        <w:rPr>
          <w:rFonts w:hint="eastAsia"/>
          <w:color w:val="000000"/>
        </w:rPr>
        <w:t>To address our two new research questions, we revisited the</w:t>
      </w:r>
      <w:r>
        <w:rPr>
          <w:color w:val="000000"/>
        </w:rPr>
        <w:t>se</w:t>
      </w:r>
      <w:r w:rsidRPr="00667A8B">
        <w:rPr>
          <w:rFonts w:hint="eastAsia"/>
          <w:color w:val="000000"/>
        </w:rPr>
        <w:t xml:space="preserve"> latent constructs alongside the demographic data collected from survey respondents. In this study, </w:t>
      </w:r>
      <w:r>
        <w:rPr>
          <w:color w:val="000000"/>
        </w:rPr>
        <w:t xml:space="preserve">however, </w:t>
      </w:r>
      <w:r w:rsidRPr="00667A8B">
        <w:rPr>
          <w:rFonts w:hint="eastAsia"/>
          <w:color w:val="000000"/>
        </w:rPr>
        <w:t xml:space="preserve">we applied Latent Profile Analysis (LPA) and Factor Mixture </w:t>
      </w:r>
      <w:r w:rsidR="006D51CC" w:rsidRPr="006D51CC">
        <w:rPr>
          <w:color w:val="000000"/>
        </w:rPr>
        <w:t>Modelling</w:t>
      </w:r>
      <w:r w:rsidRPr="00667A8B">
        <w:rPr>
          <w:rFonts w:hint="eastAsia"/>
          <w:color w:val="000000"/>
        </w:rPr>
        <w:t xml:space="preserve"> (FMM) to classify over 7,000 participants into distinct profiles</w:t>
      </w:r>
      <w:r>
        <w:rPr>
          <w:color w:val="000000"/>
        </w:rPr>
        <w:t xml:space="preserve"> - </w:t>
      </w:r>
      <w:r w:rsidRPr="00667A8B">
        <w:rPr>
          <w:rFonts w:hint="eastAsia"/>
          <w:color w:val="000000"/>
        </w:rPr>
        <w:t>for example, those with high, medium, or low levels of critical thinking. By combining LPA and FMM, we were able to investigate subgroup differences across a range of variables, identify predictors of profile membership, and assess how key outcomes varied between profiles</w:t>
      </w:r>
      <w:r w:rsidR="00702BE2" w:rsidRPr="006266FF">
        <w:t>.</w:t>
      </w:r>
      <w:r w:rsidR="00702BE2" w:rsidRPr="006913DD">
        <w:t xml:space="preserve"> Consequently, </w:t>
      </w:r>
      <w:r w:rsidR="00645AE2">
        <w:t xml:space="preserve">we have </w:t>
      </w:r>
      <w:r>
        <w:t xml:space="preserve">been able to </w:t>
      </w:r>
      <w:r w:rsidR="00645AE2">
        <w:t xml:space="preserve">both </w:t>
      </w:r>
      <w:r w:rsidR="00702BE2" w:rsidRPr="006913DD">
        <w:t>identif</w:t>
      </w:r>
      <w:r w:rsidR="006D51CC">
        <w:t>y</w:t>
      </w:r>
      <w:r w:rsidR="00702BE2" w:rsidRPr="006913DD">
        <w:t xml:space="preserve"> and describe the heterogeneity within </w:t>
      </w:r>
      <w:r w:rsidR="006D51CC">
        <w:t>our</w:t>
      </w:r>
      <w:r w:rsidR="006D51CC" w:rsidRPr="006913DD">
        <w:t xml:space="preserve"> </w:t>
      </w:r>
      <w:r w:rsidR="00702BE2" w:rsidRPr="006913DD">
        <w:t xml:space="preserve">sample </w:t>
      </w:r>
      <w:r w:rsidR="00645AE2">
        <w:t>as well as</w:t>
      </w:r>
      <w:r w:rsidR="00702BE2" w:rsidRPr="006913DD">
        <w:t xml:space="preserve"> </w:t>
      </w:r>
      <w:r w:rsidR="005332C0">
        <w:t>explore</w:t>
      </w:r>
      <w:r w:rsidR="005332C0" w:rsidRPr="006913DD">
        <w:t xml:space="preserve"> </w:t>
      </w:r>
      <w:r w:rsidR="00702BE2" w:rsidRPr="006913DD">
        <w:t>more complex relationships between independent and dependent variables</w:t>
      </w:r>
      <w:r w:rsidR="00645AE2">
        <w:t xml:space="preserve"> </w:t>
      </w:r>
      <w:r>
        <w:t xml:space="preserve">(via </w:t>
      </w:r>
      <w:r w:rsidR="00645AE2" w:rsidRPr="006913DD">
        <w:t>ensuring measurement model consistency</w:t>
      </w:r>
      <w:r>
        <w:t>)</w:t>
      </w:r>
      <w:r w:rsidR="00702BE2" w:rsidRPr="006913DD">
        <w:t xml:space="preserve">. This, in turn, </w:t>
      </w:r>
      <w:r w:rsidR="00645AE2">
        <w:t xml:space="preserve">has </w:t>
      </w:r>
      <w:r w:rsidR="00645AE2" w:rsidRPr="006913DD">
        <w:t>provide</w:t>
      </w:r>
      <w:r w:rsidR="00645AE2">
        <w:t>d</w:t>
      </w:r>
      <w:r w:rsidR="00645AE2" w:rsidRPr="006913DD">
        <w:t xml:space="preserve"> </w:t>
      </w:r>
      <w:r w:rsidR="00702BE2" w:rsidRPr="006913DD">
        <w:t xml:space="preserve">a refined and accurate empirical basis for understanding </w:t>
      </w:r>
      <w:r w:rsidR="00702BE2">
        <w:t>not only how different levels of</w:t>
      </w:r>
      <w:r w:rsidR="00702BE2" w:rsidRPr="006913DD">
        <w:t xml:space="preserve"> </w:t>
      </w:r>
      <w:r w:rsidR="00702BE2">
        <w:t xml:space="preserve">social </w:t>
      </w:r>
      <w:r w:rsidR="00702BE2" w:rsidRPr="006913DD">
        <w:t>network characteristic</w:t>
      </w:r>
      <w:r w:rsidR="00702BE2">
        <w:t>s</w:t>
      </w:r>
      <w:r w:rsidR="00702BE2" w:rsidRPr="006913DD">
        <w:t>, prospecti</w:t>
      </w:r>
      <w:r w:rsidR="00702BE2">
        <w:t>ve mindset</w:t>
      </w:r>
      <w:r w:rsidR="00702BE2" w:rsidRPr="006913DD">
        <w:t xml:space="preserve">, and critical thinking </w:t>
      </w:r>
      <w:r w:rsidR="00702BE2">
        <w:t xml:space="preserve">are associated with certain demographic characteristics, but also how different levels of social </w:t>
      </w:r>
      <w:r w:rsidR="00702BE2" w:rsidRPr="006913DD">
        <w:t>network characteristics, prospecti</w:t>
      </w:r>
      <w:r w:rsidR="00702BE2">
        <w:t>ve mindset</w:t>
      </w:r>
      <w:r w:rsidR="00702BE2" w:rsidRPr="006913DD">
        <w:t xml:space="preserve">, and critical thinking </w:t>
      </w:r>
      <w:r w:rsidR="00702BE2">
        <w:t>subsequently impact on the value of ideas-engagement and the quality of ideas-engagement</w:t>
      </w:r>
      <w:r w:rsidR="00702BE2" w:rsidRPr="006913DD">
        <w:t>.</w:t>
      </w:r>
    </w:p>
    <w:p w14:paraId="55934108" w14:textId="77777777" w:rsidR="00702BE2" w:rsidRPr="006913DD" w:rsidRDefault="00702BE2" w:rsidP="00702BE2">
      <w:pPr>
        <w:pStyle w:val="NormalWeb"/>
        <w:spacing w:beforeAutospacing="0" w:afterAutospacing="0"/>
        <w:rPr>
          <w:color w:val="000000"/>
          <w:sz w:val="22"/>
          <w:szCs w:val="22"/>
        </w:rPr>
      </w:pPr>
    </w:p>
    <w:p w14:paraId="0D32AAB9" w14:textId="69727961" w:rsidR="00702BE2" w:rsidRDefault="00702BE2" w:rsidP="00702BE2">
      <w:pPr>
        <w:pStyle w:val="Newparagraph"/>
      </w:pPr>
      <w:r w:rsidRPr="006913DD">
        <w:t xml:space="preserve">We began by applying LPA to examine the latent subgroup structure within the continuous variables of Network Homophily and Network Social Capital. To thoroughly explore the parameter space, the study set 7,000 random starting values, conducted 300 iterations for each, and retained the 200 best solutions for final stage optimization (Hipp and Bauer, 2006). This strategy helped avoid local optima and enhanced global convergence. </w:t>
      </w:r>
      <w:r w:rsidR="002B1B13" w:rsidRPr="00667A8B">
        <w:rPr>
          <w:rFonts w:hint="eastAsia"/>
          <w:color w:val="000000"/>
        </w:rPr>
        <w:t xml:space="preserve">Because the data showed a global structure, we accounted for residual correlations to improve model fit (Spurk et al., 2020). In LPA, high indicator correlations can mask distinct profiles, as they reflect the shared </w:t>
      </w:r>
      <w:r w:rsidR="002B1B13" w:rsidRPr="00667A8B">
        <w:rPr>
          <w:rFonts w:hint="eastAsia"/>
          <w:color w:val="000000"/>
        </w:rPr>
        <w:lastRenderedPageBreak/>
        <w:t>influence of an overarching network construct</w:t>
      </w:r>
      <w:r w:rsidR="002B1B13">
        <w:rPr>
          <w:color w:val="000000"/>
        </w:rPr>
        <w:t>.</w:t>
      </w:r>
      <w:r w:rsidRPr="002B1B13">
        <w:t xml:space="preserve"> </w:t>
      </w:r>
      <w:r w:rsidRPr="006913DD">
        <w:t xml:space="preserve">If unaccounted for, this global effect can obscure differences in profile shapes, making it difficult to identify qualitatively distinct profiles. Consequently, scholars such as Morin and Marsh (2015) have recommended extracting latent class variables from the residual covariance </w:t>
      </w:r>
      <w:r>
        <w:rPr>
          <w:rFonts w:hint="eastAsia"/>
        </w:rPr>
        <w:t xml:space="preserve">or </w:t>
      </w:r>
      <w:r w:rsidRPr="00714DFF">
        <w:t xml:space="preserve">using factor mixture </w:t>
      </w:r>
      <w:r>
        <w:t>models</w:t>
      </w:r>
      <w:r w:rsidRPr="00714DFF">
        <w:t xml:space="preserve"> that incorporate continuous factors </w:t>
      </w:r>
      <w:r w:rsidRPr="006913DD">
        <w:t xml:space="preserve">to address these issues (Morin, </w:t>
      </w:r>
      <w:r>
        <w:t>et al.</w:t>
      </w:r>
      <w:r w:rsidRPr="006913DD">
        <w:t xml:space="preserve">, 2016; Morin </w:t>
      </w:r>
      <w:r w:rsidR="003D3676">
        <w:t>and</w:t>
      </w:r>
      <w:r w:rsidRPr="006913DD">
        <w:t xml:space="preserve"> Marsh, 2015).</w:t>
      </w:r>
    </w:p>
    <w:p w14:paraId="6BCC3460" w14:textId="77777777" w:rsidR="00702BE2" w:rsidRPr="006913DD" w:rsidRDefault="00702BE2" w:rsidP="00702BE2">
      <w:pPr>
        <w:pStyle w:val="NormalWeb"/>
        <w:spacing w:beforeAutospacing="0" w:afterAutospacing="0"/>
        <w:rPr>
          <w:color w:val="000000"/>
          <w:sz w:val="22"/>
          <w:szCs w:val="22"/>
        </w:rPr>
      </w:pPr>
    </w:p>
    <w:p w14:paraId="1402376C" w14:textId="67A76EA1" w:rsidR="00702BE2" w:rsidRDefault="00702BE2" w:rsidP="00702BE2">
      <w:pPr>
        <w:pStyle w:val="Newparagraph"/>
      </w:pPr>
      <w:r w:rsidRPr="006913DD">
        <w:t xml:space="preserve">In addition, </w:t>
      </w:r>
      <w:r w:rsidR="005D369B">
        <w:t xml:space="preserve">our original </w:t>
      </w:r>
      <w:r w:rsidRPr="006913DD">
        <w:t xml:space="preserve">study employed several </w:t>
      </w:r>
      <w:r>
        <w:t xml:space="preserve">indicators of </w:t>
      </w:r>
      <w:r w:rsidRPr="006913DD">
        <w:t>prospecti</w:t>
      </w:r>
      <w:r>
        <w:t>ve mindset</w:t>
      </w:r>
      <w:r w:rsidRPr="006913DD">
        <w:t xml:space="preserve"> (see Table 1) alongside </w:t>
      </w:r>
      <w:r>
        <w:t>indicators of critical thinking ability</w:t>
      </w:r>
      <w:r w:rsidRPr="006913DD">
        <w:t xml:space="preserve">, both of which are categorical variables and also influenced by </w:t>
      </w:r>
      <w:r>
        <w:t>the</w:t>
      </w:r>
      <w:r w:rsidRPr="006913DD">
        <w:t xml:space="preserve"> global network construct. To address this, we adopted the FMM approach, </w:t>
      </w:r>
      <w:r>
        <w:t>recommend</w:t>
      </w:r>
      <w:r>
        <w:rPr>
          <w:rFonts w:hint="eastAsia"/>
        </w:rPr>
        <w:t xml:space="preserve"> by Morin and Marsh (2015)</w:t>
      </w:r>
      <w:r w:rsidRPr="006913DD">
        <w:t>, which integrates the strengths of latent class analysis (LCA) and confirmatory factor analysis</w:t>
      </w:r>
      <w:r>
        <w:rPr>
          <w:rFonts w:hint="eastAsia"/>
        </w:rPr>
        <w:t xml:space="preserve"> (CFA)</w:t>
      </w:r>
      <w:r w:rsidRPr="006913DD">
        <w:t>. This method enabled us to uncover heterogeneity within the sample while ensuring consistency in the overall measurement structure (i.e., measurement invariance) across latent classes, thereby confirming that any differences in latent factors among the classes are genuine. To maintain consistency with the LPA setup, we configured 7,000 starting values, selected the 200 best solutions for final optimization, limited the maximum number of iterations to 300, and employed the Maximum Likelihood Robust (MLR) method to mitigate violations of the normality assumption and reduce estimation bias.</w:t>
      </w:r>
    </w:p>
    <w:p w14:paraId="3414D71E" w14:textId="77777777" w:rsidR="00702BE2" w:rsidRPr="006913DD" w:rsidRDefault="00702BE2" w:rsidP="00702BE2">
      <w:pPr>
        <w:pStyle w:val="NormalWeb"/>
        <w:spacing w:beforeAutospacing="0" w:afterAutospacing="0"/>
        <w:rPr>
          <w:color w:val="000000"/>
          <w:sz w:val="22"/>
          <w:szCs w:val="22"/>
        </w:rPr>
      </w:pPr>
    </w:p>
    <w:p w14:paraId="1E8D6C2C" w14:textId="5CECD7F4" w:rsidR="00702BE2" w:rsidRDefault="00702BE2" w:rsidP="00702BE2">
      <w:pPr>
        <w:pStyle w:val="Newparagraph"/>
      </w:pPr>
      <w:r w:rsidRPr="006913DD">
        <w:t xml:space="preserve">To determine the optimal number of classes and profiles, we utilized several fit indices and model selection criteria. </w:t>
      </w:r>
      <w:r w:rsidRPr="00E35F22">
        <w:t xml:space="preserve">Specifically, we assessed the Log-Likelihood (LL), Sample-Adjusted Bayesian Information Criterion (SABIC), Akaike Information Criterion (AIC), and Bayesian Information Criterion (BIC). While higher LL values indicate better fit, lower values of AIC, BIC, and SABIC generally suggest a better </w:t>
      </w:r>
      <w:r w:rsidRPr="00E35F22">
        <w:lastRenderedPageBreak/>
        <w:t>balance between model fit and complexity.</w:t>
      </w:r>
      <w:r>
        <w:t xml:space="preserve"> </w:t>
      </w:r>
      <w:r w:rsidRPr="006913DD">
        <w:t>Additionally, higher entropy values</w:t>
      </w:r>
      <w:r>
        <w:t xml:space="preserve"> </w:t>
      </w:r>
      <w:r w:rsidR="00AB700D">
        <w:t>–</w:t>
      </w:r>
      <w:r w:rsidR="009F266C">
        <w:t xml:space="preserve"> </w:t>
      </w:r>
      <w:r w:rsidRPr="006913DD">
        <w:t>ideally 0.80 or above, though values between 0.60 and 0.80 are acceptable</w:t>
      </w:r>
      <w:r w:rsidR="009F266C">
        <w:t xml:space="preserve"> </w:t>
      </w:r>
      <w:r w:rsidR="00AB700D">
        <w:t>–</w:t>
      </w:r>
      <w:r w:rsidR="009F266C">
        <w:t xml:space="preserve"> </w:t>
      </w:r>
      <w:r w:rsidRPr="006913DD">
        <w:t xml:space="preserve">indicate superior classification quality (Clark </w:t>
      </w:r>
      <w:r w:rsidR="003D3676">
        <w:t>and</w:t>
      </w:r>
      <w:r w:rsidRPr="006913DD">
        <w:t xml:space="preserve"> Muthén, 2009; Jung </w:t>
      </w:r>
      <w:r w:rsidR="003D3676">
        <w:t>and</w:t>
      </w:r>
      <w:r w:rsidRPr="006913DD">
        <w:t xml:space="preserve"> Wickrama, 2008; Muthén, 2004). Furthermore, we employed the adjusted Lo-Mendell-Rubin (LMR) test; if a model with k + 1 profiles produces a non-significant p-value (p &gt; .05), it does not significantly improve upon a model with k profiles, suggesting that the k-profile solution should be retained. It is important to note that while these statistical criteria serve as guidelines, the final determination of the optimal number of classes and profiles also depended on whether the resulting classifications revealed meaningful and practical differences within the sample, rather than solely on numerical indices. All analyses were conducted using Mplus 8.0.</w:t>
      </w:r>
    </w:p>
    <w:p w14:paraId="327B9865" w14:textId="77777777" w:rsidR="00702BE2" w:rsidRPr="006913DD" w:rsidRDefault="00702BE2" w:rsidP="00702BE2">
      <w:pPr>
        <w:pStyle w:val="NormalWeb"/>
        <w:spacing w:beforeAutospacing="0" w:afterAutospacing="0"/>
        <w:rPr>
          <w:color w:val="000000"/>
          <w:sz w:val="22"/>
          <w:szCs w:val="22"/>
        </w:rPr>
      </w:pPr>
    </w:p>
    <w:p w14:paraId="4A922E50" w14:textId="01015326" w:rsidR="00702BE2" w:rsidRDefault="00702BE2" w:rsidP="00702BE2">
      <w:pPr>
        <w:pStyle w:val="Newparagraph"/>
      </w:pPr>
      <w:r w:rsidRPr="006913DD">
        <w:t xml:space="preserve">Following the LPA and FMM analyses, we employed the </w:t>
      </w:r>
      <w:r>
        <w:t>‘</w:t>
      </w:r>
      <w:r w:rsidRPr="006913DD">
        <w:t>Most Likely Latent Class Membership</w:t>
      </w:r>
      <w:r>
        <w:t>’</w:t>
      </w:r>
      <w:r w:rsidRPr="006913DD">
        <w:t xml:space="preserve"> method to assign individuals to classes. This method assigns each respondent to the latent class for which they have the highest posterior probability, a process often referred to as </w:t>
      </w:r>
      <w:r>
        <w:t>‘</w:t>
      </w:r>
      <w:r w:rsidRPr="006913DD">
        <w:t>hard assignment</w:t>
      </w:r>
      <w:r>
        <w:t>’</w:t>
      </w:r>
      <w:r w:rsidRPr="006913DD">
        <w:t>. Using this technique, we achieved a clear classification of the sample. Subsequently, StataNow version 18.0 MP was used to analyze the distribution of these classes across various variables</w:t>
      </w:r>
      <w:r>
        <w:t xml:space="preserve"> </w:t>
      </w:r>
      <w:r w:rsidR="00AB700D">
        <w:t>–</w:t>
      </w:r>
      <w:r>
        <w:t xml:space="preserve"> </w:t>
      </w:r>
      <w:r w:rsidRPr="006913DD">
        <w:t>including gender, age, occupation, income, and highest educational attainment</w:t>
      </w:r>
      <w:r>
        <w:t xml:space="preserve"> </w:t>
      </w:r>
      <w:r w:rsidR="00AB700D">
        <w:t>–</w:t>
      </w:r>
      <w:r>
        <w:t xml:space="preserve"> </w:t>
      </w:r>
      <w:r w:rsidRPr="006913DD">
        <w:t>to further explore the relationships and differences among the classes.</w:t>
      </w:r>
    </w:p>
    <w:p w14:paraId="09140A29" w14:textId="36F622D0" w:rsidR="00322927" w:rsidRPr="006913DD" w:rsidRDefault="00E36A2D" w:rsidP="005D369B">
      <w:pPr>
        <w:pStyle w:val="Newparagraph"/>
      </w:pPr>
      <w:r>
        <w:t>As a last step</w:t>
      </w:r>
      <w:r w:rsidR="00322927" w:rsidRPr="00070E0E">
        <w:t xml:space="preserve">, Cramér’s V tests were conducted to examine the effect sizes of associations between key variables and profile membership. Although the effect sizes were generally small (Cramér’s V &lt; 0.2), indicating weak associations (Tomczak &amp; Tomczak, 2014), they remain meaningful in the context of an exploratory study with a moderate sample size (N ≈ 7,000). The primary aim of this analysis is to describe observed distributional patterns rather than to draw inferential conclusions. While the </w:t>
      </w:r>
      <w:r w:rsidR="00322927" w:rsidRPr="00070E0E">
        <w:lastRenderedPageBreak/>
        <w:t>small effect sizes are acknowledged as a limitation, they do not diminish the value of identifying preliminary trends</w:t>
      </w:r>
      <w:r>
        <w:t xml:space="preserve"> – </w:t>
      </w:r>
      <w:r w:rsidR="00322927" w:rsidRPr="00070E0E">
        <w:t>particularly in a cross-national context where even subtle associations may be theoretically relevant or guide future research. Accordingly, all findings are interpreted descriptively and should not be taken as evidence of strong or generalizable group-level differences</w:t>
      </w:r>
      <w:r w:rsidR="005332C0">
        <w:t>.</w:t>
      </w:r>
    </w:p>
    <w:p w14:paraId="066B6AEB" w14:textId="77777777" w:rsidR="00702BE2" w:rsidRDefault="00702BE2" w:rsidP="00702BE2">
      <w:pPr>
        <w:pStyle w:val="Heading1"/>
      </w:pPr>
      <w:r>
        <w:t xml:space="preserve">Results </w:t>
      </w:r>
    </w:p>
    <w:p w14:paraId="4AB6F091" w14:textId="77777777" w:rsidR="00702BE2" w:rsidRDefault="00702BE2" w:rsidP="00702BE2">
      <w:pPr>
        <w:pStyle w:val="Paragraph"/>
        <w:rPr>
          <w:lang w:eastAsia="zh-CN"/>
        </w:rPr>
      </w:pPr>
      <w:r w:rsidRPr="00C343FD">
        <w:t xml:space="preserve">For prospective mindset, we selected a four-profile solution (AIC = 108604.949, BIC = 108879.499, SABIC = 108752.389 and an entropy value of 0.814). The resultant characteristics for this profile solution can be found in </w:t>
      </w:r>
      <w:bookmarkStart w:id="3" w:name="OLE_LINK1"/>
      <w:r w:rsidRPr="00C343FD">
        <w:t>Table 2</w:t>
      </w:r>
      <w:bookmarkEnd w:id="3"/>
      <w:r w:rsidRPr="00C343FD">
        <w:t>, below.</w:t>
      </w:r>
      <w:r>
        <w:t xml:space="preserve"> </w:t>
      </w:r>
      <w:r w:rsidRPr="00021CCA">
        <w:rPr>
          <w:lang w:eastAsia="zh-CN"/>
        </w:rPr>
        <w:t>Since</w:t>
      </w:r>
      <w:r>
        <w:rPr>
          <w:lang w:eastAsia="zh-CN"/>
        </w:rPr>
        <w:t xml:space="preserve">, </w:t>
      </w:r>
      <w:r>
        <w:rPr>
          <w:lang w:val="en-US" w:eastAsia="zh-CN"/>
        </w:rPr>
        <w:t>with</w:t>
      </w:r>
      <w:r w:rsidRPr="00021CCA">
        <w:rPr>
          <w:lang w:val="en-US"/>
        </w:rPr>
        <w:t xml:space="preserve"> the construct of </w:t>
      </w:r>
      <w:r w:rsidRPr="00021CCA">
        <w:t>prospective mindset</w:t>
      </w:r>
      <w:r>
        <w:t>,</w:t>
      </w:r>
      <w:r w:rsidRPr="00021CCA">
        <w:rPr>
          <w:lang w:eastAsia="zh-CN"/>
        </w:rPr>
        <w:t xml:space="preserve"> observed variables</w:t>
      </w:r>
      <w:r w:rsidRPr="00021CCA">
        <w:rPr>
          <w:lang w:val="en-US"/>
        </w:rPr>
        <w:t xml:space="preserve"> exhibit a global structure, </w:t>
      </w:r>
      <w:r w:rsidRPr="00021CCA">
        <w:rPr>
          <w:lang w:val="en-US" w:eastAsia="zh-CN"/>
        </w:rPr>
        <w:t>this study</w:t>
      </w:r>
      <w:r w:rsidRPr="00021CCA">
        <w:rPr>
          <w:lang w:val="en-US"/>
        </w:rPr>
        <w:t xml:space="preserve"> use</w:t>
      </w:r>
      <w:r>
        <w:rPr>
          <w:lang w:val="en-US" w:eastAsia="zh-CN"/>
        </w:rPr>
        <w:t>d</w:t>
      </w:r>
      <w:r w:rsidRPr="00021CCA">
        <w:rPr>
          <w:lang w:val="en-US" w:eastAsia="zh-CN"/>
        </w:rPr>
        <w:t xml:space="preserve"> </w:t>
      </w:r>
      <w:r w:rsidRPr="00021CCA">
        <w:rPr>
          <w:lang w:val="en-US"/>
        </w:rPr>
        <w:t>FMM to estimate its characteristics across different latent classes, provid</w:t>
      </w:r>
      <w:r>
        <w:rPr>
          <w:lang w:val="en-US"/>
        </w:rPr>
        <w:t>ing</w:t>
      </w:r>
      <w:r w:rsidRPr="00021CCA">
        <w:rPr>
          <w:lang w:val="en-US"/>
        </w:rPr>
        <w:t xml:space="preserve"> estimates of the Class-Specific Latent Factor Means for each class.</w:t>
      </w:r>
      <w:r w:rsidRPr="00021CCA">
        <w:rPr>
          <w:lang w:val="en-US" w:eastAsia="zh-CN"/>
        </w:rPr>
        <w:t xml:space="preserve"> </w:t>
      </w:r>
      <w:r>
        <w:t>As such,</w:t>
      </w:r>
      <w:r w:rsidRPr="00021CCA">
        <w:t xml:space="preserve"> is important to note that the numerical values of these Class-Specific Latent Factor Means do not have direct practical significance, as they are not tied to specific units or scales. Instead, their relative relationships carry meaning. Specifically, the relative magnitudes of these means offer valuable insights into the differences in prospective mindset intensity across the latent classes. By comparing these relative values, we can infer which classes exhibit higher or lower levels of prospective mindset, providing a reference for understanding the varying degrees of this trait among the identified groups.</w:t>
      </w:r>
    </w:p>
    <w:p w14:paraId="4AD839F9" w14:textId="786EC0F1" w:rsidR="009F266C" w:rsidRPr="00667A8B" w:rsidRDefault="009F266C" w:rsidP="009F266C">
      <w:pPr>
        <w:pStyle w:val="Tabletitle"/>
        <w:rPr>
          <w:b/>
          <w:bCs/>
        </w:rPr>
      </w:pPr>
      <w:r w:rsidRPr="00667A8B">
        <w:rPr>
          <w:b/>
          <w:bCs/>
        </w:rPr>
        <w:t>Table 2: Prospective mindset</w:t>
      </w:r>
      <w:r w:rsidR="57543F9A" w:rsidRPr="00667A8B">
        <w:rPr>
          <w:b/>
          <w:bCs/>
        </w:rPr>
        <w:t xml:space="preserve"> profile</w:t>
      </w:r>
      <w:r w:rsidRPr="00667A8B">
        <w:rPr>
          <w:b/>
          <w:bCs/>
        </w:rPr>
        <w:t xml:space="preserve"> characteristics</w:t>
      </w:r>
    </w:p>
    <w:tbl>
      <w:tblPr>
        <w:tblStyle w:val="TableGrid"/>
        <w:tblW w:w="0" w:type="auto"/>
        <w:tblLook w:val="04A0" w:firstRow="1" w:lastRow="0" w:firstColumn="1" w:lastColumn="0" w:noHBand="0" w:noVBand="1"/>
      </w:tblPr>
      <w:tblGrid>
        <w:gridCol w:w="969"/>
        <w:gridCol w:w="1122"/>
        <w:gridCol w:w="1345"/>
        <w:gridCol w:w="2323"/>
        <w:gridCol w:w="2730"/>
      </w:tblGrid>
      <w:tr w:rsidR="009F266C" w:rsidRPr="00C343FD" w14:paraId="072B266D" w14:textId="77777777" w:rsidTr="00DF0CBF">
        <w:tc>
          <w:tcPr>
            <w:tcW w:w="987" w:type="dxa"/>
          </w:tcPr>
          <w:p w14:paraId="6434E6F0" w14:textId="77777777" w:rsidR="009F266C" w:rsidRPr="00702BE2" w:rsidRDefault="009F266C" w:rsidP="00DF0CBF">
            <w:pPr>
              <w:spacing w:line="240" w:lineRule="auto"/>
              <w:rPr>
                <w:rFonts w:ascii="Times New Roman" w:hAnsi="Times New Roman" w:cs="Times New Roman"/>
                <w:b/>
                <w:bCs/>
              </w:rPr>
            </w:pPr>
            <w:r w:rsidRPr="00702BE2">
              <w:rPr>
                <w:rFonts w:ascii="Times New Roman" w:eastAsiaTheme="minorEastAsia" w:hAnsi="Times New Roman" w:cs="Times New Roman"/>
                <w:b/>
                <w:bCs/>
                <w:lang w:eastAsia="zh-CN"/>
              </w:rPr>
              <w:t>Latent Class</w:t>
            </w:r>
          </w:p>
        </w:tc>
        <w:tc>
          <w:tcPr>
            <w:tcW w:w="1134" w:type="dxa"/>
          </w:tcPr>
          <w:p w14:paraId="5C8C6B17" w14:textId="77777777" w:rsidR="009F266C" w:rsidRPr="00702BE2" w:rsidRDefault="009F266C" w:rsidP="00DF0CBF">
            <w:pPr>
              <w:spacing w:line="240" w:lineRule="auto"/>
              <w:rPr>
                <w:rFonts w:ascii="Times New Roman" w:hAnsi="Times New Roman" w:cs="Times New Roman"/>
                <w:b/>
                <w:bCs/>
              </w:rPr>
            </w:pPr>
            <w:r w:rsidRPr="00702BE2">
              <w:rPr>
                <w:rFonts w:ascii="Times New Roman" w:hAnsi="Times New Roman" w:cs="Times New Roman"/>
                <w:b/>
                <w:bCs/>
              </w:rPr>
              <w:t>Number</w:t>
            </w:r>
          </w:p>
        </w:tc>
        <w:tc>
          <w:tcPr>
            <w:tcW w:w="1284" w:type="dxa"/>
          </w:tcPr>
          <w:p w14:paraId="11F52C65" w14:textId="77777777" w:rsidR="009F266C" w:rsidRPr="00702BE2" w:rsidRDefault="009F266C" w:rsidP="00DF0CBF">
            <w:pPr>
              <w:spacing w:line="240" w:lineRule="auto"/>
              <w:rPr>
                <w:rFonts w:ascii="Times New Roman" w:hAnsi="Times New Roman" w:cs="Times New Roman"/>
                <w:b/>
                <w:bCs/>
              </w:rPr>
            </w:pPr>
            <w:r w:rsidRPr="00702BE2">
              <w:rPr>
                <w:rFonts w:ascii="Times New Roman" w:hAnsi="Times New Roman" w:cs="Times New Roman"/>
                <w:b/>
                <w:bCs/>
              </w:rPr>
              <w:t>Proportion</w:t>
            </w:r>
          </w:p>
        </w:tc>
        <w:tc>
          <w:tcPr>
            <w:tcW w:w="2544" w:type="dxa"/>
          </w:tcPr>
          <w:p w14:paraId="05B4ECC5" w14:textId="77777777" w:rsidR="009F266C" w:rsidRPr="00702BE2" w:rsidRDefault="009F266C" w:rsidP="00DF0CBF">
            <w:pPr>
              <w:spacing w:line="240" w:lineRule="auto"/>
              <w:rPr>
                <w:rFonts w:ascii="Times New Roman" w:hAnsi="Times New Roman" w:cs="Times New Roman"/>
                <w:b/>
                <w:bCs/>
              </w:rPr>
            </w:pPr>
            <w:r w:rsidRPr="00702BE2">
              <w:rPr>
                <w:rFonts w:ascii="Times New Roman" w:hAnsi="Times New Roman" w:cs="Times New Roman"/>
                <w:b/>
                <w:bCs/>
              </w:rPr>
              <w:t>Prospective mindset</w:t>
            </w:r>
          </w:p>
          <w:p w14:paraId="08EBFF63" w14:textId="77777777" w:rsidR="009F266C" w:rsidRPr="00702BE2" w:rsidRDefault="009F266C" w:rsidP="00DF0CBF">
            <w:pPr>
              <w:spacing w:line="240" w:lineRule="auto"/>
              <w:rPr>
                <w:rFonts w:ascii="Times New Roman" w:hAnsi="Times New Roman" w:cs="Times New Roman"/>
                <w:b/>
                <w:bCs/>
              </w:rPr>
            </w:pPr>
            <w:r w:rsidRPr="00702BE2">
              <w:rPr>
                <w:rFonts w:ascii="Times New Roman" w:eastAsiaTheme="minorEastAsia" w:hAnsi="Times New Roman" w:cs="Times New Roman"/>
                <w:b/>
                <w:bCs/>
                <w:lang w:eastAsia="zh-CN"/>
              </w:rPr>
              <w:t>(Class-Specific Latent Factor Mean)</w:t>
            </w:r>
          </w:p>
        </w:tc>
        <w:tc>
          <w:tcPr>
            <w:tcW w:w="3067" w:type="dxa"/>
          </w:tcPr>
          <w:p w14:paraId="60B126D2" w14:textId="77777777" w:rsidR="009F266C" w:rsidRPr="00702BE2" w:rsidRDefault="009F266C" w:rsidP="00DF0CBF">
            <w:pPr>
              <w:spacing w:line="240" w:lineRule="auto"/>
              <w:rPr>
                <w:rFonts w:ascii="Times New Roman" w:hAnsi="Times New Roman" w:cs="Times New Roman"/>
                <w:b/>
                <w:bCs/>
              </w:rPr>
            </w:pPr>
            <w:r w:rsidRPr="00702BE2">
              <w:rPr>
                <w:rFonts w:ascii="Times New Roman" w:eastAsiaTheme="minorEastAsia" w:hAnsi="Times New Roman" w:cs="Times New Roman"/>
                <w:b/>
                <w:bCs/>
                <w:lang w:eastAsia="zh-CN"/>
              </w:rPr>
              <w:t>Class</w:t>
            </w:r>
            <w:r w:rsidRPr="00702BE2">
              <w:rPr>
                <w:rFonts w:ascii="Times New Roman" w:hAnsi="Times New Roman" w:cs="Times New Roman"/>
                <w:b/>
                <w:bCs/>
              </w:rPr>
              <w:t>-Specific Name</w:t>
            </w:r>
          </w:p>
        </w:tc>
      </w:tr>
      <w:tr w:rsidR="009F266C" w:rsidRPr="00C343FD" w14:paraId="49180871" w14:textId="77777777" w:rsidTr="00DF0CBF">
        <w:tc>
          <w:tcPr>
            <w:tcW w:w="987" w:type="dxa"/>
          </w:tcPr>
          <w:p w14:paraId="1D6DD8CD" w14:textId="77777777" w:rsidR="009F266C" w:rsidRPr="00702BE2" w:rsidRDefault="009F266C" w:rsidP="00DF0CBF">
            <w:pPr>
              <w:spacing w:line="240" w:lineRule="auto"/>
              <w:rPr>
                <w:rFonts w:ascii="Times New Roman" w:hAnsi="Times New Roman" w:cs="Times New Roman"/>
              </w:rPr>
            </w:pPr>
            <w:r w:rsidRPr="00702BE2">
              <w:rPr>
                <w:rFonts w:ascii="Times New Roman" w:hAnsi="Times New Roman" w:cs="Times New Roman"/>
              </w:rPr>
              <w:t>1</w:t>
            </w:r>
          </w:p>
        </w:tc>
        <w:tc>
          <w:tcPr>
            <w:tcW w:w="1134" w:type="dxa"/>
            <w:vAlign w:val="center"/>
          </w:tcPr>
          <w:p w14:paraId="1A22E29A" w14:textId="77777777" w:rsidR="009F266C" w:rsidRPr="00702BE2" w:rsidRDefault="009F266C" w:rsidP="00DF0CBF">
            <w:pPr>
              <w:spacing w:line="240" w:lineRule="auto"/>
              <w:rPr>
                <w:rFonts w:ascii="Times New Roman" w:hAnsi="Times New Roman" w:cs="Times New Roman"/>
              </w:rPr>
            </w:pPr>
            <w:r w:rsidRPr="00702BE2">
              <w:rPr>
                <w:rFonts w:ascii="Times New Roman" w:hAnsi="Times New Roman" w:cs="Times New Roman"/>
              </w:rPr>
              <w:t>478</w:t>
            </w:r>
          </w:p>
        </w:tc>
        <w:tc>
          <w:tcPr>
            <w:tcW w:w="1284" w:type="dxa"/>
            <w:vAlign w:val="center"/>
          </w:tcPr>
          <w:p w14:paraId="475BF547" w14:textId="77777777" w:rsidR="009F266C" w:rsidRPr="00702BE2" w:rsidRDefault="009F266C" w:rsidP="00DF0CBF">
            <w:pPr>
              <w:spacing w:line="240" w:lineRule="auto"/>
              <w:rPr>
                <w:rFonts w:ascii="Times New Roman" w:hAnsi="Times New Roman" w:cs="Times New Roman"/>
              </w:rPr>
            </w:pPr>
            <w:r w:rsidRPr="00702BE2">
              <w:rPr>
                <w:rFonts w:ascii="Times New Roman" w:hAnsi="Times New Roman" w:cs="Times New Roman"/>
              </w:rPr>
              <w:t xml:space="preserve">0.07 </w:t>
            </w:r>
          </w:p>
        </w:tc>
        <w:tc>
          <w:tcPr>
            <w:tcW w:w="2544" w:type="dxa"/>
            <w:vAlign w:val="center"/>
          </w:tcPr>
          <w:p w14:paraId="2DDD7BA3" w14:textId="77777777" w:rsidR="009F266C" w:rsidRPr="00702BE2" w:rsidRDefault="009F266C" w:rsidP="00DF0CBF">
            <w:pPr>
              <w:spacing w:line="240" w:lineRule="auto"/>
              <w:rPr>
                <w:rFonts w:ascii="Times New Roman" w:eastAsiaTheme="minorEastAsia" w:hAnsi="Times New Roman" w:cs="Times New Roman"/>
                <w:lang w:eastAsia="zh-CN"/>
              </w:rPr>
            </w:pPr>
            <w:r w:rsidRPr="00702BE2">
              <w:rPr>
                <w:rFonts w:ascii="Times New Roman" w:hAnsi="Times New Roman" w:cs="Times New Roman"/>
              </w:rPr>
              <w:t>2.276</w:t>
            </w:r>
            <w:r w:rsidRPr="00702BE2">
              <w:rPr>
                <w:rFonts w:ascii="Times New Roman" w:eastAsiaTheme="minorEastAsia" w:hAnsi="Times New Roman" w:cs="Times New Roman"/>
                <w:lang w:eastAsia="zh-CN"/>
              </w:rPr>
              <w:t>***</w:t>
            </w:r>
          </w:p>
        </w:tc>
        <w:tc>
          <w:tcPr>
            <w:tcW w:w="3067" w:type="dxa"/>
          </w:tcPr>
          <w:p w14:paraId="24DCE3B3" w14:textId="77777777" w:rsidR="009F266C" w:rsidRPr="00313FF0" w:rsidRDefault="009F266C" w:rsidP="00DF0CBF">
            <w:pPr>
              <w:spacing w:line="240" w:lineRule="auto"/>
              <w:rPr>
                <w:rFonts w:ascii="Times New Roman" w:hAnsi="Times New Roman" w:cs="Times New Roman"/>
              </w:rPr>
            </w:pPr>
            <w:r w:rsidRPr="00313FF0">
              <w:rPr>
                <w:rFonts w:ascii="Times New Roman" w:hAnsi="Times New Roman" w:cs="Times New Roman"/>
              </w:rPr>
              <w:t xml:space="preserve">Profile 1: </w:t>
            </w:r>
            <w:r w:rsidRPr="00313FF0">
              <w:rPr>
                <w:rFonts w:ascii="Times New Roman" w:eastAsiaTheme="minorEastAsia" w:hAnsi="Times New Roman" w:cs="Times New Roman"/>
                <w:lang w:val="en-US" w:eastAsia="zh-CN"/>
              </w:rPr>
              <w:t>high level of prospective mindset</w:t>
            </w:r>
          </w:p>
        </w:tc>
      </w:tr>
      <w:tr w:rsidR="009F266C" w:rsidRPr="00C343FD" w14:paraId="5B8B042D" w14:textId="77777777" w:rsidTr="00DF0CBF">
        <w:tc>
          <w:tcPr>
            <w:tcW w:w="987" w:type="dxa"/>
          </w:tcPr>
          <w:p w14:paraId="3A08BCA7" w14:textId="77777777" w:rsidR="009F266C" w:rsidRPr="00702BE2" w:rsidRDefault="009F266C" w:rsidP="00DF0CBF">
            <w:pPr>
              <w:spacing w:line="240" w:lineRule="auto"/>
              <w:rPr>
                <w:rFonts w:ascii="Times New Roman" w:hAnsi="Times New Roman" w:cs="Times New Roman"/>
              </w:rPr>
            </w:pPr>
            <w:r w:rsidRPr="00702BE2">
              <w:rPr>
                <w:rFonts w:ascii="Times New Roman" w:hAnsi="Times New Roman" w:cs="Times New Roman"/>
              </w:rPr>
              <w:lastRenderedPageBreak/>
              <w:t>2</w:t>
            </w:r>
          </w:p>
        </w:tc>
        <w:tc>
          <w:tcPr>
            <w:tcW w:w="1134" w:type="dxa"/>
            <w:vAlign w:val="center"/>
          </w:tcPr>
          <w:p w14:paraId="7C3A3831" w14:textId="77777777" w:rsidR="009F266C" w:rsidRPr="00702BE2" w:rsidRDefault="009F266C" w:rsidP="00DF0CBF">
            <w:pPr>
              <w:spacing w:line="240" w:lineRule="auto"/>
              <w:rPr>
                <w:rFonts w:ascii="Times New Roman" w:hAnsi="Times New Roman" w:cs="Times New Roman"/>
              </w:rPr>
            </w:pPr>
            <w:r w:rsidRPr="00702BE2">
              <w:rPr>
                <w:rFonts w:ascii="Times New Roman" w:hAnsi="Times New Roman" w:cs="Times New Roman"/>
              </w:rPr>
              <w:t>2809</w:t>
            </w:r>
          </w:p>
        </w:tc>
        <w:tc>
          <w:tcPr>
            <w:tcW w:w="1284" w:type="dxa"/>
            <w:vAlign w:val="center"/>
          </w:tcPr>
          <w:p w14:paraId="608AB4B9" w14:textId="77777777" w:rsidR="009F266C" w:rsidRPr="00702BE2" w:rsidRDefault="009F266C" w:rsidP="00DF0CBF">
            <w:pPr>
              <w:spacing w:line="240" w:lineRule="auto"/>
              <w:rPr>
                <w:rFonts w:ascii="Times New Roman" w:hAnsi="Times New Roman" w:cs="Times New Roman"/>
              </w:rPr>
            </w:pPr>
            <w:r w:rsidRPr="00702BE2">
              <w:rPr>
                <w:rFonts w:ascii="Times New Roman" w:hAnsi="Times New Roman" w:cs="Times New Roman"/>
              </w:rPr>
              <w:t xml:space="preserve">0.40 </w:t>
            </w:r>
          </w:p>
        </w:tc>
        <w:tc>
          <w:tcPr>
            <w:tcW w:w="2544" w:type="dxa"/>
            <w:vAlign w:val="center"/>
          </w:tcPr>
          <w:p w14:paraId="4444000A" w14:textId="77777777" w:rsidR="009F266C" w:rsidRPr="00702BE2" w:rsidRDefault="009F266C" w:rsidP="00DF0CBF">
            <w:pPr>
              <w:spacing w:line="240" w:lineRule="auto"/>
              <w:rPr>
                <w:rFonts w:ascii="Times New Roman" w:eastAsiaTheme="minorEastAsia" w:hAnsi="Times New Roman" w:cs="Times New Roman"/>
                <w:lang w:eastAsia="zh-CN"/>
              </w:rPr>
            </w:pPr>
            <w:r w:rsidRPr="00702BE2">
              <w:rPr>
                <w:rFonts w:ascii="Times New Roman" w:hAnsi="Times New Roman" w:cs="Times New Roman"/>
              </w:rPr>
              <w:t>-1.846</w:t>
            </w:r>
            <w:r w:rsidRPr="00702BE2">
              <w:rPr>
                <w:rFonts w:ascii="Times New Roman" w:eastAsiaTheme="minorEastAsia" w:hAnsi="Times New Roman" w:cs="Times New Roman"/>
                <w:lang w:eastAsia="zh-CN"/>
              </w:rPr>
              <w:t>***</w:t>
            </w:r>
          </w:p>
        </w:tc>
        <w:tc>
          <w:tcPr>
            <w:tcW w:w="3067" w:type="dxa"/>
          </w:tcPr>
          <w:p w14:paraId="7FC24982" w14:textId="77777777" w:rsidR="009F266C" w:rsidRPr="00313FF0" w:rsidRDefault="009F266C" w:rsidP="00DF0CBF">
            <w:pPr>
              <w:spacing w:line="240" w:lineRule="auto"/>
              <w:rPr>
                <w:rFonts w:ascii="Times New Roman" w:hAnsi="Times New Roman" w:cs="Times New Roman"/>
              </w:rPr>
            </w:pPr>
            <w:r w:rsidRPr="00313FF0">
              <w:rPr>
                <w:rFonts w:ascii="Times New Roman" w:hAnsi="Times New Roman" w:cs="Times New Roman"/>
              </w:rPr>
              <w:t xml:space="preserve">Profile 2: </w:t>
            </w:r>
            <w:r w:rsidRPr="00313FF0">
              <w:rPr>
                <w:rFonts w:ascii="Times New Roman" w:eastAsiaTheme="minorEastAsia" w:hAnsi="Times New Roman" w:cs="Times New Roman"/>
                <w:lang w:val="en-US" w:eastAsia="zh-CN"/>
              </w:rPr>
              <w:t>average levels of prospective mindset</w:t>
            </w:r>
          </w:p>
        </w:tc>
      </w:tr>
      <w:tr w:rsidR="009F266C" w:rsidRPr="00C343FD" w14:paraId="40593D9E" w14:textId="77777777" w:rsidTr="00DF0CBF">
        <w:tc>
          <w:tcPr>
            <w:tcW w:w="987" w:type="dxa"/>
          </w:tcPr>
          <w:p w14:paraId="7F2C073D" w14:textId="77777777" w:rsidR="009F266C" w:rsidRPr="00702BE2" w:rsidRDefault="009F266C" w:rsidP="00DF0CBF">
            <w:pPr>
              <w:spacing w:line="240" w:lineRule="auto"/>
              <w:rPr>
                <w:rFonts w:ascii="Times New Roman" w:hAnsi="Times New Roman" w:cs="Times New Roman"/>
              </w:rPr>
            </w:pPr>
            <w:r w:rsidRPr="00702BE2">
              <w:rPr>
                <w:rFonts w:ascii="Times New Roman" w:hAnsi="Times New Roman" w:cs="Times New Roman"/>
              </w:rPr>
              <w:t>3</w:t>
            </w:r>
          </w:p>
        </w:tc>
        <w:tc>
          <w:tcPr>
            <w:tcW w:w="1134" w:type="dxa"/>
            <w:vAlign w:val="center"/>
          </w:tcPr>
          <w:p w14:paraId="571EA7A5" w14:textId="77777777" w:rsidR="009F266C" w:rsidRPr="00702BE2" w:rsidRDefault="009F266C" w:rsidP="00DF0CBF">
            <w:pPr>
              <w:spacing w:line="240" w:lineRule="auto"/>
              <w:rPr>
                <w:rFonts w:ascii="Times New Roman" w:hAnsi="Times New Roman" w:cs="Times New Roman"/>
              </w:rPr>
            </w:pPr>
            <w:r w:rsidRPr="00702BE2">
              <w:rPr>
                <w:rFonts w:ascii="Times New Roman" w:hAnsi="Times New Roman" w:cs="Times New Roman"/>
              </w:rPr>
              <w:t>173</w:t>
            </w:r>
          </w:p>
        </w:tc>
        <w:tc>
          <w:tcPr>
            <w:tcW w:w="1284" w:type="dxa"/>
            <w:vAlign w:val="center"/>
          </w:tcPr>
          <w:p w14:paraId="4E1241C7" w14:textId="77777777" w:rsidR="009F266C" w:rsidRPr="00702BE2" w:rsidRDefault="009F266C" w:rsidP="00DF0CBF">
            <w:pPr>
              <w:spacing w:line="240" w:lineRule="auto"/>
              <w:rPr>
                <w:rFonts w:ascii="Times New Roman" w:hAnsi="Times New Roman" w:cs="Times New Roman"/>
              </w:rPr>
            </w:pPr>
            <w:r w:rsidRPr="00702BE2">
              <w:rPr>
                <w:rFonts w:ascii="Times New Roman" w:hAnsi="Times New Roman" w:cs="Times New Roman"/>
              </w:rPr>
              <w:t xml:space="preserve">0.02 </w:t>
            </w:r>
          </w:p>
        </w:tc>
        <w:tc>
          <w:tcPr>
            <w:tcW w:w="2544" w:type="dxa"/>
            <w:vAlign w:val="center"/>
          </w:tcPr>
          <w:p w14:paraId="2D724B28" w14:textId="77777777" w:rsidR="009F266C" w:rsidRPr="00702BE2" w:rsidRDefault="009F266C" w:rsidP="00DF0CBF">
            <w:pPr>
              <w:spacing w:line="240" w:lineRule="auto"/>
              <w:rPr>
                <w:rFonts w:ascii="Times New Roman" w:eastAsiaTheme="minorEastAsia" w:hAnsi="Times New Roman" w:cs="Times New Roman"/>
                <w:lang w:eastAsia="zh-CN"/>
              </w:rPr>
            </w:pPr>
            <w:r w:rsidRPr="00702BE2">
              <w:rPr>
                <w:rFonts w:ascii="Times New Roman" w:hAnsi="Times New Roman" w:cs="Times New Roman"/>
              </w:rPr>
              <w:t>-4.705</w:t>
            </w:r>
            <w:r w:rsidRPr="00702BE2">
              <w:rPr>
                <w:rFonts w:ascii="Times New Roman" w:eastAsiaTheme="minorEastAsia" w:hAnsi="Times New Roman" w:cs="Times New Roman"/>
                <w:lang w:eastAsia="zh-CN"/>
              </w:rPr>
              <w:t>***</w:t>
            </w:r>
          </w:p>
        </w:tc>
        <w:tc>
          <w:tcPr>
            <w:tcW w:w="3067" w:type="dxa"/>
          </w:tcPr>
          <w:p w14:paraId="14BA0B89" w14:textId="77777777" w:rsidR="009F266C" w:rsidRPr="00313FF0" w:rsidRDefault="009F266C" w:rsidP="00DF0CBF">
            <w:pPr>
              <w:spacing w:line="240" w:lineRule="auto"/>
              <w:rPr>
                <w:rFonts w:ascii="Times New Roman" w:hAnsi="Times New Roman" w:cs="Times New Roman"/>
              </w:rPr>
            </w:pPr>
            <w:r w:rsidRPr="00313FF0">
              <w:rPr>
                <w:rFonts w:ascii="Times New Roman" w:hAnsi="Times New Roman" w:cs="Times New Roman"/>
              </w:rPr>
              <w:t xml:space="preserve">Profile 3: </w:t>
            </w:r>
            <w:r w:rsidRPr="00313FF0">
              <w:rPr>
                <w:rFonts w:ascii="Times New Roman" w:eastAsiaTheme="minorEastAsia" w:hAnsi="Times New Roman" w:cs="Times New Roman"/>
                <w:lang w:val="en-US" w:eastAsia="zh-CN"/>
              </w:rPr>
              <w:t>low level of prospective mindset</w:t>
            </w:r>
          </w:p>
        </w:tc>
      </w:tr>
      <w:tr w:rsidR="009F266C" w:rsidRPr="00C343FD" w14:paraId="0D3DAF5A" w14:textId="77777777" w:rsidTr="00DF0CBF">
        <w:tc>
          <w:tcPr>
            <w:tcW w:w="987" w:type="dxa"/>
          </w:tcPr>
          <w:p w14:paraId="3A9DAEBD" w14:textId="77777777" w:rsidR="009F266C" w:rsidRPr="00702BE2" w:rsidRDefault="009F266C" w:rsidP="00DF0CBF">
            <w:pPr>
              <w:spacing w:line="240" w:lineRule="auto"/>
              <w:rPr>
                <w:rFonts w:ascii="Times New Roman" w:hAnsi="Times New Roman" w:cs="Times New Roman"/>
              </w:rPr>
            </w:pPr>
            <w:r w:rsidRPr="00702BE2">
              <w:rPr>
                <w:rFonts w:ascii="Times New Roman" w:hAnsi="Times New Roman" w:cs="Times New Roman"/>
              </w:rPr>
              <w:t>4</w:t>
            </w:r>
          </w:p>
        </w:tc>
        <w:tc>
          <w:tcPr>
            <w:tcW w:w="1134" w:type="dxa"/>
            <w:vAlign w:val="center"/>
          </w:tcPr>
          <w:p w14:paraId="4E45686B" w14:textId="77777777" w:rsidR="009F266C" w:rsidRPr="00702BE2" w:rsidRDefault="009F266C" w:rsidP="00DF0CBF">
            <w:pPr>
              <w:spacing w:line="240" w:lineRule="auto"/>
              <w:rPr>
                <w:rFonts w:ascii="Times New Roman" w:hAnsi="Times New Roman" w:cs="Times New Roman"/>
              </w:rPr>
            </w:pPr>
            <w:r w:rsidRPr="00702BE2">
              <w:rPr>
                <w:rFonts w:ascii="Times New Roman" w:hAnsi="Times New Roman" w:cs="Times New Roman"/>
              </w:rPr>
              <w:t>3611</w:t>
            </w:r>
          </w:p>
        </w:tc>
        <w:tc>
          <w:tcPr>
            <w:tcW w:w="1284" w:type="dxa"/>
            <w:vAlign w:val="center"/>
          </w:tcPr>
          <w:p w14:paraId="57C3AFF4" w14:textId="77777777" w:rsidR="009F266C" w:rsidRPr="00702BE2" w:rsidRDefault="009F266C" w:rsidP="00DF0CBF">
            <w:pPr>
              <w:spacing w:line="240" w:lineRule="auto"/>
              <w:rPr>
                <w:rFonts w:ascii="Times New Roman" w:hAnsi="Times New Roman" w:cs="Times New Roman"/>
              </w:rPr>
            </w:pPr>
            <w:r w:rsidRPr="00702BE2">
              <w:rPr>
                <w:rFonts w:ascii="Times New Roman" w:hAnsi="Times New Roman" w:cs="Times New Roman"/>
              </w:rPr>
              <w:t xml:space="preserve">0.51 </w:t>
            </w:r>
          </w:p>
        </w:tc>
        <w:tc>
          <w:tcPr>
            <w:tcW w:w="2544" w:type="dxa"/>
            <w:vAlign w:val="center"/>
          </w:tcPr>
          <w:p w14:paraId="094210BD" w14:textId="77777777" w:rsidR="009F266C" w:rsidRPr="00702BE2" w:rsidRDefault="009F266C" w:rsidP="00DF0CBF">
            <w:pPr>
              <w:spacing w:line="240" w:lineRule="auto"/>
              <w:rPr>
                <w:rFonts w:ascii="Times New Roman" w:eastAsiaTheme="minorEastAsia" w:hAnsi="Times New Roman" w:cs="Times New Roman"/>
                <w:lang w:eastAsia="zh-CN"/>
              </w:rPr>
            </w:pPr>
            <w:r w:rsidRPr="00702BE2">
              <w:rPr>
                <w:rFonts w:ascii="Times New Roman" w:hAnsi="Times New Roman" w:cs="Times New Roman"/>
              </w:rPr>
              <w:t>0.000</w:t>
            </w:r>
            <w:r w:rsidRPr="00702BE2">
              <w:rPr>
                <w:rFonts w:ascii="Times New Roman" w:eastAsiaTheme="minorEastAsia" w:hAnsi="Times New Roman" w:cs="Times New Roman"/>
                <w:lang w:eastAsia="zh-CN"/>
              </w:rPr>
              <w:t>***</w:t>
            </w:r>
          </w:p>
        </w:tc>
        <w:tc>
          <w:tcPr>
            <w:tcW w:w="3067" w:type="dxa"/>
          </w:tcPr>
          <w:p w14:paraId="4688E81E" w14:textId="77777777" w:rsidR="009F266C" w:rsidRPr="00313FF0" w:rsidRDefault="009F266C" w:rsidP="00DF0CBF">
            <w:pPr>
              <w:spacing w:line="240" w:lineRule="auto"/>
              <w:rPr>
                <w:rFonts w:ascii="Times New Roman" w:hAnsi="Times New Roman" w:cs="Times New Roman"/>
              </w:rPr>
            </w:pPr>
            <w:r w:rsidRPr="00313FF0">
              <w:rPr>
                <w:rFonts w:ascii="Times New Roman" w:hAnsi="Times New Roman" w:cs="Times New Roman"/>
              </w:rPr>
              <w:t xml:space="preserve">Profile 4: </w:t>
            </w:r>
            <w:r w:rsidRPr="00313FF0">
              <w:rPr>
                <w:rFonts w:ascii="Times New Roman" w:eastAsiaTheme="minorEastAsia" w:hAnsi="Times New Roman" w:cs="Times New Roman"/>
                <w:lang w:val="en-US" w:eastAsia="zh-CN"/>
              </w:rPr>
              <w:t>very low level of prospective mindset</w:t>
            </w:r>
          </w:p>
        </w:tc>
      </w:tr>
    </w:tbl>
    <w:p w14:paraId="127CCB1E" w14:textId="77777777" w:rsidR="009F266C" w:rsidRPr="005577FB" w:rsidRDefault="009F266C" w:rsidP="009F266C">
      <w:r w:rsidRPr="005577FB">
        <w:t>*Statistical significance levels: * p &lt; 0.05, ** p &lt; 0.01, *** p &lt; 0.001.</w:t>
      </w:r>
    </w:p>
    <w:p w14:paraId="60FC5350" w14:textId="1D4C0203" w:rsidR="00702BE2" w:rsidRDefault="00702BE2" w:rsidP="00702BE2">
      <w:pPr>
        <w:pStyle w:val="Newparagraph"/>
        <w:rPr>
          <w:lang w:eastAsia="zh-CN"/>
        </w:rPr>
      </w:pPr>
      <w:r w:rsidRPr="00EB2FC0">
        <w:rPr>
          <w:lang w:eastAsia="zh-CN"/>
        </w:rPr>
        <w:t>Table 2</w:t>
      </w:r>
      <w:r>
        <w:rPr>
          <w:rFonts w:hint="eastAsia"/>
          <w:lang w:eastAsia="zh-CN"/>
        </w:rPr>
        <w:t xml:space="preserve"> shows that the</w:t>
      </w:r>
      <w:r w:rsidRPr="00EB2FC0">
        <w:rPr>
          <w:lang w:val="en-US" w:eastAsia="zh-CN"/>
        </w:rPr>
        <w:t xml:space="preserve"> FMM analysis identified four latent classes with distinct profiles of Prospective Mindset. </w:t>
      </w:r>
      <w:r>
        <w:rPr>
          <w:lang w:val="en-US" w:eastAsia="zh-CN"/>
        </w:rPr>
        <w:t>Profile (</w:t>
      </w:r>
      <w:r w:rsidRPr="00EB2FC0">
        <w:rPr>
          <w:lang w:val="en-US" w:eastAsia="zh-CN"/>
        </w:rPr>
        <w:t>Latent Class</w:t>
      </w:r>
      <w:r>
        <w:rPr>
          <w:lang w:val="en-US" w:eastAsia="zh-CN"/>
        </w:rPr>
        <w:t>)</w:t>
      </w:r>
      <w:r w:rsidRPr="00EB2FC0">
        <w:rPr>
          <w:lang w:val="en-US" w:eastAsia="zh-CN"/>
        </w:rPr>
        <w:t xml:space="preserve"> 4, with a mean fixed at 0.00 (as the reference group), represents the baseline level of Prospective Mindset and includes the largest proportion of individuals (51</w:t>
      </w:r>
      <w:r>
        <w:rPr>
          <w:lang w:val="en-US" w:eastAsia="zh-CN"/>
        </w:rPr>
        <w:t xml:space="preserve"> percent</w:t>
      </w:r>
      <w:r w:rsidRPr="00EB2FC0">
        <w:rPr>
          <w:lang w:val="en-US" w:eastAsia="zh-CN"/>
        </w:rPr>
        <w:t xml:space="preserve">). In contrast, </w:t>
      </w:r>
      <w:r>
        <w:rPr>
          <w:lang w:val="en-US" w:eastAsia="zh-CN"/>
        </w:rPr>
        <w:t>Profile (</w:t>
      </w:r>
      <w:r w:rsidRPr="00EB2FC0">
        <w:rPr>
          <w:lang w:val="en-US" w:eastAsia="zh-CN"/>
        </w:rPr>
        <w:t>Latent Class</w:t>
      </w:r>
      <w:r>
        <w:rPr>
          <w:lang w:val="en-US" w:eastAsia="zh-CN"/>
        </w:rPr>
        <w:t>)</w:t>
      </w:r>
      <w:r w:rsidRPr="00EB2FC0">
        <w:rPr>
          <w:lang w:val="en-US" w:eastAsia="zh-CN"/>
        </w:rPr>
        <w:t xml:space="preserve"> 3</w:t>
      </w:r>
      <w:r>
        <w:rPr>
          <w:lang w:val="en-US" w:eastAsia="zh-CN"/>
        </w:rPr>
        <w:t xml:space="preserve"> </w:t>
      </w:r>
      <w:r w:rsidRPr="00EB2FC0">
        <w:rPr>
          <w:lang w:val="en-US" w:eastAsia="zh-CN"/>
        </w:rPr>
        <w:t xml:space="preserve">exhibits the lowest Prospective Mindset intensity, with a mean of -4.705. </w:t>
      </w:r>
      <w:r>
        <w:rPr>
          <w:lang w:val="en-US" w:eastAsia="zh-CN"/>
        </w:rPr>
        <w:t>Profile (</w:t>
      </w:r>
      <w:r w:rsidRPr="00EB2FC0">
        <w:rPr>
          <w:lang w:val="en-US" w:eastAsia="zh-CN"/>
        </w:rPr>
        <w:t>Latent Class</w:t>
      </w:r>
      <w:r>
        <w:rPr>
          <w:lang w:val="en-US" w:eastAsia="zh-CN"/>
        </w:rPr>
        <w:t>)</w:t>
      </w:r>
      <w:r w:rsidRPr="00EB2FC0">
        <w:rPr>
          <w:lang w:val="en-US" w:eastAsia="zh-CN"/>
        </w:rPr>
        <w:t xml:space="preserve"> </w:t>
      </w:r>
      <w:r>
        <w:rPr>
          <w:lang w:val="en-US" w:eastAsia="zh-CN"/>
        </w:rPr>
        <w:t>2</w:t>
      </w:r>
      <w:r w:rsidRPr="00EB2FC0">
        <w:rPr>
          <w:lang w:val="en-US" w:eastAsia="zh-CN"/>
        </w:rPr>
        <w:t>, the second largest group (40</w:t>
      </w:r>
      <w:r>
        <w:rPr>
          <w:lang w:val="en-US" w:eastAsia="zh-CN"/>
        </w:rPr>
        <w:t xml:space="preserve"> percent</w:t>
      </w:r>
      <w:r w:rsidRPr="00EB2FC0">
        <w:rPr>
          <w:lang w:val="en-US" w:eastAsia="zh-CN"/>
        </w:rPr>
        <w:t xml:space="preserve">), shows a moderately lower mindset intensity (-1.846). Finally, </w:t>
      </w:r>
      <w:r>
        <w:rPr>
          <w:lang w:val="en-US" w:eastAsia="zh-CN"/>
        </w:rPr>
        <w:t>Profile (</w:t>
      </w:r>
      <w:r w:rsidRPr="00EB2FC0">
        <w:rPr>
          <w:lang w:val="en-US" w:eastAsia="zh-CN"/>
        </w:rPr>
        <w:t>Latent Class</w:t>
      </w:r>
      <w:r>
        <w:rPr>
          <w:lang w:val="en-US" w:eastAsia="zh-CN"/>
        </w:rPr>
        <w:t>)</w:t>
      </w:r>
      <w:r w:rsidRPr="00EB2FC0">
        <w:rPr>
          <w:lang w:val="en-US" w:eastAsia="zh-CN"/>
        </w:rPr>
        <w:t xml:space="preserve"> </w:t>
      </w:r>
      <w:r>
        <w:rPr>
          <w:lang w:val="en-US" w:eastAsia="zh-CN"/>
        </w:rPr>
        <w:t xml:space="preserve">1 </w:t>
      </w:r>
      <w:r w:rsidRPr="00EB2FC0">
        <w:rPr>
          <w:lang w:val="en-US" w:eastAsia="zh-CN"/>
        </w:rPr>
        <w:t>(7</w:t>
      </w:r>
      <w:r>
        <w:rPr>
          <w:lang w:val="en-US" w:eastAsia="zh-CN"/>
        </w:rPr>
        <w:t xml:space="preserve"> percent</w:t>
      </w:r>
      <w:r w:rsidRPr="00EB2FC0">
        <w:rPr>
          <w:lang w:val="en-US" w:eastAsia="zh-CN"/>
        </w:rPr>
        <w:t xml:space="preserve">), demonstrates the highest Prospective Mindset intensity (2.276). </w:t>
      </w:r>
      <w:r>
        <w:rPr>
          <w:lang w:val="en-US" w:eastAsia="zh-CN"/>
        </w:rPr>
        <w:t>Correspondingly we refer to Profile 1 as those with a high level of prospective mindset</w:t>
      </w:r>
      <w:r>
        <w:rPr>
          <w:rFonts w:hint="eastAsia"/>
          <w:lang w:val="en-US" w:eastAsia="zh-CN"/>
        </w:rPr>
        <w:t xml:space="preserve">; </w:t>
      </w:r>
      <w:r>
        <w:rPr>
          <w:lang w:val="en-US" w:eastAsia="zh-CN"/>
        </w:rPr>
        <w:t>Profile 4 (the most common group) as average levels of prospective mindset;</w:t>
      </w:r>
      <w:r w:rsidRPr="0035541D">
        <w:rPr>
          <w:lang w:val="en-US" w:eastAsia="zh-CN"/>
        </w:rPr>
        <w:t xml:space="preserve"> </w:t>
      </w:r>
      <w:r>
        <w:rPr>
          <w:lang w:val="en-US" w:eastAsia="zh-CN"/>
        </w:rPr>
        <w:t>Profile 2 as those with low levels of prospective mindset; and Profile 3 as those with very low levels of prospective mindset. This classification</w:t>
      </w:r>
      <w:r w:rsidRPr="00C343FD">
        <w:t xml:space="preserve"> thus enabling us to explore both how socio-demographic characteristics and ideas-engagement might differ amongst profile types.</w:t>
      </w:r>
    </w:p>
    <w:p w14:paraId="4B151953" w14:textId="77777777" w:rsidR="00702BE2" w:rsidRDefault="00702BE2" w:rsidP="00702BE2">
      <w:pPr>
        <w:pStyle w:val="Newparagraph"/>
      </w:pPr>
    </w:p>
    <w:p w14:paraId="2E357249" w14:textId="6BB006D0" w:rsidR="009F266C" w:rsidRDefault="00702BE2" w:rsidP="00702BE2">
      <w:pPr>
        <w:pStyle w:val="Newparagraph"/>
      </w:pPr>
      <w:r w:rsidRPr="00F41AA6">
        <w:t>For social network characteristics, we opted for a five-profile solution (AIC = 43055.402, BIC = 43165.223, SABIC = 43114.378 and an entropy value of 0.839). The characteristics of this profile solution can be found in Table 3, below.</w:t>
      </w:r>
      <w:r>
        <w:t xml:space="preserve"> Here the m</w:t>
      </w:r>
      <w:r w:rsidRPr="00F41AA6">
        <w:t>ean</w:t>
      </w:r>
      <w:r>
        <w:t xml:space="preserve"> scores</w:t>
      </w:r>
      <w:r w:rsidRPr="00F41AA6">
        <w:t xml:space="preserve"> </w:t>
      </w:r>
      <w:r w:rsidR="00AB700D">
        <w:t>–</w:t>
      </w:r>
      <w:r>
        <w:t xml:space="preserve"> </w:t>
      </w:r>
      <w:r w:rsidRPr="00F41AA6">
        <w:t>estimated during the model-fitting process using a probabilistic approach in Mplus</w:t>
      </w:r>
      <w:r>
        <w:t xml:space="preserve"> </w:t>
      </w:r>
      <w:r w:rsidR="00AB700D">
        <w:t>–</w:t>
      </w:r>
      <w:r w:rsidR="009F266C">
        <w:t xml:space="preserve"> </w:t>
      </w:r>
      <w:r w:rsidRPr="00F41AA6">
        <w:t>represent the average scores of individuals assigned to each latent profile on the observed variables</w:t>
      </w:r>
      <w:r>
        <w:t xml:space="preserve"> of </w:t>
      </w:r>
      <w:r w:rsidRPr="00F41AA6">
        <w:t>Network Homophily</w:t>
      </w:r>
      <w:r w:rsidR="008B073E">
        <w:t xml:space="preserve"> (indicating whether an individual belongs to a network of people with similar attitudes: see Table 1 for example survey </w:t>
      </w:r>
      <w:r w:rsidR="008B073E">
        <w:lastRenderedPageBreak/>
        <w:t>questions used)</w:t>
      </w:r>
      <w:r w:rsidRPr="00F41AA6">
        <w:t xml:space="preserve"> and Network Social Capital</w:t>
      </w:r>
      <w:r w:rsidR="008B073E">
        <w:t xml:space="preserve"> (indicating whether an individual belongs to a network of people engaging in similar activities: again, survey questions used to determin this can be found in Table 1)</w:t>
      </w:r>
      <w:r w:rsidRPr="00F41AA6">
        <w:t xml:space="preserve">. By comparing the means across latent profiles, we can identify distinct profiles characterized by varying levels of network homophily and social capital. </w:t>
      </w:r>
      <w:r w:rsidR="009F266C">
        <w:t>P</w:t>
      </w:r>
      <w:r w:rsidRPr="00F41AA6">
        <w:t xml:space="preserve">rofile 1 exhibits low scores on both network homophily (1.789) and network social capital (0.517), representing a group with limited homophily and minimal social capital. </w:t>
      </w:r>
      <w:r w:rsidR="009F266C">
        <w:t>P</w:t>
      </w:r>
      <w:r w:rsidRPr="00F41AA6">
        <w:t>rofile 2 shows moderate homophily (4.821) but remains low in social capital (1.105), suggesting social capital</w:t>
      </w:r>
      <w:r>
        <w:t xml:space="preserve"> is still restricted for profile members</w:t>
      </w:r>
      <w:r w:rsidRPr="00F41AA6">
        <w:t xml:space="preserve">. </w:t>
      </w:r>
      <w:r w:rsidR="009F266C">
        <w:t>P</w:t>
      </w:r>
      <w:r w:rsidRPr="00F41AA6">
        <w:t xml:space="preserve">rofile 3 demonstrates high scores on both dimensions, with homophily at 5.621 and social capital at 4.128, indicating strong homophily and substantial social capital. </w:t>
      </w:r>
      <w:r w:rsidR="009F266C">
        <w:t>P</w:t>
      </w:r>
      <w:r w:rsidRPr="00F41AA6">
        <w:t xml:space="preserve">rofile 4 presents moderate-high homophily (5.134) and moderate social capital (2.777), reflecting a </w:t>
      </w:r>
      <w:r>
        <w:t xml:space="preserve">more </w:t>
      </w:r>
      <w:r w:rsidRPr="00F41AA6">
        <w:t xml:space="preserve">balanced profile. Finally, </w:t>
      </w:r>
      <w:r w:rsidR="009F266C">
        <w:t>P</w:t>
      </w:r>
      <w:r w:rsidRPr="00F41AA6">
        <w:t xml:space="preserve">rofile 5 displays exceptionally high scores on both measures, with homophily at 6.340 and social capital at 5.494, representing a group with pronounced homophily and extensive social capital. These profiles </w:t>
      </w:r>
      <w:r w:rsidR="008B073E">
        <w:t xml:space="preserve">thus </w:t>
      </w:r>
      <w:r w:rsidRPr="00F41AA6">
        <w:t xml:space="preserve">reveal </w:t>
      </w:r>
      <w:r w:rsidR="008B073E">
        <w:t xml:space="preserve">a number of </w:t>
      </w:r>
      <w:r w:rsidRPr="00F41AA6">
        <w:t>meaningful distinctions in how network homophily and social capital are distributed across groups.</w:t>
      </w:r>
      <w:r>
        <w:t xml:space="preserve"> </w:t>
      </w:r>
    </w:p>
    <w:p w14:paraId="66792832" w14:textId="77777777" w:rsidR="009F266C" w:rsidRDefault="009F266C" w:rsidP="009F266C">
      <w:pPr>
        <w:pStyle w:val="Tabletitle"/>
      </w:pPr>
      <w:r>
        <w:t>Table 3: Social Network profile characteristics</w:t>
      </w:r>
    </w:p>
    <w:tbl>
      <w:tblPr>
        <w:tblStyle w:val="TableGrid"/>
        <w:tblW w:w="0" w:type="auto"/>
        <w:tblLook w:val="04A0" w:firstRow="1" w:lastRow="0" w:firstColumn="1" w:lastColumn="0" w:noHBand="0" w:noVBand="1"/>
      </w:tblPr>
      <w:tblGrid>
        <w:gridCol w:w="906"/>
        <w:gridCol w:w="1134"/>
        <w:gridCol w:w="1345"/>
        <w:gridCol w:w="1363"/>
        <w:gridCol w:w="1312"/>
        <w:gridCol w:w="2429"/>
      </w:tblGrid>
      <w:tr w:rsidR="009F266C" w:rsidRPr="00C343FD" w14:paraId="37320401" w14:textId="77777777" w:rsidTr="00DF0CBF">
        <w:tc>
          <w:tcPr>
            <w:tcW w:w="877" w:type="dxa"/>
          </w:tcPr>
          <w:p w14:paraId="5107E59F" w14:textId="77777777" w:rsidR="009F266C" w:rsidRPr="00D94C67" w:rsidRDefault="009F266C" w:rsidP="00DF0CBF">
            <w:pPr>
              <w:spacing w:line="240" w:lineRule="auto"/>
              <w:rPr>
                <w:rFonts w:ascii="Times New Roman" w:hAnsi="Times New Roman" w:cs="Times New Roman"/>
                <w:b/>
                <w:bCs/>
              </w:rPr>
            </w:pPr>
            <w:r w:rsidRPr="00D94C67">
              <w:rPr>
                <w:rFonts w:ascii="Times New Roman" w:eastAsiaTheme="minorEastAsia" w:hAnsi="Times New Roman" w:cs="Times New Roman"/>
                <w:b/>
                <w:bCs/>
                <w:lang w:eastAsia="zh-CN"/>
              </w:rPr>
              <w:t xml:space="preserve">Latent </w:t>
            </w:r>
            <w:r w:rsidRPr="00D94C67">
              <w:rPr>
                <w:rFonts w:ascii="Times New Roman" w:hAnsi="Times New Roman" w:cs="Times New Roman"/>
                <w:b/>
                <w:bCs/>
              </w:rPr>
              <w:t>Profile</w:t>
            </w:r>
          </w:p>
        </w:tc>
        <w:tc>
          <w:tcPr>
            <w:tcW w:w="1169" w:type="dxa"/>
          </w:tcPr>
          <w:p w14:paraId="3700EE56" w14:textId="77777777" w:rsidR="009F266C" w:rsidRPr="00D94C67" w:rsidRDefault="009F266C" w:rsidP="00DF0CBF">
            <w:pPr>
              <w:spacing w:line="240" w:lineRule="auto"/>
              <w:rPr>
                <w:rFonts w:ascii="Times New Roman" w:hAnsi="Times New Roman" w:cs="Times New Roman"/>
                <w:b/>
                <w:bCs/>
              </w:rPr>
            </w:pPr>
            <w:r w:rsidRPr="00D94C67">
              <w:rPr>
                <w:rFonts w:ascii="Times New Roman" w:hAnsi="Times New Roman" w:cs="Times New Roman"/>
                <w:b/>
                <w:bCs/>
              </w:rPr>
              <w:t>Number</w:t>
            </w:r>
          </w:p>
        </w:tc>
        <w:tc>
          <w:tcPr>
            <w:tcW w:w="1284" w:type="dxa"/>
          </w:tcPr>
          <w:p w14:paraId="39C43076" w14:textId="77777777" w:rsidR="009F266C" w:rsidRPr="00D94C67" w:rsidRDefault="009F266C" w:rsidP="00DF0CBF">
            <w:pPr>
              <w:spacing w:line="240" w:lineRule="auto"/>
              <w:rPr>
                <w:rFonts w:ascii="Times New Roman" w:hAnsi="Times New Roman" w:cs="Times New Roman"/>
                <w:b/>
                <w:bCs/>
              </w:rPr>
            </w:pPr>
            <w:r w:rsidRPr="00D94C67">
              <w:rPr>
                <w:rFonts w:ascii="Times New Roman" w:hAnsi="Times New Roman" w:cs="Times New Roman"/>
                <w:b/>
                <w:bCs/>
              </w:rPr>
              <w:t>Proportion</w:t>
            </w:r>
          </w:p>
        </w:tc>
        <w:tc>
          <w:tcPr>
            <w:tcW w:w="1343" w:type="dxa"/>
          </w:tcPr>
          <w:p w14:paraId="3683E2D4" w14:textId="77777777" w:rsidR="009F266C" w:rsidRPr="00D94C67" w:rsidRDefault="009F266C" w:rsidP="00DF0CBF">
            <w:pPr>
              <w:spacing w:line="240" w:lineRule="auto"/>
              <w:rPr>
                <w:rFonts w:ascii="Times New Roman" w:hAnsi="Times New Roman" w:cs="Times New Roman"/>
                <w:b/>
                <w:bCs/>
              </w:rPr>
            </w:pPr>
            <w:r w:rsidRPr="00D94C67">
              <w:rPr>
                <w:rFonts w:ascii="Times New Roman" w:hAnsi="Times New Roman" w:cs="Times New Roman"/>
                <w:b/>
                <w:bCs/>
              </w:rPr>
              <w:t xml:space="preserve">Network Homophily (NH) (mean) </w:t>
            </w:r>
          </w:p>
        </w:tc>
        <w:tc>
          <w:tcPr>
            <w:tcW w:w="1418" w:type="dxa"/>
          </w:tcPr>
          <w:p w14:paraId="7CA1AF2F" w14:textId="77777777" w:rsidR="009F266C" w:rsidRPr="00D94C67" w:rsidRDefault="009F266C" w:rsidP="00DF0CBF">
            <w:pPr>
              <w:spacing w:line="240" w:lineRule="auto"/>
              <w:rPr>
                <w:rFonts w:ascii="Times New Roman" w:hAnsi="Times New Roman" w:cs="Times New Roman"/>
                <w:b/>
                <w:bCs/>
              </w:rPr>
            </w:pPr>
            <w:r w:rsidRPr="00D94C67">
              <w:rPr>
                <w:rFonts w:ascii="Times New Roman" w:hAnsi="Times New Roman" w:cs="Times New Roman"/>
                <w:b/>
                <w:bCs/>
              </w:rPr>
              <w:t>Network Social Capital (SC) (mean)</w:t>
            </w:r>
          </w:p>
        </w:tc>
        <w:tc>
          <w:tcPr>
            <w:tcW w:w="2925" w:type="dxa"/>
          </w:tcPr>
          <w:p w14:paraId="61CAABE9" w14:textId="77777777" w:rsidR="009F266C" w:rsidRPr="00D94C67" w:rsidRDefault="009F266C" w:rsidP="00DF0CBF">
            <w:pPr>
              <w:spacing w:line="240" w:lineRule="auto"/>
              <w:rPr>
                <w:rFonts w:ascii="Times New Roman" w:hAnsi="Times New Roman" w:cs="Times New Roman"/>
                <w:b/>
                <w:bCs/>
              </w:rPr>
            </w:pPr>
            <w:r w:rsidRPr="00D94C67">
              <w:rPr>
                <w:rFonts w:ascii="Times New Roman" w:hAnsi="Times New Roman" w:cs="Times New Roman"/>
                <w:b/>
                <w:bCs/>
              </w:rPr>
              <w:t>Profile-Specific Name</w:t>
            </w:r>
          </w:p>
        </w:tc>
      </w:tr>
      <w:tr w:rsidR="009F266C" w:rsidRPr="00C343FD" w14:paraId="20CE4348" w14:textId="77777777" w:rsidTr="00DF0CBF">
        <w:tc>
          <w:tcPr>
            <w:tcW w:w="877" w:type="dxa"/>
          </w:tcPr>
          <w:p w14:paraId="14D06598"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1</w:t>
            </w:r>
          </w:p>
        </w:tc>
        <w:tc>
          <w:tcPr>
            <w:tcW w:w="1169" w:type="dxa"/>
            <w:vAlign w:val="center"/>
          </w:tcPr>
          <w:p w14:paraId="19D639C9"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365</w:t>
            </w:r>
          </w:p>
        </w:tc>
        <w:tc>
          <w:tcPr>
            <w:tcW w:w="1284" w:type="dxa"/>
            <w:vAlign w:val="center"/>
          </w:tcPr>
          <w:p w14:paraId="4A738506"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 xml:space="preserve">0.05 </w:t>
            </w:r>
          </w:p>
        </w:tc>
        <w:tc>
          <w:tcPr>
            <w:tcW w:w="1343" w:type="dxa"/>
            <w:vAlign w:val="center"/>
          </w:tcPr>
          <w:p w14:paraId="4CC30913" w14:textId="77777777" w:rsidR="009F266C" w:rsidRPr="00D94C67" w:rsidRDefault="009F266C" w:rsidP="00DF0CBF">
            <w:pPr>
              <w:spacing w:line="240" w:lineRule="auto"/>
              <w:rPr>
                <w:rFonts w:ascii="Times New Roman" w:eastAsiaTheme="minorEastAsia" w:hAnsi="Times New Roman" w:cs="Times New Roman"/>
                <w:lang w:eastAsia="zh-CN"/>
              </w:rPr>
            </w:pPr>
            <w:r w:rsidRPr="00D94C67">
              <w:rPr>
                <w:rFonts w:ascii="Times New Roman" w:hAnsi="Times New Roman" w:cs="Times New Roman"/>
              </w:rPr>
              <w:t xml:space="preserve">1.789 </w:t>
            </w:r>
            <w:r w:rsidRPr="00D94C67">
              <w:rPr>
                <w:rFonts w:ascii="Times New Roman" w:eastAsiaTheme="minorEastAsia" w:hAnsi="Times New Roman" w:cs="Times New Roman"/>
                <w:lang w:eastAsia="zh-CN"/>
              </w:rPr>
              <w:t>***</w:t>
            </w:r>
          </w:p>
        </w:tc>
        <w:tc>
          <w:tcPr>
            <w:tcW w:w="1418" w:type="dxa"/>
            <w:vAlign w:val="center"/>
          </w:tcPr>
          <w:p w14:paraId="71400C32" w14:textId="77777777" w:rsidR="009F266C" w:rsidRPr="00D94C67" w:rsidRDefault="009F266C" w:rsidP="00DF0CBF">
            <w:pPr>
              <w:spacing w:line="240" w:lineRule="auto"/>
              <w:rPr>
                <w:rFonts w:ascii="Times New Roman" w:eastAsiaTheme="minorEastAsia" w:hAnsi="Times New Roman" w:cs="Times New Roman"/>
                <w:lang w:eastAsia="zh-CN"/>
              </w:rPr>
            </w:pPr>
            <w:r w:rsidRPr="00D94C67">
              <w:rPr>
                <w:rFonts w:ascii="Times New Roman" w:hAnsi="Times New Roman" w:cs="Times New Roman"/>
              </w:rPr>
              <w:t>0.517</w:t>
            </w:r>
            <w:r w:rsidRPr="00D94C67">
              <w:rPr>
                <w:rFonts w:ascii="Times New Roman" w:eastAsiaTheme="minorEastAsia" w:hAnsi="Times New Roman" w:cs="Times New Roman"/>
                <w:lang w:eastAsia="zh-CN"/>
              </w:rPr>
              <w:t>***</w:t>
            </w:r>
          </w:p>
        </w:tc>
        <w:tc>
          <w:tcPr>
            <w:tcW w:w="2925" w:type="dxa"/>
          </w:tcPr>
          <w:p w14:paraId="4120C264"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Profile 1: limited NH and SC</w:t>
            </w:r>
          </w:p>
        </w:tc>
      </w:tr>
      <w:tr w:rsidR="009F266C" w:rsidRPr="00C343FD" w14:paraId="3F91D729" w14:textId="77777777" w:rsidTr="00DF0CBF">
        <w:tc>
          <w:tcPr>
            <w:tcW w:w="877" w:type="dxa"/>
          </w:tcPr>
          <w:p w14:paraId="23F7E98A"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2</w:t>
            </w:r>
          </w:p>
        </w:tc>
        <w:tc>
          <w:tcPr>
            <w:tcW w:w="1169" w:type="dxa"/>
            <w:vAlign w:val="center"/>
          </w:tcPr>
          <w:p w14:paraId="78C71870"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1922</w:t>
            </w:r>
          </w:p>
        </w:tc>
        <w:tc>
          <w:tcPr>
            <w:tcW w:w="1284" w:type="dxa"/>
            <w:vAlign w:val="center"/>
          </w:tcPr>
          <w:p w14:paraId="09018191"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 xml:space="preserve">0.27 </w:t>
            </w:r>
          </w:p>
        </w:tc>
        <w:tc>
          <w:tcPr>
            <w:tcW w:w="1343" w:type="dxa"/>
            <w:vAlign w:val="center"/>
          </w:tcPr>
          <w:p w14:paraId="19D45B57"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4.821</w:t>
            </w:r>
            <w:r w:rsidRPr="00D94C67">
              <w:rPr>
                <w:rFonts w:ascii="Times New Roman" w:eastAsiaTheme="minorEastAsia" w:hAnsi="Times New Roman" w:cs="Times New Roman"/>
                <w:lang w:eastAsia="zh-CN"/>
              </w:rPr>
              <w:t xml:space="preserve"> </w:t>
            </w:r>
            <w:r w:rsidRPr="00D94C67">
              <w:rPr>
                <w:rFonts w:ascii="Times New Roman" w:hAnsi="Times New Roman" w:cs="Times New Roman"/>
              </w:rPr>
              <w:t>***</w:t>
            </w:r>
          </w:p>
        </w:tc>
        <w:tc>
          <w:tcPr>
            <w:tcW w:w="1418" w:type="dxa"/>
            <w:vAlign w:val="center"/>
          </w:tcPr>
          <w:p w14:paraId="02C0CCE9"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1.105</w:t>
            </w:r>
            <w:r w:rsidRPr="00D94C67">
              <w:rPr>
                <w:rFonts w:ascii="Times New Roman" w:eastAsiaTheme="minorEastAsia" w:hAnsi="Times New Roman" w:cs="Times New Roman"/>
                <w:lang w:eastAsia="zh-CN"/>
              </w:rPr>
              <w:t xml:space="preserve"> </w:t>
            </w:r>
            <w:r w:rsidRPr="00D94C67">
              <w:rPr>
                <w:rFonts w:ascii="Times New Roman" w:hAnsi="Times New Roman" w:cs="Times New Roman"/>
              </w:rPr>
              <w:t>***</w:t>
            </w:r>
          </w:p>
        </w:tc>
        <w:tc>
          <w:tcPr>
            <w:tcW w:w="2925" w:type="dxa"/>
          </w:tcPr>
          <w:p w14:paraId="3981B1E1"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Profile 2: moderate NH and low SC</w:t>
            </w:r>
          </w:p>
        </w:tc>
      </w:tr>
      <w:tr w:rsidR="009F266C" w:rsidRPr="00C343FD" w14:paraId="2569AB94" w14:textId="77777777" w:rsidTr="00DF0CBF">
        <w:tc>
          <w:tcPr>
            <w:tcW w:w="877" w:type="dxa"/>
          </w:tcPr>
          <w:p w14:paraId="58F8293E"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3</w:t>
            </w:r>
          </w:p>
        </w:tc>
        <w:tc>
          <w:tcPr>
            <w:tcW w:w="1169" w:type="dxa"/>
            <w:vAlign w:val="center"/>
          </w:tcPr>
          <w:p w14:paraId="43531833"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1997</w:t>
            </w:r>
          </w:p>
        </w:tc>
        <w:tc>
          <w:tcPr>
            <w:tcW w:w="1284" w:type="dxa"/>
            <w:vAlign w:val="center"/>
          </w:tcPr>
          <w:p w14:paraId="65D42CD9"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 xml:space="preserve">0.28 </w:t>
            </w:r>
          </w:p>
        </w:tc>
        <w:tc>
          <w:tcPr>
            <w:tcW w:w="1343" w:type="dxa"/>
            <w:vAlign w:val="center"/>
          </w:tcPr>
          <w:p w14:paraId="17C9763F"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5.621</w:t>
            </w:r>
            <w:r w:rsidRPr="00D94C67">
              <w:rPr>
                <w:rFonts w:ascii="Times New Roman" w:eastAsiaTheme="minorEastAsia" w:hAnsi="Times New Roman" w:cs="Times New Roman"/>
                <w:lang w:eastAsia="zh-CN"/>
              </w:rPr>
              <w:t xml:space="preserve"> </w:t>
            </w:r>
            <w:r w:rsidRPr="00D94C67">
              <w:rPr>
                <w:rFonts w:ascii="Times New Roman" w:hAnsi="Times New Roman" w:cs="Times New Roman"/>
              </w:rPr>
              <w:t>***</w:t>
            </w:r>
          </w:p>
        </w:tc>
        <w:tc>
          <w:tcPr>
            <w:tcW w:w="1418" w:type="dxa"/>
            <w:vAlign w:val="center"/>
          </w:tcPr>
          <w:p w14:paraId="26CA1A91"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4.128</w:t>
            </w:r>
            <w:r w:rsidRPr="00D94C67">
              <w:rPr>
                <w:rFonts w:ascii="Times New Roman" w:eastAsiaTheme="minorEastAsia" w:hAnsi="Times New Roman" w:cs="Times New Roman"/>
                <w:lang w:eastAsia="zh-CN"/>
              </w:rPr>
              <w:t xml:space="preserve"> </w:t>
            </w:r>
            <w:r w:rsidRPr="00D94C67">
              <w:rPr>
                <w:rFonts w:ascii="Times New Roman" w:hAnsi="Times New Roman" w:cs="Times New Roman"/>
              </w:rPr>
              <w:t>***</w:t>
            </w:r>
          </w:p>
        </w:tc>
        <w:tc>
          <w:tcPr>
            <w:tcW w:w="2925" w:type="dxa"/>
          </w:tcPr>
          <w:p w14:paraId="3269F1B0"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Profile 3: strong NH and SC</w:t>
            </w:r>
          </w:p>
        </w:tc>
      </w:tr>
      <w:tr w:rsidR="009F266C" w:rsidRPr="00C343FD" w14:paraId="633AB1A4" w14:textId="77777777" w:rsidTr="00DF0CBF">
        <w:tc>
          <w:tcPr>
            <w:tcW w:w="877" w:type="dxa"/>
          </w:tcPr>
          <w:p w14:paraId="61E820E9"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4</w:t>
            </w:r>
          </w:p>
        </w:tc>
        <w:tc>
          <w:tcPr>
            <w:tcW w:w="1169" w:type="dxa"/>
            <w:vAlign w:val="center"/>
          </w:tcPr>
          <w:p w14:paraId="214363D0"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2471</w:t>
            </w:r>
          </w:p>
        </w:tc>
        <w:tc>
          <w:tcPr>
            <w:tcW w:w="1284" w:type="dxa"/>
            <w:vAlign w:val="center"/>
          </w:tcPr>
          <w:p w14:paraId="3158DBE2"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 xml:space="preserve">0.35 </w:t>
            </w:r>
          </w:p>
        </w:tc>
        <w:tc>
          <w:tcPr>
            <w:tcW w:w="1343" w:type="dxa"/>
            <w:vAlign w:val="center"/>
          </w:tcPr>
          <w:p w14:paraId="38F84538"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5.134</w:t>
            </w:r>
            <w:r w:rsidRPr="00D94C67">
              <w:rPr>
                <w:rFonts w:ascii="Times New Roman" w:eastAsiaTheme="minorEastAsia" w:hAnsi="Times New Roman" w:cs="Times New Roman"/>
                <w:lang w:eastAsia="zh-CN"/>
              </w:rPr>
              <w:t xml:space="preserve"> </w:t>
            </w:r>
            <w:r w:rsidRPr="00D94C67">
              <w:rPr>
                <w:rFonts w:ascii="Times New Roman" w:hAnsi="Times New Roman" w:cs="Times New Roman"/>
              </w:rPr>
              <w:t>***</w:t>
            </w:r>
          </w:p>
        </w:tc>
        <w:tc>
          <w:tcPr>
            <w:tcW w:w="1418" w:type="dxa"/>
            <w:vAlign w:val="center"/>
          </w:tcPr>
          <w:p w14:paraId="27844033"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2.777</w:t>
            </w:r>
            <w:r w:rsidRPr="00D94C67">
              <w:rPr>
                <w:rFonts w:ascii="Times New Roman" w:eastAsiaTheme="minorEastAsia" w:hAnsi="Times New Roman" w:cs="Times New Roman"/>
                <w:lang w:eastAsia="zh-CN"/>
              </w:rPr>
              <w:t xml:space="preserve"> </w:t>
            </w:r>
            <w:r w:rsidRPr="00D94C67">
              <w:rPr>
                <w:rFonts w:ascii="Times New Roman" w:hAnsi="Times New Roman" w:cs="Times New Roman"/>
              </w:rPr>
              <w:t>***</w:t>
            </w:r>
          </w:p>
        </w:tc>
        <w:tc>
          <w:tcPr>
            <w:tcW w:w="2925" w:type="dxa"/>
          </w:tcPr>
          <w:p w14:paraId="179FA99D" w14:textId="6143462C"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 xml:space="preserve">Profile 4: moderate-high NH and moderate SC </w:t>
            </w:r>
          </w:p>
        </w:tc>
      </w:tr>
      <w:tr w:rsidR="009F266C" w:rsidRPr="00C343FD" w14:paraId="464A278B" w14:textId="77777777" w:rsidTr="00DF0CBF">
        <w:tc>
          <w:tcPr>
            <w:tcW w:w="877" w:type="dxa"/>
          </w:tcPr>
          <w:p w14:paraId="5DBDD6F7"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lastRenderedPageBreak/>
              <w:t>5</w:t>
            </w:r>
          </w:p>
        </w:tc>
        <w:tc>
          <w:tcPr>
            <w:tcW w:w="1169" w:type="dxa"/>
            <w:vAlign w:val="center"/>
          </w:tcPr>
          <w:p w14:paraId="56EC9B45"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316</w:t>
            </w:r>
          </w:p>
        </w:tc>
        <w:tc>
          <w:tcPr>
            <w:tcW w:w="1284" w:type="dxa"/>
            <w:vAlign w:val="center"/>
          </w:tcPr>
          <w:p w14:paraId="4E0D823A"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 xml:space="preserve">0.04 </w:t>
            </w:r>
          </w:p>
        </w:tc>
        <w:tc>
          <w:tcPr>
            <w:tcW w:w="1343" w:type="dxa"/>
            <w:vAlign w:val="center"/>
          </w:tcPr>
          <w:p w14:paraId="7749D4F1" w14:textId="07F5F9AC"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6.340 ***</w:t>
            </w:r>
          </w:p>
        </w:tc>
        <w:tc>
          <w:tcPr>
            <w:tcW w:w="1418" w:type="dxa"/>
            <w:vAlign w:val="center"/>
          </w:tcPr>
          <w:p w14:paraId="667B14A3"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5.494</w:t>
            </w:r>
            <w:r w:rsidRPr="00D94C67">
              <w:rPr>
                <w:rFonts w:ascii="Times New Roman" w:eastAsiaTheme="minorEastAsia" w:hAnsi="Times New Roman" w:cs="Times New Roman"/>
                <w:lang w:eastAsia="zh-CN"/>
              </w:rPr>
              <w:t xml:space="preserve"> </w:t>
            </w:r>
            <w:r w:rsidRPr="00D94C67">
              <w:rPr>
                <w:rFonts w:ascii="Times New Roman" w:hAnsi="Times New Roman" w:cs="Times New Roman"/>
              </w:rPr>
              <w:t>***</w:t>
            </w:r>
          </w:p>
        </w:tc>
        <w:tc>
          <w:tcPr>
            <w:tcW w:w="2925" w:type="dxa"/>
          </w:tcPr>
          <w:p w14:paraId="1AD3B16B" w14:textId="77777777" w:rsidR="009F266C" w:rsidRPr="00D94C67" w:rsidRDefault="009F266C" w:rsidP="00DF0CBF">
            <w:pPr>
              <w:spacing w:line="240" w:lineRule="auto"/>
              <w:rPr>
                <w:rFonts w:ascii="Times New Roman" w:hAnsi="Times New Roman" w:cs="Times New Roman"/>
              </w:rPr>
            </w:pPr>
            <w:r w:rsidRPr="00D94C67">
              <w:rPr>
                <w:rFonts w:ascii="Times New Roman" w:hAnsi="Times New Roman" w:cs="Times New Roman"/>
              </w:rPr>
              <w:t>Profile 4: exceptionally high NH and SC</w:t>
            </w:r>
          </w:p>
        </w:tc>
      </w:tr>
    </w:tbl>
    <w:p w14:paraId="14B3D271" w14:textId="46351D23" w:rsidR="009F266C" w:rsidRDefault="009F266C" w:rsidP="00AB700D">
      <w:r w:rsidRPr="005577FB">
        <w:t>*Statistical significance levels: * p &lt; 0.</w:t>
      </w:r>
      <w:r w:rsidRPr="005577FB">
        <w:rPr>
          <w:lang w:eastAsia="zh-CN"/>
        </w:rPr>
        <w:t>05</w:t>
      </w:r>
      <w:r w:rsidRPr="005577FB">
        <w:t>, ** p &lt; 0.0</w:t>
      </w:r>
      <w:r w:rsidRPr="005577FB">
        <w:rPr>
          <w:lang w:eastAsia="zh-CN"/>
        </w:rPr>
        <w:t>1</w:t>
      </w:r>
      <w:r w:rsidRPr="005577FB">
        <w:t>, *** p &lt; 0.0</w:t>
      </w:r>
      <w:r w:rsidRPr="005577FB">
        <w:rPr>
          <w:lang w:eastAsia="zh-CN"/>
        </w:rPr>
        <w:t>0</w:t>
      </w:r>
      <w:r w:rsidRPr="005577FB">
        <w:t>1.</w:t>
      </w:r>
    </w:p>
    <w:p w14:paraId="03796943" w14:textId="165D75DE" w:rsidR="00702BE2" w:rsidRPr="00C343FD" w:rsidRDefault="00702BE2" w:rsidP="00702BE2">
      <w:pPr>
        <w:pStyle w:val="Newparagraph"/>
      </w:pPr>
      <w:r w:rsidRPr="00F41AA6">
        <w:t xml:space="preserve">Finally, for critical thinking ability we selected a three-profile solution AIC = 80468.608, BIC = 80695.112, SABIC = 80590.245 and an entropy value of 0.827). </w:t>
      </w:r>
      <w:r>
        <w:t>As Table 4 shows, t</w:t>
      </w:r>
      <w:r w:rsidRPr="00F41AA6">
        <w:t xml:space="preserve">he Class-Specific Latent Factor Means reveal significant differences in critical thinking intensity across the profiles. </w:t>
      </w:r>
      <w:r w:rsidR="006E36AD">
        <w:t>Profile</w:t>
      </w:r>
      <w:r w:rsidRPr="00F41AA6">
        <w:t xml:space="preserve"> 3, with a mean fixed at 0.000 (as the reference group), </w:t>
      </w:r>
      <w:r w:rsidR="006E36AD" w:rsidRPr="00F41AA6">
        <w:t>represent</w:t>
      </w:r>
      <w:r w:rsidR="006E36AD">
        <w:t>s</w:t>
      </w:r>
      <w:r w:rsidR="006E36AD" w:rsidRPr="00F41AA6">
        <w:t xml:space="preserve"> </w:t>
      </w:r>
      <w:r w:rsidRPr="00F41AA6">
        <w:t>the relatively highest level of critical thinking ability and includes 16</w:t>
      </w:r>
      <w:r>
        <w:t xml:space="preserve"> percent</w:t>
      </w:r>
      <w:r w:rsidRPr="00F41AA6">
        <w:t xml:space="preserve"> of the sample. </w:t>
      </w:r>
      <w:r w:rsidR="006E36AD">
        <w:t>Profile</w:t>
      </w:r>
      <w:r w:rsidRPr="00F41AA6">
        <w:t xml:space="preserve"> 2, the largest group (64</w:t>
      </w:r>
      <w:r>
        <w:t xml:space="preserve"> percent</w:t>
      </w:r>
      <w:r w:rsidRPr="00F41AA6">
        <w:t xml:space="preserve">), exhibits moderately critical thinking ability (mean = -2.992). In contrast, </w:t>
      </w:r>
      <w:r w:rsidR="006E36AD">
        <w:t>Profile</w:t>
      </w:r>
      <w:r w:rsidRPr="00F41AA6">
        <w:t xml:space="preserve"> 1 demonstrates the lowest critical thinking intensity (mean = -5.706), comprising 20</w:t>
      </w:r>
      <w:r>
        <w:t xml:space="preserve"> percent</w:t>
      </w:r>
      <w:r w:rsidRPr="00F41AA6">
        <w:t xml:space="preserve"> of the sample.</w:t>
      </w:r>
    </w:p>
    <w:p w14:paraId="16C761B5" w14:textId="1D0AD095" w:rsidR="00702BE2" w:rsidRDefault="00702BE2" w:rsidP="00702BE2">
      <w:pPr>
        <w:pStyle w:val="Tabletitle"/>
      </w:pPr>
      <w:r>
        <w:t>Table 4: Critical thinking ability</w:t>
      </w:r>
      <w:r w:rsidR="74B2F62B">
        <w:t xml:space="preserve"> profile characteristics</w:t>
      </w:r>
    </w:p>
    <w:tbl>
      <w:tblPr>
        <w:tblStyle w:val="TableGrid"/>
        <w:tblW w:w="0" w:type="auto"/>
        <w:tblLook w:val="04A0" w:firstRow="1" w:lastRow="0" w:firstColumn="1" w:lastColumn="0" w:noHBand="0" w:noVBand="1"/>
      </w:tblPr>
      <w:tblGrid>
        <w:gridCol w:w="1256"/>
        <w:gridCol w:w="1281"/>
        <w:gridCol w:w="1345"/>
        <w:gridCol w:w="2206"/>
        <w:gridCol w:w="2401"/>
      </w:tblGrid>
      <w:tr w:rsidR="00702BE2" w:rsidRPr="00C343FD" w14:paraId="080D7A1B" w14:textId="77777777" w:rsidTr="00DF0CBF">
        <w:tc>
          <w:tcPr>
            <w:tcW w:w="1321" w:type="dxa"/>
          </w:tcPr>
          <w:p w14:paraId="79FC0D9B" w14:textId="77777777" w:rsidR="00702BE2" w:rsidRPr="00D94C67" w:rsidRDefault="00702BE2" w:rsidP="00702BE2">
            <w:pPr>
              <w:spacing w:line="240" w:lineRule="auto"/>
              <w:rPr>
                <w:rFonts w:ascii="Times New Roman" w:hAnsi="Times New Roman" w:cs="Times New Roman"/>
                <w:b/>
                <w:bCs/>
              </w:rPr>
            </w:pPr>
            <w:r w:rsidRPr="00D94C67">
              <w:rPr>
                <w:rFonts w:ascii="Times New Roman" w:hAnsi="Times New Roman" w:cs="Times New Roman"/>
                <w:b/>
                <w:bCs/>
              </w:rPr>
              <w:t>Profile</w:t>
            </w:r>
          </w:p>
        </w:tc>
        <w:tc>
          <w:tcPr>
            <w:tcW w:w="1321" w:type="dxa"/>
          </w:tcPr>
          <w:p w14:paraId="55A2DDA1" w14:textId="77777777" w:rsidR="00702BE2" w:rsidRPr="00D94C67" w:rsidRDefault="00702BE2" w:rsidP="00702BE2">
            <w:pPr>
              <w:spacing w:line="240" w:lineRule="auto"/>
              <w:rPr>
                <w:rFonts w:ascii="Times New Roman" w:hAnsi="Times New Roman" w:cs="Times New Roman"/>
                <w:b/>
                <w:bCs/>
              </w:rPr>
            </w:pPr>
            <w:r w:rsidRPr="00D94C67">
              <w:rPr>
                <w:rFonts w:ascii="Times New Roman" w:hAnsi="Times New Roman" w:cs="Times New Roman"/>
                <w:b/>
                <w:bCs/>
              </w:rPr>
              <w:t>Number</w:t>
            </w:r>
          </w:p>
        </w:tc>
        <w:tc>
          <w:tcPr>
            <w:tcW w:w="1322" w:type="dxa"/>
          </w:tcPr>
          <w:p w14:paraId="641D6019" w14:textId="77777777" w:rsidR="00702BE2" w:rsidRPr="00D94C67" w:rsidRDefault="00702BE2" w:rsidP="00702BE2">
            <w:pPr>
              <w:spacing w:line="240" w:lineRule="auto"/>
              <w:rPr>
                <w:rFonts w:ascii="Times New Roman" w:hAnsi="Times New Roman" w:cs="Times New Roman"/>
                <w:b/>
                <w:bCs/>
              </w:rPr>
            </w:pPr>
            <w:r w:rsidRPr="00D94C67">
              <w:rPr>
                <w:rFonts w:ascii="Times New Roman" w:hAnsi="Times New Roman" w:cs="Times New Roman"/>
                <w:b/>
                <w:bCs/>
              </w:rPr>
              <w:t>Proportion</w:t>
            </w:r>
          </w:p>
        </w:tc>
        <w:tc>
          <w:tcPr>
            <w:tcW w:w="2410" w:type="dxa"/>
          </w:tcPr>
          <w:p w14:paraId="55FC8D86" w14:textId="77777777" w:rsidR="00702BE2" w:rsidRPr="00D94C67" w:rsidRDefault="00702BE2" w:rsidP="00702BE2">
            <w:pPr>
              <w:spacing w:line="240" w:lineRule="auto"/>
              <w:rPr>
                <w:rFonts w:ascii="Times New Roman" w:hAnsi="Times New Roman" w:cs="Times New Roman"/>
                <w:b/>
                <w:bCs/>
              </w:rPr>
            </w:pPr>
            <w:r w:rsidRPr="00D94C67">
              <w:rPr>
                <w:rFonts w:ascii="Times New Roman" w:hAnsi="Times New Roman" w:cs="Times New Roman"/>
                <w:b/>
                <w:bCs/>
              </w:rPr>
              <w:t>Critical thinking ability</w:t>
            </w:r>
            <w:r w:rsidRPr="00D94C67">
              <w:rPr>
                <w:rFonts w:ascii="Times New Roman" w:eastAsiaTheme="minorEastAsia" w:hAnsi="Times New Roman" w:cs="Times New Roman"/>
                <w:b/>
                <w:bCs/>
                <w:lang w:eastAsia="zh-CN"/>
              </w:rPr>
              <w:t xml:space="preserve"> </w:t>
            </w:r>
            <w:r w:rsidRPr="00D94C67">
              <w:rPr>
                <w:rFonts w:ascii="Times New Roman" w:hAnsi="Times New Roman" w:cs="Times New Roman"/>
                <w:b/>
                <w:bCs/>
              </w:rPr>
              <w:t>(Class-Specific Latent Factor Mean)</w:t>
            </w:r>
          </w:p>
        </w:tc>
        <w:tc>
          <w:tcPr>
            <w:tcW w:w="2642" w:type="dxa"/>
          </w:tcPr>
          <w:p w14:paraId="54CE43D7" w14:textId="77777777" w:rsidR="00702BE2" w:rsidRPr="00D94C67" w:rsidRDefault="00702BE2" w:rsidP="00702BE2">
            <w:pPr>
              <w:spacing w:line="240" w:lineRule="auto"/>
              <w:rPr>
                <w:rFonts w:ascii="Times New Roman" w:hAnsi="Times New Roman" w:cs="Times New Roman"/>
                <w:b/>
                <w:bCs/>
              </w:rPr>
            </w:pPr>
            <w:r w:rsidRPr="00D94C67">
              <w:rPr>
                <w:rFonts w:ascii="Times New Roman" w:hAnsi="Times New Roman" w:cs="Times New Roman"/>
                <w:b/>
                <w:bCs/>
              </w:rPr>
              <w:t>Class-Specific Name</w:t>
            </w:r>
          </w:p>
        </w:tc>
      </w:tr>
      <w:tr w:rsidR="00702BE2" w:rsidRPr="00C343FD" w14:paraId="51B0CB40" w14:textId="77777777" w:rsidTr="00DF0CBF">
        <w:tc>
          <w:tcPr>
            <w:tcW w:w="1321" w:type="dxa"/>
          </w:tcPr>
          <w:p w14:paraId="08121FF9" w14:textId="77777777" w:rsidR="00702BE2" w:rsidRPr="00D94C67" w:rsidRDefault="00702BE2" w:rsidP="00702BE2">
            <w:pPr>
              <w:spacing w:line="240" w:lineRule="auto"/>
              <w:rPr>
                <w:rFonts w:ascii="Times New Roman" w:hAnsi="Times New Roman" w:cs="Times New Roman"/>
              </w:rPr>
            </w:pPr>
            <w:r w:rsidRPr="00D94C67">
              <w:rPr>
                <w:rFonts w:ascii="Times New Roman" w:hAnsi="Times New Roman" w:cs="Times New Roman"/>
              </w:rPr>
              <w:t>1</w:t>
            </w:r>
          </w:p>
        </w:tc>
        <w:tc>
          <w:tcPr>
            <w:tcW w:w="1321" w:type="dxa"/>
            <w:vAlign w:val="center"/>
          </w:tcPr>
          <w:p w14:paraId="3A6155D8" w14:textId="77777777" w:rsidR="00702BE2" w:rsidRPr="00D94C67" w:rsidRDefault="00702BE2" w:rsidP="00702BE2">
            <w:pPr>
              <w:spacing w:line="240" w:lineRule="auto"/>
              <w:rPr>
                <w:rFonts w:ascii="Times New Roman" w:hAnsi="Times New Roman" w:cs="Times New Roman"/>
              </w:rPr>
            </w:pPr>
            <w:r w:rsidRPr="00D94C67">
              <w:rPr>
                <w:rFonts w:ascii="Times New Roman" w:hAnsi="Times New Roman" w:cs="Times New Roman"/>
              </w:rPr>
              <w:t>1446</w:t>
            </w:r>
          </w:p>
        </w:tc>
        <w:tc>
          <w:tcPr>
            <w:tcW w:w="1322" w:type="dxa"/>
            <w:vAlign w:val="center"/>
          </w:tcPr>
          <w:p w14:paraId="432716C3" w14:textId="77777777" w:rsidR="00702BE2" w:rsidRPr="00D94C67" w:rsidRDefault="00702BE2" w:rsidP="00702BE2">
            <w:pPr>
              <w:spacing w:line="240" w:lineRule="auto"/>
              <w:rPr>
                <w:rFonts w:ascii="Times New Roman" w:hAnsi="Times New Roman" w:cs="Times New Roman"/>
              </w:rPr>
            </w:pPr>
            <w:r w:rsidRPr="00D94C67">
              <w:rPr>
                <w:rFonts w:ascii="Times New Roman" w:hAnsi="Times New Roman" w:cs="Times New Roman"/>
              </w:rPr>
              <w:t xml:space="preserve">0.20 </w:t>
            </w:r>
          </w:p>
        </w:tc>
        <w:tc>
          <w:tcPr>
            <w:tcW w:w="2410" w:type="dxa"/>
            <w:vAlign w:val="center"/>
          </w:tcPr>
          <w:p w14:paraId="4DA101C5" w14:textId="77777777" w:rsidR="00702BE2" w:rsidRPr="00D94C67" w:rsidRDefault="00702BE2" w:rsidP="00702BE2">
            <w:pPr>
              <w:spacing w:line="240" w:lineRule="auto"/>
              <w:rPr>
                <w:rFonts w:ascii="Times New Roman" w:eastAsiaTheme="minorEastAsia" w:hAnsi="Times New Roman" w:cs="Times New Roman"/>
                <w:lang w:eastAsia="zh-CN"/>
              </w:rPr>
            </w:pPr>
            <w:r w:rsidRPr="00D94C67">
              <w:rPr>
                <w:rFonts w:ascii="Times New Roman" w:hAnsi="Times New Roman" w:cs="Times New Roman"/>
              </w:rPr>
              <w:t>-5.706</w:t>
            </w:r>
            <w:r w:rsidRPr="00D94C67">
              <w:rPr>
                <w:rFonts w:ascii="Times New Roman" w:eastAsiaTheme="minorEastAsia" w:hAnsi="Times New Roman" w:cs="Times New Roman"/>
                <w:lang w:eastAsia="zh-CN"/>
              </w:rPr>
              <w:t>***</w:t>
            </w:r>
          </w:p>
        </w:tc>
        <w:tc>
          <w:tcPr>
            <w:tcW w:w="2642" w:type="dxa"/>
          </w:tcPr>
          <w:p w14:paraId="34CDAE9F" w14:textId="77777777" w:rsidR="00702BE2" w:rsidRPr="00A96FCC" w:rsidRDefault="00702BE2" w:rsidP="00702BE2">
            <w:pPr>
              <w:spacing w:line="240" w:lineRule="auto"/>
              <w:rPr>
                <w:rFonts w:ascii="Times New Roman" w:hAnsi="Times New Roman" w:cs="Times New Roman"/>
              </w:rPr>
            </w:pPr>
            <w:r w:rsidRPr="00A96FCC">
              <w:rPr>
                <w:rFonts w:ascii="Times New Roman" w:hAnsi="Times New Roman" w:cs="Times New Roman"/>
              </w:rPr>
              <w:t>Profile 1: lowest level of critical thinking ability</w:t>
            </w:r>
          </w:p>
        </w:tc>
      </w:tr>
      <w:tr w:rsidR="00702BE2" w:rsidRPr="00C343FD" w14:paraId="14B07017" w14:textId="77777777" w:rsidTr="00DF0CBF">
        <w:tc>
          <w:tcPr>
            <w:tcW w:w="1321" w:type="dxa"/>
          </w:tcPr>
          <w:p w14:paraId="067226A7" w14:textId="77777777" w:rsidR="00702BE2" w:rsidRPr="00D94C67" w:rsidRDefault="00702BE2" w:rsidP="00702BE2">
            <w:pPr>
              <w:spacing w:line="240" w:lineRule="auto"/>
              <w:rPr>
                <w:rFonts w:ascii="Times New Roman" w:hAnsi="Times New Roman" w:cs="Times New Roman"/>
              </w:rPr>
            </w:pPr>
            <w:r w:rsidRPr="00D94C67">
              <w:rPr>
                <w:rFonts w:ascii="Times New Roman" w:hAnsi="Times New Roman" w:cs="Times New Roman"/>
              </w:rPr>
              <w:t>2</w:t>
            </w:r>
          </w:p>
        </w:tc>
        <w:tc>
          <w:tcPr>
            <w:tcW w:w="1321" w:type="dxa"/>
            <w:vAlign w:val="center"/>
          </w:tcPr>
          <w:p w14:paraId="64418452" w14:textId="77777777" w:rsidR="00702BE2" w:rsidRPr="00D94C67" w:rsidRDefault="00702BE2" w:rsidP="00702BE2">
            <w:pPr>
              <w:spacing w:line="240" w:lineRule="auto"/>
              <w:rPr>
                <w:rFonts w:ascii="Times New Roman" w:hAnsi="Times New Roman" w:cs="Times New Roman"/>
              </w:rPr>
            </w:pPr>
            <w:r w:rsidRPr="00D94C67">
              <w:rPr>
                <w:rFonts w:ascii="Times New Roman" w:hAnsi="Times New Roman" w:cs="Times New Roman"/>
              </w:rPr>
              <w:t>4510</w:t>
            </w:r>
          </w:p>
        </w:tc>
        <w:tc>
          <w:tcPr>
            <w:tcW w:w="1322" w:type="dxa"/>
            <w:vAlign w:val="center"/>
          </w:tcPr>
          <w:p w14:paraId="407E2BB6" w14:textId="77777777" w:rsidR="00702BE2" w:rsidRPr="00D94C67" w:rsidRDefault="00702BE2" w:rsidP="00702BE2">
            <w:pPr>
              <w:spacing w:line="240" w:lineRule="auto"/>
              <w:rPr>
                <w:rFonts w:ascii="Times New Roman" w:hAnsi="Times New Roman" w:cs="Times New Roman"/>
              </w:rPr>
            </w:pPr>
            <w:r w:rsidRPr="00D94C67">
              <w:rPr>
                <w:rFonts w:ascii="Times New Roman" w:hAnsi="Times New Roman" w:cs="Times New Roman"/>
              </w:rPr>
              <w:t xml:space="preserve">0.64 </w:t>
            </w:r>
          </w:p>
        </w:tc>
        <w:tc>
          <w:tcPr>
            <w:tcW w:w="2410" w:type="dxa"/>
            <w:vAlign w:val="center"/>
          </w:tcPr>
          <w:p w14:paraId="435FAA80" w14:textId="77777777" w:rsidR="00702BE2" w:rsidRPr="00D94C67" w:rsidRDefault="00702BE2" w:rsidP="00702BE2">
            <w:pPr>
              <w:spacing w:line="240" w:lineRule="auto"/>
              <w:rPr>
                <w:rFonts w:ascii="Times New Roman" w:eastAsiaTheme="minorEastAsia" w:hAnsi="Times New Roman" w:cs="Times New Roman"/>
                <w:lang w:eastAsia="zh-CN"/>
              </w:rPr>
            </w:pPr>
            <w:r w:rsidRPr="00D94C67">
              <w:rPr>
                <w:rFonts w:ascii="Times New Roman" w:hAnsi="Times New Roman" w:cs="Times New Roman"/>
              </w:rPr>
              <w:t>-2.992</w:t>
            </w:r>
            <w:r w:rsidRPr="00D94C67">
              <w:rPr>
                <w:rFonts w:ascii="Times New Roman" w:eastAsiaTheme="minorEastAsia" w:hAnsi="Times New Roman" w:cs="Times New Roman"/>
                <w:lang w:eastAsia="zh-CN"/>
              </w:rPr>
              <w:t>***</w:t>
            </w:r>
          </w:p>
        </w:tc>
        <w:tc>
          <w:tcPr>
            <w:tcW w:w="2642" w:type="dxa"/>
          </w:tcPr>
          <w:p w14:paraId="481CD1FB" w14:textId="6386ECC9" w:rsidR="00702BE2" w:rsidRPr="00A96FCC" w:rsidRDefault="00702BE2" w:rsidP="00702BE2">
            <w:pPr>
              <w:spacing w:line="240" w:lineRule="auto"/>
              <w:rPr>
                <w:rFonts w:ascii="Times New Roman" w:hAnsi="Times New Roman" w:cs="Times New Roman"/>
              </w:rPr>
            </w:pPr>
            <w:r w:rsidRPr="00A96FCC">
              <w:rPr>
                <w:rFonts w:ascii="Times New Roman" w:hAnsi="Times New Roman" w:cs="Times New Roman"/>
              </w:rPr>
              <w:t>Profile 2: moderate</w:t>
            </w:r>
            <w:r w:rsidR="00A96FCC" w:rsidRPr="00A96FCC">
              <w:rPr>
                <w:rFonts w:ascii="Times New Roman" w:hAnsi="Times New Roman" w:cs="Times New Roman"/>
              </w:rPr>
              <w:t xml:space="preserve"> level of</w:t>
            </w:r>
            <w:r w:rsidRPr="00A96FCC">
              <w:rPr>
                <w:rFonts w:ascii="Times New Roman" w:hAnsi="Times New Roman" w:cs="Times New Roman"/>
              </w:rPr>
              <w:t xml:space="preserve"> critical thinking ability</w:t>
            </w:r>
          </w:p>
        </w:tc>
      </w:tr>
      <w:tr w:rsidR="00702BE2" w:rsidRPr="00C343FD" w14:paraId="297C85B3" w14:textId="77777777" w:rsidTr="00DF0CBF">
        <w:tc>
          <w:tcPr>
            <w:tcW w:w="1321" w:type="dxa"/>
          </w:tcPr>
          <w:p w14:paraId="4FC8D708" w14:textId="77777777" w:rsidR="00702BE2" w:rsidRPr="00D94C67" w:rsidRDefault="00702BE2" w:rsidP="00702BE2">
            <w:pPr>
              <w:spacing w:line="240" w:lineRule="auto"/>
              <w:rPr>
                <w:rFonts w:ascii="Times New Roman" w:hAnsi="Times New Roman" w:cs="Times New Roman"/>
              </w:rPr>
            </w:pPr>
            <w:r w:rsidRPr="00D94C67">
              <w:rPr>
                <w:rFonts w:ascii="Times New Roman" w:hAnsi="Times New Roman" w:cs="Times New Roman"/>
              </w:rPr>
              <w:t>3</w:t>
            </w:r>
          </w:p>
        </w:tc>
        <w:tc>
          <w:tcPr>
            <w:tcW w:w="1321" w:type="dxa"/>
            <w:vAlign w:val="center"/>
          </w:tcPr>
          <w:p w14:paraId="66EE1BFB" w14:textId="77777777" w:rsidR="00702BE2" w:rsidRPr="00D94C67" w:rsidRDefault="00702BE2" w:rsidP="00702BE2">
            <w:pPr>
              <w:spacing w:line="240" w:lineRule="auto"/>
              <w:rPr>
                <w:rFonts w:ascii="Times New Roman" w:hAnsi="Times New Roman" w:cs="Times New Roman"/>
              </w:rPr>
            </w:pPr>
            <w:r w:rsidRPr="00D94C67">
              <w:rPr>
                <w:rFonts w:ascii="Times New Roman" w:hAnsi="Times New Roman" w:cs="Times New Roman"/>
              </w:rPr>
              <w:t>1115</w:t>
            </w:r>
          </w:p>
        </w:tc>
        <w:tc>
          <w:tcPr>
            <w:tcW w:w="1322" w:type="dxa"/>
            <w:vAlign w:val="center"/>
          </w:tcPr>
          <w:p w14:paraId="57B4505D" w14:textId="77777777" w:rsidR="00702BE2" w:rsidRPr="00D94C67" w:rsidRDefault="00702BE2" w:rsidP="00702BE2">
            <w:pPr>
              <w:spacing w:line="240" w:lineRule="auto"/>
              <w:rPr>
                <w:rFonts w:ascii="Times New Roman" w:hAnsi="Times New Roman" w:cs="Times New Roman"/>
              </w:rPr>
            </w:pPr>
            <w:r w:rsidRPr="00D94C67">
              <w:rPr>
                <w:rFonts w:ascii="Times New Roman" w:hAnsi="Times New Roman" w:cs="Times New Roman"/>
              </w:rPr>
              <w:t xml:space="preserve">0.16 </w:t>
            </w:r>
          </w:p>
        </w:tc>
        <w:tc>
          <w:tcPr>
            <w:tcW w:w="2410" w:type="dxa"/>
            <w:vAlign w:val="center"/>
          </w:tcPr>
          <w:p w14:paraId="3B7BD401" w14:textId="77777777" w:rsidR="00702BE2" w:rsidRPr="00D94C67" w:rsidRDefault="00702BE2" w:rsidP="00702BE2">
            <w:pPr>
              <w:spacing w:line="240" w:lineRule="auto"/>
              <w:rPr>
                <w:rFonts w:ascii="Times New Roman" w:eastAsiaTheme="minorEastAsia" w:hAnsi="Times New Roman" w:cs="Times New Roman"/>
                <w:lang w:eastAsia="zh-CN"/>
              </w:rPr>
            </w:pPr>
            <w:r w:rsidRPr="00D94C67">
              <w:rPr>
                <w:rFonts w:ascii="Times New Roman" w:hAnsi="Times New Roman" w:cs="Times New Roman"/>
              </w:rPr>
              <w:t>0.000</w:t>
            </w:r>
            <w:r w:rsidRPr="00D94C67">
              <w:rPr>
                <w:rFonts w:ascii="Times New Roman" w:eastAsiaTheme="minorEastAsia" w:hAnsi="Times New Roman" w:cs="Times New Roman"/>
                <w:lang w:eastAsia="zh-CN"/>
              </w:rPr>
              <w:t>***</w:t>
            </w:r>
          </w:p>
        </w:tc>
        <w:tc>
          <w:tcPr>
            <w:tcW w:w="2642" w:type="dxa"/>
          </w:tcPr>
          <w:p w14:paraId="18810A80" w14:textId="77777777" w:rsidR="00702BE2" w:rsidRPr="00A96FCC" w:rsidRDefault="00702BE2" w:rsidP="00702BE2">
            <w:pPr>
              <w:spacing w:line="240" w:lineRule="auto"/>
              <w:rPr>
                <w:rFonts w:ascii="Times New Roman" w:hAnsi="Times New Roman" w:cs="Times New Roman"/>
              </w:rPr>
            </w:pPr>
            <w:r w:rsidRPr="00A96FCC">
              <w:rPr>
                <w:rFonts w:ascii="Times New Roman" w:hAnsi="Times New Roman" w:cs="Times New Roman"/>
              </w:rPr>
              <w:t>Profile 3: highest level of critical thinking ability</w:t>
            </w:r>
          </w:p>
        </w:tc>
      </w:tr>
    </w:tbl>
    <w:p w14:paraId="2921FC85" w14:textId="77777777" w:rsidR="00702BE2" w:rsidRPr="00D94C67" w:rsidRDefault="00702BE2" w:rsidP="00702BE2">
      <w:r w:rsidRPr="005577FB">
        <w:rPr>
          <w:rFonts w:asciiTheme="minorHAnsi" w:hAnsiTheme="minorHAnsi"/>
          <w:sz w:val="22"/>
          <w:szCs w:val="22"/>
        </w:rPr>
        <w:t>*</w:t>
      </w:r>
      <w:r w:rsidRPr="00D94C67">
        <w:t>Statistical significance levels: * p &lt; 0.05, ** p &lt; 0.01, *** p &lt; 0.001.</w:t>
      </w:r>
    </w:p>
    <w:p w14:paraId="7BE844EE" w14:textId="77777777" w:rsidR="00D94C67" w:rsidRPr="00D94C67" w:rsidRDefault="00D94C67" w:rsidP="00D94C67">
      <w:pPr>
        <w:pStyle w:val="Heading2"/>
      </w:pPr>
      <w:commentRangeStart w:id="4"/>
      <w:r>
        <w:t xml:space="preserve">Results for the prospective mindset profiles </w:t>
      </w:r>
      <w:commentRangeEnd w:id="4"/>
      <w:r>
        <w:rPr>
          <w:rStyle w:val="CommentReference"/>
        </w:rPr>
        <w:commentReference w:id="4"/>
      </w:r>
    </w:p>
    <w:p w14:paraId="112F0C07" w14:textId="2C84E7B2" w:rsidR="00D94C67" w:rsidRPr="00667A8B" w:rsidRDefault="00D94C67">
      <w:pPr>
        <w:pStyle w:val="Paragraph"/>
        <w:rPr>
          <w:color w:val="000000" w:themeColor="text1"/>
        </w:rPr>
      </w:pPr>
      <w:r>
        <w:t>The characteristics of the four prospective mindset profiles can be found in Tables 5 to 10</w:t>
      </w:r>
      <w:r w:rsidR="006E36AD">
        <w:t xml:space="preserve"> below</w:t>
      </w:r>
      <w:r>
        <w:t>. Here we examine differences between profiles in terms of age, gender, highest qualification attained, occupation type, the value profiles ascribe to ideas-</w:t>
      </w:r>
      <w:r>
        <w:lastRenderedPageBreak/>
        <w:t xml:space="preserve">engagement and the extent to which respondents believe in a representative example of one </w:t>
      </w:r>
      <w:r w:rsidR="006E36AD">
        <w:t xml:space="preserve">of </w:t>
      </w:r>
      <w:r>
        <w:t xml:space="preserve">our </w:t>
      </w:r>
      <w:r w:rsidR="006E36AD">
        <w:t>‘</w:t>
      </w:r>
      <w:r>
        <w:t>dark ideas</w:t>
      </w:r>
      <w:r w:rsidR="006E36AD">
        <w:t xml:space="preserve">’ </w:t>
      </w:r>
      <w:r>
        <w:t xml:space="preserve">statements </w:t>
      </w:r>
      <w:r w:rsidR="006E36AD">
        <w:t xml:space="preserve">to be true </w:t>
      </w:r>
      <w:r>
        <w:t xml:space="preserve">(‘there is evidence to suggest the Earth is actually flat, rather than round’). </w:t>
      </w:r>
      <w:r w:rsidRPr="395A1A59">
        <w:rPr>
          <w:color w:val="000000" w:themeColor="text1"/>
        </w:rPr>
        <w:t xml:space="preserve">In examining </w:t>
      </w:r>
      <w:r w:rsidRPr="395A1A59">
        <w:rPr>
          <w:rStyle w:val="mord"/>
          <w:color w:val="000000" w:themeColor="text1"/>
        </w:rPr>
        <w:t>χ2 statistics for</w:t>
      </w:r>
      <w:r w:rsidRPr="395A1A59">
        <w:rPr>
          <w:rStyle w:val="mord"/>
          <w:rFonts w:asciiTheme="minorHAnsi" w:hAnsiTheme="minorHAnsi"/>
          <w:color w:val="000000" w:themeColor="text1"/>
          <w:sz w:val="22"/>
          <w:szCs w:val="22"/>
        </w:rPr>
        <w:t xml:space="preserve"> </w:t>
      </w:r>
      <w:r w:rsidR="7AA3F887">
        <w:t>Figures 1 – 4 and Tables 5 and 6</w:t>
      </w:r>
      <w:r w:rsidRPr="395A1A59">
        <w:rPr>
          <w:color w:val="000000" w:themeColor="text1"/>
        </w:rPr>
        <w:t>, it can be seen all have</w:t>
      </w:r>
      <w:r w:rsidRPr="395A1A59">
        <w:rPr>
          <w:rStyle w:val="apple-converted-space"/>
          <w:rFonts w:asciiTheme="minorHAnsi" w:hAnsiTheme="minorHAnsi"/>
          <w:color w:val="000000" w:themeColor="text1"/>
          <w:sz w:val="22"/>
          <w:szCs w:val="22"/>
        </w:rPr>
        <w:t> </w:t>
      </w:r>
      <w:r w:rsidRPr="395A1A59">
        <w:rPr>
          <w:rStyle w:val="mord"/>
          <w:rFonts w:asciiTheme="minorHAnsi" w:hAnsiTheme="minorHAnsi"/>
          <w:color w:val="000000" w:themeColor="text1"/>
          <w:sz w:val="22"/>
          <w:szCs w:val="22"/>
        </w:rPr>
        <w:t>p</w:t>
      </w:r>
      <w:r w:rsidRPr="395A1A59">
        <w:rPr>
          <w:color w:val="000000" w:themeColor="text1"/>
        </w:rPr>
        <w:t xml:space="preserve">-values below 0.05, indicating that age, gender, education, occupation, value of ideas-engagement and belief in Flat Earth theory each show strong statistical differences across profiles. For </w:t>
      </w:r>
      <w:r w:rsidR="00322927">
        <w:rPr>
          <w:color w:val="000000" w:themeColor="text1"/>
        </w:rPr>
        <w:t>example</w:t>
      </w:r>
      <w:r w:rsidRPr="395A1A59">
        <w:rPr>
          <w:color w:val="000000" w:themeColor="text1"/>
        </w:rPr>
        <w:t xml:space="preserve">, </w:t>
      </w:r>
      <w:r>
        <w:t xml:space="preserve">it can be seen in </w:t>
      </w:r>
      <w:r w:rsidR="5143DE5D">
        <w:t>Figure 1</w:t>
      </w:r>
      <w:r>
        <w:t xml:space="preserve"> that Profile 1 </w:t>
      </w:r>
      <w:r w:rsidR="006E36AD">
        <w:t>–</w:t>
      </w:r>
      <w:r>
        <w:t xml:space="preserve"> which has the highest mean for prospective mindset – also has a higher proportion of younger respondents (18-24: 14 percent, 25-44: 42 percent). Profiles 2 and 3 have older distributions, with notable percentages in the 55+ age range. This suggests that prospective mindset varies by age; with younger individuals having a different perspective on future planning. Women tend to have higher levels of prospective mindset than men: with </w:t>
      </w:r>
      <w:r w:rsidR="4D89A460">
        <w:t>Figure 2</w:t>
      </w:r>
      <w:r>
        <w:t xml:space="preserve"> highlighting a huge disparity between men and women Profile 3 (the profile with the lowest level of prospective mindset) comprised 60 percent men vs 35 percent women. In terms of qualifications (</w:t>
      </w:r>
      <w:r w:rsidR="3982BF33">
        <w:t>Figure 3</w:t>
      </w:r>
      <w:r>
        <w:t xml:space="preserve">), Profile 3 (which has the lowest mean for prospective mindset) also has the highest proportion of individuals with no qualifications and a relatively high number with only school-level education, whereas Profiles 1 and 4 (which have the two highest means for prospective mindset) have the highest percentage of postgraduate degree holders: indicating that higher levels of education are correlated with a stronger prospective mindset. </w:t>
      </w:r>
    </w:p>
    <w:p w14:paraId="54ED259C" w14:textId="77777777" w:rsidR="00D94C67" w:rsidRPr="00C343FD" w:rsidRDefault="00D94C67" w:rsidP="00D94C67">
      <w:pPr>
        <w:rPr>
          <w:rFonts w:asciiTheme="minorHAnsi" w:hAnsiTheme="minorHAnsi"/>
          <w:sz w:val="22"/>
          <w:szCs w:val="22"/>
        </w:rPr>
      </w:pPr>
    </w:p>
    <w:p w14:paraId="28C8ACF0" w14:textId="3C316361" w:rsidR="00D94C67" w:rsidRPr="00C343FD" w:rsidRDefault="00D94C67">
      <w:pPr>
        <w:pStyle w:val="Newparagraph"/>
      </w:pPr>
      <w:r>
        <w:t>In terms of employment data (</w:t>
      </w:r>
      <w:r w:rsidR="1F7A3996">
        <w:t>Figure 4</w:t>
      </w:r>
      <w:r>
        <w:t xml:space="preserve">), Profile 3 has a notable proportion of unemployed individuals (16 percent) and those in routine occupations (16 percent), while Profiles 1 and 4 have the highest number of professionals and higher-level professionals (38 and 39 percent respectively). This suggests that being in a situation of </w:t>
      </w:r>
      <w:r>
        <w:lastRenderedPageBreak/>
        <w:t xml:space="preserve">unemployment or employment of a routine nature (e.g. bar staff, cleaner, labourer, bus driver, lorry driver etc.) is likely less conducive to developing a prospective mindset. Potentially this is due to the low level of wages paid by such roles, which tends to focus the future-looking gaze of individuals to the most immediate and pressing needs (Bregman, 2018). Table </w:t>
      </w:r>
      <w:r w:rsidR="6F25903E">
        <w:t>5</w:t>
      </w:r>
      <w:r>
        <w:t>, meanwhile, explores the value ascribed to ideas-engagement by each profile, Profiles 1 and 4 show the highest rates of considering ideas-engagement as ‘very important’ (70 percent and 44 percent, respectively). Profile 3, meanwhile, has the largest proportion of people who consider ideas-engagement as ‘not important or ‘somewhat important’ (with 27 percent considering ideas-engagement to be of no real importance, or presenting an indifferent response of ‘</w:t>
      </w:r>
      <w:r w:rsidRPr="395A1A59">
        <w:rPr>
          <w:rFonts w:cs="Calibri"/>
          <w:color w:val="000000" w:themeColor="text1"/>
        </w:rPr>
        <w:t>neither important or unimportant’)</w:t>
      </w:r>
      <w:r>
        <w:t xml:space="preserve">: this highlighting a connection between a strong prospective mindset and valuing engagement with ideas. Finally, the spread of misinformation is somewhat linked to lower prospective mindset scores (Table </w:t>
      </w:r>
      <w:r w:rsidR="31DB9BF4">
        <w:t>6</w:t>
      </w:r>
      <w:r>
        <w:t xml:space="preserve">), with Profile 3 showing a greater tendency to believe in the Flat Earth statement </w:t>
      </w:r>
      <w:r w:rsidR="00185B44">
        <w:t xml:space="preserve">(11 percent) </w:t>
      </w:r>
      <w:r>
        <w:t>and Profile 2 (the profile with the second lowest mean score for prospective mindset) having the highest percentage who are unsure (with 17 percent indicating that they ‘need more information to be able to judge’). Those with high levels of prospective mindset, however, tend to be more strongly certain that there is no evidence to suggest the world is flat.</w:t>
      </w:r>
    </w:p>
    <w:p w14:paraId="08A42546" w14:textId="3E7E8045" w:rsidR="00C003C6" w:rsidRPr="00D94C67" w:rsidRDefault="3D45394F" w:rsidP="395A1A59">
      <w:pPr>
        <w:pStyle w:val="Newparagraph"/>
        <w:rPr>
          <w:b/>
          <w:bCs/>
        </w:rPr>
      </w:pPr>
      <w:r w:rsidRPr="395A1A59">
        <w:rPr>
          <w:b/>
          <w:bCs/>
        </w:rPr>
        <w:t>Figure 1: Prospective Mindset – age distribution by profile</w:t>
      </w:r>
    </w:p>
    <w:p w14:paraId="68266CE4" w14:textId="5D8DFC39" w:rsidR="00C003C6" w:rsidRPr="00D94C67" w:rsidRDefault="3D45394F" w:rsidP="395A1A59">
      <w:pPr>
        <w:jc w:val="center"/>
        <w:rPr>
          <w:b/>
          <w:bCs/>
        </w:rPr>
      </w:pPr>
      <w:r>
        <w:rPr>
          <w:noProof/>
        </w:rPr>
        <w:lastRenderedPageBreak/>
        <w:drawing>
          <wp:inline distT="0" distB="0" distL="0" distR="0" wp14:anchorId="3E30B678" wp14:editId="5E1BF45C">
            <wp:extent cx="6134100" cy="2812815"/>
            <wp:effectExtent l="0" t="0" r="0" b="0"/>
            <wp:docPr id="1885334887" name="Picture 1885334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6134100" cy="2812815"/>
                    </a:xfrm>
                    <a:prstGeom prst="rect">
                      <a:avLst/>
                    </a:prstGeom>
                  </pic:spPr>
                </pic:pic>
              </a:graphicData>
            </a:graphic>
          </wp:inline>
        </w:drawing>
      </w:r>
      <w:r w:rsidRPr="395A1A59">
        <w:rPr>
          <w:b/>
          <w:bCs/>
        </w:rPr>
        <w:t>Figure 2: Prospective Mindset – gender distribution by profile</w:t>
      </w:r>
    </w:p>
    <w:p w14:paraId="0EDC87AE" w14:textId="7AFC31A3" w:rsidR="00C003C6" w:rsidRPr="00D94C67" w:rsidRDefault="7C1DB9BD" w:rsidP="395A1A59">
      <w:pPr>
        <w:rPr>
          <w:b/>
          <w:bCs/>
        </w:rPr>
      </w:pPr>
      <w:r>
        <w:rPr>
          <w:noProof/>
        </w:rPr>
        <w:drawing>
          <wp:inline distT="0" distB="0" distL="0" distR="0" wp14:anchorId="745C2A4F" wp14:editId="66A98C13">
            <wp:extent cx="5934076" cy="2778321"/>
            <wp:effectExtent l="0" t="0" r="0" b="0"/>
            <wp:docPr id="1731011116" name="Picture 173101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5934076" cy="2778321"/>
                    </a:xfrm>
                    <a:prstGeom prst="rect">
                      <a:avLst/>
                    </a:prstGeom>
                  </pic:spPr>
                </pic:pic>
              </a:graphicData>
            </a:graphic>
          </wp:inline>
        </w:drawing>
      </w:r>
      <w:r w:rsidR="3D45394F" w:rsidRPr="395A1A59">
        <w:rPr>
          <w:b/>
          <w:bCs/>
        </w:rPr>
        <w:t>Figure 3: Prospective Mindset – qualification level distribution by profile</w:t>
      </w:r>
    </w:p>
    <w:p w14:paraId="7A20FC8A" w14:textId="24DFB9EC" w:rsidR="00C003C6" w:rsidRPr="00D94C67" w:rsidRDefault="67FD1AAE" w:rsidP="395A1A59">
      <w:pPr>
        <w:rPr>
          <w:b/>
          <w:bCs/>
        </w:rPr>
      </w:pPr>
      <w:r>
        <w:rPr>
          <w:noProof/>
        </w:rPr>
        <w:lastRenderedPageBreak/>
        <w:drawing>
          <wp:inline distT="0" distB="0" distL="0" distR="0" wp14:anchorId="3C8C12C0" wp14:editId="2D2EEEFF">
            <wp:extent cx="6034602" cy="3842136"/>
            <wp:effectExtent l="0" t="0" r="0" b="0"/>
            <wp:docPr id="842674464" name="Picture 842674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6034602" cy="3842136"/>
                    </a:xfrm>
                    <a:prstGeom prst="rect">
                      <a:avLst/>
                    </a:prstGeom>
                  </pic:spPr>
                </pic:pic>
              </a:graphicData>
            </a:graphic>
          </wp:inline>
        </w:drawing>
      </w:r>
    </w:p>
    <w:p w14:paraId="2371DC92" w14:textId="2B0B9089" w:rsidR="00C003C6" w:rsidRPr="00D94C67" w:rsidRDefault="3D45394F" w:rsidP="395A1A59">
      <w:pPr>
        <w:rPr>
          <w:b/>
          <w:bCs/>
        </w:rPr>
      </w:pPr>
      <w:r w:rsidRPr="395A1A59">
        <w:rPr>
          <w:b/>
          <w:bCs/>
        </w:rPr>
        <w:t>Figure 4: Prospective Mindset – occupation distribution by profile</w:t>
      </w:r>
    </w:p>
    <w:p w14:paraId="26EA7F03" w14:textId="01B95D34" w:rsidR="00C003C6" w:rsidRPr="00D94C67" w:rsidRDefault="0CD6353B" w:rsidP="395A1A59">
      <w:r>
        <w:rPr>
          <w:noProof/>
        </w:rPr>
        <w:drawing>
          <wp:inline distT="0" distB="0" distL="0" distR="0" wp14:anchorId="6DA3BD00" wp14:editId="72FC44D5">
            <wp:extent cx="5945610" cy="4173462"/>
            <wp:effectExtent l="0" t="0" r="0" b="0"/>
            <wp:docPr id="117784573" name="Picture 117784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5945610" cy="4173462"/>
                    </a:xfrm>
                    <a:prstGeom prst="rect">
                      <a:avLst/>
                    </a:prstGeom>
                  </pic:spPr>
                </pic:pic>
              </a:graphicData>
            </a:graphic>
          </wp:inline>
        </w:drawing>
      </w:r>
      <w:commentRangeStart w:id="5"/>
      <w:r w:rsidR="00C003C6">
        <w:t xml:space="preserve">Table </w:t>
      </w:r>
      <w:r w:rsidR="55132080">
        <w:t>5</w:t>
      </w:r>
      <w:r w:rsidR="00C003C6">
        <w:t xml:space="preserve">: Prospective </w:t>
      </w:r>
      <w:commentRangeEnd w:id="5"/>
      <w:r w:rsidR="00747893">
        <w:rPr>
          <w:rStyle w:val="CommentReference"/>
        </w:rPr>
        <w:commentReference w:id="5"/>
      </w:r>
      <w:r w:rsidR="00C003C6">
        <w:t>mindset importance of ideas-engagement by profile</w:t>
      </w:r>
    </w:p>
    <w:tbl>
      <w:tblPr>
        <w:tblStyle w:val="TableGrid"/>
        <w:tblW w:w="0" w:type="auto"/>
        <w:jc w:val="center"/>
        <w:tblLook w:val="04A0" w:firstRow="1" w:lastRow="0" w:firstColumn="1" w:lastColumn="0" w:noHBand="0" w:noVBand="1"/>
      </w:tblPr>
      <w:tblGrid>
        <w:gridCol w:w="3937"/>
        <w:gridCol w:w="1138"/>
        <w:gridCol w:w="1138"/>
        <w:gridCol w:w="1138"/>
        <w:gridCol w:w="1138"/>
      </w:tblGrid>
      <w:tr w:rsidR="00A96FCC" w14:paraId="4EB74507" w14:textId="77777777" w:rsidTr="00CA5164">
        <w:trPr>
          <w:jc w:val="center"/>
        </w:trPr>
        <w:tc>
          <w:tcPr>
            <w:tcW w:w="3964" w:type="dxa"/>
            <w:vAlign w:val="center"/>
          </w:tcPr>
          <w:p w14:paraId="6EB4E669" w14:textId="77777777" w:rsidR="005D3E8F" w:rsidRDefault="005D3E8F" w:rsidP="005D3E8F">
            <w:pPr>
              <w:jc w:val="center"/>
            </w:pPr>
          </w:p>
        </w:tc>
        <w:tc>
          <w:tcPr>
            <w:tcW w:w="1131" w:type="dxa"/>
          </w:tcPr>
          <w:p w14:paraId="781953E1" w14:textId="77777777" w:rsidR="005D3E8F" w:rsidRDefault="005D3E8F" w:rsidP="005D3E8F">
            <w:pPr>
              <w:spacing w:line="240" w:lineRule="auto"/>
              <w:jc w:val="center"/>
              <w:rPr>
                <w:rFonts w:ascii="Times New Roman" w:hAnsi="Times New Roman" w:cs="Times New Roman"/>
                <w:b/>
                <w:bCs/>
              </w:rPr>
            </w:pPr>
            <w:r w:rsidRPr="00DF0CBF">
              <w:rPr>
                <w:rFonts w:ascii="Times New Roman" w:hAnsi="Times New Roman" w:cs="Times New Roman"/>
                <w:b/>
                <w:bCs/>
              </w:rPr>
              <w:t>Profile 1</w:t>
            </w:r>
          </w:p>
          <w:p w14:paraId="2CF833F2" w14:textId="7EB3CDC7" w:rsidR="005D3E8F" w:rsidRDefault="005D3E8F" w:rsidP="005D3E8F">
            <w:pPr>
              <w:spacing w:line="240" w:lineRule="auto"/>
              <w:jc w:val="center"/>
            </w:pPr>
            <w:r w:rsidRPr="00DF0CBF">
              <w:rPr>
                <w:rFonts w:ascii="Times New Roman" w:eastAsiaTheme="minorEastAsia" w:hAnsi="Times New Roman" w:cs="Times New Roman"/>
                <w:sz w:val="20"/>
                <w:szCs w:val="20"/>
                <w:lang w:val="en-US" w:eastAsia="zh-CN"/>
              </w:rPr>
              <w:t>high level of prospective mindset</w:t>
            </w:r>
          </w:p>
        </w:tc>
        <w:tc>
          <w:tcPr>
            <w:tcW w:w="1131" w:type="dxa"/>
          </w:tcPr>
          <w:p w14:paraId="48ED90AC" w14:textId="027E8BF4" w:rsidR="005D3E8F" w:rsidRDefault="005D3E8F" w:rsidP="005D3E8F">
            <w:pPr>
              <w:spacing w:line="240" w:lineRule="auto"/>
              <w:jc w:val="center"/>
            </w:pPr>
            <w:r w:rsidRPr="00DF0CBF">
              <w:rPr>
                <w:rFonts w:ascii="Times New Roman" w:hAnsi="Times New Roman" w:cs="Times New Roman"/>
                <w:b/>
                <w:bCs/>
              </w:rPr>
              <w:t xml:space="preserve">Profile 2 </w:t>
            </w:r>
            <w:r w:rsidRPr="00DF0CBF">
              <w:rPr>
                <w:rFonts w:ascii="Times New Roman" w:eastAsiaTheme="minorEastAsia" w:hAnsi="Times New Roman" w:cs="Times New Roman"/>
                <w:sz w:val="20"/>
                <w:szCs w:val="20"/>
                <w:lang w:val="en-US" w:eastAsia="zh-CN"/>
              </w:rPr>
              <w:t>average levels of prospective mindset</w:t>
            </w:r>
          </w:p>
        </w:tc>
        <w:tc>
          <w:tcPr>
            <w:tcW w:w="1131" w:type="dxa"/>
          </w:tcPr>
          <w:p w14:paraId="657EAB40" w14:textId="77777777" w:rsidR="005D3E8F" w:rsidRDefault="005D3E8F" w:rsidP="005D3E8F">
            <w:pPr>
              <w:spacing w:line="240" w:lineRule="auto"/>
              <w:jc w:val="center"/>
              <w:rPr>
                <w:rFonts w:ascii="Times New Roman" w:hAnsi="Times New Roman" w:cs="Times New Roman"/>
                <w:b/>
                <w:bCs/>
              </w:rPr>
            </w:pPr>
            <w:r w:rsidRPr="00DF0CBF">
              <w:rPr>
                <w:rFonts w:ascii="Times New Roman" w:hAnsi="Times New Roman" w:cs="Times New Roman"/>
                <w:b/>
                <w:bCs/>
              </w:rPr>
              <w:t>Profile 3</w:t>
            </w:r>
          </w:p>
          <w:p w14:paraId="5CD3F471" w14:textId="477C927D" w:rsidR="005D3E8F" w:rsidRDefault="005D3E8F" w:rsidP="005D3E8F">
            <w:pPr>
              <w:spacing w:line="240" w:lineRule="auto"/>
              <w:jc w:val="center"/>
            </w:pPr>
            <w:r w:rsidRPr="00DF0CBF">
              <w:rPr>
                <w:rFonts w:ascii="Times New Roman" w:eastAsiaTheme="minorEastAsia" w:hAnsi="Times New Roman" w:cs="Times New Roman"/>
                <w:sz w:val="20"/>
                <w:szCs w:val="20"/>
                <w:lang w:val="en-US" w:eastAsia="zh-CN"/>
              </w:rPr>
              <w:t>low level of prospective mindset</w:t>
            </w:r>
          </w:p>
        </w:tc>
        <w:tc>
          <w:tcPr>
            <w:tcW w:w="1132" w:type="dxa"/>
          </w:tcPr>
          <w:p w14:paraId="29F8E66F" w14:textId="77777777" w:rsidR="005D3E8F" w:rsidRDefault="005D3E8F" w:rsidP="005D3E8F">
            <w:pPr>
              <w:spacing w:line="240" w:lineRule="auto"/>
              <w:jc w:val="center"/>
              <w:rPr>
                <w:rFonts w:ascii="Times New Roman" w:hAnsi="Times New Roman" w:cs="Times New Roman"/>
                <w:b/>
                <w:bCs/>
              </w:rPr>
            </w:pPr>
            <w:r w:rsidRPr="00DF0CBF">
              <w:rPr>
                <w:rFonts w:ascii="Times New Roman" w:hAnsi="Times New Roman" w:cs="Times New Roman"/>
                <w:b/>
                <w:bCs/>
              </w:rPr>
              <w:t>Profile 4</w:t>
            </w:r>
          </w:p>
          <w:p w14:paraId="4A558AB6" w14:textId="4CAD0A8A" w:rsidR="005D3E8F" w:rsidRDefault="005D3E8F" w:rsidP="005D3E8F">
            <w:pPr>
              <w:spacing w:line="240" w:lineRule="auto"/>
              <w:jc w:val="center"/>
            </w:pPr>
            <w:r w:rsidRPr="00DF0CBF">
              <w:rPr>
                <w:rFonts w:ascii="Times New Roman" w:eastAsiaTheme="minorEastAsia" w:hAnsi="Times New Roman" w:cs="Times New Roman"/>
                <w:sz w:val="20"/>
                <w:szCs w:val="20"/>
                <w:lang w:val="en-US" w:eastAsia="zh-CN"/>
              </w:rPr>
              <w:t>very low level of prospective mindset</w:t>
            </w:r>
          </w:p>
        </w:tc>
      </w:tr>
      <w:tr w:rsidR="00C003C6" w14:paraId="77EB4F80" w14:textId="77777777" w:rsidTr="00DF0CBF">
        <w:trPr>
          <w:jc w:val="center"/>
        </w:trPr>
        <w:tc>
          <w:tcPr>
            <w:tcW w:w="3964" w:type="dxa"/>
            <w:vAlign w:val="center"/>
          </w:tcPr>
          <w:p w14:paraId="67E0005F" w14:textId="3817EA53" w:rsidR="00C003C6" w:rsidRPr="00C003C6" w:rsidRDefault="00C003C6" w:rsidP="00C003C6">
            <w:pPr>
              <w:spacing w:line="240" w:lineRule="auto"/>
              <w:rPr>
                <w:rFonts w:ascii="Times New Roman" w:hAnsi="Times New Roman" w:cs="Times New Roman"/>
                <w:b/>
                <w:bCs/>
              </w:rPr>
            </w:pPr>
            <w:r w:rsidRPr="00C003C6">
              <w:rPr>
                <w:rFonts w:ascii="Times New Roman" w:hAnsi="Times New Roman" w:cs="Times New Roman"/>
                <w:b/>
                <w:bCs/>
                <w:color w:val="000000"/>
              </w:rPr>
              <w:t>Not important</w:t>
            </w:r>
          </w:p>
        </w:tc>
        <w:tc>
          <w:tcPr>
            <w:tcW w:w="1131" w:type="dxa"/>
            <w:vAlign w:val="center"/>
          </w:tcPr>
          <w:p w14:paraId="177B2CC2" w14:textId="08853A50"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0%</w:t>
            </w:r>
          </w:p>
        </w:tc>
        <w:tc>
          <w:tcPr>
            <w:tcW w:w="1131" w:type="dxa"/>
            <w:vAlign w:val="center"/>
          </w:tcPr>
          <w:p w14:paraId="6B70C5B2" w14:textId="7A1ABF77"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1%</w:t>
            </w:r>
          </w:p>
        </w:tc>
        <w:tc>
          <w:tcPr>
            <w:tcW w:w="1131" w:type="dxa"/>
            <w:vAlign w:val="center"/>
          </w:tcPr>
          <w:p w14:paraId="605D38D8" w14:textId="6F301F1B"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6%</w:t>
            </w:r>
          </w:p>
        </w:tc>
        <w:tc>
          <w:tcPr>
            <w:tcW w:w="1132" w:type="dxa"/>
            <w:vAlign w:val="center"/>
          </w:tcPr>
          <w:p w14:paraId="735AA7FB" w14:textId="242637C9"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0%</w:t>
            </w:r>
          </w:p>
        </w:tc>
      </w:tr>
      <w:tr w:rsidR="00C003C6" w14:paraId="502D35C5" w14:textId="77777777" w:rsidTr="00DF0CBF">
        <w:trPr>
          <w:jc w:val="center"/>
        </w:trPr>
        <w:tc>
          <w:tcPr>
            <w:tcW w:w="3964" w:type="dxa"/>
            <w:vAlign w:val="center"/>
          </w:tcPr>
          <w:p w14:paraId="1955E381" w14:textId="6936DFED" w:rsidR="00C003C6" w:rsidRPr="00C003C6" w:rsidRDefault="00C003C6" w:rsidP="00C003C6">
            <w:pPr>
              <w:spacing w:line="240" w:lineRule="auto"/>
              <w:rPr>
                <w:rFonts w:ascii="Times New Roman" w:hAnsi="Times New Roman" w:cs="Times New Roman"/>
                <w:b/>
                <w:bCs/>
              </w:rPr>
            </w:pPr>
            <w:r w:rsidRPr="00C003C6">
              <w:rPr>
                <w:rFonts w:ascii="Times New Roman" w:hAnsi="Times New Roman" w:cs="Times New Roman"/>
                <w:b/>
                <w:bCs/>
                <w:color w:val="000000"/>
              </w:rPr>
              <w:t>Somewhat important</w:t>
            </w:r>
          </w:p>
        </w:tc>
        <w:tc>
          <w:tcPr>
            <w:tcW w:w="1131" w:type="dxa"/>
            <w:vAlign w:val="center"/>
          </w:tcPr>
          <w:p w14:paraId="0F058509" w14:textId="793972FE"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1%</w:t>
            </w:r>
          </w:p>
        </w:tc>
        <w:tc>
          <w:tcPr>
            <w:tcW w:w="1131" w:type="dxa"/>
            <w:vAlign w:val="center"/>
          </w:tcPr>
          <w:p w14:paraId="61CD7472" w14:textId="2BFD69B2"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3%</w:t>
            </w:r>
          </w:p>
        </w:tc>
        <w:tc>
          <w:tcPr>
            <w:tcW w:w="1131" w:type="dxa"/>
            <w:vAlign w:val="center"/>
          </w:tcPr>
          <w:p w14:paraId="21F932E0" w14:textId="33CC890A"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5%</w:t>
            </w:r>
          </w:p>
        </w:tc>
        <w:tc>
          <w:tcPr>
            <w:tcW w:w="1132" w:type="dxa"/>
            <w:vAlign w:val="center"/>
          </w:tcPr>
          <w:p w14:paraId="70217FB5" w14:textId="48B20106"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2%</w:t>
            </w:r>
          </w:p>
        </w:tc>
      </w:tr>
      <w:tr w:rsidR="00C003C6" w14:paraId="7CA96A4C" w14:textId="77777777" w:rsidTr="00DF0CBF">
        <w:trPr>
          <w:jc w:val="center"/>
        </w:trPr>
        <w:tc>
          <w:tcPr>
            <w:tcW w:w="3964" w:type="dxa"/>
            <w:vAlign w:val="center"/>
          </w:tcPr>
          <w:p w14:paraId="71749982" w14:textId="6FDE2C74" w:rsidR="00C003C6" w:rsidRPr="00C003C6" w:rsidRDefault="00C003C6" w:rsidP="00C003C6">
            <w:pPr>
              <w:spacing w:line="240" w:lineRule="auto"/>
              <w:rPr>
                <w:rFonts w:ascii="Times New Roman" w:hAnsi="Times New Roman" w:cs="Times New Roman"/>
                <w:b/>
                <w:bCs/>
              </w:rPr>
            </w:pPr>
            <w:r w:rsidRPr="00C003C6">
              <w:rPr>
                <w:rFonts w:ascii="Times New Roman" w:hAnsi="Times New Roman" w:cs="Times New Roman"/>
                <w:b/>
                <w:bCs/>
                <w:color w:val="000000"/>
              </w:rPr>
              <w:t>Neither important or unimportant</w:t>
            </w:r>
          </w:p>
        </w:tc>
        <w:tc>
          <w:tcPr>
            <w:tcW w:w="1131" w:type="dxa"/>
            <w:vAlign w:val="center"/>
          </w:tcPr>
          <w:p w14:paraId="2132135A" w14:textId="395C3FD9"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3%</w:t>
            </w:r>
          </w:p>
        </w:tc>
        <w:tc>
          <w:tcPr>
            <w:tcW w:w="1131" w:type="dxa"/>
            <w:vAlign w:val="center"/>
          </w:tcPr>
          <w:p w14:paraId="191D38BE" w14:textId="230A3C47"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16%</w:t>
            </w:r>
          </w:p>
        </w:tc>
        <w:tc>
          <w:tcPr>
            <w:tcW w:w="1131" w:type="dxa"/>
            <w:vAlign w:val="center"/>
          </w:tcPr>
          <w:p w14:paraId="11168AB9" w14:textId="5AB73E77"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16%</w:t>
            </w:r>
          </w:p>
        </w:tc>
        <w:tc>
          <w:tcPr>
            <w:tcW w:w="1132" w:type="dxa"/>
            <w:vAlign w:val="center"/>
          </w:tcPr>
          <w:p w14:paraId="28D48971" w14:textId="42E450CB"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6%</w:t>
            </w:r>
          </w:p>
        </w:tc>
      </w:tr>
      <w:tr w:rsidR="00C003C6" w14:paraId="2A3F7184" w14:textId="77777777" w:rsidTr="00DF0CBF">
        <w:trPr>
          <w:jc w:val="center"/>
        </w:trPr>
        <w:tc>
          <w:tcPr>
            <w:tcW w:w="3964" w:type="dxa"/>
            <w:vAlign w:val="center"/>
          </w:tcPr>
          <w:p w14:paraId="0A5FD2EF" w14:textId="4BFC555C" w:rsidR="00C003C6" w:rsidRPr="00C003C6" w:rsidRDefault="00C003C6" w:rsidP="00C003C6">
            <w:pPr>
              <w:spacing w:line="240" w:lineRule="auto"/>
              <w:rPr>
                <w:rFonts w:ascii="Times New Roman" w:hAnsi="Times New Roman" w:cs="Times New Roman"/>
                <w:b/>
                <w:bCs/>
              </w:rPr>
            </w:pPr>
            <w:r w:rsidRPr="00C003C6">
              <w:rPr>
                <w:rFonts w:ascii="Times New Roman" w:hAnsi="Times New Roman" w:cs="Times New Roman"/>
                <w:b/>
                <w:bCs/>
                <w:color w:val="000000"/>
              </w:rPr>
              <w:t>Important</w:t>
            </w:r>
          </w:p>
        </w:tc>
        <w:tc>
          <w:tcPr>
            <w:tcW w:w="1131" w:type="dxa"/>
            <w:vAlign w:val="center"/>
          </w:tcPr>
          <w:p w14:paraId="192BCEE7" w14:textId="2A638D8E"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26%</w:t>
            </w:r>
          </w:p>
        </w:tc>
        <w:tc>
          <w:tcPr>
            <w:tcW w:w="1131" w:type="dxa"/>
            <w:vAlign w:val="center"/>
          </w:tcPr>
          <w:p w14:paraId="40AD309C" w14:textId="483A3FFA"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54%</w:t>
            </w:r>
          </w:p>
        </w:tc>
        <w:tc>
          <w:tcPr>
            <w:tcW w:w="1131" w:type="dxa"/>
            <w:vAlign w:val="center"/>
          </w:tcPr>
          <w:p w14:paraId="4F2EAF75" w14:textId="7DB526EB"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41%</w:t>
            </w:r>
          </w:p>
        </w:tc>
        <w:tc>
          <w:tcPr>
            <w:tcW w:w="1132" w:type="dxa"/>
            <w:vAlign w:val="center"/>
          </w:tcPr>
          <w:p w14:paraId="4D0DECBA" w14:textId="29A3020E"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47%</w:t>
            </w:r>
          </w:p>
        </w:tc>
      </w:tr>
      <w:tr w:rsidR="00C003C6" w14:paraId="06C0C779" w14:textId="77777777" w:rsidTr="00DF0CBF">
        <w:trPr>
          <w:jc w:val="center"/>
        </w:trPr>
        <w:tc>
          <w:tcPr>
            <w:tcW w:w="3964" w:type="dxa"/>
            <w:vAlign w:val="center"/>
          </w:tcPr>
          <w:p w14:paraId="5EF2958A" w14:textId="6D929026" w:rsidR="00C003C6" w:rsidRPr="00C003C6" w:rsidRDefault="00C003C6" w:rsidP="00C003C6">
            <w:pPr>
              <w:spacing w:line="240" w:lineRule="auto"/>
              <w:rPr>
                <w:rFonts w:ascii="Times New Roman" w:hAnsi="Times New Roman" w:cs="Times New Roman"/>
                <w:b/>
                <w:bCs/>
              </w:rPr>
            </w:pPr>
            <w:r w:rsidRPr="00C003C6">
              <w:rPr>
                <w:rFonts w:ascii="Times New Roman" w:hAnsi="Times New Roman" w:cs="Times New Roman"/>
                <w:b/>
                <w:bCs/>
                <w:color w:val="000000"/>
              </w:rPr>
              <w:t>Very important</w:t>
            </w:r>
          </w:p>
        </w:tc>
        <w:tc>
          <w:tcPr>
            <w:tcW w:w="1131" w:type="dxa"/>
            <w:vAlign w:val="center"/>
          </w:tcPr>
          <w:p w14:paraId="1B5FBF01" w14:textId="2AB1036F"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70%</w:t>
            </w:r>
          </w:p>
        </w:tc>
        <w:tc>
          <w:tcPr>
            <w:tcW w:w="1131" w:type="dxa"/>
            <w:vAlign w:val="center"/>
          </w:tcPr>
          <w:p w14:paraId="432F441B" w14:textId="63DD7617"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27%</w:t>
            </w:r>
          </w:p>
        </w:tc>
        <w:tc>
          <w:tcPr>
            <w:tcW w:w="1131" w:type="dxa"/>
            <w:vAlign w:val="center"/>
          </w:tcPr>
          <w:p w14:paraId="0754A93D" w14:textId="4208361C"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32%</w:t>
            </w:r>
          </w:p>
        </w:tc>
        <w:tc>
          <w:tcPr>
            <w:tcW w:w="1132" w:type="dxa"/>
            <w:vAlign w:val="center"/>
          </w:tcPr>
          <w:p w14:paraId="55ED2C13" w14:textId="50109D46"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44%</w:t>
            </w:r>
          </w:p>
        </w:tc>
      </w:tr>
      <w:tr w:rsidR="00C003C6" w14:paraId="22EE5354" w14:textId="77777777" w:rsidTr="00DF0CBF">
        <w:trPr>
          <w:jc w:val="center"/>
        </w:trPr>
        <w:tc>
          <w:tcPr>
            <w:tcW w:w="3964" w:type="dxa"/>
            <w:vAlign w:val="center"/>
          </w:tcPr>
          <w:p w14:paraId="28CE44AF" w14:textId="77777777" w:rsidR="00C003C6" w:rsidRPr="00D94C67" w:rsidRDefault="00C003C6" w:rsidP="00DF0CBF">
            <w:pPr>
              <w:spacing w:line="240" w:lineRule="auto"/>
              <w:rPr>
                <w:b/>
                <w:bCs/>
                <w:color w:val="000000"/>
              </w:rPr>
            </w:pPr>
            <w:r w:rsidRPr="00D94C67">
              <w:rPr>
                <w:rFonts w:ascii="Times New Roman" w:hAnsi="Times New Roman" w:cs="Times New Roman"/>
                <w:b/>
                <w:bCs/>
                <w:color w:val="000000"/>
              </w:rPr>
              <w:t>Total</w:t>
            </w:r>
          </w:p>
        </w:tc>
        <w:tc>
          <w:tcPr>
            <w:tcW w:w="1131" w:type="dxa"/>
            <w:vAlign w:val="center"/>
          </w:tcPr>
          <w:p w14:paraId="0C2DB07D" w14:textId="77777777" w:rsidR="00C003C6" w:rsidRPr="00591C29" w:rsidRDefault="00C003C6" w:rsidP="00DF0CBF">
            <w:pPr>
              <w:jc w:val="center"/>
              <w:rPr>
                <w:rFonts w:ascii="Times New Roman" w:hAnsi="Times New Roman" w:cs="Times New Roman"/>
              </w:rPr>
            </w:pPr>
            <w:r w:rsidRPr="00591C29">
              <w:rPr>
                <w:rFonts w:ascii="Times New Roman" w:hAnsi="Times New Roman" w:cs="Times New Roman"/>
              </w:rPr>
              <w:t>100%</w:t>
            </w:r>
          </w:p>
        </w:tc>
        <w:tc>
          <w:tcPr>
            <w:tcW w:w="1131" w:type="dxa"/>
            <w:vAlign w:val="center"/>
          </w:tcPr>
          <w:p w14:paraId="4FD866C1" w14:textId="77777777" w:rsidR="00C003C6" w:rsidRPr="00591C29" w:rsidRDefault="00C003C6" w:rsidP="00DF0CBF">
            <w:pPr>
              <w:jc w:val="center"/>
              <w:rPr>
                <w:rFonts w:ascii="Times New Roman" w:hAnsi="Times New Roman" w:cs="Times New Roman"/>
              </w:rPr>
            </w:pPr>
            <w:r w:rsidRPr="00591C29">
              <w:rPr>
                <w:rFonts w:ascii="Times New Roman" w:hAnsi="Times New Roman" w:cs="Times New Roman"/>
              </w:rPr>
              <w:t>100%</w:t>
            </w:r>
          </w:p>
        </w:tc>
        <w:tc>
          <w:tcPr>
            <w:tcW w:w="1131" w:type="dxa"/>
            <w:vAlign w:val="center"/>
          </w:tcPr>
          <w:p w14:paraId="3BEACE8F" w14:textId="77777777" w:rsidR="00C003C6" w:rsidRPr="00591C29" w:rsidRDefault="00C003C6" w:rsidP="00DF0CBF">
            <w:pPr>
              <w:jc w:val="center"/>
              <w:rPr>
                <w:rFonts w:ascii="Times New Roman" w:hAnsi="Times New Roman" w:cs="Times New Roman"/>
              </w:rPr>
            </w:pPr>
            <w:r w:rsidRPr="00591C29">
              <w:rPr>
                <w:rFonts w:ascii="Times New Roman" w:hAnsi="Times New Roman" w:cs="Times New Roman"/>
              </w:rPr>
              <w:t>100%</w:t>
            </w:r>
          </w:p>
        </w:tc>
        <w:tc>
          <w:tcPr>
            <w:tcW w:w="1132" w:type="dxa"/>
            <w:vAlign w:val="center"/>
          </w:tcPr>
          <w:p w14:paraId="3A0312A0" w14:textId="77777777" w:rsidR="00C003C6" w:rsidRPr="00591C29" w:rsidRDefault="00C003C6" w:rsidP="00DF0CBF">
            <w:pPr>
              <w:jc w:val="center"/>
              <w:rPr>
                <w:rFonts w:ascii="Times New Roman" w:hAnsi="Times New Roman" w:cs="Times New Roman"/>
              </w:rPr>
            </w:pPr>
            <w:r w:rsidRPr="00591C29">
              <w:rPr>
                <w:rFonts w:ascii="Times New Roman" w:hAnsi="Times New Roman" w:cs="Times New Roman"/>
              </w:rPr>
              <w:t>100%</w:t>
            </w:r>
          </w:p>
        </w:tc>
      </w:tr>
    </w:tbl>
    <w:p w14:paraId="0FB0ABE2" w14:textId="215BB5BB" w:rsidR="00C003C6" w:rsidRPr="0039587D" w:rsidRDefault="001934F8" w:rsidP="00C003C6">
      <w:pPr>
        <w:rPr>
          <w:lang w:eastAsia="zh-CN"/>
        </w:rPr>
      </w:pPr>
      <w:r>
        <w:rPr>
          <w:i/>
          <w:iCs/>
          <w:sz w:val="22"/>
          <w:szCs w:val="22"/>
        </w:rPr>
        <w:t>χ</w:t>
      </w:r>
      <w:r w:rsidR="00C003C6">
        <w:rPr>
          <w:i/>
          <w:iCs/>
          <w:vertAlign w:val="superscript"/>
        </w:rPr>
        <w:t>2</w:t>
      </w:r>
      <w:r w:rsidR="00C003C6">
        <w:rPr>
          <w:i/>
          <w:iCs/>
        </w:rPr>
        <w:t xml:space="preserve"> </w:t>
      </w:r>
      <w:r w:rsidR="00C003C6">
        <w:t xml:space="preserve">= 611.05, </w:t>
      </w:r>
      <w:r w:rsidR="00C003C6">
        <w:rPr>
          <w:i/>
          <w:iCs/>
        </w:rPr>
        <w:t xml:space="preserve">p </w:t>
      </w:r>
      <w:r w:rsidR="00C003C6">
        <w:t xml:space="preserve">&lt; 0.001, </w:t>
      </w:r>
      <w:r w:rsidR="00C003C6">
        <w:rPr>
          <w:i/>
          <w:iCs/>
        </w:rPr>
        <w:t xml:space="preserve">df </w:t>
      </w:r>
      <w:r w:rsidR="00C003C6">
        <w:t>= 15</w:t>
      </w:r>
      <w:r>
        <w:rPr>
          <w:rFonts w:hint="eastAsia"/>
          <w:lang w:eastAsia="zh-CN"/>
        </w:rPr>
        <w:t xml:space="preserve">, </w:t>
      </w:r>
      <w:r w:rsidR="004E6F25" w:rsidRPr="004E6F25">
        <w:rPr>
          <w:lang w:eastAsia="zh-CN"/>
        </w:rPr>
        <w:t>Cramér's V =   0.16</w:t>
      </w:r>
      <w:r w:rsidR="004E6F25">
        <w:rPr>
          <w:rFonts w:hint="eastAsia"/>
          <w:lang w:eastAsia="zh-CN"/>
        </w:rPr>
        <w:t>0</w:t>
      </w:r>
    </w:p>
    <w:p w14:paraId="5C08335E" w14:textId="02B25364" w:rsidR="00C003C6" w:rsidRPr="00D94C67" w:rsidRDefault="00C003C6" w:rsidP="00C003C6">
      <w:pPr>
        <w:pStyle w:val="Tabletitle"/>
      </w:pPr>
      <w:r w:rsidRPr="00667A8B">
        <w:t xml:space="preserve">Table </w:t>
      </w:r>
      <w:r w:rsidR="4487C993" w:rsidRPr="00667A8B">
        <w:t>6</w:t>
      </w:r>
      <w:r w:rsidRPr="00667A8B">
        <w:t>:</w:t>
      </w:r>
      <w:r>
        <w:t xml:space="preserve"> Prospective mindset – extent to which respondents believe the statement ‘there is evidence to suggest the Earth is actually flat, rather than round’ to be true.</w:t>
      </w:r>
    </w:p>
    <w:tbl>
      <w:tblPr>
        <w:tblStyle w:val="TableGrid"/>
        <w:tblW w:w="0" w:type="auto"/>
        <w:jc w:val="center"/>
        <w:tblLook w:val="04A0" w:firstRow="1" w:lastRow="0" w:firstColumn="1" w:lastColumn="0" w:noHBand="0" w:noVBand="1"/>
      </w:tblPr>
      <w:tblGrid>
        <w:gridCol w:w="3937"/>
        <w:gridCol w:w="1138"/>
        <w:gridCol w:w="1138"/>
        <w:gridCol w:w="1138"/>
        <w:gridCol w:w="1138"/>
      </w:tblGrid>
      <w:tr w:rsidR="00A96FCC" w14:paraId="2DBE2F68" w14:textId="77777777" w:rsidTr="00410570">
        <w:trPr>
          <w:jc w:val="center"/>
        </w:trPr>
        <w:tc>
          <w:tcPr>
            <w:tcW w:w="3964" w:type="dxa"/>
            <w:vAlign w:val="center"/>
          </w:tcPr>
          <w:p w14:paraId="2E41C394" w14:textId="77777777" w:rsidR="005D3E8F" w:rsidRDefault="005D3E8F" w:rsidP="005D3E8F">
            <w:pPr>
              <w:jc w:val="center"/>
            </w:pPr>
          </w:p>
        </w:tc>
        <w:tc>
          <w:tcPr>
            <w:tcW w:w="1131" w:type="dxa"/>
          </w:tcPr>
          <w:p w14:paraId="355DB38D" w14:textId="77777777" w:rsidR="005D3E8F" w:rsidRDefault="005D3E8F" w:rsidP="005D3E8F">
            <w:pPr>
              <w:spacing w:line="240" w:lineRule="auto"/>
              <w:jc w:val="center"/>
              <w:rPr>
                <w:rFonts w:ascii="Times New Roman" w:hAnsi="Times New Roman" w:cs="Times New Roman"/>
                <w:b/>
                <w:bCs/>
              </w:rPr>
            </w:pPr>
            <w:r w:rsidRPr="00DF0CBF">
              <w:rPr>
                <w:rFonts w:ascii="Times New Roman" w:hAnsi="Times New Roman" w:cs="Times New Roman"/>
                <w:b/>
                <w:bCs/>
              </w:rPr>
              <w:t>Profile 1</w:t>
            </w:r>
          </w:p>
          <w:p w14:paraId="2BF8DFA8" w14:textId="66BDEFC7" w:rsidR="005D3E8F" w:rsidRDefault="005D3E8F" w:rsidP="005D3E8F">
            <w:pPr>
              <w:spacing w:line="240" w:lineRule="auto"/>
              <w:jc w:val="center"/>
            </w:pPr>
            <w:r w:rsidRPr="00DF0CBF">
              <w:rPr>
                <w:rFonts w:ascii="Times New Roman" w:eastAsiaTheme="minorEastAsia" w:hAnsi="Times New Roman" w:cs="Times New Roman"/>
                <w:sz w:val="20"/>
                <w:szCs w:val="20"/>
                <w:lang w:val="en-US" w:eastAsia="zh-CN"/>
              </w:rPr>
              <w:t>high level of prospective mindset</w:t>
            </w:r>
          </w:p>
        </w:tc>
        <w:tc>
          <w:tcPr>
            <w:tcW w:w="1131" w:type="dxa"/>
          </w:tcPr>
          <w:p w14:paraId="05A8F02C" w14:textId="075D0E1E" w:rsidR="005D3E8F" w:rsidRDefault="005D3E8F" w:rsidP="005D3E8F">
            <w:pPr>
              <w:spacing w:line="240" w:lineRule="auto"/>
              <w:jc w:val="center"/>
            </w:pPr>
            <w:r w:rsidRPr="00DF0CBF">
              <w:rPr>
                <w:rFonts w:ascii="Times New Roman" w:hAnsi="Times New Roman" w:cs="Times New Roman"/>
                <w:b/>
                <w:bCs/>
              </w:rPr>
              <w:t xml:space="preserve">Profile 2 </w:t>
            </w:r>
            <w:r w:rsidRPr="00DF0CBF">
              <w:rPr>
                <w:rFonts w:ascii="Times New Roman" w:eastAsiaTheme="minorEastAsia" w:hAnsi="Times New Roman" w:cs="Times New Roman"/>
                <w:sz w:val="20"/>
                <w:szCs w:val="20"/>
                <w:lang w:val="en-US" w:eastAsia="zh-CN"/>
              </w:rPr>
              <w:t>average levels of prospective mindset</w:t>
            </w:r>
          </w:p>
        </w:tc>
        <w:tc>
          <w:tcPr>
            <w:tcW w:w="1131" w:type="dxa"/>
          </w:tcPr>
          <w:p w14:paraId="6CFB27B9" w14:textId="77777777" w:rsidR="005D3E8F" w:rsidRDefault="005D3E8F" w:rsidP="005D3E8F">
            <w:pPr>
              <w:spacing w:line="240" w:lineRule="auto"/>
              <w:jc w:val="center"/>
              <w:rPr>
                <w:rFonts w:ascii="Times New Roman" w:hAnsi="Times New Roman" w:cs="Times New Roman"/>
                <w:b/>
                <w:bCs/>
              </w:rPr>
            </w:pPr>
            <w:r w:rsidRPr="00DF0CBF">
              <w:rPr>
                <w:rFonts w:ascii="Times New Roman" w:hAnsi="Times New Roman" w:cs="Times New Roman"/>
                <w:b/>
                <w:bCs/>
              </w:rPr>
              <w:t>Profile 3</w:t>
            </w:r>
          </w:p>
          <w:p w14:paraId="3D128E0B" w14:textId="7A2FD8A4" w:rsidR="005D3E8F" w:rsidRDefault="005D3E8F" w:rsidP="005D3E8F">
            <w:pPr>
              <w:spacing w:line="240" w:lineRule="auto"/>
              <w:jc w:val="center"/>
            </w:pPr>
            <w:r w:rsidRPr="00DF0CBF">
              <w:rPr>
                <w:rFonts w:ascii="Times New Roman" w:eastAsiaTheme="minorEastAsia" w:hAnsi="Times New Roman" w:cs="Times New Roman"/>
                <w:sz w:val="20"/>
                <w:szCs w:val="20"/>
                <w:lang w:val="en-US" w:eastAsia="zh-CN"/>
              </w:rPr>
              <w:t>low level of prospective mindset</w:t>
            </w:r>
          </w:p>
        </w:tc>
        <w:tc>
          <w:tcPr>
            <w:tcW w:w="1132" w:type="dxa"/>
          </w:tcPr>
          <w:p w14:paraId="773E374B" w14:textId="77777777" w:rsidR="005D3E8F" w:rsidRDefault="005D3E8F" w:rsidP="005D3E8F">
            <w:pPr>
              <w:spacing w:line="240" w:lineRule="auto"/>
              <w:jc w:val="center"/>
              <w:rPr>
                <w:rFonts w:ascii="Times New Roman" w:hAnsi="Times New Roman" w:cs="Times New Roman"/>
                <w:b/>
                <w:bCs/>
              </w:rPr>
            </w:pPr>
            <w:r w:rsidRPr="00DF0CBF">
              <w:rPr>
                <w:rFonts w:ascii="Times New Roman" w:hAnsi="Times New Roman" w:cs="Times New Roman"/>
                <w:b/>
                <w:bCs/>
              </w:rPr>
              <w:t>Profile 4</w:t>
            </w:r>
          </w:p>
          <w:p w14:paraId="0BE00F78" w14:textId="28DC3D78" w:rsidR="005D3E8F" w:rsidRDefault="005D3E8F" w:rsidP="005D3E8F">
            <w:pPr>
              <w:spacing w:line="240" w:lineRule="auto"/>
              <w:jc w:val="center"/>
            </w:pPr>
            <w:r w:rsidRPr="00DF0CBF">
              <w:rPr>
                <w:rFonts w:ascii="Times New Roman" w:eastAsiaTheme="minorEastAsia" w:hAnsi="Times New Roman" w:cs="Times New Roman"/>
                <w:sz w:val="20"/>
                <w:szCs w:val="20"/>
                <w:lang w:val="en-US" w:eastAsia="zh-CN"/>
              </w:rPr>
              <w:t>very low level of prospective mindset</w:t>
            </w:r>
          </w:p>
        </w:tc>
      </w:tr>
      <w:tr w:rsidR="00C003C6" w14:paraId="422CA771" w14:textId="77777777" w:rsidTr="00DF0CBF">
        <w:trPr>
          <w:jc w:val="center"/>
        </w:trPr>
        <w:tc>
          <w:tcPr>
            <w:tcW w:w="3964" w:type="dxa"/>
            <w:vAlign w:val="center"/>
          </w:tcPr>
          <w:p w14:paraId="742D8730" w14:textId="775B5354" w:rsidR="00C003C6" w:rsidRPr="00C003C6" w:rsidRDefault="00C003C6" w:rsidP="00C003C6">
            <w:pPr>
              <w:spacing w:line="240" w:lineRule="auto"/>
              <w:rPr>
                <w:rFonts w:ascii="Times New Roman" w:hAnsi="Times New Roman" w:cs="Times New Roman"/>
                <w:b/>
                <w:bCs/>
              </w:rPr>
            </w:pPr>
            <w:r w:rsidRPr="00C003C6">
              <w:rPr>
                <w:rFonts w:ascii="Times New Roman" w:hAnsi="Times New Roman" w:cs="Times New Roman"/>
                <w:b/>
                <w:bCs/>
                <w:color w:val="000000"/>
              </w:rPr>
              <w:t>I strongly believe this to be true</w:t>
            </w:r>
          </w:p>
        </w:tc>
        <w:tc>
          <w:tcPr>
            <w:tcW w:w="1131" w:type="dxa"/>
            <w:vAlign w:val="center"/>
          </w:tcPr>
          <w:p w14:paraId="11A8378C" w14:textId="0598C4C4"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3%</w:t>
            </w:r>
          </w:p>
        </w:tc>
        <w:tc>
          <w:tcPr>
            <w:tcW w:w="1131" w:type="dxa"/>
            <w:vAlign w:val="center"/>
          </w:tcPr>
          <w:p w14:paraId="7D67BA1E" w14:textId="50C1416F"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2%</w:t>
            </w:r>
          </w:p>
        </w:tc>
        <w:tc>
          <w:tcPr>
            <w:tcW w:w="1131" w:type="dxa"/>
            <w:vAlign w:val="center"/>
          </w:tcPr>
          <w:p w14:paraId="0F5BFCF3" w14:textId="20F81BF0"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2%</w:t>
            </w:r>
          </w:p>
        </w:tc>
        <w:tc>
          <w:tcPr>
            <w:tcW w:w="1132" w:type="dxa"/>
            <w:vAlign w:val="center"/>
          </w:tcPr>
          <w:p w14:paraId="5703A70E" w14:textId="69548D24"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1%</w:t>
            </w:r>
          </w:p>
        </w:tc>
      </w:tr>
      <w:tr w:rsidR="00C003C6" w14:paraId="59EB5801" w14:textId="77777777" w:rsidTr="00DF0CBF">
        <w:trPr>
          <w:jc w:val="center"/>
        </w:trPr>
        <w:tc>
          <w:tcPr>
            <w:tcW w:w="3964" w:type="dxa"/>
            <w:vAlign w:val="center"/>
          </w:tcPr>
          <w:p w14:paraId="46206E58" w14:textId="6BB79ECD" w:rsidR="00C003C6" w:rsidRPr="00C003C6" w:rsidRDefault="00C003C6" w:rsidP="00C003C6">
            <w:pPr>
              <w:spacing w:line="240" w:lineRule="auto"/>
              <w:rPr>
                <w:rFonts w:ascii="Times New Roman" w:hAnsi="Times New Roman" w:cs="Times New Roman"/>
                <w:b/>
                <w:bCs/>
              </w:rPr>
            </w:pPr>
            <w:r w:rsidRPr="00C003C6">
              <w:rPr>
                <w:rFonts w:ascii="Times New Roman" w:hAnsi="Times New Roman" w:cs="Times New Roman"/>
                <w:b/>
                <w:bCs/>
                <w:color w:val="000000"/>
              </w:rPr>
              <w:t>I believe this to be true</w:t>
            </w:r>
          </w:p>
        </w:tc>
        <w:tc>
          <w:tcPr>
            <w:tcW w:w="1131" w:type="dxa"/>
            <w:vAlign w:val="center"/>
          </w:tcPr>
          <w:p w14:paraId="65360D11" w14:textId="7E5420EB"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4%</w:t>
            </w:r>
          </w:p>
        </w:tc>
        <w:tc>
          <w:tcPr>
            <w:tcW w:w="1131" w:type="dxa"/>
            <w:vAlign w:val="center"/>
          </w:tcPr>
          <w:p w14:paraId="65A042FA" w14:textId="7C7FE0B6"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4%</w:t>
            </w:r>
          </w:p>
        </w:tc>
        <w:tc>
          <w:tcPr>
            <w:tcW w:w="1131" w:type="dxa"/>
            <w:vAlign w:val="center"/>
          </w:tcPr>
          <w:p w14:paraId="5036700C" w14:textId="50DCA45F"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9%</w:t>
            </w:r>
          </w:p>
        </w:tc>
        <w:tc>
          <w:tcPr>
            <w:tcW w:w="1132" w:type="dxa"/>
            <w:vAlign w:val="center"/>
          </w:tcPr>
          <w:p w14:paraId="53756688" w14:textId="3B9AACE6"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3%</w:t>
            </w:r>
          </w:p>
        </w:tc>
      </w:tr>
      <w:tr w:rsidR="00C003C6" w14:paraId="18033DE7" w14:textId="77777777" w:rsidTr="00DF0CBF">
        <w:trPr>
          <w:jc w:val="center"/>
        </w:trPr>
        <w:tc>
          <w:tcPr>
            <w:tcW w:w="3964" w:type="dxa"/>
            <w:vAlign w:val="center"/>
          </w:tcPr>
          <w:p w14:paraId="349C0E15" w14:textId="37E7CBF9" w:rsidR="00C003C6" w:rsidRPr="00C003C6" w:rsidRDefault="00C003C6" w:rsidP="00C003C6">
            <w:pPr>
              <w:spacing w:line="240" w:lineRule="auto"/>
              <w:rPr>
                <w:rFonts w:ascii="Times New Roman" w:hAnsi="Times New Roman" w:cs="Times New Roman"/>
                <w:b/>
                <w:bCs/>
              </w:rPr>
            </w:pPr>
            <w:r w:rsidRPr="00C003C6">
              <w:rPr>
                <w:rFonts w:ascii="Times New Roman" w:hAnsi="Times New Roman" w:cs="Times New Roman"/>
                <w:b/>
                <w:bCs/>
                <w:color w:val="000000"/>
              </w:rPr>
              <w:t>I need more information to be able to judge</w:t>
            </w:r>
          </w:p>
        </w:tc>
        <w:tc>
          <w:tcPr>
            <w:tcW w:w="1131" w:type="dxa"/>
            <w:vAlign w:val="center"/>
          </w:tcPr>
          <w:p w14:paraId="61D50ECC" w14:textId="5288CFD2"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13%</w:t>
            </w:r>
          </w:p>
        </w:tc>
        <w:tc>
          <w:tcPr>
            <w:tcW w:w="1131" w:type="dxa"/>
            <w:vAlign w:val="center"/>
          </w:tcPr>
          <w:p w14:paraId="45A599C7" w14:textId="65998640"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17%</w:t>
            </w:r>
          </w:p>
        </w:tc>
        <w:tc>
          <w:tcPr>
            <w:tcW w:w="1131" w:type="dxa"/>
            <w:vAlign w:val="center"/>
          </w:tcPr>
          <w:p w14:paraId="7D092FD2" w14:textId="4DC032B8"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12%</w:t>
            </w:r>
          </w:p>
        </w:tc>
        <w:tc>
          <w:tcPr>
            <w:tcW w:w="1132" w:type="dxa"/>
            <w:vAlign w:val="center"/>
          </w:tcPr>
          <w:p w14:paraId="647C84E5" w14:textId="6166A524"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9%</w:t>
            </w:r>
          </w:p>
        </w:tc>
      </w:tr>
      <w:tr w:rsidR="00C003C6" w14:paraId="21E4DB21" w14:textId="77777777" w:rsidTr="00DF0CBF">
        <w:trPr>
          <w:jc w:val="center"/>
        </w:trPr>
        <w:tc>
          <w:tcPr>
            <w:tcW w:w="3964" w:type="dxa"/>
            <w:vAlign w:val="center"/>
          </w:tcPr>
          <w:p w14:paraId="4F6A924C" w14:textId="39DA5049" w:rsidR="00C003C6" w:rsidRPr="00C003C6" w:rsidRDefault="00C003C6" w:rsidP="00C003C6">
            <w:pPr>
              <w:spacing w:line="240" w:lineRule="auto"/>
              <w:rPr>
                <w:rFonts w:ascii="Times New Roman" w:hAnsi="Times New Roman" w:cs="Times New Roman"/>
                <w:b/>
                <w:bCs/>
              </w:rPr>
            </w:pPr>
            <w:r w:rsidRPr="00C003C6">
              <w:rPr>
                <w:rFonts w:ascii="Times New Roman" w:hAnsi="Times New Roman" w:cs="Times New Roman"/>
                <w:b/>
                <w:bCs/>
                <w:color w:val="000000"/>
              </w:rPr>
              <w:t>I believe this to be untrue</w:t>
            </w:r>
          </w:p>
        </w:tc>
        <w:tc>
          <w:tcPr>
            <w:tcW w:w="1131" w:type="dxa"/>
            <w:vAlign w:val="center"/>
          </w:tcPr>
          <w:p w14:paraId="467B3D1C" w14:textId="0746E42E"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6%</w:t>
            </w:r>
          </w:p>
        </w:tc>
        <w:tc>
          <w:tcPr>
            <w:tcW w:w="1131" w:type="dxa"/>
            <w:vAlign w:val="center"/>
          </w:tcPr>
          <w:p w14:paraId="00E42A4D" w14:textId="45AC5C27"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12%</w:t>
            </w:r>
          </w:p>
        </w:tc>
        <w:tc>
          <w:tcPr>
            <w:tcW w:w="1131" w:type="dxa"/>
            <w:vAlign w:val="center"/>
          </w:tcPr>
          <w:p w14:paraId="4C377841" w14:textId="00581ACA"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12%</w:t>
            </w:r>
          </w:p>
        </w:tc>
        <w:tc>
          <w:tcPr>
            <w:tcW w:w="1132" w:type="dxa"/>
            <w:vAlign w:val="center"/>
          </w:tcPr>
          <w:p w14:paraId="070D3CDF" w14:textId="4F0869F5"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13%</w:t>
            </w:r>
          </w:p>
        </w:tc>
      </w:tr>
      <w:tr w:rsidR="00C003C6" w14:paraId="59069ECA" w14:textId="77777777" w:rsidTr="00DF0CBF">
        <w:trPr>
          <w:jc w:val="center"/>
        </w:trPr>
        <w:tc>
          <w:tcPr>
            <w:tcW w:w="3964" w:type="dxa"/>
            <w:vAlign w:val="center"/>
          </w:tcPr>
          <w:p w14:paraId="63B74998" w14:textId="10D5CD26" w:rsidR="00C003C6" w:rsidRPr="00C003C6" w:rsidRDefault="00C003C6" w:rsidP="00C003C6">
            <w:pPr>
              <w:spacing w:line="240" w:lineRule="auto"/>
              <w:rPr>
                <w:rFonts w:ascii="Times New Roman" w:hAnsi="Times New Roman" w:cs="Times New Roman"/>
                <w:b/>
                <w:bCs/>
              </w:rPr>
            </w:pPr>
            <w:r w:rsidRPr="00C003C6">
              <w:rPr>
                <w:rFonts w:ascii="Times New Roman" w:hAnsi="Times New Roman" w:cs="Times New Roman"/>
                <w:b/>
                <w:bCs/>
                <w:color w:val="000000"/>
              </w:rPr>
              <w:t>I strongly believe this to be untrue</w:t>
            </w:r>
          </w:p>
        </w:tc>
        <w:tc>
          <w:tcPr>
            <w:tcW w:w="1131" w:type="dxa"/>
            <w:vAlign w:val="center"/>
          </w:tcPr>
          <w:p w14:paraId="098F2670" w14:textId="752BF74E"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74%</w:t>
            </w:r>
          </w:p>
        </w:tc>
        <w:tc>
          <w:tcPr>
            <w:tcW w:w="1131" w:type="dxa"/>
            <w:vAlign w:val="center"/>
          </w:tcPr>
          <w:p w14:paraId="53C23E79" w14:textId="32BB56A2"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65%</w:t>
            </w:r>
          </w:p>
        </w:tc>
        <w:tc>
          <w:tcPr>
            <w:tcW w:w="1131" w:type="dxa"/>
            <w:vAlign w:val="center"/>
          </w:tcPr>
          <w:p w14:paraId="5DE3931A" w14:textId="57F762E3"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65%</w:t>
            </w:r>
          </w:p>
        </w:tc>
        <w:tc>
          <w:tcPr>
            <w:tcW w:w="1132" w:type="dxa"/>
            <w:vAlign w:val="center"/>
          </w:tcPr>
          <w:p w14:paraId="7E8F42E7" w14:textId="489976BB" w:rsidR="00C003C6" w:rsidRPr="00C003C6" w:rsidRDefault="00C003C6" w:rsidP="00C003C6">
            <w:pPr>
              <w:jc w:val="center"/>
              <w:rPr>
                <w:rFonts w:ascii="Times New Roman" w:hAnsi="Times New Roman" w:cs="Times New Roman"/>
              </w:rPr>
            </w:pPr>
            <w:r w:rsidRPr="00C003C6">
              <w:rPr>
                <w:rFonts w:ascii="Times New Roman" w:hAnsi="Times New Roman" w:cs="Times New Roman"/>
                <w:color w:val="000000"/>
              </w:rPr>
              <w:t>73%</w:t>
            </w:r>
          </w:p>
        </w:tc>
      </w:tr>
      <w:tr w:rsidR="00C003C6" w14:paraId="45FB816D" w14:textId="77777777" w:rsidTr="00DF0CBF">
        <w:trPr>
          <w:jc w:val="center"/>
        </w:trPr>
        <w:tc>
          <w:tcPr>
            <w:tcW w:w="3964" w:type="dxa"/>
            <w:vAlign w:val="center"/>
          </w:tcPr>
          <w:p w14:paraId="6E06836C" w14:textId="77777777" w:rsidR="00C003C6" w:rsidRPr="00D94C67" w:rsidRDefault="00C003C6" w:rsidP="00DF0CBF">
            <w:pPr>
              <w:spacing w:line="240" w:lineRule="auto"/>
              <w:rPr>
                <w:b/>
                <w:bCs/>
                <w:color w:val="000000"/>
              </w:rPr>
            </w:pPr>
            <w:r w:rsidRPr="00D94C67">
              <w:rPr>
                <w:rFonts w:ascii="Times New Roman" w:hAnsi="Times New Roman" w:cs="Times New Roman"/>
                <w:b/>
                <w:bCs/>
                <w:color w:val="000000"/>
              </w:rPr>
              <w:t>Total</w:t>
            </w:r>
          </w:p>
        </w:tc>
        <w:tc>
          <w:tcPr>
            <w:tcW w:w="1131" w:type="dxa"/>
            <w:vAlign w:val="center"/>
          </w:tcPr>
          <w:p w14:paraId="0AECB07C" w14:textId="77777777" w:rsidR="00C003C6" w:rsidRPr="00591C29" w:rsidRDefault="00C003C6" w:rsidP="00DF0CBF">
            <w:pPr>
              <w:jc w:val="center"/>
              <w:rPr>
                <w:rFonts w:ascii="Times New Roman" w:hAnsi="Times New Roman" w:cs="Times New Roman"/>
              </w:rPr>
            </w:pPr>
            <w:r w:rsidRPr="00591C29">
              <w:rPr>
                <w:rFonts w:ascii="Times New Roman" w:hAnsi="Times New Roman" w:cs="Times New Roman"/>
              </w:rPr>
              <w:t>100%</w:t>
            </w:r>
          </w:p>
        </w:tc>
        <w:tc>
          <w:tcPr>
            <w:tcW w:w="1131" w:type="dxa"/>
            <w:vAlign w:val="center"/>
          </w:tcPr>
          <w:p w14:paraId="353B4E67" w14:textId="77777777" w:rsidR="00C003C6" w:rsidRPr="00591C29" w:rsidRDefault="00C003C6" w:rsidP="00DF0CBF">
            <w:pPr>
              <w:jc w:val="center"/>
              <w:rPr>
                <w:rFonts w:ascii="Times New Roman" w:hAnsi="Times New Roman" w:cs="Times New Roman"/>
              </w:rPr>
            </w:pPr>
            <w:r w:rsidRPr="00591C29">
              <w:rPr>
                <w:rFonts w:ascii="Times New Roman" w:hAnsi="Times New Roman" w:cs="Times New Roman"/>
              </w:rPr>
              <w:t>100%</w:t>
            </w:r>
          </w:p>
        </w:tc>
        <w:tc>
          <w:tcPr>
            <w:tcW w:w="1131" w:type="dxa"/>
            <w:vAlign w:val="center"/>
          </w:tcPr>
          <w:p w14:paraId="3F3B9897" w14:textId="77777777" w:rsidR="00C003C6" w:rsidRPr="00591C29" w:rsidRDefault="00C003C6" w:rsidP="00DF0CBF">
            <w:pPr>
              <w:jc w:val="center"/>
              <w:rPr>
                <w:rFonts w:ascii="Times New Roman" w:hAnsi="Times New Roman" w:cs="Times New Roman"/>
              </w:rPr>
            </w:pPr>
            <w:r w:rsidRPr="00591C29">
              <w:rPr>
                <w:rFonts w:ascii="Times New Roman" w:hAnsi="Times New Roman" w:cs="Times New Roman"/>
              </w:rPr>
              <w:t>100%</w:t>
            </w:r>
          </w:p>
        </w:tc>
        <w:tc>
          <w:tcPr>
            <w:tcW w:w="1132" w:type="dxa"/>
            <w:vAlign w:val="center"/>
          </w:tcPr>
          <w:p w14:paraId="6C59A428" w14:textId="77777777" w:rsidR="00C003C6" w:rsidRPr="00591C29" w:rsidRDefault="00C003C6" w:rsidP="00DF0CBF">
            <w:pPr>
              <w:jc w:val="center"/>
              <w:rPr>
                <w:rFonts w:ascii="Times New Roman" w:hAnsi="Times New Roman" w:cs="Times New Roman"/>
              </w:rPr>
            </w:pPr>
            <w:r w:rsidRPr="00591C29">
              <w:rPr>
                <w:rFonts w:ascii="Times New Roman" w:hAnsi="Times New Roman" w:cs="Times New Roman"/>
              </w:rPr>
              <w:t>100%</w:t>
            </w:r>
          </w:p>
        </w:tc>
      </w:tr>
    </w:tbl>
    <w:p w14:paraId="305A4149" w14:textId="3F393695" w:rsidR="00C003C6" w:rsidRPr="0039587D" w:rsidRDefault="004E6F25" w:rsidP="00C003C6">
      <w:pPr>
        <w:rPr>
          <w:lang w:eastAsia="zh-CN"/>
        </w:rPr>
      </w:pPr>
      <w:r>
        <w:rPr>
          <w:i/>
          <w:iCs/>
          <w:sz w:val="22"/>
          <w:szCs w:val="22"/>
        </w:rPr>
        <w:t>χ</w:t>
      </w:r>
      <w:r w:rsidR="00C003C6">
        <w:rPr>
          <w:i/>
          <w:iCs/>
          <w:vertAlign w:val="superscript"/>
        </w:rPr>
        <w:t>2</w:t>
      </w:r>
      <w:r w:rsidR="00C003C6">
        <w:rPr>
          <w:i/>
          <w:iCs/>
        </w:rPr>
        <w:t xml:space="preserve"> </w:t>
      </w:r>
      <w:r w:rsidR="00C003C6">
        <w:t xml:space="preserve">= 130.71, </w:t>
      </w:r>
      <w:r w:rsidR="00C003C6">
        <w:rPr>
          <w:i/>
          <w:iCs/>
        </w:rPr>
        <w:t xml:space="preserve">p </w:t>
      </w:r>
      <w:r w:rsidR="00C003C6">
        <w:t xml:space="preserve">&lt; 0.001, </w:t>
      </w:r>
      <w:r w:rsidR="00C003C6">
        <w:rPr>
          <w:i/>
          <w:iCs/>
        </w:rPr>
        <w:t xml:space="preserve">df </w:t>
      </w:r>
      <w:r w:rsidR="00C003C6">
        <w:t>= 12</w:t>
      </w:r>
      <w:r>
        <w:rPr>
          <w:rFonts w:hint="eastAsia"/>
          <w:lang w:eastAsia="zh-CN"/>
        </w:rPr>
        <w:t xml:space="preserve">, </w:t>
      </w:r>
      <w:r w:rsidRPr="004E6F25">
        <w:rPr>
          <w:lang w:eastAsia="zh-CN"/>
        </w:rPr>
        <w:t>Cramér's V =   0.07</w:t>
      </w:r>
      <w:r>
        <w:rPr>
          <w:rFonts w:hint="eastAsia"/>
          <w:lang w:eastAsia="zh-CN"/>
        </w:rPr>
        <w:t>9</w:t>
      </w:r>
    </w:p>
    <w:p w14:paraId="583ABEB7" w14:textId="77777777" w:rsidR="00C003C6" w:rsidRPr="00C003C6" w:rsidRDefault="00C003C6" w:rsidP="00C003C6">
      <w:pPr>
        <w:pStyle w:val="Heading2"/>
      </w:pPr>
      <w:commentRangeStart w:id="6"/>
      <w:r>
        <w:t xml:space="preserve">Results for the social network characteristics profiles </w:t>
      </w:r>
      <w:commentRangeEnd w:id="6"/>
      <w:r>
        <w:rPr>
          <w:rStyle w:val="CommentReference"/>
        </w:rPr>
        <w:commentReference w:id="6"/>
      </w:r>
    </w:p>
    <w:p w14:paraId="60B3560F" w14:textId="10EFCFCB" w:rsidR="00C003C6" w:rsidRPr="00C003C6" w:rsidRDefault="00C003C6">
      <w:pPr>
        <w:pStyle w:val="Paragraph"/>
      </w:pPr>
      <w:r>
        <w:t xml:space="preserve">The characteristics of the five social network characteristic profiles are set out in </w:t>
      </w:r>
      <w:r w:rsidR="4D385E00">
        <w:t>Figures 5 – 8 and Tables 7 and 8</w:t>
      </w:r>
      <w:r>
        <w:t xml:space="preserve">, below. Examining </w:t>
      </w:r>
      <w:r w:rsidRPr="395A1A59">
        <w:rPr>
          <w:rStyle w:val="mord"/>
          <w:color w:val="000000" w:themeColor="text1"/>
        </w:rPr>
        <w:t xml:space="preserve">χ2 statistics for </w:t>
      </w:r>
      <w:r>
        <w:t>each reveal that all variables have</w:t>
      </w:r>
      <w:r w:rsidRPr="395A1A59">
        <w:rPr>
          <w:rStyle w:val="apple-converted-space"/>
          <w:color w:val="000000" w:themeColor="text1"/>
        </w:rPr>
        <w:t> </w:t>
      </w:r>
      <w:r w:rsidRPr="395A1A59">
        <w:rPr>
          <w:rStyle w:val="mord"/>
          <w:color w:val="000000" w:themeColor="text1"/>
        </w:rPr>
        <w:t>p</w:t>
      </w:r>
      <w:r>
        <w:t xml:space="preserve">-values below 0.05; indicating that age, gender, education, occupation, </w:t>
      </w:r>
      <w:r>
        <w:lastRenderedPageBreak/>
        <w:t>value of ideas-engagement and belief in Flat Earth theory again exhibit strong statistical differences across profiles. For instance, examining the age distribution of each profile (</w:t>
      </w:r>
      <w:r w:rsidR="05089A43">
        <w:t>Figure 5</w:t>
      </w:r>
      <w:r>
        <w:t xml:space="preserve">), reveals how Profile 5, which has the highest means for network homophily and network social capital, is more dominated by younger adults (49 percent aged 25-44 and 60 percent aged 18 to 44). Profile 1 (the lowest means for network homophily and network social capital), meanwhile, has the highest representation of older individuals (23 percent aged 70+ and 57 percent aged 55+). This suggests that older individuals may be less embedded in tightly-knit social networks; instead exhibiting greater diversity in terms of the characteristics of the individuals they are connected to. </w:t>
      </w:r>
      <w:r w:rsidR="61E55E43">
        <w:t>Figure 6</w:t>
      </w:r>
      <w:r>
        <w:t xml:space="preserve"> considers gender distribution by Profile type. Here it is apparent that men are more likely to be members of networks that are denser and more homogenous in nature, while women tend slightly to have networks with lower levels of social capital and homophily. With regards to the highest qualifications held by profile members (</w:t>
      </w:r>
      <w:r w:rsidR="486E3213">
        <w:t>Figure 7</w:t>
      </w:r>
      <w:r>
        <w:t>) there is a trend where higher qualifications (Masters, Doctoral) are more prominent in Profiles 3-5; inc</w:t>
      </w:r>
      <w:r w:rsidR="005D3E8F">
        <w:t>r</w:t>
      </w:r>
      <w:r>
        <w:t>easing in line with the means for network homophily and network social capital. These findings cohere with analysis by Putnam (2000), which found level of education to be positively correlated with more formal forms of social capital, such as joining an association or membership group and playing a leading role in such a group. In terms of occupation (</w:t>
      </w:r>
      <w:r w:rsidR="1BEDA1BD">
        <w:t>Figure 8</w:t>
      </w:r>
      <w:r>
        <w:t xml:space="preserve">), Profile 1 has the highest proportion of long-term unemployed individuals (21%), while Profiles 3 to 5 (characterised by increasingly more dense social networks), have higher proportions of professionals and higher-level professionals (43 percent, 38 percent and 38 percent, respectively). Again, analysis by Putnam (2000) offers a potential explanation here, suggesting that the financial anxiety that can result from less well-paid roles (or from being unemployed), often </w:t>
      </w:r>
      <w:r w:rsidR="007A2D19">
        <w:t xml:space="preserve">equates </w:t>
      </w:r>
      <w:r>
        <w:t xml:space="preserve">to individuals spending less time with friends and less time engaging in social capital </w:t>
      </w:r>
      <w:r>
        <w:lastRenderedPageBreak/>
        <w:t>related activity, such as participation in clubs or attending religious institutions.</w:t>
      </w:r>
    </w:p>
    <w:p w14:paraId="5AF966A6" w14:textId="77777777" w:rsidR="00C003C6" w:rsidRPr="00004E24" w:rsidRDefault="00C003C6" w:rsidP="00C003C6">
      <w:pPr>
        <w:pStyle w:val="Newparagraph"/>
      </w:pPr>
    </w:p>
    <w:p w14:paraId="2CE3C90B" w14:textId="2642EE38" w:rsidR="00C003C6" w:rsidRPr="00D10144" w:rsidRDefault="00C003C6" w:rsidP="00C003C6">
      <w:pPr>
        <w:pStyle w:val="Newparagraph"/>
      </w:pPr>
      <w:r>
        <w:t xml:space="preserve">Table </w:t>
      </w:r>
      <w:r w:rsidR="00E33C1D">
        <w:t>7</w:t>
      </w:r>
      <w:r>
        <w:t xml:space="preserve"> explores the value ascribed to ideas-engagement by each profile: here there is a significant difference in attitudes toward ideas-engagement across network profiles. In particular</w:t>
      </w:r>
      <w:r w:rsidR="007A2D19">
        <w:t>,</w:t>
      </w:r>
      <w:r>
        <w:t xml:space="preserve"> </w:t>
      </w:r>
      <w:r w:rsidR="00110BE6">
        <w:t xml:space="preserve">those in </w:t>
      </w:r>
      <w:r>
        <w:t>Profile 5</w:t>
      </w:r>
      <w:r w:rsidR="007A2D19">
        <w:t xml:space="preserve"> - </w:t>
      </w:r>
      <w:r>
        <w:t>where individuals are characterised by membership of networks with high homophily and high social capital</w:t>
      </w:r>
      <w:r w:rsidR="007A2D19">
        <w:t xml:space="preserve"> - </w:t>
      </w:r>
      <w:r w:rsidR="00110BE6">
        <w:t xml:space="preserve">are </w:t>
      </w:r>
      <w:r>
        <w:t xml:space="preserve">more likely to consider ideas-engagement as ‘very important’ (55 percent)’ with 92 percent suggesting that ideas-engagement is either ‘important’ or ‘very important’. Profile 1, whose membership is characterised by more diverse and less tightly knit networks, has the highest proportion of respondents who find ideas-engagement ‘not important’, ‘somewhat important’ or ‘neither important nor unimportant’ (28 percent in total). Finally, in terms of level of belief in the Flat Earth statement (Table </w:t>
      </w:r>
      <w:r w:rsidR="17874FD5">
        <w:t>8</w:t>
      </w:r>
      <w:r>
        <w:t xml:space="preserve">), what is clear is the existence of a highly significant relationship between social network profile and susceptibility to misinformation. Interestingly, however, it is members of Profile 5: the </w:t>
      </w:r>
      <w:r w:rsidR="00AB700D">
        <w:t>p</w:t>
      </w:r>
      <w:r>
        <w:t xml:space="preserve">rofile with the highest means for network homophily and network social capital (and those most strongly to agree that ideas-engagement is important) who are mostly likely to believe or strongly believe Flat Earth theory to be true (21 percent); with a further 23 percent suggesting that they would need more information to be able to judge (meaning that 44 percent of those in Profile 5 are not sure whether to believe, or do not believe the Earth to be a sphere). At the same time, Profile 1 (which has the lowest means for network homophily and network social capital) has the highest proportion of respondents who are unsure (27 percent). In Profiles 2 to 4, meanwhile, a range of 79 to 86 of members believe the statement relating to flat Earth to be ‘untrue’ or ‘strongly untrue’. </w:t>
      </w:r>
    </w:p>
    <w:p w14:paraId="39A48390" w14:textId="77777777" w:rsidR="00C003C6" w:rsidRDefault="00C003C6" w:rsidP="00C003C6">
      <w:pPr>
        <w:pStyle w:val="Newparagraph"/>
      </w:pPr>
    </w:p>
    <w:p w14:paraId="7757F99C" w14:textId="77777777" w:rsidR="00C003C6" w:rsidRPr="009B158B" w:rsidRDefault="00C003C6" w:rsidP="00C003C6">
      <w:pPr>
        <w:pStyle w:val="Newparagraph"/>
      </w:pPr>
      <w:r w:rsidRPr="009B158B">
        <w:lastRenderedPageBreak/>
        <w:t>To explore this issue further we explored each profile’s idea-engagement activity, by examining responses to the question: ‘Thinking again about both staying up to date with current affairs and keeping yourself well informed, how often do you do the following…’. Response options comprised:</w:t>
      </w:r>
    </w:p>
    <w:p w14:paraId="050FCEC3" w14:textId="77777777" w:rsidR="00C003C6" w:rsidRPr="009B158B" w:rsidRDefault="00C003C6" w:rsidP="00C003C6">
      <w:pPr>
        <w:pStyle w:val="Bulletedlist"/>
      </w:pPr>
      <w:r w:rsidRPr="009B158B">
        <w:t xml:space="preserve">Watch or listen to news programmes or channels </w:t>
      </w:r>
    </w:p>
    <w:p w14:paraId="4A7BB055" w14:textId="77777777" w:rsidR="00C003C6" w:rsidRPr="009B158B" w:rsidRDefault="00C003C6" w:rsidP="00C003C6">
      <w:pPr>
        <w:pStyle w:val="Bulletedlist"/>
      </w:pPr>
      <w:r w:rsidRPr="009B158B">
        <w:t>Watch or listen to current affairs programmes</w:t>
      </w:r>
    </w:p>
    <w:p w14:paraId="06288E24" w14:textId="77777777" w:rsidR="00C003C6" w:rsidRPr="009B158B" w:rsidRDefault="00C003C6" w:rsidP="00C003C6">
      <w:pPr>
        <w:pStyle w:val="Bulletedlist"/>
      </w:pPr>
      <w:r w:rsidRPr="009B158B">
        <w:t>Watch documentaries (of various genres)</w:t>
      </w:r>
    </w:p>
    <w:p w14:paraId="5CE1A5B6" w14:textId="77777777" w:rsidR="00C003C6" w:rsidRPr="009B158B" w:rsidRDefault="00C003C6" w:rsidP="00C003C6">
      <w:pPr>
        <w:pStyle w:val="Bulletedlist"/>
      </w:pPr>
      <w:r w:rsidRPr="009B158B">
        <w:t>Listen to podcasts (of various genres)</w:t>
      </w:r>
    </w:p>
    <w:p w14:paraId="579F1E84" w14:textId="77777777" w:rsidR="00C003C6" w:rsidRPr="009B158B" w:rsidRDefault="00C003C6" w:rsidP="00C003C6">
      <w:pPr>
        <w:pStyle w:val="Bulletedlist"/>
      </w:pPr>
      <w:r w:rsidRPr="009B158B">
        <w:t>Read content from subscription emails</w:t>
      </w:r>
    </w:p>
    <w:p w14:paraId="0E62A145" w14:textId="77777777" w:rsidR="00C003C6" w:rsidRPr="009B158B" w:rsidRDefault="00C003C6" w:rsidP="00C003C6">
      <w:pPr>
        <w:pStyle w:val="Bulletedlist"/>
      </w:pPr>
      <w:r w:rsidRPr="009B158B">
        <w:t>Read newspapers (physical copies or online)</w:t>
      </w:r>
    </w:p>
    <w:p w14:paraId="78D19C72" w14:textId="77777777" w:rsidR="00C003C6" w:rsidRPr="009B158B" w:rsidRDefault="00C003C6" w:rsidP="00C003C6">
      <w:pPr>
        <w:pStyle w:val="Bulletedlist"/>
      </w:pPr>
      <w:r w:rsidRPr="009B158B">
        <w:t>Engage in other reading (such as magazines or books)</w:t>
      </w:r>
    </w:p>
    <w:p w14:paraId="1C6BAD17" w14:textId="77777777" w:rsidR="00C003C6" w:rsidRPr="009B158B" w:rsidRDefault="00C003C6" w:rsidP="00C003C6">
      <w:pPr>
        <w:pStyle w:val="Bulletedlist"/>
      </w:pPr>
      <w:r w:rsidRPr="009B158B">
        <w:t>Access social media and blogs for content</w:t>
      </w:r>
    </w:p>
    <w:p w14:paraId="69DBFF94" w14:textId="77777777" w:rsidR="00C003C6" w:rsidRPr="009B158B" w:rsidRDefault="00C003C6" w:rsidP="00C003C6">
      <w:pPr>
        <w:pStyle w:val="Bulletedlist"/>
      </w:pPr>
      <w:r w:rsidRPr="009B158B">
        <w:t>Specific web searching</w:t>
      </w:r>
    </w:p>
    <w:p w14:paraId="37E8C1C2" w14:textId="77777777" w:rsidR="00C003C6" w:rsidRPr="009B158B" w:rsidRDefault="00C003C6" w:rsidP="00C003C6">
      <w:pPr>
        <w:pStyle w:val="Bulletedlist"/>
      </w:pPr>
      <w:r w:rsidRPr="009B158B">
        <w:t>Use Wikipedia</w:t>
      </w:r>
    </w:p>
    <w:p w14:paraId="775E0604" w14:textId="77777777" w:rsidR="00C003C6" w:rsidRPr="009B158B" w:rsidRDefault="00C003C6" w:rsidP="00C003C6">
      <w:pPr>
        <w:pStyle w:val="Bulletedlist"/>
      </w:pPr>
      <w:r w:rsidRPr="009B158B">
        <w:t>Use a form of generative AI, such as ChatGTP</w:t>
      </w:r>
    </w:p>
    <w:p w14:paraId="6D19BFC9" w14:textId="77777777" w:rsidR="00C003C6" w:rsidRPr="009B158B" w:rsidRDefault="00C003C6" w:rsidP="00C003C6">
      <w:pPr>
        <w:pStyle w:val="Bulletedlist"/>
      </w:pPr>
      <w:r w:rsidRPr="009B158B">
        <w:t>Attend public lectures or talks</w:t>
      </w:r>
    </w:p>
    <w:p w14:paraId="0FDF776F" w14:textId="77777777" w:rsidR="00C003C6" w:rsidRPr="009B158B" w:rsidRDefault="00C003C6" w:rsidP="00C003C6">
      <w:pPr>
        <w:pStyle w:val="Bulletedlist"/>
      </w:pPr>
      <w:r w:rsidRPr="009B158B">
        <w:t>Take courses (e.g. history of art, film etc.)</w:t>
      </w:r>
    </w:p>
    <w:p w14:paraId="0AF5A915" w14:textId="77777777" w:rsidR="00C003C6" w:rsidRPr="009B158B" w:rsidRDefault="00C003C6" w:rsidP="00C003C6">
      <w:pPr>
        <w:pStyle w:val="Bulletedlist"/>
      </w:pPr>
      <w:r w:rsidRPr="009B158B">
        <w:t>Activities, such as going to an exhibition at a gallery, museum or science park; or visiting a place of interest, a cultural site or similar</w:t>
      </w:r>
    </w:p>
    <w:p w14:paraId="579B9B68" w14:textId="1893F79F" w:rsidR="00C003C6" w:rsidRPr="009B158B" w:rsidRDefault="00C003C6" w:rsidP="00C003C6">
      <w:pPr>
        <w:pStyle w:val="Newparagraph"/>
      </w:pPr>
      <w:r>
        <w:t>Frequency options, meanwhile</w:t>
      </w:r>
      <w:r w:rsidR="007A2D19">
        <w:t>,</w:t>
      </w:r>
      <w:r>
        <w:t xml:space="preserve"> comprised: i) Once a day or more; ii) Every few days; iii) About once a week; iv) Once a fortnight; v) Once a month; vi) Twice a year or less; and vii) Never. For this analysis we considered the combined responses by each Profile to the two most frequent options ‘Once a day or more’ and ‘Every few days’. This analysis revealed that those belonging to Profile 5 </w:t>
      </w:r>
      <w:r w:rsidRPr="395A1A59">
        <w:rPr>
          <w:color w:val="000000" w:themeColor="text1"/>
        </w:rPr>
        <w:t xml:space="preserve">demonstrate </w:t>
      </w:r>
      <w:r>
        <w:t>significantly higher</w:t>
      </w:r>
      <w:r w:rsidRPr="395A1A59">
        <w:rPr>
          <w:color w:val="000000" w:themeColor="text1"/>
        </w:rPr>
        <w:t xml:space="preserve"> </w:t>
      </w:r>
      <w:r w:rsidRPr="395A1A59">
        <w:rPr>
          <w:color w:val="000000" w:themeColor="text1"/>
        </w:rPr>
        <w:lastRenderedPageBreak/>
        <w:t>levels of engagement across multiple forms of media, including documentaries (45</w:t>
      </w:r>
      <w:r>
        <w:t xml:space="preserve"> percent</w:t>
      </w:r>
      <w:r w:rsidRPr="395A1A59">
        <w:rPr>
          <w:color w:val="000000" w:themeColor="text1"/>
        </w:rPr>
        <w:t>), podcasts (37</w:t>
      </w:r>
      <w:r>
        <w:t xml:space="preserve"> percent</w:t>
      </w:r>
      <w:r w:rsidRPr="395A1A59">
        <w:rPr>
          <w:color w:val="000000" w:themeColor="text1"/>
        </w:rPr>
        <w:t>), and subscription emails (59</w:t>
      </w:r>
      <w:r>
        <w:t xml:space="preserve"> percent</w:t>
      </w:r>
      <w:r w:rsidRPr="395A1A59">
        <w:rPr>
          <w:color w:val="000000" w:themeColor="text1"/>
        </w:rPr>
        <w:t>), as well as alternative learning activities</w:t>
      </w:r>
      <w:r>
        <w:t>,</w:t>
      </w:r>
      <w:r w:rsidRPr="395A1A59">
        <w:rPr>
          <w:color w:val="000000" w:themeColor="text1"/>
        </w:rPr>
        <w:t xml:space="preserve"> such as attending public lectures (23</w:t>
      </w:r>
      <w:r>
        <w:t xml:space="preserve"> percent</w:t>
      </w:r>
      <w:r w:rsidRPr="395A1A59">
        <w:rPr>
          <w:color w:val="000000" w:themeColor="text1"/>
        </w:rPr>
        <w:t>), taking courses (20</w:t>
      </w:r>
      <w:r>
        <w:t xml:space="preserve"> percent</w:t>
      </w:r>
      <w:r w:rsidRPr="395A1A59">
        <w:rPr>
          <w:color w:val="000000" w:themeColor="text1"/>
        </w:rPr>
        <w:t>), and visiting cultural institutions (20</w:t>
      </w:r>
      <w:r>
        <w:t xml:space="preserve"> percent</w:t>
      </w:r>
      <w:r w:rsidRPr="395A1A59">
        <w:rPr>
          <w:color w:val="000000" w:themeColor="text1"/>
        </w:rPr>
        <w:t>) (these values ranging from ten to 20 percent higher than any other profile)</w:t>
      </w:r>
      <w:r>
        <w:t xml:space="preserve">. Further, </w:t>
      </w:r>
      <w:r w:rsidRPr="395A1A59">
        <w:rPr>
          <w:color w:val="000000" w:themeColor="text1"/>
        </w:rPr>
        <w:t xml:space="preserve">they engage in </w:t>
      </w:r>
      <w:r>
        <w:t xml:space="preserve">significantly </w:t>
      </w:r>
      <w:r w:rsidRPr="395A1A59">
        <w:rPr>
          <w:color w:val="000000" w:themeColor="text1"/>
        </w:rPr>
        <w:t>high</w:t>
      </w:r>
      <w:r>
        <w:t xml:space="preserve">er use of </w:t>
      </w:r>
      <w:r w:rsidRPr="395A1A59">
        <w:rPr>
          <w:color w:val="000000" w:themeColor="text1"/>
        </w:rPr>
        <w:t>interactive and digital media, such as social media and blogs (63</w:t>
      </w:r>
      <w:r>
        <w:t xml:space="preserve"> percent</w:t>
      </w:r>
      <w:r w:rsidRPr="395A1A59">
        <w:rPr>
          <w:color w:val="000000" w:themeColor="text1"/>
        </w:rPr>
        <w:t>), Wikipedia (42</w:t>
      </w:r>
      <w:r>
        <w:t xml:space="preserve"> percent</w:t>
      </w:r>
      <w:r w:rsidRPr="395A1A59">
        <w:rPr>
          <w:color w:val="000000" w:themeColor="text1"/>
        </w:rPr>
        <w:t>) and generative AI tools like ChatGPT (32</w:t>
      </w:r>
      <w:r>
        <w:t xml:space="preserve"> percent</w:t>
      </w:r>
      <w:r w:rsidRPr="395A1A59">
        <w:rPr>
          <w:color w:val="000000" w:themeColor="text1"/>
        </w:rPr>
        <w:t>)</w:t>
      </w:r>
      <w:r>
        <w:t>. Traditional media consumption (such as TV news and newspapers, meanwhile, are used less by Profile 5 (with use levels on a par or lower than in other Profiles). This implies</w:t>
      </w:r>
      <w:r w:rsidRPr="395A1A59">
        <w:rPr>
          <w:color w:val="000000" w:themeColor="text1"/>
        </w:rPr>
        <w:t xml:space="preserve"> a use of newer, more interactive and </w:t>
      </w:r>
      <w:r>
        <w:t>non-</w:t>
      </w:r>
      <w:r w:rsidRPr="395A1A59">
        <w:rPr>
          <w:color w:val="000000" w:themeColor="text1"/>
        </w:rPr>
        <w:t xml:space="preserve">conventional sources of information in comparison to other </w:t>
      </w:r>
      <w:r w:rsidR="00AB700D" w:rsidRPr="395A1A59">
        <w:rPr>
          <w:color w:val="000000" w:themeColor="text1"/>
        </w:rPr>
        <w:t>p</w:t>
      </w:r>
      <w:r w:rsidRPr="395A1A59">
        <w:rPr>
          <w:color w:val="000000" w:themeColor="text1"/>
        </w:rPr>
        <w:t>rofiles</w:t>
      </w:r>
      <w:r>
        <w:t xml:space="preserve">. </w:t>
      </w:r>
      <w:r w:rsidRPr="395A1A59">
        <w:rPr>
          <w:color w:val="000000" w:themeColor="text1"/>
        </w:rPr>
        <w:t xml:space="preserve">However, given that these </w:t>
      </w:r>
      <w:r>
        <w:t xml:space="preserve">alternative sources of knowledge (social media, generative AI, </w:t>
      </w:r>
      <w:r w:rsidR="007A2D19">
        <w:t>etc</w:t>
      </w:r>
      <w:r>
        <w:t xml:space="preserve">) potentially expose </w:t>
      </w:r>
      <w:r w:rsidR="00AB700D">
        <w:t>p</w:t>
      </w:r>
      <w:r>
        <w:t xml:space="preserve">rofile members to misinformation or fringe theories and given the closed nature of their networks – bearing in mind the high levels of belief in </w:t>
      </w:r>
      <w:r w:rsidR="00AB700D">
        <w:t>F</w:t>
      </w:r>
      <w:r>
        <w:t xml:space="preserve">lat </w:t>
      </w:r>
      <w:r w:rsidR="00AB700D">
        <w:t>E</w:t>
      </w:r>
      <w:r>
        <w:t xml:space="preserve">arth theory </w:t>
      </w:r>
      <w:bookmarkStart w:id="7" w:name="_Hlk193465043"/>
      <w:r>
        <w:t>–</w:t>
      </w:r>
      <w:bookmarkEnd w:id="7"/>
      <w:r>
        <w:t xml:space="preserve"> it would seem that this group becomes more at risk to cleaving to misinformation, once a conspiracy enters their idea discussion network.</w:t>
      </w:r>
    </w:p>
    <w:p w14:paraId="548E784D" w14:textId="6169B0D6" w:rsidR="4E96D345" w:rsidRDefault="04F290EC" w:rsidP="395A1A59">
      <w:pPr>
        <w:pStyle w:val="Newparagraph"/>
        <w:rPr>
          <w:b/>
          <w:bCs/>
        </w:rPr>
      </w:pPr>
      <w:r w:rsidRPr="395A1A59">
        <w:rPr>
          <w:b/>
          <w:bCs/>
        </w:rPr>
        <w:t xml:space="preserve">Figure 5: </w:t>
      </w:r>
      <w:r w:rsidR="13DFAD85" w:rsidRPr="395A1A59">
        <w:rPr>
          <w:b/>
          <w:bCs/>
        </w:rPr>
        <w:t>Social Network characteristics</w:t>
      </w:r>
      <w:r w:rsidRPr="395A1A59">
        <w:rPr>
          <w:b/>
          <w:bCs/>
        </w:rPr>
        <w:t xml:space="preserve"> – age distribution by profile </w:t>
      </w:r>
    </w:p>
    <w:p w14:paraId="041C4C84" w14:textId="0D536185" w:rsidR="4E96D345" w:rsidRDefault="38E73439" w:rsidP="395A1A59">
      <w:r>
        <w:rPr>
          <w:noProof/>
        </w:rPr>
        <w:lastRenderedPageBreak/>
        <w:drawing>
          <wp:inline distT="0" distB="0" distL="0" distR="0" wp14:anchorId="0F069E57" wp14:editId="48FA9225">
            <wp:extent cx="5400675" cy="4867274"/>
            <wp:effectExtent l="0" t="0" r="0" b="0"/>
            <wp:docPr id="993266723" name="Picture 993266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5400675" cy="4867274"/>
                    </a:xfrm>
                    <a:prstGeom prst="rect">
                      <a:avLst/>
                    </a:prstGeom>
                  </pic:spPr>
                </pic:pic>
              </a:graphicData>
            </a:graphic>
          </wp:inline>
        </w:drawing>
      </w:r>
    </w:p>
    <w:p w14:paraId="6E54CCE8" w14:textId="3B3B48B1" w:rsidR="4E96D345" w:rsidRDefault="04F290EC" w:rsidP="395A1A59">
      <w:pPr>
        <w:pStyle w:val="Newparagraph"/>
        <w:rPr>
          <w:b/>
          <w:bCs/>
        </w:rPr>
      </w:pPr>
      <w:commentRangeStart w:id="8"/>
      <w:r w:rsidRPr="395A1A59">
        <w:rPr>
          <w:b/>
          <w:bCs/>
        </w:rPr>
        <w:t xml:space="preserve">Figure 6: </w:t>
      </w:r>
      <w:r w:rsidR="2CED7B4C" w:rsidRPr="395A1A59">
        <w:rPr>
          <w:b/>
          <w:bCs/>
        </w:rPr>
        <w:t xml:space="preserve">Social </w:t>
      </w:r>
      <w:commentRangeEnd w:id="8"/>
      <w:r w:rsidR="00747893">
        <w:rPr>
          <w:rStyle w:val="CommentReference"/>
        </w:rPr>
        <w:commentReference w:id="8"/>
      </w:r>
      <w:r w:rsidR="2CED7B4C" w:rsidRPr="395A1A59">
        <w:rPr>
          <w:b/>
          <w:bCs/>
        </w:rPr>
        <w:t>Network characteristics</w:t>
      </w:r>
      <w:r w:rsidRPr="395A1A59">
        <w:rPr>
          <w:b/>
          <w:bCs/>
        </w:rPr>
        <w:t xml:space="preserve"> – gender distribution by profile</w:t>
      </w:r>
    </w:p>
    <w:p w14:paraId="259A517D" w14:textId="6323B35F" w:rsidR="4E96D345" w:rsidRDefault="653F4618" w:rsidP="395A1A59">
      <w:r>
        <w:rPr>
          <w:noProof/>
        </w:rPr>
        <w:lastRenderedPageBreak/>
        <w:drawing>
          <wp:inline distT="0" distB="0" distL="0" distR="0" wp14:anchorId="6ED40AE7" wp14:editId="0C128F91">
            <wp:extent cx="5400675" cy="5057775"/>
            <wp:effectExtent l="0" t="0" r="0" b="0"/>
            <wp:docPr id="244097861" name="Picture 24409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5400675" cy="5057775"/>
                    </a:xfrm>
                    <a:prstGeom prst="rect">
                      <a:avLst/>
                    </a:prstGeom>
                  </pic:spPr>
                </pic:pic>
              </a:graphicData>
            </a:graphic>
          </wp:inline>
        </w:drawing>
      </w:r>
    </w:p>
    <w:p w14:paraId="2CF35BF8" w14:textId="636D5FD9" w:rsidR="4E96D345" w:rsidRDefault="04F290EC" w:rsidP="395A1A59">
      <w:pPr>
        <w:pStyle w:val="Newparagraph"/>
        <w:rPr>
          <w:b/>
          <w:bCs/>
        </w:rPr>
      </w:pPr>
      <w:commentRangeStart w:id="9"/>
      <w:r w:rsidRPr="395A1A59">
        <w:rPr>
          <w:b/>
          <w:bCs/>
        </w:rPr>
        <w:t xml:space="preserve">Figure 7: </w:t>
      </w:r>
      <w:r w:rsidR="7360B4B3" w:rsidRPr="395A1A59">
        <w:rPr>
          <w:b/>
          <w:bCs/>
        </w:rPr>
        <w:t xml:space="preserve">Social </w:t>
      </w:r>
      <w:commentRangeEnd w:id="9"/>
      <w:r w:rsidR="00747893">
        <w:rPr>
          <w:rStyle w:val="CommentReference"/>
        </w:rPr>
        <w:commentReference w:id="9"/>
      </w:r>
      <w:r w:rsidR="7360B4B3" w:rsidRPr="395A1A59">
        <w:rPr>
          <w:b/>
          <w:bCs/>
        </w:rPr>
        <w:t xml:space="preserve">Network characteristics </w:t>
      </w:r>
      <w:r w:rsidRPr="395A1A59">
        <w:rPr>
          <w:b/>
          <w:bCs/>
        </w:rPr>
        <w:t>– qualification level distribution by profile</w:t>
      </w:r>
    </w:p>
    <w:p w14:paraId="5AC71F65" w14:textId="159F713D" w:rsidR="4E96D345" w:rsidRDefault="00E5B6D7" w:rsidP="395A1A59">
      <w:r>
        <w:rPr>
          <w:noProof/>
        </w:rPr>
        <w:lastRenderedPageBreak/>
        <w:drawing>
          <wp:inline distT="0" distB="0" distL="0" distR="0" wp14:anchorId="5B4E3C32" wp14:editId="1F6B2F6A">
            <wp:extent cx="5391152" cy="6257925"/>
            <wp:effectExtent l="0" t="0" r="0" b="0"/>
            <wp:docPr id="2035473179" name="Picture 2035473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5391152" cy="6257925"/>
                    </a:xfrm>
                    <a:prstGeom prst="rect">
                      <a:avLst/>
                    </a:prstGeom>
                  </pic:spPr>
                </pic:pic>
              </a:graphicData>
            </a:graphic>
          </wp:inline>
        </w:drawing>
      </w:r>
    </w:p>
    <w:p w14:paraId="03CA54BD" w14:textId="0E5E38BE" w:rsidR="4E96D345" w:rsidRDefault="04F290EC" w:rsidP="395A1A59">
      <w:pPr>
        <w:pStyle w:val="Newparagraph"/>
        <w:rPr>
          <w:b/>
          <w:bCs/>
        </w:rPr>
      </w:pPr>
      <w:commentRangeStart w:id="10"/>
      <w:r w:rsidRPr="395A1A59">
        <w:rPr>
          <w:b/>
          <w:bCs/>
        </w:rPr>
        <w:t xml:space="preserve">Figure 8: </w:t>
      </w:r>
      <w:r w:rsidR="7ADA3D6A" w:rsidRPr="395A1A59">
        <w:rPr>
          <w:b/>
          <w:bCs/>
        </w:rPr>
        <w:t xml:space="preserve">Social Network </w:t>
      </w:r>
      <w:commentRangeEnd w:id="10"/>
      <w:r w:rsidR="00747893">
        <w:rPr>
          <w:rStyle w:val="CommentReference"/>
        </w:rPr>
        <w:commentReference w:id="10"/>
      </w:r>
      <w:r w:rsidR="7ADA3D6A" w:rsidRPr="395A1A59">
        <w:rPr>
          <w:b/>
          <w:bCs/>
        </w:rPr>
        <w:t xml:space="preserve">characteristics </w:t>
      </w:r>
      <w:r w:rsidRPr="395A1A59">
        <w:rPr>
          <w:b/>
          <w:bCs/>
        </w:rPr>
        <w:t>– occupation distribution by profile</w:t>
      </w:r>
    </w:p>
    <w:p w14:paraId="78510673" w14:textId="38651D85" w:rsidR="4E96D345" w:rsidRDefault="25152CBA" w:rsidP="395A1A59">
      <w:r>
        <w:rPr>
          <w:noProof/>
        </w:rPr>
        <w:lastRenderedPageBreak/>
        <w:drawing>
          <wp:inline distT="0" distB="0" distL="0" distR="0" wp14:anchorId="30A1D121" wp14:editId="1103382D">
            <wp:extent cx="5381624" cy="5400675"/>
            <wp:effectExtent l="0" t="0" r="0" b="0"/>
            <wp:docPr id="1752165075" name="Picture 1752165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5381624" cy="5400675"/>
                    </a:xfrm>
                    <a:prstGeom prst="rect">
                      <a:avLst/>
                    </a:prstGeom>
                  </pic:spPr>
                </pic:pic>
              </a:graphicData>
            </a:graphic>
          </wp:inline>
        </w:drawing>
      </w:r>
    </w:p>
    <w:p w14:paraId="37988065" w14:textId="7D1AE3CF" w:rsidR="0077438F" w:rsidRPr="00AC18C2" w:rsidRDefault="0077438F" w:rsidP="0077438F">
      <w:pPr>
        <w:pStyle w:val="Tabletitle"/>
      </w:pPr>
      <w:r>
        <w:t xml:space="preserve">Table </w:t>
      </w:r>
      <w:r w:rsidR="10488870">
        <w:t>7</w:t>
      </w:r>
      <w:r>
        <w:t>: Social network characteristics importance of ideas-engagement by profile</w:t>
      </w: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8"/>
        <w:gridCol w:w="1156"/>
        <w:gridCol w:w="1157"/>
        <w:gridCol w:w="1157"/>
        <w:gridCol w:w="1157"/>
        <w:gridCol w:w="1157"/>
      </w:tblGrid>
      <w:tr w:rsidR="00AB700D" w:rsidRPr="00C003C6" w14:paraId="51191106" w14:textId="77777777" w:rsidTr="00ED43D6">
        <w:trPr>
          <w:trHeight w:val="643"/>
        </w:trPr>
        <w:tc>
          <w:tcPr>
            <w:tcW w:w="2748" w:type="dxa"/>
            <w:shd w:val="clear" w:color="auto" w:fill="auto"/>
            <w:vAlign w:val="center"/>
            <w:hideMark/>
          </w:tcPr>
          <w:p w14:paraId="75B3706A" w14:textId="77777777" w:rsidR="00AB700D" w:rsidRPr="00C003C6" w:rsidRDefault="00AB700D" w:rsidP="00AB700D">
            <w:pPr>
              <w:spacing w:line="240" w:lineRule="auto"/>
              <w:jc w:val="center"/>
              <w:rPr>
                <w:color w:val="000000"/>
              </w:rPr>
            </w:pPr>
          </w:p>
        </w:tc>
        <w:tc>
          <w:tcPr>
            <w:tcW w:w="1156" w:type="dxa"/>
            <w:shd w:val="clear" w:color="auto" w:fill="auto"/>
            <w:vAlign w:val="center"/>
            <w:hideMark/>
          </w:tcPr>
          <w:p w14:paraId="0EF1814C" w14:textId="77777777" w:rsidR="00AB700D" w:rsidRPr="005D3E8F" w:rsidRDefault="00AB700D" w:rsidP="00AB700D">
            <w:pPr>
              <w:spacing w:line="240" w:lineRule="auto"/>
              <w:jc w:val="center"/>
              <w:rPr>
                <w:b/>
                <w:bCs/>
                <w:color w:val="000000"/>
              </w:rPr>
            </w:pPr>
            <w:r w:rsidRPr="005D3E8F">
              <w:rPr>
                <w:b/>
                <w:bCs/>
                <w:color w:val="000000"/>
              </w:rPr>
              <w:t>Profile 1</w:t>
            </w:r>
          </w:p>
          <w:p w14:paraId="7FEC9926" w14:textId="61FA0431" w:rsidR="00AB700D" w:rsidRPr="00C003C6" w:rsidRDefault="00AB700D" w:rsidP="00AB700D">
            <w:pPr>
              <w:spacing w:line="240" w:lineRule="auto"/>
              <w:jc w:val="center"/>
              <w:rPr>
                <w:b/>
                <w:bCs/>
                <w:color w:val="000000"/>
              </w:rPr>
            </w:pPr>
            <w:r w:rsidRPr="005D3E8F">
              <w:rPr>
                <w:sz w:val="20"/>
                <w:szCs w:val="20"/>
              </w:rPr>
              <w:t>limited NH and SC</w:t>
            </w:r>
          </w:p>
        </w:tc>
        <w:tc>
          <w:tcPr>
            <w:tcW w:w="1157" w:type="dxa"/>
            <w:shd w:val="clear" w:color="auto" w:fill="auto"/>
            <w:vAlign w:val="center"/>
            <w:hideMark/>
          </w:tcPr>
          <w:p w14:paraId="73D65EA3" w14:textId="77777777" w:rsidR="00AB700D" w:rsidRPr="005D3E8F" w:rsidRDefault="00AB700D" w:rsidP="00AB700D">
            <w:pPr>
              <w:spacing w:line="240" w:lineRule="auto"/>
              <w:jc w:val="center"/>
              <w:rPr>
                <w:b/>
                <w:bCs/>
                <w:color w:val="000000"/>
              </w:rPr>
            </w:pPr>
            <w:r w:rsidRPr="005D3E8F">
              <w:rPr>
                <w:b/>
                <w:bCs/>
                <w:color w:val="000000"/>
              </w:rPr>
              <w:t>Profile 2</w:t>
            </w:r>
          </w:p>
          <w:p w14:paraId="32BC56BE" w14:textId="01F98BA1" w:rsidR="00AB700D" w:rsidRPr="00C003C6" w:rsidRDefault="00AB700D" w:rsidP="00AB700D">
            <w:pPr>
              <w:spacing w:line="240" w:lineRule="auto"/>
              <w:jc w:val="center"/>
              <w:rPr>
                <w:b/>
                <w:bCs/>
                <w:color w:val="000000"/>
              </w:rPr>
            </w:pPr>
            <w:r w:rsidRPr="005D3E8F">
              <w:rPr>
                <w:sz w:val="20"/>
                <w:szCs w:val="20"/>
              </w:rPr>
              <w:t>moderate NH and low SC</w:t>
            </w:r>
          </w:p>
        </w:tc>
        <w:tc>
          <w:tcPr>
            <w:tcW w:w="1157" w:type="dxa"/>
            <w:shd w:val="clear" w:color="auto" w:fill="auto"/>
            <w:vAlign w:val="center"/>
            <w:hideMark/>
          </w:tcPr>
          <w:p w14:paraId="6BDC2621" w14:textId="77777777" w:rsidR="00AB700D" w:rsidRPr="005D3E8F" w:rsidRDefault="00AB700D" w:rsidP="00AB700D">
            <w:pPr>
              <w:spacing w:line="240" w:lineRule="auto"/>
              <w:jc w:val="center"/>
              <w:rPr>
                <w:b/>
                <w:bCs/>
                <w:color w:val="000000"/>
              </w:rPr>
            </w:pPr>
            <w:r w:rsidRPr="005D3E8F">
              <w:rPr>
                <w:b/>
                <w:bCs/>
                <w:color w:val="000000"/>
              </w:rPr>
              <w:t>Profile 3</w:t>
            </w:r>
          </w:p>
          <w:p w14:paraId="7E588E50" w14:textId="77AFA07E" w:rsidR="00AB700D" w:rsidRPr="00C003C6" w:rsidRDefault="00AB700D" w:rsidP="00AB700D">
            <w:pPr>
              <w:spacing w:line="240" w:lineRule="auto"/>
              <w:jc w:val="center"/>
              <w:rPr>
                <w:b/>
                <w:bCs/>
                <w:color w:val="000000"/>
              </w:rPr>
            </w:pPr>
            <w:r w:rsidRPr="005D3E8F">
              <w:rPr>
                <w:sz w:val="20"/>
                <w:szCs w:val="20"/>
              </w:rPr>
              <w:t>strong NH and SC</w:t>
            </w:r>
          </w:p>
        </w:tc>
        <w:tc>
          <w:tcPr>
            <w:tcW w:w="1157" w:type="dxa"/>
            <w:shd w:val="clear" w:color="auto" w:fill="auto"/>
            <w:vAlign w:val="center"/>
            <w:hideMark/>
          </w:tcPr>
          <w:p w14:paraId="32ECA8AC" w14:textId="77777777" w:rsidR="00AB700D" w:rsidRPr="005D3E8F" w:rsidRDefault="00AB700D" w:rsidP="00AB700D">
            <w:pPr>
              <w:spacing w:line="240" w:lineRule="auto"/>
              <w:jc w:val="center"/>
              <w:rPr>
                <w:b/>
                <w:bCs/>
                <w:color w:val="000000"/>
              </w:rPr>
            </w:pPr>
            <w:r w:rsidRPr="005D3E8F">
              <w:rPr>
                <w:b/>
                <w:bCs/>
                <w:color w:val="000000"/>
              </w:rPr>
              <w:t>Profile 4</w:t>
            </w:r>
          </w:p>
          <w:p w14:paraId="2658845B" w14:textId="3C0F9EA9" w:rsidR="00AB700D" w:rsidRPr="00C003C6" w:rsidRDefault="00AB700D" w:rsidP="00AB700D">
            <w:pPr>
              <w:spacing w:line="240" w:lineRule="auto"/>
              <w:jc w:val="center"/>
              <w:rPr>
                <w:b/>
                <w:bCs/>
                <w:color w:val="000000"/>
              </w:rPr>
            </w:pPr>
            <w:r w:rsidRPr="005D3E8F">
              <w:rPr>
                <w:sz w:val="20"/>
                <w:szCs w:val="20"/>
              </w:rPr>
              <w:t>moderate-high NH and moderate SC</w:t>
            </w:r>
          </w:p>
        </w:tc>
        <w:tc>
          <w:tcPr>
            <w:tcW w:w="1157" w:type="dxa"/>
            <w:shd w:val="clear" w:color="auto" w:fill="auto"/>
            <w:vAlign w:val="center"/>
            <w:hideMark/>
          </w:tcPr>
          <w:p w14:paraId="30D6A126" w14:textId="77777777" w:rsidR="00AB700D" w:rsidRPr="005D3E8F" w:rsidRDefault="00AB700D" w:rsidP="00AB700D">
            <w:pPr>
              <w:spacing w:line="240" w:lineRule="auto"/>
              <w:jc w:val="center"/>
              <w:rPr>
                <w:b/>
                <w:bCs/>
                <w:color w:val="000000"/>
              </w:rPr>
            </w:pPr>
            <w:r w:rsidRPr="005D3E8F">
              <w:rPr>
                <w:b/>
                <w:bCs/>
                <w:color w:val="000000"/>
              </w:rPr>
              <w:t>Profile 5</w:t>
            </w:r>
          </w:p>
          <w:p w14:paraId="2CDA631D" w14:textId="34F0F311" w:rsidR="00AB700D" w:rsidRPr="00C003C6" w:rsidRDefault="00AB700D" w:rsidP="00AB700D">
            <w:pPr>
              <w:spacing w:line="240" w:lineRule="auto"/>
              <w:jc w:val="center"/>
              <w:rPr>
                <w:b/>
                <w:bCs/>
                <w:color w:val="000000"/>
              </w:rPr>
            </w:pPr>
            <w:r w:rsidRPr="005D3E8F">
              <w:rPr>
                <w:sz w:val="20"/>
                <w:szCs w:val="20"/>
              </w:rPr>
              <w:t>exceptionally high NH and SC</w:t>
            </w:r>
          </w:p>
        </w:tc>
      </w:tr>
      <w:tr w:rsidR="0077438F" w:rsidRPr="00C003C6" w14:paraId="666B7E0D" w14:textId="77777777" w:rsidTr="00ED43D6">
        <w:trPr>
          <w:trHeight w:val="337"/>
        </w:trPr>
        <w:tc>
          <w:tcPr>
            <w:tcW w:w="2748" w:type="dxa"/>
            <w:shd w:val="clear" w:color="auto" w:fill="auto"/>
            <w:vAlign w:val="center"/>
          </w:tcPr>
          <w:p w14:paraId="49AEE394" w14:textId="3FF32DFF" w:rsidR="0077438F" w:rsidRPr="00C003C6" w:rsidRDefault="0077438F" w:rsidP="0077438F">
            <w:pPr>
              <w:spacing w:line="240" w:lineRule="auto"/>
              <w:jc w:val="center"/>
              <w:rPr>
                <w:b/>
                <w:bCs/>
                <w:color w:val="000000"/>
              </w:rPr>
            </w:pPr>
            <w:r w:rsidRPr="0077438F">
              <w:rPr>
                <w:b/>
                <w:bCs/>
                <w:color w:val="000000"/>
              </w:rPr>
              <w:t>Not important</w:t>
            </w:r>
          </w:p>
        </w:tc>
        <w:tc>
          <w:tcPr>
            <w:tcW w:w="1156" w:type="dxa"/>
            <w:shd w:val="clear" w:color="auto" w:fill="auto"/>
            <w:vAlign w:val="center"/>
          </w:tcPr>
          <w:p w14:paraId="555D7AC8" w14:textId="626CBC67" w:rsidR="0077438F" w:rsidRPr="00C003C6" w:rsidRDefault="0077438F" w:rsidP="0077438F">
            <w:pPr>
              <w:spacing w:line="240" w:lineRule="auto"/>
              <w:jc w:val="center"/>
              <w:rPr>
                <w:color w:val="000000"/>
              </w:rPr>
            </w:pPr>
            <w:r w:rsidRPr="0077438F">
              <w:rPr>
                <w:color w:val="000000"/>
              </w:rPr>
              <w:t>2%</w:t>
            </w:r>
          </w:p>
        </w:tc>
        <w:tc>
          <w:tcPr>
            <w:tcW w:w="1157" w:type="dxa"/>
            <w:shd w:val="clear" w:color="auto" w:fill="auto"/>
            <w:vAlign w:val="center"/>
          </w:tcPr>
          <w:p w14:paraId="7E3C3893" w14:textId="7E389EC7" w:rsidR="0077438F" w:rsidRPr="00C003C6" w:rsidRDefault="0077438F" w:rsidP="0077438F">
            <w:pPr>
              <w:spacing w:line="240" w:lineRule="auto"/>
              <w:jc w:val="center"/>
              <w:rPr>
                <w:color w:val="000000"/>
              </w:rPr>
            </w:pPr>
            <w:r w:rsidRPr="0077438F">
              <w:rPr>
                <w:color w:val="000000"/>
              </w:rPr>
              <w:t>1%</w:t>
            </w:r>
          </w:p>
        </w:tc>
        <w:tc>
          <w:tcPr>
            <w:tcW w:w="1157" w:type="dxa"/>
            <w:shd w:val="clear" w:color="auto" w:fill="auto"/>
            <w:vAlign w:val="center"/>
          </w:tcPr>
          <w:p w14:paraId="67534B26" w14:textId="1B8D191A" w:rsidR="0077438F" w:rsidRPr="00C003C6" w:rsidRDefault="0077438F" w:rsidP="0077438F">
            <w:pPr>
              <w:spacing w:line="240" w:lineRule="auto"/>
              <w:jc w:val="center"/>
              <w:rPr>
                <w:color w:val="000000"/>
              </w:rPr>
            </w:pPr>
            <w:r w:rsidRPr="0077438F">
              <w:rPr>
                <w:color w:val="000000"/>
              </w:rPr>
              <w:t>0%</w:t>
            </w:r>
          </w:p>
        </w:tc>
        <w:tc>
          <w:tcPr>
            <w:tcW w:w="1157" w:type="dxa"/>
            <w:shd w:val="clear" w:color="auto" w:fill="auto"/>
            <w:vAlign w:val="center"/>
          </w:tcPr>
          <w:p w14:paraId="0176D271" w14:textId="5BC59FBD" w:rsidR="0077438F" w:rsidRPr="00C003C6" w:rsidRDefault="0077438F" w:rsidP="0077438F">
            <w:pPr>
              <w:spacing w:line="240" w:lineRule="auto"/>
              <w:jc w:val="center"/>
              <w:rPr>
                <w:color w:val="000000"/>
              </w:rPr>
            </w:pPr>
            <w:r w:rsidRPr="0077438F">
              <w:rPr>
                <w:color w:val="000000"/>
              </w:rPr>
              <w:t>1%</w:t>
            </w:r>
          </w:p>
        </w:tc>
        <w:tc>
          <w:tcPr>
            <w:tcW w:w="1157" w:type="dxa"/>
            <w:shd w:val="clear" w:color="auto" w:fill="auto"/>
            <w:vAlign w:val="center"/>
          </w:tcPr>
          <w:p w14:paraId="4673E02A" w14:textId="2FB5FECC" w:rsidR="0077438F" w:rsidRPr="00C003C6" w:rsidRDefault="0077438F" w:rsidP="0077438F">
            <w:pPr>
              <w:spacing w:line="240" w:lineRule="auto"/>
              <w:jc w:val="center"/>
              <w:rPr>
                <w:color w:val="000000"/>
              </w:rPr>
            </w:pPr>
            <w:r w:rsidRPr="0077438F">
              <w:rPr>
                <w:color w:val="000000"/>
              </w:rPr>
              <w:t>1%</w:t>
            </w:r>
          </w:p>
        </w:tc>
      </w:tr>
      <w:tr w:rsidR="0077438F" w:rsidRPr="00C003C6" w14:paraId="7F467884" w14:textId="77777777" w:rsidTr="00ED43D6">
        <w:trPr>
          <w:trHeight w:val="337"/>
        </w:trPr>
        <w:tc>
          <w:tcPr>
            <w:tcW w:w="2748" w:type="dxa"/>
            <w:shd w:val="clear" w:color="auto" w:fill="auto"/>
            <w:vAlign w:val="center"/>
          </w:tcPr>
          <w:p w14:paraId="44CFB960" w14:textId="3D49CB39" w:rsidR="0077438F" w:rsidRPr="00C003C6" w:rsidRDefault="0077438F" w:rsidP="0077438F">
            <w:pPr>
              <w:spacing w:line="240" w:lineRule="auto"/>
              <w:jc w:val="center"/>
              <w:rPr>
                <w:b/>
                <w:bCs/>
                <w:color w:val="000000"/>
              </w:rPr>
            </w:pPr>
            <w:r w:rsidRPr="0077438F">
              <w:rPr>
                <w:b/>
                <w:bCs/>
                <w:color w:val="000000"/>
              </w:rPr>
              <w:t>Somewhat important</w:t>
            </w:r>
          </w:p>
        </w:tc>
        <w:tc>
          <w:tcPr>
            <w:tcW w:w="1156" w:type="dxa"/>
            <w:shd w:val="clear" w:color="auto" w:fill="auto"/>
            <w:vAlign w:val="center"/>
          </w:tcPr>
          <w:p w14:paraId="70076CFE" w14:textId="2A6F677C" w:rsidR="0077438F" w:rsidRPr="00C003C6" w:rsidRDefault="0077438F" w:rsidP="0077438F">
            <w:pPr>
              <w:spacing w:line="240" w:lineRule="auto"/>
              <w:jc w:val="center"/>
              <w:rPr>
                <w:color w:val="000000"/>
              </w:rPr>
            </w:pPr>
            <w:r w:rsidRPr="0077438F">
              <w:rPr>
                <w:color w:val="000000"/>
              </w:rPr>
              <w:t>4%</w:t>
            </w:r>
          </w:p>
        </w:tc>
        <w:tc>
          <w:tcPr>
            <w:tcW w:w="1157" w:type="dxa"/>
            <w:shd w:val="clear" w:color="auto" w:fill="auto"/>
            <w:vAlign w:val="center"/>
          </w:tcPr>
          <w:p w14:paraId="67ED334C" w14:textId="089634F8" w:rsidR="0077438F" w:rsidRPr="00C003C6" w:rsidRDefault="0077438F" w:rsidP="0077438F">
            <w:pPr>
              <w:spacing w:line="240" w:lineRule="auto"/>
              <w:jc w:val="center"/>
              <w:rPr>
                <w:color w:val="000000"/>
              </w:rPr>
            </w:pPr>
            <w:r w:rsidRPr="0077438F">
              <w:rPr>
                <w:color w:val="000000"/>
              </w:rPr>
              <w:t>3%</w:t>
            </w:r>
          </w:p>
        </w:tc>
        <w:tc>
          <w:tcPr>
            <w:tcW w:w="1157" w:type="dxa"/>
            <w:shd w:val="clear" w:color="auto" w:fill="auto"/>
            <w:vAlign w:val="center"/>
          </w:tcPr>
          <w:p w14:paraId="11D5E186" w14:textId="5241059F" w:rsidR="0077438F" w:rsidRPr="00C003C6" w:rsidRDefault="0077438F" w:rsidP="0077438F">
            <w:pPr>
              <w:spacing w:line="240" w:lineRule="auto"/>
              <w:jc w:val="center"/>
              <w:rPr>
                <w:color w:val="000000"/>
              </w:rPr>
            </w:pPr>
            <w:r w:rsidRPr="0077438F">
              <w:rPr>
                <w:color w:val="000000"/>
              </w:rPr>
              <w:t>2%</w:t>
            </w:r>
          </w:p>
        </w:tc>
        <w:tc>
          <w:tcPr>
            <w:tcW w:w="1157" w:type="dxa"/>
            <w:shd w:val="clear" w:color="auto" w:fill="auto"/>
            <w:vAlign w:val="center"/>
          </w:tcPr>
          <w:p w14:paraId="55398F45" w14:textId="3D638345" w:rsidR="0077438F" w:rsidRPr="00C003C6" w:rsidRDefault="0077438F" w:rsidP="0077438F">
            <w:pPr>
              <w:spacing w:line="240" w:lineRule="auto"/>
              <w:jc w:val="center"/>
              <w:rPr>
                <w:color w:val="000000"/>
              </w:rPr>
            </w:pPr>
            <w:r w:rsidRPr="0077438F">
              <w:rPr>
                <w:color w:val="000000"/>
              </w:rPr>
              <w:t>2%</w:t>
            </w:r>
          </w:p>
        </w:tc>
        <w:tc>
          <w:tcPr>
            <w:tcW w:w="1157" w:type="dxa"/>
            <w:shd w:val="clear" w:color="auto" w:fill="auto"/>
            <w:vAlign w:val="center"/>
          </w:tcPr>
          <w:p w14:paraId="1C3A2FBF" w14:textId="488CC3DF" w:rsidR="0077438F" w:rsidRPr="00C003C6" w:rsidRDefault="0077438F" w:rsidP="0077438F">
            <w:pPr>
              <w:spacing w:line="240" w:lineRule="auto"/>
              <w:jc w:val="center"/>
              <w:rPr>
                <w:color w:val="000000"/>
              </w:rPr>
            </w:pPr>
            <w:r w:rsidRPr="0077438F">
              <w:rPr>
                <w:color w:val="000000"/>
              </w:rPr>
              <w:t>2%</w:t>
            </w:r>
          </w:p>
        </w:tc>
      </w:tr>
      <w:tr w:rsidR="0077438F" w:rsidRPr="00C003C6" w14:paraId="224B304C" w14:textId="77777777" w:rsidTr="00ED43D6">
        <w:trPr>
          <w:trHeight w:val="337"/>
        </w:trPr>
        <w:tc>
          <w:tcPr>
            <w:tcW w:w="2748" w:type="dxa"/>
            <w:shd w:val="clear" w:color="auto" w:fill="auto"/>
            <w:vAlign w:val="center"/>
          </w:tcPr>
          <w:p w14:paraId="4D8A60C1" w14:textId="3884CC63" w:rsidR="0077438F" w:rsidRPr="00C003C6" w:rsidRDefault="0077438F" w:rsidP="0077438F">
            <w:pPr>
              <w:spacing w:line="240" w:lineRule="auto"/>
              <w:jc w:val="center"/>
              <w:rPr>
                <w:b/>
                <w:bCs/>
                <w:color w:val="000000"/>
              </w:rPr>
            </w:pPr>
            <w:r w:rsidRPr="0077438F">
              <w:rPr>
                <w:b/>
                <w:bCs/>
                <w:color w:val="000000"/>
              </w:rPr>
              <w:t>Neither important or unimportant</w:t>
            </w:r>
          </w:p>
        </w:tc>
        <w:tc>
          <w:tcPr>
            <w:tcW w:w="1156" w:type="dxa"/>
            <w:shd w:val="clear" w:color="auto" w:fill="auto"/>
            <w:vAlign w:val="center"/>
          </w:tcPr>
          <w:p w14:paraId="50AEAF3E" w14:textId="2BBBD60C" w:rsidR="0077438F" w:rsidRPr="00C003C6" w:rsidRDefault="0077438F" w:rsidP="0077438F">
            <w:pPr>
              <w:spacing w:line="240" w:lineRule="auto"/>
              <w:jc w:val="center"/>
              <w:rPr>
                <w:color w:val="000000"/>
              </w:rPr>
            </w:pPr>
            <w:r w:rsidRPr="0077438F">
              <w:rPr>
                <w:color w:val="000000"/>
              </w:rPr>
              <w:t>22%</w:t>
            </w:r>
          </w:p>
        </w:tc>
        <w:tc>
          <w:tcPr>
            <w:tcW w:w="1157" w:type="dxa"/>
            <w:shd w:val="clear" w:color="auto" w:fill="auto"/>
            <w:vAlign w:val="center"/>
          </w:tcPr>
          <w:p w14:paraId="5885C346" w14:textId="4983CA33" w:rsidR="0077438F" w:rsidRPr="00C003C6" w:rsidRDefault="0077438F" w:rsidP="0077438F">
            <w:pPr>
              <w:spacing w:line="240" w:lineRule="auto"/>
              <w:jc w:val="center"/>
              <w:rPr>
                <w:color w:val="000000"/>
              </w:rPr>
            </w:pPr>
            <w:r w:rsidRPr="0077438F">
              <w:rPr>
                <w:color w:val="000000"/>
              </w:rPr>
              <w:t>12%</w:t>
            </w:r>
          </w:p>
        </w:tc>
        <w:tc>
          <w:tcPr>
            <w:tcW w:w="1157" w:type="dxa"/>
            <w:shd w:val="clear" w:color="auto" w:fill="auto"/>
            <w:vAlign w:val="center"/>
          </w:tcPr>
          <w:p w14:paraId="1EA147E6" w14:textId="36CB0899" w:rsidR="0077438F" w:rsidRPr="00C003C6" w:rsidRDefault="0077438F" w:rsidP="0077438F">
            <w:pPr>
              <w:spacing w:line="240" w:lineRule="auto"/>
              <w:jc w:val="center"/>
              <w:rPr>
                <w:color w:val="000000"/>
              </w:rPr>
            </w:pPr>
            <w:r w:rsidRPr="0077438F">
              <w:rPr>
                <w:color w:val="000000"/>
              </w:rPr>
              <w:t>7%</w:t>
            </w:r>
          </w:p>
        </w:tc>
        <w:tc>
          <w:tcPr>
            <w:tcW w:w="1157" w:type="dxa"/>
            <w:shd w:val="clear" w:color="auto" w:fill="auto"/>
            <w:vAlign w:val="center"/>
          </w:tcPr>
          <w:p w14:paraId="2C4FF283" w14:textId="26DB2C39" w:rsidR="0077438F" w:rsidRPr="00C003C6" w:rsidRDefault="0077438F" w:rsidP="0077438F">
            <w:pPr>
              <w:spacing w:line="240" w:lineRule="auto"/>
              <w:jc w:val="center"/>
              <w:rPr>
                <w:color w:val="000000"/>
              </w:rPr>
            </w:pPr>
            <w:r w:rsidRPr="0077438F">
              <w:rPr>
                <w:color w:val="000000"/>
              </w:rPr>
              <w:t>10%</w:t>
            </w:r>
          </w:p>
        </w:tc>
        <w:tc>
          <w:tcPr>
            <w:tcW w:w="1157" w:type="dxa"/>
            <w:shd w:val="clear" w:color="auto" w:fill="auto"/>
            <w:vAlign w:val="center"/>
          </w:tcPr>
          <w:p w14:paraId="121748A9" w14:textId="3F9F2297" w:rsidR="0077438F" w:rsidRPr="00C003C6" w:rsidRDefault="0077438F" w:rsidP="0077438F">
            <w:pPr>
              <w:spacing w:line="240" w:lineRule="auto"/>
              <w:jc w:val="center"/>
              <w:rPr>
                <w:color w:val="000000"/>
              </w:rPr>
            </w:pPr>
            <w:r w:rsidRPr="0077438F">
              <w:rPr>
                <w:color w:val="000000"/>
              </w:rPr>
              <w:t>4%</w:t>
            </w:r>
          </w:p>
        </w:tc>
      </w:tr>
      <w:tr w:rsidR="0077438F" w:rsidRPr="00C003C6" w14:paraId="163BAC3E" w14:textId="77777777" w:rsidTr="00ED43D6">
        <w:trPr>
          <w:trHeight w:val="337"/>
        </w:trPr>
        <w:tc>
          <w:tcPr>
            <w:tcW w:w="2748" w:type="dxa"/>
            <w:shd w:val="clear" w:color="auto" w:fill="auto"/>
            <w:vAlign w:val="center"/>
          </w:tcPr>
          <w:p w14:paraId="3988903A" w14:textId="08918995" w:rsidR="0077438F" w:rsidRPr="00C003C6" w:rsidRDefault="0077438F" w:rsidP="0077438F">
            <w:pPr>
              <w:spacing w:line="240" w:lineRule="auto"/>
              <w:jc w:val="center"/>
              <w:rPr>
                <w:b/>
                <w:bCs/>
                <w:color w:val="000000"/>
              </w:rPr>
            </w:pPr>
            <w:r w:rsidRPr="0077438F">
              <w:rPr>
                <w:b/>
                <w:bCs/>
                <w:color w:val="000000"/>
              </w:rPr>
              <w:t>Important</w:t>
            </w:r>
          </w:p>
        </w:tc>
        <w:tc>
          <w:tcPr>
            <w:tcW w:w="1156" w:type="dxa"/>
            <w:shd w:val="clear" w:color="auto" w:fill="auto"/>
            <w:vAlign w:val="center"/>
          </w:tcPr>
          <w:p w14:paraId="4711D8E3" w14:textId="0D56E7BA" w:rsidR="0077438F" w:rsidRPr="00C003C6" w:rsidRDefault="0077438F" w:rsidP="0077438F">
            <w:pPr>
              <w:spacing w:line="240" w:lineRule="auto"/>
              <w:jc w:val="center"/>
              <w:rPr>
                <w:color w:val="000000"/>
              </w:rPr>
            </w:pPr>
            <w:r w:rsidRPr="0077438F">
              <w:rPr>
                <w:color w:val="000000"/>
              </w:rPr>
              <w:t>46%</w:t>
            </w:r>
          </w:p>
        </w:tc>
        <w:tc>
          <w:tcPr>
            <w:tcW w:w="1157" w:type="dxa"/>
            <w:shd w:val="clear" w:color="auto" w:fill="auto"/>
            <w:vAlign w:val="center"/>
          </w:tcPr>
          <w:p w14:paraId="12BA51D0" w14:textId="7816F308" w:rsidR="0077438F" w:rsidRPr="00C003C6" w:rsidRDefault="0077438F" w:rsidP="0077438F">
            <w:pPr>
              <w:spacing w:line="240" w:lineRule="auto"/>
              <w:jc w:val="center"/>
              <w:rPr>
                <w:color w:val="000000"/>
              </w:rPr>
            </w:pPr>
            <w:r w:rsidRPr="0077438F">
              <w:rPr>
                <w:color w:val="000000"/>
              </w:rPr>
              <w:t>51%</w:t>
            </w:r>
          </w:p>
        </w:tc>
        <w:tc>
          <w:tcPr>
            <w:tcW w:w="1157" w:type="dxa"/>
            <w:shd w:val="clear" w:color="auto" w:fill="auto"/>
            <w:vAlign w:val="center"/>
          </w:tcPr>
          <w:p w14:paraId="10E147C5" w14:textId="100CBA64" w:rsidR="0077438F" w:rsidRPr="00C003C6" w:rsidRDefault="0077438F" w:rsidP="0077438F">
            <w:pPr>
              <w:spacing w:line="240" w:lineRule="auto"/>
              <w:jc w:val="center"/>
              <w:rPr>
                <w:color w:val="000000"/>
              </w:rPr>
            </w:pPr>
            <w:r w:rsidRPr="0077438F">
              <w:rPr>
                <w:color w:val="000000"/>
              </w:rPr>
              <w:t>47%</w:t>
            </w:r>
          </w:p>
        </w:tc>
        <w:tc>
          <w:tcPr>
            <w:tcW w:w="1157" w:type="dxa"/>
            <w:shd w:val="clear" w:color="auto" w:fill="auto"/>
            <w:vAlign w:val="center"/>
          </w:tcPr>
          <w:p w14:paraId="2D8B14AD" w14:textId="582D8EDB" w:rsidR="0077438F" w:rsidRPr="00C003C6" w:rsidRDefault="0077438F" w:rsidP="0077438F">
            <w:pPr>
              <w:spacing w:line="240" w:lineRule="auto"/>
              <w:jc w:val="center"/>
              <w:rPr>
                <w:color w:val="000000"/>
              </w:rPr>
            </w:pPr>
            <w:r w:rsidRPr="0077438F">
              <w:rPr>
                <w:color w:val="000000"/>
              </w:rPr>
              <w:t>48%</w:t>
            </w:r>
          </w:p>
        </w:tc>
        <w:tc>
          <w:tcPr>
            <w:tcW w:w="1157" w:type="dxa"/>
            <w:shd w:val="clear" w:color="auto" w:fill="auto"/>
            <w:vAlign w:val="center"/>
          </w:tcPr>
          <w:p w14:paraId="4BA50EF5" w14:textId="14BAB4AF" w:rsidR="0077438F" w:rsidRPr="00C003C6" w:rsidRDefault="0077438F" w:rsidP="0077438F">
            <w:pPr>
              <w:spacing w:line="240" w:lineRule="auto"/>
              <w:jc w:val="center"/>
              <w:rPr>
                <w:color w:val="000000"/>
              </w:rPr>
            </w:pPr>
            <w:r w:rsidRPr="0077438F">
              <w:rPr>
                <w:color w:val="000000"/>
              </w:rPr>
              <w:t>37%</w:t>
            </w:r>
          </w:p>
        </w:tc>
      </w:tr>
      <w:tr w:rsidR="0077438F" w:rsidRPr="00C003C6" w14:paraId="2400917B" w14:textId="77777777" w:rsidTr="00ED43D6">
        <w:trPr>
          <w:trHeight w:val="337"/>
        </w:trPr>
        <w:tc>
          <w:tcPr>
            <w:tcW w:w="2748" w:type="dxa"/>
            <w:shd w:val="clear" w:color="auto" w:fill="auto"/>
            <w:vAlign w:val="center"/>
          </w:tcPr>
          <w:p w14:paraId="0A4B74D5" w14:textId="2827198B" w:rsidR="0077438F" w:rsidRPr="00C003C6" w:rsidRDefault="0077438F" w:rsidP="0077438F">
            <w:pPr>
              <w:spacing w:line="240" w:lineRule="auto"/>
              <w:jc w:val="center"/>
              <w:rPr>
                <w:b/>
                <w:bCs/>
                <w:color w:val="000000"/>
              </w:rPr>
            </w:pPr>
            <w:r w:rsidRPr="0077438F">
              <w:rPr>
                <w:b/>
                <w:bCs/>
                <w:color w:val="000000"/>
              </w:rPr>
              <w:t>Very important</w:t>
            </w:r>
          </w:p>
        </w:tc>
        <w:tc>
          <w:tcPr>
            <w:tcW w:w="1156" w:type="dxa"/>
            <w:shd w:val="clear" w:color="auto" w:fill="auto"/>
            <w:vAlign w:val="center"/>
          </w:tcPr>
          <w:p w14:paraId="0BCDCC99" w14:textId="7FEA3C14" w:rsidR="0077438F" w:rsidRPr="00C003C6" w:rsidRDefault="0077438F" w:rsidP="0077438F">
            <w:pPr>
              <w:spacing w:line="240" w:lineRule="auto"/>
              <w:jc w:val="center"/>
              <w:rPr>
                <w:color w:val="000000"/>
              </w:rPr>
            </w:pPr>
            <w:r w:rsidRPr="0077438F">
              <w:rPr>
                <w:color w:val="000000"/>
              </w:rPr>
              <w:t>26%</w:t>
            </w:r>
          </w:p>
        </w:tc>
        <w:tc>
          <w:tcPr>
            <w:tcW w:w="1157" w:type="dxa"/>
            <w:shd w:val="clear" w:color="auto" w:fill="auto"/>
            <w:vAlign w:val="center"/>
          </w:tcPr>
          <w:p w14:paraId="712ECC6A" w14:textId="6DA4F2E1" w:rsidR="0077438F" w:rsidRPr="00C003C6" w:rsidRDefault="0077438F" w:rsidP="0077438F">
            <w:pPr>
              <w:spacing w:line="240" w:lineRule="auto"/>
              <w:jc w:val="center"/>
              <w:rPr>
                <w:color w:val="000000"/>
              </w:rPr>
            </w:pPr>
            <w:r w:rsidRPr="0077438F">
              <w:rPr>
                <w:color w:val="000000"/>
              </w:rPr>
              <w:t>33%</w:t>
            </w:r>
          </w:p>
        </w:tc>
        <w:tc>
          <w:tcPr>
            <w:tcW w:w="1157" w:type="dxa"/>
            <w:shd w:val="clear" w:color="auto" w:fill="auto"/>
            <w:vAlign w:val="center"/>
          </w:tcPr>
          <w:p w14:paraId="2B64FF9C" w14:textId="50CB0269" w:rsidR="0077438F" w:rsidRPr="00C003C6" w:rsidRDefault="0077438F" w:rsidP="0077438F">
            <w:pPr>
              <w:spacing w:line="240" w:lineRule="auto"/>
              <w:jc w:val="center"/>
              <w:rPr>
                <w:color w:val="000000"/>
              </w:rPr>
            </w:pPr>
            <w:r w:rsidRPr="0077438F">
              <w:rPr>
                <w:color w:val="000000"/>
              </w:rPr>
              <w:t>43%</w:t>
            </w:r>
          </w:p>
        </w:tc>
        <w:tc>
          <w:tcPr>
            <w:tcW w:w="1157" w:type="dxa"/>
            <w:shd w:val="clear" w:color="auto" w:fill="auto"/>
            <w:vAlign w:val="center"/>
          </w:tcPr>
          <w:p w14:paraId="5CAEDC50" w14:textId="00914839" w:rsidR="0077438F" w:rsidRPr="00C003C6" w:rsidRDefault="0077438F" w:rsidP="0077438F">
            <w:pPr>
              <w:spacing w:line="240" w:lineRule="auto"/>
              <w:jc w:val="center"/>
              <w:rPr>
                <w:color w:val="000000"/>
              </w:rPr>
            </w:pPr>
            <w:r w:rsidRPr="0077438F">
              <w:rPr>
                <w:color w:val="000000"/>
              </w:rPr>
              <w:t>39%</w:t>
            </w:r>
          </w:p>
        </w:tc>
        <w:tc>
          <w:tcPr>
            <w:tcW w:w="1157" w:type="dxa"/>
            <w:shd w:val="clear" w:color="auto" w:fill="auto"/>
            <w:vAlign w:val="center"/>
          </w:tcPr>
          <w:p w14:paraId="3B46BE55" w14:textId="0527AB87" w:rsidR="0077438F" w:rsidRPr="00C003C6" w:rsidRDefault="0077438F" w:rsidP="0077438F">
            <w:pPr>
              <w:spacing w:line="240" w:lineRule="auto"/>
              <w:jc w:val="center"/>
              <w:rPr>
                <w:color w:val="000000"/>
              </w:rPr>
            </w:pPr>
            <w:r w:rsidRPr="0077438F">
              <w:rPr>
                <w:color w:val="000000"/>
              </w:rPr>
              <w:t>55%</w:t>
            </w:r>
          </w:p>
        </w:tc>
      </w:tr>
      <w:tr w:rsidR="0077438F" w:rsidRPr="00C003C6" w14:paraId="5DC31E83" w14:textId="77777777" w:rsidTr="00ED43D6">
        <w:trPr>
          <w:trHeight w:val="327"/>
        </w:trPr>
        <w:tc>
          <w:tcPr>
            <w:tcW w:w="2748" w:type="dxa"/>
            <w:shd w:val="clear" w:color="auto" w:fill="auto"/>
            <w:vAlign w:val="center"/>
            <w:hideMark/>
          </w:tcPr>
          <w:p w14:paraId="44D9E3EA" w14:textId="77777777" w:rsidR="0077438F" w:rsidRPr="00C003C6" w:rsidRDefault="0077438F" w:rsidP="00DF0CBF">
            <w:pPr>
              <w:spacing w:line="240" w:lineRule="auto"/>
              <w:jc w:val="center"/>
              <w:rPr>
                <w:b/>
                <w:bCs/>
                <w:color w:val="000000"/>
              </w:rPr>
            </w:pPr>
            <w:r w:rsidRPr="00C003C6">
              <w:rPr>
                <w:b/>
                <w:bCs/>
                <w:color w:val="000000"/>
              </w:rPr>
              <w:t>Total</w:t>
            </w:r>
          </w:p>
        </w:tc>
        <w:tc>
          <w:tcPr>
            <w:tcW w:w="1156" w:type="dxa"/>
            <w:shd w:val="clear" w:color="auto" w:fill="auto"/>
            <w:vAlign w:val="center"/>
            <w:hideMark/>
          </w:tcPr>
          <w:p w14:paraId="760965BD" w14:textId="77777777" w:rsidR="0077438F" w:rsidRPr="00C003C6" w:rsidRDefault="0077438F" w:rsidP="00DF0CBF">
            <w:pPr>
              <w:spacing w:line="240" w:lineRule="auto"/>
              <w:jc w:val="center"/>
              <w:rPr>
                <w:color w:val="000000"/>
              </w:rPr>
            </w:pPr>
            <w:r w:rsidRPr="00C003C6">
              <w:rPr>
                <w:color w:val="000000"/>
              </w:rPr>
              <w:t>100%</w:t>
            </w:r>
          </w:p>
        </w:tc>
        <w:tc>
          <w:tcPr>
            <w:tcW w:w="1157" w:type="dxa"/>
            <w:shd w:val="clear" w:color="auto" w:fill="auto"/>
            <w:vAlign w:val="center"/>
            <w:hideMark/>
          </w:tcPr>
          <w:p w14:paraId="61910CC7" w14:textId="77777777" w:rsidR="0077438F" w:rsidRPr="00C003C6" w:rsidRDefault="0077438F" w:rsidP="00DF0CBF">
            <w:pPr>
              <w:spacing w:line="240" w:lineRule="auto"/>
              <w:jc w:val="center"/>
              <w:rPr>
                <w:color w:val="000000"/>
              </w:rPr>
            </w:pPr>
            <w:r w:rsidRPr="00C003C6">
              <w:rPr>
                <w:color w:val="000000"/>
              </w:rPr>
              <w:t>100%</w:t>
            </w:r>
          </w:p>
        </w:tc>
        <w:tc>
          <w:tcPr>
            <w:tcW w:w="1157" w:type="dxa"/>
            <w:shd w:val="clear" w:color="auto" w:fill="auto"/>
            <w:vAlign w:val="center"/>
            <w:hideMark/>
          </w:tcPr>
          <w:p w14:paraId="14A417B8" w14:textId="77777777" w:rsidR="0077438F" w:rsidRPr="00C003C6" w:rsidRDefault="0077438F" w:rsidP="00DF0CBF">
            <w:pPr>
              <w:spacing w:line="240" w:lineRule="auto"/>
              <w:jc w:val="center"/>
              <w:rPr>
                <w:color w:val="000000"/>
              </w:rPr>
            </w:pPr>
            <w:r w:rsidRPr="00C003C6">
              <w:rPr>
                <w:color w:val="000000"/>
              </w:rPr>
              <w:t>100%</w:t>
            </w:r>
          </w:p>
        </w:tc>
        <w:tc>
          <w:tcPr>
            <w:tcW w:w="1157" w:type="dxa"/>
            <w:shd w:val="clear" w:color="auto" w:fill="auto"/>
            <w:vAlign w:val="center"/>
            <w:hideMark/>
          </w:tcPr>
          <w:p w14:paraId="762EB71F" w14:textId="77777777" w:rsidR="0077438F" w:rsidRPr="00C003C6" w:rsidRDefault="0077438F" w:rsidP="00DF0CBF">
            <w:pPr>
              <w:spacing w:line="240" w:lineRule="auto"/>
              <w:jc w:val="center"/>
              <w:rPr>
                <w:color w:val="000000"/>
              </w:rPr>
            </w:pPr>
            <w:r w:rsidRPr="00C003C6">
              <w:rPr>
                <w:color w:val="000000"/>
              </w:rPr>
              <w:t>100%</w:t>
            </w:r>
          </w:p>
        </w:tc>
        <w:tc>
          <w:tcPr>
            <w:tcW w:w="1157" w:type="dxa"/>
            <w:shd w:val="clear" w:color="auto" w:fill="auto"/>
            <w:vAlign w:val="center"/>
            <w:hideMark/>
          </w:tcPr>
          <w:p w14:paraId="793412D3" w14:textId="77777777" w:rsidR="0077438F" w:rsidRPr="00C003C6" w:rsidRDefault="0077438F" w:rsidP="00DF0CBF">
            <w:pPr>
              <w:spacing w:line="240" w:lineRule="auto"/>
              <w:jc w:val="center"/>
              <w:rPr>
                <w:color w:val="000000"/>
              </w:rPr>
            </w:pPr>
            <w:r w:rsidRPr="00C003C6">
              <w:rPr>
                <w:color w:val="000000"/>
              </w:rPr>
              <w:t>100%</w:t>
            </w:r>
          </w:p>
        </w:tc>
      </w:tr>
    </w:tbl>
    <w:p w14:paraId="3FDD634D" w14:textId="7F8F533E" w:rsidR="0077438F" w:rsidRDefault="004E6F25" w:rsidP="0077438F">
      <w:pPr>
        <w:rPr>
          <w:lang w:eastAsia="zh-CN"/>
        </w:rPr>
      </w:pPr>
      <w:r>
        <w:rPr>
          <w:i/>
          <w:iCs/>
          <w:sz w:val="22"/>
          <w:szCs w:val="22"/>
        </w:rPr>
        <w:t>χ</w:t>
      </w:r>
      <w:r w:rsidR="0077438F">
        <w:rPr>
          <w:i/>
          <w:iCs/>
          <w:vertAlign w:val="superscript"/>
        </w:rPr>
        <w:t>2</w:t>
      </w:r>
      <w:r w:rsidR="0077438F">
        <w:rPr>
          <w:i/>
          <w:iCs/>
        </w:rPr>
        <w:t xml:space="preserve"> </w:t>
      </w:r>
      <w:r w:rsidR="0077438F">
        <w:t xml:space="preserve">= 194.34, </w:t>
      </w:r>
      <w:r w:rsidR="0077438F">
        <w:rPr>
          <w:i/>
          <w:iCs/>
        </w:rPr>
        <w:t xml:space="preserve">p </w:t>
      </w:r>
      <w:r w:rsidR="0077438F">
        <w:t xml:space="preserve">&lt; 0.001, </w:t>
      </w:r>
      <w:r w:rsidR="0077438F">
        <w:rPr>
          <w:i/>
          <w:iCs/>
        </w:rPr>
        <w:t xml:space="preserve">df </w:t>
      </w:r>
      <w:r w:rsidR="0077438F">
        <w:t>= 16</w:t>
      </w:r>
      <w:r>
        <w:rPr>
          <w:rFonts w:hint="eastAsia"/>
          <w:lang w:eastAsia="zh-CN"/>
        </w:rPr>
        <w:t xml:space="preserve">, </w:t>
      </w:r>
      <w:r w:rsidRPr="004E6F25">
        <w:rPr>
          <w:lang w:eastAsia="zh-CN"/>
        </w:rPr>
        <w:t>Cramér's V =   0.08</w:t>
      </w:r>
      <w:r>
        <w:rPr>
          <w:rFonts w:hint="eastAsia"/>
          <w:lang w:eastAsia="zh-CN"/>
        </w:rPr>
        <w:t>3</w:t>
      </w:r>
    </w:p>
    <w:p w14:paraId="4E5C9567" w14:textId="3879727A" w:rsidR="0077438F" w:rsidRPr="00AC18C2" w:rsidRDefault="0077438F" w:rsidP="0077438F">
      <w:pPr>
        <w:pStyle w:val="Tabletitle"/>
      </w:pPr>
      <w:r w:rsidRPr="00667A8B">
        <w:lastRenderedPageBreak/>
        <w:t xml:space="preserve">Table </w:t>
      </w:r>
      <w:r w:rsidR="520B51AC">
        <w:t>8</w:t>
      </w:r>
      <w:r>
        <w:t>: Social network characteristics – extent to which respondents believe the statement ‘there is evidence to suggest the Earth is actually flat, rather than round’ to be true.</w:t>
      </w: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6"/>
        <w:gridCol w:w="1157"/>
        <w:gridCol w:w="1157"/>
        <w:gridCol w:w="1157"/>
        <w:gridCol w:w="1157"/>
        <w:gridCol w:w="1158"/>
      </w:tblGrid>
      <w:tr w:rsidR="00AB700D" w:rsidRPr="00C003C6" w14:paraId="6E9F63D3" w14:textId="77777777" w:rsidTr="00ED43D6">
        <w:trPr>
          <w:trHeight w:val="643"/>
        </w:trPr>
        <w:tc>
          <w:tcPr>
            <w:tcW w:w="2746" w:type="dxa"/>
            <w:shd w:val="clear" w:color="auto" w:fill="auto"/>
            <w:vAlign w:val="center"/>
            <w:hideMark/>
          </w:tcPr>
          <w:p w14:paraId="7DDC9FF1" w14:textId="77777777" w:rsidR="00AB700D" w:rsidRPr="00C003C6" w:rsidRDefault="00AB700D" w:rsidP="00AB700D">
            <w:pPr>
              <w:spacing w:line="240" w:lineRule="auto"/>
              <w:jc w:val="center"/>
              <w:rPr>
                <w:color w:val="000000"/>
              </w:rPr>
            </w:pPr>
          </w:p>
        </w:tc>
        <w:tc>
          <w:tcPr>
            <w:tcW w:w="1157" w:type="dxa"/>
            <w:shd w:val="clear" w:color="auto" w:fill="auto"/>
            <w:vAlign w:val="center"/>
            <w:hideMark/>
          </w:tcPr>
          <w:p w14:paraId="2D4241F6" w14:textId="77777777" w:rsidR="00AB700D" w:rsidRPr="005D3E8F" w:rsidRDefault="00AB700D" w:rsidP="00AB700D">
            <w:pPr>
              <w:spacing w:line="240" w:lineRule="auto"/>
              <w:jc w:val="center"/>
              <w:rPr>
                <w:b/>
                <w:bCs/>
                <w:color w:val="000000"/>
              </w:rPr>
            </w:pPr>
            <w:r w:rsidRPr="005D3E8F">
              <w:rPr>
                <w:b/>
                <w:bCs/>
                <w:color w:val="000000"/>
              </w:rPr>
              <w:t>Profile 1</w:t>
            </w:r>
          </w:p>
          <w:p w14:paraId="13F0DCA3" w14:textId="61E957CD" w:rsidR="00AB700D" w:rsidRPr="00C003C6" w:rsidRDefault="00AB700D" w:rsidP="00AB700D">
            <w:pPr>
              <w:spacing w:line="240" w:lineRule="auto"/>
              <w:jc w:val="center"/>
              <w:rPr>
                <w:b/>
                <w:bCs/>
                <w:color w:val="000000"/>
              </w:rPr>
            </w:pPr>
            <w:r w:rsidRPr="005D3E8F">
              <w:rPr>
                <w:sz w:val="20"/>
                <w:szCs w:val="20"/>
              </w:rPr>
              <w:t>limited NH and SC</w:t>
            </w:r>
          </w:p>
        </w:tc>
        <w:tc>
          <w:tcPr>
            <w:tcW w:w="1157" w:type="dxa"/>
            <w:shd w:val="clear" w:color="auto" w:fill="auto"/>
            <w:vAlign w:val="center"/>
            <w:hideMark/>
          </w:tcPr>
          <w:p w14:paraId="02F1A63E" w14:textId="77777777" w:rsidR="00AB700D" w:rsidRPr="005D3E8F" w:rsidRDefault="00AB700D" w:rsidP="00AB700D">
            <w:pPr>
              <w:spacing w:line="240" w:lineRule="auto"/>
              <w:jc w:val="center"/>
              <w:rPr>
                <w:b/>
                <w:bCs/>
                <w:color w:val="000000"/>
              </w:rPr>
            </w:pPr>
            <w:r w:rsidRPr="005D3E8F">
              <w:rPr>
                <w:b/>
                <w:bCs/>
                <w:color w:val="000000"/>
              </w:rPr>
              <w:t>Profile 2</w:t>
            </w:r>
          </w:p>
          <w:p w14:paraId="1A4D04E7" w14:textId="0B83525F" w:rsidR="00AB700D" w:rsidRPr="00C003C6" w:rsidRDefault="00AB700D" w:rsidP="00AB700D">
            <w:pPr>
              <w:spacing w:line="240" w:lineRule="auto"/>
              <w:jc w:val="center"/>
              <w:rPr>
                <w:b/>
                <w:bCs/>
                <w:color w:val="000000"/>
              </w:rPr>
            </w:pPr>
            <w:r w:rsidRPr="005D3E8F">
              <w:rPr>
                <w:sz w:val="20"/>
                <w:szCs w:val="20"/>
              </w:rPr>
              <w:t>moderate NH and low SC</w:t>
            </w:r>
          </w:p>
        </w:tc>
        <w:tc>
          <w:tcPr>
            <w:tcW w:w="1157" w:type="dxa"/>
            <w:shd w:val="clear" w:color="auto" w:fill="auto"/>
            <w:vAlign w:val="center"/>
            <w:hideMark/>
          </w:tcPr>
          <w:p w14:paraId="20687893" w14:textId="77777777" w:rsidR="00AB700D" w:rsidRPr="005D3E8F" w:rsidRDefault="00AB700D" w:rsidP="00AB700D">
            <w:pPr>
              <w:spacing w:line="240" w:lineRule="auto"/>
              <w:jc w:val="center"/>
              <w:rPr>
                <w:b/>
                <w:bCs/>
                <w:color w:val="000000"/>
              </w:rPr>
            </w:pPr>
            <w:r w:rsidRPr="005D3E8F">
              <w:rPr>
                <w:b/>
                <w:bCs/>
                <w:color w:val="000000"/>
              </w:rPr>
              <w:t>Profile 3</w:t>
            </w:r>
          </w:p>
          <w:p w14:paraId="17C1C16D" w14:textId="62E6751E" w:rsidR="00AB700D" w:rsidRPr="00C003C6" w:rsidRDefault="00AB700D" w:rsidP="00AB700D">
            <w:pPr>
              <w:spacing w:line="240" w:lineRule="auto"/>
              <w:jc w:val="center"/>
              <w:rPr>
                <w:b/>
                <w:bCs/>
                <w:color w:val="000000"/>
              </w:rPr>
            </w:pPr>
            <w:r w:rsidRPr="005D3E8F">
              <w:rPr>
                <w:sz w:val="20"/>
                <w:szCs w:val="20"/>
              </w:rPr>
              <w:t>strong NH and SC</w:t>
            </w:r>
          </w:p>
        </w:tc>
        <w:tc>
          <w:tcPr>
            <w:tcW w:w="1157" w:type="dxa"/>
            <w:shd w:val="clear" w:color="auto" w:fill="auto"/>
            <w:vAlign w:val="center"/>
            <w:hideMark/>
          </w:tcPr>
          <w:p w14:paraId="1E6DC492" w14:textId="77777777" w:rsidR="00AB700D" w:rsidRPr="005D3E8F" w:rsidRDefault="00AB700D" w:rsidP="00AB700D">
            <w:pPr>
              <w:spacing w:line="240" w:lineRule="auto"/>
              <w:jc w:val="center"/>
              <w:rPr>
                <w:b/>
                <w:bCs/>
                <w:color w:val="000000"/>
              </w:rPr>
            </w:pPr>
            <w:r w:rsidRPr="005D3E8F">
              <w:rPr>
                <w:b/>
                <w:bCs/>
                <w:color w:val="000000"/>
              </w:rPr>
              <w:t>Profile 4</w:t>
            </w:r>
          </w:p>
          <w:p w14:paraId="7F262C37" w14:textId="741ACEA8" w:rsidR="00AB700D" w:rsidRPr="00C003C6" w:rsidRDefault="00AB700D" w:rsidP="00AB700D">
            <w:pPr>
              <w:spacing w:line="240" w:lineRule="auto"/>
              <w:jc w:val="center"/>
              <w:rPr>
                <w:b/>
                <w:bCs/>
                <w:color w:val="000000"/>
              </w:rPr>
            </w:pPr>
            <w:r w:rsidRPr="005D3E8F">
              <w:rPr>
                <w:sz w:val="20"/>
                <w:szCs w:val="20"/>
              </w:rPr>
              <w:t>moderate-high NH and moderate SC</w:t>
            </w:r>
          </w:p>
        </w:tc>
        <w:tc>
          <w:tcPr>
            <w:tcW w:w="1158" w:type="dxa"/>
            <w:shd w:val="clear" w:color="auto" w:fill="auto"/>
            <w:vAlign w:val="center"/>
            <w:hideMark/>
          </w:tcPr>
          <w:p w14:paraId="45EF5B8C" w14:textId="77777777" w:rsidR="00AB700D" w:rsidRPr="005D3E8F" w:rsidRDefault="00AB700D" w:rsidP="00AB700D">
            <w:pPr>
              <w:spacing w:line="240" w:lineRule="auto"/>
              <w:jc w:val="center"/>
              <w:rPr>
                <w:b/>
                <w:bCs/>
                <w:color w:val="000000"/>
              </w:rPr>
            </w:pPr>
            <w:r w:rsidRPr="005D3E8F">
              <w:rPr>
                <w:b/>
                <w:bCs/>
                <w:color w:val="000000"/>
              </w:rPr>
              <w:t>Profile 5</w:t>
            </w:r>
          </w:p>
          <w:p w14:paraId="767B2DF7" w14:textId="0A97F6CF" w:rsidR="00AB700D" w:rsidRPr="00C003C6" w:rsidRDefault="00AB700D" w:rsidP="00AB700D">
            <w:pPr>
              <w:spacing w:line="240" w:lineRule="auto"/>
              <w:jc w:val="center"/>
              <w:rPr>
                <w:b/>
                <w:bCs/>
                <w:color w:val="000000"/>
              </w:rPr>
            </w:pPr>
            <w:r w:rsidRPr="005D3E8F">
              <w:rPr>
                <w:sz w:val="20"/>
                <w:szCs w:val="20"/>
              </w:rPr>
              <w:t>exceptionally high NH and SC</w:t>
            </w:r>
          </w:p>
        </w:tc>
      </w:tr>
      <w:tr w:rsidR="0077438F" w:rsidRPr="00C003C6" w14:paraId="203ADD92" w14:textId="77777777" w:rsidTr="00ED43D6">
        <w:trPr>
          <w:trHeight w:val="337"/>
        </w:trPr>
        <w:tc>
          <w:tcPr>
            <w:tcW w:w="2746" w:type="dxa"/>
            <w:shd w:val="clear" w:color="auto" w:fill="auto"/>
            <w:vAlign w:val="center"/>
          </w:tcPr>
          <w:p w14:paraId="73C582AC" w14:textId="3BFA779A" w:rsidR="0077438F" w:rsidRPr="00C003C6" w:rsidRDefault="0077438F" w:rsidP="0077438F">
            <w:pPr>
              <w:spacing w:line="240" w:lineRule="auto"/>
              <w:jc w:val="center"/>
              <w:rPr>
                <w:b/>
                <w:bCs/>
                <w:color w:val="000000"/>
              </w:rPr>
            </w:pPr>
            <w:r w:rsidRPr="0077438F">
              <w:rPr>
                <w:b/>
                <w:bCs/>
                <w:color w:val="000000"/>
              </w:rPr>
              <w:t>I strongly believe this to be true</w:t>
            </w:r>
          </w:p>
        </w:tc>
        <w:tc>
          <w:tcPr>
            <w:tcW w:w="1157" w:type="dxa"/>
            <w:shd w:val="clear" w:color="auto" w:fill="auto"/>
            <w:vAlign w:val="center"/>
          </w:tcPr>
          <w:p w14:paraId="7B32E569" w14:textId="13E33B7C" w:rsidR="0077438F" w:rsidRPr="00C003C6" w:rsidRDefault="0077438F" w:rsidP="0077438F">
            <w:pPr>
              <w:spacing w:line="240" w:lineRule="auto"/>
              <w:jc w:val="center"/>
              <w:rPr>
                <w:color w:val="000000"/>
              </w:rPr>
            </w:pPr>
            <w:r w:rsidRPr="0077438F">
              <w:rPr>
                <w:color w:val="000000"/>
              </w:rPr>
              <w:t>2%</w:t>
            </w:r>
          </w:p>
        </w:tc>
        <w:tc>
          <w:tcPr>
            <w:tcW w:w="1157" w:type="dxa"/>
            <w:shd w:val="clear" w:color="auto" w:fill="auto"/>
            <w:vAlign w:val="center"/>
          </w:tcPr>
          <w:p w14:paraId="6A97E0C2" w14:textId="7E7CC8FA" w:rsidR="0077438F" w:rsidRPr="00C003C6" w:rsidRDefault="0077438F" w:rsidP="0077438F">
            <w:pPr>
              <w:spacing w:line="240" w:lineRule="auto"/>
              <w:jc w:val="center"/>
              <w:rPr>
                <w:color w:val="000000"/>
              </w:rPr>
            </w:pPr>
            <w:r w:rsidRPr="0077438F">
              <w:rPr>
                <w:color w:val="000000"/>
              </w:rPr>
              <w:t>1%</w:t>
            </w:r>
          </w:p>
        </w:tc>
        <w:tc>
          <w:tcPr>
            <w:tcW w:w="1157" w:type="dxa"/>
            <w:shd w:val="clear" w:color="auto" w:fill="auto"/>
            <w:vAlign w:val="center"/>
          </w:tcPr>
          <w:p w14:paraId="5F9656CE" w14:textId="238E0568" w:rsidR="0077438F" w:rsidRPr="00C003C6" w:rsidRDefault="0077438F" w:rsidP="0077438F">
            <w:pPr>
              <w:spacing w:line="240" w:lineRule="auto"/>
              <w:jc w:val="center"/>
              <w:rPr>
                <w:color w:val="000000"/>
              </w:rPr>
            </w:pPr>
            <w:r w:rsidRPr="0077438F">
              <w:rPr>
                <w:color w:val="000000"/>
              </w:rPr>
              <w:t>2%</w:t>
            </w:r>
          </w:p>
        </w:tc>
        <w:tc>
          <w:tcPr>
            <w:tcW w:w="1157" w:type="dxa"/>
            <w:shd w:val="clear" w:color="auto" w:fill="auto"/>
            <w:vAlign w:val="center"/>
          </w:tcPr>
          <w:p w14:paraId="258CFEFE" w14:textId="28C4AC5D" w:rsidR="0077438F" w:rsidRPr="00C003C6" w:rsidRDefault="0077438F" w:rsidP="0077438F">
            <w:pPr>
              <w:spacing w:line="240" w:lineRule="auto"/>
              <w:jc w:val="center"/>
              <w:rPr>
                <w:color w:val="000000"/>
              </w:rPr>
            </w:pPr>
            <w:r w:rsidRPr="0077438F">
              <w:rPr>
                <w:color w:val="000000"/>
              </w:rPr>
              <w:t>1%</w:t>
            </w:r>
          </w:p>
        </w:tc>
        <w:tc>
          <w:tcPr>
            <w:tcW w:w="1158" w:type="dxa"/>
            <w:shd w:val="clear" w:color="auto" w:fill="auto"/>
            <w:vAlign w:val="center"/>
          </w:tcPr>
          <w:p w14:paraId="2D1F2E2A" w14:textId="733769AC" w:rsidR="0077438F" w:rsidRPr="00C003C6" w:rsidRDefault="0077438F" w:rsidP="0077438F">
            <w:pPr>
              <w:spacing w:line="240" w:lineRule="auto"/>
              <w:jc w:val="center"/>
              <w:rPr>
                <w:color w:val="000000"/>
              </w:rPr>
            </w:pPr>
            <w:r w:rsidRPr="0077438F">
              <w:rPr>
                <w:color w:val="000000"/>
              </w:rPr>
              <w:t>8%</w:t>
            </w:r>
          </w:p>
        </w:tc>
      </w:tr>
      <w:tr w:rsidR="0077438F" w:rsidRPr="00C003C6" w14:paraId="62E627EB" w14:textId="77777777" w:rsidTr="00ED43D6">
        <w:trPr>
          <w:trHeight w:val="337"/>
        </w:trPr>
        <w:tc>
          <w:tcPr>
            <w:tcW w:w="2746" w:type="dxa"/>
            <w:shd w:val="clear" w:color="auto" w:fill="auto"/>
            <w:vAlign w:val="center"/>
          </w:tcPr>
          <w:p w14:paraId="0D52FB7D" w14:textId="6B6BE183" w:rsidR="0077438F" w:rsidRPr="00C003C6" w:rsidRDefault="0077438F" w:rsidP="0077438F">
            <w:pPr>
              <w:spacing w:line="240" w:lineRule="auto"/>
              <w:jc w:val="center"/>
              <w:rPr>
                <w:b/>
                <w:bCs/>
                <w:color w:val="000000"/>
              </w:rPr>
            </w:pPr>
            <w:r w:rsidRPr="0077438F">
              <w:rPr>
                <w:b/>
                <w:bCs/>
                <w:color w:val="000000"/>
              </w:rPr>
              <w:t>I believe this to be true</w:t>
            </w:r>
          </w:p>
        </w:tc>
        <w:tc>
          <w:tcPr>
            <w:tcW w:w="1157" w:type="dxa"/>
            <w:shd w:val="clear" w:color="auto" w:fill="auto"/>
            <w:vAlign w:val="center"/>
          </w:tcPr>
          <w:p w14:paraId="4386AEE5" w14:textId="28DF0D87" w:rsidR="0077438F" w:rsidRPr="00C003C6" w:rsidRDefault="0077438F" w:rsidP="0077438F">
            <w:pPr>
              <w:spacing w:line="240" w:lineRule="auto"/>
              <w:jc w:val="center"/>
              <w:rPr>
                <w:color w:val="000000"/>
              </w:rPr>
            </w:pPr>
            <w:r w:rsidRPr="0077438F">
              <w:rPr>
                <w:color w:val="000000"/>
              </w:rPr>
              <w:t>2%</w:t>
            </w:r>
          </w:p>
        </w:tc>
        <w:tc>
          <w:tcPr>
            <w:tcW w:w="1157" w:type="dxa"/>
            <w:shd w:val="clear" w:color="auto" w:fill="auto"/>
            <w:vAlign w:val="center"/>
          </w:tcPr>
          <w:p w14:paraId="20F061C8" w14:textId="53BA61BB" w:rsidR="0077438F" w:rsidRPr="00C003C6" w:rsidRDefault="0077438F" w:rsidP="0077438F">
            <w:pPr>
              <w:spacing w:line="240" w:lineRule="auto"/>
              <w:jc w:val="center"/>
              <w:rPr>
                <w:color w:val="000000"/>
              </w:rPr>
            </w:pPr>
            <w:r w:rsidRPr="0077438F">
              <w:rPr>
                <w:color w:val="000000"/>
              </w:rPr>
              <w:t>2%</w:t>
            </w:r>
          </w:p>
        </w:tc>
        <w:tc>
          <w:tcPr>
            <w:tcW w:w="1157" w:type="dxa"/>
            <w:shd w:val="clear" w:color="auto" w:fill="auto"/>
            <w:vAlign w:val="center"/>
          </w:tcPr>
          <w:p w14:paraId="40E40049" w14:textId="443559E1" w:rsidR="0077438F" w:rsidRPr="00C003C6" w:rsidRDefault="0077438F" w:rsidP="0077438F">
            <w:pPr>
              <w:spacing w:line="240" w:lineRule="auto"/>
              <w:jc w:val="center"/>
              <w:rPr>
                <w:color w:val="000000"/>
              </w:rPr>
            </w:pPr>
            <w:r w:rsidRPr="0077438F">
              <w:rPr>
                <w:color w:val="000000"/>
              </w:rPr>
              <w:t>5%</w:t>
            </w:r>
          </w:p>
        </w:tc>
        <w:tc>
          <w:tcPr>
            <w:tcW w:w="1157" w:type="dxa"/>
            <w:shd w:val="clear" w:color="auto" w:fill="auto"/>
            <w:vAlign w:val="center"/>
          </w:tcPr>
          <w:p w14:paraId="05EBC711" w14:textId="3E2E164A" w:rsidR="0077438F" w:rsidRPr="00C003C6" w:rsidRDefault="0077438F" w:rsidP="0077438F">
            <w:pPr>
              <w:spacing w:line="240" w:lineRule="auto"/>
              <w:jc w:val="center"/>
              <w:rPr>
                <w:color w:val="000000"/>
              </w:rPr>
            </w:pPr>
            <w:r w:rsidRPr="0077438F">
              <w:rPr>
                <w:color w:val="000000"/>
              </w:rPr>
              <w:t>3%</w:t>
            </w:r>
          </w:p>
        </w:tc>
        <w:tc>
          <w:tcPr>
            <w:tcW w:w="1158" w:type="dxa"/>
            <w:shd w:val="clear" w:color="auto" w:fill="auto"/>
            <w:vAlign w:val="center"/>
          </w:tcPr>
          <w:p w14:paraId="414082C9" w14:textId="418670C9" w:rsidR="0077438F" w:rsidRPr="00C003C6" w:rsidRDefault="0077438F" w:rsidP="0077438F">
            <w:pPr>
              <w:spacing w:line="240" w:lineRule="auto"/>
              <w:jc w:val="center"/>
              <w:rPr>
                <w:color w:val="000000"/>
              </w:rPr>
            </w:pPr>
            <w:r w:rsidRPr="0077438F">
              <w:rPr>
                <w:color w:val="000000"/>
              </w:rPr>
              <w:t>13%</w:t>
            </w:r>
          </w:p>
        </w:tc>
      </w:tr>
      <w:tr w:rsidR="0077438F" w:rsidRPr="00C003C6" w14:paraId="49DA0892" w14:textId="77777777" w:rsidTr="00ED43D6">
        <w:trPr>
          <w:trHeight w:val="337"/>
        </w:trPr>
        <w:tc>
          <w:tcPr>
            <w:tcW w:w="2746" w:type="dxa"/>
            <w:shd w:val="clear" w:color="auto" w:fill="auto"/>
            <w:vAlign w:val="center"/>
          </w:tcPr>
          <w:p w14:paraId="3296467A" w14:textId="1EFFE447" w:rsidR="0077438F" w:rsidRPr="00C003C6" w:rsidRDefault="0077438F" w:rsidP="0077438F">
            <w:pPr>
              <w:spacing w:line="240" w:lineRule="auto"/>
              <w:jc w:val="center"/>
              <w:rPr>
                <w:b/>
                <w:bCs/>
                <w:color w:val="000000"/>
              </w:rPr>
            </w:pPr>
            <w:r w:rsidRPr="0077438F">
              <w:rPr>
                <w:b/>
                <w:bCs/>
                <w:color w:val="000000"/>
              </w:rPr>
              <w:t>I need more information to be able to judge</w:t>
            </w:r>
          </w:p>
        </w:tc>
        <w:tc>
          <w:tcPr>
            <w:tcW w:w="1157" w:type="dxa"/>
            <w:shd w:val="clear" w:color="auto" w:fill="auto"/>
            <w:vAlign w:val="center"/>
          </w:tcPr>
          <w:p w14:paraId="4A1A8392" w14:textId="4749ACC8" w:rsidR="0077438F" w:rsidRPr="00C003C6" w:rsidRDefault="0077438F" w:rsidP="0077438F">
            <w:pPr>
              <w:spacing w:line="240" w:lineRule="auto"/>
              <w:jc w:val="center"/>
              <w:rPr>
                <w:color w:val="000000"/>
              </w:rPr>
            </w:pPr>
            <w:r w:rsidRPr="0077438F">
              <w:rPr>
                <w:color w:val="000000"/>
              </w:rPr>
              <w:t>27%</w:t>
            </w:r>
          </w:p>
        </w:tc>
        <w:tc>
          <w:tcPr>
            <w:tcW w:w="1157" w:type="dxa"/>
            <w:shd w:val="clear" w:color="auto" w:fill="auto"/>
            <w:vAlign w:val="center"/>
          </w:tcPr>
          <w:p w14:paraId="76365C4A" w14:textId="06B3C40B" w:rsidR="0077438F" w:rsidRPr="00C003C6" w:rsidRDefault="0077438F" w:rsidP="0077438F">
            <w:pPr>
              <w:spacing w:line="240" w:lineRule="auto"/>
              <w:jc w:val="center"/>
              <w:rPr>
                <w:color w:val="000000"/>
              </w:rPr>
            </w:pPr>
            <w:r w:rsidRPr="0077438F">
              <w:rPr>
                <w:color w:val="000000"/>
              </w:rPr>
              <w:t>12%</w:t>
            </w:r>
          </w:p>
        </w:tc>
        <w:tc>
          <w:tcPr>
            <w:tcW w:w="1157" w:type="dxa"/>
            <w:shd w:val="clear" w:color="auto" w:fill="auto"/>
            <w:vAlign w:val="center"/>
          </w:tcPr>
          <w:p w14:paraId="1E7F8470" w14:textId="48A05E67" w:rsidR="0077438F" w:rsidRPr="00C003C6" w:rsidRDefault="0077438F" w:rsidP="0077438F">
            <w:pPr>
              <w:spacing w:line="240" w:lineRule="auto"/>
              <w:jc w:val="center"/>
              <w:rPr>
                <w:color w:val="000000"/>
              </w:rPr>
            </w:pPr>
            <w:r w:rsidRPr="0077438F">
              <w:rPr>
                <w:color w:val="000000"/>
              </w:rPr>
              <w:t>14%</w:t>
            </w:r>
          </w:p>
        </w:tc>
        <w:tc>
          <w:tcPr>
            <w:tcW w:w="1157" w:type="dxa"/>
            <w:shd w:val="clear" w:color="auto" w:fill="auto"/>
            <w:vAlign w:val="center"/>
          </w:tcPr>
          <w:p w14:paraId="1D08726A" w14:textId="357FFD45" w:rsidR="0077438F" w:rsidRPr="00C003C6" w:rsidRDefault="0077438F" w:rsidP="0077438F">
            <w:pPr>
              <w:spacing w:line="240" w:lineRule="auto"/>
              <w:jc w:val="center"/>
              <w:rPr>
                <w:color w:val="000000"/>
              </w:rPr>
            </w:pPr>
            <w:r w:rsidRPr="0077438F">
              <w:rPr>
                <w:color w:val="000000"/>
              </w:rPr>
              <w:t>10%</w:t>
            </w:r>
          </w:p>
        </w:tc>
        <w:tc>
          <w:tcPr>
            <w:tcW w:w="1158" w:type="dxa"/>
            <w:shd w:val="clear" w:color="auto" w:fill="auto"/>
            <w:vAlign w:val="center"/>
          </w:tcPr>
          <w:p w14:paraId="681A090C" w14:textId="235689BC" w:rsidR="0077438F" w:rsidRPr="00C003C6" w:rsidRDefault="0077438F" w:rsidP="0077438F">
            <w:pPr>
              <w:spacing w:line="240" w:lineRule="auto"/>
              <w:jc w:val="center"/>
              <w:rPr>
                <w:color w:val="000000"/>
              </w:rPr>
            </w:pPr>
            <w:r w:rsidRPr="0077438F">
              <w:rPr>
                <w:color w:val="000000"/>
              </w:rPr>
              <w:t>23%</w:t>
            </w:r>
          </w:p>
        </w:tc>
      </w:tr>
      <w:tr w:rsidR="0077438F" w:rsidRPr="00C003C6" w14:paraId="5CE5FF85" w14:textId="77777777" w:rsidTr="00ED43D6">
        <w:trPr>
          <w:trHeight w:val="337"/>
        </w:trPr>
        <w:tc>
          <w:tcPr>
            <w:tcW w:w="2746" w:type="dxa"/>
            <w:shd w:val="clear" w:color="auto" w:fill="auto"/>
            <w:vAlign w:val="center"/>
          </w:tcPr>
          <w:p w14:paraId="4C87A281" w14:textId="66646CDF" w:rsidR="0077438F" w:rsidRPr="00C003C6" w:rsidRDefault="0077438F" w:rsidP="0077438F">
            <w:pPr>
              <w:spacing w:line="240" w:lineRule="auto"/>
              <w:jc w:val="center"/>
              <w:rPr>
                <w:b/>
                <w:bCs/>
                <w:color w:val="000000"/>
              </w:rPr>
            </w:pPr>
            <w:r w:rsidRPr="0077438F">
              <w:rPr>
                <w:b/>
                <w:bCs/>
                <w:color w:val="000000"/>
              </w:rPr>
              <w:t>I believe this to be untrue</w:t>
            </w:r>
          </w:p>
        </w:tc>
        <w:tc>
          <w:tcPr>
            <w:tcW w:w="1157" w:type="dxa"/>
            <w:shd w:val="clear" w:color="auto" w:fill="auto"/>
            <w:vAlign w:val="center"/>
          </w:tcPr>
          <w:p w14:paraId="0A72040F" w14:textId="786C1D0D" w:rsidR="0077438F" w:rsidRPr="00C003C6" w:rsidRDefault="0077438F" w:rsidP="0077438F">
            <w:pPr>
              <w:spacing w:line="240" w:lineRule="auto"/>
              <w:jc w:val="center"/>
              <w:rPr>
                <w:color w:val="000000"/>
              </w:rPr>
            </w:pPr>
            <w:r w:rsidRPr="0077438F">
              <w:rPr>
                <w:color w:val="000000"/>
              </w:rPr>
              <w:t>15%</w:t>
            </w:r>
          </w:p>
        </w:tc>
        <w:tc>
          <w:tcPr>
            <w:tcW w:w="1157" w:type="dxa"/>
            <w:shd w:val="clear" w:color="auto" w:fill="auto"/>
            <w:vAlign w:val="center"/>
          </w:tcPr>
          <w:p w14:paraId="53127B14" w14:textId="265221D1" w:rsidR="0077438F" w:rsidRPr="00C003C6" w:rsidRDefault="0077438F" w:rsidP="0077438F">
            <w:pPr>
              <w:spacing w:line="240" w:lineRule="auto"/>
              <w:jc w:val="center"/>
              <w:rPr>
                <w:color w:val="000000"/>
              </w:rPr>
            </w:pPr>
            <w:r w:rsidRPr="0077438F">
              <w:rPr>
                <w:color w:val="000000"/>
              </w:rPr>
              <w:t>12%</w:t>
            </w:r>
          </w:p>
        </w:tc>
        <w:tc>
          <w:tcPr>
            <w:tcW w:w="1157" w:type="dxa"/>
            <w:shd w:val="clear" w:color="auto" w:fill="auto"/>
            <w:vAlign w:val="center"/>
          </w:tcPr>
          <w:p w14:paraId="0708A0FC" w14:textId="5C070BB3" w:rsidR="0077438F" w:rsidRPr="00C003C6" w:rsidRDefault="0077438F" w:rsidP="0077438F">
            <w:pPr>
              <w:spacing w:line="240" w:lineRule="auto"/>
              <w:jc w:val="center"/>
              <w:rPr>
                <w:color w:val="000000"/>
              </w:rPr>
            </w:pPr>
            <w:r w:rsidRPr="0077438F">
              <w:rPr>
                <w:color w:val="000000"/>
              </w:rPr>
              <w:t>12%</w:t>
            </w:r>
          </w:p>
        </w:tc>
        <w:tc>
          <w:tcPr>
            <w:tcW w:w="1157" w:type="dxa"/>
            <w:shd w:val="clear" w:color="auto" w:fill="auto"/>
            <w:vAlign w:val="center"/>
          </w:tcPr>
          <w:p w14:paraId="71149A8B" w14:textId="06F407BF" w:rsidR="0077438F" w:rsidRPr="00C003C6" w:rsidRDefault="0077438F" w:rsidP="0077438F">
            <w:pPr>
              <w:spacing w:line="240" w:lineRule="auto"/>
              <w:jc w:val="center"/>
              <w:rPr>
                <w:color w:val="000000"/>
              </w:rPr>
            </w:pPr>
            <w:r w:rsidRPr="0077438F">
              <w:rPr>
                <w:color w:val="000000"/>
              </w:rPr>
              <w:t>11%</w:t>
            </w:r>
          </w:p>
        </w:tc>
        <w:tc>
          <w:tcPr>
            <w:tcW w:w="1158" w:type="dxa"/>
            <w:shd w:val="clear" w:color="auto" w:fill="auto"/>
            <w:vAlign w:val="center"/>
          </w:tcPr>
          <w:p w14:paraId="3E79ACC6" w14:textId="7174EC39" w:rsidR="0077438F" w:rsidRPr="00C003C6" w:rsidRDefault="0077438F" w:rsidP="0077438F">
            <w:pPr>
              <w:spacing w:line="240" w:lineRule="auto"/>
              <w:jc w:val="center"/>
              <w:rPr>
                <w:color w:val="000000"/>
              </w:rPr>
            </w:pPr>
            <w:r w:rsidRPr="0077438F">
              <w:rPr>
                <w:color w:val="000000"/>
              </w:rPr>
              <w:t>12%</w:t>
            </w:r>
          </w:p>
        </w:tc>
      </w:tr>
      <w:tr w:rsidR="0077438F" w:rsidRPr="00C003C6" w14:paraId="1DA4B13F" w14:textId="77777777" w:rsidTr="00ED43D6">
        <w:trPr>
          <w:trHeight w:val="337"/>
        </w:trPr>
        <w:tc>
          <w:tcPr>
            <w:tcW w:w="2746" w:type="dxa"/>
            <w:shd w:val="clear" w:color="auto" w:fill="auto"/>
            <w:vAlign w:val="center"/>
          </w:tcPr>
          <w:p w14:paraId="7E88781D" w14:textId="1F7F8AB5" w:rsidR="0077438F" w:rsidRPr="00C003C6" w:rsidRDefault="0077438F" w:rsidP="0077438F">
            <w:pPr>
              <w:spacing w:line="240" w:lineRule="auto"/>
              <w:jc w:val="center"/>
              <w:rPr>
                <w:b/>
                <w:bCs/>
                <w:color w:val="000000"/>
              </w:rPr>
            </w:pPr>
            <w:r w:rsidRPr="0077438F">
              <w:rPr>
                <w:b/>
                <w:bCs/>
                <w:color w:val="000000"/>
              </w:rPr>
              <w:t>I strongly believe this to be untrue</w:t>
            </w:r>
          </w:p>
        </w:tc>
        <w:tc>
          <w:tcPr>
            <w:tcW w:w="1157" w:type="dxa"/>
            <w:shd w:val="clear" w:color="auto" w:fill="auto"/>
            <w:vAlign w:val="center"/>
          </w:tcPr>
          <w:p w14:paraId="5474F8D4" w14:textId="3DADB58B" w:rsidR="0077438F" w:rsidRPr="00C003C6" w:rsidRDefault="0077438F" w:rsidP="0077438F">
            <w:pPr>
              <w:spacing w:line="240" w:lineRule="auto"/>
              <w:jc w:val="center"/>
              <w:rPr>
                <w:color w:val="000000"/>
              </w:rPr>
            </w:pPr>
            <w:r w:rsidRPr="0077438F">
              <w:rPr>
                <w:color w:val="000000"/>
              </w:rPr>
              <w:t>55%</w:t>
            </w:r>
          </w:p>
        </w:tc>
        <w:tc>
          <w:tcPr>
            <w:tcW w:w="1157" w:type="dxa"/>
            <w:shd w:val="clear" w:color="auto" w:fill="auto"/>
            <w:vAlign w:val="center"/>
          </w:tcPr>
          <w:p w14:paraId="267AC671" w14:textId="2CA9CDDD" w:rsidR="0077438F" w:rsidRPr="00C003C6" w:rsidRDefault="0077438F" w:rsidP="0077438F">
            <w:pPr>
              <w:spacing w:line="240" w:lineRule="auto"/>
              <w:jc w:val="center"/>
              <w:rPr>
                <w:color w:val="000000"/>
              </w:rPr>
            </w:pPr>
            <w:r w:rsidRPr="0077438F">
              <w:rPr>
                <w:color w:val="000000"/>
              </w:rPr>
              <w:t>74%</w:t>
            </w:r>
          </w:p>
        </w:tc>
        <w:tc>
          <w:tcPr>
            <w:tcW w:w="1157" w:type="dxa"/>
            <w:shd w:val="clear" w:color="auto" w:fill="auto"/>
            <w:vAlign w:val="center"/>
          </w:tcPr>
          <w:p w14:paraId="4F1BA654" w14:textId="2DD82EF4" w:rsidR="0077438F" w:rsidRPr="00C003C6" w:rsidRDefault="0077438F" w:rsidP="0077438F">
            <w:pPr>
              <w:spacing w:line="240" w:lineRule="auto"/>
              <w:jc w:val="center"/>
              <w:rPr>
                <w:color w:val="000000"/>
              </w:rPr>
            </w:pPr>
            <w:r w:rsidRPr="0077438F">
              <w:rPr>
                <w:color w:val="000000"/>
              </w:rPr>
              <w:t>67%</w:t>
            </w:r>
          </w:p>
        </w:tc>
        <w:tc>
          <w:tcPr>
            <w:tcW w:w="1157" w:type="dxa"/>
            <w:shd w:val="clear" w:color="auto" w:fill="auto"/>
            <w:vAlign w:val="center"/>
          </w:tcPr>
          <w:p w14:paraId="72C8D714" w14:textId="3BAC29ED" w:rsidR="0077438F" w:rsidRPr="00C003C6" w:rsidRDefault="0077438F" w:rsidP="0077438F">
            <w:pPr>
              <w:spacing w:line="240" w:lineRule="auto"/>
              <w:jc w:val="center"/>
              <w:rPr>
                <w:color w:val="000000"/>
              </w:rPr>
            </w:pPr>
            <w:r w:rsidRPr="0077438F">
              <w:rPr>
                <w:color w:val="000000"/>
              </w:rPr>
              <w:t>75%</w:t>
            </w:r>
          </w:p>
        </w:tc>
        <w:tc>
          <w:tcPr>
            <w:tcW w:w="1158" w:type="dxa"/>
            <w:shd w:val="clear" w:color="auto" w:fill="auto"/>
            <w:vAlign w:val="center"/>
          </w:tcPr>
          <w:p w14:paraId="1DF0100E" w14:textId="34A5C700" w:rsidR="0077438F" w:rsidRPr="00C003C6" w:rsidRDefault="0077438F" w:rsidP="0077438F">
            <w:pPr>
              <w:spacing w:line="240" w:lineRule="auto"/>
              <w:jc w:val="center"/>
              <w:rPr>
                <w:color w:val="000000"/>
              </w:rPr>
            </w:pPr>
            <w:r w:rsidRPr="0077438F">
              <w:rPr>
                <w:color w:val="000000"/>
              </w:rPr>
              <w:t>44%</w:t>
            </w:r>
          </w:p>
        </w:tc>
      </w:tr>
      <w:tr w:rsidR="0077438F" w:rsidRPr="00C003C6" w14:paraId="59A7E3FE" w14:textId="77777777" w:rsidTr="00ED43D6">
        <w:trPr>
          <w:trHeight w:val="327"/>
        </w:trPr>
        <w:tc>
          <w:tcPr>
            <w:tcW w:w="2746" w:type="dxa"/>
            <w:shd w:val="clear" w:color="auto" w:fill="auto"/>
            <w:vAlign w:val="center"/>
            <w:hideMark/>
          </w:tcPr>
          <w:p w14:paraId="52306E4A" w14:textId="77777777" w:rsidR="0077438F" w:rsidRPr="00C003C6" w:rsidRDefault="0077438F" w:rsidP="00DF0CBF">
            <w:pPr>
              <w:spacing w:line="240" w:lineRule="auto"/>
              <w:jc w:val="center"/>
              <w:rPr>
                <w:b/>
                <w:bCs/>
                <w:color w:val="000000"/>
              </w:rPr>
            </w:pPr>
            <w:r w:rsidRPr="00C003C6">
              <w:rPr>
                <w:b/>
                <w:bCs/>
                <w:color w:val="000000"/>
              </w:rPr>
              <w:t>Total</w:t>
            </w:r>
          </w:p>
        </w:tc>
        <w:tc>
          <w:tcPr>
            <w:tcW w:w="1157" w:type="dxa"/>
            <w:shd w:val="clear" w:color="auto" w:fill="auto"/>
            <w:vAlign w:val="center"/>
            <w:hideMark/>
          </w:tcPr>
          <w:p w14:paraId="2703F3C3" w14:textId="77777777" w:rsidR="0077438F" w:rsidRPr="00C003C6" w:rsidRDefault="0077438F" w:rsidP="00DF0CBF">
            <w:pPr>
              <w:spacing w:line="240" w:lineRule="auto"/>
              <w:jc w:val="center"/>
              <w:rPr>
                <w:color w:val="000000"/>
              </w:rPr>
            </w:pPr>
            <w:r w:rsidRPr="00C003C6">
              <w:rPr>
                <w:color w:val="000000"/>
              </w:rPr>
              <w:t>100%</w:t>
            </w:r>
          </w:p>
        </w:tc>
        <w:tc>
          <w:tcPr>
            <w:tcW w:w="1157" w:type="dxa"/>
            <w:shd w:val="clear" w:color="auto" w:fill="auto"/>
            <w:vAlign w:val="center"/>
            <w:hideMark/>
          </w:tcPr>
          <w:p w14:paraId="5DAB4260" w14:textId="77777777" w:rsidR="0077438F" w:rsidRPr="00C003C6" w:rsidRDefault="0077438F" w:rsidP="00DF0CBF">
            <w:pPr>
              <w:spacing w:line="240" w:lineRule="auto"/>
              <w:jc w:val="center"/>
              <w:rPr>
                <w:color w:val="000000"/>
              </w:rPr>
            </w:pPr>
            <w:r w:rsidRPr="00C003C6">
              <w:rPr>
                <w:color w:val="000000"/>
              </w:rPr>
              <w:t>100%</w:t>
            </w:r>
          </w:p>
        </w:tc>
        <w:tc>
          <w:tcPr>
            <w:tcW w:w="1157" w:type="dxa"/>
            <w:shd w:val="clear" w:color="auto" w:fill="auto"/>
            <w:vAlign w:val="center"/>
            <w:hideMark/>
          </w:tcPr>
          <w:p w14:paraId="0E1E421B" w14:textId="77777777" w:rsidR="0077438F" w:rsidRPr="00C003C6" w:rsidRDefault="0077438F" w:rsidP="00DF0CBF">
            <w:pPr>
              <w:spacing w:line="240" w:lineRule="auto"/>
              <w:jc w:val="center"/>
              <w:rPr>
                <w:color w:val="000000"/>
              </w:rPr>
            </w:pPr>
            <w:r w:rsidRPr="00C003C6">
              <w:rPr>
                <w:color w:val="000000"/>
              </w:rPr>
              <w:t>100%</w:t>
            </w:r>
          </w:p>
        </w:tc>
        <w:tc>
          <w:tcPr>
            <w:tcW w:w="1157" w:type="dxa"/>
            <w:shd w:val="clear" w:color="auto" w:fill="auto"/>
            <w:vAlign w:val="center"/>
            <w:hideMark/>
          </w:tcPr>
          <w:p w14:paraId="39DAC87F" w14:textId="77777777" w:rsidR="0077438F" w:rsidRPr="00C003C6" w:rsidRDefault="0077438F" w:rsidP="00DF0CBF">
            <w:pPr>
              <w:spacing w:line="240" w:lineRule="auto"/>
              <w:jc w:val="center"/>
              <w:rPr>
                <w:color w:val="000000"/>
              </w:rPr>
            </w:pPr>
            <w:r w:rsidRPr="00C003C6">
              <w:rPr>
                <w:color w:val="000000"/>
              </w:rPr>
              <w:t>100%</w:t>
            </w:r>
          </w:p>
        </w:tc>
        <w:tc>
          <w:tcPr>
            <w:tcW w:w="1158" w:type="dxa"/>
            <w:shd w:val="clear" w:color="auto" w:fill="auto"/>
            <w:vAlign w:val="center"/>
            <w:hideMark/>
          </w:tcPr>
          <w:p w14:paraId="194A7CF1" w14:textId="77777777" w:rsidR="0077438F" w:rsidRPr="00C003C6" w:rsidRDefault="0077438F" w:rsidP="00DF0CBF">
            <w:pPr>
              <w:spacing w:line="240" w:lineRule="auto"/>
              <w:jc w:val="center"/>
              <w:rPr>
                <w:color w:val="000000"/>
              </w:rPr>
            </w:pPr>
            <w:r w:rsidRPr="00C003C6">
              <w:rPr>
                <w:color w:val="000000"/>
              </w:rPr>
              <w:t>100%</w:t>
            </w:r>
          </w:p>
        </w:tc>
      </w:tr>
    </w:tbl>
    <w:p w14:paraId="0BE6EF5E" w14:textId="26297D07" w:rsidR="0077438F" w:rsidRDefault="004E6F25" w:rsidP="0077438F">
      <w:pPr>
        <w:rPr>
          <w:lang w:eastAsia="zh-CN"/>
        </w:rPr>
      </w:pPr>
      <w:r>
        <w:rPr>
          <w:i/>
          <w:iCs/>
          <w:sz w:val="22"/>
          <w:szCs w:val="22"/>
        </w:rPr>
        <w:t>χ</w:t>
      </w:r>
      <w:r w:rsidR="0077438F">
        <w:rPr>
          <w:i/>
          <w:iCs/>
          <w:vertAlign w:val="superscript"/>
        </w:rPr>
        <w:t>2</w:t>
      </w:r>
      <w:r w:rsidR="0077438F">
        <w:rPr>
          <w:i/>
          <w:iCs/>
        </w:rPr>
        <w:t xml:space="preserve"> </w:t>
      </w:r>
      <w:r w:rsidR="0077438F">
        <w:t xml:space="preserve">= 384.65, </w:t>
      </w:r>
      <w:r w:rsidR="0077438F">
        <w:rPr>
          <w:i/>
          <w:iCs/>
        </w:rPr>
        <w:t xml:space="preserve">p </w:t>
      </w:r>
      <w:r w:rsidR="0077438F">
        <w:t xml:space="preserve">&lt; 0.001, </w:t>
      </w:r>
      <w:r w:rsidR="0077438F">
        <w:rPr>
          <w:i/>
          <w:iCs/>
        </w:rPr>
        <w:t xml:space="preserve">df </w:t>
      </w:r>
      <w:r w:rsidR="0077438F">
        <w:t>= 16</w:t>
      </w:r>
      <w:r>
        <w:rPr>
          <w:rFonts w:hint="eastAsia"/>
          <w:lang w:eastAsia="zh-CN"/>
        </w:rPr>
        <w:t xml:space="preserve">, </w:t>
      </w:r>
      <w:r w:rsidRPr="004E6F25">
        <w:rPr>
          <w:lang w:eastAsia="zh-CN"/>
        </w:rPr>
        <w:t>Cramér's V =   0.11</w:t>
      </w:r>
      <w:r>
        <w:rPr>
          <w:rFonts w:hint="eastAsia"/>
          <w:lang w:eastAsia="zh-CN"/>
        </w:rPr>
        <w:t>7</w:t>
      </w:r>
    </w:p>
    <w:p w14:paraId="7A692052" w14:textId="77777777" w:rsidR="00340467" w:rsidRPr="00340467" w:rsidRDefault="00340467" w:rsidP="00340467">
      <w:pPr>
        <w:pStyle w:val="Heading2"/>
      </w:pPr>
      <w:commentRangeStart w:id="11"/>
      <w:r>
        <w:t xml:space="preserve">Results for the critical thinking ability characteristics profiles </w:t>
      </w:r>
      <w:commentRangeEnd w:id="11"/>
      <w:r>
        <w:rPr>
          <w:rStyle w:val="CommentReference"/>
        </w:rPr>
        <w:commentReference w:id="11"/>
      </w:r>
    </w:p>
    <w:p w14:paraId="2E09DCBB" w14:textId="365A4AA2" w:rsidR="00340467" w:rsidRPr="008D2DA7" w:rsidRDefault="00340467">
      <w:pPr>
        <w:pStyle w:val="Paragraph"/>
      </w:pPr>
      <w:r>
        <w:t xml:space="preserve">The characteristics of the three critical thinking characteristic profiles are set out in </w:t>
      </w:r>
      <w:r w:rsidR="61441B9E">
        <w:t xml:space="preserve">Figure 9 – 12 and </w:t>
      </w:r>
      <w:r>
        <w:t xml:space="preserve">Tables </w:t>
      </w:r>
      <w:r w:rsidR="0BF2A0DF">
        <w:t>9 and 10</w:t>
      </w:r>
      <w:r>
        <w:t xml:space="preserve">, below. The </w:t>
      </w:r>
      <w:r w:rsidRPr="395A1A59">
        <w:rPr>
          <w:rStyle w:val="mord"/>
          <w:color w:val="000000" w:themeColor="text1"/>
        </w:rPr>
        <w:t xml:space="preserve">χ2 statistics for </w:t>
      </w:r>
      <w:r>
        <w:t>each indicate that all variables have</w:t>
      </w:r>
      <w:r w:rsidRPr="395A1A59">
        <w:rPr>
          <w:rStyle w:val="apple-converted-space"/>
          <w:rFonts w:asciiTheme="minorHAnsi" w:hAnsiTheme="minorHAnsi"/>
          <w:color w:val="000000" w:themeColor="text1"/>
          <w:sz w:val="22"/>
          <w:szCs w:val="22"/>
        </w:rPr>
        <w:t> </w:t>
      </w:r>
      <w:r w:rsidRPr="395A1A59">
        <w:rPr>
          <w:rStyle w:val="mord"/>
          <w:rFonts w:asciiTheme="minorHAnsi" w:hAnsiTheme="minorHAnsi"/>
          <w:color w:val="000000" w:themeColor="text1"/>
          <w:sz w:val="22"/>
          <w:szCs w:val="22"/>
        </w:rPr>
        <w:t>p</w:t>
      </w:r>
      <w:r>
        <w:t xml:space="preserve">-values below 0.05; indicating, </w:t>
      </w:r>
      <w:r w:rsidR="007A2D19">
        <w:t>as before</w:t>
      </w:r>
      <w:r>
        <w:t xml:space="preserve">, that age, gender, education, occupation, value of ideas-engagement and belief in Flat Earth theory all exhibit strong statistical differences across profiles. For instance, in terms of age, it can be seen that Profile 3 (which has the highest mean for critical thinking ability) has a slightly higher proportion of younger adults (25-44: 40 percent) compared to Profiles 1 and 2 (each with 33 percent). Likewise, older respondents (65+) are slightly underrepresented in Profile 3 (seven percent) compared to Profiles 1 and 2 (14 percent). This suggests that age is a strong determinant of critical thinking ability, with younger adults more likely to exhibit high critical thinking skills. Critical thinking by gender is set out in </w:t>
      </w:r>
      <w:r w:rsidR="738E1E35">
        <w:t>Figure 10</w:t>
      </w:r>
      <w:r>
        <w:t xml:space="preserve">. Here it can be seen that men are more likely to record higher (self-reported) </w:t>
      </w:r>
      <w:r>
        <w:lastRenderedPageBreak/>
        <w:t>means for critical thinking ability than women. In terms of highest qualification held (</w:t>
      </w:r>
      <w:r w:rsidR="711FDEF9">
        <w:t>Figure 11</w:t>
      </w:r>
      <w:r>
        <w:t xml:space="preserve">), Profile 3 (highest mean for critical thinking ability) has a higher percentage of Master’s (19 percent) and Doctoral degrees (3 percent), compared to Profile 1 (8 percent and 2 percent, respectively). Profile 1 (lowest mean for critical thinking ability) has the highest percentage of respondents with only school-level qualifications (14 percent). These trends indicate that education plays an important role in shaping critical thinking. </w:t>
      </w:r>
      <w:r w:rsidR="2EB9640E">
        <w:t>Figure 12</w:t>
      </w:r>
      <w:r>
        <w:t>, meanwhile</w:t>
      </w:r>
      <w:r w:rsidR="00110BE6">
        <w:t>,</w:t>
      </w:r>
      <w:r>
        <w:t xml:space="preserve"> explores occupation type. Here, Profile 3 has a slightly higher proportion of higher-level professionals (14 percent) compared to Profile 1 (6 percent). Unemployed individuals are slightly more represented in Profile 1 (11 percent) compared to Profiles 2 and 3 (8 percent). Thus, our data indicates that professional roles correlate with higher critical thinking</w:t>
      </w:r>
      <w:r w:rsidR="007A2D19">
        <w:t>:</w:t>
      </w:r>
      <w:r>
        <w:t xml:space="preserve"> although this trend could be </w:t>
      </w:r>
      <w:r w:rsidR="00110BE6">
        <w:t>bidirectional</w:t>
      </w:r>
      <w:r w:rsidR="005D369B">
        <w:t>,</w:t>
      </w:r>
      <w:r>
        <w:t xml:space="preserve"> since such roles may foster critical thinking, or critical thinking may have been required to secure them. For instance, analysis by Parcel and Bixby (2015) found that more complex jobs tend to involve more autonomy and serve to stimulate problem-solving and creative abilities. Less complex jobs, meanwhile tend to involve routine, repetition, are highly supervised and this can impede the use of the post-holder’s intellectual abilities (Parcel and Bixby, 2015)</w:t>
      </w:r>
      <w:r w:rsidR="00AB700D">
        <w:t>.</w:t>
      </w:r>
    </w:p>
    <w:p w14:paraId="19365466" w14:textId="06B0690E" w:rsidR="00340467" w:rsidRDefault="00340467" w:rsidP="00340467">
      <w:pPr>
        <w:pStyle w:val="Newparagraph"/>
      </w:pPr>
      <w:r>
        <w:t xml:space="preserve">In terms of the value ascribed to ideas-engagement (Table </w:t>
      </w:r>
      <w:r w:rsidR="4176FB1F">
        <w:t>9</w:t>
      </w:r>
      <w:r>
        <w:t>)</w:t>
      </w:r>
      <w:r w:rsidR="007A2D19">
        <w:t>,</w:t>
      </w:r>
      <w:r>
        <w:t xml:space="preserve"> a highly significant relationship exists between critical thinking and valuing ideas-engagement. Profile 3 has the highest proportion of respondents who find ideas-engagement ‘Very Important’ (66 percent). Profile 1 meanwhile has the largest proportion of those who find ideas-engagement ‘Neither Important nor Unimportant’ (20 percent). This suggests that higher critical thinking ability is strongly associated with valuing engagement with ideas. Likewise, in terms of the level of belief in the flat Earth statement, there is a highly significant relationship between critical thinking and belief in misinformation. </w:t>
      </w:r>
      <w:r w:rsidR="007A2D19">
        <w:lastRenderedPageBreak/>
        <w:t xml:space="preserve">Specifically, </w:t>
      </w:r>
      <w:r w:rsidR="007A2D19">
        <w:rPr>
          <w:color w:val="000000"/>
        </w:rPr>
        <w:t>P</w:t>
      </w:r>
      <w:r w:rsidR="002B1B13" w:rsidRPr="00667A8B">
        <w:rPr>
          <w:rFonts w:hint="eastAsia"/>
          <w:color w:val="000000"/>
        </w:rPr>
        <w:t>rofile 3 (highest critical thinking) overwhelmingly rejected the flat Earth claim (84%), while Profile 1 (lowest critical thinking) had the most uncertainty (27%) or belief (10%). This reinforces critical thinking</w:t>
      </w:r>
      <w:r w:rsidR="007A2D19">
        <w:rPr>
          <w:color w:val="000000"/>
        </w:rPr>
        <w:t>’</w:t>
      </w:r>
      <w:r w:rsidR="002B1B13" w:rsidRPr="00667A8B">
        <w:rPr>
          <w:rFonts w:hint="eastAsia"/>
          <w:color w:val="000000"/>
        </w:rPr>
        <w:t xml:space="preserve">s </w:t>
      </w:r>
      <w:r w:rsidR="00732D1C">
        <w:rPr>
          <w:color w:val="000000"/>
        </w:rPr>
        <w:t xml:space="preserve">potential </w:t>
      </w:r>
      <w:r w:rsidR="002B1B13" w:rsidRPr="00667A8B">
        <w:rPr>
          <w:rFonts w:hint="eastAsia"/>
          <w:color w:val="000000"/>
        </w:rPr>
        <w:t>protective role against misinformation.</w:t>
      </w:r>
    </w:p>
    <w:p w14:paraId="1F45E833" w14:textId="6C9EBFBD" w:rsidR="00212EBE" w:rsidRPr="00AC18C2" w:rsidRDefault="2B2C0F2C" w:rsidP="395A1A59">
      <w:pPr>
        <w:pStyle w:val="Newparagraph"/>
        <w:rPr>
          <w:b/>
          <w:bCs/>
        </w:rPr>
      </w:pPr>
      <w:r w:rsidRPr="395A1A59">
        <w:rPr>
          <w:b/>
          <w:bCs/>
        </w:rPr>
        <w:t xml:space="preserve">Figure 9: </w:t>
      </w:r>
      <w:r w:rsidR="31414462" w:rsidRPr="395A1A59">
        <w:rPr>
          <w:b/>
          <w:bCs/>
        </w:rPr>
        <w:t>Critical Thinking Ability</w:t>
      </w:r>
      <w:r w:rsidRPr="395A1A59">
        <w:rPr>
          <w:b/>
          <w:bCs/>
        </w:rPr>
        <w:t xml:space="preserve"> – age distribution by profile </w:t>
      </w:r>
    </w:p>
    <w:p w14:paraId="6E6C1D35" w14:textId="433115ED" w:rsidR="00212EBE" w:rsidRPr="00AC18C2" w:rsidRDefault="72C5D094" w:rsidP="395A1A59">
      <w:r>
        <w:rPr>
          <w:noProof/>
        </w:rPr>
        <w:drawing>
          <wp:inline distT="0" distB="0" distL="0" distR="0" wp14:anchorId="59B9AF57" wp14:editId="218196C2">
            <wp:extent cx="5810250" cy="3156186"/>
            <wp:effectExtent l="0" t="0" r="0" b="0"/>
            <wp:docPr id="976359033" name="Picture 976359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5810250" cy="3156186"/>
                    </a:xfrm>
                    <a:prstGeom prst="rect">
                      <a:avLst/>
                    </a:prstGeom>
                  </pic:spPr>
                </pic:pic>
              </a:graphicData>
            </a:graphic>
          </wp:inline>
        </w:drawing>
      </w:r>
    </w:p>
    <w:p w14:paraId="273B19C6" w14:textId="238EAD66" w:rsidR="00212EBE" w:rsidRPr="00AC18C2" w:rsidRDefault="2B2C0F2C" w:rsidP="395A1A59">
      <w:pPr>
        <w:pStyle w:val="Newparagraph"/>
        <w:rPr>
          <w:b/>
          <w:bCs/>
        </w:rPr>
      </w:pPr>
      <w:r w:rsidRPr="395A1A59">
        <w:rPr>
          <w:b/>
          <w:bCs/>
        </w:rPr>
        <w:t xml:space="preserve">Figure 10: </w:t>
      </w:r>
      <w:r w:rsidR="7E121592" w:rsidRPr="395A1A59">
        <w:rPr>
          <w:b/>
          <w:bCs/>
        </w:rPr>
        <w:t>Critical Thinking Ability</w:t>
      </w:r>
      <w:r w:rsidRPr="395A1A59">
        <w:rPr>
          <w:b/>
          <w:bCs/>
        </w:rPr>
        <w:t xml:space="preserve"> – gender distribution by profile</w:t>
      </w:r>
    </w:p>
    <w:p w14:paraId="20C89E5A" w14:textId="4848EA13" w:rsidR="00212EBE" w:rsidRPr="00AC18C2" w:rsidRDefault="04B3CD36" w:rsidP="395A1A59">
      <w:pPr>
        <w:rPr>
          <w:b/>
          <w:bCs/>
        </w:rPr>
      </w:pPr>
      <w:r>
        <w:rPr>
          <w:noProof/>
        </w:rPr>
        <w:drawing>
          <wp:inline distT="0" distB="0" distL="0" distR="0" wp14:anchorId="4C0390FF" wp14:editId="23A8C353">
            <wp:extent cx="5400675" cy="2647950"/>
            <wp:effectExtent l="0" t="0" r="0" b="0"/>
            <wp:docPr id="328531174" name="Picture 32853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5400675" cy="2647950"/>
                    </a:xfrm>
                    <a:prstGeom prst="rect">
                      <a:avLst/>
                    </a:prstGeom>
                  </pic:spPr>
                </pic:pic>
              </a:graphicData>
            </a:graphic>
          </wp:inline>
        </w:drawing>
      </w:r>
      <w:r w:rsidR="2B2C0F2C" w:rsidRPr="395A1A59">
        <w:rPr>
          <w:b/>
          <w:bCs/>
        </w:rPr>
        <w:t xml:space="preserve">Figure 11: </w:t>
      </w:r>
      <w:r w:rsidR="5911BE01" w:rsidRPr="395A1A59">
        <w:rPr>
          <w:b/>
          <w:bCs/>
        </w:rPr>
        <w:t>Critical Thinking Ability</w:t>
      </w:r>
      <w:r w:rsidR="2B2C0F2C" w:rsidRPr="395A1A59">
        <w:rPr>
          <w:b/>
          <w:bCs/>
        </w:rPr>
        <w:t xml:space="preserve"> – qualification level distribution by profile</w:t>
      </w:r>
    </w:p>
    <w:p w14:paraId="689A4755" w14:textId="08DEB022" w:rsidR="00212EBE" w:rsidRPr="00AC18C2" w:rsidRDefault="25E000E5" w:rsidP="395A1A59">
      <w:r>
        <w:rPr>
          <w:noProof/>
        </w:rPr>
        <w:lastRenderedPageBreak/>
        <w:drawing>
          <wp:inline distT="0" distB="0" distL="0" distR="0" wp14:anchorId="237F50A8" wp14:editId="3BE220B3">
            <wp:extent cx="5602569" cy="4524376"/>
            <wp:effectExtent l="0" t="0" r="0" b="0"/>
            <wp:docPr id="1014855645" name="Picture 1014855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5602569" cy="4524376"/>
                    </a:xfrm>
                    <a:prstGeom prst="rect">
                      <a:avLst/>
                    </a:prstGeom>
                  </pic:spPr>
                </pic:pic>
              </a:graphicData>
            </a:graphic>
          </wp:inline>
        </w:drawing>
      </w:r>
    </w:p>
    <w:p w14:paraId="3B906F77" w14:textId="6CECDE65" w:rsidR="00212EBE" w:rsidRPr="00AC18C2" w:rsidRDefault="2B2C0F2C" w:rsidP="395A1A59">
      <w:pPr>
        <w:pStyle w:val="Newparagraph"/>
        <w:rPr>
          <w:b/>
          <w:bCs/>
        </w:rPr>
      </w:pPr>
      <w:commentRangeStart w:id="12"/>
      <w:r w:rsidRPr="395A1A59">
        <w:rPr>
          <w:b/>
          <w:bCs/>
        </w:rPr>
        <w:t xml:space="preserve">Figure 12: </w:t>
      </w:r>
      <w:r w:rsidR="2DEB770E" w:rsidRPr="395A1A59">
        <w:rPr>
          <w:b/>
          <w:bCs/>
        </w:rPr>
        <w:t xml:space="preserve">Critical </w:t>
      </w:r>
      <w:commentRangeEnd w:id="12"/>
      <w:r w:rsidR="00747893">
        <w:rPr>
          <w:rStyle w:val="CommentReference"/>
        </w:rPr>
        <w:commentReference w:id="12"/>
      </w:r>
      <w:r w:rsidR="2DEB770E" w:rsidRPr="395A1A59">
        <w:rPr>
          <w:b/>
          <w:bCs/>
        </w:rPr>
        <w:t>Thinking Ability</w:t>
      </w:r>
      <w:r w:rsidRPr="395A1A59">
        <w:rPr>
          <w:b/>
          <w:bCs/>
        </w:rPr>
        <w:t xml:space="preserve"> – occupation distribution by profile</w:t>
      </w:r>
    </w:p>
    <w:p w14:paraId="7D763F8B" w14:textId="57B0CE75" w:rsidR="00212EBE" w:rsidRPr="00AC18C2" w:rsidRDefault="1249FAE1" w:rsidP="395A1A59">
      <w:r>
        <w:rPr>
          <w:noProof/>
        </w:rPr>
        <w:lastRenderedPageBreak/>
        <w:drawing>
          <wp:inline distT="0" distB="0" distL="0" distR="0" wp14:anchorId="4F995EBD" wp14:editId="3695BCCE">
            <wp:extent cx="5400675" cy="4905374"/>
            <wp:effectExtent l="0" t="0" r="0" b="0"/>
            <wp:docPr id="1097959924" name="Picture 1097959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5400675" cy="4905374"/>
                    </a:xfrm>
                    <a:prstGeom prst="rect">
                      <a:avLst/>
                    </a:prstGeom>
                  </pic:spPr>
                </pic:pic>
              </a:graphicData>
            </a:graphic>
          </wp:inline>
        </w:drawing>
      </w:r>
      <w:commentRangeStart w:id="13"/>
      <w:r w:rsidR="00212EBE">
        <w:t xml:space="preserve">Table </w:t>
      </w:r>
      <w:r w:rsidR="22D9DA71">
        <w:t>9</w:t>
      </w:r>
      <w:r w:rsidR="00212EBE">
        <w:t xml:space="preserve">: Critical </w:t>
      </w:r>
      <w:commentRangeEnd w:id="13"/>
      <w:r w:rsidR="00747893">
        <w:rPr>
          <w:rStyle w:val="CommentReference"/>
        </w:rPr>
        <w:commentReference w:id="13"/>
      </w:r>
      <w:r w:rsidR="00212EBE">
        <w:t>thinking ability importance of ideas-engagement by profile</w:t>
      </w:r>
    </w:p>
    <w:tbl>
      <w:tblPr>
        <w:tblStyle w:val="TableGrid"/>
        <w:tblW w:w="8685" w:type="dxa"/>
        <w:tblLook w:val="04A0" w:firstRow="1" w:lastRow="0" w:firstColumn="1" w:lastColumn="0" w:noHBand="0" w:noVBand="1"/>
      </w:tblPr>
      <w:tblGrid>
        <w:gridCol w:w="4674"/>
        <w:gridCol w:w="1337"/>
        <w:gridCol w:w="1337"/>
        <w:gridCol w:w="1337"/>
      </w:tblGrid>
      <w:tr w:rsidR="00A96FCC" w14:paraId="0C0EE953" w14:textId="77777777" w:rsidTr="00DF0CBF">
        <w:trPr>
          <w:trHeight w:val="289"/>
        </w:trPr>
        <w:tc>
          <w:tcPr>
            <w:tcW w:w="4674" w:type="dxa"/>
          </w:tcPr>
          <w:p w14:paraId="24E860B6" w14:textId="77777777" w:rsidR="00A96FCC" w:rsidRPr="00D94C67" w:rsidRDefault="00A96FCC" w:rsidP="00A96FCC">
            <w:pPr>
              <w:spacing w:line="240" w:lineRule="auto"/>
              <w:rPr>
                <w:rFonts w:ascii="Times New Roman" w:hAnsi="Times New Roman" w:cs="Times New Roman"/>
              </w:rPr>
            </w:pPr>
          </w:p>
        </w:tc>
        <w:tc>
          <w:tcPr>
            <w:tcW w:w="1337" w:type="dxa"/>
          </w:tcPr>
          <w:p w14:paraId="5265ABB7" w14:textId="77777777" w:rsidR="00A96FCC" w:rsidRPr="00A96FCC" w:rsidRDefault="00A96FCC" w:rsidP="00ED43D6">
            <w:pPr>
              <w:spacing w:line="240" w:lineRule="auto"/>
              <w:jc w:val="center"/>
              <w:rPr>
                <w:rFonts w:ascii="Times New Roman" w:hAnsi="Times New Roman" w:cs="Times New Roman"/>
                <w:b/>
                <w:bCs/>
              </w:rPr>
            </w:pPr>
            <w:r w:rsidRPr="00A96FCC">
              <w:rPr>
                <w:rFonts w:ascii="Times New Roman" w:hAnsi="Times New Roman" w:cs="Times New Roman"/>
                <w:b/>
                <w:bCs/>
              </w:rPr>
              <w:t>Profile 1</w:t>
            </w:r>
          </w:p>
          <w:p w14:paraId="01D2EDD4" w14:textId="217969AB" w:rsidR="00A96FCC" w:rsidRPr="00D94C67" w:rsidRDefault="00A96FCC" w:rsidP="00ED43D6">
            <w:pPr>
              <w:spacing w:line="240" w:lineRule="auto"/>
              <w:jc w:val="center"/>
              <w:rPr>
                <w:rFonts w:ascii="Times New Roman" w:hAnsi="Times New Roman" w:cs="Times New Roman"/>
                <w:b/>
                <w:bCs/>
              </w:rPr>
            </w:pPr>
            <w:r w:rsidRPr="00A96FCC">
              <w:rPr>
                <w:rFonts w:ascii="Times New Roman" w:hAnsi="Times New Roman" w:cs="Times New Roman"/>
                <w:sz w:val="20"/>
                <w:szCs w:val="20"/>
              </w:rPr>
              <w:t>lowest level of critical thinking ability</w:t>
            </w:r>
          </w:p>
        </w:tc>
        <w:tc>
          <w:tcPr>
            <w:tcW w:w="1337" w:type="dxa"/>
          </w:tcPr>
          <w:p w14:paraId="6C14A1EA" w14:textId="77777777" w:rsidR="00A96FCC" w:rsidRPr="00A96FCC" w:rsidRDefault="00A96FCC" w:rsidP="00ED43D6">
            <w:pPr>
              <w:spacing w:line="240" w:lineRule="auto"/>
              <w:jc w:val="center"/>
              <w:rPr>
                <w:rFonts w:ascii="Times New Roman" w:hAnsi="Times New Roman" w:cs="Times New Roman"/>
                <w:b/>
                <w:bCs/>
              </w:rPr>
            </w:pPr>
            <w:r w:rsidRPr="00A96FCC">
              <w:rPr>
                <w:rFonts w:ascii="Times New Roman" w:hAnsi="Times New Roman" w:cs="Times New Roman"/>
                <w:b/>
                <w:bCs/>
              </w:rPr>
              <w:t>Profile 2</w:t>
            </w:r>
          </w:p>
          <w:p w14:paraId="13FA8AFA" w14:textId="6E9471F6" w:rsidR="00A96FCC" w:rsidRPr="00D94C67" w:rsidRDefault="00A96FCC" w:rsidP="00ED43D6">
            <w:pPr>
              <w:spacing w:line="240" w:lineRule="auto"/>
              <w:jc w:val="center"/>
              <w:rPr>
                <w:rFonts w:ascii="Times New Roman" w:hAnsi="Times New Roman" w:cs="Times New Roman"/>
                <w:b/>
                <w:bCs/>
              </w:rPr>
            </w:pPr>
            <w:r>
              <w:rPr>
                <w:rFonts w:ascii="Times New Roman" w:hAnsi="Times New Roman" w:cs="Times New Roman"/>
                <w:sz w:val="20"/>
                <w:szCs w:val="20"/>
              </w:rPr>
              <w:t>m</w:t>
            </w:r>
            <w:r w:rsidRPr="00A96FCC">
              <w:rPr>
                <w:rFonts w:ascii="Times New Roman" w:hAnsi="Times New Roman" w:cs="Times New Roman"/>
                <w:sz w:val="20"/>
                <w:szCs w:val="20"/>
              </w:rPr>
              <w:t>oderate level of critical thinking ability</w:t>
            </w:r>
          </w:p>
        </w:tc>
        <w:tc>
          <w:tcPr>
            <w:tcW w:w="1337" w:type="dxa"/>
          </w:tcPr>
          <w:p w14:paraId="1813E250" w14:textId="77777777" w:rsidR="00A96FCC" w:rsidRPr="00A96FCC" w:rsidRDefault="00A96FCC" w:rsidP="00ED43D6">
            <w:pPr>
              <w:spacing w:line="240" w:lineRule="auto"/>
              <w:jc w:val="center"/>
              <w:rPr>
                <w:rFonts w:ascii="Times New Roman" w:hAnsi="Times New Roman" w:cs="Times New Roman"/>
                <w:b/>
                <w:bCs/>
              </w:rPr>
            </w:pPr>
            <w:r w:rsidRPr="00A96FCC">
              <w:rPr>
                <w:rFonts w:ascii="Times New Roman" w:hAnsi="Times New Roman" w:cs="Times New Roman"/>
                <w:b/>
                <w:bCs/>
              </w:rPr>
              <w:t>Profile 3</w:t>
            </w:r>
          </w:p>
          <w:p w14:paraId="0DB24BB4" w14:textId="4DDDC9DD" w:rsidR="00A96FCC" w:rsidRPr="00D94C67" w:rsidRDefault="00A96FCC" w:rsidP="00ED43D6">
            <w:pPr>
              <w:spacing w:line="240" w:lineRule="auto"/>
              <w:jc w:val="center"/>
              <w:rPr>
                <w:rFonts w:ascii="Times New Roman" w:hAnsi="Times New Roman" w:cs="Times New Roman"/>
                <w:b/>
                <w:bCs/>
              </w:rPr>
            </w:pPr>
            <w:r w:rsidRPr="00A96FCC">
              <w:rPr>
                <w:rFonts w:ascii="Times New Roman" w:hAnsi="Times New Roman" w:cs="Times New Roman"/>
                <w:sz w:val="20"/>
                <w:szCs w:val="20"/>
              </w:rPr>
              <w:t>highest level of critical thinking ability</w:t>
            </w:r>
          </w:p>
        </w:tc>
      </w:tr>
      <w:tr w:rsidR="00212EBE" w14:paraId="0DB83674" w14:textId="77777777" w:rsidTr="00DF0CBF">
        <w:trPr>
          <w:trHeight w:val="289"/>
        </w:trPr>
        <w:tc>
          <w:tcPr>
            <w:tcW w:w="4674" w:type="dxa"/>
            <w:vAlign w:val="center"/>
          </w:tcPr>
          <w:p w14:paraId="3319B9B8" w14:textId="4D3C87E8" w:rsidR="00212EBE" w:rsidRPr="00212EBE" w:rsidRDefault="00212EBE" w:rsidP="00ED43D6">
            <w:pPr>
              <w:spacing w:line="240" w:lineRule="auto"/>
              <w:rPr>
                <w:rFonts w:ascii="Times New Roman" w:hAnsi="Times New Roman" w:cs="Times New Roman"/>
              </w:rPr>
            </w:pPr>
            <w:r w:rsidRPr="00212EBE">
              <w:rPr>
                <w:rFonts w:ascii="Times New Roman" w:hAnsi="Times New Roman" w:cs="Times New Roman"/>
                <w:b/>
                <w:bCs/>
                <w:color w:val="000000"/>
              </w:rPr>
              <w:t>Not important</w:t>
            </w:r>
          </w:p>
        </w:tc>
        <w:tc>
          <w:tcPr>
            <w:tcW w:w="1337" w:type="dxa"/>
            <w:vAlign w:val="center"/>
          </w:tcPr>
          <w:p w14:paraId="7CF693E4" w14:textId="1BA3A92F"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2%</w:t>
            </w:r>
          </w:p>
        </w:tc>
        <w:tc>
          <w:tcPr>
            <w:tcW w:w="1337" w:type="dxa"/>
            <w:vAlign w:val="center"/>
          </w:tcPr>
          <w:p w14:paraId="1A94A00B" w14:textId="00252E9C"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0%</w:t>
            </w:r>
          </w:p>
        </w:tc>
        <w:tc>
          <w:tcPr>
            <w:tcW w:w="1337" w:type="dxa"/>
            <w:vAlign w:val="center"/>
          </w:tcPr>
          <w:p w14:paraId="52CC968B" w14:textId="362A1003"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0%</w:t>
            </w:r>
          </w:p>
        </w:tc>
      </w:tr>
      <w:tr w:rsidR="00212EBE" w14:paraId="77D050DC" w14:textId="77777777" w:rsidTr="00DF0CBF">
        <w:trPr>
          <w:trHeight w:val="289"/>
        </w:trPr>
        <w:tc>
          <w:tcPr>
            <w:tcW w:w="4674" w:type="dxa"/>
            <w:vAlign w:val="center"/>
          </w:tcPr>
          <w:p w14:paraId="6F0DBF74" w14:textId="6A71C72B" w:rsidR="00212EBE" w:rsidRPr="00212EBE" w:rsidRDefault="00212EBE" w:rsidP="00ED43D6">
            <w:pPr>
              <w:spacing w:line="240" w:lineRule="auto"/>
              <w:rPr>
                <w:rFonts w:ascii="Times New Roman" w:hAnsi="Times New Roman" w:cs="Times New Roman"/>
              </w:rPr>
            </w:pPr>
            <w:r w:rsidRPr="00212EBE">
              <w:rPr>
                <w:rFonts w:ascii="Times New Roman" w:hAnsi="Times New Roman" w:cs="Times New Roman"/>
                <w:b/>
                <w:bCs/>
                <w:color w:val="000000"/>
              </w:rPr>
              <w:t>Somewhat important</w:t>
            </w:r>
          </w:p>
        </w:tc>
        <w:tc>
          <w:tcPr>
            <w:tcW w:w="1337" w:type="dxa"/>
            <w:vAlign w:val="center"/>
          </w:tcPr>
          <w:p w14:paraId="7D76B1A2" w14:textId="5EEF8B95"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3%</w:t>
            </w:r>
          </w:p>
        </w:tc>
        <w:tc>
          <w:tcPr>
            <w:tcW w:w="1337" w:type="dxa"/>
            <w:vAlign w:val="center"/>
          </w:tcPr>
          <w:p w14:paraId="4D8994A7" w14:textId="4C2BCBCB"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2%</w:t>
            </w:r>
          </w:p>
        </w:tc>
        <w:tc>
          <w:tcPr>
            <w:tcW w:w="1337" w:type="dxa"/>
            <w:vAlign w:val="center"/>
          </w:tcPr>
          <w:p w14:paraId="3218ADCD" w14:textId="0106E163"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2%</w:t>
            </w:r>
          </w:p>
        </w:tc>
      </w:tr>
      <w:tr w:rsidR="00212EBE" w14:paraId="46C81C4C" w14:textId="77777777" w:rsidTr="00DF0CBF">
        <w:trPr>
          <w:trHeight w:val="289"/>
        </w:trPr>
        <w:tc>
          <w:tcPr>
            <w:tcW w:w="4674" w:type="dxa"/>
            <w:vAlign w:val="center"/>
          </w:tcPr>
          <w:p w14:paraId="0DBAFB64" w14:textId="4E6512CA" w:rsidR="00212EBE" w:rsidRPr="00212EBE" w:rsidRDefault="00212EBE" w:rsidP="00ED43D6">
            <w:pPr>
              <w:spacing w:line="240" w:lineRule="auto"/>
              <w:rPr>
                <w:rFonts w:ascii="Times New Roman" w:hAnsi="Times New Roman" w:cs="Times New Roman"/>
              </w:rPr>
            </w:pPr>
            <w:r w:rsidRPr="00212EBE">
              <w:rPr>
                <w:rFonts w:ascii="Times New Roman" w:hAnsi="Times New Roman" w:cs="Times New Roman"/>
                <w:b/>
                <w:bCs/>
                <w:color w:val="000000"/>
              </w:rPr>
              <w:t>Neither important or unimportant</w:t>
            </w:r>
          </w:p>
        </w:tc>
        <w:tc>
          <w:tcPr>
            <w:tcW w:w="1337" w:type="dxa"/>
            <w:vAlign w:val="center"/>
          </w:tcPr>
          <w:p w14:paraId="594ADB5B" w14:textId="7A7BB71B"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20%</w:t>
            </w:r>
          </w:p>
        </w:tc>
        <w:tc>
          <w:tcPr>
            <w:tcW w:w="1337" w:type="dxa"/>
            <w:vAlign w:val="center"/>
          </w:tcPr>
          <w:p w14:paraId="27CE1C75" w14:textId="03D6BDBC"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9%</w:t>
            </w:r>
          </w:p>
        </w:tc>
        <w:tc>
          <w:tcPr>
            <w:tcW w:w="1337" w:type="dxa"/>
            <w:vAlign w:val="center"/>
          </w:tcPr>
          <w:p w14:paraId="29268BA6" w14:textId="1B045CCF"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3%</w:t>
            </w:r>
          </w:p>
        </w:tc>
      </w:tr>
      <w:tr w:rsidR="00212EBE" w14:paraId="490B6947" w14:textId="77777777" w:rsidTr="00DF0CBF">
        <w:trPr>
          <w:trHeight w:val="289"/>
        </w:trPr>
        <w:tc>
          <w:tcPr>
            <w:tcW w:w="4674" w:type="dxa"/>
            <w:vAlign w:val="center"/>
          </w:tcPr>
          <w:p w14:paraId="05F263E8" w14:textId="0D9EE542" w:rsidR="00212EBE" w:rsidRPr="00212EBE" w:rsidRDefault="00212EBE" w:rsidP="00ED43D6">
            <w:pPr>
              <w:spacing w:line="240" w:lineRule="auto"/>
              <w:rPr>
                <w:rFonts w:ascii="Times New Roman" w:hAnsi="Times New Roman" w:cs="Times New Roman"/>
              </w:rPr>
            </w:pPr>
            <w:r w:rsidRPr="00212EBE">
              <w:rPr>
                <w:rFonts w:ascii="Times New Roman" w:hAnsi="Times New Roman" w:cs="Times New Roman"/>
                <w:b/>
                <w:bCs/>
                <w:color w:val="000000"/>
              </w:rPr>
              <w:t>Important</w:t>
            </w:r>
          </w:p>
        </w:tc>
        <w:tc>
          <w:tcPr>
            <w:tcW w:w="1337" w:type="dxa"/>
            <w:vAlign w:val="center"/>
          </w:tcPr>
          <w:p w14:paraId="3EEF7C05" w14:textId="2ACEC1F3"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51%</w:t>
            </w:r>
          </w:p>
        </w:tc>
        <w:tc>
          <w:tcPr>
            <w:tcW w:w="1337" w:type="dxa"/>
            <w:vAlign w:val="center"/>
          </w:tcPr>
          <w:p w14:paraId="0475A343" w14:textId="09076E6C"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52%</w:t>
            </w:r>
          </w:p>
        </w:tc>
        <w:tc>
          <w:tcPr>
            <w:tcW w:w="1337" w:type="dxa"/>
            <w:vAlign w:val="center"/>
          </w:tcPr>
          <w:p w14:paraId="3004F3D8" w14:textId="64CFFDAE"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29%</w:t>
            </w:r>
          </w:p>
        </w:tc>
      </w:tr>
      <w:tr w:rsidR="00212EBE" w14:paraId="5FBFFEA5" w14:textId="77777777" w:rsidTr="00DF0CBF">
        <w:trPr>
          <w:trHeight w:val="289"/>
        </w:trPr>
        <w:tc>
          <w:tcPr>
            <w:tcW w:w="4674" w:type="dxa"/>
            <w:vAlign w:val="center"/>
          </w:tcPr>
          <w:p w14:paraId="55D2B164" w14:textId="3CF24349" w:rsidR="00212EBE" w:rsidRPr="00212EBE" w:rsidRDefault="00212EBE" w:rsidP="00ED43D6">
            <w:pPr>
              <w:spacing w:line="240" w:lineRule="auto"/>
              <w:rPr>
                <w:rFonts w:ascii="Times New Roman" w:hAnsi="Times New Roman" w:cs="Times New Roman"/>
              </w:rPr>
            </w:pPr>
            <w:r w:rsidRPr="00212EBE">
              <w:rPr>
                <w:rFonts w:ascii="Times New Roman" w:hAnsi="Times New Roman" w:cs="Times New Roman"/>
                <w:b/>
                <w:bCs/>
                <w:color w:val="000000"/>
              </w:rPr>
              <w:t>Very important</w:t>
            </w:r>
          </w:p>
        </w:tc>
        <w:tc>
          <w:tcPr>
            <w:tcW w:w="1337" w:type="dxa"/>
            <w:vAlign w:val="center"/>
          </w:tcPr>
          <w:p w14:paraId="0EEC390D" w14:textId="2AEA74CE"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24%</w:t>
            </w:r>
          </w:p>
        </w:tc>
        <w:tc>
          <w:tcPr>
            <w:tcW w:w="1337" w:type="dxa"/>
            <w:vAlign w:val="center"/>
          </w:tcPr>
          <w:p w14:paraId="17555488" w14:textId="4C203562"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37%</w:t>
            </w:r>
          </w:p>
        </w:tc>
        <w:tc>
          <w:tcPr>
            <w:tcW w:w="1337" w:type="dxa"/>
            <w:vAlign w:val="center"/>
          </w:tcPr>
          <w:p w14:paraId="3F98B0B6" w14:textId="21F621B1"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66%</w:t>
            </w:r>
          </w:p>
        </w:tc>
      </w:tr>
      <w:tr w:rsidR="00212EBE" w14:paraId="4725274E" w14:textId="77777777" w:rsidTr="00DF0CBF">
        <w:trPr>
          <w:trHeight w:val="289"/>
        </w:trPr>
        <w:tc>
          <w:tcPr>
            <w:tcW w:w="4674" w:type="dxa"/>
            <w:vAlign w:val="center"/>
          </w:tcPr>
          <w:p w14:paraId="6398F98C" w14:textId="77777777" w:rsidR="00212EBE" w:rsidRPr="00D94C67" w:rsidRDefault="00212EBE" w:rsidP="00ED43D6">
            <w:pPr>
              <w:spacing w:line="240" w:lineRule="auto"/>
              <w:rPr>
                <w:rFonts w:ascii="Times New Roman" w:hAnsi="Times New Roman" w:cs="Times New Roman"/>
              </w:rPr>
            </w:pPr>
            <w:r w:rsidRPr="00D94C67">
              <w:rPr>
                <w:rFonts w:ascii="Times New Roman" w:hAnsi="Times New Roman" w:cs="Times New Roman"/>
                <w:b/>
                <w:bCs/>
                <w:color w:val="000000"/>
              </w:rPr>
              <w:t>Total</w:t>
            </w:r>
          </w:p>
        </w:tc>
        <w:tc>
          <w:tcPr>
            <w:tcW w:w="1337" w:type="dxa"/>
            <w:vAlign w:val="center"/>
          </w:tcPr>
          <w:p w14:paraId="7EAA687E" w14:textId="77777777" w:rsidR="00212EBE" w:rsidRPr="00D94C67" w:rsidRDefault="00212EBE" w:rsidP="00DF0CBF">
            <w:pPr>
              <w:spacing w:line="240" w:lineRule="auto"/>
              <w:jc w:val="center"/>
              <w:rPr>
                <w:rFonts w:ascii="Times New Roman" w:hAnsi="Times New Roman" w:cs="Times New Roman"/>
              </w:rPr>
            </w:pPr>
            <w:r w:rsidRPr="00D94C67">
              <w:rPr>
                <w:rFonts w:ascii="Times New Roman" w:hAnsi="Times New Roman" w:cs="Times New Roman"/>
                <w:color w:val="000000"/>
              </w:rPr>
              <w:t>100%</w:t>
            </w:r>
          </w:p>
        </w:tc>
        <w:tc>
          <w:tcPr>
            <w:tcW w:w="1337" w:type="dxa"/>
            <w:vAlign w:val="center"/>
          </w:tcPr>
          <w:p w14:paraId="6A77948B" w14:textId="77777777" w:rsidR="00212EBE" w:rsidRPr="00D94C67" w:rsidRDefault="00212EBE" w:rsidP="00DF0CBF">
            <w:pPr>
              <w:spacing w:line="240" w:lineRule="auto"/>
              <w:jc w:val="center"/>
              <w:rPr>
                <w:rFonts w:ascii="Times New Roman" w:hAnsi="Times New Roman" w:cs="Times New Roman"/>
              </w:rPr>
            </w:pPr>
            <w:r w:rsidRPr="00D94C67">
              <w:rPr>
                <w:rFonts w:ascii="Times New Roman" w:hAnsi="Times New Roman" w:cs="Times New Roman"/>
                <w:color w:val="000000"/>
              </w:rPr>
              <w:t>100%</w:t>
            </w:r>
          </w:p>
        </w:tc>
        <w:tc>
          <w:tcPr>
            <w:tcW w:w="1337" w:type="dxa"/>
            <w:vAlign w:val="center"/>
          </w:tcPr>
          <w:p w14:paraId="088A928F" w14:textId="77777777" w:rsidR="00212EBE" w:rsidRPr="00D94C67" w:rsidRDefault="00212EBE" w:rsidP="00DF0CBF">
            <w:pPr>
              <w:spacing w:line="240" w:lineRule="auto"/>
              <w:jc w:val="center"/>
              <w:rPr>
                <w:rFonts w:ascii="Times New Roman" w:hAnsi="Times New Roman" w:cs="Times New Roman"/>
              </w:rPr>
            </w:pPr>
            <w:r w:rsidRPr="00D94C67">
              <w:rPr>
                <w:rFonts w:ascii="Times New Roman" w:hAnsi="Times New Roman" w:cs="Times New Roman"/>
                <w:color w:val="000000"/>
              </w:rPr>
              <w:t>100%</w:t>
            </w:r>
          </w:p>
        </w:tc>
      </w:tr>
    </w:tbl>
    <w:p w14:paraId="3B8B6A13" w14:textId="38BAE14E" w:rsidR="00212EBE" w:rsidRDefault="004E6F25" w:rsidP="00212EBE">
      <w:pPr>
        <w:rPr>
          <w:lang w:eastAsia="zh-CN"/>
        </w:rPr>
      </w:pPr>
      <w:r>
        <w:rPr>
          <w:i/>
          <w:iCs/>
          <w:sz w:val="22"/>
          <w:szCs w:val="22"/>
        </w:rPr>
        <w:t>χ</w:t>
      </w:r>
      <w:r w:rsidR="00212EBE">
        <w:rPr>
          <w:i/>
          <w:iCs/>
          <w:vertAlign w:val="superscript"/>
        </w:rPr>
        <w:t>2</w:t>
      </w:r>
      <w:r w:rsidR="00212EBE">
        <w:rPr>
          <w:i/>
          <w:iCs/>
        </w:rPr>
        <w:t xml:space="preserve"> </w:t>
      </w:r>
      <w:r w:rsidR="00212EBE">
        <w:t xml:space="preserve">= 656.14, </w:t>
      </w:r>
      <w:r w:rsidR="00212EBE">
        <w:rPr>
          <w:i/>
          <w:iCs/>
        </w:rPr>
        <w:t xml:space="preserve">p </w:t>
      </w:r>
      <w:r w:rsidR="00212EBE">
        <w:t xml:space="preserve">&lt; 0.001, </w:t>
      </w:r>
      <w:r w:rsidR="00212EBE">
        <w:rPr>
          <w:i/>
          <w:iCs/>
        </w:rPr>
        <w:t xml:space="preserve">df </w:t>
      </w:r>
      <w:r w:rsidR="00212EBE">
        <w:t>= 8</w:t>
      </w:r>
      <w:r>
        <w:rPr>
          <w:rFonts w:hint="eastAsia"/>
          <w:lang w:eastAsia="zh-CN"/>
        </w:rPr>
        <w:t xml:space="preserve">, </w:t>
      </w:r>
      <w:r w:rsidRPr="004E6F25">
        <w:rPr>
          <w:lang w:eastAsia="zh-CN"/>
        </w:rPr>
        <w:t>Cramér's V =   0.215</w:t>
      </w:r>
    </w:p>
    <w:p w14:paraId="7A80ADD3" w14:textId="5871D5D1" w:rsidR="00212EBE" w:rsidRPr="00AC18C2" w:rsidRDefault="434FC215" w:rsidP="00212EBE">
      <w:pPr>
        <w:pStyle w:val="Tabletitle"/>
      </w:pPr>
      <w:r>
        <w:t>Table</w:t>
      </w:r>
      <w:r w:rsidR="00212EBE">
        <w:t xml:space="preserve"> </w:t>
      </w:r>
      <w:r w:rsidR="1B4C7CD3">
        <w:t>10</w:t>
      </w:r>
      <w:r w:rsidR="00212EBE">
        <w:t>: Critical thinking ability – extent to which respondents believe the statement ‘there is evidence to suggest the Earth is actually flat, rather than round’ to be true.</w:t>
      </w:r>
    </w:p>
    <w:tbl>
      <w:tblPr>
        <w:tblStyle w:val="TableGrid"/>
        <w:tblW w:w="8685" w:type="dxa"/>
        <w:tblLook w:val="04A0" w:firstRow="1" w:lastRow="0" w:firstColumn="1" w:lastColumn="0" w:noHBand="0" w:noVBand="1"/>
      </w:tblPr>
      <w:tblGrid>
        <w:gridCol w:w="4674"/>
        <w:gridCol w:w="1337"/>
        <w:gridCol w:w="1337"/>
        <w:gridCol w:w="1337"/>
      </w:tblGrid>
      <w:tr w:rsidR="00A96FCC" w14:paraId="3B1412E8" w14:textId="77777777" w:rsidTr="00DF0CBF">
        <w:trPr>
          <w:trHeight w:val="289"/>
        </w:trPr>
        <w:tc>
          <w:tcPr>
            <w:tcW w:w="4674" w:type="dxa"/>
          </w:tcPr>
          <w:p w14:paraId="77220C75" w14:textId="77777777" w:rsidR="00A96FCC" w:rsidRPr="00D94C67" w:rsidRDefault="00A96FCC" w:rsidP="00A96FCC">
            <w:pPr>
              <w:spacing w:line="240" w:lineRule="auto"/>
              <w:rPr>
                <w:rFonts w:ascii="Times New Roman" w:hAnsi="Times New Roman" w:cs="Times New Roman"/>
              </w:rPr>
            </w:pPr>
          </w:p>
        </w:tc>
        <w:tc>
          <w:tcPr>
            <w:tcW w:w="1337" w:type="dxa"/>
          </w:tcPr>
          <w:p w14:paraId="0C683160" w14:textId="77777777" w:rsidR="00A96FCC" w:rsidRPr="00A96FCC" w:rsidRDefault="00A96FCC" w:rsidP="00ED43D6">
            <w:pPr>
              <w:spacing w:line="240" w:lineRule="auto"/>
              <w:jc w:val="center"/>
              <w:rPr>
                <w:rFonts w:ascii="Times New Roman" w:hAnsi="Times New Roman" w:cs="Times New Roman"/>
                <w:b/>
                <w:bCs/>
              </w:rPr>
            </w:pPr>
            <w:r w:rsidRPr="00A96FCC">
              <w:rPr>
                <w:rFonts w:ascii="Times New Roman" w:hAnsi="Times New Roman" w:cs="Times New Roman"/>
                <w:b/>
                <w:bCs/>
              </w:rPr>
              <w:t>Profile 1</w:t>
            </w:r>
          </w:p>
          <w:p w14:paraId="7044CB61" w14:textId="143AE97F" w:rsidR="00A96FCC" w:rsidRPr="00D94C67" w:rsidRDefault="00A96FCC" w:rsidP="00ED43D6">
            <w:pPr>
              <w:spacing w:line="240" w:lineRule="auto"/>
              <w:jc w:val="center"/>
              <w:rPr>
                <w:rFonts w:ascii="Times New Roman" w:hAnsi="Times New Roman" w:cs="Times New Roman"/>
                <w:b/>
                <w:bCs/>
              </w:rPr>
            </w:pPr>
            <w:r w:rsidRPr="00A96FCC">
              <w:rPr>
                <w:rFonts w:ascii="Times New Roman" w:hAnsi="Times New Roman" w:cs="Times New Roman"/>
                <w:sz w:val="20"/>
                <w:szCs w:val="20"/>
              </w:rPr>
              <w:lastRenderedPageBreak/>
              <w:t>lowest level of critical thinking ability</w:t>
            </w:r>
          </w:p>
        </w:tc>
        <w:tc>
          <w:tcPr>
            <w:tcW w:w="1337" w:type="dxa"/>
          </w:tcPr>
          <w:p w14:paraId="669E6B92" w14:textId="77777777" w:rsidR="00A96FCC" w:rsidRPr="00A96FCC" w:rsidRDefault="00A96FCC" w:rsidP="00ED43D6">
            <w:pPr>
              <w:spacing w:line="240" w:lineRule="auto"/>
              <w:jc w:val="center"/>
              <w:rPr>
                <w:rFonts w:ascii="Times New Roman" w:hAnsi="Times New Roman" w:cs="Times New Roman"/>
                <w:b/>
                <w:bCs/>
              </w:rPr>
            </w:pPr>
            <w:r w:rsidRPr="00A96FCC">
              <w:rPr>
                <w:rFonts w:ascii="Times New Roman" w:hAnsi="Times New Roman" w:cs="Times New Roman"/>
                <w:b/>
                <w:bCs/>
              </w:rPr>
              <w:lastRenderedPageBreak/>
              <w:t>Profile 2</w:t>
            </w:r>
          </w:p>
          <w:p w14:paraId="1A3B4825" w14:textId="6691ACFC" w:rsidR="00A96FCC" w:rsidRPr="00D94C67" w:rsidRDefault="00A96FCC" w:rsidP="00ED43D6">
            <w:pPr>
              <w:spacing w:line="240" w:lineRule="auto"/>
              <w:jc w:val="center"/>
              <w:rPr>
                <w:rFonts w:ascii="Times New Roman" w:hAnsi="Times New Roman" w:cs="Times New Roman"/>
                <w:b/>
                <w:bCs/>
              </w:rPr>
            </w:pPr>
            <w:r>
              <w:rPr>
                <w:rFonts w:ascii="Times New Roman" w:hAnsi="Times New Roman" w:cs="Times New Roman"/>
                <w:sz w:val="20"/>
                <w:szCs w:val="20"/>
              </w:rPr>
              <w:lastRenderedPageBreak/>
              <w:t>m</w:t>
            </w:r>
            <w:r w:rsidRPr="00A96FCC">
              <w:rPr>
                <w:rFonts w:ascii="Times New Roman" w:hAnsi="Times New Roman" w:cs="Times New Roman"/>
                <w:sz w:val="20"/>
                <w:szCs w:val="20"/>
              </w:rPr>
              <w:t>oderate level of critical thinking ability</w:t>
            </w:r>
          </w:p>
        </w:tc>
        <w:tc>
          <w:tcPr>
            <w:tcW w:w="1337" w:type="dxa"/>
          </w:tcPr>
          <w:p w14:paraId="68C3F5A7" w14:textId="77777777" w:rsidR="00A96FCC" w:rsidRPr="00A96FCC" w:rsidRDefault="00A96FCC" w:rsidP="00ED43D6">
            <w:pPr>
              <w:spacing w:line="240" w:lineRule="auto"/>
              <w:jc w:val="center"/>
              <w:rPr>
                <w:rFonts w:ascii="Times New Roman" w:hAnsi="Times New Roman" w:cs="Times New Roman"/>
                <w:b/>
                <w:bCs/>
              </w:rPr>
            </w:pPr>
            <w:r w:rsidRPr="00A96FCC">
              <w:rPr>
                <w:rFonts w:ascii="Times New Roman" w:hAnsi="Times New Roman" w:cs="Times New Roman"/>
                <w:b/>
                <w:bCs/>
              </w:rPr>
              <w:lastRenderedPageBreak/>
              <w:t>Profile 3</w:t>
            </w:r>
          </w:p>
          <w:p w14:paraId="6F4B6950" w14:textId="40B3E8B3" w:rsidR="00A96FCC" w:rsidRPr="00D94C67" w:rsidRDefault="00A96FCC" w:rsidP="00ED43D6">
            <w:pPr>
              <w:spacing w:line="240" w:lineRule="auto"/>
              <w:jc w:val="center"/>
              <w:rPr>
                <w:rFonts w:ascii="Times New Roman" w:hAnsi="Times New Roman" w:cs="Times New Roman"/>
                <w:b/>
                <w:bCs/>
              </w:rPr>
            </w:pPr>
            <w:r w:rsidRPr="00A96FCC">
              <w:rPr>
                <w:rFonts w:ascii="Times New Roman" w:hAnsi="Times New Roman" w:cs="Times New Roman"/>
                <w:sz w:val="20"/>
                <w:szCs w:val="20"/>
              </w:rPr>
              <w:lastRenderedPageBreak/>
              <w:t>highest level of critical thinking ability</w:t>
            </w:r>
          </w:p>
        </w:tc>
      </w:tr>
      <w:tr w:rsidR="00212EBE" w14:paraId="79BFB8DF" w14:textId="77777777" w:rsidTr="00DF0CBF">
        <w:trPr>
          <w:trHeight w:val="289"/>
        </w:trPr>
        <w:tc>
          <w:tcPr>
            <w:tcW w:w="4674" w:type="dxa"/>
            <w:vAlign w:val="center"/>
          </w:tcPr>
          <w:p w14:paraId="0C26170A" w14:textId="1D056AA2" w:rsidR="00212EBE" w:rsidRPr="00212EBE" w:rsidRDefault="00212EBE" w:rsidP="00ED43D6">
            <w:pPr>
              <w:spacing w:line="240" w:lineRule="auto"/>
              <w:rPr>
                <w:rFonts w:ascii="Times New Roman" w:hAnsi="Times New Roman" w:cs="Times New Roman"/>
              </w:rPr>
            </w:pPr>
            <w:r w:rsidRPr="00212EBE">
              <w:rPr>
                <w:rFonts w:ascii="Times New Roman" w:hAnsi="Times New Roman" w:cs="Times New Roman"/>
                <w:b/>
                <w:bCs/>
                <w:color w:val="000000"/>
              </w:rPr>
              <w:lastRenderedPageBreak/>
              <w:t>I strongly believe this to be true</w:t>
            </w:r>
          </w:p>
        </w:tc>
        <w:tc>
          <w:tcPr>
            <w:tcW w:w="1337" w:type="dxa"/>
            <w:vAlign w:val="center"/>
          </w:tcPr>
          <w:p w14:paraId="2C4E9C6C" w14:textId="53A4EE7F"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2%</w:t>
            </w:r>
          </w:p>
        </w:tc>
        <w:tc>
          <w:tcPr>
            <w:tcW w:w="1337" w:type="dxa"/>
            <w:vAlign w:val="center"/>
          </w:tcPr>
          <w:p w14:paraId="5ED3A124" w14:textId="34E8D1E8"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1%</w:t>
            </w:r>
          </w:p>
        </w:tc>
        <w:tc>
          <w:tcPr>
            <w:tcW w:w="1337" w:type="dxa"/>
            <w:vAlign w:val="center"/>
          </w:tcPr>
          <w:p w14:paraId="77D9CDF9" w14:textId="655E9ECC"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2%</w:t>
            </w:r>
          </w:p>
        </w:tc>
      </w:tr>
      <w:tr w:rsidR="00212EBE" w14:paraId="16525EFE" w14:textId="77777777" w:rsidTr="00DF0CBF">
        <w:trPr>
          <w:trHeight w:val="289"/>
        </w:trPr>
        <w:tc>
          <w:tcPr>
            <w:tcW w:w="4674" w:type="dxa"/>
            <w:vAlign w:val="center"/>
          </w:tcPr>
          <w:p w14:paraId="4B24471C" w14:textId="45272B22" w:rsidR="00212EBE" w:rsidRPr="00212EBE" w:rsidRDefault="00212EBE" w:rsidP="00ED43D6">
            <w:pPr>
              <w:spacing w:line="240" w:lineRule="auto"/>
              <w:rPr>
                <w:rFonts w:ascii="Times New Roman" w:hAnsi="Times New Roman" w:cs="Times New Roman"/>
              </w:rPr>
            </w:pPr>
            <w:r w:rsidRPr="00212EBE">
              <w:rPr>
                <w:rFonts w:ascii="Times New Roman" w:hAnsi="Times New Roman" w:cs="Times New Roman"/>
                <w:b/>
                <w:bCs/>
                <w:color w:val="000000"/>
              </w:rPr>
              <w:t>I believe this to be true</w:t>
            </w:r>
          </w:p>
        </w:tc>
        <w:tc>
          <w:tcPr>
            <w:tcW w:w="1337" w:type="dxa"/>
            <w:vAlign w:val="center"/>
          </w:tcPr>
          <w:p w14:paraId="49C8E001" w14:textId="63F3EE44"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8%</w:t>
            </w:r>
          </w:p>
        </w:tc>
        <w:tc>
          <w:tcPr>
            <w:tcW w:w="1337" w:type="dxa"/>
            <w:vAlign w:val="center"/>
          </w:tcPr>
          <w:p w14:paraId="3A46503E" w14:textId="058DB441"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3%</w:t>
            </w:r>
          </w:p>
        </w:tc>
        <w:tc>
          <w:tcPr>
            <w:tcW w:w="1337" w:type="dxa"/>
            <w:vAlign w:val="center"/>
          </w:tcPr>
          <w:p w14:paraId="3681381C" w14:textId="0A664496"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2%</w:t>
            </w:r>
          </w:p>
        </w:tc>
      </w:tr>
      <w:tr w:rsidR="00212EBE" w14:paraId="2FE81C4C" w14:textId="77777777" w:rsidTr="00DF0CBF">
        <w:trPr>
          <w:trHeight w:val="289"/>
        </w:trPr>
        <w:tc>
          <w:tcPr>
            <w:tcW w:w="4674" w:type="dxa"/>
            <w:vAlign w:val="center"/>
          </w:tcPr>
          <w:p w14:paraId="7113016D" w14:textId="174BEB94" w:rsidR="00212EBE" w:rsidRPr="00212EBE" w:rsidRDefault="00212EBE" w:rsidP="00ED43D6">
            <w:pPr>
              <w:spacing w:line="240" w:lineRule="auto"/>
              <w:rPr>
                <w:rFonts w:ascii="Times New Roman" w:hAnsi="Times New Roman" w:cs="Times New Roman"/>
              </w:rPr>
            </w:pPr>
            <w:r w:rsidRPr="00212EBE">
              <w:rPr>
                <w:rFonts w:ascii="Times New Roman" w:hAnsi="Times New Roman" w:cs="Times New Roman"/>
                <w:b/>
                <w:bCs/>
                <w:color w:val="000000"/>
              </w:rPr>
              <w:t>I need more information to be able to judge</w:t>
            </w:r>
          </w:p>
        </w:tc>
        <w:tc>
          <w:tcPr>
            <w:tcW w:w="1337" w:type="dxa"/>
            <w:vAlign w:val="center"/>
          </w:tcPr>
          <w:p w14:paraId="012A938F" w14:textId="50705A20"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27%</w:t>
            </w:r>
          </w:p>
        </w:tc>
        <w:tc>
          <w:tcPr>
            <w:tcW w:w="1337" w:type="dxa"/>
            <w:vAlign w:val="center"/>
          </w:tcPr>
          <w:p w14:paraId="596B8A39" w14:textId="513AF00E"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10%</w:t>
            </w:r>
          </w:p>
        </w:tc>
        <w:tc>
          <w:tcPr>
            <w:tcW w:w="1337" w:type="dxa"/>
            <w:vAlign w:val="center"/>
          </w:tcPr>
          <w:p w14:paraId="0DA28C2C" w14:textId="02F23060"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8%</w:t>
            </w:r>
          </w:p>
        </w:tc>
      </w:tr>
      <w:tr w:rsidR="00212EBE" w14:paraId="58F23430" w14:textId="77777777" w:rsidTr="00DF0CBF">
        <w:trPr>
          <w:trHeight w:val="289"/>
        </w:trPr>
        <w:tc>
          <w:tcPr>
            <w:tcW w:w="4674" w:type="dxa"/>
            <w:vAlign w:val="center"/>
          </w:tcPr>
          <w:p w14:paraId="76925ECE" w14:textId="6565AC89" w:rsidR="00212EBE" w:rsidRPr="00212EBE" w:rsidRDefault="00212EBE" w:rsidP="00ED43D6">
            <w:pPr>
              <w:spacing w:line="240" w:lineRule="auto"/>
              <w:rPr>
                <w:rFonts w:ascii="Times New Roman" w:hAnsi="Times New Roman" w:cs="Times New Roman"/>
              </w:rPr>
            </w:pPr>
            <w:r w:rsidRPr="00212EBE">
              <w:rPr>
                <w:rFonts w:ascii="Times New Roman" w:hAnsi="Times New Roman" w:cs="Times New Roman"/>
                <w:b/>
                <w:bCs/>
                <w:color w:val="000000"/>
              </w:rPr>
              <w:t>I believe this to be untrue</w:t>
            </w:r>
          </w:p>
        </w:tc>
        <w:tc>
          <w:tcPr>
            <w:tcW w:w="1337" w:type="dxa"/>
            <w:vAlign w:val="center"/>
          </w:tcPr>
          <w:p w14:paraId="684C04D0" w14:textId="6B917A4F"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16%</w:t>
            </w:r>
          </w:p>
        </w:tc>
        <w:tc>
          <w:tcPr>
            <w:tcW w:w="1337" w:type="dxa"/>
            <w:vAlign w:val="center"/>
          </w:tcPr>
          <w:p w14:paraId="476182B1" w14:textId="0041F159"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13%</w:t>
            </w:r>
          </w:p>
        </w:tc>
        <w:tc>
          <w:tcPr>
            <w:tcW w:w="1337" w:type="dxa"/>
            <w:vAlign w:val="center"/>
          </w:tcPr>
          <w:p w14:paraId="02DFA60F" w14:textId="03202F93"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4%</w:t>
            </w:r>
          </w:p>
        </w:tc>
      </w:tr>
      <w:tr w:rsidR="00212EBE" w14:paraId="4C01DC92" w14:textId="77777777" w:rsidTr="00DF0CBF">
        <w:trPr>
          <w:trHeight w:val="289"/>
        </w:trPr>
        <w:tc>
          <w:tcPr>
            <w:tcW w:w="4674" w:type="dxa"/>
            <w:vAlign w:val="center"/>
          </w:tcPr>
          <w:p w14:paraId="5EC8EBC1" w14:textId="662684FF" w:rsidR="00212EBE" w:rsidRPr="00212EBE" w:rsidRDefault="00212EBE" w:rsidP="00ED43D6">
            <w:pPr>
              <w:spacing w:line="240" w:lineRule="auto"/>
              <w:rPr>
                <w:rFonts w:ascii="Times New Roman" w:hAnsi="Times New Roman" w:cs="Times New Roman"/>
              </w:rPr>
            </w:pPr>
            <w:r w:rsidRPr="00212EBE">
              <w:rPr>
                <w:rFonts w:ascii="Times New Roman" w:hAnsi="Times New Roman" w:cs="Times New Roman"/>
                <w:b/>
                <w:bCs/>
                <w:color w:val="000000"/>
              </w:rPr>
              <w:t>I strongly believe this to be untrue</w:t>
            </w:r>
          </w:p>
        </w:tc>
        <w:tc>
          <w:tcPr>
            <w:tcW w:w="1337" w:type="dxa"/>
            <w:vAlign w:val="center"/>
          </w:tcPr>
          <w:p w14:paraId="5D09458B" w14:textId="34F8E13A"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48%</w:t>
            </w:r>
          </w:p>
        </w:tc>
        <w:tc>
          <w:tcPr>
            <w:tcW w:w="1337" w:type="dxa"/>
            <w:vAlign w:val="center"/>
          </w:tcPr>
          <w:p w14:paraId="47BDDE0E" w14:textId="55C8AC90"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74%</w:t>
            </w:r>
          </w:p>
        </w:tc>
        <w:tc>
          <w:tcPr>
            <w:tcW w:w="1337" w:type="dxa"/>
            <w:vAlign w:val="center"/>
          </w:tcPr>
          <w:p w14:paraId="59FCA2E4" w14:textId="680670C1" w:rsidR="00212EBE" w:rsidRPr="00212EBE" w:rsidRDefault="00212EBE" w:rsidP="00212EBE">
            <w:pPr>
              <w:spacing w:line="240" w:lineRule="auto"/>
              <w:jc w:val="center"/>
              <w:rPr>
                <w:rFonts w:ascii="Times New Roman" w:hAnsi="Times New Roman" w:cs="Times New Roman"/>
              </w:rPr>
            </w:pPr>
            <w:r w:rsidRPr="00212EBE">
              <w:rPr>
                <w:rFonts w:ascii="Times New Roman" w:hAnsi="Times New Roman" w:cs="Times New Roman"/>
                <w:color w:val="000000"/>
              </w:rPr>
              <w:t>84%</w:t>
            </w:r>
          </w:p>
        </w:tc>
      </w:tr>
      <w:tr w:rsidR="00212EBE" w14:paraId="60EDC5D2" w14:textId="77777777" w:rsidTr="00DF0CBF">
        <w:trPr>
          <w:trHeight w:val="289"/>
        </w:trPr>
        <w:tc>
          <w:tcPr>
            <w:tcW w:w="4674" w:type="dxa"/>
            <w:vAlign w:val="center"/>
          </w:tcPr>
          <w:p w14:paraId="7E779B69" w14:textId="77777777" w:rsidR="00212EBE" w:rsidRPr="00D94C67" w:rsidRDefault="00212EBE" w:rsidP="00ED43D6">
            <w:pPr>
              <w:spacing w:line="240" w:lineRule="auto"/>
              <w:rPr>
                <w:rFonts w:ascii="Times New Roman" w:hAnsi="Times New Roman" w:cs="Times New Roman"/>
              </w:rPr>
            </w:pPr>
            <w:r w:rsidRPr="00D94C67">
              <w:rPr>
                <w:rFonts w:ascii="Times New Roman" w:hAnsi="Times New Roman" w:cs="Times New Roman"/>
                <w:b/>
                <w:bCs/>
                <w:color w:val="000000"/>
              </w:rPr>
              <w:t>Total</w:t>
            </w:r>
          </w:p>
        </w:tc>
        <w:tc>
          <w:tcPr>
            <w:tcW w:w="1337" w:type="dxa"/>
            <w:vAlign w:val="center"/>
          </w:tcPr>
          <w:p w14:paraId="4D920B32" w14:textId="77777777" w:rsidR="00212EBE" w:rsidRPr="00D94C67" w:rsidRDefault="00212EBE" w:rsidP="00DF0CBF">
            <w:pPr>
              <w:spacing w:line="240" w:lineRule="auto"/>
              <w:jc w:val="center"/>
              <w:rPr>
                <w:rFonts w:ascii="Times New Roman" w:hAnsi="Times New Roman" w:cs="Times New Roman"/>
              </w:rPr>
            </w:pPr>
            <w:r w:rsidRPr="00D94C67">
              <w:rPr>
                <w:rFonts w:ascii="Times New Roman" w:hAnsi="Times New Roman" w:cs="Times New Roman"/>
                <w:color w:val="000000"/>
              </w:rPr>
              <w:t>100%</w:t>
            </w:r>
          </w:p>
        </w:tc>
        <w:tc>
          <w:tcPr>
            <w:tcW w:w="1337" w:type="dxa"/>
            <w:vAlign w:val="center"/>
          </w:tcPr>
          <w:p w14:paraId="76C46756" w14:textId="77777777" w:rsidR="00212EBE" w:rsidRPr="00D94C67" w:rsidRDefault="00212EBE" w:rsidP="00DF0CBF">
            <w:pPr>
              <w:spacing w:line="240" w:lineRule="auto"/>
              <w:jc w:val="center"/>
              <w:rPr>
                <w:rFonts w:ascii="Times New Roman" w:hAnsi="Times New Roman" w:cs="Times New Roman"/>
              </w:rPr>
            </w:pPr>
            <w:r w:rsidRPr="00D94C67">
              <w:rPr>
                <w:rFonts w:ascii="Times New Roman" w:hAnsi="Times New Roman" w:cs="Times New Roman"/>
                <w:color w:val="000000"/>
              </w:rPr>
              <w:t>100%</w:t>
            </w:r>
          </w:p>
        </w:tc>
        <w:tc>
          <w:tcPr>
            <w:tcW w:w="1337" w:type="dxa"/>
            <w:vAlign w:val="center"/>
          </w:tcPr>
          <w:p w14:paraId="67BD36D7" w14:textId="77777777" w:rsidR="00212EBE" w:rsidRPr="00D94C67" w:rsidRDefault="00212EBE" w:rsidP="00DF0CBF">
            <w:pPr>
              <w:spacing w:line="240" w:lineRule="auto"/>
              <w:jc w:val="center"/>
              <w:rPr>
                <w:rFonts w:ascii="Times New Roman" w:hAnsi="Times New Roman" w:cs="Times New Roman"/>
              </w:rPr>
            </w:pPr>
            <w:r w:rsidRPr="00D94C67">
              <w:rPr>
                <w:rFonts w:ascii="Times New Roman" w:hAnsi="Times New Roman" w:cs="Times New Roman"/>
                <w:color w:val="000000"/>
              </w:rPr>
              <w:t>100%</w:t>
            </w:r>
          </w:p>
        </w:tc>
      </w:tr>
    </w:tbl>
    <w:p w14:paraId="6FCB806F" w14:textId="74622F0C" w:rsidR="00212EBE" w:rsidRDefault="004E6F25" w:rsidP="00212EBE">
      <w:pPr>
        <w:rPr>
          <w:lang w:eastAsia="zh-CN"/>
        </w:rPr>
      </w:pPr>
      <w:r>
        <w:rPr>
          <w:i/>
          <w:iCs/>
          <w:sz w:val="22"/>
          <w:szCs w:val="22"/>
        </w:rPr>
        <w:t>χ</w:t>
      </w:r>
      <w:r w:rsidR="00212EBE">
        <w:rPr>
          <w:i/>
          <w:iCs/>
          <w:vertAlign w:val="superscript"/>
        </w:rPr>
        <w:t>2</w:t>
      </w:r>
      <w:r w:rsidR="00212EBE">
        <w:rPr>
          <w:i/>
          <w:iCs/>
        </w:rPr>
        <w:t xml:space="preserve"> </w:t>
      </w:r>
      <w:r w:rsidR="00212EBE">
        <w:t xml:space="preserve">= 582.97, </w:t>
      </w:r>
      <w:r w:rsidR="00212EBE">
        <w:rPr>
          <w:i/>
          <w:iCs/>
        </w:rPr>
        <w:t xml:space="preserve">p </w:t>
      </w:r>
      <w:r w:rsidR="00212EBE">
        <w:t xml:space="preserve">&lt; 0.001, </w:t>
      </w:r>
      <w:r w:rsidR="00212EBE">
        <w:rPr>
          <w:i/>
          <w:iCs/>
        </w:rPr>
        <w:t xml:space="preserve">df </w:t>
      </w:r>
      <w:r w:rsidR="00212EBE">
        <w:t>= 8</w:t>
      </w:r>
      <w:r>
        <w:rPr>
          <w:rFonts w:hint="eastAsia"/>
          <w:lang w:eastAsia="zh-CN"/>
        </w:rPr>
        <w:t xml:space="preserve">, </w:t>
      </w:r>
      <w:r w:rsidRPr="004E6F25">
        <w:rPr>
          <w:lang w:eastAsia="zh-CN"/>
        </w:rPr>
        <w:t>Cramér's V =   0.203</w:t>
      </w:r>
    </w:p>
    <w:p w14:paraId="24589249" w14:textId="77777777" w:rsidR="00212EBE" w:rsidRDefault="00212EBE" w:rsidP="00212EBE">
      <w:pPr>
        <w:pStyle w:val="Heading1"/>
      </w:pPr>
      <w:r>
        <w:t xml:space="preserve">Discussion </w:t>
      </w:r>
    </w:p>
    <w:p w14:paraId="06C829A6" w14:textId="03CDE644" w:rsidR="00D77CED" w:rsidRPr="00CF6D5D" w:rsidRDefault="00D77CED" w:rsidP="00D77CED">
      <w:pPr>
        <w:spacing w:before="100" w:beforeAutospacing="1" w:after="100" w:afterAutospacing="1"/>
        <w:rPr>
          <w:rFonts w:eastAsia="Times New Roman"/>
          <w:color w:val="000000"/>
        </w:rPr>
      </w:pPr>
      <w:r w:rsidRPr="00CF6D5D">
        <w:rPr>
          <w:rFonts w:eastAsia="Times New Roman"/>
          <w:color w:val="000000"/>
        </w:rPr>
        <w:t>The findings of this study illuminate the complex interplay between individual characteristics, social networks, and belief in misinformation. Specifically, by using a combination of LPA and FMM across a large, multi-national dataset, it offers crucial insights into how ideas-engagement flourishes or falters: a vital topic for the current epoch in which we find ourselves. Returning to the research questions, the data reveal compelling narratives about who engages with ideas, who falls prey to conspiracy beliefs, and what interventions might shift these dynamics.</w:t>
      </w:r>
      <w:r>
        <w:rPr>
          <w:rFonts w:eastAsia="Times New Roman"/>
          <w:color w:val="000000"/>
        </w:rPr>
        <w:t xml:space="preserve"> </w:t>
      </w:r>
      <w:r w:rsidRPr="00CF6D5D">
        <w:rPr>
          <w:rFonts w:eastAsia="Times New Roman"/>
          <w:color w:val="000000"/>
        </w:rPr>
        <w:t xml:space="preserve">For Research Question One, </w:t>
      </w:r>
      <w:r>
        <w:rPr>
          <w:rFonts w:eastAsia="Times New Roman"/>
          <w:color w:val="000000"/>
        </w:rPr>
        <w:t xml:space="preserve">for instance, </w:t>
      </w:r>
      <w:r w:rsidRPr="00CF6D5D">
        <w:rPr>
          <w:rFonts w:eastAsia="Times New Roman"/>
          <w:color w:val="000000"/>
        </w:rPr>
        <w:t>clear pattern</w:t>
      </w:r>
      <w:r>
        <w:rPr>
          <w:rFonts w:eastAsia="Times New Roman"/>
          <w:color w:val="000000"/>
        </w:rPr>
        <w:t>s</w:t>
      </w:r>
      <w:r w:rsidRPr="00CF6D5D">
        <w:rPr>
          <w:rFonts w:eastAsia="Times New Roman"/>
          <w:color w:val="000000"/>
        </w:rPr>
        <w:t xml:space="preserve"> emerge: younger respondents, particularly those aged 18</w:t>
      </w:r>
      <w:r>
        <w:rPr>
          <w:rFonts w:eastAsia="Times New Roman"/>
          <w:color w:val="000000"/>
        </w:rPr>
        <w:t xml:space="preserve"> - </w:t>
      </w:r>
      <w:r w:rsidRPr="00CF6D5D">
        <w:rPr>
          <w:rFonts w:eastAsia="Times New Roman"/>
          <w:color w:val="000000"/>
        </w:rPr>
        <w:t xml:space="preserve">44, were more likely to possess a </w:t>
      </w:r>
      <w:r w:rsidR="00110BE6">
        <w:rPr>
          <w:rFonts w:eastAsia="Times New Roman"/>
          <w:color w:val="000000"/>
        </w:rPr>
        <w:t xml:space="preserve">more </w:t>
      </w:r>
      <w:r w:rsidRPr="00CF6D5D">
        <w:rPr>
          <w:rFonts w:eastAsia="Times New Roman"/>
          <w:color w:val="000000"/>
        </w:rPr>
        <w:t>high</w:t>
      </w:r>
      <w:r w:rsidR="00110BE6">
        <w:rPr>
          <w:rFonts w:eastAsia="Times New Roman"/>
          <w:color w:val="000000"/>
        </w:rPr>
        <w:t>ly</w:t>
      </w:r>
      <w:r w:rsidRPr="00CF6D5D">
        <w:rPr>
          <w:rFonts w:eastAsia="Times New Roman"/>
          <w:color w:val="000000"/>
        </w:rPr>
        <w:t xml:space="preserve"> prospective mindset, </w:t>
      </w:r>
      <w:r w:rsidR="006878ED">
        <w:rPr>
          <w:rFonts w:eastAsia="Times New Roman"/>
          <w:color w:val="000000"/>
        </w:rPr>
        <w:t xml:space="preserve">where they </w:t>
      </w:r>
      <w:r w:rsidRPr="00CF6D5D">
        <w:rPr>
          <w:rFonts w:eastAsia="Times New Roman"/>
          <w:color w:val="000000"/>
        </w:rPr>
        <w:t xml:space="preserve">envision future possibilities and </w:t>
      </w:r>
      <w:r w:rsidR="006878ED" w:rsidRPr="00CF6D5D">
        <w:rPr>
          <w:rFonts w:eastAsia="Times New Roman"/>
          <w:color w:val="000000"/>
        </w:rPr>
        <w:t>embrac</w:t>
      </w:r>
      <w:r w:rsidR="006878ED">
        <w:rPr>
          <w:rFonts w:eastAsia="Times New Roman"/>
          <w:color w:val="000000"/>
        </w:rPr>
        <w:t>e</w:t>
      </w:r>
      <w:r w:rsidR="006878ED" w:rsidRPr="00CF6D5D">
        <w:rPr>
          <w:rFonts w:eastAsia="Times New Roman"/>
          <w:color w:val="000000"/>
        </w:rPr>
        <w:t xml:space="preserve"> </w:t>
      </w:r>
      <w:r w:rsidRPr="00CF6D5D">
        <w:rPr>
          <w:rFonts w:eastAsia="Times New Roman"/>
          <w:color w:val="000000"/>
        </w:rPr>
        <w:t>new ideas. This aligns with prior research on future-oriented thinking’s role in goal-directed behaviour (Atance and O’Neill, 2001) and academic success (Pawlak and Moustafa, 2023). Education, too, proved pivotal: higher degrees correlated with stronger prospective mindsets, supporting the notion that advanced learning cultivates openness to ideas (Brown et al., 2022a</w:t>
      </w:r>
      <w:r>
        <w:rPr>
          <w:rFonts w:eastAsia="Times New Roman"/>
          <w:color w:val="000000"/>
        </w:rPr>
        <w:t>-</w:t>
      </w:r>
      <w:r w:rsidRPr="00CF6D5D">
        <w:rPr>
          <w:rFonts w:eastAsia="Times New Roman"/>
          <w:color w:val="000000"/>
        </w:rPr>
        <w:t xml:space="preserve">d). Employment status further shaped mindset profiles, with professionals and higher-level professionals featuring prominently among those most likely to value ideas-engagement, while those in routine or unemployed roles were overrepresented among low-mindset groups. This </w:t>
      </w:r>
      <w:r>
        <w:rPr>
          <w:rFonts w:eastAsia="Times New Roman"/>
          <w:color w:val="000000"/>
        </w:rPr>
        <w:lastRenderedPageBreak/>
        <w:t xml:space="preserve">finding perhaps </w:t>
      </w:r>
      <w:r w:rsidR="00732D1C" w:rsidRPr="00CF6D5D">
        <w:rPr>
          <w:rFonts w:eastAsia="Times New Roman"/>
          <w:color w:val="000000"/>
        </w:rPr>
        <w:t>echo</w:t>
      </w:r>
      <w:r w:rsidR="00732D1C">
        <w:rPr>
          <w:rFonts w:eastAsia="Times New Roman"/>
          <w:color w:val="000000"/>
        </w:rPr>
        <w:t>ing</w:t>
      </w:r>
      <w:r w:rsidR="00732D1C" w:rsidRPr="00CF6D5D">
        <w:rPr>
          <w:rFonts w:eastAsia="Times New Roman"/>
          <w:color w:val="000000"/>
        </w:rPr>
        <w:t xml:space="preserve"> </w:t>
      </w:r>
      <w:r w:rsidRPr="00CF6D5D">
        <w:rPr>
          <w:rFonts w:eastAsia="Times New Roman"/>
          <w:color w:val="000000"/>
        </w:rPr>
        <w:t>Bregman’s (2018) argument that low-wage, precarious jobs often narrow individuals' mental horizons to immediate, survival-focused concerns.</w:t>
      </w:r>
    </w:p>
    <w:p w14:paraId="47F276D5" w14:textId="30C711B2" w:rsidR="00D77CED" w:rsidRPr="00CF6D5D" w:rsidRDefault="00D77CED" w:rsidP="00D77CED">
      <w:pPr>
        <w:spacing w:before="100" w:beforeAutospacing="1" w:after="100" w:afterAutospacing="1"/>
        <w:rPr>
          <w:rFonts w:eastAsia="Times New Roman"/>
          <w:color w:val="FF0000"/>
        </w:rPr>
      </w:pPr>
      <w:r w:rsidRPr="00CF6D5D">
        <w:rPr>
          <w:rFonts w:eastAsia="Times New Roman"/>
          <w:color w:val="000000"/>
        </w:rPr>
        <w:t>Social network characteristics added further texture to the analysis. Respondents embedded in dense, high-homophilic, high-social-capital networks (Profile 5) exhibited a striking paradox: they placed high value on ideas-engagement but simultaneously showed the greatest susceptibility to flat Earth beliefs (21 percent). This suggests a ‘Goldilocks’ effect may be at play – where social capital and homophily, if too strong, create closed networks that nurture and protect misinformation. Conversely, weak or fragmented networks leave individuals without the trust or community needed for meaningful engagement. The ideal, then, lies somewhere in the middle: networks that foster trust and cohesion while remaining sufficiently open to diverse perspectives, enabling misinformation to be challenged rather than entrenched.</w:t>
      </w:r>
      <w:r>
        <w:rPr>
          <w:rFonts w:eastAsia="Times New Roman"/>
          <w:color w:val="000000"/>
        </w:rPr>
        <w:t xml:space="preserve"> </w:t>
      </w:r>
      <w:r>
        <w:rPr>
          <w:rFonts w:eastAsia="Times New Roman"/>
          <w:color w:val="FF0000"/>
        </w:rPr>
        <w:t>At the same time</w:t>
      </w:r>
      <w:r w:rsidRPr="00CF6D5D">
        <w:rPr>
          <w:rFonts w:eastAsia="Times New Roman"/>
          <w:color w:val="FF0000"/>
        </w:rPr>
        <w:t xml:space="preserve">, however, the current analysis focused primarily on the closeness and homogeneity of social networks, rather than on the criticality or intellectual engagement that takes place within them. </w:t>
      </w:r>
      <w:r>
        <w:rPr>
          <w:rFonts w:eastAsia="Times New Roman"/>
          <w:color w:val="FF0000"/>
        </w:rPr>
        <w:t>P</w:t>
      </w:r>
      <w:r w:rsidRPr="00CF6D5D">
        <w:rPr>
          <w:rFonts w:eastAsia="Times New Roman"/>
          <w:color w:val="FF0000"/>
        </w:rPr>
        <w:t>rior work (</w:t>
      </w:r>
      <w:r>
        <w:rPr>
          <w:rFonts w:eastAsia="Times New Roman"/>
          <w:color w:val="FF0000"/>
        </w:rPr>
        <w:t xml:space="preserve">e.g. </w:t>
      </w:r>
      <w:r w:rsidRPr="00CF6D5D">
        <w:rPr>
          <w:rFonts w:eastAsia="Times New Roman"/>
          <w:color w:val="FF0000"/>
        </w:rPr>
        <w:t xml:space="preserve">Erisen &amp; Erisen, 2012) indicates that even homogenous networks can foster constructive challenge and critical discussion if their members possess high cognitive sophistication and intellectual humility. </w:t>
      </w:r>
      <w:r>
        <w:rPr>
          <w:rFonts w:eastAsia="Times New Roman"/>
          <w:color w:val="FF0000"/>
        </w:rPr>
        <w:t>Yet</w:t>
      </w:r>
      <w:r w:rsidRPr="00CF6D5D">
        <w:rPr>
          <w:rFonts w:eastAsia="Times New Roman"/>
          <w:color w:val="FF0000"/>
        </w:rPr>
        <w:t xml:space="preserve">, </w:t>
      </w:r>
      <w:r>
        <w:rPr>
          <w:rFonts w:eastAsia="Times New Roman"/>
          <w:color w:val="FF0000"/>
        </w:rPr>
        <w:t xml:space="preserve">other </w:t>
      </w:r>
      <w:r w:rsidRPr="00CF6D5D">
        <w:rPr>
          <w:rFonts w:eastAsia="Times New Roman"/>
          <w:color w:val="FF0000"/>
        </w:rPr>
        <w:t>evidence (Rathje et al., 2023) suggests that even well-educated individuals may selectively share misinformation if it aligns with their social or political identity</w:t>
      </w:r>
      <w:r>
        <w:rPr>
          <w:rFonts w:eastAsia="Times New Roman"/>
          <w:color w:val="FF0000"/>
        </w:rPr>
        <w:t>. These contrasting factors thus</w:t>
      </w:r>
      <w:r w:rsidRPr="00CF6D5D">
        <w:rPr>
          <w:rFonts w:eastAsia="Times New Roman"/>
          <w:color w:val="FF0000"/>
        </w:rPr>
        <w:t xml:space="preserve"> underlin</w:t>
      </w:r>
      <w:r>
        <w:rPr>
          <w:rFonts w:eastAsia="Times New Roman"/>
          <w:color w:val="FF0000"/>
        </w:rPr>
        <w:t>e</w:t>
      </w:r>
      <w:r w:rsidRPr="00CF6D5D">
        <w:rPr>
          <w:rFonts w:eastAsia="Times New Roman"/>
          <w:color w:val="FF0000"/>
        </w:rPr>
        <w:t xml:space="preserve"> the need for future research to investigate not just network structure but also the epistemic practices and discussion norms operating within networks</w:t>
      </w:r>
      <w:r>
        <w:rPr>
          <w:rFonts w:eastAsia="Times New Roman"/>
          <w:color w:val="FF0000"/>
        </w:rPr>
        <w:t xml:space="preserve"> and the interplay between the two</w:t>
      </w:r>
      <w:r w:rsidRPr="00CF6D5D">
        <w:rPr>
          <w:rFonts w:eastAsia="Times New Roman"/>
          <w:color w:val="FF0000"/>
        </w:rPr>
        <w:t>.</w:t>
      </w:r>
      <w:r>
        <w:rPr>
          <w:rFonts w:eastAsia="Times New Roman"/>
          <w:color w:val="FF0000"/>
        </w:rPr>
        <w:t xml:space="preserve"> </w:t>
      </w:r>
      <w:r w:rsidR="00001AFC">
        <w:rPr>
          <w:rFonts w:eastAsia="Times New Roman"/>
          <w:color w:val="FF0000"/>
        </w:rPr>
        <w:t xml:space="preserve">Such research could also help us better understand the role and of critical thinking within networks, </w:t>
      </w:r>
      <w:r w:rsidR="00001AFC">
        <w:rPr>
          <w:rFonts w:eastAsia="Times New Roman"/>
          <w:color w:val="000000"/>
        </w:rPr>
        <w:t>which did</w:t>
      </w:r>
      <w:r w:rsidR="00110BE6">
        <w:rPr>
          <w:rFonts w:eastAsia="Times New Roman"/>
          <w:color w:val="000000"/>
        </w:rPr>
        <w:t xml:space="preserve"> </w:t>
      </w:r>
      <w:r w:rsidRPr="00CF6D5D">
        <w:rPr>
          <w:rFonts w:eastAsia="Times New Roman"/>
          <w:color w:val="000000"/>
        </w:rPr>
        <w:t>emerge as a powerful protective factor</w:t>
      </w:r>
      <w:r>
        <w:rPr>
          <w:rFonts w:eastAsia="Times New Roman"/>
          <w:color w:val="000000"/>
        </w:rPr>
        <w:t xml:space="preserve"> against dark ideas</w:t>
      </w:r>
      <w:r w:rsidRPr="00CF6D5D">
        <w:rPr>
          <w:rFonts w:eastAsia="Times New Roman"/>
          <w:color w:val="000000"/>
        </w:rPr>
        <w:t xml:space="preserve">. </w:t>
      </w:r>
      <w:r w:rsidR="00001AFC">
        <w:rPr>
          <w:rFonts w:eastAsia="Times New Roman"/>
          <w:color w:val="000000"/>
        </w:rPr>
        <w:t>Specifically, t</w:t>
      </w:r>
      <w:r w:rsidRPr="00CF6D5D">
        <w:rPr>
          <w:rFonts w:eastAsia="Times New Roman"/>
          <w:color w:val="000000"/>
        </w:rPr>
        <w:t xml:space="preserve">he highest critical thinking profile (Profile 3) – characterized by younger adults, higher education levels, and </w:t>
      </w:r>
      <w:r w:rsidRPr="00CF6D5D">
        <w:rPr>
          <w:rFonts w:eastAsia="Times New Roman"/>
          <w:color w:val="000000"/>
        </w:rPr>
        <w:lastRenderedPageBreak/>
        <w:t xml:space="preserve">professional occupations – overwhelmingly rejected flat Earth beliefs (84 percent). This finding </w:t>
      </w:r>
      <w:r w:rsidR="00001AFC" w:rsidRPr="00CF6D5D">
        <w:rPr>
          <w:rFonts w:eastAsia="Times New Roman"/>
          <w:color w:val="000000"/>
        </w:rPr>
        <w:t>reinforc</w:t>
      </w:r>
      <w:r w:rsidR="00001AFC">
        <w:rPr>
          <w:rFonts w:eastAsia="Times New Roman"/>
          <w:color w:val="000000"/>
        </w:rPr>
        <w:t>ing</w:t>
      </w:r>
      <w:r w:rsidR="00001AFC" w:rsidRPr="00CF6D5D">
        <w:rPr>
          <w:rFonts w:eastAsia="Times New Roman"/>
          <w:color w:val="000000"/>
        </w:rPr>
        <w:t xml:space="preserve"> </w:t>
      </w:r>
      <w:r w:rsidRPr="00CF6D5D">
        <w:rPr>
          <w:rFonts w:eastAsia="Times New Roman"/>
          <w:color w:val="000000"/>
        </w:rPr>
        <w:t>previous work highlighting critical thinking’s role in immunizing against misinformation (Brown et al., 2025b; Sunstein and Vermeule, 2009), suggesting that interventions targeting this skillset could yield substantial benefits.</w:t>
      </w:r>
    </w:p>
    <w:p w14:paraId="3BC5A5B1" w14:textId="64E12F72" w:rsidR="00D77CED" w:rsidRPr="00CF6D5D" w:rsidRDefault="00D77CED" w:rsidP="00D77CED">
      <w:pPr>
        <w:spacing w:before="100" w:beforeAutospacing="1" w:after="100" w:afterAutospacing="1"/>
        <w:rPr>
          <w:rFonts w:eastAsia="Times New Roman"/>
          <w:color w:val="000000"/>
        </w:rPr>
      </w:pPr>
      <w:r w:rsidRPr="00CF6D5D">
        <w:rPr>
          <w:rFonts w:eastAsia="Times New Roman"/>
          <w:color w:val="FF0000"/>
        </w:rPr>
        <w:t>Turning to Research Question Two</w:t>
      </w:r>
      <w:r w:rsidR="00732D1C">
        <w:rPr>
          <w:rFonts w:eastAsia="Times New Roman"/>
          <w:color w:val="FF0000"/>
        </w:rPr>
        <w:t xml:space="preserve"> and</w:t>
      </w:r>
      <w:r w:rsidRPr="00CF6D5D">
        <w:rPr>
          <w:rFonts w:eastAsia="Times New Roman"/>
          <w:color w:val="FF0000"/>
        </w:rPr>
        <w:t xml:space="preserve"> </w:t>
      </w:r>
      <w:r w:rsidR="00732D1C">
        <w:rPr>
          <w:rFonts w:eastAsia="Times New Roman"/>
          <w:color w:val="FF0000"/>
        </w:rPr>
        <w:t>our</w:t>
      </w:r>
      <w:r w:rsidRPr="00CF6D5D">
        <w:rPr>
          <w:rFonts w:eastAsia="Times New Roman"/>
          <w:color w:val="FF0000"/>
        </w:rPr>
        <w:t xml:space="preserve"> study points to promising directions for intervention</w:t>
      </w:r>
      <w:r>
        <w:rPr>
          <w:rFonts w:eastAsia="Times New Roman"/>
          <w:color w:val="FF0000"/>
        </w:rPr>
        <w:t>s</w:t>
      </w:r>
      <w:r w:rsidRPr="00CF6D5D">
        <w:rPr>
          <w:rFonts w:eastAsia="Times New Roman"/>
          <w:color w:val="FF0000"/>
        </w:rPr>
        <w:t xml:space="preserve">. </w:t>
      </w:r>
      <w:r w:rsidRPr="00CF6D5D">
        <w:rPr>
          <w:rFonts w:eastAsia="Times New Roman"/>
          <w:color w:val="000000"/>
        </w:rPr>
        <w:t>Strengthening critical thinking abilities, particularly among older adults and those with lower education levels, could significantly reduce susceptibility to misinformation. Likewise, fostering a prospective mindset – especially among individuals in routine jobs or facing unemployment – may cultivate a greater appreciation for ideas-engagement, echoing Baumeister and Lim’s (2023) findings on prospection’s motivational benefits.</w:t>
      </w:r>
      <w:r>
        <w:rPr>
          <w:rFonts w:eastAsia="Times New Roman"/>
          <w:color w:val="000000"/>
        </w:rPr>
        <w:t xml:space="preserve"> </w:t>
      </w:r>
      <w:r>
        <w:rPr>
          <w:rFonts w:eastAsia="Times New Roman"/>
          <w:color w:val="FF0000"/>
        </w:rPr>
        <w:t>Yet</w:t>
      </w:r>
      <w:r w:rsidRPr="00CF6D5D">
        <w:rPr>
          <w:rFonts w:eastAsia="Times New Roman"/>
          <w:color w:val="FF0000"/>
        </w:rPr>
        <w:t xml:space="preserve"> there is limited clarity on how to effectively deliver suc</w:t>
      </w:r>
      <w:r>
        <w:rPr>
          <w:rFonts w:eastAsia="Times New Roman"/>
          <w:color w:val="FF0000"/>
        </w:rPr>
        <w:t>h interventions</w:t>
      </w:r>
      <w:r w:rsidRPr="00CF6D5D">
        <w:rPr>
          <w:rFonts w:eastAsia="Times New Roman"/>
          <w:color w:val="FF0000"/>
        </w:rPr>
        <w:t xml:space="preserve">. Potential routes include </w:t>
      </w:r>
      <w:r w:rsidR="00001AFC">
        <w:rPr>
          <w:rFonts w:eastAsia="Times New Roman"/>
          <w:color w:val="FF0000"/>
        </w:rPr>
        <w:t xml:space="preserve">college or </w:t>
      </w:r>
      <w:r w:rsidRPr="00CF6D5D">
        <w:rPr>
          <w:rFonts w:eastAsia="Times New Roman"/>
          <w:color w:val="FF0000"/>
        </w:rPr>
        <w:t xml:space="preserve">workplace </w:t>
      </w:r>
      <w:r w:rsidR="00001AFC">
        <w:rPr>
          <w:rFonts w:eastAsia="Times New Roman"/>
          <w:color w:val="FF0000"/>
        </w:rPr>
        <w:t xml:space="preserve">based </w:t>
      </w:r>
      <w:r w:rsidRPr="00CF6D5D">
        <w:rPr>
          <w:rFonts w:eastAsia="Times New Roman"/>
          <w:color w:val="FF0000"/>
        </w:rPr>
        <w:t>initiatives that embed problem-solving</w:t>
      </w:r>
      <w:r>
        <w:rPr>
          <w:rFonts w:eastAsia="Times New Roman"/>
          <w:color w:val="FF0000"/>
        </w:rPr>
        <w:t>, future focused and</w:t>
      </w:r>
      <w:r w:rsidRPr="00CF6D5D">
        <w:rPr>
          <w:rFonts w:eastAsia="Times New Roman"/>
          <w:color w:val="FF0000"/>
        </w:rPr>
        <w:t xml:space="preserve"> reflective activities into job tasks, or adult education programs focused on media literacy and cognitive flexibility. Intergenerational learning models, which pair older adults with younger, more digitally literate cohorts, could also help build criticality and resilience in populations more vulnerable to misinformation (Grossnickle Peterson, 2020). Promoting </w:t>
      </w:r>
      <w:r w:rsidR="00732D1C">
        <w:rPr>
          <w:rFonts w:eastAsia="Times New Roman"/>
          <w:color w:val="FF0000"/>
        </w:rPr>
        <w:t xml:space="preserve">optimal </w:t>
      </w:r>
      <w:r w:rsidRPr="00CF6D5D">
        <w:rPr>
          <w:rFonts w:eastAsia="Times New Roman"/>
          <w:color w:val="FF0000"/>
        </w:rPr>
        <w:t xml:space="preserve">semi-open networks, or the Goldilocks Zone, is another critical but underexplored area. </w:t>
      </w:r>
      <w:r w:rsidR="00732D1C">
        <w:rPr>
          <w:rFonts w:eastAsia="Times New Roman"/>
          <w:color w:val="FF0000"/>
        </w:rPr>
        <w:t>Yet r</w:t>
      </w:r>
      <w:r w:rsidR="00732D1C" w:rsidRPr="00CF6D5D">
        <w:rPr>
          <w:rFonts w:eastAsia="Times New Roman"/>
          <w:color w:val="FF0000"/>
        </w:rPr>
        <w:t xml:space="preserve">esponsibility </w:t>
      </w:r>
      <w:r w:rsidRPr="00CF6D5D">
        <w:rPr>
          <w:rFonts w:eastAsia="Times New Roman"/>
          <w:color w:val="FF0000"/>
        </w:rPr>
        <w:t xml:space="preserve">for fostering balanced networks does not lie solely with individuals: educational institutions can create environments that encourage cross-group collaborations, workplaces can promote diverse team interactions, and local governments can facilitate public forums or citizen assemblies designed to mix individuals from varied demographic and ideological backgrounds. Institutional design is key, </w:t>
      </w:r>
      <w:r w:rsidR="00537F2F">
        <w:rPr>
          <w:rFonts w:eastAsia="Times New Roman"/>
          <w:color w:val="FF0000"/>
        </w:rPr>
        <w:t xml:space="preserve">however, not just in </w:t>
      </w:r>
      <w:r w:rsidRPr="00CF6D5D">
        <w:rPr>
          <w:rFonts w:eastAsia="Times New Roman"/>
          <w:color w:val="FF0000"/>
        </w:rPr>
        <w:t xml:space="preserve">ensuring not just diversity of contact but also the conditions under which </w:t>
      </w:r>
      <w:r w:rsidR="00537F2F">
        <w:rPr>
          <w:rFonts w:eastAsia="Times New Roman"/>
          <w:color w:val="FF0000"/>
        </w:rPr>
        <w:t>all</w:t>
      </w:r>
      <w:r w:rsidR="00537F2F" w:rsidRPr="00CF6D5D">
        <w:rPr>
          <w:rFonts w:eastAsia="Times New Roman"/>
          <w:color w:val="FF0000"/>
        </w:rPr>
        <w:t xml:space="preserve"> </w:t>
      </w:r>
      <w:r w:rsidRPr="00CF6D5D">
        <w:rPr>
          <w:rFonts w:eastAsia="Times New Roman"/>
          <w:color w:val="FF0000"/>
        </w:rPr>
        <w:t>voices can be heard and respected. </w:t>
      </w:r>
    </w:p>
    <w:p w14:paraId="557082B4" w14:textId="7E67EE1F" w:rsidR="00561670" w:rsidRDefault="00561670" w:rsidP="00561670">
      <w:pPr>
        <w:spacing w:before="100" w:beforeAutospacing="1" w:after="100" w:afterAutospacing="1"/>
        <w:rPr>
          <w:rStyle w:val="apple-converted-space"/>
          <w:rFonts w:ascii="-webkit-standard" w:hAnsi="-webkit-standard" w:hint="eastAsia"/>
          <w:color w:val="000000"/>
          <w:sz w:val="27"/>
          <w:szCs w:val="27"/>
        </w:rPr>
      </w:pPr>
      <w:r>
        <w:rPr>
          <w:rFonts w:eastAsia="Times New Roman"/>
          <w:color w:val="FF0000"/>
        </w:rPr>
        <w:lastRenderedPageBreak/>
        <w:t>This study is, of course, not without limitations. A key one is that,</w:t>
      </w:r>
      <w:r w:rsidRPr="00593199">
        <w:rPr>
          <w:rFonts w:eastAsia="Times New Roman"/>
          <w:color w:val="FF0000"/>
        </w:rPr>
        <w:t xml:space="preserve"> while we report statistically significant differences between profiles - often using percentage comparisons - we did not consistently apply standardized effect sizes (such as Cohen’s d, Cramér’s V thresholds, or odds ratios) to assess the </w:t>
      </w:r>
      <w:r w:rsidRPr="00593199">
        <w:rPr>
          <w:rFonts w:eastAsia="Times New Roman"/>
          <w:i/>
          <w:iCs/>
          <w:color w:val="FF0000"/>
        </w:rPr>
        <w:t>practical</w:t>
      </w:r>
      <w:r w:rsidRPr="00593199">
        <w:rPr>
          <w:rFonts w:eastAsia="Times New Roman"/>
          <w:color w:val="FF0000"/>
        </w:rPr>
        <w:t> significance of these differences. As a result, some findings that are statistically significant may reflect small, trivial effects when interpreted substantively. For instance, we note</w:t>
      </w:r>
      <w:r>
        <w:rPr>
          <w:rFonts w:eastAsia="Times New Roman"/>
          <w:color w:val="FF0000"/>
        </w:rPr>
        <w:t xml:space="preserve"> above</w:t>
      </w:r>
      <w:r w:rsidRPr="00593199">
        <w:rPr>
          <w:rFonts w:eastAsia="Times New Roman"/>
          <w:color w:val="FF0000"/>
        </w:rPr>
        <w:t xml:space="preserve"> that Cramér’s V values were generally below 0.2, which conventionally indicates weak associations (Tomczak &amp; Tomczak, 2014). Although small effect sizes can still be meaningful in large, cross-national samples (given the exploratory nature of the study), we acknowledge that future research should systematically apply and report standardized measures of practical significance to help prioritize which subgroup differences are most impactful for designing interventions.</w:t>
      </w:r>
      <w:r>
        <w:rPr>
          <w:rStyle w:val="apple-converted-space"/>
          <w:rFonts w:ascii="-webkit-standard" w:hAnsi="-webkit-standard"/>
          <w:color w:val="000000"/>
          <w:sz w:val="27"/>
          <w:szCs w:val="27"/>
        </w:rPr>
        <w:t> </w:t>
      </w:r>
    </w:p>
    <w:p w14:paraId="58531399" w14:textId="323E5621" w:rsidR="00561670" w:rsidRPr="00AE5B6F" w:rsidRDefault="00561670" w:rsidP="00561670">
      <w:pPr>
        <w:spacing w:before="100" w:beforeAutospacing="1" w:after="100" w:afterAutospacing="1"/>
        <w:rPr>
          <w:rFonts w:eastAsia="Times New Roman"/>
          <w:color w:val="FF0000"/>
        </w:rPr>
      </w:pPr>
      <w:r>
        <w:rPr>
          <w:color w:val="000000"/>
        </w:rPr>
        <w:t>A second limitation is that, w</w:t>
      </w:r>
      <w:r w:rsidRPr="00070E0E">
        <w:rPr>
          <w:rFonts w:hint="eastAsia"/>
          <w:color w:val="000000"/>
        </w:rPr>
        <w:t xml:space="preserve">hile </w:t>
      </w:r>
      <w:r>
        <w:rPr>
          <w:color w:val="000000"/>
        </w:rPr>
        <w:t>we</w:t>
      </w:r>
      <w:r w:rsidRPr="00070E0E">
        <w:rPr>
          <w:rFonts w:hint="eastAsia"/>
          <w:color w:val="000000"/>
        </w:rPr>
        <w:t xml:space="preserve"> conducted measurement invariance testing to ensure constructs were measured consistently across the seven countries, we recognize that </w:t>
      </w:r>
      <w:r>
        <w:rPr>
          <w:color w:val="000000"/>
        </w:rPr>
        <w:t>this</w:t>
      </w:r>
      <w:r w:rsidRPr="00070E0E">
        <w:rPr>
          <w:rFonts w:hint="eastAsia"/>
          <w:color w:val="000000"/>
        </w:rPr>
        <w:t xml:space="preserve"> does not fully explore country-specific cultural, political, or institutional factors that might shape patterns of ideas engagement, critical thinking, or susceptibility to misinformation. For example, national differences in media systems, political polarization, educational curricula, or trust in institutions could moderate the relationships identified in this study. Future research should </w:t>
      </w:r>
      <w:r w:rsidR="00732D1C">
        <w:rPr>
          <w:color w:val="000000"/>
        </w:rPr>
        <w:t xml:space="preserve">thus </w:t>
      </w:r>
      <w:r w:rsidRPr="00070E0E">
        <w:rPr>
          <w:rFonts w:hint="eastAsia"/>
          <w:color w:val="000000"/>
        </w:rPr>
        <w:t>explicitly investigate how cultural and contextual factors interact with individual-level traits to influence engagement with ideas and vulnerability to misinformation, ideally using multi-level models or country-specific qualitative analyses</w:t>
      </w:r>
      <w:r>
        <w:rPr>
          <w:color w:val="000000"/>
        </w:rPr>
        <w:t>.</w:t>
      </w:r>
    </w:p>
    <w:p w14:paraId="435DB23C" w14:textId="4DF577DE" w:rsidR="00D77CED" w:rsidRDefault="00561670" w:rsidP="00561670">
      <w:pPr>
        <w:spacing w:before="100" w:beforeAutospacing="1" w:after="100" w:afterAutospacing="1"/>
        <w:rPr>
          <w:rFonts w:eastAsia="Times New Roman"/>
          <w:color w:val="000000"/>
        </w:rPr>
      </w:pPr>
      <w:r>
        <w:rPr>
          <w:rFonts w:eastAsia="Times New Roman"/>
          <w:color w:val="FF0000"/>
        </w:rPr>
        <w:t>Nonethless, despite these limitations and the</w:t>
      </w:r>
      <w:r w:rsidR="002B1B13" w:rsidRPr="00667A8B">
        <w:rPr>
          <w:rFonts w:eastAsia="Times New Roman" w:hint="eastAsia"/>
          <w:color w:val="FF0000"/>
        </w:rPr>
        <w:t xml:space="preserve"> future </w:t>
      </w:r>
      <w:r>
        <w:rPr>
          <w:rFonts w:eastAsia="Times New Roman"/>
          <w:color w:val="FF0000"/>
        </w:rPr>
        <w:t xml:space="preserve">research </w:t>
      </w:r>
      <w:r w:rsidR="002B1B13" w:rsidRPr="00667A8B">
        <w:rPr>
          <w:rFonts w:eastAsia="Times New Roman" w:hint="eastAsia"/>
          <w:color w:val="FF0000"/>
        </w:rPr>
        <w:t>directions</w:t>
      </w:r>
      <w:r>
        <w:rPr>
          <w:rFonts w:eastAsia="Times New Roman"/>
          <w:color w:val="FF0000"/>
        </w:rPr>
        <w:t xml:space="preserve"> they point to</w:t>
      </w:r>
      <w:r w:rsidR="002B1B13" w:rsidRPr="00667A8B">
        <w:rPr>
          <w:rFonts w:eastAsia="Times New Roman" w:hint="eastAsia"/>
          <w:color w:val="FF0000"/>
        </w:rPr>
        <w:t xml:space="preserve">, </w:t>
      </w:r>
      <w:r>
        <w:rPr>
          <w:rFonts w:eastAsia="Times New Roman"/>
          <w:color w:val="FF0000"/>
        </w:rPr>
        <w:t xml:space="preserve">we feel our findings </w:t>
      </w:r>
      <w:r>
        <w:rPr>
          <w:rFonts w:eastAsia="Times New Roman"/>
          <w:color w:val="000000"/>
        </w:rPr>
        <w:t>clearly</w:t>
      </w:r>
      <w:r>
        <w:rPr>
          <w:rFonts w:eastAsia="Times New Roman"/>
          <w:color w:val="FF0000"/>
        </w:rPr>
        <w:t xml:space="preserve"> build upon</w:t>
      </w:r>
      <w:r w:rsidR="00D77CED" w:rsidRPr="00CF6D5D">
        <w:rPr>
          <w:rFonts w:eastAsia="Times New Roman"/>
          <w:color w:val="FF0000"/>
        </w:rPr>
        <w:t xml:space="preserve"> the broader misinformation and education literature. </w:t>
      </w:r>
      <w:r w:rsidR="00D77CED" w:rsidRPr="00CF6D5D">
        <w:rPr>
          <w:rFonts w:eastAsia="Times New Roman"/>
          <w:color w:val="FF0000"/>
        </w:rPr>
        <w:lastRenderedPageBreak/>
        <w:t>For instance, the UK Commission into Countering Online Conspiracies in Schools (2025) has highlighted how young people are often exposed to distinct forms of online misinformation unknown to adults or teachers. Our results extend such insights by showing how prospective mindset and critical thinking operate as protective factors across multiple countries and social groups, offering empirical grounding for intervention design. Additionally, our findings contribute to debates on the role of social capital and network openness (Putnam, 2000; Granovetter, 1985), proposing a nuanced framework – the Goldilocks Zone – that identifies not just structural conditions but also</w:t>
      </w:r>
      <w:r w:rsidR="00732D1C">
        <w:rPr>
          <w:rFonts w:eastAsia="Times New Roman"/>
          <w:color w:val="FF0000"/>
        </w:rPr>
        <w:t>,</w:t>
      </w:r>
      <w:r w:rsidR="00D77CED" w:rsidRPr="00CF6D5D">
        <w:rPr>
          <w:rFonts w:eastAsia="Times New Roman"/>
          <w:color w:val="FF0000"/>
        </w:rPr>
        <w:t xml:space="preserve"> </w:t>
      </w:r>
      <w:r w:rsidR="00110BE6">
        <w:rPr>
          <w:rFonts w:eastAsia="Times New Roman"/>
          <w:color w:val="FF0000"/>
        </w:rPr>
        <w:t xml:space="preserve">potentially, </w:t>
      </w:r>
      <w:r w:rsidR="00D77CED" w:rsidRPr="00CF6D5D">
        <w:rPr>
          <w:rFonts w:eastAsia="Times New Roman"/>
          <w:color w:val="FF0000"/>
        </w:rPr>
        <w:t>the quality of information exchange within networks as crucial to resisting misinformation</w:t>
      </w:r>
      <w:r w:rsidR="00D77CED" w:rsidRPr="00CF6D5D">
        <w:rPr>
          <w:rFonts w:eastAsia="Times New Roman"/>
          <w:color w:val="000000"/>
        </w:rPr>
        <w:t>. </w:t>
      </w:r>
    </w:p>
    <w:p w14:paraId="51AE533F" w14:textId="645A2DA4" w:rsidR="00561670" w:rsidRPr="00CF6D5D" w:rsidRDefault="00561670" w:rsidP="00561670">
      <w:pPr>
        <w:spacing w:before="100" w:beforeAutospacing="1" w:after="100" w:afterAutospacing="1"/>
        <w:rPr>
          <w:rFonts w:eastAsia="Times New Roman"/>
          <w:color w:val="000000"/>
        </w:rPr>
      </w:pPr>
      <w:r>
        <w:rPr>
          <w:rFonts w:eastAsia="Times New Roman"/>
          <w:color w:val="FF0000"/>
        </w:rPr>
        <w:t xml:space="preserve">Finally, we </w:t>
      </w:r>
      <w:r w:rsidR="00E15890">
        <w:rPr>
          <w:rFonts w:eastAsia="Times New Roman"/>
          <w:color w:val="FF0000"/>
        </w:rPr>
        <w:t xml:space="preserve">claim our findings are </w:t>
      </w:r>
      <w:r>
        <w:rPr>
          <w:rFonts w:eastAsia="Times New Roman"/>
          <w:color w:val="FF0000"/>
        </w:rPr>
        <w:t>substantive enough to</w:t>
      </w:r>
      <w:r w:rsidRPr="00070E0E">
        <w:rPr>
          <w:rFonts w:eastAsia="Times New Roman" w:hint="eastAsia"/>
          <w:color w:val="FF0000"/>
        </w:rPr>
        <w:t xml:space="preserve"> underscore a vital truth: fostering critical thinking, prospective mindsets, and balanced networks is an urgent societal imperative</w:t>
      </w:r>
      <w:r w:rsidRPr="00CF6D5D">
        <w:rPr>
          <w:rFonts w:eastAsia="Times New Roman"/>
          <w:color w:val="000000"/>
        </w:rPr>
        <w:t>.</w:t>
      </w:r>
      <w:r>
        <w:rPr>
          <w:rFonts w:eastAsia="Times New Roman"/>
          <w:color w:val="000000"/>
        </w:rPr>
        <w:t xml:space="preserve"> </w:t>
      </w:r>
      <w:r w:rsidR="00732D1C">
        <w:rPr>
          <w:rFonts w:eastAsia="Times New Roman"/>
          <w:color w:val="FF0000"/>
        </w:rPr>
        <w:t>Moreover</w:t>
      </w:r>
      <w:r w:rsidRPr="00CF6D5D">
        <w:rPr>
          <w:rFonts w:eastAsia="Times New Roman"/>
          <w:color w:val="FF0000"/>
        </w:rPr>
        <w:t xml:space="preserve">, </w:t>
      </w:r>
      <w:r>
        <w:rPr>
          <w:rFonts w:eastAsia="Times New Roman"/>
          <w:color w:val="FF0000"/>
        </w:rPr>
        <w:t>that c</w:t>
      </w:r>
      <w:r w:rsidRPr="00CF6D5D">
        <w:rPr>
          <w:rFonts w:eastAsia="Times New Roman"/>
          <w:color w:val="FF0000"/>
        </w:rPr>
        <w:t xml:space="preserve">ombating misinformation is a shared societal responsibility. </w:t>
      </w:r>
      <w:r w:rsidR="00732D1C">
        <w:rPr>
          <w:rFonts w:eastAsia="Times New Roman"/>
          <w:color w:val="FF0000"/>
        </w:rPr>
        <w:t>In response we contend that g</w:t>
      </w:r>
      <w:r w:rsidRPr="00CF6D5D">
        <w:rPr>
          <w:rFonts w:eastAsia="Times New Roman"/>
          <w:color w:val="FF0000"/>
        </w:rPr>
        <w:t xml:space="preserve">overnments </w:t>
      </w:r>
      <w:r w:rsidR="00732D1C">
        <w:rPr>
          <w:rFonts w:eastAsia="Times New Roman"/>
          <w:color w:val="FF0000"/>
        </w:rPr>
        <w:t xml:space="preserve">must now step up and </w:t>
      </w:r>
      <w:r w:rsidRPr="00CF6D5D">
        <w:rPr>
          <w:rFonts w:eastAsia="Times New Roman"/>
          <w:color w:val="FF0000"/>
        </w:rPr>
        <w:t xml:space="preserve">play a critical role in setting regulatory frameworks and funding public education campaigns; media organizations must </w:t>
      </w:r>
      <w:r w:rsidR="00732D1C">
        <w:rPr>
          <w:rFonts w:eastAsia="Times New Roman"/>
          <w:color w:val="FF0000"/>
        </w:rPr>
        <w:t xml:space="preserve">double down on </w:t>
      </w:r>
      <w:r w:rsidRPr="00CF6D5D">
        <w:rPr>
          <w:rFonts w:eastAsia="Times New Roman"/>
          <w:color w:val="FF0000"/>
        </w:rPr>
        <w:t>uphold</w:t>
      </w:r>
      <w:r w:rsidR="00732D1C">
        <w:rPr>
          <w:rFonts w:eastAsia="Times New Roman"/>
          <w:color w:val="FF0000"/>
        </w:rPr>
        <w:t>ing</w:t>
      </w:r>
      <w:r w:rsidRPr="00CF6D5D">
        <w:rPr>
          <w:rFonts w:eastAsia="Times New Roman"/>
          <w:color w:val="FF0000"/>
        </w:rPr>
        <w:t xml:space="preserve"> high standards of journalistic integrity and resist</w:t>
      </w:r>
      <w:r w:rsidR="00732D1C">
        <w:rPr>
          <w:rFonts w:eastAsia="Times New Roman"/>
          <w:color w:val="FF0000"/>
        </w:rPr>
        <w:t>ing</w:t>
      </w:r>
      <w:r w:rsidRPr="00CF6D5D">
        <w:rPr>
          <w:rFonts w:eastAsia="Times New Roman"/>
          <w:color w:val="FF0000"/>
        </w:rPr>
        <w:t xml:space="preserve"> false balance; social media companies </w:t>
      </w:r>
      <w:r w:rsidR="00732D1C">
        <w:rPr>
          <w:rFonts w:eastAsia="Times New Roman"/>
          <w:color w:val="FF0000"/>
        </w:rPr>
        <w:t>must recognise their</w:t>
      </w:r>
      <w:r w:rsidRPr="00CF6D5D">
        <w:rPr>
          <w:rFonts w:eastAsia="Times New Roman"/>
          <w:color w:val="FF0000"/>
        </w:rPr>
        <w:t xml:space="preserve"> responsibility to curb algorithmic amplification of falsehoods and </w:t>
      </w:r>
      <w:r>
        <w:rPr>
          <w:rFonts w:eastAsia="Times New Roman"/>
          <w:color w:val="FF0000"/>
        </w:rPr>
        <w:t>(re-)</w:t>
      </w:r>
      <w:r w:rsidRPr="00CF6D5D">
        <w:rPr>
          <w:rFonts w:eastAsia="Times New Roman"/>
          <w:color w:val="FF0000"/>
        </w:rPr>
        <w:t xml:space="preserve">introduce frictions such as fact-checking or share-delay features; and educational institutions must </w:t>
      </w:r>
      <w:r w:rsidR="00732D1C">
        <w:rPr>
          <w:rFonts w:eastAsia="Times New Roman"/>
          <w:color w:val="FF0000"/>
        </w:rPr>
        <w:t xml:space="preserve">more actively </w:t>
      </w:r>
      <w:r w:rsidRPr="00CF6D5D">
        <w:rPr>
          <w:rFonts w:eastAsia="Times New Roman"/>
          <w:color w:val="FF0000"/>
        </w:rPr>
        <w:t>integrate critical thinking, media literacy, and civic education throughout the life course – from schools to adult education – ensuring that citizens are prepared to navigate today’s information ecosystem</w:t>
      </w:r>
      <w:r w:rsidRPr="00CF6D5D">
        <w:rPr>
          <w:rFonts w:eastAsia="Times New Roman"/>
          <w:color w:val="000000"/>
        </w:rPr>
        <w:t>. </w:t>
      </w:r>
      <w:r w:rsidR="00732D1C">
        <w:rPr>
          <w:rFonts w:eastAsia="Times New Roman"/>
          <w:color w:val="000000"/>
        </w:rPr>
        <w:t>It is o</w:t>
      </w:r>
      <w:r w:rsidR="00E15890" w:rsidRPr="00CF6D5D">
        <w:rPr>
          <w:rFonts w:eastAsia="Times New Roman"/>
          <w:color w:val="000000"/>
        </w:rPr>
        <w:t xml:space="preserve">nly </w:t>
      </w:r>
      <w:r w:rsidR="00732D1C">
        <w:rPr>
          <w:rFonts w:eastAsia="Times New Roman"/>
          <w:color w:val="000000"/>
        </w:rPr>
        <w:t>when</w:t>
      </w:r>
      <w:r w:rsidR="00E15890" w:rsidRPr="00CF6D5D">
        <w:rPr>
          <w:rFonts w:eastAsia="Times New Roman"/>
          <w:color w:val="000000"/>
        </w:rPr>
        <w:t xml:space="preserve"> </w:t>
      </w:r>
      <w:r w:rsidR="00732D1C">
        <w:rPr>
          <w:rFonts w:eastAsia="Times New Roman"/>
          <w:color w:val="000000"/>
        </w:rPr>
        <w:t>each of th</w:t>
      </w:r>
      <w:r w:rsidR="006D51CC">
        <w:rPr>
          <w:rFonts w:eastAsia="Times New Roman"/>
          <w:color w:val="000000"/>
        </w:rPr>
        <w:t>e</w:t>
      </w:r>
      <w:r w:rsidR="00732D1C">
        <w:rPr>
          <w:rFonts w:eastAsia="Times New Roman"/>
          <w:color w:val="000000"/>
        </w:rPr>
        <w:t xml:space="preserve">se stakeholders takes </w:t>
      </w:r>
      <w:r w:rsidR="006D51CC">
        <w:rPr>
          <w:rFonts w:eastAsia="Times New Roman"/>
          <w:color w:val="000000"/>
        </w:rPr>
        <w:t xml:space="preserve">appropriate </w:t>
      </w:r>
      <w:r w:rsidR="00732D1C">
        <w:rPr>
          <w:rFonts w:eastAsia="Times New Roman"/>
          <w:color w:val="000000"/>
        </w:rPr>
        <w:t xml:space="preserve">action in accordance with their share responsibility </w:t>
      </w:r>
      <w:r w:rsidR="006D51CC">
        <w:rPr>
          <w:rFonts w:eastAsia="Times New Roman"/>
          <w:color w:val="000000"/>
        </w:rPr>
        <w:t xml:space="preserve">that </w:t>
      </w:r>
      <w:r w:rsidR="00E15890" w:rsidRPr="00CF6D5D">
        <w:rPr>
          <w:rFonts w:eastAsia="Times New Roman"/>
          <w:color w:val="000000"/>
        </w:rPr>
        <w:t xml:space="preserve">we </w:t>
      </w:r>
      <w:r w:rsidR="006D51CC">
        <w:rPr>
          <w:rFonts w:eastAsia="Times New Roman"/>
          <w:color w:val="000000"/>
        </w:rPr>
        <w:t xml:space="preserve">can </w:t>
      </w:r>
      <w:r w:rsidR="00E15890" w:rsidRPr="00CF6D5D">
        <w:rPr>
          <w:rFonts w:eastAsia="Times New Roman"/>
          <w:color w:val="000000"/>
        </w:rPr>
        <w:t>create a future where ideas-engagement flourishes, and misinformation finds no fertile ground.</w:t>
      </w:r>
    </w:p>
    <w:p w14:paraId="08667146" w14:textId="77777777" w:rsidR="00212EBE" w:rsidRPr="00212EBE" w:rsidRDefault="00212EBE" w:rsidP="00212EBE">
      <w:pPr>
        <w:pStyle w:val="Heading1"/>
      </w:pPr>
      <w:r w:rsidRPr="00212EBE">
        <w:lastRenderedPageBreak/>
        <w:t>Disclosure statement</w:t>
      </w:r>
    </w:p>
    <w:p w14:paraId="5D142ED8" w14:textId="77777777" w:rsidR="00212EBE" w:rsidRPr="00212EBE" w:rsidRDefault="00212EBE" w:rsidP="00212EBE">
      <w:r w:rsidRPr="00212EBE">
        <w:t>No potential conflict of interest was reported by the author(s).</w:t>
      </w:r>
    </w:p>
    <w:p w14:paraId="56B31A37" w14:textId="195EC208" w:rsidR="00212EBE" w:rsidRDefault="000C59C3" w:rsidP="000C59C3">
      <w:pPr>
        <w:pStyle w:val="Heading1"/>
      </w:pPr>
      <w:r>
        <w:t>Data Availability Statement</w:t>
      </w:r>
    </w:p>
    <w:p w14:paraId="3E027450" w14:textId="627CCCA4" w:rsidR="000C59C3" w:rsidRPr="000C59C3" w:rsidRDefault="000C59C3" w:rsidP="000C59C3">
      <w:pPr>
        <w:pStyle w:val="Paragraph"/>
      </w:pPr>
      <w:r w:rsidRPr="000C59C3">
        <w:t>Data will be made available on request.</w:t>
      </w:r>
    </w:p>
    <w:p w14:paraId="45AF20BA" w14:textId="371ABAE5" w:rsidR="00212EBE" w:rsidRPr="00A77385" w:rsidRDefault="00212EBE" w:rsidP="00212EBE">
      <w:pPr>
        <w:pStyle w:val="Heading1"/>
      </w:pPr>
      <w:r>
        <w:t>References</w:t>
      </w:r>
    </w:p>
    <w:p w14:paraId="7BB865AE" w14:textId="00FAB9D9" w:rsidR="00212EBE" w:rsidRPr="000C59C3" w:rsidRDefault="00212EBE" w:rsidP="4E96D345">
      <w:pPr>
        <w:pStyle w:val="References"/>
        <w:rPr>
          <w:color w:val="FF0000"/>
        </w:rPr>
      </w:pPr>
      <w:r>
        <w:t>Allen, S</w:t>
      </w:r>
      <w:r w:rsidR="07B2B47E">
        <w:t>ummer</w:t>
      </w:r>
      <w:r>
        <w:t xml:space="preserve">. 2019. </w:t>
      </w:r>
      <w:r w:rsidR="00C73BCD">
        <w:t>“</w:t>
      </w:r>
      <w:r w:rsidRPr="4E96D345">
        <w:rPr>
          <w:i/>
          <w:iCs/>
        </w:rPr>
        <w:t>Future-mindedness</w:t>
      </w:r>
      <w:r w:rsidR="00C73BCD">
        <w:t>.”</w:t>
      </w:r>
      <w:r>
        <w:t xml:space="preserve"> Greater Good Science Center at UC Berkeley. John Templeton Foundation</w:t>
      </w:r>
      <w:r w:rsidR="00C73BCD">
        <w:t xml:space="preserve">. </w:t>
      </w:r>
      <w:hyperlink r:id="rId45">
        <w:r w:rsidR="00C73BCD" w:rsidRPr="4E96D345">
          <w:rPr>
            <w:rStyle w:val="Hyperlink"/>
          </w:rPr>
          <w:t>https://www.templeton.org/discoveries/future-mindednessn</w:t>
        </w:r>
      </w:hyperlink>
    </w:p>
    <w:p w14:paraId="62D05ED3" w14:textId="256733AF" w:rsidR="1BA7B94D" w:rsidRDefault="1BA7B94D" w:rsidP="0F7C150D">
      <w:r w:rsidRPr="0F7C150D">
        <w:rPr>
          <w:rFonts w:eastAsia="Times New Roman"/>
          <w:color w:val="222222"/>
        </w:rPr>
        <w:t>Atance, Cristina M., and Daniela K. O'Neill.</w:t>
      </w:r>
      <w:r w:rsidR="294C41A3" w:rsidRPr="0F7C150D">
        <w:rPr>
          <w:rFonts w:eastAsia="Times New Roman"/>
          <w:color w:val="222222"/>
        </w:rPr>
        <w:t xml:space="preserve"> 2001.</w:t>
      </w:r>
      <w:r w:rsidRPr="0F7C150D">
        <w:rPr>
          <w:rFonts w:eastAsia="Times New Roman"/>
          <w:color w:val="222222"/>
        </w:rPr>
        <w:t xml:space="preserve"> "Episodic future thinking." </w:t>
      </w:r>
      <w:r w:rsidRPr="0F7C150D">
        <w:rPr>
          <w:rFonts w:eastAsia="Times New Roman"/>
          <w:i/>
          <w:iCs/>
          <w:color w:val="222222"/>
        </w:rPr>
        <w:t xml:space="preserve">Trends in </w:t>
      </w:r>
      <w:r w:rsidR="02BA5FC8" w:rsidRPr="0F7C150D">
        <w:rPr>
          <w:rFonts w:eastAsia="Times New Roman"/>
          <w:i/>
          <w:iCs/>
          <w:color w:val="222222"/>
        </w:rPr>
        <w:t>C</w:t>
      </w:r>
      <w:r w:rsidRPr="0F7C150D">
        <w:rPr>
          <w:rFonts w:eastAsia="Times New Roman"/>
          <w:i/>
          <w:iCs/>
          <w:color w:val="222222"/>
        </w:rPr>
        <w:t xml:space="preserve">ognitive </w:t>
      </w:r>
      <w:r w:rsidR="57228EB4" w:rsidRPr="0F7C150D">
        <w:rPr>
          <w:rFonts w:eastAsia="Times New Roman"/>
          <w:i/>
          <w:iCs/>
          <w:color w:val="222222"/>
        </w:rPr>
        <w:t>S</w:t>
      </w:r>
      <w:r w:rsidRPr="0F7C150D">
        <w:rPr>
          <w:rFonts w:eastAsia="Times New Roman"/>
          <w:i/>
          <w:iCs/>
          <w:color w:val="222222"/>
        </w:rPr>
        <w:t>ciences</w:t>
      </w:r>
      <w:r w:rsidRPr="0F7C150D">
        <w:rPr>
          <w:rFonts w:eastAsia="Times New Roman"/>
          <w:color w:val="222222"/>
        </w:rPr>
        <w:t xml:space="preserve"> 5</w:t>
      </w:r>
      <w:r w:rsidR="38ABA5C9" w:rsidRPr="0F7C150D">
        <w:rPr>
          <w:rFonts w:eastAsia="Times New Roman"/>
          <w:color w:val="222222"/>
        </w:rPr>
        <w:t xml:space="preserve"> </w:t>
      </w:r>
      <w:r w:rsidR="3A10B846" w:rsidRPr="0F7C150D">
        <w:rPr>
          <w:rFonts w:eastAsia="Times New Roman"/>
          <w:color w:val="222222"/>
        </w:rPr>
        <w:t>(</w:t>
      </w:r>
      <w:r w:rsidRPr="0F7C150D">
        <w:rPr>
          <w:rFonts w:eastAsia="Times New Roman"/>
          <w:color w:val="222222"/>
        </w:rPr>
        <w:t>12</w:t>
      </w:r>
      <w:r w:rsidR="6A0628E0" w:rsidRPr="0F7C150D">
        <w:rPr>
          <w:rFonts w:eastAsia="Times New Roman"/>
          <w:color w:val="222222"/>
        </w:rPr>
        <w:t>)</w:t>
      </w:r>
      <w:r w:rsidRPr="0F7C150D">
        <w:rPr>
          <w:rFonts w:eastAsia="Times New Roman"/>
          <w:color w:val="222222"/>
        </w:rPr>
        <w:t>: 533-539.</w:t>
      </w:r>
    </w:p>
    <w:p w14:paraId="34EF858B" w14:textId="66A3F9F5" w:rsidR="1BA7B94D" w:rsidRDefault="1BA7B94D" w:rsidP="0F7C150D">
      <w:r w:rsidRPr="0F7C150D">
        <w:rPr>
          <w:rFonts w:eastAsia="Times New Roman"/>
          <w:color w:val="222222"/>
        </w:rPr>
        <w:t xml:space="preserve">Bago, Bence, David G. Rand, and Gordon Pennycook. </w:t>
      </w:r>
      <w:r w:rsidR="3CB412D9" w:rsidRPr="0F7C150D">
        <w:rPr>
          <w:rFonts w:eastAsia="Times New Roman"/>
          <w:color w:val="222222"/>
        </w:rPr>
        <w:t xml:space="preserve">2020 </w:t>
      </w:r>
      <w:r w:rsidRPr="0F7C150D">
        <w:rPr>
          <w:rFonts w:eastAsia="Times New Roman"/>
          <w:color w:val="222222"/>
        </w:rPr>
        <w:t xml:space="preserve">"Fake news, fast and slow: Deliberation reduces belief in false (but not true) news headlines." </w:t>
      </w:r>
      <w:r w:rsidRPr="0F7C150D">
        <w:rPr>
          <w:rFonts w:eastAsia="Times New Roman"/>
          <w:i/>
          <w:iCs/>
          <w:color w:val="222222"/>
        </w:rPr>
        <w:t xml:space="preserve">Journal of </w:t>
      </w:r>
      <w:r w:rsidR="0B217076" w:rsidRPr="0F7C150D">
        <w:rPr>
          <w:rFonts w:eastAsia="Times New Roman"/>
          <w:i/>
          <w:iCs/>
          <w:color w:val="222222"/>
        </w:rPr>
        <w:t>E</w:t>
      </w:r>
      <w:r w:rsidRPr="0F7C150D">
        <w:rPr>
          <w:rFonts w:eastAsia="Times New Roman"/>
          <w:i/>
          <w:iCs/>
          <w:color w:val="222222"/>
        </w:rPr>
        <w:t xml:space="preserve">xperimental </w:t>
      </w:r>
      <w:r w:rsidR="2E7D10E4" w:rsidRPr="0F7C150D">
        <w:rPr>
          <w:rFonts w:eastAsia="Times New Roman"/>
          <w:i/>
          <w:iCs/>
          <w:color w:val="222222"/>
        </w:rPr>
        <w:t>P</w:t>
      </w:r>
      <w:r w:rsidRPr="0F7C150D">
        <w:rPr>
          <w:rFonts w:eastAsia="Times New Roman"/>
          <w:i/>
          <w:iCs/>
          <w:color w:val="222222"/>
        </w:rPr>
        <w:t xml:space="preserve">sychology: </w:t>
      </w:r>
      <w:r w:rsidR="7CA96001" w:rsidRPr="0F7C150D">
        <w:rPr>
          <w:rFonts w:eastAsia="Times New Roman"/>
          <w:i/>
          <w:iCs/>
          <w:color w:val="222222"/>
        </w:rPr>
        <w:t>G</w:t>
      </w:r>
      <w:r w:rsidRPr="0F7C150D">
        <w:rPr>
          <w:rFonts w:eastAsia="Times New Roman"/>
          <w:i/>
          <w:iCs/>
          <w:color w:val="222222"/>
        </w:rPr>
        <w:t>eneral</w:t>
      </w:r>
      <w:r w:rsidRPr="0F7C150D">
        <w:rPr>
          <w:rFonts w:eastAsia="Times New Roman"/>
          <w:color w:val="222222"/>
        </w:rPr>
        <w:t xml:space="preserve"> 149</w:t>
      </w:r>
      <w:r w:rsidR="3F43B902" w:rsidRPr="0F7C150D">
        <w:rPr>
          <w:rFonts w:eastAsia="Times New Roman"/>
          <w:color w:val="222222"/>
        </w:rPr>
        <w:t xml:space="preserve"> </w:t>
      </w:r>
      <w:r w:rsidR="1645AF0C" w:rsidRPr="0F7C150D">
        <w:rPr>
          <w:rFonts w:eastAsia="Times New Roman"/>
          <w:color w:val="222222"/>
        </w:rPr>
        <w:t>(</w:t>
      </w:r>
      <w:r w:rsidRPr="0F7C150D">
        <w:rPr>
          <w:rFonts w:eastAsia="Times New Roman"/>
          <w:color w:val="222222"/>
        </w:rPr>
        <w:t>8</w:t>
      </w:r>
      <w:r w:rsidR="199DD259" w:rsidRPr="0F7C150D">
        <w:rPr>
          <w:rFonts w:eastAsia="Times New Roman"/>
          <w:color w:val="222222"/>
        </w:rPr>
        <w:t>):</w:t>
      </w:r>
      <w:r w:rsidRPr="0F7C150D">
        <w:rPr>
          <w:rFonts w:eastAsia="Times New Roman"/>
          <w:color w:val="222222"/>
        </w:rPr>
        <w:t xml:space="preserve"> 1608.</w:t>
      </w:r>
    </w:p>
    <w:p w14:paraId="163308F5" w14:textId="1F0B175A" w:rsidR="00212EBE" w:rsidRPr="00C73BCD" w:rsidRDefault="00212EBE" w:rsidP="4E96D345">
      <w:pPr>
        <w:pStyle w:val="References"/>
        <w:rPr>
          <w:rFonts w:cs="Calibri"/>
          <w:i/>
          <w:iCs/>
          <w:shd w:val="clear" w:color="auto" w:fill="FFFFFF"/>
        </w:rPr>
      </w:pPr>
      <w:r w:rsidRPr="4E96D345">
        <w:rPr>
          <w:rFonts w:cs="Calibri"/>
          <w:shd w:val="clear" w:color="auto" w:fill="FFFFFF"/>
        </w:rPr>
        <w:t>Baer, A</w:t>
      </w:r>
      <w:r w:rsidR="0E419257" w:rsidRPr="4E96D345">
        <w:rPr>
          <w:rFonts w:cs="Calibri"/>
          <w:shd w:val="clear" w:color="auto" w:fill="FFFFFF"/>
        </w:rPr>
        <w:t>ndrea</w:t>
      </w:r>
      <w:r w:rsidRPr="4E96D345">
        <w:rPr>
          <w:rFonts w:cs="Calibri"/>
          <w:shd w:val="clear" w:color="auto" w:fill="FFFFFF"/>
        </w:rPr>
        <w:t xml:space="preserve">. 2020. </w:t>
      </w:r>
      <w:r w:rsidR="00C73BCD" w:rsidRPr="4E96D345">
        <w:rPr>
          <w:rFonts w:cs="Calibri"/>
          <w:shd w:val="clear" w:color="auto" w:fill="FFFFFF"/>
        </w:rPr>
        <w:t>“</w:t>
      </w:r>
      <w:r w:rsidRPr="4E96D345">
        <w:rPr>
          <w:rFonts w:cs="Calibri"/>
          <w:shd w:val="clear" w:color="auto" w:fill="FFFFFF"/>
        </w:rPr>
        <w:t>What intellectual empathy can offer information literacy education.</w:t>
      </w:r>
      <w:r w:rsidR="00C73BCD" w:rsidRPr="4E96D345">
        <w:rPr>
          <w:rFonts w:cs="Calibri"/>
          <w:shd w:val="clear" w:color="auto" w:fill="FFFFFF"/>
        </w:rPr>
        <w:t>” In</w:t>
      </w:r>
      <w:r w:rsidRPr="4E96D345">
        <w:rPr>
          <w:rFonts w:cs="Calibri"/>
          <w:shd w:val="clear" w:color="auto" w:fill="FFFFFF"/>
        </w:rPr>
        <w:t> </w:t>
      </w:r>
      <w:r w:rsidRPr="4E96D345">
        <w:rPr>
          <w:rFonts w:cs="Calibri"/>
          <w:i/>
          <w:iCs/>
          <w:shd w:val="clear" w:color="auto" w:fill="FFFFFF"/>
        </w:rPr>
        <w:t>Informed Societies: Why information literacy matters for citizenship, participation and democracy</w:t>
      </w:r>
      <w:r w:rsidR="00C73BCD" w:rsidRPr="4E96D345">
        <w:rPr>
          <w:rFonts w:cs="Calibri"/>
          <w:shd w:val="clear" w:color="auto" w:fill="FFFFFF"/>
        </w:rPr>
        <w:t xml:space="preserve"> edited by Stéphane Goldstein</w:t>
      </w:r>
      <w:r w:rsidR="00C73BCD" w:rsidRPr="4E96D345">
        <w:rPr>
          <w:rFonts w:cs="Calibri"/>
          <w:i/>
          <w:iCs/>
          <w:shd w:val="clear" w:color="auto" w:fill="FFFFFF"/>
        </w:rPr>
        <w:t xml:space="preserve">, </w:t>
      </w:r>
      <w:r w:rsidRPr="4E96D345">
        <w:rPr>
          <w:rFonts w:cs="Calibri"/>
          <w:shd w:val="clear" w:color="auto" w:fill="FFFFFF"/>
        </w:rPr>
        <w:t>47-68.</w:t>
      </w:r>
      <w:r w:rsidR="00C73BCD" w:rsidRPr="4E96D345">
        <w:rPr>
          <w:rFonts w:cs="Calibri"/>
          <w:shd w:val="clear" w:color="auto" w:fill="FFFFFF"/>
        </w:rPr>
        <w:t xml:space="preserve"> London, UK: Facet Publishing.</w:t>
      </w:r>
    </w:p>
    <w:p w14:paraId="6C347E2F" w14:textId="26A4BAAA" w:rsidR="1F6FA39A" w:rsidRDefault="1F6FA39A" w:rsidP="0F7C150D">
      <w:pPr>
        <w:rPr>
          <w:color w:val="222222"/>
        </w:rPr>
      </w:pPr>
      <w:r w:rsidRPr="0F7C150D">
        <w:rPr>
          <w:rFonts w:eastAsia="Times New Roman"/>
          <w:color w:val="222222"/>
        </w:rPr>
        <w:t xml:space="preserve">Baumeister, Roy F., Kathleen D. Vohs, and Gabriele Oettingen. </w:t>
      </w:r>
      <w:r w:rsidR="312FB515" w:rsidRPr="0F7C150D">
        <w:rPr>
          <w:rFonts w:eastAsia="Times New Roman"/>
          <w:color w:val="222222"/>
        </w:rPr>
        <w:t xml:space="preserve">2016. </w:t>
      </w:r>
      <w:r w:rsidRPr="0F7C150D">
        <w:rPr>
          <w:rFonts w:eastAsia="Times New Roman"/>
          <w:color w:val="222222"/>
        </w:rPr>
        <w:t xml:space="preserve">"Pragmatic prospection: How and why people think about the future." </w:t>
      </w:r>
      <w:r w:rsidRPr="0F7C150D">
        <w:rPr>
          <w:rFonts w:eastAsia="Times New Roman"/>
          <w:i/>
          <w:iCs/>
          <w:color w:val="222222"/>
        </w:rPr>
        <w:t xml:space="preserve">Review of </w:t>
      </w:r>
      <w:r w:rsidR="0677CC46" w:rsidRPr="0F7C150D">
        <w:rPr>
          <w:rFonts w:eastAsia="Times New Roman"/>
          <w:i/>
          <w:iCs/>
          <w:color w:val="222222"/>
        </w:rPr>
        <w:t>G</w:t>
      </w:r>
      <w:r w:rsidRPr="0F7C150D">
        <w:rPr>
          <w:rFonts w:eastAsia="Times New Roman"/>
          <w:i/>
          <w:iCs/>
          <w:color w:val="222222"/>
        </w:rPr>
        <w:t xml:space="preserve">eneral </w:t>
      </w:r>
      <w:r w:rsidR="3E5CA64B" w:rsidRPr="0F7C150D">
        <w:rPr>
          <w:rFonts w:eastAsia="Times New Roman"/>
          <w:i/>
          <w:iCs/>
          <w:color w:val="222222"/>
        </w:rPr>
        <w:t>P</w:t>
      </w:r>
      <w:r w:rsidRPr="0F7C150D">
        <w:rPr>
          <w:rFonts w:eastAsia="Times New Roman"/>
          <w:i/>
          <w:iCs/>
          <w:color w:val="222222"/>
        </w:rPr>
        <w:t>sychology</w:t>
      </w:r>
      <w:r w:rsidRPr="0F7C150D">
        <w:rPr>
          <w:rFonts w:eastAsia="Times New Roman"/>
          <w:color w:val="222222"/>
        </w:rPr>
        <w:t xml:space="preserve"> 20</w:t>
      </w:r>
      <w:r w:rsidR="061CCC1D" w:rsidRPr="0F7C150D">
        <w:rPr>
          <w:rFonts w:eastAsia="Times New Roman"/>
          <w:color w:val="222222"/>
        </w:rPr>
        <w:t xml:space="preserve"> (</w:t>
      </w:r>
      <w:r w:rsidRPr="0F7C150D">
        <w:rPr>
          <w:rFonts w:eastAsia="Times New Roman"/>
          <w:color w:val="222222"/>
        </w:rPr>
        <w:t>1</w:t>
      </w:r>
      <w:r w:rsidR="0D1C9BD6" w:rsidRPr="0F7C150D">
        <w:rPr>
          <w:rFonts w:eastAsia="Times New Roman"/>
          <w:color w:val="222222"/>
        </w:rPr>
        <w:t>)</w:t>
      </w:r>
      <w:r w:rsidRPr="0F7C150D">
        <w:rPr>
          <w:rFonts w:eastAsia="Times New Roman"/>
          <w:color w:val="222222"/>
        </w:rPr>
        <w:t>: 3-16.</w:t>
      </w:r>
    </w:p>
    <w:p w14:paraId="0CD467C7" w14:textId="3C8FB73D" w:rsidR="00212EBE" w:rsidRPr="00C73BCD" w:rsidRDefault="1F6FA39A" w:rsidP="0F7C150D">
      <w:pPr>
        <w:rPr>
          <w:u w:val="single"/>
        </w:rPr>
      </w:pPr>
      <w:r w:rsidRPr="0F7C150D">
        <w:rPr>
          <w:rFonts w:eastAsia="Times New Roman"/>
          <w:color w:val="222222"/>
        </w:rPr>
        <w:t xml:space="preserve">Brown, Chris, and Jana Gross Ophoff. </w:t>
      </w:r>
      <w:r w:rsidR="10913568" w:rsidRPr="0F7C150D">
        <w:rPr>
          <w:rFonts w:eastAsia="Times New Roman"/>
          <w:color w:val="222222"/>
        </w:rPr>
        <w:t>202</w:t>
      </w:r>
      <w:r w:rsidR="70FA4EA8" w:rsidRPr="0F7C150D">
        <w:rPr>
          <w:rFonts w:eastAsia="Times New Roman"/>
          <w:color w:val="222222"/>
        </w:rPr>
        <w:t>2a</w:t>
      </w:r>
      <w:r w:rsidR="10913568" w:rsidRPr="0F7C150D">
        <w:rPr>
          <w:rFonts w:eastAsia="Times New Roman"/>
          <w:color w:val="222222"/>
        </w:rPr>
        <w:t xml:space="preserve">. </w:t>
      </w:r>
      <w:r w:rsidRPr="0F7C150D">
        <w:rPr>
          <w:rFonts w:eastAsia="Times New Roman"/>
          <w:color w:val="222222"/>
        </w:rPr>
        <w:t xml:space="preserve">"Exploring effective approaches for stimulating ideas-engagement amongst adults in England: results from a randomised control trial." </w:t>
      </w:r>
      <w:r w:rsidRPr="0F7C150D">
        <w:rPr>
          <w:rFonts w:eastAsia="Times New Roman"/>
          <w:i/>
          <w:iCs/>
          <w:color w:val="222222"/>
        </w:rPr>
        <w:t>Emerald Open Research</w:t>
      </w:r>
      <w:r w:rsidRPr="0F7C150D">
        <w:rPr>
          <w:rFonts w:eastAsia="Times New Roman"/>
          <w:color w:val="222222"/>
        </w:rPr>
        <w:t xml:space="preserve"> </w:t>
      </w:r>
      <w:r w:rsidR="5D4E8570" w:rsidRPr="0F7C150D">
        <w:rPr>
          <w:rFonts w:eastAsia="Times New Roman"/>
          <w:color w:val="222222"/>
        </w:rPr>
        <w:t>4</w:t>
      </w:r>
      <w:r w:rsidR="6D21AA03" w:rsidRPr="0F7C150D">
        <w:rPr>
          <w:rFonts w:eastAsia="Times New Roman"/>
          <w:color w:val="222222"/>
        </w:rPr>
        <w:t xml:space="preserve"> </w:t>
      </w:r>
      <w:r w:rsidR="753E23FD" w:rsidRPr="0F7C150D">
        <w:rPr>
          <w:rFonts w:eastAsia="Times New Roman"/>
          <w:color w:val="222222"/>
        </w:rPr>
        <w:t>(</w:t>
      </w:r>
      <w:r w:rsidR="6C608E5B" w:rsidRPr="0F7C150D">
        <w:rPr>
          <w:rFonts w:eastAsia="Times New Roman"/>
          <w:color w:val="222222"/>
        </w:rPr>
        <w:t>39</w:t>
      </w:r>
      <w:r w:rsidR="6CC9CEC5" w:rsidRPr="0F7C150D">
        <w:rPr>
          <w:rFonts w:eastAsia="Times New Roman"/>
          <w:color w:val="222222"/>
        </w:rPr>
        <w:t>)</w:t>
      </w:r>
      <w:r w:rsidR="001C1249" w:rsidRPr="0F7C150D">
        <w:rPr>
          <w:rFonts w:eastAsia="Times New Roman"/>
        </w:rPr>
        <w:t xml:space="preserve"> </w:t>
      </w:r>
      <w:hyperlink r:id="rId46">
        <w:r w:rsidR="00212EBE" w:rsidRPr="0F7C150D">
          <w:rPr>
            <w:rStyle w:val="Hyperlink"/>
            <w:rFonts w:eastAsia="Times New Roman"/>
          </w:rPr>
          <w:t>https://doi.org/10.35241/emeraldopenres.14914.1</w:t>
        </w:r>
      </w:hyperlink>
    </w:p>
    <w:p w14:paraId="36071641" w14:textId="60E31D48" w:rsidR="00212EBE" w:rsidRPr="00C73BCD" w:rsidRDefault="06A8D686" w:rsidP="0F7C150D">
      <w:pPr>
        <w:rPr>
          <w:lang w:val="en-US"/>
        </w:rPr>
      </w:pPr>
      <w:r w:rsidRPr="0F7C150D">
        <w:rPr>
          <w:rFonts w:eastAsia="Times New Roman"/>
          <w:color w:val="222222"/>
          <w:lang w:val="en-US"/>
        </w:rPr>
        <w:t xml:space="preserve">Brown, Chris, Jana Groß Ophoff, Kim Chadwick, and Sharon Parkinson. 2023. "Achieving the “ideas-informed” society: results from a structural equation model using </w:t>
      </w:r>
      <w:r w:rsidRPr="0F7C150D">
        <w:rPr>
          <w:rFonts w:eastAsia="Times New Roman"/>
          <w:color w:val="222222"/>
          <w:lang w:val="en-US"/>
        </w:rPr>
        <w:lastRenderedPageBreak/>
        <w:t xml:space="preserve">survey data from England." </w:t>
      </w:r>
      <w:r w:rsidRPr="0F7C150D">
        <w:rPr>
          <w:rFonts w:eastAsia="Times New Roman"/>
          <w:i/>
          <w:iCs/>
          <w:color w:val="222222"/>
          <w:lang w:val="en-US"/>
        </w:rPr>
        <w:t>Emerald Open Research</w:t>
      </w:r>
      <w:r w:rsidRPr="0F7C150D">
        <w:rPr>
          <w:rFonts w:eastAsia="Times New Roman"/>
          <w:color w:val="222222"/>
          <w:lang w:val="en-US"/>
        </w:rPr>
        <w:t xml:space="preserve"> 4 (4)</w:t>
      </w:r>
      <w:r w:rsidR="7D9F83AE" w:rsidRPr="0F7C150D">
        <w:rPr>
          <w:rFonts w:eastAsia="Times New Roman"/>
          <w:color w:val="222222"/>
          <w:lang w:val="en-US"/>
        </w:rPr>
        <w:t xml:space="preserve"> </w:t>
      </w:r>
      <w:hyperlink r:id="rId47">
        <w:r w:rsidR="7D9F83AE" w:rsidRPr="0F7C150D">
          <w:rPr>
            <w:rStyle w:val="Hyperlink"/>
            <w:rFonts w:eastAsia="Times New Roman"/>
            <w:lang w:val="en-US"/>
          </w:rPr>
          <w:t>https://doi.org/10.35241/emeraldopenres.14487.1</w:t>
        </w:r>
      </w:hyperlink>
    </w:p>
    <w:p w14:paraId="63E3BB97" w14:textId="7D30E943" w:rsidR="00212EBE" w:rsidRPr="00C73BCD" w:rsidRDefault="06A8D686" w:rsidP="0F7C150D">
      <w:pPr>
        <w:rPr>
          <w:lang w:val="en-US"/>
        </w:rPr>
      </w:pPr>
      <w:r w:rsidRPr="0F7C150D">
        <w:rPr>
          <w:rFonts w:eastAsia="Times New Roman"/>
          <w:color w:val="222222"/>
          <w:lang w:val="en-US"/>
        </w:rPr>
        <w:t xml:space="preserve">Brown, Chris, Ruth Luzmore, and Jana Groß Ophoff. 2022c "Anomie in the UK? Can cultural malaise threaten the fruition of the ideas-informed society?." </w:t>
      </w:r>
      <w:r w:rsidRPr="0F7C150D">
        <w:rPr>
          <w:rFonts w:eastAsia="Times New Roman"/>
          <w:i/>
          <w:iCs/>
          <w:color w:val="222222"/>
          <w:lang w:val="en-US"/>
        </w:rPr>
        <w:t>Emerald Open Research</w:t>
      </w:r>
      <w:r w:rsidRPr="0F7C150D">
        <w:rPr>
          <w:rFonts w:eastAsia="Times New Roman"/>
          <w:color w:val="222222"/>
          <w:lang w:val="en-US"/>
        </w:rPr>
        <w:t xml:space="preserve"> 4 (28). </w:t>
      </w:r>
      <w:hyperlink r:id="rId48">
        <w:r w:rsidRPr="0F7C150D">
          <w:rPr>
            <w:rStyle w:val="Hyperlink"/>
            <w:rFonts w:eastAsia="Times New Roman"/>
          </w:rPr>
          <w:t>https://doi.org/10.35241/emeraldopenres.14786.1</w:t>
        </w:r>
      </w:hyperlink>
    </w:p>
    <w:p w14:paraId="45A02225" w14:textId="17E48EAA" w:rsidR="00212EBE" w:rsidRPr="00C73BCD" w:rsidRDefault="2EC477B9" w:rsidP="4E96D345">
      <w:pPr>
        <w:rPr>
          <w:lang w:val="en-US"/>
        </w:rPr>
      </w:pPr>
      <w:r w:rsidRPr="4E96D345">
        <w:rPr>
          <w:rFonts w:eastAsia="Times New Roman"/>
          <w:color w:val="222222"/>
          <w:lang w:val="en-US"/>
        </w:rPr>
        <w:t xml:space="preserve">Brown, Chris, Ruth Luzmore, and Jana Groß Ophoff. 2022d. "Facilitating the ideas-informed society: a systematic review." </w:t>
      </w:r>
      <w:r w:rsidRPr="4E96D345">
        <w:rPr>
          <w:rFonts w:eastAsia="Times New Roman"/>
          <w:i/>
          <w:iCs/>
          <w:color w:val="222222"/>
          <w:lang w:val="en-US"/>
        </w:rPr>
        <w:t>Emerald Open Research</w:t>
      </w:r>
      <w:r w:rsidRPr="4E96D345">
        <w:rPr>
          <w:rFonts w:eastAsia="Times New Roman"/>
          <w:color w:val="222222"/>
          <w:lang w:val="en-US"/>
        </w:rPr>
        <w:t xml:space="preserve"> 4 (25)</w:t>
      </w:r>
      <w:r w:rsidR="00212EBE" w:rsidRPr="4E96D345">
        <w:rPr>
          <w:rFonts w:eastAsia="Times New Roman"/>
          <w:lang w:val="en-US"/>
        </w:rPr>
        <w:t xml:space="preserve"> </w:t>
      </w:r>
      <w:hyperlink r:id="rId49">
        <w:r w:rsidR="00212EBE" w:rsidRPr="4E96D345">
          <w:rPr>
            <w:rStyle w:val="Hyperlink"/>
            <w:rFonts w:eastAsia="Times New Roman"/>
            <w:lang w:val="en-US"/>
          </w:rPr>
          <w:t>https://doi.org/10.35241/emeraldopenres.14729.1</w:t>
        </w:r>
      </w:hyperlink>
      <w:r w:rsidR="00212EBE" w:rsidRPr="4E96D345">
        <w:rPr>
          <w:rFonts w:eastAsia="Times New Roman"/>
        </w:rPr>
        <w:t xml:space="preserve"> </w:t>
      </w:r>
    </w:p>
    <w:p w14:paraId="2DFAD4D2" w14:textId="76FEF309" w:rsidR="00212EBE" w:rsidRPr="00C73BCD" w:rsidRDefault="580050D4" w:rsidP="4E96D345">
      <w:r w:rsidRPr="4E96D345">
        <w:rPr>
          <w:rFonts w:eastAsia="Times New Roman"/>
          <w:color w:val="222222"/>
        </w:rPr>
        <w:t xml:space="preserve">Brown, Chris, Jana Gross Ophoff, and Graham Handscomb. 2024. "Quality education for all in an ideas-informed society: exploring idea-engagement amongst friendship networks and how education can prevent idea “echo-chambers”." </w:t>
      </w:r>
      <w:r w:rsidRPr="4E96D345">
        <w:rPr>
          <w:rFonts w:eastAsia="Times New Roman"/>
          <w:i/>
          <w:iCs/>
          <w:color w:val="222222"/>
        </w:rPr>
        <w:t>Quality Education for All</w:t>
      </w:r>
      <w:r w:rsidRPr="4E96D345">
        <w:rPr>
          <w:rFonts w:eastAsia="Times New Roman"/>
          <w:color w:val="222222"/>
        </w:rPr>
        <w:t xml:space="preserve"> 1 (1): 70-85. </w:t>
      </w:r>
      <w:hyperlink r:id="rId50">
        <w:r w:rsidRPr="4E96D345">
          <w:rPr>
            <w:rStyle w:val="Hyperlink"/>
            <w:rFonts w:eastAsia="Times New Roman"/>
          </w:rPr>
          <w:t>https://doi.org/10.1108/QEA-10-2023-0003</w:t>
        </w:r>
      </w:hyperlink>
    </w:p>
    <w:p w14:paraId="6D17A4A5" w14:textId="07868AC7" w:rsidR="00212EBE" w:rsidRPr="00C73BCD" w:rsidRDefault="2BA2A601" w:rsidP="4E96D345">
      <w:r w:rsidRPr="4E96D345">
        <w:rPr>
          <w:rFonts w:eastAsia="Times New Roman"/>
          <w:color w:val="222222"/>
          <w:lang w:val="en-US"/>
        </w:rPr>
        <w:t>Brown, Chris, and Ruth Luzmore. 2024.</w:t>
      </w:r>
      <w:r w:rsidR="00212EBE" w:rsidRPr="4E96D345">
        <w:rPr>
          <w:rFonts w:eastAsia="Times New Roman"/>
          <w:lang w:val="en-US"/>
        </w:rPr>
        <w:t xml:space="preserve"> </w:t>
      </w:r>
      <w:r w:rsidR="001C1249" w:rsidRPr="4E96D345">
        <w:rPr>
          <w:rFonts w:eastAsia="Times New Roman"/>
          <w:lang w:val="en-US"/>
        </w:rPr>
        <w:t>“</w:t>
      </w:r>
      <w:r w:rsidR="00212EBE" w:rsidRPr="4E96D345">
        <w:rPr>
          <w:rFonts w:eastAsia="Times New Roman"/>
          <w:lang w:val="en-US"/>
        </w:rPr>
        <w:t>An educated society is an ideas-informed society: a proposed theoretical framework for effective ideas-engagement</w:t>
      </w:r>
      <w:r w:rsidR="001C1249" w:rsidRPr="4E96D345">
        <w:rPr>
          <w:rFonts w:eastAsia="Times New Roman"/>
          <w:i/>
          <w:iCs/>
          <w:lang w:val="en-US"/>
        </w:rPr>
        <w:t>.”</w:t>
      </w:r>
      <w:r w:rsidR="00212EBE" w:rsidRPr="4E96D345">
        <w:rPr>
          <w:rFonts w:eastAsia="Times New Roman"/>
          <w:i/>
          <w:iCs/>
          <w:lang w:val="en-US"/>
        </w:rPr>
        <w:t xml:space="preserve"> British Educational Research Journal.</w:t>
      </w:r>
      <w:r w:rsidR="001C1249" w:rsidRPr="4E96D345">
        <w:rPr>
          <w:rFonts w:eastAsia="Times New Roman"/>
          <w:i/>
          <w:iCs/>
          <w:lang w:val="en-US"/>
        </w:rPr>
        <w:t xml:space="preserve"> </w:t>
      </w:r>
      <w:r w:rsidR="001C1249" w:rsidRPr="4E96D345">
        <w:rPr>
          <w:rFonts w:eastAsia="Times New Roman"/>
          <w:lang w:val="en-US"/>
        </w:rPr>
        <w:t>00:1–21</w:t>
      </w:r>
      <w:r w:rsidR="001C1249" w:rsidRPr="4E96D345">
        <w:rPr>
          <w:rFonts w:eastAsia="Times New Roman"/>
          <w:i/>
          <w:iCs/>
          <w:lang w:val="en-US"/>
        </w:rPr>
        <w:t>.</w:t>
      </w:r>
      <w:r w:rsidR="00212EBE" w:rsidRPr="4E96D345">
        <w:rPr>
          <w:rFonts w:eastAsia="Times New Roman"/>
          <w:lang w:val="en-US"/>
        </w:rPr>
        <w:t xml:space="preserve"> </w:t>
      </w:r>
      <w:hyperlink r:id="rId51">
        <w:r w:rsidR="00212EBE" w:rsidRPr="4E96D345">
          <w:rPr>
            <w:rStyle w:val="Hyperlink"/>
            <w:rFonts w:eastAsia="Times New Roman"/>
          </w:rPr>
          <w:t>http://doi.org/10.1002/berj.4110</w:t>
        </w:r>
      </w:hyperlink>
    </w:p>
    <w:p w14:paraId="57AFBF4B" w14:textId="6C7A4873" w:rsidR="00FD489C" w:rsidRDefault="00FD489C" w:rsidP="4E96D345">
      <w:pPr>
        <w:rPr>
          <w:rFonts w:eastAsia="Times New Roman"/>
          <w:color w:val="222222"/>
        </w:rPr>
      </w:pPr>
      <w:r w:rsidRPr="4E96D345">
        <w:rPr>
          <w:rFonts w:eastAsia="Times New Roman"/>
          <w:color w:val="222222"/>
        </w:rPr>
        <w:t>Brown, Chris, Ruth Luzmore, and Yin Wang.</w:t>
      </w:r>
      <w:r>
        <w:t xml:space="preserve"> 2025a “Making better decisions, eschewing conspiracy, populism and science denial: analysing the attributes of individuals who engage effectively with ideas.” </w:t>
      </w:r>
      <w:r w:rsidRPr="4E96D345">
        <w:rPr>
          <w:i/>
          <w:iCs/>
        </w:rPr>
        <w:t xml:space="preserve">Information. </w:t>
      </w:r>
      <w:r>
        <w:t xml:space="preserve">16(3): 248 </w:t>
      </w:r>
      <w:hyperlink r:id="rId52">
        <w:r w:rsidRPr="4E96D345">
          <w:rPr>
            <w:rStyle w:val="Hyperlink"/>
          </w:rPr>
          <w:t>https://doi.org/10.3390/info16030248</w:t>
        </w:r>
      </w:hyperlink>
    </w:p>
    <w:p w14:paraId="3F144753" w14:textId="0F7D27D4" w:rsidR="00212EBE" w:rsidRPr="00C73BCD" w:rsidRDefault="124D4897" w:rsidP="4E96D345">
      <w:r w:rsidRPr="4E96D345">
        <w:rPr>
          <w:rFonts w:eastAsia="Times New Roman"/>
          <w:color w:val="222222"/>
        </w:rPr>
        <w:t>Brown, Chris, Ruth Luzmore, and Yin Wang.</w:t>
      </w:r>
      <w:r w:rsidR="00212EBE" w:rsidRPr="4E96D345">
        <w:rPr>
          <w:rFonts w:eastAsia="Times New Roman"/>
        </w:rPr>
        <w:t xml:space="preserve"> 2025</w:t>
      </w:r>
      <w:r w:rsidR="00FD489C">
        <w:rPr>
          <w:rFonts w:eastAsia="Times New Roman"/>
        </w:rPr>
        <w:t>b</w:t>
      </w:r>
      <w:r w:rsidR="00212EBE" w:rsidRPr="4E96D345">
        <w:rPr>
          <w:rFonts w:eastAsia="Times New Roman"/>
        </w:rPr>
        <w:t>a</w:t>
      </w:r>
      <w:r w:rsidR="001C1249" w:rsidRPr="4E96D345">
        <w:rPr>
          <w:rFonts w:eastAsia="Times New Roman"/>
        </w:rPr>
        <w:t>.</w:t>
      </w:r>
      <w:r w:rsidR="00212EBE" w:rsidRPr="4E96D345">
        <w:rPr>
          <w:rFonts w:eastAsia="Times New Roman"/>
        </w:rPr>
        <w:t xml:space="preserve"> </w:t>
      </w:r>
      <w:r w:rsidR="001C1249" w:rsidRPr="4E96D345">
        <w:rPr>
          <w:rFonts w:eastAsia="Times New Roman"/>
        </w:rPr>
        <w:t>“</w:t>
      </w:r>
      <w:r w:rsidR="00212EBE" w:rsidRPr="4E96D345">
        <w:rPr>
          <w:rFonts w:eastAsia="Times New Roman"/>
        </w:rPr>
        <w:t>Education, prospection and social-networks: surveying ideas-engagement amongst 7,000 respondents across seven European countries</w:t>
      </w:r>
      <w:r w:rsidR="001C1249" w:rsidRPr="4E96D345">
        <w:rPr>
          <w:rFonts w:eastAsia="Times New Roman"/>
        </w:rPr>
        <w:t>.”</w:t>
      </w:r>
      <w:r w:rsidR="00212EBE" w:rsidRPr="4E96D345">
        <w:rPr>
          <w:rFonts w:eastAsia="Times New Roman"/>
        </w:rPr>
        <w:t xml:space="preserve"> </w:t>
      </w:r>
      <w:r w:rsidR="00212EBE" w:rsidRPr="4E96D345">
        <w:rPr>
          <w:rFonts w:eastAsia="Times New Roman"/>
          <w:i/>
          <w:iCs/>
        </w:rPr>
        <w:t>Quality Education for All</w:t>
      </w:r>
      <w:r w:rsidR="001C1249" w:rsidRPr="4E96D345">
        <w:rPr>
          <w:rFonts w:eastAsia="Times New Roman"/>
        </w:rPr>
        <w:t>.</w:t>
      </w:r>
      <w:r w:rsidR="27C657AB" w:rsidRPr="4E96D345">
        <w:rPr>
          <w:rFonts w:eastAsia="Times New Roman"/>
        </w:rPr>
        <w:t xml:space="preserve"> 1: 289-320</w:t>
      </w:r>
      <w:r w:rsidR="00212EBE" w:rsidRPr="4E96D345">
        <w:rPr>
          <w:rFonts w:eastAsia="Times New Roman"/>
        </w:rPr>
        <w:t xml:space="preserve"> </w:t>
      </w:r>
      <w:hyperlink r:id="rId53">
        <w:r w:rsidR="00212EBE" w:rsidRPr="4E96D345">
          <w:rPr>
            <w:rStyle w:val="Hyperlink"/>
            <w:rFonts w:eastAsia="Times New Roman"/>
          </w:rPr>
          <w:t>https://doi.org/10.1108/QEA-11-2024-0128</w:t>
        </w:r>
      </w:hyperlink>
      <w:r w:rsidR="00212EBE" w:rsidRPr="4E96D345">
        <w:rPr>
          <w:rFonts w:eastAsia="Times New Roman"/>
        </w:rPr>
        <w:t xml:space="preserve"> </w:t>
      </w:r>
    </w:p>
    <w:p w14:paraId="2E0A94E0" w14:textId="5DA5B009" w:rsidR="00212EBE" w:rsidRPr="00C73BCD" w:rsidRDefault="00212EBE" w:rsidP="00212EBE">
      <w:pPr>
        <w:pStyle w:val="References"/>
      </w:pPr>
      <w:r>
        <w:t>Burt, R</w:t>
      </w:r>
      <w:r w:rsidR="1C051C16">
        <w:t xml:space="preserve">onald </w:t>
      </w:r>
      <w:r>
        <w:t xml:space="preserve">S. 2000. </w:t>
      </w:r>
      <w:r w:rsidR="001C1249">
        <w:t>“</w:t>
      </w:r>
      <w:r>
        <w:t>Decay functions.</w:t>
      </w:r>
      <w:r w:rsidR="001C1249">
        <w:t>”</w:t>
      </w:r>
      <w:r>
        <w:t xml:space="preserve"> </w:t>
      </w:r>
      <w:r w:rsidRPr="4E96D345">
        <w:rPr>
          <w:i/>
          <w:iCs/>
        </w:rPr>
        <w:t>Social Networks</w:t>
      </w:r>
      <w:r w:rsidR="001C1249">
        <w:t>.</w:t>
      </w:r>
      <w:r>
        <w:t xml:space="preserve"> 22</w:t>
      </w:r>
      <w:r w:rsidR="762A7B20">
        <w:t xml:space="preserve"> (1)</w:t>
      </w:r>
      <w:r w:rsidR="001C1249">
        <w:t>:</w:t>
      </w:r>
      <w:r>
        <w:t xml:space="preserve"> 1–28.</w:t>
      </w:r>
    </w:p>
    <w:p w14:paraId="66FE27DE" w14:textId="7783357A" w:rsidR="00212EBE" w:rsidRPr="00B21176" w:rsidRDefault="00212EBE" w:rsidP="00212EBE">
      <w:pPr>
        <w:pStyle w:val="References"/>
      </w:pPr>
      <w:r>
        <w:t>Castells, M</w:t>
      </w:r>
      <w:r w:rsidR="1822569A">
        <w:t>anuel</w:t>
      </w:r>
      <w:r>
        <w:t xml:space="preserve">. 2010. </w:t>
      </w:r>
      <w:r w:rsidRPr="4E96D345">
        <w:rPr>
          <w:i/>
          <w:iCs/>
        </w:rPr>
        <w:t xml:space="preserve">The </w:t>
      </w:r>
      <w:r w:rsidR="00B21176" w:rsidRPr="4E96D345">
        <w:rPr>
          <w:i/>
          <w:iCs/>
        </w:rPr>
        <w:t>R</w:t>
      </w:r>
      <w:r w:rsidRPr="4E96D345">
        <w:rPr>
          <w:i/>
          <w:iCs/>
        </w:rPr>
        <w:t xml:space="preserve">ise of the </w:t>
      </w:r>
      <w:r w:rsidR="00B21176" w:rsidRPr="4E96D345">
        <w:rPr>
          <w:i/>
          <w:iCs/>
        </w:rPr>
        <w:t>N</w:t>
      </w:r>
      <w:r w:rsidRPr="4E96D345">
        <w:rPr>
          <w:i/>
          <w:iCs/>
        </w:rPr>
        <w:t xml:space="preserve">etwork </w:t>
      </w:r>
      <w:r w:rsidR="00B21176" w:rsidRPr="4E96D345">
        <w:rPr>
          <w:i/>
          <w:iCs/>
        </w:rPr>
        <w:t>S</w:t>
      </w:r>
      <w:r w:rsidRPr="4E96D345">
        <w:rPr>
          <w:i/>
          <w:iCs/>
        </w:rPr>
        <w:t>ociety</w:t>
      </w:r>
      <w:r>
        <w:t>.</w:t>
      </w:r>
      <w:r w:rsidR="00B21176">
        <w:t xml:space="preserve"> 2</w:t>
      </w:r>
      <w:r w:rsidR="00B21176" w:rsidRPr="4E96D345">
        <w:rPr>
          <w:vertAlign w:val="superscript"/>
        </w:rPr>
        <w:t>nd</w:t>
      </w:r>
      <w:r w:rsidR="00B21176">
        <w:t xml:space="preserve"> ed.</w:t>
      </w:r>
      <w:r>
        <w:t xml:space="preserve"> </w:t>
      </w:r>
      <w:r w:rsidR="00B21176">
        <w:t xml:space="preserve">West Sussex, United Kingdom: </w:t>
      </w:r>
      <w:r>
        <w:t>Wiley-Blackwell.</w:t>
      </w:r>
    </w:p>
    <w:p w14:paraId="3F4C6F54" w14:textId="2587576F" w:rsidR="00212EBE" w:rsidRPr="00B21176" w:rsidRDefault="00212EBE" w:rsidP="00212EBE">
      <w:pPr>
        <w:pStyle w:val="References"/>
        <w:rPr>
          <w:rFonts w:cs="Calibri"/>
        </w:rPr>
      </w:pPr>
      <w:r w:rsidRPr="4E96D345">
        <w:rPr>
          <w:rFonts w:cs="Calibri"/>
        </w:rPr>
        <w:lastRenderedPageBreak/>
        <w:t>Christakis, N</w:t>
      </w:r>
      <w:r w:rsidR="013F3CA8" w:rsidRPr="4E96D345">
        <w:rPr>
          <w:rFonts w:cs="Calibri"/>
        </w:rPr>
        <w:t>icholas</w:t>
      </w:r>
      <w:r w:rsidRPr="4E96D345">
        <w:rPr>
          <w:rFonts w:cs="Calibri"/>
        </w:rPr>
        <w:t xml:space="preserve">. and </w:t>
      </w:r>
      <w:r w:rsidR="1CF45903" w:rsidRPr="4E96D345">
        <w:rPr>
          <w:rFonts w:cs="Calibri"/>
        </w:rPr>
        <w:t xml:space="preserve">James </w:t>
      </w:r>
      <w:r w:rsidRPr="4E96D345">
        <w:rPr>
          <w:rFonts w:cs="Calibri"/>
        </w:rPr>
        <w:t>Fowler.</w:t>
      </w:r>
      <w:r w:rsidR="00B21176" w:rsidRPr="4E96D345">
        <w:rPr>
          <w:rFonts w:cs="Calibri"/>
        </w:rPr>
        <w:t xml:space="preserve"> </w:t>
      </w:r>
      <w:r w:rsidRPr="4E96D345">
        <w:rPr>
          <w:rFonts w:cs="Calibri"/>
        </w:rPr>
        <w:t>2010</w:t>
      </w:r>
      <w:r w:rsidR="00B21176" w:rsidRPr="4E96D345">
        <w:rPr>
          <w:rFonts w:cs="Calibri"/>
        </w:rPr>
        <w:t>.</w:t>
      </w:r>
      <w:r w:rsidRPr="4E96D345">
        <w:rPr>
          <w:rFonts w:cs="Calibri"/>
        </w:rPr>
        <w:t xml:space="preserve"> </w:t>
      </w:r>
      <w:r w:rsidRPr="4E96D345">
        <w:rPr>
          <w:rFonts w:cs="Calibri"/>
          <w:i/>
          <w:iCs/>
        </w:rPr>
        <w:t xml:space="preserve">Connected: The </w:t>
      </w:r>
      <w:r w:rsidR="00B21176" w:rsidRPr="4E96D345">
        <w:rPr>
          <w:rFonts w:cs="Calibri"/>
          <w:i/>
          <w:iCs/>
        </w:rPr>
        <w:t>A</w:t>
      </w:r>
      <w:r w:rsidRPr="4E96D345">
        <w:rPr>
          <w:rFonts w:cs="Calibri"/>
          <w:i/>
          <w:iCs/>
        </w:rPr>
        <w:t xml:space="preserve">mazing </w:t>
      </w:r>
      <w:r w:rsidR="00B21176" w:rsidRPr="4E96D345">
        <w:rPr>
          <w:rFonts w:cs="Calibri"/>
          <w:i/>
          <w:iCs/>
        </w:rPr>
        <w:t>P</w:t>
      </w:r>
      <w:r w:rsidRPr="4E96D345">
        <w:rPr>
          <w:rFonts w:cs="Calibri"/>
          <w:i/>
          <w:iCs/>
        </w:rPr>
        <w:t xml:space="preserve">ower of </w:t>
      </w:r>
      <w:r w:rsidR="00B21176" w:rsidRPr="4E96D345">
        <w:rPr>
          <w:rFonts w:cs="Calibri"/>
          <w:i/>
          <w:iCs/>
        </w:rPr>
        <w:t>S</w:t>
      </w:r>
      <w:r w:rsidRPr="4E96D345">
        <w:rPr>
          <w:rFonts w:cs="Calibri"/>
          <w:i/>
          <w:iCs/>
        </w:rPr>
        <w:t xml:space="preserve">ocial </w:t>
      </w:r>
      <w:r w:rsidR="00B21176" w:rsidRPr="4E96D345">
        <w:rPr>
          <w:rFonts w:cs="Calibri"/>
          <w:i/>
          <w:iCs/>
        </w:rPr>
        <w:t>N</w:t>
      </w:r>
      <w:r w:rsidRPr="4E96D345">
        <w:rPr>
          <w:rFonts w:cs="Calibri"/>
          <w:i/>
          <w:iCs/>
        </w:rPr>
        <w:t xml:space="preserve">etworks and how they </w:t>
      </w:r>
      <w:r w:rsidR="00B21176" w:rsidRPr="4E96D345">
        <w:rPr>
          <w:rFonts w:cs="Calibri"/>
          <w:i/>
          <w:iCs/>
        </w:rPr>
        <w:t>S</w:t>
      </w:r>
      <w:r w:rsidRPr="4E96D345">
        <w:rPr>
          <w:rFonts w:cs="Calibri"/>
          <w:i/>
          <w:iCs/>
        </w:rPr>
        <w:t xml:space="preserve">hape our </w:t>
      </w:r>
      <w:r w:rsidR="00B21176" w:rsidRPr="4E96D345">
        <w:rPr>
          <w:rFonts w:cs="Calibri"/>
          <w:i/>
          <w:iCs/>
        </w:rPr>
        <w:t>L</w:t>
      </w:r>
      <w:r w:rsidRPr="4E96D345">
        <w:rPr>
          <w:rFonts w:cs="Calibri"/>
          <w:i/>
          <w:iCs/>
        </w:rPr>
        <w:t>ives</w:t>
      </w:r>
      <w:r w:rsidR="00B21176" w:rsidRPr="4E96D345">
        <w:rPr>
          <w:rFonts w:cs="Calibri"/>
          <w:i/>
          <w:iCs/>
        </w:rPr>
        <w:t xml:space="preserve">. </w:t>
      </w:r>
      <w:r w:rsidRPr="4E96D345">
        <w:rPr>
          <w:rFonts w:cs="Calibri"/>
        </w:rPr>
        <w:t>London,</w:t>
      </w:r>
      <w:r w:rsidR="00B21176" w:rsidRPr="4E96D345">
        <w:rPr>
          <w:rFonts w:cs="Calibri"/>
        </w:rPr>
        <w:t xml:space="preserve"> United Kingdom:</w:t>
      </w:r>
      <w:r w:rsidRPr="4E96D345">
        <w:rPr>
          <w:rFonts w:cs="Calibri"/>
        </w:rPr>
        <w:t xml:space="preserve"> Harper Press</w:t>
      </w:r>
      <w:r w:rsidR="00B21176" w:rsidRPr="4E96D345">
        <w:rPr>
          <w:rFonts w:cs="Calibri"/>
        </w:rPr>
        <w:t>.</w:t>
      </w:r>
    </w:p>
    <w:p w14:paraId="7257B0C5" w14:textId="3AA37E76" w:rsidR="00212EBE" w:rsidRPr="00B21176" w:rsidRDefault="074D89CC" w:rsidP="4E96D345">
      <w:r w:rsidRPr="4E96D345">
        <w:rPr>
          <w:rFonts w:eastAsia="Times New Roman"/>
          <w:color w:val="222222"/>
        </w:rPr>
        <w:t>Chong, Trevor T-J., Matthew AJ Apps, Kathrin Giehl, Stephanie Hall, Callum H. Clifton, and Masud Husain.</w:t>
      </w:r>
      <w:r w:rsidR="00212EBE" w:rsidRPr="4E96D345">
        <w:rPr>
          <w:rFonts w:eastAsia="Times New Roman"/>
        </w:rPr>
        <w:t xml:space="preserve"> 2018</w:t>
      </w:r>
      <w:r w:rsidR="00620A79" w:rsidRPr="4E96D345">
        <w:rPr>
          <w:rFonts w:eastAsia="Times New Roman"/>
        </w:rPr>
        <w:t>.</w:t>
      </w:r>
      <w:r w:rsidR="00212EBE" w:rsidRPr="4E96D345">
        <w:rPr>
          <w:rFonts w:eastAsia="Times New Roman"/>
        </w:rPr>
        <w:t xml:space="preserve"> </w:t>
      </w:r>
      <w:r w:rsidR="00620A79" w:rsidRPr="4E96D345">
        <w:rPr>
          <w:rFonts w:eastAsia="Times New Roman"/>
        </w:rPr>
        <w:t>“</w:t>
      </w:r>
      <w:r w:rsidR="00212EBE" w:rsidRPr="4E96D345">
        <w:rPr>
          <w:rFonts w:eastAsia="Times New Roman"/>
        </w:rPr>
        <w:t>Computational modelling reveals distinct patterns of cognitive and physical motivation in elite athletes.</w:t>
      </w:r>
      <w:r w:rsidR="00620A79" w:rsidRPr="4E96D345">
        <w:rPr>
          <w:rFonts w:eastAsia="Times New Roman"/>
        </w:rPr>
        <w:t>”</w:t>
      </w:r>
      <w:r w:rsidR="00212EBE" w:rsidRPr="4E96D345">
        <w:rPr>
          <w:rFonts w:eastAsia="Times New Roman"/>
        </w:rPr>
        <w:t xml:space="preserve"> </w:t>
      </w:r>
      <w:r w:rsidR="00212EBE" w:rsidRPr="4E96D345">
        <w:rPr>
          <w:rFonts w:eastAsia="Times New Roman"/>
          <w:i/>
          <w:iCs/>
        </w:rPr>
        <w:t>Sci Rep</w:t>
      </w:r>
      <w:r w:rsidR="00212EBE" w:rsidRPr="4E96D345">
        <w:rPr>
          <w:rFonts w:eastAsia="Times New Roman"/>
        </w:rPr>
        <w:t>.</w:t>
      </w:r>
      <w:r w:rsidR="00212EBE">
        <w:t xml:space="preserve"> 8(1):11888. </w:t>
      </w:r>
      <w:hyperlink r:id="rId54">
        <w:r w:rsidR="00212EBE" w:rsidRPr="4E96D345">
          <w:rPr>
            <w:rStyle w:val="Hyperlink"/>
          </w:rPr>
          <w:t>https://doi.org/10.1038/s41598-018-30220-3</w:t>
        </w:r>
      </w:hyperlink>
    </w:p>
    <w:p w14:paraId="29256BCE" w14:textId="54F26124" w:rsidR="00212EBE" w:rsidRPr="00B21176" w:rsidRDefault="00212EBE" w:rsidP="00212EBE">
      <w:pPr>
        <w:pStyle w:val="References"/>
        <w:rPr>
          <w:lang w:val="en-US"/>
        </w:rPr>
      </w:pPr>
      <w:r>
        <w:t>Clack, B</w:t>
      </w:r>
      <w:r w:rsidR="04D2C669">
        <w:t>everley</w:t>
      </w:r>
      <w:r w:rsidR="00B21176">
        <w:t>.</w:t>
      </w:r>
      <w:r>
        <w:t xml:space="preserve"> </w:t>
      </w:r>
      <w:r w:rsidR="001C2B71">
        <w:t>In press</w:t>
      </w:r>
      <w:r w:rsidR="00B21176">
        <w:t>.</w:t>
      </w:r>
      <w:r>
        <w:t xml:space="preserve"> Embracing Uncertainty in a Chaotic Age, In </w:t>
      </w:r>
      <w:r w:rsidRPr="35BE6E9C">
        <w:rPr>
          <w:i/>
          <w:iCs/>
        </w:rPr>
        <w:t xml:space="preserve">Demagogues, Populism </w:t>
      </w:r>
      <w:r w:rsidR="003D3676" w:rsidRPr="35BE6E9C">
        <w:rPr>
          <w:i/>
          <w:iCs/>
        </w:rPr>
        <w:t>and</w:t>
      </w:r>
      <w:r w:rsidRPr="35BE6E9C">
        <w:rPr>
          <w:i/>
          <w:iCs/>
        </w:rPr>
        <w:t xml:space="preserve"> Misinformation: A Guide To Combating Dark Ideas</w:t>
      </w:r>
      <w:r>
        <w:t xml:space="preserve">, </w:t>
      </w:r>
      <w:r w:rsidR="00B21176">
        <w:t>edited by C</w:t>
      </w:r>
      <w:r w:rsidR="6F53CD19">
        <w:t>hris</w:t>
      </w:r>
      <w:r w:rsidR="00B21176">
        <w:t xml:space="preserve"> </w:t>
      </w:r>
      <w:r w:rsidR="00B21176" w:rsidRPr="35BE6E9C">
        <w:rPr>
          <w:lang w:val="en-US"/>
        </w:rPr>
        <w:t>Brown, and G</w:t>
      </w:r>
      <w:r w:rsidR="1CEA91D6" w:rsidRPr="35BE6E9C">
        <w:rPr>
          <w:lang w:val="en-US"/>
        </w:rPr>
        <w:t>raham</w:t>
      </w:r>
      <w:r w:rsidR="00B21176" w:rsidRPr="35BE6E9C">
        <w:rPr>
          <w:lang w:val="en-US"/>
        </w:rPr>
        <w:t xml:space="preserve"> Handscomb. </w:t>
      </w:r>
      <w:r w:rsidRPr="35BE6E9C">
        <w:rPr>
          <w:lang w:val="en-US"/>
        </w:rPr>
        <w:t>London,</w:t>
      </w:r>
      <w:r w:rsidR="00B21176" w:rsidRPr="35BE6E9C">
        <w:rPr>
          <w:lang w:val="en-US"/>
        </w:rPr>
        <w:t xml:space="preserve"> United Kingdom:</w:t>
      </w:r>
      <w:r w:rsidRPr="35BE6E9C">
        <w:rPr>
          <w:lang w:val="en-US"/>
        </w:rPr>
        <w:t xml:space="preserve"> Emerald.</w:t>
      </w:r>
    </w:p>
    <w:p w14:paraId="1BA58997" w14:textId="0EFBFFCC" w:rsidR="00212EBE" w:rsidRPr="00B21176" w:rsidRDefault="4403F208" w:rsidP="4E96D345">
      <w:r w:rsidRPr="4E96D345">
        <w:rPr>
          <w:rFonts w:eastAsia="Times New Roman"/>
          <w:color w:val="222222"/>
        </w:rPr>
        <w:t>Clark, Shaunna L., and Bengt Muthén.</w:t>
      </w:r>
      <w:r w:rsidR="00212EBE" w:rsidRPr="4E96D345">
        <w:rPr>
          <w:rFonts w:eastAsia="Times New Roman"/>
        </w:rPr>
        <w:t xml:space="preserve"> 2009. </w:t>
      </w:r>
      <w:r w:rsidR="00620A79" w:rsidRPr="4E96D345">
        <w:rPr>
          <w:rFonts w:eastAsia="Times New Roman"/>
        </w:rPr>
        <w:t>“</w:t>
      </w:r>
      <w:r w:rsidR="00212EBE" w:rsidRPr="4E96D345">
        <w:rPr>
          <w:rFonts w:eastAsia="Times New Roman"/>
        </w:rPr>
        <w:t>Relating latent class analysis results to variables not included in the analysis</w:t>
      </w:r>
      <w:r w:rsidR="00212EBE" w:rsidRPr="4E96D345">
        <w:rPr>
          <w:rFonts w:eastAsia="Times New Roman"/>
          <w:lang w:eastAsia="zh-CN"/>
        </w:rPr>
        <w:t>.</w:t>
      </w:r>
      <w:r w:rsidR="00620A79" w:rsidRPr="4E96D345">
        <w:rPr>
          <w:rFonts w:eastAsia="Times New Roman"/>
          <w:lang w:eastAsia="zh-CN"/>
        </w:rPr>
        <w:t>”</w:t>
      </w:r>
      <w:r w:rsidR="00620A79" w:rsidRPr="4E96D345">
        <w:rPr>
          <w:lang w:eastAsia="zh-CN"/>
        </w:rPr>
        <w:t xml:space="preserve"> </w:t>
      </w:r>
      <w:hyperlink r:id="rId55">
        <w:r w:rsidR="00620A79" w:rsidRPr="4E96D345">
          <w:rPr>
            <w:rStyle w:val="Hyperlink"/>
            <w:lang w:eastAsia="zh-CN"/>
          </w:rPr>
          <w:t>https://www.statmodel.com/download/relatinglca.pdf</w:t>
        </w:r>
      </w:hyperlink>
    </w:p>
    <w:p w14:paraId="389C31D5" w14:textId="03D89B8C" w:rsidR="00212EBE" w:rsidRPr="00B21176" w:rsidRDefault="00212EBE" w:rsidP="00212EBE">
      <w:pPr>
        <w:pStyle w:val="References"/>
      </w:pPr>
      <w:r>
        <w:t>Coleman, J</w:t>
      </w:r>
      <w:r w:rsidR="785B2BA3">
        <w:t>ames, S</w:t>
      </w:r>
      <w:r>
        <w:t xml:space="preserve">. 1988. </w:t>
      </w:r>
      <w:r w:rsidR="00620A79">
        <w:t>“</w:t>
      </w:r>
      <w:r>
        <w:t>Social capital in the creation of human capital.</w:t>
      </w:r>
      <w:r w:rsidR="00620A79">
        <w:t>”</w:t>
      </w:r>
      <w:r>
        <w:t xml:space="preserve"> </w:t>
      </w:r>
      <w:r w:rsidRPr="4E96D345">
        <w:rPr>
          <w:i/>
          <w:iCs/>
        </w:rPr>
        <w:t>American Journal of Sociology</w:t>
      </w:r>
      <w:r>
        <w:t>, 94</w:t>
      </w:r>
      <w:r w:rsidR="00620A79">
        <w:t xml:space="preserve">: </w:t>
      </w:r>
      <w:r>
        <w:t>95–S120.</w:t>
      </w:r>
    </w:p>
    <w:p w14:paraId="5B309943" w14:textId="68BDE5B8" w:rsidR="00212EBE" w:rsidRPr="00B21176" w:rsidRDefault="00212EBE" w:rsidP="00212EBE">
      <w:pPr>
        <w:pStyle w:val="References"/>
      </w:pPr>
      <w:r>
        <w:t>Commission into Countering Online Conspiracies in Schools</w:t>
      </w:r>
      <w:r w:rsidR="00620A79">
        <w:t xml:space="preserve">. </w:t>
      </w:r>
      <w:r>
        <w:t>2025</w:t>
      </w:r>
      <w:r w:rsidR="00620A79">
        <w:t>.</w:t>
      </w:r>
      <w:r>
        <w:t xml:space="preserve"> </w:t>
      </w:r>
      <w:r w:rsidR="00620A79">
        <w:t>“</w:t>
      </w:r>
      <w:r>
        <w:t>Commission into Countering Online Conspiracies in Schools</w:t>
      </w:r>
      <w:r w:rsidR="00620A79">
        <w:t xml:space="preserve">.” Pears Foundation. </w:t>
      </w:r>
      <w:hyperlink r:id="rId56">
        <w:r w:rsidR="00620A79" w:rsidRPr="4E96D345">
          <w:rPr>
            <w:rStyle w:val="Hyperlink"/>
          </w:rPr>
          <w:t>https://counteringconspiracies.publicfirst.co.uk/Commission_into_Countering_Online_Conspiracies_in_Schools.pdf</w:t>
        </w:r>
      </w:hyperlink>
    </w:p>
    <w:p w14:paraId="727473DB" w14:textId="079C89DF" w:rsidR="00212EBE" w:rsidRPr="00B21176" w:rsidRDefault="4204A05D" w:rsidP="4E96D345">
      <w:pPr>
        <w:rPr>
          <w:color w:val="000000" w:themeColor="text1"/>
        </w:rPr>
      </w:pPr>
      <w:r w:rsidRPr="4E96D345">
        <w:rPr>
          <w:rFonts w:eastAsia="Times New Roman"/>
          <w:color w:val="222222"/>
        </w:rPr>
        <w:t>Cramer, Colin, Chris Brown, and David Aldridge.</w:t>
      </w:r>
      <w:r w:rsidR="00212EBE" w:rsidRPr="4E96D345">
        <w:rPr>
          <w:rFonts w:eastAsia="Times New Roman"/>
          <w:color w:val="000000" w:themeColor="text1"/>
        </w:rPr>
        <w:t xml:space="preserve"> 2023</w:t>
      </w:r>
      <w:r w:rsidR="00620A79" w:rsidRPr="4E96D345">
        <w:rPr>
          <w:rFonts w:eastAsia="Times New Roman"/>
          <w:color w:val="000000" w:themeColor="text1"/>
        </w:rPr>
        <w:t>.</w:t>
      </w:r>
      <w:r w:rsidR="00212EBE" w:rsidRPr="4E96D345">
        <w:rPr>
          <w:rFonts w:eastAsia="Times New Roman"/>
          <w:color w:val="000000" w:themeColor="text1"/>
        </w:rPr>
        <w:t xml:space="preserve"> </w:t>
      </w:r>
      <w:r w:rsidR="00620A79" w:rsidRPr="4E96D345">
        <w:rPr>
          <w:rFonts w:eastAsia="Times New Roman"/>
          <w:color w:val="000000" w:themeColor="text1"/>
        </w:rPr>
        <w:t>“</w:t>
      </w:r>
      <w:r w:rsidR="00212EBE" w:rsidRPr="4E96D345">
        <w:rPr>
          <w:rFonts w:eastAsia="Times New Roman"/>
          <w:color w:val="000000" w:themeColor="text1"/>
        </w:rPr>
        <w:t>Meta-reflexivity and teacher professionalism: Facilitating multi-paradigmatic teacher education to achieve a future-proof profession</w:t>
      </w:r>
      <w:r w:rsidR="00620A79" w:rsidRPr="4E96D345">
        <w:rPr>
          <w:rFonts w:eastAsia="Times New Roman"/>
          <w:color w:val="000000" w:themeColor="text1"/>
        </w:rPr>
        <w:t>.”</w:t>
      </w:r>
      <w:r w:rsidR="00212EBE" w:rsidRPr="4E96D345">
        <w:rPr>
          <w:rFonts w:eastAsia="Times New Roman"/>
          <w:color w:val="000000" w:themeColor="text1"/>
        </w:rPr>
        <w:t xml:space="preserve"> </w:t>
      </w:r>
      <w:r w:rsidR="00212EBE" w:rsidRPr="4E96D345">
        <w:rPr>
          <w:rFonts w:eastAsia="Times New Roman"/>
          <w:i/>
          <w:iCs/>
          <w:color w:val="000000" w:themeColor="text1"/>
        </w:rPr>
        <w:t>Journal of Teacher Education</w:t>
      </w:r>
      <w:r w:rsidR="00212EBE" w:rsidRPr="4E96D345">
        <w:rPr>
          <w:rFonts w:eastAsia="Times New Roman"/>
          <w:color w:val="000000" w:themeColor="text1"/>
        </w:rPr>
        <w:t>, 74</w:t>
      </w:r>
      <w:r w:rsidR="00620A79" w:rsidRPr="4E96D345">
        <w:rPr>
          <w:rFonts w:eastAsia="Times New Roman"/>
          <w:color w:val="000000" w:themeColor="text1"/>
        </w:rPr>
        <w:t>(</w:t>
      </w:r>
      <w:r w:rsidR="00212EBE" w:rsidRPr="4E96D345">
        <w:rPr>
          <w:rFonts w:eastAsia="Times New Roman"/>
          <w:color w:val="000000" w:themeColor="text1"/>
        </w:rPr>
        <w:t>5</w:t>
      </w:r>
      <w:r w:rsidR="00620A79" w:rsidRPr="4E96D345">
        <w:rPr>
          <w:rFonts w:eastAsia="Times New Roman"/>
          <w:color w:val="000000" w:themeColor="text1"/>
        </w:rPr>
        <w:t>)</w:t>
      </w:r>
      <w:r w:rsidR="2A95CB74" w:rsidRPr="4E96D345">
        <w:rPr>
          <w:rFonts w:eastAsia="Times New Roman"/>
          <w:color w:val="000000" w:themeColor="text1"/>
        </w:rPr>
        <w:t>: 467-480</w:t>
      </w:r>
      <w:r w:rsidR="00212EBE" w:rsidRPr="4E96D345">
        <w:rPr>
          <w:rFonts w:eastAsia="Times New Roman"/>
          <w:color w:val="000000" w:themeColor="text1"/>
        </w:rPr>
        <w:t xml:space="preserve"> </w:t>
      </w:r>
      <w:hyperlink r:id="rId57">
        <w:r w:rsidR="00212EBE" w:rsidRPr="4E96D345">
          <w:rPr>
            <w:rStyle w:val="Hyperlink"/>
            <w:rFonts w:eastAsia="Times New Roman"/>
            <w:color w:val="000000" w:themeColor="text1"/>
          </w:rPr>
          <w:t>https://doi.org/10.1177/00224871231162295</w:t>
        </w:r>
      </w:hyperlink>
    </w:p>
    <w:p w14:paraId="788D9490" w14:textId="67BC0CA2" w:rsidR="00212EBE" w:rsidRPr="00B21176" w:rsidRDefault="446B7708" w:rsidP="4E96D345">
      <w:pPr>
        <w:rPr>
          <w:color w:val="000000" w:themeColor="text1"/>
        </w:rPr>
      </w:pPr>
      <w:r w:rsidRPr="4E96D345">
        <w:rPr>
          <w:rFonts w:eastAsia="Times New Roman"/>
          <w:color w:val="222222"/>
        </w:rPr>
        <w:t>Erisen, Elif, and Cengiz Erisen.</w:t>
      </w:r>
      <w:r w:rsidR="00212EBE" w:rsidRPr="4E96D345">
        <w:rPr>
          <w:rFonts w:eastAsia="Times New Roman"/>
          <w:color w:val="000000" w:themeColor="text1"/>
        </w:rPr>
        <w:t xml:space="preserve"> 2012</w:t>
      </w:r>
      <w:r w:rsidR="00620A79" w:rsidRPr="4E96D345">
        <w:rPr>
          <w:rFonts w:eastAsia="Times New Roman"/>
          <w:color w:val="000000" w:themeColor="text1"/>
        </w:rPr>
        <w:t>.</w:t>
      </w:r>
      <w:r w:rsidR="00212EBE" w:rsidRPr="4E96D345">
        <w:rPr>
          <w:rFonts w:eastAsia="Times New Roman"/>
          <w:color w:val="000000" w:themeColor="text1"/>
        </w:rPr>
        <w:t xml:space="preserve"> </w:t>
      </w:r>
      <w:r w:rsidR="00620A79" w:rsidRPr="4E96D345">
        <w:rPr>
          <w:rFonts w:eastAsia="Times New Roman"/>
          <w:color w:val="000000" w:themeColor="text1"/>
        </w:rPr>
        <w:t>“</w:t>
      </w:r>
      <w:r w:rsidR="00212EBE" w:rsidRPr="4E96D345">
        <w:rPr>
          <w:rFonts w:eastAsia="Times New Roman"/>
          <w:color w:val="000000" w:themeColor="text1"/>
        </w:rPr>
        <w:t>The effect of social networks on the quality of political thinking</w:t>
      </w:r>
      <w:r w:rsidR="00620A79" w:rsidRPr="4E96D345">
        <w:rPr>
          <w:rFonts w:eastAsia="Times New Roman"/>
          <w:color w:val="000000" w:themeColor="text1"/>
        </w:rPr>
        <w:t>.”</w:t>
      </w:r>
      <w:r w:rsidR="00212EBE" w:rsidRPr="4E96D345">
        <w:rPr>
          <w:rFonts w:eastAsia="Times New Roman"/>
          <w:color w:val="000000" w:themeColor="text1"/>
        </w:rPr>
        <w:t> </w:t>
      </w:r>
      <w:r w:rsidR="00212EBE" w:rsidRPr="4E96D345">
        <w:rPr>
          <w:rFonts w:eastAsia="Times New Roman"/>
          <w:i/>
          <w:iCs/>
          <w:color w:val="000000" w:themeColor="text1"/>
        </w:rPr>
        <w:t>Political Psychology</w:t>
      </w:r>
      <w:r w:rsidR="00620A79" w:rsidRPr="4E96D345">
        <w:rPr>
          <w:rFonts w:eastAsia="Times New Roman"/>
          <w:color w:val="000000" w:themeColor="text1"/>
        </w:rPr>
        <w:t>.</w:t>
      </w:r>
      <w:r w:rsidR="00212EBE" w:rsidRPr="4E96D345">
        <w:rPr>
          <w:rFonts w:eastAsia="Times New Roman"/>
          <w:color w:val="000000" w:themeColor="text1"/>
        </w:rPr>
        <w:t> 33</w:t>
      </w:r>
      <w:r w:rsidR="00620A79" w:rsidRPr="4E96D345">
        <w:rPr>
          <w:rFonts w:eastAsia="Times New Roman"/>
          <w:color w:val="000000" w:themeColor="text1"/>
        </w:rPr>
        <w:t>(</w:t>
      </w:r>
      <w:r w:rsidR="00212EBE" w:rsidRPr="4E96D345">
        <w:rPr>
          <w:rFonts w:eastAsia="Times New Roman"/>
          <w:color w:val="000000" w:themeColor="text1"/>
        </w:rPr>
        <w:t>6</w:t>
      </w:r>
      <w:r w:rsidR="00620A79" w:rsidRPr="4E96D345">
        <w:rPr>
          <w:rFonts w:eastAsia="Times New Roman"/>
          <w:color w:val="000000" w:themeColor="text1"/>
        </w:rPr>
        <w:t xml:space="preserve">): </w:t>
      </w:r>
      <w:r w:rsidR="00212EBE" w:rsidRPr="4E96D345">
        <w:rPr>
          <w:rFonts w:eastAsia="Times New Roman"/>
          <w:color w:val="000000" w:themeColor="text1"/>
        </w:rPr>
        <w:t>839-865.</w:t>
      </w:r>
    </w:p>
    <w:p w14:paraId="6A8949D4" w14:textId="08272C70" w:rsidR="00212EBE" w:rsidRPr="00E800FF" w:rsidRDefault="00212EBE" w:rsidP="00212EBE">
      <w:pPr>
        <w:pStyle w:val="References"/>
      </w:pPr>
      <w:r>
        <w:t>Facione, P</w:t>
      </w:r>
      <w:r w:rsidR="2F9EE435">
        <w:t>eter</w:t>
      </w:r>
      <w:r>
        <w:t>. 1990. Critical thinking: A statement of expert consensus for purposes of educational assessment and instruction</w:t>
      </w:r>
      <w:r w:rsidR="00E800FF">
        <w:t>.</w:t>
      </w:r>
      <w:r>
        <w:t xml:space="preserve"> </w:t>
      </w:r>
      <w:r w:rsidR="00E800FF">
        <w:t>Research Findings and Recommendations.</w:t>
      </w:r>
    </w:p>
    <w:p w14:paraId="2FE22B0D" w14:textId="4018DAF8" w:rsidR="00212EBE" w:rsidRPr="00B21176" w:rsidRDefault="37B02989" w:rsidP="4E96D345">
      <w:r w:rsidRPr="4E96D345">
        <w:rPr>
          <w:rFonts w:eastAsia="Times New Roman"/>
          <w:color w:val="222222"/>
        </w:rPr>
        <w:lastRenderedPageBreak/>
        <w:t>Feinstein, Noah Weeth, and Ayelet Baram‐Tsabari.</w:t>
      </w:r>
      <w:r w:rsidR="00212EBE" w:rsidRPr="4E96D345">
        <w:rPr>
          <w:rFonts w:eastAsia="Times New Roman"/>
        </w:rPr>
        <w:t xml:space="preserve"> 2024</w:t>
      </w:r>
      <w:r w:rsidR="00620A79">
        <w:t>.</w:t>
      </w:r>
      <w:r w:rsidR="00212EBE">
        <w:t xml:space="preserve"> </w:t>
      </w:r>
      <w:r w:rsidR="00620A79">
        <w:t>“</w:t>
      </w:r>
      <w:r w:rsidR="00212EBE">
        <w:t>Epistemic networks and the social nature of public engagement with science</w:t>
      </w:r>
      <w:r w:rsidR="00212EBE" w:rsidRPr="4E96D345">
        <w:rPr>
          <w:i/>
          <w:iCs/>
          <w:lang w:eastAsia="zh-CN"/>
        </w:rPr>
        <w:t>.</w:t>
      </w:r>
      <w:r w:rsidR="00620A79" w:rsidRPr="4E96D345">
        <w:rPr>
          <w:i/>
          <w:iCs/>
          <w:lang w:eastAsia="zh-CN"/>
        </w:rPr>
        <w:t>”</w:t>
      </w:r>
      <w:r w:rsidR="00212EBE" w:rsidRPr="4E96D345">
        <w:rPr>
          <w:i/>
          <w:iCs/>
        </w:rPr>
        <w:t xml:space="preserve"> J. Res. Sci. Teach</w:t>
      </w:r>
      <w:r w:rsidR="00620A79">
        <w:t>.</w:t>
      </w:r>
      <w:r w:rsidR="00212EBE">
        <w:t xml:space="preserve"> 6</w:t>
      </w:r>
      <w:r w:rsidR="42C977E6">
        <w:t>1 (9)</w:t>
      </w:r>
      <w:r w:rsidR="00620A79">
        <w:t>:</w:t>
      </w:r>
      <w:r w:rsidR="00212EBE">
        <w:t xml:space="preserve"> 2049–2068. </w:t>
      </w:r>
      <w:hyperlink r:id="rId58">
        <w:r w:rsidR="00212EBE" w:rsidRPr="4E96D345">
          <w:rPr>
            <w:rStyle w:val="Hyperlink"/>
          </w:rPr>
          <w:t>https://doi.org/10.1002/tea.21941</w:t>
        </w:r>
      </w:hyperlink>
      <w:r w:rsidR="00212EBE">
        <w:t>.</w:t>
      </w:r>
    </w:p>
    <w:p w14:paraId="129A4DD1" w14:textId="36B136B4" w:rsidR="00212EBE" w:rsidRPr="00B21176" w:rsidRDefault="00212EBE" w:rsidP="00212EBE">
      <w:pPr>
        <w:pStyle w:val="References"/>
      </w:pPr>
      <w:r>
        <w:t>Granovetter, M</w:t>
      </w:r>
      <w:r w:rsidR="3BE39740">
        <w:t>ark</w:t>
      </w:r>
      <w:r>
        <w:t>. 198</w:t>
      </w:r>
      <w:r w:rsidR="00620A79">
        <w:t>5</w:t>
      </w:r>
      <w:r>
        <w:t xml:space="preserve">. </w:t>
      </w:r>
      <w:r w:rsidR="00620A79">
        <w:t>“</w:t>
      </w:r>
      <w:r>
        <w:t>Economic action and social structure: The problem of embeddedness.</w:t>
      </w:r>
      <w:r w:rsidR="00620A79">
        <w:t>”</w:t>
      </w:r>
      <w:r>
        <w:t> </w:t>
      </w:r>
      <w:r w:rsidRPr="4E96D345">
        <w:rPr>
          <w:i/>
          <w:iCs/>
        </w:rPr>
        <w:t>American Journal of Sociology</w:t>
      </w:r>
      <w:r w:rsidR="00620A79">
        <w:t>.</w:t>
      </w:r>
      <w:r>
        <w:t xml:space="preserve"> 91(3)</w:t>
      </w:r>
      <w:r w:rsidR="00620A79">
        <w:t>:</w:t>
      </w:r>
      <w:r>
        <w:t xml:space="preserve"> 481–510. </w:t>
      </w:r>
      <w:hyperlink r:id="rId59">
        <w:r w:rsidRPr="4E96D345">
          <w:rPr>
            <w:rStyle w:val="Hyperlink"/>
          </w:rPr>
          <w:t>https://doi.org/10.1086/228311</w:t>
        </w:r>
      </w:hyperlink>
      <w:r>
        <w:t xml:space="preserve">  </w:t>
      </w:r>
    </w:p>
    <w:p w14:paraId="44A81854" w14:textId="375DDEE6" w:rsidR="00212EBE" w:rsidRPr="00E800FF" w:rsidRDefault="170C2A87" w:rsidP="4E96D345">
      <w:r w:rsidRPr="4E96D345">
        <w:rPr>
          <w:rFonts w:eastAsia="Times New Roman"/>
          <w:color w:val="222222"/>
        </w:rPr>
        <w:t>Griffin, Thomas D., and Stellan Ohlsson</w:t>
      </w:r>
      <w:r w:rsidR="00212EBE" w:rsidRPr="4E96D345">
        <w:rPr>
          <w:rFonts w:eastAsia="Times New Roman"/>
        </w:rPr>
        <w:t>. 2</w:t>
      </w:r>
      <w:r w:rsidR="00212EBE">
        <w:t xml:space="preserve">001. Beliefs Versus Knowledge: A Necessary Distinction for Explaining, Predicting, and Assessing Conceptual Change. </w:t>
      </w:r>
      <w:r w:rsidR="00212EBE" w:rsidRPr="4E96D345">
        <w:rPr>
          <w:i/>
          <w:iCs/>
        </w:rPr>
        <w:t>Proceedings of the Annual Meeting of the Cognitive Science Society</w:t>
      </w:r>
      <w:r w:rsidR="00212EBE">
        <w:t>, 23</w:t>
      </w:r>
      <w:r w:rsidR="00E800FF">
        <w:t>.</w:t>
      </w:r>
    </w:p>
    <w:p w14:paraId="7FBA1A57" w14:textId="667F0483" w:rsidR="00212EBE" w:rsidRPr="00B21176" w:rsidRDefault="00212EBE" w:rsidP="00212EBE">
      <w:pPr>
        <w:pStyle w:val="References"/>
      </w:pPr>
      <w:r>
        <w:t>Grossnickle Peterson, E</w:t>
      </w:r>
      <w:r w:rsidR="1FD7DB48">
        <w:t>mily</w:t>
      </w:r>
      <w:r>
        <w:t xml:space="preserve">. 2020. </w:t>
      </w:r>
      <w:r w:rsidR="00620A79">
        <w:t>“</w:t>
      </w:r>
      <w:r>
        <w:t>Supporting curiosity in schools and classrooms.</w:t>
      </w:r>
      <w:r w:rsidR="00620A79">
        <w:t>”</w:t>
      </w:r>
      <w:r>
        <w:t xml:space="preserve"> </w:t>
      </w:r>
      <w:r w:rsidRPr="4E96D345">
        <w:rPr>
          <w:i/>
          <w:iCs/>
        </w:rPr>
        <w:t>Current Opinion in Behavioral Sciences</w:t>
      </w:r>
      <w:r>
        <w:t>, 35</w:t>
      </w:r>
      <w:r w:rsidR="00620A79">
        <w:t>:</w:t>
      </w:r>
      <w:r>
        <w:t xml:space="preserve"> 7–13. </w:t>
      </w:r>
      <w:hyperlink r:id="rId60">
        <w:r w:rsidRPr="4E96D345">
          <w:rPr>
            <w:rStyle w:val="Hyperlink"/>
          </w:rPr>
          <w:t>https://doi.org/10.1016/j.cobeha.2020.05.006</w:t>
        </w:r>
      </w:hyperlink>
    </w:p>
    <w:p w14:paraId="219174EB" w14:textId="20EB9C9A" w:rsidR="00212EBE" w:rsidRPr="00B21176" w:rsidRDefault="4333A04F" w:rsidP="4E96D345">
      <w:pPr>
        <w:rPr>
          <w:color w:val="0070C0"/>
        </w:rPr>
      </w:pPr>
      <w:r w:rsidRPr="4E96D345">
        <w:rPr>
          <w:rFonts w:eastAsia="Times New Roman"/>
          <w:color w:val="222222"/>
        </w:rPr>
        <w:t>Guess, Andrew, Brendan Nyhan, and Jason Reifler.</w:t>
      </w:r>
      <w:r w:rsidR="00212EBE" w:rsidRPr="4E96D345">
        <w:rPr>
          <w:rFonts w:eastAsia="Times New Roman"/>
        </w:rPr>
        <w:t xml:space="preserve"> 2018. "Selective exposure to misinformation: Evidence from the consumption of fake news during the 2016 US presidential campaign</w:t>
      </w:r>
      <w:r w:rsidR="000E3167" w:rsidRPr="4E96D345">
        <w:rPr>
          <w:rFonts w:eastAsia="Times New Roman"/>
        </w:rPr>
        <w:t>.</w:t>
      </w:r>
      <w:r w:rsidR="34C50AA3" w:rsidRPr="4E96D345">
        <w:rPr>
          <w:rFonts w:eastAsia="Times New Roman"/>
        </w:rPr>
        <w:t>”</w:t>
      </w:r>
      <w:r w:rsidR="000E3167" w:rsidRPr="4E96D345">
        <w:rPr>
          <w:rFonts w:eastAsia="Times New Roman"/>
        </w:rPr>
        <w:t xml:space="preserve">  European Research Council, Brussels. </w:t>
      </w:r>
      <w:r w:rsidR="17A9B99D" w:rsidRPr="4E96D345">
        <w:rPr>
          <w:rFonts w:eastAsia="Times New Roman"/>
        </w:rPr>
        <w:t xml:space="preserve">3: 4 </w:t>
      </w:r>
      <w:r w:rsidR="000E3167" w:rsidRPr="4E96D345">
        <w:rPr>
          <w:rFonts w:eastAsia="Times New Roman"/>
        </w:rPr>
        <w:t xml:space="preserve">Accessed February 28, 2025. </w:t>
      </w:r>
      <w:r w:rsidR="00212EBE" w:rsidRPr="4E96D345">
        <w:rPr>
          <w:rFonts w:eastAsia="Times New Roman"/>
        </w:rPr>
        <w:t xml:space="preserve"> </w:t>
      </w:r>
      <w:r w:rsidR="000E3167" w:rsidRPr="4E96D345">
        <w:rPr>
          <w:rFonts w:eastAsia="Times New Roman"/>
        </w:rPr>
        <w:t xml:space="preserve"> </w:t>
      </w:r>
      <w:hyperlink r:id="rId61">
        <w:r w:rsidR="000E3167" w:rsidRPr="4E96D345">
          <w:rPr>
            <w:rStyle w:val="Hyperlink"/>
            <w:rFonts w:eastAsia="Times New Roman"/>
          </w:rPr>
          <w:t>https://www.readkong.com/page/selective-exposure-to-misinformation-evidence-from-the-8348264</w:t>
        </w:r>
      </w:hyperlink>
    </w:p>
    <w:p w14:paraId="643F11D8" w14:textId="053ECF77" w:rsidR="00212EBE" w:rsidRPr="00B21176" w:rsidRDefault="0358C4C9" w:rsidP="4E96D345">
      <w:r w:rsidRPr="4E96D345">
        <w:rPr>
          <w:rFonts w:eastAsia="Times New Roman"/>
          <w:color w:val="222222"/>
        </w:rPr>
        <w:t>Haran, Uriel, and Shaul Shalvi.</w:t>
      </w:r>
      <w:r w:rsidR="00212EBE" w:rsidRPr="4E96D345">
        <w:rPr>
          <w:rFonts w:eastAsia="Times New Roman"/>
        </w:rPr>
        <w:t xml:space="preserve"> </w:t>
      </w:r>
      <w:r w:rsidR="00212EBE">
        <w:t xml:space="preserve">2020. </w:t>
      </w:r>
      <w:r w:rsidR="00620A79">
        <w:t>“</w:t>
      </w:r>
      <w:r w:rsidR="00212EBE">
        <w:t>The implicit honesty premium: Why honest advice is more persuasive than highly informed advice.</w:t>
      </w:r>
      <w:r w:rsidR="00620A79">
        <w:t>”</w:t>
      </w:r>
      <w:r w:rsidR="00212EBE">
        <w:t> </w:t>
      </w:r>
      <w:r w:rsidR="00212EBE" w:rsidRPr="4E96D345">
        <w:rPr>
          <w:i/>
          <w:iCs/>
        </w:rPr>
        <w:t>Journal of Experimental Psychology: General</w:t>
      </w:r>
      <w:r w:rsidR="00620A79">
        <w:t>.</w:t>
      </w:r>
      <w:r w:rsidR="00212EBE">
        <w:t> 149</w:t>
      </w:r>
      <w:r w:rsidR="0EF3A177">
        <w:t xml:space="preserve"> </w:t>
      </w:r>
      <w:r w:rsidR="00212EBE">
        <w:t>(4)</w:t>
      </w:r>
      <w:r w:rsidR="00620A79">
        <w:t>:</w:t>
      </w:r>
      <w:r w:rsidR="00212EBE">
        <w:t>757.</w:t>
      </w:r>
    </w:p>
    <w:p w14:paraId="629C6754" w14:textId="25D923A4" w:rsidR="00212EBE" w:rsidRPr="00B21176" w:rsidRDefault="0AB9AEF4" w:rsidP="4E96D345">
      <w:r w:rsidRPr="4E96D345">
        <w:rPr>
          <w:rFonts w:eastAsia="Times New Roman"/>
          <w:color w:val="222222"/>
        </w:rPr>
        <w:t xml:space="preserve">Hipp, John R., and Daniel J. Bauer. </w:t>
      </w:r>
      <w:r w:rsidRPr="4E96D345">
        <w:rPr>
          <w:rFonts w:eastAsia="Times New Roman"/>
        </w:rPr>
        <w:t xml:space="preserve"> </w:t>
      </w:r>
      <w:r w:rsidR="00212EBE" w:rsidRPr="4E96D345">
        <w:rPr>
          <w:rFonts w:eastAsia="Times New Roman"/>
        </w:rPr>
        <w:t>2006. Local solutions in the estimation of growth mixture models. </w:t>
      </w:r>
      <w:r w:rsidR="00212EBE" w:rsidRPr="4E96D345">
        <w:rPr>
          <w:rFonts w:eastAsia="Times New Roman"/>
          <w:i/>
          <w:iCs/>
        </w:rPr>
        <w:t>Psychological Methods</w:t>
      </w:r>
      <w:r w:rsidR="00620A79" w:rsidRPr="4E96D345">
        <w:rPr>
          <w:rFonts w:eastAsia="Times New Roman"/>
        </w:rPr>
        <w:t>.</w:t>
      </w:r>
      <w:r w:rsidR="00212EBE" w:rsidRPr="4E96D345">
        <w:rPr>
          <w:rFonts w:eastAsia="Times New Roman"/>
        </w:rPr>
        <w:t xml:space="preserve"> 11(1)</w:t>
      </w:r>
      <w:r w:rsidR="00620A79" w:rsidRPr="4E96D345">
        <w:rPr>
          <w:rFonts w:eastAsia="Times New Roman"/>
        </w:rPr>
        <w:t>:</w:t>
      </w:r>
      <w:r w:rsidR="00212EBE" w:rsidRPr="4E96D345">
        <w:rPr>
          <w:rFonts w:eastAsia="Times New Roman"/>
        </w:rPr>
        <w:t xml:space="preserve"> 36–53. </w:t>
      </w:r>
      <w:hyperlink r:id="rId62">
        <w:r w:rsidR="00212EBE" w:rsidRPr="4E96D345">
          <w:rPr>
            <w:rStyle w:val="Hyperlink"/>
            <w:rFonts w:eastAsia="Times New Roman"/>
          </w:rPr>
          <w:t>https://doi.org/10.1037/1082-989X.11.1.36</w:t>
        </w:r>
      </w:hyperlink>
    </w:p>
    <w:p w14:paraId="2534F5E2" w14:textId="56D8612C" w:rsidR="00212EBE" w:rsidRPr="00B21176" w:rsidRDefault="0A18FECE" w:rsidP="4E96D345">
      <w:r w:rsidRPr="4E96D345">
        <w:rPr>
          <w:rFonts w:ascii="Arial" w:eastAsia="Arial" w:hAnsi="Arial" w:cs="Arial"/>
          <w:color w:val="222222"/>
          <w:sz w:val="19"/>
          <w:szCs w:val="19"/>
        </w:rPr>
        <w:t>J</w:t>
      </w:r>
      <w:r w:rsidRPr="4E96D345">
        <w:rPr>
          <w:rFonts w:eastAsia="Times New Roman"/>
          <w:color w:val="222222"/>
        </w:rPr>
        <w:t>erome, Lee, Ben Kisby, and Steve McKay</w:t>
      </w:r>
      <w:r w:rsidR="00212EBE" w:rsidRPr="4E96D345">
        <w:rPr>
          <w:rFonts w:eastAsia="Times New Roman"/>
        </w:rPr>
        <w:t xml:space="preserve"> 2024</w:t>
      </w:r>
      <w:r w:rsidR="00620A79" w:rsidRPr="4E96D345">
        <w:rPr>
          <w:rFonts w:eastAsia="Times New Roman"/>
        </w:rPr>
        <w:t>.</w:t>
      </w:r>
      <w:r w:rsidR="00212EBE" w:rsidRPr="4E96D345">
        <w:rPr>
          <w:rFonts w:eastAsia="Times New Roman"/>
        </w:rPr>
        <w:t xml:space="preserve"> </w:t>
      </w:r>
      <w:r w:rsidR="00620A79" w:rsidRPr="4E96D345">
        <w:rPr>
          <w:rFonts w:eastAsia="Times New Roman"/>
        </w:rPr>
        <w:t>“</w:t>
      </w:r>
      <w:r w:rsidR="00212EBE" w:rsidRPr="4E96D345">
        <w:rPr>
          <w:rFonts w:eastAsia="Times New Roman"/>
        </w:rPr>
        <w:t>Com</w:t>
      </w:r>
      <w:r w:rsidR="00212EBE">
        <w:t>batting Conspiracies in the Classroom: Teacher Strategies and Perceived Outcome.</w:t>
      </w:r>
      <w:r w:rsidR="00620A79">
        <w:t>”</w:t>
      </w:r>
      <w:r w:rsidR="00212EBE">
        <w:t xml:space="preserve"> </w:t>
      </w:r>
      <w:r w:rsidR="00212EBE" w:rsidRPr="4E96D345">
        <w:rPr>
          <w:i/>
          <w:iCs/>
        </w:rPr>
        <w:t>British Educational Research Journal</w:t>
      </w:r>
      <w:r w:rsidR="00620A79">
        <w:t>.</w:t>
      </w:r>
      <w:r w:rsidR="00212EBE">
        <w:t xml:space="preserve"> 50</w:t>
      </w:r>
      <w:r w:rsidR="1A4C4EEC">
        <w:t xml:space="preserve"> (3)</w:t>
      </w:r>
      <w:r w:rsidR="00620A79">
        <w:t>:</w:t>
      </w:r>
      <w:r w:rsidR="00212EBE">
        <w:t xml:space="preserve"> 1106-1126. </w:t>
      </w:r>
      <w:hyperlink r:id="rId63">
        <w:r w:rsidR="00212EBE" w:rsidRPr="4E96D345">
          <w:rPr>
            <w:rStyle w:val="Hyperlink"/>
          </w:rPr>
          <w:t>https://doi.org/10.1002/berj.3955</w:t>
        </w:r>
      </w:hyperlink>
      <w:r w:rsidR="00212EBE">
        <w:t xml:space="preserve">   </w:t>
      </w:r>
    </w:p>
    <w:p w14:paraId="7BC995F2" w14:textId="6E422EE3" w:rsidR="00212EBE" w:rsidRPr="00B21176" w:rsidRDefault="220ACDAF" w:rsidP="4E96D345">
      <w:r w:rsidRPr="4E96D345">
        <w:rPr>
          <w:rFonts w:eastAsia="Times New Roman"/>
          <w:color w:val="222222"/>
        </w:rPr>
        <w:lastRenderedPageBreak/>
        <w:t>Jung, Tony, and Kandauda AS Wickrama</w:t>
      </w:r>
      <w:r w:rsidR="00212EBE" w:rsidRPr="4E96D345">
        <w:rPr>
          <w:rFonts w:eastAsia="Times New Roman"/>
        </w:rPr>
        <w:t xml:space="preserve">. 2008. </w:t>
      </w:r>
      <w:r w:rsidR="00620A79" w:rsidRPr="4E96D345">
        <w:rPr>
          <w:rFonts w:eastAsia="Times New Roman"/>
        </w:rPr>
        <w:t>“</w:t>
      </w:r>
      <w:r w:rsidR="00212EBE" w:rsidRPr="4E96D345">
        <w:rPr>
          <w:rFonts w:eastAsia="Times New Roman"/>
        </w:rPr>
        <w:t>An introduction to latent class growth analysis and growth mixture modelling.</w:t>
      </w:r>
      <w:r w:rsidR="00620A79" w:rsidRPr="4E96D345">
        <w:rPr>
          <w:rFonts w:eastAsia="Times New Roman"/>
        </w:rPr>
        <w:t>”</w:t>
      </w:r>
      <w:r w:rsidR="00212EBE" w:rsidRPr="4E96D345">
        <w:rPr>
          <w:rFonts w:eastAsia="Times New Roman"/>
        </w:rPr>
        <w:t> </w:t>
      </w:r>
      <w:r w:rsidR="00212EBE" w:rsidRPr="4E96D345">
        <w:rPr>
          <w:rFonts w:eastAsia="Times New Roman"/>
          <w:i/>
          <w:iCs/>
        </w:rPr>
        <w:t>Social and Personality Psychology Compass</w:t>
      </w:r>
      <w:r w:rsidR="00620A79" w:rsidRPr="4E96D345">
        <w:rPr>
          <w:rFonts w:eastAsia="Times New Roman"/>
          <w:i/>
          <w:iCs/>
        </w:rPr>
        <w:t>.</w:t>
      </w:r>
      <w:r w:rsidR="00212EBE" w:rsidRPr="4E96D345">
        <w:rPr>
          <w:rFonts w:eastAsia="Times New Roman"/>
        </w:rPr>
        <w:t xml:space="preserve"> 2(1)</w:t>
      </w:r>
      <w:r w:rsidR="00620A79" w:rsidRPr="4E96D345">
        <w:rPr>
          <w:rFonts w:eastAsia="Times New Roman"/>
        </w:rPr>
        <w:t>:</w:t>
      </w:r>
      <w:r w:rsidR="00212EBE" w:rsidRPr="4E96D345">
        <w:rPr>
          <w:rFonts w:eastAsia="Times New Roman"/>
        </w:rPr>
        <w:t xml:space="preserve"> 302–317. </w:t>
      </w:r>
      <w:hyperlink r:id="rId64">
        <w:r w:rsidR="00212EBE" w:rsidRPr="4E96D345">
          <w:rPr>
            <w:rStyle w:val="Hyperlink"/>
            <w:rFonts w:eastAsia="Times New Roman"/>
          </w:rPr>
          <w:t>https://doi.org/10.1111/j.1751-9004.2007.00054.x</w:t>
        </w:r>
      </w:hyperlink>
      <w:r w:rsidR="00212EBE" w:rsidRPr="4E96D345">
        <w:rPr>
          <w:rFonts w:eastAsia="Times New Roman"/>
        </w:rPr>
        <w:t xml:space="preserve"> </w:t>
      </w:r>
    </w:p>
    <w:p w14:paraId="7F8A639D" w14:textId="6BA2DFCE" w:rsidR="00212EBE" w:rsidRPr="00B21176" w:rsidRDefault="431C3802" w:rsidP="4E96D345">
      <w:r w:rsidRPr="4E96D345">
        <w:rPr>
          <w:rFonts w:eastAsia="Times New Roman"/>
          <w:color w:val="222222"/>
        </w:rPr>
        <w:t>Kerwer, Martin, and Tom Rosman</w:t>
      </w:r>
      <w:r w:rsidR="00212EBE" w:rsidRPr="4E96D345">
        <w:rPr>
          <w:rFonts w:eastAsia="Times New Roman"/>
        </w:rPr>
        <w:t>. 2018</w:t>
      </w:r>
      <w:r w:rsidR="00620A79" w:rsidRPr="4E96D345">
        <w:rPr>
          <w:rFonts w:eastAsia="Times New Roman"/>
        </w:rPr>
        <w:t>.</w:t>
      </w:r>
      <w:r w:rsidR="00212EBE" w:rsidRPr="4E96D345">
        <w:rPr>
          <w:rFonts w:eastAsia="Times New Roman"/>
        </w:rPr>
        <w:t xml:space="preserve"> </w:t>
      </w:r>
      <w:r w:rsidR="00620A79" w:rsidRPr="4E96D345">
        <w:rPr>
          <w:rFonts w:eastAsia="Times New Roman"/>
        </w:rPr>
        <w:t>“</w:t>
      </w:r>
      <w:r w:rsidR="00212EBE" w:rsidRPr="4E96D345">
        <w:rPr>
          <w:rFonts w:eastAsia="Times New Roman"/>
        </w:rPr>
        <w:t>Mechanisms of Epistemic Change—Under Which Circumstances Does Diverging Information Support Epistemic Development?</w:t>
      </w:r>
      <w:r w:rsidR="00620A79" w:rsidRPr="4E96D345">
        <w:rPr>
          <w:rFonts w:eastAsia="Times New Roman"/>
        </w:rPr>
        <w:t>”</w:t>
      </w:r>
      <w:r w:rsidR="00212EBE" w:rsidRPr="4E96D345">
        <w:rPr>
          <w:rFonts w:eastAsia="Times New Roman"/>
        </w:rPr>
        <w:t xml:space="preserve"> </w:t>
      </w:r>
      <w:r w:rsidR="00212EBE" w:rsidRPr="4E96D345">
        <w:rPr>
          <w:rFonts w:eastAsia="Times New Roman"/>
          <w:i/>
          <w:iCs/>
        </w:rPr>
        <w:t>Front. Psychol</w:t>
      </w:r>
      <w:r w:rsidR="00212EBE" w:rsidRPr="4E96D345">
        <w:rPr>
          <w:rFonts w:eastAsia="Times New Roman"/>
        </w:rPr>
        <w:t>. 9</w:t>
      </w:r>
      <w:r w:rsidR="00620A79" w:rsidRPr="4E96D345">
        <w:rPr>
          <w:rFonts w:eastAsia="Times New Roman"/>
        </w:rPr>
        <w:t>:</w:t>
      </w:r>
      <w:r w:rsidR="00212EBE" w:rsidRPr="4E96D345">
        <w:rPr>
          <w:rFonts w:eastAsia="Times New Roman"/>
        </w:rPr>
        <w:t xml:space="preserve"> </w:t>
      </w:r>
      <w:r w:rsidR="00212EBE" w:rsidRPr="4E96D345">
        <w:rPr>
          <w:rFonts w:eastAsia="Times New Roman"/>
          <w:lang w:val="en-US"/>
        </w:rPr>
        <w:t>2278</w:t>
      </w:r>
      <w:r w:rsidR="00212EBE" w:rsidRPr="4E96D345">
        <w:rPr>
          <w:rFonts w:eastAsia="Times New Roman"/>
        </w:rPr>
        <w:t xml:space="preserve">. </w:t>
      </w:r>
      <w:hyperlink r:id="rId65">
        <w:r w:rsidR="00212EBE" w:rsidRPr="4E96D345">
          <w:rPr>
            <w:rStyle w:val="Hyperlink"/>
            <w:rFonts w:eastAsia="Times New Roman"/>
          </w:rPr>
          <w:t>https://doi.org/10.3389/fpsyg.2018.02278</w:t>
        </w:r>
      </w:hyperlink>
      <w:r w:rsidR="00212EBE" w:rsidRPr="4E96D345">
        <w:rPr>
          <w:rFonts w:eastAsia="Times New Roman"/>
        </w:rPr>
        <w:t>.</w:t>
      </w:r>
    </w:p>
    <w:p w14:paraId="7B1C843A" w14:textId="7B688A87" w:rsidR="00212EBE" w:rsidRPr="000E3167" w:rsidRDefault="5BD37353" w:rsidP="4E96D345">
      <w:r w:rsidRPr="4E96D345">
        <w:rPr>
          <w:rFonts w:eastAsia="Times New Roman"/>
          <w:color w:val="222222"/>
        </w:rPr>
        <w:t>Kline, Rex B.</w:t>
      </w:r>
      <w:r w:rsidR="00212EBE" w:rsidRPr="4E96D345">
        <w:rPr>
          <w:rFonts w:eastAsia="Times New Roman"/>
        </w:rPr>
        <w:t xml:space="preserve"> </w:t>
      </w:r>
      <w:r w:rsidR="00212EBE">
        <w:t>2011</w:t>
      </w:r>
      <w:r w:rsidR="00620A79">
        <w:t>.</w:t>
      </w:r>
      <w:r w:rsidR="00212EBE">
        <w:t> Principles and practice of structural equation modelling</w:t>
      </w:r>
      <w:r w:rsidR="000E3167">
        <w:t>.</w:t>
      </w:r>
      <w:r w:rsidR="00212EBE">
        <w:t xml:space="preserve"> New York, NY, Guilford Press.</w:t>
      </w:r>
    </w:p>
    <w:p w14:paraId="1009B190" w14:textId="710C393B" w:rsidR="00212EBE" w:rsidRPr="00313FF0" w:rsidRDefault="7D8DC640" w:rsidP="4E96D345">
      <w:r w:rsidRPr="4E96D345">
        <w:rPr>
          <w:rFonts w:eastAsia="Times New Roman"/>
          <w:color w:val="222222"/>
        </w:rPr>
        <w:t>Kool, Wouter, and Matthew Botvinick.</w:t>
      </w:r>
      <w:r w:rsidRPr="4E96D345">
        <w:rPr>
          <w:rFonts w:eastAsia="Times New Roman"/>
        </w:rPr>
        <w:t xml:space="preserve"> </w:t>
      </w:r>
      <w:r w:rsidR="00620A79" w:rsidRPr="4E96D345">
        <w:rPr>
          <w:rFonts w:eastAsia="Times New Roman"/>
        </w:rPr>
        <w:t>2014.</w:t>
      </w:r>
      <w:r w:rsidR="00212EBE" w:rsidRPr="4E96D345">
        <w:rPr>
          <w:rFonts w:eastAsia="Times New Roman"/>
        </w:rPr>
        <w:t xml:space="preserve"> </w:t>
      </w:r>
      <w:r w:rsidR="00620A79" w:rsidRPr="4E96D345">
        <w:rPr>
          <w:rFonts w:eastAsia="Times New Roman"/>
        </w:rPr>
        <w:t>“</w:t>
      </w:r>
      <w:r w:rsidR="00212EBE" w:rsidRPr="4E96D345">
        <w:rPr>
          <w:rFonts w:eastAsia="Times New Roman"/>
        </w:rPr>
        <w:t>A labor/leisure tradeoff in cognitive control.</w:t>
      </w:r>
      <w:r w:rsidR="00620A79" w:rsidRPr="4E96D345">
        <w:rPr>
          <w:rFonts w:eastAsia="Times New Roman"/>
        </w:rPr>
        <w:t>”</w:t>
      </w:r>
      <w:r w:rsidR="00212EBE" w:rsidRPr="4E96D345">
        <w:rPr>
          <w:rFonts w:eastAsia="Times New Roman"/>
        </w:rPr>
        <w:t xml:space="preserve"> </w:t>
      </w:r>
      <w:r w:rsidR="00212EBE" w:rsidRPr="4E96D345">
        <w:rPr>
          <w:rFonts w:eastAsia="Times New Roman"/>
          <w:i/>
          <w:iCs/>
        </w:rPr>
        <w:t>J Exp Psychol Gen.</w:t>
      </w:r>
      <w:r w:rsidR="00212EBE" w:rsidRPr="4E96D345">
        <w:rPr>
          <w:rFonts w:eastAsia="Times New Roman"/>
        </w:rPr>
        <w:t xml:space="preserve"> 143(1):131–41. </w:t>
      </w:r>
      <w:hyperlink r:id="rId66">
        <w:r w:rsidR="00212EBE" w:rsidRPr="4E96D345">
          <w:rPr>
            <w:rStyle w:val="Hyperlink"/>
            <w:rFonts w:eastAsia="Times New Roman"/>
          </w:rPr>
          <w:t>https://doi.org/10.1037/a0031048</w:t>
        </w:r>
      </w:hyperlink>
      <w:r w:rsidR="00212EBE" w:rsidRPr="4E96D345">
        <w:rPr>
          <w:rFonts w:eastAsia="Times New Roman"/>
        </w:rPr>
        <w:t>.</w:t>
      </w:r>
    </w:p>
    <w:p w14:paraId="5EEDAAF7" w14:textId="34ECF87F" w:rsidR="00212EBE" w:rsidRPr="00B21176" w:rsidRDefault="4F708204" w:rsidP="4E96D345">
      <w:r w:rsidRPr="4E96D345">
        <w:rPr>
          <w:rFonts w:eastAsia="Times New Roman"/>
          <w:color w:val="222222"/>
        </w:rPr>
        <w:t>Marks, Joseph, Eloise Copland, Eleanor Loh, Cass R. Sunstein, and Tali Sharot.</w:t>
      </w:r>
      <w:r w:rsidR="00212EBE" w:rsidRPr="4E96D345">
        <w:rPr>
          <w:rFonts w:eastAsia="Times New Roman"/>
        </w:rPr>
        <w:t xml:space="preserve"> 2019</w:t>
      </w:r>
      <w:r w:rsidR="00DE4846" w:rsidRPr="4E96D345">
        <w:rPr>
          <w:rFonts w:eastAsia="Times New Roman"/>
        </w:rPr>
        <w:t>.</w:t>
      </w:r>
      <w:r w:rsidR="00212EBE" w:rsidRPr="4E96D345">
        <w:rPr>
          <w:rFonts w:eastAsia="Times New Roman"/>
        </w:rPr>
        <w:t xml:space="preserve"> </w:t>
      </w:r>
      <w:r w:rsidR="00DE4846" w:rsidRPr="4E96D345">
        <w:rPr>
          <w:rFonts w:eastAsia="Times New Roman"/>
        </w:rPr>
        <w:t>“</w:t>
      </w:r>
      <w:r w:rsidR="00212EBE" w:rsidRPr="4E96D345">
        <w:rPr>
          <w:rFonts w:eastAsia="Times New Roman"/>
        </w:rPr>
        <w:t>Epistemic spillovers: Learning others’ political views reduces the ability to assess and use their expertise in nonpolitical domains.</w:t>
      </w:r>
      <w:r w:rsidR="00DE4846" w:rsidRPr="4E96D345">
        <w:rPr>
          <w:rFonts w:eastAsia="Times New Roman"/>
        </w:rPr>
        <w:t>”</w:t>
      </w:r>
      <w:r w:rsidR="00212EBE" w:rsidRPr="4E96D345">
        <w:rPr>
          <w:rFonts w:eastAsia="Times New Roman"/>
        </w:rPr>
        <w:t xml:space="preserve"> </w:t>
      </w:r>
      <w:r w:rsidR="00212EBE" w:rsidRPr="4E96D345">
        <w:rPr>
          <w:rFonts w:eastAsia="Times New Roman"/>
          <w:i/>
          <w:iCs/>
        </w:rPr>
        <w:t>Cognition</w:t>
      </w:r>
      <w:r w:rsidR="00DE4846" w:rsidRPr="4E96D345">
        <w:rPr>
          <w:rFonts w:eastAsia="Times New Roman"/>
        </w:rPr>
        <w:t>.</w:t>
      </w:r>
      <w:r w:rsidR="00212EBE" w:rsidRPr="4E96D345">
        <w:rPr>
          <w:rFonts w:eastAsia="Times New Roman"/>
        </w:rPr>
        <w:t xml:space="preserve"> 188</w:t>
      </w:r>
      <w:r w:rsidR="00DE4846" w:rsidRPr="4E96D345">
        <w:rPr>
          <w:rFonts w:eastAsia="Times New Roman"/>
        </w:rPr>
        <w:t>:</w:t>
      </w:r>
      <w:r w:rsidR="00212EBE" w:rsidRPr="4E96D345">
        <w:rPr>
          <w:rFonts w:eastAsia="Times New Roman"/>
        </w:rPr>
        <w:t xml:space="preserve"> 74–84</w:t>
      </w:r>
      <w:r w:rsidR="00DE4846" w:rsidRPr="4E96D345">
        <w:rPr>
          <w:rFonts w:eastAsia="Times New Roman"/>
        </w:rPr>
        <w:t>.</w:t>
      </w:r>
    </w:p>
    <w:p w14:paraId="5EC4B4C6" w14:textId="65644F69" w:rsidR="00212EBE" w:rsidRPr="000E3167" w:rsidRDefault="40C7C5D8" w:rsidP="4E96D345">
      <w:r w:rsidRPr="4E96D345">
        <w:rPr>
          <w:rFonts w:eastAsia="Times New Roman"/>
          <w:color w:val="222222"/>
        </w:rPr>
        <w:t>Markey, Amanda, and George Loewenstein.</w:t>
      </w:r>
      <w:r w:rsidR="00212EBE" w:rsidRPr="4E96D345">
        <w:rPr>
          <w:rFonts w:eastAsia="Times New Roman"/>
        </w:rPr>
        <w:t xml:space="preserve"> 2014. Curiosity. In </w:t>
      </w:r>
      <w:r w:rsidR="000E3167" w:rsidRPr="4E96D345">
        <w:rPr>
          <w:rFonts w:eastAsia="Times New Roman"/>
          <w:i/>
          <w:iCs/>
        </w:rPr>
        <w:t>International Handbook Of Emotions In Education</w:t>
      </w:r>
      <w:r w:rsidR="000E3167" w:rsidRPr="4E96D345">
        <w:rPr>
          <w:rFonts w:eastAsia="Times New Roman"/>
        </w:rPr>
        <w:t xml:space="preserve"> edited by </w:t>
      </w:r>
      <w:r w:rsidR="00212EBE" w:rsidRPr="4E96D345">
        <w:rPr>
          <w:rFonts w:eastAsia="Times New Roman"/>
        </w:rPr>
        <w:t xml:space="preserve">R. Pekrun </w:t>
      </w:r>
      <w:r w:rsidR="003D3676" w:rsidRPr="4E96D345">
        <w:rPr>
          <w:rFonts w:eastAsia="Times New Roman"/>
        </w:rPr>
        <w:t>and</w:t>
      </w:r>
      <w:r w:rsidR="00212EBE" w:rsidRPr="4E96D345">
        <w:rPr>
          <w:rFonts w:eastAsia="Times New Roman"/>
        </w:rPr>
        <w:t xml:space="preserve"> L. Linnenbrink-Garcia</w:t>
      </w:r>
      <w:r w:rsidR="000E3167" w:rsidRPr="4E96D345">
        <w:rPr>
          <w:rFonts w:eastAsia="Times New Roman"/>
        </w:rPr>
        <w:t xml:space="preserve">. </w:t>
      </w:r>
      <w:r w:rsidR="00212EBE" w:rsidRPr="4E96D345">
        <w:rPr>
          <w:rFonts w:eastAsia="Times New Roman"/>
        </w:rPr>
        <w:t>228–245. Routledge.</w:t>
      </w:r>
    </w:p>
    <w:p w14:paraId="782AB42B" w14:textId="71857A1E" w:rsidR="000E3167" w:rsidRDefault="00212EBE" w:rsidP="00212EBE">
      <w:pPr>
        <w:pStyle w:val="References"/>
        <w:rPr>
          <w:lang w:val="en-US"/>
        </w:rPr>
      </w:pPr>
      <w:r w:rsidRPr="35BE6E9C">
        <w:rPr>
          <w:lang w:val="en-US"/>
        </w:rPr>
        <w:t>Morris, A</w:t>
      </w:r>
      <w:r w:rsidR="45DD2B1F" w:rsidRPr="35BE6E9C">
        <w:rPr>
          <w:lang w:val="en-US"/>
        </w:rPr>
        <w:t>ndrew</w:t>
      </w:r>
      <w:r w:rsidRPr="35BE6E9C">
        <w:rPr>
          <w:lang w:val="en-US"/>
        </w:rPr>
        <w:t xml:space="preserve">. </w:t>
      </w:r>
      <w:r w:rsidR="001C2B71">
        <w:rPr>
          <w:lang w:val="en-US"/>
        </w:rPr>
        <w:t>In press</w:t>
      </w:r>
      <w:r w:rsidR="000E3167" w:rsidRPr="35BE6E9C">
        <w:rPr>
          <w:lang w:val="en-US"/>
        </w:rPr>
        <w:t>.</w:t>
      </w:r>
      <w:r w:rsidRPr="35BE6E9C">
        <w:rPr>
          <w:lang w:val="en-US"/>
        </w:rPr>
        <w:t xml:space="preserve"> Science beats misinformation</w:t>
      </w:r>
      <w:r w:rsidR="000E3167" w:rsidRPr="35BE6E9C">
        <w:rPr>
          <w:color w:val="0070C0"/>
          <w:lang w:val="en-US"/>
        </w:rPr>
        <w:t>.</w:t>
      </w:r>
      <w:r w:rsidRPr="35BE6E9C">
        <w:rPr>
          <w:color w:val="0070C0"/>
          <w:lang w:val="en-US"/>
        </w:rPr>
        <w:t xml:space="preserve"> </w:t>
      </w:r>
      <w:r w:rsidR="000E3167">
        <w:t xml:space="preserve">In </w:t>
      </w:r>
      <w:r w:rsidR="000E3167" w:rsidRPr="35BE6E9C">
        <w:rPr>
          <w:i/>
          <w:iCs/>
        </w:rPr>
        <w:t xml:space="preserve">Demagogues, Populism </w:t>
      </w:r>
      <w:r w:rsidR="003D3676" w:rsidRPr="35BE6E9C">
        <w:rPr>
          <w:i/>
          <w:iCs/>
        </w:rPr>
        <w:t>and</w:t>
      </w:r>
      <w:r w:rsidR="000E3167" w:rsidRPr="35BE6E9C">
        <w:rPr>
          <w:i/>
          <w:iCs/>
        </w:rPr>
        <w:t xml:space="preserve"> Misinformation: A Guide To Combating Dark Ideas</w:t>
      </w:r>
      <w:r w:rsidR="000E3167">
        <w:t xml:space="preserve">, edited by </w:t>
      </w:r>
      <w:r w:rsidR="04F16A94">
        <w:t xml:space="preserve">Chris </w:t>
      </w:r>
      <w:r w:rsidR="04F16A94" w:rsidRPr="35BE6E9C">
        <w:rPr>
          <w:lang w:val="en-US"/>
        </w:rPr>
        <w:t>Brown, and Graham Handscomb</w:t>
      </w:r>
      <w:r w:rsidR="000E3167" w:rsidRPr="35BE6E9C">
        <w:rPr>
          <w:lang w:val="en-US"/>
        </w:rPr>
        <w:t>. Handscomb. London, United Kingdom: Emerald.</w:t>
      </w:r>
    </w:p>
    <w:p w14:paraId="37C9AF91" w14:textId="1AFA5D90" w:rsidR="00212EBE" w:rsidRPr="00B21176" w:rsidRDefault="183C81B0" w:rsidP="4E96D345">
      <w:r w:rsidRPr="4E96D345">
        <w:rPr>
          <w:rFonts w:eastAsia="Times New Roman"/>
          <w:color w:val="222222"/>
        </w:rPr>
        <w:t>Morin, Alexandre JS, and Herbert W. Marsh</w:t>
      </w:r>
      <w:r w:rsidRPr="4E96D345">
        <w:rPr>
          <w:rFonts w:ascii="Arial" w:eastAsia="Arial" w:hAnsi="Arial" w:cs="Arial"/>
          <w:color w:val="222222"/>
          <w:sz w:val="19"/>
          <w:szCs w:val="19"/>
        </w:rPr>
        <w:t>.</w:t>
      </w:r>
      <w:r w:rsidR="00212EBE">
        <w:t xml:space="preserve"> 2015. </w:t>
      </w:r>
      <w:r w:rsidR="00DE4846">
        <w:t>“</w:t>
      </w:r>
      <w:r w:rsidR="00212EBE">
        <w:t>Disentangling shape from level effects in person-centered analyses: An illustration based on university teachers’ multidimensional profiles of effectiveness.</w:t>
      </w:r>
      <w:r w:rsidR="00DE4846">
        <w:t>”</w:t>
      </w:r>
      <w:r w:rsidR="00212EBE">
        <w:t> </w:t>
      </w:r>
      <w:r w:rsidR="00212EBE" w:rsidRPr="4E96D345">
        <w:rPr>
          <w:i/>
          <w:iCs/>
        </w:rPr>
        <w:t>Structural Equation Modeling</w:t>
      </w:r>
      <w:r w:rsidR="00DE4846" w:rsidRPr="4E96D345">
        <w:rPr>
          <w:i/>
          <w:iCs/>
        </w:rPr>
        <w:t>.</w:t>
      </w:r>
      <w:r w:rsidR="00212EBE">
        <w:t xml:space="preserve"> 22(1)</w:t>
      </w:r>
      <w:r w:rsidR="00DE4846">
        <w:t>:</w:t>
      </w:r>
      <w:r w:rsidR="00212EBE">
        <w:t xml:space="preserve"> 39–59. </w:t>
      </w:r>
    </w:p>
    <w:p w14:paraId="4F6112D5" w14:textId="3EB3309F" w:rsidR="00212EBE" w:rsidRPr="00B21176" w:rsidRDefault="3D211016" w:rsidP="4E96D345">
      <w:r w:rsidRPr="4E96D345">
        <w:rPr>
          <w:rFonts w:eastAsia="Times New Roman"/>
          <w:color w:val="222222"/>
        </w:rPr>
        <w:t>Morin, Alexandre JS, Jean-Sébastien Boudrias, Herbert W. Marsh, Isabelle Madore, and Pascale Desrumaux.</w:t>
      </w:r>
      <w:r w:rsidR="00212EBE" w:rsidRPr="4E96D345">
        <w:rPr>
          <w:rFonts w:eastAsia="Times New Roman"/>
        </w:rPr>
        <w:t xml:space="preserve"> 2016. </w:t>
      </w:r>
      <w:r w:rsidR="00DE4846" w:rsidRPr="4E96D345">
        <w:rPr>
          <w:rFonts w:eastAsia="Times New Roman"/>
        </w:rPr>
        <w:t>“</w:t>
      </w:r>
      <w:r w:rsidR="00212EBE" w:rsidRPr="4E96D345">
        <w:rPr>
          <w:rFonts w:eastAsia="Times New Roman"/>
        </w:rPr>
        <w:t xml:space="preserve">Further reflections on disentangling shape and level effects in person-centered analyses: An illustration exploring the dimensionality of </w:t>
      </w:r>
      <w:r w:rsidR="00212EBE" w:rsidRPr="4E96D345">
        <w:rPr>
          <w:rFonts w:eastAsia="Times New Roman"/>
        </w:rPr>
        <w:lastRenderedPageBreak/>
        <w:t>psychological health.</w:t>
      </w:r>
      <w:r w:rsidR="00DE4846" w:rsidRPr="4E96D345">
        <w:rPr>
          <w:rFonts w:eastAsia="Times New Roman"/>
        </w:rPr>
        <w:t>”</w:t>
      </w:r>
      <w:r w:rsidR="00212EBE" w:rsidRPr="4E96D345">
        <w:rPr>
          <w:rFonts w:eastAsia="Times New Roman"/>
        </w:rPr>
        <w:t> </w:t>
      </w:r>
      <w:r w:rsidR="00212EBE" w:rsidRPr="4E96D345">
        <w:rPr>
          <w:rFonts w:eastAsia="Times New Roman"/>
          <w:i/>
          <w:iCs/>
        </w:rPr>
        <w:t>Structural Equation Modeling: A Multidisciplinary Journal</w:t>
      </w:r>
      <w:r w:rsidR="00DE4846" w:rsidRPr="4E96D345">
        <w:rPr>
          <w:rFonts w:eastAsia="Times New Roman"/>
        </w:rPr>
        <w:t>.</w:t>
      </w:r>
      <w:r w:rsidR="00212EBE" w:rsidRPr="4E96D345">
        <w:rPr>
          <w:rFonts w:eastAsia="Times New Roman"/>
        </w:rPr>
        <w:t> 23(3)</w:t>
      </w:r>
      <w:r w:rsidR="00DE4846" w:rsidRPr="4E96D345">
        <w:rPr>
          <w:rFonts w:eastAsia="Times New Roman"/>
        </w:rPr>
        <w:t>:</w:t>
      </w:r>
      <w:r w:rsidR="00212EBE" w:rsidRPr="4E96D345">
        <w:rPr>
          <w:rFonts w:eastAsia="Times New Roman"/>
        </w:rPr>
        <w:t xml:space="preserve"> 438-454.</w:t>
      </w:r>
    </w:p>
    <w:p w14:paraId="5A1C6851" w14:textId="603295A3" w:rsidR="00212EBE" w:rsidRPr="000E3167" w:rsidRDefault="46117A95" w:rsidP="4E96D345">
      <w:r w:rsidRPr="4E96D345">
        <w:rPr>
          <w:rFonts w:eastAsia="Times New Roman"/>
          <w:color w:val="222222"/>
        </w:rPr>
        <w:t>Muthén, Bengt</w:t>
      </w:r>
      <w:r w:rsidR="00212EBE" w:rsidRPr="4E96D345">
        <w:rPr>
          <w:rFonts w:eastAsia="Times New Roman"/>
        </w:rPr>
        <w:t xml:space="preserve">. 2004. Latent Variable Analysis: Growth Mixture Modeling and Related Techniques for Longitudinal Data. In </w:t>
      </w:r>
      <w:r w:rsidR="00212EBE" w:rsidRPr="4E96D345">
        <w:rPr>
          <w:rFonts w:eastAsia="Times New Roman"/>
          <w:i/>
          <w:iCs/>
        </w:rPr>
        <w:t>Handbook of Quantitative Methodology for the Social Sciences</w:t>
      </w:r>
      <w:r w:rsidR="000E3167" w:rsidRPr="4E96D345">
        <w:rPr>
          <w:rFonts w:eastAsia="Times New Roman"/>
        </w:rPr>
        <w:t>, edited by D</w:t>
      </w:r>
      <w:r w:rsidR="2A4C5B3D" w:rsidRPr="4E96D345">
        <w:rPr>
          <w:rFonts w:eastAsia="Times New Roman"/>
        </w:rPr>
        <w:t>avid</w:t>
      </w:r>
      <w:r w:rsidR="000E3167" w:rsidRPr="4E96D345">
        <w:rPr>
          <w:rFonts w:eastAsia="Times New Roman"/>
        </w:rPr>
        <w:t xml:space="preserve"> Kaplan. </w:t>
      </w:r>
      <w:r w:rsidR="00212EBE" w:rsidRPr="4E96D345">
        <w:rPr>
          <w:rFonts w:eastAsia="Times New Roman"/>
        </w:rPr>
        <w:t>Newbury Park, CA: Sage.</w:t>
      </w:r>
      <w:r w:rsidR="00B21176" w:rsidRPr="4E96D345">
        <w:rPr>
          <w:rFonts w:eastAsia="Times New Roman"/>
        </w:rPr>
        <w:t xml:space="preserve"> 345-368</w:t>
      </w:r>
      <w:r w:rsidR="00212EBE" w:rsidRPr="4E96D345">
        <w:rPr>
          <w:rFonts w:eastAsia="Times New Roman"/>
        </w:rPr>
        <w:t xml:space="preserve"> </w:t>
      </w:r>
      <w:hyperlink r:id="rId67">
        <w:r w:rsidR="00212EBE" w:rsidRPr="4E96D345">
          <w:rPr>
            <w:rStyle w:val="Hyperlink"/>
            <w:rFonts w:eastAsia="Times New Roman"/>
            <w:color w:val="auto"/>
          </w:rPr>
          <w:t>https://doi.org/10.4135/9781412986311.n19</w:t>
        </w:r>
      </w:hyperlink>
      <w:r w:rsidR="00212EBE" w:rsidRPr="4E96D345">
        <w:rPr>
          <w:rFonts w:eastAsia="Times New Roman"/>
        </w:rPr>
        <w:t xml:space="preserve"> </w:t>
      </w:r>
    </w:p>
    <w:p w14:paraId="0EDADDB2" w14:textId="7DBAA008" w:rsidR="00212EBE" w:rsidRPr="00B21176" w:rsidRDefault="00212EBE" w:rsidP="4E96D345">
      <w:pPr>
        <w:pStyle w:val="References"/>
        <w:rPr>
          <w:color w:val="0070C0"/>
        </w:rPr>
      </w:pPr>
      <w:r w:rsidRPr="4E96D345">
        <w:rPr>
          <w:rFonts w:eastAsia="Times New Roman"/>
        </w:rPr>
        <w:t>Naughton, J</w:t>
      </w:r>
      <w:r w:rsidR="5EC93B35" w:rsidRPr="4E96D345">
        <w:rPr>
          <w:rFonts w:eastAsia="Times New Roman"/>
        </w:rPr>
        <w:t>ohn</w:t>
      </w:r>
      <w:r w:rsidRPr="4E96D345">
        <w:rPr>
          <w:rFonts w:eastAsia="Times New Roman"/>
        </w:rPr>
        <w:t>.</w:t>
      </w:r>
      <w:r w:rsidR="14D27640" w:rsidRPr="4E96D345">
        <w:rPr>
          <w:rFonts w:eastAsia="Times New Roman"/>
        </w:rPr>
        <w:t xml:space="preserve">, </w:t>
      </w:r>
      <w:r w:rsidRPr="4E96D345">
        <w:rPr>
          <w:rFonts w:eastAsia="Times New Roman"/>
        </w:rPr>
        <w:t>H</w:t>
      </w:r>
      <w:r w:rsidR="74CA7E17" w:rsidRPr="4E96D345">
        <w:rPr>
          <w:rFonts w:eastAsia="Times New Roman"/>
        </w:rPr>
        <w:t>ugo Leal</w:t>
      </w:r>
      <w:r w:rsidRPr="4E96D345">
        <w:rPr>
          <w:rFonts w:eastAsia="Times New Roman"/>
        </w:rPr>
        <w:t xml:space="preserve">. et al (2018) </w:t>
      </w:r>
      <w:r w:rsidR="000E3167" w:rsidRPr="4E96D345">
        <w:rPr>
          <w:rFonts w:eastAsia="Times New Roman"/>
        </w:rPr>
        <w:t>“</w:t>
      </w:r>
      <w:r w:rsidRPr="4E96D345">
        <w:rPr>
          <w:rFonts w:eastAsia="Times New Roman"/>
        </w:rPr>
        <w:t>Brexit and Trump voters more likely to believe in conspiracy theories, survey shows.</w:t>
      </w:r>
      <w:r w:rsidR="000E3167" w:rsidRPr="4E96D345">
        <w:rPr>
          <w:rFonts w:eastAsia="Times New Roman"/>
        </w:rPr>
        <w:t>”</w:t>
      </w:r>
      <w:r w:rsidRPr="4E96D345">
        <w:rPr>
          <w:rFonts w:eastAsia="Times New Roman"/>
        </w:rPr>
        <w:t xml:space="preserve"> University of Cambridge</w:t>
      </w:r>
      <w:r w:rsidR="000E3167" w:rsidRPr="4E96D345">
        <w:rPr>
          <w:rFonts w:eastAsia="Times New Roman"/>
        </w:rPr>
        <w:t xml:space="preserve">. Accessed March 21, 2025. </w:t>
      </w:r>
      <w:hyperlink r:id="rId68">
        <w:r w:rsidR="000E3167" w:rsidRPr="4E96D345">
          <w:rPr>
            <w:rStyle w:val="Hyperlink"/>
            <w:rFonts w:eastAsia="Times New Roman"/>
          </w:rPr>
          <w:t>https://www.crassh.cam.ac.uk/blog/brexit-and-trump-voters-more-likely-to-believe-in-conspiracy-theories-surve/</w:t>
        </w:r>
      </w:hyperlink>
      <w:r w:rsidRPr="4E96D345">
        <w:rPr>
          <w:rFonts w:eastAsia="Times New Roman"/>
          <w:color w:val="0070C0"/>
        </w:rPr>
        <w:t xml:space="preserve"> </w:t>
      </w:r>
    </w:p>
    <w:p w14:paraId="7D77A936" w14:textId="69B276B4" w:rsidR="00212EBE" w:rsidRPr="00B21176" w:rsidRDefault="00212EBE" w:rsidP="4E96D345">
      <w:pPr>
        <w:pStyle w:val="References"/>
      </w:pPr>
      <w:r w:rsidRPr="4E96D345">
        <w:rPr>
          <w:rFonts w:eastAsia="Times New Roman"/>
        </w:rPr>
        <w:t>Neal, Z</w:t>
      </w:r>
      <w:r w:rsidR="43D9E428" w:rsidRPr="4E96D345">
        <w:rPr>
          <w:rFonts w:eastAsia="Times New Roman"/>
        </w:rPr>
        <w:t>achary</w:t>
      </w:r>
      <w:r w:rsidRPr="4E96D345">
        <w:rPr>
          <w:rFonts w:eastAsia="Times New Roman"/>
        </w:rPr>
        <w:t>. 2013</w:t>
      </w:r>
      <w:r w:rsidR="00B21176" w:rsidRPr="4E96D345">
        <w:rPr>
          <w:rFonts w:eastAsia="Times New Roman"/>
        </w:rPr>
        <w:t>.</w:t>
      </w:r>
      <w:r w:rsidRPr="4E96D345">
        <w:rPr>
          <w:rFonts w:eastAsia="Times New Roman"/>
        </w:rPr>
        <w:t xml:space="preserve"> The </w:t>
      </w:r>
      <w:r w:rsidR="00B21176" w:rsidRPr="4E96D345">
        <w:rPr>
          <w:rFonts w:eastAsia="Times New Roman"/>
        </w:rPr>
        <w:t>C</w:t>
      </w:r>
      <w:r w:rsidRPr="4E96D345">
        <w:rPr>
          <w:rFonts w:eastAsia="Times New Roman"/>
        </w:rPr>
        <w:t xml:space="preserve">onnected </w:t>
      </w:r>
      <w:r w:rsidR="00B21176" w:rsidRPr="4E96D345">
        <w:rPr>
          <w:rFonts w:eastAsia="Times New Roman"/>
        </w:rPr>
        <w:t>C</w:t>
      </w:r>
      <w:r w:rsidRPr="4E96D345">
        <w:rPr>
          <w:rFonts w:eastAsia="Times New Roman"/>
        </w:rPr>
        <w:t xml:space="preserve">ity: how networks are shaping the modern metropolis London, </w:t>
      </w:r>
      <w:r w:rsidR="00B21176" w:rsidRPr="4E96D345">
        <w:rPr>
          <w:rFonts w:eastAsia="Times New Roman"/>
        </w:rPr>
        <w:t xml:space="preserve">United Kingdom: </w:t>
      </w:r>
      <w:r w:rsidRPr="4E96D345">
        <w:rPr>
          <w:rFonts w:eastAsia="Times New Roman"/>
        </w:rPr>
        <w:t>Routledge.</w:t>
      </w:r>
    </w:p>
    <w:p w14:paraId="72A37B9E" w14:textId="6379AD3E" w:rsidR="00212EBE" w:rsidRPr="00B21176" w:rsidRDefault="0EAB6050" w:rsidP="4E96D345">
      <w:r w:rsidRPr="4E96D345">
        <w:rPr>
          <w:rFonts w:eastAsia="Times New Roman"/>
          <w:color w:val="222222"/>
        </w:rPr>
        <w:t>Parcel, Toby L., and Monica S. Bixby.</w:t>
      </w:r>
      <w:r w:rsidR="00212EBE" w:rsidRPr="4E96D345">
        <w:rPr>
          <w:rFonts w:eastAsia="Times New Roman"/>
        </w:rPr>
        <w:t xml:space="preserve"> 2015</w:t>
      </w:r>
      <w:r w:rsidR="00DE4846" w:rsidRPr="4E96D345">
        <w:rPr>
          <w:rFonts w:eastAsia="Times New Roman"/>
        </w:rPr>
        <w:t>.</w:t>
      </w:r>
      <w:r w:rsidR="00212EBE" w:rsidRPr="4E96D345">
        <w:rPr>
          <w:rFonts w:eastAsia="Times New Roman"/>
        </w:rPr>
        <w:t xml:space="preserve"> </w:t>
      </w:r>
      <w:r w:rsidR="00DE4846" w:rsidRPr="4E96D345">
        <w:rPr>
          <w:rFonts w:eastAsia="Times New Roman"/>
        </w:rPr>
        <w:t>“</w:t>
      </w:r>
      <w:r w:rsidR="00212EBE" w:rsidRPr="4E96D345">
        <w:rPr>
          <w:rFonts w:eastAsia="Times New Roman"/>
        </w:rPr>
        <w:t>The ties that bind: social capital, families and children’s wellbeing</w:t>
      </w:r>
      <w:r w:rsidR="00DE4846" w:rsidRPr="4E96D345">
        <w:rPr>
          <w:rFonts w:eastAsia="Times New Roman"/>
        </w:rPr>
        <w:t>.”</w:t>
      </w:r>
      <w:r w:rsidR="00212EBE" w:rsidRPr="4E96D345">
        <w:rPr>
          <w:rFonts w:eastAsia="Times New Roman"/>
        </w:rPr>
        <w:t xml:space="preserve"> </w:t>
      </w:r>
      <w:r w:rsidR="00212EBE" w:rsidRPr="4E96D345">
        <w:rPr>
          <w:rFonts w:eastAsia="Times New Roman"/>
          <w:i/>
          <w:iCs/>
        </w:rPr>
        <w:t>Child Development Perspectives</w:t>
      </w:r>
      <w:r w:rsidR="00DE4846" w:rsidRPr="4E96D345">
        <w:rPr>
          <w:rFonts w:eastAsia="Times New Roman"/>
        </w:rPr>
        <w:t>.</w:t>
      </w:r>
      <w:r w:rsidR="00212EBE" w:rsidRPr="4E96D345">
        <w:rPr>
          <w:rFonts w:eastAsia="Times New Roman"/>
        </w:rPr>
        <w:t xml:space="preserve"> 10</w:t>
      </w:r>
      <w:r w:rsidR="00DE4846" w:rsidRPr="4E96D345">
        <w:rPr>
          <w:rFonts w:eastAsia="Times New Roman"/>
        </w:rPr>
        <w:t>(</w:t>
      </w:r>
      <w:r w:rsidR="00212EBE" w:rsidRPr="4E96D345">
        <w:rPr>
          <w:rFonts w:eastAsia="Times New Roman"/>
        </w:rPr>
        <w:t>2</w:t>
      </w:r>
      <w:r w:rsidR="00DE4846" w:rsidRPr="4E96D345">
        <w:rPr>
          <w:rFonts w:eastAsia="Times New Roman"/>
        </w:rPr>
        <w:t xml:space="preserve">): </w:t>
      </w:r>
      <w:r w:rsidR="00212EBE" w:rsidRPr="4E96D345">
        <w:rPr>
          <w:rFonts w:eastAsia="Times New Roman"/>
        </w:rPr>
        <w:t>87-92.</w:t>
      </w:r>
    </w:p>
    <w:p w14:paraId="04CA581C" w14:textId="1E312AC1" w:rsidR="00212EBE" w:rsidRPr="00B21176" w:rsidRDefault="65E0B69A" w:rsidP="4E96D345">
      <w:r w:rsidRPr="4E96D345">
        <w:rPr>
          <w:rFonts w:eastAsia="Times New Roman"/>
          <w:color w:val="222222"/>
        </w:rPr>
        <w:t>Pawlak, Simon, and Ahmed A. Moustafa</w:t>
      </w:r>
      <w:r w:rsidR="00212EBE" w:rsidRPr="4E96D345">
        <w:rPr>
          <w:rFonts w:eastAsia="Times New Roman"/>
        </w:rPr>
        <w:t xml:space="preserve">. 2023. </w:t>
      </w:r>
      <w:r w:rsidR="00DE4846" w:rsidRPr="4E96D345">
        <w:rPr>
          <w:rFonts w:eastAsia="Times New Roman"/>
        </w:rPr>
        <w:t>“</w:t>
      </w:r>
      <w:r w:rsidR="00212EBE" w:rsidRPr="4E96D345">
        <w:rPr>
          <w:rFonts w:eastAsia="Times New Roman"/>
        </w:rPr>
        <w:t>A systematic review of the impact of future-oriented thinking on academic outcomes.</w:t>
      </w:r>
      <w:r w:rsidR="00DE4846" w:rsidRPr="4E96D345">
        <w:rPr>
          <w:rFonts w:eastAsia="Times New Roman"/>
        </w:rPr>
        <w:t>”</w:t>
      </w:r>
      <w:r w:rsidR="00212EBE" w:rsidRPr="4E96D345">
        <w:rPr>
          <w:rFonts w:eastAsia="Times New Roman"/>
        </w:rPr>
        <w:t xml:space="preserve"> </w:t>
      </w:r>
      <w:r w:rsidR="00212EBE" w:rsidRPr="4E96D345">
        <w:rPr>
          <w:rFonts w:eastAsia="Times New Roman"/>
          <w:i/>
          <w:iCs/>
        </w:rPr>
        <w:t>Frontiers in Psychology</w:t>
      </w:r>
      <w:r w:rsidR="00DE4846" w:rsidRPr="4E96D345">
        <w:rPr>
          <w:rFonts w:eastAsia="Times New Roman"/>
        </w:rPr>
        <w:t>.</w:t>
      </w:r>
      <w:r w:rsidR="00212EBE" w:rsidRPr="4E96D345">
        <w:rPr>
          <w:rFonts w:eastAsia="Times New Roman"/>
        </w:rPr>
        <w:t xml:space="preserve"> 14</w:t>
      </w:r>
      <w:r w:rsidR="00DE4846" w:rsidRPr="4E96D345">
        <w:rPr>
          <w:rFonts w:eastAsia="Times New Roman"/>
        </w:rPr>
        <w:t>:</w:t>
      </w:r>
      <w:r w:rsidR="00212EBE" w:rsidRPr="4E96D345">
        <w:rPr>
          <w:rFonts w:eastAsia="Times New Roman"/>
        </w:rPr>
        <w:t xml:space="preserve"> 1190546.</w:t>
      </w:r>
    </w:p>
    <w:p w14:paraId="61A2D973" w14:textId="71C612FD" w:rsidR="00212EBE" w:rsidRPr="00313FF0" w:rsidRDefault="00212EBE" w:rsidP="4E96D345">
      <w:pPr>
        <w:pStyle w:val="References"/>
        <w:rPr>
          <w:lang w:val="nl-NL"/>
        </w:rPr>
      </w:pPr>
      <w:r w:rsidRPr="4E96D345">
        <w:rPr>
          <w:rFonts w:eastAsia="Times New Roman"/>
        </w:rPr>
        <w:t>Putnam, R</w:t>
      </w:r>
      <w:r w:rsidR="7B78F083" w:rsidRPr="4E96D345">
        <w:rPr>
          <w:rFonts w:eastAsia="Times New Roman"/>
        </w:rPr>
        <w:t>obert. D</w:t>
      </w:r>
      <w:r w:rsidRPr="4E96D345">
        <w:rPr>
          <w:rFonts w:eastAsia="Times New Roman"/>
        </w:rPr>
        <w:t xml:space="preserve">. 2000. Bowing alone: The collapse and revival of the American community. </w:t>
      </w:r>
      <w:r w:rsidR="000E3167" w:rsidRPr="4E96D345">
        <w:rPr>
          <w:rFonts w:eastAsia="Times New Roman"/>
          <w:lang w:val="nl-NL"/>
        </w:rPr>
        <w:t xml:space="preserve">US: </w:t>
      </w:r>
      <w:r w:rsidRPr="4E96D345">
        <w:rPr>
          <w:rFonts w:eastAsia="Times New Roman"/>
          <w:lang w:val="nl-NL"/>
        </w:rPr>
        <w:t xml:space="preserve">Simon </w:t>
      </w:r>
      <w:r w:rsidR="003D3676" w:rsidRPr="4E96D345">
        <w:rPr>
          <w:rFonts w:eastAsia="Times New Roman"/>
          <w:lang w:val="nl-NL"/>
        </w:rPr>
        <w:t>and</w:t>
      </w:r>
      <w:r w:rsidRPr="4E96D345">
        <w:rPr>
          <w:rFonts w:eastAsia="Times New Roman"/>
          <w:lang w:val="nl-NL"/>
        </w:rPr>
        <w:t xml:space="preserve"> Schuster.</w:t>
      </w:r>
    </w:p>
    <w:p w14:paraId="3F7D0238" w14:textId="26773122" w:rsidR="00212EBE" w:rsidRPr="00B21176" w:rsidRDefault="7A4F5E5C" w:rsidP="4E96D345">
      <w:r w:rsidRPr="4E96D345">
        <w:rPr>
          <w:rFonts w:eastAsia="Times New Roman"/>
          <w:color w:val="222222"/>
          <w:lang w:val="nl-NL"/>
        </w:rPr>
        <w:t>Rathje, Steve, Jon Roozenbeek, Jay J. Van Bavel, and Sander Van Der Linden.</w:t>
      </w:r>
      <w:r w:rsidR="00212EBE" w:rsidRPr="4E96D345">
        <w:rPr>
          <w:rFonts w:eastAsia="Times New Roman"/>
          <w:lang w:val="nl-NL"/>
        </w:rPr>
        <w:t xml:space="preserve"> 2023</w:t>
      </w:r>
      <w:r w:rsidR="00DE4846" w:rsidRPr="4E96D345">
        <w:rPr>
          <w:rFonts w:eastAsia="Times New Roman"/>
          <w:lang w:val="nl-NL"/>
        </w:rPr>
        <w:t>.</w:t>
      </w:r>
      <w:r w:rsidR="00212EBE" w:rsidRPr="4E96D345">
        <w:rPr>
          <w:rFonts w:eastAsia="Times New Roman"/>
          <w:lang w:val="nl-NL"/>
        </w:rPr>
        <w:t xml:space="preserve"> </w:t>
      </w:r>
      <w:r w:rsidR="00DE4846" w:rsidRPr="4E96D345">
        <w:rPr>
          <w:rFonts w:eastAsia="Times New Roman"/>
        </w:rPr>
        <w:t>“</w:t>
      </w:r>
      <w:r w:rsidR="00212EBE" w:rsidRPr="4E96D345">
        <w:rPr>
          <w:rFonts w:eastAsia="Times New Roman"/>
        </w:rPr>
        <w:t>Accuracy and social motivations shape judgements of (mis) information.</w:t>
      </w:r>
      <w:r w:rsidR="00DE4846" w:rsidRPr="4E96D345">
        <w:rPr>
          <w:rFonts w:eastAsia="Times New Roman"/>
        </w:rPr>
        <w:t>”</w:t>
      </w:r>
      <w:r w:rsidR="00212EBE" w:rsidRPr="4E96D345">
        <w:rPr>
          <w:rFonts w:eastAsia="Times New Roman"/>
        </w:rPr>
        <w:t xml:space="preserve"> </w:t>
      </w:r>
      <w:r w:rsidR="00212EBE" w:rsidRPr="4E96D345">
        <w:rPr>
          <w:rFonts w:eastAsia="Times New Roman"/>
          <w:i/>
          <w:iCs/>
        </w:rPr>
        <w:t>Nat. Hum. Behav.</w:t>
      </w:r>
      <w:r w:rsidR="00212EBE" w:rsidRPr="4E96D345">
        <w:rPr>
          <w:rFonts w:eastAsia="Times New Roman"/>
        </w:rPr>
        <w:t xml:space="preserve"> 7</w:t>
      </w:r>
      <w:r w:rsidR="00DE4846" w:rsidRPr="4E96D345">
        <w:rPr>
          <w:rFonts w:eastAsia="Times New Roman"/>
        </w:rPr>
        <w:t>:</w:t>
      </w:r>
      <w:r w:rsidR="00212EBE" w:rsidRPr="4E96D345">
        <w:rPr>
          <w:rFonts w:eastAsia="Times New Roman"/>
        </w:rPr>
        <w:t xml:space="preserve"> 892–903.</w:t>
      </w:r>
    </w:p>
    <w:p w14:paraId="39CAF855" w14:textId="4866637E" w:rsidR="00212EBE" w:rsidRPr="00B21176" w:rsidRDefault="00212EBE" w:rsidP="4E96D345">
      <w:pPr>
        <w:pStyle w:val="References"/>
      </w:pPr>
      <w:r w:rsidRPr="4E96D345">
        <w:rPr>
          <w:rFonts w:eastAsia="Times New Roman"/>
        </w:rPr>
        <w:t>Ryan, B</w:t>
      </w:r>
      <w:r w:rsidR="561CFD33" w:rsidRPr="4E96D345">
        <w:rPr>
          <w:rFonts w:eastAsia="Times New Roman"/>
        </w:rPr>
        <w:t>ruce</w:t>
      </w:r>
      <w:r w:rsidRPr="4E96D345">
        <w:rPr>
          <w:rFonts w:eastAsia="Times New Roman"/>
        </w:rPr>
        <w:t xml:space="preserve">., </w:t>
      </w:r>
      <w:r w:rsidR="4ACB96A4" w:rsidRPr="4E96D345">
        <w:rPr>
          <w:rFonts w:eastAsia="Times New Roman"/>
        </w:rPr>
        <w:t xml:space="preserve">Peter </w:t>
      </w:r>
      <w:r w:rsidRPr="4E96D345">
        <w:rPr>
          <w:rFonts w:eastAsia="Times New Roman"/>
        </w:rPr>
        <w:t xml:space="preserve">Cruickshank </w:t>
      </w:r>
      <w:r w:rsidR="00DE4846" w:rsidRPr="4E96D345">
        <w:rPr>
          <w:rFonts w:eastAsia="Times New Roman"/>
        </w:rPr>
        <w:t>and</w:t>
      </w:r>
      <w:r w:rsidRPr="4E96D345">
        <w:rPr>
          <w:rFonts w:eastAsia="Times New Roman"/>
        </w:rPr>
        <w:t xml:space="preserve"> </w:t>
      </w:r>
      <w:r w:rsidR="02FECABF" w:rsidRPr="4E96D345">
        <w:rPr>
          <w:rFonts w:eastAsia="Times New Roman"/>
        </w:rPr>
        <w:t xml:space="preserve">Marina </w:t>
      </w:r>
      <w:r w:rsidRPr="4E96D345">
        <w:rPr>
          <w:rFonts w:eastAsia="Times New Roman"/>
        </w:rPr>
        <w:t xml:space="preserve">Milosheva. 2023. Information </w:t>
      </w:r>
      <w:r w:rsidR="00B21176" w:rsidRPr="4E96D345">
        <w:rPr>
          <w:rFonts w:eastAsia="Times New Roman"/>
        </w:rPr>
        <w:t>L</w:t>
      </w:r>
      <w:r w:rsidRPr="4E96D345">
        <w:rPr>
          <w:rFonts w:eastAsia="Times New Roman"/>
        </w:rPr>
        <w:t xml:space="preserve">iteracy and </w:t>
      </w:r>
      <w:r w:rsidR="00B21176" w:rsidRPr="4E96D345">
        <w:rPr>
          <w:rFonts w:eastAsia="Times New Roman"/>
        </w:rPr>
        <w:t>S</w:t>
      </w:r>
      <w:r w:rsidRPr="4E96D345">
        <w:rPr>
          <w:rFonts w:eastAsia="Times New Roman"/>
        </w:rPr>
        <w:t>ociety</w:t>
      </w:r>
      <w:r w:rsidR="00B21176" w:rsidRPr="4E96D345">
        <w:rPr>
          <w:rFonts w:eastAsia="Times New Roman"/>
        </w:rPr>
        <w:t>.</w:t>
      </w:r>
      <w:r w:rsidRPr="4E96D345">
        <w:rPr>
          <w:rFonts w:eastAsia="Times New Roman"/>
        </w:rPr>
        <w:t xml:space="preserve"> London,</w:t>
      </w:r>
      <w:r w:rsidR="00B21176" w:rsidRPr="4E96D345">
        <w:rPr>
          <w:rFonts w:eastAsia="Times New Roman"/>
        </w:rPr>
        <w:t xml:space="preserve"> United Kingdom:</w:t>
      </w:r>
      <w:r w:rsidRPr="4E96D345">
        <w:rPr>
          <w:rFonts w:eastAsia="Times New Roman"/>
        </w:rPr>
        <w:t xml:space="preserve"> MILA.</w:t>
      </w:r>
    </w:p>
    <w:p w14:paraId="3AA5B47D" w14:textId="69B46F8F" w:rsidR="00212EBE" w:rsidRPr="00B21176" w:rsidRDefault="0202EC84" w:rsidP="4E96D345">
      <w:pPr>
        <w:rPr>
          <w:color w:val="000000" w:themeColor="text1"/>
        </w:rPr>
      </w:pPr>
      <w:r w:rsidRPr="4E96D345">
        <w:rPr>
          <w:rFonts w:eastAsia="Times New Roman"/>
          <w:color w:val="222222"/>
        </w:rPr>
        <w:t xml:space="preserve">Schelling, Thomas C. </w:t>
      </w:r>
      <w:r w:rsidRPr="4E96D345">
        <w:rPr>
          <w:rFonts w:eastAsia="Times New Roman"/>
        </w:rPr>
        <w:t xml:space="preserve"> </w:t>
      </w:r>
      <w:r w:rsidR="00212EBE" w:rsidRPr="4E96D345">
        <w:rPr>
          <w:rFonts w:eastAsia="Times New Roman"/>
          <w:color w:val="000000" w:themeColor="text1"/>
        </w:rPr>
        <w:t xml:space="preserve"> 1971</w:t>
      </w:r>
      <w:r w:rsidR="00DE4846" w:rsidRPr="4E96D345">
        <w:rPr>
          <w:rFonts w:eastAsia="Times New Roman"/>
          <w:color w:val="000000" w:themeColor="text1"/>
        </w:rPr>
        <w:t>.</w:t>
      </w:r>
      <w:r w:rsidR="00212EBE" w:rsidRPr="4E96D345">
        <w:rPr>
          <w:rFonts w:eastAsia="Times New Roman"/>
          <w:color w:val="000000" w:themeColor="text1"/>
        </w:rPr>
        <w:t xml:space="preserve"> </w:t>
      </w:r>
      <w:r w:rsidR="00DE4846" w:rsidRPr="4E96D345">
        <w:rPr>
          <w:rFonts w:eastAsia="Times New Roman"/>
          <w:color w:val="000000" w:themeColor="text1"/>
        </w:rPr>
        <w:t>“</w:t>
      </w:r>
      <w:r w:rsidR="00212EBE" w:rsidRPr="4E96D345">
        <w:rPr>
          <w:rFonts w:eastAsia="Times New Roman"/>
          <w:color w:val="000000" w:themeColor="text1"/>
        </w:rPr>
        <w:t>Dynamic Models of Segregation</w:t>
      </w:r>
      <w:r w:rsidR="00DE4846" w:rsidRPr="4E96D345">
        <w:rPr>
          <w:rFonts w:eastAsia="Times New Roman"/>
          <w:color w:val="000000" w:themeColor="text1"/>
        </w:rPr>
        <w:t>.”</w:t>
      </w:r>
      <w:r w:rsidR="00212EBE" w:rsidRPr="4E96D345">
        <w:rPr>
          <w:rFonts w:eastAsia="Times New Roman"/>
          <w:color w:val="000000" w:themeColor="text1"/>
        </w:rPr>
        <w:t xml:space="preserve"> </w:t>
      </w:r>
      <w:r w:rsidR="00212EBE" w:rsidRPr="4E96D345">
        <w:rPr>
          <w:rFonts w:eastAsia="Times New Roman"/>
          <w:i/>
          <w:iCs/>
          <w:color w:val="000000" w:themeColor="text1"/>
        </w:rPr>
        <w:t>Journal of Mathematical Sciences</w:t>
      </w:r>
      <w:r w:rsidR="00DE4846" w:rsidRPr="4E96D345">
        <w:rPr>
          <w:rFonts w:eastAsia="Times New Roman"/>
          <w:color w:val="000000" w:themeColor="text1"/>
        </w:rPr>
        <w:t>.</w:t>
      </w:r>
      <w:r w:rsidR="00212EBE" w:rsidRPr="4E96D345">
        <w:rPr>
          <w:rFonts w:eastAsia="Times New Roman"/>
          <w:color w:val="000000" w:themeColor="text1"/>
        </w:rPr>
        <w:t xml:space="preserve"> 1</w:t>
      </w:r>
      <w:r w:rsidR="00DE4846" w:rsidRPr="4E96D345">
        <w:rPr>
          <w:rFonts w:eastAsia="Times New Roman"/>
          <w:color w:val="000000" w:themeColor="text1"/>
        </w:rPr>
        <w:t>:</w:t>
      </w:r>
      <w:r w:rsidR="00212EBE" w:rsidRPr="4E96D345">
        <w:rPr>
          <w:rFonts w:eastAsia="Times New Roman"/>
          <w:color w:val="000000" w:themeColor="text1"/>
        </w:rPr>
        <w:t xml:space="preserve"> 143-186. </w:t>
      </w:r>
      <w:hyperlink r:id="rId69">
        <w:r w:rsidR="00212EBE" w:rsidRPr="4E96D345">
          <w:rPr>
            <w:rStyle w:val="Hyperlink"/>
            <w:rFonts w:eastAsia="Times New Roman"/>
          </w:rPr>
          <w:t>https://doi.org/10.1080/0022250X.1971.9989794</w:t>
        </w:r>
      </w:hyperlink>
      <w:r w:rsidR="00212EBE" w:rsidRPr="4E96D345">
        <w:rPr>
          <w:rFonts w:eastAsia="Times New Roman"/>
          <w:color w:val="000000" w:themeColor="text1"/>
        </w:rPr>
        <w:t>.</w:t>
      </w:r>
    </w:p>
    <w:p w14:paraId="0209F090" w14:textId="24CBC7D9" w:rsidR="00212EBE" w:rsidRPr="00B21176" w:rsidRDefault="0673523D" w:rsidP="4E96D345">
      <w:r w:rsidRPr="4E96D345">
        <w:rPr>
          <w:rFonts w:eastAsia="Times New Roman"/>
          <w:color w:val="222222"/>
        </w:rPr>
        <w:t>Singer, Daniel J., Patrick Grim, Aaron Bramson, Bennett Holman, Jiin Jung, and William J. Berger.</w:t>
      </w:r>
      <w:r w:rsidR="00212EBE" w:rsidRPr="4E96D345">
        <w:rPr>
          <w:rFonts w:eastAsia="Times New Roman"/>
        </w:rPr>
        <w:t xml:space="preserve"> </w:t>
      </w:r>
      <w:r w:rsidR="00B21176" w:rsidRPr="4E96D345">
        <w:rPr>
          <w:rFonts w:eastAsia="Times New Roman"/>
        </w:rPr>
        <w:t xml:space="preserve">2021. </w:t>
      </w:r>
      <w:r w:rsidR="00212EBE" w:rsidRPr="4E96D345">
        <w:rPr>
          <w:rFonts w:eastAsia="Times New Roman"/>
        </w:rPr>
        <w:t xml:space="preserve">Epistemic networks and polarization. In </w:t>
      </w:r>
      <w:r w:rsidR="00212EBE" w:rsidRPr="4E96D345">
        <w:rPr>
          <w:rFonts w:eastAsia="Times New Roman"/>
          <w:i/>
          <w:iCs/>
        </w:rPr>
        <w:t xml:space="preserve">The Routledge </w:t>
      </w:r>
      <w:r w:rsidR="00212EBE" w:rsidRPr="4E96D345">
        <w:rPr>
          <w:rFonts w:eastAsia="Times New Roman"/>
          <w:i/>
          <w:iCs/>
        </w:rPr>
        <w:lastRenderedPageBreak/>
        <w:t>Handbook of Political Epistemology</w:t>
      </w:r>
      <w:r w:rsidR="00B21176" w:rsidRPr="4E96D345">
        <w:rPr>
          <w:rFonts w:eastAsia="Times New Roman"/>
        </w:rPr>
        <w:t>. Edited by</w:t>
      </w:r>
      <w:r w:rsidR="00212EBE" w:rsidRPr="4E96D345">
        <w:rPr>
          <w:rFonts w:eastAsia="Times New Roman"/>
        </w:rPr>
        <w:t xml:space="preserve"> </w:t>
      </w:r>
      <w:r w:rsidR="72F3F842" w:rsidRPr="4E96D345">
        <w:rPr>
          <w:rFonts w:eastAsia="Times New Roman"/>
        </w:rPr>
        <w:t xml:space="preserve">Michael </w:t>
      </w:r>
      <w:r w:rsidR="00212EBE" w:rsidRPr="4E96D345">
        <w:rPr>
          <w:rFonts w:eastAsia="Times New Roman"/>
        </w:rPr>
        <w:t>Hannon</w:t>
      </w:r>
      <w:r w:rsidR="00B21176" w:rsidRPr="4E96D345">
        <w:rPr>
          <w:rFonts w:eastAsia="Times New Roman"/>
        </w:rPr>
        <w:t xml:space="preserve"> and</w:t>
      </w:r>
      <w:r w:rsidR="00212EBE" w:rsidRPr="4E96D345">
        <w:rPr>
          <w:rFonts w:eastAsia="Times New Roman"/>
        </w:rPr>
        <w:t xml:space="preserve"> </w:t>
      </w:r>
      <w:r w:rsidR="3D184CA0" w:rsidRPr="4E96D345">
        <w:rPr>
          <w:rFonts w:eastAsia="Times New Roman"/>
        </w:rPr>
        <w:t xml:space="preserve">Jeroen </w:t>
      </w:r>
      <w:r w:rsidR="00212EBE" w:rsidRPr="4E96D345">
        <w:rPr>
          <w:rFonts w:eastAsia="Times New Roman"/>
        </w:rPr>
        <w:t>de Ridder. London, UK</w:t>
      </w:r>
      <w:r w:rsidR="00B21176" w:rsidRPr="4E96D345">
        <w:rPr>
          <w:rFonts w:eastAsia="Times New Roman"/>
        </w:rPr>
        <w:t>: Routledge</w:t>
      </w:r>
      <w:r w:rsidR="00B21176" w:rsidRPr="4E96D345">
        <w:rPr>
          <w:rFonts w:eastAsia="Times New Roman"/>
          <w:lang w:eastAsia="zh-CN"/>
        </w:rPr>
        <w:t>.</w:t>
      </w:r>
      <w:r w:rsidR="00212EBE" w:rsidRPr="4E96D345">
        <w:rPr>
          <w:rFonts w:eastAsia="Times New Roman"/>
        </w:rPr>
        <w:t xml:space="preserve"> 133–144.</w:t>
      </w:r>
    </w:p>
    <w:p w14:paraId="525E6CEC" w14:textId="13CCCF09" w:rsidR="00212EBE" w:rsidRPr="00B21176" w:rsidRDefault="1EB4C89F" w:rsidP="4E96D345">
      <w:pPr>
        <w:rPr>
          <w:rStyle w:val="cf21"/>
          <w:rFonts w:ascii="Times New Roman" w:hAnsi="Times New Roman" w:cs="Times New Roman"/>
          <w:sz w:val="24"/>
          <w:szCs w:val="24"/>
        </w:rPr>
      </w:pPr>
      <w:r w:rsidRPr="4E96D345">
        <w:rPr>
          <w:rFonts w:eastAsia="Times New Roman"/>
          <w:color w:val="222222"/>
        </w:rPr>
        <w:t>Spurk, Daniel, Andreas Hirschi, Mo Wang, Domingo Valero, and Simone Kauffeld.</w:t>
      </w:r>
      <w:r w:rsidR="00212EBE" w:rsidRPr="4E96D345">
        <w:rPr>
          <w:rStyle w:val="cf01"/>
          <w:rFonts w:ascii="Times New Roman" w:eastAsia="Times New Roman" w:hAnsi="Times New Roman" w:cs="Times New Roman"/>
          <w:sz w:val="24"/>
          <w:szCs w:val="24"/>
        </w:rPr>
        <w:t xml:space="preserve"> 2020. </w:t>
      </w:r>
      <w:r w:rsidR="00DE4846" w:rsidRPr="4E96D345">
        <w:rPr>
          <w:rStyle w:val="cf01"/>
          <w:rFonts w:ascii="Times New Roman" w:eastAsia="Times New Roman" w:hAnsi="Times New Roman" w:cs="Times New Roman"/>
          <w:sz w:val="24"/>
          <w:szCs w:val="24"/>
        </w:rPr>
        <w:t>“</w:t>
      </w:r>
      <w:r w:rsidR="00212EBE" w:rsidRPr="4E96D345">
        <w:rPr>
          <w:rStyle w:val="cf01"/>
          <w:rFonts w:ascii="Times New Roman" w:eastAsia="Times New Roman" w:hAnsi="Times New Roman" w:cs="Times New Roman"/>
          <w:sz w:val="24"/>
          <w:szCs w:val="24"/>
        </w:rPr>
        <w:t xml:space="preserve">Latent profile analysis: A review and “how to” guide of its application within vocational </w:t>
      </w:r>
      <w:r w:rsidR="00212EBE" w:rsidRPr="4E96D345">
        <w:rPr>
          <w:rStyle w:val="cf01"/>
          <w:rFonts w:ascii="Times New Roman" w:eastAsia="Times New Roman" w:hAnsi="Times New Roman" w:cs="Times New Roman"/>
          <w:color w:val="auto"/>
          <w:sz w:val="24"/>
          <w:szCs w:val="24"/>
        </w:rPr>
        <w:t>behavior research.</w:t>
      </w:r>
      <w:r w:rsidR="00DE4846" w:rsidRPr="4E96D345">
        <w:rPr>
          <w:rStyle w:val="cf01"/>
          <w:rFonts w:ascii="Times New Roman" w:eastAsia="Times New Roman" w:hAnsi="Times New Roman" w:cs="Times New Roman"/>
          <w:color w:val="auto"/>
          <w:sz w:val="24"/>
          <w:szCs w:val="24"/>
        </w:rPr>
        <w:t>”</w:t>
      </w:r>
      <w:r w:rsidR="00212EBE" w:rsidRPr="4E96D345">
        <w:rPr>
          <w:rStyle w:val="cf01"/>
          <w:rFonts w:ascii="Times New Roman" w:eastAsia="Times New Roman" w:hAnsi="Times New Roman" w:cs="Times New Roman"/>
          <w:color w:val="auto"/>
          <w:sz w:val="24"/>
          <w:szCs w:val="24"/>
        </w:rPr>
        <w:t> </w:t>
      </w:r>
      <w:r w:rsidR="00212EBE" w:rsidRPr="4E96D345">
        <w:rPr>
          <w:rStyle w:val="cf11"/>
          <w:rFonts w:ascii="Times New Roman" w:eastAsia="Times New Roman" w:hAnsi="Times New Roman" w:cs="Times New Roman"/>
          <w:color w:val="auto"/>
          <w:sz w:val="24"/>
          <w:szCs w:val="24"/>
        </w:rPr>
        <w:t>Journal of Vocational Behavior</w:t>
      </w:r>
      <w:r w:rsidR="00DE4846" w:rsidRPr="4E96D345">
        <w:rPr>
          <w:rStyle w:val="cf11"/>
          <w:rFonts w:ascii="Times New Roman" w:eastAsia="Times New Roman" w:hAnsi="Times New Roman" w:cs="Times New Roman"/>
          <w:color w:val="auto"/>
          <w:sz w:val="24"/>
          <w:szCs w:val="24"/>
        </w:rPr>
        <w:t>.</w:t>
      </w:r>
      <w:r w:rsidR="00212EBE" w:rsidRPr="4E96D345">
        <w:rPr>
          <w:rStyle w:val="cf01"/>
          <w:rFonts w:ascii="Times New Roman" w:eastAsia="Times New Roman" w:hAnsi="Times New Roman" w:cs="Times New Roman"/>
          <w:color w:val="auto"/>
          <w:sz w:val="24"/>
          <w:szCs w:val="24"/>
        </w:rPr>
        <w:t> </w:t>
      </w:r>
      <w:r w:rsidR="00212EBE" w:rsidRPr="4E96D345">
        <w:rPr>
          <w:rStyle w:val="cf11"/>
          <w:rFonts w:ascii="Times New Roman" w:eastAsia="Times New Roman" w:hAnsi="Times New Roman" w:cs="Times New Roman"/>
          <w:color w:val="auto"/>
          <w:sz w:val="24"/>
          <w:szCs w:val="24"/>
        </w:rPr>
        <w:t>120</w:t>
      </w:r>
      <w:r w:rsidR="00DE4846" w:rsidRPr="4E96D345">
        <w:rPr>
          <w:rStyle w:val="cf01"/>
          <w:rFonts w:ascii="Times New Roman" w:eastAsia="Times New Roman" w:hAnsi="Times New Roman" w:cs="Times New Roman"/>
          <w:color w:val="auto"/>
          <w:sz w:val="24"/>
          <w:szCs w:val="24"/>
        </w:rPr>
        <w:t>:</w:t>
      </w:r>
      <w:r w:rsidR="00212EBE" w:rsidRPr="4E96D345">
        <w:rPr>
          <w:rStyle w:val="cf01"/>
          <w:rFonts w:ascii="Times New Roman" w:eastAsia="Times New Roman" w:hAnsi="Times New Roman" w:cs="Times New Roman"/>
          <w:color w:val="auto"/>
          <w:sz w:val="24"/>
          <w:szCs w:val="24"/>
        </w:rPr>
        <w:t xml:space="preserve"> 103445.</w:t>
      </w:r>
      <w:r w:rsidR="00212EBE" w:rsidRPr="4E96D345">
        <w:rPr>
          <w:rStyle w:val="cf21"/>
          <w:rFonts w:ascii="Times New Roman" w:eastAsia="Times New Roman" w:hAnsi="Times New Roman" w:cs="Times New Roman"/>
          <w:sz w:val="24"/>
          <w:szCs w:val="24"/>
        </w:rPr>
        <w:t xml:space="preserve"> </w:t>
      </w:r>
    </w:p>
    <w:p w14:paraId="3CE3C6A9" w14:textId="28AABB26" w:rsidR="00B21176" w:rsidRPr="00B21176" w:rsidRDefault="00212EBE" w:rsidP="4E96D345">
      <w:pPr>
        <w:pStyle w:val="References"/>
        <w:rPr>
          <w:lang w:val="en-US"/>
        </w:rPr>
      </w:pPr>
      <w:r w:rsidRPr="35BE6E9C">
        <w:rPr>
          <w:rFonts w:eastAsia="Times New Roman"/>
          <w:lang w:val="en-US"/>
        </w:rPr>
        <w:t>Stone, A</w:t>
      </w:r>
      <w:r w:rsidR="532E73C7" w:rsidRPr="35BE6E9C">
        <w:rPr>
          <w:rFonts w:eastAsia="Times New Roman"/>
          <w:lang w:val="en-US"/>
        </w:rPr>
        <w:t>nna</w:t>
      </w:r>
      <w:r w:rsidRPr="35BE6E9C">
        <w:rPr>
          <w:rFonts w:eastAsia="Times New Roman"/>
          <w:lang w:val="en-US"/>
        </w:rPr>
        <w:t xml:space="preserve">. </w:t>
      </w:r>
      <w:r w:rsidR="001C2B71">
        <w:rPr>
          <w:rFonts w:eastAsia="Times New Roman"/>
          <w:lang w:val="en-US"/>
        </w:rPr>
        <w:t>In press</w:t>
      </w:r>
      <w:r w:rsidR="00B21176" w:rsidRPr="35BE6E9C">
        <w:rPr>
          <w:rFonts w:eastAsia="Times New Roman"/>
          <w:lang w:val="en-US"/>
        </w:rPr>
        <w:t>.</w:t>
      </w:r>
      <w:r w:rsidRPr="35BE6E9C">
        <w:rPr>
          <w:rFonts w:eastAsia="Times New Roman"/>
          <w:lang w:val="en-US"/>
        </w:rPr>
        <w:t xml:space="preserve"> </w:t>
      </w:r>
      <w:r w:rsidRPr="35BE6E9C">
        <w:rPr>
          <w:rFonts w:eastAsia="Times New Roman"/>
        </w:rPr>
        <w:t>Why are some ideas easy to believe on little evidence</w:t>
      </w:r>
      <w:r w:rsidR="00B21176" w:rsidRPr="35BE6E9C">
        <w:rPr>
          <w:rFonts w:eastAsia="Times New Roman"/>
          <w:color w:val="0070C0"/>
        </w:rPr>
        <w:t>.</w:t>
      </w:r>
      <w:r w:rsidR="00B21176" w:rsidRPr="35BE6E9C">
        <w:rPr>
          <w:rFonts w:eastAsia="Times New Roman"/>
        </w:rPr>
        <w:t xml:space="preserve"> In </w:t>
      </w:r>
      <w:r w:rsidR="00B21176" w:rsidRPr="35BE6E9C">
        <w:rPr>
          <w:rFonts w:eastAsia="Times New Roman"/>
          <w:i/>
          <w:iCs/>
        </w:rPr>
        <w:t xml:space="preserve">Demagogues, Populism </w:t>
      </w:r>
      <w:r w:rsidR="003D3676" w:rsidRPr="35BE6E9C">
        <w:rPr>
          <w:rFonts w:eastAsia="Times New Roman"/>
          <w:i/>
          <w:iCs/>
        </w:rPr>
        <w:t>and</w:t>
      </w:r>
      <w:r w:rsidR="00B21176" w:rsidRPr="35BE6E9C">
        <w:rPr>
          <w:rFonts w:eastAsia="Times New Roman"/>
          <w:i/>
          <w:iCs/>
        </w:rPr>
        <w:t xml:space="preserve"> Misinformation: A Guide To Combating Dark Ideas</w:t>
      </w:r>
      <w:r w:rsidR="00B21176" w:rsidRPr="35BE6E9C">
        <w:rPr>
          <w:rFonts w:eastAsia="Times New Roman"/>
        </w:rPr>
        <w:t xml:space="preserve">, edited by </w:t>
      </w:r>
      <w:r w:rsidR="5F9D67B2" w:rsidRPr="35BE6E9C">
        <w:rPr>
          <w:rFonts w:eastAsia="Times New Roman"/>
        </w:rPr>
        <w:t xml:space="preserve">Chris </w:t>
      </w:r>
      <w:r w:rsidR="5F9D67B2" w:rsidRPr="35BE6E9C">
        <w:rPr>
          <w:rFonts w:eastAsia="Times New Roman"/>
          <w:lang w:val="en-US"/>
        </w:rPr>
        <w:t>Brown, and Graham Handscomb.</w:t>
      </w:r>
      <w:r w:rsidR="00B21176" w:rsidRPr="35BE6E9C">
        <w:rPr>
          <w:rFonts w:eastAsia="Times New Roman"/>
          <w:lang w:val="en-US"/>
        </w:rPr>
        <w:t xml:space="preserve"> London, United Kingdom: Emerald.</w:t>
      </w:r>
    </w:p>
    <w:p w14:paraId="1C44D956" w14:textId="2C4DBA59" w:rsidR="00212EBE" w:rsidRPr="00B21176" w:rsidRDefault="29DED528" w:rsidP="4E96D345">
      <w:r w:rsidRPr="4E96D345">
        <w:rPr>
          <w:rFonts w:eastAsia="Times New Roman"/>
          <w:color w:val="222222"/>
        </w:rPr>
        <w:t xml:space="preserve">Sunstein, Cass R., and Adrian Vermeule. </w:t>
      </w:r>
      <w:r w:rsidR="00212EBE" w:rsidRPr="4E96D345">
        <w:rPr>
          <w:rFonts w:eastAsia="Times New Roman"/>
        </w:rPr>
        <w:t xml:space="preserve"> 2009</w:t>
      </w:r>
      <w:r w:rsidR="00DE4846" w:rsidRPr="4E96D345">
        <w:rPr>
          <w:rFonts w:eastAsia="Times New Roman"/>
        </w:rPr>
        <w:t>.</w:t>
      </w:r>
      <w:r w:rsidR="00212EBE" w:rsidRPr="4E96D345">
        <w:rPr>
          <w:rFonts w:eastAsia="Times New Roman"/>
        </w:rPr>
        <w:t xml:space="preserve"> </w:t>
      </w:r>
      <w:r w:rsidR="00DE4846" w:rsidRPr="4E96D345">
        <w:rPr>
          <w:rFonts w:eastAsia="Times New Roman"/>
        </w:rPr>
        <w:t>“</w:t>
      </w:r>
      <w:r w:rsidR="00212EBE" w:rsidRPr="4E96D345">
        <w:rPr>
          <w:rFonts w:eastAsia="Times New Roman"/>
        </w:rPr>
        <w:t>Conspiracy theories: Causes and cures.</w:t>
      </w:r>
      <w:r w:rsidR="00DE4846" w:rsidRPr="4E96D345">
        <w:rPr>
          <w:rFonts w:eastAsia="Times New Roman"/>
        </w:rPr>
        <w:t>”</w:t>
      </w:r>
      <w:r w:rsidR="00212EBE" w:rsidRPr="4E96D345">
        <w:rPr>
          <w:rFonts w:eastAsia="Times New Roman"/>
        </w:rPr>
        <w:t xml:space="preserve"> </w:t>
      </w:r>
      <w:r w:rsidR="00212EBE" w:rsidRPr="4E96D345">
        <w:rPr>
          <w:rFonts w:eastAsia="Times New Roman"/>
          <w:i/>
          <w:iCs/>
        </w:rPr>
        <w:t xml:space="preserve">J. </w:t>
      </w:r>
      <w:r w:rsidR="00212EBE" w:rsidRPr="4E96D345">
        <w:rPr>
          <w:i/>
          <w:iCs/>
        </w:rPr>
        <w:t>Political Philos</w:t>
      </w:r>
      <w:r w:rsidR="00DE4846" w:rsidRPr="4E96D345">
        <w:rPr>
          <w:i/>
          <w:iCs/>
        </w:rPr>
        <w:t>.</w:t>
      </w:r>
      <w:r w:rsidR="00212EBE" w:rsidRPr="4E96D345">
        <w:rPr>
          <w:i/>
          <w:iCs/>
        </w:rPr>
        <w:t xml:space="preserve"> </w:t>
      </w:r>
      <w:r w:rsidR="00212EBE">
        <w:t>17</w:t>
      </w:r>
      <w:r w:rsidR="00DE4846">
        <w:t>:</w:t>
      </w:r>
      <w:r w:rsidR="00212EBE">
        <w:t xml:space="preserve"> 202–227. </w:t>
      </w:r>
      <w:hyperlink r:id="rId70">
        <w:r w:rsidR="00212EBE" w:rsidRPr="4E96D345">
          <w:rPr>
            <w:rStyle w:val="Hyperlink"/>
          </w:rPr>
          <w:t>https://doi.org/10.1111/j.1467-9760.2008.00325.x.</w:t>
        </w:r>
      </w:hyperlink>
    </w:p>
    <w:p w14:paraId="18526D72" w14:textId="5329D641" w:rsidR="00212EBE" w:rsidRPr="00B21176" w:rsidRDefault="00212EBE" w:rsidP="35BE6E9C">
      <w:pPr>
        <w:pStyle w:val="References"/>
        <w:rPr>
          <w:color w:val="0070C0"/>
          <w:highlight w:val="yellow"/>
        </w:rPr>
      </w:pPr>
      <w:r>
        <w:t>T</w:t>
      </w:r>
      <w:r w:rsidRPr="35BE6E9C">
        <w:rPr>
          <w:highlight w:val="yellow"/>
        </w:rPr>
        <w:t xml:space="preserve">aylor, B., </w:t>
      </w:r>
      <w:r w:rsidR="49EF57BC" w:rsidRPr="35BE6E9C">
        <w:rPr>
          <w:highlight w:val="yellow"/>
        </w:rPr>
        <w:t xml:space="preserve">M. </w:t>
      </w:r>
      <w:r w:rsidRPr="35BE6E9C">
        <w:rPr>
          <w:highlight w:val="yellow"/>
        </w:rPr>
        <w:t xml:space="preserve">Mills, </w:t>
      </w:r>
      <w:r w:rsidR="4AD52B0E" w:rsidRPr="35BE6E9C">
        <w:rPr>
          <w:highlight w:val="yellow"/>
        </w:rPr>
        <w:t xml:space="preserve">A. </w:t>
      </w:r>
      <w:r w:rsidRPr="35BE6E9C">
        <w:rPr>
          <w:highlight w:val="yellow"/>
        </w:rPr>
        <w:t xml:space="preserve">Elwick, </w:t>
      </w:r>
      <w:r w:rsidR="3FC342C6" w:rsidRPr="35BE6E9C">
        <w:rPr>
          <w:highlight w:val="yellow"/>
        </w:rPr>
        <w:t>C.</w:t>
      </w:r>
      <w:r w:rsidRPr="35BE6E9C">
        <w:rPr>
          <w:highlight w:val="yellow"/>
        </w:rPr>
        <w:t xml:space="preserve"> Pillinger, </w:t>
      </w:r>
      <w:r w:rsidR="69FB62DA" w:rsidRPr="35BE6E9C">
        <w:rPr>
          <w:highlight w:val="yellow"/>
        </w:rPr>
        <w:t>G.</w:t>
      </w:r>
      <w:r w:rsidRPr="35BE6E9C">
        <w:rPr>
          <w:highlight w:val="yellow"/>
        </w:rPr>
        <w:t xml:space="preserve"> Gronland, </w:t>
      </w:r>
      <w:r w:rsidR="39375BA5" w:rsidRPr="35BE6E9C">
        <w:rPr>
          <w:highlight w:val="yellow"/>
        </w:rPr>
        <w:t xml:space="preserve">J. </w:t>
      </w:r>
      <w:r w:rsidRPr="35BE6E9C">
        <w:rPr>
          <w:highlight w:val="yellow"/>
        </w:rPr>
        <w:t xml:space="preserve">Hayward, </w:t>
      </w:r>
      <w:r w:rsidR="2C470449" w:rsidRPr="35BE6E9C">
        <w:rPr>
          <w:highlight w:val="yellow"/>
        </w:rPr>
        <w:t xml:space="preserve">I. </w:t>
      </w:r>
      <w:r w:rsidRPr="35BE6E9C">
        <w:rPr>
          <w:highlight w:val="yellow"/>
        </w:rPr>
        <w:t xml:space="preserve">Hextall, </w:t>
      </w:r>
      <w:r w:rsidR="000E3167" w:rsidRPr="35BE6E9C">
        <w:rPr>
          <w:highlight w:val="yellow"/>
        </w:rPr>
        <w:t>and</w:t>
      </w:r>
      <w:r w:rsidRPr="35BE6E9C">
        <w:rPr>
          <w:highlight w:val="yellow"/>
        </w:rPr>
        <w:t xml:space="preserve"> </w:t>
      </w:r>
      <w:r w:rsidR="5E6F09DB" w:rsidRPr="35BE6E9C">
        <w:rPr>
          <w:highlight w:val="yellow"/>
        </w:rPr>
        <w:t xml:space="preserve">F. </w:t>
      </w:r>
      <w:r w:rsidRPr="35BE6E9C">
        <w:rPr>
          <w:highlight w:val="yellow"/>
        </w:rPr>
        <w:t>Panjwani</w:t>
      </w:r>
      <w:r w:rsidR="3DB829A2" w:rsidRPr="35BE6E9C">
        <w:rPr>
          <w:highlight w:val="yellow"/>
        </w:rPr>
        <w:t>.</w:t>
      </w:r>
      <w:r w:rsidRPr="35BE6E9C">
        <w:rPr>
          <w:highlight w:val="yellow"/>
        </w:rPr>
        <w:t xml:space="preserve"> 2021. </w:t>
      </w:r>
      <w:r w:rsidRPr="35BE6E9C">
        <w:rPr>
          <w:i/>
          <w:iCs/>
          <w:highlight w:val="yellow"/>
        </w:rPr>
        <w:t>Addressing Extremism Through the Classroom.</w:t>
      </w:r>
      <w:r w:rsidRPr="35BE6E9C">
        <w:rPr>
          <w:highlight w:val="yellow"/>
        </w:rPr>
        <w:t xml:space="preserve"> Centre for Teachers </w:t>
      </w:r>
      <w:r w:rsidR="003D3676" w:rsidRPr="35BE6E9C">
        <w:rPr>
          <w:highlight w:val="yellow"/>
        </w:rPr>
        <w:t>and</w:t>
      </w:r>
      <w:r w:rsidRPr="35BE6E9C">
        <w:rPr>
          <w:highlight w:val="yellow"/>
        </w:rPr>
        <w:t xml:space="preserve"> Teaching Research, London: UCL Institute of Education. </w:t>
      </w:r>
      <w:hyperlink r:id="rId71">
        <w:r w:rsidRPr="35BE6E9C">
          <w:rPr>
            <w:rStyle w:val="Hyperlink"/>
            <w:highlight w:val="yellow"/>
          </w:rPr>
          <w:t>https://discovery.ucl.ac.uk/id/eprint/10133809/</w:t>
        </w:r>
      </w:hyperlink>
    </w:p>
    <w:p w14:paraId="2D3D608B" w14:textId="446C1A0C" w:rsidR="00212EBE" w:rsidRPr="00313FF0" w:rsidRDefault="00212EBE" w:rsidP="00212EBE">
      <w:pPr>
        <w:pStyle w:val="References"/>
        <w:rPr>
          <w:lang w:val="nl-NL"/>
        </w:rPr>
      </w:pPr>
      <w:r>
        <w:t xml:space="preserve">UNESCO. 2005. </w:t>
      </w:r>
      <w:r w:rsidRPr="4E96D345">
        <w:rPr>
          <w:i/>
          <w:iCs/>
        </w:rPr>
        <w:t>Towards knowledge societies</w:t>
      </w:r>
      <w:r>
        <w:t>.</w:t>
      </w:r>
      <w:r w:rsidR="000E3167">
        <w:t xml:space="preserve"> </w:t>
      </w:r>
      <w:hyperlink r:id="rId72">
        <w:r w:rsidRPr="4E96D345">
          <w:rPr>
            <w:rStyle w:val="Hyperlink"/>
            <w:color w:val="auto"/>
            <w:lang w:val="nl-NL"/>
          </w:rPr>
          <w:t>https://unesdoc.unesco.org/ark:/48223/pf0000141843</w:t>
        </w:r>
      </w:hyperlink>
    </w:p>
    <w:p w14:paraId="26AD7BD4" w14:textId="0A47B3E2" w:rsidR="00212EBE" w:rsidRPr="00B21176" w:rsidRDefault="46230515" w:rsidP="4E96D345">
      <w:pPr>
        <w:rPr>
          <w:color w:val="000000" w:themeColor="text1"/>
        </w:rPr>
      </w:pPr>
      <w:r w:rsidRPr="4E96D345">
        <w:rPr>
          <w:rFonts w:eastAsia="Times New Roman"/>
          <w:color w:val="222222"/>
          <w:lang w:val="nl-NL"/>
        </w:rPr>
        <w:t>Van Prooijen, Jan-Willem, Giuliana Spadaro, and Haiyan Wang.</w:t>
      </w:r>
      <w:r w:rsidRPr="4E96D345">
        <w:rPr>
          <w:rFonts w:eastAsia="Times New Roman"/>
          <w:lang w:val="nl-NL"/>
        </w:rPr>
        <w:t xml:space="preserve"> </w:t>
      </w:r>
      <w:r w:rsidR="00212EBE" w:rsidRPr="4E96D345">
        <w:rPr>
          <w:rFonts w:eastAsia="Times New Roman"/>
          <w:lang w:val="nl-NL"/>
        </w:rPr>
        <w:t> 2022. </w:t>
      </w:r>
      <w:r w:rsidR="00C73BCD" w:rsidRPr="4E96D345">
        <w:rPr>
          <w:rFonts w:eastAsia="Times New Roman"/>
        </w:rPr>
        <w:t>“</w:t>
      </w:r>
      <w:r w:rsidR="00212EBE" w:rsidRPr="4E96D345">
        <w:rPr>
          <w:rFonts w:eastAsia="Times New Roman"/>
        </w:rPr>
        <w:t>Suspicion of institutions: How distrust and conspiracy theories deteriorate social relationships.</w:t>
      </w:r>
      <w:r w:rsidR="00C73BCD" w:rsidRPr="4E96D345">
        <w:rPr>
          <w:rFonts w:eastAsia="Times New Roman"/>
        </w:rPr>
        <w:t>”</w:t>
      </w:r>
      <w:r w:rsidR="00212EBE" w:rsidRPr="4E96D345">
        <w:rPr>
          <w:rFonts w:eastAsia="Times New Roman"/>
        </w:rPr>
        <w:t> </w:t>
      </w:r>
      <w:r w:rsidR="00212EBE" w:rsidRPr="4E96D345">
        <w:rPr>
          <w:rFonts w:eastAsia="Times New Roman"/>
          <w:i/>
          <w:iCs/>
        </w:rPr>
        <w:t>Current Opinion in Psychology</w:t>
      </w:r>
      <w:r w:rsidR="00C73BCD" w:rsidRPr="4E96D345">
        <w:rPr>
          <w:rFonts w:eastAsia="Times New Roman"/>
          <w:i/>
          <w:iCs/>
        </w:rPr>
        <w:t>.</w:t>
      </w:r>
      <w:r w:rsidR="00212EBE" w:rsidRPr="4E96D345">
        <w:rPr>
          <w:rFonts w:eastAsia="Times New Roman"/>
        </w:rPr>
        <w:t> 43</w:t>
      </w:r>
      <w:r w:rsidR="00C73BCD" w:rsidRPr="4E96D345">
        <w:rPr>
          <w:rFonts w:eastAsia="Times New Roman"/>
        </w:rPr>
        <w:t>:</w:t>
      </w:r>
      <w:r w:rsidR="00212EBE" w:rsidRPr="4E96D345">
        <w:rPr>
          <w:rFonts w:eastAsia="Times New Roman"/>
        </w:rPr>
        <w:t xml:space="preserve"> 65</w:t>
      </w:r>
      <w:r w:rsidR="00C73BCD" w:rsidRPr="4E96D345">
        <w:rPr>
          <w:rFonts w:eastAsia="Times New Roman"/>
        </w:rPr>
        <w:t xml:space="preserve">- </w:t>
      </w:r>
      <w:r w:rsidR="00212EBE" w:rsidRPr="4E96D345">
        <w:rPr>
          <w:rFonts w:eastAsia="Times New Roman"/>
        </w:rPr>
        <w:t>69.</w:t>
      </w:r>
      <w:r w:rsidR="00C73BCD" w:rsidRPr="4E96D345">
        <w:rPr>
          <w:rFonts w:eastAsia="Times New Roman"/>
        </w:rPr>
        <w:t xml:space="preserve"> </w:t>
      </w:r>
      <w:r w:rsidR="00212EBE" w:rsidRPr="4E96D345">
        <w:rPr>
          <w:rFonts w:eastAsia="Times New Roman"/>
        </w:rPr>
        <w:t> </w:t>
      </w:r>
      <w:hyperlink r:id="rId73">
        <w:r w:rsidR="00212EBE" w:rsidRPr="4E96D345">
          <w:rPr>
            <w:rStyle w:val="Hyperlink"/>
            <w:rFonts w:eastAsia="Times New Roman"/>
          </w:rPr>
          <w:t>https://doi.org/10.1016/j.copsyc.2021.06.013</w:t>
        </w:r>
      </w:hyperlink>
    </w:p>
    <w:p w14:paraId="68744ADB" w14:textId="541AAD56" w:rsidR="00212EBE" w:rsidRPr="00B21176" w:rsidRDefault="472BD7C1" w:rsidP="4E96D345">
      <w:pPr>
        <w:rPr>
          <w:color w:val="000000" w:themeColor="text1"/>
        </w:rPr>
      </w:pPr>
      <w:r w:rsidRPr="4E96D345">
        <w:rPr>
          <w:rFonts w:eastAsia="Times New Roman"/>
          <w:color w:val="222222"/>
        </w:rPr>
        <w:t>Vosoughi, Soroush, Deb Roy, and Sinan Aral.</w:t>
      </w:r>
      <w:r w:rsidR="00212EBE" w:rsidRPr="4E96D345">
        <w:rPr>
          <w:rFonts w:eastAsia="Times New Roman"/>
          <w:color w:val="000000" w:themeColor="text1"/>
        </w:rPr>
        <w:t xml:space="preserve"> 2018. "The spread of true and false news online." </w:t>
      </w:r>
      <w:r w:rsidR="00212EBE" w:rsidRPr="4E96D345">
        <w:rPr>
          <w:rFonts w:eastAsia="Times New Roman"/>
          <w:i/>
          <w:iCs/>
          <w:color w:val="000000" w:themeColor="text1"/>
        </w:rPr>
        <w:t>Science</w:t>
      </w:r>
      <w:r w:rsidR="00212EBE" w:rsidRPr="4E96D345">
        <w:rPr>
          <w:rFonts w:eastAsia="Times New Roman"/>
          <w:color w:val="000000" w:themeColor="text1"/>
        </w:rPr>
        <w:t>, 359(6380)</w:t>
      </w:r>
      <w:r w:rsidR="00C73BCD" w:rsidRPr="4E96D345">
        <w:rPr>
          <w:rFonts w:eastAsia="Times New Roman"/>
          <w:color w:val="000000" w:themeColor="text1"/>
        </w:rPr>
        <w:t>:</w:t>
      </w:r>
      <w:r w:rsidR="00212EBE" w:rsidRPr="4E96D345">
        <w:rPr>
          <w:rFonts w:eastAsia="Times New Roman"/>
          <w:color w:val="000000" w:themeColor="text1"/>
        </w:rPr>
        <w:t xml:space="preserve"> 1146-1151.</w:t>
      </w:r>
    </w:p>
    <w:p w14:paraId="5068A167" w14:textId="0A6B750D" w:rsidR="00212EBE" w:rsidRPr="00B21176" w:rsidRDefault="215EE5C9" w:rsidP="4E96D345">
      <w:pPr>
        <w:rPr>
          <w:color w:val="000000" w:themeColor="text1"/>
        </w:rPr>
      </w:pPr>
      <w:r w:rsidRPr="4E96D345">
        <w:rPr>
          <w:rFonts w:eastAsia="Times New Roman"/>
          <w:color w:val="222222"/>
        </w:rPr>
        <w:t>Warner, Dorothy, and J. Drew Procaccino.</w:t>
      </w:r>
      <w:r w:rsidR="00212EBE" w:rsidRPr="4E96D345">
        <w:rPr>
          <w:rFonts w:eastAsia="Times New Roman"/>
        </w:rPr>
        <w:t xml:space="preserve"> 2007. </w:t>
      </w:r>
      <w:r w:rsidR="00C73BCD" w:rsidRPr="4E96D345">
        <w:rPr>
          <w:rFonts w:eastAsia="Times New Roman"/>
        </w:rPr>
        <w:t>“</w:t>
      </w:r>
      <w:r w:rsidR="00212EBE" w:rsidRPr="4E96D345">
        <w:rPr>
          <w:rFonts w:eastAsia="Times New Roman"/>
        </w:rPr>
        <w:t>Women seeking health information: distinguishing the web user.</w:t>
      </w:r>
      <w:r w:rsidR="00C73BCD" w:rsidRPr="4E96D345">
        <w:rPr>
          <w:rFonts w:eastAsia="Times New Roman"/>
        </w:rPr>
        <w:t>”</w:t>
      </w:r>
      <w:r w:rsidR="00212EBE" w:rsidRPr="4E96D345">
        <w:rPr>
          <w:rFonts w:eastAsia="Times New Roman"/>
        </w:rPr>
        <w:t xml:space="preserve"> </w:t>
      </w:r>
      <w:r w:rsidR="00212EBE" w:rsidRPr="4E96D345">
        <w:rPr>
          <w:rFonts w:eastAsia="Times New Roman"/>
          <w:i/>
          <w:iCs/>
        </w:rPr>
        <w:t>Journal of Health Communication</w:t>
      </w:r>
      <w:r w:rsidR="00212EBE" w:rsidRPr="4E96D345">
        <w:rPr>
          <w:rFonts w:eastAsia="Times New Roman"/>
        </w:rPr>
        <w:t>, 12(8)</w:t>
      </w:r>
      <w:r w:rsidR="00C73BCD" w:rsidRPr="4E96D345">
        <w:rPr>
          <w:rFonts w:eastAsia="Times New Roman"/>
        </w:rPr>
        <w:t>:</w:t>
      </w:r>
      <w:r w:rsidR="00212EBE" w:rsidRPr="4E96D345">
        <w:rPr>
          <w:rFonts w:eastAsia="Times New Roman"/>
        </w:rPr>
        <w:t xml:space="preserve"> 787-814. </w:t>
      </w:r>
    </w:p>
    <w:p w14:paraId="5904D132" w14:textId="443226CC" w:rsidR="00212EBE" w:rsidRPr="00B21176" w:rsidRDefault="4DEFAF14" w:rsidP="4E96D345">
      <w:pPr>
        <w:rPr>
          <w:color w:val="000000" w:themeColor="text1"/>
        </w:rPr>
      </w:pPr>
      <w:r w:rsidRPr="4E96D345">
        <w:rPr>
          <w:rFonts w:eastAsia="Times New Roman"/>
          <w:color w:val="222222"/>
        </w:rPr>
        <w:lastRenderedPageBreak/>
        <w:t>Woolcock, Michael.</w:t>
      </w:r>
      <w:r w:rsidR="00212EBE" w:rsidRPr="4E96D345">
        <w:rPr>
          <w:rFonts w:eastAsia="Times New Roman"/>
        </w:rPr>
        <w:t xml:space="preserve"> 2001. </w:t>
      </w:r>
      <w:r w:rsidR="00C73BCD" w:rsidRPr="4E96D345">
        <w:rPr>
          <w:rFonts w:eastAsia="Times New Roman"/>
        </w:rPr>
        <w:t>“</w:t>
      </w:r>
      <w:r w:rsidR="00212EBE" w:rsidRPr="4E96D345">
        <w:rPr>
          <w:rFonts w:eastAsia="Times New Roman"/>
        </w:rPr>
        <w:t>The place of social capital in understanding social and economic outcomes.</w:t>
      </w:r>
      <w:r w:rsidR="00C73BCD" w:rsidRPr="4E96D345">
        <w:rPr>
          <w:rFonts w:eastAsia="Times New Roman"/>
        </w:rPr>
        <w:t>”</w:t>
      </w:r>
      <w:r w:rsidR="00212EBE" w:rsidRPr="4E96D345">
        <w:rPr>
          <w:rFonts w:eastAsia="Times New Roman"/>
        </w:rPr>
        <w:t xml:space="preserve"> </w:t>
      </w:r>
      <w:r w:rsidR="00212EBE" w:rsidRPr="4E96D345">
        <w:rPr>
          <w:rFonts w:eastAsia="Times New Roman"/>
          <w:i/>
          <w:iCs/>
        </w:rPr>
        <w:t>Canadian Journal of Policy Research</w:t>
      </w:r>
      <w:r w:rsidR="00C73BCD" w:rsidRPr="4E96D345">
        <w:rPr>
          <w:rFonts w:eastAsia="Times New Roman"/>
        </w:rPr>
        <w:t>.</w:t>
      </w:r>
      <w:r w:rsidR="00212EBE" w:rsidRPr="4E96D345">
        <w:rPr>
          <w:rFonts w:eastAsia="Times New Roman"/>
        </w:rPr>
        <w:t xml:space="preserve"> 2(1)</w:t>
      </w:r>
      <w:r w:rsidR="00C73BCD" w:rsidRPr="4E96D345">
        <w:rPr>
          <w:rFonts w:eastAsia="Times New Roman"/>
        </w:rPr>
        <w:t>:</w:t>
      </w:r>
      <w:r w:rsidR="00212EBE" w:rsidRPr="4E96D345">
        <w:rPr>
          <w:rFonts w:eastAsia="Times New Roman"/>
        </w:rPr>
        <w:t xml:space="preserve"> 11–17.</w:t>
      </w:r>
    </w:p>
    <w:p w14:paraId="54509D74" w14:textId="77777777" w:rsidR="00340467" w:rsidRPr="00B21176" w:rsidRDefault="00340467" w:rsidP="00212EBE">
      <w:pPr>
        <w:pStyle w:val="References"/>
      </w:pPr>
    </w:p>
    <w:p w14:paraId="33B54129" w14:textId="77777777" w:rsidR="00340467" w:rsidRPr="00B21176" w:rsidRDefault="00340467" w:rsidP="00313FF0">
      <w:pPr>
        <w:pStyle w:val="References"/>
        <w:ind w:left="0" w:firstLine="0"/>
      </w:pPr>
    </w:p>
    <w:p w14:paraId="070EB12B" w14:textId="77777777" w:rsidR="00D94F9B" w:rsidRPr="00B21176" w:rsidRDefault="00D94F9B" w:rsidP="00D94C67"/>
    <w:p w14:paraId="49E27999" w14:textId="1DF46D58" w:rsidR="00FE4713" w:rsidRDefault="00FE4713" w:rsidP="0080308E">
      <w:pPr>
        <w:pStyle w:val="Figurecaption"/>
      </w:pPr>
    </w:p>
    <w:sectPr w:rsidR="00FE4713" w:rsidSect="00C003C6">
      <w:pgSz w:w="11901" w:h="16840" w:code="9"/>
      <w:pgMar w:top="1418" w:right="1701"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 Brown" w:date="2025-05-09T07:47:00Z" w:initials="CB">
    <w:p w14:paraId="4D242F00" w14:textId="77777777" w:rsidR="000164C2" w:rsidRDefault="000164C2" w:rsidP="000164C2">
      <w:r>
        <w:rPr>
          <w:rStyle w:val="CommentReference"/>
        </w:rPr>
        <w:annotationRef/>
      </w:r>
      <w:r>
        <w:rPr>
          <w:sz w:val="20"/>
          <w:szCs w:val="20"/>
        </w:rPr>
        <w:t>·       Jennings, W., Valgarðsson, V., LMcKay, L., Stoker, G., Mello, E. and Baniamin, M. (2023) Trust and vaccine hesitancy during the COVID-19 pandemic: A cross-national analysis, Vaccine: X, 14,100299. https://doi.org/10.1016/j.jvacx.2023.100299</w:t>
      </w:r>
    </w:p>
    <w:p w14:paraId="002BE008" w14:textId="77777777" w:rsidR="000164C2" w:rsidRDefault="000164C2" w:rsidP="000164C2">
      <w:r>
        <w:rPr>
          <w:sz w:val="20"/>
          <w:szCs w:val="20"/>
        </w:rPr>
        <w:t>·       Kenny, J., Jennings, W., Stoker, G. (undated working paper) How political context shapes conspiracy beliefs: A cross-national comparison of six countries</w:t>
      </w:r>
    </w:p>
    <w:p w14:paraId="62783595" w14:textId="77777777" w:rsidR="000164C2" w:rsidRDefault="000164C2" w:rsidP="000164C2"/>
  </w:comment>
  <w:comment w:id="4" w:author="Ruth Luzmore" w:date="2025-05-02T15:59:00Z" w:initials="RL">
    <w:p w14:paraId="6FE3262A" w14:textId="77777777" w:rsidR="00F60098" w:rsidRDefault="00000000" w:rsidP="00F60098">
      <w:r>
        <w:rPr>
          <w:rStyle w:val="CommentReference"/>
        </w:rPr>
        <w:annotationRef/>
      </w:r>
      <w:r w:rsidR="00F60098">
        <w:rPr>
          <w:sz w:val="20"/>
          <w:szCs w:val="20"/>
        </w:rPr>
        <w:t>References to tables are in this text - this will need to be edited once other tables/images are inserted and renamed</w:t>
      </w:r>
    </w:p>
  </w:comment>
  <w:comment w:id="5" w:author="Chris Brown" w:date="2025-05-09T18:14:00Z" w:initials="CB">
    <w:p w14:paraId="1E90796C" w14:textId="70D91B6E" w:rsidR="00747893" w:rsidRDefault="00747893" w:rsidP="00747893">
      <w:r>
        <w:rPr>
          <w:rStyle w:val="CommentReference"/>
        </w:rPr>
        <w:annotationRef/>
      </w:r>
      <w:r>
        <w:rPr>
          <w:color w:val="000000"/>
          <w:sz w:val="20"/>
          <w:szCs w:val="20"/>
        </w:rPr>
        <w:t>Can the order of the graph be reversed please: lowest to highest, profile 1 to profile 4</w:t>
      </w:r>
    </w:p>
  </w:comment>
  <w:comment w:id="6" w:author="Ruth Luzmore" w:date="2025-05-02T16:00:00Z" w:initials="RL">
    <w:p w14:paraId="2C22EA9B" w14:textId="4B08925D" w:rsidR="00537081" w:rsidRDefault="00000000">
      <w:pPr>
        <w:pStyle w:val="CommentText"/>
      </w:pPr>
      <w:r>
        <w:rPr>
          <w:rStyle w:val="CommentReference"/>
        </w:rPr>
        <w:annotationRef/>
      </w:r>
      <w:r w:rsidRPr="005CD818">
        <w:t>References to tables are in this text - this will need to be edited once other tables/images are inserted and renamed</w:t>
      </w:r>
    </w:p>
  </w:comment>
  <w:comment w:id="8" w:author="Chris Brown" w:date="2025-05-09T18:13:00Z" w:initials="CB">
    <w:p w14:paraId="28BD109E" w14:textId="77777777" w:rsidR="00747893" w:rsidRDefault="00747893" w:rsidP="00747893">
      <w:r>
        <w:rPr>
          <w:rStyle w:val="CommentReference"/>
        </w:rPr>
        <w:annotationRef/>
      </w:r>
      <w:r>
        <w:rPr>
          <w:color w:val="000000"/>
          <w:sz w:val="20"/>
          <w:szCs w:val="20"/>
        </w:rPr>
        <w:t xml:space="preserve">can both the order of the profiles and the ages be reversed please? From top to bottom, younger to oldest, profile 1 to profile 4. </w:t>
      </w:r>
    </w:p>
  </w:comment>
  <w:comment w:id="9" w:author="Chris Brown" w:date="2025-05-09T18:15:00Z" w:initials="CB">
    <w:p w14:paraId="07B6AD29" w14:textId="77777777" w:rsidR="00747893" w:rsidRDefault="00747893" w:rsidP="00747893">
      <w:r>
        <w:rPr>
          <w:rStyle w:val="CommentReference"/>
        </w:rPr>
        <w:annotationRef/>
      </w:r>
      <w:r>
        <w:rPr>
          <w:color w:val="000000"/>
          <w:sz w:val="20"/>
          <w:szCs w:val="20"/>
        </w:rPr>
        <w:t>please can all gender graphs be presented in a consistent way (the last was horizontal)</w:t>
      </w:r>
    </w:p>
  </w:comment>
  <w:comment w:id="10" w:author="Chris Brown" w:date="2025-05-09T18:15:00Z" w:initials="CB">
    <w:p w14:paraId="39CF40BD" w14:textId="77777777" w:rsidR="00747893" w:rsidRDefault="00747893" w:rsidP="00747893">
      <w:r>
        <w:rPr>
          <w:rStyle w:val="CommentReference"/>
        </w:rPr>
        <w:annotationRef/>
      </w:r>
      <w:r>
        <w:rPr>
          <w:sz w:val="20"/>
          <w:szCs w:val="20"/>
        </w:rPr>
        <w:t>as per my earlier chart comments - chart above and below</w:t>
      </w:r>
    </w:p>
  </w:comment>
  <w:comment w:id="11" w:author="Ruth Luzmore" w:date="2025-05-02T16:00:00Z" w:initials="RL">
    <w:p w14:paraId="3F5F1958" w14:textId="2ED88474" w:rsidR="00537081" w:rsidRDefault="00000000">
      <w:pPr>
        <w:pStyle w:val="CommentText"/>
      </w:pPr>
      <w:r>
        <w:rPr>
          <w:rStyle w:val="CommentReference"/>
        </w:rPr>
        <w:annotationRef/>
      </w:r>
      <w:r w:rsidRPr="73F16A87">
        <w:t>References to tables are in this text - this will need to be edited once other tables/images are inserted and renamed</w:t>
      </w:r>
    </w:p>
  </w:comment>
  <w:comment w:id="12" w:author="Chris Brown" w:date="2025-05-09T18:17:00Z" w:initials="CB">
    <w:p w14:paraId="5CF39D3B" w14:textId="77777777" w:rsidR="00747893" w:rsidRDefault="00747893" w:rsidP="00747893">
      <w:r>
        <w:rPr>
          <w:rStyle w:val="CommentReference"/>
        </w:rPr>
        <w:annotationRef/>
      </w:r>
      <w:r>
        <w:rPr>
          <w:sz w:val="20"/>
          <w:szCs w:val="20"/>
        </w:rPr>
        <w:t>as before - charts above and below</w:t>
      </w:r>
    </w:p>
  </w:comment>
  <w:comment w:id="13" w:author="Chris Brown" w:date="2025-05-09T18:19:00Z" w:initials="CB">
    <w:p w14:paraId="5B17FE9D" w14:textId="77777777" w:rsidR="00747893" w:rsidRDefault="00747893" w:rsidP="00747893">
      <w:r>
        <w:rPr>
          <w:rStyle w:val="CommentReference"/>
        </w:rPr>
        <w:annotationRef/>
      </w:r>
      <w:r>
        <w:rPr>
          <w:color w:val="000000"/>
          <w:sz w:val="20"/>
          <w:szCs w:val="20"/>
        </w:rPr>
        <w:t>for full time student, profile 1 should be 4% not 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783595" w15:done="0"/>
  <w15:commentEx w15:paraId="6FE3262A" w15:done="0"/>
  <w15:commentEx w15:paraId="1E90796C" w15:done="0"/>
  <w15:commentEx w15:paraId="2C22EA9B" w15:done="0"/>
  <w15:commentEx w15:paraId="28BD109E" w15:done="0"/>
  <w15:commentEx w15:paraId="07B6AD29" w15:done="0"/>
  <w15:commentEx w15:paraId="39CF40BD" w15:done="0"/>
  <w15:commentEx w15:paraId="3F5F1958" w15:done="0"/>
  <w15:commentEx w15:paraId="5CF39D3B" w15:done="0"/>
  <w15:commentEx w15:paraId="5B17FE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E6DC56" w16cex:dateUtc="2025-05-09T06:47:00Z"/>
  <w16cex:commentExtensible w16cex:durableId="24A79A86" w16cex:dateUtc="2025-05-02T14:59:00Z"/>
  <w16cex:commentExtensible w16cex:durableId="2A7B405A" w16cex:dateUtc="2025-05-09T17:14:00Z"/>
  <w16cex:commentExtensible w16cex:durableId="27A28318" w16cex:dateUtc="2025-05-02T15:00:00Z"/>
  <w16cex:commentExtensible w16cex:durableId="36B75B84" w16cex:dateUtc="2025-05-09T17:13:00Z"/>
  <w16cex:commentExtensible w16cex:durableId="00F5C90C" w16cex:dateUtc="2025-05-09T17:15:00Z"/>
  <w16cex:commentExtensible w16cex:durableId="5799BA9C" w16cex:dateUtc="2025-05-09T17:15:00Z"/>
  <w16cex:commentExtensible w16cex:durableId="0F5D369E" w16cex:dateUtc="2025-05-02T15:00:00Z"/>
  <w16cex:commentExtensible w16cex:durableId="0D4C015E" w16cex:dateUtc="2025-05-09T17:17:00Z"/>
  <w16cex:commentExtensible w16cex:durableId="032A02AC" w16cex:dateUtc="2025-05-09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783595" w16cid:durableId="20E6DC56"/>
  <w16cid:commentId w16cid:paraId="6FE3262A" w16cid:durableId="24A79A86"/>
  <w16cid:commentId w16cid:paraId="1E90796C" w16cid:durableId="2A7B405A"/>
  <w16cid:commentId w16cid:paraId="2C22EA9B" w16cid:durableId="27A28318"/>
  <w16cid:commentId w16cid:paraId="28BD109E" w16cid:durableId="36B75B84"/>
  <w16cid:commentId w16cid:paraId="07B6AD29" w16cid:durableId="00F5C90C"/>
  <w16cid:commentId w16cid:paraId="39CF40BD" w16cid:durableId="5799BA9C"/>
  <w16cid:commentId w16cid:paraId="3F5F1958" w16cid:durableId="0F5D369E"/>
  <w16cid:commentId w16cid:paraId="5CF39D3B" w16cid:durableId="0D4C015E"/>
  <w16cid:commentId w16cid:paraId="5B17FE9D" w16cid:durableId="032A02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34B74" w14:textId="77777777" w:rsidR="00303445" w:rsidRDefault="00303445" w:rsidP="00AF2C92">
      <w:r>
        <w:separator/>
      </w:r>
    </w:p>
  </w:endnote>
  <w:endnote w:type="continuationSeparator" w:id="0">
    <w:p w14:paraId="5D20FEEE" w14:textId="77777777" w:rsidR="00303445" w:rsidRDefault="00303445"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604020202020204"/>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4224" w14:textId="77777777" w:rsidR="002211DD" w:rsidRDefault="0022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A36E" w14:textId="77777777" w:rsidR="002211DD" w:rsidRDefault="00221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1424" w14:textId="77777777" w:rsidR="002211DD" w:rsidRDefault="0022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17B32" w14:textId="77777777" w:rsidR="00303445" w:rsidRDefault="00303445" w:rsidP="00AF2C92">
      <w:r>
        <w:separator/>
      </w:r>
    </w:p>
  </w:footnote>
  <w:footnote w:type="continuationSeparator" w:id="0">
    <w:p w14:paraId="210DECDA" w14:textId="77777777" w:rsidR="00303445" w:rsidRDefault="00303445"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0847" w14:textId="77777777" w:rsidR="002211DD" w:rsidRDefault="00221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8E7E" w14:textId="77777777" w:rsidR="002211DD" w:rsidRDefault="00221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AE9F" w14:textId="77777777" w:rsidR="002211DD" w:rsidRDefault="00221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01148"/>
    <w:multiLevelType w:val="hybridMultilevel"/>
    <w:tmpl w:val="4622D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1B6AB2"/>
    <w:multiLevelType w:val="hybridMultilevel"/>
    <w:tmpl w:val="DBC0E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C43189"/>
    <w:multiLevelType w:val="hybridMultilevel"/>
    <w:tmpl w:val="11623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723232"/>
    <w:multiLevelType w:val="hybridMultilevel"/>
    <w:tmpl w:val="ABB25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AC62A5"/>
    <w:multiLevelType w:val="hybridMultilevel"/>
    <w:tmpl w:val="32A2E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964740"/>
    <w:multiLevelType w:val="hybridMultilevel"/>
    <w:tmpl w:val="6B180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4540133">
    <w:abstractNumId w:val="4"/>
  </w:num>
  <w:num w:numId="2" w16cid:durableId="871383870">
    <w:abstractNumId w:val="6"/>
  </w:num>
  <w:num w:numId="3" w16cid:durableId="1406680199">
    <w:abstractNumId w:val="5"/>
  </w:num>
  <w:num w:numId="4" w16cid:durableId="1689791915">
    <w:abstractNumId w:val="3"/>
  </w:num>
  <w:num w:numId="5" w16cid:durableId="338242319">
    <w:abstractNumId w:val="0"/>
  </w:num>
  <w:num w:numId="6" w16cid:durableId="1216545921">
    <w:abstractNumId w:val="7"/>
  </w:num>
  <w:num w:numId="7" w16cid:durableId="164630909">
    <w:abstractNumId w:val="1"/>
  </w:num>
  <w:num w:numId="8" w16cid:durableId="672075557">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Brown">
    <w15:presenceInfo w15:providerId="Windows Live" w15:userId="903101844c5ac847"/>
  </w15:person>
  <w15:person w15:author="Ruth Luzmore">
    <w15:presenceInfo w15:providerId="AD" w15:userId="S::real1r24@soton.ac.uk::15eafd84-5a41-4275-b3c6-34cf10ff88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6F"/>
    <w:rsid w:val="00001899"/>
    <w:rsid w:val="00001AFC"/>
    <w:rsid w:val="000049AD"/>
    <w:rsid w:val="0000681B"/>
    <w:rsid w:val="000133C0"/>
    <w:rsid w:val="00014C4E"/>
    <w:rsid w:val="000164C2"/>
    <w:rsid w:val="00017107"/>
    <w:rsid w:val="000202E2"/>
    <w:rsid w:val="00022441"/>
    <w:rsid w:val="0002261E"/>
    <w:rsid w:val="00024839"/>
    <w:rsid w:val="00026871"/>
    <w:rsid w:val="00037A98"/>
    <w:rsid w:val="000427FB"/>
    <w:rsid w:val="0004455E"/>
    <w:rsid w:val="00047CB5"/>
    <w:rsid w:val="00051FAA"/>
    <w:rsid w:val="000572A9"/>
    <w:rsid w:val="00061325"/>
    <w:rsid w:val="00063DB0"/>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7BA"/>
    <w:rsid w:val="000A6D40"/>
    <w:rsid w:val="000A7BC3"/>
    <w:rsid w:val="000B1661"/>
    <w:rsid w:val="000B1F0B"/>
    <w:rsid w:val="000B2E88"/>
    <w:rsid w:val="000B4603"/>
    <w:rsid w:val="000C09BE"/>
    <w:rsid w:val="000C1380"/>
    <w:rsid w:val="000C554F"/>
    <w:rsid w:val="000C59C3"/>
    <w:rsid w:val="000D0DC5"/>
    <w:rsid w:val="000D15FF"/>
    <w:rsid w:val="000D28DF"/>
    <w:rsid w:val="000D488B"/>
    <w:rsid w:val="000D68DF"/>
    <w:rsid w:val="000E138D"/>
    <w:rsid w:val="000E187A"/>
    <w:rsid w:val="000E2D61"/>
    <w:rsid w:val="000E3167"/>
    <w:rsid w:val="000E450E"/>
    <w:rsid w:val="000E6259"/>
    <w:rsid w:val="000F4677"/>
    <w:rsid w:val="000F5BE0"/>
    <w:rsid w:val="00100587"/>
    <w:rsid w:val="0010284E"/>
    <w:rsid w:val="00103122"/>
    <w:rsid w:val="0010336A"/>
    <w:rsid w:val="001050F1"/>
    <w:rsid w:val="00105AEA"/>
    <w:rsid w:val="00106DAF"/>
    <w:rsid w:val="00110BE6"/>
    <w:rsid w:val="00114ABE"/>
    <w:rsid w:val="00116023"/>
    <w:rsid w:val="00123E98"/>
    <w:rsid w:val="00127910"/>
    <w:rsid w:val="0013340D"/>
    <w:rsid w:val="00134A51"/>
    <w:rsid w:val="00140727"/>
    <w:rsid w:val="00143140"/>
    <w:rsid w:val="00160628"/>
    <w:rsid w:val="00161344"/>
    <w:rsid w:val="00162195"/>
    <w:rsid w:val="0016322A"/>
    <w:rsid w:val="00165A21"/>
    <w:rsid w:val="001705CE"/>
    <w:rsid w:val="0017714B"/>
    <w:rsid w:val="001804DF"/>
    <w:rsid w:val="00181BDC"/>
    <w:rsid w:val="00181DB0"/>
    <w:rsid w:val="001829E3"/>
    <w:rsid w:val="00185B44"/>
    <w:rsid w:val="001924C0"/>
    <w:rsid w:val="001934F8"/>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249"/>
    <w:rsid w:val="001C1BA3"/>
    <w:rsid w:val="001C1DEC"/>
    <w:rsid w:val="001C2B71"/>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2EBE"/>
    <w:rsid w:val="0021620C"/>
    <w:rsid w:val="00216E78"/>
    <w:rsid w:val="00217275"/>
    <w:rsid w:val="002211DD"/>
    <w:rsid w:val="00236F4B"/>
    <w:rsid w:val="00242B0D"/>
    <w:rsid w:val="002467C6"/>
    <w:rsid w:val="0024692A"/>
    <w:rsid w:val="00250A2C"/>
    <w:rsid w:val="00252BBA"/>
    <w:rsid w:val="00253123"/>
    <w:rsid w:val="00264001"/>
    <w:rsid w:val="00266354"/>
    <w:rsid w:val="00267A18"/>
    <w:rsid w:val="00271D6A"/>
    <w:rsid w:val="00273462"/>
    <w:rsid w:val="0027395B"/>
    <w:rsid w:val="00275854"/>
    <w:rsid w:val="00283B41"/>
    <w:rsid w:val="00285F28"/>
    <w:rsid w:val="00286398"/>
    <w:rsid w:val="002A3C42"/>
    <w:rsid w:val="002A5D75"/>
    <w:rsid w:val="002B1B13"/>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03445"/>
    <w:rsid w:val="00310E13"/>
    <w:rsid w:val="00313FF0"/>
    <w:rsid w:val="00315713"/>
    <w:rsid w:val="0031686C"/>
    <w:rsid w:val="00316FE0"/>
    <w:rsid w:val="003204D2"/>
    <w:rsid w:val="0032288F"/>
    <w:rsid w:val="00322927"/>
    <w:rsid w:val="0032605E"/>
    <w:rsid w:val="003275D1"/>
    <w:rsid w:val="00330B2A"/>
    <w:rsid w:val="00331E17"/>
    <w:rsid w:val="00333063"/>
    <w:rsid w:val="00340467"/>
    <w:rsid w:val="003408E3"/>
    <w:rsid w:val="00343480"/>
    <w:rsid w:val="00345E89"/>
    <w:rsid w:val="003522A1"/>
    <w:rsid w:val="0035254B"/>
    <w:rsid w:val="00353555"/>
    <w:rsid w:val="0035409B"/>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32EB"/>
    <w:rsid w:val="0039507F"/>
    <w:rsid w:val="0039587D"/>
    <w:rsid w:val="003A1260"/>
    <w:rsid w:val="003A295F"/>
    <w:rsid w:val="003A41DD"/>
    <w:rsid w:val="003A7033"/>
    <w:rsid w:val="003B47FE"/>
    <w:rsid w:val="003B5673"/>
    <w:rsid w:val="003B6287"/>
    <w:rsid w:val="003B62C9"/>
    <w:rsid w:val="003C7176"/>
    <w:rsid w:val="003D0929"/>
    <w:rsid w:val="003D3676"/>
    <w:rsid w:val="003D4729"/>
    <w:rsid w:val="003D7DD6"/>
    <w:rsid w:val="003E5AAF"/>
    <w:rsid w:val="003E600D"/>
    <w:rsid w:val="003E64DF"/>
    <w:rsid w:val="003E6A5D"/>
    <w:rsid w:val="003F193A"/>
    <w:rsid w:val="003F21D2"/>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2F48"/>
    <w:rsid w:val="004930C6"/>
    <w:rsid w:val="00493347"/>
    <w:rsid w:val="00496092"/>
    <w:rsid w:val="004A08DB"/>
    <w:rsid w:val="004A25D0"/>
    <w:rsid w:val="004A28DF"/>
    <w:rsid w:val="004A37E8"/>
    <w:rsid w:val="004A7549"/>
    <w:rsid w:val="004B09D4"/>
    <w:rsid w:val="004B309D"/>
    <w:rsid w:val="004B330A"/>
    <w:rsid w:val="004B50C0"/>
    <w:rsid w:val="004B7C8E"/>
    <w:rsid w:val="004C3D3C"/>
    <w:rsid w:val="004D0EDC"/>
    <w:rsid w:val="004D1220"/>
    <w:rsid w:val="004D14B3"/>
    <w:rsid w:val="004D1529"/>
    <w:rsid w:val="004D2253"/>
    <w:rsid w:val="004D3E13"/>
    <w:rsid w:val="004D5514"/>
    <w:rsid w:val="004D56C3"/>
    <w:rsid w:val="004E0338"/>
    <w:rsid w:val="004E1B6D"/>
    <w:rsid w:val="004E1D75"/>
    <w:rsid w:val="004E4FF3"/>
    <w:rsid w:val="004E56A8"/>
    <w:rsid w:val="004E6F25"/>
    <w:rsid w:val="004F3B55"/>
    <w:rsid w:val="004F428E"/>
    <w:rsid w:val="004F4E46"/>
    <w:rsid w:val="004F6B7D"/>
    <w:rsid w:val="005015F6"/>
    <w:rsid w:val="005030C4"/>
    <w:rsid w:val="005031C5"/>
    <w:rsid w:val="00504FDC"/>
    <w:rsid w:val="005120CC"/>
    <w:rsid w:val="00512B7B"/>
    <w:rsid w:val="00512FF5"/>
    <w:rsid w:val="00514EA1"/>
    <w:rsid w:val="0051798B"/>
    <w:rsid w:val="00521F5A"/>
    <w:rsid w:val="00525E06"/>
    <w:rsid w:val="00526454"/>
    <w:rsid w:val="00531823"/>
    <w:rsid w:val="005332C0"/>
    <w:rsid w:val="00534ECC"/>
    <w:rsid w:val="00537081"/>
    <w:rsid w:val="0053720D"/>
    <w:rsid w:val="00537F2F"/>
    <w:rsid w:val="00540EF5"/>
    <w:rsid w:val="00541BF3"/>
    <w:rsid w:val="00541CD3"/>
    <w:rsid w:val="00545E3F"/>
    <w:rsid w:val="005476FA"/>
    <w:rsid w:val="0055595E"/>
    <w:rsid w:val="00557988"/>
    <w:rsid w:val="00561670"/>
    <w:rsid w:val="00562C49"/>
    <w:rsid w:val="00562DEF"/>
    <w:rsid w:val="0056321A"/>
    <w:rsid w:val="0056321E"/>
    <w:rsid w:val="00563A35"/>
    <w:rsid w:val="00563E34"/>
    <w:rsid w:val="00566596"/>
    <w:rsid w:val="005741E9"/>
    <w:rsid w:val="005748CF"/>
    <w:rsid w:val="00584270"/>
    <w:rsid w:val="00584738"/>
    <w:rsid w:val="00591C29"/>
    <w:rsid w:val="005920B0"/>
    <w:rsid w:val="00593199"/>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369B"/>
    <w:rsid w:val="005D3E8F"/>
    <w:rsid w:val="005D4A38"/>
    <w:rsid w:val="005E2EEA"/>
    <w:rsid w:val="005E3708"/>
    <w:rsid w:val="005E3CCD"/>
    <w:rsid w:val="005E3D6B"/>
    <w:rsid w:val="005E5B55"/>
    <w:rsid w:val="005E5E4A"/>
    <w:rsid w:val="005E693D"/>
    <w:rsid w:val="005E75BF"/>
    <w:rsid w:val="005E77F5"/>
    <w:rsid w:val="005F57BA"/>
    <w:rsid w:val="005F61E6"/>
    <w:rsid w:val="005F6C45"/>
    <w:rsid w:val="00605A69"/>
    <w:rsid w:val="00606C54"/>
    <w:rsid w:val="00607C13"/>
    <w:rsid w:val="00614375"/>
    <w:rsid w:val="00615B0A"/>
    <w:rsid w:val="006168CF"/>
    <w:rsid w:val="0062011B"/>
    <w:rsid w:val="00620A79"/>
    <w:rsid w:val="006266FF"/>
    <w:rsid w:val="00626872"/>
    <w:rsid w:val="00626DE0"/>
    <w:rsid w:val="00630901"/>
    <w:rsid w:val="00631F8E"/>
    <w:rsid w:val="00632D2E"/>
    <w:rsid w:val="006332B2"/>
    <w:rsid w:val="00636EE9"/>
    <w:rsid w:val="00640950"/>
    <w:rsid w:val="00641AE7"/>
    <w:rsid w:val="00642629"/>
    <w:rsid w:val="00645AE2"/>
    <w:rsid w:val="0064782B"/>
    <w:rsid w:val="0065293D"/>
    <w:rsid w:val="00653EFC"/>
    <w:rsid w:val="00654021"/>
    <w:rsid w:val="0065492A"/>
    <w:rsid w:val="006609CF"/>
    <w:rsid w:val="00661045"/>
    <w:rsid w:val="00666DA8"/>
    <w:rsid w:val="00667A8B"/>
    <w:rsid w:val="00671057"/>
    <w:rsid w:val="00675AAF"/>
    <w:rsid w:val="0068031A"/>
    <w:rsid w:val="00681258"/>
    <w:rsid w:val="00681B2F"/>
    <w:rsid w:val="0068335F"/>
    <w:rsid w:val="00687217"/>
    <w:rsid w:val="006878ED"/>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1CC"/>
    <w:rsid w:val="006D5C66"/>
    <w:rsid w:val="006D7002"/>
    <w:rsid w:val="006D7437"/>
    <w:rsid w:val="006E1B3C"/>
    <w:rsid w:val="006E23FB"/>
    <w:rsid w:val="006E2B58"/>
    <w:rsid w:val="006E325A"/>
    <w:rsid w:val="006E33EC"/>
    <w:rsid w:val="006E36AD"/>
    <w:rsid w:val="006E3802"/>
    <w:rsid w:val="006E6C02"/>
    <w:rsid w:val="006F231A"/>
    <w:rsid w:val="006F6B55"/>
    <w:rsid w:val="006F788D"/>
    <w:rsid w:val="006F78E1"/>
    <w:rsid w:val="00701072"/>
    <w:rsid w:val="00702054"/>
    <w:rsid w:val="00702BE2"/>
    <w:rsid w:val="007035A4"/>
    <w:rsid w:val="00704CC3"/>
    <w:rsid w:val="00711799"/>
    <w:rsid w:val="00712B78"/>
    <w:rsid w:val="0071393B"/>
    <w:rsid w:val="00713EE2"/>
    <w:rsid w:val="007177FC"/>
    <w:rsid w:val="00720C5E"/>
    <w:rsid w:val="00721701"/>
    <w:rsid w:val="0072789D"/>
    <w:rsid w:val="00731835"/>
    <w:rsid w:val="00732D1C"/>
    <w:rsid w:val="007341F8"/>
    <w:rsid w:val="00734372"/>
    <w:rsid w:val="00734EB8"/>
    <w:rsid w:val="00735F8B"/>
    <w:rsid w:val="0074090B"/>
    <w:rsid w:val="00742D1F"/>
    <w:rsid w:val="00743EBA"/>
    <w:rsid w:val="00744C8E"/>
    <w:rsid w:val="0074707E"/>
    <w:rsid w:val="00747893"/>
    <w:rsid w:val="007516DC"/>
    <w:rsid w:val="00752E58"/>
    <w:rsid w:val="00754B80"/>
    <w:rsid w:val="00761918"/>
    <w:rsid w:val="00762F03"/>
    <w:rsid w:val="0076413B"/>
    <w:rsid w:val="007648AE"/>
    <w:rsid w:val="00764BF8"/>
    <w:rsid w:val="0076514D"/>
    <w:rsid w:val="00773D59"/>
    <w:rsid w:val="00774272"/>
    <w:rsid w:val="0077438F"/>
    <w:rsid w:val="00781003"/>
    <w:rsid w:val="007911FD"/>
    <w:rsid w:val="00793930"/>
    <w:rsid w:val="00793DD1"/>
    <w:rsid w:val="00794FEC"/>
    <w:rsid w:val="007A003E"/>
    <w:rsid w:val="007A0094"/>
    <w:rsid w:val="007A1965"/>
    <w:rsid w:val="007A2D19"/>
    <w:rsid w:val="007A2ED1"/>
    <w:rsid w:val="007A4BE6"/>
    <w:rsid w:val="007B0DC6"/>
    <w:rsid w:val="007B1094"/>
    <w:rsid w:val="007B1762"/>
    <w:rsid w:val="007B3320"/>
    <w:rsid w:val="007C301F"/>
    <w:rsid w:val="007C4540"/>
    <w:rsid w:val="007C65AF"/>
    <w:rsid w:val="007D135D"/>
    <w:rsid w:val="007D6CB2"/>
    <w:rsid w:val="007D730F"/>
    <w:rsid w:val="007D7CD8"/>
    <w:rsid w:val="007E3AA7"/>
    <w:rsid w:val="007E7E8E"/>
    <w:rsid w:val="007F22E6"/>
    <w:rsid w:val="007F737D"/>
    <w:rsid w:val="0080308E"/>
    <w:rsid w:val="0080492B"/>
    <w:rsid w:val="00805303"/>
    <w:rsid w:val="00806705"/>
    <w:rsid w:val="00806738"/>
    <w:rsid w:val="008203BC"/>
    <w:rsid w:val="008216D5"/>
    <w:rsid w:val="008249CE"/>
    <w:rsid w:val="008305DE"/>
    <w:rsid w:val="00831A50"/>
    <w:rsid w:val="00831B3C"/>
    <w:rsid w:val="00831C89"/>
    <w:rsid w:val="00832114"/>
    <w:rsid w:val="00834C46"/>
    <w:rsid w:val="0084093E"/>
    <w:rsid w:val="00841CE1"/>
    <w:rsid w:val="008473D8"/>
    <w:rsid w:val="00847B73"/>
    <w:rsid w:val="008528DC"/>
    <w:rsid w:val="00852B8C"/>
    <w:rsid w:val="00853D3D"/>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26E9"/>
    <w:rsid w:val="008A322D"/>
    <w:rsid w:val="008A4D72"/>
    <w:rsid w:val="008A6285"/>
    <w:rsid w:val="008A63B2"/>
    <w:rsid w:val="008A76DE"/>
    <w:rsid w:val="008B073E"/>
    <w:rsid w:val="008B345D"/>
    <w:rsid w:val="008C1302"/>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2264"/>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76D4"/>
    <w:rsid w:val="00990A63"/>
    <w:rsid w:val="009914A5"/>
    <w:rsid w:val="0099548E"/>
    <w:rsid w:val="00996456"/>
    <w:rsid w:val="00996A12"/>
    <w:rsid w:val="00997B0F"/>
    <w:rsid w:val="009A0CC3"/>
    <w:rsid w:val="009A1CAD"/>
    <w:rsid w:val="009A3440"/>
    <w:rsid w:val="009A5832"/>
    <w:rsid w:val="009A6838"/>
    <w:rsid w:val="009B24B5"/>
    <w:rsid w:val="009B4EBC"/>
    <w:rsid w:val="009B5ABB"/>
    <w:rsid w:val="009B6231"/>
    <w:rsid w:val="009B73CE"/>
    <w:rsid w:val="009C2461"/>
    <w:rsid w:val="009C32F9"/>
    <w:rsid w:val="009C5A15"/>
    <w:rsid w:val="009C6FE2"/>
    <w:rsid w:val="009C7674"/>
    <w:rsid w:val="009D004A"/>
    <w:rsid w:val="009D5880"/>
    <w:rsid w:val="009E1FD4"/>
    <w:rsid w:val="009E3B07"/>
    <w:rsid w:val="009E51D1"/>
    <w:rsid w:val="009E5531"/>
    <w:rsid w:val="009F171E"/>
    <w:rsid w:val="009F266C"/>
    <w:rsid w:val="009F3D2F"/>
    <w:rsid w:val="009F6F6F"/>
    <w:rsid w:val="009F7052"/>
    <w:rsid w:val="00A02668"/>
    <w:rsid w:val="00A02801"/>
    <w:rsid w:val="00A06A39"/>
    <w:rsid w:val="00A07F58"/>
    <w:rsid w:val="00A131CB"/>
    <w:rsid w:val="00A14847"/>
    <w:rsid w:val="00A16D6D"/>
    <w:rsid w:val="00A21383"/>
    <w:rsid w:val="00A2199F"/>
    <w:rsid w:val="00A21B31"/>
    <w:rsid w:val="00A2360E"/>
    <w:rsid w:val="00A26D9B"/>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81FF2"/>
    <w:rsid w:val="00A830B5"/>
    <w:rsid w:val="00A83904"/>
    <w:rsid w:val="00A90A79"/>
    <w:rsid w:val="00A96B30"/>
    <w:rsid w:val="00A96FCC"/>
    <w:rsid w:val="00AA442D"/>
    <w:rsid w:val="00AA59B5"/>
    <w:rsid w:val="00AA7777"/>
    <w:rsid w:val="00AA7B84"/>
    <w:rsid w:val="00AB700D"/>
    <w:rsid w:val="00AC0B4C"/>
    <w:rsid w:val="00AC1164"/>
    <w:rsid w:val="00AC2296"/>
    <w:rsid w:val="00AC2754"/>
    <w:rsid w:val="00AC416E"/>
    <w:rsid w:val="00AC48B0"/>
    <w:rsid w:val="00AC4ACD"/>
    <w:rsid w:val="00AC5DFB"/>
    <w:rsid w:val="00AD13DC"/>
    <w:rsid w:val="00AD6DE2"/>
    <w:rsid w:val="00AE0A40"/>
    <w:rsid w:val="00AE1ED4"/>
    <w:rsid w:val="00AE21E1"/>
    <w:rsid w:val="00AE2F8D"/>
    <w:rsid w:val="00AE3BAE"/>
    <w:rsid w:val="00AE5B6F"/>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1176"/>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63F1"/>
    <w:rsid w:val="00BA020A"/>
    <w:rsid w:val="00BA31E7"/>
    <w:rsid w:val="00BA49C3"/>
    <w:rsid w:val="00BB025A"/>
    <w:rsid w:val="00BB02A4"/>
    <w:rsid w:val="00BB1270"/>
    <w:rsid w:val="00BB1E44"/>
    <w:rsid w:val="00BB5267"/>
    <w:rsid w:val="00BB52B8"/>
    <w:rsid w:val="00BB59D8"/>
    <w:rsid w:val="00BB7E69"/>
    <w:rsid w:val="00BC0E51"/>
    <w:rsid w:val="00BC3C1F"/>
    <w:rsid w:val="00BC7CE7"/>
    <w:rsid w:val="00BD295E"/>
    <w:rsid w:val="00BD4664"/>
    <w:rsid w:val="00BD5B75"/>
    <w:rsid w:val="00BE1193"/>
    <w:rsid w:val="00BE538E"/>
    <w:rsid w:val="00BF4849"/>
    <w:rsid w:val="00BF4EA7"/>
    <w:rsid w:val="00BF6525"/>
    <w:rsid w:val="00C003C6"/>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27BAF"/>
    <w:rsid w:val="00C30A2A"/>
    <w:rsid w:val="00C33993"/>
    <w:rsid w:val="00C37170"/>
    <w:rsid w:val="00C4069E"/>
    <w:rsid w:val="00C41ADC"/>
    <w:rsid w:val="00C44149"/>
    <w:rsid w:val="00C44410"/>
    <w:rsid w:val="00C44A15"/>
    <w:rsid w:val="00C4630A"/>
    <w:rsid w:val="00C523F0"/>
    <w:rsid w:val="00C526D2"/>
    <w:rsid w:val="00C53A91"/>
    <w:rsid w:val="00C5794E"/>
    <w:rsid w:val="00C60968"/>
    <w:rsid w:val="00C60FE9"/>
    <w:rsid w:val="00C63D39"/>
    <w:rsid w:val="00C63EDD"/>
    <w:rsid w:val="00C65B36"/>
    <w:rsid w:val="00C7292E"/>
    <w:rsid w:val="00C73BCD"/>
    <w:rsid w:val="00C74E88"/>
    <w:rsid w:val="00C80924"/>
    <w:rsid w:val="00C8286B"/>
    <w:rsid w:val="00C84665"/>
    <w:rsid w:val="00C947F8"/>
    <w:rsid w:val="00C9515F"/>
    <w:rsid w:val="00C963C5"/>
    <w:rsid w:val="00CA030C"/>
    <w:rsid w:val="00CA1CA9"/>
    <w:rsid w:val="00CA1F41"/>
    <w:rsid w:val="00CA32EE"/>
    <w:rsid w:val="00CA39F3"/>
    <w:rsid w:val="00CA5771"/>
    <w:rsid w:val="00CA5DE2"/>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C87"/>
    <w:rsid w:val="00D10CB8"/>
    <w:rsid w:val="00D12806"/>
    <w:rsid w:val="00D12D44"/>
    <w:rsid w:val="00D13632"/>
    <w:rsid w:val="00D15018"/>
    <w:rsid w:val="00D158AC"/>
    <w:rsid w:val="00D1694C"/>
    <w:rsid w:val="00D20F5E"/>
    <w:rsid w:val="00D23B76"/>
    <w:rsid w:val="00D24B4A"/>
    <w:rsid w:val="00D25B18"/>
    <w:rsid w:val="00D338F4"/>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77CED"/>
    <w:rsid w:val="00D80284"/>
    <w:rsid w:val="00D81F71"/>
    <w:rsid w:val="00D8642D"/>
    <w:rsid w:val="00D90A5E"/>
    <w:rsid w:val="00D90DCC"/>
    <w:rsid w:val="00D91A68"/>
    <w:rsid w:val="00D94C67"/>
    <w:rsid w:val="00D94F9B"/>
    <w:rsid w:val="00D95A68"/>
    <w:rsid w:val="00DA17C7"/>
    <w:rsid w:val="00DA51E0"/>
    <w:rsid w:val="00DA69D2"/>
    <w:rsid w:val="00DA6A9A"/>
    <w:rsid w:val="00DB1EFD"/>
    <w:rsid w:val="00DB3EAF"/>
    <w:rsid w:val="00DB46C6"/>
    <w:rsid w:val="00DC3203"/>
    <w:rsid w:val="00DC3C99"/>
    <w:rsid w:val="00DC52F5"/>
    <w:rsid w:val="00DC5FD0"/>
    <w:rsid w:val="00DC6430"/>
    <w:rsid w:val="00DD0354"/>
    <w:rsid w:val="00DD27D7"/>
    <w:rsid w:val="00DD458C"/>
    <w:rsid w:val="00DD72E9"/>
    <w:rsid w:val="00DD7605"/>
    <w:rsid w:val="00DE1717"/>
    <w:rsid w:val="00DE2020"/>
    <w:rsid w:val="00DE3476"/>
    <w:rsid w:val="00DE4846"/>
    <w:rsid w:val="00DE7BEA"/>
    <w:rsid w:val="00DF5B84"/>
    <w:rsid w:val="00DF6D5B"/>
    <w:rsid w:val="00DF771B"/>
    <w:rsid w:val="00DF7EE2"/>
    <w:rsid w:val="00E01BAA"/>
    <w:rsid w:val="00E0282A"/>
    <w:rsid w:val="00E02F9B"/>
    <w:rsid w:val="00E04B4E"/>
    <w:rsid w:val="00E07E14"/>
    <w:rsid w:val="00E14F94"/>
    <w:rsid w:val="00E15890"/>
    <w:rsid w:val="00E17336"/>
    <w:rsid w:val="00E17D15"/>
    <w:rsid w:val="00E22B95"/>
    <w:rsid w:val="00E30331"/>
    <w:rsid w:val="00E30BB8"/>
    <w:rsid w:val="00E31F9C"/>
    <w:rsid w:val="00E33C1D"/>
    <w:rsid w:val="00E36A2D"/>
    <w:rsid w:val="00E40488"/>
    <w:rsid w:val="00E50367"/>
    <w:rsid w:val="00E51ABA"/>
    <w:rsid w:val="00E524CB"/>
    <w:rsid w:val="00E5B6D7"/>
    <w:rsid w:val="00E65456"/>
    <w:rsid w:val="00E65A91"/>
    <w:rsid w:val="00E66188"/>
    <w:rsid w:val="00E664FB"/>
    <w:rsid w:val="00E672F0"/>
    <w:rsid w:val="00E70373"/>
    <w:rsid w:val="00E72E40"/>
    <w:rsid w:val="00E73665"/>
    <w:rsid w:val="00E73999"/>
    <w:rsid w:val="00E73BDC"/>
    <w:rsid w:val="00E73E9E"/>
    <w:rsid w:val="00E75EF9"/>
    <w:rsid w:val="00E800FF"/>
    <w:rsid w:val="00E81660"/>
    <w:rsid w:val="00E854FE"/>
    <w:rsid w:val="00E906CC"/>
    <w:rsid w:val="00E939A0"/>
    <w:rsid w:val="00E949CA"/>
    <w:rsid w:val="00E97E4E"/>
    <w:rsid w:val="00EA1CC2"/>
    <w:rsid w:val="00EA2D76"/>
    <w:rsid w:val="00EA4644"/>
    <w:rsid w:val="00EA723C"/>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43D6"/>
    <w:rsid w:val="00ED5E0B"/>
    <w:rsid w:val="00EE019A"/>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1BC"/>
    <w:rsid w:val="00F35285"/>
    <w:rsid w:val="00F43B9D"/>
    <w:rsid w:val="00F44D5E"/>
    <w:rsid w:val="00F53A35"/>
    <w:rsid w:val="00F55A3D"/>
    <w:rsid w:val="00F5744B"/>
    <w:rsid w:val="00F60098"/>
    <w:rsid w:val="00F61209"/>
    <w:rsid w:val="00F6259E"/>
    <w:rsid w:val="00F65DD4"/>
    <w:rsid w:val="00F672B2"/>
    <w:rsid w:val="00F83973"/>
    <w:rsid w:val="00F87FA3"/>
    <w:rsid w:val="00F93D8C"/>
    <w:rsid w:val="00FA3102"/>
    <w:rsid w:val="00FA3AD8"/>
    <w:rsid w:val="00FA48D4"/>
    <w:rsid w:val="00FA49CE"/>
    <w:rsid w:val="00FA54FA"/>
    <w:rsid w:val="00FA6D39"/>
    <w:rsid w:val="00FB227E"/>
    <w:rsid w:val="00FB37A5"/>
    <w:rsid w:val="00FB3D61"/>
    <w:rsid w:val="00FB44CE"/>
    <w:rsid w:val="00FB4F3D"/>
    <w:rsid w:val="00FB5009"/>
    <w:rsid w:val="00FB76AB"/>
    <w:rsid w:val="00FD03FE"/>
    <w:rsid w:val="00FD126E"/>
    <w:rsid w:val="00FD3C36"/>
    <w:rsid w:val="00FD489C"/>
    <w:rsid w:val="00FD4D81"/>
    <w:rsid w:val="00FD73C2"/>
    <w:rsid w:val="00FD7498"/>
    <w:rsid w:val="00FD7FB3"/>
    <w:rsid w:val="00FE4713"/>
    <w:rsid w:val="00FF1F44"/>
    <w:rsid w:val="00FF225E"/>
    <w:rsid w:val="00FF672C"/>
    <w:rsid w:val="00FF6CE8"/>
    <w:rsid w:val="013F3CA8"/>
    <w:rsid w:val="014BE1A6"/>
    <w:rsid w:val="017393A8"/>
    <w:rsid w:val="0202EC84"/>
    <w:rsid w:val="021CB559"/>
    <w:rsid w:val="02BA5FC8"/>
    <w:rsid w:val="02F91887"/>
    <w:rsid w:val="02FECABF"/>
    <w:rsid w:val="0358C4C9"/>
    <w:rsid w:val="03E60DF4"/>
    <w:rsid w:val="04782CFE"/>
    <w:rsid w:val="04B3CD36"/>
    <w:rsid w:val="04D2C669"/>
    <w:rsid w:val="04F16A94"/>
    <w:rsid w:val="04F290EC"/>
    <w:rsid w:val="05089A43"/>
    <w:rsid w:val="061CCC1D"/>
    <w:rsid w:val="0667C7A2"/>
    <w:rsid w:val="0673523D"/>
    <w:rsid w:val="0677CC46"/>
    <w:rsid w:val="06A8D686"/>
    <w:rsid w:val="074D89CC"/>
    <w:rsid w:val="07B2B47E"/>
    <w:rsid w:val="07C70400"/>
    <w:rsid w:val="07EA0057"/>
    <w:rsid w:val="086A465B"/>
    <w:rsid w:val="093993FE"/>
    <w:rsid w:val="09C71C62"/>
    <w:rsid w:val="0A14C67F"/>
    <w:rsid w:val="0A18FECE"/>
    <w:rsid w:val="0A86EE77"/>
    <w:rsid w:val="0AB9AEF4"/>
    <w:rsid w:val="0B217076"/>
    <w:rsid w:val="0BF2A0DF"/>
    <w:rsid w:val="0CD6353B"/>
    <w:rsid w:val="0D078FF5"/>
    <w:rsid w:val="0D1C9BD6"/>
    <w:rsid w:val="0D4684BF"/>
    <w:rsid w:val="0DC1701B"/>
    <w:rsid w:val="0DFC2A19"/>
    <w:rsid w:val="0E25773D"/>
    <w:rsid w:val="0E419257"/>
    <w:rsid w:val="0EAB6050"/>
    <w:rsid w:val="0EF3A177"/>
    <w:rsid w:val="0F48E9BB"/>
    <w:rsid w:val="0F7C150D"/>
    <w:rsid w:val="10488870"/>
    <w:rsid w:val="10913568"/>
    <w:rsid w:val="1249FAE1"/>
    <w:rsid w:val="124A23C6"/>
    <w:rsid w:val="124D4897"/>
    <w:rsid w:val="135123FB"/>
    <w:rsid w:val="13DFAD85"/>
    <w:rsid w:val="13F22F22"/>
    <w:rsid w:val="140DD316"/>
    <w:rsid w:val="142B1D0E"/>
    <w:rsid w:val="142C9708"/>
    <w:rsid w:val="147E9211"/>
    <w:rsid w:val="14D27640"/>
    <w:rsid w:val="156AC4D0"/>
    <w:rsid w:val="15D32829"/>
    <w:rsid w:val="1645AF0C"/>
    <w:rsid w:val="1657FD33"/>
    <w:rsid w:val="170C2A87"/>
    <w:rsid w:val="173A089B"/>
    <w:rsid w:val="174248C3"/>
    <w:rsid w:val="17874FD5"/>
    <w:rsid w:val="17A9B99D"/>
    <w:rsid w:val="1822569A"/>
    <w:rsid w:val="183C81B0"/>
    <w:rsid w:val="199DD259"/>
    <w:rsid w:val="19A1BFD0"/>
    <w:rsid w:val="1A4C4EEC"/>
    <w:rsid w:val="1AEB0EFD"/>
    <w:rsid w:val="1B4A12D3"/>
    <w:rsid w:val="1B4C7CD3"/>
    <w:rsid w:val="1BA7B94D"/>
    <w:rsid w:val="1BEDA1BD"/>
    <w:rsid w:val="1C051C16"/>
    <w:rsid w:val="1CEA91D6"/>
    <w:rsid w:val="1CF45903"/>
    <w:rsid w:val="1EB4C89F"/>
    <w:rsid w:val="1F6FA39A"/>
    <w:rsid w:val="1F7A3996"/>
    <w:rsid w:val="1F96141D"/>
    <w:rsid w:val="1FD7DB48"/>
    <w:rsid w:val="202C9D73"/>
    <w:rsid w:val="2094DA8B"/>
    <w:rsid w:val="20C07A87"/>
    <w:rsid w:val="20C42087"/>
    <w:rsid w:val="215EE5C9"/>
    <w:rsid w:val="220ACDAF"/>
    <w:rsid w:val="22D9DA71"/>
    <w:rsid w:val="23CB988A"/>
    <w:rsid w:val="24CCFCB4"/>
    <w:rsid w:val="25152CBA"/>
    <w:rsid w:val="25E000E5"/>
    <w:rsid w:val="262AFCB8"/>
    <w:rsid w:val="26CCA3AB"/>
    <w:rsid w:val="26D588F3"/>
    <w:rsid w:val="26F70CBA"/>
    <w:rsid w:val="27C657AB"/>
    <w:rsid w:val="290D6CB5"/>
    <w:rsid w:val="294C41A3"/>
    <w:rsid w:val="297DE9AC"/>
    <w:rsid w:val="29DED528"/>
    <w:rsid w:val="2A4C5B3D"/>
    <w:rsid w:val="2A95CB74"/>
    <w:rsid w:val="2B2C0F2C"/>
    <w:rsid w:val="2BA2A601"/>
    <w:rsid w:val="2C470449"/>
    <w:rsid w:val="2C5E6068"/>
    <w:rsid w:val="2CED7B4C"/>
    <w:rsid w:val="2DEB770E"/>
    <w:rsid w:val="2E7D10E4"/>
    <w:rsid w:val="2EB9640E"/>
    <w:rsid w:val="2EC477B9"/>
    <w:rsid w:val="2F9EE435"/>
    <w:rsid w:val="2FE79E5F"/>
    <w:rsid w:val="305DAD75"/>
    <w:rsid w:val="30AD452C"/>
    <w:rsid w:val="312FB515"/>
    <w:rsid w:val="31414462"/>
    <w:rsid w:val="316B4997"/>
    <w:rsid w:val="31C7F722"/>
    <w:rsid w:val="31DB9BF4"/>
    <w:rsid w:val="330BF565"/>
    <w:rsid w:val="34C50AA3"/>
    <w:rsid w:val="35BE6E9C"/>
    <w:rsid w:val="3698A1D0"/>
    <w:rsid w:val="37B02989"/>
    <w:rsid w:val="37F70FA6"/>
    <w:rsid w:val="384FD173"/>
    <w:rsid w:val="387A8774"/>
    <w:rsid w:val="38ABA5C9"/>
    <w:rsid w:val="38E73439"/>
    <w:rsid w:val="3921E304"/>
    <w:rsid w:val="39375BA5"/>
    <w:rsid w:val="395A1A59"/>
    <w:rsid w:val="3982BF33"/>
    <w:rsid w:val="39BD488F"/>
    <w:rsid w:val="39F1B428"/>
    <w:rsid w:val="3A10B846"/>
    <w:rsid w:val="3A663A0B"/>
    <w:rsid w:val="3BE39740"/>
    <w:rsid w:val="3C030D1C"/>
    <w:rsid w:val="3CB412D9"/>
    <w:rsid w:val="3D184CA0"/>
    <w:rsid w:val="3D211016"/>
    <w:rsid w:val="3D45394F"/>
    <w:rsid w:val="3DB829A2"/>
    <w:rsid w:val="3E5CA64B"/>
    <w:rsid w:val="3F43B902"/>
    <w:rsid w:val="3F68A82B"/>
    <w:rsid w:val="3FC342C6"/>
    <w:rsid w:val="40C7C5D8"/>
    <w:rsid w:val="4176FB1F"/>
    <w:rsid w:val="4204A05D"/>
    <w:rsid w:val="4236BECD"/>
    <w:rsid w:val="42C977E6"/>
    <w:rsid w:val="431C3802"/>
    <w:rsid w:val="4333A04F"/>
    <w:rsid w:val="434FC215"/>
    <w:rsid w:val="43D9E428"/>
    <w:rsid w:val="4403F208"/>
    <w:rsid w:val="446B7708"/>
    <w:rsid w:val="4487C993"/>
    <w:rsid w:val="44C87FFC"/>
    <w:rsid w:val="455DDE61"/>
    <w:rsid w:val="45DD2B1F"/>
    <w:rsid w:val="45EA7CAA"/>
    <w:rsid w:val="46117A95"/>
    <w:rsid w:val="4619BC67"/>
    <w:rsid w:val="46230515"/>
    <w:rsid w:val="46814BF7"/>
    <w:rsid w:val="472BD7C1"/>
    <w:rsid w:val="486E3213"/>
    <w:rsid w:val="49EF57BC"/>
    <w:rsid w:val="4ACB96A4"/>
    <w:rsid w:val="4AD52B0E"/>
    <w:rsid w:val="4B24E7B6"/>
    <w:rsid w:val="4CCA8552"/>
    <w:rsid w:val="4D385E00"/>
    <w:rsid w:val="4D7B5D7B"/>
    <w:rsid w:val="4D89A460"/>
    <w:rsid w:val="4DEFAF14"/>
    <w:rsid w:val="4E96D345"/>
    <w:rsid w:val="4E97C136"/>
    <w:rsid w:val="4F708204"/>
    <w:rsid w:val="508D1F14"/>
    <w:rsid w:val="50ADA89D"/>
    <w:rsid w:val="5116E34F"/>
    <w:rsid w:val="5143DE5D"/>
    <w:rsid w:val="520B51AC"/>
    <w:rsid w:val="52AFB6FB"/>
    <w:rsid w:val="532E73C7"/>
    <w:rsid w:val="53DD75EA"/>
    <w:rsid w:val="546AB1F0"/>
    <w:rsid w:val="54B374A6"/>
    <w:rsid w:val="55132080"/>
    <w:rsid w:val="55670209"/>
    <w:rsid w:val="55AE2129"/>
    <w:rsid w:val="561CFD33"/>
    <w:rsid w:val="565AF127"/>
    <w:rsid w:val="57228EB4"/>
    <w:rsid w:val="57346E04"/>
    <w:rsid w:val="57543F9A"/>
    <w:rsid w:val="57E18130"/>
    <w:rsid w:val="57E1F0DD"/>
    <w:rsid w:val="580050D4"/>
    <w:rsid w:val="5911BE01"/>
    <w:rsid w:val="59183A86"/>
    <w:rsid w:val="5B0EC2BD"/>
    <w:rsid w:val="5B748F59"/>
    <w:rsid w:val="5BD37353"/>
    <w:rsid w:val="5D4E8570"/>
    <w:rsid w:val="5E6F09DB"/>
    <w:rsid w:val="5EC93B35"/>
    <w:rsid w:val="5F9D67B2"/>
    <w:rsid w:val="60DB8835"/>
    <w:rsid w:val="61441B9E"/>
    <w:rsid w:val="61E55E43"/>
    <w:rsid w:val="62162B6C"/>
    <w:rsid w:val="63BCF49A"/>
    <w:rsid w:val="653F4618"/>
    <w:rsid w:val="6577F89D"/>
    <w:rsid w:val="65CF7D23"/>
    <w:rsid w:val="65E0B69A"/>
    <w:rsid w:val="65E52194"/>
    <w:rsid w:val="65F1B2EB"/>
    <w:rsid w:val="66C4239E"/>
    <w:rsid w:val="67FD1AAE"/>
    <w:rsid w:val="69FB62DA"/>
    <w:rsid w:val="6A0628E0"/>
    <w:rsid w:val="6BBE89EB"/>
    <w:rsid w:val="6C0EA353"/>
    <w:rsid w:val="6C608E5B"/>
    <w:rsid w:val="6CC9CEC5"/>
    <w:rsid w:val="6D21AA03"/>
    <w:rsid w:val="6F25903E"/>
    <w:rsid w:val="6F33BCC0"/>
    <w:rsid w:val="6F53CD19"/>
    <w:rsid w:val="6F62F22C"/>
    <w:rsid w:val="6FD5A3D5"/>
    <w:rsid w:val="70223D4B"/>
    <w:rsid w:val="70344853"/>
    <w:rsid w:val="70622A8F"/>
    <w:rsid w:val="70C59744"/>
    <w:rsid w:val="70FA4EA8"/>
    <w:rsid w:val="711FDEF9"/>
    <w:rsid w:val="72C5D094"/>
    <w:rsid w:val="72F3F842"/>
    <w:rsid w:val="7360B4B3"/>
    <w:rsid w:val="738E1E35"/>
    <w:rsid w:val="73EDFC19"/>
    <w:rsid w:val="749627E2"/>
    <w:rsid w:val="74B2F62B"/>
    <w:rsid w:val="74CA7E17"/>
    <w:rsid w:val="74D98EB5"/>
    <w:rsid w:val="74E7380E"/>
    <w:rsid w:val="753E23FD"/>
    <w:rsid w:val="762A7B20"/>
    <w:rsid w:val="77B6EC0B"/>
    <w:rsid w:val="782EB87F"/>
    <w:rsid w:val="785B2BA3"/>
    <w:rsid w:val="79072477"/>
    <w:rsid w:val="7A10DAEF"/>
    <w:rsid w:val="7A1515E3"/>
    <w:rsid w:val="7A300AD0"/>
    <w:rsid w:val="7A4F5E5C"/>
    <w:rsid w:val="7A63812B"/>
    <w:rsid w:val="7AA3F887"/>
    <w:rsid w:val="7AA8D644"/>
    <w:rsid w:val="7ADA3D6A"/>
    <w:rsid w:val="7B78F083"/>
    <w:rsid w:val="7C1DB9BD"/>
    <w:rsid w:val="7CA96001"/>
    <w:rsid w:val="7CB37D27"/>
    <w:rsid w:val="7D3FD16A"/>
    <w:rsid w:val="7D50836C"/>
    <w:rsid w:val="7D8DC640"/>
    <w:rsid w:val="7D9F83AE"/>
    <w:rsid w:val="7DC9E923"/>
    <w:rsid w:val="7E121592"/>
    <w:rsid w:val="7F36A7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2E07E"/>
  <w14:defaultImageDpi w14:val="330"/>
  <w15:docId w15:val="{12E1D381-10A8-4554-B664-BE88B649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D10C87"/>
    <w:rPr>
      <w:color w:val="0000FF" w:themeColor="hyperlink"/>
      <w:u w:val="single"/>
    </w:rPr>
  </w:style>
  <w:style w:type="character" w:styleId="UnresolvedMention">
    <w:name w:val="Unresolved Mention"/>
    <w:basedOn w:val="DefaultParagraphFont"/>
    <w:uiPriority w:val="99"/>
    <w:semiHidden/>
    <w:unhideWhenUsed/>
    <w:rsid w:val="00D10C87"/>
    <w:rPr>
      <w:color w:val="605E5C"/>
      <w:shd w:val="clear" w:color="auto" w:fill="E1DFDD"/>
    </w:rPr>
  </w:style>
  <w:style w:type="character" w:styleId="CommentReference">
    <w:name w:val="annotation reference"/>
    <w:basedOn w:val="DefaultParagraphFont"/>
    <w:semiHidden/>
    <w:unhideWhenUsed/>
    <w:rsid w:val="00D10C87"/>
    <w:rPr>
      <w:sz w:val="16"/>
      <w:szCs w:val="16"/>
    </w:rPr>
  </w:style>
  <w:style w:type="paragraph" w:styleId="CommentText">
    <w:name w:val="annotation text"/>
    <w:basedOn w:val="Normal"/>
    <w:link w:val="CommentTextChar"/>
    <w:unhideWhenUsed/>
    <w:rsid w:val="00D10C87"/>
    <w:pPr>
      <w:spacing w:line="240" w:lineRule="auto"/>
    </w:pPr>
    <w:rPr>
      <w:sz w:val="20"/>
      <w:szCs w:val="20"/>
    </w:rPr>
  </w:style>
  <w:style w:type="character" w:customStyle="1" w:styleId="CommentTextChar">
    <w:name w:val="Comment Text Char"/>
    <w:basedOn w:val="DefaultParagraphFont"/>
    <w:link w:val="CommentText"/>
    <w:rsid w:val="00D10C87"/>
  </w:style>
  <w:style w:type="paragraph" w:styleId="CommentSubject">
    <w:name w:val="annotation subject"/>
    <w:basedOn w:val="CommentText"/>
    <w:next w:val="CommentText"/>
    <w:link w:val="CommentSubjectChar"/>
    <w:semiHidden/>
    <w:unhideWhenUsed/>
    <w:rsid w:val="00D10C87"/>
    <w:rPr>
      <w:b/>
      <w:bCs/>
    </w:rPr>
  </w:style>
  <w:style w:type="character" w:customStyle="1" w:styleId="CommentSubjectChar">
    <w:name w:val="Comment Subject Char"/>
    <w:basedOn w:val="CommentTextChar"/>
    <w:link w:val="CommentSubject"/>
    <w:semiHidden/>
    <w:rsid w:val="00D10C87"/>
    <w:rPr>
      <w:b/>
      <w:bCs/>
    </w:rPr>
  </w:style>
  <w:style w:type="paragraph" w:styleId="Revision">
    <w:name w:val="Revision"/>
    <w:hidden/>
    <w:semiHidden/>
    <w:rsid w:val="00D10C87"/>
    <w:rPr>
      <w:sz w:val="24"/>
      <w:szCs w:val="24"/>
    </w:rPr>
  </w:style>
  <w:style w:type="paragraph" w:styleId="ListParagraph">
    <w:name w:val="List Paragraph"/>
    <w:basedOn w:val="Normal"/>
    <w:uiPriority w:val="34"/>
    <w:qFormat/>
    <w:rsid w:val="00702BE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table" w:styleId="TableGrid">
    <w:name w:val="Table Grid"/>
    <w:basedOn w:val="TableNormal"/>
    <w:uiPriority w:val="39"/>
    <w:rsid w:val="00702BE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42tablebody">
    <w:name w:val="MDPI_4.2_table_body"/>
    <w:qFormat/>
    <w:rsid w:val="00702BE2"/>
    <w:pPr>
      <w:adjustRightInd w:val="0"/>
      <w:snapToGrid w:val="0"/>
      <w:spacing w:line="260" w:lineRule="atLeast"/>
      <w:jc w:val="center"/>
    </w:pPr>
    <w:rPr>
      <w:rFonts w:ascii="Palatino Linotype" w:hAnsi="Palatino Linotype"/>
      <w:snapToGrid w:val="0"/>
      <w:color w:val="000000"/>
      <w:lang w:val="en-US" w:eastAsia="de-DE" w:bidi="en-US"/>
    </w:rPr>
  </w:style>
  <w:style w:type="paragraph" w:styleId="NormalWeb">
    <w:name w:val="Normal (Web)"/>
    <w:basedOn w:val="Normal"/>
    <w:uiPriority w:val="99"/>
    <w:rsid w:val="00702BE2"/>
    <w:pPr>
      <w:widowControl w:val="0"/>
      <w:spacing w:beforeAutospacing="1" w:afterAutospacing="1" w:line="240" w:lineRule="auto"/>
    </w:pPr>
    <w:rPr>
      <w:rFonts w:asciiTheme="minorHAnsi" w:hAnsiTheme="minorHAnsi"/>
      <w:lang w:val="en-US" w:eastAsia="zh-CN"/>
    </w:rPr>
  </w:style>
  <w:style w:type="character" w:customStyle="1" w:styleId="apple-converted-space">
    <w:name w:val="apple-converted-space"/>
    <w:basedOn w:val="DefaultParagraphFont"/>
    <w:rsid w:val="00D94C67"/>
  </w:style>
  <w:style w:type="character" w:customStyle="1" w:styleId="mord">
    <w:name w:val="mord"/>
    <w:basedOn w:val="DefaultParagraphFont"/>
    <w:rsid w:val="00D94C67"/>
  </w:style>
  <w:style w:type="paragraph" w:customStyle="1" w:styleId="pf0">
    <w:name w:val="pf0"/>
    <w:basedOn w:val="Normal"/>
    <w:rsid w:val="00212EBE"/>
    <w:pPr>
      <w:spacing w:before="100" w:beforeAutospacing="1" w:after="100" w:afterAutospacing="1" w:line="240" w:lineRule="auto"/>
    </w:pPr>
  </w:style>
  <w:style w:type="character" w:customStyle="1" w:styleId="cf01">
    <w:name w:val="cf01"/>
    <w:basedOn w:val="DefaultParagraphFont"/>
    <w:rsid w:val="00212EBE"/>
    <w:rPr>
      <w:rFonts w:ascii="Segoe UI" w:hAnsi="Segoe UI" w:cs="Segoe UI" w:hint="default"/>
      <w:color w:val="222222"/>
      <w:sz w:val="18"/>
      <w:szCs w:val="18"/>
      <w:shd w:val="clear" w:color="auto" w:fill="FFFFFF"/>
    </w:rPr>
  </w:style>
  <w:style w:type="character" w:customStyle="1" w:styleId="cf11">
    <w:name w:val="cf11"/>
    <w:basedOn w:val="DefaultParagraphFont"/>
    <w:rsid w:val="00212EBE"/>
    <w:rPr>
      <w:rFonts w:ascii="Segoe UI" w:hAnsi="Segoe UI" w:cs="Segoe UI" w:hint="default"/>
      <w:i/>
      <w:iCs/>
      <w:color w:val="222222"/>
      <w:sz w:val="18"/>
      <w:szCs w:val="18"/>
      <w:shd w:val="clear" w:color="auto" w:fill="FFFFFF"/>
    </w:rPr>
  </w:style>
  <w:style w:type="character" w:customStyle="1" w:styleId="cf21">
    <w:name w:val="cf21"/>
    <w:basedOn w:val="DefaultParagraphFont"/>
    <w:rsid w:val="00212EBE"/>
    <w:rPr>
      <w:rFonts w:ascii="Segoe UI" w:hAnsi="Segoe UI" w:cs="Segoe UI" w:hint="default"/>
      <w:sz w:val="18"/>
      <w:szCs w:val="18"/>
    </w:rPr>
  </w:style>
  <w:style w:type="paragraph" w:customStyle="1" w:styleId="Default">
    <w:name w:val="Default"/>
    <w:rsid w:val="000C59C3"/>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620A79"/>
    <w:rPr>
      <w:color w:val="800080" w:themeColor="followedHyperlink"/>
      <w:u w:val="single"/>
    </w:rPr>
  </w:style>
  <w:style w:type="character" w:customStyle="1" w:styleId="font61">
    <w:name w:val="font61"/>
    <w:basedOn w:val="DefaultParagraphFont"/>
    <w:rsid w:val="00FB4F3D"/>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ont31">
    <w:name w:val="font31"/>
    <w:basedOn w:val="DefaultParagraphFont"/>
    <w:rsid w:val="00FB4F3D"/>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51">
    <w:name w:val="font51"/>
    <w:basedOn w:val="DefaultParagraphFont"/>
    <w:rsid w:val="00FB4F3D"/>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71">
    <w:name w:val="font71"/>
    <w:basedOn w:val="DefaultParagraphFont"/>
    <w:rsid w:val="00FB4F3D"/>
    <w:rPr>
      <w:rFonts w:ascii="Calibri" w:hAnsi="Calibri" w:cs="Calibri" w:hint="default"/>
      <w:b w:val="0"/>
      <w:bCs w:val="0"/>
      <w:i w:val="0"/>
      <w:iCs w:val="0"/>
      <w:strike w:val="0"/>
      <w:dstrike w:val="0"/>
      <w:color w:val="000000"/>
      <w:sz w:val="21"/>
      <w:szCs w:val="21"/>
      <w:u w:val="none"/>
      <w:effect w:val="none"/>
    </w:rPr>
  </w:style>
  <w:style w:type="character" w:styleId="Emphasis">
    <w:name w:val="Emphasis"/>
    <w:basedOn w:val="DefaultParagraphFont"/>
    <w:uiPriority w:val="20"/>
    <w:qFormat/>
    <w:rsid w:val="00D338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4074">
      <w:bodyDiv w:val="1"/>
      <w:marLeft w:val="0"/>
      <w:marRight w:val="0"/>
      <w:marTop w:val="0"/>
      <w:marBottom w:val="0"/>
      <w:divBdr>
        <w:top w:val="none" w:sz="0" w:space="0" w:color="auto"/>
        <w:left w:val="none" w:sz="0" w:space="0" w:color="auto"/>
        <w:bottom w:val="none" w:sz="0" w:space="0" w:color="auto"/>
        <w:right w:val="none" w:sz="0" w:space="0" w:color="auto"/>
      </w:divBdr>
    </w:div>
    <w:div w:id="38557673">
      <w:bodyDiv w:val="1"/>
      <w:marLeft w:val="0"/>
      <w:marRight w:val="0"/>
      <w:marTop w:val="0"/>
      <w:marBottom w:val="0"/>
      <w:divBdr>
        <w:top w:val="none" w:sz="0" w:space="0" w:color="auto"/>
        <w:left w:val="none" w:sz="0" w:space="0" w:color="auto"/>
        <w:bottom w:val="none" w:sz="0" w:space="0" w:color="auto"/>
        <w:right w:val="none" w:sz="0" w:space="0" w:color="auto"/>
      </w:divBdr>
    </w:div>
    <w:div w:id="218126458">
      <w:bodyDiv w:val="1"/>
      <w:marLeft w:val="0"/>
      <w:marRight w:val="0"/>
      <w:marTop w:val="0"/>
      <w:marBottom w:val="0"/>
      <w:divBdr>
        <w:top w:val="none" w:sz="0" w:space="0" w:color="auto"/>
        <w:left w:val="none" w:sz="0" w:space="0" w:color="auto"/>
        <w:bottom w:val="none" w:sz="0" w:space="0" w:color="auto"/>
        <w:right w:val="none" w:sz="0" w:space="0" w:color="auto"/>
      </w:divBdr>
    </w:div>
    <w:div w:id="252133615">
      <w:bodyDiv w:val="1"/>
      <w:marLeft w:val="0"/>
      <w:marRight w:val="0"/>
      <w:marTop w:val="0"/>
      <w:marBottom w:val="0"/>
      <w:divBdr>
        <w:top w:val="none" w:sz="0" w:space="0" w:color="auto"/>
        <w:left w:val="none" w:sz="0" w:space="0" w:color="auto"/>
        <w:bottom w:val="none" w:sz="0" w:space="0" w:color="auto"/>
        <w:right w:val="none" w:sz="0" w:space="0" w:color="auto"/>
      </w:divBdr>
    </w:div>
    <w:div w:id="481698713">
      <w:bodyDiv w:val="1"/>
      <w:marLeft w:val="0"/>
      <w:marRight w:val="0"/>
      <w:marTop w:val="0"/>
      <w:marBottom w:val="0"/>
      <w:divBdr>
        <w:top w:val="none" w:sz="0" w:space="0" w:color="auto"/>
        <w:left w:val="none" w:sz="0" w:space="0" w:color="auto"/>
        <w:bottom w:val="none" w:sz="0" w:space="0" w:color="auto"/>
        <w:right w:val="none" w:sz="0" w:space="0" w:color="auto"/>
      </w:divBdr>
    </w:div>
    <w:div w:id="521356516">
      <w:bodyDiv w:val="1"/>
      <w:marLeft w:val="0"/>
      <w:marRight w:val="0"/>
      <w:marTop w:val="0"/>
      <w:marBottom w:val="0"/>
      <w:divBdr>
        <w:top w:val="none" w:sz="0" w:space="0" w:color="auto"/>
        <w:left w:val="none" w:sz="0" w:space="0" w:color="auto"/>
        <w:bottom w:val="none" w:sz="0" w:space="0" w:color="auto"/>
        <w:right w:val="none" w:sz="0" w:space="0" w:color="auto"/>
      </w:divBdr>
    </w:div>
    <w:div w:id="544609664">
      <w:bodyDiv w:val="1"/>
      <w:marLeft w:val="0"/>
      <w:marRight w:val="0"/>
      <w:marTop w:val="0"/>
      <w:marBottom w:val="0"/>
      <w:divBdr>
        <w:top w:val="none" w:sz="0" w:space="0" w:color="auto"/>
        <w:left w:val="none" w:sz="0" w:space="0" w:color="auto"/>
        <w:bottom w:val="none" w:sz="0" w:space="0" w:color="auto"/>
        <w:right w:val="none" w:sz="0" w:space="0" w:color="auto"/>
      </w:divBdr>
    </w:div>
    <w:div w:id="852455772">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431512824">
      <w:bodyDiv w:val="1"/>
      <w:marLeft w:val="0"/>
      <w:marRight w:val="0"/>
      <w:marTop w:val="0"/>
      <w:marBottom w:val="0"/>
      <w:divBdr>
        <w:top w:val="none" w:sz="0" w:space="0" w:color="auto"/>
        <w:left w:val="none" w:sz="0" w:space="0" w:color="auto"/>
        <w:bottom w:val="none" w:sz="0" w:space="0" w:color="auto"/>
        <w:right w:val="none" w:sz="0" w:space="0" w:color="auto"/>
      </w:divBdr>
    </w:div>
    <w:div w:id="1511404602">
      <w:bodyDiv w:val="1"/>
      <w:marLeft w:val="0"/>
      <w:marRight w:val="0"/>
      <w:marTop w:val="0"/>
      <w:marBottom w:val="0"/>
      <w:divBdr>
        <w:top w:val="none" w:sz="0" w:space="0" w:color="auto"/>
        <w:left w:val="none" w:sz="0" w:space="0" w:color="auto"/>
        <w:bottom w:val="none" w:sz="0" w:space="0" w:color="auto"/>
        <w:right w:val="none" w:sz="0" w:space="0" w:color="auto"/>
      </w:divBdr>
    </w:div>
    <w:div w:id="1775323704">
      <w:bodyDiv w:val="1"/>
      <w:marLeft w:val="0"/>
      <w:marRight w:val="0"/>
      <w:marTop w:val="0"/>
      <w:marBottom w:val="0"/>
      <w:divBdr>
        <w:top w:val="none" w:sz="0" w:space="0" w:color="auto"/>
        <w:left w:val="none" w:sz="0" w:space="0" w:color="auto"/>
        <w:bottom w:val="none" w:sz="0" w:space="0" w:color="auto"/>
        <w:right w:val="none" w:sz="0" w:space="0" w:color="auto"/>
      </w:divBdr>
    </w:div>
    <w:div w:id="188451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microsoft.com/office/2018/08/relationships/commentsExtensible" Target="commentsExtensible.xml"/><Relationship Id="rId21" Type="http://schemas.openxmlformats.org/officeDocument/2006/relationships/hyperlink" Target="https://www.mdpi.com/search?q=education" TargetMode="External"/><Relationship Id="rId42" Type="http://schemas.openxmlformats.org/officeDocument/2006/relationships/image" Target="media/image10.png"/><Relationship Id="rId47" Type="http://schemas.openxmlformats.org/officeDocument/2006/relationships/hyperlink" Target="https://doi.org/10.35241/emeraldopenres.14487.1" TargetMode="External"/><Relationship Id="rId63" Type="http://schemas.openxmlformats.org/officeDocument/2006/relationships/hyperlink" Target="https://doi.org/10.1002/berj.3955" TargetMode="External"/><Relationship Id="rId68" Type="http://schemas.openxmlformats.org/officeDocument/2006/relationships/hyperlink" Target="https://www.crassh.cam.ac.uk/blog/brexit-and-trump-voters-more-likely-to-believe-in-conspiracy-theories-surve/" TargetMode="External"/><Relationship Id="rId2" Type="http://schemas.openxmlformats.org/officeDocument/2006/relationships/customXml" Target="../customXml/item2.xml"/><Relationship Id="rId16" Type="http://schemas.openxmlformats.org/officeDocument/2006/relationships/hyperlink" Target="https://orcid.org/0000-0002-2454-9407" TargetMode="External"/><Relationship Id="rId29" Type="http://schemas.openxmlformats.org/officeDocument/2006/relationships/footer" Target="footer1.xml"/><Relationship Id="rId11" Type="http://schemas.openxmlformats.org/officeDocument/2006/relationships/hyperlink" Target="mailto:Christopher.brown@soton.ac.uk" TargetMode="External"/><Relationship Id="rId24" Type="http://schemas.microsoft.com/office/2011/relationships/commentsExtended" Target="commentsExtended.xml"/><Relationship Id="rId32" Type="http://schemas.openxmlformats.org/officeDocument/2006/relationships/footer" Target="footer3.xml"/><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hyperlink" Target="https://www.templeton.org/discoveries/future-mindedness" TargetMode="External"/><Relationship Id="rId53" Type="http://schemas.openxmlformats.org/officeDocument/2006/relationships/hyperlink" Target="https://doi.org/10.1108/QEA-11-2024-0128" TargetMode="External"/><Relationship Id="rId58" Type="http://schemas.openxmlformats.org/officeDocument/2006/relationships/hyperlink" Target="https://doi.org/10.1002/tea.21941" TargetMode="External"/><Relationship Id="rId66" Type="http://schemas.openxmlformats.org/officeDocument/2006/relationships/hyperlink" Target="https://doi.org/10.1037/a0031048"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readkong.com/page/selective-exposure-to-misinformation-evidence-from-the-8348264" TargetMode="External"/><Relationship Id="rId19" Type="http://schemas.openxmlformats.org/officeDocument/2006/relationships/hyperlink" Target="https://www.mdpi.com/search?q=prospection" TargetMode="External"/><Relationship Id="rId14" Type="http://schemas.openxmlformats.org/officeDocument/2006/relationships/hyperlink" Target="https://orcid.org/0009-0004-9440-2410" TargetMode="External"/><Relationship Id="rId22" Type="http://schemas.openxmlformats.org/officeDocument/2006/relationships/hyperlink" Target="https://www.mdpi.com/search?q=ideas-engagement"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image" Target="media/image3.png"/><Relationship Id="rId43" Type="http://schemas.openxmlformats.org/officeDocument/2006/relationships/image" Target="media/image11.png"/><Relationship Id="rId48" Type="http://schemas.openxmlformats.org/officeDocument/2006/relationships/hyperlink" Target="https://doi.org/10.35241/emeraldopenres.14786.1" TargetMode="External"/><Relationship Id="rId56" Type="http://schemas.openxmlformats.org/officeDocument/2006/relationships/hyperlink" Target="https://counteringconspiracies.publicfirst.co.uk/Commission_into_Countering_Online_Conspiracies_in_Schools.pdf" TargetMode="External"/><Relationship Id="rId64" Type="http://schemas.openxmlformats.org/officeDocument/2006/relationships/hyperlink" Target="https://psycnet.apa.org/doi/10.1111/j.1751-9004.2007.00054.x" TargetMode="External"/><Relationship Id="rId69" Type="http://schemas.openxmlformats.org/officeDocument/2006/relationships/hyperlink" Target="https://doi.org/10.1080/0022250X.1971.9989794" TargetMode="External"/><Relationship Id="rId8" Type="http://schemas.openxmlformats.org/officeDocument/2006/relationships/webSettings" Target="webSettings.xml"/><Relationship Id="rId51" Type="http://schemas.openxmlformats.org/officeDocument/2006/relationships/hyperlink" Target="http://doi.org/10.1002/berj.4110" TargetMode="External"/><Relationship Id="rId72" Type="http://schemas.openxmlformats.org/officeDocument/2006/relationships/hyperlink" Target="https://unesdoc.unesco.org/ark:/48223/pf0000141843" TargetMode="External"/><Relationship Id="rId3" Type="http://schemas.openxmlformats.org/officeDocument/2006/relationships/customXml" Target="../customXml/item3.xml"/><Relationship Id="rId12" Type="http://schemas.openxmlformats.org/officeDocument/2006/relationships/hyperlink" Target="https://orcid.org/0000-0002-9759-9624" TargetMode="External"/><Relationship Id="rId17" Type="http://schemas.openxmlformats.org/officeDocument/2006/relationships/hyperlink" Target="https://www.mdpi.com/search?q=ideas" TargetMode="External"/><Relationship Id="rId25" Type="http://schemas.microsoft.com/office/2016/09/relationships/commentsIds" Target="commentsIds.xml"/><Relationship Id="rId33" Type="http://schemas.openxmlformats.org/officeDocument/2006/relationships/image" Target="media/image1.png"/><Relationship Id="rId38" Type="http://schemas.openxmlformats.org/officeDocument/2006/relationships/image" Target="media/image6.png"/><Relationship Id="rId46" Type="http://schemas.openxmlformats.org/officeDocument/2006/relationships/hyperlink" Target="https://doi.org/10.35241/emeraldopenres.14914.1" TargetMode="External"/><Relationship Id="rId59" Type="http://schemas.openxmlformats.org/officeDocument/2006/relationships/hyperlink" Target="https://psycnet.apa.org/doi/10.1086/228311" TargetMode="External"/><Relationship Id="rId67" Type="http://schemas.openxmlformats.org/officeDocument/2006/relationships/hyperlink" Target="https://doi.org/10.4135/9781412986311.n19" TargetMode="External"/><Relationship Id="rId20" Type="http://schemas.openxmlformats.org/officeDocument/2006/relationships/hyperlink" Target="https://www.mdpi.com/search?q=misinformation" TargetMode="External"/><Relationship Id="rId41" Type="http://schemas.openxmlformats.org/officeDocument/2006/relationships/image" Target="media/image9.png"/><Relationship Id="rId54" Type="http://schemas.openxmlformats.org/officeDocument/2006/relationships/hyperlink" Target="https://doi.org/10.1038/s41598-018-30220-3" TargetMode="External"/><Relationship Id="rId62" Type="http://schemas.openxmlformats.org/officeDocument/2006/relationships/hyperlink" Target="https://psycnet.apa.org/doi/10.1037/1082-989X.11.1.36" TargetMode="External"/><Relationship Id="rId70" Type="http://schemas.openxmlformats.org/officeDocument/2006/relationships/hyperlink" Target="https://doi.org/10.1111/j.1467-9760.2008.00325.x."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e.a.luzmore@soton.ac.uk" TargetMode="External"/><Relationship Id="rId23" Type="http://schemas.openxmlformats.org/officeDocument/2006/relationships/comments" Target="comments.xml"/><Relationship Id="rId28" Type="http://schemas.openxmlformats.org/officeDocument/2006/relationships/header" Target="header2.xml"/><Relationship Id="rId36" Type="http://schemas.openxmlformats.org/officeDocument/2006/relationships/image" Target="media/image4.png"/><Relationship Id="rId49" Type="http://schemas.openxmlformats.org/officeDocument/2006/relationships/hyperlink" Target="https://doi.org/10.35241/emeraldopenres.14729.1" TargetMode="External"/><Relationship Id="rId57" Type="http://schemas.openxmlformats.org/officeDocument/2006/relationships/hyperlink" Target="https://doi.org/10.1177/00224871231162295" TargetMode="External"/><Relationship Id="rId10" Type="http://schemas.openxmlformats.org/officeDocument/2006/relationships/endnotes" Target="endnotes.xml"/><Relationship Id="rId31" Type="http://schemas.openxmlformats.org/officeDocument/2006/relationships/header" Target="header3.xml"/><Relationship Id="rId44" Type="http://schemas.openxmlformats.org/officeDocument/2006/relationships/image" Target="media/image12.png"/><Relationship Id="rId52" Type="http://schemas.openxmlformats.org/officeDocument/2006/relationships/hyperlink" Target="https://doi.org/10.3390/info16030248" TargetMode="External"/><Relationship Id="rId60" Type="http://schemas.openxmlformats.org/officeDocument/2006/relationships/hyperlink" Target="https://doi.org/10.1016/j.cobeha.2020.05.006" TargetMode="External"/><Relationship Id="rId65" Type="http://schemas.openxmlformats.org/officeDocument/2006/relationships/hyperlink" Target="https://doi.org/10.3389/fpsyg.2018.02278" TargetMode="External"/><Relationship Id="rId73" Type="http://schemas.openxmlformats.org/officeDocument/2006/relationships/hyperlink" Target="https://doi.org/10.1016/j.copsyc.2021.06.01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yin.wang@soton.ac.uk" TargetMode="External"/><Relationship Id="rId18" Type="http://schemas.openxmlformats.org/officeDocument/2006/relationships/hyperlink" Target="https://www.mdpi.com/search?q=social+networks" TargetMode="External"/><Relationship Id="rId39" Type="http://schemas.openxmlformats.org/officeDocument/2006/relationships/image" Target="media/image7.png"/><Relationship Id="rId34" Type="http://schemas.openxmlformats.org/officeDocument/2006/relationships/image" Target="media/image2.png"/><Relationship Id="rId50" Type="http://schemas.openxmlformats.org/officeDocument/2006/relationships/hyperlink" Target="https://doi.org/10.1108/QEA-10-2023-0003" TargetMode="External"/><Relationship Id="rId55" Type="http://schemas.openxmlformats.org/officeDocument/2006/relationships/hyperlink" Target="https://www.statmodel.com/download/relatinglca.pdf"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discovery.ucl.ac.uk/id/eprint/101338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al1r24\AppData\Local\Temp\98b7d979-b704-4a02-ab3e-9a22756555a2_TF_Template_Word_Windows_2016.zip.5a2\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181AA36DD2EF4994624F9031168284" ma:contentTypeVersion="11" ma:contentTypeDescription="Create a new document." ma:contentTypeScope="" ma:versionID="3cbd0436ff3fa573f5b1e262adadbede">
  <xsd:schema xmlns:xsd="http://www.w3.org/2001/XMLSchema" xmlns:xs="http://www.w3.org/2001/XMLSchema" xmlns:p="http://schemas.microsoft.com/office/2006/metadata/properties" xmlns:ns2="969dcbba-b427-48ec-bd88-9ee245da2218" xmlns:ns3="2843cad3-a449-40b5-89a8-16b109e82768" targetNamespace="http://schemas.microsoft.com/office/2006/metadata/properties" ma:root="true" ma:fieldsID="a47062ed571009c02d445c083637b365" ns2:_="" ns3:_="">
    <xsd:import namespace="969dcbba-b427-48ec-bd88-9ee245da2218"/>
    <xsd:import namespace="2843cad3-a449-40b5-89a8-16b109e827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dcbba-b427-48ec-bd88-9ee245da2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43cad3-a449-40b5-89a8-16b109e827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fbeb0d-c7f8-4047-98cc-10e6ad59f1b4}" ma:internalName="TaxCatchAll" ma:showField="CatchAllData" ma:web="2843cad3-a449-40b5-89a8-16b109e82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9dcbba-b427-48ec-bd88-9ee245da2218">
      <Terms xmlns="http://schemas.microsoft.com/office/infopath/2007/PartnerControls"/>
    </lcf76f155ced4ddcb4097134ff3c332f>
    <TaxCatchAll xmlns="2843cad3-a449-40b5-89a8-16b109e82768" xsi:nil="true"/>
  </documentManagement>
</p:properties>
</file>

<file path=customXml/itemProps1.xml><?xml version="1.0" encoding="utf-8"?>
<ds:datastoreItem xmlns:ds="http://schemas.openxmlformats.org/officeDocument/2006/customXml" ds:itemID="{338DCD9C-5859-4D95-AAF4-DB8E4124668B}">
  <ds:schemaRefs>
    <ds:schemaRef ds:uri="http://schemas.microsoft.com/sharepoint/v3/contenttype/forms"/>
  </ds:schemaRefs>
</ds:datastoreItem>
</file>

<file path=customXml/itemProps2.xml><?xml version="1.0" encoding="utf-8"?>
<ds:datastoreItem xmlns:ds="http://schemas.openxmlformats.org/officeDocument/2006/customXml" ds:itemID="{0FB04BDD-E2FC-4BFD-8F39-F12BB2843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dcbba-b427-48ec-bd88-9ee245da2218"/>
    <ds:schemaRef ds:uri="2843cad3-a449-40b5-89a8-16b109e82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customXml/itemProps4.xml><?xml version="1.0" encoding="utf-8"?>
<ds:datastoreItem xmlns:ds="http://schemas.openxmlformats.org/officeDocument/2006/customXml" ds:itemID="{17654217-503F-4BED-90B0-7B2ECDB2DE33}">
  <ds:schemaRefs>
    <ds:schemaRef ds:uri="http://schemas.microsoft.com/office/2006/metadata/properties"/>
    <ds:schemaRef ds:uri="http://schemas.microsoft.com/office/infopath/2007/PartnerControls"/>
    <ds:schemaRef ds:uri="969dcbba-b427-48ec-bd88-9ee245da2218"/>
    <ds:schemaRef ds:uri="2843cad3-a449-40b5-89a8-16b109e82768"/>
  </ds:schemaRefs>
</ds:datastoreItem>
</file>

<file path=docProps/app.xml><?xml version="1.0" encoding="utf-8"?>
<Properties xmlns="http://schemas.openxmlformats.org/officeDocument/2006/extended-properties" xmlns:vt="http://schemas.openxmlformats.org/officeDocument/2006/docPropsVTypes">
  <Template>C:\Users\real1r24\AppData\Local\Temp\98b7d979-b704-4a02-ab3e-9a22756555a2_TF_Template_Word_Windows_2016.zip.5a2\TF_Template_Word_Windows_2016.dotx</Template>
  <TotalTime>2</TotalTime>
  <Pages>51</Pages>
  <Words>12351</Words>
  <Characters>70403</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82589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Ruth Luzmore</dc:creator>
  <cp:lastModifiedBy>Chris Brown</cp:lastModifiedBy>
  <cp:revision>3</cp:revision>
  <cp:lastPrinted>2011-07-22T14:54:00Z</cp:lastPrinted>
  <dcterms:created xsi:type="dcterms:W3CDTF">2025-06-17T05:34:00Z</dcterms:created>
  <dcterms:modified xsi:type="dcterms:W3CDTF">2025-06-17T05:35:00Z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0x01010082181AA36DD2EF4994624F9031168284</vt:lpwstr>
  </property>
  <property fmtid="{D5CDD505-2E9C-101B-9397-08002B2CF9AE}" pid="3" name="MediaServiceImageTags">
    <vt:lpwstr/>
  </property>
  <property fmtid="{D5CDD505-2E9C-101B-9397-08002B2CF9AE}" pid="4" name="GrammarlyDocumentId">
    <vt:lpwstr>1e4c8cfe-27be-498f-97ed-73f56cbe090e</vt:lpwstr>
  </property>
  <property fmtid="{D5CDD505-2E9C-101B-9397-08002B2CF9AE}" pid="5" name="ZOTERO_PREF_1">
    <vt:lpwstr>&lt;data data-version="3" zotero-version="6.0.36"&gt;&lt;session id="dODjUmdU"/&gt;&lt;style id="" hasBibliography="0" bibliographyStyleHasBeenSet="0"/&gt;&lt;prefs/&gt;&lt;/data&gt;</vt:lpwstr>
  </property>
</Properties>
</file>