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B22D" w14:textId="378787E4" w:rsidR="002D0201" w:rsidRDefault="002D0201" w:rsidP="002D0201">
      <w:pPr>
        <w:pStyle w:val="Title"/>
      </w:pPr>
      <w:r>
        <w:t>Ethnic</w:t>
      </w:r>
      <w:r w:rsidR="00B21069">
        <w:t>ity and</w:t>
      </w:r>
      <w:r>
        <w:t xml:space="preserve"> clinical empathy in primary care consultations</w:t>
      </w:r>
      <w:r w:rsidR="00287706">
        <w:t>: a</w:t>
      </w:r>
      <w:r w:rsidR="007F65D0">
        <w:t xml:space="preserve"> web-based </w:t>
      </w:r>
      <w:r w:rsidR="00287706">
        <w:t>experiment</w:t>
      </w:r>
    </w:p>
    <w:p w14:paraId="489DEE4D" w14:textId="77777777" w:rsidR="00394395" w:rsidRDefault="00394395" w:rsidP="002D0201"/>
    <w:p w14:paraId="765C5D24" w14:textId="77777777" w:rsidR="008F593A" w:rsidRDefault="008F593A" w:rsidP="008F593A">
      <w:pPr>
        <w:pStyle w:val="Heading1"/>
      </w:pPr>
      <w:r>
        <w:t>Authors</w:t>
      </w:r>
    </w:p>
    <w:p w14:paraId="506E2BA8" w14:textId="515446FE" w:rsidR="008F593A" w:rsidRDefault="008F593A" w:rsidP="008F593A">
      <w:r>
        <w:t>Qingyan He,</w:t>
      </w:r>
      <w:r>
        <w:rPr>
          <w:vertAlign w:val="superscript"/>
        </w:rPr>
        <w:t>1*</w:t>
      </w:r>
      <w:r>
        <w:t xml:space="preserve"> Rui Du,</w:t>
      </w:r>
      <w:r>
        <w:rPr>
          <w:vertAlign w:val="superscript"/>
        </w:rPr>
        <w:t>1</w:t>
      </w:r>
      <w:r>
        <w:t xml:space="preserve"> Saniya Belgi,</w:t>
      </w:r>
      <w:r w:rsidRPr="000447F7">
        <w:rPr>
          <w:vertAlign w:val="superscript"/>
        </w:rPr>
        <w:t>2</w:t>
      </w:r>
      <w:r>
        <w:t xml:space="preserve"> </w:t>
      </w:r>
      <w:r w:rsidR="00DA2C0B">
        <w:t>Greg J Neil,</w:t>
      </w:r>
      <w:r w:rsidR="00DA2C0B" w:rsidRPr="00DA2C0B">
        <w:rPr>
          <w:vertAlign w:val="superscript"/>
        </w:rPr>
        <w:t xml:space="preserve"> </w:t>
      </w:r>
      <w:r w:rsidR="00DA2C0B" w:rsidRPr="000447F7">
        <w:rPr>
          <w:vertAlign w:val="superscript"/>
        </w:rPr>
        <w:t>3</w:t>
      </w:r>
      <w:r w:rsidR="00DA2C0B">
        <w:t xml:space="preserve"> </w:t>
      </w:r>
      <w:r>
        <w:t xml:space="preserve">Hazel </w:t>
      </w:r>
      <w:proofErr w:type="gramStart"/>
      <w:r>
        <w:t>A</w:t>
      </w:r>
      <w:proofErr w:type="gramEnd"/>
      <w:r>
        <w:t xml:space="preserve"> Everitt,</w:t>
      </w:r>
      <w:r w:rsidR="00DA2C0B">
        <w:rPr>
          <w:vertAlign w:val="superscript"/>
        </w:rPr>
        <w:t xml:space="preserve"> 4</w:t>
      </w:r>
      <w:r>
        <w:t xml:space="preserve"> Felicity L Bishop</w:t>
      </w:r>
      <w:r>
        <w:rPr>
          <w:vertAlign w:val="superscript"/>
        </w:rPr>
        <w:t>1*</w:t>
      </w:r>
    </w:p>
    <w:p w14:paraId="2D8DB65B" w14:textId="77777777" w:rsidR="008F593A" w:rsidRDefault="008F593A" w:rsidP="008F593A">
      <w:r>
        <w:rPr>
          <w:vertAlign w:val="superscript"/>
        </w:rPr>
        <w:t>1</w:t>
      </w:r>
      <w:r>
        <w:t xml:space="preserve"> School of Psychology, University of Southampton, Southampton, Hampshire, UK.</w:t>
      </w:r>
    </w:p>
    <w:p w14:paraId="3099913C" w14:textId="77777777" w:rsidR="008F593A" w:rsidRDefault="008F593A" w:rsidP="008F593A">
      <w:r w:rsidRPr="000447F7">
        <w:rPr>
          <w:vertAlign w:val="superscript"/>
        </w:rPr>
        <w:t>2</w:t>
      </w:r>
      <w:r>
        <w:t xml:space="preserve"> Keele Medical School, Keele University, Keele, Staffordshire, UK.</w:t>
      </w:r>
    </w:p>
    <w:p w14:paraId="212492DC" w14:textId="2E1AB289" w:rsidR="00A35E0D" w:rsidRPr="00A35E0D" w:rsidRDefault="008F593A" w:rsidP="008F593A">
      <w:r w:rsidRPr="000447F7">
        <w:rPr>
          <w:vertAlign w:val="superscript"/>
        </w:rPr>
        <w:t>3</w:t>
      </w:r>
      <w:r w:rsidR="00A35E0D">
        <w:rPr>
          <w:vertAlign w:val="superscript"/>
        </w:rPr>
        <w:t xml:space="preserve"> </w:t>
      </w:r>
      <w:r w:rsidR="006F472E">
        <w:t>Psychology Department, S</w:t>
      </w:r>
      <w:r w:rsidR="00A35E0D" w:rsidRPr="00A35E0D">
        <w:t>outhampton Solent</w:t>
      </w:r>
      <w:r w:rsidR="00A35E0D">
        <w:rPr>
          <w:vertAlign w:val="superscript"/>
        </w:rPr>
        <w:t xml:space="preserve"> </w:t>
      </w:r>
      <w:r w:rsidR="00A35E0D">
        <w:t>University</w:t>
      </w:r>
      <w:r w:rsidR="007F25C4">
        <w:t>, Southampton, UK.</w:t>
      </w:r>
    </w:p>
    <w:p w14:paraId="0E656BEA" w14:textId="26C2FB04" w:rsidR="008F593A" w:rsidRDefault="00A35E0D" w:rsidP="008F593A">
      <w:r>
        <w:rPr>
          <w:vertAlign w:val="superscript"/>
        </w:rPr>
        <w:t>4</w:t>
      </w:r>
      <w:r w:rsidR="008F593A">
        <w:t xml:space="preserve"> Primary Care Research Centre, University of Southampton, Southampton, Hampshire, UK.</w:t>
      </w:r>
    </w:p>
    <w:p w14:paraId="63E99D90" w14:textId="4442EDDA" w:rsidR="008F593A" w:rsidRDefault="008F593A" w:rsidP="008F593A">
      <w:r>
        <w:t xml:space="preserve">* QH now at:  </w:t>
      </w:r>
      <w:r w:rsidRPr="000D2712">
        <w:t xml:space="preserve">Department of Psychiatry and Psychology, Guangzhou Women and Children’s Medical </w:t>
      </w:r>
      <w:proofErr w:type="spellStart"/>
      <w:r w:rsidRPr="000D2712">
        <w:t>Center</w:t>
      </w:r>
      <w:proofErr w:type="spellEnd"/>
      <w:r w:rsidRPr="000D2712">
        <w:t xml:space="preserve"> (National Children's Medical </w:t>
      </w:r>
      <w:proofErr w:type="spellStart"/>
      <w:r w:rsidRPr="000D2712">
        <w:t>Center</w:t>
      </w:r>
      <w:proofErr w:type="spellEnd"/>
      <w:r w:rsidRPr="000D2712">
        <w:t xml:space="preserve"> </w:t>
      </w:r>
      <w:r w:rsidR="00712B56" w:rsidRPr="000D2712">
        <w:t>for</w:t>
      </w:r>
      <w:r w:rsidRPr="000D2712">
        <w:t xml:space="preserve"> South Central Region), Guangzhou 510665, Guangdong, PR China</w:t>
      </w:r>
      <w:r>
        <w:t>.</w:t>
      </w:r>
    </w:p>
    <w:p w14:paraId="144E87F0" w14:textId="77777777" w:rsidR="008F593A" w:rsidRDefault="008F593A" w:rsidP="008F593A">
      <w:r>
        <w:t>*Corresponding author.  Felicity L Bishop</w:t>
      </w:r>
      <w:r>
        <w:rPr>
          <w:vertAlign w:val="superscript"/>
        </w:rPr>
        <w:t xml:space="preserve">. </w:t>
      </w:r>
      <w:r>
        <w:t xml:space="preserve"> </w:t>
      </w:r>
      <w:hyperlink r:id="rId8" w:history="1">
        <w:r w:rsidRPr="00E40A8F">
          <w:rPr>
            <w:rStyle w:val="Hyperlink"/>
          </w:rPr>
          <w:t>F.L.Bishop@southampton.ac.uk</w:t>
        </w:r>
      </w:hyperlink>
      <w:r>
        <w:t>.  School of Psychology</w:t>
      </w:r>
      <w:r w:rsidRPr="00553427">
        <w:t xml:space="preserve"> </w:t>
      </w:r>
      <w:r>
        <w:t>(B44), University of Southampton, Southampton, Hampshire, UK SO17 1BJ.</w:t>
      </w:r>
    </w:p>
    <w:p w14:paraId="5C1D8D01" w14:textId="50A0B1F6" w:rsidR="008F593A" w:rsidRDefault="008F593A" w:rsidP="008F593A">
      <w:r>
        <w:t xml:space="preserve">ORCIDS:  HAE:  </w:t>
      </w:r>
      <w:r w:rsidRPr="00AE3006">
        <w:t>0000-0001-7362-8403</w:t>
      </w:r>
      <w:r>
        <w:t xml:space="preserve">; </w:t>
      </w:r>
      <w:r w:rsidR="006F472E">
        <w:t xml:space="preserve">GJN: </w:t>
      </w:r>
      <w:r w:rsidR="006F472E" w:rsidRPr="006F472E">
        <w:t>0000-0003-1360-5490</w:t>
      </w:r>
      <w:r w:rsidR="006F472E">
        <w:t xml:space="preserve">; </w:t>
      </w:r>
      <w:r>
        <w:t xml:space="preserve">FLB: </w:t>
      </w:r>
      <w:r w:rsidRPr="002F5FEE">
        <w:t>0000-0002-8737-6662</w:t>
      </w:r>
      <w:r>
        <w:t xml:space="preserve"> </w:t>
      </w:r>
    </w:p>
    <w:p w14:paraId="29A2B546" w14:textId="77777777" w:rsidR="008F593A" w:rsidRDefault="008F593A" w:rsidP="008F593A">
      <w:pPr>
        <w:pStyle w:val="Heading1"/>
      </w:pPr>
      <w:r>
        <w:t>Data Availability</w:t>
      </w:r>
    </w:p>
    <w:p w14:paraId="6210FEDE" w14:textId="0FB0AC1E" w:rsidR="008F593A" w:rsidRPr="008044E2" w:rsidRDefault="008F593A" w:rsidP="008F593A">
      <w:r w:rsidRPr="00F154FC">
        <w:t xml:space="preserve">The </w:t>
      </w:r>
      <w:r w:rsidR="00E944FA">
        <w:t xml:space="preserve">anonymised </w:t>
      </w:r>
      <w:r w:rsidRPr="00F154FC">
        <w:t xml:space="preserve">data that support the findings of this study are available in </w:t>
      </w:r>
      <w:r w:rsidR="003D3225">
        <w:t>eprints</w:t>
      </w:r>
      <w:r w:rsidR="00E944FA">
        <w:t xml:space="preserve"> </w:t>
      </w:r>
      <w:hyperlink r:id="rId9" w:history="1">
        <w:r w:rsidR="00E944FA" w:rsidRPr="00BD7DD1">
          <w:rPr>
            <w:rStyle w:val="Hyperlink"/>
          </w:rPr>
          <w:t>http://eprints.soton.ac.uk</w:t>
        </w:r>
      </w:hyperlink>
      <w:r w:rsidR="00E944FA">
        <w:t xml:space="preserve"> </w:t>
      </w:r>
      <w:r w:rsidRPr="00F154FC">
        <w:t xml:space="preserve">at </w:t>
      </w:r>
      <w:hyperlink r:id="rId10" w:history="1">
        <w:r w:rsidR="00E944FA" w:rsidRPr="00BD7DD1">
          <w:rPr>
            <w:rStyle w:val="Hyperlink"/>
          </w:rPr>
          <w:t>http://doi.org/[doi</w:t>
        </w:r>
      </w:hyperlink>
      <w:r w:rsidR="00E944FA">
        <w:t xml:space="preserve"> to be added on acceptance</w:t>
      </w:r>
      <w:r w:rsidRPr="00F154FC">
        <w:t>].</w:t>
      </w:r>
    </w:p>
    <w:p w14:paraId="6320A4BA" w14:textId="77777777" w:rsidR="008F593A" w:rsidRDefault="008F593A" w:rsidP="002D0201"/>
    <w:p w14:paraId="1F60FE17" w14:textId="382B72F7" w:rsidR="00CD1B5C" w:rsidRDefault="00CD1B5C">
      <w:r>
        <w:br w:type="page"/>
      </w:r>
    </w:p>
    <w:p w14:paraId="700B75BF" w14:textId="55AA0C33" w:rsidR="002D56E7" w:rsidRDefault="00CD1B5C" w:rsidP="00CD1B5C">
      <w:pPr>
        <w:pStyle w:val="Heading1"/>
      </w:pPr>
      <w:r>
        <w:lastRenderedPageBreak/>
        <w:t>Abstract</w:t>
      </w:r>
    </w:p>
    <w:p w14:paraId="4F29AC34" w14:textId="77777777" w:rsidR="000B56B2" w:rsidRDefault="000B56B2" w:rsidP="000B56B2">
      <w:pPr>
        <w:pStyle w:val="Heading2"/>
      </w:pPr>
      <w:r>
        <w:t>Background</w:t>
      </w:r>
    </w:p>
    <w:p w14:paraId="41ABD7FE" w14:textId="1BEF6936" w:rsidR="000B56B2" w:rsidRDefault="007F65D0">
      <w:r>
        <w:t>Clinical empathy</w:t>
      </w:r>
      <w:r w:rsidR="005A36CD" w:rsidRPr="005A36CD">
        <w:t xml:space="preserve"> may enhance patient satisfaction and health outcomes.  The interaction between ethnicity and clinical empathy is under-explored.  </w:t>
      </w:r>
    </w:p>
    <w:p w14:paraId="520A4801" w14:textId="77777777" w:rsidR="000B56B2" w:rsidRDefault="000B56B2" w:rsidP="000B56B2">
      <w:pPr>
        <w:pStyle w:val="Heading2"/>
      </w:pPr>
      <w:r>
        <w:t>Aim</w:t>
      </w:r>
    </w:p>
    <w:p w14:paraId="1804EDAD" w14:textId="7597294E" w:rsidR="000B56B2" w:rsidRDefault="000B56B2">
      <w:r>
        <w:t xml:space="preserve">To </w:t>
      </w:r>
      <w:r w:rsidR="007F65D0">
        <w:t xml:space="preserve">compare </w:t>
      </w:r>
      <w:r w:rsidR="005A36CD" w:rsidRPr="005A36CD">
        <w:t xml:space="preserve">how people from different ethnicities perceive GPs' communication of clinical empathy.  </w:t>
      </w:r>
    </w:p>
    <w:p w14:paraId="0E620D24" w14:textId="77777777" w:rsidR="000B56B2" w:rsidRDefault="000B56B2" w:rsidP="000B56B2">
      <w:pPr>
        <w:pStyle w:val="Heading2"/>
      </w:pPr>
      <w:r>
        <w:t>Design and Setting</w:t>
      </w:r>
    </w:p>
    <w:p w14:paraId="0864799E" w14:textId="10CADD3C" w:rsidR="000B56B2" w:rsidRDefault="007F65D0">
      <w:r>
        <w:t>A 2 (consultation style) x4 (participant ethnicity) w</w:t>
      </w:r>
      <w:r w:rsidR="000B56B2">
        <w:t>eb-based experiment</w:t>
      </w:r>
      <w:r>
        <w:t xml:space="preserve"> using film vignettes</w:t>
      </w:r>
      <w:r w:rsidR="000B56B2">
        <w:t>.</w:t>
      </w:r>
    </w:p>
    <w:p w14:paraId="38742E0F" w14:textId="77777777" w:rsidR="000B56B2" w:rsidRDefault="000B56B2" w:rsidP="000B56B2">
      <w:pPr>
        <w:pStyle w:val="Heading2"/>
      </w:pPr>
      <w:r>
        <w:t>Methods</w:t>
      </w:r>
    </w:p>
    <w:p w14:paraId="34B7A407" w14:textId="7389384D" w:rsidR="000B56B2" w:rsidRDefault="005A36CD">
      <w:r w:rsidRPr="005A36CD">
        <w:t xml:space="preserve">274 UK Black British, White Caucasian, East Asian, and South Asian adults (50% female; Mean age 39.7), recruited from an online participant pool were randomly assigned to watch one of two films showing enacted GP consultations for osteoarthritis - enhanced consultation (high empathy) or standard consultation (limited empathy).  Participants’ perceptions of clinical empathy were assessed quantitatively and qualitatively.  </w:t>
      </w:r>
    </w:p>
    <w:p w14:paraId="68EC45E7" w14:textId="77777777" w:rsidR="000B56B2" w:rsidRDefault="000B56B2" w:rsidP="000B56B2">
      <w:pPr>
        <w:pStyle w:val="Heading2"/>
      </w:pPr>
      <w:r>
        <w:t>Results</w:t>
      </w:r>
    </w:p>
    <w:p w14:paraId="625E252D" w14:textId="266592C3" w:rsidR="000B56B2" w:rsidRDefault="005A36CD">
      <w:r w:rsidRPr="005A36CD">
        <w:t xml:space="preserve">Across the whole sample and within all four ethnicities, enhanced consultations were rated </w:t>
      </w:r>
      <w:r w:rsidR="000B56B2">
        <w:t xml:space="preserve">as </w:t>
      </w:r>
      <w:r w:rsidRPr="005A36CD">
        <w:t xml:space="preserve">more empathic than standard consultations; there were no significant effects of participant ethnicity on ratings of empathy.  Bayesian analysis confirmed an effect of consultation style and </w:t>
      </w:r>
      <w:r w:rsidR="000B56B2">
        <w:t xml:space="preserve">indicated </w:t>
      </w:r>
      <w:r w:rsidRPr="005A36CD">
        <w:t xml:space="preserve">there were no differences between ethnicities in ratings of clinical empathy.  Qualitative comments talked about the doctor: (not) showing interest in the patient; responding with(out) respect; conveying warmth, empathy, and hope; and (not) clearly explaining management options or clinical decisions.  Participants of all four ethnicities commented on similar aspects of the enhanced and standard consultations.  </w:t>
      </w:r>
    </w:p>
    <w:p w14:paraId="53D255F7" w14:textId="77777777" w:rsidR="000B56B2" w:rsidRDefault="000B56B2" w:rsidP="000B56B2">
      <w:pPr>
        <w:pStyle w:val="Heading2"/>
      </w:pPr>
      <w:r>
        <w:t>Conclusions</w:t>
      </w:r>
    </w:p>
    <w:p w14:paraId="156E9E29" w14:textId="2BF1EAA2" w:rsidR="0082082A" w:rsidRDefault="005A36CD">
      <w:r w:rsidRPr="005A36CD">
        <w:t xml:space="preserve">In this well-controlled experiment, the empathic communication skills modelled in the enhanced consultation were interpreted similarly positively by UK adults of Black British, Caucasian, East Asian, and South Asian ethnicities. </w:t>
      </w:r>
      <w:r w:rsidR="000B56B2">
        <w:t>C</w:t>
      </w:r>
      <w:r w:rsidRPr="005A36CD">
        <w:t xml:space="preserve">ore elements of </w:t>
      </w:r>
      <w:r w:rsidR="007F65D0">
        <w:t xml:space="preserve">clinical </w:t>
      </w:r>
      <w:r w:rsidRPr="005A36CD">
        <w:t xml:space="preserve">empathy </w:t>
      </w:r>
      <w:r w:rsidR="000B56B2">
        <w:t>appear</w:t>
      </w:r>
      <w:r w:rsidRPr="005A36CD">
        <w:t xml:space="preserve"> relevant and similarly valued across </w:t>
      </w:r>
      <w:r w:rsidR="000B56B2">
        <w:t xml:space="preserve">these </w:t>
      </w:r>
      <w:r w:rsidRPr="005A36CD">
        <w:t xml:space="preserve">ethnic groups.  </w:t>
      </w:r>
    </w:p>
    <w:p w14:paraId="218E65A1" w14:textId="77777777" w:rsidR="0082082A" w:rsidRDefault="0082082A"/>
    <w:p w14:paraId="0D601664" w14:textId="69B896F5" w:rsidR="000B56B2" w:rsidRDefault="00E70628">
      <w:r w:rsidRPr="000B56B2">
        <w:rPr>
          <w:rStyle w:val="Heading2Char"/>
        </w:rPr>
        <w:t>Keywords</w:t>
      </w:r>
    </w:p>
    <w:p w14:paraId="4CE345FB" w14:textId="6CA191B7" w:rsidR="00E70628" w:rsidRDefault="00E70628">
      <w:r>
        <w:t xml:space="preserve">empathy; </w:t>
      </w:r>
      <w:r w:rsidR="00584A86">
        <w:t xml:space="preserve">optimism; </w:t>
      </w:r>
      <w:r>
        <w:t>patient-practitioner communication; primary medical care; ethnicity</w:t>
      </w:r>
    </w:p>
    <w:p w14:paraId="4D4086B0" w14:textId="1801001F" w:rsidR="00C32DE4" w:rsidRDefault="00C32DE4">
      <w:r>
        <w:br w:type="page"/>
      </w:r>
    </w:p>
    <w:p w14:paraId="796E53F0" w14:textId="47E06B58" w:rsidR="0033772E" w:rsidRDefault="00C32DE4" w:rsidP="00C32DE4">
      <w:pPr>
        <w:pStyle w:val="Heading1"/>
      </w:pPr>
      <w:r>
        <w:lastRenderedPageBreak/>
        <w:t>How this fits in</w:t>
      </w:r>
    </w:p>
    <w:p w14:paraId="46F2FECC" w14:textId="77777777" w:rsidR="00C32DE4" w:rsidRDefault="00C32DE4"/>
    <w:p w14:paraId="327A46F5" w14:textId="769FB31C" w:rsidR="00C32DE4" w:rsidRDefault="00977F9A" w:rsidP="00C32DE4">
      <w:pPr>
        <w:pStyle w:val="ListParagraph"/>
        <w:numPr>
          <w:ilvl w:val="0"/>
          <w:numId w:val="5"/>
        </w:numPr>
      </w:pPr>
      <w:bookmarkStart w:id="0" w:name="_Hlk195623565"/>
      <w:r>
        <w:t>Studies show t</w:t>
      </w:r>
      <w:r w:rsidR="00C32DE4">
        <w:t xml:space="preserve">here are differences in how people from different ethnicities experience clinician empathy.  </w:t>
      </w:r>
    </w:p>
    <w:p w14:paraId="164DDE3E" w14:textId="482683B7" w:rsidR="00977F9A" w:rsidRDefault="00977F9A" w:rsidP="00C32DE4">
      <w:pPr>
        <w:pStyle w:val="ListParagraph"/>
        <w:numPr>
          <w:ilvl w:val="0"/>
          <w:numId w:val="5"/>
        </w:numPr>
      </w:pPr>
      <w:r>
        <w:t>These differences are incompletely understood and could impact health disparities.</w:t>
      </w:r>
    </w:p>
    <w:p w14:paraId="5BBCE987" w14:textId="3AE3E83C" w:rsidR="00977F9A" w:rsidRDefault="00977F9A" w:rsidP="00C32DE4">
      <w:pPr>
        <w:pStyle w:val="ListParagraph"/>
        <w:numPr>
          <w:ilvl w:val="0"/>
          <w:numId w:val="5"/>
        </w:numPr>
      </w:pPr>
      <w:r>
        <w:t>This study shows that c</w:t>
      </w:r>
      <w:r w:rsidRPr="005A36CD">
        <w:t xml:space="preserve">ore elements of </w:t>
      </w:r>
      <w:r>
        <w:t xml:space="preserve">clinical </w:t>
      </w:r>
      <w:r w:rsidRPr="005A36CD">
        <w:t xml:space="preserve">empathy </w:t>
      </w:r>
      <w:r>
        <w:t>appear</w:t>
      </w:r>
      <w:r w:rsidRPr="005A36CD">
        <w:t xml:space="preserve"> relevant and similarly valued </w:t>
      </w:r>
      <w:r>
        <w:t xml:space="preserve">by UK adults of </w:t>
      </w:r>
      <w:r w:rsidRPr="005A36CD">
        <w:t xml:space="preserve">Black British, Caucasian, East Asian, and South Asian ethnicities.  </w:t>
      </w:r>
    </w:p>
    <w:p w14:paraId="47E3FA21" w14:textId="1C919EB6" w:rsidR="00977F9A" w:rsidRDefault="00977F9A" w:rsidP="00C32DE4">
      <w:pPr>
        <w:pStyle w:val="ListParagraph"/>
        <w:numPr>
          <w:ilvl w:val="0"/>
          <w:numId w:val="5"/>
        </w:numPr>
      </w:pPr>
      <w:r>
        <w:t>If, as part of broader cultural competence, GPs adopted the skills modelled in this study then empathy could be communicated more effectively to UK patients.</w:t>
      </w:r>
    </w:p>
    <w:bookmarkEnd w:id="0"/>
    <w:p w14:paraId="7D452594" w14:textId="6E4BACD6" w:rsidR="0033772E" w:rsidRDefault="0033772E" w:rsidP="0033772E">
      <w:r>
        <w:br w:type="page"/>
      </w:r>
    </w:p>
    <w:p w14:paraId="60BF887D" w14:textId="77777777" w:rsidR="0033772E" w:rsidRDefault="0033772E" w:rsidP="0033772E">
      <w:pPr>
        <w:pStyle w:val="Heading1"/>
      </w:pPr>
      <w:r>
        <w:lastRenderedPageBreak/>
        <w:t>Introduction</w:t>
      </w:r>
    </w:p>
    <w:p w14:paraId="58084369" w14:textId="51100257" w:rsidR="00596F8E" w:rsidRDefault="00FB76DB" w:rsidP="0033772E">
      <w:r>
        <w:t xml:space="preserve">Clinical empathy involves </w:t>
      </w:r>
      <w:r w:rsidR="00083B83">
        <w:t xml:space="preserve">healthcare </w:t>
      </w:r>
      <w:r w:rsidR="00C64277" w:rsidRPr="00C64277">
        <w:t>practitioner</w:t>
      </w:r>
      <w:r w:rsidR="00083B83">
        <w:t>s</w:t>
      </w:r>
      <w:r w:rsidR="00C64277" w:rsidRPr="00C64277">
        <w:t xml:space="preserve"> putting themselves in </w:t>
      </w:r>
      <w:r w:rsidR="00083B83">
        <w:t xml:space="preserve">their </w:t>
      </w:r>
      <w:r w:rsidR="00C64277" w:rsidRPr="00C64277">
        <w:t xml:space="preserve">patient's position, acknowledging their </w:t>
      </w:r>
      <w:r w:rsidR="00083B83">
        <w:t xml:space="preserve">patient’s </w:t>
      </w:r>
      <w:r w:rsidR="00C64277" w:rsidRPr="00C64277">
        <w:t>feelings, concerns and expectations</w:t>
      </w:r>
      <w:r w:rsidR="00083B83">
        <w:t>,</w:t>
      </w:r>
      <w:r w:rsidR="00C64277" w:rsidRPr="00C64277">
        <w:t xml:space="preserve"> and communicat</w:t>
      </w:r>
      <w:r w:rsidR="00083B83">
        <w:t>ing</w:t>
      </w:r>
      <w:r w:rsidR="00C64277" w:rsidRPr="00C64277">
        <w:t xml:space="preserve"> that understanding </w:t>
      </w:r>
      <w:r w:rsidR="00083B83">
        <w:t>through their behaviour</w:t>
      </w:r>
      <w:r w:rsidR="0043364D">
        <w:t>.</w:t>
      </w:r>
      <w:r w:rsidR="00977F9A">
        <w:rPr>
          <w:noProof/>
        </w:rPr>
        <w:t>(1, 2)</w:t>
      </w:r>
      <w:r w:rsidR="00083B83">
        <w:t xml:space="preserve">  </w:t>
      </w:r>
      <w:r>
        <w:t xml:space="preserve">When </w:t>
      </w:r>
      <w:r w:rsidR="000B7A67">
        <w:t>healthcare practitioners communicate clinical empathy effectively their patients report higher satisfaction with healthcare</w:t>
      </w:r>
      <w:r w:rsidR="00977F9A">
        <w:rPr>
          <w:noProof/>
        </w:rPr>
        <w:t>(3)</w:t>
      </w:r>
      <w:r w:rsidR="00B70F64">
        <w:t xml:space="preserve"> </w:t>
      </w:r>
      <w:r w:rsidR="002B4201">
        <w:t xml:space="preserve">and, </w:t>
      </w:r>
      <w:r w:rsidR="00D37668">
        <w:t>potentially</w:t>
      </w:r>
      <w:r w:rsidR="002B4201">
        <w:t>, improved clinical outcomes</w:t>
      </w:r>
      <w:r w:rsidR="00D37668">
        <w:t xml:space="preserve"> </w:t>
      </w:r>
      <w:r w:rsidR="00AF2FB7">
        <w:t xml:space="preserve">including </w:t>
      </w:r>
      <w:r w:rsidR="00E3280C">
        <w:t xml:space="preserve">reduced </w:t>
      </w:r>
      <w:r w:rsidR="00D37668">
        <w:t>pain</w:t>
      </w:r>
      <w:r w:rsidR="0043364D">
        <w:t>.</w:t>
      </w:r>
      <w:r w:rsidR="00977F9A">
        <w:rPr>
          <w:noProof/>
        </w:rPr>
        <w:t>(4)</w:t>
      </w:r>
      <w:r w:rsidR="002B4201">
        <w:t xml:space="preserve">  </w:t>
      </w:r>
      <w:r w:rsidR="00CD6D22">
        <w:t xml:space="preserve">However, </w:t>
      </w:r>
      <w:r w:rsidR="005122B5">
        <w:t xml:space="preserve">much of the evidence for </w:t>
      </w:r>
      <w:r w:rsidR="00CD6D22">
        <w:t xml:space="preserve">the effects of clinical empathy </w:t>
      </w:r>
      <w:r w:rsidR="00E3280C">
        <w:t xml:space="preserve">rests </w:t>
      </w:r>
      <w:r w:rsidR="005122B5">
        <w:t xml:space="preserve">on </w:t>
      </w:r>
      <w:r w:rsidR="0075546F">
        <w:t xml:space="preserve">data from </w:t>
      </w:r>
      <w:r w:rsidR="00C36717">
        <w:t>W</w:t>
      </w:r>
      <w:r w:rsidR="005122B5">
        <w:t xml:space="preserve">hite </w:t>
      </w:r>
      <w:r w:rsidR="00C36717">
        <w:t xml:space="preserve">Caucasian </w:t>
      </w:r>
      <w:r w:rsidR="007C09A4">
        <w:t>patient</w:t>
      </w:r>
      <w:r w:rsidR="0075546F">
        <w:t>s</w:t>
      </w:r>
      <w:r w:rsidR="0043364D">
        <w:t>.</w:t>
      </w:r>
      <w:r w:rsidR="00977F9A">
        <w:rPr>
          <w:noProof/>
        </w:rPr>
        <w:t>(5)</w:t>
      </w:r>
      <w:r w:rsidR="005122B5">
        <w:t xml:space="preserve">  </w:t>
      </w:r>
    </w:p>
    <w:p w14:paraId="3D5DDFBE" w14:textId="19F96E3A" w:rsidR="006D6264" w:rsidRDefault="00BA4A3B" w:rsidP="0033772E">
      <w:r>
        <w:t xml:space="preserve">Within the </w:t>
      </w:r>
      <w:r w:rsidR="0014007E">
        <w:t xml:space="preserve">broader </w:t>
      </w:r>
      <w:r>
        <w:t xml:space="preserve">context of </w:t>
      </w:r>
      <w:r w:rsidR="0014007E">
        <w:t>complex ethnic health inequalities</w:t>
      </w:r>
      <w:r w:rsidR="00E96B19">
        <w:t xml:space="preserve"> in the </w:t>
      </w:r>
      <w:proofErr w:type="gramStart"/>
      <w:r w:rsidR="00E96B19">
        <w:t>UK</w:t>
      </w:r>
      <w:r w:rsidR="00977F9A">
        <w:rPr>
          <w:noProof/>
        </w:rPr>
        <w:t>(</w:t>
      </w:r>
      <w:proofErr w:type="gramEnd"/>
      <w:r w:rsidR="00977F9A">
        <w:rPr>
          <w:noProof/>
        </w:rPr>
        <w:t>6)</w:t>
      </w:r>
      <w:r w:rsidR="005D3F4A">
        <w:t xml:space="preserve"> </w:t>
      </w:r>
      <w:r w:rsidR="00E96B19">
        <w:t>and globally</w:t>
      </w:r>
      <w:r w:rsidR="00977F9A">
        <w:rPr>
          <w:noProof/>
        </w:rPr>
        <w:t>(7)</w:t>
      </w:r>
      <w:r w:rsidR="00E96B19">
        <w:t xml:space="preserve"> </w:t>
      </w:r>
      <w:r w:rsidR="006D6264">
        <w:t xml:space="preserve">the interaction between ethnicity and clinical empathy is potentially very important but remains poorly understood.  </w:t>
      </w:r>
      <w:r w:rsidR="0084395E">
        <w:t xml:space="preserve">A systematic review of </w:t>
      </w:r>
      <w:r w:rsidR="008B3034">
        <w:t xml:space="preserve">40 </w:t>
      </w:r>
      <w:r w:rsidR="0043364D">
        <w:t xml:space="preserve">US </w:t>
      </w:r>
      <w:r w:rsidR="008B3034">
        <w:t xml:space="preserve">studies </w:t>
      </w:r>
      <w:r w:rsidR="00426273">
        <w:t>found that</w:t>
      </w:r>
      <w:r w:rsidR="001E62C6">
        <w:t>, compared to White patients,</w:t>
      </w:r>
      <w:r w:rsidR="00426273">
        <w:t xml:space="preserve"> Black patients </w:t>
      </w:r>
      <w:r w:rsidR="00830591">
        <w:t xml:space="preserve">reported poorer communication in general </w:t>
      </w:r>
      <w:r w:rsidR="00D9765D">
        <w:t xml:space="preserve">and poorer </w:t>
      </w:r>
      <w:r w:rsidR="0046553D">
        <w:t xml:space="preserve">empathy-related aspects of communication </w:t>
      </w:r>
      <w:r w:rsidR="001D6093">
        <w:t xml:space="preserve">in particular, including </w:t>
      </w:r>
      <w:r w:rsidR="0046553D">
        <w:t xml:space="preserve">positive </w:t>
      </w:r>
      <w:r w:rsidR="00311B71">
        <w:t>talk, partnership building, and participatory decision-making</w:t>
      </w:r>
      <w:r w:rsidR="006D6264">
        <w:t>.</w:t>
      </w:r>
      <w:r w:rsidR="00977F9A">
        <w:rPr>
          <w:noProof/>
        </w:rPr>
        <w:t>(8)</w:t>
      </w:r>
      <w:r w:rsidR="00311B71">
        <w:t xml:space="preserve">  </w:t>
      </w:r>
      <w:r w:rsidR="0043364D">
        <w:t xml:space="preserve">A </w:t>
      </w:r>
      <w:r w:rsidR="004A282A">
        <w:t xml:space="preserve">meta-analytic systematic review </w:t>
      </w:r>
      <w:r w:rsidR="00B91A47">
        <w:t>of</w:t>
      </w:r>
      <w:r w:rsidR="00685784">
        <w:t xml:space="preserve"> 18 studies </w:t>
      </w:r>
      <w:r w:rsidR="00B91A47">
        <w:t>f</w:t>
      </w:r>
      <w:r w:rsidR="00D148EE">
        <w:t>ound that</w:t>
      </w:r>
      <w:r w:rsidR="00685784">
        <w:t xml:space="preserve"> </w:t>
      </w:r>
      <w:r w:rsidR="00904AB3" w:rsidRPr="00904AB3">
        <w:t xml:space="preserve">Black/African American, Asian, </w:t>
      </w:r>
      <w:r w:rsidR="00B55CE3">
        <w:t xml:space="preserve">and </w:t>
      </w:r>
      <w:r w:rsidR="00904AB3" w:rsidRPr="00904AB3">
        <w:t>Native American</w:t>
      </w:r>
      <w:r w:rsidR="00B55CE3">
        <w:t>s</w:t>
      </w:r>
      <w:r w:rsidR="00372609">
        <w:t xml:space="preserve"> </w:t>
      </w:r>
      <w:r w:rsidR="008215A7">
        <w:t xml:space="preserve">perceived their clinician to be less empathetic than did </w:t>
      </w:r>
      <w:r w:rsidR="00372609">
        <w:t>White patients</w:t>
      </w:r>
      <w:r w:rsidR="00D148EE">
        <w:t xml:space="preserve"> and these differences are increasing over time</w:t>
      </w:r>
      <w:r w:rsidR="000F47FA">
        <w:t xml:space="preserve">, although </w:t>
      </w:r>
      <w:r w:rsidR="0043364D">
        <w:t xml:space="preserve">are </w:t>
      </w:r>
      <w:r w:rsidR="00C310EB">
        <w:t>not statistical</w:t>
      </w:r>
      <w:r w:rsidR="0043364D">
        <w:t>ly</w:t>
      </w:r>
      <w:r w:rsidR="00C310EB">
        <w:t xml:space="preserve"> significan</w:t>
      </w:r>
      <w:r w:rsidR="0043364D">
        <w:t>t</w:t>
      </w:r>
      <w:r w:rsidR="006D6264">
        <w:t>.</w:t>
      </w:r>
      <w:r w:rsidR="00977F9A">
        <w:rPr>
          <w:noProof/>
        </w:rPr>
        <w:t>(9)</w:t>
      </w:r>
      <w:r w:rsidR="00C310EB">
        <w:t xml:space="preserve">  </w:t>
      </w:r>
      <w:r w:rsidR="00596F8E">
        <w:t xml:space="preserve">However, </w:t>
      </w:r>
      <w:r w:rsidR="0043364D">
        <w:t xml:space="preserve">the primary </w:t>
      </w:r>
      <w:r w:rsidR="00516CB4">
        <w:t xml:space="preserve">studies </w:t>
      </w:r>
      <w:r w:rsidR="0043364D">
        <w:t xml:space="preserve">in these reviews </w:t>
      </w:r>
      <w:r w:rsidR="00DB3F69">
        <w:t xml:space="preserve">typically </w:t>
      </w:r>
      <w:r w:rsidR="00516CB4">
        <w:t xml:space="preserve">did not </w:t>
      </w:r>
      <w:r w:rsidR="00BC3A21">
        <w:t xml:space="preserve">systematically </w:t>
      </w:r>
      <w:r w:rsidR="00516CB4">
        <w:t>sample patients from diverse ethnic groups</w:t>
      </w:r>
      <w:r w:rsidR="001B3447">
        <w:t>,</w:t>
      </w:r>
      <w:r w:rsidR="00516CB4">
        <w:t xml:space="preserve"> </w:t>
      </w:r>
      <w:r w:rsidR="00CD0372">
        <w:t xml:space="preserve">resulting in </w:t>
      </w:r>
      <w:r w:rsidR="00DD41FC">
        <w:t xml:space="preserve">imbalanced </w:t>
      </w:r>
      <w:r w:rsidR="00412E69">
        <w:t xml:space="preserve">and likely unrepresentative </w:t>
      </w:r>
      <w:r w:rsidR="00DD41FC">
        <w:t xml:space="preserve">samples.  </w:t>
      </w:r>
      <w:r w:rsidR="002C052B">
        <w:t xml:space="preserve">In the UK, patient satisfaction </w:t>
      </w:r>
      <w:r w:rsidR="00CD0372">
        <w:t xml:space="preserve">in the </w:t>
      </w:r>
      <w:r w:rsidR="0043364D">
        <w:t>GP</w:t>
      </w:r>
      <w:r w:rsidR="00CD0372">
        <w:t xml:space="preserve"> Patient Survey </w:t>
      </w:r>
      <w:r w:rsidR="009661B3">
        <w:t xml:space="preserve">is consistently lower among </w:t>
      </w:r>
      <w:r w:rsidR="000F587C">
        <w:t>minoritised ethnicities</w:t>
      </w:r>
      <w:r w:rsidR="00C01705">
        <w:t>;</w:t>
      </w:r>
      <w:r w:rsidR="00FF4C36">
        <w:t xml:space="preserve"> this may be </w:t>
      </w:r>
      <w:r w:rsidR="00AA7DDE">
        <w:t xml:space="preserve">partially </w:t>
      </w:r>
      <w:r w:rsidR="00FF4C36">
        <w:t xml:space="preserve">attributable to </w:t>
      </w:r>
      <w:r w:rsidR="00AA7DDE">
        <w:t>(not) feeling treated with care and concern – a key component of empathy</w:t>
      </w:r>
      <w:r w:rsidR="006D6264">
        <w:t>.</w:t>
      </w:r>
      <w:r w:rsidR="00977F9A">
        <w:rPr>
          <w:noProof/>
        </w:rPr>
        <w:t>(10)</w:t>
      </w:r>
      <w:r w:rsidR="006D6264">
        <w:t xml:space="preserve">  </w:t>
      </w:r>
      <w:r w:rsidR="0005735B">
        <w:t>In summary, t</w:t>
      </w:r>
      <w:r w:rsidR="006D6264">
        <w:t xml:space="preserve">here </w:t>
      </w:r>
      <w:r w:rsidR="001916DC">
        <w:t xml:space="preserve">appear to be </w:t>
      </w:r>
      <w:r w:rsidR="006D6264">
        <w:t>differences in how people from different ethnicities experience clinician empathy.</w:t>
      </w:r>
      <w:r w:rsidR="003836C5">
        <w:rPr>
          <w:noProof/>
        </w:rPr>
        <w:t>(8, 9)</w:t>
      </w:r>
      <w:r w:rsidR="006D6264">
        <w:t xml:space="preserve">  </w:t>
      </w:r>
      <w:r w:rsidR="00C51F7E">
        <w:t xml:space="preserve">Such differences could be explained by clinicians expressing empathy differently to patients of different ethnicities </w:t>
      </w:r>
      <w:r w:rsidR="00800FC1">
        <w:t>(</w:t>
      </w:r>
      <w:r w:rsidR="0008072F">
        <w:t>e.g.</w:t>
      </w:r>
      <w:r w:rsidR="00800FC1">
        <w:t>, due to implicit bias</w:t>
      </w:r>
      <w:r w:rsidR="003836C5">
        <w:rPr>
          <w:noProof/>
          <w:lang w:eastAsia="en-GB"/>
        </w:rPr>
        <w:t>(11, 12)</w:t>
      </w:r>
      <w:r w:rsidR="00800FC1">
        <w:rPr>
          <w:lang w:eastAsia="en-GB"/>
        </w:rPr>
        <w:t xml:space="preserve">) </w:t>
      </w:r>
      <w:r w:rsidR="00C51F7E">
        <w:t xml:space="preserve">and/or </w:t>
      </w:r>
      <w:r w:rsidR="00155D26">
        <w:t xml:space="preserve">there might be </w:t>
      </w:r>
      <w:r w:rsidR="00480B71">
        <w:t xml:space="preserve">fundamental differences in </w:t>
      </w:r>
      <w:r w:rsidR="006D6264">
        <w:t xml:space="preserve">how </w:t>
      </w:r>
      <w:r w:rsidR="00480B71">
        <w:t xml:space="preserve">people from different ethnicities </w:t>
      </w:r>
      <w:r w:rsidR="007A3FA1">
        <w:t xml:space="preserve">perceive </w:t>
      </w:r>
      <w:r w:rsidR="006D6264">
        <w:t xml:space="preserve">similar </w:t>
      </w:r>
      <w:r w:rsidR="007D20DE">
        <w:t xml:space="preserve">expressions of </w:t>
      </w:r>
      <w:r w:rsidR="007A3FA1">
        <w:t xml:space="preserve">clinician empathy during medical consultations.  </w:t>
      </w:r>
    </w:p>
    <w:p w14:paraId="00662953" w14:textId="41F5D829" w:rsidR="00B53C48" w:rsidRDefault="006D6264" w:rsidP="0033772E">
      <w:r>
        <w:t>W</w:t>
      </w:r>
      <w:r w:rsidR="00843BB9">
        <w:t xml:space="preserve">e </w:t>
      </w:r>
      <w:r w:rsidR="004F63F0">
        <w:t xml:space="preserve">aimed to </w:t>
      </w:r>
      <w:r w:rsidR="001D6093">
        <w:t xml:space="preserve">compare </w:t>
      </w:r>
      <w:r w:rsidR="004F63F0">
        <w:t xml:space="preserve">how </w:t>
      </w:r>
      <w:r w:rsidR="001D6093">
        <w:t xml:space="preserve">UK adults </w:t>
      </w:r>
      <w:r w:rsidR="004F63F0">
        <w:t xml:space="preserve">from different ethnicities perceive </w:t>
      </w:r>
      <w:r w:rsidR="000F02BC">
        <w:t>GPs’</w:t>
      </w:r>
      <w:r w:rsidR="004F63F0">
        <w:t xml:space="preserve"> communication of clinical empathy.  </w:t>
      </w:r>
      <w:r w:rsidR="00430216">
        <w:t xml:space="preserve">The objectives were to </w:t>
      </w:r>
      <w:r w:rsidR="00571A52">
        <w:t>test for differences in ratings of clinical empathy between people from four ethnicities: Black</w:t>
      </w:r>
      <w:r w:rsidR="00A57AB4">
        <w:t xml:space="preserve"> British</w:t>
      </w:r>
      <w:r w:rsidR="00571A52">
        <w:t xml:space="preserve">, White Caucasian, </w:t>
      </w:r>
      <w:r w:rsidR="00A57AB4">
        <w:t xml:space="preserve">East </w:t>
      </w:r>
      <w:r w:rsidR="00571A52">
        <w:t>Asian, South Asian</w:t>
      </w:r>
      <w:r>
        <w:t xml:space="preserve">; </w:t>
      </w:r>
      <w:r w:rsidR="00A57AB4">
        <w:t xml:space="preserve">examine </w:t>
      </w:r>
      <w:r w:rsidR="00001B39">
        <w:t xml:space="preserve">how </w:t>
      </w:r>
      <w:r w:rsidR="00A57AB4">
        <w:t xml:space="preserve">any ethnic differences in ratings of clinical empathy </w:t>
      </w:r>
      <w:r w:rsidR="00E65C3B">
        <w:t xml:space="preserve">interact with the level of </w:t>
      </w:r>
      <w:r w:rsidR="00705E79">
        <w:t>clinical empathy</w:t>
      </w:r>
      <w:r w:rsidR="00E65C3B">
        <w:t xml:space="preserve"> shown in a consultation</w:t>
      </w:r>
      <w:r>
        <w:t>;</w:t>
      </w:r>
      <w:r w:rsidR="00705E79">
        <w:t xml:space="preserve"> </w:t>
      </w:r>
      <w:r w:rsidR="00DA51A7">
        <w:t xml:space="preserve">and explore how participants </w:t>
      </w:r>
      <w:r w:rsidR="00BC0B5F">
        <w:t xml:space="preserve">perceive </w:t>
      </w:r>
      <w:r>
        <w:t xml:space="preserve">high- and low-empathy </w:t>
      </w:r>
      <w:r w:rsidR="00BC0B5F">
        <w:t>consultations.</w:t>
      </w:r>
    </w:p>
    <w:p w14:paraId="28D612CB" w14:textId="77777777" w:rsidR="00237FDC" w:rsidRDefault="00237FDC" w:rsidP="0033772E"/>
    <w:p w14:paraId="0F8ACCC0" w14:textId="77777777" w:rsidR="0033772E" w:rsidRDefault="0033772E" w:rsidP="0033772E">
      <w:pPr>
        <w:pStyle w:val="Heading1"/>
      </w:pPr>
      <w:r>
        <w:t>Methods</w:t>
      </w:r>
    </w:p>
    <w:p w14:paraId="6177D519" w14:textId="0BB429DE" w:rsidR="00AD29D7" w:rsidRPr="004D25C9" w:rsidRDefault="00AD29D7" w:rsidP="00AD29D7">
      <w:pPr>
        <w:pStyle w:val="Heading2"/>
        <w:rPr>
          <w:lang w:eastAsia="zh-CN"/>
        </w:rPr>
      </w:pPr>
      <w:r w:rsidRPr="004D25C9">
        <w:rPr>
          <w:lang w:eastAsia="zh-CN"/>
        </w:rPr>
        <w:t>Design</w:t>
      </w:r>
    </w:p>
    <w:p w14:paraId="3F714312" w14:textId="7F3B8CD2" w:rsidR="0086657D" w:rsidRDefault="001D6093" w:rsidP="0086657D">
      <w:r>
        <w:t xml:space="preserve">A </w:t>
      </w:r>
      <w:r w:rsidR="0086657D">
        <w:t xml:space="preserve">vignette-based approach </w:t>
      </w:r>
      <w:r>
        <w:t xml:space="preserve">tested </w:t>
      </w:r>
      <w:r w:rsidR="000F02BC">
        <w:t xml:space="preserve">how the same </w:t>
      </w:r>
      <w:r w:rsidR="006D6264">
        <w:t xml:space="preserve">empathy </w:t>
      </w:r>
      <w:r w:rsidR="00C80821">
        <w:t xml:space="preserve">behaviours </w:t>
      </w:r>
      <w:r w:rsidR="00C63484">
        <w:t xml:space="preserve">performed by the same clinicians </w:t>
      </w:r>
      <w:r w:rsidR="000F02BC">
        <w:t xml:space="preserve">were perceived by people from different </w:t>
      </w:r>
      <w:proofErr w:type="gramStart"/>
      <w:r w:rsidR="000F02BC">
        <w:t>ethnicities</w:t>
      </w:r>
      <w:r w:rsidR="0070598F">
        <w:t>.</w:t>
      </w:r>
      <w:r w:rsidR="003836C5">
        <w:rPr>
          <w:noProof/>
        </w:rPr>
        <w:t>(</w:t>
      </w:r>
      <w:proofErr w:type="gramEnd"/>
      <w:r w:rsidR="003836C5">
        <w:rPr>
          <w:noProof/>
        </w:rPr>
        <w:t>13)</w:t>
      </w:r>
      <w:r w:rsidR="000F02BC">
        <w:t xml:space="preserve">  </w:t>
      </w:r>
    </w:p>
    <w:p w14:paraId="30FB737C" w14:textId="6A2CD51E" w:rsidR="00BF38E3" w:rsidRDefault="000F5E21" w:rsidP="00920DB6">
      <w:pPr>
        <w:rPr>
          <w:lang w:eastAsia="en-GB"/>
        </w:rPr>
      </w:pPr>
      <w:r>
        <w:rPr>
          <w:lang w:eastAsia="en-GB"/>
        </w:rPr>
        <w:t>A 2</w:t>
      </w:r>
      <w:r w:rsidR="00E506EF">
        <w:rPr>
          <w:lang w:eastAsia="en-GB"/>
        </w:rPr>
        <w:t>x4</w:t>
      </w:r>
      <w:r>
        <w:rPr>
          <w:lang w:eastAsia="en-GB"/>
        </w:rPr>
        <w:t xml:space="preserve"> </w:t>
      </w:r>
      <w:r w:rsidR="00E05E9D">
        <w:rPr>
          <w:lang w:eastAsia="en-GB"/>
        </w:rPr>
        <w:t>between</w:t>
      </w:r>
      <w:r w:rsidR="001513CD">
        <w:rPr>
          <w:lang w:eastAsia="en-GB"/>
        </w:rPr>
        <w:t xml:space="preserve">-participants </w:t>
      </w:r>
      <w:r>
        <w:rPr>
          <w:lang w:eastAsia="en-GB"/>
        </w:rPr>
        <w:t xml:space="preserve">experiment was </w:t>
      </w:r>
      <w:r w:rsidR="00A80E7B">
        <w:rPr>
          <w:lang w:eastAsia="en-GB"/>
        </w:rPr>
        <w:t xml:space="preserve">completed by </w:t>
      </w:r>
      <w:r w:rsidR="006D6264">
        <w:rPr>
          <w:lang w:eastAsia="en-GB"/>
        </w:rPr>
        <w:t>UK adults</w:t>
      </w:r>
      <w:r w:rsidR="00E506EF">
        <w:rPr>
          <w:lang w:eastAsia="en-GB"/>
        </w:rPr>
        <w:t xml:space="preserve">.  </w:t>
      </w:r>
      <w:r w:rsidR="002B4C1E">
        <w:rPr>
          <w:lang w:eastAsia="en-GB"/>
        </w:rPr>
        <w:t>The independent variables were</w:t>
      </w:r>
      <w:r w:rsidR="003E29DE">
        <w:rPr>
          <w:lang w:eastAsia="en-GB"/>
        </w:rPr>
        <w:t xml:space="preserve"> participant ethnicity (4 </w:t>
      </w:r>
      <w:r w:rsidR="00920DB6">
        <w:rPr>
          <w:lang w:eastAsia="en-GB"/>
        </w:rPr>
        <w:t>levels</w:t>
      </w:r>
      <w:r w:rsidR="003E29DE">
        <w:rPr>
          <w:lang w:eastAsia="en-GB"/>
        </w:rPr>
        <w:t xml:space="preserve">:  </w:t>
      </w:r>
      <w:r w:rsidR="00612EB1">
        <w:t>Black British, Caucasian, East Asian, South Asian</w:t>
      </w:r>
      <w:r w:rsidR="003E29DE">
        <w:rPr>
          <w:lang w:eastAsia="en-GB"/>
        </w:rPr>
        <w:t xml:space="preserve">) </w:t>
      </w:r>
      <w:r w:rsidR="00E40D32">
        <w:rPr>
          <w:lang w:eastAsia="en-GB"/>
        </w:rPr>
        <w:t xml:space="preserve">and </w:t>
      </w:r>
      <w:r w:rsidR="00920DB6">
        <w:rPr>
          <w:lang w:eastAsia="en-GB"/>
        </w:rPr>
        <w:t xml:space="preserve">consultation style (2 levels: </w:t>
      </w:r>
      <w:r w:rsidR="00920DB6" w:rsidRPr="00920DB6">
        <w:rPr>
          <w:lang w:eastAsia="en-GB"/>
        </w:rPr>
        <w:t>enhanced</w:t>
      </w:r>
      <w:r w:rsidR="00F71A0A">
        <w:rPr>
          <w:lang w:eastAsia="en-GB"/>
        </w:rPr>
        <w:t>, with high levels of</w:t>
      </w:r>
      <w:r w:rsidR="00920DB6" w:rsidRPr="00920DB6">
        <w:rPr>
          <w:lang w:eastAsia="en-GB"/>
        </w:rPr>
        <w:t xml:space="preserve"> empathy and optimism</w:t>
      </w:r>
      <w:r w:rsidR="00920DB6">
        <w:rPr>
          <w:lang w:eastAsia="en-GB"/>
        </w:rPr>
        <w:t>;</w:t>
      </w:r>
      <w:r w:rsidR="00920DB6" w:rsidRPr="00920DB6">
        <w:rPr>
          <w:lang w:eastAsia="en-GB"/>
        </w:rPr>
        <w:t xml:space="preserve"> </w:t>
      </w:r>
      <w:r w:rsidR="00254D8B">
        <w:rPr>
          <w:lang w:eastAsia="en-GB"/>
        </w:rPr>
        <w:t>standard</w:t>
      </w:r>
      <w:r w:rsidR="00F71A0A">
        <w:rPr>
          <w:lang w:eastAsia="en-GB"/>
        </w:rPr>
        <w:t>, with limited</w:t>
      </w:r>
      <w:r w:rsidR="00254D8B">
        <w:rPr>
          <w:lang w:eastAsia="en-GB"/>
        </w:rPr>
        <w:t xml:space="preserve"> </w:t>
      </w:r>
      <w:r w:rsidR="00920DB6" w:rsidRPr="00920DB6">
        <w:rPr>
          <w:lang w:eastAsia="en-GB"/>
        </w:rPr>
        <w:t xml:space="preserve">empathy and optimism).  </w:t>
      </w:r>
      <w:r w:rsidR="002B4C1E">
        <w:rPr>
          <w:lang w:eastAsia="en-GB"/>
        </w:rPr>
        <w:t xml:space="preserve">The dependent variable </w:t>
      </w:r>
      <w:r w:rsidR="001513CD">
        <w:rPr>
          <w:lang w:eastAsia="en-GB"/>
        </w:rPr>
        <w:t xml:space="preserve">was </w:t>
      </w:r>
      <w:r w:rsidR="00920DB6">
        <w:rPr>
          <w:lang w:eastAsia="en-GB"/>
        </w:rPr>
        <w:t>participant perceptions of clinician empathy</w:t>
      </w:r>
      <w:r w:rsidR="002B4C1E">
        <w:rPr>
          <w:lang w:eastAsia="en-GB"/>
        </w:rPr>
        <w:t xml:space="preserve">.  </w:t>
      </w:r>
      <w:r w:rsidR="00254D8B">
        <w:rPr>
          <w:lang w:eastAsia="en-GB"/>
        </w:rPr>
        <w:t xml:space="preserve">Covariates were consultation gender (female patient and GP; male patient and GP) and participant gender (female; male).  </w:t>
      </w:r>
    </w:p>
    <w:p w14:paraId="679AFB11" w14:textId="2100938C" w:rsidR="00F017E5" w:rsidRDefault="00F017E5" w:rsidP="00920DB6">
      <w:pPr>
        <w:rPr>
          <w:lang w:eastAsia="en-GB"/>
        </w:rPr>
      </w:pPr>
      <w:r>
        <w:rPr>
          <w:lang w:eastAsia="en-GB"/>
        </w:rPr>
        <w:t xml:space="preserve">The experiment was hosted on Qualtrics, a </w:t>
      </w:r>
      <w:r w:rsidR="00370935">
        <w:rPr>
          <w:lang w:eastAsia="en-GB"/>
        </w:rPr>
        <w:t>cloud</w:t>
      </w:r>
      <w:r>
        <w:rPr>
          <w:lang w:eastAsia="en-GB"/>
        </w:rPr>
        <w:t>-based survey platform</w:t>
      </w:r>
      <w:r w:rsidR="00F15A7F">
        <w:rPr>
          <w:lang w:eastAsia="en-GB"/>
        </w:rPr>
        <w:t xml:space="preserve"> </w:t>
      </w:r>
      <w:r w:rsidR="000B4E87">
        <w:rPr>
          <w:lang w:eastAsia="en-GB"/>
        </w:rPr>
        <w:t xml:space="preserve">that enabled us to </w:t>
      </w:r>
      <w:r w:rsidR="00ED74FA">
        <w:rPr>
          <w:lang w:eastAsia="en-GB"/>
        </w:rPr>
        <w:t xml:space="preserve">display </w:t>
      </w:r>
      <w:r w:rsidR="0048180A">
        <w:rPr>
          <w:lang w:eastAsia="en-GB"/>
        </w:rPr>
        <w:t xml:space="preserve">participant information sheets and </w:t>
      </w:r>
      <w:r w:rsidR="00ED74FA">
        <w:rPr>
          <w:lang w:eastAsia="en-GB"/>
        </w:rPr>
        <w:t xml:space="preserve">document </w:t>
      </w:r>
      <w:r w:rsidR="0048180A">
        <w:rPr>
          <w:lang w:eastAsia="en-GB"/>
        </w:rPr>
        <w:t xml:space="preserve">informed consent; </w:t>
      </w:r>
      <w:r w:rsidR="00F15A7F">
        <w:rPr>
          <w:lang w:eastAsia="en-GB"/>
        </w:rPr>
        <w:t>display</w:t>
      </w:r>
      <w:r w:rsidR="000B4E87">
        <w:rPr>
          <w:lang w:eastAsia="en-GB"/>
        </w:rPr>
        <w:t xml:space="preserve"> films</w:t>
      </w:r>
      <w:r w:rsidR="00F15A7F">
        <w:rPr>
          <w:lang w:eastAsia="en-GB"/>
        </w:rPr>
        <w:t xml:space="preserve"> </w:t>
      </w:r>
      <w:r w:rsidR="009C01BC">
        <w:rPr>
          <w:lang w:eastAsia="en-GB"/>
        </w:rPr>
        <w:t>to participants</w:t>
      </w:r>
      <w:r w:rsidR="004F1092">
        <w:rPr>
          <w:lang w:eastAsia="en-GB"/>
        </w:rPr>
        <w:t>;</w:t>
      </w:r>
      <w:r w:rsidR="003E44B0">
        <w:rPr>
          <w:lang w:eastAsia="en-GB"/>
        </w:rPr>
        <w:t xml:space="preserve"> </w:t>
      </w:r>
      <w:r w:rsidR="00B63DEB">
        <w:rPr>
          <w:lang w:eastAsia="en-GB"/>
        </w:rPr>
        <w:lastRenderedPageBreak/>
        <w:t xml:space="preserve">randomly </w:t>
      </w:r>
      <w:r w:rsidR="000B4E87">
        <w:rPr>
          <w:lang w:eastAsia="en-GB"/>
        </w:rPr>
        <w:t xml:space="preserve">allocate </w:t>
      </w:r>
      <w:r w:rsidR="00B63DEB">
        <w:rPr>
          <w:lang w:eastAsia="en-GB"/>
        </w:rPr>
        <w:t xml:space="preserve">participants to different </w:t>
      </w:r>
      <w:r w:rsidR="000B4E87">
        <w:rPr>
          <w:lang w:eastAsia="en-GB"/>
        </w:rPr>
        <w:t>films</w:t>
      </w:r>
      <w:r w:rsidR="00B63DEB">
        <w:rPr>
          <w:lang w:eastAsia="en-GB"/>
        </w:rPr>
        <w:t xml:space="preserve">; </w:t>
      </w:r>
      <w:r w:rsidR="00633AF1">
        <w:rPr>
          <w:lang w:eastAsia="en-GB"/>
        </w:rPr>
        <w:t xml:space="preserve">collect responses to </w:t>
      </w:r>
      <w:r w:rsidR="007E4B9E">
        <w:rPr>
          <w:lang w:eastAsia="en-GB"/>
        </w:rPr>
        <w:t xml:space="preserve">closed </w:t>
      </w:r>
      <w:r w:rsidR="000E1C57">
        <w:rPr>
          <w:lang w:eastAsia="en-GB"/>
        </w:rPr>
        <w:t xml:space="preserve">and open-ended </w:t>
      </w:r>
      <w:r w:rsidR="00F53F0A">
        <w:rPr>
          <w:lang w:eastAsia="en-GB"/>
        </w:rPr>
        <w:t>questions</w:t>
      </w:r>
      <w:r w:rsidR="004450A9">
        <w:rPr>
          <w:lang w:eastAsia="en-GB"/>
        </w:rPr>
        <w:t>;</w:t>
      </w:r>
      <w:r w:rsidR="007506EF">
        <w:rPr>
          <w:lang w:eastAsia="en-GB"/>
        </w:rPr>
        <w:t xml:space="preserve"> </w:t>
      </w:r>
      <w:r w:rsidR="000E1C57">
        <w:rPr>
          <w:lang w:eastAsia="en-GB"/>
        </w:rPr>
        <w:t xml:space="preserve">seamlessly recruit from an </w:t>
      </w:r>
      <w:r w:rsidR="004F1092">
        <w:rPr>
          <w:lang w:eastAsia="en-GB"/>
        </w:rPr>
        <w:t>online participant pool</w:t>
      </w:r>
      <w:r w:rsidR="00633AF1">
        <w:rPr>
          <w:lang w:eastAsia="en-GB"/>
        </w:rPr>
        <w:t>.</w:t>
      </w:r>
    </w:p>
    <w:p w14:paraId="6664B927" w14:textId="71E085CC" w:rsidR="00770A9E" w:rsidRDefault="009C0341" w:rsidP="009C0341">
      <w:pPr>
        <w:pStyle w:val="Heading2"/>
      </w:pPr>
      <w:r>
        <w:t>Participants</w:t>
      </w:r>
    </w:p>
    <w:p w14:paraId="4EF733B8" w14:textId="62DB470A" w:rsidR="00A8422F" w:rsidRDefault="00A7700E" w:rsidP="00650D2B">
      <w:r>
        <w:t xml:space="preserve">Inclusion </w:t>
      </w:r>
      <w:r w:rsidR="00FB52A2">
        <w:t xml:space="preserve">criteria were </w:t>
      </w:r>
      <w:r w:rsidR="00314D7D">
        <w:t xml:space="preserve">UK adults </w:t>
      </w:r>
      <w:r w:rsidR="006D6264">
        <w:t>(</w:t>
      </w:r>
      <w:r w:rsidR="00314D7D">
        <w:t xml:space="preserve">18 years and older) </w:t>
      </w:r>
      <w:r w:rsidR="006C7537">
        <w:t xml:space="preserve">of </w:t>
      </w:r>
      <w:r w:rsidR="001E7588">
        <w:t xml:space="preserve">Black British, </w:t>
      </w:r>
      <w:r w:rsidR="006C7537">
        <w:t xml:space="preserve">White </w:t>
      </w:r>
      <w:r w:rsidR="001E7588">
        <w:t>Caucasian, Eas</w:t>
      </w:r>
      <w:r w:rsidR="00355B62">
        <w:t xml:space="preserve">t Asian, </w:t>
      </w:r>
      <w:r w:rsidR="006C7537">
        <w:t xml:space="preserve">or </w:t>
      </w:r>
      <w:r w:rsidR="00355B62">
        <w:t>South Asian</w:t>
      </w:r>
      <w:r w:rsidR="006C7537">
        <w:t xml:space="preserve"> ethnicity</w:t>
      </w:r>
      <w:r w:rsidR="00FB52A2">
        <w:t xml:space="preserve">.  </w:t>
      </w:r>
      <w:r>
        <w:t>Participants</w:t>
      </w:r>
      <w:r w:rsidR="006C7537">
        <w:t xml:space="preserve"> were </w:t>
      </w:r>
      <w:r w:rsidR="00E53A33">
        <w:t xml:space="preserve">recruited </w:t>
      </w:r>
      <w:r w:rsidR="006D6264">
        <w:t xml:space="preserve">via </w:t>
      </w:r>
      <w:r w:rsidR="00E53A33">
        <w:t>Prolific</w:t>
      </w:r>
      <w:r w:rsidR="00FC6923">
        <w:t xml:space="preserve"> (</w:t>
      </w:r>
      <w:hyperlink r:id="rId11" w:history="1">
        <w:r w:rsidR="00FC6923" w:rsidRPr="00826AC3">
          <w:rPr>
            <w:rStyle w:val="Hyperlink"/>
          </w:rPr>
          <w:t>www.prolific.com</w:t>
        </w:r>
      </w:hyperlink>
      <w:r w:rsidR="00FC6923">
        <w:t xml:space="preserve">) [accessed 28.02.25]. </w:t>
      </w:r>
      <w:r w:rsidR="009C26DB">
        <w:t xml:space="preserve"> </w:t>
      </w:r>
      <w:r>
        <w:t xml:space="preserve">Prolific is </w:t>
      </w:r>
      <w:r w:rsidR="00A24741">
        <w:t xml:space="preserve">an online </w:t>
      </w:r>
      <w:r w:rsidR="008A5C7E">
        <w:t xml:space="preserve">research </w:t>
      </w:r>
      <w:r w:rsidR="002661C0">
        <w:t xml:space="preserve">participant pool </w:t>
      </w:r>
      <w:r w:rsidR="008A7C5B">
        <w:t xml:space="preserve">providing </w:t>
      </w:r>
      <w:r w:rsidR="00D97BE8">
        <w:t xml:space="preserve">quick </w:t>
      </w:r>
      <w:r w:rsidR="008A7C5B">
        <w:t xml:space="preserve">access to </w:t>
      </w:r>
      <w:r w:rsidR="00D97BE8">
        <w:t xml:space="preserve">a large pool of </w:t>
      </w:r>
      <w:r w:rsidR="005E0CEF">
        <w:t xml:space="preserve">adults (over 18) </w:t>
      </w:r>
      <w:r w:rsidR="002F6C20">
        <w:t xml:space="preserve">seeking </w:t>
      </w:r>
      <w:r w:rsidR="00F30352">
        <w:t xml:space="preserve">online surveys </w:t>
      </w:r>
      <w:r w:rsidR="005E0CEF">
        <w:t>for payment</w:t>
      </w:r>
      <w:r w:rsidR="005D1681">
        <w:t>.</w:t>
      </w:r>
      <w:r w:rsidR="005E0CEF">
        <w:t xml:space="preserve"> </w:t>
      </w:r>
      <w:r w:rsidR="005D1681">
        <w:t xml:space="preserve"> </w:t>
      </w:r>
      <w:r w:rsidR="007A7B9C">
        <w:t>Prolific</w:t>
      </w:r>
      <w:r w:rsidR="00A52798">
        <w:t xml:space="preserve"> verifies</w:t>
      </w:r>
      <w:r w:rsidR="007A7B9C">
        <w:t xml:space="preserve"> </w:t>
      </w:r>
      <w:r w:rsidR="00EA05CD">
        <w:t>email address, phone number, and photo ID, helping enhance the trustworthiness of this participant pool.  Prolific outperform</w:t>
      </w:r>
      <w:r w:rsidR="00DE70C8">
        <w:t>s</w:t>
      </w:r>
      <w:r w:rsidR="00EA05CD">
        <w:t xml:space="preserve"> other crowdsourcing online participant pools in terms of data </w:t>
      </w:r>
      <w:proofErr w:type="gramStart"/>
      <w:r w:rsidR="00EA05CD">
        <w:t>quality.</w:t>
      </w:r>
      <w:r w:rsidR="003836C5">
        <w:rPr>
          <w:noProof/>
        </w:rPr>
        <w:t>(</w:t>
      </w:r>
      <w:proofErr w:type="gramEnd"/>
      <w:r w:rsidR="003836C5">
        <w:rPr>
          <w:noProof/>
        </w:rPr>
        <w:t>14)</w:t>
      </w:r>
      <w:r w:rsidR="00EA05CD">
        <w:t xml:space="preserve">  </w:t>
      </w:r>
    </w:p>
    <w:p w14:paraId="7D16F4AC" w14:textId="406353A0" w:rsidR="00650D2B" w:rsidRDefault="005E0CEF" w:rsidP="00650D2B">
      <w:pPr>
        <w:rPr>
          <w:lang w:eastAsia="en-GB"/>
        </w:rPr>
      </w:pPr>
      <w:r>
        <w:t>We use</w:t>
      </w:r>
      <w:r w:rsidR="006430F8">
        <w:t>d</w:t>
      </w:r>
      <w:r>
        <w:t xml:space="preserve"> </w:t>
      </w:r>
      <w:proofErr w:type="spellStart"/>
      <w:r w:rsidR="006430F8">
        <w:t>Prolific’s</w:t>
      </w:r>
      <w:proofErr w:type="spellEnd"/>
      <w:r w:rsidR="006430F8">
        <w:t xml:space="preserve"> </w:t>
      </w:r>
      <w:r>
        <w:t>pre</w:t>
      </w:r>
      <w:r w:rsidR="006430F8">
        <w:t>-</w:t>
      </w:r>
      <w:r>
        <w:t xml:space="preserve">screening function to invite </w:t>
      </w:r>
      <w:r w:rsidR="006430F8">
        <w:t>participant pool members likely to meet our inclusion criteria.</w:t>
      </w:r>
      <w:r w:rsidR="005D1681">
        <w:t xml:space="preserve">  </w:t>
      </w:r>
      <w:r w:rsidR="009C26DB">
        <w:t xml:space="preserve">Eligibility was </w:t>
      </w:r>
      <w:r w:rsidR="006C7537">
        <w:t xml:space="preserve">confirmed </w:t>
      </w:r>
      <w:r w:rsidR="0033008C">
        <w:t>via screening questions on Qualtrics</w:t>
      </w:r>
      <w:r w:rsidR="00DB01C2">
        <w:t>,</w:t>
      </w:r>
      <w:r w:rsidR="0033008C">
        <w:t xml:space="preserve"> presented immediately after the participant information sheet and consent.</w:t>
      </w:r>
      <w:r w:rsidR="00650D2B" w:rsidRPr="00650D2B">
        <w:rPr>
          <w:lang w:eastAsia="en-GB"/>
        </w:rPr>
        <w:t xml:space="preserve"> </w:t>
      </w:r>
      <w:r w:rsidR="00074349">
        <w:rPr>
          <w:lang w:eastAsia="en-GB"/>
        </w:rPr>
        <w:t xml:space="preserve"> No support was </w:t>
      </w:r>
      <w:r w:rsidR="0000654B">
        <w:rPr>
          <w:lang w:eastAsia="en-GB"/>
        </w:rPr>
        <w:t xml:space="preserve">provided </w:t>
      </w:r>
      <w:r w:rsidR="00074349">
        <w:rPr>
          <w:lang w:eastAsia="en-GB"/>
        </w:rPr>
        <w:t xml:space="preserve">for participants with </w:t>
      </w:r>
      <w:r w:rsidR="00224E76">
        <w:rPr>
          <w:lang w:eastAsia="en-GB"/>
        </w:rPr>
        <w:t>low English proficiency.</w:t>
      </w:r>
    </w:p>
    <w:p w14:paraId="6137F601" w14:textId="0B7A23A0" w:rsidR="0027477B" w:rsidRDefault="006D6264" w:rsidP="00920DB6">
      <w:r>
        <w:t xml:space="preserve">Without </w:t>
      </w:r>
      <w:r w:rsidR="002821E4">
        <w:t xml:space="preserve">sufficiently </w:t>
      </w:r>
      <w:r w:rsidR="00355B62">
        <w:t xml:space="preserve">similar work </w:t>
      </w:r>
      <w:r>
        <w:t xml:space="preserve">to inform </w:t>
      </w:r>
      <w:r w:rsidR="00355B62">
        <w:t xml:space="preserve">a </w:t>
      </w:r>
      <w:r w:rsidR="001D6093">
        <w:t xml:space="preserve">power </w:t>
      </w:r>
      <w:r w:rsidR="00355B62">
        <w:t xml:space="preserve">calculation, we assumed a medium effect size of ethnicity on </w:t>
      </w:r>
      <w:r w:rsidR="002821E4">
        <w:t>perceptions of clinician empathy</w:t>
      </w:r>
      <w:r w:rsidR="00FD590A">
        <w:t xml:space="preserve">. </w:t>
      </w:r>
      <w:r w:rsidR="00F62E99">
        <w:t>T</w:t>
      </w:r>
      <w:r w:rsidR="002821E4">
        <w:t xml:space="preserve">o detect a medium effect size </w:t>
      </w:r>
      <w:r w:rsidR="002B2C90">
        <w:t>(</w:t>
      </w:r>
      <w:r w:rsidR="00FD590A">
        <w:t>f=.25</w:t>
      </w:r>
      <w:r w:rsidR="002B2C90">
        <w:t>)</w:t>
      </w:r>
      <w:r w:rsidR="00FD590A">
        <w:t xml:space="preserve"> </w:t>
      </w:r>
      <w:r w:rsidR="002821E4">
        <w:t xml:space="preserve">in </w:t>
      </w:r>
      <w:r w:rsidR="00E534EC">
        <w:t>one-way</w:t>
      </w:r>
      <w:r w:rsidR="002821E4">
        <w:t xml:space="preserve"> ANOVA with 4 groups </w:t>
      </w:r>
      <w:r w:rsidR="00BD2687">
        <w:t xml:space="preserve">at alpha = .05 </w:t>
      </w:r>
      <w:r w:rsidR="002821E4">
        <w:t xml:space="preserve">requires </w:t>
      </w:r>
      <w:r w:rsidR="00BD2687">
        <w:t xml:space="preserve">45 participants per </w:t>
      </w:r>
      <w:proofErr w:type="gramStart"/>
      <w:r w:rsidR="00BD2687">
        <w:t>group</w:t>
      </w:r>
      <w:r>
        <w:t>.</w:t>
      </w:r>
      <w:r w:rsidR="003836C5">
        <w:rPr>
          <w:noProof/>
        </w:rPr>
        <w:t>(</w:t>
      </w:r>
      <w:proofErr w:type="gramEnd"/>
      <w:r w:rsidR="003836C5">
        <w:rPr>
          <w:noProof/>
        </w:rPr>
        <w:t>15)</w:t>
      </w:r>
      <w:r w:rsidR="00BD2687">
        <w:t xml:space="preserve">  </w:t>
      </w:r>
    </w:p>
    <w:p w14:paraId="51B8E0C8" w14:textId="22AEE93C" w:rsidR="00EE3554" w:rsidRDefault="00EE3554" w:rsidP="00EE3554">
      <w:pPr>
        <w:pStyle w:val="Heading2"/>
      </w:pPr>
      <w:r>
        <w:t>Materials</w:t>
      </w:r>
    </w:p>
    <w:p w14:paraId="7C722E80" w14:textId="77777777" w:rsidR="00927EEF" w:rsidRDefault="005D4D54" w:rsidP="00C65DAB">
      <w:pPr>
        <w:pStyle w:val="Heading3"/>
      </w:pPr>
      <w:r>
        <w:t>Measures</w:t>
      </w:r>
    </w:p>
    <w:p w14:paraId="1B707AB7" w14:textId="33DE8919" w:rsidR="00170C66" w:rsidRDefault="007878DC" w:rsidP="008A4872">
      <w:r>
        <w:t xml:space="preserve">Participants reported </w:t>
      </w:r>
      <w:r w:rsidR="00E9442D">
        <w:t>age (in years)</w:t>
      </w:r>
      <w:r>
        <w:t>,</w:t>
      </w:r>
      <w:r w:rsidR="00E9442D">
        <w:t xml:space="preserve"> gender (Male, Female, I define myself in another way, I </w:t>
      </w:r>
      <w:r w:rsidR="00782BF6">
        <w:t>p</w:t>
      </w:r>
      <w:r w:rsidR="00E9442D">
        <w:t>refer not to say)</w:t>
      </w:r>
      <w:r>
        <w:t>, ethnicity</w:t>
      </w:r>
      <w:r w:rsidR="006D6264">
        <w:t xml:space="preserve">, </w:t>
      </w:r>
      <w:r w:rsidR="00326CE9">
        <w:t xml:space="preserve">highest level of education completed, </w:t>
      </w:r>
      <w:r w:rsidR="001F4A44">
        <w:t xml:space="preserve">global </w:t>
      </w:r>
      <w:r w:rsidR="004E2C58">
        <w:t>subjective health (</w:t>
      </w:r>
      <w:r w:rsidR="00873D58">
        <w:t>Excellent, Very Good, Good, Fair</w:t>
      </w:r>
      <w:r w:rsidR="00782BF6">
        <w:t>,</w:t>
      </w:r>
      <w:r w:rsidR="00873D58">
        <w:t xml:space="preserve"> Poor</w:t>
      </w:r>
      <w:r w:rsidR="004E2C58">
        <w:t xml:space="preserve">), </w:t>
      </w:r>
      <w:r w:rsidR="001F4A44">
        <w:t>and whether they had osteoarthritis or cared for someone with osteoarthritis</w:t>
      </w:r>
      <w:r w:rsidR="000A6E9B">
        <w:t>.</w:t>
      </w:r>
      <w:r w:rsidR="00784076">
        <w:t xml:space="preserve"> These items were chosen to facilitate sample description and comparison with the UK population</w:t>
      </w:r>
      <w:r w:rsidR="00F972FB">
        <w:t xml:space="preserve">; additional measures of socioeconomic status were not collected to minimise </w:t>
      </w:r>
      <w:r w:rsidR="00927EEF">
        <w:t>participant</w:t>
      </w:r>
      <w:r w:rsidR="00FD54A4">
        <w:t xml:space="preserve"> </w:t>
      </w:r>
      <w:r w:rsidR="00F972FB">
        <w:t>burden.</w:t>
      </w:r>
    </w:p>
    <w:p w14:paraId="44963F77" w14:textId="32EA3040" w:rsidR="008D2FDE" w:rsidRDefault="00873D58" w:rsidP="006047CE">
      <w:r>
        <w:t xml:space="preserve">The </w:t>
      </w:r>
      <w:r w:rsidR="008D2FDE">
        <w:t xml:space="preserve">validated and reliable </w:t>
      </w:r>
      <w:r w:rsidR="00B50E99">
        <w:t xml:space="preserve">10-item </w:t>
      </w:r>
      <w:r>
        <w:t xml:space="preserve">Consultation and Relational Empathy (CARE) </w:t>
      </w:r>
      <w:r w:rsidR="00A03A6B">
        <w:t xml:space="preserve">scale </w:t>
      </w:r>
      <w:r w:rsidR="006047CE">
        <w:t>measure</w:t>
      </w:r>
      <w:r w:rsidR="006D6264">
        <w:t>d</w:t>
      </w:r>
      <w:r>
        <w:t xml:space="preserve"> participants’ ratings of </w:t>
      </w:r>
      <w:r w:rsidR="007878DC">
        <w:t xml:space="preserve">the </w:t>
      </w:r>
      <w:r w:rsidR="006D6264">
        <w:t xml:space="preserve">GP’s </w:t>
      </w:r>
      <w:r>
        <w:t>clinical empathy</w:t>
      </w:r>
      <w:r w:rsidR="00B50E99">
        <w:t xml:space="preserve"> in the </w:t>
      </w:r>
      <w:r w:rsidR="001D6093">
        <w:t>filmed consultation</w:t>
      </w:r>
      <w:r w:rsidR="006D6264">
        <w:t>.</w:t>
      </w:r>
      <w:r w:rsidR="003836C5">
        <w:rPr>
          <w:noProof/>
        </w:rPr>
        <w:t>(16)</w:t>
      </w:r>
      <w:r w:rsidR="00A03A6B">
        <w:t xml:space="preserve"> </w:t>
      </w:r>
      <w:r>
        <w:t xml:space="preserve"> </w:t>
      </w:r>
      <w:r w:rsidR="006047CE">
        <w:t xml:space="preserve">Each </w:t>
      </w:r>
      <w:r w:rsidR="00575CFF">
        <w:t xml:space="preserve">item </w:t>
      </w:r>
      <w:r w:rsidR="006047CE">
        <w:t>has six response options: “Poor”, “Fair”, “Good”, “Very Good”, “Excellent” and “Does not apply</w:t>
      </w:r>
      <w:r w:rsidR="008D2FDE">
        <w:t>;</w:t>
      </w:r>
      <w:r w:rsidR="006047CE">
        <w:t>”</w:t>
      </w:r>
      <w:r w:rsidR="008D2FDE">
        <w:t xml:space="preserve"> responses were </w:t>
      </w:r>
      <w:r w:rsidR="00575CFF">
        <w:t>converted to a numerical score and summed to produce an overall rating of clinical empathy ranging from 0 (none) to 50 (high)</w:t>
      </w:r>
      <w:r w:rsidR="00917CD0">
        <w:t>.  “Do</w:t>
      </w:r>
      <w:r w:rsidR="006D6264">
        <w:t>es</w:t>
      </w:r>
      <w:r w:rsidR="00917CD0">
        <w:t xml:space="preserve"> not apply” responses were replaced with the participant’s average response across completed items.  </w:t>
      </w:r>
      <w:r w:rsidR="006047CE">
        <w:t xml:space="preserve">The </w:t>
      </w:r>
      <w:r w:rsidR="006D6264">
        <w:t xml:space="preserve">CARE’s </w:t>
      </w:r>
      <w:r w:rsidR="006047CE">
        <w:t xml:space="preserve">internal </w:t>
      </w:r>
      <w:r w:rsidR="001D6093">
        <w:t xml:space="preserve">consistency </w:t>
      </w:r>
      <w:r w:rsidR="00222DF8">
        <w:t xml:space="preserve">was very </w:t>
      </w:r>
      <w:r w:rsidR="006047CE">
        <w:t>high</w:t>
      </w:r>
      <w:r w:rsidR="008D2FDE">
        <w:t xml:space="preserve"> in this sample (</w:t>
      </w:r>
      <w:r w:rsidR="006047CE">
        <w:t xml:space="preserve">Cronbach's alpha </w:t>
      </w:r>
      <w:r w:rsidR="008D2FDE">
        <w:t xml:space="preserve">= </w:t>
      </w:r>
      <w:r w:rsidR="00222DF8">
        <w:t>0.985</w:t>
      </w:r>
      <w:r w:rsidR="006047CE">
        <w:t xml:space="preserve">). </w:t>
      </w:r>
    </w:p>
    <w:p w14:paraId="6DB17952" w14:textId="75782A4D" w:rsidR="006047CE" w:rsidRDefault="004469F8" w:rsidP="006047CE">
      <w:r>
        <w:t xml:space="preserve">To explore participants’ </w:t>
      </w:r>
      <w:r w:rsidR="001D6093">
        <w:t xml:space="preserve">broader </w:t>
      </w:r>
      <w:r>
        <w:t>views, two open-ended questions invited p</w:t>
      </w:r>
      <w:r w:rsidR="008D2FDE">
        <w:t xml:space="preserve">articipants </w:t>
      </w:r>
      <w:r>
        <w:t xml:space="preserve">to share what they liked and disliked about the </w:t>
      </w:r>
      <w:r w:rsidR="00D56946">
        <w:t>consul</w:t>
      </w:r>
      <w:r w:rsidR="00595255">
        <w:t>t</w:t>
      </w:r>
      <w:r w:rsidR="00D56946">
        <w:t>ation</w:t>
      </w:r>
      <w:r>
        <w:t xml:space="preserve">.  </w:t>
      </w:r>
    </w:p>
    <w:p w14:paraId="57A301E4" w14:textId="22FE0DB0" w:rsidR="00B50E99" w:rsidRDefault="00B50E99" w:rsidP="00B50E99">
      <w:pPr>
        <w:pStyle w:val="Heading3"/>
      </w:pPr>
      <w:r>
        <w:t xml:space="preserve">Consultation </w:t>
      </w:r>
      <w:r w:rsidR="005D4D54">
        <w:t>Films</w:t>
      </w:r>
    </w:p>
    <w:p w14:paraId="2A3FE504" w14:textId="7A7374B6" w:rsidR="006047CE" w:rsidRDefault="00BB48E5" w:rsidP="00873D58">
      <w:r>
        <w:t xml:space="preserve">Four </w:t>
      </w:r>
      <w:r w:rsidR="005D4D54">
        <w:t xml:space="preserve">films </w:t>
      </w:r>
      <w:r w:rsidR="00873D58">
        <w:t xml:space="preserve">were </w:t>
      </w:r>
      <w:r w:rsidR="004C3D10">
        <w:t xml:space="preserve">professionally acted and produced </w:t>
      </w:r>
      <w:r w:rsidR="0086784F">
        <w:t xml:space="preserve">for the EMPathicO e-learning package on empathy and optimism for primary care </w:t>
      </w:r>
      <w:proofErr w:type="gramStart"/>
      <w:r w:rsidR="0086784F">
        <w:t>practitioners</w:t>
      </w:r>
      <w:r w:rsidR="006D6264">
        <w:t>.</w:t>
      </w:r>
      <w:r w:rsidR="003836C5">
        <w:rPr>
          <w:noProof/>
        </w:rPr>
        <w:t>(</w:t>
      </w:r>
      <w:proofErr w:type="gramEnd"/>
      <w:r w:rsidR="003836C5">
        <w:rPr>
          <w:noProof/>
        </w:rPr>
        <w:t>17)</w:t>
      </w:r>
      <w:r>
        <w:t xml:space="preserve">  </w:t>
      </w:r>
      <w:r w:rsidR="004C3D10">
        <w:t xml:space="preserve">Each film </w:t>
      </w:r>
      <w:r>
        <w:t xml:space="preserve">lasted approximately 8 minutes </w:t>
      </w:r>
      <w:r w:rsidR="004C3D10">
        <w:t xml:space="preserve">and </w:t>
      </w:r>
      <w:r w:rsidR="00BA31E3">
        <w:t xml:space="preserve">showed a patient consulting a GP for knee pain, diagnosed in the </w:t>
      </w:r>
      <w:r w:rsidR="006A604B">
        <w:t xml:space="preserve">film </w:t>
      </w:r>
      <w:r w:rsidR="00BA31E3">
        <w:t>as osteoarthritis</w:t>
      </w:r>
      <w:r w:rsidR="000C3BA3">
        <w:t xml:space="preserve"> </w:t>
      </w:r>
      <w:r w:rsidR="00606DB0">
        <w:rPr>
          <w:noProof/>
        </w:rPr>
        <w:t>(a painful and disabling condition commonly managed in primary care;18)</w:t>
      </w:r>
      <w:r w:rsidR="008D22BE">
        <w:t xml:space="preserve"> (see Supplementary Material for transcripts)</w:t>
      </w:r>
      <w:r w:rsidR="00BA31E3">
        <w:t xml:space="preserve">.  </w:t>
      </w:r>
      <w:r w:rsidR="00E05E9D" w:rsidRPr="004D25C9">
        <w:rPr>
          <w:lang w:eastAsia="en-GB"/>
        </w:rPr>
        <w:t xml:space="preserve">Four </w:t>
      </w:r>
      <w:r w:rsidR="006A604B">
        <w:rPr>
          <w:lang w:eastAsia="en-GB"/>
        </w:rPr>
        <w:t xml:space="preserve">films </w:t>
      </w:r>
      <w:r w:rsidR="00E05E9D" w:rsidRPr="004D25C9">
        <w:rPr>
          <w:lang w:eastAsia="en-GB"/>
        </w:rPr>
        <w:t xml:space="preserve">represented all combinations of </w:t>
      </w:r>
      <w:r w:rsidR="00E05E9D">
        <w:rPr>
          <w:lang w:eastAsia="en-GB"/>
        </w:rPr>
        <w:t xml:space="preserve">consultation </w:t>
      </w:r>
      <w:r w:rsidR="00820DDB">
        <w:rPr>
          <w:lang w:eastAsia="en-GB"/>
        </w:rPr>
        <w:t xml:space="preserve">style </w:t>
      </w:r>
      <w:r w:rsidR="00E05E9D" w:rsidRPr="004D25C9">
        <w:rPr>
          <w:lang w:eastAsia="en-GB"/>
        </w:rPr>
        <w:t xml:space="preserve">and </w:t>
      </w:r>
      <w:r w:rsidR="00820DDB">
        <w:rPr>
          <w:lang w:eastAsia="en-GB"/>
        </w:rPr>
        <w:t>GP-patient gender</w:t>
      </w:r>
      <w:r w:rsidR="006A604B">
        <w:rPr>
          <w:lang w:eastAsia="en-GB"/>
        </w:rPr>
        <w:t xml:space="preserve">:  </w:t>
      </w:r>
      <w:r w:rsidR="00820DDB">
        <w:rPr>
          <w:lang w:eastAsia="en-GB"/>
        </w:rPr>
        <w:t>enhanced</w:t>
      </w:r>
      <w:r w:rsidR="00272892">
        <w:rPr>
          <w:lang w:eastAsia="en-GB"/>
        </w:rPr>
        <w:t xml:space="preserve"> </w:t>
      </w:r>
      <w:r w:rsidR="00332A53">
        <w:rPr>
          <w:lang w:eastAsia="en-GB"/>
        </w:rPr>
        <w:t xml:space="preserve">consultation (high </w:t>
      </w:r>
      <w:r w:rsidR="00272892">
        <w:rPr>
          <w:lang w:eastAsia="en-GB"/>
        </w:rPr>
        <w:t>empathy and optimism</w:t>
      </w:r>
      <w:r w:rsidR="00332A53">
        <w:rPr>
          <w:lang w:eastAsia="en-GB"/>
        </w:rPr>
        <w:t>)</w:t>
      </w:r>
      <w:r w:rsidR="00272892">
        <w:rPr>
          <w:lang w:eastAsia="en-GB"/>
        </w:rPr>
        <w:t xml:space="preserve">, </w:t>
      </w:r>
      <w:r w:rsidR="00E05E9D" w:rsidRPr="004D25C9">
        <w:rPr>
          <w:lang w:eastAsia="en-GB"/>
        </w:rPr>
        <w:t>male GP</w:t>
      </w:r>
      <w:r w:rsidR="00C7505B">
        <w:rPr>
          <w:lang w:eastAsia="en-GB"/>
        </w:rPr>
        <w:t>,</w:t>
      </w:r>
      <w:r w:rsidR="00272892">
        <w:rPr>
          <w:lang w:eastAsia="en-GB"/>
        </w:rPr>
        <w:t xml:space="preserve"> </w:t>
      </w:r>
      <w:r w:rsidR="00E05E9D" w:rsidRPr="004D25C9">
        <w:rPr>
          <w:lang w:eastAsia="en-GB"/>
        </w:rPr>
        <w:t>male patient</w:t>
      </w:r>
      <w:r w:rsidR="00272892">
        <w:rPr>
          <w:lang w:eastAsia="en-GB"/>
        </w:rPr>
        <w:t xml:space="preserve">; enhanced </w:t>
      </w:r>
      <w:r w:rsidR="00332A53">
        <w:rPr>
          <w:lang w:eastAsia="en-GB"/>
        </w:rPr>
        <w:t>consultation</w:t>
      </w:r>
      <w:r w:rsidR="00272892">
        <w:rPr>
          <w:lang w:eastAsia="en-GB"/>
        </w:rPr>
        <w:t>, fe</w:t>
      </w:r>
      <w:r w:rsidR="00272892" w:rsidRPr="004D25C9">
        <w:rPr>
          <w:lang w:eastAsia="en-GB"/>
        </w:rPr>
        <w:t>male GP</w:t>
      </w:r>
      <w:r w:rsidR="00C7505B">
        <w:rPr>
          <w:lang w:eastAsia="en-GB"/>
        </w:rPr>
        <w:t>,</w:t>
      </w:r>
      <w:r w:rsidR="00272892">
        <w:rPr>
          <w:lang w:eastAsia="en-GB"/>
        </w:rPr>
        <w:t xml:space="preserve"> fe</w:t>
      </w:r>
      <w:r w:rsidR="00272892" w:rsidRPr="004D25C9">
        <w:rPr>
          <w:lang w:eastAsia="en-GB"/>
        </w:rPr>
        <w:t>male patient</w:t>
      </w:r>
      <w:r w:rsidR="00272892">
        <w:rPr>
          <w:lang w:eastAsia="en-GB"/>
        </w:rPr>
        <w:t xml:space="preserve">; standard </w:t>
      </w:r>
      <w:r w:rsidR="00332A53">
        <w:rPr>
          <w:lang w:eastAsia="en-GB"/>
        </w:rPr>
        <w:t>consultation (</w:t>
      </w:r>
      <w:r w:rsidR="00F71A0A">
        <w:rPr>
          <w:lang w:eastAsia="en-GB"/>
        </w:rPr>
        <w:t xml:space="preserve">limited </w:t>
      </w:r>
      <w:r w:rsidR="00272892">
        <w:rPr>
          <w:lang w:eastAsia="en-GB"/>
        </w:rPr>
        <w:t>empathy and optimism</w:t>
      </w:r>
      <w:r w:rsidR="00F71A0A">
        <w:rPr>
          <w:lang w:eastAsia="en-GB"/>
        </w:rPr>
        <w:t>)</w:t>
      </w:r>
      <w:r w:rsidR="00272892">
        <w:rPr>
          <w:lang w:eastAsia="en-GB"/>
        </w:rPr>
        <w:t xml:space="preserve">, </w:t>
      </w:r>
      <w:r w:rsidR="00272892" w:rsidRPr="004D25C9">
        <w:rPr>
          <w:lang w:eastAsia="en-GB"/>
        </w:rPr>
        <w:t>male GP</w:t>
      </w:r>
      <w:r w:rsidR="00C7505B">
        <w:rPr>
          <w:lang w:eastAsia="en-GB"/>
        </w:rPr>
        <w:t xml:space="preserve">, </w:t>
      </w:r>
      <w:r w:rsidR="00272892" w:rsidRPr="004D25C9">
        <w:rPr>
          <w:lang w:eastAsia="en-GB"/>
        </w:rPr>
        <w:t>male patient</w:t>
      </w:r>
      <w:r w:rsidR="00272892">
        <w:rPr>
          <w:lang w:eastAsia="en-GB"/>
        </w:rPr>
        <w:t xml:space="preserve">; standard </w:t>
      </w:r>
      <w:r w:rsidR="00F71A0A">
        <w:rPr>
          <w:lang w:eastAsia="en-GB"/>
        </w:rPr>
        <w:t>consultation</w:t>
      </w:r>
      <w:r w:rsidR="00272892">
        <w:rPr>
          <w:lang w:eastAsia="en-GB"/>
        </w:rPr>
        <w:t>, fe</w:t>
      </w:r>
      <w:r w:rsidR="00272892" w:rsidRPr="004D25C9">
        <w:rPr>
          <w:lang w:eastAsia="en-GB"/>
        </w:rPr>
        <w:t>male GP</w:t>
      </w:r>
      <w:r w:rsidR="00C7505B">
        <w:rPr>
          <w:lang w:eastAsia="en-GB"/>
        </w:rPr>
        <w:t xml:space="preserve">, </w:t>
      </w:r>
      <w:r w:rsidR="00272892">
        <w:rPr>
          <w:lang w:eastAsia="en-GB"/>
        </w:rPr>
        <w:t>fe</w:t>
      </w:r>
      <w:r w:rsidR="00272892" w:rsidRPr="004D25C9">
        <w:rPr>
          <w:lang w:eastAsia="en-GB"/>
        </w:rPr>
        <w:t xml:space="preserve">male patient. </w:t>
      </w:r>
      <w:r w:rsidR="006A604B">
        <w:rPr>
          <w:lang w:eastAsia="en-GB"/>
        </w:rPr>
        <w:t xml:space="preserve"> All actors were white Caucasian.</w:t>
      </w:r>
      <w:r w:rsidR="00B34CC3">
        <w:rPr>
          <w:lang w:eastAsia="en-GB"/>
        </w:rPr>
        <w:t xml:space="preserve">  </w:t>
      </w:r>
    </w:p>
    <w:p w14:paraId="0DC31266" w14:textId="3830E0B3" w:rsidR="0027477B" w:rsidRDefault="0027477B" w:rsidP="009C0341">
      <w:pPr>
        <w:pStyle w:val="Heading2"/>
      </w:pPr>
      <w:r>
        <w:lastRenderedPageBreak/>
        <w:t>Procedure</w:t>
      </w:r>
    </w:p>
    <w:p w14:paraId="37111D10" w14:textId="47CC4A03" w:rsidR="00BB0D8A" w:rsidRDefault="001D6093" w:rsidP="00920DB6">
      <w:r>
        <w:t xml:space="preserve">In </w:t>
      </w:r>
      <w:r w:rsidR="00BB0D8A" w:rsidRPr="00770A9E">
        <w:t>June</w:t>
      </w:r>
      <w:r>
        <w:t>-</w:t>
      </w:r>
      <w:r w:rsidR="00BB0D8A">
        <w:t xml:space="preserve">July </w:t>
      </w:r>
      <w:r w:rsidR="00BB0D8A" w:rsidRPr="00770A9E">
        <w:t>2023</w:t>
      </w:r>
      <w:r>
        <w:t>, an</w:t>
      </w:r>
      <w:r w:rsidR="00BB0D8A">
        <w:t xml:space="preserve"> </w:t>
      </w:r>
      <w:r w:rsidR="00E53A33" w:rsidRPr="00770A9E">
        <w:t xml:space="preserve">advert </w:t>
      </w:r>
      <w:r w:rsidR="00E53A33">
        <w:t xml:space="preserve">on Prolific </w:t>
      </w:r>
      <w:r w:rsidR="00E53A33" w:rsidRPr="00770A9E">
        <w:t xml:space="preserve">directed </w:t>
      </w:r>
      <w:r w:rsidR="00E307F1">
        <w:t xml:space="preserve">potentially </w:t>
      </w:r>
      <w:r w:rsidR="00E53A33">
        <w:t>eligible</w:t>
      </w:r>
      <w:r w:rsidR="00E53A33" w:rsidRPr="00770A9E">
        <w:t xml:space="preserve"> </w:t>
      </w:r>
      <w:r w:rsidR="00E307F1">
        <w:t xml:space="preserve">individuals </w:t>
      </w:r>
      <w:r w:rsidR="00E53A33" w:rsidRPr="00770A9E">
        <w:t xml:space="preserve">to Qualtrics where </w:t>
      </w:r>
      <w:r w:rsidR="00307564">
        <w:t xml:space="preserve">the </w:t>
      </w:r>
      <w:r w:rsidR="00E53A33" w:rsidRPr="00770A9E">
        <w:t>PIS</w:t>
      </w:r>
      <w:r w:rsidR="00372CDC" w:rsidRPr="00372CDC">
        <w:t xml:space="preserve"> </w:t>
      </w:r>
      <w:r w:rsidR="00307564">
        <w:t xml:space="preserve">was displayed with </w:t>
      </w:r>
      <w:r w:rsidR="00B66B6B">
        <w:t xml:space="preserve">a </w:t>
      </w:r>
      <w:r w:rsidR="00307564">
        <w:t>check</w:t>
      </w:r>
      <w:r w:rsidR="00B66B6B">
        <w:t xml:space="preserve">box to indicate </w:t>
      </w:r>
      <w:r w:rsidR="00372CDC">
        <w:t xml:space="preserve">consent.  </w:t>
      </w:r>
      <w:r w:rsidR="00E53A33" w:rsidRPr="00770A9E">
        <w:t xml:space="preserve">Potential participants </w:t>
      </w:r>
      <w:r w:rsidR="001727B2">
        <w:t xml:space="preserve">then completed </w:t>
      </w:r>
      <w:r w:rsidR="00E53A33" w:rsidRPr="00770A9E">
        <w:t xml:space="preserve">screening </w:t>
      </w:r>
      <w:r w:rsidR="00E86D23">
        <w:t>questions</w:t>
      </w:r>
      <w:r w:rsidR="00E53A33" w:rsidRPr="00770A9E">
        <w:t xml:space="preserve">. </w:t>
      </w:r>
      <w:r w:rsidR="00E86D23">
        <w:t xml:space="preserve"> </w:t>
      </w:r>
      <w:r w:rsidR="00372CDC" w:rsidRPr="00372CDC">
        <w:t xml:space="preserve">Eligible participants </w:t>
      </w:r>
      <w:r w:rsidR="003422FC">
        <w:t xml:space="preserve">completed </w:t>
      </w:r>
      <w:r w:rsidR="00372CDC" w:rsidRPr="00372CDC">
        <w:t xml:space="preserve">the demographic and health questions, </w:t>
      </w:r>
      <w:r w:rsidR="003422FC">
        <w:t xml:space="preserve">then were randomly allocated to watch one of the four consultation </w:t>
      </w:r>
      <w:r w:rsidR="003D632B">
        <w:t xml:space="preserve">films </w:t>
      </w:r>
      <w:r w:rsidR="003422FC">
        <w:t>(</w:t>
      </w:r>
      <w:r w:rsidR="008A35DA">
        <w:t>stratified</w:t>
      </w:r>
      <w:r w:rsidR="00320CF7">
        <w:t xml:space="preserve"> by participant ethnicity).  After watching </w:t>
      </w:r>
      <w:r w:rsidR="003D632B">
        <w:t>one film</w:t>
      </w:r>
      <w:r w:rsidR="00320CF7">
        <w:t xml:space="preserve">, </w:t>
      </w:r>
      <w:r w:rsidR="00DA4403">
        <w:t>participants</w:t>
      </w:r>
      <w:r w:rsidR="00320CF7">
        <w:t xml:space="preserve"> completed the </w:t>
      </w:r>
      <w:r w:rsidR="0041408F">
        <w:t>empathy</w:t>
      </w:r>
      <w:r w:rsidR="00BC1B7E">
        <w:t xml:space="preserve"> </w:t>
      </w:r>
      <w:r w:rsidR="00C2225B">
        <w:t xml:space="preserve">items </w:t>
      </w:r>
      <w:r w:rsidR="00BC1B7E">
        <w:t>and</w:t>
      </w:r>
      <w:r w:rsidR="00320CF7">
        <w:t xml:space="preserve"> </w:t>
      </w:r>
      <w:r w:rsidR="00BC1B7E">
        <w:t xml:space="preserve">reported </w:t>
      </w:r>
      <w:r w:rsidR="003D632B">
        <w:t xml:space="preserve">any </w:t>
      </w:r>
      <w:r w:rsidR="006C4384">
        <w:t>interruptions,</w:t>
      </w:r>
      <w:r w:rsidR="003D632B">
        <w:t xml:space="preserve"> </w:t>
      </w:r>
      <w:r w:rsidR="00200851">
        <w:t xml:space="preserve">technical </w:t>
      </w:r>
      <w:r w:rsidR="003D632B">
        <w:t xml:space="preserve">or other </w:t>
      </w:r>
      <w:r w:rsidR="00C160AC">
        <w:t>difficulties</w:t>
      </w:r>
      <w:r w:rsidR="00320CF7">
        <w:t xml:space="preserve">.  </w:t>
      </w:r>
      <w:r w:rsidR="006D6264">
        <w:t>P</w:t>
      </w:r>
      <w:r w:rsidR="006C4384">
        <w:t xml:space="preserve">articipants were thanked </w:t>
      </w:r>
      <w:r w:rsidR="00320CF7">
        <w:t>and redirect</w:t>
      </w:r>
      <w:r w:rsidR="00B34CC3">
        <w:t>ed</w:t>
      </w:r>
      <w:r w:rsidR="00320CF7">
        <w:t xml:space="preserve"> to Prolific </w:t>
      </w:r>
      <w:r w:rsidR="00823841">
        <w:t xml:space="preserve">for </w:t>
      </w:r>
      <w:r w:rsidR="00320CF7">
        <w:t>payment.</w:t>
      </w:r>
    </w:p>
    <w:p w14:paraId="700AB89F" w14:textId="6A0937D4" w:rsidR="001727B2" w:rsidRDefault="00D23859" w:rsidP="001727B2">
      <w:pPr>
        <w:pStyle w:val="Heading2"/>
      </w:pPr>
      <w:r>
        <w:t>Analysis</w:t>
      </w:r>
      <w:r w:rsidR="001727B2">
        <w:t xml:space="preserve"> Methods</w:t>
      </w:r>
    </w:p>
    <w:p w14:paraId="4AAC9FEF" w14:textId="7D25BE7E" w:rsidR="001727B2" w:rsidRDefault="00B917A3" w:rsidP="00920DB6">
      <w:pPr>
        <w:rPr>
          <w:lang w:eastAsia="en-GB"/>
        </w:rPr>
      </w:pPr>
      <w:r>
        <w:t xml:space="preserve">Self-reported ethnicity, gender, and age </w:t>
      </w:r>
      <w:r w:rsidR="00DC6FE9">
        <w:t xml:space="preserve">collected </w:t>
      </w:r>
      <w:r w:rsidR="006821F4">
        <w:t xml:space="preserve">via Qualtrics </w:t>
      </w:r>
      <w:r>
        <w:t>were compared to respondents’ prolific profiles</w:t>
      </w:r>
      <w:r w:rsidR="006821F4">
        <w:t>;</w:t>
      </w:r>
      <w:r w:rsidR="00DC6FE9">
        <w:t xml:space="preserve"> any </w:t>
      </w:r>
      <w:r w:rsidR="00FE38CE">
        <w:t xml:space="preserve">with </w:t>
      </w:r>
      <w:r w:rsidR="00DC6FE9">
        <w:t>discrepancies</w:t>
      </w:r>
      <w:r w:rsidR="006821F4">
        <w:t xml:space="preserve"> were excluded</w:t>
      </w:r>
      <w:r w:rsidR="00DC6FE9">
        <w:t xml:space="preserve">.  </w:t>
      </w:r>
      <w:r w:rsidR="006821F4">
        <w:t>R</w:t>
      </w:r>
      <w:r w:rsidR="00A41704">
        <w:t>espondents</w:t>
      </w:r>
      <w:r w:rsidR="001727B2">
        <w:t xml:space="preserve"> were excluded if</w:t>
      </w:r>
      <w:r w:rsidR="00F84483">
        <w:t xml:space="preserve"> they</w:t>
      </w:r>
      <w:r w:rsidR="001727B2">
        <w:t xml:space="preserve"> </w:t>
      </w:r>
      <w:r w:rsidR="007A692E">
        <w:t xml:space="preserve">reported stopping watching before the </w:t>
      </w:r>
      <w:r w:rsidR="00AF798D">
        <w:t xml:space="preserve">film </w:t>
      </w:r>
      <w:r w:rsidR="007A692E">
        <w:t>end</w:t>
      </w:r>
      <w:r w:rsidR="00AF798D">
        <w:t>ed</w:t>
      </w:r>
      <w:r w:rsidR="007A692E">
        <w:t xml:space="preserve"> (n=</w:t>
      </w:r>
      <w:r w:rsidR="00CA761C">
        <w:t>1</w:t>
      </w:r>
      <w:r w:rsidR="007A692E">
        <w:t>)</w:t>
      </w:r>
      <w:r w:rsidR="00F84483">
        <w:t xml:space="preserve">, </w:t>
      </w:r>
      <w:r w:rsidR="00AF798D">
        <w:t xml:space="preserve">were </w:t>
      </w:r>
      <w:r w:rsidR="007A692E">
        <w:t>interrupted while watching (n=</w:t>
      </w:r>
      <w:r w:rsidR="00CA761C">
        <w:t>1</w:t>
      </w:r>
      <w:r w:rsidR="007A692E">
        <w:t>1)</w:t>
      </w:r>
      <w:r w:rsidR="00F84483">
        <w:t xml:space="preserve">, or </w:t>
      </w:r>
      <w:r w:rsidR="00E24D86">
        <w:t xml:space="preserve">completed the study </w:t>
      </w:r>
      <w:r w:rsidR="006821F4">
        <w:t xml:space="preserve">quicker </w:t>
      </w:r>
      <w:r w:rsidR="004711E6">
        <w:t xml:space="preserve">than </w:t>
      </w:r>
      <w:r w:rsidR="00AF1795">
        <w:t xml:space="preserve">film </w:t>
      </w:r>
      <w:r w:rsidR="00AF798D">
        <w:t xml:space="preserve">duration </w:t>
      </w:r>
      <w:r w:rsidR="004711E6">
        <w:t>(n=</w:t>
      </w:r>
      <w:r w:rsidR="00CA761C">
        <w:t>5</w:t>
      </w:r>
      <w:r w:rsidR="004711E6">
        <w:t xml:space="preserve">).  </w:t>
      </w:r>
      <w:r w:rsidR="0075179A">
        <w:t xml:space="preserve">A factorial ANOVA tested for </w:t>
      </w:r>
      <w:r w:rsidR="0075179A">
        <w:rPr>
          <w:lang w:eastAsia="en-GB"/>
        </w:rPr>
        <w:t xml:space="preserve">(fixed) effects of </w:t>
      </w:r>
      <w:r w:rsidR="00E40AFD">
        <w:rPr>
          <w:lang w:eastAsia="en-GB"/>
        </w:rPr>
        <w:t xml:space="preserve">consultation style and </w:t>
      </w:r>
      <w:r w:rsidR="0075179A">
        <w:rPr>
          <w:lang w:eastAsia="en-GB"/>
        </w:rPr>
        <w:t xml:space="preserve">participant ethnicity on </w:t>
      </w:r>
      <w:r w:rsidR="00AF798D">
        <w:rPr>
          <w:lang w:eastAsia="en-GB"/>
        </w:rPr>
        <w:t>CARE scores</w:t>
      </w:r>
      <w:r w:rsidR="0075179A">
        <w:rPr>
          <w:lang w:eastAsia="en-GB"/>
        </w:rPr>
        <w:t xml:space="preserve">.  </w:t>
      </w:r>
      <w:r w:rsidR="00E40AFD">
        <w:rPr>
          <w:lang w:eastAsia="en-GB"/>
        </w:rPr>
        <w:t>Including participant and actor gender as covariates did not alter the inferences.</w:t>
      </w:r>
      <w:r w:rsidR="00CE618B">
        <w:rPr>
          <w:lang w:eastAsia="en-GB"/>
        </w:rPr>
        <w:t xml:space="preserve">  </w:t>
      </w:r>
      <w:r w:rsidR="00BD34C9">
        <w:rPr>
          <w:lang w:eastAsia="en-GB"/>
        </w:rPr>
        <w:t xml:space="preserve">Inspection of </w:t>
      </w:r>
      <w:r w:rsidR="00CE618B">
        <w:rPr>
          <w:lang w:eastAsia="en-GB"/>
        </w:rPr>
        <w:t>Q-Q plot and histogram confirm</w:t>
      </w:r>
      <w:r w:rsidR="00A42D68">
        <w:rPr>
          <w:lang w:eastAsia="en-GB"/>
        </w:rPr>
        <w:t>ed</w:t>
      </w:r>
      <w:r w:rsidR="00CE618B">
        <w:rPr>
          <w:lang w:eastAsia="en-GB"/>
        </w:rPr>
        <w:t xml:space="preserve"> residuals approximately followed the Normal distribution.  </w:t>
      </w:r>
      <w:r w:rsidR="006F6ED1">
        <w:rPr>
          <w:lang w:eastAsia="en-GB"/>
        </w:rPr>
        <w:t>Effect sizes indicated by p</w:t>
      </w:r>
      <w:r w:rsidR="00EE2FA7">
        <w:rPr>
          <w:lang w:eastAsia="en-GB"/>
        </w:rPr>
        <w:t xml:space="preserve">artial eta-squared </w:t>
      </w:r>
      <w:r w:rsidR="006F6ED1">
        <w:rPr>
          <w:lang w:eastAsia="en-GB"/>
        </w:rPr>
        <w:t xml:space="preserve">are interpreted </w:t>
      </w:r>
      <w:r w:rsidR="00A5170D">
        <w:rPr>
          <w:lang w:eastAsia="en-GB"/>
        </w:rPr>
        <w:t xml:space="preserve">according to </w:t>
      </w:r>
      <w:proofErr w:type="gramStart"/>
      <w:r w:rsidR="00A5170D">
        <w:rPr>
          <w:lang w:eastAsia="en-GB"/>
        </w:rPr>
        <w:t>Cohen</w:t>
      </w:r>
      <w:r w:rsidR="00960CB1">
        <w:rPr>
          <w:lang w:eastAsia="en-GB"/>
        </w:rPr>
        <w:t>.</w:t>
      </w:r>
      <w:r w:rsidR="003836C5">
        <w:rPr>
          <w:noProof/>
          <w:lang w:eastAsia="en-GB"/>
        </w:rPr>
        <w:t>(</w:t>
      </w:r>
      <w:proofErr w:type="gramEnd"/>
      <w:r w:rsidR="003836C5">
        <w:rPr>
          <w:noProof/>
          <w:lang w:eastAsia="en-GB"/>
        </w:rPr>
        <w:t>19, 20)</w:t>
      </w:r>
    </w:p>
    <w:p w14:paraId="634A92A1" w14:textId="707DD515" w:rsidR="002F5990" w:rsidRDefault="00EB7C34" w:rsidP="00C47B06">
      <w:pPr>
        <w:rPr>
          <w:lang w:val="en-US"/>
        </w:rPr>
      </w:pPr>
      <w:r>
        <w:rPr>
          <w:lang w:val="en-US"/>
        </w:rPr>
        <w:t>In traditional hypothesis testing</w:t>
      </w:r>
      <w:r w:rsidR="0046337A">
        <w:rPr>
          <w:lang w:val="en-US"/>
        </w:rPr>
        <w:t>,</w:t>
      </w:r>
      <w:r>
        <w:rPr>
          <w:lang w:val="en-US"/>
        </w:rPr>
        <w:t xml:space="preserve"> a non-significant effect </w:t>
      </w:r>
      <w:r w:rsidR="00011473">
        <w:rPr>
          <w:lang w:val="en-US"/>
        </w:rPr>
        <w:t xml:space="preserve">(e.g., of </w:t>
      </w:r>
      <w:r w:rsidR="00394641">
        <w:rPr>
          <w:lang w:val="en-US"/>
        </w:rPr>
        <w:t xml:space="preserve">factor </w:t>
      </w:r>
      <w:r w:rsidR="004021A1">
        <w:rPr>
          <w:lang w:val="en-US"/>
        </w:rPr>
        <w:t>x</w:t>
      </w:r>
      <w:r w:rsidR="00394641">
        <w:rPr>
          <w:lang w:val="en-US"/>
        </w:rPr>
        <w:t>) on a measure (</w:t>
      </w:r>
      <w:r w:rsidR="00011473">
        <w:rPr>
          <w:lang w:val="en-US"/>
        </w:rPr>
        <w:t xml:space="preserve">e.g., </w:t>
      </w:r>
      <w:r w:rsidR="00394641">
        <w:rPr>
          <w:lang w:val="en-US"/>
        </w:rPr>
        <w:t xml:space="preserve">measure </w:t>
      </w:r>
      <w:r w:rsidR="004021A1">
        <w:rPr>
          <w:lang w:val="en-US"/>
        </w:rPr>
        <w:t>y</w:t>
      </w:r>
      <w:r w:rsidR="00394641">
        <w:rPr>
          <w:lang w:val="en-US"/>
        </w:rPr>
        <w:t xml:space="preserve">) </w:t>
      </w:r>
      <w:r w:rsidR="00011473">
        <w:rPr>
          <w:lang w:val="en-US"/>
        </w:rPr>
        <w:t xml:space="preserve">means </w:t>
      </w:r>
      <w:r w:rsidR="001F11B7">
        <w:rPr>
          <w:lang w:val="en-US"/>
        </w:rPr>
        <w:t xml:space="preserve">there is </w:t>
      </w:r>
      <w:r w:rsidR="001F11B7" w:rsidRPr="00142769">
        <w:rPr>
          <w:u w:val="single"/>
          <w:lang w:val="en-US"/>
        </w:rPr>
        <w:t>no evidence of an effect</w:t>
      </w:r>
      <w:r w:rsidR="001F11B7">
        <w:rPr>
          <w:lang w:val="en-US"/>
        </w:rPr>
        <w:t xml:space="preserve"> of factor </w:t>
      </w:r>
      <w:r w:rsidR="004021A1">
        <w:rPr>
          <w:lang w:val="en-US"/>
        </w:rPr>
        <w:t xml:space="preserve">x </w:t>
      </w:r>
      <w:r w:rsidR="001F11B7">
        <w:rPr>
          <w:lang w:val="en-US"/>
        </w:rPr>
        <w:t xml:space="preserve">on measure </w:t>
      </w:r>
      <w:r w:rsidR="004021A1">
        <w:rPr>
          <w:lang w:val="en-US"/>
        </w:rPr>
        <w:t>y</w:t>
      </w:r>
      <w:r w:rsidR="001F11B7">
        <w:rPr>
          <w:lang w:val="en-US"/>
        </w:rPr>
        <w:t xml:space="preserve">.  </w:t>
      </w:r>
      <w:r w:rsidR="00AD0B18">
        <w:rPr>
          <w:lang w:val="en-US"/>
        </w:rPr>
        <w:t xml:space="preserve">This </w:t>
      </w:r>
      <w:r w:rsidR="009D3C38">
        <w:rPr>
          <w:lang w:val="en-US"/>
        </w:rPr>
        <w:t xml:space="preserve">is not the same as evidence that there is no effect of factor x on measure y.  Rather, it </w:t>
      </w:r>
      <w:r w:rsidR="00AD0B18">
        <w:rPr>
          <w:lang w:val="en-US"/>
        </w:rPr>
        <w:t xml:space="preserve">could mean </w:t>
      </w:r>
      <w:r w:rsidR="000E2345">
        <w:rPr>
          <w:lang w:val="en-US"/>
        </w:rPr>
        <w:t>e</w:t>
      </w:r>
      <w:r w:rsidR="00AF7988">
        <w:rPr>
          <w:lang w:val="en-US"/>
        </w:rPr>
        <w:t xml:space="preserve">ither </w:t>
      </w:r>
      <w:r w:rsidR="00AD0B18">
        <w:rPr>
          <w:lang w:val="en-US"/>
        </w:rPr>
        <w:t xml:space="preserve">that the study was insufficiently powered to detect an effect </w:t>
      </w:r>
      <w:r w:rsidR="00AD0B18" w:rsidRPr="00142769">
        <w:rPr>
          <w:u w:val="single"/>
          <w:lang w:val="en-US"/>
        </w:rPr>
        <w:t>or</w:t>
      </w:r>
      <w:r w:rsidR="00AD0B18">
        <w:rPr>
          <w:lang w:val="en-US"/>
        </w:rPr>
        <w:t xml:space="preserve"> that there is no effect to be detected</w:t>
      </w:r>
      <w:r w:rsidR="00AF7988">
        <w:rPr>
          <w:lang w:val="en-US"/>
        </w:rPr>
        <w:t>.</w:t>
      </w:r>
      <w:r w:rsidR="00AD0B18">
        <w:rPr>
          <w:lang w:val="en-US"/>
        </w:rPr>
        <w:t xml:space="preserve"> </w:t>
      </w:r>
      <w:r w:rsidR="00AF7988">
        <w:rPr>
          <w:lang w:val="en-US"/>
        </w:rPr>
        <w:t xml:space="preserve"> T</w:t>
      </w:r>
      <w:r w:rsidR="00AD0B18">
        <w:rPr>
          <w:lang w:val="en-US"/>
        </w:rPr>
        <w:t xml:space="preserve">raditional hypothesis testing cannot distinguish between these </w:t>
      </w:r>
      <w:r w:rsidR="00111C22">
        <w:rPr>
          <w:lang w:val="en-US"/>
        </w:rPr>
        <w:t>explanations</w:t>
      </w:r>
      <w:r w:rsidR="00231B25">
        <w:rPr>
          <w:lang w:val="en-US"/>
        </w:rPr>
        <w:t xml:space="preserve">, </w:t>
      </w:r>
      <w:r w:rsidR="00E77D07">
        <w:rPr>
          <w:lang w:val="en-US"/>
        </w:rPr>
        <w:t xml:space="preserve">but </w:t>
      </w:r>
      <w:r w:rsidR="00111C22">
        <w:rPr>
          <w:lang w:val="en-US"/>
        </w:rPr>
        <w:t>Bayesian statistics</w:t>
      </w:r>
      <w:r w:rsidR="00231B25">
        <w:rPr>
          <w:lang w:val="en-US"/>
        </w:rPr>
        <w:t xml:space="preserve"> </w:t>
      </w:r>
      <w:r w:rsidR="008179DC">
        <w:rPr>
          <w:lang w:val="en-US"/>
        </w:rPr>
        <w:t>can</w:t>
      </w:r>
      <w:r w:rsidR="008305C1">
        <w:rPr>
          <w:lang w:val="en-US"/>
        </w:rPr>
        <w:t xml:space="preserve"> supplement traditional approaches by </w:t>
      </w:r>
      <w:r w:rsidR="002176C9">
        <w:rPr>
          <w:lang w:val="en-US"/>
        </w:rPr>
        <w:t>generat</w:t>
      </w:r>
      <w:r w:rsidR="008305C1">
        <w:rPr>
          <w:lang w:val="en-US"/>
        </w:rPr>
        <w:t>ing</w:t>
      </w:r>
      <w:r w:rsidR="002176C9">
        <w:rPr>
          <w:lang w:val="en-US"/>
        </w:rPr>
        <w:t xml:space="preserve"> </w:t>
      </w:r>
      <w:r w:rsidR="001F11B7">
        <w:rPr>
          <w:lang w:val="en-US"/>
        </w:rPr>
        <w:t xml:space="preserve">evidence that </w:t>
      </w:r>
      <w:r w:rsidR="001F11B7" w:rsidRPr="00142769">
        <w:rPr>
          <w:u w:val="single"/>
          <w:lang w:val="en-US"/>
        </w:rPr>
        <w:t xml:space="preserve">there is no effect of factor </w:t>
      </w:r>
      <w:r w:rsidR="004021A1" w:rsidRPr="00142769">
        <w:rPr>
          <w:u w:val="single"/>
          <w:lang w:val="en-US"/>
        </w:rPr>
        <w:t xml:space="preserve">x </w:t>
      </w:r>
      <w:r w:rsidR="001F11B7" w:rsidRPr="00142769">
        <w:rPr>
          <w:u w:val="single"/>
          <w:lang w:val="en-US"/>
        </w:rPr>
        <w:t xml:space="preserve">on measure </w:t>
      </w:r>
      <w:proofErr w:type="gramStart"/>
      <w:r w:rsidR="004021A1" w:rsidRPr="00142769">
        <w:rPr>
          <w:u w:val="single"/>
          <w:lang w:val="en-US"/>
        </w:rPr>
        <w:t>y</w:t>
      </w:r>
      <w:r w:rsidR="00B33885">
        <w:rPr>
          <w:lang w:val="en-US"/>
        </w:rPr>
        <w:t>.</w:t>
      </w:r>
      <w:r w:rsidR="003836C5">
        <w:rPr>
          <w:noProof/>
          <w:lang w:val="en-US"/>
        </w:rPr>
        <w:t>(</w:t>
      </w:r>
      <w:proofErr w:type="gramEnd"/>
      <w:r w:rsidR="003836C5">
        <w:rPr>
          <w:noProof/>
          <w:lang w:val="en-US"/>
        </w:rPr>
        <w:t>21)</w:t>
      </w:r>
      <w:r w:rsidR="00B33885">
        <w:rPr>
          <w:lang w:val="en-US"/>
        </w:rPr>
        <w:t xml:space="preserve">  </w:t>
      </w:r>
      <w:r w:rsidR="007D21F4">
        <w:rPr>
          <w:lang w:val="en-US"/>
        </w:rPr>
        <w:t xml:space="preserve">Table 1 </w:t>
      </w:r>
      <w:proofErr w:type="spellStart"/>
      <w:r w:rsidR="00735AA7">
        <w:rPr>
          <w:lang w:val="en-US"/>
        </w:rPr>
        <w:t>summarises</w:t>
      </w:r>
      <w:proofErr w:type="spellEnd"/>
      <w:r w:rsidR="00735AA7">
        <w:rPr>
          <w:lang w:val="en-US"/>
        </w:rPr>
        <w:t xml:space="preserve"> </w:t>
      </w:r>
      <w:r w:rsidR="005119B4">
        <w:rPr>
          <w:lang w:val="en-US"/>
        </w:rPr>
        <w:t>this approach to null effects</w:t>
      </w:r>
      <w:r w:rsidR="00E77526">
        <w:rPr>
          <w:lang w:val="en-US"/>
        </w:rPr>
        <w:t>.</w:t>
      </w:r>
      <w:r w:rsidR="00735AA7">
        <w:rPr>
          <w:noProof/>
          <w:lang w:val="en-US"/>
        </w:rPr>
        <w:t>(22, 23)</w:t>
      </w:r>
    </w:p>
    <w:p w14:paraId="07C214F3" w14:textId="77777777" w:rsidR="00735AA7" w:rsidRDefault="00735AA7" w:rsidP="00C47B06">
      <w:pPr>
        <w:rPr>
          <w:lang w:val="en-US"/>
        </w:rPr>
      </w:pPr>
    </w:p>
    <w:p w14:paraId="09B6B53B" w14:textId="7B97C088" w:rsidR="00735AA7" w:rsidRPr="00735AA7" w:rsidRDefault="00735AA7" w:rsidP="00C47B06">
      <w:pPr>
        <w:rPr>
          <w:i/>
          <w:iCs/>
          <w:lang w:val="en-US"/>
        </w:rPr>
      </w:pPr>
      <w:r w:rsidRPr="00735AA7">
        <w:rPr>
          <w:i/>
          <w:iCs/>
          <w:lang w:val="en-US"/>
        </w:rPr>
        <w:t>Table 1</w:t>
      </w:r>
    </w:p>
    <w:p w14:paraId="47B6E7E2" w14:textId="77777777" w:rsidR="00735AA7" w:rsidRDefault="00735AA7" w:rsidP="00C47B06">
      <w:pPr>
        <w:rPr>
          <w:lang w:val="en-US"/>
        </w:rPr>
      </w:pPr>
    </w:p>
    <w:p w14:paraId="05BA3757" w14:textId="111C8102" w:rsidR="0033772E" w:rsidRDefault="009E493F" w:rsidP="00920DB6">
      <w:pPr>
        <w:rPr>
          <w:lang w:eastAsia="en-GB"/>
        </w:rPr>
      </w:pPr>
      <w:r>
        <w:rPr>
          <w:lang w:val="en-US"/>
        </w:rPr>
        <w:t>Following a non-significant effect</w:t>
      </w:r>
      <w:r w:rsidR="00472DCE">
        <w:rPr>
          <w:lang w:val="en-US"/>
        </w:rPr>
        <w:t xml:space="preserve"> in the traditional ANOVA</w:t>
      </w:r>
      <w:r>
        <w:rPr>
          <w:lang w:val="en-US"/>
        </w:rPr>
        <w:t xml:space="preserve">, we </w:t>
      </w:r>
      <w:r w:rsidR="005B73CD">
        <w:rPr>
          <w:lang w:val="en-US"/>
        </w:rPr>
        <w:t xml:space="preserve">conducted </w:t>
      </w:r>
      <w:r w:rsidR="00C47B06">
        <w:rPr>
          <w:lang w:val="en-US"/>
        </w:rPr>
        <w:t>a 2x4 Bayesian ANOVA using JASP v0.19.3</w:t>
      </w:r>
      <w:r w:rsidR="00472DCE">
        <w:rPr>
          <w:lang w:val="en-US"/>
        </w:rPr>
        <w:t>.</w:t>
      </w:r>
      <w:r w:rsidR="00581AAC">
        <w:rPr>
          <w:noProof/>
          <w:lang w:val="en-US"/>
        </w:rPr>
        <w:t>(24</w:t>
      </w:r>
      <w:proofErr w:type="gramStart"/>
      <w:r w:rsidR="00581AAC">
        <w:rPr>
          <w:noProof/>
          <w:lang w:val="en-US"/>
        </w:rPr>
        <w:t>)</w:t>
      </w:r>
      <w:r w:rsidR="00472DCE">
        <w:rPr>
          <w:lang w:val="en-US"/>
        </w:rPr>
        <w:t xml:space="preserve">  We</w:t>
      </w:r>
      <w:proofErr w:type="gramEnd"/>
      <w:r w:rsidR="00472DCE">
        <w:rPr>
          <w:lang w:val="en-US"/>
        </w:rPr>
        <w:t xml:space="preserve"> used </w:t>
      </w:r>
      <w:r w:rsidR="00C47B06">
        <w:rPr>
          <w:lang w:val="en-US"/>
        </w:rPr>
        <w:t>the default prior option of 0.5s for the fixed effects</w:t>
      </w:r>
      <w:r w:rsidR="00CE3BB2">
        <w:rPr>
          <w:lang w:val="en-US"/>
        </w:rPr>
        <w:t>;</w:t>
      </w:r>
      <w:r w:rsidR="004C7FFD">
        <w:rPr>
          <w:lang w:val="en-US"/>
        </w:rPr>
        <w:t xml:space="preserve"> </w:t>
      </w:r>
      <w:r w:rsidR="00CE3BB2">
        <w:rPr>
          <w:lang w:val="en-US"/>
        </w:rPr>
        <w:t xml:space="preserve">this </w:t>
      </w:r>
      <w:r w:rsidR="004C7FFD">
        <w:rPr>
          <w:lang w:val="en-US"/>
        </w:rPr>
        <w:t xml:space="preserve">is an appropriate approach to modelling when there are no strong </w:t>
      </w:r>
      <w:r w:rsidR="000F4939">
        <w:rPr>
          <w:lang w:val="en-US"/>
        </w:rPr>
        <w:t xml:space="preserve">(empirical) </w:t>
      </w:r>
      <w:r w:rsidR="004C7FFD">
        <w:rPr>
          <w:lang w:val="en-US"/>
        </w:rPr>
        <w:t xml:space="preserve">grounds for </w:t>
      </w:r>
      <w:r w:rsidR="000F4939">
        <w:rPr>
          <w:lang w:val="en-US"/>
        </w:rPr>
        <w:t>choosing other priors.</w:t>
      </w:r>
      <w:r w:rsidR="00002B37">
        <w:rPr>
          <w:lang w:val="en-US"/>
        </w:rPr>
        <w:t xml:space="preserve"> </w:t>
      </w:r>
      <w:r w:rsidR="000F4939">
        <w:rPr>
          <w:lang w:val="en-US"/>
        </w:rPr>
        <w:t xml:space="preserve"> </w:t>
      </w:r>
      <w:r w:rsidR="00E83D4A">
        <w:rPr>
          <w:lang w:val="en-US"/>
        </w:rPr>
        <w:t xml:space="preserve">Sensitivity analyses </w:t>
      </w:r>
      <w:r w:rsidR="008F5D7B">
        <w:rPr>
          <w:lang w:val="en-US"/>
        </w:rPr>
        <w:t xml:space="preserve">run </w:t>
      </w:r>
      <w:r w:rsidR="00E83D4A">
        <w:rPr>
          <w:lang w:val="en-US"/>
        </w:rPr>
        <w:t>with priors of 1 and 0.2</w:t>
      </w:r>
      <w:r w:rsidR="008F5D7B">
        <w:rPr>
          <w:lang w:val="en-US"/>
        </w:rPr>
        <w:t xml:space="preserve"> </w:t>
      </w:r>
      <w:r w:rsidR="00E83D4A">
        <w:rPr>
          <w:lang w:val="en-US"/>
        </w:rPr>
        <w:t xml:space="preserve">did not change the </w:t>
      </w:r>
      <w:proofErr w:type="gramStart"/>
      <w:r w:rsidR="00E0340A">
        <w:rPr>
          <w:lang w:val="en-US"/>
        </w:rPr>
        <w:t>conclusions</w:t>
      </w:r>
      <w:r w:rsidR="00E83D4A">
        <w:rPr>
          <w:lang w:val="en-US"/>
        </w:rPr>
        <w:t>.</w:t>
      </w:r>
      <w:r w:rsidR="00D23859">
        <w:rPr>
          <w:lang w:eastAsia="en-GB"/>
        </w:rPr>
        <w:t>Qualitative</w:t>
      </w:r>
      <w:proofErr w:type="gramEnd"/>
      <w:r w:rsidR="00D23859">
        <w:rPr>
          <w:lang w:eastAsia="en-GB"/>
        </w:rPr>
        <w:t xml:space="preserve"> data were </w:t>
      </w:r>
      <w:r w:rsidR="00522C75">
        <w:rPr>
          <w:lang w:eastAsia="en-GB"/>
        </w:rPr>
        <w:t xml:space="preserve">read repeatedly before being </w:t>
      </w:r>
      <w:r w:rsidR="00D51CBA">
        <w:rPr>
          <w:lang w:eastAsia="en-GB"/>
        </w:rPr>
        <w:t xml:space="preserve">classified as positive or negative about the consultation, and then further categorised </w:t>
      </w:r>
      <w:r w:rsidR="00522C75">
        <w:rPr>
          <w:lang w:eastAsia="en-GB"/>
        </w:rPr>
        <w:t xml:space="preserve">into inductive, data-driven categories.  </w:t>
      </w:r>
      <w:r w:rsidR="00923D88">
        <w:rPr>
          <w:lang w:eastAsia="en-GB"/>
        </w:rPr>
        <w:t xml:space="preserve">Most comments were very brief and many mentioned multiple aspects of the consultation (e.g., body language and </w:t>
      </w:r>
      <w:r w:rsidR="00296CCC">
        <w:rPr>
          <w:lang w:eastAsia="en-GB"/>
        </w:rPr>
        <w:t>advice)</w:t>
      </w:r>
      <w:r w:rsidR="00674F61">
        <w:rPr>
          <w:lang w:eastAsia="en-GB"/>
        </w:rPr>
        <w:t xml:space="preserve">; </w:t>
      </w:r>
      <w:r w:rsidR="00700E5C">
        <w:rPr>
          <w:lang w:eastAsia="en-GB"/>
        </w:rPr>
        <w:t>categorization was not mutually exclusive (i.e., one comment could be placed in multiple categories)</w:t>
      </w:r>
      <w:r w:rsidR="00296CCC">
        <w:rPr>
          <w:lang w:eastAsia="en-GB"/>
        </w:rPr>
        <w:t xml:space="preserve">.  </w:t>
      </w:r>
      <w:r w:rsidR="00522C75">
        <w:rPr>
          <w:lang w:eastAsia="en-GB"/>
        </w:rPr>
        <w:t>Categories were then mapped to participant ethnicity</w:t>
      </w:r>
      <w:r w:rsidR="00C30528">
        <w:rPr>
          <w:lang w:eastAsia="en-GB"/>
        </w:rPr>
        <w:t xml:space="preserve"> and </w:t>
      </w:r>
      <w:r w:rsidR="00F07DEF">
        <w:rPr>
          <w:lang w:eastAsia="en-GB"/>
        </w:rPr>
        <w:t xml:space="preserve">comments were </w:t>
      </w:r>
      <w:r w:rsidR="00C30528">
        <w:rPr>
          <w:lang w:eastAsia="en-GB"/>
        </w:rPr>
        <w:t>compared qualitatively</w:t>
      </w:r>
      <w:r w:rsidR="00BD4E5D">
        <w:rPr>
          <w:lang w:eastAsia="en-GB"/>
        </w:rPr>
        <w:t xml:space="preserve">.  NVivo was used to facilitate categorisation and to compare the </w:t>
      </w:r>
      <w:r w:rsidR="001B5BBA">
        <w:rPr>
          <w:lang w:eastAsia="en-GB"/>
        </w:rPr>
        <w:t xml:space="preserve">nature of comments made by people from different </w:t>
      </w:r>
      <w:proofErr w:type="gramStart"/>
      <w:r w:rsidR="001B5BBA">
        <w:rPr>
          <w:lang w:eastAsia="en-GB"/>
        </w:rPr>
        <w:t>ethnicities.</w:t>
      </w:r>
      <w:r w:rsidR="00C35FB2">
        <w:rPr>
          <w:noProof/>
          <w:lang w:eastAsia="en-GB"/>
        </w:rPr>
        <w:t>(</w:t>
      </w:r>
      <w:proofErr w:type="gramEnd"/>
      <w:r w:rsidR="00C35FB2">
        <w:rPr>
          <w:noProof/>
          <w:lang w:eastAsia="en-GB"/>
        </w:rPr>
        <w:t>25)</w:t>
      </w:r>
      <w:r w:rsidR="001B5BBA">
        <w:rPr>
          <w:lang w:eastAsia="en-GB"/>
        </w:rPr>
        <w:t xml:space="preserve">  </w:t>
      </w:r>
      <w:r w:rsidR="00C30528">
        <w:rPr>
          <w:lang w:eastAsia="en-GB"/>
        </w:rPr>
        <w:t xml:space="preserve">The qualitative analysis was led by </w:t>
      </w:r>
      <w:r w:rsidR="00217125" w:rsidRPr="00212AA2">
        <w:rPr>
          <w:lang w:eastAsia="en-GB"/>
        </w:rPr>
        <w:t xml:space="preserve">RD </w:t>
      </w:r>
      <w:r w:rsidR="007710C6" w:rsidRPr="00212AA2">
        <w:rPr>
          <w:lang w:eastAsia="en-GB"/>
        </w:rPr>
        <w:t xml:space="preserve">and </w:t>
      </w:r>
      <w:r w:rsidR="000C7CC8" w:rsidRPr="00212AA2">
        <w:rPr>
          <w:lang w:eastAsia="en-GB"/>
        </w:rPr>
        <w:t>FB</w:t>
      </w:r>
      <w:r w:rsidR="000C7CC8">
        <w:rPr>
          <w:lang w:eastAsia="en-GB"/>
        </w:rPr>
        <w:t>, who discussed the categorisation</w:t>
      </w:r>
      <w:r w:rsidR="00131B4D">
        <w:rPr>
          <w:lang w:eastAsia="en-GB"/>
        </w:rPr>
        <w:t>s</w:t>
      </w:r>
      <w:r w:rsidR="000C7CC8">
        <w:rPr>
          <w:lang w:eastAsia="en-GB"/>
        </w:rPr>
        <w:t xml:space="preserve"> </w:t>
      </w:r>
      <w:r w:rsidR="007710C6">
        <w:rPr>
          <w:lang w:eastAsia="en-GB"/>
        </w:rPr>
        <w:t>in depth.</w:t>
      </w:r>
      <w:r w:rsidR="00EB34A8">
        <w:rPr>
          <w:lang w:eastAsia="en-GB"/>
        </w:rPr>
        <w:t xml:space="preserve">  </w:t>
      </w:r>
      <w:r w:rsidR="00F15ED3">
        <w:rPr>
          <w:lang w:eastAsia="en-GB"/>
        </w:rPr>
        <w:t>Quotations for this report were selected to clearly illustrate the categories and are attributed to individual</w:t>
      </w:r>
      <w:r w:rsidR="006821F4">
        <w:rPr>
          <w:lang w:eastAsia="en-GB"/>
        </w:rPr>
        <w:t>s</w:t>
      </w:r>
      <w:r w:rsidR="00F15ED3">
        <w:rPr>
          <w:lang w:eastAsia="en-GB"/>
        </w:rPr>
        <w:t xml:space="preserve"> using </w:t>
      </w:r>
      <w:r w:rsidR="00C9482B">
        <w:rPr>
          <w:lang w:eastAsia="en-GB"/>
        </w:rPr>
        <w:t>participant numbers.</w:t>
      </w:r>
    </w:p>
    <w:p w14:paraId="27C04099" w14:textId="77777777" w:rsidR="008F20D1" w:rsidRDefault="008F20D1" w:rsidP="00920DB6"/>
    <w:p w14:paraId="53E9C95A" w14:textId="77777777" w:rsidR="0033772E" w:rsidRDefault="0033772E" w:rsidP="0033772E">
      <w:pPr>
        <w:pStyle w:val="Heading1"/>
      </w:pPr>
      <w:r>
        <w:lastRenderedPageBreak/>
        <w:t>Results</w:t>
      </w:r>
    </w:p>
    <w:p w14:paraId="2003E0C7" w14:textId="77777777" w:rsidR="00364085" w:rsidRDefault="00364085" w:rsidP="00364085">
      <w:pPr>
        <w:pStyle w:val="Heading2"/>
      </w:pPr>
      <w:r>
        <w:t>Participants</w:t>
      </w:r>
    </w:p>
    <w:p w14:paraId="4ADE617E" w14:textId="0D8DE85F" w:rsidR="0033772E" w:rsidRDefault="00AF798D" w:rsidP="0033772E">
      <w:r>
        <w:t>There were 274 participants</w:t>
      </w:r>
      <w:r w:rsidR="00FE5005">
        <w:t xml:space="preserve">, </w:t>
      </w:r>
      <w:r w:rsidR="00E1466E">
        <w:t>aged between 18 and 77 years (</w:t>
      </w:r>
      <w:r w:rsidR="00257BD7">
        <w:t>M=39.7, SD=14.2)</w:t>
      </w:r>
      <w:r w:rsidR="006821F4">
        <w:t xml:space="preserve"> (Table </w:t>
      </w:r>
      <w:r w:rsidR="00490417">
        <w:t>2</w:t>
      </w:r>
      <w:r w:rsidR="006821F4">
        <w:t>)</w:t>
      </w:r>
      <w:r w:rsidR="00257BD7">
        <w:t>.</w:t>
      </w:r>
      <w:r w:rsidR="00FE5005">
        <w:t xml:space="preserve"> </w:t>
      </w:r>
      <w:r w:rsidR="00257BD7">
        <w:t xml:space="preserve"> </w:t>
      </w:r>
      <w:r w:rsidR="00FE5005">
        <w:t>A</w:t>
      </w:r>
      <w:r w:rsidR="00F07640">
        <w:t xml:space="preserve"> slightly higher proportion of participants </w:t>
      </w:r>
      <w:r w:rsidR="00B21D4C">
        <w:t xml:space="preserve">reported being White Caucasian </w:t>
      </w:r>
      <w:r w:rsidR="00EF32AD">
        <w:t xml:space="preserve">(32%) </w:t>
      </w:r>
      <w:r w:rsidR="00AB76ED">
        <w:t xml:space="preserve">than </w:t>
      </w:r>
      <w:r w:rsidR="00EF32AD">
        <w:t>Black British (</w:t>
      </w:r>
      <w:r w:rsidR="00EE11A7">
        <w:t>23%</w:t>
      </w:r>
      <w:r w:rsidR="00EF32AD">
        <w:t>)</w:t>
      </w:r>
      <w:r w:rsidR="00EE11A7">
        <w:t xml:space="preserve"> </w:t>
      </w:r>
      <w:r w:rsidR="00F07640">
        <w:t>East Asian</w:t>
      </w:r>
      <w:r w:rsidR="00EF32AD">
        <w:t xml:space="preserve"> (20%) or</w:t>
      </w:r>
      <w:r w:rsidR="00F07640">
        <w:t xml:space="preserve"> South Asian</w:t>
      </w:r>
      <w:r w:rsidR="00714F06">
        <w:t xml:space="preserve"> </w:t>
      </w:r>
      <w:r w:rsidR="00EF32AD">
        <w:t>(25%</w:t>
      </w:r>
      <w:r w:rsidR="00F07640">
        <w:t>).</w:t>
      </w:r>
      <w:r w:rsidR="00AB76ED">
        <w:t xml:space="preserve">  </w:t>
      </w:r>
      <w:r w:rsidR="00700D1B">
        <w:t>The</w:t>
      </w:r>
      <w:r w:rsidR="008B17A3">
        <w:t xml:space="preserve"> gender split overall was balanced between males and females; this was also the case for three ethnicities, </w:t>
      </w:r>
      <w:r w:rsidR="00FE5005">
        <w:t xml:space="preserve">but </w:t>
      </w:r>
      <w:r w:rsidR="008B17A3">
        <w:t xml:space="preserve">there </w:t>
      </w:r>
      <w:r w:rsidR="00700D1B">
        <w:t>were more males than females among South Asian participants</w:t>
      </w:r>
      <w:r w:rsidR="00B22BBE">
        <w:t xml:space="preserve"> (60% vs 40%).  </w:t>
      </w:r>
      <w:r w:rsidR="00C002FF">
        <w:t xml:space="preserve">Overall, most participants </w:t>
      </w:r>
      <w:r w:rsidR="006821F4">
        <w:t xml:space="preserve">across all ethnic groups </w:t>
      </w:r>
      <w:r w:rsidR="00C002FF">
        <w:t xml:space="preserve">reported having obtained a university degree.  </w:t>
      </w:r>
      <w:r w:rsidR="00310C9B">
        <w:t>Most participants reported having good (36%) or very good (34%) general health</w:t>
      </w:r>
      <w:r w:rsidR="00D9171F">
        <w:t>;</w:t>
      </w:r>
      <w:r w:rsidR="00FC1DF8">
        <w:t xml:space="preserve"> self-reported health was broadly similar across </w:t>
      </w:r>
      <w:r w:rsidR="006821F4">
        <w:t>ethnic groups</w:t>
      </w:r>
      <w:r w:rsidR="00FC1DF8">
        <w:t>.</w:t>
      </w:r>
      <w:r w:rsidR="006951EE">
        <w:t xml:space="preserve">  </w:t>
      </w:r>
      <w:r w:rsidR="006821F4">
        <w:t>F</w:t>
      </w:r>
      <w:r w:rsidR="00C002FF">
        <w:t>ewer than 10% of participants had osteoarthritis themselves or cared for someone with osteoarthritis.</w:t>
      </w:r>
      <w:r w:rsidR="00257BD7">
        <w:t xml:space="preserve">  </w:t>
      </w:r>
    </w:p>
    <w:p w14:paraId="2F9E5171" w14:textId="77777777" w:rsidR="00BB63E6" w:rsidRDefault="00BB63E6" w:rsidP="0033772E"/>
    <w:p w14:paraId="6110C57A" w14:textId="6F693738" w:rsidR="0037512A" w:rsidRPr="0037512A" w:rsidRDefault="0037512A" w:rsidP="0033772E">
      <w:pPr>
        <w:rPr>
          <w:i/>
          <w:iCs/>
        </w:rPr>
      </w:pPr>
      <w:r w:rsidRPr="0037512A">
        <w:rPr>
          <w:i/>
          <w:iCs/>
        </w:rPr>
        <w:t xml:space="preserve">Table </w:t>
      </w:r>
      <w:r w:rsidR="00490417">
        <w:rPr>
          <w:i/>
          <w:iCs/>
        </w:rPr>
        <w:t>2</w:t>
      </w:r>
      <w:r w:rsidRPr="0037512A">
        <w:rPr>
          <w:i/>
          <w:iCs/>
        </w:rPr>
        <w:t xml:space="preserve"> </w:t>
      </w:r>
    </w:p>
    <w:p w14:paraId="27A256B7" w14:textId="77777777" w:rsidR="0037512A" w:rsidRDefault="0037512A" w:rsidP="0033772E"/>
    <w:p w14:paraId="187C6799" w14:textId="53224DC5" w:rsidR="00AE6764" w:rsidRDefault="00EB6918" w:rsidP="00BB63E6">
      <w:pPr>
        <w:pStyle w:val="Heading2"/>
      </w:pPr>
      <w:r>
        <w:t xml:space="preserve">Effects of Ethnicity on </w:t>
      </w:r>
      <w:r w:rsidR="00CD6437">
        <w:t>Ratings</w:t>
      </w:r>
      <w:r>
        <w:t xml:space="preserve"> of Empathy</w:t>
      </w:r>
    </w:p>
    <w:p w14:paraId="2516D0EC" w14:textId="4A75D622" w:rsidR="00E25F32" w:rsidRDefault="7B4BF24A" w:rsidP="00F76A76">
      <w:r>
        <w:t xml:space="preserve">Across the whole sample and within all ethnic groups, enhanced consultations were rated as more empathic than standard consultations (Table </w:t>
      </w:r>
      <w:r w:rsidR="002E54A4">
        <w:t>3</w:t>
      </w:r>
      <w:r>
        <w:t xml:space="preserve">).  The </w:t>
      </w:r>
      <w:r w:rsidR="00F656C0">
        <w:t xml:space="preserve">traditional </w:t>
      </w:r>
      <w:r>
        <w:t xml:space="preserve">factorial ANOVA confirmed a large and </w:t>
      </w:r>
      <w:r w:rsidRPr="7B4BF24A">
        <w:rPr>
          <w:rFonts w:eastAsiaTheme="minorEastAsia"/>
        </w:rPr>
        <w:t>statistically</w:t>
      </w:r>
      <w:r>
        <w:t xml:space="preserve"> significant main effect of consultation style on ratings of clinical empathy, </w:t>
      </w:r>
      <w:proofErr w:type="gramStart"/>
      <w:r>
        <w:t>F(</w:t>
      </w:r>
      <w:proofErr w:type="gramEnd"/>
      <w:r>
        <w:t xml:space="preserve">1,266)=814.81, p&lt;.001, partial </w:t>
      </w:r>
      <w:r w:rsidRPr="7B4BF24A">
        <w:t>η</w:t>
      </w:r>
      <w:r w:rsidRPr="7B4BF24A">
        <w:rPr>
          <w:vertAlign w:val="superscript"/>
        </w:rPr>
        <w:t xml:space="preserve">2 </w:t>
      </w:r>
      <w:r>
        <w:t xml:space="preserve">= .75.  </w:t>
      </w:r>
      <w:r w:rsidR="00E25F47">
        <w:t>There was no main effect of p</w:t>
      </w:r>
      <w:r>
        <w:t xml:space="preserve">articipant ethnicity on ratings of clinical empathy, </w:t>
      </w:r>
      <w:proofErr w:type="gramStart"/>
      <w:r>
        <w:t>F(</w:t>
      </w:r>
      <w:proofErr w:type="gramEnd"/>
      <w:r>
        <w:t xml:space="preserve">3,266)=2.039, p=.109, partial </w:t>
      </w:r>
      <w:r w:rsidRPr="7B4BF24A">
        <w:t>η</w:t>
      </w:r>
      <w:r w:rsidRPr="7B4BF24A">
        <w:rPr>
          <w:vertAlign w:val="superscript"/>
        </w:rPr>
        <w:t xml:space="preserve">2 </w:t>
      </w:r>
      <w:r>
        <w:t xml:space="preserve">= .02.  While there appeared to be greater variation between ethnic groups in ratings of the standard consultation compared to ratings of the enhanced consultation (Table </w:t>
      </w:r>
      <w:r w:rsidR="002E54A4">
        <w:t>3</w:t>
      </w:r>
      <w:r>
        <w:t xml:space="preserve">), the interaction between consultation style and participant ethnicity was small and not statistically significant, </w:t>
      </w:r>
      <w:proofErr w:type="gramStart"/>
      <w:r>
        <w:t>F(</w:t>
      </w:r>
      <w:proofErr w:type="gramEnd"/>
      <w:r>
        <w:t xml:space="preserve">3,266)=2.087, p=.102, partial </w:t>
      </w:r>
      <w:r w:rsidRPr="7B4BF24A">
        <w:t>η</w:t>
      </w:r>
      <w:r w:rsidRPr="7B4BF24A">
        <w:rPr>
          <w:vertAlign w:val="superscript"/>
        </w:rPr>
        <w:t xml:space="preserve">2 </w:t>
      </w:r>
      <w:r>
        <w:t xml:space="preserve">= .02.  </w:t>
      </w:r>
    </w:p>
    <w:p w14:paraId="578AFD2A" w14:textId="77777777" w:rsidR="003E67AF" w:rsidRDefault="003E67AF" w:rsidP="00F76A76"/>
    <w:p w14:paraId="2F3F1CEF" w14:textId="3D0A76D0" w:rsidR="003E67AF" w:rsidRPr="0037512A" w:rsidRDefault="003E67AF" w:rsidP="003E67AF">
      <w:pPr>
        <w:rPr>
          <w:i/>
          <w:iCs/>
        </w:rPr>
      </w:pPr>
      <w:r w:rsidRPr="0037512A">
        <w:rPr>
          <w:i/>
          <w:iCs/>
        </w:rPr>
        <w:t xml:space="preserve">Table </w:t>
      </w:r>
      <w:r w:rsidR="002E54A4">
        <w:rPr>
          <w:i/>
          <w:iCs/>
        </w:rPr>
        <w:t>3</w:t>
      </w:r>
      <w:r w:rsidRPr="0037512A">
        <w:rPr>
          <w:i/>
          <w:iCs/>
        </w:rPr>
        <w:t xml:space="preserve"> </w:t>
      </w:r>
    </w:p>
    <w:p w14:paraId="640DCB05" w14:textId="77777777" w:rsidR="003E67AF" w:rsidRDefault="003E67AF" w:rsidP="00F76A76"/>
    <w:p w14:paraId="31491BAB" w14:textId="1C09DBD5" w:rsidR="007F084E" w:rsidRDefault="004B045B" w:rsidP="002F0F63">
      <w:pPr>
        <w:rPr>
          <w:lang w:val="en-US"/>
        </w:rPr>
      </w:pPr>
      <w:r>
        <w:rPr>
          <w:lang w:val="en-US"/>
        </w:rPr>
        <w:t>In t</w:t>
      </w:r>
      <w:r w:rsidR="006B4727">
        <w:rPr>
          <w:lang w:val="en-US"/>
        </w:rPr>
        <w:t xml:space="preserve">he </w:t>
      </w:r>
      <w:r w:rsidR="00E71070">
        <w:rPr>
          <w:lang w:val="en-US"/>
        </w:rPr>
        <w:t>Bayesian analysis</w:t>
      </w:r>
      <w:r>
        <w:rPr>
          <w:lang w:val="en-US"/>
        </w:rPr>
        <w:t xml:space="preserve">, </w:t>
      </w:r>
      <w:r w:rsidR="00E71070">
        <w:rPr>
          <w:lang w:val="en-US"/>
        </w:rPr>
        <w:t xml:space="preserve">all </w:t>
      </w:r>
      <w:r w:rsidR="00037C80">
        <w:rPr>
          <w:lang w:val="en-US"/>
        </w:rPr>
        <w:t xml:space="preserve">possible models </w:t>
      </w:r>
      <w:r>
        <w:rPr>
          <w:lang w:val="en-US"/>
        </w:rPr>
        <w:t xml:space="preserve">were assessed </w:t>
      </w:r>
      <w:r w:rsidR="00884109">
        <w:rPr>
          <w:lang w:val="en-US"/>
        </w:rPr>
        <w:t xml:space="preserve">and </w:t>
      </w:r>
      <w:r w:rsidR="00037C80">
        <w:rPr>
          <w:lang w:val="en-US"/>
        </w:rPr>
        <w:t>compared with the best performing model</w:t>
      </w:r>
      <w:r w:rsidR="00823EF8">
        <w:rPr>
          <w:lang w:val="en-US"/>
        </w:rPr>
        <w:t xml:space="preserve"> </w:t>
      </w:r>
      <w:r w:rsidR="006B4727">
        <w:rPr>
          <w:lang w:val="en-US"/>
        </w:rPr>
        <w:t xml:space="preserve">(Table </w:t>
      </w:r>
      <w:r w:rsidR="002E54A4">
        <w:rPr>
          <w:lang w:val="en-US"/>
        </w:rPr>
        <w:t>4</w:t>
      </w:r>
      <w:r w:rsidR="006B4727">
        <w:rPr>
          <w:lang w:val="en-US"/>
        </w:rPr>
        <w:t>)</w:t>
      </w:r>
      <w:r w:rsidR="00152D9C">
        <w:rPr>
          <w:lang w:val="en-US"/>
        </w:rPr>
        <w:t xml:space="preserve">.  </w:t>
      </w:r>
      <w:r w:rsidR="00CF3289">
        <w:rPr>
          <w:lang w:val="en-US"/>
        </w:rPr>
        <w:t xml:space="preserve">The comparison between the </w:t>
      </w:r>
      <w:r>
        <w:rPr>
          <w:lang w:val="en-US"/>
        </w:rPr>
        <w:t xml:space="preserve">model that included </w:t>
      </w:r>
      <w:r w:rsidR="006274AF">
        <w:rPr>
          <w:lang w:val="en-US"/>
        </w:rPr>
        <w:t xml:space="preserve">only </w:t>
      </w:r>
      <w:r w:rsidR="001C799A">
        <w:rPr>
          <w:lang w:val="en-US"/>
        </w:rPr>
        <w:t>consultation</w:t>
      </w:r>
      <w:r w:rsidR="00B03C8B">
        <w:rPr>
          <w:lang w:val="en-US"/>
        </w:rPr>
        <w:t xml:space="preserve"> </w:t>
      </w:r>
      <w:proofErr w:type="gramStart"/>
      <w:r w:rsidR="001C799A">
        <w:rPr>
          <w:lang w:val="en-US"/>
        </w:rPr>
        <w:t>style</w:t>
      </w:r>
      <w:proofErr w:type="gramEnd"/>
      <w:r w:rsidR="001C799A">
        <w:rPr>
          <w:lang w:val="en-US"/>
        </w:rPr>
        <w:t xml:space="preserve"> </w:t>
      </w:r>
      <w:r>
        <w:rPr>
          <w:lang w:val="en-US"/>
        </w:rPr>
        <w:t xml:space="preserve">and </w:t>
      </w:r>
      <w:r w:rsidR="001C799A">
        <w:rPr>
          <w:lang w:val="en-US"/>
        </w:rPr>
        <w:t xml:space="preserve">the </w:t>
      </w:r>
      <w:r w:rsidR="00774652">
        <w:rPr>
          <w:lang w:val="en-US"/>
        </w:rPr>
        <w:t xml:space="preserve">null </w:t>
      </w:r>
      <w:r w:rsidR="001C799A">
        <w:rPr>
          <w:lang w:val="en-US"/>
        </w:rPr>
        <w:t xml:space="preserve">model </w:t>
      </w:r>
      <w:r w:rsidR="00774652">
        <w:rPr>
          <w:lang w:val="en-US"/>
        </w:rPr>
        <w:t>(</w:t>
      </w:r>
      <w:r w:rsidR="001C799A">
        <w:rPr>
          <w:lang w:val="en-US"/>
        </w:rPr>
        <w:t xml:space="preserve">with no </w:t>
      </w:r>
      <w:r w:rsidR="00774652">
        <w:rPr>
          <w:lang w:val="en-US"/>
        </w:rPr>
        <w:t>predictors)</w:t>
      </w:r>
      <w:r>
        <w:rPr>
          <w:lang w:val="en-US"/>
        </w:rPr>
        <w:t xml:space="preserve"> overwhelmingly </w:t>
      </w:r>
      <w:proofErr w:type="spellStart"/>
      <w:r>
        <w:rPr>
          <w:lang w:val="en-US"/>
        </w:rPr>
        <w:t>favoured</w:t>
      </w:r>
      <w:proofErr w:type="spellEnd"/>
      <w:r>
        <w:rPr>
          <w:lang w:val="en-US"/>
        </w:rPr>
        <w:t xml:space="preserve"> the consultation-style </w:t>
      </w:r>
      <w:r w:rsidR="005D7BB9">
        <w:rPr>
          <w:lang w:val="en-US"/>
        </w:rPr>
        <w:t xml:space="preserve">only </w:t>
      </w:r>
      <w:r>
        <w:rPr>
          <w:lang w:val="en-US"/>
        </w:rPr>
        <w:t>model</w:t>
      </w:r>
      <w:r w:rsidR="00152D9C">
        <w:rPr>
          <w:lang w:val="en-US"/>
        </w:rPr>
        <w:t>, BF</w:t>
      </w:r>
      <w:r w:rsidR="00152D9C" w:rsidRPr="005E686B">
        <w:rPr>
          <w:sz w:val="16"/>
          <w:szCs w:val="16"/>
          <w:lang w:val="en-US"/>
        </w:rPr>
        <w:t>01</w:t>
      </w:r>
      <w:r w:rsidR="00152D9C">
        <w:rPr>
          <w:lang w:val="en-US"/>
        </w:rPr>
        <w:t xml:space="preserve"> 1.784</w:t>
      </w:r>
      <w:r w:rsidR="00152D9C" w:rsidRPr="00CC7A50">
        <w:rPr>
          <w:rFonts w:cstheme="minorHAnsi"/>
        </w:rPr>
        <w:t>×10</w:t>
      </w:r>
      <w:r w:rsidR="00152D9C">
        <w:rPr>
          <w:rFonts w:cstheme="minorHAnsi"/>
          <w:vertAlign w:val="superscript"/>
        </w:rPr>
        <w:t>+81</w:t>
      </w:r>
      <w:r w:rsidR="00774652">
        <w:rPr>
          <w:lang w:val="en-US"/>
        </w:rPr>
        <w:t xml:space="preserve">; this </w:t>
      </w:r>
      <w:r w:rsidR="006B3D06">
        <w:rPr>
          <w:lang w:val="en-US"/>
        </w:rPr>
        <w:t>confirm</w:t>
      </w:r>
      <w:r w:rsidR="00774652">
        <w:rPr>
          <w:lang w:val="en-US"/>
        </w:rPr>
        <w:t>s</w:t>
      </w:r>
      <w:r w:rsidR="006B3D06">
        <w:rPr>
          <w:lang w:val="en-US"/>
        </w:rPr>
        <w:t xml:space="preserve"> the </w:t>
      </w:r>
      <w:r w:rsidR="00504A6E">
        <w:rPr>
          <w:lang w:val="en-US"/>
        </w:rPr>
        <w:t xml:space="preserve">results of the traditional ANOVA that there </w:t>
      </w:r>
      <w:r w:rsidR="006222E5">
        <w:rPr>
          <w:lang w:val="en-US"/>
        </w:rPr>
        <w:t>wa</w:t>
      </w:r>
      <w:r w:rsidR="00504A6E">
        <w:rPr>
          <w:lang w:val="en-US"/>
        </w:rPr>
        <w:t>s an effect of consultation style on perceptions of empathy.</w:t>
      </w:r>
      <w:r w:rsidR="0094276A">
        <w:rPr>
          <w:lang w:val="en-US"/>
        </w:rPr>
        <w:t xml:space="preserve"> </w:t>
      </w:r>
      <w:r w:rsidR="00152D9C">
        <w:rPr>
          <w:lang w:val="en-US"/>
        </w:rPr>
        <w:t xml:space="preserve"> </w:t>
      </w:r>
      <w:r>
        <w:rPr>
          <w:lang w:val="en-US"/>
        </w:rPr>
        <w:t>The comparison</w:t>
      </w:r>
      <w:r w:rsidR="00D76643">
        <w:rPr>
          <w:lang w:val="en-US"/>
        </w:rPr>
        <w:t>s</w:t>
      </w:r>
      <w:r>
        <w:rPr>
          <w:lang w:val="en-US"/>
        </w:rPr>
        <w:t xml:space="preserve"> between </w:t>
      </w:r>
      <w:r w:rsidR="00BD7328">
        <w:rPr>
          <w:lang w:val="en-US"/>
        </w:rPr>
        <w:t>the consultation</w:t>
      </w:r>
      <w:r w:rsidR="00B03C8B">
        <w:rPr>
          <w:lang w:val="en-US"/>
        </w:rPr>
        <w:t xml:space="preserve"> </w:t>
      </w:r>
      <w:r w:rsidR="00BD7328">
        <w:rPr>
          <w:lang w:val="en-US"/>
        </w:rPr>
        <w:t>style</w:t>
      </w:r>
      <w:r w:rsidR="00B03C8B">
        <w:rPr>
          <w:lang w:val="en-US"/>
        </w:rPr>
        <w:t>-</w:t>
      </w:r>
      <w:r w:rsidR="00023A34">
        <w:rPr>
          <w:lang w:val="en-US"/>
        </w:rPr>
        <w:t xml:space="preserve">only </w:t>
      </w:r>
      <w:r w:rsidR="00BD7328">
        <w:rPr>
          <w:lang w:val="en-US"/>
        </w:rPr>
        <w:t xml:space="preserve">model </w:t>
      </w:r>
      <w:r>
        <w:rPr>
          <w:lang w:val="en-US"/>
        </w:rPr>
        <w:t xml:space="preserve">and </w:t>
      </w:r>
      <w:r w:rsidR="00CF3289">
        <w:rPr>
          <w:lang w:val="en-US"/>
        </w:rPr>
        <w:t xml:space="preserve">models that included </w:t>
      </w:r>
      <w:r w:rsidR="006222E5">
        <w:rPr>
          <w:lang w:val="en-US"/>
        </w:rPr>
        <w:t xml:space="preserve">consultation style and </w:t>
      </w:r>
      <w:r w:rsidR="00CF3289">
        <w:rPr>
          <w:lang w:val="en-US"/>
        </w:rPr>
        <w:t xml:space="preserve">participant ethnicity </w:t>
      </w:r>
      <w:r>
        <w:rPr>
          <w:lang w:val="en-US"/>
        </w:rPr>
        <w:t xml:space="preserve">also </w:t>
      </w:r>
      <w:proofErr w:type="spellStart"/>
      <w:r>
        <w:rPr>
          <w:lang w:val="en-US"/>
        </w:rPr>
        <w:t>favoured</w:t>
      </w:r>
      <w:proofErr w:type="spellEnd"/>
      <w:r>
        <w:rPr>
          <w:lang w:val="en-US"/>
        </w:rPr>
        <w:t xml:space="preserve"> the consultation</w:t>
      </w:r>
      <w:r w:rsidR="00B03C8B">
        <w:rPr>
          <w:lang w:val="en-US"/>
        </w:rPr>
        <w:t xml:space="preserve"> </w:t>
      </w:r>
      <w:r>
        <w:rPr>
          <w:lang w:val="en-US"/>
        </w:rPr>
        <w:t>style</w:t>
      </w:r>
      <w:r w:rsidR="00B03C8B">
        <w:rPr>
          <w:lang w:val="en-US"/>
        </w:rPr>
        <w:t>-</w:t>
      </w:r>
      <w:r w:rsidR="00023A34">
        <w:rPr>
          <w:lang w:val="en-US"/>
        </w:rPr>
        <w:t xml:space="preserve">only </w:t>
      </w:r>
      <w:r>
        <w:rPr>
          <w:lang w:val="en-US"/>
        </w:rPr>
        <w:t>model.  T</w:t>
      </w:r>
      <w:r w:rsidR="002048F3">
        <w:rPr>
          <w:lang w:val="en-US"/>
        </w:rPr>
        <w:t xml:space="preserve">he data </w:t>
      </w:r>
      <w:r w:rsidR="00E543F2">
        <w:rPr>
          <w:lang w:val="en-US"/>
        </w:rPr>
        <w:t>were</w:t>
      </w:r>
      <w:r w:rsidR="002048F3">
        <w:rPr>
          <w:lang w:val="en-US"/>
        </w:rPr>
        <w:t xml:space="preserve"> 8.53 </w:t>
      </w:r>
      <w:r w:rsidR="00AD76CD">
        <w:rPr>
          <w:lang w:val="en-US"/>
        </w:rPr>
        <w:t xml:space="preserve">times </w:t>
      </w:r>
      <w:r w:rsidR="002048F3">
        <w:rPr>
          <w:lang w:val="en-US"/>
        </w:rPr>
        <w:t xml:space="preserve">more likely </w:t>
      </w:r>
      <w:r w:rsidR="000956A9">
        <w:rPr>
          <w:lang w:val="en-US"/>
        </w:rPr>
        <w:t xml:space="preserve">to be observed </w:t>
      </w:r>
      <w:r w:rsidR="002048F3">
        <w:rPr>
          <w:lang w:val="en-US"/>
        </w:rPr>
        <w:t xml:space="preserve">under </w:t>
      </w:r>
      <w:r w:rsidR="00152D9C">
        <w:rPr>
          <w:lang w:val="en-US"/>
        </w:rPr>
        <w:t>the consultation</w:t>
      </w:r>
      <w:r w:rsidR="00B03C8B">
        <w:rPr>
          <w:lang w:val="en-US"/>
        </w:rPr>
        <w:t xml:space="preserve"> </w:t>
      </w:r>
      <w:r w:rsidR="00987A10">
        <w:rPr>
          <w:lang w:val="en-US"/>
        </w:rPr>
        <w:t>style</w:t>
      </w:r>
      <w:r w:rsidR="00B03C8B">
        <w:rPr>
          <w:lang w:val="en-US"/>
        </w:rPr>
        <w:t>-</w:t>
      </w:r>
      <w:r w:rsidR="00152D9C">
        <w:rPr>
          <w:lang w:val="en-US"/>
        </w:rPr>
        <w:t xml:space="preserve">only </w:t>
      </w:r>
      <w:r w:rsidR="002048F3">
        <w:rPr>
          <w:lang w:val="en-US"/>
        </w:rPr>
        <w:t xml:space="preserve">model than under </w:t>
      </w:r>
      <w:r w:rsidR="00A31CD9">
        <w:rPr>
          <w:lang w:val="en-US"/>
        </w:rPr>
        <w:t>the model with main effects of consultation style and ethnicity and their interaction</w:t>
      </w:r>
      <w:r w:rsidR="007F084E">
        <w:rPr>
          <w:lang w:val="en-US"/>
        </w:rPr>
        <w:t xml:space="preserve">. </w:t>
      </w:r>
      <w:r w:rsidR="00023A34">
        <w:rPr>
          <w:lang w:val="en-US"/>
        </w:rPr>
        <w:t>Furthermore</w:t>
      </w:r>
      <w:r w:rsidR="007F084E">
        <w:rPr>
          <w:lang w:val="en-US"/>
        </w:rPr>
        <w:t xml:space="preserve">, </w:t>
      </w:r>
      <w:r w:rsidR="00CB5A64">
        <w:rPr>
          <w:lang w:val="en-US"/>
        </w:rPr>
        <w:t>the data were 4.05 times more likely to be observed under the consultation</w:t>
      </w:r>
      <w:r w:rsidR="00BB731B">
        <w:rPr>
          <w:lang w:val="en-US"/>
        </w:rPr>
        <w:t xml:space="preserve"> </w:t>
      </w:r>
      <w:r w:rsidR="00CB5A64">
        <w:rPr>
          <w:lang w:val="en-US"/>
        </w:rPr>
        <w:t>style</w:t>
      </w:r>
      <w:r w:rsidR="00BB731B">
        <w:rPr>
          <w:lang w:val="en-US"/>
        </w:rPr>
        <w:t>-</w:t>
      </w:r>
      <w:r w:rsidR="00531394">
        <w:rPr>
          <w:lang w:val="en-US"/>
        </w:rPr>
        <w:t xml:space="preserve">only model than under the model with main effects of consultation style and ethnicity.  </w:t>
      </w:r>
      <w:r w:rsidR="006A1E6A">
        <w:rPr>
          <w:lang w:val="en-US"/>
        </w:rPr>
        <w:t xml:space="preserve">These comparisons </w:t>
      </w:r>
      <w:r w:rsidR="007F084E">
        <w:rPr>
          <w:lang w:val="en-US"/>
        </w:rPr>
        <w:t>constitute moderate evidence in favor of the consultation</w:t>
      </w:r>
      <w:r w:rsidR="00BB731B">
        <w:rPr>
          <w:lang w:val="en-US"/>
        </w:rPr>
        <w:t xml:space="preserve"> </w:t>
      </w:r>
      <w:r w:rsidR="00023A34">
        <w:rPr>
          <w:lang w:val="en-US"/>
        </w:rPr>
        <w:t>style</w:t>
      </w:r>
      <w:r w:rsidR="00BB731B">
        <w:rPr>
          <w:lang w:val="en-US"/>
        </w:rPr>
        <w:t>-</w:t>
      </w:r>
      <w:r w:rsidR="007F084E">
        <w:rPr>
          <w:lang w:val="en-US"/>
        </w:rPr>
        <w:t xml:space="preserve">only model </w:t>
      </w:r>
      <w:r w:rsidR="005E686B">
        <w:rPr>
          <w:lang w:val="en-US"/>
        </w:rPr>
        <w:t xml:space="preserve">compared to the </w:t>
      </w:r>
      <w:r w:rsidR="006A1E6A">
        <w:rPr>
          <w:lang w:val="en-US"/>
        </w:rPr>
        <w:t xml:space="preserve">models also including </w:t>
      </w:r>
      <w:r w:rsidR="005E686B">
        <w:rPr>
          <w:lang w:val="en-US"/>
        </w:rPr>
        <w:t xml:space="preserve">participant </w:t>
      </w:r>
      <w:proofErr w:type="gramStart"/>
      <w:r w:rsidR="005E686B">
        <w:rPr>
          <w:lang w:val="en-US"/>
        </w:rPr>
        <w:t>ethnicity</w:t>
      </w:r>
      <w:r w:rsidR="00D76643">
        <w:rPr>
          <w:lang w:val="en-US"/>
        </w:rPr>
        <w:t>,</w:t>
      </w:r>
      <w:r w:rsidR="00581AAC">
        <w:rPr>
          <w:noProof/>
          <w:lang w:val="en-US"/>
        </w:rPr>
        <w:t>(</w:t>
      </w:r>
      <w:proofErr w:type="gramEnd"/>
      <w:r w:rsidR="00581AAC">
        <w:rPr>
          <w:noProof/>
          <w:lang w:val="en-US"/>
        </w:rPr>
        <w:t>23)</w:t>
      </w:r>
      <w:r w:rsidR="00D76643">
        <w:rPr>
          <w:lang w:val="en-US"/>
        </w:rPr>
        <w:t xml:space="preserve"> </w:t>
      </w:r>
      <w:r w:rsidR="00CB653F">
        <w:rPr>
          <w:lang w:val="en-US"/>
        </w:rPr>
        <w:t xml:space="preserve">i.e., there is moderate evidence that </w:t>
      </w:r>
      <w:r w:rsidR="00D76643">
        <w:rPr>
          <w:lang w:val="en-US"/>
        </w:rPr>
        <w:t xml:space="preserve">there is no effect of </w:t>
      </w:r>
      <w:r w:rsidR="00CF41FF">
        <w:rPr>
          <w:lang w:val="en-US"/>
        </w:rPr>
        <w:t>participant</w:t>
      </w:r>
      <w:r w:rsidR="00330018">
        <w:rPr>
          <w:lang w:val="en-US"/>
        </w:rPr>
        <w:t xml:space="preserve"> </w:t>
      </w:r>
      <w:r w:rsidR="00D76643">
        <w:rPr>
          <w:lang w:val="en-US"/>
        </w:rPr>
        <w:t xml:space="preserve">ethnicity on perceptions of </w:t>
      </w:r>
      <w:r w:rsidR="00330018">
        <w:rPr>
          <w:lang w:val="en-US"/>
        </w:rPr>
        <w:t xml:space="preserve">clinical </w:t>
      </w:r>
      <w:r w:rsidR="00D76643">
        <w:rPr>
          <w:lang w:val="en-US"/>
        </w:rPr>
        <w:t>empathy.</w:t>
      </w:r>
    </w:p>
    <w:p w14:paraId="7C395411" w14:textId="77777777" w:rsidR="007F084E" w:rsidRDefault="007F084E" w:rsidP="002F0F63">
      <w:pPr>
        <w:rPr>
          <w:lang w:val="en-US"/>
        </w:rPr>
      </w:pPr>
    </w:p>
    <w:p w14:paraId="754D5DC7" w14:textId="5AC03028" w:rsidR="003E67AF" w:rsidRPr="0037512A" w:rsidRDefault="003E67AF" w:rsidP="003E67AF">
      <w:pPr>
        <w:rPr>
          <w:i/>
          <w:iCs/>
        </w:rPr>
      </w:pPr>
      <w:r w:rsidRPr="0037512A">
        <w:rPr>
          <w:i/>
          <w:iCs/>
        </w:rPr>
        <w:t xml:space="preserve">Table </w:t>
      </w:r>
      <w:r w:rsidR="002E54A4">
        <w:rPr>
          <w:i/>
          <w:iCs/>
        </w:rPr>
        <w:t>4</w:t>
      </w:r>
      <w:r w:rsidRPr="0037512A">
        <w:rPr>
          <w:i/>
          <w:iCs/>
        </w:rPr>
        <w:t xml:space="preserve"> </w:t>
      </w:r>
    </w:p>
    <w:p w14:paraId="557474E2" w14:textId="77777777" w:rsidR="003E67AF" w:rsidRDefault="003E67AF" w:rsidP="002F0F63">
      <w:pPr>
        <w:rPr>
          <w:lang w:val="en-US"/>
        </w:rPr>
      </w:pPr>
    </w:p>
    <w:p w14:paraId="1DE43254" w14:textId="41432C35" w:rsidR="00E25F47" w:rsidRPr="00037C80" w:rsidRDefault="007F084E" w:rsidP="002F0F63">
      <w:pPr>
        <w:rPr>
          <w:lang w:val="en-US"/>
        </w:rPr>
      </w:pPr>
      <w:r>
        <w:rPr>
          <w:lang w:val="en-US"/>
        </w:rPr>
        <w:lastRenderedPageBreak/>
        <w:t xml:space="preserve">To further illustrate this, </w:t>
      </w:r>
      <w:r w:rsidR="005E686B">
        <w:rPr>
          <w:lang w:val="en-US"/>
        </w:rPr>
        <w:t>an</w:t>
      </w:r>
      <w:r>
        <w:rPr>
          <w:lang w:val="en-US"/>
        </w:rPr>
        <w:t xml:space="preserve"> Analysis of Effects</w:t>
      </w:r>
      <w:r w:rsidR="005E686B">
        <w:rPr>
          <w:lang w:val="en-US"/>
        </w:rPr>
        <w:t xml:space="preserve"> was used</w:t>
      </w:r>
      <w:r>
        <w:rPr>
          <w:lang w:val="en-US"/>
        </w:rPr>
        <w:t xml:space="preserve">.  This gives the Bayes Factor for whether consultation style, participant ethnicity, and the interaction, should each be included or excluded from the final model.  There </w:t>
      </w:r>
      <w:r w:rsidR="005E686B">
        <w:rPr>
          <w:lang w:val="en-US"/>
        </w:rPr>
        <w:t>wa</w:t>
      </w:r>
      <w:r>
        <w:rPr>
          <w:lang w:val="en-US"/>
        </w:rPr>
        <w:t>s overwhelming evidence that consultation style should be included in the model</w:t>
      </w:r>
      <w:r w:rsidR="00DC3299">
        <w:rPr>
          <w:lang w:val="en-US"/>
        </w:rPr>
        <w:t xml:space="preserve"> (</w:t>
      </w:r>
      <w:proofErr w:type="spellStart"/>
      <w:r w:rsidR="00DC3299">
        <w:rPr>
          <w:lang w:val="en-US"/>
        </w:rPr>
        <w:t>BF</w:t>
      </w:r>
      <w:r w:rsidR="00DC3299">
        <w:rPr>
          <w:sz w:val="18"/>
          <w:szCs w:val="18"/>
          <w:lang w:val="en-US"/>
        </w:rPr>
        <w:t>incl</w:t>
      </w:r>
      <w:proofErr w:type="spellEnd"/>
      <w:r w:rsidR="00DC3299">
        <w:rPr>
          <w:sz w:val="18"/>
          <w:szCs w:val="18"/>
          <w:lang w:val="en-US"/>
        </w:rPr>
        <w:t xml:space="preserve"> </w:t>
      </w:r>
      <w:r w:rsidR="00DC3299" w:rsidRPr="005E686B">
        <w:rPr>
          <w:lang w:val="en-US"/>
        </w:rPr>
        <w:t>&gt; 100)</w:t>
      </w:r>
      <w:r w:rsidRPr="00DC3299">
        <w:rPr>
          <w:lang w:val="en-US"/>
        </w:rPr>
        <w:t>,</w:t>
      </w:r>
      <w:r>
        <w:rPr>
          <w:lang w:val="en-US"/>
        </w:rPr>
        <w:t xml:space="preserve"> </w:t>
      </w:r>
      <w:r w:rsidR="00DC3299">
        <w:rPr>
          <w:lang w:val="en-US"/>
        </w:rPr>
        <w:t>“anecdotal” evidence that the interaction should not be included in the model (</w:t>
      </w:r>
      <w:proofErr w:type="spellStart"/>
      <w:r w:rsidR="00DC3299">
        <w:rPr>
          <w:lang w:val="en-US"/>
        </w:rPr>
        <w:t>BF</w:t>
      </w:r>
      <w:r w:rsidR="00DC3299">
        <w:rPr>
          <w:sz w:val="18"/>
          <w:szCs w:val="18"/>
          <w:lang w:val="en-US"/>
        </w:rPr>
        <w:t>incl</w:t>
      </w:r>
      <w:proofErr w:type="spellEnd"/>
      <w:r w:rsidR="00DC3299">
        <w:rPr>
          <w:sz w:val="18"/>
          <w:szCs w:val="18"/>
          <w:lang w:val="en-US"/>
        </w:rPr>
        <w:t xml:space="preserve"> </w:t>
      </w:r>
      <w:r w:rsidR="00DC3299">
        <w:rPr>
          <w:lang w:val="en-US"/>
        </w:rPr>
        <w:t>=</w:t>
      </w:r>
      <w:r w:rsidR="00DC3299" w:rsidRPr="007A78D5">
        <w:rPr>
          <w:lang w:val="en-US"/>
        </w:rPr>
        <w:t xml:space="preserve"> </w:t>
      </w:r>
      <w:r w:rsidR="00DC3299">
        <w:rPr>
          <w:lang w:val="en-US"/>
        </w:rPr>
        <w:t>0.38) and moderate evidence that participant ethnicity should not be included in the model (</w:t>
      </w:r>
      <w:proofErr w:type="spellStart"/>
      <w:r w:rsidR="00DC3299">
        <w:rPr>
          <w:lang w:val="en-US"/>
        </w:rPr>
        <w:t>BF</w:t>
      </w:r>
      <w:r w:rsidR="00DC3299">
        <w:rPr>
          <w:sz w:val="18"/>
          <w:szCs w:val="18"/>
          <w:lang w:val="en-US"/>
        </w:rPr>
        <w:t>incl</w:t>
      </w:r>
      <w:proofErr w:type="spellEnd"/>
      <w:r w:rsidR="00DC3299">
        <w:rPr>
          <w:sz w:val="18"/>
          <w:szCs w:val="18"/>
          <w:lang w:val="en-US"/>
        </w:rPr>
        <w:t xml:space="preserve"> </w:t>
      </w:r>
      <w:r w:rsidR="00DC3299">
        <w:rPr>
          <w:lang w:val="en-US"/>
        </w:rPr>
        <w:t>=</w:t>
      </w:r>
      <w:r w:rsidR="00DC3299" w:rsidRPr="007A78D5">
        <w:rPr>
          <w:lang w:val="en-US"/>
        </w:rPr>
        <w:t xml:space="preserve"> </w:t>
      </w:r>
      <w:r w:rsidR="00DC3299">
        <w:rPr>
          <w:lang w:val="en-US"/>
        </w:rPr>
        <w:t xml:space="preserve">0.24). </w:t>
      </w:r>
      <w:r w:rsidR="00497B60">
        <w:rPr>
          <w:lang w:val="en-US"/>
        </w:rPr>
        <w:t>Overall</w:t>
      </w:r>
      <w:r w:rsidR="00DC3299">
        <w:rPr>
          <w:lang w:val="en-US"/>
        </w:rPr>
        <w:t xml:space="preserve">, the findings of the Bayesian Analysis support the </w:t>
      </w:r>
      <w:r w:rsidR="0004183B">
        <w:rPr>
          <w:lang w:val="en-US"/>
        </w:rPr>
        <w:t xml:space="preserve">traditional </w:t>
      </w:r>
      <w:r w:rsidR="00DC3299">
        <w:rPr>
          <w:lang w:val="en-US"/>
        </w:rPr>
        <w:t xml:space="preserve">ANOVA </w:t>
      </w:r>
      <w:r w:rsidR="0034235E">
        <w:rPr>
          <w:lang w:val="en-US"/>
        </w:rPr>
        <w:t xml:space="preserve">and add </w:t>
      </w:r>
      <w:r w:rsidR="00DC3299">
        <w:rPr>
          <w:lang w:val="en-US"/>
        </w:rPr>
        <w:t xml:space="preserve">that the evidence </w:t>
      </w:r>
      <w:r w:rsidR="00CC7A50">
        <w:rPr>
          <w:lang w:val="en-US"/>
        </w:rPr>
        <w:t xml:space="preserve">strongly </w:t>
      </w:r>
      <w:proofErr w:type="spellStart"/>
      <w:r w:rsidR="00CC7A50">
        <w:rPr>
          <w:lang w:val="en-US"/>
        </w:rPr>
        <w:t>favo</w:t>
      </w:r>
      <w:r w:rsidR="0034235E">
        <w:rPr>
          <w:lang w:val="en-US"/>
        </w:rPr>
        <w:t>u</w:t>
      </w:r>
      <w:r w:rsidR="00CC7A50">
        <w:rPr>
          <w:lang w:val="en-US"/>
        </w:rPr>
        <w:t>rs</w:t>
      </w:r>
      <w:proofErr w:type="spellEnd"/>
      <w:r w:rsidR="00CC7A50">
        <w:rPr>
          <w:lang w:val="en-US"/>
        </w:rPr>
        <w:t xml:space="preserve"> th</w:t>
      </w:r>
      <w:r w:rsidR="00A74258">
        <w:rPr>
          <w:lang w:val="en-US"/>
        </w:rPr>
        <w:t>is</w:t>
      </w:r>
      <w:r w:rsidR="00CC7A50">
        <w:rPr>
          <w:lang w:val="en-US"/>
        </w:rPr>
        <w:t xml:space="preserve"> interpretation</w:t>
      </w:r>
      <w:r w:rsidR="00A74258">
        <w:rPr>
          <w:lang w:val="en-US"/>
        </w:rPr>
        <w:t>:</w:t>
      </w:r>
      <w:r w:rsidR="00CC7A50">
        <w:rPr>
          <w:lang w:val="en-US"/>
        </w:rPr>
        <w:t xml:space="preserve"> there </w:t>
      </w:r>
      <w:r w:rsidR="00A74258">
        <w:rPr>
          <w:lang w:val="en-US"/>
        </w:rPr>
        <w:t>wa</w:t>
      </w:r>
      <w:r w:rsidR="00CC7A50">
        <w:rPr>
          <w:lang w:val="en-US"/>
        </w:rPr>
        <w:t xml:space="preserve">s </w:t>
      </w:r>
      <w:r w:rsidR="005E686B">
        <w:rPr>
          <w:lang w:val="en-US"/>
        </w:rPr>
        <w:t xml:space="preserve">only </w:t>
      </w:r>
      <w:r w:rsidR="00CC7A50">
        <w:rPr>
          <w:lang w:val="en-US"/>
        </w:rPr>
        <w:t>an effect of consultation</w:t>
      </w:r>
      <w:r w:rsidR="00B82041">
        <w:rPr>
          <w:lang w:val="en-US"/>
        </w:rPr>
        <w:t xml:space="preserve"> style</w:t>
      </w:r>
      <w:r w:rsidR="00CC7A50">
        <w:rPr>
          <w:lang w:val="en-US"/>
        </w:rPr>
        <w:t xml:space="preserve">, and that there were no differences </w:t>
      </w:r>
      <w:r w:rsidR="00E832E2">
        <w:rPr>
          <w:lang w:val="en-US"/>
        </w:rPr>
        <w:t xml:space="preserve">in ratings of clinical empathy </w:t>
      </w:r>
      <w:r w:rsidR="00CC7A50">
        <w:rPr>
          <w:lang w:val="en-US"/>
        </w:rPr>
        <w:t xml:space="preserve">due to </w:t>
      </w:r>
      <w:r w:rsidR="00E832E2">
        <w:rPr>
          <w:lang w:val="en-US"/>
        </w:rPr>
        <w:t xml:space="preserve">participant </w:t>
      </w:r>
      <w:r w:rsidR="00CC7A50">
        <w:rPr>
          <w:lang w:val="en-US"/>
        </w:rPr>
        <w:t>ethnicity.</w:t>
      </w:r>
    </w:p>
    <w:p w14:paraId="6B1C94B7" w14:textId="77777777" w:rsidR="00CC7A50" w:rsidRDefault="00CC7A50" w:rsidP="0033772E"/>
    <w:p w14:paraId="4576ED07" w14:textId="31F78CD7" w:rsidR="00CD6437" w:rsidRDefault="00722D62" w:rsidP="00BB63E6">
      <w:pPr>
        <w:pStyle w:val="Heading2"/>
      </w:pPr>
      <w:r>
        <w:t xml:space="preserve">Participants’ </w:t>
      </w:r>
      <w:r w:rsidR="00F57A82">
        <w:t xml:space="preserve">Qualitative </w:t>
      </w:r>
      <w:r w:rsidR="00035AE6">
        <w:t>Comments</w:t>
      </w:r>
      <w:r>
        <w:t xml:space="preserve"> </w:t>
      </w:r>
      <w:r w:rsidR="009E535F">
        <w:t>about</w:t>
      </w:r>
      <w:r>
        <w:t xml:space="preserve"> the Consultations</w:t>
      </w:r>
    </w:p>
    <w:p w14:paraId="304D1013" w14:textId="630BEC7B" w:rsidR="00035AE6" w:rsidRDefault="00513DF8" w:rsidP="00FC2AAD">
      <w:r>
        <w:t xml:space="preserve">Two hundred and nine </w:t>
      </w:r>
      <w:r w:rsidR="00131B4D">
        <w:t xml:space="preserve">participants </w:t>
      </w:r>
      <w:r w:rsidR="00143EC5">
        <w:t xml:space="preserve">(76%) </w:t>
      </w:r>
      <w:r w:rsidR="00131B4D">
        <w:t>comment</w:t>
      </w:r>
      <w:r>
        <w:t>ed on either positive (</w:t>
      </w:r>
      <w:r w:rsidR="00143EC5">
        <w:t>89</w:t>
      </w:r>
      <w:r w:rsidR="007371D9">
        <w:t>,</w:t>
      </w:r>
      <w:r w:rsidR="00143EC5">
        <w:t xml:space="preserve"> </w:t>
      </w:r>
      <w:r w:rsidR="007371D9">
        <w:t>32%</w:t>
      </w:r>
      <w:r w:rsidR="00143EC5">
        <w:t>)</w:t>
      </w:r>
      <w:r>
        <w:t>, negative</w:t>
      </w:r>
      <w:r w:rsidR="00143EC5">
        <w:t xml:space="preserve"> (54</w:t>
      </w:r>
      <w:r w:rsidR="007371D9">
        <w:t>, 20%</w:t>
      </w:r>
      <w:r w:rsidR="00143EC5">
        <w:t>)</w:t>
      </w:r>
      <w:r>
        <w:t xml:space="preserve">, or both </w:t>
      </w:r>
      <w:r w:rsidR="00143EC5">
        <w:t>positive and negative (66</w:t>
      </w:r>
      <w:r w:rsidR="00516F43">
        <w:t>, 24%</w:t>
      </w:r>
      <w:r w:rsidR="00143EC5">
        <w:t xml:space="preserve">) </w:t>
      </w:r>
      <w:r>
        <w:t>aspects</w:t>
      </w:r>
      <w:r w:rsidR="00131B4D">
        <w:t xml:space="preserve"> </w:t>
      </w:r>
      <w:r>
        <w:t xml:space="preserve">of </w:t>
      </w:r>
      <w:r w:rsidR="00131B4D">
        <w:t>the consultation they watched</w:t>
      </w:r>
      <w:r w:rsidR="00143EC5">
        <w:t xml:space="preserve">. </w:t>
      </w:r>
      <w:r w:rsidR="00516F43">
        <w:t xml:space="preserve"> </w:t>
      </w:r>
      <w:r w:rsidR="00725F43">
        <w:t>Enhanced consultations received more positive than negative comments</w:t>
      </w:r>
      <w:r w:rsidR="00C63571">
        <w:t xml:space="preserve"> (96 vs 20)</w:t>
      </w:r>
      <w:r w:rsidR="006821F4">
        <w:t xml:space="preserve">, </w:t>
      </w:r>
      <w:r w:rsidR="00725F43">
        <w:t>standard consultations received more negative than positive comments</w:t>
      </w:r>
      <w:r w:rsidR="00C63571">
        <w:t xml:space="preserve"> (</w:t>
      </w:r>
      <w:r w:rsidR="00FE7C30">
        <w:t>100 vs 59)</w:t>
      </w:r>
      <w:r w:rsidR="00880557">
        <w:t>;</w:t>
      </w:r>
      <w:r w:rsidR="00A11C34">
        <w:t xml:space="preserve"> this </w:t>
      </w:r>
      <w:r w:rsidR="00880557">
        <w:t xml:space="preserve">pattern </w:t>
      </w:r>
      <w:r w:rsidR="00FC0BA5">
        <w:t xml:space="preserve">was consistent across </w:t>
      </w:r>
      <w:r w:rsidR="00054B5A">
        <w:t xml:space="preserve">participants of </w:t>
      </w:r>
      <w:r w:rsidR="00880557">
        <w:t>Black British, White Caucasian, East Asian, and South Asian</w:t>
      </w:r>
      <w:r w:rsidR="00054B5A">
        <w:t xml:space="preserve"> ethnicities</w:t>
      </w:r>
      <w:r w:rsidR="00880557">
        <w:t>.</w:t>
      </w:r>
      <w:r w:rsidR="00725F43">
        <w:t xml:space="preserve"> </w:t>
      </w:r>
    </w:p>
    <w:p w14:paraId="3EBA0644" w14:textId="722F0090" w:rsidR="00102303" w:rsidRDefault="00197CE5" w:rsidP="00FC2AAD">
      <w:r>
        <w:t>Comments were categorised into talk about</w:t>
      </w:r>
      <w:r w:rsidR="005402D6">
        <w:t xml:space="preserve"> the doctor</w:t>
      </w:r>
      <w:r w:rsidR="004323DC">
        <w:t xml:space="preserve">: </w:t>
      </w:r>
      <w:r w:rsidR="0071088A">
        <w:t>(</w:t>
      </w:r>
      <w:r w:rsidR="005A0295">
        <w:t>not</w:t>
      </w:r>
      <w:r w:rsidR="0071088A">
        <w:t>)</w:t>
      </w:r>
      <w:r w:rsidR="005A0295">
        <w:t xml:space="preserve"> showing </w:t>
      </w:r>
      <w:r w:rsidR="00920685">
        <w:t xml:space="preserve">interest in the patient; </w:t>
      </w:r>
      <w:r w:rsidR="005A0295">
        <w:t>responding with</w:t>
      </w:r>
      <w:r w:rsidR="0071088A">
        <w:t>(</w:t>
      </w:r>
      <w:r w:rsidR="005A0295">
        <w:t>out</w:t>
      </w:r>
      <w:r w:rsidR="0071088A">
        <w:t>)</w:t>
      </w:r>
      <w:r w:rsidR="005A0295">
        <w:t xml:space="preserve"> respect</w:t>
      </w:r>
      <w:r w:rsidR="00815712">
        <w:t xml:space="preserve">; </w:t>
      </w:r>
      <w:r w:rsidR="005402D6">
        <w:t xml:space="preserve">conveying </w:t>
      </w:r>
      <w:r w:rsidR="007D3548">
        <w:t xml:space="preserve">warmth, empathy, </w:t>
      </w:r>
      <w:r w:rsidR="00C1103A">
        <w:t xml:space="preserve">and </w:t>
      </w:r>
      <w:r w:rsidR="006210E4">
        <w:t>hope</w:t>
      </w:r>
      <w:r w:rsidR="007D3548">
        <w:t xml:space="preserve">; </w:t>
      </w:r>
      <w:r w:rsidR="004323DC">
        <w:t xml:space="preserve">and </w:t>
      </w:r>
      <w:r w:rsidR="00C1103A">
        <w:t>(</w:t>
      </w:r>
      <w:r w:rsidR="00DF2866">
        <w:t>not</w:t>
      </w:r>
      <w:r w:rsidR="00C1103A">
        <w:t>)</w:t>
      </w:r>
      <w:r w:rsidR="00DF2866">
        <w:t xml:space="preserve"> clearly explaining</w:t>
      </w:r>
      <w:r w:rsidR="00224C00">
        <w:t xml:space="preserve"> management options or </w:t>
      </w:r>
      <w:r w:rsidR="00B46A0D">
        <w:t>clinical decisions</w:t>
      </w:r>
      <w:r w:rsidR="00EB3788">
        <w:t xml:space="preserve"> (see Table </w:t>
      </w:r>
      <w:r w:rsidR="00454485">
        <w:t>5</w:t>
      </w:r>
      <w:r w:rsidR="00EB3788">
        <w:t>)</w:t>
      </w:r>
      <w:r w:rsidR="00B46A0D">
        <w:t>.</w:t>
      </w:r>
      <w:r w:rsidR="004323DC">
        <w:t xml:space="preserve">  </w:t>
      </w:r>
      <w:r w:rsidR="004741BD">
        <w:t xml:space="preserve">In addition to commenting on aspects of the consultations that they liked and disliked, some participants related the enacted consultations to real life experiences (see Table </w:t>
      </w:r>
      <w:r w:rsidR="00454485">
        <w:t>6</w:t>
      </w:r>
      <w:r w:rsidR="004741BD">
        <w:t xml:space="preserve">).  </w:t>
      </w:r>
      <w:r w:rsidR="003171BA">
        <w:t xml:space="preserve">All categories included comments </w:t>
      </w:r>
      <w:r w:rsidR="00BD27DD">
        <w:t xml:space="preserve">about similar issues </w:t>
      </w:r>
      <w:r w:rsidR="00F0118C">
        <w:t xml:space="preserve">by </w:t>
      </w:r>
      <w:r w:rsidR="003171BA">
        <w:t xml:space="preserve">participants </w:t>
      </w:r>
      <w:r w:rsidR="00DD4026">
        <w:t xml:space="preserve">from </w:t>
      </w:r>
      <w:r w:rsidR="003171BA">
        <w:t xml:space="preserve">all </w:t>
      </w:r>
      <w:r w:rsidR="00DD4026">
        <w:t xml:space="preserve">four </w:t>
      </w:r>
      <w:r w:rsidR="003171BA">
        <w:t>ethnic</w:t>
      </w:r>
      <w:r w:rsidR="00054B5A">
        <w:t>ities</w:t>
      </w:r>
      <w:r w:rsidR="00DD4026">
        <w:t>.</w:t>
      </w:r>
      <w:r w:rsidR="00C1103A">
        <w:t xml:space="preserve">  </w:t>
      </w:r>
      <w:r w:rsidR="00A72A79">
        <w:t xml:space="preserve">In other words, there were no </w:t>
      </w:r>
      <w:r w:rsidR="0095152D">
        <w:t xml:space="preserve">major </w:t>
      </w:r>
      <w:r w:rsidR="00A72A79">
        <w:t xml:space="preserve">differences in how participants from different ethnicities talked </w:t>
      </w:r>
      <w:r w:rsidR="0095152D">
        <w:t xml:space="preserve">about the </w:t>
      </w:r>
      <w:r w:rsidR="00894856">
        <w:t>consultations</w:t>
      </w:r>
      <w:r w:rsidR="0095152D">
        <w:t>.</w:t>
      </w:r>
    </w:p>
    <w:p w14:paraId="75EE2869" w14:textId="77777777" w:rsidR="0037512A" w:rsidRDefault="0037512A" w:rsidP="00FC2AAD"/>
    <w:p w14:paraId="2E81273E" w14:textId="6FB25E9A" w:rsidR="0037512A" w:rsidRPr="0037512A" w:rsidRDefault="0037512A" w:rsidP="0037512A">
      <w:pPr>
        <w:rPr>
          <w:i/>
          <w:iCs/>
        </w:rPr>
      </w:pPr>
      <w:r w:rsidRPr="0037512A">
        <w:rPr>
          <w:i/>
          <w:iCs/>
        </w:rPr>
        <w:t>Table</w:t>
      </w:r>
      <w:r w:rsidR="004741BD">
        <w:rPr>
          <w:i/>
          <w:iCs/>
        </w:rPr>
        <w:t>s</w:t>
      </w:r>
      <w:r w:rsidRPr="0037512A">
        <w:rPr>
          <w:i/>
          <w:iCs/>
        </w:rPr>
        <w:t xml:space="preserve"> </w:t>
      </w:r>
      <w:r w:rsidR="00454485">
        <w:rPr>
          <w:i/>
          <w:iCs/>
        </w:rPr>
        <w:t>5</w:t>
      </w:r>
      <w:r w:rsidRPr="0037512A">
        <w:rPr>
          <w:i/>
          <w:iCs/>
        </w:rPr>
        <w:t xml:space="preserve"> </w:t>
      </w:r>
      <w:r w:rsidR="004741BD">
        <w:rPr>
          <w:i/>
          <w:iCs/>
        </w:rPr>
        <w:t xml:space="preserve">&amp; </w:t>
      </w:r>
      <w:r w:rsidR="00454485">
        <w:rPr>
          <w:i/>
          <w:iCs/>
        </w:rPr>
        <w:t>6</w:t>
      </w:r>
      <w:r w:rsidR="004741BD">
        <w:rPr>
          <w:i/>
          <w:iCs/>
        </w:rPr>
        <w:t xml:space="preserve"> </w:t>
      </w:r>
    </w:p>
    <w:p w14:paraId="1BDDFEB5" w14:textId="77777777" w:rsidR="0037512A" w:rsidRDefault="0037512A" w:rsidP="00FC2AAD"/>
    <w:p w14:paraId="14EA32A3" w14:textId="77777777" w:rsidR="0033772E" w:rsidRDefault="0033772E" w:rsidP="0033772E">
      <w:pPr>
        <w:pStyle w:val="Heading1"/>
      </w:pPr>
      <w:r>
        <w:t>Discussion</w:t>
      </w:r>
    </w:p>
    <w:p w14:paraId="2BE66403" w14:textId="6F87E743" w:rsidR="00392DA6" w:rsidRDefault="00392DA6" w:rsidP="00392DA6">
      <w:pPr>
        <w:pStyle w:val="Heading2"/>
      </w:pPr>
      <w:r>
        <w:t>Summary</w:t>
      </w:r>
    </w:p>
    <w:p w14:paraId="77A54152" w14:textId="50708ED4" w:rsidR="0033772E" w:rsidRDefault="00392DA6" w:rsidP="0033772E">
      <w:r>
        <w:t>P</w:t>
      </w:r>
      <w:r w:rsidR="004A774C">
        <w:t>articipants from all four ethnic</w:t>
      </w:r>
      <w:r w:rsidR="00DF5783">
        <w:t>ities</w:t>
      </w:r>
      <w:r w:rsidR="004A774C">
        <w:t xml:space="preserve"> included in the study</w:t>
      </w:r>
      <w:r>
        <w:t xml:space="preserve"> perceived</w:t>
      </w:r>
      <w:r w:rsidR="004A774C">
        <w:t xml:space="preserve"> the enhanced consultation</w:t>
      </w:r>
      <w:r w:rsidR="002D7E68">
        <w:t xml:space="preserve">s </w:t>
      </w:r>
      <w:r w:rsidR="004A774C">
        <w:t xml:space="preserve">as significantly more empathic </w:t>
      </w:r>
      <w:r>
        <w:t xml:space="preserve">than </w:t>
      </w:r>
      <w:r w:rsidR="004A774C">
        <w:t>the standard consultation</w:t>
      </w:r>
      <w:r w:rsidR="002D7E68">
        <w:t>s</w:t>
      </w:r>
      <w:r w:rsidR="004A774C">
        <w:t xml:space="preserve">.  </w:t>
      </w:r>
      <w:r w:rsidR="000F2C79">
        <w:t xml:space="preserve">Bayesian analysis confirmed the effect of </w:t>
      </w:r>
      <w:r w:rsidR="004F40D1">
        <w:t xml:space="preserve">consultation style and further </w:t>
      </w:r>
      <w:r w:rsidR="00E3280C">
        <w:t xml:space="preserve">indicated </w:t>
      </w:r>
      <w:r w:rsidR="00143767">
        <w:t xml:space="preserve">that there was </w:t>
      </w:r>
      <w:r w:rsidR="004F40D1">
        <w:t>no effect</w:t>
      </w:r>
      <w:r w:rsidR="00F63229">
        <w:t xml:space="preserve"> of ethnicity on ratings of empathy.  </w:t>
      </w:r>
      <w:r>
        <w:t>Q</w:t>
      </w:r>
      <w:r w:rsidR="004A774C">
        <w:t xml:space="preserve">ualitative </w:t>
      </w:r>
      <w:r w:rsidR="00F63229">
        <w:t xml:space="preserve">comments </w:t>
      </w:r>
      <w:r w:rsidR="00F272F0">
        <w:t>were markedly more positive and less negative about the enhanced consultation</w:t>
      </w:r>
      <w:r w:rsidR="000817E5">
        <w:t>s</w:t>
      </w:r>
      <w:r w:rsidR="00F272F0">
        <w:t xml:space="preserve">.  </w:t>
      </w:r>
    </w:p>
    <w:p w14:paraId="4F28EEEB" w14:textId="0C6750BB" w:rsidR="00392DA6" w:rsidRDefault="00392DA6" w:rsidP="00392DA6">
      <w:pPr>
        <w:pStyle w:val="Heading2"/>
      </w:pPr>
      <w:r>
        <w:t>Strengths and Limitations</w:t>
      </w:r>
    </w:p>
    <w:p w14:paraId="194C5D5D" w14:textId="282A5090" w:rsidR="00CA4ACE" w:rsidRDefault="00133B39">
      <w:pPr>
        <w:rPr>
          <w:lang w:eastAsia="en-GB"/>
        </w:rPr>
      </w:pPr>
      <w:r>
        <w:rPr>
          <w:lang w:eastAsia="en-GB"/>
        </w:rPr>
        <w:t xml:space="preserve">Participants </w:t>
      </w:r>
      <w:r w:rsidR="00A7170C">
        <w:rPr>
          <w:lang w:eastAsia="en-GB"/>
        </w:rPr>
        <w:t xml:space="preserve">rated </w:t>
      </w:r>
      <w:r>
        <w:rPr>
          <w:lang w:eastAsia="en-GB"/>
        </w:rPr>
        <w:t>enacted consultations</w:t>
      </w:r>
      <w:r w:rsidR="00E3280C">
        <w:rPr>
          <w:lang w:eastAsia="en-GB"/>
        </w:rPr>
        <w:t>;</w:t>
      </w:r>
      <w:r>
        <w:rPr>
          <w:lang w:eastAsia="en-GB"/>
        </w:rPr>
        <w:t xml:space="preserve"> they </w:t>
      </w:r>
      <w:r w:rsidR="00074ADF">
        <w:rPr>
          <w:lang w:eastAsia="en-GB"/>
        </w:rPr>
        <w:t>were observer</w:t>
      </w:r>
      <w:r w:rsidR="00CD0605">
        <w:rPr>
          <w:lang w:eastAsia="en-GB"/>
        </w:rPr>
        <w:t>s</w:t>
      </w:r>
      <w:r w:rsidR="00074ADF">
        <w:rPr>
          <w:lang w:eastAsia="en-GB"/>
        </w:rPr>
        <w:t xml:space="preserve"> </w:t>
      </w:r>
      <w:r w:rsidR="00A7170C">
        <w:rPr>
          <w:lang w:eastAsia="en-GB"/>
        </w:rPr>
        <w:t xml:space="preserve">rather than </w:t>
      </w:r>
      <w:r w:rsidR="00074ADF">
        <w:rPr>
          <w:lang w:eastAsia="en-GB"/>
        </w:rPr>
        <w:t>personally experiencing a</w:t>
      </w:r>
      <w:r w:rsidR="00E3280C">
        <w:rPr>
          <w:lang w:eastAsia="en-GB"/>
        </w:rPr>
        <w:t xml:space="preserve"> clinical</w:t>
      </w:r>
      <w:r w:rsidR="00074ADF">
        <w:rPr>
          <w:lang w:eastAsia="en-GB"/>
        </w:rPr>
        <w:t xml:space="preserve"> interaction.  </w:t>
      </w:r>
      <w:r w:rsidR="000817E5">
        <w:rPr>
          <w:lang w:eastAsia="en-GB"/>
        </w:rPr>
        <w:t xml:space="preserve">Only a small proportion shared </w:t>
      </w:r>
      <w:r w:rsidR="00A7170C">
        <w:rPr>
          <w:lang w:eastAsia="en-GB"/>
        </w:rPr>
        <w:t xml:space="preserve">the </w:t>
      </w:r>
      <w:r w:rsidR="00025381">
        <w:rPr>
          <w:lang w:eastAsia="en-GB"/>
        </w:rPr>
        <w:t xml:space="preserve">health concerns of the patients in the films and </w:t>
      </w:r>
      <w:r w:rsidR="00057D5C">
        <w:rPr>
          <w:lang w:eastAsia="en-GB"/>
        </w:rPr>
        <w:t xml:space="preserve">this </w:t>
      </w:r>
      <w:r w:rsidR="00025381">
        <w:rPr>
          <w:lang w:eastAsia="en-GB"/>
        </w:rPr>
        <w:t xml:space="preserve">lack of </w:t>
      </w:r>
      <w:r w:rsidR="00057D5C">
        <w:rPr>
          <w:lang w:eastAsia="en-GB"/>
        </w:rPr>
        <w:t xml:space="preserve">personal relevance may </w:t>
      </w:r>
      <w:r w:rsidR="00C551B2">
        <w:rPr>
          <w:lang w:eastAsia="en-GB"/>
        </w:rPr>
        <w:t xml:space="preserve">have </w:t>
      </w:r>
      <w:r w:rsidR="00CD79E4">
        <w:rPr>
          <w:lang w:eastAsia="en-GB"/>
        </w:rPr>
        <w:t>blunted</w:t>
      </w:r>
      <w:r w:rsidR="00C551B2">
        <w:rPr>
          <w:lang w:eastAsia="en-GB"/>
        </w:rPr>
        <w:t xml:space="preserve"> their </w:t>
      </w:r>
      <w:r w:rsidR="00CD79E4">
        <w:rPr>
          <w:lang w:eastAsia="en-GB"/>
        </w:rPr>
        <w:t xml:space="preserve">responses, </w:t>
      </w:r>
      <w:r w:rsidR="00E31D0E">
        <w:rPr>
          <w:lang w:eastAsia="en-GB"/>
        </w:rPr>
        <w:t xml:space="preserve">although </w:t>
      </w:r>
      <w:r w:rsidR="002D4678">
        <w:rPr>
          <w:lang w:eastAsia="en-GB"/>
        </w:rPr>
        <w:t xml:space="preserve">this is unlikely given the </w:t>
      </w:r>
      <w:r w:rsidR="00E31D0E">
        <w:rPr>
          <w:lang w:eastAsia="en-GB"/>
        </w:rPr>
        <w:t xml:space="preserve">extreme </w:t>
      </w:r>
      <w:r w:rsidR="00685301">
        <w:rPr>
          <w:lang w:eastAsia="en-GB"/>
        </w:rPr>
        <w:t xml:space="preserve">scores on </w:t>
      </w:r>
      <w:r w:rsidR="00E31D0E">
        <w:rPr>
          <w:lang w:eastAsia="en-GB"/>
        </w:rPr>
        <w:t xml:space="preserve">the </w:t>
      </w:r>
      <w:r w:rsidR="00E3280C">
        <w:rPr>
          <w:lang w:eastAsia="en-GB"/>
        </w:rPr>
        <w:t xml:space="preserve">CARE </w:t>
      </w:r>
      <w:r w:rsidR="00E31D0E">
        <w:rPr>
          <w:lang w:eastAsia="en-GB"/>
        </w:rPr>
        <w:t xml:space="preserve">scale and strongly worded comments.  </w:t>
      </w:r>
      <w:r w:rsidR="003C2DA6">
        <w:rPr>
          <w:lang w:eastAsia="en-GB"/>
        </w:rPr>
        <w:t>P</w:t>
      </w:r>
      <w:r w:rsidR="00B47F36" w:rsidRPr="004D25C9">
        <w:rPr>
          <w:lang w:eastAsia="en-GB"/>
        </w:rPr>
        <w:t xml:space="preserve">roviding videos in this experimental design </w:t>
      </w:r>
      <w:r w:rsidR="00E3280C">
        <w:rPr>
          <w:lang w:eastAsia="en-GB"/>
        </w:rPr>
        <w:t xml:space="preserve">meant controlling for </w:t>
      </w:r>
      <w:r w:rsidR="00B47F36" w:rsidRPr="004D25C9">
        <w:rPr>
          <w:lang w:eastAsia="en-GB"/>
        </w:rPr>
        <w:t xml:space="preserve">variables </w:t>
      </w:r>
      <w:r w:rsidR="00E3280C">
        <w:rPr>
          <w:lang w:eastAsia="en-GB"/>
        </w:rPr>
        <w:t xml:space="preserve">including </w:t>
      </w:r>
      <w:r w:rsidR="00B47F36" w:rsidRPr="004D25C9">
        <w:rPr>
          <w:lang w:eastAsia="en-GB"/>
        </w:rPr>
        <w:t>the patient’s clinical condition and individual GP variability</w:t>
      </w:r>
      <w:r w:rsidR="007A66F4">
        <w:rPr>
          <w:lang w:eastAsia="en-GB"/>
        </w:rPr>
        <w:t>, which would not be possible in a clinical setting</w:t>
      </w:r>
      <w:r w:rsidR="00B47F36" w:rsidRPr="004D25C9">
        <w:rPr>
          <w:lang w:eastAsia="en-GB"/>
        </w:rPr>
        <w:t xml:space="preserve">.  </w:t>
      </w:r>
      <w:r w:rsidR="00E3280C">
        <w:rPr>
          <w:lang w:eastAsia="en-GB"/>
        </w:rPr>
        <w:t>Thus</w:t>
      </w:r>
      <w:r w:rsidR="002D5295">
        <w:rPr>
          <w:lang w:eastAsia="en-GB"/>
        </w:rPr>
        <w:t>, w</w:t>
      </w:r>
      <w:r w:rsidR="002229CC">
        <w:rPr>
          <w:lang w:eastAsia="en-GB"/>
        </w:rPr>
        <w:t xml:space="preserve">e traded ecological for </w:t>
      </w:r>
      <w:r w:rsidR="002D5295">
        <w:rPr>
          <w:lang w:eastAsia="en-GB"/>
        </w:rPr>
        <w:t>internal validity.</w:t>
      </w:r>
      <w:r w:rsidR="007A4E42">
        <w:rPr>
          <w:lang w:eastAsia="en-GB"/>
        </w:rPr>
        <w:t xml:space="preserve">  </w:t>
      </w:r>
      <w:r w:rsidR="00E3280C">
        <w:rPr>
          <w:lang w:eastAsia="en-GB"/>
        </w:rPr>
        <w:t>T</w:t>
      </w:r>
      <w:r w:rsidR="00AF2B5B">
        <w:rPr>
          <w:lang w:eastAsia="en-GB"/>
        </w:rPr>
        <w:t>he actors in the filmed consultation</w:t>
      </w:r>
      <w:r w:rsidR="00732141">
        <w:rPr>
          <w:lang w:eastAsia="en-GB"/>
        </w:rPr>
        <w:t>s</w:t>
      </w:r>
      <w:r w:rsidR="00AF2B5B">
        <w:rPr>
          <w:lang w:eastAsia="en-GB"/>
        </w:rPr>
        <w:t xml:space="preserve"> were all white Caucasian</w:t>
      </w:r>
      <w:r w:rsidR="00E3280C">
        <w:rPr>
          <w:lang w:eastAsia="en-GB"/>
        </w:rPr>
        <w:t>;</w:t>
      </w:r>
      <w:r w:rsidR="00AF2B5B">
        <w:rPr>
          <w:lang w:eastAsia="en-GB"/>
        </w:rPr>
        <w:t xml:space="preserve"> </w:t>
      </w:r>
      <w:r w:rsidR="00E3280C">
        <w:rPr>
          <w:lang w:eastAsia="en-GB"/>
        </w:rPr>
        <w:t>t</w:t>
      </w:r>
      <w:r w:rsidR="007421FB">
        <w:rPr>
          <w:lang w:eastAsia="en-GB"/>
        </w:rPr>
        <w:t>his may have shaped participants’ views in unknown ways.</w:t>
      </w:r>
      <w:r w:rsidR="00F30989">
        <w:rPr>
          <w:lang w:eastAsia="en-GB"/>
        </w:rPr>
        <w:t xml:space="preserve"> </w:t>
      </w:r>
      <w:r w:rsidR="00EE169F">
        <w:rPr>
          <w:lang w:eastAsia="en-GB"/>
        </w:rPr>
        <w:t xml:space="preserve"> </w:t>
      </w:r>
      <w:r w:rsidR="00277BF6">
        <w:rPr>
          <w:lang w:eastAsia="en-GB"/>
        </w:rPr>
        <w:t xml:space="preserve">We </w:t>
      </w:r>
      <w:r w:rsidR="00261666">
        <w:rPr>
          <w:lang w:eastAsia="en-GB"/>
        </w:rPr>
        <w:t xml:space="preserve">successfully recruited similar numbers of </w:t>
      </w:r>
      <w:r w:rsidR="00261666">
        <w:rPr>
          <w:lang w:eastAsia="en-GB"/>
        </w:rPr>
        <w:lastRenderedPageBreak/>
        <w:t>participants across four ethnicities</w:t>
      </w:r>
      <w:r w:rsidR="00CA1659" w:rsidRPr="00CA1659">
        <w:rPr>
          <w:lang w:eastAsia="en-GB"/>
        </w:rPr>
        <w:t xml:space="preserve"> </w:t>
      </w:r>
      <w:r w:rsidR="00CA1659">
        <w:rPr>
          <w:lang w:eastAsia="en-GB"/>
        </w:rPr>
        <w:t xml:space="preserve">and the gender split within ethnicities broadly </w:t>
      </w:r>
      <w:r w:rsidR="00E3280C">
        <w:rPr>
          <w:lang w:eastAsia="en-GB"/>
        </w:rPr>
        <w:t xml:space="preserve">reflects </w:t>
      </w:r>
      <w:r w:rsidR="00CA1659">
        <w:rPr>
          <w:lang w:eastAsia="en-GB"/>
        </w:rPr>
        <w:t xml:space="preserve">2021 census data, except for South Asians where our sample </w:t>
      </w:r>
      <w:r w:rsidR="00E3280C">
        <w:rPr>
          <w:lang w:eastAsia="en-GB"/>
        </w:rPr>
        <w:t xml:space="preserve">contained </w:t>
      </w:r>
      <w:r w:rsidR="00CA1659">
        <w:rPr>
          <w:lang w:eastAsia="en-GB"/>
        </w:rPr>
        <w:t xml:space="preserve">more males </w:t>
      </w:r>
      <w:r w:rsidR="00E3280C">
        <w:rPr>
          <w:lang w:eastAsia="en-GB"/>
        </w:rPr>
        <w:t xml:space="preserve">than </w:t>
      </w:r>
      <w:r w:rsidR="00CA1659">
        <w:rPr>
          <w:lang w:eastAsia="en-GB"/>
        </w:rPr>
        <w:t xml:space="preserve">the </w:t>
      </w:r>
      <w:r w:rsidR="00E3280C">
        <w:rPr>
          <w:lang w:eastAsia="en-GB"/>
        </w:rPr>
        <w:t xml:space="preserve">census </w:t>
      </w:r>
      <w:r w:rsidR="00CA1659">
        <w:rPr>
          <w:lang w:eastAsia="en-GB"/>
        </w:rPr>
        <w:t>(60% vs 50%</w:t>
      </w:r>
      <w:r w:rsidR="00850026">
        <w:rPr>
          <w:lang w:eastAsia="en-GB"/>
        </w:rPr>
        <w:t xml:space="preserve"> respectively</w:t>
      </w:r>
      <w:r w:rsidR="00CA1659">
        <w:rPr>
          <w:lang w:eastAsia="en-GB"/>
        </w:rPr>
        <w:t>)</w:t>
      </w:r>
      <w:r w:rsidR="00261666">
        <w:rPr>
          <w:lang w:eastAsia="en-GB"/>
        </w:rPr>
        <w:t xml:space="preserve">.  However, </w:t>
      </w:r>
      <w:r w:rsidR="00231056">
        <w:rPr>
          <w:lang w:eastAsia="en-GB"/>
        </w:rPr>
        <w:t xml:space="preserve">our </w:t>
      </w:r>
      <w:r w:rsidR="00FB6032">
        <w:rPr>
          <w:lang w:eastAsia="en-GB"/>
        </w:rPr>
        <w:t xml:space="preserve">participants were more highly educated than the general population: only </w:t>
      </w:r>
      <w:r w:rsidR="00125618">
        <w:rPr>
          <w:lang w:eastAsia="en-GB"/>
        </w:rPr>
        <w:t>0</w:t>
      </w:r>
      <w:r w:rsidR="00FB6032">
        <w:rPr>
          <w:lang w:eastAsia="en-GB"/>
        </w:rPr>
        <w:t xml:space="preserve">.4% of participants had no formal qualifications, compared to 18% of adults in </w:t>
      </w:r>
      <w:r w:rsidR="00E3280C">
        <w:rPr>
          <w:lang w:eastAsia="en-GB"/>
        </w:rPr>
        <w:t xml:space="preserve">the </w:t>
      </w:r>
      <w:r w:rsidR="00101706">
        <w:rPr>
          <w:lang w:eastAsia="en-GB"/>
        </w:rPr>
        <w:t xml:space="preserve">2021 </w:t>
      </w:r>
      <w:proofErr w:type="gramStart"/>
      <w:r w:rsidR="00E3280C">
        <w:rPr>
          <w:lang w:eastAsia="en-GB"/>
        </w:rPr>
        <w:t>census</w:t>
      </w:r>
      <w:r w:rsidR="003836C5">
        <w:rPr>
          <w:noProof/>
          <w:lang w:eastAsia="en-GB"/>
        </w:rPr>
        <w:t>(</w:t>
      </w:r>
      <w:proofErr w:type="gramEnd"/>
      <w:r w:rsidR="003836C5">
        <w:rPr>
          <w:noProof/>
          <w:lang w:eastAsia="en-GB"/>
        </w:rPr>
        <w:t>26)</w:t>
      </w:r>
      <w:r w:rsidR="004C6329" w:rsidRPr="004C6329">
        <w:rPr>
          <w:lang w:eastAsia="en-GB"/>
        </w:rPr>
        <w:t xml:space="preserve"> </w:t>
      </w:r>
      <w:r w:rsidR="004C6329">
        <w:rPr>
          <w:lang w:eastAsia="en-GB"/>
        </w:rPr>
        <w:t>and likely had high English language proficiency</w:t>
      </w:r>
      <w:r w:rsidR="0056064D">
        <w:rPr>
          <w:lang w:eastAsia="en-GB"/>
        </w:rPr>
        <w:t>.</w:t>
      </w:r>
    </w:p>
    <w:p w14:paraId="19D7324C" w14:textId="0DEBE52F" w:rsidR="00392DA6" w:rsidRDefault="00392DA6" w:rsidP="00392DA6">
      <w:pPr>
        <w:rPr>
          <w:lang w:eastAsia="en-GB"/>
        </w:rPr>
      </w:pPr>
      <w:r>
        <w:rPr>
          <w:lang w:eastAsia="en-GB"/>
        </w:rPr>
        <w:t>Future studies could consider: recruiting participants with no formal educational qualifications</w:t>
      </w:r>
      <w:r w:rsidR="00B84E46" w:rsidRPr="00B84E46">
        <w:rPr>
          <w:lang w:eastAsia="en-GB"/>
        </w:rPr>
        <w:t xml:space="preserve"> </w:t>
      </w:r>
      <w:r w:rsidR="00B84E46">
        <w:rPr>
          <w:lang w:eastAsia="en-GB"/>
        </w:rPr>
        <w:t>from more deprived populations with higher levels of morbidity, as deprivation and multimorbidity can impact perceptions of clinical empathy</w:t>
      </w:r>
      <w:r>
        <w:rPr>
          <w:lang w:eastAsia="en-GB"/>
        </w:rPr>
        <w:t>;</w:t>
      </w:r>
      <w:r w:rsidR="00252873">
        <w:rPr>
          <w:noProof/>
          <w:lang w:eastAsia="en-GB"/>
        </w:rPr>
        <w:t>(27, 28)</w:t>
      </w:r>
      <w:r>
        <w:rPr>
          <w:lang w:eastAsia="en-GB"/>
        </w:rPr>
        <w:t xml:space="preserve"> </w:t>
      </w:r>
      <w:r w:rsidR="004C6329">
        <w:rPr>
          <w:lang w:eastAsia="en-GB"/>
        </w:rPr>
        <w:t>examining the impact of English language proficiency on perceptions of clinical empathy across ethnicities, given documented impacts of English language proficiency on patient-practitioner communication;</w:t>
      </w:r>
      <w:r w:rsidR="00543E1A">
        <w:rPr>
          <w:noProof/>
          <w:lang w:eastAsia="en-GB"/>
        </w:rPr>
        <w:t>(29)</w:t>
      </w:r>
      <w:r w:rsidR="006D3262">
        <w:rPr>
          <w:lang w:eastAsia="en-GB"/>
        </w:rPr>
        <w:t xml:space="preserve"> </w:t>
      </w:r>
      <w:r>
        <w:rPr>
          <w:lang w:eastAsia="en-GB"/>
        </w:rPr>
        <w:t>exploring whether and how intersectional positions (e.g., different combinations of gender and ethnicity for patients and clinicians) might shape experiences of clinician empathy;</w:t>
      </w:r>
      <w:r w:rsidR="00543E1A">
        <w:rPr>
          <w:noProof/>
          <w:lang w:eastAsia="en-GB"/>
        </w:rPr>
        <w:t>(30)</w:t>
      </w:r>
      <w:r>
        <w:rPr>
          <w:lang w:eastAsia="en-GB"/>
        </w:rPr>
        <w:t xml:space="preserve"> including participants from other ethnic groups or using more precise ethnic categorisations </w:t>
      </w:r>
      <w:r w:rsidR="00543E1A">
        <w:rPr>
          <w:noProof/>
          <w:lang w:eastAsia="en-GB"/>
        </w:rPr>
        <w:t>(e.g., Arab, Bangladeshi, Chinese, White Irish; 31)</w:t>
      </w:r>
      <w:r>
        <w:rPr>
          <w:lang w:eastAsia="en-GB"/>
        </w:rPr>
        <w:t>; increasing the sample size to permit detection of small effects of ethnicity on ratings of clinician empathy and interactions between ethnicity and consultation style. A qualitative approach, for example using the enacted consultations to stimulate focus group discussions, would potentially elicit more nuanced data.</w:t>
      </w:r>
    </w:p>
    <w:p w14:paraId="034AB92B" w14:textId="1FA73A7F" w:rsidR="00392DA6" w:rsidRDefault="00392DA6" w:rsidP="00392DA6">
      <w:pPr>
        <w:pStyle w:val="Heading2"/>
        <w:rPr>
          <w:lang w:eastAsia="en-GB"/>
        </w:rPr>
      </w:pPr>
      <w:r>
        <w:rPr>
          <w:lang w:eastAsia="en-GB"/>
        </w:rPr>
        <w:t>Comparison with Existing Literature</w:t>
      </w:r>
    </w:p>
    <w:p w14:paraId="63940501" w14:textId="2B4A7CD0" w:rsidR="00392DA6" w:rsidRDefault="00870977">
      <w:pPr>
        <w:rPr>
          <w:lang w:eastAsia="en-GB"/>
        </w:rPr>
      </w:pPr>
      <w:r>
        <w:rPr>
          <w:lang w:eastAsia="en-GB"/>
        </w:rPr>
        <w:t>O</w:t>
      </w:r>
      <w:r w:rsidR="0086393A">
        <w:rPr>
          <w:lang w:eastAsia="en-GB"/>
        </w:rPr>
        <w:t xml:space="preserve">ur findings </w:t>
      </w:r>
      <w:r>
        <w:rPr>
          <w:lang w:eastAsia="en-GB"/>
        </w:rPr>
        <w:t>suggest</w:t>
      </w:r>
      <w:r w:rsidR="0086393A">
        <w:rPr>
          <w:lang w:eastAsia="en-GB"/>
        </w:rPr>
        <w:t xml:space="preserve"> </w:t>
      </w:r>
      <w:r w:rsidR="00ED6380">
        <w:rPr>
          <w:lang w:eastAsia="en-GB"/>
        </w:rPr>
        <w:t xml:space="preserve">that relatively highly educated </w:t>
      </w:r>
      <w:r w:rsidR="00CC0AC6">
        <w:rPr>
          <w:lang w:eastAsia="en-GB"/>
        </w:rPr>
        <w:t xml:space="preserve">UK adults of Black, Caucasian, South and East Asian </w:t>
      </w:r>
      <w:r w:rsidR="0086393A">
        <w:rPr>
          <w:lang w:eastAsia="en-GB"/>
        </w:rPr>
        <w:t xml:space="preserve">ethnicities </w:t>
      </w:r>
      <w:r w:rsidR="008E0136">
        <w:rPr>
          <w:lang w:eastAsia="en-GB"/>
        </w:rPr>
        <w:t xml:space="preserve">with good self-reported health </w:t>
      </w:r>
      <w:r w:rsidR="001B58AC">
        <w:rPr>
          <w:lang w:eastAsia="en-GB"/>
        </w:rPr>
        <w:t>perceive similar levels of clinician empathy from the same clinician behaviours</w:t>
      </w:r>
      <w:r>
        <w:rPr>
          <w:lang w:eastAsia="en-GB"/>
        </w:rPr>
        <w:t>. T</w:t>
      </w:r>
      <w:r w:rsidR="001B58AC">
        <w:rPr>
          <w:lang w:eastAsia="en-GB"/>
        </w:rPr>
        <w:t xml:space="preserve">his </w:t>
      </w:r>
      <w:r w:rsidR="00392DA6">
        <w:rPr>
          <w:lang w:eastAsia="en-GB"/>
        </w:rPr>
        <w:t xml:space="preserve">rules out one possible explanation </w:t>
      </w:r>
      <w:r w:rsidR="007852A6">
        <w:rPr>
          <w:lang w:eastAsia="en-GB"/>
        </w:rPr>
        <w:t xml:space="preserve">for understanding </w:t>
      </w:r>
      <w:r w:rsidR="00B77210">
        <w:rPr>
          <w:lang w:eastAsia="en-GB"/>
        </w:rPr>
        <w:t xml:space="preserve">the documented </w:t>
      </w:r>
      <w:r w:rsidR="007852A6">
        <w:rPr>
          <w:lang w:eastAsia="en-GB"/>
        </w:rPr>
        <w:t xml:space="preserve">ethnic disparities in satisfaction with real-world </w:t>
      </w:r>
      <w:r w:rsidR="00B77210">
        <w:rPr>
          <w:lang w:eastAsia="en-GB"/>
        </w:rPr>
        <w:t xml:space="preserve">communication and empathy </w:t>
      </w:r>
      <w:r w:rsidR="002645AD">
        <w:rPr>
          <w:lang w:eastAsia="en-GB"/>
        </w:rPr>
        <w:t>in primary care</w:t>
      </w:r>
      <w:r w:rsidR="00AF798D">
        <w:rPr>
          <w:lang w:eastAsia="en-GB"/>
        </w:rPr>
        <w:t>.</w:t>
      </w:r>
      <w:r w:rsidR="00543E1A">
        <w:rPr>
          <w:noProof/>
        </w:rPr>
        <w:t>(10, 30)</w:t>
      </w:r>
      <w:r w:rsidR="00B77210">
        <w:rPr>
          <w:lang w:eastAsia="en-GB"/>
        </w:rPr>
        <w:t xml:space="preserve">  </w:t>
      </w:r>
      <w:r w:rsidR="0034661B">
        <w:rPr>
          <w:lang w:eastAsia="en-GB"/>
        </w:rPr>
        <w:t xml:space="preserve">Specifically, our findings support </w:t>
      </w:r>
      <w:r w:rsidR="002240BA">
        <w:rPr>
          <w:lang w:eastAsia="en-GB"/>
        </w:rPr>
        <w:t xml:space="preserve">the </w:t>
      </w:r>
      <w:r w:rsidR="00B074D5">
        <w:rPr>
          <w:lang w:eastAsia="en-GB"/>
        </w:rPr>
        <w:t>need for further research to explore</w:t>
      </w:r>
      <w:r w:rsidR="00A30049">
        <w:rPr>
          <w:lang w:eastAsia="en-GB"/>
        </w:rPr>
        <w:t xml:space="preserve"> </w:t>
      </w:r>
      <w:r w:rsidR="00B074D5">
        <w:rPr>
          <w:lang w:eastAsia="en-GB"/>
        </w:rPr>
        <w:t>whether</w:t>
      </w:r>
      <w:r w:rsidR="002240BA">
        <w:rPr>
          <w:lang w:eastAsia="en-GB"/>
        </w:rPr>
        <w:t xml:space="preserve"> </w:t>
      </w:r>
      <w:r w:rsidR="00A30049">
        <w:rPr>
          <w:lang w:eastAsia="en-GB"/>
        </w:rPr>
        <w:t xml:space="preserve">some </w:t>
      </w:r>
      <w:r w:rsidR="002240BA">
        <w:rPr>
          <w:lang w:eastAsia="en-GB"/>
        </w:rPr>
        <w:t xml:space="preserve">clinicians communicate differently </w:t>
      </w:r>
      <w:r w:rsidR="003D7630">
        <w:rPr>
          <w:lang w:eastAsia="en-GB"/>
        </w:rPr>
        <w:t xml:space="preserve">to patients </w:t>
      </w:r>
      <w:r w:rsidR="003456ED">
        <w:rPr>
          <w:lang w:eastAsia="en-GB"/>
        </w:rPr>
        <w:t xml:space="preserve">depending on </w:t>
      </w:r>
      <w:r w:rsidR="005B7D1B">
        <w:rPr>
          <w:lang w:eastAsia="en-GB"/>
        </w:rPr>
        <w:t xml:space="preserve">patient </w:t>
      </w:r>
      <w:r w:rsidR="003D7630">
        <w:rPr>
          <w:lang w:eastAsia="en-GB"/>
        </w:rPr>
        <w:t>ethnicit</w:t>
      </w:r>
      <w:r w:rsidR="003456ED">
        <w:rPr>
          <w:lang w:eastAsia="en-GB"/>
        </w:rPr>
        <w:t>y</w:t>
      </w:r>
      <w:r w:rsidR="00B074D5">
        <w:rPr>
          <w:lang w:eastAsia="en-GB"/>
        </w:rPr>
        <w:t xml:space="preserve">, </w:t>
      </w:r>
      <w:r w:rsidR="001F4408">
        <w:rPr>
          <w:lang w:eastAsia="en-GB"/>
        </w:rPr>
        <w:t>potentially</w:t>
      </w:r>
      <w:r>
        <w:rPr>
          <w:lang w:eastAsia="en-GB"/>
        </w:rPr>
        <w:t xml:space="preserve"> due to implicit biases, </w:t>
      </w:r>
      <w:r w:rsidR="00CA2765">
        <w:rPr>
          <w:lang w:eastAsia="en-GB"/>
        </w:rPr>
        <w:t xml:space="preserve">and </w:t>
      </w:r>
      <w:r w:rsidR="00B074D5">
        <w:rPr>
          <w:lang w:eastAsia="en-GB"/>
        </w:rPr>
        <w:t xml:space="preserve">whether intersectional factors such as educational level, multimorbidity and socioeconomic factors are </w:t>
      </w:r>
      <w:r w:rsidR="00957812">
        <w:rPr>
          <w:lang w:eastAsia="en-GB"/>
        </w:rPr>
        <w:t>also important</w:t>
      </w:r>
      <w:r w:rsidR="003D7630">
        <w:rPr>
          <w:lang w:eastAsia="en-GB"/>
        </w:rPr>
        <w:t>.</w:t>
      </w:r>
      <w:r w:rsidR="001B58AC">
        <w:rPr>
          <w:lang w:eastAsia="en-GB"/>
        </w:rPr>
        <w:t xml:space="preserve"> </w:t>
      </w:r>
      <w:r w:rsidR="0034661B">
        <w:rPr>
          <w:lang w:eastAsia="en-GB"/>
        </w:rPr>
        <w:t xml:space="preserve"> </w:t>
      </w:r>
      <w:r w:rsidR="00A11BC1">
        <w:rPr>
          <w:lang w:eastAsia="en-GB"/>
        </w:rPr>
        <w:t>Addressing i</w:t>
      </w:r>
      <w:r w:rsidR="0076192B">
        <w:rPr>
          <w:lang w:eastAsia="en-GB"/>
        </w:rPr>
        <w:t xml:space="preserve">mplicit </w:t>
      </w:r>
      <w:r w:rsidR="00163F42">
        <w:rPr>
          <w:lang w:eastAsia="en-GB"/>
        </w:rPr>
        <w:t>bias</w:t>
      </w:r>
      <w:r w:rsidR="00A11BC1">
        <w:rPr>
          <w:lang w:eastAsia="en-GB"/>
        </w:rPr>
        <w:t>es</w:t>
      </w:r>
      <w:r w:rsidR="001A3273">
        <w:rPr>
          <w:lang w:eastAsia="en-GB"/>
        </w:rPr>
        <w:t xml:space="preserve"> </w:t>
      </w:r>
      <w:r w:rsidR="00B074D5">
        <w:rPr>
          <w:lang w:eastAsia="en-GB"/>
        </w:rPr>
        <w:t xml:space="preserve">may </w:t>
      </w:r>
      <w:r w:rsidR="00E3280C">
        <w:rPr>
          <w:lang w:eastAsia="en-GB"/>
        </w:rPr>
        <w:t xml:space="preserve">help </w:t>
      </w:r>
      <w:r w:rsidR="005A0781">
        <w:rPr>
          <w:lang w:eastAsia="en-GB"/>
        </w:rPr>
        <w:t>reduc</w:t>
      </w:r>
      <w:r w:rsidR="00D411A4">
        <w:rPr>
          <w:lang w:eastAsia="en-GB"/>
        </w:rPr>
        <w:t>e</w:t>
      </w:r>
      <w:r w:rsidR="005A0781">
        <w:rPr>
          <w:lang w:eastAsia="en-GB"/>
        </w:rPr>
        <w:t xml:space="preserve"> communication </w:t>
      </w:r>
      <w:proofErr w:type="gramStart"/>
      <w:r w:rsidR="005A0781">
        <w:rPr>
          <w:lang w:eastAsia="en-GB"/>
        </w:rPr>
        <w:t>disparities</w:t>
      </w:r>
      <w:r w:rsidR="003836C5">
        <w:rPr>
          <w:noProof/>
          <w:lang w:eastAsia="en-GB"/>
        </w:rPr>
        <w:t>(</w:t>
      </w:r>
      <w:proofErr w:type="gramEnd"/>
      <w:r w:rsidR="003836C5">
        <w:rPr>
          <w:noProof/>
          <w:lang w:eastAsia="en-GB"/>
        </w:rPr>
        <w:t>11, 12)</w:t>
      </w:r>
      <w:r>
        <w:rPr>
          <w:lang w:eastAsia="en-GB"/>
        </w:rPr>
        <w:t xml:space="preserve"> but sh</w:t>
      </w:r>
      <w:r w:rsidR="00A81F89">
        <w:rPr>
          <w:lang w:eastAsia="en-GB"/>
        </w:rPr>
        <w:t xml:space="preserve">ould be complemented by </w:t>
      </w:r>
      <w:r>
        <w:rPr>
          <w:lang w:eastAsia="en-GB"/>
        </w:rPr>
        <w:t xml:space="preserve">relevant accessible </w:t>
      </w:r>
      <w:r w:rsidR="00D94788">
        <w:rPr>
          <w:lang w:eastAsia="en-GB"/>
        </w:rPr>
        <w:t xml:space="preserve">practitioner </w:t>
      </w:r>
      <w:r w:rsidR="00A11BC1">
        <w:rPr>
          <w:lang w:eastAsia="en-GB"/>
        </w:rPr>
        <w:t xml:space="preserve">training </w:t>
      </w:r>
      <w:r w:rsidR="00D94788">
        <w:rPr>
          <w:lang w:eastAsia="en-GB"/>
        </w:rPr>
        <w:t xml:space="preserve">to </w:t>
      </w:r>
      <w:r w:rsidR="00C25A34">
        <w:rPr>
          <w:lang w:eastAsia="en-GB"/>
        </w:rPr>
        <w:t>e</w:t>
      </w:r>
      <w:r>
        <w:rPr>
          <w:lang w:eastAsia="en-GB"/>
        </w:rPr>
        <w:t>nhance</w:t>
      </w:r>
      <w:r w:rsidR="00C25A34">
        <w:rPr>
          <w:lang w:eastAsia="en-GB"/>
        </w:rPr>
        <w:t xml:space="preserve"> empathy skills </w:t>
      </w:r>
      <w:r w:rsidR="00957812">
        <w:rPr>
          <w:lang w:eastAsia="en-GB"/>
        </w:rPr>
        <w:t xml:space="preserve">and embed them in </w:t>
      </w:r>
      <w:r w:rsidR="00E3280C">
        <w:rPr>
          <w:lang w:eastAsia="en-GB"/>
        </w:rPr>
        <w:t xml:space="preserve">all </w:t>
      </w:r>
      <w:r w:rsidR="00957812">
        <w:rPr>
          <w:lang w:eastAsia="en-GB"/>
        </w:rPr>
        <w:t>consultations</w:t>
      </w:r>
      <w:r w:rsidR="00D94788">
        <w:rPr>
          <w:lang w:eastAsia="en-GB"/>
        </w:rPr>
        <w:t xml:space="preserve">. </w:t>
      </w:r>
    </w:p>
    <w:p w14:paraId="122621FE" w14:textId="299B89B2" w:rsidR="00392DA6" w:rsidRDefault="00392DA6" w:rsidP="00392DA6">
      <w:pPr>
        <w:pStyle w:val="Heading2"/>
        <w:rPr>
          <w:lang w:eastAsia="en-GB"/>
        </w:rPr>
      </w:pPr>
      <w:r>
        <w:rPr>
          <w:lang w:eastAsia="en-GB"/>
        </w:rPr>
        <w:t>Implications for Practice</w:t>
      </w:r>
    </w:p>
    <w:p w14:paraId="4015865F" w14:textId="209FC4CD" w:rsidR="004C3D10" w:rsidRDefault="00EA13CE">
      <w:pPr>
        <w:rPr>
          <w:lang w:eastAsia="en-GB"/>
        </w:rPr>
      </w:pPr>
      <w:r>
        <w:t>I</w:t>
      </w:r>
      <w:r w:rsidR="00A11BC1">
        <w:t>t is widely acknowledged that not all clinical consultations have optimal communication. I</w:t>
      </w:r>
      <w:r>
        <w:t>f</w:t>
      </w:r>
      <w:r w:rsidR="00A11BC1">
        <w:t xml:space="preserve"> </w:t>
      </w:r>
      <w:r w:rsidR="00F11D44">
        <w:t>as part of broader cultural competence,</w:t>
      </w:r>
      <w:r>
        <w:t xml:space="preserve"> clinicians </w:t>
      </w:r>
      <w:r w:rsidR="00A11BC1">
        <w:t xml:space="preserve">are </w:t>
      </w:r>
      <w:r w:rsidR="00870977">
        <w:t>en</w:t>
      </w:r>
      <w:r w:rsidR="00A11BC1">
        <w:t>able</w:t>
      </w:r>
      <w:r w:rsidR="00870977">
        <w:t>d</w:t>
      </w:r>
      <w:r w:rsidR="00A11BC1">
        <w:t xml:space="preserve"> to </w:t>
      </w:r>
      <w:r>
        <w:t xml:space="preserve">adopt the skills modelled in the enhanced consultation film </w:t>
      </w:r>
      <w:r w:rsidRPr="00212AA2">
        <w:t xml:space="preserve">(and taught in the broader EMPathicO </w:t>
      </w:r>
      <w:proofErr w:type="gramStart"/>
      <w:r w:rsidRPr="00212AA2">
        <w:t>intervention</w:t>
      </w:r>
      <w:r w:rsidR="003836C5">
        <w:rPr>
          <w:noProof/>
        </w:rPr>
        <w:t>(</w:t>
      </w:r>
      <w:proofErr w:type="gramEnd"/>
      <w:r w:rsidR="003836C5">
        <w:rPr>
          <w:noProof/>
        </w:rPr>
        <w:t>17)</w:t>
      </w:r>
      <w:r w:rsidRPr="00212AA2">
        <w:t>)</w:t>
      </w:r>
      <w:r>
        <w:t xml:space="preserve">, </w:t>
      </w:r>
      <w:r w:rsidR="00A47801">
        <w:t xml:space="preserve">empathy </w:t>
      </w:r>
      <w:r w:rsidR="00A11BC1">
        <w:t xml:space="preserve">could be communicated </w:t>
      </w:r>
      <w:r w:rsidR="00F11D44">
        <w:t xml:space="preserve">more </w:t>
      </w:r>
      <w:r w:rsidR="007420C7">
        <w:t>effectively</w:t>
      </w:r>
      <w:r w:rsidR="00A47801">
        <w:t xml:space="preserve"> to </w:t>
      </w:r>
      <w:r w:rsidR="00E9457F">
        <w:t xml:space="preserve">UK </w:t>
      </w:r>
      <w:r w:rsidR="00EF7645">
        <w:t xml:space="preserve">patients of </w:t>
      </w:r>
      <w:r w:rsidR="00EF7645" w:rsidRPr="001A3BA8">
        <w:t>Black Britis</w:t>
      </w:r>
      <w:r w:rsidR="00EF7645">
        <w:t xml:space="preserve">h, </w:t>
      </w:r>
      <w:r w:rsidR="00EF7645" w:rsidRPr="001A3BA8">
        <w:t>Caucasian</w:t>
      </w:r>
      <w:r w:rsidR="00EF7645">
        <w:t xml:space="preserve">, </w:t>
      </w:r>
      <w:r w:rsidR="00EF7645" w:rsidRPr="001A3BA8">
        <w:t>East Asian</w:t>
      </w:r>
      <w:r w:rsidR="00EF7645">
        <w:t xml:space="preserve">, and </w:t>
      </w:r>
      <w:r w:rsidR="00EF7645" w:rsidRPr="001A3BA8">
        <w:t>South Asian</w:t>
      </w:r>
      <w:r w:rsidR="00EF7645">
        <w:t xml:space="preserve"> ethnicities</w:t>
      </w:r>
      <w:r w:rsidR="00C02499">
        <w:t>.</w:t>
      </w:r>
    </w:p>
    <w:p w14:paraId="2637D752" w14:textId="77777777" w:rsidR="004C3D10" w:rsidRDefault="004C3D10"/>
    <w:p w14:paraId="4D7E899A" w14:textId="77777777" w:rsidR="004840DD" w:rsidRDefault="004840DD" w:rsidP="004840DD">
      <w:pPr>
        <w:pStyle w:val="Heading1"/>
      </w:pPr>
      <w:r>
        <w:t>Funding</w:t>
      </w:r>
    </w:p>
    <w:p w14:paraId="0A71ACCB" w14:textId="77777777" w:rsidR="004840DD" w:rsidRDefault="004840DD" w:rsidP="004840DD">
      <w:r>
        <w:t xml:space="preserve">No external funding was received for this project.  </w:t>
      </w:r>
    </w:p>
    <w:p w14:paraId="6931EA62" w14:textId="77777777" w:rsidR="004840DD" w:rsidRDefault="004840DD" w:rsidP="004840DD">
      <w:pPr>
        <w:pStyle w:val="Heading1"/>
      </w:pPr>
      <w:r>
        <w:t>Ethical Approval</w:t>
      </w:r>
    </w:p>
    <w:p w14:paraId="5A384264" w14:textId="77777777" w:rsidR="005C0435" w:rsidRDefault="005C0435" w:rsidP="005C0435">
      <w:r w:rsidRPr="003805A2">
        <w:t xml:space="preserve">Ethical approval received </w:t>
      </w:r>
      <w:r>
        <w:t xml:space="preserve">from </w:t>
      </w:r>
      <w:r w:rsidRPr="003805A2">
        <w:t>Psychology Research Ethics Committee</w:t>
      </w:r>
      <w:r>
        <w:t>,</w:t>
      </w:r>
      <w:r w:rsidRPr="003805A2">
        <w:t xml:space="preserve"> </w:t>
      </w:r>
      <w:r w:rsidRPr="00212AA2">
        <w:t>University of Southampton (ERGO81788).</w:t>
      </w:r>
    </w:p>
    <w:p w14:paraId="45FEA50A" w14:textId="2B8E3830" w:rsidR="004840DD" w:rsidRDefault="004840DD" w:rsidP="004840DD">
      <w:pPr>
        <w:pStyle w:val="Heading1"/>
      </w:pPr>
      <w:r>
        <w:lastRenderedPageBreak/>
        <w:t>Competing Interests</w:t>
      </w:r>
    </w:p>
    <w:p w14:paraId="550E3A70" w14:textId="77777777" w:rsidR="004840DD" w:rsidRDefault="004840DD" w:rsidP="004840DD">
      <w:r>
        <w:rPr>
          <w:lang w:eastAsia="en-GB"/>
        </w:rPr>
        <w:t>The authors declare the following competing interests:  FLB (research grant from NIHR School for Primary Care Research paid to institution; speaker’s honoraria from</w:t>
      </w:r>
      <w:r w:rsidRPr="00B06088">
        <w:t xml:space="preserve"> </w:t>
      </w:r>
      <w:r>
        <w:t>Stoneygate Centre for Empathic Healthcare and New Scientist)</w:t>
      </w:r>
      <w:r>
        <w:rPr>
          <w:lang w:eastAsia="en-GB"/>
        </w:rPr>
        <w:t xml:space="preserve">.  </w:t>
      </w:r>
      <w:r w:rsidRPr="007944A8">
        <w:rPr>
          <w:lang w:eastAsia="en-GB"/>
        </w:rPr>
        <w:t>HAE</w:t>
      </w:r>
      <w:r>
        <w:rPr>
          <w:lang w:eastAsia="en-GB"/>
        </w:rPr>
        <w:t xml:space="preserve"> (research grant from NIHR School for Primary Care Research</w:t>
      </w:r>
      <w:r w:rsidRPr="006A1DF3">
        <w:rPr>
          <w:lang w:eastAsia="en-GB"/>
        </w:rPr>
        <w:t xml:space="preserve"> </w:t>
      </w:r>
      <w:r>
        <w:rPr>
          <w:lang w:eastAsia="en-GB"/>
        </w:rPr>
        <w:t xml:space="preserve">paid to institution; is </w:t>
      </w:r>
      <w:r>
        <w:t>Deputy Academic Capacity Development Lead for the NIHR SPCR and sits on the NIHR SPCR Board and Exec; works clinically as a GP at New Horizons Medical Partnership in Southampton as part of Professor of Primary Care Research post at the University of Southampton; Co-Authors the Oxford Handbook of General Practice published by Oxford University Press</w:t>
      </w:r>
      <w:r w:rsidRPr="00DE1622">
        <w:rPr>
          <w:lang w:eastAsia="en-GB"/>
        </w:rPr>
        <w:t>)</w:t>
      </w:r>
      <w:r>
        <w:rPr>
          <w:lang w:eastAsia="en-GB"/>
        </w:rPr>
        <w:t>.</w:t>
      </w:r>
    </w:p>
    <w:p w14:paraId="5A54371C" w14:textId="0D1D47A9" w:rsidR="004840DD" w:rsidRDefault="001863CF" w:rsidP="001863CF">
      <w:pPr>
        <w:pStyle w:val="Heading1"/>
      </w:pPr>
      <w:r>
        <w:t>Acknowledgments</w:t>
      </w:r>
    </w:p>
    <w:p w14:paraId="266CF02A" w14:textId="63BED5D3" w:rsidR="001863CF" w:rsidRDefault="00337BB9">
      <w:r>
        <w:t>The authors thank the participants for completing the study.</w:t>
      </w:r>
    </w:p>
    <w:p w14:paraId="1E2AB047" w14:textId="77777777" w:rsidR="00231B25" w:rsidRDefault="00231B25"/>
    <w:p w14:paraId="5D11E04C" w14:textId="12115EDF" w:rsidR="005F38A2" w:rsidRDefault="005F38A2" w:rsidP="005F38A2">
      <w:pPr>
        <w:pStyle w:val="Heading1"/>
      </w:pPr>
      <w:r>
        <w:t>References</w:t>
      </w:r>
    </w:p>
    <w:p w14:paraId="7B822EFF" w14:textId="0A0EDA2C" w:rsidR="00735AA7" w:rsidRPr="00735AA7" w:rsidRDefault="00735AA7" w:rsidP="00735AA7">
      <w:pPr>
        <w:pStyle w:val="EndNoteBibliography"/>
        <w:spacing w:after="0"/>
      </w:pPr>
      <w:r w:rsidRPr="00735AA7">
        <w:t>1.</w:t>
      </w:r>
      <w:r w:rsidRPr="00735AA7">
        <w:tab/>
        <w:t>Derksen F, Bensing J, Lagro-Janssen A. Effectiveness of empathy in general practice: a systematic review. Br J Gen Pract. 2013;63(606):e76-84.</w:t>
      </w:r>
    </w:p>
    <w:p w14:paraId="513787AB" w14:textId="77777777" w:rsidR="00735AA7" w:rsidRPr="00735AA7" w:rsidRDefault="00735AA7" w:rsidP="00735AA7">
      <w:pPr>
        <w:pStyle w:val="EndNoteBibliography"/>
        <w:spacing w:after="0"/>
      </w:pPr>
      <w:r w:rsidRPr="00735AA7">
        <w:t>2.</w:t>
      </w:r>
      <w:r w:rsidRPr="00735AA7">
        <w:tab/>
        <w:t>Howick J, Bizzari V, Dambha-Miller H. Therapeutic empathy: what it is and what it isn't. J R Soc Med. 2018;111(7):233-6.</w:t>
      </w:r>
    </w:p>
    <w:p w14:paraId="2B6297A9" w14:textId="3D9C2E29" w:rsidR="00735AA7" w:rsidRPr="00735AA7" w:rsidRDefault="00735AA7" w:rsidP="00735AA7">
      <w:pPr>
        <w:pStyle w:val="EndNoteBibliography"/>
        <w:spacing w:after="0"/>
      </w:pPr>
      <w:r w:rsidRPr="00735AA7">
        <w:t>3.</w:t>
      </w:r>
      <w:r w:rsidRPr="00735AA7">
        <w:tab/>
        <w:t xml:space="preserve">Keshtkar L, Madigan CD, Ward A, et al. The </w:t>
      </w:r>
      <w:r w:rsidR="00572377" w:rsidRPr="00735AA7">
        <w:t xml:space="preserve">effect of practitioner empathy on patient satisfaction: </w:t>
      </w:r>
      <w:r w:rsidR="00572377">
        <w:t>A</w:t>
      </w:r>
      <w:r w:rsidR="00572377" w:rsidRPr="00735AA7">
        <w:t xml:space="preserve"> systematic review of randomized trials</w:t>
      </w:r>
      <w:r w:rsidRPr="00735AA7">
        <w:t>. Ann Intern Med. 2024;177(2):196-209.</w:t>
      </w:r>
    </w:p>
    <w:p w14:paraId="1065DE03" w14:textId="6445AF8D" w:rsidR="00735AA7" w:rsidRPr="00735AA7" w:rsidRDefault="00735AA7" w:rsidP="00735AA7">
      <w:pPr>
        <w:pStyle w:val="EndNoteBibliography"/>
        <w:spacing w:after="0"/>
      </w:pPr>
      <w:r w:rsidRPr="00735AA7">
        <w:t>4.</w:t>
      </w:r>
      <w:r w:rsidRPr="00735AA7">
        <w:tab/>
        <w:t>Howick J, Moscrop A, Mebius A, et al. Effects of empathic and positive communication in healthcare consultations: a systematic review and meta-analysis. J R Soc Med. 2018;111(7):240-52.</w:t>
      </w:r>
    </w:p>
    <w:p w14:paraId="33C1DBD4" w14:textId="6E2DEFEC" w:rsidR="00735AA7" w:rsidRPr="00735AA7" w:rsidRDefault="00735AA7" w:rsidP="00735AA7">
      <w:pPr>
        <w:pStyle w:val="EndNoteBibliography"/>
        <w:spacing w:after="0"/>
      </w:pPr>
      <w:r w:rsidRPr="00735AA7">
        <w:t>5.</w:t>
      </w:r>
      <w:r w:rsidRPr="00735AA7">
        <w:tab/>
        <w:t xml:space="preserve">Howick J, Palipana D, Dambha‐Miller H, Khunti K. Turning diversity from a barrier to a facilitator of empathy in health care. </w:t>
      </w:r>
      <w:r w:rsidR="001D50C6" w:rsidRPr="00735AA7">
        <w:t xml:space="preserve">Br J Gen Pract. </w:t>
      </w:r>
      <w:r w:rsidRPr="00735AA7">
        <w:t>202</w:t>
      </w:r>
      <w:r w:rsidR="001B52B0">
        <w:t>3</w:t>
      </w:r>
      <w:r w:rsidR="001D50C6">
        <w:t>;73(726):24-25</w:t>
      </w:r>
      <w:r w:rsidRPr="00735AA7">
        <w:t>.</w:t>
      </w:r>
    </w:p>
    <w:p w14:paraId="3D7F217A" w14:textId="77777777" w:rsidR="00735AA7" w:rsidRPr="00735AA7" w:rsidRDefault="00735AA7" w:rsidP="00735AA7">
      <w:pPr>
        <w:pStyle w:val="EndNoteBibliography"/>
        <w:spacing w:after="0"/>
      </w:pPr>
      <w:r w:rsidRPr="00735AA7">
        <w:t>6.</w:t>
      </w:r>
      <w:r w:rsidRPr="00735AA7">
        <w:tab/>
        <w:t>Robertson R, Williams E, Buck D, Breckwoldt J. Ethnic health inequalities and the NHS. The Kings Fund; 2021.</w:t>
      </w:r>
    </w:p>
    <w:p w14:paraId="40E59138" w14:textId="77777777" w:rsidR="00735AA7" w:rsidRPr="00735AA7" w:rsidRDefault="00735AA7" w:rsidP="00735AA7">
      <w:pPr>
        <w:pStyle w:val="EndNoteBibliography"/>
        <w:spacing w:after="0"/>
      </w:pPr>
      <w:r w:rsidRPr="00735AA7">
        <w:t>7.</w:t>
      </w:r>
      <w:r w:rsidRPr="00735AA7">
        <w:tab/>
        <w:t>eClinicalMedicine. Addressing racial and ethnic inequity in health-care, a collection. eClinicalMedicine. 2022;45.</w:t>
      </w:r>
    </w:p>
    <w:p w14:paraId="292EFB85" w14:textId="606C95C7" w:rsidR="00735AA7" w:rsidRPr="00735AA7" w:rsidRDefault="00735AA7" w:rsidP="00735AA7">
      <w:pPr>
        <w:pStyle w:val="EndNoteBibliography"/>
        <w:spacing w:after="0"/>
      </w:pPr>
      <w:r w:rsidRPr="00735AA7">
        <w:t>8.</w:t>
      </w:r>
      <w:r w:rsidRPr="00735AA7">
        <w:tab/>
        <w:t>Shen MJ, Peterson EB, Costas-Muñiz R, et al. The effects of race and racial concordance on patient-physician communication: A systematic review of the literature. J Racial Ethn Health Disparities. 2018;5(1):117-40.</w:t>
      </w:r>
    </w:p>
    <w:p w14:paraId="2893D8E5" w14:textId="77777777" w:rsidR="00735AA7" w:rsidRPr="00735AA7" w:rsidRDefault="00735AA7" w:rsidP="00735AA7">
      <w:pPr>
        <w:pStyle w:val="EndNoteBibliography"/>
        <w:spacing w:after="0"/>
      </w:pPr>
      <w:r w:rsidRPr="00735AA7">
        <w:t>9.</w:t>
      </w:r>
      <w:r w:rsidRPr="00735AA7">
        <w:tab/>
        <w:t>Roberts BW, Puri NK, Trzeciak CJ, Mazzarelli AJ, Trzeciak S. Socioeconomic, racial and ethnic differences in patient experience of clinician empathy: Results of a systematic review and meta-analysis. PLoS One. 2021;16(3):e0247259.</w:t>
      </w:r>
    </w:p>
    <w:p w14:paraId="2250C76C" w14:textId="19EF2F4F" w:rsidR="00735AA7" w:rsidRPr="00735AA7" w:rsidRDefault="00735AA7" w:rsidP="00735AA7">
      <w:pPr>
        <w:pStyle w:val="EndNoteBibliography"/>
        <w:spacing w:after="0"/>
      </w:pPr>
      <w:r w:rsidRPr="00735AA7">
        <w:t>10.</w:t>
      </w:r>
      <w:r w:rsidRPr="00735AA7">
        <w:tab/>
        <w:t xml:space="preserve">Magadi JP, Magadi M. Ethnic inequalities in patient satisfaction with primary health care in the UK: evidence from recent General Practitioner Patient Surveys (GPPS). </w:t>
      </w:r>
      <w:r w:rsidR="00F4085A" w:rsidRPr="00735AA7">
        <w:t xml:space="preserve">PLoS One. </w:t>
      </w:r>
      <w:r w:rsidRPr="00735AA7">
        <w:t>2022</w:t>
      </w:r>
      <w:r w:rsidR="002D246D">
        <w:t>;17(12):</w:t>
      </w:r>
      <w:r w:rsidR="002D246D" w:rsidRPr="002D246D">
        <w:t xml:space="preserve"> e0270775</w:t>
      </w:r>
      <w:r w:rsidRPr="00735AA7">
        <w:t>.</w:t>
      </w:r>
    </w:p>
    <w:p w14:paraId="1DA86E24" w14:textId="773ADF36" w:rsidR="00735AA7" w:rsidRPr="00735AA7" w:rsidRDefault="00735AA7" w:rsidP="00735AA7">
      <w:pPr>
        <w:pStyle w:val="EndNoteBibliography"/>
        <w:spacing w:after="0"/>
      </w:pPr>
      <w:r w:rsidRPr="00735AA7">
        <w:t>11.</w:t>
      </w:r>
      <w:r w:rsidRPr="00735AA7">
        <w:tab/>
        <w:t>FitzGerald C, Hurst S. Implicit bias in healthcare professionals: a systematic review. BMC Med</w:t>
      </w:r>
      <w:r w:rsidR="0061756F">
        <w:t xml:space="preserve"> </w:t>
      </w:r>
      <w:r w:rsidRPr="00735AA7">
        <w:t>Ethics. 2017;18(1):19.</w:t>
      </w:r>
    </w:p>
    <w:p w14:paraId="58DAFFAA" w14:textId="4F46DA12" w:rsidR="00735AA7" w:rsidRPr="00735AA7" w:rsidRDefault="00735AA7" w:rsidP="00735AA7">
      <w:pPr>
        <w:pStyle w:val="EndNoteBibliography"/>
        <w:spacing w:after="0"/>
      </w:pPr>
      <w:r w:rsidRPr="00735AA7">
        <w:t>12.</w:t>
      </w:r>
      <w:r w:rsidRPr="00735AA7">
        <w:tab/>
        <w:t xml:space="preserve">Torres TK, Hamann HA, Shen MJ, Stone J. </w:t>
      </w:r>
      <w:r w:rsidR="0061756F">
        <w:t>E</w:t>
      </w:r>
      <w:r w:rsidR="0061756F" w:rsidRPr="0061756F">
        <w:t>mpathic communication and implicit bias in the context of cancer among a medical student sample</w:t>
      </w:r>
      <w:r w:rsidRPr="00735AA7">
        <w:t>. Health Commun. 2024;39(12):2486-97.</w:t>
      </w:r>
    </w:p>
    <w:p w14:paraId="1BA6EA6C" w14:textId="3F77F26D" w:rsidR="00735AA7" w:rsidRPr="00735AA7" w:rsidRDefault="00735AA7" w:rsidP="00735AA7">
      <w:pPr>
        <w:pStyle w:val="EndNoteBibliography"/>
        <w:spacing w:after="0"/>
      </w:pPr>
      <w:r w:rsidRPr="00735AA7">
        <w:t>13.</w:t>
      </w:r>
      <w:r w:rsidRPr="00735AA7">
        <w:tab/>
        <w:t xml:space="preserve">Sheringham J, Kuhn I, Burt J. The use of experimental vignette studies to identify drivers of variations in the delivery of health care: a scoping review. </w:t>
      </w:r>
      <w:r w:rsidR="005E74E9" w:rsidRPr="005E74E9">
        <w:t>BMC Med Res Methodol</w:t>
      </w:r>
      <w:r w:rsidRPr="00735AA7">
        <w:t>. 2021</w:t>
      </w:r>
      <w:r w:rsidR="00B4460E">
        <w:t>;</w:t>
      </w:r>
      <w:r w:rsidR="00B4460E" w:rsidRPr="00B4460E">
        <w:t>21(1):81.</w:t>
      </w:r>
    </w:p>
    <w:p w14:paraId="1545C4D6" w14:textId="5027A563" w:rsidR="00735AA7" w:rsidRPr="00735AA7" w:rsidRDefault="00735AA7" w:rsidP="00735AA7">
      <w:pPr>
        <w:pStyle w:val="EndNoteBibliography"/>
        <w:spacing w:after="0"/>
      </w:pPr>
      <w:r w:rsidRPr="00735AA7">
        <w:t>14.</w:t>
      </w:r>
      <w:r w:rsidRPr="00735AA7">
        <w:tab/>
        <w:t xml:space="preserve">Peer E, Rothschild D, Gordon A, Evernden Z, Damer E. Data quality of platforms and panels for online behavioral research. </w:t>
      </w:r>
      <w:r w:rsidR="006A6DDD" w:rsidRPr="006A6DDD">
        <w:t>Behav Res Methods</w:t>
      </w:r>
      <w:r w:rsidRPr="00735AA7">
        <w:t>. 2022;54(4):1643-62.</w:t>
      </w:r>
    </w:p>
    <w:p w14:paraId="0FDE18DB" w14:textId="17964E4D" w:rsidR="00735AA7" w:rsidRPr="00735AA7" w:rsidRDefault="00735AA7" w:rsidP="00735AA7">
      <w:pPr>
        <w:pStyle w:val="EndNoteBibliography"/>
        <w:spacing w:after="0"/>
      </w:pPr>
      <w:r w:rsidRPr="00735AA7">
        <w:t>15.</w:t>
      </w:r>
      <w:r w:rsidRPr="00735AA7">
        <w:tab/>
        <w:t>Cohen J. A power primer. Psychol Bull. 1992;112(1):155-9.</w:t>
      </w:r>
    </w:p>
    <w:p w14:paraId="368748EF" w14:textId="1785B4EC" w:rsidR="00735AA7" w:rsidRPr="00735AA7" w:rsidRDefault="00735AA7" w:rsidP="00735AA7">
      <w:pPr>
        <w:pStyle w:val="EndNoteBibliography"/>
        <w:spacing w:after="0"/>
      </w:pPr>
      <w:r w:rsidRPr="00735AA7">
        <w:t>16.</w:t>
      </w:r>
      <w:r w:rsidRPr="00735AA7">
        <w:tab/>
        <w:t>Mercer SW, Maxwell M, Heaney D, Watt GCM. The development and preliminary validation of the Consultation and Relational Empathy (CARE) measure: an empathy-based consultation process measure. Fam Pract. 2004;21</w:t>
      </w:r>
      <w:r w:rsidR="00C23555">
        <w:t>:</w:t>
      </w:r>
      <w:r w:rsidRPr="00735AA7">
        <w:t>699-705.</w:t>
      </w:r>
    </w:p>
    <w:p w14:paraId="7C2BA060" w14:textId="3B4A5311" w:rsidR="00735AA7" w:rsidRPr="00735AA7" w:rsidRDefault="00735AA7" w:rsidP="00735AA7">
      <w:pPr>
        <w:pStyle w:val="EndNoteBibliography"/>
        <w:spacing w:after="0"/>
      </w:pPr>
      <w:r w:rsidRPr="00735AA7">
        <w:lastRenderedPageBreak/>
        <w:t>17.</w:t>
      </w:r>
      <w:r w:rsidRPr="00735AA7">
        <w:tab/>
        <w:t>Smith KA, Vennik J, Morrison L, et al. Harnessing placebo effects in primary care: Using the person-based approach to develop an online intervention to enhance practitioners' communication of clinical empathy and realistic optimism during consultations. Front</w:t>
      </w:r>
      <w:r w:rsidR="00FC76E3">
        <w:t xml:space="preserve"> </w:t>
      </w:r>
      <w:r w:rsidRPr="00735AA7">
        <w:t>Pain Research. 2021;</w:t>
      </w:r>
      <w:r w:rsidR="00F47895" w:rsidRPr="00F47895">
        <w:t>2:721222</w:t>
      </w:r>
      <w:r w:rsidRPr="00735AA7">
        <w:t>.</w:t>
      </w:r>
    </w:p>
    <w:p w14:paraId="72FDD74B" w14:textId="659E3B3C" w:rsidR="00735AA7" w:rsidRPr="00735AA7" w:rsidRDefault="00735AA7" w:rsidP="00735AA7">
      <w:pPr>
        <w:pStyle w:val="EndNoteBibliography"/>
        <w:spacing w:after="0"/>
      </w:pPr>
      <w:r w:rsidRPr="00735AA7">
        <w:t>18.</w:t>
      </w:r>
      <w:r w:rsidRPr="00735AA7">
        <w:tab/>
        <w:t>Glyn-Jones S, Palmer AJR, Agricola R, et al. Osteoarthritis. Lancet. 2015;386(9991):376-87.</w:t>
      </w:r>
    </w:p>
    <w:p w14:paraId="233FE557" w14:textId="77777777" w:rsidR="00735AA7" w:rsidRPr="00735AA7" w:rsidRDefault="00735AA7" w:rsidP="00735AA7">
      <w:pPr>
        <w:pStyle w:val="EndNoteBibliography"/>
        <w:spacing w:after="0"/>
      </w:pPr>
      <w:r w:rsidRPr="00735AA7">
        <w:t>19.</w:t>
      </w:r>
      <w:r w:rsidRPr="00735AA7">
        <w:tab/>
        <w:t>Cohen J. Statistical power analysis for the behavioural sciences. New York: Academic Press; 1969.</w:t>
      </w:r>
    </w:p>
    <w:p w14:paraId="55592503" w14:textId="3F1689A7" w:rsidR="00735AA7" w:rsidRPr="00735AA7" w:rsidRDefault="00735AA7" w:rsidP="00735AA7">
      <w:pPr>
        <w:pStyle w:val="EndNoteBibliography"/>
        <w:spacing w:after="0"/>
      </w:pPr>
      <w:r w:rsidRPr="00735AA7">
        <w:t>20.</w:t>
      </w:r>
      <w:r w:rsidRPr="00735AA7">
        <w:tab/>
        <w:t xml:space="preserve">Richardson JTE. Eta squared and partial eta squared as measures of effect size in educational research. </w:t>
      </w:r>
      <w:r w:rsidR="007F54A6" w:rsidRPr="007F54A6">
        <w:t>Educ Res Rev</w:t>
      </w:r>
      <w:r w:rsidRPr="00735AA7">
        <w:t>. 2011;6(2):135-47.</w:t>
      </w:r>
    </w:p>
    <w:p w14:paraId="270154B2" w14:textId="6B810335" w:rsidR="00735AA7" w:rsidRPr="00735AA7" w:rsidRDefault="00735AA7" w:rsidP="00735AA7">
      <w:pPr>
        <w:pStyle w:val="EndNoteBibliography"/>
        <w:spacing w:after="0"/>
      </w:pPr>
      <w:r w:rsidRPr="00735AA7">
        <w:t>21.</w:t>
      </w:r>
      <w:r w:rsidRPr="00735AA7">
        <w:tab/>
        <w:t xml:space="preserve">Kinney AR, Middleton A, Graham JE. A Bayesian analysis of non-significant rehabilitation findings: Evaluating the evidence in favour of truly absent treatment effects. </w:t>
      </w:r>
      <w:r w:rsidR="00094CB1" w:rsidRPr="00094CB1">
        <w:t>Ann Phys Rehabil Med</w:t>
      </w:r>
      <w:r w:rsidRPr="00735AA7">
        <w:t>. 2021;64(4):101425.</w:t>
      </w:r>
    </w:p>
    <w:p w14:paraId="183BE46A" w14:textId="45E36466" w:rsidR="00735AA7" w:rsidRPr="00735AA7" w:rsidRDefault="00735AA7" w:rsidP="00735AA7">
      <w:pPr>
        <w:pStyle w:val="EndNoteBibliography"/>
        <w:spacing w:after="0"/>
      </w:pPr>
      <w:r w:rsidRPr="00735AA7">
        <w:t>22.</w:t>
      </w:r>
      <w:r w:rsidRPr="00735AA7">
        <w:tab/>
        <w:t xml:space="preserve">Jarosz AF, Wiley J. What </w:t>
      </w:r>
      <w:r w:rsidR="00B5393E" w:rsidRPr="00735AA7">
        <w:t xml:space="preserve">are the odds? </w:t>
      </w:r>
      <w:r w:rsidR="00B5393E">
        <w:t>A</w:t>
      </w:r>
      <w:r w:rsidR="00B5393E" w:rsidRPr="00735AA7">
        <w:t xml:space="preserve"> practical guide to computing and reporting </w:t>
      </w:r>
      <w:r w:rsidR="00B5393E">
        <w:t>B</w:t>
      </w:r>
      <w:r w:rsidR="00B5393E" w:rsidRPr="00735AA7">
        <w:t xml:space="preserve">ayes factors. </w:t>
      </w:r>
      <w:r w:rsidR="00094CB1" w:rsidRPr="00094CB1">
        <w:t>J Probl Solving</w:t>
      </w:r>
      <w:r w:rsidRPr="00735AA7">
        <w:t>. 2014;7(1):2-9.</w:t>
      </w:r>
    </w:p>
    <w:p w14:paraId="7AA2AF0E" w14:textId="30DD8D23" w:rsidR="00735AA7" w:rsidRPr="00735AA7" w:rsidRDefault="00735AA7" w:rsidP="00735AA7">
      <w:pPr>
        <w:pStyle w:val="EndNoteBibliography"/>
        <w:spacing w:after="0"/>
      </w:pPr>
      <w:r w:rsidRPr="00735AA7">
        <w:t>23.</w:t>
      </w:r>
      <w:r w:rsidRPr="00735AA7">
        <w:tab/>
        <w:t xml:space="preserve">Andraszewicz S, Scheibehenne B, Rieskamp J, </w:t>
      </w:r>
      <w:r w:rsidR="00536A6B">
        <w:t>et al</w:t>
      </w:r>
      <w:r w:rsidRPr="00735AA7">
        <w:t xml:space="preserve">. An </w:t>
      </w:r>
      <w:r w:rsidR="00B5393E" w:rsidRPr="00735AA7">
        <w:t xml:space="preserve">introduction to </w:t>
      </w:r>
      <w:r w:rsidR="00B5393E">
        <w:t>B</w:t>
      </w:r>
      <w:r w:rsidR="00B5393E" w:rsidRPr="00735AA7">
        <w:t xml:space="preserve">ayesian hypothesis testing for management research. </w:t>
      </w:r>
      <w:r w:rsidR="008F2E51" w:rsidRPr="008F2E51">
        <w:t>J Manage</w:t>
      </w:r>
      <w:r w:rsidRPr="00735AA7">
        <w:t>. 2015;41(2):521-43.</w:t>
      </w:r>
    </w:p>
    <w:p w14:paraId="251E2EB3" w14:textId="77777777" w:rsidR="00735AA7" w:rsidRPr="00735AA7" w:rsidRDefault="00735AA7" w:rsidP="00735AA7">
      <w:pPr>
        <w:pStyle w:val="EndNoteBibliography"/>
        <w:spacing w:after="0"/>
      </w:pPr>
      <w:r w:rsidRPr="00735AA7">
        <w:t>24.</w:t>
      </w:r>
      <w:r w:rsidRPr="00735AA7">
        <w:tab/>
        <w:t>JASP Team. JASP (version 0.19.3) [Computer software]. 2024.</w:t>
      </w:r>
    </w:p>
    <w:p w14:paraId="5C62EA79" w14:textId="77777777" w:rsidR="00735AA7" w:rsidRPr="00735AA7" w:rsidRDefault="00735AA7" w:rsidP="00735AA7">
      <w:pPr>
        <w:pStyle w:val="EndNoteBibliography"/>
        <w:spacing w:after="0"/>
      </w:pPr>
      <w:r w:rsidRPr="00735AA7">
        <w:t>25.</w:t>
      </w:r>
      <w:r w:rsidRPr="00735AA7">
        <w:tab/>
        <w:t>QSR International Pty Ltd. NVivo. Version 12 ed: QSR International Pty Ltd; 2018.</w:t>
      </w:r>
    </w:p>
    <w:p w14:paraId="3456D594" w14:textId="77777777" w:rsidR="00735AA7" w:rsidRPr="00735AA7" w:rsidRDefault="00735AA7" w:rsidP="00735AA7">
      <w:pPr>
        <w:pStyle w:val="EndNoteBibliography"/>
        <w:spacing w:after="0"/>
      </w:pPr>
      <w:r w:rsidRPr="00735AA7">
        <w:t>26.</w:t>
      </w:r>
      <w:r w:rsidRPr="00735AA7">
        <w:tab/>
        <w:t>Office for National Statistics (ONS). Education, England and Wales: Census 2021. Statistical Bulletin. ONS websitereleased 10 January 2023.</w:t>
      </w:r>
    </w:p>
    <w:p w14:paraId="30206128" w14:textId="2DE61FC6" w:rsidR="00735AA7" w:rsidRPr="00735AA7" w:rsidRDefault="00735AA7" w:rsidP="00735AA7">
      <w:pPr>
        <w:pStyle w:val="EndNoteBibliography"/>
        <w:spacing w:after="0"/>
      </w:pPr>
      <w:r w:rsidRPr="00735AA7">
        <w:t>27.</w:t>
      </w:r>
      <w:r w:rsidRPr="00735AA7">
        <w:tab/>
        <w:t>Sweeney KD, Donaghy E, Henderson D, et al. Patients’ experiences of GP consultations following the introduction of the new GP contract in Scotland: a cross-sectional survey. Br J Gen Pract. 2024;74(739):e63.</w:t>
      </w:r>
    </w:p>
    <w:p w14:paraId="6D1B00CD" w14:textId="711A6447" w:rsidR="00735AA7" w:rsidRPr="00735AA7" w:rsidRDefault="00735AA7" w:rsidP="00735AA7">
      <w:pPr>
        <w:pStyle w:val="EndNoteBibliography"/>
        <w:spacing w:after="0"/>
      </w:pPr>
      <w:r w:rsidRPr="00735AA7">
        <w:t>28.</w:t>
      </w:r>
      <w:r w:rsidRPr="00735AA7">
        <w:tab/>
        <w:t xml:space="preserve">Mercer SW, Zhou Y, Humphris GM, et al. Multimorbidity and </w:t>
      </w:r>
      <w:r w:rsidR="00572377" w:rsidRPr="00735AA7">
        <w:t>socioeconomic deprivation in primary care consultations.</w:t>
      </w:r>
      <w:r w:rsidRPr="00735AA7">
        <w:t xml:space="preserve"> </w:t>
      </w:r>
      <w:r w:rsidR="00844E37" w:rsidRPr="00844E37">
        <w:t>Ann Fam Med</w:t>
      </w:r>
      <w:r w:rsidRPr="00735AA7">
        <w:t>. 2018;16(2):127.</w:t>
      </w:r>
    </w:p>
    <w:p w14:paraId="5A895F1C" w14:textId="54F54CE4" w:rsidR="00735AA7" w:rsidRPr="00735AA7" w:rsidRDefault="00735AA7" w:rsidP="00735AA7">
      <w:pPr>
        <w:pStyle w:val="EndNoteBibliography"/>
        <w:spacing w:after="0"/>
      </w:pPr>
      <w:r w:rsidRPr="00735AA7">
        <w:t>29.</w:t>
      </w:r>
      <w:r w:rsidRPr="00735AA7">
        <w:tab/>
        <w:t>Pandey M, Maina RG, Amoyaw J, et al. Impacts of English language proficiency on healthcare access, use, and outcomes among immigrants: a qualitative study. BMC Health Serv Res. 2021;21(1):741.</w:t>
      </w:r>
    </w:p>
    <w:p w14:paraId="2ADF8893" w14:textId="0F565167" w:rsidR="00735AA7" w:rsidRPr="00735AA7" w:rsidRDefault="00735AA7" w:rsidP="00735AA7">
      <w:pPr>
        <w:pStyle w:val="EndNoteBibliography"/>
        <w:spacing w:after="0"/>
      </w:pPr>
      <w:r w:rsidRPr="00735AA7">
        <w:t>30.</w:t>
      </w:r>
      <w:r w:rsidRPr="00735AA7">
        <w:tab/>
        <w:t>Burt J, Lloyd CE, Campbell JL, Roland M, Abel GA. . Variations in GP-patient communication by ethnicity, age, and gender: evidence from a national primary care patient survey. Br J Gen Pract. 2016.</w:t>
      </w:r>
    </w:p>
    <w:p w14:paraId="60002038" w14:textId="2842CD52" w:rsidR="00735AA7" w:rsidRPr="00735AA7" w:rsidRDefault="00735AA7" w:rsidP="00735AA7">
      <w:pPr>
        <w:pStyle w:val="EndNoteBibliography"/>
      </w:pPr>
      <w:r w:rsidRPr="00735AA7">
        <w:t>31.</w:t>
      </w:r>
      <w:r w:rsidRPr="00735AA7">
        <w:tab/>
        <w:t xml:space="preserve">Office for National Statistics (ONS). Ethnic group by age and sex, England and Wales: Census 2021. </w:t>
      </w:r>
      <w:r w:rsidRPr="00426099">
        <w:t>https://www.ons.gov.uk/peoplepopulationandcommunity/culturalidentity/ethnicity/articles/ethnicgroupbyageandsexenglandandwales/census2021</w:t>
      </w:r>
      <w:r w:rsidRPr="00735AA7">
        <w:t>: ONS website; released 23 January 2023.</w:t>
      </w:r>
    </w:p>
    <w:p w14:paraId="563C65AC" w14:textId="25CB79DD" w:rsidR="004D6372" w:rsidRDefault="004D6372" w:rsidP="004D6372">
      <w:pPr>
        <w:spacing w:after="0" w:line="240" w:lineRule="auto"/>
        <w:ind w:left="709" w:hanging="709"/>
      </w:pPr>
    </w:p>
    <w:p w14:paraId="2D3B1AAA" w14:textId="4F7AAA19" w:rsidR="0037512A" w:rsidRDefault="0037512A">
      <w:r>
        <w:br w:type="page"/>
      </w:r>
    </w:p>
    <w:p w14:paraId="40DE1853" w14:textId="77777777" w:rsidR="00735AA7" w:rsidRDefault="00735AA7" w:rsidP="00735AA7">
      <w:pPr>
        <w:pStyle w:val="Heading3"/>
        <w:rPr>
          <w:lang w:val="en-US"/>
        </w:rPr>
      </w:pPr>
      <w:r>
        <w:rPr>
          <w:lang w:val="en-US"/>
        </w:rPr>
        <w:lastRenderedPageBreak/>
        <w:t>Table 1.  Introductory Overview of Bayesian Approach to Null Effects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735AA7" w:rsidRPr="00C254AC" w14:paraId="05B66B6F" w14:textId="77777777" w:rsidTr="00C254AC">
        <w:tc>
          <w:tcPr>
            <w:tcW w:w="1980" w:type="dxa"/>
            <w:tcBorders>
              <w:top w:val="single" w:sz="4" w:space="0" w:color="auto"/>
              <w:bottom w:val="single" w:sz="4" w:space="0" w:color="auto"/>
            </w:tcBorders>
          </w:tcPr>
          <w:p w14:paraId="23580763" w14:textId="31D592A3" w:rsidR="00735AA7" w:rsidRPr="00C254AC" w:rsidRDefault="008E28D0" w:rsidP="00FD6BDC">
            <w:pPr>
              <w:rPr>
                <w:b/>
                <w:bCs/>
                <w:lang w:val="en-US"/>
              </w:rPr>
            </w:pPr>
            <w:r w:rsidRPr="00C254AC">
              <w:rPr>
                <w:b/>
                <w:bCs/>
                <w:lang w:val="en-US"/>
              </w:rPr>
              <w:t>Feature</w:t>
            </w:r>
          </w:p>
        </w:tc>
        <w:tc>
          <w:tcPr>
            <w:tcW w:w="7036" w:type="dxa"/>
            <w:tcBorders>
              <w:top w:val="single" w:sz="4" w:space="0" w:color="auto"/>
              <w:bottom w:val="single" w:sz="4" w:space="0" w:color="auto"/>
            </w:tcBorders>
          </w:tcPr>
          <w:p w14:paraId="032035A3" w14:textId="77777777" w:rsidR="00735AA7" w:rsidRPr="00C254AC" w:rsidRDefault="00735AA7" w:rsidP="00FD6BDC">
            <w:pPr>
              <w:rPr>
                <w:b/>
                <w:bCs/>
                <w:lang w:val="en-US"/>
              </w:rPr>
            </w:pPr>
            <w:r w:rsidRPr="00C254AC">
              <w:rPr>
                <w:b/>
                <w:bCs/>
                <w:lang w:val="en-US"/>
              </w:rPr>
              <w:t>Description</w:t>
            </w:r>
          </w:p>
        </w:tc>
      </w:tr>
      <w:tr w:rsidR="00735AA7" w14:paraId="702542B3" w14:textId="77777777" w:rsidTr="00C254AC">
        <w:tc>
          <w:tcPr>
            <w:tcW w:w="1980" w:type="dxa"/>
            <w:tcBorders>
              <w:top w:val="single" w:sz="4" w:space="0" w:color="auto"/>
            </w:tcBorders>
          </w:tcPr>
          <w:p w14:paraId="4244442A" w14:textId="0630CBBF" w:rsidR="00735AA7" w:rsidRDefault="00735AA7" w:rsidP="00FD6BDC">
            <w:pPr>
              <w:rPr>
                <w:lang w:val="en-US"/>
              </w:rPr>
            </w:pPr>
            <w:r>
              <w:rPr>
                <w:lang w:val="en-US"/>
              </w:rPr>
              <w:t>Approach</w:t>
            </w:r>
          </w:p>
        </w:tc>
        <w:tc>
          <w:tcPr>
            <w:tcW w:w="7036" w:type="dxa"/>
            <w:tcBorders>
              <w:top w:val="single" w:sz="4" w:space="0" w:color="auto"/>
            </w:tcBorders>
          </w:tcPr>
          <w:p w14:paraId="598151A0" w14:textId="77777777" w:rsidR="00735AA7" w:rsidRDefault="00735AA7" w:rsidP="00FD6BDC">
            <w:pPr>
              <w:rPr>
                <w:lang w:val="en-US"/>
              </w:rPr>
            </w:pPr>
            <w:r>
              <w:rPr>
                <w:lang w:val="en-US"/>
              </w:rPr>
              <w:t xml:space="preserve">Bayesian analyses involve testing whether observed data are more or less likely to occur under different models.  For example, we could compare the likelihood of the observed data occurring under a model with no effect of x on y (the null model), to the likelihood of the observed data occurring under a model with an effect of x on y (the main effect model).  </w:t>
            </w:r>
          </w:p>
          <w:p w14:paraId="4FF7CAA0" w14:textId="77777777" w:rsidR="00C254AC" w:rsidRDefault="00C254AC" w:rsidP="00FD6BDC">
            <w:pPr>
              <w:rPr>
                <w:lang w:val="en-US"/>
              </w:rPr>
            </w:pPr>
          </w:p>
        </w:tc>
      </w:tr>
      <w:tr w:rsidR="00735AA7" w14:paraId="585283E5" w14:textId="77777777" w:rsidTr="00C254AC">
        <w:tc>
          <w:tcPr>
            <w:tcW w:w="1980" w:type="dxa"/>
          </w:tcPr>
          <w:p w14:paraId="607CC06A" w14:textId="77777777" w:rsidR="00735AA7" w:rsidRDefault="00735AA7" w:rsidP="00FD6BDC">
            <w:pPr>
              <w:rPr>
                <w:lang w:val="en-US"/>
              </w:rPr>
            </w:pPr>
            <w:r>
              <w:rPr>
                <w:lang w:val="en-US"/>
              </w:rPr>
              <w:t>Statistic</w:t>
            </w:r>
          </w:p>
        </w:tc>
        <w:tc>
          <w:tcPr>
            <w:tcW w:w="7036" w:type="dxa"/>
          </w:tcPr>
          <w:p w14:paraId="1DC9CEF0" w14:textId="77777777" w:rsidR="00735AA7" w:rsidRDefault="00735AA7" w:rsidP="00FD6BDC">
            <w:pPr>
              <w:rPr>
                <w:lang w:val="en-US"/>
              </w:rPr>
            </w:pPr>
            <w:r>
              <w:rPr>
                <w:lang w:val="en-US"/>
              </w:rPr>
              <w:t>The Bayes Factor (</w:t>
            </w:r>
            <w:bookmarkStart w:id="1" w:name="_Hlk198801996"/>
            <w:r>
              <w:rPr>
                <w:lang w:val="en-US"/>
              </w:rPr>
              <w:t>BF</w:t>
            </w:r>
            <w:r w:rsidRPr="005E686B">
              <w:rPr>
                <w:sz w:val="16"/>
                <w:szCs w:val="16"/>
                <w:lang w:val="en-US"/>
              </w:rPr>
              <w:t>01</w:t>
            </w:r>
            <w:bookmarkEnd w:id="1"/>
            <w:r>
              <w:rPr>
                <w:sz w:val="16"/>
                <w:szCs w:val="16"/>
                <w:lang w:val="en-US"/>
              </w:rPr>
              <w:t xml:space="preserve">) </w:t>
            </w:r>
            <w:r w:rsidRPr="00EC50A5">
              <w:rPr>
                <w:lang w:val="en-US"/>
              </w:rPr>
              <w:t xml:space="preserve">indicates the </w:t>
            </w:r>
            <w:r>
              <w:rPr>
                <w:lang w:val="en-US"/>
              </w:rPr>
              <w:t>relative likelihood of the observed data occurring under one model compared to the other model</w:t>
            </w:r>
            <w:r>
              <w:rPr>
                <w:rFonts w:eastAsiaTheme="minorEastAsia"/>
                <w:lang w:val="en-US"/>
              </w:rPr>
              <w:t xml:space="preserve">.  </w:t>
            </w:r>
            <w:r>
              <w:rPr>
                <w:lang w:val="en-US"/>
              </w:rPr>
              <w:t>If BF</w:t>
            </w:r>
            <w:r w:rsidRPr="005E686B">
              <w:rPr>
                <w:sz w:val="16"/>
                <w:szCs w:val="16"/>
                <w:lang w:val="en-US"/>
              </w:rPr>
              <w:t>01</w:t>
            </w:r>
            <w:r>
              <w:rPr>
                <w:sz w:val="16"/>
                <w:szCs w:val="16"/>
                <w:lang w:val="en-US"/>
              </w:rPr>
              <w:t xml:space="preserve"> </w:t>
            </w:r>
            <w:r>
              <w:rPr>
                <w:lang w:val="en-US"/>
              </w:rPr>
              <w:t xml:space="preserve">for the null model compared to the main effect model is greater than 1, then the observed data are more likely to be generated by the null model, and we conclude that there is evidence that x does not have an effect on </w:t>
            </w:r>
            <w:proofErr w:type="gramStart"/>
            <w:r>
              <w:rPr>
                <w:lang w:val="en-US"/>
              </w:rPr>
              <w:t>y.</w:t>
            </w:r>
            <w:r>
              <w:rPr>
                <w:noProof/>
                <w:lang w:val="en-US"/>
              </w:rPr>
              <w:t>(</w:t>
            </w:r>
            <w:proofErr w:type="gramEnd"/>
            <w:r>
              <w:rPr>
                <w:noProof/>
                <w:lang w:val="en-US"/>
              </w:rPr>
              <w:t>22)</w:t>
            </w:r>
            <w:r>
              <w:rPr>
                <w:lang w:val="en-US"/>
              </w:rPr>
              <w:t xml:space="preserve">  </w:t>
            </w:r>
          </w:p>
          <w:p w14:paraId="2CEE9839" w14:textId="3D22AF3A" w:rsidR="00C254AC" w:rsidRDefault="00C254AC" w:rsidP="00FD6BDC">
            <w:pPr>
              <w:rPr>
                <w:lang w:val="en-US"/>
              </w:rPr>
            </w:pPr>
          </w:p>
        </w:tc>
      </w:tr>
      <w:tr w:rsidR="00735AA7" w14:paraId="7468979F" w14:textId="77777777" w:rsidTr="00C254AC">
        <w:tc>
          <w:tcPr>
            <w:tcW w:w="1980" w:type="dxa"/>
            <w:tcBorders>
              <w:bottom w:val="single" w:sz="4" w:space="0" w:color="auto"/>
            </w:tcBorders>
          </w:tcPr>
          <w:p w14:paraId="709AC314" w14:textId="77777777" w:rsidR="00735AA7" w:rsidRDefault="00735AA7" w:rsidP="00FD6BDC">
            <w:pPr>
              <w:rPr>
                <w:lang w:val="en-US"/>
              </w:rPr>
            </w:pPr>
            <w:r>
              <w:rPr>
                <w:lang w:val="en-US"/>
              </w:rPr>
              <w:t>Interpretation</w:t>
            </w:r>
          </w:p>
        </w:tc>
        <w:tc>
          <w:tcPr>
            <w:tcW w:w="7036" w:type="dxa"/>
            <w:tcBorders>
              <w:bottom w:val="single" w:sz="4" w:space="0" w:color="auto"/>
            </w:tcBorders>
          </w:tcPr>
          <w:p w14:paraId="7C3ABCC4" w14:textId="52EFCE2B" w:rsidR="00735AA7" w:rsidRDefault="00735AA7" w:rsidP="00FD6BDC">
            <w:pPr>
              <w:rPr>
                <w:lang w:val="en-US"/>
              </w:rPr>
            </w:pPr>
            <w:r>
              <w:rPr>
                <w:lang w:val="en-US"/>
              </w:rPr>
              <w:t>Unlike p values, Bayes Factors cannot be assigned significance but their magnitude does indicate strength of evidence: &lt;1</w:t>
            </w:r>
            <w:r w:rsidRPr="003A0233">
              <w:rPr>
                <w:lang w:val="en-US"/>
              </w:rPr>
              <w:t xml:space="preserve"> </w:t>
            </w:r>
            <w:r>
              <w:rPr>
                <w:lang w:val="en-US"/>
              </w:rPr>
              <w:t>BF</w:t>
            </w:r>
            <w:r w:rsidRPr="005E686B">
              <w:rPr>
                <w:sz w:val="16"/>
                <w:szCs w:val="16"/>
                <w:lang w:val="en-US"/>
              </w:rPr>
              <w:t>01</w:t>
            </w:r>
            <w:r w:rsidRPr="003A0233">
              <w:rPr>
                <w:lang w:val="en-US"/>
              </w:rPr>
              <w:t>&lt;3</w:t>
            </w:r>
            <w:r>
              <w:rPr>
                <w:lang w:val="en-US"/>
              </w:rPr>
              <w:t xml:space="preserve"> indicates anecdotal evidence; &lt;3 BF</w:t>
            </w:r>
            <w:r w:rsidRPr="005E686B">
              <w:rPr>
                <w:sz w:val="16"/>
                <w:szCs w:val="16"/>
                <w:lang w:val="en-US"/>
              </w:rPr>
              <w:t>01</w:t>
            </w:r>
            <w:r>
              <w:rPr>
                <w:lang w:val="en-US"/>
              </w:rPr>
              <w:t xml:space="preserve"> &lt;10 moderate evidence; &lt;10 BF</w:t>
            </w:r>
            <w:r w:rsidRPr="005E686B">
              <w:rPr>
                <w:sz w:val="16"/>
                <w:szCs w:val="16"/>
                <w:lang w:val="en-US"/>
              </w:rPr>
              <w:t>01</w:t>
            </w:r>
            <w:r>
              <w:rPr>
                <w:lang w:val="en-US"/>
              </w:rPr>
              <w:t xml:space="preserve"> &lt;30 strong evidence; &lt;30 BF</w:t>
            </w:r>
            <w:r w:rsidRPr="005E686B">
              <w:rPr>
                <w:sz w:val="16"/>
                <w:szCs w:val="16"/>
                <w:lang w:val="en-US"/>
              </w:rPr>
              <w:t>01</w:t>
            </w:r>
            <w:r>
              <w:rPr>
                <w:lang w:val="en-US"/>
              </w:rPr>
              <w:t xml:space="preserve"> &lt;100 very strong evidence; &lt;100 BF</w:t>
            </w:r>
            <w:r w:rsidRPr="005E686B">
              <w:rPr>
                <w:sz w:val="16"/>
                <w:szCs w:val="16"/>
                <w:lang w:val="en-US"/>
              </w:rPr>
              <w:t>01</w:t>
            </w:r>
            <w:r>
              <w:rPr>
                <w:lang w:val="en-US"/>
              </w:rPr>
              <w:t xml:space="preserve"> extreme </w:t>
            </w:r>
            <w:proofErr w:type="gramStart"/>
            <w:r>
              <w:rPr>
                <w:lang w:val="en-US"/>
              </w:rPr>
              <w:t>evidence.</w:t>
            </w:r>
            <w:r>
              <w:rPr>
                <w:noProof/>
                <w:lang w:val="en-US"/>
              </w:rPr>
              <w:t>(</w:t>
            </w:r>
            <w:proofErr w:type="gramEnd"/>
            <w:r>
              <w:rPr>
                <w:noProof/>
                <w:lang w:val="en-US"/>
              </w:rPr>
              <w:t>23)</w:t>
            </w:r>
          </w:p>
        </w:tc>
      </w:tr>
    </w:tbl>
    <w:p w14:paraId="6B8DA8AB" w14:textId="77777777" w:rsidR="00735AA7" w:rsidRDefault="00735AA7" w:rsidP="00735AA7">
      <w:pPr>
        <w:rPr>
          <w:lang w:val="en-US"/>
        </w:rPr>
      </w:pPr>
    </w:p>
    <w:p w14:paraId="0F7D2DDE" w14:textId="77777777" w:rsidR="00735AA7" w:rsidRPr="00735AA7" w:rsidRDefault="00735AA7" w:rsidP="00735AA7"/>
    <w:p w14:paraId="00BC3BFB" w14:textId="77777777" w:rsidR="00735AA7" w:rsidRDefault="00735AA7">
      <w:pPr>
        <w:rPr>
          <w:rFonts w:asciiTheme="majorHAnsi" w:eastAsiaTheme="majorEastAsia" w:hAnsiTheme="majorHAnsi" w:cstheme="majorBidi"/>
          <w:color w:val="1F3763" w:themeColor="accent1" w:themeShade="7F"/>
          <w:sz w:val="24"/>
          <w:szCs w:val="24"/>
        </w:rPr>
      </w:pPr>
      <w:r>
        <w:br w:type="page"/>
      </w:r>
    </w:p>
    <w:p w14:paraId="3450D921" w14:textId="3171C022" w:rsidR="0037512A" w:rsidRDefault="0037512A" w:rsidP="0037512A">
      <w:pPr>
        <w:pStyle w:val="Heading3"/>
      </w:pPr>
      <w:r>
        <w:lastRenderedPageBreak/>
        <w:t xml:space="preserve">Table </w:t>
      </w:r>
      <w:r w:rsidR="00490417">
        <w:t>2</w:t>
      </w:r>
      <w:r>
        <w:t>. Participant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621"/>
        <w:gridCol w:w="875"/>
        <w:gridCol w:w="718"/>
        <w:gridCol w:w="764"/>
        <w:gridCol w:w="718"/>
        <w:gridCol w:w="764"/>
        <w:gridCol w:w="718"/>
        <w:gridCol w:w="764"/>
        <w:gridCol w:w="718"/>
        <w:gridCol w:w="764"/>
      </w:tblGrid>
      <w:tr w:rsidR="0037512A" w:rsidRPr="00A75F31" w14:paraId="0568587D" w14:textId="77777777" w:rsidTr="00DD1A5F">
        <w:trPr>
          <w:trHeight w:val="20"/>
        </w:trPr>
        <w:tc>
          <w:tcPr>
            <w:tcW w:w="1592" w:type="dxa"/>
            <w:vMerge w:val="restart"/>
            <w:tcBorders>
              <w:top w:val="single" w:sz="4" w:space="0" w:color="auto"/>
            </w:tcBorders>
            <w:hideMark/>
          </w:tcPr>
          <w:p w14:paraId="1CA6A52D" w14:textId="77777777" w:rsidR="0037512A" w:rsidRPr="00A75F31" w:rsidRDefault="0037512A" w:rsidP="00DD1A5F">
            <w:r w:rsidRPr="00A75F31">
              <w:t> </w:t>
            </w:r>
          </w:p>
        </w:tc>
        <w:tc>
          <w:tcPr>
            <w:tcW w:w="1496" w:type="dxa"/>
            <w:gridSpan w:val="2"/>
            <w:tcBorders>
              <w:top w:val="single" w:sz="4" w:space="0" w:color="auto"/>
            </w:tcBorders>
          </w:tcPr>
          <w:p w14:paraId="401B6F30" w14:textId="77777777" w:rsidR="0037512A" w:rsidRDefault="0037512A" w:rsidP="00DD1A5F">
            <w:r>
              <w:t xml:space="preserve">Whole Sample </w:t>
            </w:r>
          </w:p>
          <w:p w14:paraId="778554FB" w14:textId="77777777" w:rsidR="0037512A" w:rsidRPr="00A75F31" w:rsidRDefault="0037512A" w:rsidP="00DD1A5F">
            <w:r>
              <w:t>(n=274)</w:t>
            </w:r>
          </w:p>
        </w:tc>
        <w:tc>
          <w:tcPr>
            <w:tcW w:w="1482" w:type="dxa"/>
            <w:gridSpan w:val="2"/>
            <w:tcBorders>
              <w:top w:val="single" w:sz="4" w:space="0" w:color="auto"/>
            </w:tcBorders>
            <w:hideMark/>
          </w:tcPr>
          <w:p w14:paraId="511A2B80" w14:textId="77777777" w:rsidR="0037512A" w:rsidRPr="00A75F31" w:rsidRDefault="0037512A" w:rsidP="00DD1A5F">
            <w:r w:rsidRPr="00A75F31">
              <w:t>Black British</w:t>
            </w:r>
            <w:r>
              <w:t xml:space="preserve"> (n=63)</w:t>
            </w:r>
          </w:p>
        </w:tc>
        <w:tc>
          <w:tcPr>
            <w:tcW w:w="1482" w:type="dxa"/>
            <w:gridSpan w:val="2"/>
            <w:tcBorders>
              <w:top w:val="single" w:sz="4" w:space="0" w:color="auto"/>
            </w:tcBorders>
            <w:hideMark/>
          </w:tcPr>
          <w:p w14:paraId="7403B353" w14:textId="77777777" w:rsidR="0037512A" w:rsidRPr="00A75F31" w:rsidRDefault="0037512A" w:rsidP="00DD1A5F">
            <w:r>
              <w:t xml:space="preserve">White </w:t>
            </w:r>
            <w:r w:rsidRPr="00A75F31">
              <w:t>Caucasian</w:t>
            </w:r>
            <w:r>
              <w:t xml:space="preserve"> (n=88)</w:t>
            </w:r>
          </w:p>
        </w:tc>
        <w:tc>
          <w:tcPr>
            <w:tcW w:w="1482" w:type="dxa"/>
            <w:gridSpan w:val="2"/>
            <w:tcBorders>
              <w:top w:val="single" w:sz="4" w:space="0" w:color="auto"/>
            </w:tcBorders>
            <w:hideMark/>
          </w:tcPr>
          <w:p w14:paraId="4D037196" w14:textId="77777777" w:rsidR="0037512A" w:rsidRPr="00A75F31" w:rsidRDefault="0037512A" w:rsidP="00DD1A5F">
            <w:r w:rsidRPr="00A75F31">
              <w:t>East Asian</w:t>
            </w:r>
            <w:r>
              <w:t xml:space="preserve"> (n=55)</w:t>
            </w:r>
          </w:p>
        </w:tc>
        <w:tc>
          <w:tcPr>
            <w:tcW w:w="1482" w:type="dxa"/>
            <w:gridSpan w:val="2"/>
            <w:tcBorders>
              <w:top w:val="single" w:sz="4" w:space="0" w:color="auto"/>
            </w:tcBorders>
            <w:hideMark/>
          </w:tcPr>
          <w:p w14:paraId="182959D7" w14:textId="77777777" w:rsidR="0037512A" w:rsidRPr="00A75F31" w:rsidRDefault="0037512A" w:rsidP="00DD1A5F">
            <w:r w:rsidRPr="00A75F31">
              <w:t>South Asian</w:t>
            </w:r>
            <w:r>
              <w:t xml:space="preserve"> (n=68)</w:t>
            </w:r>
          </w:p>
        </w:tc>
      </w:tr>
      <w:tr w:rsidR="0037512A" w:rsidRPr="00A75F31" w14:paraId="60770560" w14:textId="77777777" w:rsidTr="00DD1A5F">
        <w:trPr>
          <w:trHeight w:val="20"/>
        </w:trPr>
        <w:tc>
          <w:tcPr>
            <w:tcW w:w="1592" w:type="dxa"/>
            <w:vMerge/>
            <w:tcBorders>
              <w:bottom w:val="single" w:sz="4" w:space="0" w:color="auto"/>
            </w:tcBorders>
            <w:hideMark/>
          </w:tcPr>
          <w:p w14:paraId="0F175C8D" w14:textId="77777777" w:rsidR="0037512A" w:rsidRPr="00A75F31" w:rsidRDefault="0037512A" w:rsidP="00DD1A5F"/>
        </w:tc>
        <w:tc>
          <w:tcPr>
            <w:tcW w:w="621" w:type="dxa"/>
            <w:tcBorders>
              <w:bottom w:val="single" w:sz="4" w:space="0" w:color="auto"/>
            </w:tcBorders>
          </w:tcPr>
          <w:p w14:paraId="0E4635FD" w14:textId="77777777" w:rsidR="0037512A" w:rsidRPr="00A75F31" w:rsidRDefault="0037512A" w:rsidP="00DD1A5F">
            <w:r w:rsidRPr="00A75F31">
              <w:t>n</w:t>
            </w:r>
          </w:p>
        </w:tc>
        <w:tc>
          <w:tcPr>
            <w:tcW w:w="875" w:type="dxa"/>
            <w:tcBorders>
              <w:bottom w:val="single" w:sz="4" w:space="0" w:color="auto"/>
            </w:tcBorders>
          </w:tcPr>
          <w:p w14:paraId="3691D732" w14:textId="77777777" w:rsidR="0037512A" w:rsidRPr="00A75F31" w:rsidRDefault="0037512A" w:rsidP="00DD1A5F">
            <w:r w:rsidRPr="00A75F31">
              <w:t>%</w:t>
            </w:r>
          </w:p>
        </w:tc>
        <w:tc>
          <w:tcPr>
            <w:tcW w:w="718" w:type="dxa"/>
            <w:tcBorders>
              <w:bottom w:val="single" w:sz="4" w:space="0" w:color="auto"/>
            </w:tcBorders>
            <w:noWrap/>
            <w:hideMark/>
          </w:tcPr>
          <w:p w14:paraId="13F95A0E" w14:textId="77777777" w:rsidR="0037512A" w:rsidRPr="00A75F31" w:rsidRDefault="0037512A" w:rsidP="00DD1A5F">
            <w:r w:rsidRPr="00A75F31">
              <w:t>n</w:t>
            </w:r>
          </w:p>
        </w:tc>
        <w:tc>
          <w:tcPr>
            <w:tcW w:w="764" w:type="dxa"/>
            <w:tcBorders>
              <w:bottom w:val="single" w:sz="4" w:space="0" w:color="auto"/>
            </w:tcBorders>
            <w:noWrap/>
            <w:hideMark/>
          </w:tcPr>
          <w:p w14:paraId="60008A19" w14:textId="77777777" w:rsidR="0037512A" w:rsidRPr="00A75F31" w:rsidRDefault="0037512A" w:rsidP="00DD1A5F">
            <w:r w:rsidRPr="00A75F31">
              <w:t>%</w:t>
            </w:r>
          </w:p>
        </w:tc>
        <w:tc>
          <w:tcPr>
            <w:tcW w:w="718" w:type="dxa"/>
            <w:tcBorders>
              <w:bottom w:val="single" w:sz="4" w:space="0" w:color="auto"/>
            </w:tcBorders>
            <w:noWrap/>
            <w:hideMark/>
          </w:tcPr>
          <w:p w14:paraId="0FBED812" w14:textId="77777777" w:rsidR="0037512A" w:rsidRPr="00A75F31" w:rsidRDefault="0037512A" w:rsidP="00DD1A5F">
            <w:r w:rsidRPr="00A75F31">
              <w:t>n</w:t>
            </w:r>
          </w:p>
        </w:tc>
        <w:tc>
          <w:tcPr>
            <w:tcW w:w="764" w:type="dxa"/>
            <w:tcBorders>
              <w:bottom w:val="single" w:sz="4" w:space="0" w:color="auto"/>
            </w:tcBorders>
            <w:noWrap/>
            <w:hideMark/>
          </w:tcPr>
          <w:p w14:paraId="2773EF1A" w14:textId="77777777" w:rsidR="0037512A" w:rsidRPr="00A75F31" w:rsidRDefault="0037512A" w:rsidP="00DD1A5F">
            <w:r w:rsidRPr="00A75F31">
              <w:t>%</w:t>
            </w:r>
          </w:p>
        </w:tc>
        <w:tc>
          <w:tcPr>
            <w:tcW w:w="718" w:type="dxa"/>
            <w:tcBorders>
              <w:bottom w:val="single" w:sz="4" w:space="0" w:color="auto"/>
            </w:tcBorders>
            <w:noWrap/>
            <w:hideMark/>
          </w:tcPr>
          <w:p w14:paraId="25A873A4" w14:textId="77777777" w:rsidR="0037512A" w:rsidRPr="00A75F31" w:rsidRDefault="0037512A" w:rsidP="00DD1A5F">
            <w:r w:rsidRPr="00A75F31">
              <w:t>n</w:t>
            </w:r>
          </w:p>
        </w:tc>
        <w:tc>
          <w:tcPr>
            <w:tcW w:w="764" w:type="dxa"/>
            <w:tcBorders>
              <w:bottom w:val="single" w:sz="4" w:space="0" w:color="auto"/>
            </w:tcBorders>
            <w:noWrap/>
            <w:hideMark/>
          </w:tcPr>
          <w:p w14:paraId="4A692116" w14:textId="77777777" w:rsidR="0037512A" w:rsidRPr="00A75F31" w:rsidRDefault="0037512A" w:rsidP="00DD1A5F">
            <w:r w:rsidRPr="00A75F31">
              <w:t>%</w:t>
            </w:r>
          </w:p>
        </w:tc>
        <w:tc>
          <w:tcPr>
            <w:tcW w:w="718" w:type="dxa"/>
            <w:tcBorders>
              <w:bottom w:val="single" w:sz="4" w:space="0" w:color="auto"/>
            </w:tcBorders>
            <w:noWrap/>
            <w:hideMark/>
          </w:tcPr>
          <w:p w14:paraId="3E271FE9" w14:textId="77777777" w:rsidR="0037512A" w:rsidRPr="00A75F31" w:rsidRDefault="0037512A" w:rsidP="00DD1A5F">
            <w:r w:rsidRPr="00A75F31">
              <w:t>n</w:t>
            </w:r>
          </w:p>
        </w:tc>
        <w:tc>
          <w:tcPr>
            <w:tcW w:w="764" w:type="dxa"/>
            <w:tcBorders>
              <w:bottom w:val="single" w:sz="4" w:space="0" w:color="auto"/>
            </w:tcBorders>
            <w:noWrap/>
            <w:hideMark/>
          </w:tcPr>
          <w:p w14:paraId="7DFFFC17" w14:textId="77777777" w:rsidR="0037512A" w:rsidRPr="00A75F31" w:rsidRDefault="0037512A" w:rsidP="00DD1A5F">
            <w:r w:rsidRPr="00A75F31">
              <w:t>%</w:t>
            </w:r>
          </w:p>
        </w:tc>
      </w:tr>
      <w:tr w:rsidR="0037512A" w:rsidRPr="00A75F31" w14:paraId="6B030BE8" w14:textId="77777777" w:rsidTr="00DD1A5F">
        <w:trPr>
          <w:trHeight w:val="20"/>
        </w:trPr>
        <w:tc>
          <w:tcPr>
            <w:tcW w:w="1592" w:type="dxa"/>
            <w:tcBorders>
              <w:top w:val="single" w:sz="4" w:space="0" w:color="auto"/>
            </w:tcBorders>
          </w:tcPr>
          <w:p w14:paraId="51161A00" w14:textId="77777777" w:rsidR="0037512A" w:rsidRPr="001044BC" w:rsidRDefault="0037512A" w:rsidP="00DD1A5F">
            <w:pPr>
              <w:rPr>
                <w:b/>
                <w:bCs/>
              </w:rPr>
            </w:pPr>
            <w:r w:rsidRPr="001044BC">
              <w:rPr>
                <w:b/>
                <w:bCs/>
              </w:rPr>
              <w:t>Gender</w:t>
            </w:r>
          </w:p>
        </w:tc>
        <w:tc>
          <w:tcPr>
            <w:tcW w:w="621" w:type="dxa"/>
            <w:tcBorders>
              <w:top w:val="single" w:sz="4" w:space="0" w:color="auto"/>
            </w:tcBorders>
          </w:tcPr>
          <w:p w14:paraId="57F061F1" w14:textId="77777777" w:rsidR="0037512A" w:rsidRDefault="0037512A" w:rsidP="00DD1A5F">
            <w:pPr>
              <w:rPr>
                <w:rFonts w:ascii="Calibri" w:hAnsi="Calibri" w:cs="Calibri"/>
                <w:color w:val="000000"/>
              </w:rPr>
            </w:pPr>
          </w:p>
        </w:tc>
        <w:tc>
          <w:tcPr>
            <w:tcW w:w="875" w:type="dxa"/>
            <w:tcBorders>
              <w:top w:val="single" w:sz="4" w:space="0" w:color="auto"/>
            </w:tcBorders>
          </w:tcPr>
          <w:p w14:paraId="3BEA42A0" w14:textId="77777777" w:rsidR="0037512A" w:rsidRDefault="0037512A" w:rsidP="00DD1A5F">
            <w:pPr>
              <w:rPr>
                <w:rFonts w:ascii="Calibri" w:hAnsi="Calibri" w:cs="Calibri"/>
                <w:color w:val="000000"/>
              </w:rPr>
            </w:pPr>
          </w:p>
        </w:tc>
        <w:tc>
          <w:tcPr>
            <w:tcW w:w="718" w:type="dxa"/>
            <w:tcBorders>
              <w:top w:val="single" w:sz="4" w:space="0" w:color="auto"/>
            </w:tcBorders>
            <w:noWrap/>
          </w:tcPr>
          <w:p w14:paraId="250AD96E" w14:textId="77777777" w:rsidR="0037512A" w:rsidRPr="00A75F31" w:rsidRDefault="0037512A" w:rsidP="00DD1A5F"/>
        </w:tc>
        <w:tc>
          <w:tcPr>
            <w:tcW w:w="764" w:type="dxa"/>
            <w:tcBorders>
              <w:top w:val="single" w:sz="4" w:space="0" w:color="auto"/>
            </w:tcBorders>
            <w:noWrap/>
          </w:tcPr>
          <w:p w14:paraId="2C441A9E" w14:textId="77777777" w:rsidR="0037512A" w:rsidRPr="00A75F31" w:rsidRDefault="0037512A" w:rsidP="00DD1A5F"/>
        </w:tc>
        <w:tc>
          <w:tcPr>
            <w:tcW w:w="718" w:type="dxa"/>
            <w:tcBorders>
              <w:top w:val="single" w:sz="4" w:space="0" w:color="auto"/>
            </w:tcBorders>
            <w:noWrap/>
          </w:tcPr>
          <w:p w14:paraId="4BBDE814" w14:textId="77777777" w:rsidR="0037512A" w:rsidRPr="00A75F31" w:rsidRDefault="0037512A" w:rsidP="00DD1A5F"/>
        </w:tc>
        <w:tc>
          <w:tcPr>
            <w:tcW w:w="764" w:type="dxa"/>
            <w:tcBorders>
              <w:top w:val="single" w:sz="4" w:space="0" w:color="auto"/>
            </w:tcBorders>
            <w:noWrap/>
          </w:tcPr>
          <w:p w14:paraId="4F7D2872" w14:textId="77777777" w:rsidR="0037512A" w:rsidRPr="00A75F31" w:rsidRDefault="0037512A" w:rsidP="00DD1A5F"/>
        </w:tc>
        <w:tc>
          <w:tcPr>
            <w:tcW w:w="718" w:type="dxa"/>
            <w:tcBorders>
              <w:top w:val="single" w:sz="4" w:space="0" w:color="auto"/>
            </w:tcBorders>
            <w:noWrap/>
          </w:tcPr>
          <w:p w14:paraId="0F858DCF" w14:textId="77777777" w:rsidR="0037512A" w:rsidRPr="00A75F31" w:rsidRDefault="0037512A" w:rsidP="00DD1A5F"/>
        </w:tc>
        <w:tc>
          <w:tcPr>
            <w:tcW w:w="764" w:type="dxa"/>
            <w:tcBorders>
              <w:top w:val="single" w:sz="4" w:space="0" w:color="auto"/>
            </w:tcBorders>
            <w:noWrap/>
          </w:tcPr>
          <w:p w14:paraId="119E035C" w14:textId="77777777" w:rsidR="0037512A" w:rsidRPr="00A75F31" w:rsidRDefault="0037512A" w:rsidP="00DD1A5F"/>
        </w:tc>
        <w:tc>
          <w:tcPr>
            <w:tcW w:w="718" w:type="dxa"/>
            <w:tcBorders>
              <w:top w:val="single" w:sz="4" w:space="0" w:color="auto"/>
            </w:tcBorders>
            <w:noWrap/>
          </w:tcPr>
          <w:p w14:paraId="75F3ACFF" w14:textId="77777777" w:rsidR="0037512A" w:rsidRPr="00A75F31" w:rsidRDefault="0037512A" w:rsidP="00DD1A5F"/>
        </w:tc>
        <w:tc>
          <w:tcPr>
            <w:tcW w:w="764" w:type="dxa"/>
            <w:tcBorders>
              <w:top w:val="single" w:sz="4" w:space="0" w:color="auto"/>
            </w:tcBorders>
            <w:noWrap/>
          </w:tcPr>
          <w:p w14:paraId="2040A4E8" w14:textId="77777777" w:rsidR="0037512A" w:rsidRPr="00A75F31" w:rsidRDefault="0037512A" w:rsidP="00DD1A5F"/>
        </w:tc>
      </w:tr>
      <w:tr w:rsidR="0037512A" w:rsidRPr="00A75F31" w14:paraId="799367BC" w14:textId="77777777" w:rsidTr="00DD1A5F">
        <w:trPr>
          <w:trHeight w:val="20"/>
        </w:trPr>
        <w:tc>
          <w:tcPr>
            <w:tcW w:w="1592" w:type="dxa"/>
            <w:hideMark/>
          </w:tcPr>
          <w:p w14:paraId="6EECA2E3" w14:textId="77777777" w:rsidR="0037512A" w:rsidRPr="00A75F31" w:rsidRDefault="0037512A" w:rsidP="00DD1A5F">
            <w:r w:rsidRPr="00A75F31">
              <w:t>Male</w:t>
            </w:r>
          </w:p>
        </w:tc>
        <w:tc>
          <w:tcPr>
            <w:tcW w:w="621" w:type="dxa"/>
          </w:tcPr>
          <w:p w14:paraId="0731D5FB" w14:textId="77777777" w:rsidR="0037512A" w:rsidRPr="00A75F31" w:rsidRDefault="0037512A" w:rsidP="00DD1A5F">
            <w:r>
              <w:rPr>
                <w:rFonts w:ascii="Calibri" w:hAnsi="Calibri" w:cs="Calibri"/>
                <w:color w:val="000000"/>
              </w:rPr>
              <w:t>136</w:t>
            </w:r>
          </w:p>
        </w:tc>
        <w:tc>
          <w:tcPr>
            <w:tcW w:w="875" w:type="dxa"/>
          </w:tcPr>
          <w:p w14:paraId="1DEAA6DF" w14:textId="77777777" w:rsidR="0037512A" w:rsidRPr="00A75F31" w:rsidRDefault="0037512A" w:rsidP="00DD1A5F">
            <w:r>
              <w:t>49.8</w:t>
            </w:r>
            <w:r>
              <w:rPr>
                <w:rFonts w:ascii="Calibri" w:hAnsi="Calibri" w:cs="Calibri"/>
                <w:color w:val="000000"/>
              </w:rPr>
              <w:t>%</w:t>
            </w:r>
          </w:p>
        </w:tc>
        <w:tc>
          <w:tcPr>
            <w:tcW w:w="718" w:type="dxa"/>
            <w:noWrap/>
            <w:hideMark/>
          </w:tcPr>
          <w:p w14:paraId="4E1084B0" w14:textId="77777777" w:rsidR="0037512A" w:rsidRPr="00A75F31" w:rsidRDefault="0037512A" w:rsidP="00DD1A5F">
            <w:r w:rsidRPr="00A75F31">
              <w:t>28</w:t>
            </w:r>
          </w:p>
        </w:tc>
        <w:tc>
          <w:tcPr>
            <w:tcW w:w="764" w:type="dxa"/>
            <w:noWrap/>
            <w:hideMark/>
          </w:tcPr>
          <w:p w14:paraId="6ABF3F4F" w14:textId="77777777" w:rsidR="0037512A" w:rsidRPr="00A75F31" w:rsidRDefault="0037512A" w:rsidP="00DD1A5F">
            <w:r w:rsidRPr="00A75F31">
              <w:t>44.4</w:t>
            </w:r>
            <w:r>
              <w:rPr>
                <w:rFonts w:ascii="Calibri" w:hAnsi="Calibri" w:cs="Calibri"/>
                <w:color w:val="000000"/>
              </w:rPr>
              <w:t>%</w:t>
            </w:r>
          </w:p>
        </w:tc>
        <w:tc>
          <w:tcPr>
            <w:tcW w:w="718" w:type="dxa"/>
            <w:noWrap/>
            <w:hideMark/>
          </w:tcPr>
          <w:p w14:paraId="45EC9EB4" w14:textId="77777777" w:rsidR="0037512A" w:rsidRPr="00A75F31" w:rsidRDefault="0037512A" w:rsidP="00DD1A5F">
            <w:r w:rsidRPr="00A75F31">
              <w:t>43</w:t>
            </w:r>
          </w:p>
        </w:tc>
        <w:tc>
          <w:tcPr>
            <w:tcW w:w="764" w:type="dxa"/>
            <w:noWrap/>
            <w:hideMark/>
          </w:tcPr>
          <w:p w14:paraId="2191338A" w14:textId="77777777" w:rsidR="0037512A" w:rsidRPr="00A75F31" w:rsidRDefault="0037512A" w:rsidP="00DD1A5F">
            <w:r>
              <w:t>48.9</w:t>
            </w:r>
            <w:r>
              <w:rPr>
                <w:rFonts w:ascii="Calibri" w:hAnsi="Calibri" w:cs="Calibri"/>
                <w:color w:val="000000"/>
              </w:rPr>
              <w:t>%</w:t>
            </w:r>
          </w:p>
        </w:tc>
        <w:tc>
          <w:tcPr>
            <w:tcW w:w="718" w:type="dxa"/>
            <w:noWrap/>
            <w:hideMark/>
          </w:tcPr>
          <w:p w14:paraId="5A72E7EF" w14:textId="77777777" w:rsidR="0037512A" w:rsidRPr="00A75F31" w:rsidRDefault="0037512A" w:rsidP="00DD1A5F">
            <w:r w:rsidRPr="00A75F31">
              <w:t>24</w:t>
            </w:r>
          </w:p>
        </w:tc>
        <w:tc>
          <w:tcPr>
            <w:tcW w:w="764" w:type="dxa"/>
            <w:noWrap/>
            <w:hideMark/>
          </w:tcPr>
          <w:p w14:paraId="05389B83" w14:textId="77777777" w:rsidR="0037512A" w:rsidRPr="00A75F31" w:rsidRDefault="0037512A" w:rsidP="00DD1A5F">
            <w:r>
              <w:t>43.6</w:t>
            </w:r>
            <w:r>
              <w:rPr>
                <w:rFonts w:ascii="Calibri" w:hAnsi="Calibri" w:cs="Calibri"/>
                <w:color w:val="000000"/>
              </w:rPr>
              <w:t>%</w:t>
            </w:r>
          </w:p>
        </w:tc>
        <w:tc>
          <w:tcPr>
            <w:tcW w:w="718" w:type="dxa"/>
            <w:noWrap/>
            <w:hideMark/>
          </w:tcPr>
          <w:p w14:paraId="67B2A257" w14:textId="77777777" w:rsidR="0037512A" w:rsidRPr="00A75F31" w:rsidRDefault="0037512A" w:rsidP="00DD1A5F">
            <w:r>
              <w:t>41</w:t>
            </w:r>
          </w:p>
        </w:tc>
        <w:tc>
          <w:tcPr>
            <w:tcW w:w="764" w:type="dxa"/>
            <w:noWrap/>
            <w:hideMark/>
          </w:tcPr>
          <w:p w14:paraId="4B0AD4D2" w14:textId="77777777" w:rsidR="0037512A" w:rsidRPr="00A75F31" w:rsidRDefault="0037512A" w:rsidP="00DD1A5F">
            <w:r>
              <w:t>60.3</w:t>
            </w:r>
            <w:r>
              <w:rPr>
                <w:rFonts w:ascii="Calibri" w:hAnsi="Calibri" w:cs="Calibri"/>
                <w:color w:val="000000"/>
              </w:rPr>
              <w:t>%</w:t>
            </w:r>
          </w:p>
        </w:tc>
      </w:tr>
      <w:tr w:rsidR="0037512A" w:rsidRPr="00A75F31" w14:paraId="0EDEFE5F" w14:textId="77777777" w:rsidTr="00DD1A5F">
        <w:trPr>
          <w:trHeight w:val="20"/>
        </w:trPr>
        <w:tc>
          <w:tcPr>
            <w:tcW w:w="1592" w:type="dxa"/>
            <w:hideMark/>
          </w:tcPr>
          <w:p w14:paraId="26FF8345" w14:textId="77777777" w:rsidR="0037512A" w:rsidRPr="00A75F31" w:rsidRDefault="0037512A" w:rsidP="00DD1A5F">
            <w:r w:rsidRPr="00A75F31">
              <w:t>Female</w:t>
            </w:r>
          </w:p>
        </w:tc>
        <w:tc>
          <w:tcPr>
            <w:tcW w:w="621" w:type="dxa"/>
          </w:tcPr>
          <w:p w14:paraId="335BBE2A" w14:textId="77777777" w:rsidR="0037512A" w:rsidRPr="00A75F31" w:rsidRDefault="0037512A" w:rsidP="00DD1A5F">
            <w:r>
              <w:rPr>
                <w:rFonts w:ascii="Calibri" w:hAnsi="Calibri" w:cs="Calibri"/>
                <w:color w:val="000000"/>
              </w:rPr>
              <w:t>137</w:t>
            </w:r>
          </w:p>
        </w:tc>
        <w:tc>
          <w:tcPr>
            <w:tcW w:w="875" w:type="dxa"/>
          </w:tcPr>
          <w:p w14:paraId="619B31C4" w14:textId="77777777" w:rsidR="0037512A" w:rsidRPr="00A75F31" w:rsidRDefault="0037512A" w:rsidP="00DD1A5F">
            <w:r>
              <w:rPr>
                <w:rFonts w:ascii="Calibri" w:hAnsi="Calibri" w:cs="Calibri"/>
                <w:color w:val="000000"/>
              </w:rPr>
              <w:t>50.2%</w:t>
            </w:r>
          </w:p>
        </w:tc>
        <w:tc>
          <w:tcPr>
            <w:tcW w:w="718" w:type="dxa"/>
            <w:noWrap/>
            <w:hideMark/>
          </w:tcPr>
          <w:p w14:paraId="19D1043F" w14:textId="77777777" w:rsidR="0037512A" w:rsidRPr="00A75F31" w:rsidRDefault="0037512A" w:rsidP="00DD1A5F">
            <w:r w:rsidRPr="00A75F31">
              <w:t>35</w:t>
            </w:r>
          </w:p>
        </w:tc>
        <w:tc>
          <w:tcPr>
            <w:tcW w:w="764" w:type="dxa"/>
            <w:noWrap/>
            <w:hideMark/>
          </w:tcPr>
          <w:p w14:paraId="029CA8C7" w14:textId="77777777" w:rsidR="0037512A" w:rsidRPr="00A75F31" w:rsidRDefault="0037512A" w:rsidP="00DD1A5F">
            <w:r w:rsidRPr="00A75F31">
              <w:t>55.6</w:t>
            </w:r>
            <w:r>
              <w:rPr>
                <w:rFonts w:ascii="Calibri" w:hAnsi="Calibri" w:cs="Calibri"/>
                <w:color w:val="000000"/>
              </w:rPr>
              <w:t>%</w:t>
            </w:r>
          </w:p>
        </w:tc>
        <w:tc>
          <w:tcPr>
            <w:tcW w:w="718" w:type="dxa"/>
            <w:noWrap/>
            <w:hideMark/>
          </w:tcPr>
          <w:p w14:paraId="4F037D22" w14:textId="77777777" w:rsidR="0037512A" w:rsidRPr="00A75F31" w:rsidRDefault="0037512A" w:rsidP="00DD1A5F">
            <w:r w:rsidRPr="00A75F31">
              <w:t>44</w:t>
            </w:r>
          </w:p>
        </w:tc>
        <w:tc>
          <w:tcPr>
            <w:tcW w:w="764" w:type="dxa"/>
            <w:noWrap/>
            <w:hideMark/>
          </w:tcPr>
          <w:p w14:paraId="53E46CF3" w14:textId="77777777" w:rsidR="0037512A" w:rsidRPr="00A75F31" w:rsidRDefault="0037512A" w:rsidP="00DD1A5F">
            <w:r w:rsidRPr="00A75F31">
              <w:t>50.</w:t>
            </w:r>
            <w:r>
              <w:t>0</w:t>
            </w:r>
            <w:r>
              <w:rPr>
                <w:rFonts w:ascii="Calibri" w:hAnsi="Calibri" w:cs="Calibri"/>
                <w:color w:val="000000"/>
              </w:rPr>
              <w:t>%</w:t>
            </w:r>
          </w:p>
        </w:tc>
        <w:tc>
          <w:tcPr>
            <w:tcW w:w="718" w:type="dxa"/>
            <w:noWrap/>
            <w:hideMark/>
          </w:tcPr>
          <w:p w14:paraId="7D3490D2" w14:textId="77777777" w:rsidR="0037512A" w:rsidRPr="00A75F31" w:rsidRDefault="0037512A" w:rsidP="00DD1A5F">
            <w:r w:rsidRPr="00A75F31">
              <w:t>3</w:t>
            </w:r>
            <w:r>
              <w:t>1</w:t>
            </w:r>
          </w:p>
        </w:tc>
        <w:tc>
          <w:tcPr>
            <w:tcW w:w="764" w:type="dxa"/>
            <w:noWrap/>
            <w:hideMark/>
          </w:tcPr>
          <w:p w14:paraId="64A4D3BB" w14:textId="77777777" w:rsidR="0037512A" w:rsidRPr="00A75F31" w:rsidRDefault="0037512A" w:rsidP="00DD1A5F">
            <w:r>
              <w:t>56.4</w:t>
            </w:r>
            <w:r>
              <w:rPr>
                <w:rFonts w:ascii="Calibri" w:hAnsi="Calibri" w:cs="Calibri"/>
                <w:color w:val="000000"/>
              </w:rPr>
              <w:t>%</w:t>
            </w:r>
          </w:p>
        </w:tc>
        <w:tc>
          <w:tcPr>
            <w:tcW w:w="718" w:type="dxa"/>
            <w:noWrap/>
            <w:hideMark/>
          </w:tcPr>
          <w:p w14:paraId="225B8820" w14:textId="77777777" w:rsidR="0037512A" w:rsidRPr="00A75F31" w:rsidRDefault="0037512A" w:rsidP="00DD1A5F">
            <w:r>
              <w:t>27</w:t>
            </w:r>
          </w:p>
        </w:tc>
        <w:tc>
          <w:tcPr>
            <w:tcW w:w="764" w:type="dxa"/>
            <w:noWrap/>
            <w:hideMark/>
          </w:tcPr>
          <w:p w14:paraId="2C81E946" w14:textId="77777777" w:rsidR="0037512A" w:rsidRPr="00A75F31" w:rsidRDefault="0037512A" w:rsidP="00DD1A5F">
            <w:r>
              <w:t>39.7</w:t>
            </w:r>
            <w:r>
              <w:rPr>
                <w:rFonts w:ascii="Calibri" w:hAnsi="Calibri" w:cs="Calibri"/>
                <w:color w:val="000000"/>
              </w:rPr>
              <w:t>%</w:t>
            </w:r>
          </w:p>
        </w:tc>
      </w:tr>
      <w:tr w:rsidR="0037512A" w:rsidRPr="00A75F31" w14:paraId="3C01B24C" w14:textId="77777777" w:rsidTr="00DD1A5F">
        <w:trPr>
          <w:trHeight w:val="20"/>
        </w:trPr>
        <w:tc>
          <w:tcPr>
            <w:tcW w:w="1592" w:type="dxa"/>
            <w:tcBorders>
              <w:bottom w:val="single" w:sz="4" w:space="0" w:color="auto"/>
            </w:tcBorders>
          </w:tcPr>
          <w:p w14:paraId="1BD1311F" w14:textId="77777777" w:rsidR="0037512A" w:rsidRPr="00A75F31" w:rsidRDefault="0037512A" w:rsidP="00DD1A5F">
            <w:r>
              <w:t>Non-binary</w:t>
            </w:r>
          </w:p>
        </w:tc>
        <w:tc>
          <w:tcPr>
            <w:tcW w:w="621" w:type="dxa"/>
            <w:tcBorders>
              <w:bottom w:val="single" w:sz="4" w:space="0" w:color="auto"/>
            </w:tcBorders>
          </w:tcPr>
          <w:p w14:paraId="435624FD" w14:textId="77777777" w:rsidR="0037512A" w:rsidRDefault="0037512A" w:rsidP="00DD1A5F">
            <w:pPr>
              <w:rPr>
                <w:rFonts w:ascii="Calibri" w:hAnsi="Calibri" w:cs="Calibri"/>
                <w:color w:val="000000"/>
              </w:rPr>
            </w:pPr>
            <w:r>
              <w:rPr>
                <w:rFonts w:ascii="Calibri" w:hAnsi="Calibri" w:cs="Calibri"/>
                <w:color w:val="000000"/>
              </w:rPr>
              <w:t>1</w:t>
            </w:r>
          </w:p>
        </w:tc>
        <w:tc>
          <w:tcPr>
            <w:tcW w:w="875" w:type="dxa"/>
            <w:tcBorders>
              <w:bottom w:val="single" w:sz="4" w:space="0" w:color="auto"/>
            </w:tcBorders>
          </w:tcPr>
          <w:p w14:paraId="5AD5D6A0" w14:textId="77777777" w:rsidR="0037512A" w:rsidRDefault="0037512A" w:rsidP="00DD1A5F">
            <w:pPr>
              <w:rPr>
                <w:rFonts w:ascii="Calibri" w:hAnsi="Calibri" w:cs="Calibri"/>
                <w:color w:val="000000"/>
              </w:rPr>
            </w:pPr>
            <w:r>
              <w:rPr>
                <w:rFonts w:ascii="Calibri" w:hAnsi="Calibri" w:cs="Calibri"/>
                <w:color w:val="000000"/>
              </w:rPr>
              <w:t>0.4%</w:t>
            </w:r>
          </w:p>
        </w:tc>
        <w:tc>
          <w:tcPr>
            <w:tcW w:w="718" w:type="dxa"/>
            <w:tcBorders>
              <w:bottom w:val="single" w:sz="4" w:space="0" w:color="auto"/>
            </w:tcBorders>
            <w:noWrap/>
          </w:tcPr>
          <w:p w14:paraId="5897945C" w14:textId="77777777" w:rsidR="0037512A" w:rsidRPr="00A75F31" w:rsidRDefault="0037512A" w:rsidP="00DD1A5F">
            <w:r>
              <w:t>0</w:t>
            </w:r>
          </w:p>
        </w:tc>
        <w:tc>
          <w:tcPr>
            <w:tcW w:w="764" w:type="dxa"/>
            <w:tcBorders>
              <w:bottom w:val="single" w:sz="4" w:space="0" w:color="auto"/>
            </w:tcBorders>
            <w:noWrap/>
          </w:tcPr>
          <w:p w14:paraId="4A237E43" w14:textId="77777777" w:rsidR="0037512A" w:rsidRPr="00A75F31" w:rsidRDefault="0037512A" w:rsidP="00DD1A5F">
            <w:r>
              <w:t>0</w:t>
            </w:r>
            <w:r>
              <w:rPr>
                <w:rFonts w:ascii="Calibri" w:hAnsi="Calibri" w:cs="Calibri"/>
                <w:color w:val="000000"/>
              </w:rPr>
              <w:t>%</w:t>
            </w:r>
          </w:p>
        </w:tc>
        <w:tc>
          <w:tcPr>
            <w:tcW w:w="718" w:type="dxa"/>
            <w:tcBorders>
              <w:bottom w:val="single" w:sz="4" w:space="0" w:color="auto"/>
            </w:tcBorders>
            <w:noWrap/>
          </w:tcPr>
          <w:p w14:paraId="4EAFBF4F" w14:textId="77777777" w:rsidR="0037512A" w:rsidRPr="00A75F31" w:rsidRDefault="0037512A" w:rsidP="00DD1A5F">
            <w:r>
              <w:t>1</w:t>
            </w:r>
          </w:p>
        </w:tc>
        <w:tc>
          <w:tcPr>
            <w:tcW w:w="764" w:type="dxa"/>
            <w:tcBorders>
              <w:bottom w:val="single" w:sz="4" w:space="0" w:color="auto"/>
            </w:tcBorders>
            <w:noWrap/>
          </w:tcPr>
          <w:p w14:paraId="474B13EA" w14:textId="77777777" w:rsidR="0037512A" w:rsidRPr="00A75F31" w:rsidRDefault="0037512A" w:rsidP="00DD1A5F">
            <w:r>
              <w:t>1.1</w:t>
            </w:r>
            <w:r>
              <w:rPr>
                <w:rFonts w:ascii="Calibri" w:hAnsi="Calibri" w:cs="Calibri"/>
                <w:color w:val="000000"/>
              </w:rPr>
              <w:t>%</w:t>
            </w:r>
          </w:p>
        </w:tc>
        <w:tc>
          <w:tcPr>
            <w:tcW w:w="718" w:type="dxa"/>
            <w:tcBorders>
              <w:bottom w:val="single" w:sz="4" w:space="0" w:color="auto"/>
            </w:tcBorders>
            <w:noWrap/>
          </w:tcPr>
          <w:p w14:paraId="2647C629" w14:textId="77777777" w:rsidR="0037512A" w:rsidRPr="00A75F31" w:rsidRDefault="0037512A" w:rsidP="00DD1A5F">
            <w:r>
              <w:t>0</w:t>
            </w:r>
          </w:p>
        </w:tc>
        <w:tc>
          <w:tcPr>
            <w:tcW w:w="764" w:type="dxa"/>
            <w:tcBorders>
              <w:bottom w:val="single" w:sz="4" w:space="0" w:color="auto"/>
            </w:tcBorders>
            <w:noWrap/>
          </w:tcPr>
          <w:p w14:paraId="2A89D7AE" w14:textId="77777777" w:rsidR="0037512A" w:rsidRDefault="0037512A" w:rsidP="00DD1A5F">
            <w:r>
              <w:t>0</w:t>
            </w:r>
            <w:r>
              <w:rPr>
                <w:rFonts w:ascii="Calibri" w:hAnsi="Calibri" w:cs="Calibri"/>
                <w:color w:val="000000"/>
              </w:rPr>
              <w:t>%</w:t>
            </w:r>
          </w:p>
        </w:tc>
        <w:tc>
          <w:tcPr>
            <w:tcW w:w="718" w:type="dxa"/>
            <w:tcBorders>
              <w:bottom w:val="single" w:sz="4" w:space="0" w:color="auto"/>
            </w:tcBorders>
            <w:noWrap/>
          </w:tcPr>
          <w:p w14:paraId="0523FE50" w14:textId="77777777" w:rsidR="0037512A" w:rsidRDefault="0037512A" w:rsidP="00DD1A5F">
            <w:r>
              <w:t>0</w:t>
            </w:r>
          </w:p>
        </w:tc>
        <w:tc>
          <w:tcPr>
            <w:tcW w:w="764" w:type="dxa"/>
            <w:tcBorders>
              <w:bottom w:val="single" w:sz="4" w:space="0" w:color="auto"/>
            </w:tcBorders>
            <w:noWrap/>
          </w:tcPr>
          <w:p w14:paraId="50DFFD35" w14:textId="77777777" w:rsidR="0037512A" w:rsidRDefault="0037512A" w:rsidP="00DD1A5F">
            <w:r>
              <w:t>0</w:t>
            </w:r>
            <w:r>
              <w:rPr>
                <w:rFonts w:ascii="Calibri" w:hAnsi="Calibri" w:cs="Calibri"/>
                <w:color w:val="000000"/>
              </w:rPr>
              <w:t>%</w:t>
            </w:r>
          </w:p>
        </w:tc>
      </w:tr>
      <w:tr w:rsidR="0037512A" w:rsidRPr="00A75F31" w14:paraId="1E9FCE53" w14:textId="77777777" w:rsidTr="00DD1A5F">
        <w:trPr>
          <w:trHeight w:val="20"/>
        </w:trPr>
        <w:tc>
          <w:tcPr>
            <w:tcW w:w="1592" w:type="dxa"/>
            <w:tcBorders>
              <w:top w:val="single" w:sz="4" w:space="0" w:color="auto"/>
            </w:tcBorders>
            <w:hideMark/>
          </w:tcPr>
          <w:p w14:paraId="2821D17F" w14:textId="77777777" w:rsidR="0037512A" w:rsidRPr="001044BC" w:rsidRDefault="0037512A" w:rsidP="00DD1A5F">
            <w:pPr>
              <w:rPr>
                <w:b/>
                <w:bCs/>
              </w:rPr>
            </w:pPr>
            <w:r w:rsidRPr="001044BC">
              <w:rPr>
                <w:b/>
                <w:bCs/>
              </w:rPr>
              <w:t>Highest Education</w:t>
            </w:r>
          </w:p>
        </w:tc>
        <w:tc>
          <w:tcPr>
            <w:tcW w:w="621" w:type="dxa"/>
            <w:tcBorders>
              <w:top w:val="single" w:sz="4" w:space="0" w:color="auto"/>
            </w:tcBorders>
          </w:tcPr>
          <w:p w14:paraId="346EBE58" w14:textId="77777777" w:rsidR="0037512A" w:rsidRPr="00A75F31" w:rsidRDefault="0037512A" w:rsidP="00DD1A5F"/>
        </w:tc>
        <w:tc>
          <w:tcPr>
            <w:tcW w:w="875" w:type="dxa"/>
            <w:tcBorders>
              <w:top w:val="single" w:sz="4" w:space="0" w:color="auto"/>
            </w:tcBorders>
          </w:tcPr>
          <w:p w14:paraId="1788FB35" w14:textId="77777777" w:rsidR="0037512A" w:rsidRPr="00A75F31" w:rsidRDefault="0037512A" w:rsidP="00DD1A5F"/>
        </w:tc>
        <w:tc>
          <w:tcPr>
            <w:tcW w:w="718" w:type="dxa"/>
            <w:tcBorders>
              <w:top w:val="single" w:sz="4" w:space="0" w:color="auto"/>
            </w:tcBorders>
            <w:noWrap/>
            <w:hideMark/>
          </w:tcPr>
          <w:p w14:paraId="7D19CD6F" w14:textId="77777777" w:rsidR="0037512A" w:rsidRPr="00A75F31" w:rsidRDefault="0037512A" w:rsidP="00DD1A5F"/>
        </w:tc>
        <w:tc>
          <w:tcPr>
            <w:tcW w:w="764" w:type="dxa"/>
            <w:tcBorders>
              <w:top w:val="single" w:sz="4" w:space="0" w:color="auto"/>
            </w:tcBorders>
            <w:noWrap/>
            <w:hideMark/>
          </w:tcPr>
          <w:p w14:paraId="61EB0978" w14:textId="77777777" w:rsidR="0037512A" w:rsidRPr="00A75F31" w:rsidRDefault="0037512A" w:rsidP="00DD1A5F"/>
        </w:tc>
        <w:tc>
          <w:tcPr>
            <w:tcW w:w="718" w:type="dxa"/>
            <w:tcBorders>
              <w:top w:val="single" w:sz="4" w:space="0" w:color="auto"/>
            </w:tcBorders>
            <w:noWrap/>
            <w:hideMark/>
          </w:tcPr>
          <w:p w14:paraId="10D71B09" w14:textId="77777777" w:rsidR="0037512A" w:rsidRPr="00A75F31" w:rsidRDefault="0037512A" w:rsidP="00DD1A5F"/>
        </w:tc>
        <w:tc>
          <w:tcPr>
            <w:tcW w:w="764" w:type="dxa"/>
            <w:tcBorders>
              <w:top w:val="single" w:sz="4" w:space="0" w:color="auto"/>
            </w:tcBorders>
            <w:noWrap/>
            <w:hideMark/>
          </w:tcPr>
          <w:p w14:paraId="2734E4F7" w14:textId="77777777" w:rsidR="0037512A" w:rsidRPr="00A75F31" w:rsidRDefault="0037512A" w:rsidP="00DD1A5F"/>
        </w:tc>
        <w:tc>
          <w:tcPr>
            <w:tcW w:w="718" w:type="dxa"/>
            <w:tcBorders>
              <w:top w:val="single" w:sz="4" w:space="0" w:color="auto"/>
            </w:tcBorders>
            <w:noWrap/>
            <w:hideMark/>
          </w:tcPr>
          <w:p w14:paraId="33409027" w14:textId="77777777" w:rsidR="0037512A" w:rsidRPr="00A75F31" w:rsidRDefault="0037512A" w:rsidP="00DD1A5F"/>
        </w:tc>
        <w:tc>
          <w:tcPr>
            <w:tcW w:w="764" w:type="dxa"/>
            <w:tcBorders>
              <w:top w:val="single" w:sz="4" w:space="0" w:color="auto"/>
            </w:tcBorders>
            <w:noWrap/>
            <w:hideMark/>
          </w:tcPr>
          <w:p w14:paraId="4EE6F964" w14:textId="77777777" w:rsidR="0037512A" w:rsidRPr="00A75F31" w:rsidRDefault="0037512A" w:rsidP="00DD1A5F"/>
        </w:tc>
        <w:tc>
          <w:tcPr>
            <w:tcW w:w="718" w:type="dxa"/>
            <w:tcBorders>
              <w:top w:val="single" w:sz="4" w:space="0" w:color="auto"/>
            </w:tcBorders>
            <w:noWrap/>
            <w:hideMark/>
          </w:tcPr>
          <w:p w14:paraId="0DFA4746" w14:textId="77777777" w:rsidR="0037512A" w:rsidRPr="00A75F31" w:rsidRDefault="0037512A" w:rsidP="00DD1A5F"/>
        </w:tc>
        <w:tc>
          <w:tcPr>
            <w:tcW w:w="764" w:type="dxa"/>
            <w:tcBorders>
              <w:top w:val="single" w:sz="4" w:space="0" w:color="auto"/>
            </w:tcBorders>
            <w:noWrap/>
            <w:hideMark/>
          </w:tcPr>
          <w:p w14:paraId="558D0904" w14:textId="77777777" w:rsidR="0037512A" w:rsidRPr="00A75F31" w:rsidRDefault="0037512A" w:rsidP="00DD1A5F"/>
        </w:tc>
      </w:tr>
      <w:tr w:rsidR="0037512A" w:rsidRPr="00A75F31" w14:paraId="762FA6DE" w14:textId="77777777" w:rsidTr="00DD1A5F">
        <w:trPr>
          <w:trHeight w:val="20"/>
        </w:trPr>
        <w:tc>
          <w:tcPr>
            <w:tcW w:w="1592" w:type="dxa"/>
            <w:hideMark/>
          </w:tcPr>
          <w:p w14:paraId="73BB00E5" w14:textId="77777777" w:rsidR="0037512A" w:rsidRPr="00A75F31" w:rsidRDefault="0037512A" w:rsidP="00DD1A5F">
            <w:r w:rsidRPr="00A75F31">
              <w:t xml:space="preserve">No formal </w:t>
            </w:r>
            <w:r>
              <w:t xml:space="preserve">education </w:t>
            </w:r>
            <w:r w:rsidRPr="00A75F31">
              <w:t>qualification</w:t>
            </w:r>
          </w:p>
        </w:tc>
        <w:tc>
          <w:tcPr>
            <w:tcW w:w="621" w:type="dxa"/>
          </w:tcPr>
          <w:p w14:paraId="681E3A9D" w14:textId="77777777" w:rsidR="0037512A" w:rsidRPr="00A75F31" w:rsidRDefault="0037512A" w:rsidP="00DD1A5F">
            <w:r>
              <w:rPr>
                <w:rFonts w:ascii="Calibri" w:hAnsi="Calibri" w:cs="Calibri"/>
                <w:color w:val="000000"/>
              </w:rPr>
              <w:t>1</w:t>
            </w:r>
          </w:p>
        </w:tc>
        <w:tc>
          <w:tcPr>
            <w:tcW w:w="875" w:type="dxa"/>
          </w:tcPr>
          <w:p w14:paraId="6ABB88C0" w14:textId="77777777" w:rsidR="0037512A" w:rsidRPr="00A75F31" w:rsidRDefault="0037512A" w:rsidP="00DD1A5F">
            <w:r w:rsidRPr="005B7A2E">
              <w:t>0.4%</w:t>
            </w:r>
          </w:p>
        </w:tc>
        <w:tc>
          <w:tcPr>
            <w:tcW w:w="718" w:type="dxa"/>
            <w:noWrap/>
            <w:hideMark/>
          </w:tcPr>
          <w:p w14:paraId="377A2749" w14:textId="77777777" w:rsidR="0037512A" w:rsidRPr="00A75F31" w:rsidRDefault="0037512A" w:rsidP="00DD1A5F">
            <w:r w:rsidRPr="00A75F31">
              <w:t>0</w:t>
            </w:r>
          </w:p>
        </w:tc>
        <w:tc>
          <w:tcPr>
            <w:tcW w:w="764" w:type="dxa"/>
            <w:noWrap/>
          </w:tcPr>
          <w:p w14:paraId="6441E6D2" w14:textId="77777777" w:rsidR="0037512A" w:rsidRPr="00A75F31" w:rsidRDefault="0037512A" w:rsidP="00DD1A5F">
            <w:r w:rsidRPr="00483C41">
              <w:t>0.0%</w:t>
            </w:r>
          </w:p>
        </w:tc>
        <w:tc>
          <w:tcPr>
            <w:tcW w:w="718" w:type="dxa"/>
            <w:noWrap/>
            <w:hideMark/>
          </w:tcPr>
          <w:p w14:paraId="4F40F52F" w14:textId="77777777" w:rsidR="0037512A" w:rsidRPr="00A75F31" w:rsidRDefault="0037512A" w:rsidP="00DD1A5F">
            <w:r w:rsidRPr="00A75F31">
              <w:t>1</w:t>
            </w:r>
          </w:p>
        </w:tc>
        <w:tc>
          <w:tcPr>
            <w:tcW w:w="764" w:type="dxa"/>
            <w:noWrap/>
          </w:tcPr>
          <w:p w14:paraId="0A0ADF53" w14:textId="77777777" w:rsidR="0037512A" w:rsidRPr="00A75F31" w:rsidRDefault="0037512A" w:rsidP="00DD1A5F">
            <w:r w:rsidRPr="00624A4A">
              <w:t>1.1%</w:t>
            </w:r>
          </w:p>
        </w:tc>
        <w:tc>
          <w:tcPr>
            <w:tcW w:w="718" w:type="dxa"/>
            <w:noWrap/>
            <w:hideMark/>
          </w:tcPr>
          <w:p w14:paraId="5E261F0F" w14:textId="77777777" w:rsidR="0037512A" w:rsidRPr="00A75F31" w:rsidRDefault="0037512A" w:rsidP="00DD1A5F">
            <w:r w:rsidRPr="00A75F31">
              <w:t>0</w:t>
            </w:r>
          </w:p>
        </w:tc>
        <w:tc>
          <w:tcPr>
            <w:tcW w:w="764" w:type="dxa"/>
            <w:noWrap/>
            <w:hideMark/>
          </w:tcPr>
          <w:p w14:paraId="77826D38" w14:textId="77777777" w:rsidR="0037512A" w:rsidRPr="00A75F31" w:rsidRDefault="0037512A" w:rsidP="00DD1A5F">
            <w:r w:rsidRPr="00A75F31">
              <w:t>0</w:t>
            </w:r>
            <w:r>
              <w:rPr>
                <w:rFonts w:ascii="Calibri" w:hAnsi="Calibri" w:cs="Calibri"/>
                <w:color w:val="000000"/>
              </w:rPr>
              <w:t>%</w:t>
            </w:r>
          </w:p>
        </w:tc>
        <w:tc>
          <w:tcPr>
            <w:tcW w:w="718" w:type="dxa"/>
            <w:noWrap/>
            <w:hideMark/>
          </w:tcPr>
          <w:p w14:paraId="61A4F753" w14:textId="77777777" w:rsidR="0037512A" w:rsidRPr="00A75F31" w:rsidRDefault="0037512A" w:rsidP="00DD1A5F">
            <w:r w:rsidRPr="00A75F31">
              <w:t>0</w:t>
            </w:r>
          </w:p>
        </w:tc>
        <w:tc>
          <w:tcPr>
            <w:tcW w:w="764" w:type="dxa"/>
            <w:noWrap/>
            <w:hideMark/>
          </w:tcPr>
          <w:p w14:paraId="10B12045" w14:textId="77777777" w:rsidR="0037512A" w:rsidRPr="00A75F31" w:rsidRDefault="0037512A" w:rsidP="00DD1A5F">
            <w:r w:rsidRPr="00A75F31">
              <w:t>0</w:t>
            </w:r>
            <w:r>
              <w:rPr>
                <w:rFonts w:ascii="Calibri" w:hAnsi="Calibri" w:cs="Calibri"/>
                <w:color w:val="000000"/>
              </w:rPr>
              <w:t>%</w:t>
            </w:r>
          </w:p>
        </w:tc>
      </w:tr>
      <w:tr w:rsidR="0037512A" w:rsidRPr="00A75F31" w14:paraId="2EA20777" w14:textId="77777777" w:rsidTr="00DD1A5F">
        <w:trPr>
          <w:trHeight w:val="20"/>
        </w:trPr>
        <w:tc>
          <w:tcPr>
            <w:tcW w:w="1592" w:type="dxa"/>
            <w:hideMark/>
          </w:tcPr>
          <w:p w14:paraId="1D218E82" w14:textId="77777777" w:rsidR="0037512A" w:rsidRPr="00A75F31" w:rsidRDefault="0037512A" w:rsidP="00DD1A5F">
            <w:r w:rsidRPr="00A75F31">
              <w:t>GCSEs / O levels or similar</w:t>
            </w:r>
          </w:p>
        </w:tc>
        <w:tc>
          <w:tcPr>
            <w:tcW w:w="621" w:type="dxa"/>
          </w:tcPr>
          <w:p w14:paraId="2B64CE72" w14:textId="77777777" w:rsidR="0037512A" w:rsidRPr="00A75F31" w:rsidRDefault="0037512A" w:rsidP="00DD1A5F">
            <w:r>
              <w:rPr>
                <w:rFonts w:ascii="Calibri" w:hAnsi="Calibri" w:cs="Calibri"/>
                <w:color w:val="000000"/>
              </w:rPr>
              <w:t>23</w:t>
            </w:r>
          </w:p>
        </w:tc>
        <w:tc>
          <w:tcPr>
            <w:tcW w:w="875" w:type="dxa"/>
          </w:tcPr>
          <w:p w14:paraId="5550AE40" w14:textId="77777777" w:rsidR="0037512A" w:rsidRPr="00A75F31" w:rsidRDefault="0037512A" w:rsidP="00DD1A5F">
            <w:r w:rsidRPr="005B7A2E">
              <w:t>8.4%</w:t>
            </w:r>
          </w:p>
        </w:tc>
        <w:tc>
          <w:tcPr>
            <w:tcW w:w="718" w:type="dxa"/>
            <w:noWrap/>
            <w:hideMark/>
          </w:tcPr>
          <w:p w14:paraId="1339A7FE" w14:textId="77777777" w:rsidR="0037512A" w:rsidRPr="00A75F31" w:rsidRDefault="0037512A" w:rsidP="00DD1A5F">
            <w:r w:rsidRPr="00A75F31">
              <w:t>3</w:t>
            </w:r>
          </w:p>
        </w:tc>
        <w:tc>
          <w:tcPr>
            <w:tcW w:w="764" w:type="dxa"/>
            <w:noWrap/>
          </w:tcPr>
          <w:p w14:paraId="25EE6D7A" w14:textId="77777777" w:rsidR="0037512A" w:rsidRPr="00A75F31" w:rsidRDefault="0037512A" w:rsidP="00DD1A5F">
            <w:r w:rsidRPr="00483C41">
              <w:t>4.8%</w:t>
            </w:r>
          </w:p>
        </w:tc>
        <w:tc>
          <w:tcPr>
            <w:tcW w:w="718" w:type="dxa"/>
            <w:noWrap/>
            <w:hideMark/>
          </w:tcPr>
          <w:p w14:paraId="46EAAF9F" w14:textId="77777777" w:rsidR="0037512A" w:rsidRPr="00A75F31" w:rsidRDefault="0037512A" w:rsidP="00DD1A5F">
            <w:r w:rsidRPr="00A75F31">
              <w:t>17</w:t>
            </w:r>
          </w:p>
        </w:tc>
        <w:tc>
          <w:tcPr>
            <w:tcW w:w="764" w:type="dxa"/>
            <w:noWrap/>
          </w:tcPr>
          <w:p w14:paraId="3460397C" w14:textId="77777777" w:rsidR="0037512A" w:rsidRPr="00A75F31" w:rsidRDefault="0037512A" w:rsidP="00DD1A5F">
            <w:r w:rsidRPr="00624A4A">
              <w:t>19.3%</w:t>
            </w:r>
          </w:p>
        </w:tc>
        <w:tc>
          <w:tcPr>
            <w:tcW w:w="718" w:type="dxa"/>
            <w:noWrap/>
            <w:hideMark/>
          </w:tcPr>
          <w:p w14:paraId="6A8A11E7" w14:textId="77777777" w:rsidR="0037512A" w:rsidRPr="00A75F31" w:rsidRDefault="0037512A" w:rsidP="00DD1A5F">
            <w:r w:rsidRPr="00A75F31">
              <w:t>1</w:t>
            </w:r>
          </w:p>
        </w:tc>
        <w:tc>
          <w:tcPr>
            <w:tcW w:w="764" w:type="dxa"/>
            <w:noWrap/>
            <w:hideMark/>
          </w:tcPr>
          <w:p w14:paraId="4DDDAC2D" w14:textId="77777777" w:rsidR="0037512A" w:rsidRPr="00A75F31" w:rsidRDefault="0037512A" w:rsidP="00DD1A5F">
            <w:r w:rsidRPr="00A75F31">
              <w:t>1.8</w:t>
            </w:r>
            <w:r>
              <w:rPr>
                <w:rFonts w:ascii="Calibri" w:hAnsi="Calibri" w:cs="Calibri"/>
                <w:color w:val="000000"/>
              </w:rPr>
              <w:t>%</w:t>
            </w:r>
          </w:p>
        </w:tc>
        <w:tc>
          <w:tcPr>
            <w:tcW w:w="718" w:type="dxa"/>
            <w:noWrap/>
            <w:hideMark/>
          </w:tcPr>
          <w:p w14:paraId="4C230B58" w14:textId="77777777" w:rsidR="0037512A" w:rsidRPr="00A75F31" w:rsidRDefault="0037512A" w:rsidP="00DD1A5F">
            <w:r w:rsidRPr="00A75F31">
              <w:t>2</w:t>
            </w:r>
          </w:p>
        </w:tc>
        <w:tc>
          <w:tcPr>
            <w:tcW w:w="764" w:type="dxa"/>
            <w:noWrap/>
            <w:hideMark/>
          </w:tcPr>
          <w:p w14:paraId="7777165E" w14:textId="77777777" w:rsidR="0037512A" w:rsidRPr="00A75F31" w:rsidRDefault="0037512A" w:rsidP="00DD1A5F">
            <w:r>
              <w:t>2.9</w:t>
            </w:r>
            <w:r>
              <w:rPr>
                <w:rFonts w:ascii="Calibri" w:hAnsi="Calibri" w:cs="Calibri"/>
                <w:color w:val="000000"/>
              </w:rPr>
              <w:t>%</w:t>
            </w:r>
          </w:p>
        </w:tc>
      </w:tr>
      <w:tr w:rsidR="0037512A" w:rsidRPr="00A75F31" w14:paraId="28FFA225" w14:textId="77777777" w:rsidTr="00DD1A5F">
        <w:trPr>
          <w:trHeight w:val="20"/>
        </w:trPr>
        <w:tc>
          <w:tcPr>
            <w:tcW w:w="1592" w:type="dxa"/>
            <w:hideMark/>
          </w:tcPr>
          <w:p w14:paraId="190528B0" w14:textId="77777777" w:rsidR="0037512A" w:rsidRPr="00A75F31" w:rsidRDefault="0037512A" w:rsidP="00DD1A5F">
            <w:r w:rsidRPr="00A75F31">
              <w:t xml:space="preserve">A </w:t>
            </w:r>
            <w:proofErr w:type="gramStart"/>
            <w:r w:rsidRPr="00A75F31">
              <w:t>levels</w:t>
            </w:r>
            <w:proofErr w:type="gramEnd"/>
            <w:r w:rsidRPr="00A75F31">
              <w:t xml:space="preserve"> or similar</w:t>
            </w:r>
          </w:p>
        </w:tc>
        <w:tc>
          <w:tcPr>
            <w:tcW w:w="621" w:type="dxa"/>
          </w:tcPr>
          <w:p w14:paraId="75F6B436" w14:textId="77777777" w:rsidR="0037512A" w:rsidRPr="00A75F31" w:rsidRDefault="0037512A" w:rsidP="00DD1A5F">
            <w:r>
              <w:rPr>
                <w:rFonts w:ascii="Calibri" w:hAnsi="Calibri" w:cs="Calibri"/>
                <w:color w:val="000000"/>
              </w:rPr>
              <w:t>48</w:t>
            </w:r>
          </w:p>
        </w:tc>
        <w:tc>
          <w:tcPr>
            <w:tcW w:w="875" w:type="dxa"/>
          </w:tcPr>
          <w:p w14:paraId="146C7860" w14:textId="77777777" w:rsidR="0037512A" w:rsidRPr="00A75F31" w:rsidRDefault="0037512A" w:rsidP="00DD1A5F">
            <w:r w:rsidRPr="005B7A2E">
              <w:t>17.5%</w:t>
            </w:r>
          </w:p>
        </w:tc>
        <w:tc>
          <w:tcPr>
            <w:tcW w:w="718" w:type="dxa"/>
            <w:noWrap/>
            <w:hideMark/>
          </w:tcPr>
          <w:p w14:paraId="2052BEFD" w14:textId="77777777" w:rsidR="0037512A" w:rsidRPr="00A75F31" w:rsidRDefault="0037512A" w:rsidP="00DD1A5F">
            <w:r w:rsidRPr="00A75F31">
              <w:t>12</w:t>
            </w:r>
          </w:p>
        </w:tc>
        <w:tc>
          <w:tcPr>
            <w:tcW w:w="764" w:type="dxa"/>
            <w:noWrap/>
          </w:tcPr>
          <w:p w14:paraId="2175A7A9" w14:textId="77777777" w:rsidR="0037512A" w:rsidRPr="00A75F31" w:rsidRDefault="0037512A" w:rsidP="00DD1A5F">
            <w:r w:rsidRPr="00483C41">
              <w:t>19.0%</w:t>
            </w:r>
          </w:p>
        </w:tc>
        <w:tc>
          <w:tcPr>
            <w:tcW w:w="718" w:type="dxa"/>
            <w:noWrap/>
            <w:hideMark/>
          </w:tcPr>
          <w:p w14:paraId="39ADB744" w14:textId="77777777" w:rsidR="0037512A" w:rsidRPr="00A75F31" w:rsidRDefault="0037512A" w:rsidP="00DD1A5F">
            <w:r w:rsidRPr="00A75F31">
              <w:t>2</w:t>
            </w:r>
            <w:r>
              <w:t>2</w:t>
            </w:r>
          </w:p>
        </w:tc>
        <w:tc>
          <w:tcPr>
            <w:tcW w:w="764" w:type="dxa"/>
            <w:noWrap/>
          </w:tcPr>
          <w:p w14:paraId="585C805F" w14:textId="77777777" w:rsidR="0037512A" w:rsidRPr="00A75F31" w:rsidRDefault="0037512A" w:rsidP="00DD1A5F">
            <w:r w:rsidRPr="00624A4A">
              <w:t>25.0%</w:t>
            </w:r>
          </w:p>
        </w:tc>
        <w:tc>
          <w:tcPr>
            <w:tcW w:w="718" w:type="dxa"/>
            <w:noWrap/>
            <w:hideMark/>
          </w:tcPr>
          <w:p w14:paraId="6FB5A017" w14:textId="77777777" w:rsidR="0037512A" w:rsidRPr="00A75F31" w:rsidRDefault="0037512A" w:rsidP="00DD1A5F">
            <w:r w:rsidRPr="00A75F31">
              <w:t>3</w:t>
            </w:r>
          </w:p>
        </w:tc>
        <w:tc>
          <w:tcPr>
            <w:tcW w:w="764" w:type="dxa"/>
            <w:noWrap/>
            <w:hideMark/>
          </w:tcPr>
          <w:p w14:paraId="25CB7B8F" w14:textId="77777777" w:rsidR="0037512A" w:rsidRPr="00A75F31" w:rsidRDefault="0037512A" w:rsidP="00DD1A5F">
            <w:r w:rsidRPr="00A75F31">
              <w:t>5.</w:t>
            </w:r>
            <w:r>
              <w:t>5</w:t>
            </w:r>
            <w:r>
              <w:rPr>
                <w:rFonts w:ascii="Calibri" w:hAnsi="Calibri" w:cs="Calibri"/>
                <w:color w:val="000000"/>
              </w:rPr>
              <w:t>%</w:t>
            </w:r>
          </w:p>
        </w:tc>
        <w:tc>
          <w:tcPr>
            <w:tcW w:w="718" w:type="dxa"/>
            <w:noWrap/>
            <w:hideMark/>
          </w:tcPr>
          <w:p w14:paraId="0A4FD154" w14:textId="77777777" w:rsidR="0037512A" w:rsidRPr="00A75F31" w:rsidRDefault="0037512A" w:rsidP="00DD1A5F">
            <w:r>
              <w:t>11</w:t>
            </w:r>
          </w:p>
        </w:tc>
        <w:tc>
          <w:tcPr>
            <w:tcW w:w="764" w:type="dxa"/>
            <w:noWrap/>
            <w:hideMark/>
          </w:tcPr>
          <w:p w14:paraId="331E35B8" w14:textId="77777777" w:rsidR="0037512A" w:rsidRPr="00A75F31" w:rsidRDefault="0037512A" w:rsidP="00DD1A5F">
            <w:r>
              <w:t>16.2</w:t>
            </w:r>
            <w:r>
              <w:rPr>
                <w:rFonts w:ascii="Calibri" w:hAnsi="Calibri" w:cs="Calibri"/>
                <w:color w:val="000000"/>
              </w:rPr>
              <w:t>%</w:t>
            </w:r>
          </w:p>
        </w:tc>
      </w:tr>
      <w:tr w:rsidR="0037512A" w:rsidRPr="00A75F31" w14:paraId="1AE94822" w14:textId="77777777" w:rsidTr="00DD1A5F">
        <w:trPr>
          <w:trHeight w:val="20"/>
        </w:trPr>
        <w:tc>
          <w:tcPr>
            <w:tcW w:w="1592" w:type="dxa"/>
            <w:hideMark/>
          </w:tcPr>
          <w:p w14:paraId="71FC3829" w14:textId="77777777" w:rsidR="0037512A" w:rsidRPr="00A75F31" w:rsidRDefault="0037512A" w:rsidP="00DD1A5F">
            <w:r w:rsidRPr="00A75F31">
              <w:t>Degree</w:t>
            </w:r>
            <w:r>
              <w:t xml:space="preserve"> or similar</w:t>
            </w:r>
          </w:p>
        </w:tc>
        <w:tc>
          <w:tcPr>
            <w:tcW w:w="621" w:type="dxa"/>
          </w:tcPr>
          <w:p w14:paraId="74036B1C" w14:textId="77777777" w:rsidR="0037512A" w:rsidRPr="00A75F31" w:rsidRDefault="0037512A" w:rsidP="00DD1A5F">
            <w:r>
              <w:rPr>
                <w:rFonts w:ascii="Calibri" w:hAnsi="Calibri" w:cs="Calibri"/>
                <w:color w:val="000000"/>
              </w:rPr>
              <w:t>124</w:t>
            </w:r>
          </w:p>
        </w:tc>
        <w:tc>
          <w:tcPr>
            <w:tcW w:w="875" w:type="dxa"/>
          </w:tcPr>
          <w:p w14:paraId="423118DE" w14:textId="77777777" w:rsidR="0037512A" w:rsidRPr="00A75F31" w:rsidRDefault="0037512A" w:rsidP="00DD1A5F">
            <w:r>
              <w:t>45.3</w:t>
            </w:r>
            <w:r w:rsidRPr="005B7A2E">
              <w:t>%</w:t>
            </w:r>
          </w:p>
        </w:tc>
        <w:tc>
          <w:tcPr>
            <w:tcW w:w="718" w:type="dxa"/>
            <w:noWrap/>
            <w:hideMark/>
          </w:tcPr>
          <w:p w14:paraId="7093D4B0" w14:textId="77777777" w:rsidR="0037512A" w:rsidRPr="00A75F31" w:rsidRDefault="0037512A" w:rsidP="00DD1A5F">
            <w:r>
              <w:t>24</w:t>
            </w:r>
          </w:p>
        </w:tc>
        <w:tc>
          <w:tcPr>
            <w:tcW w:w="764" w:type="dxa"/>
            <w:noWrap/>
          </w:tcPr>
          <w:p w14:paraId="72534E2F" w14:textId="77777777" w:rsidR="0037512A" w:rsidRPr="00A75F31" w:rsidRDefault="0037512A" w:rsidP="00DD1A5F">
            <w:r w:rsidRPr="00483C41">
              <w:t>3</w:t>
            </w:r>
            <w:r>
              <w:t>8</w:t>
            </w:r>
            <w:r w:rsidRPr="00483C41">
              <w:t>.</w:t>
            </w:r>
            <w:r>
              <w:t>1</w:t>
            </w:r>
            <w:r w:rsidRPr="00483C41">
              <w:t>%</w:t>
            </w:r>
          </w:p>
        </w:tc>
        <w:tc>
          <w:tcPr>
            <w:tcW w:w="718" w:type="dxa"/>
            <w:noWrap/>
            <w:hideMark/>
          </w:tcPr>
          <w:p w14:paraId="00EB50CC" w14:textId="77777777" w:rsidR="0037512A" w:rsidRPr="00A75F31" w:rsidRDefault="0037512A" w:rsidP="00DD1A5F">
            <w:r>
              <w:t>30</w:t>
            </w:r>
          </w:p>
        </w:tc>
        <w:tc>
          <w:tcPr>
            <w:tcW w:w="764" w:type="dxa"/>
            <w:noWrap/>
          </w:tcPr>
          <w:p w14:paraId="5E874EFD" w14:textId="77777777" w:rsidR="0037512A" w:rsidRPr="00A75F31" w:rsidRDefault="0037512A" w:rsidP="00DD1A5F">
            <w:r>
              <w:t>34.1</w:t>
            </w:r>
            <w:r w:rsidRPr="00624A4A">
              <w:t>%</w:t>
            </w:r>
          </w:p>
        </w:tc>
        <w:tc>
          <w:tcPr>
            <w:tcW w:w="718" w:type="dxa"/>
            <w:noWrap/>
            <w:hideMark/>
          </w:tcPr>
          <w:p w14:paraId="07EE388D" w14:textId="77777777" w:rsidR="0037512A" w:rsidRPr="00A75F31" w:rsidRDefault="0037512A" w:rsidP="00DD1A5F">
            <w:r>
              <w:t>27</w:t>
            </w:r>
          </w:p>
        </w:tc>
        <w:tc>
          <w:tcPr>
            <w:tcW w:w="764" w:type="dxa"/>
            <w:noWrap/>
            <w:hideMark/>
          </w:tcPr>
          <w:p w14:paraId="58FC22BB" w14:textId="77777777" w:rsidR="0037512A" w:rsidRPr="00A75F31" w:rsidRDefault="0037512A" w:rsidP="00DD1A5F">
            <w:r>
              <w:t>49.1</w:t>
            </w:r>
            <w:r>
              <w:rPr>
                <w:rFonts w:ascii="Calibri" w:hAnsi="Calibri" w:cs="Calibri"/>
                <w:color w:val="000000"/>
              </w:rPr>
              <w:t>%</w:t>
            </w:r>
          </w:p>
        </w:tc>
        <w:tc>
          <w:tcPr>
            <w:tcW w:w="718" w:type="dxa"/>
            <w:noWrap/>
            <w:hideMark/>
          </w:tcPr>
          <w:p w14:paraId="5BCD51E6" w14:textId="77777777" w:rsidR="0037512A" w:rsidRPr="00A75F31" w:rsidRDefault="0037512A" w:rsidP="00DD1A5F">
            <w:r>
              <w:t>43</w:t>
            </w:r>
          </w:p>
        </w:tc>
        <w:tc>
          <w:tcPr>
            <w:tcW w:w="764" w:type="dxa"/>
            <w:noWrap/>
            <w:hideMark/>
          </w:tcPr>
          <w:p w14:paraId="6ECBC8F5" w14:textId="77777777" w:rsidR="0037512A" w:rsidRPr="00A75F31" w:rsidRDefault="0037512A" w:rsidP="00DD1A5F">
            <w:r>
              <w:t>63.2</w:t>
            </w:r>
            <w:r>
              <w:rPr>
                <w:rFonts w:ascii="Calibri" w:hAnsi="Calibri" w:cs="Calibri"/>
                <w:color w:val="000000"/>
              </w:rPr>
              <w:t>%</w:t>
            </w:r>
          </w:p>
        </w:tc>
      </w:tr>
      <w:tr w:rsidR="0037512A" w:rsidRPr="00A75F31" w14:paraId="57A9B43A" w14:textId="77777777" w:rsidTr="00DD1A5F">
        <w:trPr>
          <w:trHeight w:val="20"/>
        </w:trPr>
        <w:tc>
          <w:tcPr>
            <w:tcW w:w="1592" w:type="dxa"/>
            <w:hideMark/>
          </w:tcPr>
          <w:p w14:paraId="0280EDD6" w14:textId="77777777" w:rsidR="0037512A" w:rsidRPr="00A75F31" w:rsidRDefault="0037512A" w:rsidP="00DD1A5F">
            <w:r w:rsidRPr="00A75F31">
              <w:t>Postgraduate Degree</w:t>
            </w:r>
          </w:p>
        </w:tc>
        <w:tc>
          <w:tcPr>
            <w:tcW w:w="621" w:type="dxa"/>
          </w:tcPr>
          <w:p w14:paraId="2730E809" w14:textId="77777777" w:rsidR="0037512A" w:rsidRPr="00A75F31" w:rsidRDefault="0037512A" w:rsidP="00DD1A5F">
            <w:r>
              <w:rPr>
                <w:rFonts w:ascii="Calibri" w:hAnsi="Calibri" w:cs="Calibri"/>
                <w:color w:val="000000"/>
              </w:rPr>
              <w:t>75</w:t>
            </w:r>
          </w:p>
        </w:tc>
        <w:tc>
          <w:tcPr>
            <w:tcW w:w="875" w:type="dxa"/>
          </w:tcPr>
          <w:p w14:paraId="1A426B14" w14:textId="77777777" w:rsidR="0037512A" w:rsidRPr="00A75F31" w:rsidRDefault="0037512A" w:rsidP="00DD1A5F">
            <w:r w:rsidRPr="005B7A2E">
              <w:t>27.4%</w:t>
            </w:r>
          </w:p>
        </w:tc>
        <w:tc>
          <w:tcPr>
            <w:tcW w:w="718" w:type="dxa"/>
            <w:noWrap/>
            <w:hideMark/>
          </w:tcPr>
          <w:p w14:paraId="0112A587" w14:textId="77777777" w:rsidR="0037512A" w:rsidRPr="00A75F31" w:rsidRDefault="0037512A" w:rsidP="00DD1A5F">
            <w:r w:rsidRPr="00A75F31">
              <w:t>23</w:t>
            </w:r>
          </w:p>
        </w:tc>
        <w:tc>
          <w:tcPr>
            <w:tcW w:w="764" w:type="dxa"/>
            <w:noWrap/>
          </w:tcPr>
          <w:p w14:paraId="4364D58E" w14:textId="77777777" w:rsidR="0037512A" w:rsidRPr="00A75F31" w:rsidRDefault="0037512A" w:rsidP="00DD1A5F">
            <w:r w:rsidRPr="00483C41">
              <w:t>36.5%</w:t>
            </w:r>
          </w:p>
        </w:tc>
        <w:tc>
          <w:tcPr>
            <w:tcW w:w="718" w:type="dxa"/>
            <w:noWrap/>
            <w:hideMark/>
          </w:tcPr>
          <w:p w14:paraId="0E617431" w14:textId="77777777" w:rsidR="0037512A" w:rsidRPr="00A75F31" w:rsidRDefault="0037512A" w:rsidP="00DD1A5F">
            <w:r w:rsidRPr="00A75F31">
              <w:t>16</w:t>
            </w:r>
          </w:p>
        </w:tc>
        <w:tc>
          <w:tcPr>
            <w:tcW w:w="764" w:type="dxa"/>
            <w:noWrap/>
          </w:tcPr>
          <w:p w14:paraId="4BB3454E" w14:textId="77777777" w:rsidR="0037512A" w:rsidRPr="00A75F31" w:rsidRDefault="0037512A" w:rsidP="00DD1A5F">
            <w:r w:rsidRPr="00624A4A">
              <w:t>18.2%</w:t>
            </w:r>
          </w:p>
        </w:tc>
        <w:tc>
          <w:tcPr>
            <w:tcW w:w="718" w:type="dxa"/>
            <w:noWrap/>
            <w:hideMark/>
          </w:tcPr>
          <w:p w14:paraId="3776A272" w14:textId="77777777" w:rsidR="0037512A" w:rsidRPr="00A75F31" w:rsidRDefault="0037512A" w:rsidP="00DD1A5F">
            <w:r w:rsidRPr="00A75F31">
              <w:t>24</w:t>
            </w:r>
          </w:p>
        </w:tc>
        <w:tc>
          <w:tcPr>
            <w:tcW w:w="764" w:type="dxa"/>
            <w:noWrap/>
            <w:hideMark/>
          </w:tcPr>
          <w:p w14:paraId="5D42B279" w14:textId="77777777" w:rsidR="0037512A" w:rsidRPr="00A75F31" w:rsidRDefault="0037512A" w:rsidP="00DD1A5F">
            <w:r>
              <w:t>43.6</w:t>
            </w:r>
            <w:r>
              <w:rPr>
                <w:rFonts w:ascii="Calibri" w:hAnsi="Calibri" w:cs="Calibri"/>
                <w:color w:val="000000"/>
              </w:rPr>
              <w:t>%</w:t>
            </w:r>
          </w:p>
        </w:tc>
        <w:tc>
          <w:tcPr>
            <w:tcW w:w="718" w:type="dxa"/>
            <w:noWrap/>
            <w:hideMark/>
          </w:tcPr>
          <w:p w14:paraId="62C5BB99" w14:textId="77777777" w:rsidR="0037512A" w:rsidRPr="00A75F31" w:rsidRDefault="0037512A" w:rsidP="00DD1A5F">
            <w:r w:rsidRPr="00A75F31">
              <w:t>1</w:t>
            </w:r>
            <w:r>
              <w:t>2</w:t>
            </w:r>
          </w:p>
        </w:tc>
        <w:tc>
          <w:tcPr>
            <w:tcW w:w="764" w:type="dxa"/>
            <w:noWrap/>
            <w:hideMark/>
          </w:tcPr>
          <w:p w14:paraId="56BACF25" w14:textId="77777777" w:rsidR="0037512A" w:rsidRPr="00A75F31" w:rsidRDefault="0037512A" w:rsidP="00DD1A5F">
            <w:r>
              <w:t>17.6</w:t>
            </w:r>
            <w:r>
              <w:rPr>
                <w:rFonts w:ascii="Calibri" w:hAnsi="Calibri" w:cs="Calibri"/>
                <w:color w:val="000000"/>
              </w:rPr>
              <w:t>%</w:t>
            </w:r>
          </w:p>
        </w:tc>
      </w:tr>
      <w:tr w:rsidR="0037512A" w:rsidRPr="00A75F31" w14:paraId="32EBC198" w14:textId="77777777" w:rsidTr="00DD1A5F">
        <w:trPr>
          <w:trHeight w:val="20"/>
        </w:trPr>
        <w:tc>
          <w:tcPr>
            <w:tcW w:w="1592" w:type="dxa"/>
            <w:tcBorders>
              <w:bottom w:val="single" w:sz="4" w:space="0" w:color="auto"/>
            </w:tcBorders>
            <w:hideMark/>
          </w:tcPr>
          <w:p w14:paraId="24740397" w14:textId="77777777" w:rsidR="0037512A" w:rsidRPr="00A75F31" w:rsidRDefault="0037512A" w:rsidP="00DD1A5F">
            <w:r w:rsidRPr="00A75F31">
              <w:t>Other</w:t>
            </w:r>
          </w:p>
        </w:tc>
        <w:tc>
          <w:tcPr>
            <w:tcW w:w="621" w:type="dxa"/>
            <w:tcBorders>
              <w:bottom w:val="single" w:sz="4" w:space="0" w:color="auto"/>
            </w:tcBorders>
          </w:tcPr>
          <w:p w14:paraId="11BA8EA0" w14:textId="77777777" w:rsidR="0037512A" w:rsidRPr="00A75F31" w:rsidRDefault="0037512A" w:rsidP="00DD1A5F">
            <w:r>
              <w:rPr>
                <w:rFonts w:ascii="Calibri" w:hAnsi="Calibri" w:cs="Calibri"/>
                <w:color w:val="000000"/>
              </w:rPr>
              <w:t>3</w:t>
            </w:r>
          </w:p>
        </w:tc>
        <w:tc>
          <w:tcPr>
            <w:tcW w:w="875" w:type="dxa"/>
            <w:tcBorders>
              <w:bottom w:val="single" w:sz="4" w:space="0" w:color="auto"/>
            </w:tcBorders>
          </w:tcPr>
          <w:p w14:paraId="3CFE50A4" w14:textId="77777777" w:rsidR="0037512A" w:rsidRPr="00A75F31" w:rsidRDefault="0037512A" w:rsidP="00DD1A5F">
            <w:r w:rsidRPr="005B7A2E">
              <w:t>1.1%</w:t>
            </w:r>
          </w:p>
        </w:tc>
        <w:tc>
          <w:tcPr>
            <w:tcW w:w="718" w:type="dxa"/>
            <w:tcBorders>
              <w:bottom w:val="single" w:sz="4" w:space="0" w:color="auto"/>
            </w:tcBorders>
            <w:noWrap/>
            <w:hideMark/>
          </w:tcPr>
          <w:p w14:paraId="0368661E" w14:textId="77777777" w:rsidR="0037512A" w:rsidRPr="00A75F31" w:rsidRDefault="0037512A" w:rsidP="00DD1A5F">
            <w:r w:rsidRPr="00A75F31">
              <w:t>1</w:t>
            </w:r>
          </w:p>
        </w:tc>
        <w:tc>
          <w:tcPr>
            <w:tcW w:w="764" w:type="dxa"/>
            <w:tcBorders>
              <w:bottom w:val="single" w:sz="4" w:space="0" w:color="auto"/>
            </w:tcBorders>
            <w:noWrap/>
          </w:tcPr>
          <w:p w14:paraId="57224BC3" w14:textId="77777777" w:rsidR="0037512A" w:rsidRPr="00A75F31" w:rsidRDefault="0037512A" w:rsidP="00DD1A5F">
            <w:r w:rsidRPr="00483C41">
              <w:t>1.6%</w:t>
            </w:r>
          </w:p>
        </w:tc>
        <w:tc>
          <w:tcPr>
            <w:tcW w:w="718" w:type="dxa"/>
            <w:tcBorders>
              <w:bottom w:val="single" w:sz="4" w:space="0" w:color="auto"/>
            </w:tcBorders>
            <w:noWrap/>
            <w:hideMark/>
          </w:tcPr>
          <w:p w14:paraId="59C160E3" w14:textId="77777777" w:rsidR="0037512A" w:rsidRPr="00A75F31" w:rsidRDefault="0037512A" w:rsidP="00DD1A5F">
            <w:r w:rsidRPr="00A75F31">
              <w:t>2</w:t>
            </w:r>
          </w:p>
        </w:tc>
        <w:tc>
          <w:tcPr>
            <w:tcW w:w="764" w:type="dxa"/>
            <w:tcBorders>
              <w:bottom w:val="single" w:sz="4" w:space="0" w:color="auto"/>
            </w:tcBorders>
            <w:noWrap/>
          </w:tcPr>
          <w:p w14:paraId="6AAED7A1" w14:textId="77777777" w:rsidR="0037512A" w:rsidRPr="00A75F31" w:rsidRDefault="0037512A" w:rsidP="00DD1A5F">
            <w:r w:rsidRPr="00624A4A">
              <w:t>2.3%</w:t>
            </w:r>
          </w:p>
        </w:tc>
        <w:tc>
          <w:tcPr>
            <w:tcW w:w="718" w:type="dxa"/>
            <w:tcBorders>
              <w:bottom w:val="single" w:sz="4" w:space="0" w:color="auto"/>
            </w:tcBorders>
            <w:noWrap/>
            <w:hideMark/>
          </w:tcPr>
          <w:p w14:paraId="50931C4C" w14:textId="77777777" w:rsidR="0037512A" w:rsidRPr="00A75F31" w:rsidRDefault="0037512A" w:rsidP="00DD1A5F">
            <w:r w:rsidRPr="00A75F31">
              <w:t>0</w:t>
            </w:r>
          </w:p>
        </w:tc>
        <w:tc>
          <w:tcPr>
            <w:tcW w:w="764" w:type="dxa"/>
            <w:tcBorders>
              <w:bottom w:val="single" w:sz="4" w:space="0" w:color="auto"/>
            </w:tcBorders>
            <w:noWrap/>
            <w:hideMark/>
          </w:tcPr>
          <w:p w14:paraId="36B15D29" w14:textId="77777777" w:rsidR="0037512A" w:rsidRPr="00A75F31" w:rsidRDefault="0037512A" w:rsidP="00DD1A5F">
            <w:r w:rsidRPr="00A75F31">
              <w:t>0.0</w:t>
            </w:r>
            <w:r>
              <w:rPr>
                <w:rFonts w:ascii="Calibri" w:hAnsi="Calibri" w:cs="Calibri"/>
                <w:color w:val="000000"/>
              </w:rPr>
              <w:t>%</w:t>
            </w:r>
          </w:p>
        </w:tc>
        <w:tc>
          <w:tcPr>
            <w:tcW w:w="718" w:type="dxa"/>
            <w:tcBorders>
              <w:bottom w:val="single" w:sz="4" w:space="0" w:color="auto"/>
            </w:tcBorders>
            <w:noWrap/>
            <w:hideMark/>
          </w:tcPr>
          <w:p w14:paraId="4D4FC7A8" w14:textId="77777777" w:rsidR="0037512A" w:rsidRPr="00A75F31" w:rsidRDefault="0037512A" w:rsidP="00DD1A5F">
            <w:r w:rsidRPr="00A75F31">
              <w:t>0</w:t>
            </w:r>
          </w:p>
        </w:tc>
        <w:tc>
          <w:tcPr>
            <w:tcW w:w="764" w:type="dxa"/>
            <w:tcBorders>
              <w:bottom w:val="single" w:sz="4" w:space="0" w:color="auto"/>
            </w:tcBorders>
            <w:noWrap/>
            <w:hideMark/>
          </w:tcPr>
          <w:p w14:paraId="08AB691A" w14:textId="77777777" w:rsidR="0037512A" w:rsidRPr="00A75F31" w:rsidRDefault="0037512A" w:rsidP="00DD1A5F">
            <w:r w:rsidRPr="00A75F31">
              <w:t>0</w:t>
            </w:r>
            <w:r>
              <w:rPr>
                <w:rFonts w:ascii="Calibri" w:hAnsi="Calibri" w:cs="Calibri"/>
                <w:color w:val="000000"/>
              </w:rPr>
              <w:t>%</w:t>
            </w:r>
          </w:p>
        </w:tc>
      </w:tr>
      <w:tr w:rsidR="0037512A" w:rsidRPr="00A75F31" w14:paraId="261702F1" w14:textId="77777777" w:rsidTr="00DD1A5F">
        <w:trPr>
          <w:trHeight w:val="20"/>
        </w:trPr>
        <w:tc>
          <w:tcPr>
            <w:tcW w:w="1592" w:type="dxa"/>
            <w:tcBorders>
              <w:top w:val="single" w:sz="4" w:space="0" w:color="auto"/>
            </w:tcBorders>
            <w:hideMark/>
          </w:tcPr>
          <w:p w14:paraId="196EB212" w14:textId="77777777" w:rsidR="0037512A" w:rsidRPr="001044BC" w:rsidRDefault="0037512A" w:rsidP="00DD1A5F">
            <w:pPr>
              <w:rPr>
                <w:b/>
                <w:bCs/>
              </w:rPr>
            </w:pPr>
            <w:r w:rsidRPr="001044BC">
              <w:rPr>
                <w:b/>
                <w:bCs/>
              </w:rPr>
              <w:t>Self-rated health</w:t>
            </w:r>
          </w:p>
        </w:tc>
        <w:tc>
          <w:tcPr>
            <w:tcW w:w="621" w:type="dxa"/>
            <w:tcBorders>
              <w:top w:val="single" w:sz="4" w:space="0" w:color="auto"/>
            </w:tcBorders>
          </w:tcPr>
          <w:p w14:paraId="46B22BD0" w14:textId="77777777" w:rsidR="0037512A" w:rsidRPr="00A75F31" w:rsidRDefault="0037512A" w:rsidP="00DD1A5F"/>
        </w:tc>
        <w:tc>
          <w:tcPr>
            <w:tcW w:w="875" w:type="dxa"/>
            <w:tcBorders>
              <w:top w:val="single" w:sz="4" w:space="0" w:color="auto"/>
            </w:tcBorders>
          </w:tcPr>
          <w:p w14:paraId="3C47AB25" w14:textId="77777777" w:rsidR="0037512A" w:rsidRPr="00A75F31" w:rsidRDefault="0037512A" w:rsidP="00DD1A5F"/>
        </w:tc>
        <w:tc>
          <w:tcPr>
            <w:tcW w:w="718" w:type="dxa"/>
            <w:tcBorders>
              <w:top w:val="single" w:sz="4" w:space="0" w:color="auto"/>
            </w:tcBorders>
            <w:noWrap/>
            <w:hideMark/>
          </w:tcPr>
          <w:p w14:paraId="247D8974" w14:textId="77777777" w:rsidR="0037512A" w:rsidRPr="00A75F31" w:rsidRDefault="0037512A" w:rsidP="00DD1A5F"/>
        </w:tc>
        <w:tc>
          <w:tcPr>
            <w:tcW w:w="764" w:type="dxa"/>
            <w:tcBorders>
              <w:top w:val="single" w:sz="4" w:space="0" w:color="auto"/>
            </w:tcBorders>
            <w:noWrap/>
            <w:hideMark/>
          </w:tcPr>
          <w:p w14:paraId="7F0EE6E7" w14:textId="77777777" w:rsidR="0037512A" w:rsidRPr="00A75F31" w:rsidRDefault="0037512A" w:rsidP="00DD1A5F"/>
        </w:tc>
        <w:tc>
          <w:tcPr>
            <w:tcW w:w="718" w:type="dxa"/>
            <w:tcBorders>
              <w:top w:val="single" w:sz="4" w:space="0" w:color="auto"/>
            </w:tcBorders>
            <w:noWrap/>
            <w:hideMark/>
          </w:tcPr>
          <w:p w14:paraId="79BD1BDC" w14:textId="77777777" w:rsidR="0037512A" w:rsidRPr="00A75F31" w:rsidRDefault="0037512A" w:rsidP="00DD1A5F"/>
        </w:tc>
        <w:tc>
          <w:tcPr>
            <w:tcW w:w="764" w:type="dxa"/>
            <w:tcBorders>
              <w:top w:val="single" w:sz="4" w:space="0" w:color="auto"/>
            </w:tcBorders>
            <w:noWrap/>
            <w:hideMark/>
          </w:tcPr>
          <w:p w14:paraId="66E2AF25" w14:textId="77777777" w:rsidR="0037512A" w:rsidRPr="00A75F31" w:rsidRDefault="0037512A" w:rsidP="00DD1A5F"/>
        </w:tc>
        <w:tc>
          <w:tcPr>
            <w:tcW w:w="718" w:type="dxa"/>
            <w:tcBorders>
              <w:top w:val="single" w:sz="4" w:space="0" w:color="auto"/>
            </w:tcBorders>
            <w:noWrap/>
            <w:hideMark/>
          </w:tcPr>
          <w:p w14:paraId="216611C2" w14:textId="77777777" w:rsidR="0037512A" w:rsidRPr="00A75F31" w:rsidRDefault="0037512A" w:rsidP="00DD1A5F"/>
        </w:tc>
        <w:tc>
          <w:tcPr>
            <w:tcW w:w="764" w:type="dxa"/>
            <w:tcBorders>
              <w:top w:val="single" w:sz="4" w:space="0" w:color="auto"/>
            </w:tcBorders>
            <w:noWrap/>
            <w:hideMark/>
          </w:tcPr>
          <w:p w14:paraId="63C407DB" w14:textId="77777777" w:rsidR="0037512A" w:rsidRPr="00A75F31" w:rsidRDefault="0037512A" w:rsidP="00DD1A5F"/>
        </w:tc>
        <w:tc>
          <w:tcPr>
            <w:tcW w:w="718" w:type="dxa"/>
            <w:tcBorders>
              <w:top w:val="single" w:sz="4" w:space="0" w:color="auto"/>
            </w:tcBorders>
            <w:noWrap/>
            <w:hideMark/>
          </w:tcPr>
          <w:p w14:paraId="726E483A" w14:textId="77777777" w:rsidR="0037512A" w:rsidRPr="00A75F31" w:rsidRDefault="0037512A" w:rsidP="00DD1A5F"/>
        </w:tc>
        <w:tc>
          <w:tcPr>
            <w:tcW w:w="764" w:type="dxa"/>
            <w:tcBorders>
              <w:top w:val="single" w:sz="4" w:space="0" w:color="auto"/>
            </w:tcBorders>
            <w:noWrap/>
            <w:hideMark/>
          </w:tcPr>
          <w:p w14:paraId="0BD5D9F3" w14:textId="77777777" w:rsidR="0037512A" w:rsidRPr="00A75F31" w:rsidRDefault="0037512A" w:rsidP="00DD1A5F"/>
        </w:tc>
      </w:tr>
      <w:tr w:rsidR="0037512A" w:rsidRPr="00A75F31" w14:paraId="0CDAEBC7" w14:textId="77777777" w:rsidTr="00DD1A5F">
        <w:trPr>
          <w:trHeight w:val="20"/>
        </w:trPr>
        <w:tc>
          <w:tcPr>
            <w:tcW w:w="1592" w:type="dxa"/>
            <w:hideMark/>
          </w:tcPr>
          <w:p w14:paraId="5BD88BD9" w14:textId="77777777" w:rsidR="0037512A" w:rsidRPr="00A75F31" w:rsidRDefault="0037512A" w:rsidP="00DD1A5F">
            <w:r w:rsidRPr="00A75F31">
              <w:t>Excellent</w:t>
            </w:r>
          </w:p>
        </w:tc>
        <w:tc>
          <w:tcPr>
            <w:tcW w:w="621" w:type="dxa"/>
          </w:tcPr>
          <w:p w14:paraId="1D79FBCB" w14:textId="77777777" w:rsidR="0037512A" w:rsidRPr="00A75F31" w:rsidRDefault="0037512A" w:rsidP="00DD1A5F">
            <w:r>
              <w:rPr>
                <w:rFonts w:ascii="Calibri" w:hAnsi="Calibri" w:cs="Calibri"/>
                <w:color w:val="000000"/>
              </w:rPr>
              <w:t>33</w:t>
            </w:r>
          </w:p>
        </w:tc>
        <w:tc>
          <w:tcPr>
            <w:tcW w:w="875" w:type="dxa"/>
            <w:vAlign w:val="bottom"/>
          </w:tcPr>
          <w:p w14:paraId="6BBD6D2A" w14:textId="77777777" w:rsidR="0037512A" w:rsidRPr="00A75F31" w:rsidRDefault="0037512A" w:rsidP="00DD1A5F">
            <w:r>
              <w:rPr>
                <w:rFonts w:ascii="Calibri" w:hAnsi="Calibri" w:cs="Calibri"/>
                <w:color w:val="000000"/>
              </w:rPr>
              <w:t>12.0%</w:t>
            </w:r>
          </w:p>
        </w:tc>
        <w:tc>
          <w:tcPr>
            <w:tcW w:w="718" w:type="dxa"/>
            <w:noWrap/>
            <w:hideMark/>
          </w:tcPr>
          <w:p w14:paraId="5D11DCF7" w14:textId="77777777" w:rsidR="0037512A" w:rsidRPr="00A75F31" w:rsidRDefault="0037512A" w:rsidP="00DD1A5F">
            <w:r w:rsidRPr="00A75F31">
              <w:t>13</w:t>
            </w:r>
          </w:p>
        </w:tc>
        <w:tc>
          <w:tcPr>
            <w:tcW w:w="764" w:type="dxa"/>
            <w:noWrap/>
            <w:hideMark/>
          </w:tcPr>
          <w:p w14:paraId="1156E18D" w14:textId="77777777" w:rsidR="0037512A" w:rsidRPr="00A75F31" w:rsidRDefault="0037512A" w:rsidP="00DD1A5F">
            <w:r w:rsidRPr="00A75F31">
              <w:t>20.6</w:t>
            </w:r>
            <w:r>
              <w:rPr>
                <w:rFonts w:ascii="Calibri" w:hAnsi="Calibri" w:cs="Calibri"/>
                <w:color w:val="000000"/>
              </w:rPr>
              <w:t>%</w:t>
            </w:r>
          </w:p>
        </w:tc>
        <w:tc>
          <w:tcPr>
            <w:tcW w:w="718" w:type="dxa"/>
            <w:noWrap/>
            <w:hideMark/>
          </w:tcPr>
          <w:p w14:paraId="4D178E53" w14:textId="77777777" w:rsidR="0037512A" w:rsidRPr="00A75F31" w:rsidRDefault="0037512A" w:rsidP="00DD1A5F">
            <w:r w:rsidRPr="00A75F31">
              <w:t>4</w:t>
            </w:r>
          </w:p>
        </w:tc>
        <w:tc>
          <w:tcPr>
            <w:tcW w:w="764" w:type="dxa"/>
            <w:noWrap/>
            <w:hideMark/>
          </w:tcPr>
          <w:p w14:paraId="1BBBF785" w14:textId="77777777" w:rsidR="0037512A" w:rsidRPr="00A75F31" w:rsidRDefault="0037512A" w:rsidP="00DD1A5F">
            <w:r w:rsidRPr="00775B6E">
              <w:t>4.5%</w:t>
            </w:r>
          </w:p>
        </w:tc>
        <w:tc>
          <w:tcPr>
            <w:tcW w:w="718" w:type="dxa"/>
            <w:noWrap/>
            <w:hideMark/>
          </w:tcPr>
          <w:p w14:paraId="15137C57" w14:textId="77777777" w:rsidR="0037512A" w:rsidRPr="00A75F31" w:rsidRDefault="0037512A" w:rsidP="00DD1A5F">
            <w:r w:rsidRPr="00A75F31">
              <w:t>4</w:t>
            </w:r>
          </w:p>
        </w:tc>
        <w:tc>
          <w:tcPr>
            <w:tcW w:w="764" w:type="dxa"/>
            <w:noWrap/>
            <w:hideMark/>
          </w:tcPr>
          <w:p w14:paraId="2795D2F9" w14:textId="77777777" w:rsidR="0037512A" w:rsidRPr="00A75F31" w:rsidRDefault="0037512A" w:rsidP="00DD1A5F">
            <w:r>
              <w:t>7.3</w:t>
            </w:r>
            <w:r>
              <w:rPr>
                <w:rFonts w:ascii="Calibri" w:hAnsi="Calibri" w:cs="Calibri"/>
                <w:color w:val="000000"/>
              </w:rPr>
              <w:t>%</w:t>
            </w:r>
          </w:p>
        </w:tc>
        <w:tc>
          <w:tcPr>
            <w:tcW w:w="718" w:type="dxa"/>
            <w:noWrap/>
            <w:hideMark/>
          </w:tcPr>
          <w:p w14:paraId="39CB6B3B" w14:textId="77777777" w:rsidR="0037512A" w:rsidRPr="00A75F31" w:rsidRDefault="0037512A" w:rsidP="00DD1A5F">
            <w:r w:rsidRPr="00A75F31">
              <w:t>1</w:t>
            </w:r>
            <w:r>
              <w:t>2</w:t>
            </w:r>
          </w:p>
        </w:tc>
        <w:tc>
          <w:tcPr>
            <w:tcW w:w="764" w:type="dxa"/>
            <w:noWrap/>
            <w:hideMark/>
          </w:tcPr>
          <w:p w14:paraId="4BDD88EE" w14:textId="77777777" w:rsidR="0037512A" w:rsidRPr="00A75F31" w:rsidRDefault="0037512A" w:rsidP="00DD1A5F">
            <w:r>
              <w:t>17.6</w:t>
            </w:r>
            <w:r>
              <w:rPr>
                <w:rFonts w:ascii="Calibri" w:hAnsi="Calibri" w:cs="Calibri"/>
                <w:color w:val="000000"/>
              </w:rPr>
              <w:t>%</w:t>
            </w:r>
          </w:p>
        </w:tc>
      </w:tr>
      <w:tr w:rsidR="0037512A" w:rsidRPr="00A75F31" w14:paraId="1818AE9C" w14:textId="77777777" w:rsidTr="00DD1A5F">
        <w:trPr>
          <w:trHeight w:val="20"/>
        </w:trPr>
        <w:tc>
          <w:tcPr>
            <w:tcW w:w="1592" w:type="dxa"/>
            <w:hideMark/>
          </w:tcPr>
          <w:p w14:paraId="4593F88D" w14:textId="77777777" w:rsidR="0037512A" w:rsidRPr="00A75F31" w:rsidRDefault="0037512A" w:rsidP="00DD1A5F">
            <w:r w:rsidRPr="00A75F31">
              <w:t>Very Good</w:t>
            </w:r>
          </w:p>
        </w:tc>
        <w:tc>
          <w:tcPr>
            <w:tcW w:w="621" w:type="dxa"/>
          </w:tcPr>
          <w:p w14:paraId="58B30918" w14:textId="77777777" w:rsidR="0037512A" w:rsidRPr="00A75F31" w:rsidRDefault="0037512A" w:rsidP="00DD1A5F">
            <w:r>
              <w:rPr>
                <w:rFonts w:ascii="Calibri" w:hAnsi="Calibri" w:cs="Calibri"/>
                <w:color w:val="000000"/>
              </w:rPr>
              <w:t>93</w:t>
            </w:r>
          </w:p>
        </w:tc>
        <w:tc>
          <w:tcPr>
            <w:tcW w:w="875" w:type="dxa"/>
            <w:vAlign w:val="bottom"/>
          </w:tcPr>
          <w:p w14:paraId="6770CFAF" w14:textId="77777777" w:rsidR="0037512A" w:rsidRPr="00A75F31" w:rsidRDefault="0037512A" w:rsidP="00DD1A5F">
            <w:r>
              <w:rPr>
                <w:rFonts w:ascii="Calibri" w:hAnsi="Calibri" w:cs="Calibri"/>
                <w:color w:val="000000"/>
              </w:rPr>
              <w:t>33.9%</w:t>
            </w:r>
          </w:p>
        </w:tc>
        <w:tc>
          <w:tcPr>
            <w:tcW w:w="718" w:type="dxa"/>
            <w:noWrap/>
            <w:hideMark/>
          </w:tcPr>
          <w:p w14:paraId="6DDC50FA" w14:textId="77777777" w:rsidR="0037512A" w:rsidRPr="00A75F31" w:rsidRDefault="0037512A" w:rsidP="00DD1A5F">
            <w:r w:rsidRPr="00A75F31">
              <w:t>20</w:t>
            </w:r>
          </w:p>
        </w:tc>
        <w:tc>
          <w:tcPr>
            <w:tcW w:w="764" w:type="dxa"/>
            <w:noWrap/>
            <w:hideMark/>
          </w:tcPr>
          <w:p w14:paraId="381B6FF2" w14:textId="77777777" w:rsidR="0037512A" w:rsidRPr="00A75F31" w:rsidRDefault="0037512A" w:rsidP="00DD1A5F">
            <w:r w:rsidRPr="00A75F31">
              <w:t>31.7</w:t>
            </w:r>
            <w:r>
              <w:rPr>
                <w:rFonts w:ascii="Calibri" w:hAnsi="Calibri" w:cs="Calibri"/>
                <w:color w:val="000000"/>
              </w:rPr>
              <w:t>%</w:t>
            </w:r>
          </w:p>
        </w:tc>
        <w:tc>
          <w:tcPr>
            <w:tcW w:w="718" w:type="dxa"/>
            <w:noWrap/>
            <w:hideMark/>
          </w:tcPr>
          <w:p w14:paraId="0FA26AC3" w14:textId="77777777" w:rsidR="0037512A" w:rsidRPr="00A75F31" w:rsidRDefault="0037512A" w:rsidP="00DD1A5F">
            <w:r w:rsidRPr="00A75F31">
              <w:t>27</w:t>
            </w:r>
          </w:p>
        </w:tc>
        <w:tc>
          <w:tcPr>
            <w:tcW w:w="764" w:type="dxa"/>
            <w:noWrap/>
            <w:hideMark/>
          </w:tcPr>
          <w:p w14:paraId="64E67821" w14:textId="77777777" w:rsidR="0037512A" w:rsidRPr="00A75F31" w:rsidRDefault="0037512A" w:rsidP="00DD1A5F">
            <w:r w:rsidRPr="00775B6E">
              <w:t>30.7%</w:t>
            </w:r>
          </w:p>
        </w:tc>
        <w:tc>
          <w:tcPr>
            <w:tcW w:w="718" w:type="dxa"/>
            <w:noWrap/>
            <w:hideMark/>
          </w:tcPr>
          <w:p w14:paraId="789B7A27" w14:textId="77777777" w:rsidR="0037512A" w:rsidRPr="00A75F31" w:rsidRDefault="0037512A" w:rsidP="00DD1A5F">
            <w:r w:rsidRPr="00A75F31">
              <w:t>24</w:t>
            </w:r>
          </w:p>
        </w:tc>
        <w:tc>
          <w:tcPr>
            <w:tcW w:w="764" w:type="dxa"/>
            <w:noWrap/>
            <w:hideMark/>
          </w:tcPr>
          <w:p w14:paraId="7FAA2725" w14:textId="77777777" w:rsidR="0037512A" w:rsidRPr="00A75F31" w:rsidRDefault="0037512A" w:rsidP="00DD1A5F">
            <w:r>
              <w:t>43.6</w:t>
            </w:r>
            <w:r>
              <w:rPr>
                <w:rFonts w:ascii="Calibri" w:hAnsi="Calibri" w:cs="Calibri"/>
                <w:color w:val="000000"/>
              </w:rPr>
              <w:t>%</w:t>
            </w:r>
          </w:p>
        </w:tc>
        <w:tc>
          <w:tcPr>
            <w:tcW w:w="718" w:type="dxa"/>
            <w:noWrap/>
            <w:hideMark/>
          </w:tcPr>
          <w:p w14:paraId="3DACB5BF" w14:textId="77777777" w:rsidR="0037512A" w:rsidRPr="00A75F31" w:rsidRDefault="0037512A" w:rsidP="00DD1A5F">
            <w:r w:rsidRPr="00A75F31">
              <w:t>22</w:t>
            </w:r>
          </w:p>
        </w:tc>
        <w:tc>
          <w:tcPr>
            <w:tcW w:w="764" w:type="dxa"/>
            <w:noWrap/>
            <w:hideMark/>
          </w:tcPr>
          <w:p w14:paraId="25C52B3E" w14:textId="77777777" w:rsidR="0037512A" w:rsidRPr="00A75F31" w:rsidRDefault="0037512A" w:rsidP="00DD1A5F">
            <w:r>
              <w:t>32.4</w:t>
            </w:r>
            <w:r>
              <w:rPr>
                <w:rFonts w:ascii="Calibri" w:hAnsi="Calibri" w:cs="Calibri"/>
                <w:color w:val="000000"/>
              </w:rPr>
              <w:t>%</w:t>
            </w:r>
          </w:p>
        </w:tc>
      </w:tr>
      <w:tr w:rsidR="0037512A" w:rsidRPr="00A75F31" w14:paraId="4BBA3B48" w14:textId="77777777" w:rsidTr="00DD1A5F">
        <w:trPr>
          <w:trHeight w:val="20"/>
        </w:trPr>
        <w:tc>
          <w:tcPr>
            <w:tcW w:w="1592" w:type="dxa"/>
            <w:hideMark/>
          </w:tcPr>
          <w:p w14:paraId="05EF5C49" w14:textId="77777777" w:rsidR="0037512A" w:rsidRPr="00A75F31" w:rsidRDefault="0037512A" w:rsidP="00DD1A5F">
            <w:r w:rsidRPr="00A75F31">
              <w:t>Good</w:t>
            </w:r>
          </w:p>
        </w:tc>
        <w:tc>
          <w:tcPr>
            <w:tcW w:w="621" w:type="dxa"/>
          </w:tcPr>
          <w:p w14:paraId="4AB4062E" w14:textId="77777777" w:rsidR="0037512A" w:rsidRPr="00A75F31" w:rsidRDefault="0037512A" w:rsidP="00DD1A5F">
            <w:r>
              <w:rPr>
                <w:rFonts w:ascii="Calibri" w:hAnsi="Calibri" w:cs="Calibri"/>
                <w:color w:val="000000"/>
              </w:rPr>
              <w:t>99</w:t>
            </w:r>
          </w:p>
        </w:tc>
        <w:tc>
          <w:tcPr>
            <w:tcW w:w="875" w:type="dxa"/>
            <w:vAlign w:val="bottom"/>
          </w:tcPr>
          <w:p w14:paraId="775DEC3F" w14:textId="77777777" w:rsidR="0037512A" w:rsidRPr="00A75F31" w:rsidRDefault="0037512A" w:rsidP="00DD1A5F">
            <w:r>
              <w:rPr>
                <w:rFonts w:ascii="Calibri" w:hAnsi="Calibri" w:cs="Calibri"/>
                <w:color w:val="000000"/>
              </w:rPr>
              <w:t>36.1%</w:t>
            </w:r>
          </w:p>
        </w:tc>
        <w:tc>
          <w:tcPr>
            <w:tcW w:w="718" w:type="dxa"/>
            <w:noWrap/>
            <w:hideMark/>
          </w:tcPr>
          <w:p w14:paraId="693D2F69" w14:textId="77777777" w:rsidR="0037512A" w:rsidRPr="00A75F31" w:rsidRDefault="0037512A" w:rsidP="00DD1A5F">
            <w:r w:rsidRPr="00A75F31">
              <w:t>26</w:t>
            </w:r>
          </w:p>
        </w:tc>
        <w:tc>
          <w:tcPr>
            <w:tcW w:w="764" w:type="dxa"/>
            <w:noWrap/>
            <w:hideMark/>
          </w:tcPr>
          <w:p w14:paraId="6B50B92A" w14:textId="77777777" w:rsidR="0037512A" w:rsidRPr="00A75F31" w:rsidRDefault="0037512A" w:rsidP="00DD1A5F">
            <w:r w:rsidRPr="00A75F31">
              <w:t>41.3</w:t>
            </w:r>
            <w:r>
              <w:rPr>
                <w:rFonts w:ascii="Calibri" w:hAnsi="Calibri" w:cs="Calibri"/>
                <w:color w:val="000000"/>
              </w:rPr>
              <w:t>%</w:t>
            </w:r>
          </w:p>
        </w:tc>
        <w:tc>
          <w:tcPr>
            <w:tcW w:w="718" w:type="dxa"/>
            <w:noWrap/>
            <w:hideMark/>
          </w:tcPr>
          <w:p w14:paraId="12DC814A" w14:textId="77777777" w:rsidR="0037512A" w:rsidRPr="00A75F31" w:rsidRDefault="0037512A" w:rsidP="00DD1A5F">
            <w:r w:rsidRPr="00A75F31">
              <w:t>30</w:t>
            </w:r>
          </w:p>
        </w:tc>
        <w:tc>
          <w:tcPr>
            <w:tcW w:w="764" w:type="dxa"/>
            <w:noWrap/>
            <w:hideMark/>
          </w:tcPr>
          <w:p w14:paraId="30589F45" w14:textId="77777777" w:rsidR="0037512A" w:rsidRPr="00A75F31" w:rsidRDefault="0037512A" w:rsidP="00DD1A5F">
            <w:r w:rsidRPr="00775B6E">
              <w:t>34.1%</w:t>
            </w:r>
          </w:p>
        </w:tc>
        <w:tc>
          <w:tcPr>
            <w:tcW w:w="718" w:type="dxa"/>
            <w:noWrap/>
            <w:hideMark/>
          </w:tcPr>
          <w:p w14:paraId="52E2D40F" w14:textId="77777777" w:rsidR="0037512A" w:rsidRPr="00A75F31" w:rsidRDefault="0037512A" w:rsidP="00DD1A5F">
            <w:r w:rsidRPr="00A75F31">
              <w:t>1</w:t>
            </w:r>
            <w:r>
              <w:t>8</w:t>
            </w:r>
          </w:p>
        </w:tc>
        <w:tc>
          <w:tcPr>
            <w:tcW w:w="764" w:type="dxa"/>
            <w:noWrap/>
            <w:hideMark/>
          </w:tcPr>
          <w:p w14:paraId="62EE33EA" w14:textId="77777777" w:rsidR="0037512A" w:rsidRPr="00A75F31" w:rsidRDefault="0037512A" w:rsidP="00DD1A5F">
            <w:r>
              <w:t>32.7</w:t>
            </w:r>
            <w:r>
              <w:rPr>
                <w:rFonts w:ascii="Calibri" w:hAnsi="Calibri" w:cs="Calibri"/>
                <w:color w:val="000000"/>
              </w:rPr>
              <w:t>%</w:t>
            </w:r>
          </w:p>
        </w:tc>
        <w:tc>
          <w:tcPr>
            <w:tcW w:w="718" w:type="dxa"/>
            <w:noWrap/>
            <w:hideMark/>
          </w:tcPr>
          <w:p w14:paraId="674A8A7F" w14:textId="77777777" w:rsidR="0037512A" w:rsidRPr="00A75F31" w:rsidRDefault="0037512A" w:rsidP="00DD1A5F">
            <w:r w:rsidRPr="00A75F31">
              <w:t>2</w:t>
            </w:r>
            <w:r>
              <w:t>5</w:t>
            </w:r>
          </w:p>
        </w:tc>
        <w:tc>
          <w:tcPr>
            <w:tcW w:w="764" w:type="dxa"/>
            <w:noWrap/>
            <w:hideMark/>
          </w:tcPr>
          <w:p w14:paraId="31B018F5" w14:textId="77777777" w:rsidR="0037512A" w:rsidRPr="00A75F31" w:rsidRDefault="0037512A" w:rsidP="00DD1A5F">
            <w:r>
              <w:t>36.8</w:t>
            </w:r>
            <w:r>
              <w:rPr>
                <w:rFonts w:ascii="Calibri" w:hAnsi="Calibri" w:cs="Calibri"/>
                <w:color w:val="000000"/>
              </w:rPr>
              <w:t>%</w:t>
            </w:r>
          </w:p>
        </w:tc>
      </w:tr>
      <w:tr w:rsidR="0037512A" w:rsidRPr="00A75F31" w14:paraId="54372386" w14:textId="77777777" w:rsidTr="00DD1A5F">
        <w:trPr>
          <w:trHeight w:val="20"/>
        </w:trPr>
        <w:tc>
          <w:tcPr>
            <w:tcW w:w="1592" w:type="dxa"/>
            <w:hideMark/>
          </w:tcPr>
          <w:p w14:paraId="42810F8C" w14:textId="77777777" w:rsidR="0037512A" w:rsidRPr="00A75F31" w:rsidRDefault="0037512A" w:rsidP="00DD1A5F">
            <w:r w:rsidRPr="00A75F31">
              <w:t>Fair</w:t>
            </w:r>
          </w:p>
        </w:tc>
        <w:tc>
          <w:tcPr>
            <w:tcW w:w="621" w:type="dxa"/>
          </w:tcPr>
          <w:p w14:paraId="6C3E5841" w14:textId="77777777" w:rsidR="0037512A" w:rsidRPr="00A75F31" w:rsidRDefault="0037512A" w:rsidP="00DD1A5F">
            <w:r>
              <w:rPr>
                <w:rFonts w:ascii="Calibri" w:hAnsi="Calibri" w:cs="Calibri"/>
                <w:color w:val="000000"/>
              </w:rPr>
              <w:t>40</w:t>
            </w:r>
          </w:p>
        </w:tc>
        <w:tc>
          <w:tcPr>
            <w:tcW w:w="875" w:type="dxa"/>
            <w:vAlign w:val="bottom"/>
          </w:tcPr>
          <w:p w14:paraId="2ECCB31F" w14:textId="77777777" w:rsidR="0037512A" w:rsidRPr="00A75F31" w:rsidRDefault="0037512A" w:rsidP="00DD1A5F">
            <w:r>
              <w:rPr>
                <w:rFonts w:ascii="Calibri" w:hAnsi="Calibri" w:cs="Calibri"/>
                <w:color w:val="000000"/>
              </w:rPr>
              <w:t>14.6%</w:t>
            </w:r>
          </w:p>
        </w:tc>
        <w:tc>
          <w:tcPr>
            <w:tcW w:w="718" w:type="dxa"/>
            <w:noWrap/>
            <w:hideMark/>
          </w:tcPr>
          <w:p w14:paraId="7E006953" w14:textId="77777777" w:rsidR="0037512A" w:rsidRPr="00A75F31" w:rsidRDefault="0037512A" w:rsidP="00DD1A5F">
            <w:r w:rsidRPr="00A75F31">
              <w:t>3</w:t>
            </w:r>
          </w:p>
        </w:tc>
        <w:tc>
          <w:tcPr>
            <w:tcW w:w="764" w:type="dxa"/>
            <w:noWrap/>
            <w:hideMark/>
          </w:tcPr>
          <w:p w14:paraId="70D596C7" w14:textId="77777777" w:rsidR="0037512A" w:rsidRPr="00A75F31" w:rsidRDefault="0037512A" w:rsidP="00DD1A5F">
            <w:r w:rsidRPr="00A75F31">
              <w:t>4.8</w:t>
            </w:r>
            <w:r>
              <w:rPr>
                <w:rFonts w:ascii="Calibri" w:hAnsi="Calibri" w:cs="Calibri"/>
                <w:color w:val="000000"/>
              </w:rPr>
              <w:t>%</w:t>
            </w:r>
          </w:p>
        </w:tc>
        <w:tc>
          <w:tcPr>
            <w:tcW w:w="718" w:type="dxa"/>
            <w:noWrap/>
            <w:hideMark/>
          </w:tcPr>
          <w:p w14:paraId="4D06336C" w14:textId="77777777" w:rsidR="0037512A" w:rsidRPr="00A75F31" w:rsidRDefault="0037512A" w:rsidP="00DD1A5F">
            <w:r w:rsidRPr="00A75F31">
              <w:t>22</w:t>
            </w:r>
          </w:p>
        </w:tc>
        <w:tc>
          <w:tcPr>
            <w:tcW w:w="764" w:type="dxa"/>
            <w:noWrap/>
            <w:hideMark/>
          </w:tcPr>
          <w:p w14:paraId="01EF9C11" w14:textId="77777777" w:rsidR="0037512A" w:rsidRPr="00A75F31" w:rsidRDefault="0037512A" w:rsidP="00DD1A5F">
            <w:r w:rsidRPr="00775B6E">
              <w:t>25.0%</w:t>
            </w:r>
          </w:p>
        </w:tc>
        <w:tc>
          <w:tcPr>
            <w:tcW w:w="718" w:type="dxa"/>
            <w:noWrap/>
            <w:hideMark/>
          </w:tcPr>
          <w:p w14:paraId="6042E5E1" w14:textId="77777777" w:rsidR="0037512A" w:rsidRPr="00A75F31" w:rsidRDefault="0037512A" w:rsidP="00DD1A5F">
            <w:r w:rsidRPr="00A75F31">
              <w:t>7</w:t>
            </w:r>
          </w:p>
        </w:tc>
        <w:tc>
          <w:tcPr>
            <w:tcW w:w="764" w:type="dxa"/>
            <w:noWrap/>
            <w:hideMark/>
          </w:tcPr>
          <w:p w14:paraId="0179E14E" w14:textId="77777777" w:rsidR="0037512A" w:rsidRPr="00A75F31" w:rsidRDefault="0037512A" w:rsidP="00DD1A5F">
            <w:r w:rsidRPr="00A75F31">
              <w:t>12.</w:t>
            </w:r>
            <w:r>
              <w:t>7</w:t>
            </w:r>
            <w:r>
              <w:rPr>
                <w:rFonts w:ascii="Calibri" w:hAnsi="Calibri" w:cs="Calibri"/>
                <w:color w:val="000000"/>
              </w:rPr>
              <w:t>%</w:t>
            </w:r>
          </w:p>
        </w:tc>
        <w:tc>
          <w:tcPr>
            <w:tcW w:w="718" w:type="dxa"/>
            <w:noWrap/>
            <w:hideMark/>
          </w:tcPr>
          <w:p w14:paraId="3BC51B6B" w14:textId="77777777" w:rsidR="0037512A" w:rsidRPr="00A75F31" w:rsidRDefault="0037512A" w:rsidP="00DD1A5F">
            <w:r w:rsidRPr="00A75F31">
              <w:t>8</w:t>
            </w:r>
          </w:p>
        </w:tc>
        <w:tc>
          <w:tcPr>
            <w:tcW w:w="764" w:type="dxa"/>
            <w:noWrap/>
            <w:hideMark/>
          </w:tcPr>
          <w:p w14:paraId="13B9A68D" w14:textId="77777777" w:rsidR="0037512A" w:rsidRPr="00A75F31" w:rsidRDefault="0037512A" w:rsidP="00DD1A5F">
            <w:r w:rsidRPr="00A75F31">
              <w:t>11.</w:t>
            </w:r>
            <w:r>
              <w:t>8</w:t>
            </w:r>
            <w:r>
              <w:rPr>
                <w:rFonts w:ascii="Calibri" w:hAnsi="Calibri" w:cs="Calibri"/>
                <w:color w:val="000000"/>
              </w:rPr>
              <w:t>%</w:t>
            </w:r>
          </w:p>
        </w:tc>
      </w:tr>
      <w:tr w:rsidR="0037512A" w:rsidRPr="00A75F31" w14:paraId="73CADDBF" w14:textId="77777777" w:rsidTr="00DD1A5F">
        <w:trPr>
          <w:trHeight w:val="20"/>
        </w:trPr>
        <w:tc>
          <w:tcPr>
            <w:tcW w:w="1592" w:type="dxa"/>
            <w:tcBorders>
              <w:bottom w:val="single" w:sz="4" w:space="0" w:color="auto"/>
            </w:tcBorders>
            <w:hideMark/>
          </w:tcPr>
          <w:p w14:paraId="625A9D46" w14:textId="77777777" w:rsidR="0037512A" w:rsidRPr="00A75F31" w:rsidRDefault="0037512A" w:rsidP="00DD1A5F">
            <w:r w:rsidRPr="00A75F31">
              <w:t>Poor</w:t>
            </w:r>
          </w:p>
        </w:tc>
        <w:tc>
          <w:tcPr>
            <w:tcW w:w="621" w:type="dxa"/>
            <w:tcBorders>
              <w:bottom w:val="single" w:sz="4" w:space="0" w:color="auto"/>
            </w:tcBorders>
          </w:tcPr>
          <w:p w14:paraId="49507F37" w14:textId="77777777" w:rsidR="0037512A" w:rsidRPr="00974AA2" w:rsidRDefault="0037512A" w:rsidP="00DD1A5F">
            <w:r w:rsidRPr="00974AA2">
              <w:rPr>
                <w:rFonts w:ascii="Calibri" w:hAnsi="Calibri" w:cs="Calibri"/>
                <w:color w:val="000000"/>
              </w:rPr>
              <w:t>9</w:t>
            </w:r>
          </w:p>
        </w:tc>
        <w:tc>
          <w:tcPr>
            <w:tcW w:w="875" w:type="dxa"/>
            <w:tcBorders>
              <w:bottom w:val="single" w:sz="4" w:space="0" w:color="auto"/>
            </w:tcBorders>
            <w:vAlign w:val="bottom"/>
          </w:tcPr>
          <w:p w14:paraId="302D3354" w14:textId="77777777" w:rsidR="0037512A" w:rsidRPr="00A75F31" w:rsidRDefault="0037512A" w:rsidP="00DD1A5F">
            <w:r>
              <w:rPr>
                <w:rFonts w:ascii="Calibri" w:hAnsi="Calibri" w:cs="Calibri"/>
                <w:color w:val="000000"/>
              </w:rPr>
              <w:t>3.3%</w:t>
            </w:r>
          </w:p>
        </w:tc>
        <w:tc>
          <w:tcPr>
            <w:tcW w:w="718" w:type="dxa"/>
            <w:tcBorders>
              <w:bottom w:val="single" w:sz="4" w:space="0" w:color="auto"/>
            </w:tcBorders>
            <w:noWrap/>
            <w:hideMark/>
          </w:tcPr>
          <w:p w14:paraId="5116E8E5" w14:textId="77777777" w:rsidR="0037512A" w:rsidRPr="00A75F31" w:rsidRDefault="0037512A" w:rsidP="00DD1A5F">
            <w:r w:rsidRPr="00A75F31">
              <w:t>1</w:t>
            </w:r>
          </w:p>
        </w:tc>
        <w:tc>
          <w:tcPr>
            <w:tcW w:w="764" w:type="dxa"/>
            <w:tcBorders>
              <w:bottom w:val="single" w:sz="4" w:space="0" w:color="auto"/>
            </w:tcBorders>
            <w:noWrap/>
            <w:hideMark/>
          </w:tcPr>
          <w:p w14:paraId="76F168B0" w14:textId="77777777" w:rsidR="0037512A" w:rsidRPr="00A75F31" w:rsidRDefault="0037512A" w:rsidP="00DD1A5F">
            <w:r w:rsidRPr="00A75F31">
              <w:t>1.6</w:t>
            </w:r>
            <w:r>
              <w:rPr>
                <w:rFonts w:ascii="Calibri" w:hAnsi="Calibri" w:cs="Calibri"/>
                <w:color w:val="000000"/>
              </w:rPr>
              <w:t>%</w:t>
            </w:r>
          </w:p>
        </w:tc>
        <w:tc>
          <w:tcPr>
            <w:tcW w:w="718" w:type="dxa"/>
            <w:tcBorders>
              <w:bottom w:val="single" w:sz="4" w:space="0" w:color="auto"/>
            </w:tcBorders>
            <w:noWrap/>
            <w:hideMark/>
          </w:tcPr>
          <w:p w14:paraId="264A1D6D" w14:textId="77777777" w:rsidR="0037512A" w:rsidRPr="001E6B68" w:rsidRDefault="0037512A" w:rsidP="00DD1A5F">
            <w:r w:rsidRPr="001E6B68">
              <w:t>5</w:t>
            </w:r>
          </w:p>
        </w:tc>
        <w:tc>
          <w:tcPr>
            <w:tcW w:w="764" w:type="dxa"/>
            <w:tcBorders>
              <w:bottom w:val="single" w:sz="4" w:space="0" w:color="auto"/>
            </w:tcBorders>
            <w:noWrap/>
            <w:hideMark/>
          </w:tcPr>
          <w:p w14:paraId="0457B13F" w14:textId="77777777" w:rsidR="0037512A" w:rsidRPr="00A75F31" w:rsidRDefault="0037512A" w:rsidP="00DD1A5F">
            <w:r w:rsidRPr="00775B6E">
              <w:t>5.7%</w:t>
            </w:r>
          </w:p>
        </w:tc>
        <w:tc>
          <w:tcPr>
            <w:tcW w:w="718" w:type="dxa"/>
            <w:tcBorders>
              <w:bottom w:val="single" w:sz="4" w:space="0" w:color="auto"/>
            </w:tcBorders>
            <w:noWrap/>
            <w:hideMark/>
          </w:tcPr>
          <w:p w14:paraId="33377EC7" w14:textId="77777777" w:rsidR="0037512A" w:rsidRPr="00A75F31" w:rsidRDefault="0037512A" w:rsidP="00DD1A5F">
            <w:r w:rsidRPr="00A75F31">
              <w:t>2</w:t>
            </w:r>
          </w:p>
        </w:tc>
        <w:tc>
          <w:tcPr>
            <w:tcW w:w="764" w:type="dxa"/>
            <w:tcBorders>
              <w:bottom w:val="single" w:sz="4" w:space="0" w:color="auto"/>
            </w:tcBorders>
            <w:noWrap/>
            <w:hideMark/>
          </w:tcPr>
          <w:p w14:paraId="7307574E" w14:textId="77777777" w:rsidR="0037512A" w:rsidRPr="00A75F31" w:rsidRDefault="0037512A" w:rsidP="00DD1A5F">
            <w:r w:rsidRPr="00A75F31">
              <w:t>3.6</w:t>
            </w:r>
            <w:r>
              <w:rPr>
                <w:rFonts w:ascii="Calibri" w:hAnsi="Calibri" w:cs="Calibri"/>
                <w:color w:val="000000"/>
              </w:rPr>
              <w:t>%</w:t>
            </w:r>
          </w:p>
        </w:tc>
        <w:tc>
          <w:tcPr>
            <w:tcW w:w="718" w:type="dxa"/>
            <w:tcBorders>
              <w:bottom w:val="single" w:sz="4" w:space="0" w:color="auto"/>
            </w:tcBorders>
            <w:noWrap/>
            <w:hideMark/>
          </w:tcPr>
          <w:p w14:paraId="7BAD4252" w14:textId="77777777" w:rsidR="0037512A" w:rsidRPr="00A75F31" w:rsidRDefault="0037512A" w:rsidP="00DD1A5F">
            <w:r>
              <w:t>1</w:t>
            </w:r>
          </w:p>
        </w:tc>
        <w:tc>
          <w:tcPr>
            <w:tcW w:w="764" w:type="dxa"/>
            <w:tcBorders>
              <w:bottom w:val="single" w:sz="4" w:space="0" w:color="auto"/>
            </w:tcBorders>
            <w:noWrap/>
            <w:hideMark/>
          </w:tcPr>
          <w:p w14:paraId="40D62EB6" w14:textId="77777777" w:rsidR="0037512A" w:rsidRPr="00A75F31" w:rsidRDefault="0037512A" w:rsidP="00DD1A5F">
            <w:r>
              <w:t>1.5</w:t>
            </w:r>
            <w:r>
              <w:rPr>
                <w:rFonts w:ascii="Calibri" w:hAnsi="Calibri" w:cs="Calibri"/>
                <w:color w:val="000000"/>
              </w:rPr>
              <w:t>%</w:t>
            </w:r>
          </w:p>
        </w:tc>
      </w:tr>
      <w:tr w:rsidR="0037512A" w:rsidRPr="00A75F31" w14:paraId="54593ED6" w14:textId="77777777" w:rsidTr="00DD1A5F">
        <w:trPr>
          <w:trHeight w:val="20"/>
        </w:trPr>
        <w:tc>
          <w:tcPr>
            <w:tcW w:w="1592" w:type="dxa"/>
            <w:tcBorders>
              <w:top w:val="single" w:sz="4" w:space="0" w:color="auto"/>
            </w:tcBorders>
            <w:hideMark/>
          </w:tcPr>
          <w:p w14:paraId="48A9DC3A" w14:textId="77777777" w:rsidR="0037512A" w:rsidRPr="001044BC" w:rsidRDefault="0037512A" w:rsidP="00DD1A5F">
            <w:pPr>
              <w:rPr>
                <w:b/>
                <w:bCs/>
              </w:rPr>
            </w:pPr>
            <w:r>
              <w:rPr>
                <w:b/>
                <w:bCs/>
              </w:rPr>
              <w:t>Osteoarthritis experience</w:t>
            </w:r>
          </w:p>
        </w:tc>
        <w:tc>
          <w:tcPr>
            <w:tcW w:w="621" w:type="dxa"/>
            <w:tcBorders>
              <w:top w:val="single" w:sz="4" w:space="0" w:color="auto"/>
            </w:tcBorders>
          </w:tcPr>
          <w:p w14:paraId="37727004" w14:textId="77777777" w:rsidR="0037512A" w:rsidRPr="00A75F31" w:rsidRDefault="0037512A" w:rsidP="00DD1A5F"/>
        </w:tc>
        <w:tc>
          <w:tcPr>
            <w:tcW w:w="875" w:type="dxa"/>
            <w:tcBorders>
              <w:top w:val="single" w:sz="4" w:space="0" w:color="auto"/>
            </w:tcBorders>
          </w:tcPr>
          <w:p w14:paraId="3C402637" w14:textId="77777777" w:rsidR="0037512A" w:rsidRPr="00A75F31" w:rsidRDefault="0037512A" w:rsidP="00DD1A5F"/>
        </w:tc>
        <w:tc>
          <w:tcPr>
            <w:tcW w:w="718" w:type="dxa"/>
            <w:tcBorders>
              <w:top w:val="single" w:sz="4" w:space="0" w:color="auto"/>
            </w:tcBorders>
            <w:noWrap/>
            <w:hideMark/>
          </w:tcPr>
          <w:p w14:paraId="0406E0E1" w14:textId="77777777" w:rsidR="0037512A" w:rsidRPr="00A75F31" w:rsidRDefault="0037512A" w:rsidP="00DD1A5F"/>
        </w:tc>
        <w:tc>
          <w:tcPr>
            <w:tcW w:w="764" w:type="dxa"/>
            <w:tcBorders>
              <w:top w:val="single" w:sz="4" w:space="0" w:color="auto"/>
            </w:tcBorders>
            <w:noWrap/>
            <w:hideMark/>
          </w:tcPr>
          <w:p w14:paraId="16EDC380" w14:textId="77777777" w:rsidR="0037512A" w:rsidRPr="00A75F31" w:rsidRDefault="0037512A" w:rsidP="00DD1A5F"/>
        </w:tc>
        <w:tc>
          <w:tcPr>
            <w:tcW w:w="718" w:type="dxa"/>
            <w:tcBorders>
              <w:top w:val="single" w:sz="4" w:space="0" w:color="auto"/>
            </w:tcBorders>
            <w:noWrap/>
            <w:hideMark/>
          </w:tcPr>
          <w:p w14:paraId="3A71BBF9" w14:textId="77777777" w:rsidR="0037512A" w:rsidRPr="00A75F31" w:rsidRDefault="0037512A" w:rsidP="00DD1A5F"/>
        </w:tc>
        <w:tc>
          <w:tcPr>
            <w:tcW w:w="764" w:type="dxa"/>
            <w:tcBorders>
              <w:top w:val="single" w:sz="4" w:space="0" w:color="auto"/>
            </w:tcBorders>
            <w:noWrap/>
            <w:hideMark/>
          </w:tcPr>
          <w:p w14:paraId="38451B52" w14:textId="77777777" w:rsidR="0037512A" w:rsidRPr="00A75F31" w:rsidRDefault="0037512A" w:rsidP="00DD1A5F"/>
        </w:tc>
        <w:tc>
          <w:tcPr>
            <w:tcW w:w="718" w:type="dxa"/>
            <w:tcBorders>
              <w:top w:val="single" w:sz="4" w:space="0" w:color="auto"/>
            </w:tcBorders>
            <w:noWrap/>
            <w:hideMark/>
          </w:tcPr>
          <w:p w14:paraId="4E35E6CA" w14:textId="77777777" w:rsidR="0037512A" w:rsidRPr="00A75F31" w:rsidRDefault="0037512A" w:rsidP="00DD1A5F"/>
        </w:tc>
        <w:tc>
          <w:tcPr>
            <w:tcW w:w="764" w:type="dxa"/>
            <w:tcBorders>
              <w:top w:val="single" w:sz="4" w:space="0" w:color="auto"/>
            </w:tcBorders>
            <w:noWrap/>
            <w:hideMark/>
          </w:tcPr>
          <w:p w14:paraId="04E3B099" w14:textId="77777777" w:rsidR="0037512A" w:rsidRPr="00A75F31" w:rsidRDefault="0037512A" w:rsidP="00DD1A5F"/>
        </w:tc>
        <w:tc>
          <w:tcPr>
            <w:tcW w:w="718" w:type="dxa"/>
            <w:tcBorders>
              <w:top w:val="single" w:sz="4" w:space="0" w:color="auto"/>
            </w:tcBorders>
            <w:noWrap/>
            <w:hideMark/>
          </w:tcPr>
          <w:p w14:paraId="2DFA8F90" w14:textId="77777777" w:rsidR="0037512A" w:rsidRPr="00A75F31" w:rsidRDefault="0037512A" w:rsidP="00DD1A5F"/>
        </w:tc>
        <w:tc>
          <w:tcPr>
            <w:tcW w:w="764" w:type="dxa"/>
            <w:tcBorders>
              <w:top w:val="single" w:sz="4" w:space="0" w:color="auto"/>
            </w:tcBorders>
            <w:noWrap/>
            <w:hideMark/>
          </w:tcPr>
          <w:p w14:paraId="006240B6" w14:textId="77777777" w:rsidR="0037512A" w:rsidRPr="00A75F31" w:rsidRDefault="0037512A" w:rsidP="00DD1A5F"/>
        </w:tc>
      </w:tr>
      <w:tr w:rsidR="0037512A" w:rsidRPr="00A75F31" w14:paraId="430CB6D7" w14:textId="77777777" w:rsidTr="00DD1A5F">
        <w:trPr>
          <w:trHeight w:val="20"/>
        </w:trPr>
        <w:tc>
          <w:tcPr>
            <w:tcW w:w="1592" w:type="dxa"/>
            <w:hideMark/>
          </w:tcPr>
          <w:p w14:paraId="7ECC84D6" w14:textId="77777777" w:rsidR="0037512A" w:rsidRPr="00A75F31" w:rsidRDefault="0037512A" w:rsidP="00DD1A5F">
            <w:r>
              <w:t>Has osteoarthritis</w:t>
            </w:r>
          </w:p>
        </w:tc>
        <w:tc>
          <w:tcPr>
            <w:tcW w:w="621" w:type="dxa"/>
          </w:tcPr>
          <w:p w14:paraId="0710FFF4" w14:textId="77777777" w:rsidR="0037512A" w:rsidRPr="00A75F31" w:rsidRDefault="0037512A" w:rsidP="00DD1A5F">
            <w:r>
              <w:rPr>
                <w:rFonts w:ascii="Calibri" w:hAnsi="Calibri" w:cs="Calibri"/>
                <w:color w:val="000000"/>
              </w:rPr>
              <w:t>16</w:t>
            </w:r>
          </w:p>
        </w:tc>
        <w:tc>
          <w:tcPr>
            <w:tcW w:w="875" w:type="dxa"/>
          </w:tcPr>
          <w:p w14:paraId="3237F102" w14:textId="77777777" w:rsidR="0037512A" w:rsidRPr="00A75F31" w:rsidRDefault="0037512A" w:rsidP="00DD1A5F">
            <w:r>
              <w:rPr>
                <w:rFonts w:ascii="Calibri" w:hAnsi="Calibri" w:cs="Calibri"/>
                <w:color w:val="000000"/>
              </w:rPr>
              <w:t>5.8%</w:t>
            </w:r>
          </w:p>
        </w:tc>
        <w:tc>
          <w:tcPr>
            <w:tcW w:w="718" w:type="dxa"/>
            <w:noWrap/>
            <w:hideMark/>
          </w:tcPr>
          <w:p w14:paraId="2725AA80" w14:textId="77777777" w:rsidR="0037512A" w:rsidRPr="00A75F31" w:rsidRDefault="0037512A" w:rsidP="00DD1A5F">
            <w:r w:rsidRPr="00A75F31">
              <w:t>2</w:t>
            </w:r>
          </w:p>
        </w:tc>
        <w:tc>
          <w:tcPr>
            <w:tcW w:w="764" w:type="dxa"/>
            <w:noWrap/>
            <w:hideMark/>
          </w:tcPr>
          <w:p w14:paraId="6B0AC2FE" w14:textId="77777777" w:rsidR="0037512A" w:rsidRPr="00A75F31" w:rsidRDefault="0037512A" w:rsidP="00DD1A5F">
            <w:r w:rsidRPr="00A75F31">
              <w:t>3.2</w:t>
            </w:r>
            <w:r>
              <w:rPr>
                <w:rFonts w:ascii="Calibri" w:hAnsi="Calibri" w:cs="Calibri"/>
                <w:color w:val="000000"/>
              </w:rPr>
              <w:t>%</w:t>
            </w:r>
          </w:p>
        </w:tc>
        <w:tc>
          <w:tcPr>
            <w:tcW w:w="718" w:type="dxa"/>
            <w:noWrap/>
            <w:hideMark/>
          </w:tcPr>
          <w:p w14:paraId="16E789F4" w14:textId="77777777" w:rsidR="0037512A" w:rsidRPr="00A75F31" w:rsidRDefault="0037512A" w:rsidP="00DD1A5F">
            <w:r w:rsidRPr="00A75F31">
              <w:t>12</w:t>
            </w:r>
          </w:p>
        </w:tc>
        <w:tc>
          <w:tcPr>
            <w:tcW w:w="764" w:type="dxa"/>
            <w:noWrap/>
            <w:hideMark/>
          </w:tcPr>
          <w:p w14:paraId="4BA41CE6" w14:textId="77777777" w:rsidR="0037512A" w:rsidRPr="00A75F31" w:rsidRDefault="0037512A" w:rsidP="00DD1A5F">
            <w:r w:rsidRPr="00A75F31">
              <w:t>13.8</w:t>
            </w:r>
            <w:r>
              <w:rPr>
                <w:rFonts w:ascii="Calibri" w:hAnsi="Calibri" w:cs="Calibri"/>
                <w:color w:val="000000"/>
              </w:rPr>
              <w:t>%</w:t>
            </w:r>
          </w:p>
        </w:tc>
        <w:tc>
          <w:tcPr>
            <w:tcW w:w="718" w:type="dxa"/>
            <w:noWrap/>
            <w:hideMark/>
          </w:tcPr>
          <w:p w14:paraId="71F5736D" w14:textId="77777777" w:rsidR="0037512A" w:rsidRPr="00A75F31" w:rsidRDefault="0037512A" w:rsidP="00DD1A5F">
            <w:r w:rsidRPr="00A75F31">
              <w:t>0</w:t>
            </w:r>
          </w:p>
        </w:tc>
        <w:tc>
          <w:tcPr>
            <w:tcW w:w="764" w:type="dxa"/>
            <w:noWrap/>
            <w:hideMark/>
          </w:tcPr>
          <w:p w14:paraId="705A0E90" w14:textId="77777777" w:rsidR="0037512A" w:rsidRPr="00A75F31" w:rsidRDefault="0037512A" w:rsidP="00DD1A5F">
            <w:r w:rsidRPr="00A75F31">
              <w:t>0.0</w:t>
            </w:r>
            <w:r>
              <w:rPr>
                <w:rFonts w:ascii="Calibri" w:hAnsi="Calibri" w:cs="Calibri"/>
                <w:color w:val="000000"/>
              </w:rPr>
              <w:t>%</w:t>
            </w:r>
          </w:p>
        </w:tc>
        <w:tc>
          <w:tcPr>
            <w:tcW w:w="718" w:type="dxa"/>
            <w:noWrap/>
            <w:hideMark/>
          </w:tcPr>
          <w:p w14:paraId="49ED8ECB" w14:textId="77777777" w:rsidR="0037512A" w:rsidRPr="00A75F31" w:rsidRDefault="0037512A" w:rsidP="00DD1A5F">
            <w:r w:rsidRPr="00A75F31">
              <w:t>2</w:t>
            </w:r>
          </w:p>
        </w:tc>
        <w:tc>
          <w:tcPr>
            <w:tcW w:w="764" w:type="dxa"/>
            <w:noWrap/>
            <w:hideMark/>
          </w:tcPr>
          <w:p w14:paraId="398BCB8D" w14:textId="77777777" w:rsidR="0037512A" w:rsidRPr="00A75F31" w:rsidRDefault="0037512A" w:rsidP="00DD1A5F">
            <w:r w:rsidRPr="00A75F31">
              <w:t>2.</w:t>
            </w:r>
            <w:r>
              <w:t>9</w:t>
            </w:r>
            <w:r>
              <w:rPr>
                <w:rFonts w:ascii="Calibri" w:hAnsi="Calibri" w:cs="Calibri"/>
                <w:color w:val="000000"/>
              </w:rPr>
              <w:t>%</w:t>
            </w:r>
          </w:p>
        </w:tc>
      </w:tr>
      <w:tr w:rsidR="0037512A" w:rsidRPr="00A75F31" w14:paraId="683AAD51" w14:textId="77777777" w:rsidTr="00DD1A5F">
        <w:trPr>
          <w:trHeight w:val="20"/>
        </w:trPr>
        <w:tc>
          <w:tcPr>
            <w:tcW w:w="1592" w:type="dxa"/>
            <w:tcBorders>
              <w:bottom w:val="single" w:sz="4" w:space="0" w:color="auto"/>
            </w:tcBorders>
            <w:hideMark/>
          </w:tcPr>
          <w:p w14:paraId="59CF2F0B" w14:textId="77777777" w:rsidR="0037512A" w:rsidRPr="00A75F31" w:rsidRDefault="0037512A" w:rsidP="00DD1A5F">
            <w:r>
              <w:t>Is a carer for someone with osteoarthritis</w:t>
            </w:r>
          </w:p>
        </w:tc>
        <w:tc>
          <w:tcPr>
            <w:tcW w:w="621" w:type="dxa"/>
            <w:tcBorders>
              <w:bottom w:val="single" w:sz="4" w:space="0" w:color="auto"/>
            </w:tcBorders>
          </w:tcPr>
          <w:p w14:paraId="7C4CAA22" w14:textId="77777777" w:rsidR="0037512A" w:rsidRPr="00A75F31" w:rsidRDefault="0037512A" w:rsidP="00DD1A5F">
            <w:r>
              <w:rPr>
                <w:rFonts w:ascii="Calibri" w:hAnsi="Calibri" w:cs="Calibri"/>
                <w:color w:val="000000"/>
              </w:rPr>
              <w:t>21</w:t>
            </w:r>
          </w:p>
        </w:tc>
        <w:tc>
          <w:tcPr>
            <w:tcW w:w="875" w:type="dxa"/>
            <w:tcBorders>
              <w:bottom w:val="single" w:sz="4" w:space="0" w:color="auto"/>
            </w:tcBorders>
          </w:tcPr>
          <w:p w14:paraId="2427E532" w14:textId="77777777" w:rsidR="0037512A" w:rsidRPr="00A75F31" w:rsidRDefault="0037512A" w:rsidP="00DD1A5F">
            <w:r>
              <w:rPr>
                <w:rFonts w:ascii="Calibri" w:hAnsi="Calibri" w:cs="Calibri"/>
                <w:color w:val="000000"/>
              </w:rPr>
              <w:t>7.7%</w:t>
            </w:r>
          </w:p>
        </w:tc>
        <w:tc>
          <w:tcPr>
            <w:tcW w:w="718" w:type="dxa"/>
            <w:tcBorders>
              <w:bottom w:val="single" w:sz="4" w:space="0" w:color="auto"/>
            </w:tcBorders>
            <w:noWrap/>
            <w:hideMark/>
          </w:tcPr>
          <w:p w14:paraId="299078F8" w14:textId="77777777" w:rsidR="0037512A" w:rsidRPr="00A75F31" w:rsidRDefault="0037512A" w:rsidP="00DD1A5F">
            <w:r w:rsidRPr="00A75F31">
              <w:t>4</w:t>
            </w:r>
          </w:p>
        </w:tc>
        <w:tc>
          <w:tcPr>
            <w:tcW w:w="764" w:type="dxa"/>
            <w:tcBorders>
              <w:bottom w:val="single" w:sz="4" w:space="0" w:color="auto"/>
            </w:tcBorders>
            <w:noWrap/>
            <w:hideMark/>
          </w:tcPr>
          <w:p w14:paraId="267D98B6" w14:textId="77777777" w:rsidR="0037512A" w:rsidRPr="00A75F31" w:rsidRDefault="0037512A" w:rsidP="00DD1A5F">
            <w:r w:rsidRPr="00A75F31">
              <w:t>6.3</w:t>
            </w:r>
            <w:r>
              <w:rPr>
                <w:rFonts w:ascii="Calibri" w:hAnsi="Calibri" w:cs="Calibri"/>
                <w:color w:val="000000"/>
              </w:rPr>
              <w:t>%</w:t>
            </w:r>
          </w:p>
        </w:tc>
        <w:tc>
          <w:tcPr>
            <w:tcW w:w="718" w:type="dxa"/>
            <w:tcBorders>
              <w:bottom w:val="single" w:sz="4" w:space="0" w:color="auto"/>
            </w:tcBorders>
            <w:noWrap/>
            <w:hideMark/>
          </w:tcPr>
          <w:p w14:paraId="3B58570F" w14:textId="77777777" w:rsidR="0037512A" w:rsidRPr="00A75F31" w:rsidRDefault="0037512A" w:rsidP="00DD1A5F">
            <w:r w:rsidRPr="00A75F31">
              <w:t>3</w:t>
            </w:r>
          </w:p>
        </w:tc>
        <w:tc>
          <w:tcPr>
            <w:tcW w:w="764" w:type="dxa"/>
            <w:tcBorders>
              <w:bottom w:val="single" w:sz="4" w:space="0" w:color="auto"/>
            </w:tcBorders>
            <w:noWrap/>
            <w:hideMark/>
          </w:tcPr>
          <w:p w14:paraId="4710A53A" w14:textId="77777777" w:rsidR="0037512A" w:rsidRPr="00A75F31" w:rsidRDefault="0037512A" w:rsidP="00DD1A5F">
            <w:r w:rsidRPr="00A75F31">
              <w:t>3.4</w:t>
            </w:r>
            <w:r>
              <w:rPr>
                <w:rFonts w:ascii="Calibri" w:hAnsi="Calibri" w:cs="Calibri"/>
                <w:color w:val="000000"/>
              </w:rPr>
              <w:t>%</w:t>
            </w:r>
          </w:p>
        </w:tc>
        <w:tc>
          <w:tcPr>
            <w:tcW w:w="718" w:type="dxa"/>
            <w:tcBorders>
              <w:bottom w:val="single" w:sz="4" w:space="0" w:color="auto"/>
            </w:tcBorders>
            <w:noWrap/>
            <w:hideMark/>
          </w:tcPr>
          <w:p w14:paraId="649F868C" w14:textId="77777777" w:rsidR="0037512A" w:rsidRPr="00A75F31" w:rsidRDefault="0037512A" w:rsidP="00DD1A5F">
            <w:r>
              <w:t>6</w:t>
            </w:r>
          </w:p>
        </w:tc>
        <w:tc>
          <w:tcPr>
            <w:tcW w:w="764" w:type="dxa"/>
            <w:tcBorders>
              <w:bottom w:val="single" w:sz="4" w:space="0" w:color="auto"/>
            </w:tcBorders>
            <w:noWrap/>
            <w:hideMark/>
          </w:tcPr>
          <w:p w14:paraId="56F998F3" w14:textId="77777777" w:rsidR="0037512A" w:rsidRPr="00A75F31" w:rsidRDefault="0037512A" w:rsidP="00DD1A5F">
            <w:r>
              <w:t>10.9</w:t>
            </w:r>
            <w:r>
              <w:rPr>
                <w:rFonts w:ascii="Calibri" w:hAnsi="Calibri" w:cs="Calibri"/>
                <w:color w:val="000000"/>
              </w:rPr>
              <w:t>%</w:t>
            </w:r>
          </w:p>
        </w:tc>
        <w:tc>
          <w:tcPr>
            <w:tcW w:w="718" w:type="dxa"/>
            <w:tcBorders>
              <w:bottom w:val="single" w:sz="4" w:space="0" w:color="auto"/>
            </w:tcBorders>
            <w:noWrap/>
            <w:hideMark/>
          </w:tcPr>
          <w:p w14:paraId="406D984A" w14:textId="77777777" w:rsidR="0037512A" w:rsidRPr="00A75F31" w:rsidRDefault="0037512A" w:rsidP="00DD1A5F">
            <w:r>
              <w:t>8</w:t>
            </w:r>
          </w:p>
        </w:tc>
        <w:tc>
          <w:tcPr>
            <w:tcW w:w="764" w:type="dxa"/>
            <w:tcBorders>
              <w:bottom w:val="single" w:sz="4" w:space="0" w:color="auto"/>
            </w:tcBorders>
            <w:noWrap/>
            <w:hideMark/>
          </w:tcPr>
          <w:p w14:paraId="47782BF2" w14:textId="77777777" w:rsidR="0037512A" w:rsidRPr="00A75F31" w:rsidRDefault="0037512A" w:rsidP="00DD1A5F">
            <w:r>
              <w:t>11.8</w:t>
            </w:r>
            <w:r>
              <w:rPr>
                <w:rFonts w:ascii="Calibri" w:hAnsi="Calibri" w:cs="Calibri"/>
                <w:color w:val="000000"/>
              </w:rPr>
              <w:t>%</w:t>
            </w:r>
          </w:p>
        </w:tc>
      </w:tr>
    </w:tbl>
    <w:p w14:paraId="2E17E46D" w14:textId="77777777" w:rsidR="0037512A" w:rsidRDefault="0037512A" w:rsidP="0037512A"/>
    <w:p w14:paraId="2FDC5FB8" w14:textId="440C14EA" w:rsidR="0037512A" w:rsidRDefault="0037512A">
      <w:r>
        <w:br w:type="page"/>
      </w:r>
    </w:p>
    <w:p w14:paraId="5CCA89EA" w14:textId="30F77A95" w:rsidR="0037512A" w:rsidRPr="008108F6" w:rsidRDefault="0037512A" w:rsidP="0037512A">
      <w:pPr>
        <w:pStyle w:val="Heading3"/>
      </w:pPr>
      <w:r w:rsidRPr="008108F6">
        <w:lastRenderedPageBreak/>
        <w:t xml:space="preserve">Table </w:t>
      </w:r>
      <w:r w:rsidR="002E54A4">
        <w:t>3</w:t>
      </w:r>
      <w:r w:rsidRPr="008108F6">
        <w:t xml:space="preserve">.  Mean CARE Scores </w:t>
      </w:r>
      <w:r>
        <w:t xml:space="preserve">for Standard and Enhanced Consultations </w:t>
      </w:r>
      <w:r w:rsidRPr="008108F6">
        <w:t xml:space="preserve">by Ethnicity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990"/>
        <w:gridCol w:w="992"/>
        <w:gridCol w:w="1418"/>
        <w:gridCol w:w="850"/>
        <w:gridCol w:w="835"/>
        <w:gridCol w:w="1717"/>
      </w:tblGrid>
      <w:tr w:rsidR="0037512A" w:rsidRPr="00295CC9" w14:paraId="7318EA06" w14:textId="77777777" w:rsidTr="00DD1A5F">
        <w:trPr>
          <w:trHeight w:val="458"/>
        </w:trPr>
        <w:tc>
          <w:tcPr>
            <w:tcW w:w="2129" w:type="dxa"/>
            <w:tcBorders>
              <w:top w:val="single" w:sz="4" w:space="0" w:color="auto"/>
            </w:tcBorders>
          </w:tcPr>
          <w:p w14:paraId="6119D010" w14:textId="77777777" w:rsidR="0037512A" w:rsidRPr="00CD197F" w:rsidRDefault="0037512A" w:rsidP="00DD1A5F"/>
        </w:tc>
        <w:tc>
          <w:tcPr>
            <w:tcW w:w="3400" w:type="dxa"/>
            <w:gridSpan w:val="3"/>
            <w:tcBorders>
              <w:top w:val="single" w:sz="4" w:space="0" w:color="auto"/>
            </w:tcBorders>
          </w:tcPr>
          <w:p w14:paraId="364FF1E5" w14:textId="77777777" w:rsidR="0037512A" w:rsidRPr="0091550C" w:rsidRDefault="0037512A" w:rsidP="00DD1A5F">
            <w:r>
              <w:t>Standard Consultation</w:t>
            </w:r>
          </w:p>
        </w:tc>
        <w:tc>
          <w:tcPr>
            <w:tcW w:w="3402" w:type="dxa"/>
            <w:gridSpan w:val="3"/>
            <w:tcBorders>
              <w:top w:val="single" w:sz="4" w:space="0" w:color="auto"/>
            </w:tcBorders>
          </w:tcPr>
          <w:p w14:paraId="33FFB03D" w14:textId="77777777" w:rsidR="0037512A" w:rsidRPr="0091550C" w:rsidRDefault="0037512A" w:rsidP="00DD1A5F">
            <w:r>
              <w:t>Enhanced Consultation</w:t>
            </w:r>
          </w:p>
        </w:tc>
      </w:tr>
      <w:tr w:rsidR="0037512A" w:rsidRPr="00295CC9" w14:paraId="63EE7313" w14:textId="77777777" w:rsidTr="00DD1A5F">
        <w:trPr>
          <w:trHeight w:val="458"/>
        </w:trPr>
        <w:tc>
          <w:tcPr>
            <w:tcW w:w="2129" w:type="dxa"/>
            <w:tcBorders>
              <w:bottom w:val="single" w:sz="4" w:space="0" w:color="auto"/>
            </w:tcBorders>
          </w:tcPr>
          <w:p w14:paraId="1DD6EE87" w14:textId="77777777" w:rsidR="0037512A" w:rsidRPr="00295CC9" w:rsidRDefault="0037512A" w:rsidP="00DD1A5F">
            <w:r w:rsidRPr="00CD197F">
              <w:t>Participant Ethnicity</w:t>
            </w:r>
          </w:p>
        </w:tc>
        <w:tc>
          <w:tcPr>
            <w:tcW w:w="990" w:type="dxa"/>
            <w:tcBorders>
              <w:bottom w:val="single" w:sz="4" w:space="0" w:color="auto"/>
            </w:tcBorders>
          </w:tcPr>
          <w:p w14:paraId="59897EBE" w14:textId="77777777" w:rsidR="0037512A" w:rsidRPr="00295CC9" w:rsidRDefault="0037512A" w:rsidP="00DD1A5F">
            <w:r w:rsidRPr="0091550C">
              <w:t>Mean</w:t>
            </w:r>
          </w:p>
        </w:tc>
        <w:tc>
          <w:tcPr>
            <w:tcW w:w="992" w:type="dxa"/>
            <w:tcBorders>
              <w:bottom w:val="single" w:sz="4" w:space="0" w:color="auto"/>
            </w:tcBorders>
          </w:tcPr>
          <w:p w14:paraId="0AD026BA" w14:textId="77777777" w:rsidR="0037512A" w:rsidRPr="00295CC9" w:rsidRDefault="0037512A" w:rsidP="00DD1A5F">
            <w:r w:rsidRPr="0091550C">
              <w:t>SD</w:t>
            </w:r>
          </w:p>
        </w:tc>
        <w:tc>
          <w:tcPr>
            <w:tcW w:w="1418" w:type="dxa"/>
            <w:tcBorders>
              <w:bottom w:val="single" w:sz="4" w:space="0" w:color="auto"/>
            </w:tcBorders>
          </w:tcPr>
          <w:p w14:paraId="6E6A7007" w14:textId="77777777" w:rsidR="0037512A" w:rsidRPr="00295CC9" w:rsidRDefault="0037512A" w:rsidP="00DD1A5F">
            <w:r w:rsidRPr="0091550C">
              <w:t>N</w:t>
            </w:r>
          </w:p>
        </w:tc>
        <w:tc>
          <w:tcPr>
            <w:tcW w:w="850" w:type="dxa"/>
            <w:tcBorders>
              <w:bottom w:val="single" w:sz="4" w:space="0" w:color="auto"/>
            </w:tcBorders>
          </w:tcPr>
          <w:p w14:paraId="0458C12C" w14:textId="77777777" w:rsidR="0037512A" w:rsidRPr="0091550C" w:rsidRDefault="0037512A" w:rsidP="00DD1A5F">
            <w:r w:rsidRPr="0091550C">
              <w:t>Mean</w:t>
            </w:r>
          </w:p>
        </w:tc>
        <w:tc>
          <w:tcPr>
            <w:tcW w:w="835" w:type="dxa"/>
            <w:tcBorders>
              <w:bottom w:val="single" w:sz="4" w:space="0" w:color="auto"/>
            </w:tcBorders>
          </w:tcPr>
          <w:p w14:paraId="5BF75594" w14:textId="77777777" w:rsidR="0037512A" w:rsidRPr="0091550C" w:rsidRDefault="0037512A" w:rsidP="00DD1A5F">
            <w:r w:rsidRPr="0091550C">
              <w:t>SD</w:t>
            </w:r>
          </w:p>
        </w:tc>
        <w:tc>
          <w:tcPr>
            <w:tcW w:w="1717" w:type="dxa"/>
            <w:tcBorders>
              <w:bottom w:val="single" w:sz="4" w:space="0" w:color="auto"/>
            </w:tcBorders>
          </w:tcPr>
          <w:p w14:paraId="3A9AE921" w14:textId="77777777" w:rsidR="0037512A" w:rsidRPr="0091550C" w:rsidRDefault="0037512A" w:rsidP="00DD1A5F">
            <w:r w:rsidRPr="0091550C">
              <w:t>N</w:t>
            </w:r>
          </w:p>
        </w:tc>
      </w:tr>
      <w:tr w:rsidR="0037512A" w:rsidRPr="00295CC9" w14:paraId="36CC678F" w14:textId="77777777" w:rsidTr="00DD1A5F">
        <w:trPr>
          <w:trHeight w:val="139"/>
        </w:trPr>
        <w:tc>
          <w:tcPr>
            <w:tcW w:w="2129" w:type="dxa"/>
            <w:tcBorders>
              <w:top w:val="single" w:sz="4" w:space="0" w:color="auto"/>
            </w:tcBorders>
            <w:hideMark/>
          </w:tcPr>
          <w:p w14:paraId="4DC182CF" w14:textId="77777777" w:rsidR="0037512A" w:rsidRPr="00295CC9" w:rsidRDefault="0037512A" w:rsidP="00DD1A5F">
            <w:r w:rsidRPr="00295CC9">
              <w:t>Black British</w:t>
            </w:r>
          </w:p>
        </w:tc>
        <w:tc>
          <w:tcPr>
            <w:tcW w:w="990" w:type="dxa"/>
            <w:tcBorders>
              <w:top w:val="single" w:sz="4" w:space="0" w:color="auto"/>
            </w:tcBorders>
            <w:hideMark/>
          </w:tcPr>
          <w:p w14:paraId="13C4100D" w14:textId="77777777" w:rsidR="0037512A" w:rsidRPr="00295CC9" w:rsidRDefault="0037512A" w:rsidP="00DD1A5F">
            <w:r w:rsidRPr="00295CC9">
              <w:t>19.09</w:t>
            </w:r>
          </w:p>
        </w:tc>
        <w:tc>
          <w:tcPr>
            <w:tcW w:w="992" w:type="dxa"/>
            <w:tcBorders>
              <w:top w:val="single" w:sz="4" w:space="0" w:color="auto"/>
            </w:tcBorders>
            <w:hideMark/>
          </w:tcPr>
          <w:p w14:paraId="63A875D2" w14:textId="77777777" w:rsidR="0037512A" w:rsidRPr="00295CC9" w:rsidRDefault="0037512A" w:rsidP="00DD1A5F">
            <w:r w:rsidRPr="00295CC9">
              <w:t>10.52</w:t>
            </w:r>
          </w:p>
        </w:tc>
        <w:tc>
          <w:tcPr>
            <w:tcW w:w="1418" w:type="dxa"/>
            <w:tcBorders>
              <w:top w:val="single" w:sz="4" w:space="0" w:color="auto"/>
            </w:tcBorders>
            <w:hideMark/>
          </w:tcPr>
          <w:p w14:paraId="50BCF4D8" w14:textId="77777777" w:rsidR="0037512A" w:rsidRPr="00295CC9" w:rsidRDefault="0037512A" w:rsidP="00DD1A5F">
            <w:r w:rsidRPr="00295CC9">
              <w:t>33</w:t>
            </w:r>
          </w:p>
        </w:tc>
        <w:tc>
          <w:tcPr>
            <w:tcW w:w="850" w:type="dxa"/>
            <w:tcBorders>
              <w:top w:val="single" w:sz="4" w:space="0" w:color="auto"/>
            </w:tcBorders>
          </w:tcPr>
          <w:p w14:paraId="7C09F076" w14:textId="77777777" w:rsidR="0037512A" w:rsidRPr="00295CC9" w:rsidRDefault="0037512A" w:rsidP="00DD1A5F">
            <w:r w:rsidRPr="0091550C">
              <w:t>44.90</w:t>
            </w:r>
          </w:p>
        </w:tc>
        <w:tc>
          <w:tcPr>
            <w:tcW w:w="835" w:type="dxa"/>
            <w:tcBorders>
              <w:top w:val="single" w:sz="4" w:space="0" w:color="auto"/>
            </w:tcBorders>
          </w:tcPr>
          <w:p w14:paraId="245AD196" w14:textId="77777777" w:rsidR="0037512A" w:rsidRPr="00295CC9" w:rsidRDefault="0037512A" w:rsidP="00DD1A5F">
            <w:r w:rsidRPr="0091550C">
              <w:t>5.13</w:t>
            </w:r>
          </w:p>
        </w:tc>
        <w:tc>
          <w:tcPr>
            <w:tcW w:w="1717" w:type="dxa"/>
            <w:tcBorders>
              <w:top w:val="single" w:sz="4" w:space="0" w:color="auto"/>
            </w:tcBorders>
          </w:tcPr>
          <w:p w14:paraId="4B271E90" w14:textId="77777777" w:rsidR="0037512A" w:rsidRPr="00295CC9" w:rsidRDefault="0037512A" w:rsidP="00DD1A5F">
            <w:r w:rsidRPr="0091550C">
              <w:t>30</w:t>
            </w:r>
          </w:p>
        </w:tc>
      </w:tr>
      <w:tr w:rsidR="0037512A" w:rsidRPr="00295CC9" w14:paraId="6C181696" w14:textId="77777777" w:rsidTr="00DD1A5F">
        <w:trPr>
          <w:trHeight w:val="245"/>
        </w:trPr>
        <w:tc>
          <w:tcPr>
            <w:tcW w:w="2129" w:type="dxa"/>
            <w:hideMark/>
          </w:tcPr>
          <w:p w14:paraId="5AADAC58" w14:textId="77777777" w:rsidR="0037512A" w:rsidRPr="00295CC9" w:rsidRDefault="0037512A" w:rsidP="00DD1A5F">
            <w:r>
              <w:t xml:space="preserve">White </w:t>
            </w:r>
            <w:r w:rsidRPr="00295CC9">
              <w:t>Caucasian</w:t>
            </w:r>
          </w:p>
        </w:tc>
        <w:tc>
          <w:tcPr>
            <w:tcW w:w="990" w:type="dxa"/>
            <w:hideMark/>
          </w:tcPr>
          <w:p w14:paraId="53B98C2D" w14:textId="77777777" w:rsidR="0037512A" w:rsidRPr="00295CC9" w:rsidRDefault="0037512A" w:rsidP="00DD1A5F">
            <w:r w:rsidRPr="00295CC9">
              <w:t>16.14</w:t>
            </w:r>
          </w:p>
        </w:tc>
        <w:tc>
          <w:tcPr>
            <w:tcW w:w="992" w:type="dxa"/>
            <w:hideMark/>
          </w:tcPr>
          <w:p w14:paraId="10437CE2" w14:textId="77777777" w:rsidR="0037512A" w:rsidRPr="00295CC9" w:rsidRDefault="0037512A" w:rsidP="00DD1A5F">
            <w:r w:rsidRPr="00295CC9">
              <w:t>5.44</w:t>
            </w:r>
          </w:p>
        </w:tc>
        <w:tc>
          <w:tcPr>
            <w:tcW w:w="1418" w:type="dxa"/>
            <w:hideMark/>
          </w:tcPr>
          <w:p w14:paraId="081A981C" w14:textId="77777777" w:rsidR="0037512A" w:rsidRPr="00295CC9" w:rsidRDefault="0037512A" w:rsidP="00DD1A5F">
            <w:r w:rsidRPr="00295CC9">
              <w:t>44</w:t>
            </w:r>
          </w:p>
        </w:tc>
        <w:tc>
          <w:tcPr>
            <w:tcW w:w="850" w:type="dxa"/>
          </w:tcPr>
          <w:p w14:paraId="7F4A31E0" w14:textId="77777777" w:rsidR="0037512A" w:rsidRPr="00295CC9" w:rsidRDefault="0037512A" w:rsidP="00DD1A5F">
            <w:r>
              <w:t>44.93</w:t>
            </w:r>
          </w:p>
        </w:tc>
        <w:tc>
          <w:tcPr>
            <w:tcW w:w="835" w:type="dxa"/>
          </w:tcPr>
          <w:p w14:paraId="5C68580F" w14:textId="77777777" w:rsidR="0037512A" w:rsidRPr="00295CC9" w:rsidRDefault="0037512A" w:rsidP="00DD1A5F">
            <w:r w:rsidRPr="0091550C">
              <w:t>5.</w:t>
            </w:r>
            <w:r>
              <w:t>27</w:t>
            </w:r>
          </w:p>
        </w:tc>
        <w:tc>
          <w:tcPr>
            <w:tcW w:w="1717" w:type="dxa"/>
          </w:tcPr>
          <w:p w14:paraId="2A0710B1" w14:textId="77777777" w:rsidR="0037512A" w:rsidRPr="00295CC9" w:rsidRDefault="0037512A" w:rsidP="00DD1A5F">
            <w:r w:rsidRPr="0091550C">
              <w:t>4</w:t>
            </w:r>
            <w:r>
              <w:t>4</w:t>
            </w:r>
          </w:p>
        </w:tc>
      </w:tr>
      <w:tr w:rsidR="0037512A" w:rsidRPr="00295CC9" w14:paraId="3A205511" w14:textId="77777777" w:rsidTr="00DD1A5F">
        <w:trPr>
          <w:trHeight w:val="337"/>
        </w:trPr>
        <w:tc>
          <w:tcPr>
            <w:tcW w:w="2129" w:type="dxa"/>
            <w:hideMark/>
          </w:tcPr>
          <w:p w14:paraId="732772D9" w14:textId="77777777" w:rsidR="0037512A" w:rsidRPr="00295CC9" w:rsidRDefault="0037512A" w:rsidP="00DD1A5F">
            <w:r w:rsidRPr="00295CC9">
              <w:t>East Asian</w:t>
            </w:r>
          </w:p>
        </w:tc>
        <w:tc>
          <w:tcPr>
            <w:tcW w:w="990" w:type="dxa"/>
            <w:hideMark/>
          </w:tcPr>
          <w:p w14:paraId="4B6DE07F" w14:textId="77777777" w:rsidR="0037512A" w:rsidRPr="00295CC9" w:rsidRDefault="0037512A" w:rsidP="00DD1A5F">
            <w:r w:rsidRPr="00295CC9">
              <w:t>22.14</w:t>
            </w:r>
          </w:p>
        </w:tc>
        <w:tc>
          <w:tcPr>
            <w:tcW w:w="992" w:type="dxa"/>
            <w:hideMark/>
          </w:tcPr>
          <w:p w14:paraId="514A571B" w14:textId="77777777" w:rsidR="0037512A" w:rsidRPr="00295CC9" w:rsidRDefault="0037512A" w:rsidP="00DD1A5F">
            <w:r w:rsidRPr="00295CC9">
              <w:t>9.80</w:t>
            </w:r>
          </w:p>
        </w:tc>
        <w:tc>
          <w:tcPr>
            <w:tcW w:w="1418" w:type="dxa"/>
            <w:hideMark/>
          </w:tcPr>
          <w:p w14:paraId="2BFC8106" w14:textId="77777777" w:rsidR="0037512A" w:rsidRPr="00295CC9" w:rsidRDefault="0037512A" w:rsidP="00DD1A5F">
            <w:r w:rsidRPr="00295CC9">
              <w:t>29</w:t>
            </w:r>
          </w:p>
        </w:tc>
        <w:tc>
          <w:tcPr>
            <w:tcW w:w="850" w:type="dxa"/>
          </w:tcPr>
          <w:p w14:paraId="10EE9155" w14:textId="77777777" w:rsidR="0037512A" w:rsidRPr="00295CC9" w:rsidRDefault="0037512A" w:rsidP="00DD1A5F">
            <w:r w:rsidRPr="0091550C">
              <w:t>44.62</w:t>
            </w:r>
          </w:p>
        </w:tc>
        <w:tc>
          <w:tcPr>
            <w:tcW w:w="835" w:type="dxa"/>
          </w:tcPr>
          <w:p w14:paraId="2B4A2EAA" w14:textId="77777777" w:rsidR="0037512A" w:rsidRPr="00295CC9" w:rsidRDefault="0037512A" w:rsidP="00DD1A5F">
            <w:r w:rsidRPr="0091550C">
              <w:t>4.73</w:t>
            </w:r>
          </w:p>
        </w:tc>
        <w:tc>
          <w:tcPr>
            <w:tcW w:w="1717" w:type="dxa"/>
          </w:tcPr>
          <w:p w14:paraId="57ECFFDB" w14:textId="77777777" w:rsidR="0037512A" w:rsidRPr="00295CC9" w:rsidRDefault="0037512A" w:rsidP="00DD1A5F">
            <w:r w:rsidRPr="0091550C">
              <w:t>26</w:t>
            </w:r>
          </w:p>
        </w:tc>
      </w:tr>
      <w:tr w:rsidR="0037512A" w:rsidRPr="00295CC9" w14:paraId="408A7078" w14:textId="77777777" w:rsidTr="00DD1A5F">
        <w:trPr>
          <w:trHeight w:val="315"/>
        </w:trPr>
        <w:tc>
          <w:tcPr>
            <w:tcW w:w="2129" w:type="dxa"/>
            <w:hideMark/>
          </w:tcPr>
          <w:p w14:paraId="056C4538" w14:textId="77777777" w:rsidR="0037512A" w:rsidRPr="00295CC9" w:rsidRDefault="0037512A" w:rsidP="00DD1A5F">
            <w:r w:rsidRPr="00295CC9">
              <w:t>South Asian</w:t>
            </w:r>
          </w:p>
        </w:tc>
        <w:tc>
          <w:tcPr>
            <w:tcW w:w="990" w:type="dxa"/>
            <w:hideMark/>
          </w:tcPr>
          <w:p w14:paraId="25A8393B" w14:textId="77777777" w:rsidR="0037512A" w:rsidRPr="00295CC9" w:rsidRDefault="0037512A" w:rsidP="00DD1A5F">
            <w:r w:rsidRPr="00295CC9">
              <w:t>19.46</w:t>
            </w:r>
          </w:p>
        </w:tc>
        <w:tc>
          <w:tcPr>
            <w:tcW w:w="992" w:type="dxa"/>
            <w:hideMark/>
          </w:tcPr>
          <w:p w14:paraId="41A855A4" w14:textId="77777777" w:rsidR="0037512A" w:rsidRPr="00295CC9" w:rsidRDefault="0037512A" w:rsidP="00DD1A5F">
            <w:r w:rsidRPr="00295CC9">
              <w:t>10.85</w:t>
            </w:r>
          </w:p>
        </w:tc>
        <w:tc>
          <w:tcPr>
            <w:tcW w:w="1418" w:type="dxa"/>
            <w:hideMark/>
          </w:tcPr>
          <w:p w14:paraId="71EA39CF" w14:textId="77777777" w:rsidR="0037512A" w:rsidRPr="00295CC9" w:rsidRDefault="0037512A" w:rsidP="00DD1A5F">
            <w:r w:rsidRPr="00295CC9">
              <w:t>35</w:t>
            </w:r>
          </w:p>
        </w:tc>
        <w:tc>
          <w:tcPr>
            <w:tcW w:w="850" w:type="dxa"/>
          </w:tcPr>
          <w:p w14:paraId="41B8B41C" w14:textId="77777777" w:rsidR="0037512A" w:rsidRPr="00295CC9" w:rsidRDefault="0037512A" w:rsidP="00DD1A5F">
            <w:r w:rsidRPr="0091550C">
              <w:t>46.12</w:t>
            </w:r>
          </w:p>
        </w:tc>
        <w:tc>
          <w:tcPr>
            <w:tcW w:w="835" w:type="dxa"/>
          </w:tcPr>
          <w:p w14:paraId="65E25E07" w14:textId="77777777" w:rsidR="0037512A" w:rsidRPr="00295CC9" w:rsidRDefault="0037512A" w:rsidP="00DD1A5F">
            <w:r w:rsidRPr="0091550C">
              <w:t>4.23</w:t>
            </w:r>
          </w:p>
        </w:tc>
        <w:tc>
          <w:tcPr>
            <w:tcW w:w="1717" w:type="dxa"/>
          </w:tcPr>
          <w:p w14:paraId="383E13CD" w14:textId="77777777" w:rsidR="0037512A" w:rsidRPr="00295CC9" w:rsidRDefault="0037512A" w:rsidP="00DD1A5F">
            <w:r w:rsidRPr="0091550C">
              <w:t>33</w:t>
            </w:r>
          </w:p>
        </w:tc>
      </w:tr>
      <w:tr w:rsidR="0037512A" w:rsidRPr="00295CC9" w14:paraId="0E08A28A" w14:textId="77777777" w:rsidTr="00DD1A5F">
        <w:trPr>
          <w:trHeight w:val="315"/>
        </w:trPr>
        <w:tc>
          <w:tcPr>
            <w:tcW w:w="2129" w:type="dxa"/>
            <w:tcBorders>
              <w:bottom w:val="single" w:sz="4" w:space="0" w:color="auto"/>
            </w:tcBorders>
            <w:hideMark/>
          </w:tcPr>
          <w:p w14:paraId="1A0992FF" w14:textId="77777777" w:rsidR="0037512A" w:rsidRPr="00295CC9" w:rsidRDefault="0037512A" w:rsidP="00DD1A5F">
            <w:r>
              <w:t>All</w:t>
            </w:r>
          </w:p>
        </w:tc>
        <w:tc>
          <w:tcPr>
            <w:tcW w:w="990" w:type="dxa"/>
            <w:tcBorders>
              <w:bottom w:val="single" w:sz="4" w:space="0" w:color="auto"/>
            </w:tcBorders>
            <w:hideMark/>
          </w:tcPr>
          <w:p w14:paraId="7C590D96" w14:textId="77777777" w:rsidR="0037512A" w:rsidRPr="00295CC9" w:rsidRDefault="0037512A" w:rsidP="00DD1A5F">
            <w:r w:rsidRPr="00295CC9">
              <w:t>18.89</w:t>
            </w:r>
          </w:p>
        </w:tc>
        <w:tc>
          <w:tcPr>
            <w:tcW w:w="992" w:type="dxa"/>
            <w:tcBorders>
              <w:bottom w:val="single" w:sz="4" w:space="0" w:color="auto"/>
            </w:tcBorders>
            <w:hideMark/>
          </w:tcPr>
          <w:p w14:paraId="7F6B223C" w14:textId="77777777" w:rsidR="0037512A" w:rsidRPr="00295CC9" w:rsidRDefault="0037512A" w:rsidP="00DD1A5F">
            <w:r w:rsidRPr="00295CC9">
              <w:t>9.32</w:t>
            </w:r>
          </w:p>
        </w:tc>
        <w:tc>
          <w:tcPr>
            <w:tcW w:w="1418" w:type="dxa"/>
            <w:tcBorders>
              <w:bottom w:val="single" w:sz="4" w:space="0" w:color="auto"/>
            </w:tcBorders>
            <w:hideMark/>
          </w:tcPr>
          <w:p w14:paraId="4C0D439E" w14:textId="77777777" w:rsidR="0037512A" w:rsidRPr="00295CC9" w:rsidRDefault="0037512A" w:rsidP="00DD1A5F">
            <w:r w:rsidRPr="00295CC9">
              <w:t>141</w:t>
            </w:r>
          </w:p>
        </w:tc>
        <w:tc>
          <w:tcPr>
            <w:tcW w:w="850" w:type="dxa"/>
            <w:tcBorders>
              <w:bottom w:val="single" w:sz="4" w:space="0" w:color="auto"/>
            </w:tcBorders>
          </w:tcPr>
          <w:p w14:paraId="33E7ECED" w14:textId="77777777" w:rsidR="0037512A" w:rsidRPr="00295CC9" w:rsidRDefault="0037512A" w:rsidP="00DD1A5F">
            <w:r w:rsidRPr="0091550C">
              <w:t>45.1</w:t>
            </w:r>
            <w:r>
              <w:t>6</w:t>
            </w:r>
          </w:p>
        </w:tc>
        <w:tc>
          <w:tcPr>
            <w:tcW w:w="835" w:type="dxa"/>
            <w:tcBorders>
              <w:bottom w:val="single" w:sz="4" w:space="0" w:color="auto"/>
            </w:tcBorders>
          </w:tcPr>
          <w:p w14:paraId="6379027B" w14:textId="77777777" w:rsidR="0037512A" w:rsidRPr="00295CC9" w:rsidRDefault="0037512A" w:rsidP="00DD1A5F">
            <w:r w:rsidRPr="0091550C">
              <w:t>4.87</w:t>
            </w:r>
          </w:p>
        </w:tc>
        <w:tc>
          <w:tcPr>
            <w:tcW w:w="1717" w:type="dxa"/>
            <w:tcBorders>
              <w:bottom w:val="single" w:sz="4" w:space="0" w:color="auto"/>
            </w:tcBorders>
          </w:tcPr>
          <w:p w14:paraId="34612657" w14:textId="77777777" w:rsidR="0037512A" w:rsidRPr="00295CC9" w:rsidRDefault="0037512A" w:rsidP="00DD1A5F">
            <w:r w:rsidRPr="0091550C">
              <w:t>13</w:t>
            </w:r>
            <w:r>
              <w:t>3</w:t>
            </w:r>
          </w:p>
        </w:tc>
      </w:tr>
    </w:tbl>
    <w:p w14:paraId="7C502DD2" w14:textId="77777777" w:rsidR="0037512A" w:rsidRDefault="0037512A" w:rsidP="0037512A">
      <w:r>
        <w:t>Note.  CARE scores possible range 10-50; higher scores indicate greater perceived clinical empathy.</w:t>
      </w:r>
    </w:p>
    <w:p w14:paraId="7C8B0304" w14:textId="77777777" w:rsidR="00BE1DFC" w:rsidRDefault="00BE1DFC" w:rsidP="00BE1DFC"/>
    <w:p w14:paraId="7BFFBAFE" w14:textId="77777777" w:rsidR="00BE1DFC" w:rsidRDefault="00BE1DFC" w:rsidP="00BE1DFC">
      <w:pPr>
        <w:pStyle w:val="Heading3"/>
        <w:sectPr w:rsidR="00BE1DFC" w:rsidSect="00BE1DFC">
          <w:headerReference w:type="default" r:id="rId12"/>
          <w:pgSz w:w="11906" w:h="16838"/>
          <w:pgMar w:top="1440" w:right="1440" w:bottom="1440" w:left="1440" w:header="708" w:footer="708" w:gutter="0"/>
          <w:cols w:space="708"/>
          <w:docGrid w:linePitch="360"/>
        </w:sectPr>
      </w:pPr>
    </w:p>
    <w:p w14:paraId="5147D5FD" w14:textId="0B5B5478" w:rsidR="003E67AF" w:rsidRDefault="003E67AF" w:rsidP="003E67AF">
      <w:pPr>
        <w:pStyle w:val="Heading3"/>
      </w:pPr>
      <w:r>
        <w:lastRenderedPageBreak/>
        <w:t xml:space="preserve">Table </w:t>
      </w:r>
      <w:r w:rsidR="002E54A4">
        <w:t>4</w:t>
      </w:r>
      <w:r>
        <w:t>. Bayesian Analysis Model Comparison</w:t>
      </w:r>
    </w:p>
    <w:tbl>
      <w:tblPr>
        <w:tblW w:w="0" w:type="auto"/>
        <w:tblLayout w:type="fixed"/>
        <w:tblCellMar>
          <w:left w:w="0" w:type="dxa"/>
          <w:right w:w="0" w:type="dxa"/>
        </w:tblCellMar>
        <w:tblLook w:val="04A0" w:firstRow="1" w:lastRow="0" w:firstColumn="1" w:lastColumn="0" w:noHBand="0" w:noVBand="1"/>
      </w:tblPr>
      <w:tblGrid>
        <w:gridCol w:w="1560"/>
        <w:gridCol w:w="992"/>
        <w:gridCol w:w="1323"/>
        <w:gridCol w:w="1370"/>
        <w:gridCol w:w="1418"/>
        <w:gridCol w:w="1417"/>
      </w:tblGrid>
      <w:tr w:rsidR="006E4A0D" w:rsidRPr="00CC7A50" w14:paraId="5AB7CCEC" w14:textId="77777777" w:rsidTr="006E4A0D">
        <w:trPr>
          <w:trHeight w:val="450"/>
          <w:tblHeader/>
        </w:trPr>
        <w:tc>
          <w:tcPr>
            <w:tcW w:w="1560" w:type="dxa"/>
            <w:tcBorders>
              <w:top w:val="single" w:sz="4" w:space="0" w:color="auto"/>
              <w:left w:val="nil"/>
              <w:right w:val="nil"/>
            </w:tcBorders>
            <w:tcMar>
              <w:top w:w="45" w:type="dxa"/>
              <w:left w:w="180" w:type="dxa"/>
              <w:bottom w:w="45" w:type="dxa"/>
              <w:right w:w="180" w:type="dxa"/>
            </w:tcMar>
            <w:vAlign w:val="center"/>
            <w:hideMark/>
          </w:tcPr>
          <w:p w14:paraId="4BE91BFB" w14:textId="0CD43B4C" w:rsidR="003E67AF" w:rsidRPr="00CC7A50" w:rsidRDefault="00D11570" w:rsidP="00A3059B">
            <w:pPr>
              <w:rPr>
                <w:rFonts w:cstheme="minorHAnsi"/>
                <w:b/>
                <w:bCs/>
              </w:rPr>
            </w:pPr>
            <w:r w:rsidRPr="00CC7A50">
              <w:rPr>
                <w:rFonts w:cstheme="minorHAnsi"/>
                <w:b/>
                <w:bCs/>
              </w:rPr>
              <w:t>Model</w:t>
            </w:r>
            <w:r>
              <w:rPr>
                <w:rFonts w:cstheme="minorHAnsi"/>
                <w:b/>
                <w:bCs/>
              </w:rPr>
              <w:t xml:space="preserve"> (M)</w:t>
            </w:r>
          </w:p>
        </w:tc>
        <w:tc>
          <w:tcPr>
            <w:tcW w:w="992" w:type="dxa"/>
            <w:tcBorders>
              <w:top w:val="single" w:sz="4" w:space="0" w:color="auto"/>
              <w:left w:val="nil"/>
              <w:right w:val="nil"/>
            </w:tcBorders>
            <w:tcMar>
              <w:top w:w="45" w:type="dxa"/>
              <w:left w:w="180" w:type="dxa"/>
              <w:bottom w:w="45" w:type="dxa"/>
              <w:right w:w="180" w:type="dxa"/>
            </w:tcMar>
            <w:vAlign w:val="center"/>
            <w:hideMark/>
          </w:tcPr>
          <w:p w14:paraId="48E35A8E" w14:textId="77777777" w:rsidR="003E67AF" w:rsidRPr="00CC7A50" w:rsidRDefault="003E67AF" w:rsidP="00A3059B">
            <w:pPr>
              <w:rPr>
                <w:rFonts w:cstheme="minorHAnsi"/>
                <w:b/>
                <w:bCs/>
              </w:rPr>
            </w:pPr>
            <w:r w:rsidRPr="00CC7A50">
              <w:rPr>
                <w:rFonts w:cstheme="minorHAnsi"/>
                <w:b/>
                <w:bCs/>
              </w:rPr>
              <w:t>P(M)</w:t>
            </w:r>
          </w:p>
        </w:tc>
        <w:tc>
          <w:tcPr>
            <w:tcW w:w="1323" w:type="dxa"/>
            <w:tcBorders>
              <w:top w:val="single" w:sz="4" w:space="0" w:color="auto"/>
              <w:left w:val="nil"/>
              <w:right w:val="nil"/>
            </w:tcBorders>
            <w:tcMar>
              <w:top w:w="45" w:type="dxa"/>
              <w:left w:w="180" w:type="dxa"/>
              <w:bottom w:w="45" w:type="dxa"/>
              <w:right w:w="180" w:type="dxa"/>
            </w:tcMar>
            <w:vAlign w:val="center"/>
            <w:hideMark/>
          </w:tcPr>
          <w:p w14:paraId="5515C26A" w14:textId="77777777" w:rsidR="003E67AF" w:rsidRPr="00CC7A50" w:rsidRDefault="003E67AF" w:rsidP="00A3059B">
            <w:pPr>
              <w:rPr>
                <w:rFonts w:cstheme="minorHAnsi"/>
                <w:b/>
                <w:bCs/>
              </w:rPr>
            </w:pPr>
            <w:r w:rsidRPr="00CC7A50">
              <w:rPr>
                <w:rFonts w:cstheme="minorHAnsi"/>
                <w:b/>
                <w:bCs/>
              </w:rPr>
              <w:t>P(</w:t>
            </w:r>
            <w:proofErr w:type="spellStart"/>
            <w:r w:rsidRPr="00CC7A50">
              <w:rPr>
                <w:rFonts w:cstheme="minorHAnsi"/>
                <w:b/>
                <w:bCs/>
              </w:rPr>
              <w:t>M|data</w:t>
            </w:r>
            <w:proofErr w:type="spellEnd"/>
            <w:r w:rsidRPr="00CC7A50">
              <w:rPr>
                <w:rFonts w:cstheme="minorHAnsi"/>
                <w:b/>
                <w:bCs/>
              </w:rPr>
              <w:t>)</w:t>
            </w:r>
          </w:p>
        </w:tc>
        <w:tc>
          <w:tcPr>
            <w:tcW w:w="1370" w:type="dxa"/>
            <w:tcBorders>
              <w:top w:val="single" w:sz="4" w:space="0" w:color="auto"/>
              <w:left w:val="nil"/>
              <w:right w:val="nil"/>
            </w:tcBorders>
            <w:tcMar>
              <w:top w:w="45" w:type="dxa"/>
              <w:left w:w="180" w:type="dxa"/>
              <w:bottom w:w="45" w:type="dxa"/>
              <w:right w:w="180" w:type="dxa"/>
            </w:tcMar>
            <w:vAlign w:val="center"/>
            <w:hideMark/>
          </w:tcPr>
          <w:p w14:paraId="3ED04BA0" w14:textId="77777777" w:rsidR="003E67AF" w:rsidRPr="00CC7A50" w:rsidRDefault="003E67AF" w:rsidP="00A3059B">
            <w:pPr>
              <w:rPr>
                <w:rFonts w:cstheme="minorHAnsi"/>
                <w:b/>
                <w:bCs/>
              </w:rPr>
            </w:pPr>
            <w:r w:rsidRPr="00CC7A50">
              <w:rPr>
                <w:rFonts w:cstheme="minorHAnsi"/>
                <w:b/>
                <w:bCs/>
              </w:rPr>
              <w:t>BF</w:t>
            </w:r>
            <w:r w:rsidRPr="00CC7A50">
              <w:rPr>
                <w:rFonts w:cstheme="minorHAnsi"/>
                <w:b/>
                <w:bCs/>
                <w:vertAlign w:val="subscript"/>
              </w:rPr>
              <w:t>M</w:t>
            </w:r>
          </w:p>
        </w:tc>
        <w:tc>
          <w:tcPr>
            <w:tcW w:w="1418" w:type="dxa"/>
            <w:tcBorders>
              <w:top w:val="single" w:sz="4" w:space="0" w:color="auto"/>
              <w:left w:val="nil"/>
              <w:right w:val="nil"/>
            </w:tcBorders>
            <w:tcMar>
              <w:top w:w="45" w:type="dxa"/>
              <w:left w:w="180" w:type="dxa"/>
              <w:bottom w:w="45" w:type="dxa"/>
              <w:right w:w="180" w:type="dxa"/>
            </w:tcMar>
            <w:vAlign w:val="center"/>
            <w:hideMark/>
          </w:tcPr>
          <w:p w14:paraId="57F22146" w14:textId="66AE48EF" w:rsidR="003E67AF" w:rsidRPr="00CC7A50" w:rsidRDefault="003E67AF" w:rsidP="00A3059B">
            <w:pPr>
              <w:rPr>
                <w:rFonts w:cstheme="minorHAnsi"/>
                <w:b/>
                <w:bCs/>
              </w:rPr>
            </w:pPr>
            <w:r w:rsidRPr="00CC7A50">
              <w:rPr>
                <w:rFonts w:cstheme="minorHAnsi"/>
                <w:b/>
                <w:bCs/>
              </w:rPr>
              <w:t>BF</w:t>
            </w:r>
            <w:r w:rsidRPr="00CC7A50">
              <w:rPr>
                <w:rFonts w:cstheme="minorHAnsi"/>
                <w:b/>
                <w:bCs/>
                <w:vertAlign w:val="subscript"/>
              </w:rPr>
              <w:t>0</w:t>
            </w:r>
            <w:r w:rsidR="001E7FC3">
              <w:rPr>
                <w:rFonts w:cstheme="minorHAnsi"/>
                <w:b/>
                <w:bCs/>
                <w:vertAlign w:val="subscript"/>
              </w:rPr>
              <w:t>1</w:t>
            </w:r>
          </w:p>
        </w:tc>
        <w:tc>
          <w:tcPr>
            <w:tcW w:w="1417" w:type="dxa"/>
            <w:tcBorders>
              <w:top w:val="single" w:sz="4" w:space="0" w:color="auto"/>
              <w:left w:val="nil"/>
              <w:right w:val="nil"/>
            </w:tcBorders>
            <w:tcMar>
              <w:top w:w="45" w:type="dxa"/>
              <w:left w:w="180" w:type="dxa"/>
              <w:bottom w:w="45" w:type="dxa"/>
              <w:right w:w="180" w:type="dxa"/>
            </w:tcMar>
            <w:vAlign w:val="center"/>
            <w:hideMark/>
          </w:tcPr>
          <w:p w14:paraId="7EF366B3" w14:textId="77777777" w:rsidR="003E67AF" w:rsidRPr="00CC7A50" w:rsidRDefault="003E67AF" w:rsidP="00A3059B">
            <w:pPr>
              <w:rPr>
                <w:rFonts w:cstheme="minorHAnsi"/>
                <w:b/>
                <w:bCs/>
              </w:rPr>
            </w:pPr>
            <w:r w:rsidRPr="00CC7A50">
              <w:rPr>
                <w:rFonts w:cstheme="minorHAnsi"/>
                <w:b/>
                <w:bCs/>
              </w:rPr>
              <w:t>error %</w:t>
            </w:r>
          </w:p>
        </w:tc>
      </w:tr>
      <w:tr w:rsidR="006E4A0D" w:rsidRPr="00CC7A50" w14:paraId="2471ADF5" w14:textId="77777777" w:rsidTr="006E4A0D">
        <w:tc>
          <w:tcPr>
            <w:tcW w:w="1560" w:type="dxa"/>
            <w:tcBorders>
              <w:top w:val="single" w:sz="4" w:space="0" w:color="auto"/>
              <w:left w:val="nil"/>
              <w:bottom w:val="nil"/>
              <w:right w:val="nil"/>
            </w:tcBorders>
            <w:tcMar>
              <w:top w:w="162" w:type="dxa"/>
              <w:left w:w="180" w:type="dxa"/>
              <w:bottom w:w="15" w:type="dxa"/>
              <w:right w:w="0" w:type="dxa"/>
            </w:tcMar>
            <w:vAlign w:val="center"/>
            <w:hideMark/>
          </w:tcPr>
          <w:p w14:paraId="583D6927" w14:textId="77777777" w:rsidR="003E67AF" w:rsidRPr="005E686B" w:rsidRDefault="003E67AF" w:rsidP="00A3059B">
            <w:pPr>
              <w:rPr>
                <w:rFonts w:cstheme="minorHAnsi"/>
              </w:rPr>
            </w:pPr>
            <w:r w:rsidRPr="005E686B">
              <w:rPr>
                <w:rFonts w:cstheme="minorHAnsi"/>
              </w:rPr>
              <w:t>C</w:t>
            </w:r>
          </w:p>
        </w:tc>
        <w:tc>
          <w:tcPr>
            <w:tcW w:w="992" w:type="dxa"/>
            <w:tcBorders>
              <w:top w:val="single" w:sz="4" w:space="0" w:color="auto"/>
              <w:left w:val="nil"/>
              <w:bottom w:val="nil"/>
              <w:right w:val="nil"/>
            </w:tcBorders>
            <w:tcMar>
              <w:top w:w="162" w:type="dxa"/>
              <w:left w:w="180" w:type="dxa"/>
              <w:bottom w:w="15" w:type="dxa"/>
              <w:right w:w="0" w:type="dxa"/>
            </w:tcMar>
            <w:vAlign w:val="center"/>
            <w:hideMark/>
          </w:tcPr>
          <w:p w14:paraId="46F7DAD4" w14:textId="77777777" w:rsidR="003E67AF" w:rsidRPr="00CC7A50" w:rsidRDefault="003E67AF" w:rsidP="00A3059B">
            <w:pPr>
              <w:rPr>
                <w:rFonts w:cstheme="minorHAnsi"/>
              </w:rPr>
            </w:pPr>
            <w:r w:rsidRPr="00CC7A50">
              <w:rPr>
                <w:rFonts w:cstheme="minorHAnsi"/>
              </w:rPr>
              <w:t>0.20</w:t>
            </w:r>
          </w:p>
        </w:tc>
        <w:tc>
          <w:tcPr>
            <w:tcW w:w="1323" w:type="dxa"/>
            <w:tcBorders>
              <w:top w:val="single" w:sz="4" w:space="0" w:color="auto"/>
              <w:left w:val="nil"/>
              <w:bottom w:val="nil"/>
              <w:right w:val="nil"/>
            </w:tcBorders>
            <w:tcMar>
              <w:top w:w="162" w:type="dxa"/>
              <w:left w:w="180" w:type="dxa"/>
              <w:bottom w:w="15" w:type="dxa"/>
              <w:right w:w="0" w:type="dxa"/>
            </w:tcMar>
            <w:vAlign w:val="center"/>
            <w:hideMark/>
          </w:tcPr>
          <w:p w14:paraId="2D92D2CE" w14:textId="77777777" w:rsidR="003E67AF" w:rsidRPr="00CC7A50" w:rsidRDefault="003E67AF" w:rsidP="00A3059B">
            <w:pPr>
              <w:rPr>
                <w:rFonts w:cstheme="minorHAnsi"/>
              </w:rPr>
            </w:pPr>
            <w:r w:rsidRPr="00CC7A50">
              <w:rPr>
                <w:rFonts w:cstheme="minorHAnsi"/>
              </w:rPr>
              <w:t>0.733</w:t>
            </w:r>
          </w:p>
        </w:tc>
        <w:tc>
          <w:tcPr>
            <w:tcW w:w="1370" w:type="dxa"/>
            <w:tcBorders>
              <w:top w:val="single" w:sz="4" w:space="0" w:color="auto"/>
              <w:left w:val="nil"/>
              <w:bottom w:val="nil"/>
              <w:right w:val="nil"/>
            </w:tcBorders>
            <w:tcMar>
              <w:top w:w="162" w:type="dxa"/>
              <w:left w:w="180" w:type="dxa"/>
              <w:bottom w:w="15" w:type="dxa"/>
              <w:right w:w="0" w:type="dxa"/>
            </w:tcMar>
            <w:vAlign w:val="center"/>
            <w:hideMark/>
          </w:tcPr>
          <w:p w14:paraId="74ADEFDD" w14:textId="77777777" w:rsidR="003E67AF" w:rsidRPr="00CC7A50" w:rsidRDefault="003E67AF" w:rsidP="00A3059B">
            <w:pPr>
              <w:rPr>
                <w:rFonts w:cstheme="minorHAnsi"/>
              </w:rPr>
            </w:pPr>
            <w:r w:rsidRPr="00CC7A50">
              <w:rPr>
                <w:rFonts w:cstheme="minorHAnsi"/>
              </w:rPr>
              <w:t>10.990</w:t>
            </w:r>
          </w:p>
        </w:tc>
        <w:tc>
          <w:tcPr>
            <w:tcW w:w="1418" w:type="dxa"/>
            <w:tcBorders>
              <w:top w:val="single" w:sz="4" w:space="0" w:color="auto"/>
              <w:left w:val="nil"/>
              <w:bottom w:val="nil"/>
              <w:right w:val="nil"/>
            </w:tcBorders>
            <w:tcMar>
              <w:top w:w="162" w:type="dxa"/>
              <w:left w:w="180" w:type="dxa"/>
              <w:bottom w:w="15" w:type="dxa"/>
              <w:right w:w="0" w:type="dxa"/>
            </w:tcMar>
            <w:vAlign w:val="center"/>
            <w:hideMark/>
          </w:tcPr>
          <w:p w14:paraId="4FD7F8FB" w14:textId="77777777" w:rsidR="003E67AF" w:rsidRPr="00CC7A50" w:rsidRDefault="003E67AF" w:rsidP="00A3059B">
            <w:pPr>
              <w:rPr>
                <w:rFonts w:cstheme="minorHAnsi"/>
              </w:rPr>
            </w:pPr>
            <w:r w:rsidRPr="00CC7A50">
              <w:rPr>
                <w:rFonts w:cstheme="minorHAnsi"/>
              </w:rPr>
              <w:t>1.000</w:t>
            </w:r>
          </w:p>
        </w:tc>
        <w:tc>
          <w:tcPr>
            <w:tcW w:w="1417" w:type="dxa"/>
            <w:tcBorders>
              <w:top w:val="single" w:sz="4" w:space="0" w:color="auto"/>
              <w:left w:val="nil"/>
              <w:bottom w:val="nil"/>
              <w:right w:val="nil"/>
            </w:tcBorders>
            <w:tcMar>
              <w:top w:w="162" w:type="dxa"/>
              <w:left w:w="180" w:type="dxa"/>
              <w:bottom w:w="15" w:type="dxa"/>
              <w:right w:w="0" w:type="dxa"/>
            </w:tcMar>
            <w:vAlign w:val="center"/>
            <w:hideMark/>
          </w:tcPr>
          <w:p w14:paraId="2B778D3A" w14:textId="77777777" w:rsidR="003E67AF" w:rsidRPr="00CC7A50" w:rsidRDefault="003E67AF" w:rsidP="00A3059B">
            <w:pPr>
              <w:rPr>
                <w:rFonts w:cstheme="minorHAnsi"/>
              </w:rPr>
            </w:pPr>
          </w:p>
        </w:tc>
      </w:tr>
      <w:tr w:rsidR="006E4A0D" w:rsidRPr="00CC7A50" w14:paraId="52958C40" w14:textId="77777777" w:rsidTr="006E4A0D">
        <w:tc>
          <w:tcPr>
            <w:tcW w:w="1560" w:type="dxa"/>
            <w:tcBorders>
              <w:top w:val="nil"/>
              <w:left w:val="nil"/>
              <w:bottom w:val="nil"/>
              <w:right w:val="nil"/>
            </w:tcBorders>
            <w:tcMar>
              <w:top w:w="15" w:type="dxa"/>
              <w:left w:w="180" w:type="dxa"/>
              <w:bottom w:w="15" w:type="dxa"/>
              <w:right w:w="0" w:type="dxa"/>
            </w:tcMar>
            <w:vAlign w:val="center"/>
            <w:hideMark/>
          </w:tcPr>
          <w:p w14:paraId="382B5936" w14:textId="69AD4226" w:rsidR="003E67AF" w:rsidRPr="005E686B" w:rsidRDefault="003E67AF" w:rsidP="00A3059B">
            <w:pPr>
              <w:rPr>
                <w:rFonts w:cstheme="minorHAnsi"/>
              </w:rPr>
            </w:pPr>
            <w:r w:rsidRPr="005E686B">
              <w:rPr>
                <w:rFonts w:cstheme="minorHAnsi"/>
              </w:rPr>
              <w:t xml:space="preserve">C + </w:t>
            </w:r>
            <w:r w:rsidR="00284E23">
              <w:rPr>
                <w:rFonts w:cstheme="minorHAnsi"/>
              </w:rPr>
              <w:t>E</w:t>
            </w:r>
          </w:p>
        </w:tc>
        <w:tc>
          <w:tcPr>
            <w:tcW w:w="992" w:type="dxa"/>
            <w:tcBorders>
              <w:top w:val="nil"/>
              <w:left w:val="nil"/>
              <w:bottom w:val="nil"/>
              <w:right w:val="nil"/>
            </w:tcBorders>
            <w:tcMar>
              <w:top w:w="15" w:type="dxa"/>
              <w:left w:w="180" w:type="dxa"/>
              <w:bottom w:w="15" w:type="dxa"/>
              <w:right w:w="0" w:type="dxa"/>
            </w:tcMar>
            <w:vAlign w:val="center"/>
            <w:hideMark/>
          </w:tcPr>
          <w:p w14:paraId="720A31D9" w14:textId="77777777" w:rsidR="003E67AF" w:rsidRPr="00CC7A50" w:rsidRDefault="003E67AF" w:rsidP="00A3059B">
            <w:pPr>
              <w:rPr>
                <w:rFonts w:cstheme="minorHAnsi"/>
              </w:rPr>
            </w:pPr>
            <w:r w:rsidRPr="00CC7A50">
              <w:rPr>
                <w:rFonts w:cstheme="minorHAnsi"/>
              </w:rPr>
              <w:t>0.20</w:t>
            </w:r>
          </w:p>
        </w:tc>
        <w:tc>
          <w:tcPr>
            <w:tcW w:w="1323" w:type="dxa"/>
            <w:tcBorders>
              <w:top w:val="nil"/>
              <w:left w:val="nil"/>
              <w:bottom w:val="nil"/>
              <w:right w:val="nil"/>
            </w:tcBorders>
            <w:tcMar>
              <w:top w:w="15" w:type="dxa"/>
              <w:left w:w="180" w:type="dxa"/>
              <w:bottom w:w="15" w:type="dxa"/>
              <w:right w:w="0" w:type="dxa"/>
            </w:tcMar>
            <w:vAlign w:val="center"/>
            <w:hideMark/>
          </w:tcPr>
          <w:p w14:paraId="0C274BBE" w14:textId="77777777" w:rsidR="003E67AF" w:rsidRPr="00CC7A50" w:rsidRDefault="003E67AF" w:rsidP="00A3059B">
            <w:pPr>
              <w:rPr>
                <w:rFonts w:cstheme="minorHAnsi"/>
              </w:rPr>
            </w:pPr>
            <w:r w:rsidRPr="00CC7A50">
              <w:rPr>
                <w:rFonts w:cstheme="minorHAnsi"/>
              </w:rPr>
              <w:t>0.181</w:t>
            </w:r>
          </w:p>
        </w:tc>
        <w:tc>
          <w:tcPr>
            <w:tcW w:w="1370" w:type="dxa"/>
            <w:tcBorders>
              <w:top w:val="nil"/>
              <w:left w:val="nil"/>
              <w:bottom w:val="nil"/>
              <w:right w:val="nil"/>
            </w:tcBorders>
            <w:tcMar>
              <w:top w:w="15" w:type="dxa"/>
              <w:left w:w="180" w:type="dxa"/>
              <w:bottom w:w="15" w:type="dxa"/>
              <w:right w:w="0" w:type="dxa"/>
            </w:tcMar>
            <w:vAlign w:val="center"/>
            <w:hideMark/>
          </w:tcPr>
          <w:p w14:paraId="5A917FE1" w14:textId="77777777" w:rsidR="003E67AF" w:rsidRPr="00CC7A50" w:rsidRDefault="003E67AF" w:rsidP="00A3059B">
            <w:pPr>
              <w:rPr>
                <w:rFonts w:cstheme="minorHAnsi"/>
              </w:rPr>
            </w:pPr>
            <w:r w:rsidRPr="00CC7A50">
              <w:rPr>
                <w:rFonts w:cstheme="minorHAnsi"/>
              </w:rPr>
              <w:t>0.883</w:t>
            </w:r>
          </w:p>
        </w:tc>
        <w:tc>
          <w:tcPr>
            <w:tcW w:w="1418" w:type="dxa"/>
            <w:tcBorders>
              <w:top w:val="nil"/>
              <w:left w:val="nil"/>
              <w:bottom w:val="nil"/>
              <w:right w:val="nil"/>
            </w:tcBorders>
            <w:tcMar>
              <w:top w:w="15" w:type="dxa"/>
              <w:left w:w="180" w:type="dxa"/>
              <w:bottom w:w="15" w:type="dxa"/>
              <w:right w:w="0" w:type="dxa"/>
            </w:tcMar>
            <w:vAlign w:val="center"/>
            <w:hideMark/>
          </w:tcPr>
          <w:p w14:paraId="1AE3BBFF" w14:textId="77777777" w:rsidR="003E67AF" w:rsidRPr="00CC7A50" w:rsidRDefault="003E67AF" w:rsidP="00A3059B">
            <w:pPr>
              <w:rPr>
                <w:rFonts w:cstheme="minorHAnsi"/>
              </w:rPr>
            </w:pPr>
            <w:r>
              <w:rPr>
                <w:rFonts w:cstheme="minorHAnsi"/>
              </w:rPr>
              <w:t>4.05</w:t>
            </w:r>
          </w:p>
        </w:tc>
        <w:tc>
          <w:tcPr>
            <w:tcW w:w="1417" w:type="dxa"/>
            <w:tcBorders>
              <w:top w:val="nil"/>
              <w:left w:val="nil"/>
              <w:bottom w:val="nil"/>
              <w:right w:val="nil"/>
            </w:tcBorders>
            <w:tcMar>
              <w:top w:w="15" w:type="dxa"/>
              <w:left w:w="180" w:type="dxa"/>
              <w:bottom w:w="15" w:type="dxa"/>
              <w:right w:w="0" w:type="dxa"/>
            </w:tcMar>
            <w:vAlign w:val="center"/>
            <w:hideMark/>
          </w:tcPr>
          <w:p w14:paraId="2DAFF6A3" w14:textId="77777777" w:rsidR="003E67AF" w:rsidRPr="00CC7A50" w:rsidRDefault="003E67AF" w:rsidP="00A3059B">
            <w:pPr>
              <w:rPr>
                <w:rFonts w:cstheme="minorHAnsi"/>
              </w:rPr>
            </w:pPr>
            <w:r w:rsidRPr="00CC7A50">
              <w:rPr>
                <w:rFonts w:cstheme="minorHAnsi"/>
              </w:rPr>
              <w:t>0.990</w:t>
            </w:r>
          </w:p>
        </w:tc>
      </w:tr>
      <w:tr w:rsidR="006E4A0D" w:rsidRPr="00CC7A50" w14:paraId="092DC437" w14:textId="77777777" w:rsidTr="006E4A0D">
        <w:tc>
          <w:tcPr>
            <w:tcW w:w="1560" w:type="dxa"/>
            <w:tcBorders>
              <w:top w:val="nil"/>
              <w:left w:val="nil"/>
              <w:bottom w:val="nil"/>
              <w:right w:val="nil"/>
            </w:tcBorders>
            <w:tcMar>
              <w:top w:w="15" w:type="dxa"/>
              <w:left w:w="180" w:type="dxa"/>
              <w:bottom w:w="15" w:type="dxa"/>
              <w:right w:w="0" w:type="dxa"/>
            </w:tcMar>
            <w:vAlign w:val="center"/>
            <w:hideMark/>
          </w:tcPr>
          <w:p w14:paraId="4E326690" w14:textId="5DA60E70" w:rsidR="003E67AF" w:rsidRPr="005E686B" w:rsidRDefault="003E67AF" w:rsidP="00A3059B">
            <w:pPr>
              <w:rPr>
                <w:rFonts w:cstheme="minorHAnsi"/>
              </w:rPr>
            </w:pPr>
            <w:r w:rsidRPr="005E686B">
              <w:rPr>
                <w:rFonts w:cstheme="minorHAnsi"/>
              </w:rPr>
              <w:t xml:space="preserve">C + </w:t>
            </w:r>
            <w:r w:rsidR="00284E23">
              <w:rPr>
                <w:rFonts w:cstheme="minorHAnsi"/>
              </w:rPr>
              <w:t>E</w:t>
            </w:r>
            <w:r w:rsidRPr="005E686B">
              <w:rPr>
                <w:rFonts w:cstheme="minorHAnsi"/>
              </w:rPr>
              <w:t xml:space="preserve"> + C X </w:t>
            </w:r>
            <w:r w:rsidR="00284E23">
              <w:rPr>
                <w:rFonts w:cstheme="minorHAnsi"/>
              </w:rPr>
              <w:t>E</w:t>
            </w:r>
          </w:p>
        </w:tc>
        <w:tc>
          <w:tcPr>
            <w:tcW w:w="992" w:type="dxa"/>
            <w:tcBorders>
              <w:top w:val="nil"/>
              <w:left w:val="nil"/>
              <w:bottom w:val="nil"/>
              <w:right w:val="nil"/>
            </w:tcBorders>
            <w:tcMar>
              <w:top w:w="15" w:type="dxa"/>
              <w:left w:w="180" w:type="dxa"/>
              <w:bottom w:w="15" w:type="dxa"/>
              <w:right w:w="0" w:type="dxa"/>
            </w:tcMar>
            <w:vAlign w:val="center"/>
            <w:hideMark/>
          </w:tcPr>
          <w:p w14:paraId="7E95910E" w14:textId="77777777" w:rsidR="003E67AF" w:rsidRPr="00CC7A50" w:rsidRDefault="003E67AF" w:rsidP="00A3059B">
            <w:pPr>
              <w:rPr>
                <w:rFonts w:cstheme="minorHAnsi"/>
              </w:rPr>
            </w:pPr>
            <w:r w:rsidRPr="00CC7A50">
              <w:rPr>
                <w:rFonts w:cstheme="minorHAnsi"/>
              </w:rPr>
              <w:t>0.20</w:t>
            </w:r>
          </w:p>
        </w:tc>
        <w:tc>
          <w:tcPr>
            <w:tcW w:w="1323" w:type="dxa"/>
            <w:tcBorders>
              <w:top w:val="nil"/>
              <w:left w:val="nil"/>
              <w:bottom w:val="nil"/>
              <w:right w:val="nil"/>
            </w:tcBorders>
            <w:tcMar>
              <w:top w:w="15" w:type="dxa"/>
              <w:left w:w="180" w:type="dxa"/>
              <w:bottom w:w="15" w:type="dxa"/>
              <w:right w:w="0" w:type="dxa"/>
            </w:tcMar>
            <w:vAlign w:val="center"/>
            <w:hideMark/>
          </w:tcPr>
          <w:p w14:paraId="4AEAB1C2" w14:textId="77777777" w:rsidR="003E67AF" w:rsidRPr="00CC7A50" w:rsidRDefault="003E67AF" w:rsidP="00A3059B">
            <w:pPr>
              <w:rPr>
                <w:rFonts w:cstheme="minorHAnsi"/>
              </w:rPr>
            </w:pPr>
            <w:r w:rsidRPr="00CC7A50">
              <w:rPr>
                <w:rFonts w:cstheme="minorHAnsi"/>
              </w:rPr>
              <w:t>0.086</w:t>
            </w:r>
          </w:p>
        </w:tc>
        <w:tc>
          <w:tcPr>
            <w:tcW w:w="1370" w:type="dxa"/>
            <w:tcBorders>
              <w:top w:val="nil"/>
              <w:left w:val="nil"/>
              <w:bottom w:val="nil"/>
              <w:right w:val="nil"/>
            </w:tcBorders>
            <w:tcMar>
              <w:top w:w="15" w:type="dxa"/>
              <w:left w:w="180" w:type="dxa"/>
              <w:bottom w:w="15" w:type="dxa"/>
              <w:right w:w="0" w:type="dxa"/>
            </w:tcMar>
            <w:vAlign w:val="center"/>
            <w:hideMark/>
          </w:tcPr>
          <w:p w14:paraId="28B23A11" w14:textId="77777777" w:rsidR="003E67AF" w:rsidRPr="00CC7A50" w:rsidRDefault="003E67AF" w:rsidP="00A3059B">
            <w:pPr>
              <w:rPr>
                <w:rFonts w:cstheme="minorHAnsi"/>
              </w:rPr>
            </w:pPr>
            <w:r w:rsidRPr="00CC7A50">
              <w:rPr>
                <w:rFonts w:cstheme="minorHAnsi"/>
              </w:rPr>
              <w:t>0.376</w:t>
            </w:r>
          </w:p>
        </w:tc>
        <w:tc>
          <w:tcPr>
            <w:tcW w:w="1418" w:type="dxa"/>
            <w:tcBorders>
              <w:top w:val="nil"/>
              <w:left w:val="nil"/>
              <w:bottom w:val="nil"/>
              <w:right w:val="nil"/>
            </w:tcBorders>
            <w:tcMar>
              <w:top w:w="15" w:type="dxa"/>
              <w:left w:w="180" w:type="dxa"/>
              <w:bottom w:w="15" w:type="dxa"/>
              <w:right w:w="0" w:type="dxa"/>
            </w:tcMar>
            <w:vAlign w:val="center"/>
            <w:hideMark/>
          </w:tcPr>
          <w:p w14:paraId="586A68CE" w14:textId="77777777" w:rsidR="003E67AF" w:rsidRPr="00CC7A50" w:rsidRDefault="003E67AF" w:rsidP="00A3059B">
            <w:pPr>
              <w:rPr>
                <w:rFonts w:cstheme="minorHAnsi"/>
              </w:rPr>
            </w:pPr>
            <w:r>
              <w:rPr>
                <w:rFonts w:cstheme="minorHAnsi"/>
              </w:rPr>
              <w:t>8.53</w:t>
            </w:r>
          </w:p>
        </w:tc>
        <w:tc>
          <w:tcPr>
            <w:tcW w:w="1417" w:type="dxa"/>
            <w:tcBorders>
              <w:top w:val="nil"/>
              <w:left w:val="nil"/>
              <w:bottom w:val="nil"/>
              <w:right w:val="nil"/>
            </w:tcBorders>
            <w:tcMar>
              <w:top w:w="15" w:type="dxa"/>
              <w:left w:w="180" w:type="dxa"/>
              <w:bottom w:w="15" w:type="dxa"/>
              <w:right w:w="0" w:type="dxa"/>
            </w:tcMar>
            <w:vAlign w:val="center"/>
            <w:hideMark/>
          </w:tcPr>
          <w:p w14:paraId="05437D62" w14:textId="77777777" w:rsidR="003E67AF" w:rsidRPr="00CC7A50" w:rsidRDefault="003E67AF" w:rsidP="00A3059B">
            <w:pPr>
              <w:rPr>
                <w:rFonts w:cstheme="minorHAnsi"/>
              </w:rPr>
            </w:pPr>
            <w:r w:rsidRPr="00CC7A50">
              <w:rPr>
                <w:rFonts w:cstheme="minorHAnsi"/>
              </w:rPr>
              <w:t>1.390</w:t>
            </w:r>
          </w:p>
        </w:tc>
      </w:tr>
      <w:tr w:rsidR="006E4A0D" w:rsidRPr="00CC7A50" w14:paraId="313E2A1F" w14:textId="77777777" w:rsidTr="006E4A0D">
        <w:tc>
          <w:tcPr>
            <w:tcW w:w="1560" w:type="dxa"/>
            <w:tcBorders>
              <w:top w:val="nil"/>
              <w:left w:val="nil"/>
              <w:right w:val="nil"/>
            </w:tcBorders>
            <w:tcMar>
              <w:top w:w="15" w:type="dxa"/>
              <w:left w:w="180" w:type="dxa"/>
              <w:bottom w:w="15" w:type="dxa"/>
              <w:right w:w="0" w:type="dxa"/>
            </w:tcMar>
            <w:vAlign w:val="center"/>
            <w:hideMark/>
          </w:tcPr>
          <w:p w14:paraId="3BCD1A84" w14:textId="77777777" w:rsidR="003E67AF" w:rsidRPr="005E686B" w:rsidRDefault="003E67AF" w:rsidP="00A3059B">
            <w:pPr>
              <w:rPr>
                <w:rFonts w:cstheme="minorHAnsi"/>
              </w:rPr>
            </w:pPr>
            <w:r w:rsidRPr="005E686B">
              <w:rPr>
                <w:rFonts w:cstheme="minorHAnsi"/>
              </w:rPr>
              <w:t>Null model</w:t>
            </w:r>
          </w:p>
        </w:tc>
        <w:tc>
          <w:tcPr>
            <w:tcW w:w="992" w:type="dxa"/>
            <w:tcBorders>
              <w:top w:val="nil"/>
              <w:left w:val="nil"/>
              <w:right w:val="nil"/>
            </w:tcBorders>
            <w:tcMar>
              <w:top w:w="15" w:type="dxa"/>
              <w:left w:w="180" w:type="dxa"/>
              <w:bottom w:w="15" w:type="dxa"/>
              <w:right w:w="0" w:type="dxa"/>
            </w:tcMar>
            <w:vAlign w:val="center"/>
            <w:hideMark/>
          </w:tcPr>
          <w:p w14:paraId="467F1E0F" w14:textId="77777777" w:rsidR="003E67AF" w:rsidRPr="00CC7A50" w:rsidRDefault="003E67AF" w:rsidP="00A3059B">
            <w:pPr>
              <w:rPr>
                <w:rFonts w:cstheme="minorHAnsi"/>
              </w:rPr>
            </w:pPr>
            <w:r w:rsidRPr="00CC7A50">
              <w:rPr>
                <w:rFonts w:cstheme="minorHAnsi"/>
              </w:rPr>
              <w:t>0.20</w:t>
            </w:r>
          </w:p>
        </w:tc>
        <w:tc>
          <w:tcPr>
            <w:tcW w:w="1323" w:type="dxa"/>
            <w:tcBorders>
              <w:top w:val="nil"/>
              <w:left w:val="nil"/>
              <w:right w:val="nil"/>
            </w:tcBorders>
            <w:tcMar>
              <w:top w:w="15" w:type="dxa"/>
              <w:left w:w="180" w:type="dxa"/>
              <w:bottom w:w="15" w:type="dxa"/>
              <w:right w:w="0" w:type="dxa"/>
            </w:tcMar>
            <w:vAlign w:val="center"/>
            <w:hideMark/>
          </w:tcPr>
          <w:p w14:paraId="15B0F2B4" w14:textId="77777777" w:rsidR="003E67AF" w:rsidRPr="00CC7A50" w:rsidRDefault="003E67AF" w:rsidP="00A3059B">
            <w:pPr>
              <w:rPr>
                <w:rFonts w:cstheme="minorHAnsi"/>
              </w:rPr>
            </w:pPr>
            <w:r w:rsidRPr="00CC7A50">
              <w:rPr>
                <w:rFonts w:cstheme="minorHAnsi"/>
              </w:rPr>
              <w:t>4.109×10</w:t>
            </w:r>
            <w:r w:rsidRPr="00CC7A50">
              <w:rPr>
                <w:rFonts w:cstheme="minorHAnsi"/>
                <w:vertAlign w:val="superscript"/>
              </w:rPr>
              <w:t>-82</w:t>
            </w:r>
          </w:p>
        </w:tc>
        <w:tc>
          <w:tcPr>
            <w:tcW w:w="1370" w:type="dxa"/>
            <w:tcBorders>
              <w:top w:val="nil"/>
              <w:left w:val="nil"/>
              <w:right w:val="nil"/>
            </w:tcBorders>
            <w:tcMar>
              <w:top w:w="15" w:type="dxa"/>
              <w:left w:w="180" w:type="dxa"/>
              <w:bottom w:w="15" w:type="dxa"/>
              <w:right w:w="0" w:type="dxa"/>
            </w:tcMar>
            <w:vAlign w:val="center"/>
            <w:hideMark/>
          </w:tcPr>
          <w:p w14:paraId="405BA148" w14:textId="77777777" w:rsidR="003E67AF" w:rsidRPr="00CC7A50" w:rsidRDefault="003E67AF" w:rsidP="00A3059B">
            <w:pPr>
              <w:rPr>
                <w:rFonts w:cstheme="minorHAnsi"/>
              </w:rPr>
            </w:pPr>
            <w:r w:rsidRPr="00CC7A50">
              <w:rPr>
                <w:rFonts w:cstheme="minorHAnsi"/>
              </w:rPr>
              <w:t>1.643×10</w:t>
            </w:r>
            <w:r w:rsidRPr="00CC7A50">
              <w:rPr>
                <w:rFonts w:cstheme="minorHAnsi"/>
                <w:vertAlign w:val="superscript"/>
              </w:rPr>
              <w:t>-81</w:t>
            </w:r>
          </w:p>
        </w:tc>
        <w:tc>
          <w:tcPr>
            <w:tcW w:w="1418" w:type="dxa"/>
            <w:tcBorders>
              <w:top w:val="nil"/>
              <w:left w:val="nil"/>
              <w:right w:val="nil"/>
            </w:tcBorders>
            <w:tcMar>
              <w:top w:w="15" w:type="dxa"/>
              <w:left w:w="180" w:type="dxa"/>
              <w:bottom w:w="15" w:type="dxa"/>
              <w:right w:w="0" w:type="dxa"/>
            </w:tcMar>
            <w:vAlign w:val="center"/>
            <w:hideMark/>
          </w:tcPr>
          <w:p w14:paraId="16472259" w14:textId="77777777" w:rsidR="003E67AF" w:rsidRPr="00CC7A50" w:rsidRDefault="003E67AF" w:rsidP="00A3059B">
            <w:pPr>
              <w:rPr>
                <w:rFonts w:cstheme="minorHAnsi"/>
              </w:rPr>
            </w:pPr>
            <w:r>
              <w:rPr>
                <w:rFonts w:cstheme="minorHAnsi"/>
              </w:rPr>
              <w:t>1.784</w:t>
            </w:r>
            <w:r w:rsidRPr="00CC7A50">
              <w:rPr>
                <w:rFonts w:cstheme="minorHAnsi"/>
              </w:rPr>
              <w:t>×10</w:t>
            </w:r>
            <w:r>
              <w:rPr>
                <w:rFonts w:cstheme="minorHAnsi"/>
                <w:vertAlign w:val="superscript"/>
              </w:rPr>
              <w:t>+</w:t>
            </w:r>
            <w:r w:rsidRPr="00CC7A50">
              <w:rPr>
                <w:rFonts w:cstheme="minorHAnsi"/>
                <w:vertAlign w:val="superscript"/>
              </w:rPr>
              <w:t>8</w:t>
            </w:r>
            <w:r>
              <w:rPr>
                <w:rFonts w:cstheme="minorHAnsi"/>
                <w:vertAlign w:val="superscript"/>
              </w:rPr>
              <w:t>1</w:t>
            </w:r>
          </w:p>
        </w:tc>
        <w:tc>
          <w:tcPr>
            <w:tcW w:w="1417" w:type="dxa"/>
            <w:tcBorders>
              <w:top w:val="nil"/>
              <w:left w:val="nil"/>
              <w:right w:val="nil"/>
            </w:tcBorders>
            <w:tcMar>
              <w:top w:w="15" w:type="dxa"/>
              <w:left w:w="180" w:type="dxa"/>
              <w:bottom w:w="15" w:type="dxa"/>
              <w:right w:w="0" w:type="dxa"/>
            </w:tcMar>
            <w:vAlign w:val="center"/>
            <w:hideMark/>
          </w:tcPr>
          <w:p w14:paraId="41FD65FB" w14:textId="77777777" w:rsidR="003E67AF" w:rsidRPr="00CC7A50" w:rsidRDefault="003E67AF" w:rsidP="00A3059B">
            <w:pPr>
              <w:rPr>
                <w:rFonts w:cstheme="minorHAnsi"/>
              </w:rPr>
            </w:pPr>
            <w:r w:rsidRPr="00CC7A50">
              <w:rPr>
                <w:rFonts w:cstheme="minorHAnsi"/>
              </w:rPr>
              <w:t>1.994×10</w:t>
            </w:r>
            <w:r w:rsidRPr="00CC7A50">
              <w:rPr>
                <w:rFonts w:cstheme="minorHAnsi"/>
                <w:vertAlign w:val="superscript"/>
              </w:rPr>
              <w:t>-85</w:t>
            </w:r>
          </w:p>
        </w:tc>
      </w:tr>
      <w:tr w:rsidR="006E4A0D" w:rsidRPr="00CC7A50" w14:paraId="2F60A3A3" w14:textId="77777777" w:rsidTr="006E4A0D">
        <w:tc>
          <w:tcPr>
            <w:tcW w:w="1560" w:type="dxa"/>
            <w:tcBorders>
              <w:top w:val="nil"/>
              <w:left w:val="nil"/>
              <w:bottom w:val="single" w:sz="4" w:space="0" w:color="auto"/>
              <w:right w:val="nil"/>
            </w:tcBorders>
            <w:tcMar>
              <w:top w:w="15" w:type="dxa"/>
              <w:left w:w="180" w:type="dxa"/>
              <w:bottom w:w="15" w:type="dxa"/>
              <w:right w:w="0" w:type="dxa"/>
            </w:tcMar>
            <w:vAlign w:val="center"/>
            <w:hideMark/>
          </w:tcPr>
          <w:p w14:paraId="38E2BC3B" w14:textId="661E1BDC" w:rsidR="003E67AF" w:rsidRPr="005E686B" w:rsidRDefault="00D13CE4" w:rsidP="00A3059B">
            <w:pPr>
              <w:rPr>
                <w:rFonts w:cstheme="minorHAnsi"/>
              </w:rPr>
            </w:pPr>
            <w:r>
              <w:rPr>
                <w:rFonts w:cstheme="minorHAnsi"/>
              </w:rPr>
              <w:t>E</w:t>
            </w:r>
          </w:p>
        </w:tc>
        <w:tc>
          <w:tcPr>
            <w:tcW w:w="992" w:type="dxa"/>
            <w:tcBorders>
              <w:top w:val="nil"/>
              <w:left w:val="nil"/>
              <w:bottom w:val="single" w:sz="4" w:space="0" w:color="auto"/>
              <w:right w:val="nil"/>
            </w:tcBorders>
            <w:tcMar>
              <w:top w:w="15" w:type="dxa"/>
              <w:left w:w="180" w:type="dxa"/>
              <w:bottom w:w="15" w:type="dxa"/>
              <w:right w:w="0" w:type="dxa"/>
            </w:tcMar>
            <w:vAlign w:val="center"/>
            <w:hideMark/>
          </w:tcPr>
          <w:p w14:paraId="6D5BFC85" w14:textId="77777777" w:rsidR="003E67AF" w:rsidRPr="00CC7A50" w:rsidRDefault="003E67AF" w:rsidP="00A3059B">
            <w:pPr>
              <w:rPr>
                <w:rFonts w:cstheme="minorHAnsi"/>
              </w:rPr>
            </w:pPr>
            <w:r w:rsidRPr="00CC7A50">
              <w:rPr>
                <w:rFonts w:cstheme="minorHAnsi"/>
              </w:rPr>
              <w:t>0.20</w:t>
            </w:r>
          </w:p>
        </w:tc>
        <w:tc>
          <w:tcPr>
            <w:tcW w:w="1323" w:type="dxa"/>
            <w:tcBorders>
              <w:top w:val="nil"/>
              <w:left w:val="nil"/>
              <w:bottom w:val="single" w:sz="4" w:space="0" w:color="auto"/>
              <w:right w:val="nil"/>
            </w:tcBorders>
            <w:tcMar>
              <w:top w:w="15" w:type="dxa"/>
              <w:left w:w="180" w:type="dxa"/>
              <w:bottom w:w="15" w:type="dxa"/>
              <w:right w:w="0" w:type="dxa"/>
            </w:tcMar>
            <w:vAlign w:val="center"/>
            <w:hideMark/>
          </w:tcPr>
          <w:p w14:paraId="7CF37964" w14:textId="77777777" w:rsidR="003E67AF" w:rsidRPr="00CC7A50" w:rsidRDefault="003E67AF" w:rsidP="00A3059B">
            <w:pPr>
              <w:rPr>
                <w:rFonts w:cstheme="minorHAnsi"/>
              </w:rPr>
            </w:pPr>
            <w:r w:rsidRPr="00CC7A50">
              <w:rPr>
                <w:rFonts w:cstheme="minorHAnsi"/>
              </w:rPr>
              <w:t>1.071×10</w:t>
            </w:r>
            <w:r w:rsidRPr="00CC7A50">
              <w:rPr>
                <w:rFonts w:cstheme="minorHAnsi"/>
                <w:vertAlign w:val="superscript"/>
              </w:rPr>
              <w:t>-83</w:t>
            </w:r>
          </w:p>
        </w:tc>
        <w:tc>
          <w:tcPr>
            <w:tcW w:w="1370" w:type="dxa"/>
            <w:tcBorders>
              <w:top w:val="nil"/>
              <w:left w:val="nil"/>
              <w:bottom w:val="single" w:sz="4" w:space="0" w:color="auto"/>
              <w:right w:val="nil"/>
            </w:tcBorders>
            <w:tcMar>
              <w:top w:w="15" w:type="dxa"/>
              <w:left w:w="180" w:type="dxa"/>
              <w:bottom w:w="15" w:type="dxa"/>
              <w:right w:w="0" w:type="dxa"/>
            </w:tcMar>
            <w:vAlign w:val="center"/>
            <w:hideMark/>
          </w:tcPr>
          <w:p w14:paraId="2384F3EE" w14:textId="77777777" w:rsidR="003E67AF" w:rsidRPr="00CC7A50" w:rsidRDefault="003E67AF" w:rsidP="00A3059B">
            <w:pPr>
              <w:rPr>
                <w:rFonts w:cstheme="minorHAnsi"/>
              </w:rPr>
            </w:pPr>
            <w:r w:rsidRPr="00CC7A50">
              <w:rPr>
                <w:rFonts w:cstheme="minorHAnsi"/>
              </w:rPr>
              <w:t>4.285×10</w:t>
            </w:r>
            <w:r w:rsidRPr="00CC7A50">
              <w:rPr>
                <w:rFonts w:cstheme="minorHAnsi"/>
                <w:vertAlign w:val="superscript"/>
              </w:rPr>
              <w:t>-83</w:t>
            </w:r>
          </w:p>
        </w:tc>
        <w:tc>
          <w:tcPr>
            <w:tcW w:w="1418" w:type="dxa"/>
            <w:tcBorders>
              <w:top w:val="nil"/>
              <w:left w:val="nil"/>
              <w:bottom w:val="single" w:sz="4" w:space="0" w:color="auto"/>
              <w:right w:val="nil"/>
            </w:tcBorders>
            <w:tcMar>
              <w:top w:w="15" w:type="dxa"/>
              <w:left w:w="180" w:type="dxa"/>
              <w:bottom w:w="15" w:type="dxa"/>
              <w:right w:w="0" w:type="dxa"/>
            </w:tcMar>
            <w:vAlign w:val="center"/>
            <w:hideMark/>
          </w:tcPr>
          <w:p w14:paraId="3E8EBC04" w14:textId="77777777" w:rsidR="003E67AF" w:rsidRPr="00CC7A50" w:rsidRDefault="003E67AF" w:rsidP="00A3059B">
            <w:pPr>
              <w:rPr>
                <w:rFonts w:cstheme="minorHAnsi"/>
              </w:rPr>
            </w:pPr>
            <w:r>
              <w:rPr>
                <w:rFonts w:cstheme="minorHAnsi"/>
              </w:rPr>
              <w:t>6.844</w:t>
            </w:r>
            <w:r w:rsidRPr="00CC7A50">
              <w:rPr>
                <w:rFonts w:cstheme="minorHAnsi"/>
              </w:rPr>
              <w:t>×10</w:t>
            </w:r>
            <w:r>
              <w:rPr>
                <w:rFonts w:cstheme="minorHAnsi"/>
                <w:vertAlign w:val="superscript"/>
              </w:rPr>
              <w:t>+</w:t>
            </w:r>
            <w:r w:rsidRPr="00CC7A50">
              <w:rPr>
                <w:rFonts w:cstheme="minorHAnsi"/>
                <w:vertAlign w:val="superscript"/>
              </w:rPr>
              <w:t>8</w:t>
            </w:r>
            <w:r>
              <w:rPr>
                <w:rFonts w:cstheme="minorHAnsi"/>
                <w:vertAlign w:val="superscript"/>
              </w:rPr>
              <w:t>2</w:t>
            </w:r>
          </w:p>
        </w:tc>
        <w:tc>
          <w:tcPr>
            <w:tcW w:w="1417" w:type="dxa"/>
            <w:tcBorders>
              <w:top w:val="nil"/>
              <w:left w:val="nil"/>
              <w:bottom w:val="single" w:sz="4" w:space="0" w:color="auto"/>
              <w:right w:val="nil"/>
            </w:tcBorders>
            <w:tcMar>
              <w:top w:w="15" w:type="dxa"/>
              <w:left w:w="180" w:type="dxa"/>
              <w:bottom w:w="15" w:type="dxa"/>
              <w:right w:w="0" w:type="dxa"/>
            </w:tcMar>
            <w:vAlign w:val="center"/>
            <w:hideMark/>
          </w:tcPr>
          <w:p w14:paraId="04CFB508" w14:textId="77777777" w:rsidR="003E67AF" w:rsidRPr="00CC7A50" w:rsidRDefault="003E67AF" w:rsidP="00A3059B">
            <w:pPr>
              <w:rPr>
                <w:rFonts w:cstheme="minorHAnsi"/>
              </w:rPr>
            </w:pPr>
            <w:r w:rsidRPr="00CC7A50">
              <w:rPr>
                <w:rFonts w:cstheme="minorHAnsi"/>
              </w:rPr>
              <w:t>0.012</w:t>
            </w:r>
          </w:p>
        </w:tc>
      </w:tr>
    </w:tbl>
    <w:p w14:paraId="283696E7" w14:textId="33235400" w:rsidR="003E67AF" w:rsidRDefault="003E67AF" w:rsidP="00DE4DC9">
      <w:pPr>
        <w:rPr>
          <w:rFonts w:eastAsiaTheme="minorEastAsia"/>
          <w:lang w:val="en-US"/>
        </w:rPr>
      </w:pPr>
      <w:r>
        <w:t xml:space="preserve">Note. C = Consultation Style, </w:t>
      </w:r>
      <w:r w:rsidR="00284E23">
        <w:t>E</w:t>
      </w:r>
      <w:r>
        <w:t xml:space="preserve"> = Participant Ethnicity.</w:t>
      </w:r>
      <w:r w:rsidR="00284E23" w:rsidRPr="00284E23">
        <w:t xml:space="preserve"> </w:t>
      </w:r>
      <w:r w:rsidR="00D11570">
        <w:t xml:space="preserve">C X E = The Interaction between C and E. Model (M) the variables included in each model. </w:t>
      </w:r>
      <w:r w:rsidR="00284E23" w:rsidRPr="00284E23">
        <w:t>P(M)</w:t>
      </w:r>
      <w:r w:rsidR="00284E23">
        <w:t xml:space="preserve"> </w:t>
      </w:r>
      <w:r w:rsidR="000D2812">
        <w:t xml:space="preserve">The prior model probability. </w:t>
      </w:r>
      <w:r w:rsidR="00284E23" w:rsidRPr="00284E23">
        <w:t xml:space="preserve"> P(</w:t>
      </w:r>
      <w:proofErr w:type="spellStart"/>
      <w:r w:rsidR="00284E23" w:rsidRPr="00284E23">
        <w:t>M|data</w:t>
      </w:r>
      <w:proofErr w:type="spellEnd"/>
      <w:r w:rsidR="00284E23" w:rsidRPr="00284E23">
        <w:t>)</w:t>
      </w:r>
      <w:r w:rsidR="00284E23">
        <w:t xml:space="preserve"> </w:t>
      </w:r>
      <w:r w:rsidR="00DE4DC9">
        <w:t>Posterior model probability. BF</w:t>
      </w:r>
      <w:r w:rsidR="0077780A" w:rsidRPr="0077780A">
        <w:rPr>
          <w:vertAlign w:val="subscript"/>
        </w:rPr>
        <w:t>M</w:t>
      </w:r>
      <w:r w:rsidR="00DE4DC9">
        <w:t xml:space="preserve"> the posterior model odds. </w:t>
      </w:r>
      <w:r w:rsidR="00A31CD9">
        <w:rPr>
          <w:rFonts w:eastAsiaTheme="minorEastAsia"/>
          <w:lang w:val="en-US"/>
        </w:rPr>
        <w:t>BF</w:t>
      </w:r>
      <w:r w:rsidR="00A31CD9" w:rsidRPr="005E686B">
        <w:rPr>
          <w:rFonts w:eastAsiaTheme="minorEastAsia"/>
          <w:sz w:val="16"/>
          <w:szCs w:val="16"/>
          <w:lang w:val="en-US"/>
        </w:rPr>
        <w:t>01</w:t>
      </w:r>
      <w:r w:rsidR="00A31CD9">
        <w:rPr>
          <w:rFonts w:eastAsiaTheme="minorEastAsia"/>
          <w:sz w:val="16"/>
          <w:szCs w:val="16"/>
          <w:lang w:val="en-US"/>
        </w:rPr>
        <w:t xml:space="preserve"> </w:t>
      </w:r>
      <w:r w:rsidR="00DE4DC9">
        <w:rPr>
          <w:rFonts w:eastAsiaTheme="minorEastAsia"/>
          <w:lang w:val="en-US"/>
        </w:rPr>
        <w:t>rep</w:t>
      </w:r>
      <w:r w:rsidR="00A31CD9">
        <w:rPr>
          <w:rFonts w:eastAsiaTheme="minorEastAsia"/>
          <w:lang w:val="en-US"/>
        </w:rPr>
        <w:t xml:space="preserve">resents the Bayes Factors, which indicates how much more likely the best model is </w:t>
      </w:r>
      <w:r w:rsidR="00854C16">
        <w:rPr>
          <w:rFonts w:eastAsiaTheme="minorEastAsia"/>
          <w:lang w:val="en-US"/>
        </w:rPr>
        <w:t xml:space="preserve">(the model on the top row) </w:t>
      </w:r>
      <w:r w:rsidR="00A31CD9">
        <w:rPr>
          <w:rFonts w:eastAsiaTheme="minorEastAsia"/>
          <w:lang w:val="en-US"/>
        </w:rPr>
        <w:t>compared to the model on th</w:t>
      </w:r>
      <w:r w:rsidR="00854C16">
        <w:rPr>
          <w:rFonts w:eastAsiaTheme="minorEastAsia"/>
          <w:lang w:val="en-US"/>
        </w:rPr>
        <w:t>e current</w:t>
      </w:r>
      <w:r w:rsidR="00A31CD9">
        <w:rPr>
          <w:rFonts w:eastAsiaTheme="minorEastAsia"/>
          <w:lang w:val="en-US"/>
        </w:rPr>
        <w:t xml:space="preserve"> row – for instance, the data is 8.53 times more likely under the model with just consultation style, compared to the model with both main effects and an interaction</w:t>
      </w:r>
      <w:r w:rsidR="00854C16">
        <w:rPr>
          <w:rFonts w:eastAsiaTheme="minorEastAsia"/>
          <w:lang w:val="en-US"/>
        </w:rPr>
        <w:t xml:space="preserve"> (third row from the top)</w:t>
      </w:r>
      <w:r w:rsidR="00A31CD9">
        <w:rPr>
          <w:rFonts w:eastAsiaTheme="minorEastAsia"/>
          <w:lang w:val="en-US"/>
        </w:rPr>
        <w:t xml:space="preserve">. </w:t>
      </w:r>
      <w:r w:rsidR="00DE4DC9">
        <w:rPr>
          <w:rFonts w:eastAsiaTheme="minorEastAsia"/>
          <w:lang w:val="en-US"/>
        </w:rPr>
        <w:t xml:space="preserve"> Error % error in computation of the Bayes factor. </w:t>
      </w:r>
    </w:p>
    <w:p w14:paraId="366FD0CA" w14:textId="77777777" w:rsidR="00854C16" w:rsidRDefault="00854C16" w:rsidP="00854C16">
      <w:pPr>
        <w:rPr>
          <w:lang w:val="en-US"/>
        </w:rPr>
      </w:pPr>
    </w:p>
    <w:p w14:paraId="24BB6EC3" w14:textId="77777777" w:rsidR="004741BD" w:rsidRDefault="004741BD" w:rsidP="00854C16">
      <w:pPr>
        <w:rPr>
          <w:lang w:val="en-US"/>
        </w:rPr>
        <w:sectPr w:rsidR="004741BD" w:rsidSect="004741BD">
          <w:pgSz w:w="11906" w:h="16838"/>
          <w:pgMar w:top="1440" w:right="1440" w:bottom="1440" w:left="1440" w:header="708" w:footer="708" w:gutter="0"/>
          <w:cols w:space="708"/>
          <w:docGrid w:linePitch="360"/>
        </w:sectPr>
      </w:pPr>
    </w:p>
    <w:p w14:paraId="1CB59CEF" w14:textId="197E987A" w:rsidR="00BE1DFC" w:rsidRDefault="00BE1DFC" w:rsidP="00BE1DFC">
      <w:pPr>
        <w:pStyle w:val="Heading3"/>
      </w:pPr>
      <w:r>
        <w:lastRenderedPageBreak/>
        <w:t xml:space="preserve">Table </w:t>
      </w:r>
      <w:r w:rsidR="00454485">
        <w:t>5</w:t>
      </w:r>
      <w:r>
        <w:t>. Categorised Comments about Consultations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2"/>
        <w:gridCol w:w="5028"/>
      </w:tblGrid>
      <w:tr w:rsidR="00BE1DFC" w:rsidRPr="00B703A5" w14:paraId="3A0B1932" w14:textId="77777777" w:rsidTr="00DD1A5F">
        <w:trPr>
          <w:tblHeader/>
        </w:trPr>
        <w:tc>
          <w:tcPr>
            <w:tcW w:w="1676" w:type="pct"/>
            <w:tcBorders>
              <w:top w:val="single" w:sz="4" w:space="0" w:color="auto"/>
              <w:bottom w:val="single" w:sz="4" w:space="0" w:color="auto"/>
            </w:tcBorders>
          </w:tcPr>
          <w:p w14:paraId="7E523DA2" w14:textId="77777777" w:rsidR="00BE1DFC" w:rsidRPr="00B703A5" w:rsidRDefault="00BE1DFC" w:rsidP="00DD1A5F">
            <w:pPr>
              <w:rPr>
                <w:b/>
                <w:bCs/>
              </w:rPr>
            </w:pPr>
            <w:r w:rsidRPr="00B703A5">
              <w:rPr>
                <w:b/>
                <w:bCs/>
              </w:rPr>
              <w:t>Category name and description</w:t>
            </w:r>
          </w:p>
        </w:tc>
        <w:tc>
          <w:tcPr>
            <w:tcW w:w="1523" w:type="pct"/>
            <w:tcBorders>
              <w:top w:val="single" w:sz="4" w:space="0" w:color="auto"/>
              <w:bottom w:val="single" w:sz="4" w:space="0" w:color="auto"/>
            </w:tcBorders>
          </w:tcPr>
          <w:p w14:paraId="341374A0" w14:textId="77777777" w:rsidR="00BE1DFC" w:rsidRPr="00B703A5" w:rsidRDefault="00BE1DFC" w:rsidP="00DD1A5F">
            <w:pPr>
              <w:rPr>
                <w:b/>
                <w:bCs/>
              </w:rPr>
            </w:pPr>
            <w:r w:rsidRPr="00B703A5">
              <w:rPr>
                <w:b/>
                <w:bCs/>
              </w:rPr>
              <w:t>Illustrative positive comments</w:t>
            </w:r>
          </w:p>
        </w:tc>
        <w:tc>
          <w:tcPr>
            <w:tcW w:w="1801" w:type="pct"/>
            <w:tcBorders>
              <w:top w:val="single" w:sz="4" w:space="0" w:color="auto"/>
              <w:bottom w:val="single" w:sz="4" w:space="0" w:color="auto"/>
            </w:tcBorders>
          </w:tcPr>
          <w:p w14:paraId="696DF2DE" w14:textId="77777777" w:rsidR="00BE1DFC" w:rsidRPr="00B703A5" w:rsidRDefault="00BE1DFC" w:rsidP="00DD1A5F">
            <w:pPr>
              <w:rPr>
                <w:b/>
                <w:bCs/>
              </w:rPr>
            </w:pPr>
            <w:r w:rsidRPr="00B703A5">
              <w:rPr>
                <w:b/>
                <w:bCs/>
              </w:rPr>
              <w:t>Illustrative negative comments</w:t>
            </w:r>
          </w:p>
        </w:tc>
      </w:tr>
      <w:tr w:rsidR="00BE1DFC" w14:paraId="3FFC2309" w14:textId="77777777" w:rsidTr="00DD1A5F">
        <w:tc>
          <w:tcPr>
            <w:tcW w:w="1676" w:type="pct"/>
            <w:tcBorders>
              <w:top w:val="single" w:sz="4" w:space="0" w:color="auto"/>
            </w:tcBorders>
          </w:tcPr>
          <w:p w14:paraId="56D2783E" w14:textId="77777777" w:rsidR="00BE1DFC" w:rsidRPr="00EE7D2F" w:rsidRDefault="00BE1DFC" w:rsidP="00DD1A5F">
            <w:pPr>
              <w:rPr>
                <w:b/>
                <w:bCs/>
              </w:rPr>
            </w:pPr>
            <w:r w:rsidRPr="00EE7D2F">
              <w:rPr>
                <w:b/>
                <w:bCs/>
              </w:rPr>
              <w:t>(Not) showing an interest in the patient</w:t>
            </w:r>
          </w:p>
        </w:tc>
        <w:tc>
          <w:tcPr>
            <w:tcW w:w="1523" w:type="pct"/>
            <w:tcBorders>
              <w:top w:val="single" w:sz="4" w:space="0" w:color="auto"/>
            </w:tcBorders>
          </w:tcPr>
          <w:p w14:paraId="635BBDA2" w14:textId="77777777" w:rsidR="00BE1DFC" w:rsidRDefault="00BE1DFC" w:rsidP="00DD1A5F"/>
        </w:tc>
        <w:tc>
          <w:tcPr>
            <w:tcW w:w="1801" w:type="pct"/>
            <w:tcBorders>
              <w:top w:val="single" w:sz="4" w:space="0" w:color="auto"/>
            </w:tcBorders>
          </w:tcPr>
          <w:p w14:paraId="5186EB42" w14:textId="77777777" w:rsidR="00BE1DFC" w:rsidRDefault="00BE1DFC" w:rsidP="00DD1A5F"/>
        </w:tc>
      </w:tr>
      <w:tr w:rsidR="00BE1DFC" w14:paraId="23235B12" w14:textId="77777777" w:rsidTr="00DD1A5F">
        <w:tc>
          <w:tcPr>
            <w:tcW w:w="1676" w:type="pct"/>
            <w:tcBorders>
              <w:bottom w:val="single" w:sz="4" w:space="0" w:color="auto"/>
            </w:tcBorders>
          </w:tcPr>
          <w:p w14:paraId="46D8E4DD" w14:textId="77777777" w:rsidR="00BE1DFC" w:rsidRDefault="00BE1DFC" w:rsidP="00DD1A5F">
            <w:r>
              <w:t xml:space="preserve">Participants commented on how familiar the doctor was with the patient’s case, how interested they seemed to be in the patient as a person, and how focused and attentive they appeared to be when the patient was talking.  Positive comments mentioned the doctor’s careful questioning, attentive listening, and open posture.  Negative comments mentioned the doctor interrupting or rushing the patient, repeating their questions, seeming distracted or focusing on their computer.  </w:t>
            </w:r>
          </w:p>
          <w:p w14:paraId="09D0CEE6" w14:textId="77777777" w:rsidR="00BE1DFC" w:rsidRDefault="00BE1DFC" w:rsidP="00DD1A5F"/>
        </w:tc>
        <w:tc>
          <w:tcPr>
            <w:tcW w:w="1523" w:type="pct"/>
            <w:tcBorders>
              <w:bottom w:val="single" w:sz="4" w:space="0" w:color="auto"/>
            </w:tcBorders>
          </w:tcPr>
          <w:p w14:paraId="2A9E1483" w14:textId="77777777" w:rsidR="00BE1DFC" w:rsidRPr="00E82A73" w:rsidRDefault="00BE1DFC" w:rsidP="00DD1A5F">
            <w:r>
              <w:t>“</w:t>
            </w:r>
            <w:r w:rsidRPr="00E82A73">
              <w:t>I really liked how the doctor treated the patient with full attention and how he listened to what the patient had to say. doctors really give you that much time or listen to you with that much patience, that</w:t>
            </w:r>
            <w:r>
              <w:t>’</w:t>
            </w:r>
            <w:r w:rsidRPr="00E82A73">
              <w:t>s the most important thing and that</w:t>
            </w:r>
            <w:r>
              <w:t>’</w:t>
            </w:r>
            <w:r w:rsidRPr="00E82A73">
              <w:t>s what I look for when I am looking for a doctor.</w:t>
            </w:r>
            <w:r>
              <w:t>” (P182)</w:t>
            </w:r>
          </w:p>
          <w:p w14:paraId="0D85BFF5" w14:textId="77777777" w:rsidR="00BE1DFC" w:rsidRDefault="00BE1DFC" w:rsidP="00DD1A5F"/>
          <w:p w14:paraId="5F21CFBA" w14:textId="77777777" w:rsidR="00BE1DFC" w:rsidRPr="008820FA" w:rsidRDefault="00BE1DFC" w:rsidP="00DD1A5F">
            <w:r>
              <w:t>“</w:t>
            </w:r>
            <w:r w:rsidRPr="008820FA">
              <w:t>I liked that she was very good at asking follow up questions</w:t>
            </w:r>
            <w:r>
              <w:t>.” (P135)</w:t>
            </w:r>
          </w:p>
          <w:p w14:paraId="2F2AF57A" w14:textId="77777777" w:rsidR="00BE1DFC" w:rsidRDefault="00BE1DFC" w:rsidP="00DD1A5F"/>
        </w:tc>
        <w:tc>
          <w:tcPr>
            <w:tcW w:w="1801" w:type="pct"/>
            <w:tcBorders>
              <w:bottom w:val="single" w:sz="4" w:space="0" w:color="auto"/>
            </w:tcBorders>
          </w:tcPr>
          <w:p w14:paraId="1E181A2C" w14:textId="77777777" w:rsidR="00BE1DFC" w:rsidRDefault="00BE1DFC" w:rsidP="00DD1A5F">
            <w:r>
              <w:t>“</w:t>
            </w:r>
            <w:r w:rsidRPr="00A40114">
              <w:t xml:space="preserve">He </w:t>
            </w:r>
            <w:r>
              <w:t xml:space="preserve">[the male doctor] </w:t>
            </w:r>
            <w:r w:rsidRPr="00A40114">
              <w:t>seemed disinterested, didn</w:t>
            </w:r>
            <w:r>
              <w:t>’</w:t>
            </w:r>
            <w:r w:rsidRPr="00A40114">
              <w:t>t appear to listen to the patient carefully as he kept asking questions that the patient has already answered, kept interrupting the patient</w:t>
            </w:r>
            <w:r>
              <w:t>.” (P319)</w:t>
            </w:r>
          </w:p>
          <w:p w14:paraId="1DB0BD17" w14:textId="77777777" w:rsidR="00BE1DFC" w:rsidRDefault="00BE1DFC" w:rsidP="00DD1A5F"/>
          <w:p w14:paraId="2052CA30" w14:textId="77777777" w:rsidR="00BE1DFC" w:rsidRDefault="00BE1DFC" w:rsidP="00DD1A5F">
            <w:r>
              <w:t>“</w:t>
            </w:r>
            <w:r w:rsidRPr="00122D26">
              <w:t>Poor demeanour, body posture (arms folde</w:t>
            </w:r>
            <w:r>
              <w:t>d</w:t>
            </w:r>
            <w:r w:rsidRPr="00122D26">
              <w:t>, sitting back). Not paying attention (typing away at pc)</w:t>
            </w:r>
            <w:r>
              <w:t>” (P303)</w:t>
            </w:r>
          </w:p>
        </w:tc>
      </w:tr>
      <w:tr w:rsidR="00BE1DFC" w14:paraId="3AEBA7FF" w14:textId="77777777" w:rsidTr="00DD1A5F">
        <w:tc>
          <w:tcPr>
            <w:tcW w:w="1676" w:type="pct"/>
            <w:tcBorders>
              <w:top w:val="single" w:sz="4" w:space="0" w:color="auto"/>
            </w:tcBorders>
          </w:tcPr>
          <w:p w14:paraId="1E698DE5" w14:textId="77777777" w:rsidR="00BE1DFC" w:rsidRPr="00C251F4" w:rsidRDefault="00BE1DFC" w:rsidP="00DD1A5F">
            <w:pPr>
              <w:rPr>
                <w:b/>
                <w:bCs/>
              </w:rPr>
            </w:pPr>
            <w:r w:rsidRPr="00C251F4">
              <w:rPr>
                <w:b/>
                <w:bCs/>
              </w:rPr>
              <w:t>Responding with(out) respect</w:t>
            </w:r>
          </w:p>
        </w:tc>
        <w:tc>
          <w:tcPr>
            <w:tcW w:w="1523" w:type="pct"/>
            <w:tcBorders>
              <w:top w:val="single" w:sz="4" w:space="0" w:color="auto"/>
            </w:tcBorders>
          </w:tcPr>
          <w:p w14:paraId="52754130" w14:textId="77777777" w:rsidR="00BE1DFC" w:rsidRDefault="00BE1DFC" w:rsidP="00DD1A5F"/>
        </w:tc>
        <w:tc>
          <w:tcPr>
            <w:tcW w:w="1801" w:type="pct"/>
            <w:tcBorders>
              <w:top w:val="single" w:sz="4" w:space="0" w:color="auto"/>
            </w:tcBorders>
          </w:tcPr>
          <w:p w14:paraId="7752B4B6" w14:textId="77777777" w:rsidR="00BE1DFC" w:rsidRDefault="00BE1DFC" w:rsidP="00DD1A5F"/>
        </w:tc>
      </w:tr>
      <w:tr w:rsidR="00BE1DFC" w14:paraId="06BD060A" w14:textId="77777777" w:rsidTr="00DD1A5F">
        <w:tc>
          <w:tcPr>
            <w:tcW w:w="1676" w:type="pct"/>
            <w:tcBorders>
              <w:bottom w:val="single" w:sz="4" w:space="0" w:color="auto"/>
            </w:tcBorders>
          </w:tcPr>
          <w:p w14:paraId="7D98C177" w14:textId="77777777" w:rsidR="00BE1DFC" w:rsidRDefault="00BE1DFC" w:rsidP="00DD1A5F">
            <w:r>
              <w:t>Participants commented on how the doctor addressed, dismissed, or ignored the patient’s concerns.  Negative comments mentioned the use of medical jargon or acronyms and other forms of language that were not tailored to their patient.  Positive comments described the doctor as being honest, respectful, or non-judgmental.</w:t>
            </w:r>
          </w:p>
        </w:tc>
        <w:tc>
          <w:tcPr>
            <w:tcW w:w="1523" w:type="pct"/>
            <w:tcBorders>
              <w:bottom w:val="single" w:sz="4" w:space="0" w:color="auto"/>
            </w:tcBorders>
          </w:tcPr>
          <w:p w14:paraId="6842FEA5" w14:textId="77777777" w:rsidR="00BE1DFC" w:rsidRDefault="00BE1DFC" w:rsidP="00DD1A5F">
            <w:r>
              <w:t>“T</w:t>
            </w:r>
            <w:r w:rsidRPr="00E553BE">
              <w:t xml:space="preserve">he doctor addressed the concerns that the patient brought up clearly, it seems like they answered the questions the patient </w:t>
            </w:r>
            <w:proofErr w:type="gramStart"/>
            <w:r w:rsidRPr="00E553BE">
              <w:t>have</w:t>
            </w:r>
            <w:proofErr w:type="gramEnd"/>
            <w:r w:rsidRPr="00E553BE">
              <w:t>.</w:t>
            </w:r>
            <w:r>
              <w:t>” (P159)</w:t>
            </w:r>
          </w:p>
          <w:p w14:paraId="6D2FE910" w14:textId="77777777" w:rsidR="00BE1DFC" w:rsidRDefault="00BE1DFC" w:rsidP="00DD1A5F"/>
          <w:p w14:paraId="620D04F2" w14:textId="77777777" w:rsidR="00BE1DFC" w:rsidRPr="00672CF1" w:rsidRDefault="00BE1DFC" w:rsidP="00DD1A5F">
            <w:r>
              <w:t>“</w:t>
            </w:r>
            <w:r w:rsidRPr="00672CF1">
              <w:t>Paying attention and allowing the patient to tell her story and prof</w:t>
            </w:r>
            <w:r>
              <w:t>f</w:t>
            </w:r>
            <w:r w:rsidRPr="00672CF1">
              <w:t>ering possible solution for the patient to try. suggesting ibuprofen gel since the tablet/capsule makes the patient feel sick.</w:t>
            </w:r>
            <w:r>
              <w:t>” (P50)</w:t>
            </w:r>
          </w:p>
          <w:p w14:paraId="288394C1" w14:textId="77777777" w:rsidR="00BE1DFC" w:rsidRDefault="00BE1DFC" w:rsidP="00DD1A5F"/>
        </w:tc>
        <w:tc>
          <w:tcPr>
            <w:tcW w:w="1801" w:type="pct"/>
            <w:tcBorders>
              <w:bottom w:val="single" w:sz="4" w:space="0" w:color="auto"/>
            </w:tcBorders>
          </w:tcPr>
          <w:p w14:paraId="5AEE659C" w14:textId="77777777" w:rsidR="00BE1DFC" w:rsidRDefault="00BE1DFC" w:rsidP="00DD1A5F">
            <w:r>
              <w:t>“[The female doctor] d</w:t>
            </w:r>
            <w:r w:rsidRPr="00D16C9B">
              <w:t xml:space="preserve">idn’t listen to the patient when she mentioned her concerns regarding the </w:t>
            </w:r>
            <w:proofErr w:type="gramStart"/>
            <w:r w:rsidRPr="00D16C9B">
              <w:t>amount</w:t>
            </w:r>
            <w:proofErr w:type="gramEnd"/>
            <w:r w:rsidRPr="00D16C9B">
              <w:t xml:space="preserve"> of tablets she had to take- just continued saying </w:t>
            </w:r>
            <w:r>
              <w:t>‘</w:t>
            </w:r>
            <w:r w:rsidRPr="00D16C9B">
              <w:t>if it works, it</w:t>
            </w:r>
            <w:r>
              <w:t>’</w:t>
            </w:r>
            <w:r w:rsidRPr="00D16C9B">
              <w:t>s alright really</w:t>
            </w:r>
            <w:r>
              <w:t>’</w:t>
            </w:r>
            <w:r w:rsidRPr="00D16C9B">
              <w:t>. Mentioned NSAIDS and TKR- medical jargon that she didn’t bother to explain to the patient. Didn</w:t>
            </w:r>
            <w:r>
              <w:t>’</w:t>
            </w:r>
            <w:r w:rsidRPr="00D16C9B">
              <w:t>t address the patient</w:t>
            </w:r>
            <w:r>
              <w:t>’</w:t>
            </w:r>
            <w:r w:rsidRPr="00D16C9B">
              <w:t>s concern that she was back in the same place as she was 6 months ago.</w:t>
            </w:r>
            <w:r>
              <w:t>” (P381)</w:t>
            </w:r>
          </w:p>
        </w:tc>
      </w:tr>
      <w:tr w:rsidR="00BE1DFC" w14:paraId="479C1A45" w14:textId="77777777" w:rsidTr="00DD1A5F">
        <w:tc>
          <w:tcPr>
            <w:tcW w:w="1676" w:type="pct"/>
            <w:tcBorders>
              <w:top w:val="single" w:sz="4" w:space="0" w:color="auto"/>
            </w:tcBorders>
          </w:tcPr>
          <w:p w14:paraId="1C9D647C" w14:textId="77777777" w:rsidR="00BE1DFC" w:rsidRPr="002055F2" w:rsidRDefault="00BE1DFC" w:rsidP="00DD1A5F">
            <w:pPr>
              <w:rPr>
                <w:b/>
                <w:bCs/>
              </w:rPr>
            </w:pPr>
            <w:r>
              <w:rPr>
                <w:b/>
                <w:bCs/>
              </w:rPr>
              <w:t>Conveying w</w:t>
            </w:r>
            <w:r w:rsidRPr="002055F2">
              <w:rPr>
                <w:b/>
                <w:bCs/>
              </w:rPr>
              <w:t>armth, empathy, and hope</w:t>
            </w:r>
          </w:p>
        </w:tc>
        <w:tc>
          <w:tcPr>
            <w:tcW w:w="1523" w:type="pct"/>
            <w:tcBorders>
              <w:top w:val="single" w:sz="4" w:space="0" w:color="auto"/>
            </w:tcBorders>
          </w:tcPr>
          <w:p w14:paraId="5D249B06" w14:textId="77777777" w:rsidR="00BE1DFC" w:rsidRDefault="00BE1DFC" w:rsidP="00DD1A5F"/>
        </w:tc>
        <w:tc>
          <w:tcPr>
            <w:tcW w:w="1801" w:type="pct"/>
            <w:tcBorders>
              <w:top w:val="single" w:sz="4" w:space="0" w:color="auto"/>
            </w:tcBorders>
          </w:tcPr>
          <w:p w14:paraId="605C14F0" w14:textId="77777777" w:rsidR="00BE1DFC" w:rsidRDefault="00BE1DFC" w:rsidP="00DD1A5F"/>
        </w:tc>
      </w:tr>
      <w:tr w:rsidR="00BE1DFC" w14:paraId="7ABCAE91" w14:textId="77777777" w:rsidTr="00DD1A5F">
        <w:tc>
          <w:tcPr>
            <w:tcW w:w="1676" w:type="pct"/>
            <w:tcBorders>
              <w:bottom w:val="single" w:sz="4" w:space="0" w:color="auto"/>
            </w:tcBorders>
          </w:tcPr>
          <w:p w14:paraId="4AA8B629" w14:textId="77777777" w:rsidR="00BE1DFC" w:rsidRDefault="00BE1DFC" w:rsidP="00DD1A5F">
            <w:r>
              <w:t xml:space="preserve">Participants liked it when the doctor built rapport with the patient and came across as warm, friendly, sympathetic, considerate, reassuring, empathetic, and/or caring, and offering some positivity or hope to the patient.  Negative </w:t>
            </w:r>
            <w:r>
              <w:lastRenderedPageBreak/>
              <w:t xml:space="preserve">comments described the doctor as cold and uncaring, as being without compassion, empathy, sympathy, or warmth, and as being pessimistic or not fostering hope in the patient.  </w:t>
            </w:r>
          </w:p>
          <w:p w14:paraId="45612EB7" w14:textId="77777777" w:rsidR="00BE1DFC" w:rsidRDefault="00BE1DFC" w:rsidP="00DD1A5F"/>
        </w:tc>
        <w:tc>
          <w:tcPr>
            <w:tcW w:w="1523" w:type="pct"/>
            <w:tcBorders>
              <w:bottom w:val="single" w:sz="4" w:space="0" w:color="auto"/>
            </w:tcBorders>
          </w:tcPr>
          <w:p w14:paraId="3C4A0AEE" w14:textId="77777777" w:rsidR="00BE1DFC" w:rsidRPr="00416EB7" w:rsidRDefault="00BE1DFC" w:rsidP="00DD1A5F">
            <w:r>
              <w:lastRenderedPageBreak/>
              <w:t>“</w:t>
            </w:r>
            <w:r w:rsidRPr="00416EB7">
              <w:t>I liked every bit of what the doctor represents. She was so kind and compassion yet so professional at the same time</w:t>
            </w:r>
            <w:r>
              <w:t>.” (P73)</w:t>
            </w:r>
          </w:p>
          <w:p w14:paraId="7F922E3D" w14:textId="77777777" w:rsidR="00BE1DFC" w:rsidRPr="00416EB7" w:rsidRDefault="00BE1DFC" w:rsidP="00DD1A5F"/>
          <w:p w14:paraId="2604DBF0" w14:textId="77777777" w:rsidR="00BE1DFC" w:rsidRPr="004B6224" w:rsidRDefault="00BE1DFC" w:rsidP="00DD1A5F">
            <w:r>
              <w:lastRenderedPageBreak/>
              <w:t>“</w:t>
            </w:r>
            <w:r w:rsidRPr="004B6224">
              <w:t>I liked the doctor</w:t>
            </w:r>
            <w:r>
              <w:t>’</w:t>
            </w:r>
            <w:r w:rsidRPr="004B6224">
              <w:t>s tone of voice and speaking speed. It was very reassuring and made the patient comfortable.</w:t>
            </w:r>
            <w:r>
              <w:t>”</w:t>
            </w:r>
          </w:p>
          <w:p w14:paraId="237650BE" w14:textId="77777777" w:rsidR="00BE1DFC" w:rsidRPr="004B6224" w:rsidRDefault="00BE1DFC" w:rsidP="00DD1A5F"/>
          <w:p w14:paraId="0D04589A" w14:textId="77777777" w:rsidR="00BE1DFC" w:rsidRDefault="00BE1DFC" w:rsidP="00DD1A5F"/>
        </w:tc>
        <w:tc>
          <w:tcPr>
            <w:tcW w:w="1801" w:type="pct"/>
            <w:tcBorders>
              <w:bottom w:val="single" w:sz="4" w:space="0" w:color="auto"/>
            </w:tcBorders>
          </w:tcPr>
          <w:p w14:paraId="7AC7BBAC" w14:textId="77777777" w:rsidR="00BE1DFC" w:rsidRDefault="00BE1DFC" w:rsidP="00DD1A5F">
            <w:r>
              <w:lastRenderedPageBreak/>
              <w:t>“Seemed cold and indifferent” (P237)</w:t>
            </w:r>
          </w:p>
          <w:p w14:paraId="5B77AA5F" w14:textId="77777777" w:rsidR="00BE1DFC" w:rsidRDefault="00BE1DFC" w:rsidP="00DD1A5F"/>
          <w:p w14:paraId="18CFE624" w14:textId="77777777" w:rsidR="00BE1DFC" w:rsidRDefault="00BE1DFC" w:rsidP="00DD1A5F">
            <w:r>
              <w:t>“</w:t>
            </w:r>
            <w:r w:rsidRPr="000F207C">
              <w:t xml:space="preserve">She </w:t>
            </w:r>
            <w:r>
              <w:t xml:space="preserve">[the doctor] </w:t>
            </w:r>
            <w:r w:rsidRPr="000F207C">
              <w:t xml:space="preserve">just seemed to suggest some way of compromising, all the while emphasizing that it </w:t>
            </w:r>
            <w:r w:rsidRPr="000F207C">
              <w:lastRenderedPageBreak/>
              <w:t>might not work. The patient seems to feel very helpless.</w:t>
            </w:r>
            <w:r>
              <w:t xml:space="preserve"> (P318)</w:t>
            </w:r>
          </w:p>
        </w:tc>
      </w:tr>
      <w:tr w:rsidR="00BE1DFC" w14:paraId="579BD900" w14:textId="77777777" w:rsidTr="00DD1A5F">
        <w:tc>
          <w:tcPr>
            <w:tcW w:w="1676" w:type="pct"/>
            <w:tcBorders>
              <w:top w:val="single" w:sz="4" w:space="0" w:color="auto"/>
            </w:tcBorders>
          </w:tcPr>
          <w:p w14:paraId="3381F96C" w14:textId="77777777" w:rsidR="00BE1DFC" w:rsidRPr="00C15B8D" w:rsidRDefault="00BE1DFC" w:rsidP="00DD1A5F">
            <w:pPr>
              <w:rPr>
                <w:b/>
                <w:bCs/>
              </w:rPr>
            </w:pPr>
            <w:r w:rsidRPr="00C15B8D">
              <w:rPr>
                <w:b/>
                <w:bCs/>
              </w:rPr>
              <w:lastRenderedPageBreak/>
              <w:t>(Not) clearly explaining management options or clinical decisions</w:t>
            </w:r>
          </w:p>
        </w:tc>
        <w:tc>
          <w:tcPr>
            <w:tcW w:w="1523" w:type="pct"/>
            <w:tcBorders>
              <w:top w:val="single" w:sz="4" w:space="0" w:color="auto"/>
            </w:tcBorders>
          </w:tcPr>
          <w:p w14:paraId="1C4A6ABF" w14:textId="77777777" w:rsidR="00BE1DFC" w:rsidRDefault="00BE1DFC" w:rsidP="00DD1A5F"/>
        </w:tc>
        <w:tc>
          <w:tcPr>
            <w:tcW w:w="1801" w:type="pct"/>
            <w:tcBorders>
              <w:top w:val="single" w:sz="4" w:space="0" w:color="auto"/>
            </w:tcBorders>
          </w:tcPr>
          <w:p w14:paraId="6DEDD1F0" w14:textId="77777777" w:rsidR="00BE1DFC" w:rsidRDefault="00BE1DFC" w:rsidP="00DD1A5F"/>
        </w:tc>
      </w:tr>
      <w:tr w:rsidR="00BE1DFC" w14:paraId="44FAD974" w14:textId="77777777" w:rsidTr="00DD1A5F">
        <w:tc>
          <w:tcPr>
            <w:tcW w:w="1676" w:type="pct"/>
            <w:tcBorders>
              <w:bottom w:val="single" w:sz="4" w:space="0" w:color="auto"/>
            </w:tcBorders>
          </w:tcPr>
          <w:p w14:paraId="10E0B5BC" w14:textId="77777777" w:rsidR="00BE1DFC" w:rsidRDefault="00BE1DFC" w:rsidP="00DD1A5F">
            <w:r>
              <w:t>Participants liked it when the doctor involved the patient in decision-making, and provided clear and concise descriptions of possible options, explanations for clinical decisions, and recommended next steps.  Participants did not like it when they thought the doctor did not explain why they did not recommend the patient’s preferred option (in this scenario, surgery).</w:t>
            </w:r>
          </w:p>
        </w:tc>
        <w:tc>
          <w:tcPr>
            <w:tcW w:w="1523" w:type="pct"/>
            <w:tcBorders>
              <w:bottom w:val="single" w:sz="4" w:space="0" w:color="auto"/>
            </w:tcBorders>
          </w:tcPr>
          <w:p w14:paraId="17A8B3E2" w14:textId="77777777" w:rsidR="00BE1DFC" w:rsidRDefault="00BE1DFC" w:rsidP="00DD1A5F">
            <w:r>
              <w:t>“H</w:t>
            </w:r>
            <w:r w:rsidRPr="003C0ED7">
              <w:t>e made it very clear to the patient what he needed to do and what would help</w:t>
            </w:r>
            <w:r>
              <w:t>.” (P139)</w:t>
            </w:r>
          </w:p>
          <w:p w14:paraId="3E099CA0" w14:textId="77777777" w:rsidR="00BE1DFC" w:rsidRDefault="00BE1DFC" w:rsidP="00DD1A5F"/>
          <w:p w14:paraId="11CA7075" w14:textId="77777777" w:rsidR="00BE1DFC" w:rsidRPr="00ED38C0" w:rsidRDefault="00BE1DFC" w:rsidP="00DD1A5F">
            <w:r>
              <w:t>“</w:t>
            </w:r>
            <w:r w:rsidRPr="00ED38C0">
              <w:t>The doctor carrying the patient along in the decision making was the highlight of the video for me, I really liked that</w:t>
            </w:r>
            <w:r>
              <w:t>.” (P55)</w:t>
            </w:r>
          </w:p>
          <w:p w14:paraId="1E48F32D" w14:textId="77777777" w:rsidR="00BE1DFC" w:rsidRDefault="00BE1DFC" w:rsidP="00DD1A5F"/>
        </w:tc>
        <w:tc>
          <w:tcPr>
            <w:tcW w:w="1801" w:type="pct"/>
            <w:tcBorders>
              <w:bottom w:val="single" w:sz="4" w:space="0" w:color="auto"/>
            </w:tcBorders>
          </w:tcPr>
          <w:p w14:paraId="6FA5C170" w14:textId="77777777" w:rsidR="00BE1DFC" w:rsidRDefault="00BE1DFC" w:rsidP="00DD1A5F">
            <w:r>
              <w:t>“</w:t>
            </w:r>
            <w:r w:rsidRPr="00B4012D">
              <w:t xml:space="preserve">Good that at least he wrote the medication regime down for the patient - but I wanted to hear a - right - this is what we're going to do to help 3-point plan covering 1. medication increase; 2 exercise increase; 3 weight loss. Needed to explain why a TKR </w:t>
            </w:r>
            <w:r>
              <w:t xml:space="preserve">[total knee replacement] </w:t>
            </w:r>
            <w:r w:rsidRPr="00B4012D">
              <w:t>wasn't appropriate for him at this stage</w:t>
            </w:r>
            <w:r>
              <w:t>.” (P270)</w:t>
            </w:r>
          </w:p>
        </w:tc>
      </w:tr>
    </w:tbl>
    <w:p w14:paraId="6675030A" w14:textId="77777777" w:rsidR="00BE1DFC" w:rsidRDefault="00BE1DFC" w:rsidP="00BE1DFC"/>
    <w:p w14:paraId="7DE8CA57" w14:textId="77777777" w:rsidR="004741BD" w:rsidRDefault="004741BD" w:rsidP="00BE1DFC">
      <w:pPr>
        <w:sectPr w:rsidR="004741BD" w:rsidSect="003E67AF">
          <w:pgSz w:w="16838" w:h="11906" w:orient="landscape"/>
          <w:pgMar w:top="1440" w:right="1440" w:bottom="1440" w:left="1440" w:header="708" w:footer="708" w:gutter="0"/>
          <w:cols w:space="708"/>
          <w:docGrid w:linePitch="360"/>
        </w:sectPr>
      </w:pPr>
    </w:p>
    <w:p w14:paraId="58B8574E" w14:textId="5091AF89" w:rsidR="004741BD" w:rsidRDefault="004741BD" w:rsidP="004741BD">
      <w:pPr>
        <w:pStyle w:val="Heading3"/>
      </w:pPr>
      <w:r>
        <w:lastRenderedPageBreak/>
        <w:t xml:space="preserve">Table </w:t>
      </w:r>
      <w:r w:rsidR="00357750">
        <w:t>6</w:t>
      </w:r>
      <w:r>
        <w:t>. Selected Quotes Illustrating Participants Relating Filmed Consultations to Personal Experiences</w:t>
      </w:r>
    </w:p>
    <w:p w14:paraId="5F34D477" w14:textId="77777777" w:rsidR="004741BD" w:rsidRDefault="004741BD" w:rsidP="004741BD"/>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997"/>
        <w:gridCol w:w="3062"/>
      </w:tblGrid>
      <w:tr w:rsidR="004741BD" w14:paraId="16D2D977" w14:textId="77777777" w:rsidTr="004741BD">
        <w:tc>
          <w:tcPr>
            <w:tcW w:w="4649" w:type="dxa"/>
            <w:tcBorders>
              <w:top w:val="single" w:sz="4" w:space="0" w:color="auto"/>
              <w:bottom w:val="single" w:sz="4" w:space="0" w:color="auto"/>
            </w:tcBorders>
          </w:tcPr>
          <w:p w14:paraId="26C85834" w14:textId="77777777" w:rsidR="004741BD" w:rsidRDefault="004741BD" w:rsidP="004741BD"/>
        </w:tc>
        <w:tc>
          <w:tcPr>
            <w:tcW w:w="4649" w:type="dxa"/>
            <w:tcBorders>
              <w:top w:val="single" w:sz="4" w:space="0" w:color="auto"/>
              <w:bottom w:val="single" w:sz="4" w:space="0" w:color="auto"/>
            </w:tcBorders>
          </w:tcPr>
          <w:p w14:paraId="6EEC87BF" w14:textId="793EDED9" w:rsidR="004741BD" w:rsidRDefault="004741BD" w:rsidP="004741BD">
            <w:r>
              <w:t>Standard Consultation</w:t>
            </w:r>
          </w:p>
        </w:tc>
        <w:tc>
          <w:tcPr>
            <w:tcW w:w="4650" w:type="dxa"/>
            <w:tcBorders>
              <w:top w:val="single" w:sz="4" w:space="0" w:color="auto"/>
              <w:bottom w:val="single" w:sz="4" w:space="0" w:color="auto"/>
            </w:tcBorders>
          </w:tcPr>
          <w:p w14:paraId="0320A7D2" w14:textId="7B022527" w:rsidR="004741BD" w:rsidRDefault="004741BD" w:rsidP="004741BD">
            <w:r>
              <w:t>Enhanced Consultation</w:t>
            </w:r>
          </w:p>
        </w:tc>
      </w:tr>
      <w:tr w:rsidR="004741BD" w14:paraId="5E6DC681" w14:textId="77777777" w:rsidTr="004741BD">
        <w:tc>
          <w:tcPr>
            <w:tcW w:w="4649" w:type="dxa"/>
            <w:tcBorders>
              <w:top w:val="single" w:sz="4" w:space="0" w:color="auto"/>
            </w:tcBorders>
          </w:tcPr>
          <w:p w14:paraId="31ED6A39" w14:textId="2C94C755" w:rsidR="004741BD" w:rsidRDefault="004741BD" w:rsidP="004741BD">
            <w:r>
              <w:t>How filmed consultation relates to personal or vicarious experience</w:t>
            </w:r>
          </w:p>
        </w:tc>
        <w:tc>
          <w:tcPr>
            <w:tcW w:w="4649" w:type="dxa"/>
            <w:tcBorders>
              <w:top w:val="single" w:sz="4" w:space="0" w:color="auto"/>
            </w:tcBorders>
          </w:tcPr>
          <w:p w14:paraId="7C10DBD4" w14:textId="1AA04412" w:rsidR="004741BD" w:rsidRDefault="004741BD" w:rsidP="004741BD">
            <w:r>
              <w:t>“</w:t>
            </w:r>
            <w:r w:rsidRPr="0072685E">
              <w:t>Not good in my opinion but sadly very familiar. My wife has been through such like appointment and it's very frustrating</w:t>
            </w:r>
            <w:r>
              <w:t>.” (P245)</w:t>
            </w:r>
          </w:p>
        </w:tc>
        <w:tc>
          <w:tcPr>
            <w:tcW w:w="4650" w:type="dxa"/>
            <w:tcBorders>
              <w:top w:val="single" w:sz="4" w:space="0" w:color="auto"/>
            </w:tcBorders>
          </w:tcPr>
          <w:p w14:paraId="2DCE4D07" w14:textId="31CF5630" w:rsidR="004741BD" w:rsidRDefault="004741BD" w:rsidP="004741BD">
            <w:r>
              <w:t>“Wish my doctor was as understanding and spent as much time talking through issues. Example is very different to my experience!” (P131)</w:t>
            </w:r>
          </w:p>
        </w:tc>
      </w:tr>
      <w:tr w:rsidR="004741BD" w14:paraId="2190CD34" w14:textId="77777777" w:rsidTr="004741BD">
        <w:tc>
          <w:tcPr>
            <w:tcW w:w="4649" w:type="dxa"/>
          </w:tcPr>
          <w:p w14:paraId="34652F36" w14:textId="1BD3BB0C" w:rsidR="004741BD" w:rsidRDefault="004741BD" w:rsidP="004741BD">
            <w:r>
              <w:t>What if participant were to experience filmed consultation</w:t>
            </w:r>
          </w:p>
        </w:tc>
        <w:tc>
          <w:tcPr>
            <w:tcW w:w="4649" w:type="dxa"/>
          </w:tcPr>
          <w:p w14:paraId="28D0F71F" w14:textId="60E05EC3" w:rsidR="004741BD" w:rsidRDefault="004741BD" w:rsidP="004741BD">
            <w:r>
              <w:t>“</w:t>
            </w:r>
            <w:r w:rsidRPr="00156167">
              <w:t>I would be very disappointed if I had such a consultation with a GP who was like this</w:t>
            </w:r>
            <w:r>
              <w:t>.” (P267)</w:t>
            </w:r>
          </w:p>
        </w:tc>
        <w:tc>
          <w:tcPr>
            <w:tcW w:w="4650" w:type="dxa"/>
          </w:tcPr>
          <w:p w14:paraId="73A52531" w14:textId="1160293A" w:rsidR="004741BD" w:rsidRDefault="004741BD" w:rsidP="004741BD">
            <w:r>
              <w:t>“</w:t>
            </w:r>
            <w:r>
              <w:rPr>
                <w:noProof/>
              </w:rPr>
              <w:t>I liked it all! I wish all GP consultations were like the one I just viewed.” (P74)</w:t>
            </w:r>
          </w:p>
        </w:tc>
      </w:tr>
    </w:tbl>
    <w:p w14:paraId="74E1F505" w14:textId="77777777" w:rsidR="004741BD" w:rsidRPr="004741BD" w:rsidRDefault="004741BD" w:rsidP="004741BD"/>
    <w:p w14:paraId="1E8B3059" w14:textId="07E3791C" w:rsidR="0037512A" w:rsidRDefault="0037512A"/>
    <w:sectPr w:rsidR="0037512A" w:rsidSect="004741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A4E6" w14:textId="77777777" w:rsidR="00F12216" w:rsidRDefault="00F12216" w:rsidP="003C1B55">
      <w:pPr>
        <w:spacing w:after="0" w:line="240" w:lineRule="auto"/>
      </w:pPr>
      <w:r>
        <w:separator/>
      </w:r>
    </w:p>
  </w:endnote>
  <w:endnote w:type="continuationSeparator" w:id="0">
    <w:p w14:paraId="258C0C89" w14:textId="77777777" w:rsidR="00F12216" w:rsidRDefault="00F12216" w:rsidP="003C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75CD" w14:textId="77777777" w:rsidR="00F12216" w:rsidRDefault="00F12216" w:rsidP="003C1B55">
      <w:pPr>
        <w:spacing w:after="0" w:line="240" w:lineRule="auto"/>
      </w:pPr>
      <w:r>
        <w:separator/>
      </w:r>
    </w:p>
  </w:footnote>
  <w:footnote w:type="continuationSeparator" w:id="0">
    <w:p w14:paraId="3EAF872D" w14:textId="77777777" w:rsidR="00F12216" w:rsidRDefault="00F12216" w:rsidP="003C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97521"/>
      <w:docPartObj>
        <w:docPartGallery w:val="Page Numbers (Top of Page)"/>
        <w:docPartUnique/>
      </w:docPartObj>
    </w:sdtPr>
    <w:sdtEndPr>
      <w:rPr>
        <w:noProof/>
      </w:rPr>
    </w:sdtEndPr>
    <w:sdtContent>
      <w:p w14:paraId="0E84005D" w14:textId="02B08964" w:rsidR="00BB4525" w:rsidRDefault="00BB45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733CFF" w14:textId="77777777" w:rsidR="00BB4525" w:rsidRDefault="00BB4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2F86"/>
    <w:multiLevelType w:val="hybridMultilevel"/>
    <w:tmpl w:val="C3A8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F2C96"/>
    <w:multiLevelType w:val="hybridMultilevel"/>
    <w:tmpl w:val="3E4C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27E30"/>
    <w:multiLevelType w:val="hybridMultilevel"/>
    <w:tmpl w:val="8C24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05F8A"/>
    <w:multiLevelType w:val="hybridMultilevel"/>
    <w:tmpl w:val="1558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75D17"/>
    <w:multiLevelType w:val="hybridMultilevel"/>
    <w:tmpl w:val="10EE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544413">
    <w:abstractNumId w:val="3"/>
  </w:num>
  <w:num w:numId="2" w16cid:durableId="1898200151">
    <w:abstractNumId w:val="0"/>
  </w:num>
  <w:num w:numId="3" w16cid:durableId="1566379602">
    <w:abstractNumId w:val="2"/>
  </w:num>
  <w:num w:numId="4" w16cid:durableId="604463644">
    <w:abstractNumId w:val="1"/>
  </w:num>
  <w:num w:numId="5" w16cid:durableId="239487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f50avsqaa99ye5twvpvdabtsespt0ddarp&quot;&gt;Flis EndNote Library-28.3.23&lt;record-ids&gt;&lt;item&gt;907&lt;/item&gt;&lt;item&gt;3003&lt;/item&gt;&lt;item&gt;7586&lt;/item&gt;&lt;item&gt;7909&lt;/item&gt;&lt;item&gt;8103&lt;/item&gt;&lt;item&gt;8114&lt;/item&gt;&lt;item&gt;8115&lt;/item&gt;&lt;item&gt;8319&lt;/item&gt;&lt;item&gt;8356&lt;/item&gt;&lt;item&gt;8475&lt;/item&gt;&lt;item&gt;8504&lt;/item&gt;&lt;item&gt;8543&lt;/item&gt;&lt;item&gt;8559&lt;/item&gt;&lt;item&gt;8566&lt;/item&gt;&lt;item&gt;8567&lt;/item&gt;&lt;item&gt;8571&lt;/item&gt;&lt;item&gt;8583&lt;/item&gt;&lt;item&gt;8584&lt;/item&gt;&lt;item&gt;8585&lt;/item&gt;&lt;item&gt;8586&lt;/item&gt;&lt;item&gt;8591&lt;/item&gt;&lt;item&gt;8592&lt;/item&gt;&lt;item&gt;8593&lt;/item&gt;&lt;item&gt;8594&lt;/item&gt;&lt;item&gt;8595&lt;/item&gt;&lt;item&gt;8596&lt;/item&gt;&lt;item&gt;8604&lt;/item&gt;&lt;item&gt;8605&lt;/item&gt;&lt;item&gt;8606&lt;/item&gt;&lt;item&gt;8607&lt;/item&gt;&lt;item&gt;8608&lt;/item&gt;&lt;/record-ids&gt;&lt;/item&gt;&lt;/Libraries&gt;"/>
  </w:docVars>
  <w:rsids>
    <w:rsidRoot w:val="002D0201"/>
    <w:rsid w:val="0000049E"/>
    <w:rsid w:val="00001B39"/>
    <w:rsid w:val="00002B37"/>
    <w:rsid w:val="00005336"/>
    <w:rsid w:val="0000654B"/>
    <w:rsid w:val="00011473"/>
    <w:rsid w:val="00012183"/>
    <w:rsid w:val="00017228"/>
    <w:rsid w:val="00021993"/>
    <w:rsid w:val="000225CF"/>
    <w:rsid w:val="0002384D"/>
    <w:rsid w:val="00023A34"/>
    <w:rsid w:val="00025381"/>
    <w:rsid w:val="000270B7"/>
    <w:rsid w:val="00032290"/>
    <w:rsid w:val="000337C9"/>
    <w:rsid w:val="00035AE6"/>
    <w:rsid w:val="00036A2A"/>
    <w:rsid w:val="00037C80"/>
    <w:rsid w:val="0004183B"/>
    <w:rsid w:val="000447F7"/>
    <w:rsid w:val="00045127"/>
    <w:rsid w:val="00045873"/>
    <w:rsid w:val="000522C0"/>
    <w:rsid w:val="00054B5A"/>
    <w:rsid w:val="00055BAE"/>
    <w:rsid w:val="0005735B"/>
    <w:rsid w:val="00057D5C"/>
    <w:rsid w:val="00063A56"/>
    <w:rsid w:val="00065E08"/>
    <w:rsid w:val="000663E0"/>
    <w:rsid w:val="00066A77"/>
    <w:rsid w:val="00067EA3"/>
    <w:rsid w:val="000704FD"/>
    <w:rsid w:val="00070939"/>
    <w:rsid w:val="00071D55"/>
    <w:rsid w:val="00073556"/>
    <w:rsid w:val="00074349"/>
    <w:rsid w:val="00074ADF"/>
    <w:rsid w:val="000762A7"/>
    <w:rsid w:val="00077AD3"/>
    <w:rsid w:val="000805E3"/>
    <w:rsid w:val="0008072F"/>
    <w:rsid w:val="00081225"/>
    <w:rsid w:val="00081767"/>
    <w:rsid w:val="000817E5"/>
    <w:rsid w:val="00082F01"/>
    <w:rsid w:val="00083B83"/>
    <w:rsid w:val="00085C01"/>
    <w:rsid w:val="000905D2"/>
    <w:rsid w:val="0009234E"/>
    <w:rsid w:val="00092A5A"/>
    <w:rsid w:val="00094CB1"/>
    <w:rsid w:val="000956A9"/>
    <w:rsid w:val="000A1550"/>
    <w:rsid w:val="000A1A79"/>
    <w:rsid w:val="000A2020"/>
    <w:rsid w:val="000A6E9B"/>
    <w:rsid w:val="000B0137"/>
    <w:rsid w:val="000B3723"/>
    <w:rsid w:val="000B4A09"/>
    <w:rsid w:val="000B4E87"/>
    <w:rsid w:val="000B56B2"/>
    <w:rsid w:val="000B6C73"/>
    <w:rsid w:val="000B7A67"/>
    <w:rsid w:val="000C2F73"/>
    <w:rsid w:val="000C3BA3"/>
    <w:rsid w:val="000C41CE"/>
    <w:rsid w:val="000C4C46"/>
    <w:rsid w:val="000C52B9"/>
    <w:rsid w:val="000C7CC8"/>
    <w:rsid w:val="000D01A9"/>
    <w:rsid w:val="000D2712"/>
    <w:rsid w:val="000D2812"/>
    <w:rsid w:val="000D6867"/>
    <w:rsid w:val="000E1C57"/>
    <w:rsid w:val="000E2345"/>
    <w:rsid w:val="000E429C"/>
    <w:rsid w:val="000E63DA"/>
    <w:rsid w:val="000F02BC"/>
    <w:rsid w:val="000F173E"/>
    <w:rsid w:val="000F207C"/>
    <w:rsid w:val="000F2C79"/>
    <w:rsid w:val="000F3AEC"/>
    <w:rsid w:val="000F47FA"/>
    <w:rsid w:val="000F4939"/>
    <w:rsid w:val="000F4FF7"/>
    <w:rsid w:val="000F587C"/>
    <w:rsid w:val="000F5E21"/>
    <w:rsid w:val="000F6C3D"/>
    <w:rsid w:val="00101706"/>
    <w:rsid w:val="00102303"/>
    <w:rsid w:val="001044BC"/>
    <w:rsid w:val="001058DB"/>
    <w:rsid w:val="00110BFC"/>
    <w:rsid w:val="00111C22"/>
    <w:rsid w:val="00112933"/>
    <w:rsid w:val="00113E01"/>
    <w:rsid w:val="00115A56"/>
    <w:rsid w:val="00115CF1"/>
    <w:rsid w:val="001168E0"/>
    <w:rsid w:val="00122315"/>
    <w:rsid w:val="00122611"/>
    <w:rsid w:val="00122D26"/>
    <w:rsid w:val="001252D3"/>
    <w:rsid w:val="00125618"/>
    <w:rsid w:val="00125B67"/>
    <w:rsid w:val="001313CE"/>
    <w:rsid w:val="00131ACF"/>
    <w:rsid w:val="00131B4D"/>
    <w:rsid w:val="00133B39"/>
    <w:rsid w:val="00133F64"/>
    <w:rsid w:val="00134C6A"/>
    <w:rsid w:val="0013753B"/>
    <w:rsid w:val="0014007E"/>
    <w:rsid w:val="00140AEC"/>
    <w:rsid w:val="00142769"/>
    <w:rsid w:val="00143767"/>
    <w:rsid w:val="00143EC5"/>
    <w:rsid w:val="0014411B"/>
    <w:rsid w:val="0014581F"/>
    <w:rsid w:val="001511F6"/>
    <w:rsid w:val="001513CD"/>
    <w:rsid w:val="00151C7E"/>
    <w:rsid w:val="00152D9C"/>
    <w:rsid w:val="00155D26"/>
    <w:rsid w:val="00156167"/>
    <w:rsid w:val="00156C97"/>
    <w:rsid w:val="001570F6"/>
    <w:rsid w:val="0016027D"/>
    <w:rsid w:val="00160CC9"/>
    <w:rsid w:val="00161CA6"/>
    <w:rsid w:val="001633E4"/>
    <w:rsid w:val="00163F42"/>
    <w:rsid w:val="00170C66"/>
    <w:rsid w:val="001727B2"/>
    <w:rsid w:val="0017394B"/>
    <w:rsid w:val="00174DBE"/>
    <w:rsid w:val="00180BF2"/>
    <w:rsid w:val="001813F0"/>
    <w:rsid w:val="00184C08"/>
    <w:rsid w:val="001863CF"/>
    <w:rsid w:val="00187CDF"/>
    <w:rsid w:val="001906F6"/>
    <w:rsid w:val="001916DC"/>
    <w:rsid w:val="00197CE5"/>
    <w:rsid w:val="00197D14"/>
    <w:rsid w:val="001A1099"/>
    <w:rsid w:val="001A14BB"/>
    <w:rsid w:val="001A3273"/>
    <w:rsid w:val="001A3ACC"/>
    <w:rsid w:val="001A3BA8"/>
    <w:rsid w:val="001A445F"/>
    <w:rsid w:val="001A61DE"/>
    <w:rsid w:val="001A7290"/>
    <w:rsid w:val="001B0675"/>
    <w:rsid w:val="001B26DA"/>
    <w:rsid w:val="001B3447"/>
    <w:rsid w:val="001B52B0"/>
    <w:rsid w:val="001B58AC"/>
    <w:rsid w:val="001B5BBA"/>
    <w:rsid w:val="001C00B9"/>
    <w:rsid w:val="001C010E"/>
    <w:rsid w:val="001C025E"/>
    <w:rsid w:val="001C179F"/>
    <w:rsid w:val="001C2379"/>
    <w:rsid w:val="001C4230"/>
    <w:rsid w:val="001C6ADC"/>
    <w:rsid w:val="001C744F"/>
    <w:rsid w:val="001C799A"/>
    <w:rsid w:val="001D4F5A"/>
    <w:rsid w:val="001D50C6"/>
    <w:rsid w:val="001D6093"/>
    <w:rsid w:val="001E0029"/>
    <w:rsid w:val="001E5458"/>
    <w:rsid w:val="001E62C6"/>
    <w:rsid w:val="001E6B68"/>
    <w:rsid w:val="001E7588"/>
    <w:rsid w:val="001E7FC3"/>
    <w:rsid w:val="001F11B7"/>
    <w:rsid w:val="001F1459"/>
    <w:rsid w:val="001F1E5E"/>
    <w:rsid w:val="001F1E90"/>
    <w:rsid w:val="001F4408"/>
    <w:rsid w:val="001F4A44"/>
    <w:rsid w:val="001F6E37"/>
    <w:rsid w:val="001F74F9"/>
    <w:rsid w:val="00200851"/>
    <w:rsid w:val="00200D46"/>
    <w:rsid w:val="00202DF4"/>
    <w:rsid w:val="002048F3"/>
    <w:rsid w:val="002055F2"/>
    <w:rsid w:val="00207837"/>
    <w:rsid w:val="00210875"/>
    <w:rsid w:val="00212AA2"/>
    <w:rsid w:val="00217125"/>
    <w:rsid w:val="002176C9"/>
    <w:rsid w:val="002229CC"/>
    <w:rsid w:val="00222C14"/>
    <w:rsid w:val="00222DF8"/>
    <w:rsid w:val="00223143"/>
    <w:rsid w:val="00223AD9"/>
    <w:rsid w:val="002240BA"/>
    <w:rsid w:val="00224C00"/>
    <w:rsid w:val="00224DE9"/>
    <w:rsid w:val="00224E76"/>
    <w:rsid w:val="00226FEF"/>
    <w:rsid w:val="00231056"/>
    <w:rsid w:val="00231AE5"/>
    <w:rsid w:val="00231B25"/>
    <w:rsid w:val="00231E74"/>
    <w:rsid w:val="002324BC"/>
    <w:rsid w:val="002349FB"/>
    <w:rsid w:val="00237FDC"/>
    <w:rsid w:val="00244EDD"/>
    <w:rsid w:val="00245162"/>
    <w:rsid w:val="00251184"/>
    <w:rsid w:val="00252873"/>
    <w:rsid w:val="00254D8B"/>
    <w:rsid w:val="0025536F"/>
    <w:rsid w:val="0025767A"/>
    <w:rsid w:val="00257BD7"/>
    <w:rsid w:val="0026032E"/>
    <w:rsid w:val="00261666"/>
    <w:rsid w:val="0026312D"/>
    <w:rsid w:val="002645AD"/>
    <w:rsid w:val="002661C0"/>
    <w:rsid w:val="00272892"/>
    <w:rsid w:val="0027477B"/>
    <w:rsid w:val="0027730E"/>
    <w:rsid w:val="00277BF6"/>
    <w:rsid w:val="002821E4"/>
    <w:rsid w:val="00284E23"/>
    <w:rsid w:val="002860DC"/>
    <w:rsid w:val="00286A9B"/>
    <w:rsid w:val="00287606"/>
    <w:rsid w:val="00287706"/>
    <w:rsid w:val="00287A5F"/>
    <w:rsid w:val="00291428"/>
    <w:rsid w:val="002947B8"/>
    <w:rsid w:val="002949F3"/>
    <w:rsid w:val="00295CC9"/>
    <w:rsid w:val="00296CCC"/>
    <w:rsid w:val="002979B3"/>
    <w:rsid w:val="002A5B74"/>
    <w:rsid w:val="002B2C90"/>
    <w:rsid w:val="002B4201"/>
    <w:rsid w:val="002B4C1E"/>
    <w:rsid w:val="002B597A"/>
    <w:rsid w:val="002B7223"/>
    <w:rsid w:val="002C052B"/>
    <w:rsid w:val="002C0776"/>
    <w:rsid w:val="002C4F85"/>
    <w:rsid w:val="002D0201"/>
    <w:rsid w:val="002D246D"/>
    <w:rsid w:val="002D4678"/>
    <w:rsid w:val="002D5295"/>
    <w:rsid w:val="002D56E7"/>
    <w:rsid w:val="002D6283"/>
    <w:rsid w:val="002D6D0B"/>
    <w:rsid w:val="002D7E68"/>
    <w:rsid w:val="002E1A88"/>
    <w:rsid w:val="002E2C8E"/>
    <w:rsid w:val="002E2FB6"/>
    <w:rsid w:val="002E4129"/>
    <w:rsid w:val="002E54A4"/>
    <w:rsid w:val="002F0F63"/>
    <w:rsid w:val="002F4E89"/>
    <w:rsid w:val="002F5990"/>
    <w:rsid w:val="002F5FEE"/>
    <w:rsid w:val="002F6C20"/>
    <w:rsid w:val="003049A4"/>
    <w:rsid w:val="00307564"/>
    <w:rsid w:val="00310C9B"/>
    <w:rsid w:val="00311B71"/>
    <w:rsid w:val="00314D7D"/>
    <w:rsid w:val="003171BA"/>
    <w:rsid w:val="003201FB"/>
    <w:rsid w:val="00320CF7"/>
    <w:rsid w:val="00321336"/>
    <w:rsid w:val="00321350"/>
    <w:rsid w:val="003257C7"/>
    <w:rsid w:val="00326CE9"/>
    <w:rsid w:val="0032795B"/>
    <w:rsid w:val="00330018"/>
    <w:rsid w:val="0033008C"/>
    <w:rsid w:val="0033186C"/>
    <w:rsid w:val="00332A53"/>
    <w:rsid w:val="00333CE9"/>
    <w:rsid w:val="00334789"/>
    <w:rsid w:val="00336F24"/>
    <w:rsid w:val="0033772E"/>
    <w:rsid w:val="00337BB9"/>
    <w:rsid w:val="003422FC"/>
    <w:rsid w:val="0034235E"/>
    <w:rsid w:val="0034375F"/>
    <w:rsid w:val="00344198"/>
    <w:rsid w:val="00344468"/>
    <w:rsid w:val="003456ED"/>
    <w:rsid w:val="0034661B"/>
    <w:rsid w:val="00350E9F"/>
    <w:rsid w:val="00351D3E"/>
    <w:rsid w:val="00353E93"/>
    <w:rsid w:val="003540F0"/>
    <w:rsid w:val="00355B62"/>
    <w:rsid w:val="00357750"/>
    <w:rsid w:val="00364085"/>
    <w:rsid w:val="003664B1"/>
    <w:rsid w:val="00370660"/>
    <w:rsid w:val="00370935"/>
    <w:rsid w:val="00372609"/>
    <w:rsid w:val="00372CDC"/>
    <w:rsid w:val="00374A6B"/>
    <w:rsid w:val="0037512A"/>
    <w:rsid w:val="00376D36"/>
    <w:rsid w:val="00376F4F"/>
    <w:rsid w:val="003770F3"/>
    <w:rsid w:val="003801A0"/>
    <w:rsid w:val="003805A2"/>
    <w:rsid w:val="00380A8F"/>
    <w:rsid w:val="003826DE"/>
    <w:rsid w:val="003836C5"/>
    <w:rsid w:val="00386CF9"/>
    <w:rsid w:val="00390D84"/>
    <w:rsid w:val="00392DA6"/>
    <w:rsid w:val="003935CB"/>
    <w:rsid w:val="00394395"/>
    <w:rsid w:val="00394641"/>
    <w:rsid w:val="0039593C"/>
    <w:rsid w:val="00395984"/>
    <w:rsid w:val="0039627C"/>
    <w:rsid w:val="003A0233"/>
    <w:rsid w:val="003A0476"/>
    <w:rsid w:val="003A0D64"/>
    <w:rsid w:val="003A1386"/>
    <w:rsid w:val="003A265A"/>
    <w:rsid w:val="003A56B8"/>
    <w:rsid w:val="003A5A4D"/>
    <w:rsid w:val="003A6181"/>
    <w:rsid w:val="003A720B"/>
    <w:rsid w:val="003B2A49"/>
    <w:rsid w:val="003B683B"/>
    <w:rsid w:val="003B7A1E"/>
    <w:rsid w:val="003C0ED7"/>
    <w:rsid w:val="003C10CC"/>
    <w:rsid w:val="003C1B55"/>
    <w:rsid w:val="003C2DA6"/>
    <w:rsid w:val="003C3AF3"/>
    <w:rsid w:val="003C4B40"/>
    <w:rsid w:val="003D06CF"/>
    <w:rsid w:val="003D3225"/>
    <w:rsid w:val="003D349B"/>
    <w:rsid w:val="003D38C6"/>
    <w:rsid w:val="003D39C3"/>
    <w:rsid w:val="003D632B"/>
    <w:rsid w:val="003D7630"/>
    <w:rsid w:val="003D7DD3"/>
    <w:rsid w:val="003E04B7"/>
    <w:rsid w:val="003E153F"/>
    <w:rsid w:val="003E29DE"/>
    <w:rsid w:val="003E4266"/>
    <w:rsid w:val="003E44B0"/>
    <w:rsid w:val="003E499C"/>
    <w:rsid w:val="003E571A"/>
    <w:rsid w:val="003E5B0E"/>
    <w:rsid w:val="003E67AF"/>
    <w:rsid w:val="003F4247"/>
    <w:rsid w:val="003F5E0C"/>
    <w:rsid w:val="003F5F8D"/>
    <w:rsid w:val="004021A1"/>
    <w:rsid w:val="00404AA3"/>
    <w:rsid w:val="00404E51"/>
    <w:rsid w:val="00407C3A"/>
    <w:rsid w:val="00407ECA"/>
    <w:rsid w:val="00407F12"/>
    <w:rsid w:val="00411CCA"/>
    <w:rsid w:val="0041286E"/>
    <w:rsid w:val="00412E69"/>
    <w:rsid w:val="0041408F"/>
    <w:rsid w:val="00414E8E"/>
    <w:rsid w:val="00416EB7"/>
    <w:rsid w:val="00417175"/>
    <w:rsid w:val="00421104"/>
    <w:rsid w:val="0042177F"/>
    <w:rsid w:val="0042373B"/>
    <w:rsid w:val="00426099"/>
    <w:rsid w:val="00426273"/>
    <w:rsid w:val="00430216"/>
    <w:rsid w:val="004323DC"/>
    <w:rsid w:val="004327C4"/>
    <w:rsid w:val="0043282D"/>
    <w:rsid w:val="0043364D"/>
    <w:rsid w:val="004346EC"/>
    <w:rsid w:val="0043629D"/>
    <w:rsid w:val="00436584"/>
    <w:rsid w:val="004400A5"/>
    <w:rsid w:val="0044133F"/>
    <w:rsid w:val="00442ACD"/>
    <w:rsid w:val="00443DAD"/>
    <w:rsid w:val="004450A9"/>
    <w:rsid w:val="00445A4B"/>
    <w:rsid w:val="004469F8"/>
    <w:rsid w:val="00452432"/>
    <w:rsid w:val="00454386"/>
    <w:rsid w:val="00454485"/>
    <w:rsid w:val="0046337A"/>
    <w:rsid w:val="00463B04"/>
    <w:rsid w:val="0046503B"/>
    <w:rsid w:val="0046553D"/>
    <w:rsid w:val="00466300"/>
    <w:rsid w:val="004711E6"/>
    <w:rsid w:val="00472953"/>
    <w:rsid w:val="00472DCE"/>
    <w:rsid w:val="00473872"/>
    <w:rsid w:val="004741BD"/>
    <w:rsid w:val="004742BA"/>
    <w:rsid w:val="00474357"/>
    <w:rsid w:val="00475FF0"/>
    <w:rsid w:val="00480B71"/>
    <w:rsid w:val="0048180A"/>
    <w:rsid w:val="0048210A"/>
    <w:rsid w:val="004840DD"/>
    <w:rsid w:val="00485D61"/>
    <w:rsid w:val="00487B0B"/>
    <w:rsid w:val="00490417"/>
    <w:rsid w:val="00492AFB"/>
    <w:rsid w:val="004934D1"/>
    <w:rsid w:val="00496658"/>
    <w:rsid w:val="00497B60"/>
    <w:rsid w:val="004A282A"/>
    <w:rsid w:val="004A748D"/>
    <w:rsid w:val="004A774C"/>
    <w:rsid w:val="004B045B"/>
    <w:rsid w:val="004B6224"/>
    <w:rsid w:val="004C045B"/>
    <w:rsid w:val="004C1193"/>
    <w:rsid w:val="004C1D7B"/>
    <w:rsid w:val="004C3618"/>
    <w:rsid w:val="004C3D10"/>
    <w:rsid w:val="004C6329"/>
    <w:rsid w:val="004C7FFD"/>
    <w:rsid w:val="004D0B43"/>
    <w:rsid w:val="004D0E4C"/>
    <w:rsid w:val="004D15C4"/>
    <w:rsid w:val="004D60CA"/>
    <w:rsid w:val="004D6372"/>
    <w:rsid w:val="004D652B"/>
    <w:rsid w:val="004D6BCD"/>
    <w:rsid w:val="004D79F9"/>
    <w:rsid w:val="004D7BDB"/>
    <w:rsid w:val="004E05EF"/>
    <w:rsid w:val="004E1004"/>
    <w:rsid w:val="004E1AB5"/>
    <w:rsid w:val="004E2C58"/>
    <w:rsid w:val="004E401E"/>
    <w:rsid w:val="004E624A"/>
    <w:rsid w:val="004E6784"/>
    <w:rsid w:val="004F1092"/>
    <w:rsid w:val="004F3176"/>
    <w:rsid w:val="004F40D1"/>
    <w:rsid w:val="004F4F06"/>
    <w:rsid w:val="004F63F0"/>
    <w:rsid w:val="004F76BB"/>
    <w:rsid w:val="005014F8"/>
    <w:rsid w:val="00501B8B"/>
    <w:rsid w:val="0050308F"/>
    <w:rsid w:val="00504A6E"/>
    <w:rsid w:val="00505D8C"/>
    <w:rsid w:val="005101AC"/>
    <w:rsid w:val="005119B4"/>
    <w:rsid w:val="005122B5"/>
    <w:rsid w:val="00513DF8"/>
    <w:rsid w:val="00516CB4"/>
    <w:rsid w:val="00516F43"/>
    <w:rsid w:val="00521489"/>
    <w:rsid w:val="0052200D"/>
    <w:rsid w:val="00522C75"/>
    <w:rsid w:val="005250A2"/>
    <w:rsid w:val="00530457"/>
    <w:rsid w:val="00530FF5"/>
    <w:rsid w:val="00531394"/>
    <w:rsid w:val="00531C33"/>
    <w:rsid w:val="00534B05"/>
    <w:rsid w:val="00536A6B"/>
    <w:rsid w:val="005402D6"/>
    <w:rsid w:val="005424E3"/>
    <w:rsid w:val="005429FC"/>
    <w:rsid w:val="00543A5B"/>
    <w:rsid w:val="00543E1A"/>
    <w:rsid w:val="00553427"/>
    <w:rsid w:val="00555F42"/>
    <w:rsid w:val="00556167"/>
    <w:rsid w:val="0056064D"/>
    <w:rsid w:val="00560729"/>
    <w:rsid w:val="00564B97"/>
    <w:rsid w:val="00566AD8"/>
    <w:rsid w:val="00570402"/>
    <w:rsid w:val="005707D0"/>
    <w:rsid w:val="00570B4F"/>
    <w:rsid w:val="00571A52"/>
    <w:rsid w:val="00572377"/>
    <w:rsid w:val="005745C8"/>
    <w:rsid w:val="00575CFF"/>
    <w:rsid w:val="00576D88"/>
    <w:rsid w:val="00581AAC"/>
    <w:rsid w:val="00581F55"/>
    <w:rsid w:val="005845D8"/>
    <w:rsid w:val="00584A86"/>
    <w:rsid w:val="005856C0"/>
    <w:rsid w:val="005860B7"/>
    <w:rsid w:val="00591C4B"/>
    <w:rsid w:val="005928AC"/>
    <w:rsid w:val="00595255"/>
    <w:rsid w:val="00595BF1"/>
    <w:rsid w:val="00596301"/>
    <w:rsid w:val="00596F8E"/>
    <w:rsid w:val="005A0295"/>
    <w:rsid w:val="005A0781"/>
    <w:rsid w:val="005A2538"/>
    <w:rsid w:val="005A36CD"/>
    <w:rsid w:val="005A7134"/>
    <w:rsid w:val="005A7166"/>
    <w:rsid w:val="005B0DEE"/>
    <w:rsid w:val="005B24BC"/>
    <w:rsid w:val="005B390D"/>
    <w:rsid w:val="005B47CC"/>
    <w:rsid w:val="005B4999"/>
    <w:rsid w:val="005B67FB"/>
    <w:rsid w:val="005B6E2B"/>
    <w:rsid w:val="005B73CD"/>
    <w:rsid w:val="005B7D1B"/>
    <w:rsid w:val="005C0098"/>
    <w:rsid w:val="005C0435"/>
    <w:rsid w:val="005C13A6"/>
    <w:rsid w:val="005C1477"/>
    <w:rsid w:val="005C2C8D"/>
    <w:rsid w:val="005C2F0C"/>
    <w:rsid w:val="005D0793"/>
    <w:rsid w:val="005D164E"/>
    <w:rsid w:val="005D1681"/>
    <w:rsid w:val="005D1DC2"/>
    <w:rsid w:val="005D2B4D"/>
    <w:rsid w:val="005D325B"/>
    <w:rsid w:val="005D3F4A"/>
    <w:rsid w:val="005D4D54"/>
    <w:rsid w:val="005D5236"/>
    <w:rsid w:val="005D5D94"/>
    <w:rsid w:val="005D6009"/>
    <w:rsid w:val="005D6E1D"/>
    <w:rsid w:val="005D7BB9"/>
    <w:rsid w:val="005E0CEF"/>
    <w:rsid w:val="005E56C9"/>
    <w:rsid w:val="005E686B"/>
    <w:rsid w:val="005E74E9"/>
    <w:rsid w:val="005E7F16"/>
    <w:rsid w:val="005F0084"/>
    <w:rsid w:val="005F28BE"/>
    <w:rsid w:val="005F2DBD"/>
    <w:rsid w:val="005F3381"/>
    <w:rsid w:val="005F38A2"/>
    <w:rsid w:val="005F3F1E"/>
    <w:rsid w:val="005F4178"/>
    <w:rsid w:val="005F455B"/>
    <w:rsid w:val="005F6B37"/>
    <w:rsid w:val="005F6D79"/>
    <w:rsid w:val="00603948"/>
    <w:rsid w:val="0060424A"/>
    <w:rsid w:val="006047CE"/>
    <w:rsid w:val="00606DB0"/>
    <w:rsid w:val="006110B4"/>
    <w:rsid w:val="00612EB1"/>
    <w:rsid w:val="006171D0"/>
    <w:rsid w:val="0061756F"/>
    <w:rsid w:val="00620506"/>
    <w:rsid w:val="006210E4"/>
    <w:rsid w:val="006222E5"/>
    <w:rsid w:val="00623027"/>
    <w:rsid w:val="0062329C"/>
    <w:rsid w:val="006274AF"/>
    <w:rsid w:val="00630A0F"/>
    <w:rsid w:val="00630C54"/>
    <w:rsid w:val="00632C88"/>
    <w:rsid w:val="006330D7"/>
    <w:rsid w:val="00633AF1"/>
    <w:rsid w:val="006430F8"/>
    <w:rsid w:val="00650138"/>
    <w:rsid w:val="00650D2B"/>
    <w:rsid w:val="006511C7"/>
    <w:rsid w:val="006545AA"/>
    <w:rsid w:val="006639E8"/>
    <w:rsid w:val="00667AC5"/>
    <w:rsid w:val="00667F2E"/>
    <w:rsid w:val="00670D70"/>
    <w:rsid w:val="006713A5"/>
    <w:rsid w:val="00672CF1"/>
    <w:rsid w:val="00674F61"/>
    <w:rsid w:val="00675961"/>
    <w:rsid w:val="006808D8"/>
    <w:rsid w:val="00681BD8"/>
    <w:rsid w:val="006821F4"/>
    <w:rsid w:val="00684638"/>
    <w:rsid w:val="00685301"/>
    <w:rsid w:val="00685784"/>
    <w:rsid w:val="00687D69"/>
    <w:rsid w:val="00694237"/>
    <w:rsid w:val="006951EE"/>
    <w:rsid w:val="00697EEF"/>
    <w:rsid w:val="006A1CBC"/>
    <w:rsid w:val="006A1E6A"/>
    <w:rsid w:val="006A604B"/>
    <w:rsid w:val="006A6058"/>
    <w:rsid w:val="006A6DDD"/>
    <w:rsid w:val="006B0439"/>
    <w:rsid w:val="006B0A87"/>
    <w:rsid w:val="006B17CD"/>
    <w:rsid w:val="006B184A"/>
    <w:rsid w:val="006B3B56"/>
    <w:rsid w:val="006B3D06"/>
    <w:rsid w:val="006B4727"/>
    <w:rsid w:val="006B56E3"/>
    <w:rsid w:val="006B5AEB"/>
    <w:rsid w:val="006B6716"/>
    <w:rsid w:val="006C0139"/>
    <w:rsid w:val="006C1F0B"/>
    <w:rsid w:val="006C4384"/>
    <w:rsid w:val="006C5549"/>
    <w:rsid w:val="006C7537"/>
    <w:rsid w:val="006C7A1A"/>
    <w:rsid w:val="006D221B"/>
    <w:rsid w:val="006D22E7"/>
    <w:rsid w:val="006D24C1"/>
    <w:rsid w:val="006D3262"/>
    <w:rsid w:val="006D6264"/>
    <w:rsid w:val="006D77E5"/>
    <w:rsid w:val="006D782B"/>
    <w:rsid w:val="006E29F0"/>
    <w:rsid w:val="006E4154"/>
    <w:rsid w:val="006E4A0D"/>
    <w:rsid w:val="006E6BCF"/>
    <w:rsid w:val="006F0BC3"/>
    <w:rsid w:val="006F1B21"/>
    <w:rsid w:val="006F472E"/>
    <w:rsid w:val="006F4F2D"/>
    <w:rsid w:val="006F6BB7"/>
    <w:rsid w:val="006F6ED1"/>
    <w:rsid w:val="006F72A2"/>
    <w:rsid w:val="0070060E"/>
    <w:rsid w:val="00700D1B"/>
    <w:rsid w:val="00700E5C"/>
    <w:rsid w:val="00701DAB"/>
    <w:rsid w:val="00703F25"/>
    <w:rsid w:val="00704683"/>
    <w:rsid w:val="00704CAA"/>
    <w:rsid w:val="007052ED"/>
    <w:rsid w:val="0070598F"/>
    <w:rsid w:val="00705E79"/>
    <w:rsid w:val="0071088A"/>
    <w:rsid w:val="00712B15"/>
    <w:rsid w:val="00712B56"/>
    <w:rsid w:val="00714F06"/>
    <w:rsid w:val="007166CD"/>
    <w:rsid w:val="007210F4"/>
    <w:rsid w:val="00721198"/>
    <w:rsid w:val="00721CD1"/>
    <w:rsid w:val="00722154"/>
    <w:rsid w:val="00722D62"/>
    <w:rsid w:val="0072311B"/>
    <w:rsid w:val="00725474"/>
    <w:rsid w:val="00725F43"/>
    <w:rsid w:val="0072685E"/>
    <w:rsid w:val="00726CF8"/>
    <w:rsid w:val="0072787F"/>
    <w:rsid w:val="00732141"/>
    <w:rsid w:val="007354D5"/>
    <w:rsid w:val="00735AA7"/>
    <w:rsid w:val="007361D5"/>
    <w:rsid w:val="007371D9"/>
    <w:rsid w:val="00740C35"/>
    <w:rsid w:val="007420C7"/>
    <w:rsid w:val="007421FB"/>
    <w:rsid w:val="00743B96"/>
    <w:rsid w:val="0074541A"/>
    <w:rsid w:val="007454BB"/>
    <w:rsid w:val="007506EF"/>
    <w:rsid w:val="0075179A"/>
    <w:rsid w:val="007517AE"/>
    <w:rsid w:val="00751E49"/>
    <w:rsid w:val="00753F10"/>
    <w:rsid w:val="00754134"/>
    <w:rsid w:val="00754DBB"/>
    <w:rsid w:val="0075546F"/>
    <w:rsid w:val="007556AF"/>
    <w:rsid w:val="0076192B"/>
    <w:rsid w:val="00764D42"/>
    <w:rsid w:val="00770A9E"/>
    <w:rsid w:val="007710C6"/>
    <w:rsid w:val="00771E9D"/>
    <w:rsid w:val="0077224B"/>
    <w:rsid w:val="007731A7"/>
    <w:rsid w:val="00773F33"/>
    <w:rsid w:val="0077446B"/>
    <w:rsid w:val="00774652"/>
    <w:rsid w:val="0077780A"/>
    <w:rsid w:val="00782BF6"/>
    <w:rsid w:val="00782EFF"/>
    <w:rsid w:val="00783923"/>
    <w:rsid w:val="00784076"/>
    <w:rsid w:val="00784C0E"/>
    <w:rsid w:val="007852A6"/>
    <w:rsid w:val="007878DC"/>
    <w:rsid w:val="007903C5"/>
    <w:rsid w:val="007926B1"/>
    <w:rsid w:val="00793932"/>
    <w:rsid w:val="00793BBE"/>
    <w:rsid w:val="007A3D37"/>
    <w:rsid w:val="007A3FA1"/>
    <w:rsid w:val="007A4E42"/>
    <w:rsid w:val="007A66F4"/>
    <w:rsid w:val="007A692E"/>
    <w:rsid w:val="007A7B9C"/>
    <w:rsid w:val="007B0F78"/>
    <w:rsid w:val="007B3C32"/>
    <w:rsid w:val="007B534E"/>
    <w:rsid w:val="007C09A4"/>
    <w:rsid w:val="007C325E"/>
    <w:rsid w:val="007D20DE"/>
    <w:rsid w:val="007D21F4"/>
    <w:rsid w:val="007D3548"/>
    <w:rsid w:val="007E1357"/>
    <w:rsid w:val="007E149E"/>
    <w:rsid w:val="007E1AC9"/>
    <w:rsid w:val="007E336E"/>
    <w:rsid w:val="007E4B9E"/>
    <w:rsid w:val="007E5650"/>
    <w:rsid w:val="007E607E"/>
    <w:rsid w:val="007F084E"/>
    <w:rsid w:val="007F25C4"/>
    <w:rsid w:val="007F54A6"/>
    <w:rsid w:val="007F65D0"/>
    <w:rsid w:val="00800FC1"/>
    <w:rsid w:val="008044E2"/>
    <w:rsid w:val="00805472"/>
    <w:rsid w:val="00805CBD"/>
    <w:rsid w:val="00806550"/>
    <w:rsid w:val="0081046F"/>
    <w:rsid w:val="008108F6"/>
    <w:rsid w:val="00810F6A"/>
    <w:rsid w:val="008124BC"/>
    <w:rsid w:val="00812F27"/>
    <w:rsid w:val="00815712"/>
    <w:rsid w:val="008179DC"/>
    <w:rsid w:val="0082082A"/>
    <w:rsid w:val="00820DDB"/>
    <w:rsid w:val="008215A7"/>
    <w:rsid w:val="00823841"/>
    <w:rsid w:val="00823EF8"/>
    <w:rsid w:val="0082512E"/>
    <w:rsid w:val="0082566B"/>
    <w:rsid w:val="00830591"/>
    <w:rsid w:val="008305C1"/>
    <w:rsid w:val="008307A0"/>
    <w:rsid w:val="0083486A"/>
    <w:rsid w:val="00836D79"/>
    <w:rsid w:val="0084064D"/>
    <w:rsid w:val="008412AB"/>
    <w:rsid w:val="0084395E"/>
    <w:rsid w:val="00843BB9"/>
    <w:rsid w:val="0084424F"/>
    <w:rsid w:val="00844E37"/>
    <w:rsid w:val="00847FC1"/>
    <w:rsid w:val="00850026"/>
    <w:rsid w:val="00854692"/>
    <w:rsid w:val="00854C16"/>
    <w:rsid w:val="00861573"/>
    <w:rsid w:val="0086393A"/>
    <w:rsid w:val="00865E65"/>
    <w:rsid w:val="0086657D"/>
    <w:rsid w:val="0086784F"/>
    <w:rsid w:val="00870977"/>
    <w:rsid w:val="00873D58"/>
    <w:rsid w:val="00874043"/>
    <w:rsid w:val="0087445B"/>
    <w:rsid w:val="00874D4C"/>
    <w:rsid w:val="00880557"/>
    <w:rsid w:val="00881C16"/>
    <w:rsid w:val="008820FA"/>
    <w:rsid w:val="00884109"/>
    <w:rsid w:val="00885074"/>
    <w:rsid w:val="00885919"/>
    <w:rsid w:val="00890938"/>
    <w:rsid w:val="0089365E"/>
    <w:rsid w:val="00894301"/>
    <w:rsid w:val="00894856"/>
    <w:rsid w:val="008972B0"/>
    <w:rsid w:val="008A18BE"/>
    <w:rsid w:val="008A1EC7"/>
    <w:rsid w:val="008A3563"/>
    <w:rsid w:val="008A35DA"/>
    <w:rsid w:val="008A37F8"/>
    <w:rsid w:val="008A4872"/>
    <w:rsid w:val="008A48C1"/>
    <w:rsid w:val="008A5C7E"/>
    <w:rsid w:val="008A6920"/>
    <w:rsid w:val="008A7C5B"/>
    <w:rsid w:val="008B17A3"/>
    <w:rsid w:val="008B2E45"/>
    <w:rsid w:val="008B3034"/>
    <w:rsid w:val="008B4621"/>
    <w:rsid w:val="008C25E9"/>
    <w:rsid w:val="008D22BE"/>
    <w:rsid w:val="008D2FDE"/>
    <w:rsid w:val="008D31C3"/>
    <w:rsid w:val="008D4AF3"/>
    <w:rsid w:val="008E0136"/>
    <w:rsid w:val="008E13D1"/>
    <w:rsid w:val="008E28D0"/>
    <w:rsid w:val="008E4265"/>
    <w:rsid w:val="008E5563"/>
    <w:rsid w:val="008E6F4B"/>
    <w:rsid w:val="008F20D1"/>
    <w:rsid w:val="008F2E51"/>
    <w:rsid w:val="008F4D40"/>
    <w:rsid w:val="008F593A"/>
    <w:rsid w:val="008F5D7B"/>
    <w:rsid w:val="008F7716"/>
    <w:rsid w:val="008F7878"/>
    <w:rsid w:val="009006A0"/>
    <w:rsid w:val="00902D5E"/>
    <w:rsid w:val="009042ED"/>
    <w:rsid w:val="00904AB3"/>
    <w:rsid w:val="009050A0"/>
    <w:rsid w:val="009058BD"/>
    <w:rsid w:val="0090612C"/>
    <w:rsid w:val="00906A39"/>
    <w:rsid w:val="0090747C"/>
    <w:rsid w:val="00910A92"/>
    <w:rsid w:val="00911376"/>
    <w:rsid w:val="0091550C"/>
    <w:rsid w:val="00917CD0"/>
    <w:rsid w:val="00920685"/>
    <w:rsid w:val="00920DB6"/>
    <w:rsid w:val="00923423"/>
    <w:rsid w:val="00923D88"/>
    <w:rsid w:val="00927EEF"/>
    <w:rsid w:val="0093252A"/>
    <w:rsid w:val="00933959"/>
    <w:rsid w:val="00940E69"/>
    <w:rsid w:val="00941A6F"/>
    <w:rsid w:val="0094276A"/>
    <w:rsid w:val="00943D9B"/>
    <w:rsid w:val="00943F3A"/>
    <w:rsid w:val="00944962"/>
    <w:rsid w:val="00945FA4"/>
    <w:rsid w:val="00946507"/>
    <w:rsid w:val="00950108"/>
    <w:rsid w:val="009504D7"/>
    <w:rsid w:val="0095152D"/>
    <w:rsid w:val="00953D1A"/>
    <w:rsid w:val="00953F0E"/>
    <w:rsid w:val="00957812"/>
    <w:rsid w:val="00960CB1"/>
    <w:rsid w:val="00961D23"/>
    <w:rsid w:val="009625BD"/>
    <w:rsid w:val="009641D2"/>
    <w:rsid w:val="00964DF4"/>
    <w:rsid w:val="00964E5D"/>
    <w:rsid w:val="009661B3"/>
    <w:rsid w:val="00966AD2"/>
    <w:rsid w:val="0096719E"/>
    <w:rsid w:val="00967DBD"/>
    <w:rsid w:val="00971036"/>
    <w:rsid w:val="00971837"/>
    <w:rsid w:val="0097281F"/>
    <w:rsid w:val="00974AA2"/>
    <w:rsid w:val="00977F9A"/>
    <w:rsid w:val="00980679"/>
    <w:rsid w:val="00983772"/>
    <w:rsid w:val="00984C8D"/>
    <w:rsid w:val="00986324"/>
    <w:rsid w:val="00987A10"/>
    <w:rsid w:val="00995C4C"/>
    <w:rsid w:val="00996D09"/>
    <w:rsid w:val="009A0E54"/>
    <w:rsid w:val="009A2B77"/>
    <w:rsid w:val="009A733F"/>
    <w:rsid w:val="009B3523"/>
    <w:rsid w:val="009B4008"/>
    <w:rsid w:val="009C01BC"/>
    <w:rsid w:val="009C0341"/>
    <w:rsid w:val="009C1F97"/>
    <w:rsid w:val="009C26DB"/>
    <w:rsid w:val="009C46C2"/>
    <w:rsid w:val="009C4F29"/>
    <w:rsid w:val="009C57F9"/>
    <w:rsid w:val="009C5965"/>
    <w:rsid w:val="009C78E6"/>
    <w:rsid w:val="009D0A82"/>
    <w:rsid w:val="009D20FD"/>
    <w:rsid w:val="009D36EC"/>
    <w:rsid w:val="009D3770"/>
    <w:rsid w:val="009D3A97"/>
    <w:rsid w:val="009D3C38"/>
    <w:rsid w:val="009D794F"/>
    <w:rsid w:val="009E08B9"/>
    <w:rsid w:val="009E45C7"/>
    <w:rsid w:val="009E493F"/>
    <w:rsid w:val="009E5303"/>
    <w:rsid w:val="009E535F"/>
    <w:rsid w:val="009F2ABB"/>
    <w:rsid w:val="009F360A"/>
    <w:rsid w:val="009F5808"/>
    <w:rsid w:val="009F62D7"/>
    <w:rsid w:val="00A03A6B"/>
    <w:rsid w:val="00A03BA5"/>
    <w:rsid w:val="00A06D40"/>
    <w:rsid w:val="00A104CB"/>
    <w:rsid w:val="00A10979"/>
    <w:rsid w:val="00A11BC1"/>
    <w:rsid w:val="00A11C34"/>
    <w:rsid w:val="00A1215A"/>
    <w:rsid w:val="00A158E7"/>
    <w:rsid w:val="00A20202"/>
    <w:rsid w:val="00A20E38"/>
    <w:rsid w:val="00A215F3"/>
    <w:rsid w:val="00A24741"/>
    <w:rsid w:val="00A27E58"/>
    <w:rsid w:val="00A30049"/>
    <w:rsid w:val="00A31CD9"/>
    <w:rsid w:val="00A3227A"/>
    <w:rsid w:val="00A322A7"/>
    <w:rsid w:val="00A34F52"/>
    <w:rsid w:val="00A35758"/>
    <w:rsid w:val="00A35E0D"/>
    <w:rsid w:val="00A40114"/>
    <w:rsid w:val="00A41704"/>
    <w:rsid w:val="00A4256D"/>
    <w:rsid w:val="00A42D68"/>
    <w:rsid w:val="00A43ECC"/>
    <w:rsid w:val="00A440A9"/>
    <w:rsid w:val="00A47801"/>
    <w:rsid w:val="00A5170D"/>
    <w:rsid w:val="00A51854"/>
    <w:rsid w:val="00A52798"/>
    <w:rsid w:val="00A5279A"/>
    <w:rsid w:val="00A54568"/>
    <w:rsid w:val="00A551D8"/>
    <w:rsid w:val="00A57AB4"/>
    <w:rsid w:val="00A65EF6"/>
    <w:rsid w:val="00A66FD4"/>
    <w:rsid w:val="00A7170C"/>
    <w:rsid w:val="00A72A79"/>
    <w:rsid w:val="00A72CD3"/>
    <w:rsid w:val="00A74258"/>
    <w:rsid w:val="00A75F31"/>
    <w:rsid w:val="00A7700E"/>
    <w:rsid w:val="00A77B7E"/>
    <w:rsid w:val="00A80223"/>
    <w:rsid w:val="00A80E7B"/>
    <w:rsid w:val="00A80FD1"/>
    <w:rsid w:val="00A813CF"/>
    <w:rsid w:val="00A81F08"/>
    <w:rsid w:val="00A81F89"/>
    <w:rsid w:val="00A8422F"/>
    <w:rsid w:val="00A85772"/>
    <w:rsid w:val="00A86568"/>
    <w:rsid w:val="00A867AE"/>
    <w:rsid w:val="00A94D30"/>
    <w:rsid w:val="00A963B5"/>
    <w:rsid w:val="00AA0126"/>
    <w:rsid w:val="00AA4565"/>
    <w:rsid w:val="00AA7DDE"/>
    <w:rsid w:val="00AB49D1"/>
    <w:rsid w:val="00AB5894"/>
    <w:rsid w:val="00AB76ED"/>
    <w:rsid w:val="00AB7F33"/>
    <w:rsid w:val="00AC0B46"/>
    <w:rsid w:val="00AC23CC"/>
    <w:rsid w:val="00AC3C72"/>
    <w:rsid w:val="00AC5D5D"/>
    <w:rsid w:val="00AC6CFA"/>
    <w:rsid w:val="00AC7108"/>
    <w:rsid w:val="00AD0919"/>
    <w:rsid w:val="00AD0B18"/>
    <w:rsid w:val="00AD1BAE"/>
    <w:rsid w:val="00AD29D7"/>
    <w:rsid w:val="00AD7508"/>
    <w:rsid w:val="00AD76CD"/>
    <w:rsid w:val="00AE13A2"/>
    <w:rsid w:val="00AE20E3"/>
    <w:rsid w:val="00AE3006"/>
    <w:rsid w:val="00AE4702"/>
    <w:rsid w:val="00AE6764"/>
    <w:rsid w:val="00AF1776"/>
    <w:rsid w:val="00AF1795"/>
    <w:rsid w:val="00AF2B5B"/>
    <w:rsid w:val="00AF2FB7"/>
    <w:rsid w:val="00AF5840"/>
    <w:rsid w:val="00AF6572"/>
    <w:rsid w:val="00AF6B54"/>
    <w:rsid w:val="00AF7988"/>
    <w:rsid w:val="00AF798D"/>
    <w:rsid w:val="00B00EFF"/>
    <w:rsid w:val="00B01161"/>
    <w:rsid w:val="00B01620"/>
    <w:rsid w:val="00B03C8B"/>
    <w:rsid w:val="00B074D5"/>
    <w:rsid w:val="00B10304"/>
    <w:rsid w:val="00B200E0"/>
    <w:rsid w:val="00B21069"/>
    <w:rsid w:val="00B21D4C"/>
    <w:rsid w:val="00B21D93"/>
    <w:rsid w:val="00B22BBE"/>
    <w:rsid w:val="00B24F3B"/>
    <w:rsid w:val="00B25447"/>
    <w:rsid w:val="00B25BC7"/>
    <w:rsid w:val="00B30873"/>
    <w:rsid w:val="00B33885"/>
    <w:rsid w:val="00B33B9F"/>
    <w:rsid w:val="00B34CC3"/>
    <w:rsid w:val="00B37CE9"/>
    <w:rsid w:val="00B4012D"/>
    <w:rsid w:val="00B41FF2"/>
    <w:rsid w:val="00B425F0"/>
    <w:rsid w:val="00B4460E"/>
    <w:rsid w:val="00B44B20"/>
    <w:rsid w:val="00B46A0D"/>
    <w:rsid w:val="00B47F36"/>
    <w:rsid w:val="00B50CDC"/>
    <w:rsid w:val="00B50E99"/>
    <w:rsid w:val="00B5393E"/>
    <w:rsid w:val="00B53C48"/>
    <w:rsid w:val="00B545DD"/>
    <w:rsid w:val="00B55CE3"/>
    <w:rsid w:val="00B56EFF"/>
    <w:rsid w:val="00B60BBD"/>
    <w:rsid w:val="00B628BC"/>
    <w:rsid w:val="00B62E7F"/>
    <w:rsid w:val="00B63DEB"/>
    <w:rsid w:val="00B644E8"/>
    <w:rsid w:val="00B66B6B"/>
    <w:rsid w:val="00B6738D"/>
    <w:rsid w:val="00B703A5"/>
    <w:rsid w:val="00B70F64"/>
    <w:rsid w:val="00B70F9C"/>
    <w:rsid w:val="00B749A2"/>
    <w:rsid w:val="00B75656"/>
    <w:rsid w:val="00B76F72"/>
    <w:rsid w:val="00B77210"/>
    <w:rsid w:val="00B77CCD"/>
    <w:rsid w:val="00B806A7"/>
    <w:rsid w:val="00B8149E"/>
    <w:rsid w:val="00B82041"/>
    <w:rsid w:val="00B82476"/>
    <w:rsid w:val="00B84E46"/>
    <w:rsid w:val="00B85F7A"/>
    <w:rsid w:val="00B86464"/>
    <w:rsid w:val="00B86E9E"/>
    <w:rsid w:val="00B917A3"/>
    <w:rsid w:val="00B91A47"/>
    <w:rsid w:val="00B95322"/>
    <w:rsid w:val="00B95554"/>
    <w:rsid w:val="00BA0086"/>
    <w:rsid w:val="00BA0B6C"/>
    <w:rsid w:val="00BA0D98"/>
    <w:rsid w:val="00BA1084"/>
    <w:rsid w:val="00BA1887"/>
    <w:rsid w:val="00BA31E3"/>
    <w:rsid w:val="00BA4A3B"/>
    <w:rsid w:val="00BA77C7"/>
    <w:rsid w:val="00BB0D8A"/>
    <w:rsid w:val="00BB4525"/>
    <w:rsid w:val="00BB48E5"/>
    <w:rsid w:val="00BB56E4"/>
    <w:rsid w:val="00BB63E6"/>
    <w:rsid w:val="00BB67A6"/>
    <w:rsid w:val="00BB731B"/>
    <w:rsid w:val="00BC0B5F"/>
    <w:rsid w:val="00BC1B7E"/>
    <w:rsid w:val="00BC1F4F"/>
    <w:rsid w:val="00BC2527"/>
    <w:rsid w:val="00BC2671"/>
    <w:rsid w:val="00BC3A21"/>
    <w:rsid w:val="00BC4C80"/>
    <w:rsid w:val="00BC547F"/>
    <w:rsid w:val="00BD09B9"/>
    <w:rsid w:val="00BD0BDA"/>
    <w:rsid w:val="00BD18FD"/>
    <w:rsid w:val="00BD20FD"/>
    <w:rsid w:val="00BD2687"/>
    <w:rsid w:val="00BD27AD"/>
    <w:rsid w:val="00BD27DD"/>
    <w:rsid w:val="00BD34C9"/>
    <w:rsid w:val="00BD4E5D"/>
    <w:rsid w:val="00BD7328"/>
    <w:rsid w:val="00BE1DFC"/>
    <w:rsid w:val="00BE1E7D"/>
    <w:rsid w:val="00BE271B"/>
    <w:rsid w:val="00BE7B98"/>
    <w:rsid w:val="00BF22F9"/>
    <w:rsid w:val="00BF38E3"/>
    <w:rsid w:val="00C002FF"/>
    <w:rsid w:val="00C01705"/>
    <w:rsid w:val="00C02468"/>
    <w:rsid w:val="00C02499"/>
    <w:rsid w:val="00C035AE"/>
    <w:rsid w:val="00C0407B"/>
    <w:rsid w:val="00C06FEC"/>
    <w:rsid w:val="00C0708E"/>
    <w:rsid w:val="00C0757E"/>
    <w:rsid w:val="00C10283"/>
    <w:rsid w:val="00C10615"/>
    <w:rsid w:val="00C10AA7"/>
    <w:rsid w:val="00C1103A"/>
    <w:rsid w:val="00C11895"/>
    <w:rsid w:val="00C138B1"/>
    <w:rsid w:val="00C15B8D"/>
    <w:rsid w:val="00C160AC"/>
    <w:rsid w:val="00C20CD8"/>
    <w:rsid w:val="00C2225B"/>
    <w:rsid w:val="00C22ABB"/>
    <w:rsid w:val="00C22C24"/>
    <w:rsid w:val="00C23555"/>
    <w:rsid w:val="00C251F4"/>
    <w:rsid w:val="00C254AC"/>
    <w:rsid w:val="00C25A34"/>
    <w:rsid w:val="00C270E0"/>
    <w:rsid w:val="00C30528"/>
    <w:rsid w:val="00C310EB"/>
    <w:rsid w:val="00C32CD8"/>
    <w:rsid w:val="00C32DE4"/>
    <w:rsid w:val="00C34BA6"/>
    <w:rsid w:val="00C3519D"/>
    <w:rsid w:val="00C3592C"/>
    <w:rsid w:val="00C35FB2"/>
    <w:rsid w:val="00C36717"/>
    <w:rsid w:val="00C41422"/>
    <w:rsid w:val="00C41529"/>
    <w:rsid w:val="00C47B06"/>
    <w:rsid w:val="00C511E8"/>
    <w:rsid w:val="00C51F7E"/>
    <w:rsid w:val="00C52035"/>
    <w:rsid w:val="00C5302B"/>
    <w:rsid w:val="00C551B2"/>
    <w:rsid w:val="00C554CF"/>
    <w:rsid w:val="00C614E1"/>
    <w:rsid w:val="00C63484"/>
    <w:rsid w:val="00C63571"/>
    <w:rsid w:val="00C63CEE"/>
    <w:rsid w:val="00C64277"/>
    <w:rsid w:val="00C64CB6"/>
    <w:rsid w:val="00C64CBD"/>
    <w:rsid w:val="00C65DAB"/>
    <w:rsid w:val="00C73EDB"/>
    <w:rsid w:val="00C7505B"/>
    <w:rsid w:val="00C77AC7"/>
    <w:rsid w:val="00C80821"/>
    <w:rsid w:val="00C81ABD"/>
    <w:rsid w:val="00C82700"/>
    <w:rsid w:val="00C84F8C"/>
    <w:rsid w:val="00C8617B"/>
    <w:rsid w:val="00C8621B"/>
    <w:rsid w:val="00C87F84"/>
    <w:rsid w:val="00C9400C"/>
    <w:rsid w:val="00C9482B"/>
    <w:rsid w:val="00C94E46"/>
    <w:rsid w:val="00CA1659"/>
    <w:rsid w:val="00CA2765"/>
    <w:rsid w:val="00CA4ACE"/>
    <w:rsid w:val="00CA5E91"/>
    <w:rsid w:val="00CA64A8"/>
    <w:rsid w:val="00CA74BF"/>
    <w:rsid w:val="00CA761C"/>
    <w:rsid w:val="00CB1967"/>
    <w:rsid w:val="00CB27B5"/>
    <w:rsid w:val="00CB2E9A"/>
    <w:rsid w:val="00CB32F3"/>
    <w:rsid w:val="00CB5A64"/>
    <w:rsid w:val="00CB653F"/>
    <w:rsid w:val="00CB7D98"/>
    <w:rsid w:val="00CC01D9"/>
    <w:rsid w:val="00CC0AC6"/>
    <w:rsid w:val="00CC716B"/>
    <w:rsid w:val="00CC7A50"/>
    <w:rsid w:val="00CD0372"/>
    <w:rsid w:val="00CD0605"/>
    <w:rsid w:val="00CD0D75"/>
    <w:rsid w:val="00CD197F"/>
    <w:rsid w:val="00CD1B5C"/>
    <w:rsid w:val="00CD24E3"/>
    <w:rsid w:val="00CD4794"/>
    <w:rsid w:val="00CD6437"/>
    <w:rsid w:val="00CD6D22"/>
    <w:rsid w:val="00CD6D4F"/>
    <w:rsid w:val="00CD79E4"/>
    <w:rsid w:val="00CE1FCA"/>
    <w:rsid w:val="00CE3BB2"/>
    <w:rsid w:val="00CE463F"/>
    <w:rsid w:val="00CE618B"/>
    <w:rsid w:val="00CE7900"/>
    <w:rsid w:val="00CE7908"/>
    <w:rsid w:val="00CF28D9"/>
    <w:rsid w:val="00CF3289"/>
    <w:rsid w:val="00CF3C59"/>
    <w:rsid w:val="00CF41FF"/>
    <w:rsid w:val="00D0087A"/>
    <w:rsid w:val="00D019F8"/>
    <w:rsid w:val="00D047FE"/>
    <w:rsid w:val="00D0665B"/>
    <w:rsid w:val="00D1043A"/>
    <w:rsid w:val="00D11570"/>
    <w:rsid w:val="00D1282D"/>
    <w:rsid w:val="00D13CE4"/>
    <w:rsid w:val="00D14602"/>
    <w:rsid w:val="00D148EE"/>
    <w:rsid w:val="00D16C9B"/>
    <w:rsid w:val="00D20202"/>
    <w:rsid w:val="00D228C2"/>
    <w:rsid w:val="00D23859"/>
    <w:rsid w:val="00D23D98"/>
    <w:rsid w:val="00D276E7"/>
    <w:rsid w:val="00D364E2"/>
    <w:rsid w:val="00D37668"/>
    <w:rsid w:val="00D376F3"/>
    <w:rsid w:val="00D411A4"/>
    <w:rsid w:val="00D41EF6"/>
    <w:rsid w:val="00D420BF"/>
    <w:rsid w:val="00D42DE6"/>
    <w:rsid w:val="00D469B1"/>
    <w:rsid w:val="00D47BC0"/>
    <w:rsid w:val="00D47E2D"/>
    <w:rsid w:val="00D47F73"/>
    <w:rsid w:val="00D5007E"/>
    <w:rsid w:val="00D51B5F"/>
    <w:rsid w:val="00D51CBA"/>
    <w:rsid w:val="00D564C6"/>
    <w:rsid w:val="00D56946"/>
    <w:rsid w:val="00D57413"/>
    <w:rsid w:val="00D66027"/>
    <w:rsid w:val="00D714AF"/>
    <w:rsid w:val="00D74FB7"/>
    <w:rsid w:val="00D76643"/>
    <w:rsid w:val="00D9171F"/>
    <w:rsid w:val="00D94788"/>
    <w:rsid w:val="00D95440"/>
    <w:rsid w:val="00D9765D"/>
    <w:rsid w:val="00D97BE8"/>
    <w:rsid w:val="00DA0D22"/>
    <w:rsid w:val="00DA1D70"/>
    <w:rsid w:val="00DA2C0B"/>
    <w:rsid w:val="00DA3613"/>
    <w:rsid w:val="00DA4403"/>
    <w:rsid w:val="00DA4918"/>
    <w:rsid w:val="00DA51A7"/>
    <w:rsid w:val="00DA5C74"/>
    <w:rsid w:val="00DA78EE"/>
    <w:rsid w:val="00DB0009"/>
    <w:rsid w:val="00DB01C2"/>
    <w:rsid w:val="00DB1F67"/>
    <w:rsid w:val="00DB2479"/>
    <w:rsid w:val="00DB370D"/>
    <w:rsid w:val="00DB3F69"/>
    <w:rsid w:val="00DB56EC"/>
    <w:rsid w:val="00DC0D7E"/>
    <w:rsid w:val="00DC105D"/>
    <w:rsid w:val="00DC204E"/>
    <w:rsid w:val="00DC2FA4"/>
    <w:rsid w:val="00DC3299"/>
    <w:rsid w:val="00DC6FE9"/>
    <w:rsid w:val="00DC74C0"/>
    <w:rsid w:val="00DD04E2"/>
    <w:rsid w:val="00DD0BED"/>
    <w:rsid w:val="00DD388D"/>
    <w:rsid w:val="00DD4026"/>
    <w:rsid w:val="00DD41FC"/>
    <w:rsid w:val="00DD656F"/>
    <w:rsid w:val="00DE15D3"/>
    <w:rsid w:val="00DE2593"/>
    <w:rsid w:val="00DE281A"/>
    <w:rsid w:val="00DE4DC9"/>
    <w:rsid w:val="00DE6ECA"/>
    <w:rsid w:val="00DE70C8"/>
    <w:rsid w:val="00DF1321"/>
    <w:rsid w:val="00DF2866"/>
    <w:rsid w:val="00DF4529"/>
    <w:rsid w:val="00DF5783"/>
    <w:rsid w:val="00E00975"/>
    <w:rsid w:val="00E01F4A"/>
    <w:rsid w:val="00E0340A"/>
    <w:rsid w:val="00E05E9D"/>
    <w:rsid w:val="00E1466E"/>
    <w:rsid w:val="00E17480"/>
    <w:rsid w:val="00E1777F"/>
    <w:rsid w:val="00E22128"/>
    <w:rsid w:val="00E229CD"/>
    <w:rsid w:val="00E24ADE"/>
    <w:rsid w:val="00E24D86"/>
    <w:rsid w:val="00E25F32"/>
    <w:rsid w:val="00E25F47"/>
    <w:rsid w:val="00E267B2"/>
    <w:rsid w:val="00E30296"/>
    <w:rsid w:val="00E307F1"/>
    <w:rsid w:val="00E31D0E"/>
    <w:rsid w:val="00E3280C"/>
    <w:rsid w:val="00E32E77"/>
    <w:rsid w:val="00E34AD9"/>
    <w:rsid w:val="00E40AFD"/>
    <w:rsid w:val="00E40D32"/>
    <w:rsid w:val="00E46EE3"/>
    <w:rsid w:val="00E506EF"/>
    <w:rsid w:val="00E51F30"/>
    <w:rsid w:val="00E52596"/>
    <w:rsid w:val="00E534EC"/>
    <w:rsid w:val="00E53A33"/>
    <w:rsid w:val="00E53DD2"/>
    <w:rsid w:val="00E543F2"/>
    <w:rsid w:val="00E55258"/>
    <w:rsid w:val="00E553BE"/>
    <w:rsid w:val="00E55D8B"/>
    <w:rsid w:val="00E602CF"/>
    <w:rsid w:val="00E65C3B"/>
    <w:rsid w:val="00E70040"/>
    <w:rsid w:val="00E70628"/>
    <w:rsid w:val="00E709AA"/>
    <w:rsid w:val="00E71070"/>
    <w:rsid w:val="00E721B6"/>
    <w:rsid w:val="00E73AA0"/>
    <w:rsid w:val="00E77526"/>
    <w:rsid w:val="00E77D07"/>
    <w:rsid w:val="00E80552"/>
    <w:rsid w:val="00E82A73"/>
    <w:rsid w:val="00E832E2"/>
    <w:rsid w:val="00E838D6"/>
    <w:rsid w:val="00E83D4A"/>
    <w:rsid w:val="00E857D8"/>
    <w:rsid w:val="00E86D23"/>
    <w:rsid w:val="00E91637"/>
    <w:rsid w:val="00E933A1"/>
    <w:rsid w:val="00E9369E"/>
    <w:rsid w:val="00E93DF2"/>
    <w:rsid w:val="00E9442D"/>
    <w:rsid w:val="00E944FA"/>
    <w:rsid w:val="00E9457F"/>
    <w:rsid w:val="00E950FC"/>
    <w:rsid w:val="00E95A99"/>
    <w:rsid w:val="00E96B19"/>
    <w:rsid w:val="00EA0427"/>
    <w:rsid w:val="00EA05CD"/>
    <w:rsid w:val="00EA13CE"/>
    <w:rsid w:val="00EA43B0"/>
    <w:rsid w:val="00EA7B29"/>
    <w:rsid w:val="00EB030D"/>
    <w:rsid w:val="00EB0DE6"/>
    <w:rsid w:val="00EB2BEC"/>
    <w:rsid w:val="00EB3093"/>
    <w:rsid w:val="00EB34A8"/>
    <w:rsid w:val="00EB3788"/>
    <w:rsid w:val="00EB5064"/>
    <w:rsid w:val="00EB577E"/>
    <w:rsid w:val="00EB5945"/>
    <w:rsid w:val="00EB5ED4"/>
    <w:rsid w:val="00EB62E6"/>
    <w:rsid w:val="00EB661D"/>
    <w:rsid w:val="00EB6918"/>
    <w:rsid w:val="00EB7278"/>
    <w:rsid w:val="00EB7C34"/>
    <w:rsid w:val="00EB7FE4"/>
    <w:rsid w:val="00EC0120"/>
    <w:rsid w:val="00EC50A5"/>
    <w:rsid w:val="00EC5ABB"/>
    <w:rsid w:val="00EC6C0C"/>
    <w:rsid w:val="00ED0610"/>
    <w:rsid w:val="00ED2004"/>
    <w:rsid w:val="00ED2427"/>
    <w:rsid w:val="00ED2D1B"/>
    <w:rsid w:val="00ED38C0"/>
    <w:rsid w:val="00ED4153"/>
    <w:rsid w:val="00ED4326"/>
    <w:rsid w:val="00ED60AC"/>
    <w:rsid w:val="00ED6380"/>
    <w:rsid w:val="00ED74FA"/>
    <w:rsid w:val="00EE0556"/>
    <w:rsid w:val="00EE0AE9"/>
    <w:rsid w:val="00EE119C"/>
    <w:rsid w:val="00EE11A7"/>
    <w:rsid w:val="00EE169F"/>
    <w:rsid w:val="00EE1849"/>
    <w:rsid w:val="00EE1CC0"/>
    <w:rsid w:val="00EE2FA7"/>
    <w:rsid w:val="00EE3554"/>
    <w:rsid w:val="00EE5D6B"/>
    <w:rsid w:val="00EE72FD"/>
    <w:rsid w:val="00EE7300"/>
    <w:rsid w:val="00EE7D2F"/>
    <w:rsid w:val="00EF32AD"/>
    <w:rsid w:val="00EF54DD"/>
    <w:rsid w:val="00EF5870"/>
    <w:rsid w:val="00EF7645"/>
    <w:rsid w:val="00F00342"/>
    <w:rsid w:val="00F0118C"/>
    <w:rsid w:val="00F017E5"/>
    <w:rsid w:val="00F020C9"/>
    <w:rsid w:val="00F02B3F"/>
    <w:rsid w:val="00F07640"/>
    <w:rsid w:val="00F07DEF"/>
    <w:rsid w:val="00F1046C"/>
    <w:rsid w:val="00F10F72"/>
    <w:rsid w:val="00F11D44"/>
    <w:rsid w:val="00F12216"/>
    <w:rsid w:val="00F142BE"/>
    <w:rsid w:val="00F154FC"/>
    <w:rsid w:val="00F15A7F"/>
    <w:rsid w:val="00F15ED3"/>
    <w:rsid w:val="00F176B7"/>
    <w:rsid w:val="00F22C3E"/>
    <w:rsid w:val="00F23005"/>
    <w:rsid w:val="00F25C71"/>
    <w:rsid w:val="00F272F0"/>
    <w:rsid w:val="00F30352"/>
    <w:rsid w:val="00F30989"/>
    <w:rsid w:val="00F30E5F"/>
    <w:rsid w:val="00F3362C"/>
    <w:rsid w:val="00F37157"/>
    <w:rsid w:val="00F4085A"/>
    <w:rsid w:val="00F423F1"/>
    <w:rsid w:val="00F4558D"/>
    <w:rsid w:val="00F47895"/>
    <w:rsid w:val="00F52FF2"/>
    <w:rsid w:val="00F53F0A"/>
    <w:rsid w:val="00F5572B"/>
    <w:rsid w:val="00F57A82"/>
    <w:rsid w:val="00F601E9"/>
    <w:rsid w:val="00F62E99"/>
    <w:rsid w:val="00F63229"/>
    <w:rsid w:val="00F6360D"/>
    <w:rsid w:val="00F656C0"/>
    <w:rsid w:val="00F71A0A"/>
    <w:rsid w:val="00F74D81"/>
    <w:rsid w:val="00F76A76"/>
    <w:rsid w:val="00F80E15"/>
    <w:rsid w:val="00F84483"/>
    <w:rsid w:val="00F93339"/>
    <w:rsid w:val="00F9464F"/>
    <w:rsid w:val="00F949E9"/>
    <w:rsid w:val="00F9533A"/>
    <w:rsid w:val="00F95C9F"/>
    <w:rsid w:val="00F972FB"/>
    <w:rsid w:val="00FA0AEB"/>
    <w:rsid w:val="00FA1BB9"/>
    <w:rsid w:val="00FA3A39"/>
    <w:rsid w:val="00FA4BBF"/>
    <w:rsid w:val="00FA669C"/>
    <w:rsid w:val="00FA6946"/>
    <w:rsid w:val="00FB02E1"/>
    <w:rsid w:val="00FB23D0"/>
    <w:rsid w:val="00FB26FE"/>
    <w:rsid w:val="00FB3343"/>
    <w:rsid w:val="00FB52A2"/>
    <w:rsid w:val="00FB6032"/>
    <w:rsid w:val="00FB6212"/>
    <w:rsid w:val="00FB76DB"/>
    <w:rsid w:val="00FC0BA5"/>
    <w:rsid w:val="00FC1584"/>
    <w:rsid w:val="00FC1DF8"/>
    <w:rsid w:val="00FC2AAD"/>
    <w:rsid w:val="00FC3054"/>
    <w:rsid w:val="00FC6098"/>
    <w:rsid w:val="00FC6923"/>
    <w:rsid w:val="00FC744B"/>
    <w:rsid w:val="00FC76E3"/>
    <w:rsid w:val="00FD1865"/>
    <w:rsid w:val="00FD2014"/>
    <w:rsid w:val="00FD324D"/>
    <w:rsid w:val="00FD54A4"/>
    <w:rsid w:val="00FD590A"/>
    <w:rsid w:val="00FE0B14"/>
    <w:rsid w:val="00FE0D9F"/>
    <w:rsid w:val="00FE27B3"/>
    <w:rsid w:val="00FE38CE"/>
    <w:rsid w:val="00FE5005"/>
    <w:rsid w:val="00FE7488"/>
    <w:rsid w:val="00FE7B49"/>
    <w:rsid w:val="00FE7C30"/>
    <w:rsid w:val="00FE7CBC"/>
    <w:rsid w:val="00FF2D24"/>
    <w:rsid w:val="00FF4B01"/>
    <w:rsid w:val="00FF4C36"/>
    <w:rsid w:val="00FF5696"/>
    <w:rsid w:val="44859B73"/>
    <w:rsid w:val="4F9361DD"/>
    <w:rsid w:val="609383D5"/>
    <w:rsid w:val="7B4BF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176CF"/>
  <w15:chartTrackingRefBased/>
  <w15:docId w15:val="{0BBFADEE-F176-4AF1-B888-CF43FCDD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D8"/>
  </w:style>
  <w:style w:type="paragraph" w:styleId="Heading1">
    <w:name w:val="heading 1"/>
    <w:basedOn w:val="Normal"/>
    <w:next w:val="Normal"/>
    <w:link w:val="Heading1Char"/>
    <w:uiPriority w:val="9"/>
    <w:qFormat/>
    <w:rsid w:val="002D02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2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3D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414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20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D02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20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D29D7"/>
    <w:rPr>
      <w:sz w:val="16"/>
      <w:szCs w:val="16"/>
    </w:rPr>
  </w:style>
  <w:style w:type="paragraph" w:styleId="CommentText">
    <w:name w:val="annotation text"/>
    <w:basedOn w:val="Normal"/>
    <w:link w:val="CommentTextChar"/>
    <w:uiPriority w:val="99"/>
    <w:unhideWhenUsed/>
    <w:rsid w:val="00AD29D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D29D7"/>
    <w:rPr>
      <w:rFonts w:eastAsiaTheme="minorEastAsia"/>
      <w:sz w:val="20"/>
      <w:szCs w:val="20"/>
    </w:rPr>
  </w:style>
  <w:style w:type="character" w:customStyle="1" w:styleId="Heading2Char">
    <w:name w:val="Heading 2 Char"/>
    <w:basedOn w:val="DefaultParagraphFont"/>
    <w:link w:val="Heading2"/>
    <w:uiPriority w:val="9"/>
    <w:rsid w:val="00AD29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3D58"/>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C65DAB"/>
    <w:rPr>
      <w:rFonts w:eastAsiaTheme="minorHAnsi"/>
      <w:b/>
      <w:bCs/>
    </w:rPr>
  </w:style>
  <w:style w:type="character" w:customStyle="1" w:styleId="CommentSubjectChar">
    <w:name w:val="Comment Subject Char"/>
    <w:basedOn w:val="CommentTextChar"/>
    <w:link w:val="CommentSubject"/>
    <w:uiPriority w:val="99"/>
    <w:semiHidden/>
    <w:rsid w:val="00C65DAB"/>
    <w:rPr>
      <w:rFonts w:eastAsiaTheme="minorEastAsia"/>
      <w:b/>
      <w:bCs/>
      <w:sz w:val="20"/>
      <w:szCs w:val="20"/>
    </w:rPr>
  </w:style>
  <w:style w:type="table" w:styleId="TableGrid">
    <w:name w:val="Table Grid"/>
    <w:basedOn w:val="TableNormal"/>
    <w:uiPriority w:val="39"/>
    <w:rsid w:val="00A7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4142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C1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B55"/>
  </w:style>
  <w:style w:type="paragraph" w:styleId="Footer">
    <w:name w:val="footer"/>
    <w:basedOn w:val="Normal"/>
    <w:link w:val="FooterChar"/>
    <w:uiPriority w:val="99"/>
    <w:unhideWhenUsed/>
    <w:rsid w:val="003C1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B55"/>
  </w:style>
  <w:style w:type="paragraph" w:customStyle="1" w:styleId="EndNoteBibliographyTitle">
    <w:name w:val="EndNote Bibliography Title"/>
    <w:basedOn w:val="Normal"/>
    <w:link w:val="EndNoteBibliographyTitleChar"/>
    <w:rsid w:val="004C3D1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C3D10"/>
    <w:rPr>
      <w:rFonts w:ascii="Calibri" w:hAnsi="Calibri" w:cs="Calibri"/>
      <w:noProof/>
      <w:lang w:val="en-US"/>
    </w:rPr>
  </w:style>
  <w:style w:type="paragraph" w:customStyle="1" w:styleId="EndNoteBibliography">
    <w:name w:val="EndNote Bibliography"/>
    <w:basedOn w:val="Normal"/>
    <w:link w:val="EndNoteBibliographyChar"/>
    <w:rsid w:val="004C3D1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C3D10"/>
    <w:rPr>
      <w:rFonts w:ascii="Calibri" w:hAnsi="Calibri" w:cs="Calibri"/>
      <w:noProof/>
      <w:lang w:val="en-US"/>
    </w:rPr>
  </w:style>
  <w:style w:type="paragraph" w:styleId="ListParagraph">
    <w:name w:val="List Paragraph"/>
    <w:basedOn w:val="Normal"/>
    <w:uiPriority w:val="34"/>
    <w:qFormat/>
    <w:rsid w:val="000A2020"/>
    <w:pPr>
      <w:ind w:left="720"/>
      <w:contextualSpacing/>
    </w:pPr>
  </w:style>
  <w:style w:type="character" w:styleId="Hyperlink">
    <w:name w:val="Hyperlink"/>
    <w:basedOn w:val="DefaultParagraphFont"/>
    <w:uiPriority w:val="99"/>
    <w:unhideWhenUsed/>
    <w:rsid w:val="005D0793"/>
    <w:rPr>
      <w:color w:val="0563C1" w:themeColor="hyperlink"/>
      <w:u w:val="single"/>
    </w:rPr>
  </w:style>
  <w:style w:type="character" w:styleId="UnresolvedMention">
    <w:name w:val="Unresolved Mention"/>
    <w:basedOn w:val="DefaultParagraphFont"/>
    <w:uiPriority w:val="99"/>
    <w:semiHidden/>
    <w:unhideWhenUsed/>
    <w:rsid w:val="005D0793"/>
    <w:rPr>
      <w:color w:val="605E5C"/>
      <w:shd w:val="clear" w:color="auto" w:fill="E1DFDD"/>
    </w:rPr>
  </w:style>
  <w:style w:type="paragraph" w:styleId="Revision">
    <w:name w:val="Revision"/>
    <w:hidden/>
    <w:uiPriority w:val="99"/>
    <w:semiHidden/>
    <w:rsid w:val="00B074D5"/>
    <w:pPr>
      <w:spacing w:after="0" w:line="240" w:lineRule="auto"/>
    </w:pPr>
  </w:style>
  <w:style w:type="paragraph" w:styleId="FootnoteText">
    <w:name w:val="footnote text"/>
    <w:basedOn w:val="Normal"/>
    <w:link w:val="FootnoteTextChar"/>
    <w:uiPriority w:val="99"/>
    <w:semiHidden/>
    <w:unhideWhenUsed/>
    <w:rsid w:val="009718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837"/>
    <w:rPr>
      <w:sz w:val="20"/>
      <w:szCs w:val="20"/>
    </w:rPr>
  </w:style>
  <w:style w:type="character" w:styleId="FootnoteReference">
    <w:name w:val="footnote reference"/>
    <w:basedOn w:val="DefaultParagraphFont"/>
    <w:uiPriority w:val="99"/>
    <w:semiHidden/>
    <w:unhideWhenUsed/>
    <w:rsid w:val="00971837"/>
    <w:rPr>
      <w:vertAlign w:val="superscript"/>
    </w:rPr>
  </w:style>
  <w:style w:type="character" w:styleId="FollowedHyperlink">
    <w:name w:val="FollowedHyperlink"/>
    <w:basedOn w:val="DefaultParagraphFont"/>
    <w:uiPriority w:val="99"/>
    <w:semiHidden/>
    <w:unhideWhenUsed/>
    <w:rsid w:val="000743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
      <w:bodyDiv w:val="1"/>
      <w:marLeft w:val="0"/>
      <w:marRight w:val="0"/>
      <w:marTop w:val="0"/>
      <w:marBottom w:val="0"/>
      <w:divBdr>
        <w:top w:val="none" w:sz="0" w:space="0" w:color="auto"/>
        <w:left w:val="none" w:sz="0" w:space="0" w:color="auto"/>
        <w:bottom w:val="none" w:sz="0" w:space="0" w:color="auto"/>
        <w:right w:val="none" w:sz="0" w:space="0" w:color="auto"/>
      </w:divBdr>
    </w:div>
    <w:div w:id="70280112">
      <w:bodyDiv w:val="1"/>
      <w:marLeft w:val="0"/>
      <w:marRight w:val="0"/>
      <w:marTop w:val="0"/>
      <w:marBottom w:val="0"/>
      <w:divBdr>
        <w:top w:val="none" w:sz="0" w:space="0" w:color="auto"/>
        <w:left w:val="none" w:sz="0" w:space="0" w:color="auto"/>
        <w:bottom w:val="none" w:sz="0" w:space="0" w:color="auto"/>
        <w:right w:val="none" w:sz="0" w:space="0" w:color="auto"/>
      </w:divBdr>
      <w:divsChild>
        <w:div w:id="1267008309">
          <w:marLeft w:val="0"/>
          <w:marRight w:val="108"/>
          <w:marTop w:val="18"/>
          <w:marBottom w:val="108"/>
          <w:divBdr>
            <w:top w:val="none" w:sz="0" w:space="0" w:color="auto"/>
            <w:left w:val="none" w:sz="0" w:space="0" w:color="auto"/>
            <w:bottom w:val="none" w:sz="0" w:space="0" w:color="auto"/>
            <w:right w:val="none" w:sz="0" w:space="0" w:color="auto"/>
          </w:divBdr>
          <w:divsChild>
            <w:div w:id="799151504">
              <w:marLeft w:val="0"/>
              <w:marRight w:val="0"/>
              <w:marTop w:val="0"/>
              <w:marBottom w:val="0"/>
              <w:divBdr>
                <w:top w:val="none" w:sz="0" w:space="0" w:color="auto"/>
                <w:left w:val="none" w:sz="0" w:space="0" w:color="auto"/>
                <w:bottom w:val="none" w:sz="0" w:space="0" w:color="auto"/>
                <w:right w:val="none" w:sz="0" w:space="0" w:color="auto"/>
              </w:divBdr>
              <w:divsChild>
                <w:div w:id="81993631">
                  <w:marLeft w:val="0"/>
                  <w:marRight w:val="0"/>
                  <w:marTop w:val="0"/>
                  <w:marBottom w:val="0"/>
                  <w:divBdr>
                    <w:top w:val="none" w:sz="0" w:space="0" w:color="auto"/>
                    <w:left w:val="none" w:sz="0" w:space="0" w:color="auto"/>
                    <w:bottom w:val="none" w:sz="0" w:space="0" w:color="auto"/>
                    <w:right w:val="none" w:sz="0" w:space="0" w:color="auto"/>
                  </w:divBdr>
                  <w:divsChild>
                    <w:div w:id="2142535058">
                      <w:marLeft w:val="0"/>
                      <w:marRight w:val="0"/>
                      <w:marTop w:val="0"/>
                      <w:marBottom w:val="0"/>
                      <w:divBdr>
                        <w:top w:val="none" w:sz="0" w:space="0" w:color="auto"/>
                        <w:left w:val="none" w:sz="0" w:space="0" w:color="auto"/>
                        <w:bottom w:val="none" w:sz="0" w:space="0" w:color="auto"/>
                        <w:right w:val="none" w:sz="0" w:space="0" w:color="auto"/>
                      </w:divBdr>
                      <w:divsChild>
                        <w:div w:id="17342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41728">
          <w:marLeft w:val="0"/>
          <w:marRight w:val="0"/>
          <w:marTop w:val="0"/>
          <w:marBottom w:val="0"/>
          <w:divBdr>
            <w:top w:val="none" w:sz="0" w:space="0" w:color="auto"/>
            <w:left w:val="none" w:sz="0" w:space="0" w:color="auto"/>
            <w:bottom w:val="none" w:sz="0" w:space="0" w:color="auto"/>
            <w:right w:val="none" w:sz="0" w:space="0" w:color="auto"/>
          </w:divBdr>
          <w:divsChild>
            <w:div w:id="3187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1660">
      <w:bodyDiv w:val="1"/>
      <w:marLeft w:val="0"/>
      <w:marRight w:val="0"/>
      <w:marTop w:val="0"/>
      <w:marBottom w:val="0"/>
      <w:divBdr>
        <w:top w:val="none" w:sz="0" w:space="0" w:color="auto"/>
        <w:left w:val="none" w:sz="0" w:space="0" w:color="auto"/>
        <w:bottom w:val="none" w:sz="0" w:space="0" w:color="auto"/>
        <w:right w:val="none" w:sz="0" w:space="0" w:color="auto"/>
      </w:divBdr>
    </w:div>
    <w:div w:id="136456358">
      <w:bodyDiv w:val="1"/>
      <w:marLeft w:val="0"/>
      <w:marRight w:val="0"/>
      <w:marTop w:val="0"/>
      <w:marBottom w:val="0"/>
      <w:divBdr>
        <w:top w:val="none" w:sz="0" w:space="0" w:color="auto"/>
        <w:left w:val="none" w:sz="0" w:space="0" w:color="auto"/>
        <w:bottom w:val="none" w:sz="0" w:space="0" w:color="auto"/>
        <w:right w:val="none" w:sz="0" w:space="0" w:color="auto"/>
      </w:divBdr>
    </w:div>
    <w:div w:id="302659140">
      <w:bodyDiv w:val="1"/>
      <w:marLeft w:val="0"/>
      <w:marRight w:val="0"/>
      <w:marTop w:val="0"/>
      <w:marBottom w:val="0"/>
      <w:divBdr>
        <w:top w:val="none" w:sz="0" w:space="0" w:color="auto"/>
        <w:left w:val="none" w:sz="0" w:space="0" w:color="auto"/>
        <w:bottom w:val="none" w:sz="0" w:space="0" w:color="auto"/>
        <w:right w:val="none" w:sz="0" w:space="0" w:color="auto"/>
      </w:divBdr>
    </w:div>
    <w:div w:id="481236924">
      <w:bodyDiv w:val="1"/>
      <w:marLeft w:val="0"/>
      <w:marRight w:val="0"/>
      <w:marTop w:val="0"/>
      <w:marBottom w:val="0"/>
      <w:divBdr>
        <w:top w:val="none" w:sz="0" w:space="0" w:color="auto"/>
        <w:left w:val="none" w:sz="0" w:space="0" w:color="auto"/>
        <w:bottom w:val="none" w:sz="0" w:space="0" w:color="auto"/>
        <w:right w:val="none" w:sz="0" w:space="0" w:color="auto"/>
      </w:divBdr>
    </w:div>
    <w:div w:id="494299379">
      <w:bodyDiv w:val="1"/>
      <w:marLeft w:val="0"/>
      <w:marRight w:val="0"/>
      <w:marTop w:val="0"/>
      <w:marBottom w:val="0"/>
      <w:divBdr>
        <w:top w:val="none" w:sz="0" w:space="0" w:color="auto"/>
        <w:left w:val="none" w:sz="0" w:space="0" w:color="auto"/>
        <w:bottom w:val="none" w:sz="0" w:space="0" w:color="auto"/>
        <w:right w:val="none" w:sz="0" w:space="0" w:color="auto"/>
      </w:divBdr>
    </w:div>
    <w:div w:id="658732616">
      <w:bodyDiv w:val="1"/>
      <w:marLeft w:val="0"/>
      <w:marRight w:val="0"/>
      <w:marTop w:val="0"/>
      <w:marBottom w:val="0"/>
      <w:divBdr>
        <w:top w:val="none" w:sz="0" w:space="0" w:color="auto"/>
        <w:left w:val="none" w:sz="0" w:space="0" w:color="auto"/>
        <w:bottom w:val="none" w:sz="0" w:space="0" w:color="auto"/>
        <w:right w:val="none" w:sz="0" w:space="0" w:color="auto"/>
      </w:divBdr>
      <w:divsChild>
        <w:div w:id="1526598224">
          <w:marLeft w:val="0"/>
          <w:marRight w:val="108"/>
          <w:marTop w:val="18"/>
          <w:marBottom w:val="108"/>
          <w:divBdr>
            <w:top w:val="none" w:sz="0" w:space="0" w:color="auto"/>
            <w:left w:val="none" w:sz="0" w:space="0" w:color="auto"/>
            <w:bottom w:val="none" w:sz="0" w:space="0" w:color="auto"/>
            <w:right w:val="none" w:sz="0" w:space="0" w:color="auto"/>
          </w:divBdr>
          <w:divsChild>
            <w:div w:id="968321941">
              <w:marLeft w:val="0"/>
              <w:marRight w:val="0"/>
              <w:marTop w:val="0"/>
              <w:marBottom w:val="0"/>
              <w:divBdr>
                <w:top w:val="none" w:sz="0" w:space="0" w:color="auto"/>
                <w:left w:val="none" w:sz="0" w:space="0" w:color="auto"/>
                <w:bottom w:val="none" w:sz="0" w:space="0" w:color="auto"/>
                <w:right w:val="none" w:sz="0" w:space="0" w:color="auto"/>
              </w:divBdr>
              <w:divsChild>
                <w:div w:id="933628229">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sChild>
                        <w:div w:id="979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03247">
          <w:marLeft w:val="0"/>
          <w:marRight w:val="0"/>
          <w:marTop w:val="0"/>
          <w:marBottom w:val="0"/>
          <w:divBdr>
            <w:top w:val="none" w:sz="0" w:space="0" w:color="auto"/>
            <w:left w:val="none" w:sz="0" w:space="0" w:color="auto"/>
            <w:bottom w:val="none" w:sz="0" w:space="0" w:color="auto"/>
            <w:right w:val="none" w:sz="0" w:space="0" w:color="auto"/>
          </w:divBdr>
          <w:divsChild>
            <w:div w:id="7813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19656">
      <w:bodyDiv w:val="1"/>
      <w:marLeft w:val="0"/>
      <w:marRight w:val="0"/>
      <w:marTop w:val="0"/>
      <w:marBottom w:val="0"/>
      <w:divBdr>
        <w:top w:val="none" w:sz="0" w:space="0" w:color="auto"/>
        <w:left w:val="none" w:sz="0" w:space="0" w:color="auto"/>
        <w:bottom w:val="none" w:sz="0" w:space="0" w:color="auto"/>
        <w:right w:val="none" w:sz="0" w:space="0" w:color="auto"/>
      </w:divBdr>
    </w:div>
    <w:div w:id="823089769">
      <w:bodyDiv w:val="1"/>
      <w:marLeft w:val="0"/>
      <w:marRight w:val="0"/>
      <w:marTop w:val="0"/>
      <w:marBottom w:val="0"/>
      <w:divBdr>
        <w:top w:val="none" w:sz="0" w:space="0" w:color="auto"/>
        <w:left w:val="none" w:sz="0" w:space="0" w:color="auto"/>
        <w:bottom w:val="none" w:sz="0" w:space="0" w:color="auto"/>
        <w:right w:val="none" w:sz="0" w:space="0" w:color="auto"/>
      </w:divBdr>
    </w:div>
    <w:div w:id="874850548">
      <w:bodyDiv w:val="1"/>
      <w:marLeft w:val="0"/>
      <w:marRight w:val="0"/>
      <w:marTop w:val="0"/>
      <w:marBottom w:val="0"/>
      <w:divBdr>
        <w:top w:val="none" w:sz="0" w:space="0" w:color="auto"/>
        <w:left w:val="none" w:sz="0" w:space="0" w:color="auto"/>
        <w:bottom w:val="none" w:sz="0" w:space="0" w:color="auto"/>
        <w:right w:val="none" w:sz="0" w:space="0" w:color="auto"/>
      </w:divBdr>
    </w:div>
    <w:div w:id="958101456">
      <w:bodyDiv w:val="1"/>
      <w:marLeft w:val="0"/>
      <w:marRight w:val="0"/>
      <w:marTop w:val="0"/>
      <w:marBottom w:val="0"/>
      <w:divBdr>
        <w:top w:val="none" w:sz="0" w:space="0" w:color="auto"/>
        <w:left w:val="none" w:sz="0" w:space="0" w:color="auto"/>
        <w:bottom w:val="none" w:sz="0" w:space="0" w:color="auto"/>
        <w:right w:val="none" w:sz="0" w:space="0" w:color="auto"/>
      </w:divBdr>
    </w:div>
    <w:div w:id="964584105">
      <w:bodyDiv w:val="1"/>
      <w:marLeft w:val="0"/>
      <w:marRight w:val="0"/>
      <w:marTop w:val="0"/>
      <w:marBottom w:val="0"/>
      <w:divBdr>
        <w:top w:val="none" w:sz="0" w:space="0" w:color="auto"/>
        <w:left w:val="none" w:sz="0" w:space="0" w:color="auto"/>
        <w:bottom w:val="none" w:sz="0" w:space="0" w:color="auto"/>
        <w:right w:val="none" w:sz="0" w:space="0" w:color="auto"/>
      </w:divBdr>
    </w:div>
    <w:div w:id="1108352484">
      <w:bodyDiv w:val="1"/>
      <w:marLeft w:val="0"/>
      <w:marRight w:val="0"/>
      <w:marTop w:val="0"/>
      <w:marBottom w:val="0"/>
      <w:divBdr>
        <w:top w:val="none" w:sz="0" w:space="0" w:color="auto"/>
        <w:left w:val="none" w:sz="0" w:space="0" w:color="auto"/>
        <w:bottom w:val="none" w:sz="0" w:space="0" w:color="auto"/>
        <w:right w:val="none" w:sz="0" w:space="0" w:color="auto"/>
      </w:divBdr>
    </w:div>
    <w:div w:id="1149593223">
      <w:bodyDiv w:val="1"/>
      <w:marLeft w:val="0"/>
      <w:marRight w:val="0"/>
      <w:marTop w:val="0"/>
      <w:marBottom w:val="0"/>
      <w:divBdr>
        <w:top w:val="none" w:sz="0" w:space="0" w:color="auto"/>
        <w:left w:val="none" w:sz="0" w:space="0" w:color="auto"/>
        <w:bottom w:val="none" w:sz="0" w:space="0" w:color="auto"/>
        <w:right w:val="none" w:sz="0" w:space="0" w:color="auto"/>
      </w:divBdr>
    </w:div>
    <w:div w:id="1159267891">
      <w:bodyDiv w:val="1"/>
      <w:marLeft w:val="0"/>
      <w:marRight w:val="0"/>
      <w:marTop w:val="0"/>
      <w:marBottom w:val="0"/>
      <w:divBdr>
        <w:top w:val="none" w:sz="0" w:space="0" w:color="auto"/>
        <w:left w:val="none" w:sz="0" w:space="0" w:color="auto"/>
        <w:bottom w:val="none" w:sz="0" w:space="0" w:color="auto"/>
        <w:right w:val="none" w:sz="0" w:space="0" w:color="auto"/>
      </w:divBdr>
    </w:div>
    <w:div w:id="1425102777">
      <w:bodyDiv w:val="1"/>
      <w:marLeft w:val="0"/>
      <w:marRight w:val="0"/>
      <w:marTop w:val="0"/>
      <w:marBottom w:val="0"/>
      <w:divBdr>
        <w:top w:val="none" w:sz="0" w:space="0" w:color="auto"/>
        <w:left w:val="none" w:sz="0" w:space="0" w:color="auto"/>
        <w:bottom w:val="none" w:sz="0" w:space="0" w:color="auto"/>
        <w:right w:val="none" w:sz="0" w:space="0" w:color="auto"/>
      </w:divBdr>
      <w:divsChild>
        <w:div w:id="972561439">
          <w:marLeft w:val="0"/>
          <w:marRight w:val="0"/>
          <w:marTop w:val="0"/>
          <w:marBottom w:val="0"/>
          <w:divBdr>
            <w:top w:val="none" w:sz="0" w:space="0" w:color="auto"/>
            <w:left w:val="none" w:sz="0" w:space="0" w:color="auto"/>
            <w:bottom w:val="none" w:sz="0" w:space="0" w:color="auto"/>
            <w:right w:val="none" w:sz="0" w:space="0" w:color="auto"/>
          </w:divBdr>
        </w:div>
      </w:divsChild>
    </w:div>
    <w:div w:id="1452700542">
      <w:bodyDiv w:val="1"/>
      <w:marLeft w:val="0"/>
      <w:marRight w:val="0"/>
      <w:marTop w:val="0"/>
      <w:marBottom w:val="0"/>
      <w:divBdr>
        <w:top w:val="none" w:sz="0" w:space="0" w:color="auto"/>
        <w:left w:val="none" w:sz="0" w:space="0" w:color="auto"/>
        <w:bottom w:val="none" w:sz="0" w:space="0" w:color="auto"/>
        <w:right w:val="none" w:sz="0" w:space="0" w:color="auto"/>
      </w:divBdr>
    </w:div>
    <w:div w:id="1621499146">
      <w:bodyDiv w:val="1"/>
      <w:marLeft w:val="0"/>
      <w:marRight w:val="0"/>
      <w:marTop w:val="0"/>
      <w:marBottom w:val="0"/>
      <w:divBdr>
        <w:top w:val="none" w:sz="0" w:space="0" w:color="auto"/>
        <w:left w:val="none" w:sz="0" w:space="0" w:color="auto"/>
        <w:bottom w:val="none" w:sz="0" w:space="0" w:color="auto"/>
        <w:right w:val="none" w:sz="0" w:space="0" w:color="auto"/>
      </w:divBdr>
    </w:div>
    <w:div w:id="1760828205">
      <w:bodyDiv w:val="1"/>
      <w:marLeft w:val="0"/>
      <w:marRight w:val="0"/>
      <w:marTop w:val="0"/>
      <w:marBottom w:val="0"/>
      <w:divBdr>
        <w:top w:val="none" w:sz="0" w:space="0" w:color="auto"/>
        <w:left w:val="none" w:sz="0" w:space="0" w:color="auto"/>
        <w:bottom w:val="none" w:sz="0" w:space="0" w:color="auto"/>
        <w:right w:val="none" w:sz="0" w:space="0" w:color="auto"/>
      </w:divBdr>
    </w:div>
    <w:div w:id="1881700641">
      <w:bodyDiv w:val="1"/>
      <w:marLeft w:val="0"/>
      <w:marRight w:val="0"/>
      <w:marTop w:val="0"/>
      <w:marBottom w:val="0"/>
      <w:divBdr>
        <w:top w:val="none" w:sz="0" w:space="0" w:color="auto"/>
        <w:left w:val="none" w:sz="0" w:space="0" w:color="auto"/>
        <w:bottom w:val="none" w:sz="0" w:space="0" w:color="auto"/>
        <w:right w:val="none" w:sz="0" w:space="0" w:color="auto"/>
      </w:divBdr>
    </w:div>
    <w:div w:id="1932424335">
      <w:bodyDiv w:val="1"/>
      <w:marLeft w:val="0"/>
      <w:marRight w:val="0"/>
      <w:marTop w:val="0"/>
      <w:marBottom w:val="0"/>
      <w:divBdr>
        <w:top w:val="none" w:sz="0" w:space="0" w:color="auto"/>
        <w:left w:val="none" w:sz="0" w:space="0" w:color="auto"/>
        <w:bottom w:val="none" w:sz="0" w:space="0" w:color="auto"/>
        <w:right w:val="none" w:sz="0" w:space="0" w:color="auto"/>
      </w:divBdr>
    </w:div>
    <w:div w:id="1980836395">
      <w:bodyDiv w:val="1"/>
      <w:marLeft w:val="0"/>
      <w:marRight w:val="0"/>
      <w:marTop w:val="0"/>
      <w:marBottom w:val="0"/>
      <w:divBdr>
        <w:top w:val="none" w:sz="0" w:space="0" w:color="auto"/>
        <w:left w:val="none" w:sz="0" w:space="0" w:color="auto"/>
        <w:bottom w:val="none" w:sz="0" w:space="0" w:color="auto"/>
        <w:right w:val="none" w:sz="0" w:space="0" w:color="auto"/>
      </w:divBdr>
    </w:div>
    <w:div w:id="2015378619">
      <w:bodyDiv w:val="1"/>
      <w:marLeft w:val="0"/>
      <w:marRight w:val="0"/>
      <w:marTop w:val="0"/>
      <w:marBottom w:val="0"/>
      <w:divBdr>
        <w:top w:val="none" w:sz="0" w:space="0" w:color="auto"/>
        <w:left w:val="none" w:sz="0" w:space="0" w:color="auto"/>
        <w:bottom w:val="none" w:sz="0" w:space="0" w:color="auto"/>
        <w:right w:val="none" w:sz="0" w:space="0" w:color="auto"/>
      </w:divBdr>
    </w:div>
    <w:div w:id="2047828532">
      <w:bodyDiv w:val="1"/>
      <w:marLeft w:val="0"/>
      <w:marRight w:val="0"/>
      <w:marTop w:val="0"/>
      <w:marBottom w:val="0"/>
      <w:divBdr>
        <w:top w:val="none" w:sz="0" w:space="0" w:color="auto"/>
        <w:left w:val="none" w:sz="0" w:space="0" w:color="auto"/>
        <w:bottom w:val="none" w:sz="0" w:space="0" w:color="auto"/>
        <w:right w:val="none" w:sz="0" w:space="0" w:color="auto"/>
      </w:divBdr>
    </w:div>
    <w:div w:id="2111582879">
      <w:bodyDiv w:val="1"/>
      <w:marLeft w:val="0"/>
      <w:marRight w:val="0"/>
      <w:marTop w:val="0"/>
      <w:marBottom w:val="0"/>
      <w:divBdr>
        <w:top w:val="none" w:sz="0" w:space="0" w:color="auto"/>
        <w:left w:val="none" w:sz="0" w:space="0" w:color="auto"/>
        <w:bottom w:val="none" w:sz="0" w:space="0" w:color="auto"/>
        <w:right w:val="none" w:sz="0" w:space="0" w:color="auto"/>
      </w:divBdr>
    </w:div>
    <w:div w:id="21157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Bishop@southamp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lific.com" TargetMode="External"/><Relationship Id="rId5" Type="http://schemas.openxmlformats.org/officeDocument/2006/relationships/webSettings" Target="webSettings.xml"/><Relationship Id="rId10" Type="http://schemas.openxmlformats.org/officeDocument/2006/relationships/hyperlink" Target="http://doi.org/%5bdoi" TargetMode="External"/><Relationship Id="rId4" Type="http://schemas.openxmlformats.org/officeDocument/2006/relationships/settings" Target="settings.xml"/><Relationship Id="rId9" Type="http://schemas.openxmlformats.org/officeDocument/2006/relationships/hyperlink" Target="http://eprints.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49B-513F-44C0-B513-61DDFAB2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5696</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Flis Bishop</dc:creator>
  <cp:keywords/>
  <dc:description/>
  <cp:lastModifiedBy>Flis Bishop</cp:lastModifiedBy>
  <cp:revision>3</cp:revision>
  <dcterms:created xsi:type="dcterms:W3CDTF">2025-06-03T11:10:00Z</dcterms:created>
  <dcterms:modified xsi:type="dcterms:W3CDTF">2025-06-03T11:12:00Z</dcterms:modified>
</cp:coreProperties>
</file>