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7395E" w14:textId="77777777" w:rsidR="00800AA9" w:rsidRPr="00F05B90" w:rsidRDefault="00800AA9" w:rsidP="00800AA9">
      <w:pPr>
        <w:jc w:val="center"/>
        <w:rPr>
          <w:b/>
          <w:bCs/>
          <w:sz w:val="28"/>
          <w:szCs w:val="28"/>
        </w:rPr>
      </w:pPr>
      <w:bookmarkStart w:id="0" w:name="_Toc123457903"/>
      <w:r w:rsidRPr="00F05B90">
        <w:rPr>
          <w:b/>
          <w:bCs/>
          <w:sz w:val="28"/>
          <w:szCs w:val="28"/>
        </w:rPr>
        <w:t>Industry tournament incentives and Auditors' Professional Judgment</w:t>
      </w:r>
    </w:p>
    <w:p w14:paraId="4220A417" w14:textId="77777777" w:rsidR="00800AA9" w:rsidRPr="00F05B90" w:rsidRDefault="00800AA9" w:rsidP="00800AA9">
      <w:pPr>
        <w:jc w:val="center"/>
        <w:rPr>
          <w:b/>
          <w:bCs/>
          <w:sz w:val="28"/>
          <w:szCs w:val="28"/>
        </w:rPr>
      </w:pPr>
    </w:p>
    <w:p w14:paraId="7943D121" w14:textId="77777777" w:rsidR="00800AA9" w:rsidRPr="00F05B90" w:rsidRDefault="00800AA9" w:rsidP="00800AA9">
      <w:pPr>
        <w:jc w:val="both"/>
        <w:rPr>
          <w:rFonts w:eastAsia="SimSun"/>
          <w:b/>
          <w:bCs/>
        </w:rPr>
      </w:pPr>
    </w:p>
    <w:p w14:paraId="39BAE9D5" w14:textId="77777777" w:rsidR="00800AA9" w:rsidRPr="00F05B90" w:rsidRDefault="00800AA9" w:rsidP="00800AA9">
      <w:pPr>
        <w:jc w:val="both"/>
        <w:rPr>
          <w:rFonts w:eastAsia="SimSun"/>
          <w:b/>
          <w:bCs/>
        </w:rPr>
      </w:pPr>
    </w:p>
    <w:p w14:paraId="52A95A2F" w14:textId="77777777" w:rsidR="00800AA9" w:rsidRPr="00F05B90" w:rsidRDefault="00800AA9" w:rsidP="00800AA9">
      <w:pPr>
        <w:spacing w:after="200"/>
        <w:jc w:val="center"/>
        <w:rPr>
          <w:rFonts w:asciiTheme="majorBidi" w:eastAsia="Calibri" w:hAnsiTheme="majorBidi" w:cstheme="majorBidi"/>
          <w:b/>
          <w:bCs/>
          <w:iCs/>
          <w:sz w:val="28"/>
          <w:szCs w:val="28"/>
        </w:rPr>
      </w:pPr>
    </w:p>
    <w:p w14:paraId="45F593B1" w14:textId="77777777" w:rsidR="00800AA9" w:rsidRPr="00F05B90" w:rsidRDefault="00800AA9" w:rsidP="00800AA9">
      <w:pPr>
        <w:spacing w:after="200"/>
        <w:jc w:val="center"/>
        <w:rPr>
          <w:rFonts w:asciiTheme="majorBidi" w:eastAsia="Calibri" w:hAnsiTheme="majorBidi" w:cstheme="majorBidi"/>
          <w:b/>
          <w:bCs/>
          <w:iCs/>
          <w:sz w:val="28"/>
          <w:szCs w:val="28"/>
        </w:rPr>
      </w:pPr>
    </w:p>
    <w:p w14:paraId="792FC63D" w14:textId="77777777" w:rsidR="00800AA9" w:rsidRPr="00F05B90" w:rsidRDefault="00800AA9" w:rsidP="00800AA9">
      <w:pPr>
        <w:spacing w:after="200"/>
        <w:jc w:val="center"/>
        <w:rPr>
          <w:rFonts w:asciiTheme="majorBidi" w:eastAsia="Calibri" w:hAnsiTheme="majorBidi" w:cstheme="majorBidi"/>
          <w:b/>
          <w:bCs/>
          <w:iCs/>
          <w:sz w:val="28"/>
          <w:szCs w:val="28"/>
        </w:rPr>
      </w:pPr>
    </w:p>
    <w:p w14:paraId="38D5034D" w14:textId="77777777" w:rsidR="00800AA9" w:rsidRPr="00F05B90" w:rsidRDefault="00800AA9" w:rsidP="00800AA9">
      <w:pPr>
        <w:pStyle w:val="PlainText"/>
        <w:jc w:val="center"/>
        <w:rPr>
          <w:rFonts w:asciiTheme="majorBidi" w:eastAsia="Calibri" w:hAnsiTheme="majorBidi" w:cstheme="majorBidi"/>
          <w:b/>
          <w:bCs/>
          <w:iCs/>
          <w:sz w:val="28"/>
          <w:szCs w:val="28"/>
          <w:vertAlign w:val="superscript"/>
          <w:lang w:eastAsia="en-US"/>
        </w:rPr>
      </w:pPr>
      <w:r w:rsidRPr="00F05B90">
        <w:rPr>
          <w:rFonts w:asciiTheme="majorBidi" w:eastAsia="Calibri" w:hAnsiTheme="majorBidi" w:cstheme="majorBidi"/>
          <w:b/>
          <w:bCs/>
          <w:iCs/>
          <w:sz w:val="28"/>
          <w:szCs w:val="28"/>
          <w:lang w:eastAsia="en-US"/>
        </w:rPr>
        <w:t>Abeer Saqer Alsalami</w:t>
      </w:r>
      <w:r w:rsidRPr="00F05B90">
        <w:rPr>
          <w:rFonts w:asciiTheme="majorBidi" w:eastAsia="Calibri" w:hAnsiTheme="majorBidi" w:cstheme="majorBidi"/>
          <w:b/>
          <w:bCs/>
          <w:iCs/>
          <w:sz w:val="28"/>
          <w:szCs w:val="28"/>
          <w:vertAlign w:val="superscript"/>
          <w:lang w:eastAsia="en-US"/>
        </w:rPr>
        <w:t>a</w:t>
      </w:r>
    </w:p>
    <w:p w14:paraId="5EEC859A" w14:textId="42DFC2D5" w:rsidR="00800AA9" w:rsidRPr="00F05B90" w:rsidRDefault="00800AA9" w:rsidP="00800AA9">
      <w:pPr>
        <w:pStyle w:val="PlainText"/>
        <w:jc w:val="center"/>
        <w:rPr>
          <w:rFonts w:asciiTheme="majorBidi" w:eastAsia="Calibri" w:hAnsiTheme="majorBidi" w:cstheme="majorBidi"/>
          <w:b/>
          <w:bCs/>
          <w:iCs/>
          <w:sz w:val="28"/>
          <w:szCs w:val="28"/>
          <w:lang w:eastAsia="en-US"/>
        </w:rPr>
      </w:pPr>
      <w:r w:rsidRPr="00F05B90">
        <w:rPr>
          <w:rFonts w:asciiTheme="majorBidi" w:eastAsia="Calibri" w:hAnsiTheme="majorBidi" w:cstheme="majorBidi"/>
          <w:b/>
          <w:bCs/>
          <w:iCs/>
          <w:sz w:val="28"/>
          <w:szCs w:val="28"/>
          <w:lang w:eastAsia="en-US"/>
        </w:rPr>
        <w:t>Alaa Mansour Zalata</w:t>
      </w:r>
      <w:r w:rsidRPr="00F05B90">
        <w:rPr>
          <w:rFonts w:asciiTheme="majorBidi" w:eastAsia="Calibri" w:hAnsiTheme="majorBidi" w:cstheme="majorBidi"/>
          <w:b/>
          <w:bCs/>
          <w:iCs/>
          <w:sz w:val="28"/>
          <w:szCs w:val="28"/>
          <w:vertAlign w:val="superscript"/>
          <w:lang w:eastAsia="en-US"/>
        </w:rPr>
        <w:t>b</w:t>
      </w:r>
    </w:p>
    <w:p w14:paraId="32CE3C9D" w14:textId="0BB74BE6" w:rsidR="00800AA9" w:rsidRPr="00F05B90" w:rsidRDefault="00800AA9" w:rsidP="00800AA9">
      <w:pPr>
        <w:pStyle w:val="PlainText"/>
        <w:jc w:val="center"/>
        <w:rPr>
          <w:rFonts w:asciiTheme="majorBidi" w:eastAsia="Calibri" w:hAnsiTheme="majorBidi" w:cstheme="majorBidi"/>
          <w:b/>
          <w:bCs/>
          <w:iCs/>
          <w:sz w:val="28"/>
          <w:szCs w:val="28"/>
          <w:vertAlign w:val="superscript"/>
          <w:lang w:eastAsia="en-US"/>
        </w:rPr>
      </w:pPr>
      <w:r w:rsidRPr="00F05B90">
        <w:rPr>
          <w:rFonts w:asciiTheme="majorBidi" w:eastAsia="Calibri" w:hAnsiTheme="majorBidi" w:cstheme="majorBidi"/>
          <w:b/>
          <w:bCs/>
          <w:iCs/>
          <w:sz w:val="28"/>
          <w:szCs w:val="28"/>
          <w:lang w:eastAsia="en-US"/>
        </w:rPr>
        <w:t>John Kalimilo</w:t>
      </w:r>
      <w:r w:rsidRPr="00F05B90">
        <w:rPr>
          <w:rFonts w:asciiTheme="majorBidi" w:eastAsia="Calibri" w:hAnsiTheme="majorBidi" w:cstheme="majorBidi"/>
          <w:b/>
          <w:bCs/>
          <w:iCs/>
          <w:sz w:val="28"/>
          <w:szCs w:val="28"/>
          <w:vertAlign w:val="superscript"/>
          <w:lang w:eastAsia="en-US"/>
        </w:rPr>
        <w:t xml:space="preserve"> </w:t>
      </w:r>
      <w:bookmarkStart w:id="1" w:name="_Hlk160522213"/>
      <w:r w:rsidRPr="00F05B90">
        <w:rPr>
          <w:rFonts w:asciiTheme="majorBidi" w:eastAsia="Calibri" w:hAnsiTheme="majorBidi" w:cstheme="majorBidi"/>
          <w:b/>
          <w:bCs/>
          <w:iCs/>
          <w:sz w:val="28"/>
          <w:szCs w:val="28"/>
          <w:lang w:eastAsia="en-US"/>
        </w:rPr>
        <w:t>Malagila</w:t>
      </w:r>
      <w:r w:rsidRPr="00F05B90">
        <w:rPr>
          <w:rFonts w:asciiTheme="majorBidi" w:eastAsia="Calibri" w:hAnsiTheme="majorBidi" w:cstheme="majorBidi"/>
          <w:b/>
          <w:bCs/>
          <w:iCs/>
          <w:sz w:val="28"/>
          <w:szCs w:val="28"/>
          <w:vertAlign w:val="superscript"/>
          <w:lang w:eastAsia="en-US"/>
        </w:rPr>
        <w:t xml:space="preserve"> </w:t>
      </w:r>
      <w:bookmarkEnd w:id="1"/>
      <w:r w:rsidRPr="00F05B90">
        <w:rPr>
          <w:rFonts w:asciiTheme="majorBidi" w:eastAsia="Calibri" w:hAnsiTheme="majorBidi" w:cstheme="majorBidi"/>
          <w:b/>
          <w:bCs/>
          <w:iCs/>
          <w:sz w:val="28"/>
          <w:szCs w:val="28"/>
          <w:vertAlign w:val="superscript"/>
          <w:lang w:eastAsia="en-US"/>
        </w:rPr>
        <w:t>c</w:t>
      </w:r>
    </w:p>
    <w:p w14:paraId="2CF81A71" w14:textId="77777777" w:rsidR="00800AA9" w:rsidRPr="00F05B90" w:rsidRDefault="00800AA9" w:rsidP="00800AA9">
      <w:pPr>
        <w:jc w:val="both"/>
        <w:rPr>
          <w:rFonts w:eastAsia="SimSun"/>
          <w:b/>
          <w:bCs/>
        </w:rPr>
      </w:pPr>
    </w:p>
    <w:p w14:paraId="451B3EDC" w14:textId="77777777" w:rsidR="00800AA9" w:rsidRPr="00F05B90" w:rsidRDefault="00800AA9" w:rsidP="00800AA9">
      <w:pPr>
        <w:jc w:val="both"/>
        <w:rPr>
          <w:rFonts w:eastAsia="SimSun"/>
          <w:b/>
          <w:bCs/>
        </w:rPr>
      </w:pPr>
    </w:p>
    <w:p w14:paraId="414767A5" w14:textId="77777777" w:rsidR="00800AA9" w:rsidRPr="00F05B90" w:rsidRDefault="00800AA9" w:rsidP="00800AA9">
      <w:pPr>
        <w:jc w:val="both"/>
        <w:rPr>
          <w:rFonts w:eastAsia="SimSun"/>
          <w:b/>
          <w:bCs/>
        </w:rPr>
      </w:pPr>
    </w:p>
    <w:p w14:paraId="6B600A18" w14:textId="77777777" w:rsidR="00800AA9" w:rsidRPr="00F05B90" w:rsidRDefault="00800AA9" w:rsidP="00800AA9">
      <w:pPr>
        <w:autoSpaceDE w:val="0"/>
        <w:autoSpaceDN w:val="0"/>
        <w:adjustRightInd w:val="0"/>
        <w:jc w:val="both"/>
        <w:rPr>
          <w:rFonts w:asciiTheme="majorBidi" w:hAnsiTheme="majorBidi" w:cstheme="majorBidi"/>
          <w:b/>
          <w:bCs/>
          <w:sz w:val="26"/>
          <w:szCs w:val="26"/>
          <w:vertAlign w:val="superscript"/>
        </w:rPr>
      </w:pPr>
      <w:r w:rsidRPr="00F05B90">
        <w:rPr>
          <w:rFonts w:asciiTheme="majorBidi" w:hAnsiTheme="majorBidi" w:cstheme="majorBidi"/>
          <w:b/>
          <w:bCs/>
          <w:sz w:val="26"/>
          <w:szCs w:val="26"/>
          <w:vertAlign w:val="superscript"/>
        </w:rPr>
        <w:t xml:space="preserve">a </w:t>
      </w:r>
      <w:r w:rsidRPr="00F05B90">
        <w:rPr>
          <w:rFonts w:asciiTheme="majorBidi" w:hAnsiTheme="majorBidi" w:cstheme="majorBidi"/>
        </w:rPr>
        <w:t xml:space="preserve">Najran University Business School, Najran University, Najran, Saudi Arabia. </w:t>
      </w:r>
    </w:p>
    <w:p w14:paraId="5E701CCC" w14:textId="77777777" w:rsidR="00800AA9" w:rsidRPr="00F05B90" w:rsidRDefault="00800AA9" w:rsidP="00800AA9">
      <w:pPr>
        <w:autoSpaceDE w:val="0"/>
        <w:autoSpaceDN w:val="0"/>
        <w:adjustRightInd w:val="0"/>
        <w:jc w:val="both"/>
        <w:rPr>
          <w:rFonts w:asciiTheme="majorBidi" w:hAnsiTheme="majorBidi" w:cstheme="majorBidi"/>
        </w:rPr>
      </w:pPr>
      <w:r w:rsidRPr="00F05B90">
        <w:rPr>
          <w:rFonts w:asciiTheme="majorBidi" w:hAnsiTheme="majorBidi" w:cstheme="majorBidi"/>
          <w:b/>
          <w:bCs/>
          <w:sz w:val="26"/>
          <w:szCs w:val="26"/>
          <w:vertAlign w:val="superscript"/>
        </w:rPr>
        <w:t>b</w:t>
      </w:r>
      <w:r w:rsidRPr="00F05B90">
        <w:rPr>
          <w:rFonts w:asciiTheme="majorBidi" w:hAnsiTheme="majorBidi" w:cstheme="majorBidi"/>
        </w:rPr>
        <w:t>Centre for Research in Accounting, Accountability and Governance (CRAAG), Department of Accounting, Southampton Business School, University of Southampton, Southampton, UK.</w:t>
      </w:r>
    </w:p>
    <w:p w14:paraId="3EF7A3FF" w14:textId="36F010F2" w:rsidR="00800AA9" w:rsidRPr="00F05B90" w:rsidRDefault="00800AA9" w:rsidP="00800AA9">
      <w:pPr>
        <w:autoSpaceDE w:val="0"/>
        <w:autoSpaceDN w:val="0"/>
        <w:adjustRightInd w:val="0"/>
        <w:jc w:val="both"/>
        <w:rPr>
          <w:rFonts w:asciiTheme="majorBidi" w:hAnsiTheme="majorBidi" w:cstheme="majorBidi"/>
          <w:vertAlign w:val="superscript"/>
        </w:rPr>
      </w:pPr>
      <w:r w:rsidRPr="00F05B90">
        <w:rPr>
          <w:rFonts w:asciiTheme="majorBidi" w:hAnsiTheme="majorBidi" w:cstheme="majorBidi"/>
          <w:b/>
          <w:bCs/>
          <w:sz w:val="26"/>
          <w:szCs w:val="26"/>
          <w:vertAlign w:val="superscript"/>
        </w:rPr>
        <w:t>c</w:t>
      </w:r>
      <w:r w:rsidRPr="00F05B90">
        <w:rPr>
          <w:rFonts w:asciiTheme="majorBidi" w:hAnsiTheme="majorBidi" w:cstheme="majorBidi"/>
        </w:rPr>
        <w:t xml:space="preserve"> Essex Accounting Centre (EAC), Centre for Environment and Society (CES), Centre for Accountability and Global Development (CAGD), Essex Business School, University of Essex, Colchester Campus, UK</w:t>
      </w:r>
    </w:p>
    <w:p w14:paraId="3D5B3A97" w14:textId="77777777" w:rsidR="00800AA9" w:rsidRPr="00F05B90" w:rsidRDefault="00800AA9" w:rsidP="00800AA9">
      <w:pPr>
        <w:jc w:val="both"/>
        <w:rPr>
          <w:rFonts w:eastAsia="SimSun"/>
          <w:b/>
          <w:bCs/>
        </w:rPr>
      </w:pPr>
    </w:p>
    <w:p w14:paraId="6FE37B3C" w14:textId="77777777" w:rsidR="00800AA9" w:rsidRPr="00F05B90" w:rsidRDefault="00800AA9" w:rsidP="00800AA9">
      <w:pPr>
        <w:jc w:val="both"/>
        <w:rPr>
          <w:rFonts w:eastAsia="SimSun"/>
          <w:b/>
          <w:bCs/>
        </w:rPr>
      </w:pPr>
    </w:p>
    <w:p w14:paraId="04FB9879" w14:textId="77777777" w:rsidR="00800AA9" w:rsidRPr="00F05B90" w:rsidRDefault="00800AA9" w:rsidP="00800AA9">
      <w:pPr>
        <w:jc w:val="both"/>
        <w:rPr>
          <w:rFonts w:eastAsia="SimSun"/>
          <w:b/>
          <w:bCs/>
        </w:rPr>
      </w:pPr>
    </w:p>
    <w:p w14:paraId="43150E2F" w14:textId="77777777" w:rsidR="00800AA9" w:rsidRPr="00F05B90" w:rsidRDefault="00800AA9" w:rsidP="00800AA9">
      <w:pPr>
        <w:jc w:val="both"/>
        <w:rPr>
          <w:rFonts w:eastAsia="SimSun"/>
          <w:b/>
          <w:bCs/>
        </w:rPr>
      </w:pPr>
    </w:p>
    <w:p w14:paraId="19CDEBB5" w14:textId="77777777" w:rsidR="00800AA9" w:rsidRPr="00F05B90" w:rsidRDefault="00800AA9" w:rsidP="00800AA9">
      <w:pPr>
        <w:jc w:val="both"/>
        <w:rPr>
          <w:rFonts w:eastAsia="SimSun"/>
          <w:b/>
          <w:bCs/>
        </w:rPr>
      </w:pPr>
    </w:p>
    <w:p w14:paraId="0BD82EF0" w14:textId="77777777" w:rsidR="00800AA9" w:rsidRPr="00F05B90" w:rsidRDefault="00800AA9" w:rsidP="00800AA9">
      <w:pPr>
        <w:jc w:val="both"/>
        <w:rPr>
          <w:rFonts w:eastAsia="SimSun"/>
          <w:b/>
          <w:bCs/>
        </w:rPr>
      </w:pPr>
    </w:p>
    <w:p w14:paraId="7F8D58CB" w14:textId="77777777" w:rsidR="00800AA9" w:rsidRPr="00F05B90" w:rsidRDefault="00800AA9" w:rsidP="00800AA9">
      <w:pPr>
        <w:jc w:val="both"/>
        <w:rPr>
          <w:rFonts w:eastAsia="SimSun"/>
          <w:b/>
          <w:bCs/>
        </w:rPr>
      </w:pPr>
    </w:p>
    <w:p w14:paraId="6C945902" w14:textId="77777777" w:rsidR="00800AA9" w:rsidRPr="00F05B90" w:rsidRDefault="00800AA9" w:rsidP="00800AA9">
      <w:pPr>
        <w:jc w:val="both"/>
        <w:rPr>
          <w:rFonts w:eastAsia="SimSun"/>
          <w:b/>
          <w:bCs/>
        </w:rPr>
      </w:pPr>
    </w:p>
    <w:p w14:paraId="122785E9" w14:textId="77777777" w:rsidR="00800AA9" w:rsidRPr="00F05B90" w:rsidRDefault="00800AA9" w:rsidP="00800AA9">
      <w:pPr>
        <w:jc w:val="both"/>
        <w:rPr>
          <w:rFonts w:eastAsia="SimSun"/>
          <w:b/>
          <w:bCs/>
        </w:rPr>
      </w:pPr>
    </w:p>
    <w:p w14:paraId="1148E994" w14:textId="77777777" w:rsidR="00800AA9" w:rsidRPr="00F05B90" w:rsidRDefault="00800AA9" w:rsidP="00800AA9">
      <w:pPr>
        <w:jc w:val="both"/>
        <w:rPr>
          <w:rFonts w:eastAsia="SimSun"/>
          <w:b/>
          <w:bCs/>
        </w:rPr>
      </w:pPr>
    </w:p>
    <w:p w14:paraId="35359381" w14:textId="77777777" w:rsidR="00800AA9" w:rsidRPr="00F05B90" w:rsidRDefault="00800AA9" w:rsidP="00800AA9">
      <w:pPr>
        <w:jc w:val="both"/>
        <w:rPr>
          <w:rFonts w:eastAsia="SimSun"/>
          <w:b/>
          <w:bCs/>
        </w:rPr>
      </w:pPr>
    </w:p>
    <w:p w14:paraId="6368934E" w14:textId="77777777" w:rsidR="00800AA9" w:rsidRPr="00F05B90" w:rsidRDefault="00800AA9" w:rsidP="00800AA9">
      <w:pPr>
        <w:jc w:val="both"/>
        <w:rPr>
          <w:rFonts w:eastAsia="SimSun"/>
          <w:b/>
          <w:bCs/>
        </w:rPr>
      </w:pPr>
    </w:p>
    <w:p w14:paraId="3DE7F034" w14:textId="77777777" w:rsidR="00800AA9" w:rsidRPr="00F05B90" w:rsidRDefault="00800AA9" w:rsidP="00800AA9">
      <w:pPr>
        <w:jc w:val="both"/>
      </w:pPr>
    </w:p>
    <w:p w14:paraId="05F6BEB4" w14:textId="77777777" w:rsidR="00800AA9" w:rsidRPr="00F05B90" w:rsidRDefault="00800AA9" w:rsidP="00800AA9">
      <w:pPr>
        <w:jc w:val="both"/>
      </w:pPr>
    </w:p>
    <w:p w14:paraId="65FEC1A0" w14:textId="77777777" w:rsidR="00800AA9" w:rsidRPr="00F05B90" w:rsidRDefault="00800AA9" w:rsidP="00800AA9">
      <w:r w:rsidRPr="00F05B90">
        <w:t>Conflict of Interest: The authors declare that they have no conflict of interest</w:t>
      </w:r>
    </w:p>
    <w:p w14:paraId="795706D7" w14:textId="77777777" w:rsidR="00800AA9" w:rsidRPr="00F05B90" w:rsidRDefault="00800AA9" w:rsidP="00800AA9"/>
    <w:p w14:paraId="1AAE5FA4" w14:textId="77777777" w:rsidR="00800AA9" w:rsidRPr="00F05B90" w:rsidRDefault="00800AA9" w:rsidP="00800AA9">
      <w:pPr>
        <w:rPr>
          <w:rStyle w:val="Hyperlink"/>
          <w:rFonts w:asciiTheme="majorBidi" w:eastAsiaTheme="majorEastAsia" w:hAnsiTheme="majorBidi"/>
          <w:color w:val="auto"/>
        </w:rPr>
      </w:pPr>
      <w:r w:rsidRPr="00F05B90">
        <w:rPr>
          <w:rFonts w:asciiTheme="majorBidi" w:hAnsiTheme="majorBidi" w:cstheme="majorBidi"/>
        </w:rPr>
        <w:t xml:space="preserve">* Abeer Saqer Alsalami is the corresponding author and can be contacted at </w:t>
      </w:r>
      <w:hyperlink r:id="rId11" w:history="1">
        <w:r w:rsidRPr="00F05B90">
          <w:rPr>
            <w:rStyle w:val="Hyperlink"/>
            <w:rFonts w:eastAsiaTheme="majorEastAsia"/>
            <w:color w:val="auto"/>
          </w:rPr>
          <w:t>asalsalami@nu.edu.sa</w:t>
        </w:r>
      </w:hyperlink>
      <w:r w:rsidRPr="00F05B90">
        <w:t xml:space="preserve"> </w:t>
      </w:r>
    </w:p>
    <w:p w14:paraId="31523961" w14:textId="44109C82" w:rsidR="00800AA9" w:rsidRPr="00F05B90" w:rsidRDefault="00800AA9" w:rsidP="00800AA9">
      <w:pPr>
        <w:pStyle w:val="Heading2"/>
        <w:numPr>
          <w:ilvl w:val="0"/>
          <w:numId w:val="0"/>
        </w:numPr>
        <w:spacing w:before="240" w:after="240"/>
        <w:rPr>
          <w:rFonts w:ascii="Times New Roman" w:eastAsiaTheme="minorHAnsi" w:hAnsi="Times New Roman" w:cs="Times New Roman"/>
          <w:color w:val="auto"/>
          <w:szCs w:val="24"/>
          <w:lang w:val="en-GB"/>
        </w:rPr>
      </w:pPr>
    </w:p>
    <w:p w14:paraId="4C510A6E" w14:textId="77777777" w:rsidR="00800AA9" w:rsidRPr="00F05B90" w:rsidRDefault="00800AA9" w:rsidP="00800AA9">
      <w:pPr>
        <w:rPr>
          <w:rFonts w:eastAsiaTheme="minorHAnsi"/>
          <w:lang w:val="en-GB"/>
        </w:rPr>
      </w:pPr>
    </w:p>
    <w:p w14:paraId="25C28A28" w14:textId="6A289111" w:rsidR="00F80955" w:rsidRPr="00F05B90" w:rsidRDefault="00F80955" w:rsidP="00800AA9">
      <w:pPr>
        <w:pStyle w:val="Heading2"/>
        <w:numPr>
          <w:ilvl w:val="0"/>
          <w:numId w:val="0"/>
        </w:numPr>
        <w:spacing w:before="240" w:after="240"/>
        <w:rPr>
          <w:rFonts w:ascii="Times New Roman" w:eastAsiaTheme="minorHAnsi" w:hAnsi="Times New Roman" w:cs="Times New Roman"/>
          <w:color w:val="auto"/>
          <w:szCs w:val="24"/>
          <w:lang w:val="en-GB"/>
        </w:rPr>
      </w:pPr>
      <w:r w:rsidRPr="00F05B90">
        <w:rPr>
          <w:rFonts w:ascii="Times New Roman" w:eastAsiaTheme="minorHAnsi" w:hAnsi="Times New Roman" w:cs="Times New Roman"/>
          <w:color w:val="auto"/>
          <w:szCs w:val="24"/>
          <w:lang w:val="en-GB"/>
        </w:rPr>
        <w:lastRenderedPageBreak/>
        <w:t>Abstract</w:t>
      </w:r>
      <w:bookmarkEnd w:id="0"/>
    </w:p>
    <w:p w14:paraId="18EFF502" w14:textId="57E81191" w:rsidR="00F81DFB" w:rsidRPr="00F05B90" w:rsidRDefault="003A74A6" w:rsidP="00F81DFB">
      <w:pPr>
        <w:spacing w:before="240" w:after="240" w:line="360" w:lineRule="auto"/>
        <w:jc w:val="both"/>
        <w:rPr>
          <w:lang w:val="en-GB"/>
        </w:rPr>
      </w:pPr>
      <w:r w:rsidRPr="00F05B90">
        <w:rPr>
          <w:b/>
          <w:bCs/>
          <w:lang w:val="en-GB"/>
        </w:rPr>
        <w:t>Purpose –</w:t>
      </w:r>
      <w:r w:rsidRPr="00F05B90">
        <w:rPr>
          <w:lang w:val="en-GB"/>
        </w:rPr>
        <w:t xml:space="preserve"> </w:t>
      </w:r>
      <w:r w:rsidR="0018348A" w:rsidRPr="00F05B90">
        <w:rPr>
          <w:lang w:val="en-GB"/>
        </w:rPr>
        <w:t xml:space="preserve">This </w:t>
      </w:r>
      <w:r w:rsidR="00892963" w:rsidRPr="00F05B90">
        <w:rPr>
          <w:lang w:val="en-GB"/>
        </w:rPr>
        <w:t>study</w:t>
      </w:r>
      <w:r w:rsidR="0018348A" w:rsidRPr="00F05B90">
        <w:rPr>
          <w:lang w:val="en-GB"/>
        </w:rPr>
        <w:t xml:space="preserve"> examines whether </w:t>
      </w:r>
      <w:r w:rsidR="00CD25E6" w:rsidRPr="00F05B90">
        <w:rPr>
          <w:lang w:val="en-GB"/>
        </w:rPr>
        <w:t xml:space="preserve">CEO’s </w:t>
      </w:r>
      <w:r w:rsidR="00C42A1A" w:rsidRPr="00F05B90">
        <w:rPr>
          <w:lang w:val="en-GB"/>
        </w:rPr>
        <w:t xml:space="preserve">industry tournament incentives </w:t>
      </w:r>
      <w:r w:rsidR="0018348A" w:rsidRPr="00F05B90">
        <w:rPr>
          <w:lang w:val="en-GB"/>
        </w:rPr>
        <w:t xml:space="preserve">are associated with auditors’ </w:t>
      </w:r>
      <w:r w:rsidR="00231DE5" w:rsidRPr="00F05B90">
        <w:rPr>
          <w:lang w:val="en-GB"/>
        </w:rPr>
        <w:t>professional</w:t>
      </w:r>
      <w:r w:rsidR="0018348A" w:rsidRPr="00F05B90">
        <w:rPr>
          <w:lang w:val="en-GB"/>
        </w:rPr>
        <w:t xml:space="preserve"> judgements</w:t>
      </w:r>
      <w:r w:rsidR="000B333E" w:rsidRPr="00F05B90">
        <w:rPr>
          <w:lang w:val="en-GB"/>
        </w:rPr>
        <w:t>, particularly</w:t>
      </w:r>
      <w:r w:rsidR="0018348A" w:rsidRPr="00F05B90">
        <w:rPr>
          <w:lang w:val="en-GB"/>
        </w:rPr>
        <w:t xml:space="preserve"> in determining key audit matters (KAM) and </w:t>
      </w:r>
      <w:r w:rsidRPr="00F05B90">
        <w:rPr>
          <w:lang w:val="en-GB"/>
        </w:rPr>
        <w:t xml:space="preserve">setting </w:t>
      </w:r>
      <w:r w:rsidR="0018348A" w:rsidRPr="00F05B90">
        <w:rPr>
          <w:lang w:val="en-GB"/>
        </w:rPr>
        <w:t>materiality level</w:t>
      </w:r>
      <w:r w:rsidR="00CD25E6" w:rsidRPr="00F05B90">
        <w:rPr>
          <w:lang w:val="en-GB"/>
        </w:rPr>
        <w:t>s</w:t>
      </w:r>
      <w:r w:rsidR="00DE62BE" w:rsidRPr="00F05B90">
        <w:rPr>
          <w:lang w:val="en-GB"/>
        </w:rPr>
        <w:t xml:space="preserve"> (MAT)</w:t>
      </w:r>
      <w:r w:rsidR="0018348A" w:rsidRPr="00F05B90">
        <w:rPr>
          <w:lang w:val="en-GB"/>
        </w:rPr>
        <w:t>.</w:t>
      </w:r>
    </w:p>
    <w:p w14:paraId="0B182E8A" w14:textId="001E2C17" w:rsidR="00B65FB7" w:rsidRPr="00F05B90" w:rsidRDefault="006E4565" w:rsidP="00466092">
      <w:pPr>
        <w:spacing w:before="240" w:after="240" w:line="360" w:lineRule="auto"/>
        <w:jc w:val="both"/>
        <w:rPr>
          <w:lang w:val="en-GB"/>
        </w:rPr>
      </w:pPr>
      <w:r w:rsidRPr="00F05B90">
        <w:rPr>
          <w:b/>
          <w:bCs/>
          <w:lang w:val="en-GB"/>
        </w:rPr>
        <w:t>Design/methodology/approach –</w:t>
      </w:r>
      <w:r w:rsidRPr="00F05B90">
        <w:rPr>
          <w:lang w:val="en-GB"/>
        </w:rPr>
        <w:t xml:space="preserve"> </w:t>
      </w:r>
      <w:r w:rsidR="008D0D34" w:rsidRPr="00F05B90">
        <w:rPr>
          <w:lang w:val="en-GB"/>
        </w:rPr>
        <w:t xml:space="preserve">We use a sample of UK firms and measure auditors’ </w:t>
      </w:r>
      <w:r w:rsidR="00466092" w:rsidRPr="00F05B90">
        <w:rPr>
          <w:lang w:val="en-GB"/>
        </w:rPr>
        <w:t>judgment</w:t>
      </w:r>
      <w:r w:rsidR="008D0D34" w:rsidRPr="00F05B90">
        <w:rPr>
          <w:lang w:val="en-GB"/>
        </w:rPr>
        <w:t xml:space="preserve"> through the number of </w:t>
      </w:r>
      <w:r w:rsidR="00466092" w:rsidRPr="00F05B90">
        <w:rPr>
          <w:lang w:val="en-GB"/>
        </w:rPr>
        <w:t xml:space="preserve">KAM </w:t>
      </w:r>
      <w:r w:rsidR="008D0D34" w:rsidRPr="00F05B90">
        <w:rPr>
          <w:lang w:val="en-GB"/>
        </w:rPr>
        <w:t xml:space="preserve">and the </w:t>
      </w:r>
      <w:r w:rsidR="00466092" w:rsidRPr="00F05B90">
        <w:rPr>
          <w:lang w:val="en-GB"/>
        </w:rPr>
        <w:t xml:space="preserve">MAT </w:t>
      </w:r>
      <w:r w:rsidR="008D0D34" w:rsidRPr="00F05B90">
        <w:rPr>
          <w:lang w:val="en-GB"/>
        </w:rPr>
        <w:t>level</w:t>
      </w:r>
      <w:r w:rsidR="00466092" w:rsidRPr="00F05B90">
        <w:rPr>
          <w:lang w:val="en-GB"/>
        </w:rPr>
        <w:t>s</w:t>
      </w:r>
      <w:r w:rsidR="008D0D34" w:rsidRPr="00F05B90">
        <w:rPr>
          <w:lang w:val="en-GB"/>
        </w:rPr>
        <w:t xml:space="preserve">, where a higher number of </w:t>
      </w:r>
      <w:r w:rsidR="00466092" w:rsidRPr="00F05B90">
        <w:rPr>
          <w:lang w:val="en-GB"/>
        </w:rPr>
        <w:t>KAM</w:t>
      </w:r>
      <w:r w:rsidR="008D0D34" w:rsidRPr="00F05B90">
        <w:rPr>
          <w:lang w:val="en-GB"/>
        </w:rPr>
        <w:t xml:space="preserve"> indicates a broader audit scope, and a lower </w:t>
      </w:r>
      <w:r w:rsidR="00466092" w:rsidRPr="00F05B90">
        <w:rPr>
          <w:lang w:val="en-GB"/>
        </w:rPr>
        <w:t>MAT</w:t>
      </w:r>
      <w:r w:rsidR="008D0D34" w:rsidRPr="00F05B90">
        <w:rPr>
          <w:lang w:val="en-GB"/>
        </w:rPr>
        <w:t xml:space="preserve"> level suggests a more detailed audit inspection. </w:t>
      </w:r>
      <w:r w:rsidRPr="00F05B90">
        <w:rPr>
          <w:lang w:val="en-GB"/>
        </w:rPr>
        <w:t xml:space="preserve"> </w:t>
      </w:r>
      <w:r w:rsidR="00B65FB7" w:rsidRPr="00F05B90">
        <w:rPr>
          <w:lang w:val="en-GB"/>
        </w:rPr>
        <w:t>The analysis also examines cases in which CEOs possess financial expertise and employs various alternative specifications and robustness checks to address potential endogeneity</w:t>
      </w:r>
      <w:r w:rsidR="00466092" w:rsidRPr="00F05B90">
        <w:rPr>
          <w:lang w:val="en-GB"/>
        </w:rPr>
        <w:t>.</w:t>
      </w:r>
      <w:r w:rsidR="00B65FB7" w:rsidRPr="00F05B90">
        <w:rPr>
          <w:lang w:val="en-GB"/>
        </w:rPr>
        <w:t xml:space="preserve"> </w:t>
      </w:r>
      <w:bookmarkStart w:id="2" w:name="_GoBack"/>
      <w:bookmarkEnd w:id="2"/>
    </w:p>
    <w:p w14:paraId="05628602" w14:textId="04E2C7D0" w:rsidR="00F81DFB" w:rsidRPr="00F05B90" w:rsidRDefault="00FA783A" w:rsidP="00B65FB7">
      <w:pPr>
        <w:spacing w:before="240" w:after="240" w:line="360" w:lineRule="auto"/>
        <w:jc w:val="both"/>
        <w:rPr>
          <w:lang w:val="en-GB"/>
        </w:rPr>
      </w:pPr>
      <w:r w:rsidRPr="00F05B90">
        <w:rPr>
          <w:b/>
          <w:bCs/>
          <w:lang w:val="en-GB"/>
        </w:rPr>
        <w:t>Findings –</w:t>
      </w:r>
      <w:r w:rsidRPr="00F05B90">
        <w:rPr>
          <w:lang w:val="en-GB"/>
        </w:rPr>
        <w:t xml:space="preserve"> F</w:t>
      </w:r>
      <w:r w:rsidR="0018348A" w:rsidRPr="00F05B90">
        <w:rPr>
          <w:lang w:val="en-GB"/>
        </w:rPr>
        <w:t xml:space="preserve">indings show that </w:t>
      </w:r>
      <w:r w:rsidRPr="00F05B90">
        <w:rPr>
          <w:lang w:val="en-GB"/>
        </w:rPr>
        <w:t xml:space="preserve">a larger industry </w:t>
      </w:r>
      <w:r w:rsidR="0018348A" w:rsidRPr="00F05B90">
        <w:rPr>
          <w:lang w:val="en-GB"/>
        </w:rPr>
        <w:t xml:space="preserve">tournament gap is </w:t>
      </w:r>
      <w:r w:rsidRPr="00F05B90">
        <w:rPr>
          <w:lang w:val="en-GB"/>
        </w:rPr>
        <w:t xml:space="preserve">associated with </w:t>
      </w:r>
      <w:r w:rsidR="00F81DFB" w:rsidRPr="00F05B90">
        <w:rPr>
          <w:lang w:val="en-GB"/>
        </w:rPr>
        <w:t xml:space="preserve">a decrease in KAM and an increase in MAT levels. </w:t>
      </w:r>
      <w:r w:rsidRPr="00F05B90">
        <w:rPr>
          <w:lang w:val="en-GB"/>
        </w:rPr>
        <w:t>However, this relationship is nuanced</w:t>
      </w:r>
      <w:r w:rsidR="0030507C" w:rsidRPr="00F05B90">
        <w:rPr>
          <w:lang w:val="en-GB"/>
        </w:rPr>
        <w:t>: w</w:t>
      </w:r>
      <w:r w:rsidRPr="00F05B90">
        <w:rPr>
          <w:lang w:val="en-GB"/>
        </w:rPr>
        <w:t>hen CEO</w:t>
      </w:r>
      <w:r w:rsidR="0030507C" w:rsidRPr="00F05B90">
        <w:rPr>
          <w:lang w:val="en-GB"/>
        </w:rPr>
        <w:t>s</w:t>
      </w:r>
      <w:r w:rsidRPr="00F05B90">
        <w:rPr>
          <w:lang w:val="en-GB"/>
        </w:rPr>
        <w:t xml:space="preserve"> have a financial background, </w:t>
      </w:r>
      <w:r w:rsidR="0018348A" w:rsidRPr="00F05B90">
        <w:rPr>
          <w:lang w:val="en-GB"/>
        </w:rPr>
        <w:t xml:space="preserve">auditors </w:t>
      </w:r>
      <w:r w:rsidRPr="00F05B90">
        <w:rPr>
          <w:lang w:val="en-GB"/>
        </w:rPr>
        <w:t xml:space="preserve">perceive the higher in-industry pay gap as </w:t>
      </w:r>
      <w:r w:rsidR="0030507C" w:rsidRPr="00F05B90">
        <w:rPr>
          <w:lang w:val="en-GB"/>
        </w:rPr>
        <w:t xml:space="preserve">increasing </w:t>
      </w:r>
      <w:r w:rsidRPr="00F05B90">
        <w:rPr>
          <w:lang w:val="en-GB"/>
        </w:rPr>
        <w:t>business and fraud risk</w:t>
      </w:r>
      <w:r w:rsidR="0030507C" w:rsidRPr="00F05B90">
        <w:rPr>
          <w:lang w:val="en-GB"/>
        </w:rPr>
        <w:t xml:space="preserve">s, prompting a deeper audit approach. Specifically, auditors </w:t>
      </w:r>
      <w:r w:rsidR="0018348A" w:rsidRPr="00F05B90">
        <w:rPr>
          <w:lang w:val="en-GB"/>
        </w:rPr>
        <w:t>lower materiality</w:t>
      </w:r>
      <w:r w:rsidR="0030507C" w:rsidRPr="00F05B90">
        <w:rPr>
          <w:lang w:val="en-GB"/>
        </w:rPr>
        <w:t xml:space="preserve"> threshold</w:t>
      </w:r>
      <w:r w:rsidR="00A97090" w:rsidRPr="00F05B90">
        <w:rPr>
          <w:lang w:val="en-GB"/>
        </w:rPr>
        <w:t xml:space="preserve"> and increase the depth of audit procedures</w:t>
      </w:r>
      <w:r w:rsidR="0030507C" w:rsidRPr="00F05B90">
        <w:rPr>
          <w:lang w:val="en-GB"/>
        </w:rPr>
        <w:t xml:space="preserve"> to address these perceived risks</w:t>
      </w:r>
      <w:r w:rsidR="0018348A" w:rsidRPr="00F05B90">
        <w:rPr>
          <w:lang w:val="en-GB"/>
        </w:rPr>
        <w:t xml:space="preserve">. </w:t>
      </w:r>
      <w:r w:rsidR="0030507C" w:rsidRPr="00F05B90">
        <w:rPr>
          <w:lang w:val="en-GB"/>
        </w:rPr>
        <w:t xml:space="preserve">These findings underscore the importance of compensation </w:t>
      </w:r>
      <w:r w:rsidR="000F0BDC" w:rsidRPr="00F05B90">
        <w:rPr>
          <w:lang w:val="en-GB"/>
        </w:rPr>
        <w:t xml:space="preserve">and financial expertise </w:t>
      </w:r>
      <w:r w:rsidR="0030507C" w:rsidRPr="00F05B90">
        <w:rPr>
          <w:lang w:val="en-GB"/>
        </w:rPr>
        <w:t>dynamics in shaping audit practices.</w:t>
      </w:r>
    </w:p>
    <w:p w14:paraId="512A6A68" w14:textId="7E5464C0" w:rsidR="003A74A6" w:rsidRPr="00F05B90" w:rsidRDefault="0030507C" w:rsidP="00613117">
      <w:pPr>
        <w:spacing w:before="240" w:after="240" w:line="360" w:lineRule="auto"/>
        <w:jc w:val="both"/>
        <w:rPr>
          <w:lang w:val="en-GB"/>
        </w:rPr>
      </w:pPr>
      <w:r w:rsidRPr="00F05B90">
        <w:rPr>
          <w:b/>
          <w:bCs/>
          <w:lang w:val="en-GB"/>
        </w:rPr>
        <w:t xml:space="preserve">Originality – </w:t>
      </w:r>
      <w:r w:rsidR="00613117" w:rsidRPr="00F05B90">
        <w:rPr>
          <w:lang w:val="en-GB"/>
        </w:rPr>
        <w:t>While prior research has primarily focused on audit fees, this study offers novel insights by shifting the focus to auditors’ professional judgments. Specifically, it is the first to examine how industry tournament incentives influence auditors’ judgment, thereby providing new evidence on new channels, namely, the number of Key Audit Matters and Materiality levels, through which auditors respond to CEO industry tournament pressures. These channels are arguably less prone to measurement bias than audit fee-based. Furthermore, the study extends the literature by demonstrating how auditors adjust their judgments in response to CEOs’ financial backgrounds, which may serve as a signal of heightened strategic reporting risk.</w:t>
      </w:r>
      <w:r w:rsidR="00D269D6" w:rsidRPr="00F05B90">
        <w:rPr>
          <w:lang w:val="en-GB"/>
        </w:rPr>
        <w:t xml:space="preserve"> </w:t>
      </w:r>
    </w:p>
    <w:p w14:paraId="430C40FD" w14:textId="470F262A" w:rsidR="0018348A" w:rsidRPr="00F05B90" w:rsidRDefault="0018348A" w:rsidP="00A712DE">
      <w:pPr>
        <w:spacing w:before="240" w:after="240" w:line="360" w:lineRule="auto"/>
        <w:rPr>
          <w:lang w:val="en-GB"/>
        </w:rPr>
      </w:pPr>
      <w:r w:rsidRPr="00F05B90">
        <w:rPr>
          <w:b/>
          <w:bCs/>
          <w:lang w:val="en-GB"/>
        </w:rPr>
        <w:t>Keywords:</w:t>
      </w:r>
      <w:r w:rsidRPr="00F05B90">
        <w:rPr>
          <w:lang w:val="en-GB"/>
        </w:rPr>
        <w:t xml:space="preserve"> ISA 700; ISA 701; tournament incentives; industry tournament; CEO; audit risk; auditors’ professional </w:t>
      </w:r>
      <w:r w:rsidR="00A712DE" w:rsidRPr="00F05B90">
        <w:rPr>
          <w:lang w:val="en-GB"/>
        </w:rPr>
        <w:t>judgment</w:t>
      </w:r>
      <w:r w:rsidRPr="00F05B90">
        <w:rPr>
          <w:lang w:val="en-GB"/>
        </w:rPr>
        <w:t xml:space="preserve">; </w:t>
      </w:r>
      <w:r w:rsidR="00CD25E6" w:rsidRPr="00F05B90">
        <w:rPr>
          <w:lang w:val="en-GB"/>
        </w:rPr>
        <w:t>m</w:t>
      </w:r>
      <w:r w:rsidRPr="00F05B90">
        <w:rPr>
          <w:lang w:val="en-GB"/>
        </w:rPr>
        <w:t>ateriality; KAM</w:t>
      </w:r>
    </w:p>
    <w:p w14:paraId="23F50D97" w14:textId="4D8F94F6" w:rsidR="009D0C1D" w:rsidRPr="00F05B90" w:rsidRDefault="00600BF6" w:rsidP="00F81DFB">
      <w:pPr>
        <w:spacing w:before="240" w:after="240" w:line="360" w:lineRule="auto"/>
        <w:rPr>
          <w:b/>
          <w:bCs/>
          <w:lang w:val="en-GB"/>
        </w:rPr>
      </w:pPr>
      <w:r w:rsidRPr="00F05B90">
        <w:rPr>
          <w:b/>
          <w:bCs/>
          <w:lang w:val="en-GB"/>
        </w:rPr>
        <w:t>Paper type:</w:t>
      </w:r>
      <w:r w:rsidRPr="00F05B90">
        <w:rPr>
          <w:lang w:val="en-GB"/>
        </w:rPr>
        <w:t xml:space="preserve"> Research paper</w:t>
      </w:r>
    </w:p>
    <w:p w14:paraId="7B807023" w14:textId="6DC8E1A8" w:rsidR="00F80955" w:rsidRPr="00F05B90" w:rsidRDefault="00F80955" w:rsidP="00ED600C">
      <w:pPr>
        <w:pStyle w:val="Heading1"/>
        <w:spacing w:after="240" w:line="288" w:lineRule="auto"/>
        <w:ind w:left="426" w:hanging="426"/>
        <w:contextualSpacing w:val="0"/>
        <w:rPr>
          <w:rFonts w:ascii="Times New Roman" w:hAnsi="Times New Roman" w:cs="Times New Roman"/>
          <w:color w:val="auto"/>
          <w:szCs w:val="24"/>
          <w:lang w:val="en-GB"/>
        </w:rPr>
      </w:pPr>
      <w:bookmarkStart w:id="3" w:name="_Toc123457904"/>
      <w:r w:rsidRPr="00F05B90">
        <w:rPr>
          <w:rFonts w:ascii="Times New Roman" w:hAnsi="Times New Roman" w:cs="Times New Roman"/>
          <w:color w:val="auto"/>
          <w:szCs w:val="24"/>
          <w:lang w:val="en-GB"/>
        </w:rPr>
        <w:lastRenderedPageBreak/>
        <w:t>Introduction</w:t>
      </w:r>
      <w:bookmarkEnd w:id="3"/>
    </w:p>
    <w:p w14:paraId="65D5A065" w14:textId="56A8610B" w:rsidR="00606756" w:rsidRPr="00F05B90" w:rsidRDefault="00F80955" w:rsidP="00B30BCC">
      <w:pPr>
        <w:spacing w:before="240" w:after="240" w:line="360" w:lineRule="auto"/>
        <w:jc w:val="both"/>
        <w:rPr>
          <w:lang w:val="en-GB"/>
        </w:rPr>
      </w:pPr>
      <w:r w:rsidRPr="00F05B90">
        <w:rPr>
          <w:lang w:val="en-GB"/>
        </w:rPr>
        <w:t>In this study, we investigate whether CEOs’ industry tournament incentives influence auditors</w:t>
      </w:r>
      <w:r w:rsidR="00C63299" w:rsidRPr="00F05B90">
        <w:rPr>
          <w:lang w:val="en-GB"/>
        </w:rPr>
        <w:t>’</w:t>
      </w:r>
      <w:r w:rsidRPr="00F05B90">
        <w:rPr>
          <w:lang w:val="en-GB"/>
        </w:rPr>
        <w:t xml:space="preserve"> professional </w:t>
      </w:r>
      <w:r w:rsidR="000652C9" w:rsidRPr="00F05B90">
        <w:rPr>
          <w:lang w:val="en-GB"/>
        </w:rPr>
        <w:t>judgment</w:t>
      </w:r>
      <w:r w:rsidR="000C267A" w:rsidRPr="00F05B90">
        <w:rPr>
          <w:rStyle w:val="FootnoteReference"/>
          <w:lang w:val="en-GB"/>
        </w:rPr>
        <w:footnoteReference w:id="1"/>
      </w:r>
      <w:r w:rsidRPr="00F05B90">
        <w:rPr>
          <w:lang w:val="en-GB"/>
        </w:rPr>
        <w:t>. The influence of executive compensation on auditors</w:t>
      </w:r>
      <w:r w:rsidR="00C63299" w:rsidRPr="00F05B90">
        <w:rPr>
          <w:lang w:val="en-GB"/>
        </w:rPr>
        <w:t>’</w:t>
      </w:r>
      <w:r w:rsidRPr="00F05B90">
        <w:rPr>
          <w:lang w:val="en-GB"/>
        </w:rPr>
        <w:t xml:space="preserve"> </w:t>
      </w:r>
      <w:r w:rsidR="00967D64" w:rsidRPr="00F05B90">
        <w:rPr>
          <w:lang w:val="en-GB"/>
        </w:rPr>
        <w:t>decision</w:t>
      </w:r>
      <w:r w:rsidR="00C63299" w:rsidRPr="00F05B90">
        <w:rPr>
          <w:lang w:val="en-GB"/>
        </w:rPr>
        <w:t>-making</w:t>
      </w:r>
      <w:r w:rsidR="00967D64" w:rsidRPr="00F05B90">
        <w:rPr>
          <w:lang w:val="en-GB"/>
        </w:rPr>
        <w:t xml:space="preserve"> </w:t>
      </w:r>
      <w:r w:rsidRPr="00F05B90">
        <w:rPr>
          <w:lang w:val="en-GB"/>
        </w:rPr>
        <w:t>has be</w:t>
      </w:r>
      <w:r w:rsidR="00CB1B20" w:rsidRPr="00F05B90">
        <w:rPr>
          <w:lang w:val="en-GB"/>
        </w:rPr>
        <w:t>en a subject of</w:t>
      </w:r>
      <w:r w:rsidRPr="00F05B90">
        <w:rPr>
          <w:lang w:val="en-GB"/>
        </w:rPr>
        <w:t xml:space="preserve"> controvers</w:t>
      </w:r>
      <w:r w:rsidR="00CB1B20" w:rsidRPr="00F05B90">
        <w:rPr>
          <w:lang w:val="en-GB"/>
        </w:rPr>
        <w:t>y</w:t>
      </w:r>
      <w:r w:rsidRPr="00F05B90">
        <w:rPr>
          <w:lang w:val="en-GB"/>
        </w:rPr>
        <w:t xml:space="preserve"> among regulators and scholars (Wysocki, 2010). </w:t>
      </w:r>
      <w:r w:rsidR="00CA5C9E" w:rsidRPr="00F05B90">
        <w:rPr>
          <w:lang w:val="en-GB"/>
        </w:rPr>
        <w:t>The Public Company Accounting Oversight Board (PCAOB, 2012) emphasized th</w:t>
      </w:r>
      <w:r w:rsidR="00CB1B20" w:rsidRPr="00F05B90">
        <w:rPr>
          <w:lang w:val="en-GB"/>
        </w:rPr>
        <w:t>e importance of</w:t>
      </w:r>
      <w:r w:rsidR="00CA5C9E" w:rsidRPr="00F05B90">
        <w:rPr>
          <w:lang w:val="en-GB"/>
        </w:rPr>
        <w:t xml:space="preserve"> understanding executive compensation structures for assessing audit risk. While prior studies </w:t>
      </w:r>
      <w:r w:rsidR="00CB1B20" w:rsidRPr="00F05B90">
        <w:rPr>
          <w:lang w:val="en-GB"/>
        </w:rPr>
        <w:t xml:space="preserve">have </w:t>
      </w:r>
      <w:r w:rsidR="00CA5C9E" w:rsidRPr="00F05B90">
        <w:rPr>
          <w:lang w:val="en-GB"/>
        </w:rPr>
        <w:t>explored the influence of performance-based compensation on audit quality, the</w:t>
      </w:r>
      <w:r w:rsidR="00CB1B20" w:rsidRPr="00F05B90">
        <w:rPr>
          <w:lang w:val="en-GB"/>
        </w:rPr>
        <w:t>ir</w:t>
      </w:r>
      <w:r w:rsidR="00CA5C9E" w:rsidRPr="00F05B90">
        <w:rPr>
          <w:lang w:val="en-GB"/>
        </w:rPr>
        <w:t xml:space="preserve"> conclusions remain inconsistent (Billings et al., 2014; Kim et al., 2014; Kannan et al., 2014). </w:t>
      </w:r>
      <w:r w:rsidR="00CB1B20" w:rsidRPr="00F05B90">
        <w:rPr>
          <w:lang w:val="en-GB"/>
        </w:rPr>
        <w:t>However, m</w:t>
      </w:r>
      <w:r w:rsidR="00F86E3B" w:rsidRPr="00F05B90">
        <w:rPr>
          <w:lang w:val="en-GB"/>
        </w:rPr>
        <w:t xml:space="preserve">ost studies focus on performance-based compensation and its association with financial reporting irregularities, often </w:t>
      </w:r>
      <w:r w:rsidR="00CB1B20" w:rsidRPr="00F05B90">
        <w:rPr>
          <w:lang w:val="en-GB"/>
        </w:rPr>
        <w:t>overlooking</w:t>
      </w:r>
      <w:r w:rsidR="00F86E3B" w:rsidRPr="00F05B90">
        <w:rPr>
          <w:lang w:val="en-GB"/>
        </w:rPr>
        <w:t xml:space="preserve"> the competitive dynamics among executives that may incentivize misreporting</w:t>
      </w:r>
      <w:r w:rsidR="00CB1B20" w:rsidRPr="00F05B90">
        <w:rPr>
          <w:lang w:val="en-GB"/>
        </w:rPr>
        <w:t>.</w:t>
      </w:r>
    </w:p>
    <w:p w14:paraId="11AE8169" w14:textId="39C6A6B2" w:rsidR="004541FA" w:rsidRPr="00F05B90" w:rsidRDefault="00606756" w:rsidP="000C267A">
      <w:pPr>
        <w:spacing w:before="240" w:after="240" w:line="360" w:lineRule="auto"/>
        <w:jc w:val="both"/>
        <w:rPr>
          <w:lang w:val="en-GB"/>
        </w:rPr>
      </w:pPr>
      <w:r w:rsidRPr="00F05B90">
        <w:rPr>
          <w:lang w:val="en-GB"/>
        </w:rPr>
        <w:t>A</w:t>
      </w:r>
      <w:r w:rsidR="00F80955" w:rsidRPr="00F05B90">
        <w:rPr>
          <w:lang w:val="en-GB"/>
        </w:rPr>
        <w:t xml:space="preserve"> new stream</w:t>
      </w:r>
      <w:r w:rsidR="00320854" w:rsidRPr="00F05B90">
        <w:rPr>
          <w:lang w:val="en-GB"/>
        </w:rPr>
        <w:t xml:space="preserve"> </w:t>
      </w:r>
      <w:r w:rsidR="00F80955" w:rsidRPr="00F05B90">
        <w:rPr>
          <w:lang w:val="en-GB"/>
        </w:rPr>
        <w:t>of research</w:t>
      </w:r>
      <w:r w:rsidR="00C2199F" w:rsidRPr="00F05B90">
        <w:rPr>
          <w:lang w:val="en-GB"/>
        </w:rPr>
        <w:t xml:space="preserve"> </w:t>
      </w:r>
      <w:r w:rsidR="00C44E7C" w:rsidRPr="00F05B90">
        <w:rPr>
          <w:lang w:val="en-GB"/>
        </w:rPr>
        <w:t xml:space="preserve">has shifted </w:t>
      </w:r>
      <w:r w:rsidR="00320854" w:rsidRPr="00F05B90">
        <w:rPr>
          <w:lang w:val="en-GB"/>
        </w:rPr>
        <w:t xml:space="preserve">the </w:t>
      </w:r>
      <w:r w:rsidR="00C2199F" w:rsidRPr="00F05B90">
        <w:rPr>
          <w:lang w:val="en-GB"/>
        </w:rPr>
        <w:t xml:space="preserve">focus </w:t>
      </w:r>
      <w:r w:rsidR="00C44E7C" w:rsidRPr="00F05B90">
        <w:rPr>
          <w:lang w:val="en-GB"/>
        </w:rPr>
        <w:t>t</w:t>
      </w:r>
      <w:r w:rsidR="00C2199F" w:rsidRPr="00F05B90">
        <w:rPr>
          <w:lang w:val="en-GB"/>
        </w:rPr>
        <w:t xml:space="preserve">o tournament </w:t>
      </w:r>
      <w:r w:rsidR="000C267A" w:rsidRPr="00F05B90">
        <w:rPr>
          <w:lang w:val="en-GB"/>
        </w:rPr>
        <w:t>incentives, which</w:t>
      </w:r>
      <w:r w:rsidR="00C63299" w:rsidRPr="00F05B90">
        <w:rPr>
          <w:lang w:val="en-GB"/>
        </w:rPr>
        <w:t xml:space="preserve"> </w:t>
      </w:r>
      <w:r w:rsidR="00C2199F" w:rsidRPr="00F05B90">
        <w:rPr>
          <w:lang w:val="en-GB"/>
        </w:rPr>
        <w:t>might align CEOs</w:t>
      </w:r>
      <w:r w:rsidR="00C44E7C" w:rsidRPr="00F05B90">
        <w:rPr>
          <w:lang w:val="en-GB"/>
        </w:rPr>
        <w:t>’</w:t>
      </w:r>
      <w:r w:rsidR="00C2199F" w:rsidRPr="00F05B90">
        <w:rPr>
          <w:lang w:val="en-GB"/>
        </w:rPr>
        <w:t xml:space="preserve"> interests with th</w:t>
      </w:r>
      <w:r w:rsidR="00C63299" w:rsidRPr="00F05B90">
        <w:rPr>
          <w:lang w:val="en-GB"/>
        </w:rPr>
        <w:t>o</w:t>
      </w:r>
      <w:r w:rsidR="00C2199F" w:rsidRPr="00F05B90">
        <w:rPr>
          <w:lang w:val="en-GB"/>
        </w:rPr>
        <w:t xml:space="preserve">se of shareholders </w:t>
      </w:r>
      <w:r w:rsidR="00FF0378" w:rsidRPr="00F05B90">
        <w:rPr>
          <w:lang w:val="en-GB"/>
        </w:rPr>
        <w:t xml:space="preserve">(Huang et al., 2019) </w:t>
      </w:r>
      <w:r w:rsidR="00C2199F" w:rsidRPr="00F05B90">
        <w:rPr>
          <w:lang w:val="en-GB"/>
        </w:rPr>
        <w:t xml:space="preserve">and </w:t>
      </w:r>
      <w:r w:rsidR="00C44E7C" w:rsidRPr="00F05B90">
        <w:rPr>
          <w:lang w:val="en-GB"/>
        </w:rPr>
        <w:t xml:space="preserve">potentially </w:t>
      </w:r>
      <w:r w:rsidR="00C2199F" w:rsidRPr="00F05B90">
        <w:rPr>
          <w:lang w:val="en-GB"/>
        </w:rPr>
        <w:t xml:space="preserve">reduce the </w:t>
      </w:r>
      <w:r w:rsidR="00C44E7C" w:rsidRPr="00F05B90">
        <w:rPr>
          <w:lang w:val="en-GB"/>
        </w:rPr>
        <w:t xml:space="preserve">likelihood </w:t>
      </w:r>
      <w:r w:rsidR="00C2199F" w:rsidRPr="00F05B90">
        <w:rPr>
          <w:lang w:val="en-GB"/>
        </w:rPr>
        <w:t xml:space="preserve">of </w:t>
      </w:r>
      <w:r w:rsidR="00320854" w:rsidRPr="00F05B90">
        <w:rPr>
          <w:lang w:val="en-GB"/>
        </w:rPr>
        <w:t>financial misstatements</w:t>
      </w:r>
      <w:r w:rsidR="00C2199F" w:rsidRPr="00F05B90">
        <w:rPr>
          <w:lang w:val="en-GB"/>
        </w:rPr>
        <w:t>.</w:t>
      </w:r>
      <w:r w:rsidR="001C00C7" w:rsidRPr="00F05B90">
        <w:rPr>
          <w:lang w:val="en-GB"/>
        </w:rPr>
        <w:t xml:space="preserve"> </w:t>
      </w:r>
      <w:r w:rsidR="00FF0378" w:rsidRPr="00F05B90">
        <w:rPr>
          <w:lang w:val="en-GB"/>
        </w:rPr>
        <w:t xml:space="preserve">For instance, </w:t>
      </w:r>
      <w:r w:rsidRPr="00F05B90">
        <w:rPr>
          <w:lang w:val="en-GB"/>
        </w:rPr>
        <w:t xml:space="preserve">some studies show that tournament incentives </w:t>
      </w:r>
      <w:r w:rsidR="00AA4714" w:rsidRPr="00F05B90">
        <w:t xml:space="preserve">can encourage </w:t>
      </w:r>
      <w:r w:rsidRPr="00F05B90">
        <w:rPr>
          <w:lang w:val="en-GB"/>
        </w:rPr>
        <w:t xml:space="preserve">CEOs </w:t>
      </w:r>
      <w:r w:rsidR="00AA4714" w:rsidRPr="00F05B90">
        <w:rPr>
          <w:lang w:val="en-GB"/>
        </w:rPr>
        <w:t xml:space="preserve">to adopt value-enhancing policies </w:t>
      </w:r>
      <w:r w:rsidRPr="00F05B90">
        <w:rPr>
          <w:lang w:val="en-GB"/>
        </w:rPr>
        <w:t xml:space="preserve">(Coles et al., 2018; Huang et al., 2019; Kubick &amp; Lockhart, 2016). </w:t>
      </w:r>
      <w:r w:rsidR="00227CEF" w:rsidRPr="00F05B90">
        <w:rPr>
          <w:lang w:val="en-GB"/>
        </w:rPr>
        <w:t>Conversely</w:t>
      </w:r>
      <w:r w:rsidRPr="00F05B90">
        <w:rPr>
          <w:lang w:val="en-GB"/>
        </w:rPr>
        <w:t xml:space="preserve">, </w:t>
      </w:r>
      <w:r w:rsidR="00227CEF" w:rsidRPr="00F05B90">
        <w:rPr>
          <w:lang w:val="en-GB"/>
        </w:rPr>
        <w:t xml:space="preserve">other studies argue </w:t>
      </w:r>
      <w:r w:rsidRPr="00F05B90">
        <w:rPr>
          <w:lang w:val="en-GB"/>
        </w:rPr>
        <w:t xml:space="preserve">that </w:t>
      </w:r>
      <w:r w:rsidR="00227CEF" w:rsidRPr="00F05B90">
        <w:rPr>
          <w:lang w:val="en-GB"/>
        </w:rPr>
        <w:t xml:space="preserve">such incentives </w:t>
      </w:r>
      <w:r w:rsidRPr="00F05B90">
        <w:rPr>
          <w:lang w:val="en-GB"/>
        </w:rPr>
        <w:t>m</w:t>
      </w:r>
      <w:r w:rsidR="00227CEF" w:rsidRPr="00F05B90">
        <w:rPr>
          <w:lang w:val="en-GB"/>
        </w:rPr>
        <w:t>ight</w:t>
      </w:r>
      <w:r w:rsidRPr="00F05B90">
        <w:rPr>
          <w:lang w:val="en-GB"/>
        </w:rPr>
        <w:t xml:space="preserve"> trigger self-interest, increas</w:t>
      </w:r>
      <w:r w:rsidR="00227CEF" w:rsidRPr="00F05B90">
        <w:rPr>
          <w:lang w:val="en-GB"/>
        </w:rPr>
        <w:t>e</w:t>
      </w:r>
      <w:r w:rsidRPr="00F05B90">
        <w:rPr>
          <w:lang w:val="en-GB"/>
        </w:rPr>
        <w:t xml:space="preserve"> risk-taking behaviors (Abdoh, 202</w:t>
      </w:r>
      <w:r w:rsidR="00AB1150" w:rsidRPr="00F05B90">
        <w:rPr>
          <w:rFonts w:hint="cs"/>
          <w:rtl/>
          <w:lang w:val="en-GB"/>
        </w:rPr>
        <w:t>3</w:t>
      </w:r>
      <w:r w:rsidRPr="00F05B90">
        <w:rPr>
          <w:lang w:val="en-GB"/>
        </w:rPr>
        <w:t xml:space="preserve">; Kubick &amp; Lockhart, 2021) and heighten the motivation to manipulate earnings (Huang et al., 2020). </w:t>
      </w:r>
      <w:r w:rsidR="00227CEF" w:rsidRPr="00F05B90">
        <w:rPr>
          <w:lang w:val="en-GB"/>
        </w:rPr>
        <w:t>Despite these opposing views</w:t>
      </w:r>
      <w:r w:rsidR="005C5E85" w:rsidRPr="00F05B90">
        <w:rPr>
          <w:lang w:val="en-GB"/>
        </w:rPr>
        <w:t>, how auditor</w:t>
      </w:r>
      <w:r w:rsidR="009A0F3A" w:rsidRPr="00F05B90">
        <w:rPr>
          <w:lang w:val="en-GB"/>
        </w:rPr>
        <w:t>s</w:t>
      </w:r>
      <w:r w:rsidR="005C5E85" w:rsidRPr="00F05B90">
        <w:rPr>
          <w:lang w:val="en-GB"/>
        </w:rPr>
        <w:t xml:space="preserve"> respond to </w:t>
      </w:r>
      <w:r w:rsidR="009A0F3A" w:rsidRPr="00F05B90">
        <w:rPr>
          <w:lang w:val="en-GB"/>
        </w:rPr>
        <w:t>the risk</w:t>
      </w:r>
      <w:r w:rsidR="00227CEF" w:rsidRPr="00F05B90">
        <w:rPr>
          <w:lang w:val="en-GB"/>
        </w:rPr>
        <w:t>s</w:t>
      </w:r>
      <w:r w:rsidR="009A0F3A" w:rsidRPr="00F05B90">
        <w:rPr>
          <w:lang w:val="en-GB"/>
        </w:rPr>
        <w:t xml:space="preserve"> </w:t>
      </w:r>
      <w:r w:rsidR="000652AF" w:rsidRPr="00F05B90">
        <w:rPr>
          <w:lang w:val="en-GB"/>
        </w:rPr>
        <w:t>driven by tournament</w:t>
      </w:r>
      <w:r w:rsidRPr="00F05B90">
        <w:rPr>
          <w:lang w:val="en-GB"/>
        </w:rPr>
        <w:t xml:space="preserve"> incentives</w:t>
      </w:r>
      <w:r w:rsidR="00EC5377" w:rsidRPr="00F05B90">
        <w:rPr>
          <w:lang w:val="en-GB"/>
        </w:rPr>
        <w:t xml:space="preserve"> </w:t>
      </w:r>
      <w:r w:rsidR="009A0F3A" w:rsidRPr="00F05B90">
        <w:rPr>
          <w:lang w:val="en-GB"/>
        </w:rPr>
        <w:t>remains</w:t>
      </w:r>
      <w:r w:rsidR="000F6CBF" w:rsidRPr="00F05B90">
        <w:rPr>
          <w:lang w:val="en-GB"/>
        </w:rPr>
        <w:t xml:space="preserve"> an open research question. </w:t>
      </w:r>
      <w:r w:rsidR="005027F8" w:rsidRPr="00F05B90">
        <w:rPr>
          <w:lang w:val="en-GB"/>
        </w:rPr>
        <w:t>Notably</w:t>
      </w:r>
      <w:r w:rsidR="000F6CBF" w:rsidRPr="00F05B90">
        <w:rPr>
          <w:lang w:val="en-GB"/>
        </w:rPr>
        <w:t xml:space="preserve">, only </w:t>
      </w:r>
      <w:r w:rsidR="005027F8" w:rsidRPr="00F05B90">
        <w:rPr>
          <w:lang w:val="en-GB"/>
        </w:rPr>
        <w:t xml:space="preserve">a few </w:t>
      </w:r>
      <w:r w:rsidR="00250E14" w:rsidRPr="00F05B90">
        <w:rPr>
          <w:lang w:val="en-GB"/>
        </w:rPr>
        <w:t>studies</w:t>
      </w:r>
      <w:r w:rsidR="000F6CBF" w:rsidRPr="00F05B90">
        <w:rPr>
          <w:lang w:val="en-GB"/>
        </w:rPr>
        <w:t xml:space="preserve"> </w:t>
      </w:r>
      <w:r w:rsidR="005027F8" w:rsidRPr="00F05B90">
        <w:rPr>
          <w:lang w:val="en-GB"/>
        </w:rPr>
        <w:t xml:space="preserve">(e.g., Jia, 2017; Ge et al., 2020; Tan, 2021) </w:t>
      </w:r>
      <w:r w:rsidR="00250E14" w:rsidRPr="00F05B90">
        <w:rPr>
          <w:lang w:val="en-GB"/>
        </w:rPr>
        <w:t>have</w:t>
      </w:r>
      <w:r w:rsidR="009A0F3A" w:rsidRPr="00F05B90">
        <w:rPr>
          <w:lang w:val="en-GB"/>
        </w:rPr>
        <w:t xml:space="preserve"> </w:t>
      </w:r>
      <w:r w:rsidR="005027F8" w:rsidRPr="00F05B90">
        <w:rPr>
          <w:lang w:val="en-GB"/>
        </w:rPr>
        <w:t xml:space="preserve">examined this issue, </w:t>
      </w:r>
      <w:r w:rsidR="00250E14" w:rsidRPr="00F05B90">
        <w:rPr>
          <w:lang w:val="en-GB"/>
        </w:rPr>
        <w:t>and the</w:t>
      </w:r>
      <w:r w:rsidR="005027F8" w:rsidRPr="00F05B90">
        <w:rPr>
          <w:lang w:val="en-GB"/>
        </w:rPr>
        <w:t xml:space="preserve">ir conclusions are </w:t>
      </w:r>
      <w:r w:rsidR="00250E14" w:rsidRPr="00F05B90">
        <w:rPr>
          <w:lang w:val="en-GB"/>
        </w:rPr>
        <w:t>inconsistent.</w:t>
      </w:r>
    </w:p>
    <w:p w14:paraId="55EF4551" w14:textId="66952866" w:rsidR="001A01BE" w:rsidRPr="00F05B90" w:rsidRDefault="00044A27" w:rsidP="0090455C">
      <w:pPr>
        <w:spacing w:before="240" w:after="240" w:line="360" w:lineRule="auto"/>
        <w:jc w:val="both"/>
      </w:pPr>
      <w:r w:rsidRPr="00F05B90">
        <w:rPr>
          <w:lang w:val="en-GB"/>
        </w:rPr>
        <w:t>T</w:t>
      </w:r>
      <w:r w:rsidR="00250E14" w:rsidRPr="00F05B90">
        <w:rPr>
          <w:lang w:val="en-GB"/>
        </w:rPr>
        <w:t>h</w:t>
      </w:r>
      <w:r w:rsidRPr="00F05B90">
        <w:rPr>
          <w:lang w:val="en-GB"/>
        </w:rPr>
        <w:t>e</w:t>
      </w:r>
      <w:r w:rsidR="00250E14" w:rsidRPr="00F05B90">
        <w:rPr>
          <w:lang w:val="en-GB"/>
        </w:rPr>
        <w:t xml:space="preserve"> </w:t>
      </w:r>
      <w:r w:rsidR="00384DBF" w:rsidRPr="00F05B90">
        <w:rPr>
          <w:lang w:val="en-GB"/>
        </w:rPr>
        <w:t xml:space="preserve">inconsistent </w:t>
      </w:r>
      <w:r w:rsidR="00250E14" w:rsidRPr="00F05B90">
        <w:rPr>
          <w:lang w:val="en-GB"/>
        </w:rPr>
        <w:t>conclusion</w:t>
      </w:r>
      <w:r w:rsidRPr="00F05B90">
        <w:rPr>
          <w:lang w:val="en-GB"/>
        </w:rPr>
        <w:t>s</w:t>
      </w:r>
      <w:r w:rsidR="00250E14" w:rsidRPr="00F05B90">
        <w:rPr>
          <w:lang w:val="en-GB"/>
        </w:rPr>
        <w:t xml:space="preserve"> </w:t>
      </w:r>
      <w:r w:rsidRPr="00F05B90">
        <w:rPr>
          <w:lang w:val="en-GB"/>
        </w:rPr>
        <w:t xml:space="preserve">may partly be due to the </w:t>
      </w:r>
      <w:r w:rsidR="00557A8C" w:rsidRPr="00F05B90">
        <w:rPr>
          <w:lang w:val="en-GB"/>
        </w:rPr>
        <w:t>u</w:t>
      </w:r>
      <w:r w:rsidRPr="00F05B90">
        <w:rPr>
          <w:lang w:val="en-GB"/>
        </w:rPr>
        <w:t>se of</w:t>
      </w:r>
      <w:r w:rsidR="00557A8C" w:rsidRPr="00F05B90">
        <w:rPr>
          <w:lang w:val="en-GB"/>
        </w:rPr>
        <w:t xml:space="preserve"> audit fees as a proxy for audit quality and effort. </w:t>
      </w:r>
      <w:r w:rsidRPr="00F05B90">
        <w:rPr>
          <w:lang w:val="en-GB"/>
        </w:rPr>
        <w:t>W</w:t>
      </w:r>
      <w:r w:rsidR="00557A8C" w:rsidRPr="00F05B90">
        <w:rPr>
          <w:lang w:val="en-GB"/>
        </w:rPr>
        <w:t>hile audit fee</w:t>
      </w:r>
      <w:r w:rsidR="002C7BD2" w:rsidRPr="00F05B90">
        <w:rPr>
          <w:lang w:val="en-GB"/>
        </w:rPr>
        <w:t>s</w:t>
      </w:r>
      <w:r w:rsidR="00557A8C" w:rsidRPr="00F05B90">
        <w:rPr>
          <w:lang w:val="en-GB"/>
        </w:rPr>
        <w:t xml:space="preserve"> </w:t>
      </w:r>
      <w:r w:rsidR="00B87219" w:rsidRPr="00F05B90">
        <w:rPr>
          <w:lang w:val="en-GB"/>
        </w:rPr>
        <w:t>may</w:t>
      </w:r>
      <w:r w:rsidR="002C7BD2" w:rsidRPr="00F05B90">
        <w:rPr>
          <w:lang w:val="en-GB"/>
        </w:rPr>
        <w:t xml:space="preserve"> </w:t>
      </w:r>
      <w:r w:rsidR="00557A8C" w:rsidRPr="00F05B90">
        <w:rPr>
          <w:lang w:val="en-GB"/>
        </w:rPr>
        <w:t xml:space="preserve">theoretically </w:t>
      </w:r>
      <w:r w:rsidRPr="00F05B90">
        <w:rPr>
          <w:lang w:val="en-GB"/>
        </w:rPr>
        <w:t xml:space="preserve">reflect </w:t>
      </w:r>
      <w:r w:rsidR="00606756" w:rsidRPr="00F05B90">
        <w:rPr>
          <w:lang w:val="en-GB"/>
        </w:rPr>
        <w:t>audit quality</w:t>
      </w:r>
      <w:r w:rsidR="00B30BCC" w:rsidRPr="00F05B90">
        <w:rPr>
          <w:lang w:val="en-GB"/>
        </w:rPr>
        <w:t xml:space="preserve"> and effort</w:t>
      </w:r>
      <w:r w:rsidR="00557A8C" w:rsidRPr="00F05B90">
        <w:rPr>
          <w:lang w:val="en-GB"/>
        </w:rPr>
        <w:t xml:space="preserve">, </w:t>
      </w:r>
      <w:r w:rsidR="002C7BD2" w:rsidRPr="00F05B90">
        <w:rPr>
          <w:lang w:val="en-GB"/>
        </w:rPr>
        <w:t>they</w:t>
      </w:r>
      <w:r w:rsidR="004D4A84" w:rsidRPr="00F05B90">
        <w:rPr>
          <w:lang w:val="en-GB"/>
        </w:rPr>
        <w:t xml:space="preserve"> </w:t>
      </w:r>
      <w:r w:rsidR="002C7BD2" w:rsidRPr="00F05B90">
        <w:rPr>
          <w:lang w:val="en-GB"/>
        </w:rPr>
        <w:t xml:space="preserve">do not </w:t>
      </w:r>
      <w:r w:rsidR="002C7BD2" w:rsidRPr="00F05B90">
        <w:t xml:space="preserve">necessarily </w:t>
      </w:r>
      <w:r w:rsidRPr="00F05B90">
        <w:t xml:space="preserve">indicate </w:t>
      </w:r>
      <w:r w:rsidR="002C7BD2" w:rsidRPr="00F05B90">
        <w:rPr>
          <w:lang w:val="en-GB"/>
        </w:rPr>
        <w:t xml:space="preserve">the </w:t>
      </w:r>
      <w:r w:rsidR="00557A8C" w:rsidRPr="00F05B90">
        <w:rPr>
          <w:lang w:val="en-GB"/>
        </w:rPr>
        <w:t>actual effort</w:t>
      </w:r>
      <w:r w:rsidR="002C7BD2" w:rsidRPr="00F05B90">
        <w:rPr>
          <w:lang w:val="en-GB"/>
        </w:rPr>
        <w:t xml:space="preserve"> </w:t>
      </w:r>
      <w:r w:rsidR="002C7BD2" w:rsidRPr="00F05B90">
        <w:t>exerted by auditors</w:t>
      </w:r>
      <w:r w:rsidRPr="00F05B90">
        <w:t xml:space="preserve"> </w:t>
      </w:r>
      <w:r w:rsidRPr="00F05B90">
        <w:rPr>
          <w:lang w:val="en-GB"/>
        </w:rPr>
        <w:t>(Kinney et al., 2004; Kwon et al., 2018; Seetharaman et al., 2002)</w:t>
      </w:r>
      <w:r w:rsidR="00557A8C" w:rsidRPr="00F05B90">
        <w:rPr>
          <w:lang w:val="en-GB"/>
        </w:rPr>
        <w:t>. In</w:t>
      </w:r>
      <w:r w:rsidR="002C7BD2" w:rsidRPr="00F05B90">
        <w:rPr>
          <w:lang w:val="en-GB"/>
        </w:rPr>
        <w:t xml:space="preserve"> fact,</w:t>
      </w:r>
      <w:r w:rsidR="00557A8C" w:rsidRPr="00F05B90">
        <w:rPr>
          <w:lang w:val="en-GB"/>
        </w:rPr>
        <w:t xml:space="preserve"> audit fee premium</w:t>
      </w:r>
      <w:r w:rsidR="002C7BD2" w:rsidRPr="00F05B90">
        <w:rPr>
          <w:lang w:val="en-GB"/>
        </w:rPr>
        <w:t>s</w:t>
      </w:r>
      <w:r w:rsidR="00557A8C" w:rsidRPr="00F05B90">
        <w:rPr>
          <w:lang w:val="en-GB"/>
        </w:rPr>
        <w:t xml:space="preserve"> may not </w:t>
      </w:r>
      <w:r w:rsidR="002C7BD2" w:rsidRPr="00F05B90">
        <w:t xml:space="preserve">correspond to </w:t>
      </w:r>
      <w:r w:rsidR="00AE2250" w:rsidRPr="00F05B90">
        <w:t>increased</w:t>
      </w:r>
      <w:r w:rsidR="00AE2250" w:rsidRPr="00F05B90" w:rsidDel="002C7BD2">
        <w:rPr>
          <w:lang w:val="en-GB"/>
        </w:rPr>
        <w:t xml:space="preserve"> </w:t>
      </w:r>
      <w:r w:rsidR="00AE2250" w:rsidRPr="00F05B90">
        <w:rPr>
          <w:lang w:val="en-GB"/>
        </w:rPr>
        <w:t>breadth</w:t>
      </w:r>
      <w:r w:rsidR="00557A8C" w:rsidRPr="00F05B90">
        <w:rPr>
          <w:lang w:val="en-GB"/>
        </w:rPr>
        <w:t xml:space="preserve"> or scope of audit effort</w:t>
      </w:r>
      <w:r w:rsidR="00892963" w:rsidRPr="00F05B90">
        <w:rPr>
          <w:lang w:val="en-GB"/>
        </w:rPr>
        <w:t xml:space="preserve"> </w:t>
      </w:r>
      <w:r w:rsidR="00557A8C" w:rsidRPr="00F05B90">
        <w:rPr>
          <w:lang w:val="en-GB"/>
        </w:rPr>
        <w:t xml:space="preserve">(Kwon et al., 2018). Instead, </w:t>
      </w:r>
      <w:r w:rsidR="002C7BD2" w:rsidRPr="00F05B90">
        <w:rPr>
          <w:lang w:val="en-GB"/>
        </w:rPr>
        <w:t>they</w:t>
      </w:r>
      <w:r w:rsidR="00557A8C" w:rsidRPr="00F05B90">
        <w:rPr>
          <w:lang w:val="en-GB"/>
        </w:rPr>
        <w:t xml:space="preserve"> may </w:t>
      </w:r>
      <w:r w:rsidR="002C7BD2" w:rsidRPr="00F05B90">
        <w:t xml:space="preserve">represent </w:t>
      </w:r>
      <w:r w:rsidR="004D4A84" w:rsidRPr="00F05B90">
        <w:rPr>
          <w:lang w:val="en-GB"/>
        </w:rPr>
        <w:t xml:space="preserve">a </w:t>
      </w:r>
      <w:r w:rsidR="00557A8C" w:rsidRPr="00F05B90">
        <w:rPr>
          <w:lang w:val="en-GB"/>
        </w:rPr>
        <w:t>fee protection for expected litigation risk (e.g., Seetharaman et al.</w:t>
      </w:r>
      <w:r w:rsidR="009A0F3A" w:rsidRPr="00F05B90">
        <w:rPr>
          <w:lang w:val="en-GB"/>
        </w:rPr>
        <w:t>,</w:t>
      </w:r>
      <w:r w:rsidR="00557A8C" w:rsidRPr="00F05B90">
        <w:rPr>
          <w:lang w:val="en-GB"/>
        </w:rPr>
        <w:t xml:space="preserve"> 2002) or </w:t>
      </w:r>
      <w:r w:rsidR="00256767" w:rsidRPr="00F05B90">
        <w:rPr>
          <w:lang w:val="en-GB"/>
        </w:rPr>
        <w:t xml:space="preserve">reflect diminished </w:t>
      </w:r>
      <w:r w:rsidR="002C7BD2" w:rsidRPr="00F05B90">
        <w:rPr>
          <w:lang w:val="en-GB"/>
        </w:rPr>
        <w:t>auditor</w:t>
      </w:r>
      <w:r w:rsidR="00AE2250" w:rsidRPr="00F05B90">
        <w:rPr>
          <w:lang w:val="en-GB"/>
        </w:rPr>
        <w:t xml:space="preserve"> </w:t>
      </w:r>
      <w:r w:rsidR="00557A8C" w:rsidRPr="00F05B90">
        <w:rPr>
          <w:lang w:val="en-GB"/>
        </w:rPr>
        <w:t xml:space="preserve">independence (e.g., Kinney et al., 2004). </w:t>
      </w:r>
      <w:r w:rsidR="00FD6490" w:rsidRPr="00F05B90">
        <w:t>Thus</w:t>
      </w:r>
      <w:r w:rsidR="0060783A" w:rsidRPr="00F05B90">
        <w:t xml:space="preserve">, </w:t>
      </w:r>
      <w:r w:rsidR="00FD6490" w:rsidRPr="00F05B90">
        <w:t xml:space="preserve">existing </w:t>
      </w:r>
      <w:r w:rsidR="0060783A" w:rsidRPr="00F05B90">
        <w:t>findings</w:t>
      </w:r>
      <w:r w:rsidR="00FD6490" w:rsidRPr="00F05B90">
        <w:t xml:space="preserve">, </w:t>
      </w:r>
      <w:r w:rsidR="002C7BD2" w:rsidRPr="00F05B90">
        <w:t xml:space="preserve">which </w:t>
      </w:r>
      <w:r w:rsidR="00FD6490" w:rsidRPr="00F05B90">
        <w:t xml:space="preserve">suggest </w:t>
      </w:r>
      <w:r w:rsidR="002C7BD2" w:rsidRPr="00F05B90">
        <w:t xml:space="preserve">that low industry tournament incentives lead to higher audit fees, could </w:t>
      </w:r>
      <w:r w:rsidR="00FD6490" w:rsidRPr="00F05B90">
        <w:t xml:space="preserve">imply either </w:t>
      </w:r>
      <w:r w:rsidR="008364CA" w:rsidRPr="00F05B90">
        <w:t xml:space="preserve">of the following: that </w:t>
      </w:r>
      <w:r w:rsidR="00FD6490" w:rsidRPr="00F05B90">
        <w:t xml:space="preserve">the audit fee premium is </w:t>
      </w:r>
      <w:r w:rsidR="0060783A" w:rsidRPr="00F05B90">
        <w:t>charg</w:t>
      </w:r>
      <w:r w:rsidR="00FD6490" w:rsidRPr="00F05B90">
        <w:t xml:space="preserve">ed </w:t>
      </w:r>
      <w:r w:rsidR="0060783A" w:rsidRPr="00F05B90">
        <w:t xml:space="preserve">to account for </w:t>
      </w:r>
      <w:r w:rsidR="00FD6490" w:rsidRPr="00F05B90">
        <w:t xml:space="preserve">the </w:t>
      </w:r>
      <w:r w:rsidR="0060783A" w:rsidRPr="00F05B90">
        <w:t>heightened audit risks</w:t>
      </w:r>
      <w:r w:rsidR="008364CA" w:rsidRPr="00F05B90">
        <w:t xml:space="preserve">, </w:t>
      </w:r>
      <w:r w:rsidR="0060783A" w:rsidRPr="00F05B90">
        <w:t xml:space="preserve">or </w:t>
      </w:r>
      <w:r w:rsidR="008364CA" w:rsidRPr="00F05B90">
        <w:t xml:space="preserve">it </w:t>
      </w:r>
      <w:r w:rsidR="0060783A" w:rsidRPr="00F05B90">
        <w:t>reflect</w:t>
      </w:r>
      <w:r w:rsidR="008364CA" w:rsidRPr="00F05B90">
        <w:t>s</w:t>
      </w:r>
      <w:r w:rsidR="003A3581" w:rsidRPr="00F05B90">
        <w:t xml:space="preserve"> </w:t>
      </w:r>
      <w:r w:rsidR="003A3581" w:rsidRPr="00F05B90">
        <w:lastRenderedPageBreak/>
        <w:t>litigation protection</w:t>
      </w:r>
      <w:r w:rsidR="003A3581" w:rsidRPr="00F05B90" w:rsidDel="00FD6490">
        <w:t xml:space="preserve"> </w:t>
      </w:r>
      <w:r w:rsidR="003A3581" w:rsidRPr="00F05B90">
        <w:t xml:space="preserve">against potential </w:t>
      </w:r>
      <w:r w:rsidR="0060783A" w:rsidRPr="00F05B90">
        <w:t>managerial opportunism</w:t>
      </w:r>
      <w:r w:rsidR="008364CA" w:rsidRPr="00F05B90">
        <w:t>,</w:t>
      </w:r>
      <w:r w:rsidR="003A3581" w:rsidRPr="00F05B90">
        <w:t xml:space="preserve"> or </w:t>
      </w:r>
      <w:r w:rsidR="008364CA" w:rsidRPr="00F05B90">
        <w:t xml:space="preserve">it is </w:t>
      </w:r>
      <w:r w:rsidR="003A3581" w:rsidRPr="00F05B90">
        <w:t>rent extraction</w:t>
      </w:r>
      <w:r w:rsidR="008364CA" w:rsidRPr="00F05B90">
        <w:t xml:space="preserve"> by the auditors</w:t>
      </w:r>
      <w:r w:rsidR="003A3581" w:rsidRPr="00F05B90">
        <w:t xml:space="preserve"> rather than genuine </w:t>
      </w:r>
      <w:r w:rsidR="0052347D" w:rsidRPr="00F05B90">
        <w:t>efforts to improve audit quality</w:t>
      </w:r>
      <w:r w:rsidR="0060783A" w:rsidRPr="00F05B90">
        <w:t xml:space="preserve">. </w:t>
      </w:r>
      <w:r w:rsidR="00CE14E5" w:rsidRPr="00F05B90">
        <w:t>This raises an open research question: do higher audit fees effectively translate into sufficient diligence by auditors to mitigate the risks associated with tournament incentives, and hence genuinely protect investors?</w:t>
      </w:r>
      <w:r w:rsidR="008364CA" w:rsidRPr="00F05B90">
        <w:t xml:space="preserve"> The conflicting interpretations on the validity of audit fees as a proxy for audit efforts/quality suggest that </w:t>
      </w:r>
      <w:r w:rsidR="001A01BE" w:rsidRPr="00F05B90">
        <w:t xml:space="preserve">further </w:t>
      </w:r>
      <w:r w:rsidR="000652C9" w:rsidRPr="00F05B90">
        <w:t xml:space="preserve">research </w:t>
      </w:r>
      <w:r w:rsidR="0090455C" w:rsidRPr="00F05B90">
        <w:t xml:space="preserve">is necessary </w:t>
      </w:r>
      <w:r w:rsidR="001A01BE" w:rsidRPr="00F05B90">
        <w:t>to precisely understand</w:t>
      </w:r>
      <w:r w:rsidR="000652C9" w:rsidRPr="00F05B90">
        <w:t xml:space="preserve"> </w:t>
      </w:r>
      <w:r w:rsidR="008364CA" w:rsidRPr="00F05B90">
        <w:t>auditors’ responses to tournament incentives</w:t>
      </w:r>
      <w:r w:rsidR="00320854" w:rsidRPr="00F05B90">
        <w:t>.</w:t>
      </w:r>
    </w:p>
    <w:p w14:paraId="4A8F1B0D" w14:textId="5CF912AF" w:rsidR="006D65A9" w:rsidRPr="00F05B90" w:rsidRDefault="00F51EC8" w:rsidP="00E23144">
      <w:pPr>
        <w:spacing w:before="240" w:after="240" w:line="360" w:lineRule="auto"/>
        <w:jc w:val="both"/>
        <w:rPr>
          <w:lang w:val="en-GB"/>
        </w:rPr>
      </w:pPr>
      <w:r w:rsidRPr="00F05B90">
        <w:rPr>
          <w:lang w:val="en-GB"/>
        </w:rPr>
        <w:t>T</w:t>
      </w:r>
      <w:r w:rsidR="00F80955" w:rsidRPr="00F05B90">
        <w:rPr>
          <w:lang w:val="en-GB"/>
        </w:rPr>
        <w:t xml:space="preserve">o </w:t>
      </w:r>
      <w:r w:rsidR="004E0349" w:rsidRPr="00F05B90">
        <w:rPr>
          <w:lang w:val="en-GB"/>
        </w:rPr>
        <w:t xml:space="preserve">address </w:t>
      </w:r>
      <w:r w:rsidR="005D292F" w:rsidRPr="00F05B90">
        <w:rPr>
          <w:lang w:val="en-GB"/>
        </w:rPr>
        <w:t>the</w:t>
      </w:r>
      <w:r w:rsidR="004E0349" w:rsidRPr="00F05B90">
        <w:rPr>
          <w:lang w:val="en-GB"/>
        </w:rPr>
        <w:t xml:space="preserve"> limitation</w:t>
      </w:r>
      <w:r w:rsidR="005D292F" w:rsidRPr="00F05B90">
        <w:rPr>
          <w:lang w:val="en-GB"/>
        </w:rPr>
        <w:t>s in prior research</w:t>
      </w:r>
      <w:r w:rsidRPr="00F05B90">
        <w:rPr>
          <w:lang w:val="en-GB"/>
        </w:rPr>
        <w:t xml:space="preserve">, we </w:t>
      </w:r>
      <w:r w:rsidR="004E0349" w:rsidRPr="00F05B90">
        <w:rPr>
          <w:lang w:val="en-GB"/>
        </w:rPr>
        <w:t>direct</w:t>
      </w:r>
      <w:r w:rsidRPr="00F05B90">
        <w:rPr>
          <w:lang w:val="en-GB"/>
        </w:rPr>
        <w:t>ly</w:t>
      </w:r>
      <w:r w:rsidR="004E0349" w:rsidRPr="00F05B90">
        <w:rPr>
          <w:lang w:val="en-GB"/>
        </w:rPr>
        <w:t xml:space="preserve"> measure auditor</w:t>
      </w:r>
      <w:r w:rsidRPr="00F05B90">
        <w:rPr>
          <w:lang w:val="en-GB"/>
        </w:rPr>
        <w:t>s’</w:t>
      </w:r>
      <w:r w:rsidR="004E0349" w:rsidRPr="00F05B90">
        <w:rPr>
          <w:lang w:val="en-GB"/>
        </w:rPr>
        <w:t xml:space="preserve"> response </w:t>
      </w:r>
      <w:r w:rsidRPr="00F05B90">
        <w:rPr>
          <w:lang w:val="en-GB"/>
        </w:rPr>
        <w:t xml:space="preserve">(i.e., </w:t>
      </w:r>
      <w:r w:rsidR="001A01BE" w:rsidRPr="00F05B90">
        <w:rPr>
          <w:lang w:val="en-GB"/>
        </w:rPr>
        <w:t xml:space="preserve">professional </w:t>
      </w:r>
      <w:r w:rsidRPr="00F05B90">
        <w:rPr>
          <w:lang w:val="en-GB"/>
        </w:rPr>
        <w:t xml:space="preserve">judgment) </w:t>
      </w:r>
      <w:r w:rsidR="004E0349" w:rsidRPr="00F05B90">
        <w:rPr>
          <w:lang w:val="en-GB"/>
        </w:rPr>
        <w:t>to industry tournament</w:t>
      </w:r>
      <w:r w:rsidRPr="00F05B90">
        <w:rPr>
          <w:lang w:val="en-GB"/>
        </w:rPr>
        <w:t xml:space="preserve"> incentives</w:t>
      </w:r>
      <w:r w:rsidR="00F21188" w:rsidRPr="00F05B90">
        <w:rPr>
          <w:rStyle w:val="FootnoteReference"/>
          <w:lang w:val="en-GB"/>
        </w:rPr>
        <w:footnoteReference w:id="2"/>
      </w:r>
      <w:r w:rsidR="004E0349" w:rsidRPr="00F05B90">
        <w:rPr>
          <w:lang w:val="en-GB"/>
        </w:rPr>
        <w:t>.</w:t>
      </w:r>
      <w:r w:rsidR="005D292F" w:rsidRPr="00F05B90">
        <w:rPr>
          <w:lang w:val="en-GB"/>
        </w:rPr>
        <w:t xml:space="preserve"> In essence, </w:t>
      </w:r>
      <w:r w:rsidRPr="00F05B90">
        <w:rPr>
          <w:lang w:val="en-GB"/>
        </w:rPr>
        <w:t xml:space="preserve">by </w:t>
      </w:r>
      <w:r w:rsidR="00F80955" w:rsidRPr="00F05B90">
        <w:rPr>
          <w:lang w:val="en-GB"/>
        </w:rPr>
        <w:t>exploit</w:t>
      </w:r>
      <w:r w:rsidRPr="00F05B90">
        <w:rPr>
          <w:lang w:val="en-GB"/>
        </w:rPr>
        <w:t>ing</w:t>
      </w:r>
      <w:r w:rsidR="00F80955" w:rsidRPr="00F05B90">
        <w:rPr>
          <w:lang w:val="en-GB"/>
        </w:rPr>
        <w:t xml:space="preserve"> the </w:t>
      </w:r>
      <w:r w:rsidR="00903C69" w:rsidRPr="00F05B90">
        <w:rPr>
          <w:lang w:val="en-GB"/>
        </w:rPr>
        <w:t xml:space="preserve">UK </w:t>
      </w:r>
      <w:r w:rsidR="00F80955" w:rsidRPr="00F05B90">
        <w:rPr>
          <w:lang w:val="en-GB"/>
        </w:rPr>
        <w:t xml:space="preserve">regulatory </w:t>
      </w:r>
      <w:r w:rsidR="00427164" w:rsidRPr="00F05B90">
        <w:rPr>
          <w:lang w:val="en-GB"/>
        </w:rPr>
        <w:t xml:space="preserve">requirement </w:t>
      </w:r>
      <w:r w:rsidR="0078292D" w:rsidRPr="00F05B90">
        <w:rPr>
          <w:lang w:val="en-GB"/>
        </w:rPr>
        <w:t xml:space="preserve">by the Financial Reporting Council (FRC) </w:t>
      </w:r>
      <w:r w:rsidR="006E37BD" w:rsidRPr="00F05B90">
        <w:rPr>
          <w:lang w:val="en-GB"/>
        </w:rPr>
        <w:t xml:space="preserve">with effect from 2013 </w:t>
      </w:r>
      <w:r w:rsidR="00D7363E" w:rsidRPr="00F05B90">
        <w:rPr>
          <w:lang w:val="en-GB"/>
        </w:rPr>
        <w:t>(FRC, 2013</w:t>
      </w:r>
      <w:r w:rsidR="00F45581" w:rsidRPr="00F05B90">
        <w:rPr>
          <w:lang w:val="en-GB"/>
        </w:rPr>
        <w:t>a; 2013b</w:t>
      </w:r>
      <w:r w:rsidR="00D7363E" w:rsidRPr="00F05B90">
        <w:rPr>
          <w:lang w:val="en-GB"/>
        </w:rPr>
        <w:t xml:space="preserve">) </w:t>
      </w:r>
      <w:r w:rsidR="00427164" w:rsidRPr="00F05B90">
        <w:rPr>
          <w:lang w:val="en-GB"/>
        </w:rPr>
        <w:t xml:space="preserve">for </w:t>
      </w:r>
      <w:r w:rsidR="00F80955" w:rsidRPr="00F05B90">
        <w:rPr>
          <w:lang w:val="en-GB"/>
        </w:rPr>
        <w:t>auditors to disclose</w:t>
      </w:r>
      <w:r w:rsidR="00427164" w:rsidRPr="00F05B90">
        <w:rPr>
          <w:lang w:val="en-GB"/>
        </w:rPr>
        <w:t xml:space="preserve"> </w:t>
      </w:r>
      <w:r w:rsidR="00F80955" w:rsidRPr="00F05B90">
        <w:rPr>
          <w:lang w:val="en-GB"/>
        </w:rPr>
        <w:t xml:space="preserve">key audit </w:t>
      </w:r>
      <w:r w:rsidR="00427164" w:rsidRPr="00F05B90">
        <w:rPr>
          <w:lang w:val="en-GB"/>
        </w:rPr>
        <w:t>matters (KAM</w:t>
      </w:r>
      <w:r w:rsidR="00B30BCC" w:rsidRPr="00F05B90">
        <w:rPr>
          <w:lang w:val="en-GB"/>
        </w:rPr>
        <w:t>s</w:t>
      </w:r>
      <w:r w:rsidR="00427164" w:rsidRPr="00F05B90">
        <w:rPr>
          <w:lang w:val="en-GB"/>
        </w:rPr>
        <w:t>)</w:t>
      </w:r>
      <w:r w:rsidR="00F80955" w:rsidRPr="00F05B90">
        <w:rPr>
          <w:lang w:val="en-GB"/>
        </w:rPr>
        <w:t xml:space="preserve"> and materiality</w:t>
      </w:r>
      <w:r w:rsidR="00605312" w:rsidRPr="00F05B90">
        <w:rPr>
          <w:lang w:val="en-GB"/>
        </w:rPr>
        <w:t xml:space="preserve"> (MAT)</w:t>
      </w:r>
      <w:r w:rsidR="00F80955" w:rsidRPr="00F05B90">
        <w:rPr>
          <w:lang w:val="en-GB"/>
        </w:rPr>
        <w:t xml:space="preserve"> level</w:t>
      </w:r>
      <w:r w:rsidR="00E9017D" w:rsidRPr="00F05B90">
        <w:rPr>
          <w:lang w:val="en-GB"/>
        </w:rPr>
        <w:t>s</w:t>
      </w:r>
      <w:r w:rsidR="00F80955" w:rsidRPr="00F05B90">
        <w:rPr>
          <w:lang w:val="en-GB"/>
        </w:rPr>
        <w:t xml:space="preserve">, </w:t>
      </w:r>
      <w:r w:rsidR="00427164" w:rsidRPr="00F05B90">
        <w:rPr>
          <w:lang w:val="en-GB"/>
        </w:rPr>
        <w:t>we employ these disclosures as proxies for professional</w:t>
      </w:r>
      <w:r w:rsidR="00F80955" w:rsidRPr="00F05B90">
        <w:rPr>
          <w:lang w:val="en-GB"/>
        </w:rPr>
        <w:t xml:space="preserve"> </w:t>
      </w:r>
      <w:r w:rsidR="001A01BE" w:rsidRPr="00F05B90">
        <w:rPr>
          <w:lang w:val="en-GB"/>
        </w:rPr>
        <w:t>judgements</w:t>
      </w:r>
      <w:r w:rsidR="00427164" w:rsidRPr="00F05B90">
        <w:rPr>
          <w:lang w:val="en-GB"/>
        </w:rPr>
        <w:t>.</w:t>
      </w:r>
      <w:r w:rsidR="00D7363E" w:rsidRPr="00F05B90">
        <w:rPr>
          <w:lang w:val="en-GB"/>
        </w:rPr>
        <w:t xml:space="preserve"> Consequently, we also </w:t>
      </w:r>
      <w:r w:rsidR="00F80955" w:rsidRPr="00F05B90">
        <w:rPr>
          <w:lang w:val="en-GB"/>
        </w:rPr>
        <w:t xml:space="preserve">provide </w:t>
      </w:r>
      <w:r w:rsidR="00E9017D" w:rsidRPr="00F05B90">
        <w:rPr>
          <w:lang w:val="en-GB"/>
        </w:rPr>
        <w:t xml:space="preserve">further </w:t>
      </w:r>
      <w:r w:rsidR="00F80955" w:rsidRPr="00F05B90">
        <w:rPr>
          <w:lang w:val="en-GB"/>
        </w:rPr>
        <w:t xml:space="preserve">evidence consistent with the </w:t>
      </w:r>
      <w:r w:rsidR="00D7363E" w:rsidRPr="00F05B90">
        <w:rPr>
          <w:lang w:val="en-GB"/>
        </w:rPr>
        <w:t xml:space="preserve">relevant audit </w:t>
      </w:r>
      <w:r w:rsidR="00F80955" w:rsidRPr="00F05B90">
        <w:rPr>
          <w:lang w:val="en-GB"/>
        </w:rPr>
        <w:t xml:space="preserve">regulatory language. </w:t>
      </w:r>
      <w:r w:rsidR="00CA5623" w:rsidRPr="00F05B90">
        <w:rPr>
          <w:lang w:val="en-GB"/>
        </w:rPr>
        <w:t>KAM</w:t>
      </w:r>
      <w:r w:rsidR="00B30BCC" w:rsidRPr="00F05B90">
        <w:rPr>
          <w:lang w:val="en-GB"/>
        </w:rPr>
        <w:t>s</w:t>
      </w:r>
      <w:r w:rsidR="00F80955" w:rsidRPr="00F05B90">
        <w:rPr>
          <w:lang w:val="en-GB"/>
        </w:rPr>
        <w:t xml:space="preserve"> re</w:t>
      </w:r>
      <w:r w:rsidR="009E4647" w:rsidRPr="00F05B90">
        <w:rPr>
          <w:lang w:val="en-GB"/>
        </w:rPr>
        <w:t xml:space="preserve">flect risk areas </w:t>
      </w:r>
      <w:r w:rsidR="00F80955" w:rsidRPr="00F05B90">
        <w:rPr>
          <w:lang w:val="en-GB"/>
        </w:rPr>
        <w:t>requir</w:t>
      </w:r>
      <w:r w:rsidR="009E4647" w:rsidRPr="00F05B90">
        <w:rPr>
          <w:lang w:val="en-GB"/>
        </w:rPr>
        <w:t>ing</w:t>
      </w:r>
      <w:r w:rsidR="00F80955" w:rsidRPr="00F05B90">
        <w:rPr>
          <w:lang w:val="en-GB"/>
        </w:rPr>
        <w:t xml:space="preserve"> significant </w:t>
      </w:r>
      <w:r w:rsidR="009E4647" w:rsidRPr="00F05B90">
        <w:rPr>
          <w:lang w:val="en-GB"/>
        </w:rPr>
        <w:t xml:space="preserve">audit </w:t>
      </w:r>
      <w:r w:rsidR="00F80955" w:rsidRPr="00F05B90">
        <w:rPr>
          <w:lang w:val="en-GB"/>
        </w:rPr>
        <w:t xml:space="preserve">attention </w:t>
      </w:r>
      <w:r w:rsidR="009E4647" w:rsidRPr="00F05B90">
        <w:rPr>
          <w:lang w:val="en-GB"/>
        </w:rPr>
        <w:t xml:space="preserve">and guide </w:t>
      </w:r>
      <w:r w:rsidR="00F80955" w:rsidRPr="00F05B90">
        <w:rPr>
          <w:lang w:val="en-GB"/>
        </w:rPr>
        <w:t>audit planning (</w:t>
      </w:r>
      <w:r w:rsidR="00526262" w:rsidRPr="00F05B90">
        <w:t xml:space="preserve">IAASB; </w:t>
      </w:r>
      <w:r w:rsidR="00F80955" w:rsidRPr="00F05B90">
        <w:rPr>
          <w:lang w:val="en-GB"/>
        </w:rPr>
        <w:t>Messier</w:t>
      </w:r>
      <w:r w:rsidR="00BD3B97" w:rsidRPr="00F05B90">
        <w:rPr>
          <w:lang w:val="en-GB"/>
        </w:rPr>
        <w:t xml:space="preserve"> et al.</w:t>
      </w:r>
      <w:r w:rsidR="00F80955" w:rsidRPr="00F05B90">
        <w:rPr>
          <w:lang w:val="en-GB"/>
        </w:rPr>
        <w:t xml:space="preserve">, 2019). For example, </w:t>
      </w:r>
      <w:r w:rsidR="00903C69" w:rsidRPr="00F05B90">
        <w:rPr>
          <w:lang w:val="en-GB"/>
        </w:rPr>
        <w:t>KAM</w:t>
      </w:r>
      <w:r w:rsidR="00B30BCC" w:rsidRPr="00F05B90">
        <w:rPr>
          <w:lang w:val="en-GB"/>
        </w:rPr>
        <w:t>s</w:t>
      </w:r>
      <w:r w:rsidR="00F80955" w:rsidRPr="00F05B90">
        <w:rPr>
          <w:lang w:val="en-GB"/>
        </w:rPr>
        <w:t xml:space="preserve"> support auditors in identifying which areas and accounts </w:t>
      </w:r>
      <w:r w:rsidR="00BD3B97" w:rsidRPr="00F05B90">
        <w:rPr>
          <w:lang w:val="en-GB"/>
        </w:rPr>
        <w:t xml:space="preserve">need </w:t>
      </w:r>
      <w:r w:rsidR="00F80955" w:rsidRPr="00F05B90">
        <w:rPr>
          <w:lang w:val="en-GB"/>
        </w:rPr>
        <w:t xml:space="preserve">to be audited, which sampling techniques to apply, how many accounts </w:t>
      </w:r>
      <w:r w:rsidR="00BD3B97" w:rsidRPr="00F05B90">
        <w:rPr>
          <w:lang w:val="en-GB"/>
        </w:rPr>
        <w:t xml:space="preserve">may </w:t>
      </w:r>
      <w:r w:rsidR="00F80955" w:rsidRPr="00F05B90">
        <w:rPr>
          <w:lang w:val="en-GB"/>
        </w:rPr>
        <w:t xml:space="preserve">comprise the </w:t>
      </w:r>
      <w:r w:rsidR="00B5465C" w:rsidRPr="00F05B90">
        <w:rPr>
          <w:lang w:val="en-GB"/>
        </w:rPr>
        <w:t xml:space="preserve">audit </w:t>
      </w:r>
      <w:r w:rsidR="00F80955" w:rsidRPr="00F05B90">
        <w:rPr>
          <w:lang w:val="en-GB"/>
        </w:rPr>
        <w:t>sample, and which compliance and substantive procedures to proceed</w:t>
      </w:r>
      <w:r w:rsidR="00BD3B97" w:rsidRPr="00F05B90">
        <w:rPr>
          <w:lang w:val="en-GB"/>
        </w:rPr>
        <w:t xml:space="preserve"> with</w:t>
      </w:r>
      <w:r w:rsidR="00F80955" w:rsidRPr="00F05B90">
        <w:rPr>
          <w:lang w:val="en-GB"/>
        </w:rPr>
        <w:t xml:space="preserve"> (Christensen</w:t>
      </w:r>
      <w:r w:rsidR="00BD3B97" w:rsidRPr="00F05B90">
        <w:rPr>
          <w:lang w:val="en-GB"/>
        </w:rPr>
        <w:t xml:space="preserve"> et al.</w:t>
      </w:r>
      <w:r w:rsidR="00F80955" w:rsidRPr="00F05B90">
        <w:rPr>
          <w:lang w:val="en-GB"/>
        </w:rPr>
        <w:t>, 201</w:t>
      </w:r>
      <w:r w:rsidR="00815F64" w:rsidRPr="00F05B90">
        <w:rPr>
          <w:lang w:val="en-GB"/>
        </w:rPr>
        <w:t>5</w:t>
      </w:r>
      <w:r w:rsidR="00F80955" w:rsidRPr="00F05B90">
        <w:rPr>
          <w:lang w:val="en-GB"/>
        </w:rPr>
        <w:t>; ICAEW, 2017).</w:t>
      </w:r>
      <w:r w:rsidR="00526262" w:rsidRPr="00F05B90">
        <w:rPr>
          <w:lang w:val="en-GB"/>
        </w:rPr>
        <w:t xml:space="preserve"> Arguably, the higher the number of identified </w:t>
      </w:r>
      <w:r w:rsidR="00B5465C" w:rsidRPr="00F05B90">
        <w:rPr>
          <w:lang w:val="en-GB"/>
        </w:rPr>
        <w:t>KAM</w:t>
      </w:r>
      <w:r w:rsidR="00B30BCC" w:rsidRPr="00F05B90">
        <w:rPr>
          <w:lang w:val="en-GB"/>
        </w:rPr>
        <w:t>s</w:t>
      </w:r>
      <w:r w:rsidR="00B5465C" w:rsidRPr="00F05B90">
        <w:rPr>
          <w:lang w:val="en-GB"/>
        </w:rPr>
        <w:t xml:space="preserve">, the higher the </w:t>
      </w:r>
      <w:r w:rsidR="00433E49" w:rsidRPr="00F05B90">
        <w:rPr>
          <w:lang w:val="en-GB"/>
        </w:rPr>
        <w:t xml:space="preserve">implied </w:t>
      </w:r>
      <w:r w:rsidR="00526262" w:rsidRPr="00F05B90">
        <w:rPr>
          <w:lang w:val="en-GB"/>
        </w:rPr>
        <w:t xml:space="preserve">audit risks, </w:t>
      </w:r>
      <w:r w:rsidR="00B5465C" w:rsidRPr="00F05B90">
        <w:rPr>
          <w:lang w:val="en-GB"/>
        </w:rPr>
        <w:t xml:space="preserve">and </w:t>
      </w:r>
      <w:r w:rsidR="00526262" w:rsidRPr="00F05B90">
        <w:rPr>
          <w:lang w:val="en-GB"/>
        </w:rPr>
        <w:t>the greater the audit effort, thus providing greater assurance that financial statements are of higher quality</w:t>
      </w:r>
      <w:r w:rsidR="00B5465C" w:rsidRPr="00F05B90">
        <w:rPr>
          <w:lang w:val="en-GB"/>
        </w:rPr>
        <w:t xml:space="preserve"> (Al-mulla and Bradbury, 2022)</w:t>
      </w:r>
      <w:r w:rsidR="00526262" w:rsidRPr="00F05B90">
        <w:rPr>
          <w:lang w:val="en-GB"/>
        </w:rPr>
        <w:t>.</w:t>
      </w:r>
      <w:r w:rsidR="00F80955" w:rsidRPr="00F05B90">
        <w:rPr>
          <w:lang w:val="en-GB"/>
        </w:rPr>
        <w:t xml:space="preserve"> </w:t>
      </w:r>
      <w:r w:rsidR="00CA5623" w:rsidRPr="00F05B90">
        <w:rPr>
          <w:lang w:val="en-GB"/>
        </w:rPr>
        <w:t xml:space="preserve">Also, </w:t>
      </w:r>
      <w:r w:rsidR="00F80955" w:rsidRPr="00F05B90">
        <w:rPr>
          <w:lang w:val="en-GB"/>
        </w:rPr>
        <w:t>to draw an opinion on whether financial statements provide a fair representation of a firm</w:t>
      </w:r>
      <w:r w:rsidR="00BD3B97" w:rsidRPr="00F05B90">
        <w:rPr>
          <w:lang w:val="en-GB"/>
        </w:rPr>
        <w:t>’</w:t>
      </w:r>
      <w:r w:rsidR="00F80955" w:rsidRPr="00F05B90">
        <w:rPr>
          <w:lang w:val="en-GB"/>
        </w:rPr>
        <w:t xml:space="preserve">s financial position, auditors should set </w:t>
      </w:r>
      <w:r w:rsidR="00BD3B97" w:rsidRPr="00F05B90">
        <w:rPr>
          <w:lang w:val="en-GB"/>
        </w:rPr>
        <w:t xml:space="preserve">a </w:t>
      </w:r>
      <w:r w:rsidR="00F80955" w:rsidRPr="00F05B90">
        <w:rPr>
          <w:lang w:val="en-GB"/>
        </w:rPr>
        <w:t xml:space="preserve">maximum level of potential misstatements </w:t>
      </w:r>
      <w:r w:rsidR="00BD3B97" w:rsidRPr="00F05B90">
        <w:rPr>
          <w:lang w:val="en-GB"/>
        </w:rPr>
        <w:t xml:space="preserve">at the planning stage; these are </w:t>
      </w:r>
      <w:r w:rsidR="00F80955" w:rsidRPr="00F05B90">
        <w:rPr>
          <w:lang w:val="en-GB"/>
        </w:rPr>
        <w:t xml:space="preserve">known as </w:t>
      </w:r>
      <w:r w:rsidR="002A46C7" w:rsidRPr="00F05B90">
        <w:rPr>
          <w:lang w:val="en-GB"/>
        </w:rPr>
        <w:t>MAT</w:t>
      </w:r>
      <w:r w:rsidR="00F80955" w:rsidRPr="00F05B90">
        <w:rPr>
          <w:lang w:val="en-GB"/>
        </w:rPr>
        <w:t xml:space="preserve"> level</w:t>
      </w:r>
      <w:r w:rsidR="00BD3B97" w:rsidRPr="00F05B90">
        <w:rPr>
          <w:lang w:val="en-GB"/>
        </w:rPr>
        <w:t>s</w:t>
      </w:r>
      <w:r w:rsidR="00526262" w:rsidRPr="00F05B90">
        <w:rPr>
          <w:rStyle w:val="FootnoteReference"/>
          <w:lang w:val="en-GB"/>
        </w:rPr>
        <w:footnoteReference w:id="3"/>
      </w:r>
      <w:r w:rsidR="002A46C7" w:rsidRPr="00F05B90">
        <w:rPr>
          <w:vertAlign w:val="superscript"/>
          <w:lang w:val="en-GB"/>
        </w:rPr>
        <w:t>,</w:t>
      </w:r>
      <w:r w:rsidR="00526262" w:rsidRPr="00F05B90">
        <w:rPr>
          <w:rStyle w:val="FootnoteReference"/>
          <w:lang w:val="en-GB"/>
        </w:rPr>
        <w:footnoteReference w:id="4"/>
      </w:r>
      <w:r w:rsidR="00F80955" w:rsidRPr="00F05B90">
        <w:rPr>
          <w:lang w:val="en-GB"/>
        </w:rPr>
        <w:t xml:space="preserve">. While a lower </w:t>
      </w:r>
      <w:r w:rsidR="002A46C7" w:rsidRPr="00F05B90">
        <w:rPr>
          <w:lang w:val="en-GB"/>
        </w:rPr>
        <w:t>MAT</w:t>
      </w:r>
      <w:r w:rsidR="00F80955" w:rsidRPr="00F05B90">
        <w:rPr>
          <w:lang w:val="en-GB"/>
        </w:rPr>
        <w:t xml:space="preserve"> level implies a </w:t>
      </w:r>
      <w:r w:rsidR="002633DE" w:rsidRPr="00F05B90">
        <w:rPr>
          <w:lang w:val="en-GB"/>
        </w:rPr>
        <w:t xml:space="preserve">broader and </w:t>
      </w:r>
      <w:r w:rsidR="00F80955" w:rsidRPr="00F05B90">
        <w:rPr>
          <w:lang w:val="en-GB"/>
        </w:rPr>
        <w:t xml:space="preserve">greater </w:t>
      </w:r>
      <w:r w:rsidR="00F75400" w:rsidRPr="00F05B90">
        <w:rPr>
          <w:lang w:val="en-GB"/>
        </w:rPr>
        <w:t>depth</w:t>
      </w:r>
      <w:r w:rsidR="00F80955" w:rsidRPr="00F05B90">
        <w:rPr>
          <w:lang w:val="en-GB"/>
        </w:rPr>
        <w:t xml:space="preserve"> of audit procedures, a higher </w:t>
      </w:r>
      <w:r w:rsidR="002A46C7" w:rsidRPr="00F05B90">
        <w:rPr>
          <w:lang w:val="en-GB"/>
        </w:rPr>
        <w:t xml:space="preserve">MAT </w:t>
      </w:r>
      <w:r w:rsidR="00F80955" w:rsidRPr="00F05B90">
        <w:rPr>
          <w:lang w:val="en-GB"/>
        </w:rPr>
        <w:t xml:space="preserve">level </w:t>
      </w:r>
      <w:r w:rsidR="002A46C7" w:rsidRPr="00F05B90">
        <w:rPr>
          <w:lang w:val="en-GB"/>
        </w:rPr>
        <w:t xml:space="preserve">indicates a narrower </w:t>
      </w:r>
      <w:r w:rsidR="002633DE" w:rsidRPr="00F05B90">
        <w:rPr>
          <w:lang w:val="en-GB"/>
        </w:rPr>
        <w:t xml:space="preserve">and lesser </w:t>
      </w:r>
      <w:r w:rsidR="002A46C7" w:rsidRPr="00F05B90">
        <w:rPr>
          <w:lang w:val="en-GB"/>
        </w:rPr>
        <w:t>depth of audit procedures</w:t>
      </w:r>
      <w:r w:rsidR="002633DE" w:rsidRPr="00F05B90">
        <w:rPr>
          <w:lang w:val="en-GB"/>
        </w:rPr>
        <w:t>, which</w:t>
      </w:r>
      <w:r w:rsidR="002A46C7" w:rsidRPr="00F05B90">
        <w:rPr>
          <w:lang w:val="en-GB"/>
        </w:rPr>
        <w:t xml:space="preserve"> </w:t>
      </w:r>
      <w:r w:rsidR="00F80955" w:rsidRPr="00F05B90">
        <w:rPr>
          <w:lang w:val="en-GB"/>
        </w:rPr>
        <w:t>might lead to more undetected misstatements (Audsabumrungrat,</w:t>
      </w:r>
      <w:r w:rsidR="00BD3B97" w:rsidRPr="00F05B90">
        <w:rPr>
          <w:lang w:val="en-GB"/>
        </w:rPr>
        <w:t xml:space="preserve"> et al.</w:t>
      </w:r>
      <w:r w:rsidR="00F80955" w:rsidRPr="00F05B90">
        <w:rPr>
          <w:lang w:val="en-GB"/>
        </w:rPr>
        <w:t>, 201</w:t>
      </w:r>
      <w:r w:rsidR="00454004" w:rsidRPr="00F05B90">
        <w:rPr>
          <w:lang w:val="en-GB"/>
        </w:rPr>
        <w:t>6</w:t>
      </w:r>
      <w:r w:rsidR="00F80955" w:rsidRPr="00F05B90">
        <w:rPr>
          <w:lang w:val="en-GB"/>
        </w:rPr>
        <w:t>).</w:t>
      </w:r>
      <w:r w:rsidR="00526262" w:rsidRPr="00F05B90">
        <w:rPr>
          <w:lang w:val="en-GB"/>
        </w:rPr>
        <w:t xml:space="preserve"> </w:t>
      </w:r>
      <w:r w:rsidR="00F75400" w:rsidRPr="00F05B90">
        <w:rPr>
          <w:lang w:val="en-GB"/>
        </w:rPr>
        <w:t xml:space="preserve">Therefore, </w:t>
      </w:r>
      <w:r w:rsidR="00F75400" w:rsidRPr="00F05B90">
        <w:t xml:space="preserve">we argue that </w:t>
      </w:r>
      <w:r w:rsidR="002633DE" w:rsidRPr="00F05B90">
        <w:t xml:space="preserve">by </w:t>
      </w:r>
      <w:r w:rsidR="00F75400" w:rsidRPr="00F05B90">
        <w:t xml:space="preserve">employing </w:t>
      </w:r>
      <w:r w:rsidR="002633DE" w:rsidRPr="00F05B90">
        <w:t xml:space="preserve">MAT levels </w:t>
      </w:r>
      <w:r w:rsidR="00F75400" w:rsidRPr="00F05B90">
        <w:t xml:space="preserve">and </w:t>
      </w:r>
      <w:r w:rsidR="002633DE" w:rsidRPr="00F05B90">
        <w:t xml:space="preserve">number of </w:t>
      </w:r>
      <w:r w:rsidR="00F75400" w:rsidRPr="00F05B90">
        <w:t>KAM</w:t>
      </w:r>
      <w:r w:rsidR="002633DE" w:rsidRPr="00F05B90">
        <w:t xml:space="preserve">, we </w:t>
      </w:r>
      <w:r w:rsidR="00F75400" w:rsidRPr="00F05B90">
        <w:t>more effective</w:t>
      </w:r>
      <w:r w:rsidR="002633DE" w:rsidRPr="00F05B90">
        <w:t>ly</w:t>
      </w:r>
      <w:r w:rsidR="00F75400" w:rsidRPr="00F05B90">
        <w:t xml:space="preserve"> captur</w:t>
      </w:r>
      <w:r w:rsidR="002633DE" w:rsidRPr="00F05B90">
        <w:t xml:space="preserve">e not only </w:t>
      </w:r>
      <w:r w:rsidR="00F75400" w:rsidRPr="00F05B90">
        <w:t xml:space="preserve">the </w:t>
      </w:r>
      <w:r w:rsidR="002633DE" w:rsidRPr="00F05B90">
        <w:t xml:space="preserve">broadness and </w:t>
      </w:r>
      <w:r w:rsidR="00F75400" w:rsidRPr="00F05B90">
        <w:t>depth of auditor</w:t>
      </w:r>
      <w:r w:rsidR="008E606E" w:rsidRPr="00F05B90">
        <w:t>s’</w:t>
      </w:r>
      <w:r w:rsidR="00F75400" w:rsidRPr="00F05B90">
        <w:t xml:space="preserve"> effort</w:t>
      </w:r>
      <w:r w:rsidR="002633DE" w:rsidRPr="00F05B90">
        <w:t xml:space="preserve">, hence the </w:t>
      </w:r>
      <w:r w:rsidR="00F75400" w:rsidRPr="00F05B90">
        <w:t>scope of external audits</w:t>
      </w:r>
      <w:r w:rsidR="004B00F8" w:rsidRPr="00F05B90">
        <w:t xml:space="preserve"> (Livne et al., 2024)</w:t>
      </w:r>
      <w:r w:rsidR="002633DE" w:rsidRPr="00F05B90">
        <w:t>, but also the auditors’ professional judgment</w:t>
      </w:r>
      <w:r w:rsidR="00526262" w:rsidRPr="00F05B90">
        <w:rPr>
          <w:lang w:val="en-GB"/>
        </w:rPr>
        <w:t>.</w:t>
      </w:r>
    </w:p>
    <w:p w14:paraId="37A92AF3" w14:textId="26777626" w:rsidR="00C42A1A" w:rsidRPr="00F05B90" w:rsidRDefault="00443B70" w:rsidP="00811596">
      <w:pPr>
        <w:spacing w:before="240" w:after="240" w:line="360" w:lineRule="auto"/>
        <w:jc w:val="both"/>
        <w:rPr>
          <w:lang w:val="en-GB"/>
        </w:rPr>
      </w:pPr>
      <w:r w:rsidRPr="00F05B90">
        <w:lastRenderedPageBreak/>
        <w:t>Furthermore, w</w:t>
      </w:r>
      <w:r w:rsidR="00C42A1A" w:rsidRPr="00F05B90">
        <w:t>e</w:t>
      </w:r>
      <w:r w:rsidRPr="00F05B90">
        <w:t xml:space="preserve"> </w:t>
      </w:r>
      <w:r w:rsidR="00C42A1A" w:rsidRPr="00F05B90">
        <w:t>challenge existing research postulating that auditor</w:t>
      </w:r>
      <w:r w:rsidRPr="00F05B90">
        <w:t>s’</w:t>
      </w:r>
      <w:r w:rsidR="00C42A1A" w:rsidRPr="00F05B90">
        <w:t xml:space="preserve"> response</w:t>
      </w:r>
      <w:r w:rsidRPr="00F05B90">
        <w:t>s</w:t>
      </w:r>
      <w:r w:rsidR="00C42A1A" w:rsidRPr="00F05B90">
        <w:t xml:space="preserve"> to </w:t>
      </w:r>
      <w:r w:rsidRPr="00F05B90">
        <w:t xml:space="preserve">tournament incentives are homogeneous. Instead, we posit </w:t>
      </w:r>
      <w:r w:rsidR="00C42A1A" w:rsidRPr="00F05B90">
        <w:t xml:space="preserve">that </w:t>
      </w:r>
      <w:r w:rsidRPr="00F05B90">
        <w:t xml:space="preserve">their </w:t>
      </w:r>
      <w:r w:rsidR="00C42A1A" w:rsidRPr="00F05B90">
        <w:rPr>
          <w:lang w:val="en-GB"/>
        </w:rPr>
        <w:t xml:space="preserve">responses </w:t>
      </w:r>
      <w:r w:rsidRPr="00F05B90">
        <w:rPr>
          <w:lang w:val="en-GB"/>
        </w:rPr>
        <w:t xml:space="preserve">are </w:t>
      </w:r>
      <w:r w:rsidR="00C42A1A" w:rsidRPr="00F05B90">
        <w:rPr>
          <w:lang w:val="en-GB"/>
        </w:rPr>
        <w:t xml:space="preserve">contingent on CEOs’ ability to </w:t>
      </w:r>
      <w:r w:rsidRPr="00F05B90">
        <w:rPr>
          <w:lang w:val="en-GB"/>
        </w:rPr>
        <w:t>exploit</w:t>
      </w:r>
      <w:r w:rsidR="00C42A1A" w:rsidRPr="00F05B90">
        <w:rPr>
          <w:lang w:val="en-GB"/>
        </w:rPr>
        <w:t xml:space="preserve"> the flexibility inherent to financial reporting, </w:t>
      </w:r>
      <w:r w:rsidRPr="00F05B90">
        <w:rPr>
          <w:lang w:val="en-GB"/>
        </w:rPr>
        <w:t xml:space="preserve">particularly </w:t>
      </w:r>
      <w:r w:rsidR="00F84A45" w:rsidRPr="00F05B90">
        <w:rPr>
          <w:lang w:val="en-GB"/>
        </w:rPr>
        <w:t xml:space="preserve">when CEOs </w:t>
      </w:r>
      <w:r w:rsidR="00C42A1A" w:rsidRPr="00F05B90">
        <w:rPr>
          <w:lang w:val="en-GB"/>
        </w:rPr>
        <w:t xml:space="preserve">possess relevant financial expertise.  Indeed, </w:t>
      </w:r>
      <w:r w:rsidR="00F84A45" w:rsidRPr="00F05B90">
        <w:rPr>
          <w:lang w:val="en-GB"/>
        </w:rPr>
        <w:t xml:space="preserve">research shows </w:t>
      </w:r>
      <w:r w:rsidR="00C42A1A" w:rsidRPr="00F05B90">
        <w:rPr>
          <w:lang w:val="en-GB"/>
        </w:rPr>
        <w:t xml:space="preserve">that CEOs </w:t>
      </w:r>
      <w:r w:rsidR="00F84A45" w:rsidRPr="00F05B90">
        <w:rPr>
          <w:lang w:val="en-GB"/>
        </w:rPr>
        <w:t xml:space="preserve">with </w:t>
      </w:r>
      <w:r w:rsidR="00C42A1A" w:rsidRPr="00F05B90">
        <w:rPr>
          <w:lang w:val="en-GB"/>
        </w:rPr>
        <w:t xml:space="preserve">financial experience </w:t>
      </w:r>
      <w:r w:rsidR="00F84A45" w:rsidRPr="00F05B90">
        <w:rPr>
          <w:lang w:val="en-GB"/>
        </w:rPr>
        <w:t xml:space="preserve">influence </w:t>
      </w:r>
      <w:r w:rsidR="00C42A1A" w:rsidRPr="00F05B90">
        <w:rPr>
          <w:lang w:val="en-GB"/>
        </w:rPr>
        <w:t>firms’   financial polic</w:t>
      </w:r>
      <w:r w:rsidR="00F84A45" w:rsidRPr="00F05B90">
        <w:rPr>
          <w:lang w:val="en-GB"/>
        </w:rPr>
        <w:t>ies</w:t>
      </w:r>
      <w:r w:rsidR="00C42A1A" w:rsidRPr="00F05B90">
        <w:rPr>
          <w:lang w:val="en-GB"/>
        </w:rPr>
        <w:t>, risk profile</w:t>
      </w:r>
      <w:r w:rsidR="00F84A45" w:rsidRPr="00F05B90">
        <w:rPr>
          <w:lang w:val="en-GB"/>
        </w:rPr>
        <w:t>s</w:t>
      </w:r>
      <w:r w:rsidR="00C42A1A" w:rsidRPr="00F05B90">
        <w:rPr>
          <w:lang w:val="en-GB"/>
        </w:rPr>
        <w:t xml:space="preserve"> and financial reporting environment (Custodio &amp; Metzger, 2014; Matsunaga et al., 2013). These later findings raise a valid concern </w:t>
      </w:r>
      <w:r w:rsidR="00811596" w:rsidRPr="00F05B90">
        <w:rPr>
          <w:lang w:val="en-GB"/>
        </w:rPr>
        <w:t xml:space="preserve">about </w:t>
      </w:r>
      <w:r w:rsidR="00C42A1A" w:rsidRPr="00F05B90">
        <w:rPr>
          <w:lang w:val="en-GB"/>
        </w:rPr>
        <w:t xml:space="preserve">whether it is </w:t>
      </w:r>
      <w:r w:rsidR="002E63E8" w:rsidRPr="00F05B90">
        <w:rPr>
          <w:lang w:val="en-GB"/>
        </w:rPr>
        <w:t xml:space="preserve">the tournament incentive </w:t>
      </w:r>
      <w:r w:rsidR="00F84A45" w:rsidRPr="00F05B90">
        <w:rPr>
          <w:lang w:val="en-GB"/>
        </w:rPr>
        <w:t>alone</w:t>
      </w:r>
      <w:r w:rsidR="00811596" w:rsidRPr="00F05B90">
        <w:rPr>
          <w:lang w:val="en-GB"/>
        </w:rPr>
        <w:t>,</w:t>
      </w:r>
      <w:r w:rsidR="00F84A45" w:rsidRPr="00F05B90">
        <w:rPr>
          <w:lang w:val="en-GB"/>
        </w:rPr>
        <w:t xml:space="preserve"> </w:t>
      </w:r>
      <w:r w:rsidR="00C42A1A" w:rsidRPr="00F05B90">
        <w:rPr>
          <w:lang w:val="en-GB"/>
        </w:rPr>
        <w:t xml:space="preserve">or </w:t>
      </w:r>
      <w:r w:rsidR="009635EA" w:rsidRPr="00F05B90">
        <w:rPr>
          <w:lang w:val="en-GB"/>
        </w:rPr>
        <w:t xml:space="preserve">the combination of </w:t>
      </w:r>
      <w:r w:rsidR="00811596" w:rsidRPr="00F05B90">
        <w:rPr>
          <w:lang w:val="en-GB"/>
        </w:rPr>
        <w:t xml:space="preserve">such </w:t>
      </w:r>
      <w:r w:rsidR="009635EA" w:rsidRPr="00F05B90">
        <w:rPr>
          <w:lang w:val="en-GB"/>
        </w:rPr>
        <w:t xml:space="preserve">incentives and CEOs </w:t>
      </w:r>
      <w:r w:rsidR="00811596" w:rsidRPr="00F05B90">
        <w:rPr>
          <w:lang w:val="en-GB"/>
        </w:rPr>
        <w:t>with</w:t>
      </w:r>
      <w:r w:rsidR="002E63E8" w:rsidRPr="00F05B90">
        <w:rPr>
          <w:lang w:val="en-GB"/>
        </w:rPr>
        <w:t xml:space="preserve"> relevant </w:t>
      </w:r>
      <w:r w:rsidR="00C42A1A" w:rsidRPr="00F05B90">
        <w:rPr>
          <w:lang w:val="en-GB"/>
        </w:rPr>
        <w:t>financial background</w:t>
      </w:r>
      <w:r w:rsidR="00811596" w:rsidRPr="00F05B90">
        <w:rPr>
          <w:lang w:val="en-GB"/>
        </w:rPr>
        <w:t>,</w:t>
      </w:r>
      <w:r w:rsidR="009635EA" w:rsidRPr="00F05B90">
        <w:rPr>
          <w:lang w:val="en-GB"/>
        </w:rPr>
        <w:t xml:space="preserve"> that affects auditors’ judgement</w:t>
      </w:r>
      <w:r w:rsidR="002E63E8" w:rsidRPr="00F05B90">
        <w:rPr>
          <w:lang w:val="en-GB"/>
        </w:rPr>
        <w:t xml:space="preserve">. </w:t>
      </w:r>
      <w:r w:rsidR="00C42A1A" w:rsidRPr="00F05B90">
        <w:rPr>
          <w:lang w:val="en-GB"/>
        </w:rPr>
        <w:t xml:space="preserve">Therefore, </w:t>
      </w:r>
      <w:r w:rsidR="00C42A1A" w:rsidRPr="00F05B90">
        <w:t>we</w:t>
      </w:r>
      <w:r w:rsidR="00811596" w:rsidRPr="00F05B90">
        <w:t>, further,</w:t>
      </w:r>
      <w:r w:rsidR="00C42A1A" w:rsidRPr="00F05B90">
        <w:t xml:space="preserve"> exten</w:t>
      </w:r>
      <w:r w:rsidR="007549B8" w:rsidRPr="00F05B90">
        <w:t>d</w:t>
      </w:r>
      <w:r w:rsidR="00C42A1A" w:rsidRPr="00F05B90">
        <w:t xml:space="preserve"> prior research by investigating whether auditors’ response to i</w:t>
      </w:r>
      <w:r w:rsidR="00E23144" w:rsidRPr="00F05B90">
        <w:t xml:space="preserve">ndustry tournament incentive </w:t>
      </w:r>
      <w:r w:rsidR="00C42A1A" w:rsidRPr="00F05B90">
        <w:t xml:space="preserve">is contingent on CEOs ability to misuse </w:t>
      </w:r>
      <w:r w:rsidR="00C42A1A" w:rsidRPr="00F05B90">
        <w:rPr>
          <w:lang w:val="en-GB"/>
        </w:rPr>
        <w:t xml:space="preserve">the flexibility inherent to financial reporting (i.e., posseting relevant financial background). </w:t>
      </w:r>
    </w:p>
    <w:p w14:paraId="1C2F0FAB" w14:textId="636CA6FC" w:rsidR="00F80955" w:rsidRPr="00F05B90" w:rsidRDefault="00F80955" w:rsidP="004E28F0">
      <w:pPr>
        <w:spacing w:before="240" w:after="240" w:line="360" w:lineRule="auto"/>
        <w:jc w:val="both"/>
        <w:rPr>
          <w:lang w:val="en-GB"/>
        </w:rPr>
      </w:pPr>
      <w:r w:rsidRPr="00F05B90">
        <w:rPr>
          <w:lang w:val="en-GB"/>
        </w:rPr>
        <w:t>To investigate our research question</w:t>
      </w:r>
      <w:r w:rsidR="00F65862" w:rsidRPr="00F05B90">
        <w:rPr>
          <w:lang w:val="en-GB"/>
        </w:rPr>
        <w:t>, we</w:t>
      </w:r>
      <w:r w:rsidRPr="00F05B90">
        <w:rPr>
          <w:lang w:val="en-GB"/>
        </w:rPr>
        <w:t xml:space="preserve"> use a sample of </w:t>
      </w:r>
      <w:r w:rsidR="000F3113" w:rsidRPr="00F05B90">
        <w:rPr>
          <w:lang w:val="en-GB"/>
        </w:rPr>
        <w:t>UK</w:t>
      </w:r>
      <w:r w:rsidRPr="00F05B90">
        <w:rPr>
          <w:lang w:val="en-GB"/>
        </w:rPr>
        <w:t xml:space="preserve"> firms </w:t>
      </w:r>
      <w:r w:rsidR="00276121" w:rsidRPr="00F05B90">
        <w:rPr>
          <w:lang w:val="en-GB"/>
        </w:rPr>
        <w:t xml:space="preserve">from </w:t>
      </w:r>
      <w:r w:rsidRPr="00F05B90">
        <w:rPr>
          <w:lang w:val="en-GB"/>
        </w:rPr>
        <w:t>2013</w:t>
      </w:r>
      <w:r w:rsidR="00BD3B97" w:rsidRPr="00F05B90">
        <w:rPr>
          <w:lang w:val="en-GB"/>
        </w:rPr>
        <w:t xml:space="preserve"> to </w:t>
      </w:r>
      <w:r w:rsidRPr="00F05B90">
        <w:rPr>
          <w:lang w:val="en-GB"/>
        </w:rPr>
        <w:t>2020 and two proxies for auditors</w:t>
      </w:r>
      <w:r w:rsidR="00BD3B97" w:rsidRPr="00F05B90">
        <w:rPr>
          <w:lang w:val="en-GB"/>
        </w:rPr>
        <w:t>’</w:t>
      </w:r>
      <w:r w:rsidRPr="00F05B90">
        <w:rPr>
          <w:lang w:val="en-GB"/>
        </w:rPr>
        <w:t xml:space="preserve"> </w:t>
      </w:r>
      <w:r w:rsidR="00B1778A" w:rsidRPr="00F05B90">
        <w:rPr>
          <w:lang w:val="en-GB"/>
        </w:rPr>
        <w:t>judgment</w:t>
      </w:r>
      <w:r w:rsidR="00276121" w:rsidRPr="00F05B90">
        <w:rPr>
          <w:lang w:val="en-GB"/>
        </w:rPr>
        <w:t xml:space="preserve">: </w:t>
      </w:r>
      <w:r w:rsidRPr="00F05B90">
        <w:rPr>
          <w:lang w:val="en-GB"/>
        </w:rPr>
        <w:t xml:space="preserve">the number of </w:t>
      </w:r>
      <w:r w:rsidR="00273F6D" w:rsidRPr="00F05B90">
        <w:rPr>
          <w:lang w:val="en-GB"/>
        </w:rPr>
        <w:t>key audit matters</w:t>
      </w:r>
      <w:r w:rsidR="000F3113" w:rsidRPr="00F05B90">
        <w:rPr>
          <w:lang w:val="en-GB"/>
        </w:rPr>
        <w:t xml:space="preserve"> </w:t>
      </w:r>
      <w:r w:rsidR="00276121" w:rsidRPr="00F05B90">
        <w:rPr>
          <w:lang w:val="en-GB"/>
        </w:rPr>
        <w:t xml:space="preserve">(KAM) </w:t>
      </w:r>
      <w:r w:rsidRPr="00F05B90">
        <w:rPr>
          <w:lang w:val="en-GB"/>
        </w:rPr>
        <w:t xml:space="preserve">reported in </w:t>
      </w:r>
      <w:r w:rsidR="00BD3B97" w:rsidRPr="00F05B90">
        <w:rPr>
          <w:lang w:val="en-GB"/>
        </w:rPr>
        <w:t xml:space="preserve">the </w:t>
      </w:r>
      <w:r w:rsidRPr="00F05B90">
        <w:rPr>
          <w:lang w:val="en-GB"/>
        </w:rPr>
        <w:t xml:space="preserve">auditor report (Lennox et al., 2018; Reid et al., 2019) and materiality </w:t>
      </w:r>
      <w:r w:rsidR="00276121" w:rsidRPr="00F05B90">
        <w:rPr>
          <w:lang w:val="en-GB"/>
        </w:rPr>
        <w:t xml:space="preserve">(MAT) </w:t>
      </w:r>
      <w:r w:rsidRPr="00F05B90">
        <w:rPr>
          <w:lang w:val="en-GB"/>
        </w:rPr>
        <w:t xml:space="preserve">level. Our </w:t>
      </w:r>
      <w:r w:rsidR="00276121" w:rsidRPr="00F05B90">
        <w:rPr>
          <w:lang w:val="en-GB"/>
        </w:rPr>
        <w:t xml:space="preserve">results </w:t>
      </w:r>
      <w:r w:rsidR="00E23144" w:rsidRPr="00F05B90">
        <w:rPr>
          <w:lang w:val="en-GB"/>
        </w:rPr>
        <w:t>suggest</w:t>
      </w:r>
      <w:r w:rsidR="00276121" w:rsidRPr="00F05B90">
        <w:rPr>
          <w:lang w:val="en-GB"/>
        </w:rPr>
        <w:t xml:space="preserve"> </w:t>
      </w:r>
      <w:r w:rsidRPr="00F05B90">
        <w:rPr>
          <w:lang w:val="en-GB"/>
        </w:rPr>
        <w:t>a negative association between industry tournament incentives and auditors</w:t>
      </w:r>
      <w:r w:rsidR="00D12621" w:rsidRPr="00F05B90">
        <w:rPr>
          <w:lang w:val="en-GB"/>
        </w:rPr>
        <w:t>’</w:t>
      </w:r>
      <w:r w:rsidRPr="00F05B90">
        <w:rPr>
          <w:lang w:val="en-GB"/>
        </w:rPr>
        <w:t xml:space="preserve"> professional </w:t>
      </w:r>
      <w:r w:rsidR="00B1778A" w:rsidRPr="00F05B90">
        <w:rPr>
          <w:lang w:val="en-GB"/>
        </w:rPr>
        <w:t>judgment</w:t>
      </w:r>
      <w:r w:rsidRPr="00F05B90">
        <w:rPr>
          <w:lang w:val="en-GB"/>
        </w:rPr>
        <w:t xml:space="preserve">. Specifically, auditors appear to </w:t>
      </w:r>
      <w:r w:rsidR="00276121" w:rsidRPr="00F05B90">
        <w:rPr>
          <w:lang w:val="en-GB"/>
        </w:rPr>
        <w:t>perceive that higher industry tournament incentives</w:t>
      </w:r>
      <w:r w:rsidR="009A19ED" w:rsidRPr="00F05B90">
        <w:rPr>
          <w:lang w:val="en-GB"/>
        </w:rPr>
        <w:t xml:space="preserve"> reduce </w:t>
      </w:r>
      <w:r w:rsidRPr="00F05B90">
        <w:rPr>
          <w:lang w:val="en-GB"/>
        </w:rPr>
        <w:t xml:space="preserve">audit risk, </w:t>
      </w:r>
      <w:r w:rsidR="009A19ED" w:rsidRPr="00F05B90">
        <w:rPr>
          <w:lang w:val="en-GB"/>
        </w:rPr>
        <w:t xml:space="preserve">prompting them to narrow the audit </w:t>
      </w:r>
      <w:r w:rsidRPr="00F05B90">
        <w:rPr>
          <w:lang w:val="en-GB"/>
        </w:rPr>
        <w:t xml:space="preserve">scope. </w:t>
      </w:r>
      <w:r w:rsidR="009A19ED" w:rsidRPr="00F05B90">
        <w:rPr>
          <w:lang w:val="en-GB"/>
        </w:rPr>
        <w:t>However, when CEOs have</w:t>
      </w:r>
      <w:r w:rsidR="00D12621" w:rsidRPr="00F05B90">
        <w:rPr>
          <w:lang w:val="en-GB"/>
        </w:rPr>
        <w:t xml:space="preserve"> </w:t>
      </w:r>
      <w:r w:rsidRPr="00F05B90">
        <w:rPr>
          <w:lang w:val="en-GB"/>
        </w:rPr>
        <w:t>financ</w:t>
      </w:r>
      <w:r w:rsidR="00D12621" w:rsidRPr="00F05B90">
        <w:rPr>
          <w:lang w:val="en-GB"/>
        </w:rPr>
        <w:t>e</w:t>
      </w:r>
      <w:r w:rsidR="00EF3A59" w:rsidRPr="00F05B90">
        <w:rPr>
          <w:lang w:val="en-GB"/>
        </w:rPr>
        <w:t xml:space="preserve"> </w:t>
      </w:r>
      <w:r w:rsidR="009A19ED" w:rsidRPr="00F05B90">
        <w:rPr>
          <w:lang w:val="en-GB"/>
        </w:rPr>
        <w:t xml:space="preserve">expertise or experience </w:t>
      </w:r>
      <w:r w:rsidR="00D12621" w:rsidRPr="00F05B90">
        <w:rPr>
          <w:lang w:val="en-GB"/>
        </w:rPr>
        <w:t>in the</w:t>
      </w:r>
      <w:r w:rsidR="009A19ED" w:rsidRPr="00F05B90">
        <w:rPr>
          <w:lang w:val="en-GB"/>
        </w:rPr>
        <w:t>ir</w:t>
      </w:r>
      <w:r w:rsidR="00D12621" w:rsidRPr="00F05B90">
        <w:rPr>
          <w:lang w:val="en-GB"/>
        </w:rPr>
        <w:t xml:space="preserve"> career</w:t>
      </w:r>
      <w:r w:rsidRPr="00F05B90">
        <w:rPr>
          <w:lang w:val="en-GB"/>
        </w:rPr>
        <w:t xml:space="preserve"> background</w:t>
      </w:r>
      <w:r w:rsidR="009A19ED" w:rsidRPr="00F05B90">
        <w:rPr>
          <w:lang w:val="en-GB"/>
        </w:rPr>
        <w:t>,</w:t>
      </w:r>
      <w:r w:rsidR="00EF3A59" w:rsidRPr="00F05B90">
        <w:rPr>
          <w:lang w:val="en-GB"/>
        </w:rPr>
        <w:t xml:space="preserve"> </w:t>
      </w:r>
      <w:bookmarkStart w:id="4" w:name="_Hlk126326370"/>
      <w:r w:rsidR="009A19ED" w:rsidRPr="00F05B90">
        <w:rPr>
          <w:lang w:val="en-GB"/>
        </w:rPr>
        <w:t xml:space="preserve">auditors seem to view the industry pay gap as increasing business and fraud risks, </w:t>
      </w:r>
      <w:bookmarkEnd w:id="4"/>
      <w:r w:rsidR="009A19ED" w:rsidRPr="00F05B90">
        <w:rPr>
          <w:lang w:val="en-GB"/>
        </w:rPr>
        <w:t xml:space="preserve">leading to increased </w:t>
      </w:r>
      <w:r w:rsidRPr="00F05B90">
        <w:rPr>
          <w:lang w:val="en-GB"/>
        </w:rPr>
        <w:t xml:space="preserve">depth </w:t>
      </w:r>
      <w:r w:rsidR="009A19ED" w:rsidRPr="00F05B90">
        <w:rPr>
          <w:lang w:val="en-GB"/>
        </w:rPr>
        <w:t xml:space="preserve">and breadth </w:t>
      </w:r>
      <w:r w:rsidRPr="00F05B90">
        <w:rPr>
          <w:lang w:val="en-GB"/>
        </w:rPr>
        <w:t xml:space="preserve">of auditors’ audit </w:t>
      </w:r>
      <w:r w:rsidR="00EF3A59" w:rsidRPr="00F05B90">
        <w:rPr>
          <w:lang w:val="en-GB"/>
        </w:rPr>
        <w:t>approach by lowering the MAT levels adopted in audit procedures</w:t>
      </w:r>
      <w:r w:rsidRPr="00F05B90">
        <w:rPr>
          <w:lang w:val="en-GB"/>
        </w:rPr>
        <w:t xml:space="preserve">. </w:t>
      </w:r>
      <w:r w:rsidR="0028501E" w:rsidRPr="00F05B90">
        <w:rPr>
          <w:lang w:val="en-GB"/>
        </w:rPr>
        <w:t xml:space="preserve">We also examine how </w:t>
      </w:r>
      <w:r w:rsidR="00B942F5" w:rsidRPr="00F05B90">
        <w:rPr>
          <w:lang w:val="en-GB"/>
        </w:rPr>
        <w:t xml:space="preserve">CEOs </w:t>
      </w:r>
      <w:r w:rsidR="001F6F65" w:rsidRPr="00F05B90">
        <w:rPr>
          <w:lang w:val="en-GB"/>
        </w:rPr>
        <w:t xml:space="preserve">career horizons </w:t>
      </w:r>
      <w:r w:rsidR="0028501E" w:rsidRPr="00F05B90">
        <w:rPr>
          <w:lang w:val="en-GB"/>
        </w:rPr>
        <w:t>influence auditors’ response</w:t>
      </w:r>
      <w:r w:rsidR="001F6F65" w:rsidRPr="00F05B90">
        <w:rPr>
          <w:lang w:val="en-GB"/>
        </w:rPr>
        <w:t>s</w:t>
      </w:r>
      <w:r w:rsidR="0028501E" w:rsidRPr="00F05B90">
        <w:rPr>
          <w:lang w:val="en-GB"/>
        </w:rPr>
        <w:t xml:space="preserve">. </w:t>
      </w:r>
      <w:r w:rsidR="00667C72" w:rsidRPr="00F05B90">
        <w:rPr>
          <w:lang w:val="en-GB"/>
        </w:rPr>
        <w:t>CEOs with longer career horizons</w:t>
      </w:r>
      <w:r w:rsidR="0028501E" w:rsidRPr="00F05B90">
        <w:rPr>
          <w:lang w:val="en-GB"/>
        </w:rPr>
        <w:t xml:space="preserve"> </w:t>
      </w:r>
      <w:r w:rsidR="0028501E" w:rsidRPr="00F05B90">
        <w:t>(younger CEOs)</w:t>
      </w:r>
      <w:r w:rsidR="00667C72" w:rsidRPr="00F05B90">
        <w:rPr>
          <w:lang w:val="en-GB"/>
        </w:rPr>
        <w:t xml:space="preserve"> have greater motivation </w:t>
      </w:r>
      <w:r w:rsidR="00780E5E" w:rsidRPr="00F05B90">
        <w:rPr>
          <w:lang w:val="en-GB"/>
        </w:rPr>
        <w:t xml:space="preserve">to </w:t>
      </w:r>
      <w:r w:rsidR="00667C72" w:rsidRPr="00F05B90">
        <w:rPr>
          <w:lang w:val="en-GB"/>
        </w:rPr>
        <w:t xml:space="preserve">win the tournament </w:t>
      </w:r>
      <w:r w:rsidR="007310CC" w:rsidRPr="00F05B90">
        <w:rPr>
          <w:lang w:val="en-GB"/>
        </w:rPr>
        <w:t>‘</w:t>
      </w:r>
      <w:r w:rsidR="00667C72" w:rsidRPr="00F05B90">
        <w:rPr>
          <w:lang w:val="en-GB"/>
        </w:rPr>
        <w:t>prize</w:t>
      </w:r>
      <w:r w:rsidR="007310CC" w:rsidRPr="00F05B90">
        <w:rPr>
          <w:lang w:val="en-GB"/>
        </w:rPr>
        <w:t>’</w:t>
      </w:r>
      <w:r w:rsidR="001F6F65" w:rsidRPr="00F05B90">
        <w:rPr>
          <w:lang w:val="en-GB"/>
        </w:rPr>
        <w:t>, while older CEOs with shorter horizons are less motivated (Veiga, 1983, Ward et al., 1995).</w:t>
      </w:r>
      <w:r w:rsidR="00F94C96" w:rsidRPr="00F05B90">
        <w:rPr>
          <w:lang w:val="en-GB"/>
        </w:rPr>
        <w:t xml:space="preserve"> </w:t>
      </w:r>
      <w:r w:rsidR="001F6F65" w:rsidRPr="00F05B90">
        <w:rPr>
          <w:lang w:val="en-GB"/>
        </w:rPr>
        <w:t xml:space="preserve">Our </w:t>
      </w:r>
      <w:r w:rsidR="00667C72" w:rsidRPr="00F05B90">
        <w:rPr>
          <w:lang w:val="en-GB"/>
        </w:rPr>
        <w:t>further analysis</w:t>
      </w:r>
      <w:r w:rsidR="001F6F65" w:rsidRPr="00F05B90">
        <w:rPr>
          <w:lang w:val="en-GB"/>
        </w:rPr>
        <w:t xml:space="preserve"> shows that </w:t>
      </w:r>
      <w:r w:rsidR="00273F6D" w:rsidRPr="00F05B90">
        <w:rPr>
          <w:lang w:val="en-GB"/>
        </w:rPr>
        <w:t>industry tournament</w:t>
      </w:r>
      <w:r w:rsidR="00667C72" w:rsidRPr="00F05B90">
        <w:rPr>
          <w:lang w:val="en-GB"/>
        </w:rPr>
        <w:t xml:space="preserve"> incentives </w:t>
      </w:r>
      <w:r w:rsidR="001F6F65" w:rsidRPr="00F05B90">
        <w:rPr>
          <w:lang w:val="en-GB"/>
        </w:rPr>
        <w:t xml:space="preserve">have a stronger impact </w:t>
      </w:r>
      <w:r w:rsidR="00667C72" w:rsidRPr="00F05B90">
        <w:rPr>
          <w:lang w:val="en-GB"/>
        </w:rPr>
        <w:t xml:space="preserve">on </w:t>
      </w:r>
      <w:r w:rsidR="001F6F65" w:rsidRPr="00F05B90">
        <w:rPr>
          <w:lang w:val="en-GB"/>
        </w:rPr>
        <w:t xml:space="preserve">number of </w:t>
      </w:r>
      <w:r w:rsidR="00667C72" w:rsidRPr="00F05B90">
        <w:rPr>
          <w:lang w:val="en-GB"/>
        </w:rPr>
        <w:t>KAM</w:t>
      </w:r>
      <w:r w:rsidR="001F6F65" w:rsidRPr="00F05B90">
        <w:rPr>
          <w:lang w:val="en-GB"/>
        </w:rPr>
        <w:t xml:space="preserve"> for older </w:t>
      </w:r>
      <w:r w:rsidR="00667C72" w:rsidRPr="00F05B90">
        <w:rPr>
          <w:lang w:val="en-GB"/>
        </w:rPr>
        <w:t xml:space="preserve">CEOs </w:t>
      </w:r>
      <w:r w:rsidR="001F6F65" w:rsidRPr="00F05B90">
        <w:rPr>
          <w:lang w:val="en-GB"/>
        </w:rPr>
        <w:t xml:space="preserve">and a greater effect on </w:t>
      </w:r>
      <w:r w:rsidR="00F94C96" w:rsidRPr="00F05B90">
        <w:rPr>
          <w:lang w:val="en-GB"/>
        </w:rPr>
        <w:t>MAT levels for younger CEOs.</w:t>
      </w:r>
      <w:r w:rsidR="00C469B0" w:rsidRPr="00F05B90">
        <w:rPr>
          <w:lang w:val="en-GB"/>
        </w:rPr>
        <w:t xml:space="preserve"> </w:t>
      </w:r>
      <w:r w:rsidR="004E28F0" w:rsidRPr="00F05B90">
        <w:rPr>
          <w:lang w:val="en-GB"/>
        </w:rPr>
        <w:t xml:space="preserve">We also control for CFO incentives and intra-firm tournament incentives. </w:t>
      </w:r>
      <w:r w:rsidRPr="00F05B90">
        <w:rPr>
          <w:lang w:val="en-GB"/>
        </w:rPr>
        <w:t xml:space="preserve">Our findings are robust to several alternative specifications and control for potential endogeneity issues. Although our results continue to hold, we cannot completely rule out the possibility that some endogeneity issues remain. </w:t>
      </w:r>
    </w:p>
    <w:p w14:paraId="03DCA34F" w14:textId="7D34A6FA" w:rsidR="007C6B8D" w:rsidRPr="00F05B90" w:rsidRDefault="00F80955" w:rsidP="00B3493A">
      <w:pPr>
        <w:spacing w:before="240" w:after="240" w:line="360" w:lineRule="auto"/>
        <w:jc w:val="both"/>
      </w:pPr>
      <w:r w:rsidRPr="00F05B90">
        <w:rPr>
          <w:lang w:val="en-GB"/>
        </w:rPr>
        <w:t>This paper contributes to the auditing literature by advancing our knowledge of the relations between firm compensation policies and auditors</w:t>
      </w:r>
      <w:r w:rsidR="007310CC" w:rsidRPr="00F05B90">
        <w:rPr>
          <w:lang w:val="en-GB"/>
        </w:rPr>
        <w:t>’</w:t>
      </w:r>
      <w:r w:rsidRPr="00F05B90">
        <w:rPr>
          <w:lang w:val="en-GB"/>
        </w:rPr>
        <w:t xml:space="preserve"> </w:t>
      </w:r>
      <w:r w:rsidR="00B3493A" w:rsidRPr="00F05B90">
        <w:rPr>
          <w:lang w:val="en-GB"/>
        </w:rPr>
        <w:t xml:space="preserve">judgment </w:t>
      </w:r>
      <w:r w:rsidRPr="00F05B90">
        <w:rPr>
          <w:lang w:val="en-GB"/>
        </w:rPr>
        <w:t>and their efforts. Despite the importance of auditor</w:t>
      </w:r>
      <w:r w:rsidR="007310CC" w:rsidRPr="00F05B90">
        <w:rPr>
          <w:lang w:val="en-GB"/>
        </w:rPr>
        <w:t>s’</w:t>
      </w:r>
      <w:r w:rsidRPr="00F05B90">
        <w:rPr>
          <w:lang w:val="en-GB"/>
        </w:rPr>
        <w:t xml:space="preserve"> professional </w:t>
      </w:r>
      <w:r w:rsidR="00DB5F8F" w:rsidRPr="00F05B90">
        <w:rPr>
          <w:lang w:val="en-GB"/>
        </w:rPr>
        <w:t>judgment</w:t>
      </w:r>
      <w:r w:rsidRPr="00F05B90">
        <w:rPr>
          <w:lang w:val="en-GB"/>
        </w:rPr>
        <w:t xml:space="preserve"> on audit quality, evidence of th</w:t>
      </w:r>
      <w:r w:rsidR="007310CC" w:rsidRPr="00F05B90">
        <w:rPr>
          <w:lang w:val="en-GB"/>
        </w:rPr>
        <w:t xml:space="preserve">e </w:t>
      </w:r>
      <w:r w:rsidR="00DB5F8F" w:rsidRPr="00F05B90">
        <w:rPr>
          <w:lang w:val="en-GB"/>
        </w:rPr>
        <w:t>judgment</w:t>
      </w:r>
      <w:r w:rsidRPr="00F05B90">
        <w:rPr>
          <w:lang w:val="en-GB"/>
        </w:rPr>
        <w:t xml:space="preserve"> </w:t>
      </w:r>
      <w:r w:rsidRPr="00F05B90">
        <w:rPr>
          <w:lang w:val="en-GB"/>
        </w:rPr>
        <w:lastRenderedPageBreak/>
        <w:t>process in the context of the audit plan is limited</w:t>
      </w:r>
      <w:r w:rsidRPr="00F05B90">
        <w:rPr>
          <w:rStyle w:val="FootnoteReference"/>
          <w:lang w:val="en-GB"/>
        </w:rPr>
        <w:footnoteReference w:id="5"/>
      </w:r>
      <w:r w:rsidRPr="00F05B90">
        <w:rPr>
          <w:lang w:val="en-GB"/>
        </w:rPr>
        <w:t>. Therefore, to the best of our knowledge, this is the first paper to examine the influence of industry tournament incentives on auditors</w:t>
      </w:r>
      <w:r w:rsidR="007310CC" w:rsidRPr="00F05B90">
        <w:rPr>
          <w:lang w:val="en-GB"/>
        </w:rPr>
        <w:t>’</w:t>
      </w:r>
      <w:r w:rsidRPr="00F05B90">
        <w:rPr>
          <w:lang w:val="en-GB"/>
        </w:rPr>
        <w:t xml:space="preserve"> professional judgments. Specifically, we document that industry tournament incentives statistically and economically </w:t>
      </w:r>
      <w:r w:rsidR="007C6B8D" w:rsidRPr="00F05B90">
        <w:rPr>
          <w:lang w:val="en-GB"/>
        </w:rPr>
        <w:t>affect</w:t>
      </w:r>
      <w:r w:rsidRPr="00F05B90">
        <w:rPr>
          <w:lang w:val="en-GB"/>
        </w:rPr>
        <w:t xml:space="preserve"> </w:t>
      </w:r>
      <w:r w:rsidR="00086727" w:rsidRPr="00F05B90">
        <w:rPr>
          <w:lang w:val="en-GB"/>
        </w:rPr>
        <w:t xml:space="preserve">the number of </w:t>
      </w:r>
      <w:r w:rsidRPr="00F05B90">
        <w:rPr>
          <w:lang w:val="en-GB"/>
        </w:rPr>
        <w:t>KAM and MAT</w:t>
      </w:r>
      <w:r w:rsidR="00086727" w:rsidRPr="00F05B90">
        <w:rPr>
          <w:lang w:val="en-GB"/>
        </w:rPr>
        <w:t xml:space="preserve"> levels</w:t>
      </w:r>
      <w:r w:rsidRPr="00F05B90">
        <w:rPr>
          <w:lang w:val="en-GB"/>
        </w:rPr>
        <w:t xml:space="preserve"> </w:t>
      </w:r>
      <w:r w:rsidR="007310CC" w:rsidRPr="00F05B90">
        <w:rPr>
          <w:lang w:val="en-GB"/>
        </w:rPr>
        <w:t xml:space="preserve">reported </w:t>
      </w:r>
      <w:r w:rsidRPr="00F05B90">
        <w:rPr>
          <w:lang w:val="en-GB"/>
        </w:rPr>
        <w:t xml:space="preserve">by external auditors. </w:t>
      </w:r>
      <w:r w:rsidR="00844C2E" w:rsidRPr="00F05B90">
        <w:t>While existing studies on audit quality and CEO industry tournaments are important (</w:t>
      </w:r>
      <w:r w:rsidR="00E41E36" w:rsidRPr="00F05B90">
        <w:t>e.g.</w:t>
      </w:r>
      <w:r w:rsidR="00844C2E" w:rsidRPr="00F05B90">
        <w:t xml:space="preserve">, Tan, 2021), our research extends this literature by providing the first evidence of </w:t>
      </w:r>
      <w:r w:rsidR="00DC5E6F" w:rsidRPr="00F05B90">
        <w:t>new</w:t>
      </w:r>
      <w:r w:rsidR="00844C2E" w:rsidRPr="00F05B90">
        <w:t xml:space="preserve"> channels</w:t>
      </w:r>
      <w:r w:rsidR="00086727" w:rsidRPr="00F05B90">
        <w:t xml:space="preserve"> (i.e., number of KAM and MAT l</w:t>
      </w:r>
      <w:r w:rsidR="00844C2E" w:rsidRPr="00F05B90">
        <w:t>evel</w:t>
      </w:r>
      <w:r w:rsidR="00086727" w:rsidRPr="00F05B90">
        <w:t xml:space="preserve">s) </w:t>
      </w:r>
      <w:r w:rsidR="00844C2E" w:rsidRPr="00F05B90">
        <w:t xml:space="preserve">through which auditors respond to CEO industry tournaments. Specifically, we offer evidence that aligns with </w:t>
      </w:r>
      <w:r w:rsidR="00086727" w:rsidRPr="00F05B90">
        <w:t>the relevant audit</w:t>
      </w:r>
      <w:r w:rsidR="007C6B8D" w:rsidRPr="00F05B90">
        <w:t xml:space="preserve"> </w:t>
      </w:r>
      <w:r w:rsidR="00844C2E" w:rsidRPr="00F05B90">
        <w:t>regulatory language (FRC, 2013</w:t>
      </w:r>
      <w:r w:rsidR="0069495D" w:rsidRPr="00F05B90">
        <w:t>a; 2013b</w:t>
      </w:r>
      <w:r w:rsidR="00844C2E" w:rsidRPr="00F05B90">
        <w:t xml:space="preserve">) and is less subject to </w:t>
      </w:r>
      <w:r w:rsidR="005718D4" w:rsidRPr="00F05B90">
        <w:t xml:space="preserve">measurement </w:t>
      </w:r>
      <w:r w:rsidR="00844C2E" w:rsidRPr="00F05B90">
        <w:t>bias (Livne et al., 2024).</w:t>
      </w:r>
    </w:p>
    <w:p w14:paraId="0ADC7254" w14:textId="4052BF44" w:rsidR="007C6B8D" w:rsidRPr="00F05B90" w:rsidRDefault="00F80955" w:rsidP="00DB5F8F">
      <w:pPr>
        <w:spacing w:before="240" w:after="240" w:line="360" w:lineRule="auto"/>
        <w:jc w:val="both"/>
        <w:rPr>
          <w:lang w:val="en-GB"/>
        </w:rPr>
      </w:pPr>
      <w:r w:rsidRPr="00F05B90">
        <w:rPr>
          <w:lang w:val="en-GB"/>
        </w:rPr>
        <w:t xml:space="preserve">Second, </w:t>
      </w:r>
      <w:r w:rsidR="005718D4" w:rsidRPr="00F05B90">
        <w:t xml:space="preserve">we </w:t>
      </w:r>
      <w:r w:rsidR="00B25038" w:rsidRPr="00F05B90">
        <w:t xml:space="preserve">also </w:t>
      </w:r>
      <w:r w:rsidR="005718D4" w:rsidRPr="00F05B90">
        <w:t>contribute to existing audit quality and tournament literature (</w:t>
      </w:r>
      <w:r w:rsidR="005718D4" w:rsidRPr="00F05B90">
        <w:rPr>
          <w:lang w:val="en-GB"/>
        </w:rPr>
        <w:t xml:space="preserve">Tan, 2021) by </w:t>
      </w:r>
      <w:r w:rsidR="005718D4" w:rsidRPr="00F05B90">
        <w:t xml:space="preserve">considering the heterogeneity of auditor responses to industry tournaments incentives. In particular, </w:t>
      </w:r>
      <w:r w:rsidR="00F15D1E" w:rsidRPr="00F05B90">
        <w:t xml:space="preserve">unlike </w:t>
      </w:r>
      <w:r w:rsidR="007C6B8D" w:rsidRPr="00F05B90">
        <w:t xml:space="preserve">prior studies, we document </w:t>
      </w:r>
      <w:r w:rsidR="00DB5F8F" w:rsidRPr="00F05B90">
        <w:t>that auditor response</w:t>
      </w:r>
      <w:r w:rsidR="00F15D1E" w:rsidRPr="00F05B90">
        <w:t xml:space="preserve"> to the tournament incentives are not homogeneous but depend on CEOs’ financial expertise. </w:t>
      </w:r>
      <w:r w:rsidR="007A0825" w:rsidRPr="00F05B90">
        <w:t>O</w:t>
      </w:r>
      <w:r w:rsidR="00F15D1E" w:rsidRPr="00F05B90">
        <w:t xml:space="preserve">ur findings </w:t>
      </w:r>
      <w:r w:rsidR="005718D4" w:rsidRPr="00F05B90">
        <w:t xml:space="preserve">suggest that </w:t>
      </w:r>
      <w:r w:rsidR="00B25038" w:rsidRPr="00F05B90">
        <w:t xml:space="preserve">the results of </w:t>
      </w:r>
      <w:r w:rsidR="005718D4" w:rsidRPr="00F05B90">
        <w:rPr>
          <w:lang w:val="en-GB"/>
        </w:rPr>
        <w:t xml:space="preserve">Tan (2021) </w:t>
      </w:r>
      <w:r w:rsidR="007C6B8D" w:rsidRPr="00F05B90">
        <w:rPr>
          <w:lang w:val="en-GB"/>
        </w:rPr>
        <w:t>could be</w:t>
      </w:r>
      <w:r w:rsidR="005718D4" w:rsidRPr="00F05B90">
        <w:rPr>
          <w:lang w:val="en-GB"/>
        </w:rPr>
        <w:t xml:space="preserve"> driven by </w:t>
      </w:r>
      <w:r w:rsidR="00B25038" w:rsidRPr="00F05B90">
        <w:rPr>
          <w:lang w:val="en-GB"/>
        </w:rPr>
        <w:t>auditors’ responses to CEOs lacking relevant financial background. Indeed, we show that auditors perceive industry tournaments as indicators</w:t>
      </w:r>
      <w:r w:rsidR="007C6B8D" w:rsidRPr="00F05B90">
        <w:rPr>
          <w:lang w:val="en-GB"/>
        </w:rPr>
        <w:t xml:space="preserve"> </w:t>
      </w:r>
      <w:r w:rsidR="00B25038" w:rsidRPr="00F05B90">
        <w:rPr>
          <w:lang w:val="en-GB"/>
        </w:rPr>
        <w:t xml:space="preserve">of business risk and incorporate </w:t>
      </w:r>
      <w:r w:rsidR="00C61791" w:rsidRPr="00F05B90">
        <w:rPr>
          <w:lang w:val="en-GB"/>
        </w:rPr>
        <w:t>this</w:t>
      </w:r>
      <w:r w:rsidR="00B25038" w:rsidRPr="00F05B90">
        <w:rPr>
          <w:lang w:val="en-GB"/>
        </w:rPr>
        <w:t xml:space="preserve"> risk into their audit plans, especially when the CEO possess</w:t>
      </w:r>
      <w:r w:rsidR="007A0825" w:rsidRPr="00F05B90">
        <w:rPr>
          <w:lang w:val="en-GB"/>
        </w:rPr>
        <w:t xml:space="preserve"> </w:t>
      </w:r>
      <w:r w:rsidR="00B25038" w:rsidRPr="00F05B90">
        <w:rPr>
          <w:lang w:val="en-GB"/>
        </w:rPr>
        <w:t>relevant financial background.</w:t>
      </w:r>
    </w:p>
    <w:p w14:paraId="07918AED" w14:textId="3A81578F" w:rsidR="007933C9" w:rsidRPr="00F05B90" w:rsidRDefault="007933C9" w:rsidP="007C6B8D">
      <w:pPr>
        <w:spacing w:before="240" w:after="240" w:line="360" w:lineRule="auto"/>
        <w:jc w:val="both"/>
        <w:rPr>
          <w:lang w:val="en-GB"/>
        </w:rPr>
      </w:pPr>
      <w:r w:rsidRPr="00F05B90">
        <w:rPr>
          <w:lang w:val="en-GB"/>
        </w:rPr>
        <w:t>Th</w:t>
      </w:r>
      <w:r w:rsidR="00E42DF4" w:rsidRPr="00F05B90">
        <w:rPr>
          <w:lang w:val="en-GB"/>
        </w:rPr>
        <w:t xml:space="preserve">ese findings have </w:t>
      </w:r>
      <w:r w:rsidRPr="00F05B90">
        <w:rPr>
          <w:lang w:val="en-GB"/>
        </w:rPr>
        <w:t xml:space="preserve">crucial practical implications </w:t>
      </w:r>
      <w:r w:rsidR="00E42DF4" w:rsidRPr="00F05B90">
        <w:rPr>
          <w:lang w:val="en-GB"/>
        </w:rPr>
        <w:t xml:space="preserve">for both auditors and corporate governance stakeholders. </w:t>
      </w:r>
      <w:r w:rsidRPr="00F05B90">
        <w:rPr>
          <w:lang w:val="en-GB"/>
        </w:rPr>
        <w:t xml:space="preserve">As key players in financial markets who fulfill both insurance and informational roles globally (Ge &amp; Kim, 2020), auditors' perception on the pay gap between the CEO and other industry peers carry broader implications for the development of optimal corporate compensation policies. The findings of this study are particularly relevant to boards of directors and compensation committees, suggesting that they should carefully evaluate </w:t>
      </w:r>
      <w:r w:rsidR="00A20DA3" w:rsidRPr="00F05B90">
        <w:rPr>
          <w:lang w:val="en-GB"/>
        </w:rPr>
        <w:t xml:space="preserve">executive </w:t>
      </w:r>
      <w:r w:rsidRPr="00F05B90">
        <w:rPr>
          <w:lang w:val="en-GB"/>
        </w:rPr>
        <w:t xml:space="preserve">compensation policies to </w:t>
      </w:r>
      <w:r w:rsidR="00A20DA3" w:rsidRPr="00F05B90">
        <w:rPr>
          <w:lang w:val="en-GB"/>
        </w:rPr>
        <w:t xml:space="preserve">mitigate </w:t>
      </w:r>
      <w:r w:rsidRPr="00F05B90">
        <w:rPr>
          <w:lang w:val="en-GB"/>
        </w:rPr>
        <w:t xml:space="preserve">unintended economic consequences of widening the pay gap between the CEO and industry peers, particularly </w:t>
      </w:r>
      <w:r w:rsidR="00A20DA3" w:rsidRPr="00F05B90">
        <w:t xml:space="preserve">for </w:t>
      </w:r>
      <w:r w:rsidRPr="00F05B90">
        <w:rPr>
          <w:lang w:val="en-GB"/>
        </w:rPr>
        <w:t xml:space="preserve">CEOs </w:t>
      </w:r>
      <w:r w:rsidR="00A20DA3" w:rsidRPr="00F05B90">
        <w:rPr>
          <w:lang w:val="en-GB"/>
        </w:rPr>
        <w:t xml:space="preserve">with </w:t>
      </w:r>
      <w:r w:rsidRPr="00F05B90">
        <w:rPr>
          <w:lang w:val="en-GB"/>
        </w:rPr>
        <w:t xml:space="preserve">financial expertise. By aligning CEO incentives more closely with long-term firm performance rather than short-term financial outcomes, boards can help reduce auditor effort and its subsequent cost. </w:t>
      </w:r>
    </w:p>
    <w:p w14:paraId="758B6B2E" w14:textId="265D572E" w:rsidR="007933C9" w:rsidRPr="00F05B90" w:rsidRDefault="002178AA" w:rsidP="008B36D9">
      <w:pPr>
        <w:spacing w:before="240" w:after="240" w:line="360" w:lineRule="auto"/>
        <w:jc w:val="both"/>
        <w:rPr>
          <w:lang w:val="en-GB"/>
        </w:rPr>
      </w:pPr>
      <w:r w:rsidRPr="00F05B90">
        <w:rPr>
          <w:lang w:val="en-GB"/>
        </w:rPr>
        <w:t>Finally, o</w:t>
      </w:r>
      <w:r w:rsidR="007933C9" w:rsidRPr="00F05B90">
        <w:rPr>
          <w:lang w:val="en-GB"/>
        </w:rPr>
        <w:t xml:space="preserve">ur study addresses the PCAOB's call for auditors to </w:t>
      </w:r>
      <w:r w:rsidR="00562462" w:rsidRPr="00F05B90">
        <w:rPr>
          <w:lang w:val="en-GB"/>
        </w:rPr>
        <w:t xml:space="preserve">consider </w:t>
      </w:r>
      <w:r w:rsidR="007933C9" w:rsidRPr="00F05B90">
        <w:rPr>
          <w:lang w:val="en-GB"/>
        </w:rPr>
        <w:t>incentive compensation structures</w:t>
      </w:r>
      <w:r w:rsidR="00562462" w:rsidRPr="00F05B90">
        <w:rPr>
          <w:lang w:val="en-GB"/>
        </w:rPr>
        <w:t xml:space="preserve"> as audit risk factors</w:t>
      </w:r>
      <w:r w:rsidR="007933C9" w:rsidRPr="00F05B90">
        <w:rPr>
          <w:lang w:val="en-GB"/>
        </w:rPr>
        <w:t xml:space="preserve">. We propose that, in addition to the size of CEO compensation, </w:t>
      </w:r>
      <w:r w:rsidR="007933C9" w:rsidRPr="00F05B90">
        <w:rPr>
          <w:lang w:val="en-GB"/>
        </w:rPr>
        <w:lastRenderedPageBreak/>
        <w:t xml:space="preserve">the pay gap between the CEO and other industry peers should be considered </w:t>
      </w:r>
      <w:r w:rsidR="00DB5F8F" w:rsidRPr="00F05B90">
        <w:rPr>
          <w:lang w:val="en-GB"/>
        </w:rPr>
        <w:t xml:space="preserve">as </w:t>
      </w:r>
      <w:r w:rsidR="007933C9" w:rsidRPr="00F05B90">
        <w:rPr>
          <w:lang w:val="en-GB"/>
        </w:rPr>
        <w:t>a relevant risk factor when determining the scope and depth of the audit. Our results complement existing studies on pay gaps (Ge &amp; Kim, 2020; Tan, 2021) and highlight the need for regulatory attention, particularly in countries where CEO compensation disclosure is not currently required. Our findings suggest that it is time to mandate such disclosures.</w:t>
      </w:r>
    </w:p>
    <w:p w14:paraId="75D6BD9F" w14:textId="316D9C80" w:rsidR="00F203DD" w:rsidRPr="00F05B90" w:rsidRDefault="00F80955" w:rsidP="008B36D9">
      <w:pPr>
        <w:spacing w:before="240" w:after="240" w:line="360" w:lineRule="auto"/>
        <w:jc w:val="both"/>
        <w:rPr>
          <w:lang w:val="en-GB"/>
        </w:rPr>
      </w:pPr>
      <w:r w:rsidRPr="00F05B90">
        <w:rPr>
          <w:lang w:val="en-GB"/>
        </w:rPr>
        <w:t>The remainder of the paper is organised as follows</w:t>
      </w:r>
      <w:r w:rsidR="00013D98" w:rsidRPr="00F05B90">
        <w:rPr>
          <w:lang w:val="en-GB"/>
        </w:rPr>
        <w:t>:</w:t>
      </w:r>
      <w:r w:rsidRPr="00F05B90">
        <w:rPr>
          <w:lang w:val="en-GB"/>
        </w:rPr>
        <w:t xml:space="preserve"> Section 2 discusses the underlying theory and hypotheses. Section 3 </w:t>
      </w:r>
      <w:r w:rsidR="00C262E8" w:rsidRPr="00F05B90">
        <w:rPr>
          <w:lang w:val="en-GB"/>
        </w:rPr>
        <w:t xml:space="preserve">outlines </w:t>
      </w:r>
      <w:r w:rsidRPr="00F05B90">
        <w:rPr>
          <w:lang w:val="en-GB"/>
        </w:rPr>
        <w:t xml:space="preserve">the research design. Section 4 presents and discusses the empirical findings, while Section </w:t>
      </w:r>
      <w:r w:rsidR="00752F3D" w:rsidRPr="00F05B90">
        <w:rPr>
          <w:lang w:val="en-GB"/>
        </w:rPr>
        <w:t>5</w:t>
      </w:r>
      <w:r w:rsidRPr="00F05B90">
        <w:rPr>
          <w:lang w:val="en-GB"/>
        </w:rPr>
        <w:t xml:space="preserve"> concludes the paper.</w:t>
      </w:r>
    </w:p>
    <w:p w14:paraId="6844633A" w14:textId="77777777" w:rsidR="00F80955" w:rsidRPr="00F05B90" w:rsidRDefault="00F80955" w:rsidP="00ED600C">
      <w:pPr>
        <w:pStyle w:val="Heading1"/>
        <w:spacing w:after="240" w:line="288" w:lineRule="auto"/>
        <w:ind w:left="426" w:hanging="426"/>
        <w:contextualSpacing w:val="0"/>
        <w:rPr>
          <w:rFonts w:ascii="Times New Roman" w:hAnsi="Times New Roman" w:cs="Times New Roman"/>
          <w:color w:val="auto"/>
          <w:szCs w:val="24"/>
          <w:lang w:val="en-GB"/>
        </w:rPr>
      </w:pPr>
      <w:bookmarkStart w:id="5" w:name="_Toc123457905"/>
      <w:r w:rsidRPr="00F05B90">
        <w:rPr>
          <w:rFonts w:ascii="Times New Roman" w:hAnsi="Times New Roman" w:cs="Times New Roman"/>
          <w:color w:val="auto"/>
          <w:szCs w:val="24"/>
          <w:lang w:val="en-GB"/>
        </w:rPr>
        <w:t>Theory and hypotheses development</w:t>
      </w:r>
      <w:bookmarkEnd w:id="5"/>
    </w:p>
    <w:p w14:paraId="229FA581" w14:textId="5C816135" w:rsidR="00F80955" w:rsidRPr="00F05B90" w:rsidRDefault="00F80955" w:rsidP="00ED600C">
      <w:pPr>
        <w:pStyle w:val="Heading2"/>
        <w:spacing w:before="240" w:after="240"/>
        <w:ind w:left="426" w:hanging="426"/>
        <w:rPr>
          <w:rFonts w:ascii="Times New Roman" w:hAnsi="Times New Roman" w:cs="Times New Roman"/>
          <w:color w:val="auto"/>
          <w:szCs w:val="24"/>
          <w:lang w:val="en-GB"/>
        </w:rPr>
      </w:pPr>
      <w:bookmarkStart w:id="6" w:name="_Toc123457906"/>
      <w:r w:rsidRPr="00F05B90">
        <w:rPr>
          <w:rFonts w:ascii="Times New Roman" w:hAnsi="Times New Roman" w:cs="Times New Roman"/>
          <w:color w:val="auto"/>
          <w:szCs w:val="24"/>
          <w:lang w:val="en-GB"/>
        </w:rPr>
        <w:t xml:space="preserve">Tournament </w:t>
      </w:r>
      <w:r w:rsidR="00721D5D" w:rsidRPr="00F05B90">
        <w:rPr>
          <w:rFonts w:ascii="Times New Roman" w:hAnsi="Times New Roman" w:cs="Times New Roman"/>
          <w:color w:val="auto"/>
          <w:szCs w:val="24"/>
          <w:lang w:val="en-GB"/>
        </w:rPr>
        <w:t>t</w:t>
      </w:r>
      <w:r w:rsidRPr="00F05B90">
        <w:rPr>
          <w:rFonts w:ascii="Times New Roman" w:hAnsi="Times New Roman" w:cs="Times New Roman"/>
          <w:color w:val="auto"/>
          <w:szCs w:val="24"/>
          <w:lang w:val="en-GB"/>
        </w:rPr>
        <w:t>heory</w:t>
      </w:r>
      <w:bookmarkEnd w:id="6"/>
    </w:p>
    <w:p w14:paraId="78A46DA0" w14:textId="2CE0054A" w:rsidR="002F2672" w:rsidRPr="00F05B90" w:rsidRDefault="00F80955" w:rsidP="005E73EF">
      <w:pPr>
        <w:spacing w:before="240" w:after="240" w:line="360" w:lineRule="auto"/>
        <w:jc w:val="both"/>
        <w:rPr>
          <w:lang w:val="en-GB"/>
        </w:rPr>
      </w:pPr>
      <w:r w:rsidRPr="00F05B90">
        <w:rPr>
          <w:lang w:val="en-GB"/>
        </w:rPr>
        <w:t>CEOs play</w:t>
      </w:r>
      <w:r w:rsidR="00EB3C92" w:rsidRPr="00F05B90">
        <w:rPr>
          <w:lang w:val="en-GB"/>
        </w:rPr>
        <w:t xml:space="preserve"> a central role </w:t>
      </w:r>
      <w:r w:rsidRPr="00F05B90">
        <w:rPr>
          <w:lang w:val="en-GB"/>
        </w:rPr>
        <w:t>in corporate decision</w:t>
      </w:r>
      <w:r w:rsidR="00EB3C92" w:rsidRPr="00F05B90">
        <w:rPr>
          <w:lang w:val="en-GB"/>
        </w:rPr>
        <w:t>-making</w:t>
      </w:r>
      <w:r w:rsidRPr="00F05B90">
        <w:rPr>
          <w:lang w:val="en-GB"/>
        </w:rPr>
        <w:t xml:space="preserve"> and </w:t>
      </w:r>
      <w:r w:rsidR="00EB3C92" w:rsidRPr="00F05B90">
        <w:rPr>
          <w:lang w:val="en-GB"/>
        </w:rPr>
        <w:t>policy-setting</w:t>
      </w:r>
      <w:r w:rsidRPr="00F05B90">
        <w:rPr>
          <w:lang w:val="en-GB"/>
        </w:rPr>
        <w:t xml:space="preserve">, </w:t>
      </w:r>
      <w:r w:rsidR="00EB3C92" w:rsidRPr="00F05B90">
        <w:rPr>
          <w:lang w:val="en-GB"/>
        </w:rPr>
        <w:t>making their incentives a critical area of research. Agency theory</w:t>
      </w:r>
      <w:r w:rsidR="00EB3C92" w:rsidRPr="00F05B90" w:rsidDel="00EB3C92">
        <w:rPr>
          <w:lang w:val="en-GB"/>
        </w:rPr>
        <w:t xml:space="preserve"> </w:t>
      </w:r>
      <w:r w:rsidR="00EB3C92" w:rsidRPr="00F05B90">
        <w:rPr>
          <w:lang w:val="en-GB"/>
        </w:rPr>
        <w:t>suggests that a</w:t>
      </w:r>
      <w:r w:rsidRPr="00F05B90">
        <w:rPr>
          <w:lang w:val="en-GB"/>
        </w:rPr>
        <w:t xml:space="preserve">ligning CEOs’ interests with those of shareholders </w:t>
      </w:r>
      <w:r w:rsidR="00EB3C92" w:rsidRPr="00F05B90">
        <w:rPr>
          <w:lang w:val="en-GB"/>
        </w:rPr>
        <w:t xml:space="preserve">is essential, with </w:t>
      </w:r>
      <w:r w:rsidR="00902A21" w:rsidRPr="00F05B90">
        <w:rPr>
          <w:lang w:val="en-GB"/>
        </w:rPr>
        <w:t>compensation</w:t>
      </w:r>
      <w:r w:rsidRPr="00F05B90">
        <w:rPr>
          <w:lang w:val="en-GB"/>
        </w:rPr>
        <w:t xml:space="preserve"> </w:t>
      </w:r>
      <w:r w:rsidR="00EB3C92" w:rsidRPr="00F05B90">
        <w:rPr>
          <w:lang w:val="en-GB"/>
        </w:rPr>
        <w:t>schemes</w:t>
      </w:r>
      <w:r w:rsidRPr="00F05B90">
        <w:rPr>
          <w:lang w:val="en-GB"/>
        </w:rPr>
        <w:t xml:space="preserve"> </w:t>
      </w:r>
      <w:r w:rsidR="00EB3C92" w:rsidRPr="00F05B90">
        <w:rPr>
          <w:lang w:val="en-GB"/>
        </w:rPr>
        <w:t xml:space="preserve">serving as a key mechanism for </w:t>
      </w:r>
      <w:r w:rsidRPr="00F05B90">
        <w:rPr>
          <w:lang w:val="en-GB"/>
        </w:rPr>
        <w:t>achiev</w:t>
      </w:r>
      <w:r w:rsidR="0028410E" w:rsidRPr="00F05B90">
        <w:rPr>
          <w:lang w:val="en-GB"/>
        </w:rPr>
        <w:t>ing</w:t>
      </w:r>
      <w:r w:rsidRPr="00F05B90">
        <w:rPr>
          <w:lang w:val="en-GB"/>
        </w:rPr>
        <w:t xml:space="preserve"> </w:t>
      </w:r>
      <w:r w:rsidR="00EB3C92" w:rsidRPr="00F05B90">
        <w:rPr>
          <w:lang w:val="en-GB"/>
        </w:rPr>
        <w:t xml:space="preserve">this </w:t>
      </w:r>
      <w:r w:rsidRPr="00F05B90">
        <w:rPr>
          <w:lang w:val="en-GB"/>
        </w:rPr>
        <w:t>alignment (Jensen &amp;</w:t>
      </w:r>
      <w:r w:rsidR="0028410E" w:rsidRPr="00F05B90">
        <w:rPr>
          <w:lang w:val="en-GB"/>
        </w:rPr>
        <w:t xml:space="preserve"> </w:t>
      </w:r>
      <w:r w:rsidRPr="00F05B90">
        <w:rPr>
          <w:lang w:val="en-GB"/>
        </w:rPr>
        <w:t xml:space="preserve">Meckling, 1976). Tournament theory </w:t>
      </w:r>
      <w:r w:rsidR="006B3DC2" w:rsidRPr="00F05B90">
        <w:rPr>
          <w:lang w:val="en-GB"/>
        </w:rPr>
        <w:t xml:space="preserve">posits </w:t>
      </w:r>
      <w:r w:rsidRPr="00F05B90">
        <w:rPr>
          <w:lang w:val="en-GB"/>
        </w:rPr>
        <w:t>that individuals compete for reward</w:t>
      </w:r>
      <w:r w:rsidR="006B3DC2" w:rsidRPr="00F05B90">
        <w:rPr>
          <w:lang w:val="en-GB"/>
        </w:rPr>
        <w:t>s</w:t>
      </w:r>
      <w:r w:rsidR="0028410E" w:rsidRPr="00F05B90">
        <w:rPr>
          <w:lang w:val="en-GB"/>
        </w:rPr>
        <w:t xml:space="preserve"> </w:t>
      </w:r>
      <w:r w:rsidR="006B3DC2" w:rsidRPr="00F05B90">
        <w:rPr>
          <w:lang w:val="en-GB"/>
        </w:rPr>
        <w:t xml:space="preserve">based on </w:t>
      </w:r>
      <w:r w:rsidRPr="00F05B90">
        <w:rPr>
          <w:lang w:val="en-GB"/>
        </w:rPr>
        <w:t>relative performance</w:t>
      </w:r>
      <w:r w:rsidR="00334F44" w:rsidRPr="00F05B90">
        <w:rPr>
          <w:lang w:val="en-GB"/>
        </w:rPr>
        <w:t xml:space="preserve">, with promotion incentives driving effort and risk-taking </w:t>
      </w:r>
      <w:r w:rsidRPr="00F05B90">
        <w:rPr>
          <w:lang w:val="en-GB"/>
        </w:rPr>
        <w:t xml:space="preserve">(Ehrenberg </w:t>
      </w:r>
      <w:r w:rsidR="0028410E" w:rsidRPr="00F05B90">
        <w:rPr>
          <w:lang w:val="en-GB"/>
        </w:rPr>
        <w:t xml:space="preserve">&amp; </w:t>
      </w:r>
      <w:r w:rsidRPr="00F05B90">
        <w:rPr>
          <w:lang w:val="en-GB"/>
        </w:rPr>
        <w:t xml:space="preserve">Bognanno, 1990; Green </w:t>
      </w:r>
      <w:r w:rsidR="0028410E" w:rsidRPr="00F05B90">
        <w:rPr>
          <w:lang w:val="en-GB"/>
        </w:rPr>
        <w:t xml:space="preserve">&amp; </w:t>
      </w:r>
      <w:r w:rsidRPr="00F05B90">
        <w:rPr>
          <w:lang w:val="en-GB"/>
        </w:rPr>
        <w:t xml:space="preserve">Stokey, 1983; Lazear </w:t>
      </w:r>
      <w:r w:rsidR="0028410E" w:rsidRPr="00F05B90">
        <w:rPr>
          <w:lang w:val="en-GB"/>
        </w:rPr>
        <w:t xml:space="preserve">&amp; </w:t>
      </w:r>
      <w:r w:rsidRPr="00F05B90">
        <w:rPr>
          <w:lang w:val="en-GB"/>
        </w:rPr>
        <w:t xml:space="preserve">Rosen, 1981; Prendergast, 1999; Cappelli </w:t>
      </w:r>
      <w:r w:rsidR="0028410E" w:rsidRPr="00F05B90">
        <w:rPr>
          <w:lang w:val="en-GB"/>
        </w:rPr>
        <w:t xml:space="preserve">&amp; </w:t>
      </w:r>
      <w:r w:rsidRPr="00F05B90">
        <w:rPr>
          <w:lang w:val="en-GB"/>
        </w:rPr>
        <w:t xml:space="preserve">Cascio, 1991; Bloom, 1999). The large pay gap between the CEO and lower-ranked executives </w:t>
      </w:r>
      <w:r w:rsidR="00334F44" w:rsidRPr="00F05B90">
        <w:rPr>
          <w:lang w:val="en-GB"/>
        </w:rPr>
        <w:t xml:space="preserve">serves as a tournament incentive, encouraging subordinates </w:t>
      </w:r>
      <w:r w:rsidRPr="00F05B90">
        <w:rPr>
          <w:lang w:val="en-GB"/>
        </w:rPr>
        <w:t xml:space="preserve">to increase </w:t>
      </w:r>
      <w:r w:rsidR="00334F44" w:rsidRPr="00F05B90">
        <w:rPr>
          <w:lang w:val="en-GB"/>
        </w:rPr>
        <w:t xml:space="preserve">effort and engage in riskier </w:t>
      </w:r>
      <w:r w:rsidRPr="00F05B90">
        <w:rPr>
          <w:lang w:val="en-GB"/>
        </w:rPr>
        <w:t>investments</w:t>
      </w:r>
      <w:r w:rsidR="00334F44" w:rsidRPr="00F05B90">
        <w:rPr>
          <w:lang w:val="en-GB"/>
        </w:rPr>
        <w:t xml:space="preserve"> to enhance their chances of </w:t>
      </w:r>
      <w:r w:rsidR="00387AC1" w:rsidRPr="00F05B90">
        <w:rPr>
          <w:lang w:val="en-GB"/>
        </w:rPr>
        <w:t>winning the tournament</w:t>
      </w:r>
      <w:r w:rsidR="00334F44" w:rsidRPr="00F05B90">
        <w:rPr>
          <w:lang w:val="en-GB"/>
        </w:rPr>
        <w:t xml:space="preserve"> </w:t>
      </w:r>
      <w:r w:rsidRPr="00F05B90">
        <w:rPr>
          <w:lang w:val="en-GB"/>
        </w:rPr>
        <w:t xml:space="preserve">(Hvide, 2002; Lazear &amp; Rosen, 1981). Prendergast (1999) </w:t>
      </w:r>
      <w:r w:rsidR="001111E7" w:rsidRPr="00F05B90">
        <w:rPr>
          <w:lang w:val="en-GB"/>
        </w:rPr>
        <w:t>suggest</w:t>
      </w:r>
      <w:r w:rsidRPr="00F05B90">
        <w:rPr>
          <w:lang w:val="en-GB"/>
        </w:rPr>
        <w:t xml:space="preserve">s that </w:t>
      </w:r>
      <w:r w:rsidR="001111E7" w:rsidRPr="00F05B90">
        <w:rPr>
          <w:lang w:val="en-GB"/>
        </w:rPr>
        <w:t xml:space="preserve">this competition </w:t>
      </w:r>
      <w:r w:rsidRPr="00F05B90">
        <w:rPr>
          <w:lang w:val="en-GB"/>
        </w:rPr>
        <w:t xml:space="preserve">increases </w:t>
      </w:r>
      <w:r w:rsidR="001111E7" w:rsidRPr="00F05B90">
        <w:rPr>
          <w:lang w:val="en-GB"/>
        </w:rPr>
        <w:t xml:space="preserve">both </w:t>
      </w:r>
      <w:r w:rsidRPr="00F05B90">
        <w:rPr>
          <w:lang w:val="en-GB"/>
        </w:rPr>
        <w:t xml:space="preserve">prize size and monitoring efficiency. </w:t>
      </w:r>
      <w:r w:rsidR="001111E7" w:rsidRPr="00F05B90">
        <w:rPr>
          <w:lang w:val="en-GB"/>
        </w:rPr>
        <w:t>Empirical studies support this notion; f</w:t>
      </w:r>
      <w:r w:rsidRPr="00F05B90">
        <w:rPr>
          <w:lang w:val="en-GB"/>
        </w:rPr>
        <w:t xml:space="preserve">or instance, Kini and Williams (2012) </w:t>
      </w:r>
      <w:r w:rsidR="001111E7" w:rsidRPr="00F05B90">
        <w:rPr>
          <w:lang w:val="en-GB"/>
        </w:rPr>
        <w:t xml:space="preserve">find </w:t>
      </w:r>
      <w:r w:rsidRPr="00F05B90">
        <w:rPr>
          <w:lang w:val="en-GB"/>
        </w:rPr>
        <w:t>that internal tournament</w:t>
      </w:r>
      <w:r w:rsidR="001111E7" w:rsidRPr="00F05B90">
        <w:rPr>
          <w:lang w:val="en-GB"/>
        </w:rPr>
        <w:t>s</w:t>
      </w:r>
      <w:r w:rsidRPr="00F05B90">
        <w:rPr>
          <w:lang w:val="en-GB"/>
        </w:rPr>
        <w:t xml:space="preserve"> </w:t>
      </w:r>
      <w:r w:rsidR="001111E7" w:rsidRPr="00F05B90">
        <w:rPr>
          <w:lang w:val="en-GB"/>
        </w:rPr>
        <w:t xml:space="preserve">elevate </w:t>
      </w:r>
      <w:r w:rsidRPr="00F05B90">
        <w:rPr>
          <w:lang w:val="en-GB"/>
        </w:rPr>
        <w:t xml:space="preserve">firm risk, R&amp;D intensity, and leverage. </w:t>
      </w:r>
      <w:r w:rsidR="001111E7" w:rsidRPr="00F05B90">
        <w:rPr>
          <w:lang w:val="en-GB"/>
        </w:rPr>
        <w:t xml:space="preserve">Similarly, </w:t>
      </w:r>
      <w:r w:rsidRPr="00F05B90">
        <w:rPr>
          <w:lang w:val="en-GB"/>
        </w:rPr>
        <w:t xml:space="preserve">Jia (2017) </w:t>
      </w:r>
      <w:r w:rsidR="001111E7" w:rsidRPr="00F05B90">
        <w:rPr>
          <w:lang w:val="en-GB"/>
        </w:rPr>
        <w:t>reports</w:t>
      </w:r>
      <w:r w:rsidRPr="00F05B90">
        <w:rPr>
          <w:lang w:val="en-GB"/>
        </w:rPr>
        <w:t xml:space="preserve"> that tournament incentives </w:t>
      </w:r>
      <w:r w:rsidR="001111E7" w:rsidRPr="00F05B90">
        <w:rPr>
          <w:lang w:val="en-GB"/>
        </w:rPr>
        <w:t>drive</w:t>
      </w:r>
      <w:r w:rsidRPr="00F05B90">
        <w:rPr>
          <w:lang w:val="en-GB"/>
        </w:rPr>
        <w:t xml:space="preserve"> managerial risk-taking and financial misreporting, </w:t>
      </w:r>
      <w:r w:rsidR="001111E7" w:rsidRPr="00F05B90">
        <w:rPr>
          <w:lang w:val="en-GB"/>
        </w:rPr>
        <w:t>leading to</w:t>
      </w:r>
      <w:r w:rsidRPr="00F05B90">
        <w:rPr>
          <w:lang w:val="en-GB"/>
        </w:rPr>
        <w:t xml:space="preserve"> higher audit fees. Haß</w:t>
      </w:r>
      <w:r w:rsidR="0028410E" w:rsidRPr="00F05B90">
        <w:rPr>
          <w:lang w:val="en-GB"/>
        </w:rPr>
        <w:t xml:space="preserve"> et al.</w:t>
      </w:r>
      <w:r w:rsidRPr="00F05B90">
        <w:rPr>
          <w:lang w:val="en-GB"/>
        </w:rPr>
        <w:t xml:space="preserve"> (2015) </w:t>
      </w:r>
      <w:r w:rsidR="001111E7" w:rsidRPr="00F05B90">
        <w:rPr>
          <w:lang w:val="en-GB"/>
        </w:rPr>
        <w:t xml:space="preserve">further demonstrate </w:t>
      </w:r>
      <w:r w:rsidRPr="00F05B90">
        <w:rPr>
          <w:lang w:val="en-GB"/>
        </w:rPr>
        <w:t xml:space="preserve">that intra-firm tournament incentives encourage </w:t>
      </w:r>
      <w:r w:rsidR="001111E7" w:rsidRPr="00F05B90">
        <w:rPr>
          <w:lang w:val="en-GB"/>
        </w:rPr>
        <w:t xml:space="preserve">risky </w:t>
      </w:r>
      <w:r w:rsidRPr="00F05B90">
        <w:rPr>
          <w:lang w:val="en-GB"/>
        </w:rPr>
        <w:t>manage</w:t>
      </w:r>
      <w:r w:rsidR="001111E7" w:rsidRPr="00F05B90">
        <w:rPr>
          <w:lang w:val="en-GB"/>
        </w:rPr>
        <w:t xml:space="preserve">rial decisions </w:t>
      </w:r>
      <w:r w:rsidRPr="00F05B90">
        <w:rPr>
          <w:lang w:val="en-GB"/>
        </w:rPr>
        <w:t>and fraudulent financial reporting.</w:t>
      </w:r>
    </w:p>
    <w:p w14:paraId="05782D2E" w14:textId="26A9638C" w:rsidR="00387AC1" w:rsidRPr="00F05B90" w:rsidRDefault="004078AC" w:rsidP="005E73EF">
      <w:pPr>
        <w:spacing w:before="240" w:after="240" w:line="360" w:lineRule="auto"/>
        <w:jc w:val="both"/>
        <w:rPr>
          <w:lang w:val="en-GB"/>
        </w:rPr>
      </w:pPr>
      <w:r w:rsidRPr="00F05B90">
        <w:rPr>
          <w:lang w:val="en-GB"/>
        </w:rPr>
        <w:t xml:space="preserve">Expanding on internal tournament incentives, </w:t>
      </w:r>
      <w:r w:rsidR="00F80955" w:rsidRPr="00F05B90">
        <w:rPr>
          <w:lang w:val="en-GB"/>
        </w:rPr>
        <w:t>Coles</w:t>
      </w:r>
      <w:r w:rsidR="0028410E" w:rsidRPr="00F05B90">
        <w:rPr>
          <w:lang w:val="en-GB"/>
        </w:rPr>
        <w:t xml:space="preserve"> et al. </w:t>
      </w:r>
      <w:r w:rsidR="00F80955" w:rsidRPr="00F05B90">
        <w:rPr>
          <w:lang w:val="en-GB"/>
        </w:rPr>
        <w:t xml:space="preserve">(2018) </w:t>
      </w:r>
      <w:r w:rsidRPr="00F05B90">
        <w:rPr>
          <w:lang w:val="en-GB"/>
        </w:rPr>
        <w:t xml:space="preserve">introduce the concept of </w:t>
      </w:r>
      <w:r w:rsidR="00F80955" w:rsidRPr="00F05B90">
        <w:rPr>
          <w:lang w:val="en-GB"/>
        </w:rPr>
        <w:t>industry tournament incentives</w:t>
      </w:r>
      <w:r w:rsidRPr="00F05B90">
        <w:rPr>
          <w:lang w:val="en-GB"/>
        </w:rPr>
        <w:t xml:space="preserve">, arguing </w:t>
      </w:r>
      <w:r w:rsidR="00F80955" w:rsidRPr="00F05B90">
        <w:rPr>
          <w:lang w:val="en-GB"/>
        </w:rPr>
        <w:t xml:space="preserve">that CEOs </w:t>
      </w:r>
      <w:r w:rsidR="0028410E" w:rsidRPr="00F05B90">
        <w:rPr>
          <w:lang w:val="en-GB"/>
        </w:rPr>
        <w:t xml:space="preserve">tend to </w:t>
      </w:r>
      <w:r w:rsidR="00F80955" w:rsidRPr="00F05B90">
        <w:rPr>
          <w:lang w:val="en-GB"/>
        </w:rPr>
        <w:t>desire the top job in their industry, which</w:t>
      </w:r>
      <w:r w:rsidRPr="00F05B90">
        <w:rPr>
          <w:lang w:val="en-GB"/>
        </w:rPr>
        <w:t xml:space="preserve"> influences </w:t>
      </w:r>
      <w:r w:rsidR="00F80955" w:rsidRPr="00F05B90">
        <w:rPr>
          <w:lang w:val="en-GB"/>
        </w:rPr>
        <w:t xml:space="preserve">firm performance and financial policies. Huang et al. (2019) </w:t>
      </w:r>
      <w:r w:rsidRPr="00F05B90">
        <w:rPr>
          <w:lang w:val="en-GB"/>
        </w:rPr>
        <w:t>find</w:t>
      </w:r>
      <w:r w:rsidR="00F80955" w:rsidRPr="00F05B90">
        <w:rPr>
          <w:lang w:val="en-GB"/>
        </w:rPr>
        <w:t xml:space="preserve"> that industry tournament incentives increase both the marginal and </w:t>
      </w:r>
      <w:r w:rsidRPr="00F05B90">
        <w:rPr>
          <w:lang w:val="en-GB"/>
        </w:rPr>
        <w:t xml:space="preserve">absolute </w:t>
      </w:r>
      <w:r w:rsidR="00F80955" w:rsidRPr="00F05B90">
        <w:rPr>
          <w:lang w:val="en-GB"/>
        </w:rPr>
        <w:t xml:space="preserve">value of cash holdings. </w:t>
      </w:r>
      <w:r w:rsidR="00475D0B" w:rsidRPr="00F05B90">
        <w:t xml:space="preserve">Chowdhury et al., (2020) show that industry tournaments </w:t>
      </w:r>
      <w:r w:rsidRPr="00F05B90">
        <w:t xml:space="preserve">reduce </w:t>
      </w:r>
      <w:r w:rsidR="00475D0B" w:rsidRPr="00F05B90">
        <w:t xml:space="preserve">CEOs' </w:t>
      </w:r>
      <w:r w:rsidR="005E73EF" w:rsidRPr="00F05B90">
        <w:t>motivation</w:t>
      </w:r>
      <w:r w:rsidR="00475D0B" w:rsidRPr="00F05B90">
        <w:t xml:space="preserve"> to conceal </w:t>
      </w:r>
      <w:r w:rsidR="00475D0B" w:rsidRPr="00F05B90">
        <w:lastRenderedPageBreak/>
        <w:t>negative information, mitigating</w:t>
      </w:r>
      <w:r w:rsidR="002F2672" w:rsidRPr="00F05B90">
        <w:t xml:space="preserve"> </w:t>
      </w:r>
      <w:r w:rsidR="00475D0B" w:rsidRPr="00F05B90">
        <w:t>stock price crash</w:t>
      </w:r>
      <w:r w:rsidR="002F2672" w:rsidRPr="00F05B90">
        <w:t xml:space="preserve"> risk</w:t>
      </w:r>
      <w:r w:rsidR="00475D0B" w:rsidRPr="00F05B90">
        <w:t xml:space="preserve">. </w:t>
      </w:r>
      <w:r w:rsidR="002F2672" w:rsidRPr="00F05B90">
        <w:rPr>
          <w:lang w:val="en-GB"/>
        </w:rPr>
        <w:t>More recently</w:t>
      </w:r>
      <w:r w:rsidR="00475D0B" w:rsidRPr="00F05B90">
        <w:t>, Chowdhury et al, 2024) find that industry tournament incentive enhance stock liquidity</w:t>
      </w:r>
      <w:r w:rsidR="002F2672" w:rsidRPr="00F05B90">
        <w:t xml:space="preserve">, suggesting that </w:t>
      </w:r>
      <w:r w:rsidR="002F2672" w:rsidRPr="00F05B90">
        <w:rPr>
          <w:lang w:val="en-GB"/>
        </w:rPr>
        <w:t xml:space="preserve">these </w:t>
      </w:r>
      <w:r w:rsidR="00F80955" w:rsidRPr="00F05B90">
        <w:rPr>
          <w:lang w:val="en-GB"/>
        </w:rPr>
        <w:t xml:space="preserve">incentives </w:t>
      </w:r>
      <w:r w:rsidR="00897811" w:rsidRPr="00F05B90">
        <w:rPr>
          <w:lang w:val="en-GB"/>
        </w:rPr>
        <w:t>align CEO</w:t>
      </w:r>
      <w:r w:rsidR="002F2672" w:rsidRPr="00F05B90">
        <w:rPr>
          <w:lang w:val="en-GB"/>
        </w:rPr>
        <w:t xml:space="preserve">s’ </w:t>
      </w:r>
      <w:r w:rsidR="00897811" w:rsidRPr="00F05B90">
        <w:rPr>
          <w:lang w:val="en-GB"/>
        </w:rPr>
        <w:t>in</w:t>
      </w:r>
      <w:r w:rsidR="002F2672" w:rsidRPr="00F05B90">
        <w:rPr>
          <w:lang w:val="en-GB"/>
        </w:rPr>
        <w:t xml:space="preserve">terests </w:t>
      </w:r>
      <w:r w:rsidR="00387AC1" w:rsidRPr="00F05B90">
        <w:rPr>
          <w:lang w:val="en-GB"/>
        </w:rPr>
        <w:t>with those of shareholders.</w:t>
      </w:r>
    </w:p>
    <w:p w14:paraId="46F58B8F" w14:textId="4C495351" w:rsidR="00387AC1" w:rsidRPr="00F05B90" w:rsidRDefault="00F80955" w:rsidP="004E28F0">
      <w:pPr>
        <w:spacing w:before="240" w:after="240" w:line="360" w:lineRule="auto"/>
        <w:jc w:val="both"/>
      </w:pPr>
      <w:r w:rsidRPr="00F05B90">
        <w:rPr>
          <w:lang w:val="en-GB"/>
        </w:rPr>
        <w:t>Neverthel</w:t>
      </w:r>
      <w:r w:rsidR="00FF4E57" w:rsidRPr="00F05B90">
        <w:rPr>
          <w:lang w:val="en-GB"/>
        </w:rPr>
        <w:t xml:space="preserve">ess, </w:t>
      </w:r>
      <w:r w:rsidR="008549D9" w:rsidRPr="00F05B90">
        <w:rPr>
          <w:lang w:val="en-GB"/>
        </w:rPr>
        <w:t>other studies</w:t>
      </w:r>
      <w:r w:rsidRPr="00F05B90">
        <w:rPr>
          <w:lang w:val="en-GB"/>
        </w:rPr>
        <w:t xml:space="preserve"> highlight the </w:t>
      </w:r>
      <w:r w:rsidR="002F2672" w:rsidRPr="00F05B90">
        <w:rPr>
          <w:lang w:val="en-GB"/>
        </w:rPr>
        <w:t xml:space="preserve">risks associated with </w:t>
      </w:r>
      <w:r w:rsidRPr="00F05B90">
        <w:rPr>
          <w:lang w:val="en-GB"/>
        </w:rPr>
        <w:t>industry tournament incentives.</w:t>
      </w:r>
      <w:r w:rsidR="00387AC1" w:rsidRPr="00F05B90">
        <w:rPr>
          <w:lang w:val="en-GB"/>
        </w:rPr>
        <w:t xml:space="preserve"> </w:t>
      </w:r>
      <w:r w:rsidRPr="00F05B90">
        <w:rPr>
          <w:lang w:val="en-GB"/>
        </w:rPr>
        <w:t xml:space="preserve">For example, Ma et al. (2020) find that CEO </w:t>
      </w:r>
      <w:r w:rsidR="00B16737" w:rsidRPr="00F05B90">
        <w:rPr>
          <w:lang w:val="en-GB"/>
        </w:rPr>
        <w:t xml:space="preserve">industry </w:t>
      </w:r>
      <w:r w:rsidRPr="00F05B90">
        <w:rPr>
          <w:lang w:val="en-GB"/>
        </w:rPr>
        <w:t>tournaments</w:t>
      </w:r>
      <w:r w:rsidR="00B16737" w:rsidRPr="00F05B90">
        <w:rPr>
          <w:lang w:val="en-GB"/>
        </w:rPr>
        <w:t xml:space="preserve"> is</w:t>
      </w:r>
      <w:r w:rsidRPr="00F05B90">
        <w:rPr>
          <w:lang w:val="en-GB"/>
        </w:rPr>
        <w:t xml:space="preserve"> associated with </w:t>
      </w:r>
      <w:r w:rsidR="002F2672" w:rsidRPr="00F05B90">
        <w:rPr>
          <w:lang w:val="en-GB"/>
        </w:rPr>
        <w:t xml:space="preserve">heightened </w:t>
      </w:r>
      <w:r w:rsidRPr="00F05B90">
        <w:rPr>
          <w:lang w:val="en-GB"/>
        </w:rPr>
        <w:t>risk-taking and financial misreporting</w:t>
      </w:r>
      <w:r w:rsidR="00004DC7" w:rsidRPr="00F05B90">
        <w:rPr>
          <w:lang w:val="en-GB"/>
        </w:rPr>
        <w:t>,</w:t>
      </w:r>
      <w:r w:rsidRPr="00F05B90">
        <w:rPr>
          <w:lang w:val="en-GB"/>
        </w:rPr>
        <w:t xml:space="preserve"> as executives </w:t>
      </w:r>
      <w:r w:rsidR="002F2672" w:rsidRPr="00F05B90">
        <w:rPr>
          <w:lang w:val="en-GB"/>
        </w:rPr>
        <w:t xml:space="preserve">seek to portray stronger </w:t>
      </w:r>
      <w:r w:rsidRPr="00F05B90">
        <w:rPr>
          <w:lang w:val="en-GB"/>
        </w:rPr>
        <w:t>performance to win the tournament. Huang et al. (202</w:t>
      </w:r>
      <w:r w:rsidR="004E28F0" w:rsidRPr="00F05B90">
        <w:rPr>
          <w:lang w:val="en-GB"/>
        </w:rPr>
        <w:t>3</w:t>
      </w:r>
      <w:r w:rsidRPr="00F05B90">
        <w:rPr>
          <w:lang w:val="en-GB"/>
        </w:rPr>
        <w:t xml:space="preserve">) </w:t>
      </w:r>
      <w:r w:rsidR="002F2672" w:rsidRPr="00F05B90">
        <w:rPr>
          <w:lang w:val="en-GB"/>
        </w:rPr>
        <w:t xml:space="preserve">report </w:t>
      </w:r>
      <w:r w:rsidRPr="00F05B90">
        <w:rPr>
          <w:lang w:val="en-GB"/>
        </w:rPr>
        <w:t xml:space="preserve">that industry tournament incentives </w:t>
      </w:r>
      <w:r w:rsidR="00EC5F15" w:rsidRPr="00F05B90">
        <w:rPr>
          <w:lang w:val="en-GB"/>
        </w:rPr>
        <w:t xml:space="preserve">increase </w:t>
      </w:r>
      <w:r w:rsidRPr="00F05B90">
        <w:rPr>
          <w:lang w:val="en-GB"/>
        </w:rPr>
        <w:t xml:space="preserve">earnings manipulation and the likelihood of </w:t>
      </w:r>
      <w:r w:rsidR="00EC5F15" w:rsidRPr="00F05B90">
        <w:rPr>
          <w:lang w:val="en-GB"/>
        </w:rPr>
        <w:t xml:space="preserve">financial </w:t>
      </w:r>
      <w:r w:rsidRPr="00F05B90">
        <w:rPr>
          <w:lang w:val="en-GB"/>
        </w:rPr>
        <w:t xml:space="preserve">restatements. </w:t>
      </w:r>
      <w:r w:rsidR="00897811" w:rsidRPr="00F05B90">
        <w:rPr>
          <w:lang w:val="en-GB"/>
        </w:rPr>
        <w:t xml:space="preserve"> </w:t>
      </w:r>
      <w:r w:rsidR="00EC5F15" w:rsidRPr="00F05B90">
        <w:rPr>
          <w:lang w:val="en-GB"/>
        </w:rPr>
        <w:t xml:space="preserve">Additionally, </w:t>
      </w:r>
      <w:r w:rsidR="00897811" w:rsidRPr="00F05B90">
        <w:t xml:space="preserve">Kubick and Lockhart (2016) </w:t>
      </w:r>
      <w:r w:rsidR="00EC5F15" w:rsidRPr="00F05B90">
        <w:t xml:space="preserve">show </w:t>
      </w:r>
      <w:r w:rsidR="00897811" w:rsidRPr="00F05B90">
        <w:t xml:space="preserve">that </w:t>
      </w:r>
      <w:r w:rsidR="00EC5F15" w:rsidRPr="00F05B90">
        <w:t xml:space="preserve">such </w:t>
      </w:r>
      <w:r w:rsidR="00897811" w:rsidRPr="00F05B90">
        <w:t>incentives encourage aggressive tax policies.</w:t>
      </w:r>
      <w:r w:rsidR="00387AC1" w:rsidRPr="00F05B90">
        <w:t xml:space="preserve"> </w:t>
      </w:r>
    </w:p>
    <w:p w14:paraId="7528FB51" w14:textId="40A9A90A" w:rsidR="00EB3C92" w:rsidRPr="00F05B90" w:rsidRDefault="00EC5F15" w:rsidP="00B1778A">
      <w:pPr>
        <w:spacing w:before="240" w:after="240" w:line="360" w:lineRule="auto"/>
        <w:jc w:val="both"/>
        <w:rPr>
          <w:lang w:val="en-GB"/>
        </w:rPr>
      </w:pPr>
      <w:r w:rsidRPr="00F05B90">
        <w:t xml:space="preserve">Despite the growing literature on </w:t>
      </w:r>
      <w:r w:rsidRPr="00F05B90">
        <w:rPr>
          <w:lang w:val="en-GB"/>
        </w:rPr>
        <w:t xml:space="preserve">industry tournament incentives and their </w:t>
      </w:r>
      <w:r w:rsidR="00F80955" w:rsidRPr="00F05B90">
        <w:rPr>
          <w:lang w:val="en-GB"/>
        </w:rPr>
        <w:t xml:space="preserve">impact on financial policies, </w:t>
      </w:r>
      <w:r w:rsidRPr="00F05B90">
        <w:rPr>
          <w:lang w:val="en-GB"/>
        </w:rPr>
        <w:t xml:space="preserve">little research has examined </w:t>
      </w:r>
      <w:r w:rsidR="00F80955" w:rsidRPr="00F05B90">
        <w:rPr>
          <w:lang w:val="en-GB"/>
        </w:rPr>
        <w:t>how external auditor</w:t>
      </w:r>
      <w:r w:rsidR="00004DC7" w:rsidRPr="00F05B90">
        <w:rPr>
          <w:lang w:val="en-GB"/>
        </w:rPr>
        <w:t xml:space="preserve">s </w:t>
      </w:r>
      <w:r w:rsidR="00F80955" w:rsidRPr="00F05B90">
        <w:rPr>
          <w:lang w:val="en-GB"/>
        </w:rPr>
        <w:t xml:space="preserve">respond to </w:t>
      </w:r>
      <w:r w:rsidRPr="00F05B90">
        <w:rPr>
          <w:lang w:val="en-GB"/>
        </w:rPr>
        <w:t>these dynamics</w:t>
      </w:r>
      <w:r w:rsidR="00004DC7" w:rsidRPr="00F05B90">
        <w:rPr>
          <w:lang w:val="en-GB"/>
        </w:rPr>
        <w:t>. I</w:t>
      </w:r>
      <w:r w:rsidR="00F80955" w:rsidRPr="00F05B90">
        <w:rPr>
          <w:lang w:val="en-GB"/>
        </w:rPr>
        <w:t xml:space="preserve">t remains an </w:t>
      </w:r>
      <w:r w:rsidRPr="00F05B90">
        <w:rPr>
          <w:lang w:val="en-GB"/>
        </w:rPr>
        <w:t xml:space="preserve">open </w:t>
      </w:r>
      <w:r w:rsidR="00F80955" w:rsidRPr="00F05B90">
        <w:rPr>
          <w:lang w:val="en-GB"/>
        </w:rPr>
        <w:t xml:space="preserve">empirical question whether </w:t>
      </w:r>
      <w:r w:rsidRPr="00F05B90">
        <w:rPr>
          <w:lang w:val="en-GB"/>
        </w:rPr>
        <w:t xml:space="preserve">industry tournament incentives </w:t>
      </w:r>
      <w:r w:rsidR="00B1778A" w:rsidRPr="00F05B90">
        <w:rPr>
          <w:lang w:val="en-GB"/>
        </w:rPr>
        <w:t>influence</w:t>
      </w:r>
      <w:r w:rsidRPr="00F05B90">
        <w:rPr>
          <w:lang w:val="en-GB"/>
        </w:rPr>
        <w:t xml:space="preserve"> </w:t>
      </w:r>
      <w:r w:rsidR="00F80955" w:rsidRPr="00F05B90">
        <w:rPr>
          <w:lang w:val="en-GB"/>
        </w:rPr>
        <w:t>auditor</w:t>
      </w:r>
      <w:r w:rsidRPr="00F05B90">
        <w:rPr>
          <w:lang w:val="en-GB"/>
        </w:rPr>
        <w:t>s’ professional</w:t>
      </w:r>
      <w:r w:rsidR="00F80955" w:rsidRPr="00F05B90">
        <w:rPr>
          <w:lang w:val="en-GB"/>
        </w:rPr>
        <w:t xml:space="preserve"> </w:t>
      </w:r>
      <w:r w:rsidR="00B1778A" w:rsidRPr="00F05B90">
        <w:rPr>
          <w:lang w:val="en-GB"/>
        </w:rPr>
        <w:t>judgment</w:t>
      </w:r>
      <w:r w:rsidR="00F80955" w:rsidRPr="00F05B90">
        <w:rPr>
          <w:lang w:val="en-GB"/>
        </w:rPr>
        <w:t>.</w:t>
      </w:r>
    </w:p>
    <w:p w14:paraId="75B296FE" w14:textId="6D9053EA" w:rsidR="00F80955" w:rsidRPr="00F05B90" w:rsidRDefault="00F80955" w:rsidP="00B1778A">
      <w:pPr>
        <w:pStyle w:val="Heading2"/>
        <w:spacing w:before="240" w:after="240"/>
        <w:ind w:left="426" w:hanging="426"/>
        <w:rPr>
          <w:rFonts w:ascii="Times New Roman" w:hAnsi="Times New Roman" w:cs="Times New Roman"/>
          <w:color w:val="auto"/>
          <w:szCs w:val="24"/>
          <w:lang w:val="en-GB"/>
        </w:rPr>
      </w:pPr>
      <w:bookmarkStart w:id="7" w:name="_Toc123457907"/>
      <w:bookmarkStart w:id="8" w:name="_Hlk189574613"/>
      <w:r w:rsidRPr="00F05B90">
        <w:rPr>
          <w:rFonts w:ascii="Times New Roman" w:hAnsi="Times New Roman" w:cs="Times New Roman"/>
          <w:color w:val="auto"/>
          <w:szCs w:val="24"/>
          <w:lang w:val="en-GB"/>
        </w:rPr>
        <w:t xml:space="preserve">Industry </w:t>
      </w:r>
      <w:r w:rsidR="00721D5D" w:rsidRPr="00F05B90">
        <w:rPr>
          <w:rFonts w:ascii="Times New Roman" w:hAnsi="Times New Roman" w:cs="Times New Roman"/>
          <w:color w:val="auto"/>
          <w:szCs w:val="24"/>
          <w:lang w:val="en-GB"/>
        </w:rPr>
        <w:t xml:space="preserve">tournament and auditor </w:t>
      </w:r>
      <w:bookmarkEnd w:id="7"/>
      <w:r w:rsidR="00F0491B" w:rsidRPr="00F05B90">
        <w:rPr>
          <w:rFonts w:ascii="Times New Roman" w:hAnsi="Times New Roman" w:cs="Times New Roman"/>
          <w:color w:val="auto"/>
          <w:szCs w:val="24"/>
          <w:lang w:val="en-GB"/>
        </w:rPr>
        <w:t xml:space="preserve">professional </w:t>
      </w:r>
      <w:r w:rsidR="00B1778A" w:rsidRPr="00F05B90">
        <w:rPr>
          <w:rFonts w:ascii="Times New Roman" w:hAnsi="Times New Roman" w:cs="Times New Roman"/>
          <w:color w:val="auto"/>
          <w:szCs w:val="24"/>
          <w:lang w:val="en-GB"/>
        </w:rPr>
        <w:t>judgment</w:t>
      </w:r>
    </w:p>
    <w:p w14:paraId="5696D062" w14:textId="2D20BDBE" w:rsidR="00B153FF" w:rsidRPr="00F05B90" w:rsidRDefault="00DB2816" w:rsidP="005E73EF">
      <w:pPr>
        <w:spacing w:before="240" w:after="240" w:line="360" w:lineRule="auto"/>
        <w:jc w:val="both"/>
      </w:pPr>
      <w:r w:rsidRPr="00F05B90">
        <w:t>CEOs’ c</w:t>
      </w:r>
      <w:r w:rsidR="00327F56" w:rsidRPr="00F05B90">
        <w:t xml:space="preserve">ompensation </w:t>
      </w:r>
      <w:r w:rsidR="00911828" w:rsidRPr="00F05B90">
        <w:t>scheme</w:t>
      </w:r>
      <w:r w:rsidR="00327F56" w:rsidRPr="00F05B90">
        <w:t>s</w:t>
      </w:r>
      <w:r w:rsidRPr="00F05B90">
        <w:t xml:space="preserve"> </w:t>
      </w:r>
      <w:r w:rsidR="00327F56" w:rsidRPr="00F05B90">
        <w:t>influence CEO behavior and</w:t>
      </w:r>
      <w:r w:rsidR="00911828" w:rsidRPr="00F05B90">
        <w:t xml:space="preserve"> </w:t>
      </w:r>
      <w:r w:rsidRPr="00F05B90">
        <w:t xml:space="preserve">could </w:t>
      </w:r>
      <w:r w:rsidR="00327F56" w:rsidRPr="00F05B90">
        <w:t>increase the risk of financial misreporting</w:t>
      </w:r>
      <w:r w:rsidR="002C0B55" w:rsidRPr="00F05B90">
        <w:t xml:space="preserve"> </w:t>
      </w:r>
      <w:r w:rsidR="002C0B55" w:rsidRPr="00F05B90">
        <w:rPr>
          <w:lang w:val="en-GB"/>
        </w:rPr>
        <w:t>(Burns &amp; Kedia, 2006; Bergstresser &amp; Philippon, 2006; Jiang et al., 2010)</w:t>
      </w:r>
      <w:r w:rsidR="00911828" w:rsidRPr="00F05B90">
        <w:rPr>
          <w:lang w:val="en-GB"/>
        </w:rPr>
        <w:t>,</w:t>
      </w:r>
      <w:r w:rsidR="002C0B55" w:rsidRPr="00F05B90">
        <w:rPr>
          <w:lang w:val="en-GB"/>
        </w:rPr>
        <w:t xml:space="preserve"> a</w:t>
      </w:r>
      <w:r w:rsidR="00911828" w:rsidRPr="00F05B90">
        <w:rPr>
          <w:lang w:val="en-GB"/>
        </w:rPr>
        <w:t xml:space="preserve">s evidenced by their </w:t>
      </w:r>
      <w:r w:rsidR="002C0B55" w:rsidRPr="00F05B90">
        <w:rPr>
          <w:lang w:val="en-GB"/>
        </w:rPr>
        <w:t>link</w:t>
      </w:r>
      <w:r w:rsidR="00911828" w:rsidRPr="00F05B90">
        <w:rPr>
          <w:lang w:val="en-GB"/>
        </w:rPr>
        <w:t xml:space="preserve"> to numerous </w:t>
      </w:r>
      <w:r w:rsidR="00F80955" w:rsidRPr="00F05B90">
        <w:rPr>
          <w:lang w:val="en-GB"/>
        </w:rPr>
        <w:t>accounting scandals</w:t>
      </w:r>
      <w:r w:rsidR="00A6523B" w:rsidRPr="00F05B90">
        <w:rPr>
          <w:rStyle w:val="FootnoteReference"/>
          <w:lang w:val="en-GB"/>
        </w:rPr>
        <w:footnoteReference w:id="6"/>
      </w:r>
      <w:r w:rsidR="00F80955" w:rsidRPr="00F05B90">
        <w:rPr>
          <w:lang w:val="en-GB"/>
        </w:rPr>
        <w:t xml:space="preserve">. </w:t>
      </w:r>
      <w:r w:rsidRPr="00F05B90">
        <w:rPr>
          <w:lang w:val="en-GB"/>
        </w:rPr>
        <w:t xml:space="preserve">Given that auditor </w:t>
      </w:r>
      <w:r w:rsidRPr="00F05B90">
        <w:t>are required to assess their client risks, especially those arising from CEO</w:t>
      </w:r>
      <w:r w:rsidR="005E73EF" w:rsidRPr="00F05B90">
        <w:t>’s</w:t>
      </w:r>
      <w:r w:rsidRPr="00F05B90">
        <w:t xml:space="preserve"> compensation (</w:t>
      </w:r>
      <w:r w:rsidRPr="00F05B90">
        <w:rPr>
          <w:lang w:bidi="ar-EG"/>
        </w:rPr>
        <w:t xml:space="preserve">DeFond and Zhang, 2014; </w:t>
      </w:r>
      <w:r w:rsidRPr="00F05B90">
        <w:t xml:space="preserve">Kim et al., 2014), existing studies </w:t>
      </w:r>
      <w:r w:rsidR="00DD45D0" w:rsidRPr="00F05B90">
        <w:t xml:space="preserve">have explored </w:t>
      </w:r>
      <w:r w:rsidR="002C0B55" w:rsidRPr="00F05B90">
        <w:t xml:space="preserve">whether auditors </w:t>
      </w:r>
      <w:r w:rsidR="00DD45D0" w:rsidRPr="00F05B90">
        <w:t xml:space="preserve">factor in </w:t>
      </w:r>
      <w:r w:rsidR="002C0B55" w:rsidRPr="00F05B90">
        <w:t>these compensation-related risks when planning and executing audits.</w:t>
      </w:r>
      <w:r w:rsidR="002871F3" w:rsidRPr="00F05B90">
        <w:t xml:space="preserve"> </w:t>
      </w:r>
      <w:r w:rsidR="00F80955" w:rsidRPr="00F05B90">
        <w:rPr>
          <w:lang w:val="en-GB"/>
        </w:rPr>
        <w:t>For example, Vafeas and Waegelein (2007) f</w:t>
      </w:r>
      <w:r w:rsidR="00AC66CD" w:rsidRPr="00F05B90">
        <w:rPr>
          <w:lang w:val="en-GB"/>
        </w:rPr>
        <w:t>i</w:t>
      </w:r>
      <w:r w:rsidR="00F80955" w:rsidRPr="00F05B90">
        <w:rPr>
          <w:lang w:val="en-GB"/>
        </w:rPr>
        <w:t>nd that long-term compensation is associated with lower audit fees</w:t>
      </w:r>
      <w:r w:rsidR="005E73EF" w:rsidRPr="00F05B90">
        <w:rPr>
          <w:lang w:val="en-GB"/>
        </w:rPr>
        <w:t xml:space="preserve">, while </w:t>
      </w:r>
      <w:r w:rsidR="00F80955" w:rsidRPr="00F05B90">
        <w:rPr>
          <w:lang w:val="en-GB"/>
        </w:rPr>
        <w:t xml:space="preserve">Qu et al. (2020) </w:t>
      </w:r>
      <w:r w:rsidRPr="00F05B90">
        <w:rPr>
          <w:lang w:val="en-GB"/>
        </w:rPr>
        <w:t>find</w:t>
      </w:r>
      <w:r w:rsidR="00F04977" w:rsidRPr="00F05B90">
        <w:rPr>
          <w:lang w:val="en-GB"/>
        </w:rPr>
        <w:t xml:space="preserve"> </w:t>
      </w:r>
      <w:r w:rsidR="00F80955" w:rsidRPr="00F05B90">
        <w:rPr>
          <w:lang w:val="en-GB"/>
        </w:rPr>
        <w:t xml:space="preserve">that the proportion of equity-based </w:t>
      </w:r>
      <w:r w:rsidR="00B20994" w:rsidRPr="00F05B90">
        <w:rPr>
          <w:lang w:val="en-GB"/>
        </w:rPr>
        <w:t xml:space="preserve">CEO </w:t>
      </w:r>
      <w:r w:rsidR="00F80955" w:rsidRPr="00F05B90">
        <w:rPr>
          <w:lang w:val="en-GB"/>
        </w:rPr>
        <w:t xml:space="preserve">compensation, </w:t>
      </w:r>
      <w:r w:rsidR="00F04977" w:rsidRPr="00F05B90">
        <w:rPr>
          <w:lang w:val="en-GB"/>
        </w:rPr>
        <w:t xml:space="preserve">rather than </w:t>
      </w:r>
      <w:r w:rsidR="00F80955" w:rsidRPr="00F05B90">
        <w:rPr>
          <w:lang w:val="en-GB"/>
        </w:rPr>
        <w:t>total compensation, drives audit fees.</w:t>
      </w:r>
      <w:r w:rsidR="00453767" w:rsidRPr="00F05B90">
        <w:rPr>
          <w:lang w:val="en-GB"/>
        </w:rPr>
        <w:t xml:space="preserve"> </w:t>
      </w:r>
      <w:r w:rsidR="002871F3" w:rsidRPr="00F05B90">
        <w:rPr>
          <w:lang w:val="en-GB"/>
        </w:rPr>
        <w:t xml:space="preserve">Similarly, </w:t>
      </w:r>
      <w:r w:rsidR="00453767" w:rsidRPr="00F05B90">
        <w:t xml:space="preserve">Kannan et al. (2014) and Kim et al. (2014) demonstrate that CEO equity portfolio vega, which </w:t>
      </w:r>
      <w:r w:rsidR="002871F3" w:rsidRPr="00F05B90">
        <w:t xml:space="preserve">measures </w:t>
      </w:r>
      <w:r w:rsidR="00453767" w:rsidRPr="00F05B90">
        <w:t>the sensitivity of equity-based compensation to share price</w:t>
      </w:r>
      <w:r w:rsidR="002871F3" w:rsidRPr="00F05B90">
        <w:t xml:space="preserve"> fluctuations</w:t>
      </w:r>
      <w:r w:rsidR="00453767" w:rsidRPr="00F05B90">
        <w:t>, is positively associated with audit fees. Chen et al. (2015) confirm th</w:t>
      </w:r>
      <w:r w:rsidR="002871F3" w:rsidRPr="00F05B90">
        <w:t xml:space="preserve">is relationship </w:t>
      </w:r>
      <w:r w:rsidR="00453767" w:rsidRPr="00F05B90">
        <w:t xml:space="preserve">but note that </w:t>
      </w:r>
      <w:r w:rsidR="002871F3" w:rsidRPr="00F05B90">
        <w:t xml:space="preserve">the effect weakens </w:t>
      </w:r>
      <w:r w:rsidR="00453767" w:rsidRPr="00F05B90">
        <w:t>post-SOX</w:t>
      </w:r>
      <w:r w:rsidR="002871F3" w:rsidRPr="00F05B90">
        <w:t xml:space="preserve"> </w:t>
      </w:r>
      <w:r w:rsidR="00453767" w:rsidRPr="00F05B90">
        <w:t xml:space="preserve">due to clawback provisions that reduce incentives for </w:t>
      </w:r>
      <w:r w:rsidR="002871F3" w:rsidRPr="00F05B90">
        <w:t xml:space="preserve">financial </w:t>
      </w:r>
      <w:r w:rsidR="00453767" w:rsidRPr="00F05B90">
        <w:t>misreporting.</w:t>
      </w:r>
    </w:p>
    <w:p w14:paraId="6640AD7C" w14:textId="77777777" w:rsidR="00D303F3" w:rsidRPr="00F05B90" w:rsidRDefault="002871F3" w:rsidP="003B3DDA">
      <w:pPr>
        <w:spacing w:before="240" w:after="240" w:line="360" w:lineRule="auto"/>
        <w:jc w:val="both"/>
        <w:rPr>
          <w:lang w:val="en-GB"/>
        </w:rPr>
      </w:pPr>
      <w:r w:rsidRPr="00F05B90">
        <w:lastRenderedPageBreak/>
        <w:t xml:space="preserve">While </w:t>
      </w:r>
      <w:r w:rsidR="005E73EF" w:rsidRPr="00F05B90">
        <w:t>the previous</w:t>
      </w:r>
      <w:r w:rsidRPr="00F05B90">
        <w:t xml:space="preserve"> studies </w:t>
      </w:r>
      <w:r w:rsidR="00453767" w:rsidRPr="00F05B90">
        <w:t>focus</w:t>
      </w:r>
      <w:r w:rsidR="005E73EF" w:rsidRPr="00F05B90">
        <w:t>ed</w:t>
      </w:r>
      <w:r w:rsidRPr="00F05B90">
        <w:t xml:space="preserve"> </w:t>
      </w:r>
      <w:r w:rsidR="00453767" w:rsidRPr="00F05B90">
        <w:t xml:space="preserve">on firm-specific compensation </w:t>
      </w:r>
      <w:r w:rsidRPr="00F05B90">
        <w:t>structures</w:t>
      </w:r>
      <w:r w:rsidR="00453767" w:rsidRPr="00F05B90">
        <w:t xml:space="preserve">, </w:t>
      </w:r>
      <w:r w:rsidRPr="00F05B90">
        <w:t>an</w:t>
      </w:r>
      <w:r w:rsidR="00453767" w:rsidRPr="00F05B90">
        <w:t xml:space="preserve">other </w:t>
      </w:r>
      <w:r w:rsidRPr="00F05B90">
        <w:t xml:space="preserve">stream of </w:t>
      </w:r>
      <w:r w:rsidR="00365D65" w:rsidRPr="00F05B90">
        <w:t xml:space="preserve">research examines </w:t>
      </w:r>
      <w:r w:rsidR="00453767" w:rsidRPr="00F05B90">
        <w:t xml:space="preserve">CEO incentives </w:t>
      </w:r>
      <w:r w:rsidR="00365D65" w:rsidRPr="00F05B90">
        <w:t xml:space="preserve">linked </w:t>
      </w:r>
      <w:r w:rsidR="00453767" w:rsidRPr="00F05B90">
        <w:t xml:space="preserve">to competition for the </w:t>
      </w:r>
      <w:r w:rsidR="00365D65" w:rsidRPr="00F05B90">
        <w:t>top position within the industry</w:t>
      </w:r>
      <w:r w:rsidR="00453767" w:rsidRPr="00F05B90">
        <w:t xml:space="preserve">. However, </w:t>
      </w:r>
      <w:r w:rsidR="00365D65" w:rsidRPr="00F05B90">
        <w:t xml:space="preserve">findings </w:t>
      </w:r>
      <w:r w:rsidR="00365D65" w:rsidRPr="00F05B90">
        <w:rPr>
          <w:lang w:val="en-GB"/>
        </w:rPr>
        <w:t xml:space="preserve">on the association between tournament incentives and audit </w:t>
      </w:r>
      <w:r w:rsidR="003B3DDA" w:rsidRPr="00F05B90">
        <w:rPr>
          <w:lang w:val="en-GB"/>
        </w:rPr>
        <w:t>effort</w:t>
      </w:r>
      <w:r w:rsidR="00365D65" w:rsidRPr="00F05B90">
        <w:t xml:space="preserve"> remain</w:t>
      </w:r>
      <w:r w:rsidR="00365D65" w:rsidRPr="00F05B90">
        <w:rPr>
          <w:lang w:val="en-GB"/>
        </w:rPr>
        <w:t xml:space="preserve"> </w:t>
      </w:r>
      <w:r w:rsidR="00B16737" w:rsidRPr="00F05B90">
        <w:rPr>
          <w:lang w:val="en-GB"/>
        </w:rPr>
        <w:t>inconsistent</w:t>
      </w:r>
      <w:r w:rsidR="00F80955" w:rsidRPr="00F05B90">
        <w:rPr>
          <w:lang w:val="en-GB"/>
        </w:rPr>
        <w:t xml:space="preserve">. Jia (2017) finds that </w:t>
      </w:r>
      <w:r w:rsidR="00EE427B" w:rsidRPr="00F05B90">
        <w:rPr>
          <w:lang w:val="en-GB"/>
        </w:rPr>
        <w:t>internal tournament</w:t>
      </w:r>
      <w:r w:rsidR="00F80955" w:rsidRPr="00F05B90">
        <w:rPr>
          <w:lang w:val="en-GB"/>
        </w:rPr>
        <w:t xml:space="preserve"> </w:t>
      </w:r>
      <w:r w:rsidR="00365D65" w:rsidRPr="00F05B90">
        <w:rPr>
          <w:lang w:val="en-GB"/>
        </w:rPr>
        <w:t xml:space="preserve">incentives </w:t>
      </w:r>
      <w:r w:rsidR="003B3DDA" w:rsidRPr="00F05B90">
        <w:rPr>
          <w:lang w:val="en-GB"/>
        </w:rPr>
        <w:t>is associated</w:t>
      </w:r>
      <w:r w:rsidR="00365D65" w:rsidRPr="00F05B90">
        <w:rPr>
          <w:lang w:val="en-GB"/>
        </w:rPr>
        <w:t xml:space="preserve"> </w:t>
      </w:r>
      <w:r w:rsidR="00F80955" w:rsidRPr="00F05B90">
        <w:rPr>
          <w:lang w:val="en-GB"/>
        </w:rPr>
        <w:t xml:space="preserve">with higher audit fees, </w:t>
      </w:r>
      <w:r w:rsidR="00365D65" w:rsidRPr="00F05B90">
        <w:rPr>
          <w:lang w:val="en-GB"/>
        </w:rPr>
        <w:t xml:space="preserve">suggesting </w:t>
      </w:r>
      <w:r w:rsidR="00F80955" w:rsidRPr="00F05B90">
        <w:rPr>
          <w:lang w:val="en-GB"/>
        </w:rPr>
        <w:t xml:space="preserve">that auditors </w:t>
      </w:r>
      <w:r w:rsidR="00365D65" w:rsidRPr="00F05B90">
        <w:rPr>
          <w:lang w:val="en-GB"/>
        </w:rPr>
        <w:t xml:space="preserve">perceive such </w:t>
      </w:r>
      <w:r w:rsidR="00F80955" w:rsidRPr="00F05B90">
        <w:rPr>
          <w:lang w:val="en-GB"/>
        </w:rPr>
        <w:t xml:space="preserve">incentives </w:t>
      </w:r>
      <w:r w:rsidR="00365D65" w:rsidRPr="00F05B90">
        <w:rPr>
          <w:lang w:val="en-GB"/>
        </w:rPr>
        <w:t xml:space="preserve">as drivers of </w:t>
      </w:r>
      <w:r w:rsidR="00F80955" w:rsidRPr="00F05B90">
        <w:rPr>
          <w:lang w:val="en-GB"/>
        </w:rPr>
        <w:t>managerial risk-taking</w:t>
      </w:r>
      <w:r w:rsidR="00365D65" w:rsidRPr="00F05B90">
        <w:rPr>
          <w:lang w:val="en-GB"/>
        </w:rPr>
        <w:t xml:space="preserve"> </w:t>
      </w:r>
      <w:r w:rsidR="00F80955" w:rsidRPr="00F05B90">
        <w:rPr>
          <w:lang w:val="en-GB"/>
        </w:rPr>
        <w:t xml:space="preserve">and financial misreporting. </w:t>
      </w:r>
      <w:r w:rsidR="00365D65" w:rsidRPr="00F05B90">
        <w:rPr>
          <w:lang w:val="en-GB"/>
        </w:rPr>
        <w:t xml:space="preserve">Building on </w:t>
      </w:r>
      <w:r w:rsidR="00F80955" w:rsidRPr="00F05B90">
        <w:rPr>
          <w:lang w:val="en-GB"/>
        </w:rPr>
        <w:t>Jia</w:t>
      </w:r>
      <w:r w:rsidR="007775D6" w:rsidRPr="00F05B90">
        <w:rPr>
          <w:lang w:val="en-GB"/>
        </w:rPr>
        <w:t>’</w:t>
      </w:r>
      <w:r w:rsidR="00F80955" w:rsidRPr="00F05B90">
        <w:rPr>
          <w:lang w:val="en-GB"/>
        </w:rPr>
        <w:t xml:space="preserve">s </w:t>
      </w:r>
      <w:r w:rsidR="00365D65" w:rsidRPr="00F05B90">
        <w:rPr>
          <w:lang w:val="en-GB"/>
        </w:rPr>
        <w:t>work</w:t>
      </w:r>
      <w:r w:rsidR="00F80955" w:rsidRPr="00F05B90">
        <w:rPr>
          <w:lang w:val="en-GB"/>
        </w:rPr>
        <w:t xml:space="preserve">, Ge et al. (2020) </w:t>
      </w:r>
      <w:r w:rsidR="00365D65" w:rsidRPr="00F05B90">
        <w:rPr>
          <w:lang w:val="en-GB"/>
        </w:rPr>
        <w:t xml:space="preserve">investigate this relationship in </w:t>
      </w:r>
      <w:r w:rsidR="00F80955" w:rsidRPr="00F05B90">
        <w:rPr>
          <w:lang w:val="en-GB"/>
        </w:rPr>
        <w:t xml:space="preserve">firms </w:t>
      </w:r>
      <w:r w:rsidR="00365D65" w:rsidRPr="00F05B90">
        <w:rPr>
          <w:lang w:val="en-GB"/>
        </w:rPr>
        <w:t xml:space="preserve">with </w:t>
      </w:r>
      <w:r w:rsidR="00F80955" w:rsidRPr="00F05B90">
        <w:rPr>
          <w:lang w:val="en-GB"/>
        </w:rPr>
        <w:t xml:space="preserve">high R&amp;D investment. Although </w:t>
      </w:r>
      <w:r w:rsidR="00365D65" w:rsidRPr="00F05B90">
        <w:rPr>
          <w:lang w:val="en-GB"/>
        </w:rPr>
        <w:t xml:space="preserve">they </w:t>
      </w:r>
      <w:r w:rsidR="00F80955" w:rsidRPr="00F05B90">
        <w:rPr>
          <w:lang w:val="en-GB"/>
        </w:rPr>
        <w:t xml:space="preserve">find </w:t>
      </w:r>
      <w:r w:rsidR="00365D65" w:rsidRPr="00F05B90">
        <w:rPr>
          <w:lang w:val="en-GB"/>
        </w:rPr>
        <w:t xml:space="preserve">a </w:t>
      </w:r>
      <w:r w:rsidR="00F80955" w:rsidRPr="00F05B90">
        <w:rPr>
          <w:lang w:val="en-GB"/>
        </w:rPr>
        <w:t>positive</w:t>
      </w:r>
      <w:r w:rsidR="00365D65" w:rsidRPr="00F05B90">
        <w:rPr>
          <w:lang w:val="en-GB"/>
        </w:rPr>
        <w:t xml:space="preserve"> </w:t>
      </w:r>
      <w:r w:rsidR="00F80955" w:rsidRPr="00F05B90">
        <w:rPr>
          <w:lang w:val="en-GB"/>
        </w:rPr>
        <w:t>associat</w:t>
      </w:r>
      <w:r w:rsidR="00365D65" w:rsidRPr="00F05B90">
        <w:rPr>
          <w:lang w:val="en-GB"/>
        </w:rPr>
        <w:t>ion between</w:t>
      </w:r>
      <w:r w:rsidR="00F80955" w:rsidRPr="00F05B90">
        <w:rPr>
          <w:lang w:val="en-GB"/>
        </w:rPr>
        <w:t xml:space="preserve"> </w:t>
      </w:r>
      <w:r w:rsidR="00365D65" w:rsidRPr="00F05B90">
        <w:rPr>
          <w:lang w:val="en-GB"/>
        </w:rPr>
        <w:t xml:space="preserve">executive pay gaps and </w:t>
      </w:r>
      <w:r w:rsidR="00F80955" w:rsidRPr="00F05B90">
        <w:rPr>
          <w:lang w:val="en-GB"/>
        </w:rPr>
        <w:t xml:space="preserve">audit fees, </w:t>
      </w:r>
      <w:r w:rsidR="00365D65" w:rsidRPr="00F05B90">
        <w:rPr>
          <w:lang w:val="en-GB"/>
        </w:rPr>
        <w:t xml:space="preserve">auditors </w:t>
      </w:r>
      <w:r w:rsidR="00F80955" w:rsidRPr="00F05B90">
        <w:rPr>
          <w:lang w:val="en-GB"/>
        </w:rPr>
        <w:t>in R&amp;D-intensive firms</w:t>
      </w:r>
      <w:r w:rsidR="00365D65" w:rsidRPr="00F05B90">
        <w:rPr>
          <w:lang w:val="en-GB"/>
        </w:rPr>
        <w:t xml:space="preserve"> may interpret </w:t>
      </w:r>
      <w:r w:rsidR="00F80955" w:rsidRPr="00F05B90">
        <w:rPr>
          <w:lang w:val="en-GB"/>
        </w:rPr>
        <w:t xml:space="preserve">high </w:t>
      </w:r>
      <w:r w:rsidR="00365D65" w:rsidRPr="00F05B90">
        <w:rPr>
          <w:lang w:val="en-GB"/>
        </w:rPr>
        <w:t xml:space="preserve">CEO </w:t>
      </w:r>
      <w:r w:rsidR="00F80955" w:rsidRPr="00F05B90">
        <w:rPr>
          <w:lang w:val="en-GB"/>
        </w:rPr>
        <w:t xml:space="preserve">pay </w:t>
      </w:r>
      <w:r w:rsidR="00365D65" w:rsidRPr="00F05B90">
        <w:rPr>
          <w:lang w:val="en-GB"/>
        </w:rPr>
        <w:t xml:space="preserve">as justified </w:t>
      </w:r>
      <w:r w:rsidR="00F80955" w:rsidRPr="00F05B90">
        <w:rPr>
          <w:lang w:val="en-GB"/>
        </w:rPr>
        <w:t xml:space="preserve">compensation for </w:t>
      </w:r>
      <w:r w:rsidR="00F80FDB" w:rsidRPr="00F05B90">
        <w:rPr>
          <w:lang w:val="en-GB"/>
        </w:rPr>
        <w:t xml:space="preserve">innovation </w:t>
      </w:r>
      <w:r w:rsidR="00F80955" w:rsidRPr="00F05B90">
        <w:rPr>
          <w:lang w:val="en-GB"/>
        </w:rPr>
        <w:t xml:space="preserve">risk </w:t>
      </w:r>
      <w:r w:rsidR="007775D6" w:rsidRPr="00F05B90">
        <w:rPr>
          <w:lang w:val="en-GB"/>
        </w:rPr>
        <w:t>rather than</w:t>
      </w:r>
      <w:r w:rsidR="00F80955" w:rsidRPr="00F05B90">
        <w:rPr>
          <w:lang w:val="en-GB"/>
        </w:rPr>
        <w:t xml:space="preserve"> a sign</w:t>
      </w:r>
      <w:r w:rsidR="00F80FDB" w:rsidRPr="00F05B90">
        <w:rPr>
          <w:lang w:val="en-GB"/>
        </w:rPr>
        <w:t>al</w:t>
      </w:r>
      <w:r w:rsidR="00F80955" w:rsidRPr="00F05B90">
        <w:rPr>
          <w:lang w:val="en-GB"/>
        </w:rPr>
        <w:t xml:space="preserve"> of unethical managerial behaviour.</w:t>
      </w:r>
      <w:r w:rsidR="00B153FF" w:rsidRPr="00F05B90">
        <w:rPr>
          <w:lang w:val="en-GB"/>
        </w:rPr>
        <w:t xml:space="preserve"> </w:t>
      </w:r>
      <w:r w:rsidR="00EE427B" w:rsidRPr="00F05B90">
        <w:rPr>
          <w:lang w:val="en-GB"/>
        </w:rPr>
        <w:t>In contrast</w:t>
      </w:r>
      <w:r w:rsidR="00F80FDB" w:rsidRPr="00F05B90">
        <w:rPr>
          <w:lang w:val="en-GB"/>
        </w:rPr>
        <w:t>,</w:t>
      </w:r>
      <w:r w:rsidR="00EE427B" w:rsidRPr="00F05B90">
        <w:rPr>
          <w:lang w:val="en-GB"/>
        </w:rPr>
        <w:t xml:space="preserve"> </w:t>
      </w:r>
      <w:r w:rsidR="00F80955" w:rsidRPr="00F05B90">
        <w:rPr>
          <w:lang w:val="en-GB"/>
        </w:rPr>
        <w:t>Tan (202</w:t>
      </w:r>
      <w:r w:rsidR="00F80FDB" w:rsidRPr="00F05B90">
        <w:rPr>
          <w:lang w:val="en-GB"/>
        </w:rPr>
        <w:t>1</w:t>
      </w:r>
      <w:r w:rsidR="00EE427B" w:rsidRPr="00F05B90">
        <w:rPr>
          <w:lang w:val="en-GB"/>
        </w:rPr>
        <w:t xml:space="preserve">) </w:t>
      </w:r>
      <w:r w:rsidR="00F80FDB" w:rsidRPr="00F05B90">
        <w:rPr>
          <w:lang w:val="en-GB"/>
        </w:rPr>
        <w:t xml:space="preserve">reports </w:t>
      </w:r>
      <w:r w:rsidR="00EE427B" w:rsidRPr="00F05B90">
        <w:rPr>
          <w:lang w:val="en-GB"/>
        </w:rPr>
        <w:t xml:space="preserve">that </w:t>
      </w:r>
      <w:r w:rsidR="00F80955" w:rsidRPr="00F05B90">
        <w:rPr>
          <w:lang w:val="en-GB"/>
        </w:rPr>
        <w:t xml:space="preserve">industry tournament incentives </w:t>
      </w:r>
      <w:r w:rsidR="00F80FDB" w:rsidRPr="00F05B90">
        <w:rPr>
          <w:lang w:val="en-GB"/>
        </w:rPr>
        <w:t xml:space="preserve">reduce </w:t>
      </w:r>
      <w:r w:rsidR="00F80955" w:rsidRPr="00F05B90">
        <w:rPr>
          <w:lang w:val="en-GB"/>
        </w:rPr>
        <w:t xml:space="preserve">audit fees, </w:t>
      </w:r>
      <w:r w:rsidR="00F80FDB" w:rsidRPr="00F05B90">
        <w:rPr>
          <w:lang w:val="en-GB"/>
        </w:rPr>
        <w:t xml:space="preserve">implying </w:t>
      </w:r>
      <w:r w:rsidR="00F80955" w:rsidRPr="00F05B90">
        <w:rPr>
          <w:lang w:val="en-GB"/>
        </w:rPr>
        <w:t>that promotion-based incentive</w:t>
      </w:r>
      <w:r w:rsidR="00465F5A" w:rsidRPr="00F05B90">
        <w:rPr>
          <w:lang w:val="en-GB"/>
        </w:rPr>
        <w:t>s</w:t>
      </w:r>
      <w:r w:rsidR="00F80955" w:rsidRPr="00F05B90">
        <w:rPr>
          <w:lang w:val="en-GB"/>
        </w:rPr>
        <w:t xml:space="preserve"> encourage CEOs to </w:t>
      </w:r>
      <w:r w:rsidR="00F80FDB" w:rsidRPr="00F05B90">
        <w:rPr>
          <w:lang w:val="en-GB"/>
        </w:rPr>
        <w:t xml:space="preserve">operate more </w:t>
      </w:r>
      <w:r w:rsidR="00F80955" w:rsidRPr="00F05B90">
        <w:rPr>
          <w:lang w:val="en-GB"/>
        </w:rPr>
        <w:t>efficient</w:t>
      </w:r>
      <w:r w:rsidR="00F80FDB" w:rsidRPr="00F05B90">
        <w:rPr>
          <w:lang w:val="en-GB"/>
        </w:rPr>
        <w:t>ly</w:t>
      </w:r>
      <w:r w:rsidR="00F80955" w:rsidRPr="00F05B90">
        <w:rPr>
          <w:lang w:val="en-GB"/>
        </w:rPr>
        <w:t xml:space="preserve">, align </w:t>
      </w:r>
      <w:r w:rsidR="00465F5A" w:rsidRPr="00F05B90">
        <w:rPr>
          <w:lang w:val="en-GB"/>
        </w:rPr>
        <w:t xml:space="preserve">their </w:t>
      </w:r>
      <w:r w:rsidR="00F80955" w:rsidRPr="00F05B90">
        <w:rPr>
          <w:lang w:val="en-GB"/>
        </w:rPr>
        <w:t xml:space="preserve">interests with shareholders, and adopt value-enhancing policies. </w:t>
      </w:r>
    </w:p>
    <w:p w14:paraId="20C4589D" w14:textId="216F58FC" w:rsidR="00B153FF" w:rsidRPr="00F05B90" w:rsidRDefault="00EE427B" w:rsidP="00D303F3">
      <w:pPr>
        <w:spacing w:before="240" w:after="240" w:line="360" w:lineRule="auto"/>
        <w:jc w:val="both"/>
        <w:rPr>
          <w:lang w:val="en-GB"/>
        </w:rPr>
      </w:pPr>
      <w:r w:rsidRPr="00F05B90">
        <w:rPr>
          <w:lang w:val="en-GB"/>
        </w:rPr>
        <w:t>Notably</w:t>
      </w:r>
      <w:r w:rsidR="002C0B55" w:rsidRPr="00F05B90">
        <w:rPr>
          <w:lang w:val="en-GB"/>
        </w:rPr>
        <w:t>, as discussed</w:t>
      </w:r>
      <w:r w:rsidR="00F80FDB" w:rsidRPr="00F05B90">
        <w:rPr>
          <w:lang w:val="en-GB"/>
        </w:rPr>
        <w:t xml:space="preserve"> earlier</w:t>
      </w:r>
      <w:r w:rsidR="002C0B55" w:rsidRPr="00F05B90">
        <w:rPr>
          <w:lang w:val="en-GB"/>
        </w:rPr>
        <w:t xml:space="preserve">, </w:t>
      </w:r>
      <w:r w:rsidR="00F80FDB" w:rsidRPr="00F05B90">
        <w:rPr>
          <w:lang w:val="en-GB"/>
        </w:rPr>
        <w:t xml:space="preserve">most </w:t>
      </w:r>
      <w:r w:rsidR="002C0B55" w:rsidRPr="00F05B90">
        <w:rPr>
          <w:lang w:val="en-GB"/>
        </w:rPr>
        <w:t xml:space="preserve">existing </w:t>
      </w:r>
      <w:r w:rsidRPr="00F05B90">
        <w:rPr>
          <w:lang w:val="en-GB"/>
        </w:rPr>
        <w:t xml:space="preserve">studies </w:t>
      </w:r>
      <w:r w:rsidR="00F80FDB" w:rsidRPr="00F05B90">
        <w:rPr>
          <w:lang w:val="en-GB"/>
        </w:rPr>
        <w:t xml:space="preserve">rely </w:t>
      </w:r>
      <w:r w:rsidRPr="00F05B90">
        <w:rPr>
          <w:lang w:val="en-GB"/>
        </w:rPr>
        <w:t>on audit fees</w:t>
      </w:r>
      <w:r w:rsidR="00F80FDB" w:rsidRPr="00F05B90">
        <w:rPr>
          <w:lang w:val="en-GB"/>
        </w:rPr>
        <w:t xml:space="preserve"> as a proxy for audit quality</w:t>
      </w:r>
      <w:r w:rsidR="005E33E3" w:rsidRPr="00F05B90">
        <w:rPr>
          <w:lang w:val="en-GB"/>
        </w:rPr>
        <w:t xml:space="preserve">. However, </w:t>
      </w:r>
      <w:r w:rsidR="00F80955" w:rsidRPr="00F05B90">
        <w:rPr>
          <w:lang w:val="en-GB"/>
        </w:rPr>
        <w:t>audit fee</w:t>
      </w:r>
      <w:r w:rsidR="00010317" w:rsidRPr="00F05B90">
        <w:rPr>
          <w:lang w:val="en-GB"/>
        </w:rPr>
        <w:t>s</w:t>
      </w:r>
      <w:r w:rsidR="00F80955" w:rsidRPr="00F05B90">
        <w:rPr>
          <w:lang w:val="en-GB"/>
        </w:rPr>
        <w:t xml:space="preserve"> </w:t>
      </w:r>
      <w:r w:rsidR="005E33E3" w:rsidRPr="00F05B90">
        <w:t xml:space="preserve">may not </w:t>
      </w:r>
      <w:r w:rsidR="00F80FDB" w:rsidRPr="00F05B90">
        <w:t xml:space="preserve">directly </w:t>
      </w:r>
      <w:r w:rsidR="005E33E3" w:rsidRPr="00F05B90">
        <w:t xml:space="preserve">reflect </w:t>
      </w:r>
      <w:r w:rsidR="00F80955" w:rsidRPr="00F05B90">
        <w:rPr>
          <w:lang w:val="en-GB"/>
        </w:rPr>
        <w:t xml:space="preserve">audit </w:t>
      </w:r>
      <w:r w:rsidR="00B153FF" w:rsidRPr="00F05B90">
        <w:rPr>
          <w:lang w:val="en-GB"/>
        </w:rPr>
        <w:t xml:space="preserve">effort or </w:t>
      </w:r>
      <w:r w:rsidR="00F80955" w:rsidRPr="00F05B90">
        <w:rPr>
          <w:lang w:val="en-GB"/>
        </w:rPr>
        <w:t xml:space="preserve">quality (Kwon et al., 2018). Instead, </w:t>
      </w:r>
      <w:r w:rsidR="00B153FF" w:rsidRPr="00F05B90">
        <w:rPr>
          <w:lang w:val="en-GB"/>
        </w:rPr>
        <w:t xml:space="preserve">they </w:t>
      </w:r>
      <w:r w:rsidR="00F80955" w:rsidRPr="00F05B90">
        <w:rPr>
          <w:lang w:val="en-GB"/>
        </w:rPr>
        <w:t xml:space="preserve">may </w:t>
      </w:r>
      <w:r w:rsidR="00B153FF" w:rsidRPr="00F05B90">
        <w:rPr>
          <w:lang w:val="en-GB"/>
        </w:rPr>
        <w:t>represent</w:t>
      </w:r>
      <w:r w:rsidR="00F80955" w:rsidRPr="00F05B90">
        <w:rPr>
          <w:lang w:val="en-GB"/>
        </w:rPr>
        <w:t xml:space="preserve"> fee protection</w:t>
      </w:r>
      <w:r w:rsidR="00B153FF" w:rsidRPr="00F05B90">
        <w:rPr>
          <w:lang w:val="en-GB"/>
        </w:rPr>
        <w:t xml:space="preserve"> against </w:t>
      </w:r>
      <w:r w:rsidR="00F80955" w:rsidRPr="00F05B90">
        <w:rPr>
          <w:lang w:val="en-GB"/>
        </w:rPr>
        <w:t>litigation risk (Seetharaman et al.</w:t>
      </w:r>
      <w:r w:rsidR="009A0F3A" w:rsidRPr="00F05B90">
        <w:rPr>
          <w:lang w:val="en-GB"/>
        </w:rPr>
        <w:t>,</w:t>
      </w:r>
      <w:r w:rsidR="00F80955" w:rsidRPr="00F05B90">
        <w:rPr>
          <w:lang w:val="en-GB"/>
        </w:rPr>
        <w:t xml:space="preserve"> 2002) or </w:t>
      </w:r>
      <w:r w:rsidR="00B153FF" w:rsidRPr="00F05B90">
        <w:rPr>
          <w:lang w:val="en-GB"/>
        </w:rPr>
        <w:t xml:space="preserve">compensation </w:t>
      </w:r>
      <w:r w:rsidR="00F80955" w:rsidRPr="00F05B90">
        <w:rPr>
          <w:lang w:val="en-GB"/>
        </w:rPr>
        <w:t xml:space="preserve">for </w:t>
      </w:r>
      <w:r w:rsidR="00B153FF" w:rsidRPr="00F05B90">
        <w:rPr>
          <w:lang w:val="en-GB"/>
        </w:rPr>
        <w:t xml:space="preserve">compromised auditor </w:t>
      </w:r>
      <w:r w:rsidR="00F80955" w:rsidRPr="00F05B90">
        <w:rPr>
          <w:lang w:val="en-GB"/>
        </w:rPr>
        <w:t>independence (Kinney et al., 2004)</w:t>
      </w:r>
      <w:r w:rsidR="00B153FF" w:rsidRPr="00F05B90">
        <w:rPr>
          <w:lang w:val="en-GB"/>
        </w:rPr>
        <w:t xml:space="preserve">, introducing potential </w:t>
      </w:r>
      <w:r w:rsidR="00010317" w:rsidRPr="00F05B90">
        <w:rPr>
          <w:lang w:val="en-GB"/>
        </w:rPr>
        <w:t xml:space="preserve">bias </w:t>
      </w:r>
      <w:r w:rsidR="00B153FF" w:rsidRPr="00F05B90">
        <w:rPr>
          <w:lang w:val="en-GB"/>
        </w:rPr>
        <w:t>in prior research findings</w:t>
      </w:r>
      <w:r w:rsidR="00010317" w:rsidRPr="00F05B90">
        <w:rPr>
          <w:lang w:val="en-GB"/>
        </w:rPr>
        <w:t xml:space="preserve">. </w:t>
      </w:r>
      <w:r w:rsidR="006A0F76" w:rsidRPr="00F05B90">
        <w:rPr>
          <w:lang w:val="en-GB"/>
        </w:rPr>
        <w:t xml:space="preserve"> </w:t>
      </w:r>
      <w:r w:rsidR="006A0F76" w:rsidRPr="00F05B90">
        <w:t>Livne et al. (2024) advocate for the use of the number KAM and MAT levels as more direct and reliable indicators of auditors’ professional judgment and audit quality.</w:t>
      </w:r>
      <w:r w:rsidR="00D303F3" w:rsidRPr="00F05B90">
        <w:t xml:space="preserve"> </w:t>
      </w:r>
      <w:r w:rsidR="006A0F76" w:rsidRPr="00F05B90">
        <w:rPr>
          <w:lang w:val="en-GB"/>
        </w:rPr>
        <w:t xml:space="preserve">Therefore, to mitigate the bias associated </w:t>
      </w:r>
      <w:r w:rsidR="006A0F76" w:rsidRPr="00F05B90">
        <w:t xml:space="preserve">with audit fees, </w:t>
      </w:r>
      <w:r w:rsidR="006A0F76" w:rsidRPr="00F05B90">
        <w:rPr>
          <w:lang w:val="en-GB"/>
        </w:rPr>
        <w:t xml:space="preserve">we use </w:t>
      </w:r>
      <w:r w:rsidR="006A0F76" w:rsidRPr="00F05B90">
        <w:t>number of KAM</w:t>
      </w:r>
      <w:r w:rsidR="006A0F76" w:rsidRPr="00F05B90">
        <w:rPr>
          <w:lang w:val="en-GB"/>
        </w:rPr>
        <w:t xml:space="preserve"> and MAT levels</w:t>
      </w:r>
      <w:r w:rsidR="00E01A7A" w:rsidRPr="00F05B90">
        <w:rPr>
          <w:lang w:val="en-GB"/>
        </w:rPr>
        <w:t xml:space="preserve"> </w:t>
      </w:r>
      <w:r w:rsidR="006A0F76" w:rsidRPr="00F05B90">
        <w:rPr>
          <w:lang w:val="en-GB"/>
        </w:rPr>
        <w:t>to investigate w</w:t>
      </w:r>
      <w:r w:rsidR="005E33E3" w:rsidRPr="00F05B90">
        <w:t xml:space="preserve">hether auditors </w:t>
      </w:r>
      <w:r w:rsidR="006A0F76" w:rsidRPr="00F05B90">
        <w:t xml:space="preserve">incorporate </w:t>
      </w:r>
      <w:r w:rsidR="005E33E3" w:rsidRPr="00F05B90">
        <w:t>industry tournament incentives into their risk assessments and audit planning</w:t>
      </w:r>
      <w:r w:rsidR="006A0F76" w:rsidRPr="00F05B90">
        <w:t xml:space="preserve">. </w:t>
      </w:r>
      <w:r w:rsidR="00E04823" w:rsidRPr="00F05B90">
        <w:t>Elmarzouky et al. (2022</w:t>
      </w:r>
      <w:r w:rsidR="00C431BA" w:rsidRPr="00F05B90">
        <w:t>b</w:t>
      </w:r>
      <w:r w:rsidR="00E04823" w:rsidRPr="00F05B90">
        <w:t xml:space="preserve">) and dos Santos et al. (2020) </w:t>
      </w:r>
      <w:r w:rsidR="006B1447" w:rsidRPr="00F05B90">
        <w:t xml:space="preserve">show </w:t>
      </w:r>
      <w:r w:rsidR="00E04823" w:rsidRPr="00F05B90">
        <w:t>that KAM are associated with improved financial reporting quality, as indicated by enhanced risk disclosures and reduced</w:t>
      </w:r>
      <w:r w:rsidR="003801AC" w:rsidRPr="00F05B90">
        <w:t xml:space="preserve"> </w:t>
      </w:r>
      <w:r w:rsidR="00E04823" w:rsidRPr="00F05B90">
        <w:t>accrual earnings management, respectively. Elmarzouky et al. (202</w:t>
      </w:r>
      <w:r w:rsidR="002B0120" w:rsidRPr="00F05B90">
        <w:t>3</w:t>
      </w:r>
      <w:r w:rsidR="00E04823" w:rsidRPr="00F05B90">
        <w:t xml:space="preserve">) and Al-Mulla and Bradbury (2022) </w:t>
      </w:r>
      <w:r w:rsidR="006B1447" w:rsidRPr="00F05B90">
        <w:t xml:space="preserve">find </w:t>
      </w:r>
      <w:r w:rsidR="00E04823" w:rsidRPr="00F05B90">
        <w:t>that KAM are linked to higher audit costs</w:t>
      </w:r>
      <w:r w:rsidR="006B1447" w:rsidRPr="00F05B90">
        <w:t>, w</w:t>
      </w:r>
      <w:r w:rsidR="00E04823" w:rsidRPr="00F05B90">
        <w:t>hile</w:t>
      </w:r>
      <w:r w:rsidR="006B1447" w:rsidRPr="00F05B90">
        <w:t xml:space="preserve"> </w:t>
      </w:r>
      <w:r w:rsidR="008C059A" w:rsidRPr="00F05B90">
        <w:t xml:space="preserve">Xu et al. (2023) show that the readability of KAM enhances the informational value of audit reports for investors. </w:t>
      </w:r>
      <w:r w:rsidR="00D303F3" w:rsidRPr="00F05B90">
        <w:t>Unexpectedly</w:t>
      </w:r>
      <w:r w:rsidR="008C059A" w:rsidRPr="00F05B90">
        <w:t xml:space="preserve">, while </w:t>
      </w:r>
      <w:r w:rsidR="006B1447" w:rsidRPr="00F05B90">
        <w:t>Camacho-Miñano et al. (2024) demonstrate that KAM can predict financial distress</w:t>
      </w:r>
      <w:r w:rsidR="008C059A" w:rsidRPr="00F05B90">
        <w:t xml:space="preserve">, </w:t>
      </w:r>
      <w:r w:rsidR="00E04823" w:rsidRPr="00F05B90">
        <w:t>Elmarzouky et al. (2022</w:t>
      </w:r>
      <w:r w:rsidR="00987075" w:rsidRPr="00F05B90">
        <w:t>a</w:t>
      </w:r>
      <w:r w:rsidR="00E04823" w:rsidRPr="00F05B90">
        <w:t xml:space="preserve">), using Thomas Cook as a case study, </w:t>
      </w:r>
      <w:r w:rsidR="001824FB" w:rsidRPr="00F05B90">
        <w:t xml:space="preserve">found </w:t>
      </w:r>
      <w:r w:rsidR="00E04823" w:rsidRPr="00F05B90">
        <w:t xml:space="preserve">that KAM </w:t>
      </w:r>
      <w:r w:rsidR="001824FB" w:rsidRPr="00F05B90">
        <w:t>disclosed in financial statements did not have significant power of predicting corporate bankruptcy</w:t>
      </w:r>
      <w:r w:rsidR="00D222AA" w:rsidRPr="00F05B90">
        <w:t xml:space="preserve">. </w:t>
      </w:r>
      <w:r w:rsidR="00E04823" w:rsidRPr="00F05B90">
        <w:t>Collectively, these studies underscore the validity of KAM</w:t>
      </w:r>
      <w:r w:rsidR="00BC444E" w:rsidRPr="00F05B90">
        <w:rPr>
          <w:lang w:val="en-GB"/>
        </w:rPr>
        <w:t xml:space="preserve"> </w:t>
      </w:r>
      <w:r w:rsidR="00E04823" w:rsidRPr="00F05B90">
        <w:t>as a proxy for audit quality</w:t>
      </w:r>
      <w:r w:rsidR="00F0491B" w:rsidRPr="00F05B90">
        <w:t xml:space="preserve"> and professional judgment</w:t>
      </w:r>
      <w:r w:rsidR="00E04823" w:rsidRPr="00F05B90">
        <w:rPr>
          <w:rStyle w:val="FootnoteReference"/>
        </w:rPr>
        <w:footnoteReference w:id="7"/>
      </w:r>
      <w:r w:rsidR="00E04823" w:rsidRPr="00F05B90">
        <w:t>.</w:t>
      </w:r>
    </w:p>
    <w:p w14:paraId="3047BEA0" w14:textId="563314FF" w:rsidR="000A1B39" w:rsidRPr="00F05B90" w:rsidRDefault="002049FA" w:rsidP="006466DE">
      <w:pPr>
        <w:spacing w:before="240" w:after="240" w:line="360" w:lineRule="auto"/>
        <w:jc w:val="both"/>
        <w:rPr>
          <w:lang w:val="en-GB"/>
        </w:rPr>
      </w:pPr>
      <w:r w:rsidRPr="00F05B90">
        <w:rPr>
          <w:lang w:val="en-GB"/>
        </w:rPr>
        <w:lastRenderedPageBreak/>
        <w:t xml:space="preserve">Theoretical expectations regarding the impact of industry tournament incentives on auditor </w:t>
      </w:r>
      <w:r w:rsidR="00B1778A" w:rsidRPr="00F05B90">
        <w:rPr>
          <w:lang w:val="en-GB"/>
        </w:rPr>
        <w:t xml:space="preserve">judgment </w:t>
      </w:r>
      <w:r w:rsidRPr="00F05B90">
        <w:rPr>
          <w:lang w:val="en-GB"/>
        </w:rPr>
        <w:t xml:space="preserve">remain ambiguous. </w:t>
      </w:r>
      <w:r w:rsidR="000A1B39" w:rsidRPr="00F05B90">
        <w:rPr>
          <w:lang w:val="en-GB"/>
        </w:rPr>
        <w:t xml:space="preserve">On the one hand, </w:t>
      </w:r>
      <w:r w:rsidR="000A1B39" w:rsidRPr="00F05B90">
        <w:t>industry tournament incentives encourage CEOs to exert greater strategic effort, as top performers can signal their managerial talent to the market and gain access to enhanced career opportunities (Fee and Hadlock, 2003; Rajgopal, Shevlin, and Zamora, 2006). The potential for external rewards motivates CEOs to perform better, differentiate themselves in the talent market, and avoid opportunistic behavior</w:t>
      </w:r>
      <w:r w:rsidR="00DD0631" w:rsidRPr="00F05B90">
        <w:t>, as such actions, if uncovered, could impair their professional reputation and future career prospects</w:t>
      </w:r>
      <w:r w:rsidR="000A1B39" w:rsidRPr="00F05B90">
        <w:t xml:space="preserve">. Consistent with this view, </w:t>
      </w:r>
      <w:r w:rsidR="006466DE" w:rsidRPr="00F05B90">
        <w:t>Chowdhury et al. (2020, 2024) find that industry tournament incentives reduce stock price crash risk by discouraging bad news hoarding, promoting transparency, improving stock liquidity, and limiting both accrual-based and real earnings management.</w:t>
      </w:r>
      <w:r w:rsidR="000A1B39" w:rsidRPr="00F05B90">
        <w:t xml:space="preserve"> </w:t>
      </w:r>
      <w:r w:rsidR="00D303F3" w:rsidRPr="00F05B90">
        <w:t>Building on these findings, auditors may perceive industry tournament incentives as indicative of reduced inherent and control risks</w:t>
      </w:r>
      <w:r w:rsidR="00F80955" w:rsidRPr="00F05B90">
        <w:rPr>
          <w:lang w:val="en-GB"/>
        </w:rPr>
        <w:t xml:space="preserve">, </w:t>
      </w:r>
      <w:r w:rsidR="000A1B39" w:rsidRPr="00F05B90">
        <w:rPr>
          <w:lang w:val="en-GB"/>
        </w:rPr>
        <w:t xml:space="preserve">therefore </w:t>
      </w:r>
      <w:r w:rsidR="00D303F3" w:rsidRPr="00F05B90">
        <w:rPr>
          <w:lang w:val="en-GB"/>
        </w:rPr>
        <w:t>they</w:t>
      </w:r>
      <w:r w:rsidR="00F80955" w:rsidRPr="00F05B90">
        <w:rPr>
          <w:lang w:val="en-GB"/>
        </w:rPr>
        <w:t xml:space="preserve"> m</w:t>
      </w:r>
      <w:r w:rsidRPr="00F05B90">
        <w:rPr>
          <w:lang w:val="en-GB"/>
        </w:rPr>
        <w:t xml:space="preserve">ay </w:t>
      </w:r>
      <w:r w:rsidR="00F80955" w:rsidRPr="00F05B90">
        <w:rPr>
          <w:lang w:val="en-GB"/>
        </w:rPr>
        <w:t>increase materiality</w:t>
      </w:r>
      <w:r w:rsidRPr="00F05B90">
        <w:rPr>
          <w:lang w:val="en-GB"/>
        </w:rPr>
        <w:t xml:space="preserve"> thresholds and potentially identify fewer areas of </w:t>
      </w:r>
      <w:r w:rsidR="00F80955" w:rsidRPr="00F05B90">
        <w:rPr>
          <w:lang w:val="en-GB"/>
        </w:rPr>
        <w:t xml:space="preserve">significant </w:t>
      </w:r>
      <w:r w:rsidRPr="00F05B90">
        <w:rPr>
          <w:lang w:val="en-GB"/>
        </w:rPr>
        <w:t xml:space="preserve">financial </w:t>
      </w:r>
      <w:r w:rsidR="00F80955" w:rsidRPr="00F05B90">
        <w:rPr>
          <w:lang w:val="en-GB"/>
        </w:rPr>
        <w:t>misstatement risks that require a particular</w:t>
      </w:r>
      <w:r w:rsidR="004C0471" w:rsidRPr="00F05B90">
        <w:rPr>
          <w:lang w:val="en-GB"/>
        </w:rPr>
        <w:t xml:space="preserve"> </w:t>
      </w:r>
      <w:r w:rsidR="00512555" w:rsidRPr="00F05B90">
        <w:rPr>
          <w:lang w:val="en-GB"/>
        </w:rPr>
        <w:t xml:space="preserve">attention and </w:t>
      </w:r>
      <w:r w:rsidR="004C0471" w:rsidRPr="00F05B90">
        <w:rPr>
          <w:lang w:val="en-GB"/>
        </w:rPr>
        <w:t>response</w:t>
      </w:r>
      <w:r w:rsidR="00512555" w:rsidRPr="00F05B90">
        <w:rPr>
          <w:lang w:val="en-GB"/>
        </w:rPr>
        <w:t xml:space="preserve"> from firm management. Consequently, this may lead to reduced </w:t>
      </w:r>
      <w:r w:rsidR="00F80955" w:rsidRPr="00F05B90">
        <w:rPr>
          <w:lang w:val="en-GB"/>
        </w:rPr>
        <w:t xml:space="preserve">audit effort </w:t>
      </w:r>
      <w:r w:rsidR="004C0471" w:rsidRPr="00F05B90">
        <w:rPr>
          <w:lang w:val="en-GB"/>
        </w:rPr>
        <w:t xml:space="preserve">and </w:t>
      </w:r>
      <w:r w:rsidR="00512555" w:rsidRPr="00F05B90">
        <w:rPr>
          <w:lang w:val="en-GB"/>
        </w:rPr>
        <w:t xml:space="preserve">reinforcing confidence in the </w:t>
      </w:r>
      <w:r w:rsidR="00F80955" w:rsidRPr="00F05B90">
        <w:rPr>
          <w:lang w:val="en-GB"/>
        </w:rPr>
        <w:t>financial statement</w:t>
      </w:r>
      <w:r w:rsidR="004C0471" w:rsidRPr="00F05B90">
        <w:rPr>
          <w:lang w:val="en-GB"/>
        </w:rPr>
        <w:t xml:space="preserve">s </w:t>
      </w:r>
      <w:r w:rsidR="00F80955" w:rsidRPr="00F05B90">
        <w:rPr>
          <w:lang w:val="en-GB"/>
        </w:rPr>
        <w:t>quality.</w:t>
      </w:r>
      <w:r w:rsidR="00F6134D" w:rsidRPr="00F05B90">
        <w:rPr>
          <w:lang w:val="en-GB"/>
        </w:rPr>
        <w:t xml:space="preserve"> </w:t>
      </w:r>
      <w:r w:rsidR="006466DE" w:rsidRPr="00F05B90">
        <w:rPr>
          <w:lang w:val="en-GB"/>
        </w:rPr>
        <w:t xml:space="preserve"> </w:t>
      </w:r>
    </w:p>
    <w:p w14:paraId="6866CE99" w14:textId="30F1D6E1" w:rsidR="00F6134D" w:rsidRPr="00F05B90" w:rsidRDefault="005329DD" w:rsidP="00D303F3">
      <w:pPr>
        <w:spacing w:before="240" w:after="240" w:line="360" w:lineRule="auto"/>
        <w:jc w:val="both"/>
        <w:rPr>
          <w:lang w:val="en-GB"/>
        </w:rPr>
      </w:pPr>
      <w:r w:rsidRPr="00F05B90">
        <w:t xml:space="preserve">On the other hand, </w:t>
      </w:r>
      <w:r w:rsidR="008D056A" w:rsidRPr="00F05B90">
        <w:t>industry tournament incentives may encourage CEOs to take opaque decisions or excessive risks to enhance their prospects of moving to more prestigious firms. Even without an actual move</w:t>
      </w:r>
      <w:r w:rsidR="00D303F3" w:rsidRPr="00F05B90">
        <w:t xml:space="preserve"> to other firms</w:t>
      </w:r>
      <w:r w:rsidR="008D056A" w:rsidRPr="00F05B90">
        <w:t xml:space="preserve">, a stronger reputation can increase outside opportunities, pressuring boards to match potential offers or raise compensation to retain the CEO (Chowdhury et al., 2020; Huang et al., 2023). </w:t>
      </w:r>
      <w:r w:rsidRPr="00F05B90">
        <w:t xml:space="preserve">Supporting this view, existing studies show that such incentives are associated with more aggressive tax strategies (Kubick and Lockhart, 2016), increased use of opaque financial reporting, </w:t>
      </w:r>
      <w:r w:rsidR="00D303F3" w:rsidRPr="00F05B90">
        <w:t xml:space="preserve">especially </w:t>
      </w:r>
      <w:r w:rsidRPr="00F05B90">
        <w:t xml:space="preserve">under earnings pressure (Huang et al., 2023), and heightened systematic risk-taking (Abdoh, 2023; Ma et al., 2020). From this perspective, auditors may perceive industry tournament incentives as signals of elevated financial reporting risk and, in response, expand the scope and intensity of their audit procedures. </w:t>
      </w:r>
      <w:r w:rsidR="003E78D7" w:rsidRPr="00F05B90">
        <w:t>Considering the</w:t>
      </w:r>
      <w:r w:rsidR="00F6134D" w:rsidRPr="00F05B90">
        <w:t>se contrasting perspectives</w:t>
      </w:r>
      <w:r w:rsidR="003E78D7" w:rsidRPr="00F05B90">
        <w:t>, we propose the following non-directional hypotheses</w:t>
      </w:r>
      <w:r w:rsidR="001A50C2" w:rsidRPr="00F05B90">
        <w:rPr>
          <w:lang w:val="en-GB"/>
        </w:rPr>
        <w:t>:</w:t>
      </w:r>
    </w:p>
    <w:p w14:paraId="5286AA7C" w14:textId="6B890725" w:rsidR="00F80955" w:rsidRPr="00F05B90" w:rsidRDefault="00F80955" w:rsidP="00D32249">
      <w:pPr>
        <w:pStyle w:val="Style1"/>
        <w:numPr>
          <w:ilvl w:val="0"/>
          <w:numId w:val="0"/>
        </w:numPr>
        <w:spacing w:before="240" w:after="240" w:line="288" w:lineRule="auto"/>
        <w:contextualSpacing w:val="0"/>
        <w:rPr>
          <w:rFonts w:ascii="Times New Roman" w:hAnsi="Times New Roman"/>
          <w:b w:val="0"/>
          <w:bCs w:val="0"/>
          <w:i/>
          <w:iCs/>
          <w:color w:val="auto"/>
          <w:lang w:val="en-GB"/>
        </w:rPr>
      </w:pPr>
      <w:r w:rsidRPr="00F05B90">
        <w:rPr>
          <w:rFonts w:ascii="Times New Roman" w:hAnsi="Times New Roman"/>
          <w:color w:val="auto"/>
          <w:lang w:val="en-GB"/>
        </w:rPr>
        <w:t>H1a:</w:t>
      </w:r>
      <w:r w:rsidRPr="00F05B90">
        <w:rPr>
          <w:rFonts w:ascii="Times New Roman" w:hAnsi="Times New Roman"/>
          <w:b w:val="0"/>
          <w:bCs w:val="0"/>
          <w:color w:val="auto"/>
          <w:lang w:val="en-GB"/>
        </w:rPr>
        <w:t xml:space="preserve"> </w:t>
      </w:r>
      <w:r w:rsidRPr="00F05B90">
        <w:rPr>
          <w:rFonts w:ascii="Times New Roman" w:hAnsi="Times New Roman"/>
          <w:b w:val="0"/>
          <w:bCs w:val="0"/>
          <w:i/>
          <w:iCs/>
          <w:color w:val="auto"/>
          <w:lang w:val="en-GB"/>
        </w:rPr>
        <w:t>Industry tournament incentives</w:t>
      </w:r>
      <w:r w:rsidRPr="00F05B90">
        <w:rPr>
          <w:rStyle w:val="CommentReference"/>
          <w:rFonts w:ascii="Times New Roman" w:eastAsiaTheme="minorHAnsi" w:hAnsi="Times New Roman"/>
          <w:color w:val="auto"/>
          <w:sz w:val="24"/>
          <w:szCs w:val="24"/>
          <w:lang w:val="en-GB"/>
        </w:rPr>
        <w:t xml:space="preserve"> </w:t>
      </w:r>
      <w:r w:rsidRPr="00F05B90">
        <w:rPr>
          <w:rFonts w:ascii="Times New Roman" w:hAnsi="Times New Roman"/>
          <w:b w:val="0"/>
          <w:bCs w:val="0"/>
          <w:i/>
          <w:iCs/>
          <w:color w:val="auto"/>
          <w:lang w:val="en-GB"/>
        </w:rPr>
        <w:t xml:space="preserve">are </w:t>
      </w:r>
      <w:r w:rsidR="004F0279" w:rsidRPr="00F05B90">
        <w:rPr>
          <w:rFonts w:ascii="Times New Roman" w:hAnsi="Times New Roman"/>
          <w:b w:val="0"/>
          <w:bCs w:val="0"/>
          <w:i/>
          <w:iCs/>
          <w:color w:val="auto"/>
          <w:lang w:val="en-GB"/>
        </w:rPr>
        <w:t xml:space="preserve">significantly associated </w:t>
      </w:r>
      <w:r w:rsidRPr="00F05B90">
        <w:rPr>
          <w:rFonts w:ascii="Times New Roman" w:hAnsi="Times New Roman"/>
          <w:b w:val="0"/>
          <w:bCs w:val="0"/>
          <w:i/>
          <w:iCs/>
          <w:color w:val="auto"/>
          <w:lang w:val="en-GB"/>
        </w:rPr>
        <w:t xml:space="preserve">with </w:t>
      </w:r>
      <w:r w:rsidR="004F0279" w:rsidRPr="00F05B90">
        <w:rPr>
          <w:rFonts w:ascii="Times New Roman" w:hAnsi="Times New Roman"/>
          <w:b w:val="0"/>
          <w:bCs w:val="0"/>
          <w:i/>
          <w:iCs/>
          <w:color w:val="auto"/>
          <w:lang w:val="en-GB"/>
        </w:rPr>
        <w:t>the number of KAM</w:t>
      </w:r>
      <w:r w:rsidRPr="00F05B90">
        <w:rPr>
          <w:rFonts w:ascii="Times New Roman" w:hAnsi="Times New Roman"/>
          <w:b w:val="0"/>
          <w:bCs w:val="0"/>
          <w:i/>
          <w:iCs/>
          <w:color w:val="auto"/>
          <w:lang w:val="en-GB"/>
        </w:rPr>
        <w:t>.</w:t>
      </w:r>
    </w:p>
    <w:p w14:paraId="1347451F" w14:textId="57BB1240" w:rsidR="00F80955" w:rsidRPr="00F05B90" w:rsidRDefault="00F80955" w:rsidP="00D303F3">
      <w:pPr>
        <w:pStyle w:val="Style1"/>
        <w:numPr>
          <w:ilvl w:val="0"/>
          <w:numId w:val="0"/>
        </w:numPr>
        <w:spacing w:before="240" w:after="240" w:line="288" w:lineRule="auto"/>
        <w:contextualSpacing w:val="0"/>
        <w:rPr>
          <w:rFonts w:ascii="Times New Roman" w:hAnsi="Times New Roman"/>
          <w:b w:val="0"/>
          <w:bCs w:val="0"/>
          <w:i/>
          <w:iCs/>
          <w:color w:val="auto"/>
          <w:lang w:val="en-GB"/>
        </w:rPr>
      </w:pPr>
      <w:r w:rsidRPr="00F05B90">
        <w:rPr>
          <w:rFonts w:ascii="Times New Roman" w:hAnsi="Times New Roman"/>
          <w:color w:val="auto"/>
          <w:lang w:val="en-GB"/>
        </w:rPr>
        <w:t>H1b:</w:t>
      </w:r>
      <w:r w:rsidRPr="00F05B90">
        <w:rPr>
          <w:rFonts w:ascii="Times New Roman" w:hAnsi="Times New Roman"/>
          <w:b w:val="0"/>
          <w:bCs w:val="0"/>
          <w:i/>
          <w:iCs/>
          <w:color w:val="auto"/>
          <w:lang w:val="en-GB"/>
        </w:rPr>
        <w:t xml:space="preserve"> Industry tournament incentives </w:t>
      </w:r>
      <w:r w:rsidR="004F0279" w:rsidRPr="00F05B90">
        <w:rPr>
          <w:rFonts w:ascii="Times New Roman" w:hAnsi="Times New Roman"/>
          <w:b w:val="0"/>
          <w:bCs w:val="0"/>
          <w:i/>
          <w:iCs/>
          <w:color w:val="auto"/>
          <w:lang w:val="en-GB"/>
        </w:rPr>
        <w:t xml:space="preserve">are significantly associated with the </w:t>
      </w:r>
      <w:r w:rsidR="00D303F3" w:rsidRPr="00F05B90">
        <w:rPr>
          <w:rFonts w:ascii="Times New Roman" w:hAnsi="Times New Roman"/>
          <w:b w:val="0"/>
          <w:bCs w:val="0"/>
          <w:i/>
          <w:iCs/>
          <w:color w:val="auto"/>
          <w:lang w:val="en-GB"/>
        </w:rPr>
        <w:t>MAT</w:t>
      </w:r>
      <w:r w:rsidR="004F0279" w:rsidRPr="00F05B90">
        <w:rPr>
          <w:rFonts w:ascii="Times New Roman" w:hAnsi="Times New Roman"/>
          <w:b w:val="0"/>
          <w:bCs w:val="0"/>
          <w:i/>
          <w:iCs/>
          <w:color w:val="auto"/>
          <w:lang w:val="en-GB"/>
        </w:rPr>
        <w:t xml:space="preserve"> level</w:t>
      </w:r>
      <w:r w:rsidR="00AF25A8" w:rsidRPr="00F05B90">
        <w:rPr>
          <w:rFonts w:ascii="Times New Roman" w:hAnsi="Times New Roman"/>
          <w:b w:val="0"/>
          <w:bCs w:val="0"/>
          <w:i/>
          <w:iCs/>
          <w:color w:val="auto"/>
          <w:lang w:val="en-GB"/>
        </w:rPr>
        <w:t>s</w:t>
      </w:r>
      <w:r w:rsidRPr="00F05B90">
        <w:rPr>
          <w:rFonts w:ascii="Times New Roman" w:hAnsi="Times New Roman"/>
          <w:b w:val="0"/>
          <w:bCs w:val="0"/>
          <w:i/>
          <w:iCs/>
          <w:color w:val="auto"/>
          <w:lang w:val="en-GB"/>
        </w:rPr>
        <w:t>.</w:t>
      </w:r>
    </w:p>
    <w:p w14:paraId="4360F508" w14:textId="37034DA2" w:rsidR="00EE3BB0" w:rsidRPr="00F05B90" w:rsidRDefault="00EE3BB0" w:rsidP="00D32249">
      <w:pPr>
        <w:pStyle w:val="Style1"/>
        <w:numPr>
          <w:ilvl w:val="0"/>
          <w:numId w:val="0"/>
        </w:numPr>
        <w:spacing w:before="240" w:after="240" w:line="240" w:lineRule="auto"/>
        <w:contextualSpacing w:val="0"/>
        <w:rPr>
          <w:rFonts w:ascii="Times New Roman" w:hAnsi="Times New Roman"/>
          <w:b w:val="0"/>
          <w:bCs w:val="0"/>
          <w:color w:val="auto"/>
          <w:lang w:val="en-GB"/>
        </w:rPr>
      </w:pPr>
    </w:p>
    <w:p w14:paraId="3E723495" w14:textId="0E657D4D" w:rsidR="00F80955" w:rsidRPr="00F05B90" w:rsidRDefault="00F80955" w:rsidP="00B1778A">
      <w:pPr>
        <w:pStyle w:val="Heading2"/>
        <w:spacing w:before="240" w:after="240"/>
        <w:ind w:left="426" w:hanging="426"/>
        <w:rPr>
          <w:rFonts w:ascii="Times New Roman" w:hAnsi="Times New Roman" w:cs="Times New Roman"/>
          <w:color w:val="auto"/>
          <w:szCs w:val="24"/>
          <w:lang w:val="en-GB"/>
        </w:rPr>
      </w:pPr>
      <w:bookmarkStart w:id="9" w:name="_Toc123457908"/>
      <w:bookmarkStart w:id="10" w:name="_Hlk189591853"/>
      <w:bookmarkEnd w:id="8"/>
      <w:r w:rsidRPr="00F05B90">
        <w:rPr>
          <w:rFonts w:ascii="Times New Roman" w:hAnsi="Times New Roman" w:cs="Times New Roman"/>
          <w:color w:val="auto"/>
          <w:szCs w:val="24"/>
          <w:lang w:val="en-GB"/>
        </w:rPr>
        <w:lastRenderedPageBreak/>
        <w:t>CEO financial background and</w:t>
      </w:r>
      <w:r w:rsidR="00721D5D" w:rsidRPr="00F05B90">
        <w:rPr>
          <w:rFonts w:ascii="Times New Roman" w:hAnsi="Times New Roman" w:cs="Times New Roman"/>
          <w:color w:val="auto"/>
          <w:szCs w:val="24"/>
          <w:lang w:val="en-GB"/>
        </w:rPr>
        <w:t xml:space="preserve"> the</w:t>
      </w:r>
      <w:r w:rsidRPr="00F05B90">
        <w:rPr>
          <w:rFonts w:ascii="Times New Roman" w:hAnsi="Times New Roman" w:cs="Times New Roman"/>
          <w:color w:val="auto"/>
          <w:szCs w:val="24"/>
          <w:lang w:val="en-GB"/>
        </w:rPr>
        <w:t xml:space="preserve"> </w:t>
      </w:r>
      <w:r w:rsidR="00721D5D" w:rsidRPr="00F05B90">
        <w:rPr>
          <w:rFonts w:ascii="Times New Roman" w:hAnsi="Times New Roman" w:cs="Times New Roman"/>
          <w:color w:val="auto"/>
          <w:szCs w:val="24"/>
          <w:lang w:val="en-GB"/>
        </w:rPr>
        <w:t>i</w:t>
      </w:r>
      <w:r w:rsidRPr="00F05B90">
        <w:rPr>
          <w:rFonts w:ascii="Times New Roman" w:hAnsi="Times New Roman" w:cs="Times New Roman"/>
          <w:color w:val="auto"/>
          <w:szCs w:val="24"/>
          <w:lang w:val="en-GB"/>
        </w:rPr>
        <w:t>ndustry tournament</w:t>
      </w:r>
      <w:r w:rsidR="00721D5D" w:rsidRPr="00F05B90">
        <w:rPr>
          <w:rFonts w:ascii="Times New Roman" w:hAnsi="Times New Roman" w:cs="Times New Roman"/>
          <w:color w:val="auto"/>
          <w:szCs w:val="24"/>
          <w:lang w:val="en-GB"/>
        </w:rPr>
        <w:t xml:space="preserve"> – </w:t>
      </w:r>
      <w:r w:rsidRPr="00F05B90">
        <w:rPr>
          <w:rFonts w:ascii="Times New Roman" w:hAnsi="Times New Roman" w:cs="Times New Roman"/>
          <w:color w:val="auto"/>
          <w:szCs w:val="24"/>
          <w:lang w:val="en-GB"/>
        </w:rPr>
        <w:t xml:space="preserve">auditor </w:t>
      </w:r>
      <w:r w:rsidR="00B1778A" w:rsidRPr="00F05B90">
        <w:rPr>
          <w:rFonts w:ascii="Times New Roman" w:hAnsi="Times New Roman" w:cs="Times New Roman"/>
          <w:color w:val="auto"/>
          <w:szCs w:val="24"/>
          <w:lang w:val="en-GB"/>
        </w:rPr>
        <w:t xml:space="preserve">judgment </w:t>
      </w:r>
      <w:r w:rsidRPr="00F05B90">
        <w:rPr>
          <w:rFonts w:ascii="Times New Roman" w:hAnsi="Times New Roman" w:cs="Times New Roman"/>
          <w:color w:val="auto"/>
          <w:szCs w:val="24"/>
          <w:lang w:val="en-GB"/>
        </w:rPr>
        <w:t>nexus</w:t>
      </w:r>
      <w:bookmarkEnd w:id="9"/>
    </w:p>
    <w:p w14:paraId="55A1B2A6" w14:textId="5AE418F0" w:rsidR="00F80955" w:rsidRPr="00F05B90" w:rsidRDefault="008E1C91" w:rsidP="006466DE">
      <w:pPr>
        <w:spacing w:before="240" w:after="240" w:line="360" w:lineRule="auto"/>
        <w:jc w:val="both"/>
        <w:rPr>
          <w:highlight w:val="yellow"/>
          <w:lang w:val="en-GB"/>
        </w:rPr>
      </w:pPr>
      <w:r w:rsidRPr="00F05B90">
        <w:rPr>
          <w:lang w:val="en-GB"/>
        </w:rPr>
        <w:t xml:space="preserve">We </w:t>
      </w:r>
      <w:r w:rsidR="006466DE" w:rsidRPr="00F05B90">
        <w:rPr>
          <w:lang w:val="en-GB"/>
        </w:rPr>
        <w:t xml:space="preserve">also investigate </w:t>
      </w:r>
      <w:r w:rsidRPr="00F05B90">
        <w:rPr>
          <w:lang w:val="en-GB"/>
        </w:rPr>
        <w:t>whether auditors’ response</w:t>
      </w:r>
      <w:r w:rsidR="001A50C2" w:rsidRPr="00F05B90">
        <w:rPr>
          <w:lang w:val="en-GB"/>
        </w:rPr>
        <w:t>s</w:t>
      </w:r>
      <w:r w:rsidRPr="00F05B90">
        <w:rPr>
          <w:lang w:val="en-GB"/>
        </w:rPr>
        <w:t xml:space="preserve"> to industry tournament incentive</w:t>
      </w:r>
      <w:r w:rsidR="001A50C2" w:rsidRPr="00F05B90">
        <w:rPr>
          <w:lang w:val="en-GB"/>
        </w:rPr>
        <w:t>s are</w:t>
      </w:r>
      <w:r w:rsidRPr="00F05B90">
        <w:rPr>
          <w:lang w:val="en-GB"/>
        </w:rPr>
        <w:t xml:space="preserve"> homogeneous or contingent on CEOs</w:t>
      </w:r>
      <w:r w:rsidR="00D46CBB" w:rsidRPr="00F05B90">
        <w:rPr>
          <w:lang w:val="en-GB"/>
        </w:rPr>
        <w:t>’</w:t>
      </w:r>
      <w:r w:rsidRPr="00F05B90">
        <w:rPr>
          <w:lang w:val="en-GB"/>
        </w:rPr>
        <w:t xml:space="preserve"> financial </w:t>
      </w:r>
      <w:r w:rsidR="00D46CBB" w:rsidRPr="00F05B90">
        <w:rPr>
          <w:lang w:val="en-GB"/>
        </w:rPr>
        <w:t>expertise</w:t>
      </w:r>
      <w:r w:rsidRPr="00F05B90">
        <w:rPr>
          <w:lang w:val="en-GB"/>
        </w:rPr>
        <w:t xml:space="preserve">. </w:t>
      </w:r>
      <w:r w:rsidR="00EE6738" w:rsidRPr="00F05B90">
        <w:rPr>
          <w:lang w:val="en-GB"/>
        </w:rPr>
        <w:t xml:space="preserve">This is </w:t>
      </w:r>
      <w:r w:rsidR="00EE5894" w:rsidRPr="00F05B90">
        <w:rPr>
          <w:lang w:val="en-GB"/>
        </w:rPr>
        <w:t xml:space="preserve">a </w:t>
      </w:r>
      <w:r w:rsidR="001404E8" w:rsidRPr="00F05B90">
        <w:rPr>
          <w:lang w:val="en-GB"/>
        </w:rPr>
        <w:t xml:space="preserve">critical </w:t>
      </w:r>
      <w:r w:rsidR="00EE6738" w:rsidRPr="00F05B90">
        <w:rPr>
          <w:lang w:val="en-GB"/>
        </w:rPr>
        <w:t xml:space="preserve">question, given that </w:t>
      </w:r>
      <w:r w:rsidR="00D46CBB" w:rsidRPr="00F05B90">
        <w:rPr>
          <w:lang w:val="en-GB"/>
        </w:rPr>
        <w:t xml:space="preserve">many </w:t>
      </w:r>
      <w:r w:rsidR="00EE6738" w:rsidRPr="00F05B90">
        <w:rPr>
          <w:lang w:val="en-GB"/>
        </w:rPr>
        <w:t xml:space="preserve">firms hire CEOs with financial experience. </w:t>
      </w:r>
      <w:r w:rsidR="00133385" w:rsidRPr="00F05B90">
        <w:rPr>
          <w:lang w:val="en-GB"/>
        </w:rPr>
        <w:t xml:space="preserve">According to </w:t>
      </w:r>
      <w:r w:rsidR="00F80955" w:rsidRPr="00F05B90">
        <w:rPr>
          <w:lang w:val="en-GB"/>
        </w:rPr>
        <w:t xml:space="preserve">upper echelons theory (Hambrick, 2007; Hambrick &amp; Mason, 1984), </w:t>
      </w:r>
      <w:r w:rsidR="00133385" w:rsidRPr="00F05B90">
        <w:rPr>
          <w:lang w:val="en-GB"/>
        </w:rPr>
        <w:t xml:space="preserve">a CEO’s </w:t>
      </w:r>
      <w:r w:rsidR="00F80955" w:rsidRPr="00F05B90">
        <w:rPr>
          <w:lang w:val="en-GB"/>
        </w:rPr>
        <w:t xml:space="preserve">background </w:t>
      </w:r>
      <w:r w:rsidR="00133385" w:rsidRPr="00F05B90">
        <w:rPr>
          <w:lang w:val="en-GB"/>
        </w:rPr>
        <w:t xml:space="preserve">can shape their </w:t>
      </w:r>
      <w:r w:rsidR="00F80955" w:rsidRPr="00F05B90">
        <w:rPr>
          <w:lang w:val="en-GB"/>
        </w:rPr>
        <w:t>decision-making</w:t>
      </w:r>
      <w:r w:rsidR="00133385" w:rsidRPr="00F05B90">
        <w:rPr>
          <w:lang w:val="en-GB"/>
        </w:rPr>
        <w:t xml:space="preserve"> and influence corporate outcomes</w:t>
      </w:r>
      <w:r w:rsidR="00F80955" w:rsidRPr="00F05B90">
        <w:rPr>
          <w:lang w:val="en-GB"/>
        </w:rPr>
        <w:t xml:space="preserve">. </w:t>
      </w:r>
      <w:r w:rsidR="00133385" w:rsidRPr="00F05B90">
        <w:rPr>
          <w:lang w:val="en-GB"/>
        </w:rPr>
        <w:t xml:space="preserve">Research has shown that </w:t>
      </w:r>
      <w:r w:rsidR="00F80955" w:rsidRPr="00F05B90">
        <w:rPr>
          <w:lang w:val="en-GB"/>
        </w:rPr>
        <w:t xml:space="preserve">CEOs </w:t>
      </w:r>
      <w:r w:rsidR="00133385" w:rsidRPr="00F05B90">
        <w:rPr>
          <w:lang w:val="en-GB"/>
        </w:rPr>
        <w:t xml:space="preserve">with financial experience tend to enhance </w:t>
      </w:r>
      <w:r w:rsidR="00F80955" w:rsidRPr="00F05B90">
        <w:rPr>
          <w:lang w:val="en-GB"/>
        </w:rPr>
        <w:t>financial polic</w:t>
      </w:r>
      <w:r w:rsidR="00D46CBB" w:rsidRPr="00F05B90">
        <w:rPr>
          <w:lang w:val="en-GB"/>
        </w:rPr>
        <w:t>y</w:t>
      </w:r>
      <w:r w:rsidR="00F80955" w:rsidRPr="00F05B90">
        <w:rPr>
          <w:lang w:val="en-GB"/>
        </w:rPr>
        <w:t xml:space="preserve"> (Custodio </w:t>
      </w:r>
      <w:r w:rsidR="00D46CBB" w:rsidRPr="00F05B90">
        <w:rPr>
          <w:lang w:val="en-GB"/>
        </w:rPr>
        <w:t xml:space="preserve">&amp; </w:t>
      </w:r>
      <w:r w:rsidR="00F80955" w:rsidRPr="00F05B90">
        <w:rPr>
          <w:lang w:val="en-GB"/>
        </w:rPr>
        <w:t>Metzger</w:t>
      </w:r>
      <w:r w:rsidR="002967C3" w:rsidRPr="00F05B90">
        <w:rPr>
          <w:lang w:val="en-GB"/>
        </w:rPr>
        <w:t>,</w:t>
      </w:r>
      <w:r w:rsidR="00F80955" w:rsidRPr="00F05B90">
        <w:rPr>
          <w:lang w:val="en-GB"/>
        </w:rPr>
        <w:t xml:space="preserve"> 2014)</w:t>
      </w:r>
      <w:r w:rsidR="00133385" w:rsidRPr="00F05B90">
        <w:rPr>
          <w:lang w:val="en-GB"/>
        </w:rPr>
        <w:t xml:space="preserve">, improve financial </w:t>
      </w:r>
      <w:r w:rsidR="00F80955" w:rsidRPr="00F05B90">
        <w:rPr>
          <w:lang w:val="en-GB"/>
        </w:rPr>
        <w:t>disclosure practices (</w:t>
      </w:r>
      <w:r w:rsidR="00AA4C1D" w:rsidRPr="00F05B90">
        <w:rPr>
          <w:lang w:val="en-GB"/>
        </w:rPr>
        <w:t xml:space="preserve">Gounopoulos &amp; Pham, 2018; </w:t>
      </w:r>
      <w:r w:rsidR="00F80955" w:rsidRPr="00F05B90">
        <w:rPr>
          <w:lang w:val="en-GB"/>
        </w:rPr>
        <w:t>Matsunaga</w:t>
      </w:r>
      <w:r w:rsidR="00D46CBB" w:rsidRPr="00F05B90">
        <w:rPr>
          <w:lang w:val="en-GB"/>
        </w:rPr>
        <w:t xml:space="preserve"> et al., </w:t>
      </w:r>
      <w:r w:rsidR="00F80955" w:rsidRPr="00F05B90">
        <w:rPr>
          <w:lang w:val="en-GB"/>
        </w:rPr>
        <w:t>2013)</w:t>
      </w:r>
      <w:r w:rsidR="00133385" w:rsidRPr="00F05B90">
        <w:rPr>
          <w:lang w:val="en-GB"/>
        </w:rPr>
        <w:t>,</w:t>
      </w:r>
      <w:r w:rsidR="00F80955" w:rsidRPr="00F05B90">
        <w:rPr>
          <w:lang w:val="en-GB"/>
        </w:rPr>
        <w:t xml:space="preserve"> and </w:t>
      </w:r>
      <w:r w:rsidR="00133385" w:rsidRPr="00F05B90">
        <w:rPr>
          <w:lang w:val="en-GB"/>
        </w:rPr>
        <w:t xml:space="preserve">reduce </w:t>
      </w:r>
      <w:r w:rsidR="00F80955" w:rsidRPr="00F05B90">
        <w:rPr>
          <w:lang w:val="en-GB"/>
        </w:rPr>
        <w:t xml:space="preserve">information asymmetry between </w:t>
      </w:r>
      <w:r w:rsidR="00133385" w:rsidRPr="00F05B90">
        <w:rPr>
          <w:lang w:val="en-GB"/>
        </w:rPr>
        <w:t>firms</w:t>
      </w:r>
      <w:r w:rsidR="00F80955" w:rsidRPr="00F05B90">
        <w:rPr>
          <w:lang w:val="en-GB"/>
        </w:rPr>
        <w:t xml:space="preserve"> and investors (Matsunaga </w:t>
      </w:r>
      <w:r w:rsidR="00D46CBB" w:rsidRPr="00F05B90">
        <w:rPr>
          <w:lang w:val="en-GB"/>
        </w:rPr>
        <w:t xml:space="preserve">&amp; </w:t>
      </w:r>
      <w:r w:rsidR="00F80955" w:rsidRPr="00F05B90">
        <w:rPr>
          <w:lang w:val="en-GB"/>
        </w:rPr>
        <w:t xml:space="preserve">Yeung, 2008). </w:t>
      </w:r>
      <w:r w:rsidR="008450BE" w:rsidRPr="00F05B90">
        <w:rPr>
          <w:lang w:val="en-GB"/>
        </w:rPr>
        <w:t>Consequently</w:t>
      </w:r>
      <w:r w:rsidR="00F80955" w:rsidRPr="00F05B90">
        <w:rPr>
          <w:lang w:val="en-GB"/>
        </w:rPr>
        <w:t xml:space="preserve">, compared to financially inexperienced CEOs, CEOs with a financial background may </w:t>
      </w:r>
      <w:r w:rsidR="00133385" w:rsidRPr="00F05B90">
        <w:rPr>
          <w:lang w:val="en-GB"/>
        </w:rPr>
        <w:t xml:space="preserve">lower auditors’ perceived </w:t>
      </w:r>
      <w:r w:rsidR="00F80955" w:rsidRPr="00F05B90">
        <w:rPr>
          <w:lang w:val="en-GB"/>
        </w:rPr>
        <w:t>risk</w:t>
      </w:r>
      <w:r w:rsidR="00D46CBB" w:rsidRPr="00F05B90">
        <w:rPr>
          <w:lang w:val="en-GB"/>
        </w:rPr>
        <w:t xml:space="preserve">, </w:t>
      </w:r>
      <w:r w:rsidR="00133385" w:rsidRPr="00F05B90">
        <w:rPr>
          <w:lang w:val="en-GB"/>
        </w:rPr>
        <w:t xml:space="preserve">leading to reduced </w:t>
      </w:r>
      <w:r w:rsidR="000B4C63" w:rsidRPr="00F05B90">
        <w:rPr>
          <w:lang w:val="en-GB"/>
        </w:rPr>
        <w:t xml:space="preserve">audit </w:t>
      </w:r>
      <w:r w:rsidR="00F80955" w:rsidRPr="00F05B90">
        <w:rPr>
          <w:lang w:val="en-GB"/>
        </w:rPr>
        <w:t>scope.</w:t>
      </w:r>
    </w:p>
    <w:p w14:paraId="7F50E81D" w14:textId="02F7D04F" w:rsidR="00F80955" w:rsidRPr="00F05B90" w:rsidRDefault="00F80955" w:rsidP="00503722">
      <w:pPr>
        <w:pStyle w:val="NormalWeb"/>
        <w:spacing w:before="240" w:beforeAutospacing="0" w:after="240" w:afterAutospacing="0" w:line="360" w:lineRule="auto"/>
        <w:jc w:val="both"/>
        <w:rPr>
          <w:lang w:val="en-GB"/>
        </w:rPr>
      </w:pPr>
      <w:r w:rsidRPr="00F05B90">
        <w:rPr>
          <w:lang w:val="en-GB"/>
        </w:rPr>
        <w:t xml:space="preserve">Nevertheless, </w:t>
      </w:r>
      <w:r w:rsidR="00AA4C1D" w:rsidRPr="00F05B90">
        <w:t xml:space="preserve">while empirical studies (e.g., </w:t>
      </w:r>
      <w:r w:rsidR="00AA4C1D" w:rsidRPr="00F05B90">
        <w:rPr>
          <w:lang w:val="en-GB"/>
        </w:rPr>
        <w:t xml:space="preserve">(Gounopoulos &amp; Pham, 2018; Matsunaga et al., 2013; Matsunaga &amp; Yeung, 2008) </w:t>
      </w:r>
      <w:r w:rsidR="00AA4C1D" w:rsidRPr="00F05B90">
        <w:t xml:space="preserve">suggest that CEOs with relevant financial backgrounds are generally less likely to engage in opportunistic financial reporting, </w:t>
      </w:r>
      <w:r w:rsidR="00D303F3" w:rsidRPr="00F05B90">
        <w:t xml:space="preserve">other studies evince </w:t>
      </w:r>
      <w:r w:rsidR="00E50A9A" w:rsidRPr="00F05B90">
        <w:t xml:space="preserve">that such background to enable CEOs to misreport overtly (Ngo &amp; Nguyen, 2024; Putra &amp; Setiawan, 2024). </w:t>
      </w:r>
      <w:r w:rsidR="00E50A9A" w:rsidRPr="00F05B90">
        <w:rPr>
          <w:lang w:val="en-GB"/>
        </w:rPr>
        <w:t xml:space="preserve">That is, </w:t>
      </w:r>
      <w:r w:rsidR="00AA4C1D" w:rsidRPr="00F05B90">
        <w:t xml:space="preserve">it is still plausible that auditors may view financially sophisticated CEOs with a degree of caution. Specifically, auditors might perceive that such CEOs </w:t>
      </w:r>
      <w:r w:rsidR="00E50A9A" w:rsidRPr="00F05B90">
        <w:t xml:space="preserve">could leverage their expertise </w:t>
      </w:r>
      <w:r w:rsidR="00AA4C1D" w:rsidRPr="00F05B90">
        <w:t>to structure aggressive financial reporting practices or pursue high-risk strategic decisions that remain technically compliant but obscure underlying risks. These actions may be motivated by a desire to outperform peers and enhance their standing in competitive executive labor markets. As a result, auditors may respond by increasing scrutiny and expanding audit procedures to mitigate the perceived risk of strategic opportunism masked by financial acumen.</w:t>
      </w:r>
      <w:r w:rsidRPr="00F05B90">
        <w:rPr>
          <w:lang w:val="en-GB"/>
        </w:rPr>
        <w:t> </w:t>
      </w:r>
      <w:r w:rsidR="00DC2AF1" w:rsidRPr="00F05B90">
        <w:rPr>
          <w:lang w:val="en-GB"/>
        </w:rPr>
        <w:t>Given these contrasting possibilities, w</w:t>
      </w:r>
      <w:r w:rsidR="00D46CBB" w:rsidRPr="00F05B90">
        <w:rPr>
          <w:lang w:val="en-GB"/>
        </w:rPr>
        <w:t>e suggest that</w:t>
      </w:r>
      <w:r w:rsidRPr="00F05B90">
        <w:rPr>
          <w:lang w:val="en-GB"/>
        </w:rPr>
        <w:t xml:space="preserve"> it </w:t>
      </w:r>
      <w:r w:rsidR="00DC2AF1" w:rsidRPr="00F05B90">
        <w:rPr>
          <w:lang w:val="en-GB"/>
        </w:rPr>
        <w:t xml:space="preserve">remains </w:t>
      </w:r>
      <w:r w:rsidRPr="00F05B90">
        <w:rPr>
          <w:lang w:val="en-GB"/>
        </w:rPr>
        <w:t xml:space="preserve">theoretically </w:t>
      </w:r>
      <w:r w:rsidR="00CA480A" w:rsidRPr="00F05B90">
        <w:rPr>
          <w:lang w:val="en-GB"/>
        </w:rPr>
        <w:t xml:space="preserve">uncertain </w:t>
      </w:r>
      <w:r w:rsidRPr="00F05B90">
        <w:rPr>
          <w:lang w:val="en-GB"/>
        </w:rPr>
        <w:t>whether auditors re</w:t>
      </w:r>
      <w:r w:rsidR="00CA480A" w:rsidRPr="00F05B90">
        <w:rPr>
          <w:lang w:val="en-GB"/>
        </w:rPr>
        <w:t>spond</w:t>
      </w:r>
      <w:r w:rsidRPr="00F05B90">
        <w:rPr>
          <w:lang w:val="en-GB"/>
        </w:rPr>
        <w:t xml:space="preserve"> differently to CEOs with financial backgrounds</w:t>
      </w:r>
      <w:r w:rsidR="00CA480A" w:rsidRPr="00F05B90">
        <w:rPr>
          <w:lang w:val="en-GB"/>
        </w:rPr>
        <w:t xml:space="preserve">. Therefore, and </w:t>
      </w:r>
      <w:r w:rsidR="00D46CBB" w:rsidRPr="00F05B90">
        <w:rPr>
          <w:lang w:val="en-GB"/>
        </w:rPr>
        <w:t>b</w:t>
      </w:r>
      <w:r w:rsidRPr="00F05B90">
        <w:rPr>
          <w:lang w:val="en-GB"/>
        </w:rPr>
        <w:t xml:space="preserve">ased on </w:t>
      </w:r>
      <w:r w:rsidR="00D46CBB" w:rsidRPr="00F05B90">
        <w:rPr>
          <w:lang w:val="en-GB"/>
        </w:rPr>
        <w:t xml:space="preserve">this </w:t>
      </w:r>
      <w:r w:rsidRPr="00F05B90">
        <w:rPr>
          <w:lang w:val="en-GB"/>
        </w:rPr>
        <w:t>discussion, we test the following hypothes</w:t>
      </w:r>
      <w:r w:rsidR="00CA480A" w:rsidRPr="00F05B90">
        <w:rPr>
          <w:lang w:val="en-GB"/>
        </w:rPr>
        <w:t>i</w:t>
      </w:r>
      <w:r w:rsidR="00D46CBB" w:rsidRPr="00F05B90">
        <w:rPr>
          <w:lang w:val="en-GB"/>
        </w:rPr>
        <w:t>s:</w:t>
      </w:r>
    </w:p>
    <w:p w14:paraId="4A709D45" w14:textId="6462FBD3" w:rsidR="00CC436A" w:rsidRPr="00F05B90" w:rsidRDefault="00F80955" w:rsidP="006466DE">
      <w:pPr>
        <w:pStyle w:val="Style1"/>
        <w:numPr>
          <w:ilvl w:val="0"/>
          <w:numId w:val="0"/>
        </w:numPr>
        <w:spacing w:before="240" w:after="240" w:line="288" w:lineRule="auto"/>
        <w:contextualSpacing w:val="0"/>
        <w:rPr>
          <w:rFonts w:ascii="Times New Roman" w:hAnsi="Times New Roman"/>
          <w:b w:val="0"/>
          <w:bCs w:val="0"/>
          <w:i/>
          <w:iCs/>
          <w:color w:val="auto"/>
          <w:lang w:val="en-GB"/>
        </w:rPr>
      </w:pPr>
      <w:r w:rsidRPr="00F05B90">
        <w:rPr>
          <w:rFonts w:ascii="Times New Roman" w:hAnsi="Times New Roman"/>
          <w:color w:val="auto"/>
          <w:lang w:val="en-GB"/>
        </w:rPr>
        <w:t>H2:</w:t>
      </w:r>
      <w:r w:rsidRPr="00F05B90">
        <w:rPr>
          <w:rFonts w:ascii="Times New Roman" w:hAnsi="Times New Roman"/>
          <w:b w:val="0"/>
          <w:bCs w:val="0"/>
          <w:color w:val="auto"/>
          <w:lang w:val="en-GB"/>
        </w:rPr>
        <w:t xml:space="preserve"> </w:t>
      </w:r>
      <w:r w:rsidRPr="00F05B90">
        <w:rPr>
          <w:rFonts w:ascii="Times New Roman" w:hAnsi="Times New Roman"/>
          <w:b w:val="0"/>
          <w:bCs w:val="0"/>
          <w:i/>
          <w:iCs/>
          <w:color w:val="auto"/>
          <w:lang w:val="en-GB"/>
        </w:rPr>
        <w:t xml:space="preserve">CEO financial </w:t>
      </w:r>
      <w:r w:rsidR="003770C2" w:rsidRPr="00F05B90">
        <w:rPr>
          <w:rFonts w:ascii="Times New Roman" w:hAnsi="Times New Roman"/>
          <w:b w:val="0"/>
          <w:bCs w:val="0"/>
          <w:i/>
          <w:iCs/>
          <w:color w:val="auto"/>
          <w:lang w:val="en-GB"/>
        </w:rPr>
        <w:t xml:space="preserve">background </w:t>
      </w:r>
      <w:r w:rsidRPr="00F05B90">
        <w:rPr>
          <w:rFonts w:ascii="Times New Roman" w:hAnsi="Times New Roman"/>
          <w:b w:val="0"/>
          <w:bCs w:val="0"/>
          <w:i/>
          <w:iCs/>
          <w:color w:val="auto"/>
          <w:lang w:val="en-GB"/>
        </w:rPr>
        <w:t xml:space="preserve">will influence the relationship between CEO industry tournament incentives and </w:t>
      </w:r>
      <w:r w:rsidR="006466DE" w:rsidRPr="00F05B90">
        <w:rPr>
          <w:rFonts w:ascii="Times New Roman" w:hAnsi="Times New Roman"/>
          <w:b w:val="0"/>
          <w:bCs w:val="0"/>
          <w:i/>
          <w:iCs/>
          <w:color w:val="auto"/>
          <w:lang w:val="en-GB"/>
        </w:rPr>
        <w:t>KAM</w:t>
      </w:r>
      <w:r w:rsidR="003770C2" w:rsidRPr="00F05B90">
        <w:rPr>
          <w:rFonts w:ascii="Times New Roman" w:hAnsi="Times New Roman"/>
          <w:b w:val="0"/>
          <w:bCs w:val="0"/>
          <w:i/>
          <w:iCs/>
          <w:color w:val="auto"/>
          <w:lang w:val="en-GB"/>
        </w:rPr>
        <w:t xml:space="preserve"> and </w:t>
      </w:r>
      <w:r w:rsidR="006466DE" w:rsidRPr="00F05B90">
        <w:rPr>
          <w:rFonts w:ascii="Times New Roman" w:hAnsi="Times New Roman"/>
          <w:b w:val="0"/>
          <w:bCs w:val="0"/>
          <w:i/>
          <w:iCs/>
          <w:color w:val="auto"/>
          <w:lang w:val="en-GB"/>
        </w:rPr>
        <w:t>MAT</w:t>
      </w:r>
      <w:r w:rsidR="003770C2" w:rsidRPr="00F05B90">
        <w:rPr>
          <w:rFonts w:ascii="Times New Roman" w:hAnsi="Times New Roman"/>
          <w:b w:val="0"/>
          <w:bCs w:val="0"/>
          <w:i/>
          <w:iCs/>
          <w:color w:val="auto"/>
          <w:lang w:val="en-GB"/>
        </w:rPr>
        <w:t xml:space="preserve"> level</w:t>
      </w:r>
      <w:r w:rsidRPr="00F05B90">
        <w:rPr>
          <w:rFonts w:ascii="Times New Roman" w:hAnsi="Times New Roman"/>
          <w:b w:val="0"/>
          <w:bCs w:val="0"/>
          <w:i/>
          <w:iCs/>
          <w:color w:val="auto"/>
          <w:lang w:val="en-GB"/>
        </w:rPr>
        <w:t>.</w:t>
      </w:r>
      <w:bookmarkStart w:id="11" w:name="_Toc123457909"/>
      <w:bookmarkEnd w:id="10"/>
    </w:p>
    <w:p w14:paraId="7DCCDC5C" w14:textId="77777777" w:rsidR="00EE3BB0" w:rsidRPr="00F05B90" w:rsidRDefault="00EE3BB0" w:rsidP="00C91FAC">
      <w:pPr>
        <w:pStyle w:val="Style1"/>
        <w:numPr>
          <w:ilvl w:val="0"/>
          <w:numId w:val="0"/>
        </w:numPr>
        <w:spacing w:before="240" w:after="240" w:line="288" w:lineRule="auto"/>
        <w:contextualSpacing w:val="0"/>
        <w:rPr>
          <w:rFonts w:ascii="Times New Roman" w:hAnsi="Times New Roman"/>
          <w:b w:val="0"/>
          <w:bCs w:val="0"/>
          <w:color w:val="auto"/>
          <w:lang w:val="en-GB"/>
        </w:rPr>
      </w:pPr>
    </w:p>
    <w:p w14:paraId="58BA8461" w14:textId="744D2D0B" w:rsidR="00F80955" w:rsidRPr="00F05B90" w:rsidRDefault="00F80955" w:rsidP="00D12DC3">
      <w:pPr>
        <w:pStyle w:val="Heading1"/>
        <w:spacing w:before="120" w:after="120" w:line="360" w:lineRule="auto"/>
        <w:ind w:left="426" w:hanging="426"/>
        <w:contextualSpacing w:val="0"/>
        <w:rPr>
          <w:rFonts w:ascii="Times New Roman" w:hAnsi="Times New Roman" w:cs="Times New Roman"/>
          <w:color w:val="auto"/>
          <w:szCs w:val="24"/>
          <w:lang w:val="en-GB"/>
        </w:rPr>
      </w:pPr>
      <w:r w:rsidRPr="00F05B90">
        <w:rPr>
          <w:rFonts w:ascii="Times New Roman" w:hAnsi="Times New Roman" w:cs="Times New Roman"/>
          <w:color w:val="auto"/>
          <w:szCs w:val="24"/>
          <w:lang w:val="en-GB"/>
        </w:rPr>
        <w:lastRenderedPageBreak/>
        <w:t>Research methodology</w:t>
      </w:r>
      <w:bookmarkEnd w:id="11"/>
    </w:p>
    <w:p w14:paraId="0A66CF84" w14:textId="3AC8BC08" w:rsidR="00F80955" w:rsidRPr="00F05B90" w:rsidRDefault="00F80955" w:rsidP="00D12DC3">
      <w:pPr>
        <w:pStyle w:val="Heading2"/>
        <w:spacing w:before="120" w:after="120"/>
        <w:ind w:left="426" w:hanging="426"/>
        <w:rPr>
          <w:rFonts w:ascii="Times New Roman" w:hAnsi="Times New Roman" w:cs="Times New Roman"/>
          <w:color w:val="auto"/>
          <w:szCs w:val="24"/>
          <w:lang w:val="en-GB"/>
        </w:rPr>
      </w:pPr>
      <w:bookmarkStart w:id="12" w:name="_Toc123457911"/>
      <w:bookmarkStart w:id="13" w:name="_Hlk189654983"/>
      <w:r w:rsidRPr="00F05B90">
        <w:rPr>
          <w:rFonts w:ascii="Times New Roman" w:hAnsi="Times New Roman" w:cs="Times New Roman"/>
          <w:color w:val="auto"/>
          <w:szCs w:val="24"/>
          <w:lang w:val="en-GB"/>
        </w:rPr>
        <w:t>Variables measurement</w:t>
      </w:r>
      <w:bookmarkEnd w:id="12"/>
    </w:p>
    <w:p w14:paraId="2533BB18" w14:textId="31EAA7DA" w:rsidR="00F80955" w:rsidRPr="00F05B90" w:rsidRDefault="00F80955" w:rsidP="00B1778A">
      <w:pPr>
        <w:pStyle w:val="Heading3"/>
        <w:rPr>
          <w:rFonts w:eastAsia="Times New Roman"/>
          <w:color w:val="auto"/>
          <w:lang w:val="en-GB"/>
        </w:rPr>
      </w:pPr>
      <w:bookmarkStart w:id="14" w:name="_Toc123457912"/>
      <w:r w:rsidRPr="00F05B90">
        <w:rPr>
          <w:rFonts w:eastAsia="Times New Roman"/>
          <w:color w:val="auto"/>
          <w:lang w:val="en-GB"/>
        </w:rPr>
        <w:t xml:space="preserve">Dependent variables: auditor </w:t>
      </w:r>
      <w:bookmarkEnd w:id="14"/>
      <w:r w:rsidR="00B1778A" w:rsidRPr="00F05B90">
        <w:rPr>
          <w:rFonts w:eastAsia="Times New Roman"/>
          <w:color w:val="auto"/>
          <w:lang w:val="en-GB"/>
        </w:rPr>
        <w:t xml:space="preserve">professional </w:t>
      </w:r>
      <w:r w:rsidR="00B1778A" w:rsidRPr="00F05B90">
        <w:rPr>
          <w:rFonts w:ascii="Times New Roman" w:eastAsia="Times New Roman" w:hAnsi="Times New Roman" w:cs="Times New Roman"/>
          <w:color w:val="auto"/>
          <w:lang w:val="en-GB"/>
        </w:rPr>
        <w:t>judgment</w:t>
      </w:r>
    </w:p>
    <w:p w14:paraId="0932723A" w14:textId="1B2468A5" w:rsidR="00111AD9" w:rsidRPr="00F05B90" w:rsidRDefault="008B4C74" w:rsidP="002E1AF0">
      <w:pPr>
        <w:spacing w:before="240" w:after="240" w:line="360" w:lineRule="auto"/>
        <w:jc w:val="both"/>
        <w:rPr>
          <w:lang w:val="en-GB"/>
        </w:rPr>
      </w:pPr>
      <w:r w:rsidRPr="00F05B90">
        <w:rPr>
          <w:lang w:val="en-GB"/>
        </w:rPr>
        <w:t>T</w:t>
      </w:r>
      <w:r w:rsidR="00F80955" w:rsidRPr="00F05B90">
        <w:rPr>
          <w:lang w:val="en-GB"/>
        </w:rPr>
        <w:t xml:space="preserve">o capture the depth and scope of </w:t>
      </w:r>
      <w:r w:rsidR="007231F9" w:rsidRPr="00F05B90">
        <w:rPr>
          <w:lang w:val="en-GB"/>
        </w:rPr>
        <w:t xml:space="preserve">auditors’ </w:t>
      </w:r>
      <w:r w:rsidR="00F80955" w:rsidRPr="00F05B90">
        <w:rPr>
          <w:lang w:val="en-GB"/>
        </w:rPr>
        <w:t xml:space="preserve">professional </w:t>
      </w:r>
      <w:r w:rsidR="000C1B91" w:rsidRPr="00F05B90">
        <w:rPr>
          <w:shd w:val="clear" w:color="auto" w:fill="FFFFFF"/>
          <w:lang w:val="en-GB"/>
        </w:rPr>
        <w:t>judgment</w:t>
      </w:r>
      <w:r w:rsidR="00F910B8" w:rsidRPr="00F05B90">
        <w:rPr>
          <w:shd w:val="clear" w:color="auto" w:fill="FFFFFF"/>
          <w:lang w:val="en-GB"/>
        </w:rPr>
        <w:t xml:space="preserve">, </w:t>
      </w:r>
      <w:r w:rsidR="00F80955" w:rsidRPr="00F05B90">
        <w:rPr>
          <w:lang w:val="en-GB"/>
        </w:rPr>
        <w:t xml:space="preserve">we use the number of </w:t>
      </w:r>
      <w:r w:rsidR="002E1AF0" w:rsidRPr="00F05B90">
        <w:rPr>
          <w:lang w:val="en-GB"/>
        </w:rPr>
        <w:t>key audit matters</w:t>
      </w:r>
      <w:r w:rsidR="002E1AF0" w:rsidRPr="00F05B90">
        <w:rPr>
          <w:rStyle w:val="FootnoteReference"/>
          <w:vertAlign w:val="baseline"/>
          <w:lang w:val="en-GB"/>
        </w:rPr>
        <w:t xml:space="preserve"> </w:t>
      </w:r>
      <w:r w:rsidR="00F80955" w:rsidRPr="00F05B90">
        <w:rPr>
          <w:rStyle w:val="FootnoteReference"/>
          <w:lang w:val="en-GB"/>
        </w:rPr>
        <w:footnoteReference w:id="8"/>
      </w:r>
      <w:r w:rsidR="00F80955" w:rsidRPr="00F05B90">
        <w:rPr>
          <w:lang w:val="en-GB"/>
        </w:rPr>
        <w:t xml:space="preserve"> </w:t>
      </w:r>
      <w:r w:rsidR="002E1AF0" w:rsidRPr="00F05B90">
        <w:rPr>
          <w:lang w:val="en-GB"/>
        </w:rPr>
        <w:t xml:space="preserve">and materiality level </w:t>
      </w:r>
      <w:r w:rsidR="00F80955" w:rsidRPr="00F05B90">
        <w:rPr>
          <w:lang w:val="en-GB"/>
        </w:rPr>
        <w:t xml:space="preserve">reported </w:t>
      </w:r>
      <w:r w:rsidR="00F910B8" w:rsidRPr="00F05B90">
        <w:rPr>
          <w:lang w:val="en-GB"/>
        </w:rPr>
        <w:t xml:space="preserve">in </w:t>
      </w:r>
      <w:r w:rsidR="00F80955" w:rsidRPr="00F05B90">
        <w:rPr>
          <w:lang w:val="en-GB"/>
        </w:rPr>
        <w:t>the audit</w:t>
      </w:r>
      <w:r w:rsidR="00F910B8" w:rsidRPr="00F05B90">
        <w:rPr>
          <w:lang w:val="en-GB"/>
        </w:rPr>
        <w:t xml:space="preserve"> repor</w:t>
      </w:r>
      <w:r w:rsidR="00111AD9" w:rsidRPr="00F05B90">
        <w:rPr>
          <w:lang w:val="en-GB"/>
        </w:rPr>
        <w:t>t</w:t>
      </w:r>
      <w:r w:rsidR="00F910B8" w:rsidRPr="00F05B90">
        <w:rPr>
          <w:lang w:val="en-GB"/>
        </w:rPr>
        <w:t xml:space="preserve"> </w:t>
      </w:r>
      <w:r w:rsidR="002E1AF0" w:rsidRPr="00F05B90">
        <w:rPr>
          <w:lang w:val="en-GB"/>
        </w:rPr>
        <w:t>as proxied for auditor professional judgment</w:t>
      </w:r>
      <w:r w:rsidR="00F80955" w:rsidRPr="00F05B90">
        <w:rPr>
          <w:lang w:val="en-GB"/>
        </w:rPr>
        <w:t xml:space="preserve">(Lennox et al., 2018; Reid et al., 2019; Sierra-García et al., 2019). Lower materiality </w:t>
      </w:r>
      <w:r w:rsidR="00F910B8" w:rsidRPr="00F05B90">
        <w:rPr>
          <w:lang w:val="en-GB"/>
        </w:rPr>
        <w:t xml:space="preserve">threshold </w:t>
      </w:r>
      <w:r w:rsidR="00F80955" w:rsidRPr="00F05B90">
        <w:rPr>
          <w:lang w:val="en-GB"/>
        </w:rPr>
        <w:t>(</w:t>
      </w:r>
      <w:r w:rsidR="00F910B8" w:rsidRPr="00F05B90">
        <w:rPr>
          <w:lang w:val="en-GB"/>
        </w:rPr>
        <w:t xml:space="preserve">reflecting </w:t>
      </w:r>
      <w:r w:rsidR="00F80955" w:rsidRPr="00F05B90">
        <w:rPr>
          <w:lang w:val="en-GB"/>
        </w:rPr>
        <w:t>more detailed audit inspection</w:t>
      </w:r>
      <w:r w:rsidR="00F910B8" w:rsidRPr="00F05B90">
        <w:rPr>
          <w:lang w:val="en-GB"/>
        </w:rPr>
        <w:t>s</w:t>
      </w:r>
      <w:r w:rsidR="00F80955" w:rsidRPr="00F05B90">
        <w:rPr>
          <w:lang w:val="en-GB"/>
        </w:rPr>
        <w:t xml:space="preserve">) and a </w:t>
      </w:r>
      <w:r w:rsidR="00F910B8" w:rsidRPr="00F05B90">
        <w:rPr>
          <w:lang w:val="en-GB"/>
        </w:rPr>
        <w:t xml:space="preserve">higher </w:t>
      </w:r>
      <w:r w:rsidR="00F80955" w:rsidRPr="00F05B90">
        <w:rPr>
          <w:lang w:val="en-GB"/>
        </w:rPr>
        <w:t xml:space="preserve">number of </w:t>
      </w:r>
      <w:r w:rsidR="00F910B8" w:rsidRPr="00F05B90">
        <w:rPr>
          <w:lang w:val="en-GB"/>
        </w:rPr>
        <w:t xml:space="preserve">reported </w:t>
      </w:r>
      <w:r w:rsidR="000C1B91" w:rsidRPr="00F05B90">
        <w:rPr>
          <w:lang w:val="en-GB"/>
        </w:rPr>
        <w:t>key audit matters</w:t>
      </w:r>
      <w:r w:rsidR="00F80955" w:rsidRPr="00F05B90">
        <w:rPr>
          <w:lang w:val="en-GB"/>
        </w:rPr>
        <w:t xml:space="preserve"> </w:t>
      </w:r>
      <w:r w:rsidR="00F910B8" w:rsidRPr="00F05B90">
        <w:rPr>
          <w:lang w:val="en-GB"/>
        </w:rPr>
        <w:t xml:space="preserve">indicate </w:t>
      </w:r>
      <w:r w:rsidR="00F80955" w:rsidRPr="00F05B90">
        <w:rPr>
          <w:lang w:val="en-GB"/>
        </w:rPr>
        <w:t xml:space="preserve">greater audit effort. </w:t>
      </w:r>
      <w:r w:rsidR="00F910B8" w:rsidRPr="00F05B90">
        <w:rPr>
          <w:lang w:val="en-GB"/>
        </w:rPr>
        <w:t xml:space="preserve">We manually collected data on </w:t>
      </w:r>
      <w:r w:rsidR="00F80955" w:rsidRPr="00F05B90">
        <w:rPr>
          <w:lang w:val="en-GB"/>
        </w:rPr>
        <w:t xml:space="preserve">materiality and audit risk </w:t>
      </w:r>
      <w:r w:rsidR="00F910B8" w:rsidRPr="00F05B90">
        <w:rPr>
          <w:lang w:val="en-GB"/>
        </w:rPr>
        <w:t xml:space="preserve">disclosures </w:t>
      </w:r>
      <w:r w:rsidR="00F80955" w:rsidRPr="00F05B90">
        <w:rPr>
          <w:lang w:val="en-GB"/>
        </w:rPr>
        <w:t xml:space="preserve">from </w:t>
      </w:r>
      <w:r w:rsidR="00F910B8" w:rsidRPr="00F05B90">
        <w:rPr>
          <w:lang w:val="en-GB"/>
        </w:rPr>
        <w:t xml:space="preserve">firms’ </w:t>
      </w:r>
      <w:r w:rsidR="00F80955" w:rsidRPr="00F05B90">
        <w:rPr>
          <w:lang w:val="en-GB"/>
        </w:rPr>
        <w:t>audit reports</w:t>
      </w:r>
      <w:r w:rsidR="00F910B8" w:rsidRPr="00F05B90">
        <w:rPr>
          <w:lang w:val="en-GB"/>
        </w:rPr>
        <w:t>, while f</w:t>
      </w:r>
      <w:r w:rsidR="00F80955" w:rsidRPr="00F05B90">
        <w:rPr>
          <w:lang w:val="en-GB"/>
        </w:rPr>
        <w:t xml:space="preserve">inancial data </w:t>
      </w:r>
      <w:r w:rsidR="00F910B8" w:rsidRPr="00F05B90">
        <w:rPr>
          <w:lang w:val="en-GB"/>
        </w:rPr>
        <w:t xml:space="preserve">are sources </w:t>
      </w:r>
      <w:r w:rsidR="00F80955" w:rsidRPr="00F05B90">
        <w:rPr>
          <w:lang w:val="en-GB"/>
        </w:rPr>
        <w:t>from Fame and DataStream.</w:t>
      </w:r>
    </w:p>
    <w:p w14:paraId="7FA225DC" w14:textId="77777777" w:rsidR="00F80955" w:rsidRPr="00F05B90" w:rsidRDefault="00F80955" w:rsidP="00E21ACF">
      <w:pPr>
        <w:pStyle w:val="Heading3"/>
        <w:spacing w:before="240" w:after="240"/>
        <w:rPr>
          <w:rFonts w:ascii="Times New Roman" w:hAnsi="Times New Roman" w:cs="Times New Roman"/>
          <w:color w:val="auto"/>
          <w:lang w:val="en-GB"/>
        </w:rPr>
      </w:pPr>
      <w:bookmarkStart w:id="15" w:name="_Toc123457913"/>
      <w:r w:rsidRPr="00F05B90">
        <w:rPr>
          <w:rFonts w:ascii="Times New Roman" w:hAnsi="Times New Roman" w:cs="Times New Roman"/>
          <w:color w:val="auto"/>
          <w:lang w:val="en-GB"/>
        </w:rPr>
        <w:t>Independent variable: CEO industry tournament incentives</w:t>
      </w:r>
      <w:bookmarkEnd w:id="15"/>
    </w:p>
    <w:p w14:paraId="61299D06" w14:textId="2E4AFD6D" w:rsidR="00616E9D" w:rsidRPr="00F05B90" w:rsidRDefault="00616E9D" w:rsidP="009B005D">
      <w:pPr>
        <w:spacing w:before="240" w:after="240" w:line="360" w:lineRule="auto"/>
        <w:jc w:val="both"/>
        <w:rPr>
          <w:lang w:val="en-GB"/>
        </w:rPr>
      </w:pPr>
      <w:r w:rsidRPr="00F05B90">
        <w:rPr>
          <w:lang w:val="en-GB"/>
        </w:rPr>
        <w:t>T</w:t>
      </w:r>
      <w:r w:rsidR="003233F2" w:rsidRPr="00F05B90">
        <w:rPr>
          <w:lang w:val="en-GB"/>
        </w:rPr>
        <w:t>o measure industry tournament incentive</w:t>
      </w:r>
      <w:r w:rsidR="008B4C74" w:rsidRPr="00F05B90">
        <w:rPr>
          <w:lang w:val="en-GB"/>
        </w:rPr>
        <w:t>s</w:t>
      </w:r>
      <w:r w:rsidR="003233F2" w:rsidRPr="00F05B90">
        <w:rPr>
          <w:lang w:val="en-GB"/>
        </w:rPr>
        <w:t xml:space="preserve">, we collect CEOs’ compensation and industry classification </w:t>
      </w:r>
      <w:r w:rsidRPr="00F05B90">
        <w:rPr>
          <w:lang w:val="en-GB"/>
        </w:rPr>
        <w:t xml:space="preserve">data from </w:t>
      </w:r>
      <w:r w:rsidR="008B4C74" w:rsidRPr="00F05B90">
        <w:rPr>
          <w:lang w:val="en-GB"/>
        </w:rPr>
        <w:t>the</w:t>
      </w:r>
      <w:r w:rsidR="00F80955" w:rsidRPr="00F05B90">
        <w:rPr>
          <w:lang w:val="en-GB"/>
        </w:rPr>
        <w:t xml:space="preserve"> BoardEx database</w:t>
      </w:r>
      <w:r w:rsidR="00C17B87" w:rsidRPr="00F05B90">
        <w:rPr>
          <w:lang w:val="en-GB"/>
        </w:rPr>
        <w:t xml:space="preserve"> (</w:t>
      </w:r>
      <w:r w:rsidR="006B79B2" w:rsidRPr="00F05B90">
        <w:rPr>
          <w:lang w:val="en-GB"/>
        </w:rPr>
        <w:t>s</w:t>
      </w:r>
      <w:r w:rsidR="00590B24" w:rsidRPr="00F05B90">
        <w:rPr>
          <w:lang w:val="en-GB"/>
        </w:rPr>
        <w:t xml:space="preserve">ee </w:t>
      </w:r>
      <w:r w:rsidR="00872D1A" w:rsidRPr="00F05B90">
        <w:rPr>
          <w:lang w:val="en-GB"/>
        </w:rPr>
        <w:t xml:space="preserve">the </w:t>
      </w:r>
      <w:r w:rsidR="00C17B87" w:rsidRPr="00F05B90">
        <w:rPr>
          <w:b/>
          <w:bCs/>
          <w:lang w:val="en-GB"/>
        </w:rPr>
        <w:t>A</w:t>
      </w:r>
      <w:r w:rsidR="00590B24" w:rsidRPr="00F05B90">
        <w:rPr>
          <w:b/>
          <w:bCs/>
          <w:lang w:val="en-GB"/>
        </w:rPr>
        <w:t>ppendix</w:t>
      </w:r>
      <w:r w:rsidR="00C17B87" w:rsidRPr="00F05B90">
        <w:rPr>
          <w:b/>
          <w:bCs/>
          <w:lang w:val="en-GB"/>
        </w:rPr>
        <w:t xml:space="preserve"> </w:t>
      </w:r>
      <w:r w:rsidR="009B005D" w:rsidRPr="00F05B90">
        <w:rPr>
          <w:b/>
          <w:bCs/>
          <w:lang w:val="en-GB"/>
        </w:rPr>
        <w:t>2</w:t>
      </w:r>
      <w:r w:rsidR="00C17B87" w:rsidRPr="00F05B90">
        <w:rPr>
          <w:lang w:val="en-GB"/>
        </w:rPr>
        <w:t>)</w:t>
      </w:r>
      <w:r w:rsidR="003233F2" w:rsidRPr="00F05B90">
        <w:rPr>
          <w:lang w:val="en-GB"/>
        </w:rPr>
        <w:t xml:space="preserve">. </w:t>
      </w:r>
      <w:r w:rsidR="00F80955" w:rsidRPr="00F05B90">
        <w:rPr>
          <w:lang w:val="en-GB"/>
        </w:rPr>
        <w:t xml:space="preserve">The industry tournament incentive </w:t>
      </w:r>
      <w:r w:rsidR="00D20DF8" w:rsidRPr="00F05B90">
        <w:rPr>
          <w:lang w:val="en-GB"/>
        </w:rPr>
        <w:t xml:space="preserve">is defined as </w:t>
      </w:r>
      <w:r w:rsidR="00F80955" w:rsidRPr="00F05B90">
        <w:rPr>
          <w:lang w:val="en-GB"/>
        </w:rPr>
        <w:t xml:space="preserve">the compensation gap between </w:t>
      </w:r>
      <w:r w:rsidR="00D20DF8" w:rsidRPr="00F05B90">
        <w:rPr>
          <w:lang w:val="en-GB"/>
        </w:rPr>
        <w:t xml:space="preserve">a given </w:t>
      </w:r>
      <w:r w:rsidR="00F80955" w:rsidRPr="00F05B90">
        <w:rPr>
          <w:lang w:val="en-GB"/>
        </w:rPr>
        <w:t>CEO and the highest-paid CEO in the same industry.</w:t>
      </w:r>
      <w:r w:rsidR="009F7C3D" w:rsidRPr="00F05B90">
        <w:rPr>
          <w:lang w:val="en-GB"/>
        </w:rPr>
        <w:t xml:space="preserve"> </w:t>
      </w:r>
      <w:r w:rsidR="006E3762" w:rsidRPr="00F05B90">
        <w:rPr>
          <w:lang w:val="en-GB"/>
        </w:rPr>
        <w:t xml:space="preserve">A potential </w:t>
      </w:r>
      <w:r w:rsidR="003233F2" w:rsidRPr="00F05B90">
        <w:rPr>
          <w:lang w:val="en-GB"/>
        </w:rPr>
        <w:t>concern</w:t>
      </w:r>
      <w:r w:rsidR="00F80955" w:rsidRPr="00F05B90">
        <w:rPr>
          <w:lang w:val="en-GB"/>
        </w:rPr>
        <w:t xml:space="preserve"> </w:t>
      </w:r>
      <w:r w:rsidR="00D938E4" w:rsidRPr="00F05B90">
        <w:rPr>
          <w:lang w:val="en-GB"/>
        </w:rPr>
        <w:t xml:space="preserve">with </w:t>
      </w:r>
      <w:r w:rsidR="00F80955" w:rsidRPr="00F05B90">
        <w:rPr>
          <w:lang w:val="en-GB"/>
        </w:rPr>
        <w:t>this measure</w:t>
      </w:r>
      <w:r w:rsidR="00F80955" w:rsidRPr="00F05B90">
        <w:rPr>
          <w:i/>
          <w:iCs/>
          <w:lang w:val="en-GB"/>
        </w:rPr>
        <w:t xml:space="preserve"> </w:t>
      </w:r>
      <w:r w:rsidR="00F80955" w:rsidRPr="00F05B90">
        <w:rPr>
          <w:lang w:val="en-GB"/>
        </w:rPr>
        <w:t xml:space="preserve">is that </w:t>
      </w:r>
      <w:r w:rsidR="00D938E4" w:rsidRPr="00F05B90">
        <w:rPr>
          <w:lang w:val="en-GB"/>
        </w:rPr>
        <w:t xml:space="preserve">the </w:t>
      </w:r>
      <w:r w:rsidR="006E3762" w:rsidRPr="00F05B90">
        <w:rPr>
          <w:lang w:val="en-GB"/>
        </w:rPr>
        <w:t xml:space="preserve">highest CEO </w:t>
      </w:r>
      <w:r w:rsidR="00F80955" w:rsidRPr="00F05B90">
        <w:rPr>
          <w:lang w:val="en-GB"/>
        </w:rPr>
        <w:t xml:space="preserve">compensation </w:t>
      </w:r>
      <w:r w:rsidR="006E3762" w:rsidRPr="00F05B90">
        <w:rPr>
          <w:lang w:val="en-GB"/>
        </w:rPr>
        <w:t xml:space="preserve">in a given </w:t>
      </w:r>
      <w:r w:rsidR="00F80955" w:rsidRPr="00F05B90">
        <w:rPr>
          <w:lang w:val="en-GB"/>
        </w:rPr>
        <w:t xml:space="preserve">industry </w:t>
      </w:r>
      <w:r w:rsidR="006E3762" w:rsidRPr="00F05B90">
        <w:rPr>
          <w:lang w:val="en-GB"/>
        </w:rPr>
        <w:t xml:space="preserve">and </w:t>
      </w:r>
      <w:r w:rsidR="00F80955" w:rsidRPr="00F05B90">
        <w:rPr>
          <w:lang w:val="en-GB"/>
        </w:rPr>
        <w:t xml:space="preserve">year may be </w:t>
      </w:r>
      <w:r w:rsidR="006E3762" w:rsidRPr="00F05B90">
        <w:rPr>
          <w:lang w:val="en-GB"/>
        </w:rPr>
        <w:t xml:space="preserve">driven by </w:t>
      </w:r>
      <w:r w:rsidR="00F80955" w:rsidRPr="00F05B90">
        <w:rPr>
          <w:lang w:val="en-GB"/>
        </w:rPr>
        <w:t>an un</w:t>
      </w:r>
      <w:r w:rsidR="006E3762" w:rsidRPr="00F05B90">
        <w:rPr>
          <w:lang w:val="en-GB"/>
        </w:rPr>
        <w:t xml:space="preserve">usual </w:t>
      </w:r>
      <w:r w:rsidR="00D938E4" w:rsidRPr="00F05B90">
        <w:rPr>
          <w:lang w:val="en-GB"/>
        </w:rPr>
        <w:t>or</w:t>
      </w:r>
      <w:r w:rsidR="00F80955" w:rsidRPr="00F05B90">
        <w:rPr>
          <w:lang w:val="en-GB"/>
        </w:rPr>
        <w:t xml:space="preserve"> temporary </w:t>
      </w:r>
      <w:r w:rsidR="006E3762" w:rsidRPr="00F05B90">
        <w:rPr>
          <w:lang w:val="en-GB"/>
        </w:rPr>
        <w:t xml:space="preserve">factor, making it unreliable benchmark for what a </w:t>
      </w:r>
      <w:r w:rsidR="00F80955" w:rsidRPr="00F05B90">
        <w:rPr>
          <w:lang w:val="en-GB"/>
        </w:rPr>
        <w:t xml:space="preserve">CEO </w:t>
      </w:r>
      <w:r w:rsidR="006E3762" w:rsidRPr="00F05B90">
        <w:rPr>
          <w:lang w:val="en-GB"/>
        </w:rPr>
        <w:t xml:space="preserve">could earn by </w:t>
      </w:r>
      <w:r w:rsidR="00F80955" w:rsidRPr="00F05B90">
        <w:rPr>
          <w:lang w:val="en-GB"/>
        </w:rPr>
        <w:t>win</w:t>
      </w:r>
      <w:r w:rsidR="006E3762" w:rsidRPr="00F05B90">
        <w:rPr>
          <w:lang w:val="en-GB"/>
        </w:rPr>
        <w:t>ning</w:t>
      </w:r>
      <w:r w:rsidR="00F80955" w:rsidRPr="00F05B90">
        <w:rPr>
          <w:lang w:val="en-GB"/>
        </w:rPr>
        <w:t xml:space="preserve"> the tournament.</w:t>
      </w:r>
      <w:r w:rsidR="006E3762" w:rsidRPr="00F05B90">
        <w:rPr>
          <w:lang w:val="en-GB"/>
        </w:rPr>
        <w:t xml:space="preserve"> To address this, we follow Coles et al. (2018) and </w:t>
      </w:r>
      <w:r w:rsidR="00F80955" w:rsidRPr="00F05B90">
        <w:rPr>
          <w:lang w:val="en-GB"/>
        </w:rPr>
        <w:t xml:space="preserve">use the second-highest CEO pay rather than </w:t>
      </w:r>
      <w:r w:rsidR="00D938E4" w:rsidRPr="00F05B90">
        <w:rPr>
          <w:lang w:val="en-GB"/>
        </w:rPr>
        <w:t>the highest</w:t>
      </w:r>
      <w:r w:rsidR="00F80955" w:rsidRPr="00F05B90">
        <w:rPr>
          <w:lang w:val="en-GB"/>
        </w:rPr>
        <w:t xml:space="preserve">. </w:t>
      </w:r>
      <w:r w:rsidR="00D938E4" w:rsidRPr="00F05B90">
        <w:rPr>
          <w:lang w:val="en-GB"/>
        </w:rPr>
        <w:t>Accordingly</w:t>
      </w:r>
      <w:r w:rsidR="00F80955" w:rsidRPr="00F05B90">
        <w:rPr>
          <w:lang w:val="en-GB"/>
        </w:rPr>
        <w:t xml:space="preserve">, we measure our independent variable, </w:t>
      </w:r>
      <w:r w:rsidR="00F80955" w:rsidRPr="00F05B90">
        <w:rPr>
          <w:i/>
          <w:iCs/>
          <w:lang w:val="en-GB"/>
        </w:rPr>
        <w:t>Indgap</w:t>
      </w:r>
      <w:r w:rsidR="00F80955" w:rsidRPr="00F05B90">
        <w:rPr>
          <w:lang w:val="en-GB"/>
        </w:rPr>
        <w:t xml:space="preserve">, </w:t>
      </w:r>
      <w:r w:rsidR="00D938E4" w:rsidRPr="00F05B90">
        <w:rPr>
          <w:lang w:val="en-GB"/>
        </w:rPr>
        <w:t xml:space="preserve">to be </w:t>
      </w:r>
      <w:r w:rsidR="00F80955" w:rsidRPr="00F05B90">
        <w:rPr>
          <w:lang w:val="en-GB"/>
        </w:rPr>
        <w:t>the natural log</w:t>
      </w:r>
      <w:r w:rsidR="008D3EA7" w:rsidRPr="00F05B90">
        <w:rPr>
          <w:lang w:val="en-GB"/>
        </w:rPr>
        <w:t>arithm</w:t>
      </w:r>
      <w:r w:rsidR="00F80955" w:rsidRPr="00F05B90">
        <w:rPr>
          <w:rStyle w:val="FootnoteReference"/>
          <w:lang w:val="en-GB"/>
        </w:rPr>
        <w:footnoteReference w:id="9"/>
      </w:r>
      <w:r w:rsidR="00F80955" w:rsidRPr="00F05B90">
        <w:rPr>
          <w:lang w:val="en-GB"/>
        </w:rPr>
        <w:t xml:space="preserve"> of the </w:t>
      </w:r>
      <w:r w:rsidR="008D3EA7" w:rsidRPr="00F05B90">
        <w:rPr>
          <w:lang w:val="en-GB"/>
        </w:rPr>
        <w:t xml:space="preserve">difference </w:t>
      </w:r>
      <w:r w:rsidR="00F80955" w:rsidRPr="00F05B90">
        <w:rPr>
          <w:lang w:val="en-GB"/>
        </w:rPr>
        <w:t xml:space="preserve">between </w:t>
      </w:r>
      <w:r w:rsidR="008D3EA7" w:rsidRPr="00F05B90">
        <w:rPr>
          <w:lang w:val="en-GB"/>
        </w:rPr>
        <w:t xml:space="preserve">a CEO’s </w:t>
      </w:r>
      <w:r w:rsidR="00F80955" w:rsidRPr="00F05B90">
        <w:rPr>
          <w:lang w:val="en-GB"/>
        </w:rPr>
        <w:t xml:space="preserve">total compensation </w:t>
      </w:r>
      <w:r w:rsidR="008D3EA7" w:rsidRPr="00F05B90">
        <w:rPr>
          <w:lang w:val="en-GB"/>
        </w:rPr>
        <w:t xml:space="preserve">and that of </w:t>
      </w:r>
      <w:r w:rsidR="00F80955" w:rsidRPr="00F05B90">
        <w:rPr>
          <w:lang w:val="en-GB"/>
        </w:rPr>
        <w:t>the second-highest-paid CEO in the same industry</w:t>
      </w:r>
      <w:r w:rsidR="008D3EA7" w:rsidRPr="00F05B90">
        <w:rPr>
          <w:lang w:val="en-GB"/>
        </w:rPr>
        <w:t xml:space="preserve"> and </w:t>
      </w:r>
      <w:r w:rsidR="00F80955" w:rsidRPr="00F05B90">
        <w:rPr>
          <w:lang w:val="en-GB"/>
        </w:rPr>
        <w:t xml:space="preserve">year. </w:t>
      </w:r>
      <w:r w:rsidR="008D3EA7" w:rsidRPr="00F05B90">
        <w:rPr>
          <w:lang w:val="en-GB"/>
        </w:rPr>
        <w:t>F</w:t>
      </w:r>
      <w:r w:rsidR="00F80955" w:rsidRPr="00F05B90">
        <w:rPr>
          <w:lang w:val="en-GB"/>
        </w:rPr>
        <w:t xml:space="preserve">or CEOs </w:t>
      </w:r>
      <w:r w:rsidR="008D3EA7" w:rsidRPr="00F05B90">
        <w:rPr>
          <w:lang w:val="en-GB"/>
        </w:rPr>
        <w:t xml:space="preserve">who are already </w:t>
      </w:r>
      <w:r w:rsidR="00D938E4" w:rsidRPr="00F05B90">
        <w:rPr>
          <w:lang w:val="en-GB"/>
        </w:rPr>
        <w:t>the</w:t>
      </w:r>
      <w:r w:rsidR="00F80955" w:rsidRPr="00F05B90">
        <w:rPr>
          <w:lang w:val="en-GB"/>
        </w:rPr>
        <w:t xml:space="preserve"> highest-paid</w:t>
      </w:r>
      <w:r w:rsidR="008D3EA7" w:rsidRPr="00F05B90">
        <w:rPr>
          <w:lang w:val="en-GB"/>
        </w:rPr>
        <w:t xml:space="preserve"> in their industry (i.e., with negative pay gap values</w:t>
      </w:r>
      <w:r w:rsidR="00F80955" w:rsidRPr="00F05B90">
        <w:rPr>
          <w:lang w:val="en-GB"/>
        </w:rPr>
        <w:t>)</w:t>
      </w:r>
      <w:r w:rsidR="008D3EA7" w:rsidRPr="00F05B90">
        <w:rPr>
          <w:lang w:val="en-GB"/>
        </w:rPr>
        <w:t>, we set the pay gap to zero</w:t>
      </w:r>
      <w:r w:rsidR="00F80955" w:rsidRPr="00F05B90">
        <w:rPr>
          <w:lang w:val="en-GB"/>
        </w:rPr>
        <w:t xml:space="preserve">. Nevertheless, our </w:t>
      </w:r>
      <w:r w:rsidR="008D3EA7" w:rsidRPr="00F05B90">
        <w:rPr>
          <w:lang w:val="en-GB"/>
        </w:rPr>
        <w:t xml:space="preserve">results remain robust when these CEOs are </w:t>
      </w:r>
      <w:r w:rsidR="00F80955" w:rsidRPr="00F05B90">
        <w:rPr>
          <w:lang w:val="en-GB"/>
        </w:rPr>
        <w:t>exclude</w:t>
      </w:r>
      <w:r w:rsidR="008D3EA7" w:rsidRPr="00F05B90">
        <w:rPr>
          <w:lang w:val="en-GB"/>
        </w:rPr>
        <w:t>d from our sample</w:t>
      </w:r>
      <w:r w:rsidR="00F80955" w:rsidRPr="00F05B90">
        <w:rPr>
          <w:lang w:val="en-GB"/>
        </w:rPr>
        <w:t>.</w:t>
      </w:r>
    </w:p>
    <w:p w14:paraId="74189DB4" w14:textId="77777777" w:rsidR="00E10CD3" w:rsidRPr="00F05B90" w:rsidRDefault="00E10CD3" w:rsidP="00ED600C">
      <w:pPr>
        <w:pStyle w:val="Heading2"/>
        <w:spacing w:before="240" w:after="240"/>
        <w:ind w:left="426" w:hanging="426"/>
        <w:rPr>
          <w:rFonts w:ascii="Times New Roman" w:hAnsi="Times New Roman" w:cs="Times New Roman"/>
          <w:color w:val="auto"/>
          <w:szCs w:val="24"/>
          <w:lang w:val="en-GB"/>
        </w:rPr>
      </w:pPr>
      <w:bookmarkStart w:id="16" w:name="_Toc123457910"/>
      <w:bookmarkStart w:id="17" w:name="_Toc123457914"/>
      <w:r w:rsidRPr="00F05B90">
        <w:rPr>
          <w:rFonts w:ascii="Times New Roman" w:hAnsi="Times New Roman" w:cs="Times New Roman"/>
          <w:color w:val="auto"/>
          <w:szCs w:val="24"/>
          <w:lang w:val="en-GB"/>
        </w:rPr>
        <w:t>Sample</w:t>
      </w:r>
      <w:bookmarkEnd w:id="16"/>
    </w:p>
    <w:p w14:paraId="5D89DF33" w14:textId="4394440C" w:rsidR="0021281B" w:rsidRPr="00F05B90" w:rsidRDefault="00E10CD3" w:rsidP="009B005D">
      <w:pPr>
        <w:spacing w:before="240" w:after="240" w:line="360" w:lineRule="auto"/>
        <w:jc w:val="both"/>
        <w:rPr>
          <w:lang w:val="en-GB"/>
        </w:rPr>
      </w:pPr>
      <w:r w:rsidRPr="00F05B90">
        <w:rPr>
          <w:lang w:val="en-GB"/>
        </w:rPr>
        <w:t xml:space="preserve">Our initial sample comprises </w:t>
      </w:r>
      <w:r w:rsidR="0021281B" w:rsidRPr="00F05B90">
        <w:rPr>
          <w:lang w:val="en-GB"/>
        </w:rPr>
        <w:t xml:space="preserve">firms in </w:t>
      </w:r>
      <w:r w:rsidR="00D938E4" w:rsidRPr="00F05B90">
        <w:rPr>
          <w:lang w:val="en-GB"/>
        </w:rPr>
        <w:t xml:space="preserve">the </w:t>
      </w:r>
      <w:r w:rsidRPr="00F05B90">
        <w:rPr>
          <w:lang w:val="en-GB"/>
        </w:rPr>
        <w:t>FTSE 350 index</w:t>
      </w:r>
      <w:r w:rsidR="0021281B" w:rsidRPr="00F05B90">
        <w:rPr>
          <w:lang w:val="en-GB"/>
        </w:rPr>
        <w:t>,</w:t>
      </w:r>
      <w:r w:rsidRPr="00F05B90">
        <w:rPr>
          <w:lang w:val="en-GB"/>
        </w:rPr>
        <w:t xml:space="preserve"> as reported by BoardEx</w:t>
      </w:r>
      <w:r w:rsidR="0021281B" w:rsidRPr="00F05B90">
        <w:rPr>
          <w:lang w:val="en-GB"/>
        </w:rPr>
        <w:t>, covering</w:t>
      </w:r>
      <w:r w:rsidR="006A20BC" w:rsidRPr="00F05B90">
        <w:rPr>
          <w:lang w:val="en-GB"/>
        </w:rPr>
        <w:t xml:space="preserve"> </w:t>
      </w:r>
      <w:r w:rsidRPr="00F05B90">
        <w:rPr>
          <w:lang w:val="en-GB"/>
        </w:rPr>
        <w:t>the period from 2013</w:t>
      </w:r>
      <w:r w:rsidR="0021281B" w:rsidRPr="00F05B90">
        <w:rPr>
          <w:lang w:val="en-GB"/>
        </w:rPr>
        <w:t xml:space="preserve"> (</w:t>
      </w:r>
      <w:r w:rsidRPr="00F05B90">
        <w:rPr>
          <w:lang w:val="en-GB"/>
        </w:rPr>
        <w:t>when the revised UK Code and ISA 700 were mandated</w:t>
      </w:r>
      <w:r w:rsidR="0021281B" w:rsidRPr="00F05B90">
        <w:rPr>
          <w:lang w:val="en-GB"/>
        </w:rPr>
        <w:t>)</w:t>
      </w:r>
      <w:r w:rsidRPr="00F05B90">
        <w:rPr>
          <w:lang w:val="en-GB"/>
        </w:rPr>
        <w:t xml:space="preserve"> to 2020. </w:t>
      </w:r>
      <w:r w:rsidR="00812DEC" w:rsidRPr="00F05B90">
        <w:rPr>
          <w:lang w:val="en-GB"/>
        </w:rPr>
        <w:t xml:space="preserve">We </w:t>
      </w:r>
      <w:r w:rsidRPr="00F05B90">
        <w:rPr>
          <w:lang w:val="en-GB"/>
        </w:rPr>
        <w:lastRenderedPageBreak/>
        <w:t xml:space="preserve">focus on </w:t>
      </w:r>
      <w:r w:rsidR="00DB2F6A" w:rsidRPr="00F05B90">
        <w:rPr>
          <w:lang w:val="en-GB"/>
        </w:rPr>
        <w:t xml:space="preserve">the </w:t>
      </w:r>
      <w:r w:rsidRPr="00F05B90">
        <w:rPr>
          <w:lang w:val="en-GB"/>
        </w:rPr>
        <w:t xml:space="preserve">FTSE 350 as it </w:t>
      </w:r>
      <w:r w:rsidR="00812DEC" w:rsidRPr="00F05B90">
        <w:rPr>
          <w:lang w:val="en-GB"/>
        </w:rPr>
        <w:t xml:space="preserve">includes both </w:t>
      </w:r>
      <w:r w:rsidRPr="00F05B90">
        <w:rPr>
          <w:lang w:val="en-GB"/>
        </w:rPr>
        <w:t xml:space="preserve">large </w:t>
      </w:r>
      <w:r w:rsidR="00812DEC" w:rsidRPr="00F05B90">
        <w:rPr>
          <w:lang w:val="en-GB"/>
        </w:rPr>
        <w:t>and mid-sized</w:t>
      </w:r>
      <w:r w:rsidRPr="00F05B90">
        <w:rPr>
          <w:lang w:val="en-GB"/>
        </w:rPr>
        <w:t xml:space="preserve"> firms (Lueg et al., 2014; Zaman et al., 2011) and </w:t>
      </w:r>
      <w:r w:rsidR="00812DEC" w:rsidRPr="00F05B90">
        <w:rPr>
          <w:lang w:val="en-GB"/>
        </w:rPr>
        <w:t xml:space="preserve">provides </w:t>
      </w:r>
      <w:r w:rsidRPr="00F05B90">
        <w:rPr>
          <w:lang w:val="en-GB"/>
        </w:rPr>
        <w:t>greater data availability (Lueg et al., 2014).</w:t>
      </w:r>
      <w:r w:rsidR="00812DEC" w:rsidRPr="00F05B90">
        <w:rPr>
          <w:lang w:val="en-GB"/>
        </w:rPr>
        <w:t xml:space="preserve"> </w:t>
      </w:r>
      <w:r w:rsidRPr="00F05B90">
        <w:rPr>
          <w:lang w:val="en-GB"/>
        </w:rPr>
        <w:t xml:space="preserve">We exclude </w:t>
      </w:r>
      <w:r w:rsidR="00812DEC" w:rsidRPr="00F05B90">
        <w:rPr>
          <w:lang w:val="en-GB"/>
        </w:rPr>
        <w:t xml:space="preserve">firms in </w:t>
      </w:r>
      <w:r w:rsidR="00222533" w:rsidRPr="00F05B90">
        <w:rPr>
          <w:lang w:val="en-GB"/>
        </w:rPr>
        <w:t xml:space="preserve">the </w:t>
      </w:r>
      <w:r w:rsidRPr="00F05B90">
        <w:rPr>
          <w:lang w:val="en-GB"/>
        </w:rPr>
        <w:t>finance, insurance, and real estate industries</w:t>
      </w:r>
      <w:r w:rsidR="00812DEC" w:rsidRPr="00F05B90">
        <w:rPr>
          <w:lang w:val="en-GB"/>
        </w:rPr>
        <w:t xml:space="preserve"> due to </w:t>
      </w:r>
      <w:r w:rsidRPr="00F05B90">
        <w:rPr>
          <w:lang w:val="en-GB"/>
        </w:rPr>
        <w:t>their di</w:t>
      </w:r>
      <w:r w:rsidR="00812DEC" w:rsidRPr="00F05B90">
        <w:rPr>
          <w:lang w:val="en-GB"/>
        </w:rPr>
        <w:t xml:space="preserve">stinct </w:t>
      </w:r>
      <w:r w:rsidRPr="00F05B90">
        <w:rPr>
          <w:lang w:val="en-GB"/>
        </w:rPr>
        <w:t>regulatory environment</w:t>
      </w:r>
      <w:r w:rsidR="00DB2F6A" w:rsidRPr="00F05B90">
        <w:rPr>
          <w:lang w:val="en-GB"/>
        </w:rPr>
        <w:t>s</w:t>
      </w:r>
      <w:r w:rsidRPr="00F05B90">
        <w:rPr>
          <w:lang w:val="en-GB"/>
        </w:rPr>
        <w:t xml:space="preserve">. </w:t>
      </w:r>
      <w:r w:rsidR="00812DEC" w:rsidRPr="00F05B90">
        <w:rPr>
          <w:lang w:val="en-GB"/>
        </w:rPr>
        <w:t>Additionally, w</w:t>
      </w:r>
      <w:r w:rsidRPr="00F05B90">
        <w:rPr>
          <w:lang w:val="en-GB"/>
        </w:rPr>
        <w:t xml:space="preserve">e exclude observations with missing CEO compensation or auditor </w:t>
      </w:r>
      <w:r w:rsidR="00B1778A" w:rsidRPr="00F05B90">
        <w:rPr>
          <w:lang w:val="en-GB"/>
        </w:rPr>
        <w:t xml:space="preserve">judgment </w:t>
      </w:r>
      <w:r w:rsidRPr="00F05B90">
        <w:rPr>
          <w:lang w:val="en-GB"/>
        </w:rPr>
        <w:t>data. We then merge these data</w:t>
      </w:r>
      <w:r w:rsidR="00812DEC" w:rsidRPr="00F05B90">
        <w:rPr>
          <w:lang w:val="en-GB"/>
        </w:rPr>
        <w:t>sets</w:t>
      </w:r>
      <w:r w:rsidRPr="00F05B90">
        <w:rPr>
          <w:lang w:val="en-GB"/>
        </w:rPr>
        <w:t xml:space="preserve"> with financial statement data from Datastream and Fame </w:t>
      </w:r>
      <w:r w:rsidR="00DB2F6A" w:rsidRPr="00F05B90">
        <w:rPr>
          <w:lang w:val="en-GB"/>
        </w:rPr>
        <w:t>d</w:t>
      </w:r>
      <w:r w:rsidRPr="00F05B90">
        <w:rPr>
          <w:lang w:val="en-GB"/>
        </w:rPr>
        <w:t xml:space="preserve">atabases.  </w:t>
      </w:r>
      <w:r w:rsidR="00B11981" w:rsidRPr="00F05B90">
        <w:rPr>
          <w:lang w:val="en-GB"/>
        </w:rPr>
        <w:t>After applying t</w:t>
      </w:r>
      <w:r w:rsidRPr="00F05B90">
        <w:rPr>
          <w:lang w:val="en-GB"/>
        </w:rPr>
        <w:t xml:space="preserve">hese </w:t>
      </w:r>
      <w:r w:rsidR="00B11981" w:rsidRPr="00F05B90">
        <w:rPr>
          <w:lang w:val="en-GB"/>
        </w:rPr>
        <w:t xml:space="preserve">filters, our </w:t>
      </w:r>
      <w:r w:rsidRPr="00F05B90">
        <w:rPr>
          <w:lang w:val="en-GB"/>
        </w:rPr>
        <w:t>final sample</w:t>
      </w:r>
      <w:r w:rsidR="00B11981" w:rsidRPr="00F05B90">
        <w:rPr>
          <w:lang w:val="en-GB"/>
        </w:rPr>
        <w:t xml:space="preserve"> consists </w:t>
      </w:r>
      <w:r w:rsidRPr="00F05B90">
        <w:rPr>
          <w:lang w:val="en-GB"/>
        </w:rPr>
        <w:t>of 1040 firm-year observations</w:t>
      </w:r>
      <w:r w:rsidR="00872D1A" w:rsidRPr="00F05B90">
        <w:rPr>
          <w:lang w:val="en-GB"/>
        </w:rPr>
        <w:t xml:space="preserve">. </w:t>
      </w:r>
      <w:r w:rsidR="00B11981" w:rsidRPr="00F05B90">
        <w:rPr>
          <w:lang w:val="en-GB"/>
        </w:rPr>
        <w:t xml:space="preserve">Further </w:t>
      </w:r>
      <w:r w:rsidR="00872D1A" w:rsidRPr="00F05B90">
        <w:rPr>
          <w:lang w:val="en-GB"/>
        </w:rPr>
        <w:t xml:space="preserve">details are provided in </w:t>
      </w:r>
      <w:r w:rsidR="00872D1A" w:rsidRPr="00F05B90">
        <w:rPr>
          <w:b/>
          <w:bCs/>
          <w:lang w:val="en-GB"/>
        </w:rPr>
        <w:t>T</w:t>
      </w:r>
      <w:r w:rsidRPr="00F05B90">
        <w:rPr>
          <w:b/>
          <w:bCs/>
          <w:lang w:val="en-GB"/>
        </w:rPr>
        <w:t>able 1.</w:t>
      </w:r>
    </w:p>
    <w:bookmarkEnd w:id="13"/>
    <w:p w14:paraId="27CF33E6" w14:textId="72996E9E" w:rsidR="003E3541" w:rsidRPr="00F05B90" w:rsidRDefault="00872D1A" w:rsidP="00675B32">
      <w:pPr>
        <w:spacing w:before="240" w:after="240" w:line="360" w:lineRule="auto"/>
        <w:jc w:val="center"/>
        <w:rPr>
          <w:lang w:val="en-GB"/>
        </w:rPr>
      </w:pPr>
      <w:r w:rsidRPr="00F05B90">
        <w:rPr>
          <w:b/>
          <w:bCs/>
          <w:lang w:val="en-GB"/>
        </w:rPr>
        <w:t>[PLEASE INSERT TABLE 1 HERE]</w:t>
      </w:r>
    </w:p>
    <w:p w14:paraId="68906553" w14:textId="77777777" w:rsidR="00F80955" w:rsidRPr="00F05B90" w:rsidRDefault="00F80955" w:rsidP="00EC0A5F">
      <w:pPr>
        <w:pStyle w:val="Heading2"/>
        <w:spacing w:before="240" w:after="240"/>
        <w:ind w:left="426" w:hanging="426"/>
        <w:rPr>
          <w:rFonts w:ascii="Times New Roman" w:hAnsi="Times New Roman" w:cs="Times New Roman"/>
          <w:color w:val="auto"/>
          <w:szCs w:val="24"/>
          <w:lang w:val="en-GB"/>
        </w:rPr>
      </w:pPr>
      <w:bookmarkStart w:id="18" w:name="_Hlk189666955"/>
      <w:r w:rsidRPr="00F05B90">
        <w:rPr>
          <w:rFonts w:ascii="Times New Roman" w:hAnsi="Times New Roman" w:cs="Times New Roman"/>
          <w:color w:val="auto"/>
          <w:szCs w:val="24"/>
          <w:lang w:val="en-GB"/>
        </w:rPr>
        <w:t>Regression models</w:t>
      </w:r>
      <w:bookmarkEnd w:id="17"/>
      <w:r w:rsidRPr="00F05B90">
        <w:rPr>
          <w:rFonts w:ascii="Times New Roman" w:hAnsi="Times New Roman" w:cs="Times New Roman"/>
          <w:color w:val="auto"/>
          <w:szCs w:val="24"/>
          <w:lang w:val="en-GB"/>
        </w:rPr>
        <w:tab/>
      </w:r>
    </w:p>
    <w:p w14:paraId="068C1CF0" w14:textId="119102FF" w:rsidR="00F80955" w:rsidRPr="00F05B90" w:rsidRDefault="00EC0A5F" w:rsidP="003B2F4F">
      <w:pPr>
        <w:spacing w:before="240" w:after="240" w:line="360" w:lineRule="auto"/>
        <w:jc w:val="both"/>
        <w:rPr>
          <w:lang w:val="en-GB"/>
        </w:rPr>
      </w:pPr>
      <w:r w:rsidRPr="00F05B90">
        <w:rPr>
          <w:lang w:val="en-GB"/>
        </w:rPr>
        <w:t>T</w:t>
      </w:r>
      <w:r w:rsidR="00F80955" w:rsidRPr="00F05B90">
        <w:rPr>
          <w:lang w:val="en-GB"/>
        </w:rPr>
        <w:t xml:space="preserve">o test our first hypothesis, we </w:t>
      </w:r>
      <w:r w:rsidR="007D3408" w:rsidRPr="00F05B90">
        <w:rPr>
          <w:lang w:val="en-GB"/>
        </w:rPr>
        <w:t>utilize</w:t>
      </w:r>
      <w:r w:rsidR="00F80955" w:rsidRPr="00F05B90">
        <w:rPr>
          <w:lang w:val="en-GB"/>
        </w:rPr>
        <w:t xml:space="preserve"> the following </w:t>
      </w:r>
      <w:r w:rsidRPr="00F05B90">
        <w:rPr>
          <w:lang w:val="en-GB"/>
        </w:rPr>
        <w:t xml:space="preserve">regression </w:t>
      </w:r>
      <w:r w:rsidR="007D3408" w:rsidRPr="00F05B90">
        <w:rPr>
          <w:lang w:val="en-GB"/>
        </w:rPr>
        <w:t>model</w:t>
      </w:r>
      <w:r w:rsidR="002D30F8" w:rsidRPr="00F05B90">
        <w:rPr>
          <w:rStyle w:val="FootnoteReference"/>
          <w:lang w:val="en-GB"/>
        </w:rPr>
        <w:footnoteReference w:id="10"/>
      </w:r>
      <w:r w:rsidR="00F80955" w:rsidRPr="00F05B90">
        <w:rPr>
          <w:lang w:val="en-GB"/>
        </w:rPr>
        <w:t>,</w:t>
      </w:r>
    </w:p>
    <w:p w14:paraId="483ED95C" w14:textId="237B9659" w:rsidR="00F80955" w:rsidRPr="00F05B90" w:rsidRDefault="00F80955" w:rsidP="002E1AF0">
      <w:pPr>
        <w:spacing w:before="240" w:after="240" w:line="360" w:lineRule="auto"/>
        <w:jc w:val="both"/>
        <w:rPr>
          <w:b/>
          <w:bCs/>
          <w:shd w:val="clear" w:color="auto" w:fill="FFFFFF"/>
          <w:lang w:val="en-GB"/>
        </w:rPr>
      </w:pPr>
      <w:r w:rsidRPr="00F05B90">
        <w:rPr>
          <w:i/>
          <w:iCs/>
          <w:shd w:val="clear" w:color="auto" w:fill="FFFFFF"/>
          <w:lang w:val="en-GB"/>
        </w:rPr>
        <w:t>A</w:t>
      </w:r>
      <w:r w:rsidR="00C77DB1" w:rsidRPr="00F05B90">
        <w:rPr>
          <w:i/>
          <w:iCs/>
          <w:shd w:val="clear" w:color="auto" w:fill="FFFFFF"/>
          <w:lang w:val="en-GB"/>
        </w:rPr>
        <w:t>u</w:t>
      </w:r>
      <w:r w:rsidR="000C1B91" w:rsidRPr="00F05B90">
        <w:rPr>
          <w:i/>
          <w:iCs/>
          <w:shd w:val="clear" w:color="auto" w:fill="FFFFFF"/>
          <w:lang w:val="en-GB"/>
        </w:rPr>
        <w:t>ditor</w:t>
      </w:r>
      <w:r w:rsidRPr="00F05B90">
        <w:rPr>
          <w:i/>
          <w:iCs/>
          <w:shd w:val="clear" w:color="auto" w:fill="FFFFFF"/>
          <w:lang w:val="en-GB"/>
        </w:rPr>
        <w:t>_</w:t>
      </w:r>
      <w:r w:rsidR="000C1B91" w:rsidRPr="00F05B90">
        <w:rPr>
          <w:i/>
          <w:iCs/>
          <w:shd w:val="clear" w:color="auto" w:fill="FFFFFF"/>
          <w:lang w:val="en-GB"/>
        </w:rPr>
        <w:t xml:space="preserve"> judgment</w:t>
      </w:r>
      <w:r w:rsidRPr="00F05B90">
        <w:rPr>
          <w:i/>
          <w:iCs/>
          <w:shd w:val="clear" w:color="auto" w:fill="FFFFFF"/>
          <w:lang w:val="en-GB"/>
        </w:rPr>
        <w:t xml:space="preserve">= β0 + β1 </w:t>
      </w:r>
      <w:r w:rsidRPr="00F05B90">
        <w:rPr>
          <w:i/>
          <w:iCs/>
          <w:lang w:val="en-GB"/>
        </w:rPr>
        <w:t>Indgap</w:t>
      </w:r>
      <w:r w:rsidRPr="00F05B90">
        <w:rPr>
          <w:i/>
          <w:iCs/>
          <w:shd w:val="clear" w:color="auto" w:fill="FFFFFF"/>
          <w:lang w:val="en-GB"/>
        </w:rPr>
        <w:t xml:space="preserve"> + β</w:t>
      </w:r>
      <w:r w:rsidR="002E1AF0" w:rsidRPr="00F05B90">
        <w:rPr>
          <w:i/>
          <w:iCs/>
          <w:shd w:val="clear" w:color="auto" w:fill="FFFFFF"/>
          <w:lang w:val="en-GB"/>
        </w:rPr>
        <w:t xml:space="preserve">n CONTROLS </w:t>
      </w:r>
      <w:r w:rsidRPr="00F05B90">
        <w:rPr>
          <w:shd w:val="clear" w:color="auto" w:fill="FFFFFF"/>
          <w:lang w:val="en-GB"/>
        </w:rPr>
        <w:t>+</w:t>
      </w:r>
      <w:r w:rsidR="002E1AF0" w:rsidRPr="00F05B90">
        <w:rPr>
          <w:shd w:val="clear" w:color="auto" w:fill="FFFFFF"/>
          <w:lang w:val="en-GB"/>
        </w:rPr>
        <w:t xml:space="preserve"> </w:t>
      </w:r>
      <w:r w:rsidRPr="00F05B90">
        <w:rPr>
          <w:shd w:val="clear" w:color="auto" w:fill="FFFFFF"/>
          <w:lang w:val="en-GB"/>
        </w:rPr>
        <w:t xml:space="preserve">ε     </w:t>
      </w:r>
      <w:r w:rsidR="002E1AF0" w:rsidRPr="00F05B90">
        <w:rPr>
          <w:shd w:val="clear" w:color="auto" w:fill="FFFFFF"/>
          <w:lang w:val="en-GB"/>
        </w:rPr>
        <w:t xml:space="preserve">         </w:t>
      </w:r>
      <w:r w:rsidRPr="00F05B90">
        <w:rPr>
          <w:b/>
          <w:bCs/>
          <w:shd w:val="clear" w:color="auto" w:fill="FFFFFF"/>
          <w:lang w:val="en-GB"/>
        </w:rPr>
        <w:t>(1)</w:t>
      </w:r>
    </w:p>
    <w:p w14:paraId="54EB66FC" w14:textId="73B1027F" w:rsidR="00A01B68" w:rsidRPr="00F05B90" w:rsidRDefault="00DB2F6A" w:rsidP="002E1AF0">
      <w:pPr>
        <w:spacing w:before="240" w:after="240" w:line="360" w:lineRule="auto"/>
        <w:jc w:val="both"/>
        <w:rPr>
          <w:lang w:val="en-GB"/>
        </w:rPr>
      </w:pPr>
      <w:r w:rsidRPr="00F05B90">
        <w:rPr>
          <w:lang w:val="en-GB"/>
        </w:rPr>
        <w:t>w</w:t>
      </w:r>
      <w:r w:rsidR="00F80955" w:rsidRPr="00F05B90">
        <w:rPr>
          <w:lang w:val="en-GB"/>
        </w:rPr>
        <w:t xml:space="preserve">here </w:t>
      </w:r>
      <w:r w:rsidR="0004551A" w:rsidRPr="00F05B90">
        <w:rPr>
          <w:i/>
          <w:iCs/>
          <w:shd w:val="clear" w:color="auto" w:fill="FFFFFF"/>
          <w:lang w:val="en-GB"/>
        </w:rPr>
        <w:t>Auditor</w:t>
      </w:r>
      <w:r w:rsidR="00F80955" w:rsidRPr="00F05B90">
        <w:rPr>
          <w:i/>
          <w:iCs/>
          <w:shd w:val="clear" w:color="auto" w:fill="FFFFFF"/>
          <w:lang w:val="en-GB"/>
        </w:rPr>
        <w:t>_</w:t>
      </w:r>
      <w:r w:rsidR="000C1B91" w:rsidRPr="00F05B90">
        <w:rPr>
          <w:i/>
          <w:iCs/>
          <w:shd w:val="clear" w:color="auto" w:fill="FFFFFF"/>
          <w:lang w:val="en-GB"/>
        </w:rPr>
        <w:t xml:space="preserve"> judgment</w:t>
      </w:r>
      <w:r w:rsidR="00F80955" w:rsidRPr="00F05B90">
        <w:rPr>
          <w:i/>
          <w:iCs/>
          <w:shd w:val="clear" w:color="auto" w:fill="FFFFFF"/>
          <w:lang w:val="en-GB"/>
        </w:rPr>
        <w:t xml:space="preserve"> </w:t>
      </w:r>
      <w:r w:rsidR="00F80955" w:rsidRPr="00F05B90">
        <w:rPr>
          <w:shd w:val="clear" w:color="auto" w:fill="FFFFFF"/>
          <w:lang w:val="en-GB"/>
        </w:rPr>
        <w:t>is measured using two proxies</w:t>
      </w:r>
      <w:r w:rsidR="00EC0A5F" w:rsidRPr="00F05B90">
        <w:rPr>
          <w:shd w:val="clear" w:color="auto" w:fill="FFFFFF"/>
          <w:lang w:val="en-GB"/>
        </w:rPr>
        <w:t xml:space="preserve">: </w:t>
      </w:r>
      <w:r w:rsidR="00F80955" w:rsidRPr="00F05B90">
        <w:rPr>
          <w:shd w:val="clear" w:color="auto" w:fill="FFFFFF"/>
          <w:lang w:val="en-GB"/>
        </w:rPr>
        <w:t xml:space="preserve">(i) </w:t>
      </w:r>
      <w:r w:rsidR="00F80955" w:rsidRPr="00F05B90">
        <w:rPr>
          <w:lang w:val="en-GB"/>
        </w:rPr>
        <w:t>the number of key audit matters (</w:t>
      </w:r>
      <w:r w:rsidR="00F80955" w:rsidRPr="00F05B90">
        <w:rPr>
          <w:i/>
          <w:iCs/>
          <w:lang w:val="en-GB"/>
        </w:rPr>
        <w:t>KAM</w:t>
      </w:r>
      <w:r w:rsidR="00F80955" w:rsidRPr="00F05B90">
        <w:rPr>
          <w:lang w:val="en-GB"/>
        </w:rPr>
        <w:t>)</w:t>
      </w:r>
      <w:r w:rsidR="00F80955" w:rsidRPr="00F05B90">
        <w:rPr>
          <w:shd w:val="clear" w:color="auto" w:fill="FFFFFF"/>
          <w:lang w:val="en-GB"/>
        </w:rPr>
        <w:t xml:space="preserve"> and (ii) materiality (</w:t>
      </w:r>
      <w:r w:rsidR="00F80955" w:rsidRPr="00F05B90">
        <w:rPr>
          <w:i/>
          <w:iCs/>
          <w:shd w:val="clear" w:color="auto" w:fill="FFFFFF"/>
          <w:lang w:val="en-GB"/>
        </w:rPr>
        <w:t>MAT</w:t>
      </w:r>
      <w:r w:rsidR="00F80955" w:rsidRPr="00F05B90">
        <w:rPr>
          <w:shd w:val="clear" w:color="auto" w:fill="FFFFFF"/>
          <w:lang w:val="en-GB"/>
        </w:rPr>
        <w:t>)</w:t>
      </w:r>
      <w:r w:rsidR="00EC0A5F" w:rsidRPr="00F05B90">
        <w:rPr>
          <w:shd w:val="clear" w:color="auto" w:fill="FFFFFF"/>
          <w:lang w:val="en-GB"/>
        </w:rPr>
        <w:t xml:space="preserve"> levels</w:t>
      </w:r>
      <w:r w:rsidR="00F80955" w:rsidRPr="00F05B90">
        <w:rPr>
          <w:shd w:val="clear" w:color="auto" w:fill="FFFFFF"/>
          <w:lang w:val="en-GB"/>
        </w:rPr>
        <w:t xml:space="preserve"> </w:t>
      </w:r>
      <w:r w:rsidR="00F80955" w:rsidRPr="00F05B90">
        <w:rPr>
          <w:lang w:val="en-GB"/>
        </w:rPr>
        <w:t>reported by auditors in annual reports.</w:t>
      </w:r>
      <w:r w:rsidR="00EC0A5F" w:rsidRPr="00F05B90">
        <w:t xml:space="preserve"> </w:t>
      </w:r>
      <w:r w:rsidR="00EC0A5F" w:rsidRPr="00F05B90">
        <w:rPr>
          <w:lang w:val="en-GB"/>
        </w:rPr>
        <w:t xml:space="preserve">The key independent variable, </w:t>
      </w:r>
      <w:r w:rsidR="00F80955" w:rsidRPr="00F05B90">
        <w:rPr>
          <w:i/>
          <w:iCs/>
          <w:lang w:val="en-GB"/>
        </w:rPr>
        <w:t>Indgap</w:t>
      </w:r>
      <w:r w:rsidR="00EC0A5F" w:rsidRPr="00F05B90">
        <w:rPr>
          <w:i/>
          <w:iCs/>
          <w:lang w:val="en-GB"/>
        </w:rPr>
        <w:t xml:space="preserve">, </w:t>
      </w:r>
      <w:r w:rsidR="00F80955" w:rsidRPr="00F05B90">
        <w:rPr>
          <w:lang w:val="en-GB"/>
        </w:rPr>
        <w:t>capture</w:t>
      </w:r>
      <w:r w:rsidR="00EC0A5F" w:rsidRPr="00F05B90">
        <w:rPr>
          <w:lang w:val="en-GB"/>
        </w:rPr>
        <w:t>s</w:t>
      </w:r>
      <w:r w:rsidR="00F80955" w:rsidRPr="00F05B90">
        <w:rPr>
          <w:lang w:val="en-GB"/>
        </w:rPr>
        <w:t xml:space="preserve"> the industry tournament </w:t>
      </w:r>
      <w:r w:rsidR="00EC0A5F" w:rsidRPr="00F05B90">
        <w:rPr>
          <w:lang w:val="en-GB"/>
        </w:rPr>
        <w:t xml:space="preserve">incentives </w:t>
      </w:r>
      <w:r w:rsidR="00F80955" w:rsidRPr="00F05B90">
        <w:rPr>
          <w:lang w:val="en-GB"/>
        </w:rPr>
        <w:t xml:space="preserve">and </w:t>
      </w:r>
      <w:r w:rsidR="00EC0A5F" w:rsidRPr="00F05B90">
        <w:rPr>
          <w:lang w:val="en-GB"/>
        </w:rPr>
        <w:t xml:space="preserve">is </w:t>
      </w:r>
      <w:r w:rsidR="00F80955" w:rsidRPr="00F05B90">
        <w:rPr>
          <w:lang w:val="en-GB"/>
        </w:rPr>
        <w:t xml:space="preserve">measured as </w:t>
      </w:r>
      <w:r w:rsidR="002E1AF0" w:rsidRPr="00F05B90">
        <w:rPr>
          <w:lang w:val="en-GB"/>
        </w:rPr>
        <w:t>discussed under section 3.1.2</w:t>
      </w:r>
      <w:r w:rsidR="00F80955" w:rsidRPr="00F05B90">
        <w:rPr>
          <w:lang w:val="en-GB"/>
        </w:rPr>
        <w:t>.</w:t>
      </w:r>
    </w:p>
    <w:p w14:paraId="6280B7B8" w14:textId="64F5BF81" w:rsidR="002B23A0" w:rsidRPr="00F05B90" w:rsidRDefault="00F80955" w:rsidP="009B005D">
      <w:pPr>
        <w:spacing w:before="240" w:after="240" w:line="360" w:lineRule="auto"/>
        <w:jc w:val="both"/>
        <w:rPr>
          <w:shd w:val="clear" w:color="auto" w:fill="FFFFFF"/>
          <w:lang w:val="en-GB"/>
        </w:rPr>
      </w:pPr>
      <w:r w:rsidRPr="00F05B90">
        <w:rPr>
          <w:lang w:val="en-GB"/>
        </w:rPr>
        <w:t xml:space="preserve"> In addition to our main independent variable, consistent with prior literature, we include several firm-specific control variables (DeFond</w:t>
      </w:r>
      <w:r w:rsidR="00DB2F6A" w:rsidRPr="00F05B90">
        <w:rPr>
          <w:lang w:val="en-GB"/>
        </w:rPr>
        <w:t xml:space="preserve"> et al.</w:t>
      </w:r>
      <w:r w:rsidRPr="00F05B90">
        <w:rPr>
          <w:lang w:val="en-GB"/>
        </w:rPr>
        <w:t>, 2002; Francis</w:t>
      </w:r>
      <w:r w:rsidR="00DB2F6A" w:rsidRPr="00F05B90">
        <w:rPr>
          <w:lang w:val="en-GB"/>
        </w:rPr>
        <w:t xml:space="preserve"> et al.</w:t>
      </w:r>
      <w:r w:rsidRPr="00F05B90">
        <w:rPr>
          <w:lang w:val="en-GB"/>
        </w:rPr>
        <w:t>, 2005)</w:t>
      </w:r>
      <w:r w:rsidR="00EC0A5F" w:rsidRPr="00F05B90">
        <w:rPr>
          <w:lang w:val="en-GB"/>
        </w:rPr>
        <w:t xml:space="preserve"> as well as </w:t>
      </w:r>
      <w:r w:rsidRPr="00F05B90">
        <w:rPr>
          <w:lang w:val="en-GB"/>
        </w:rPr>
        <w:t>control</w:t>
      </w:r>
      <w:r w:rsidR="00767A93" w:rsidRPr="00F05B90">
        <w:rPr>
          <w:lang w:val="en-GB"/>
        </w:rPr>
        <w:t>s</w:t>
      </w:r>
      <w:r w:rsidRPr="00F05B90">
        <w:rPr>
          <w:lang w:val="en-GB"/>
        </w:rPr>
        <w:t xml:space="preserve"> </w:t>
      </w:r>
      <w:r w:rsidR="00EC0A5F" w:rsidRPr="00F05B90">
        <w:rPr>
          <w:lang w:val="en-GB"/>
        </w:rPr>
        <w:t xml:space="preserve">for </w:t>
      </w:r>
      <w:r w:rsidRPr="00F05B90">
        <w:rPr>
          <w:lang w:val="en-GB"/>
        </w:rPr>
        <w:t xml:space="preserve">audit risk, audit complexity, and auditor characteristics that </w:t>
      </w:r>
      <w:r w:rsidR="00DB2F6A" w:rsidRPr="00F05B90">
        <w:rPr>
          <w:lang w:val="en-GB"/>
        </w:rPr>
        <w:t xml:space="preserve">may </w:t>
      </w:r>
      <w:r w:rsidR="00EC0A5F" w:rsidRPr="00F05B90">
        <w:rPr>
          <w:lang w:val="en-GB"/>
        </w:rPr>
        <w:t xml:space="preserve">influence </w:t>
      </w:r>
      <w:r w:rsidRPr="00F05B90">
        <w:rPr>
          <w:lang w:val="en-GB"/>
        </w:rPr>
        <w:t xml:space="preserve">audit </w:t>
      </w:r>
      <w:r w:rsidR="00675B32" w:rsidRPr="00F05B90">
        <w:rPr>
          <w:lang w:val="en-GB"/>
        </w:rPr>
        <w:t>quality</w:t>
      </w:r>
      <w:r w:rsidRPr="00F05B90">
        <w:rPr>
          <w:lang w:val="en-GB"/>
        </w:rPr>
        <w:t xml:space="preserve"> (Ashton</w:t>
      </w:r>
      <w:r w:rsidR="00DB2F6A" w:rsidRPr="00F05B90">
        <w:rPr>
          <w:lang w:val="en-GB"/>
        </w:rPr>
        <w:t xml:space="preserve"> et al.</w:t>
      </w:r>
      <w:r w:rsidRPr="00F05B90">
        <w:rPr>
          <w:lang w:val="en-GB"/>
        </w:rPr>
        <w:t>, 1987,</w:t>
      </w:r>
      <w:r w:rsidR="00767A93" w:rsidRPr="00F05B90">
        <w:rPr>
          <w:lang w:val="en-GB"/>
        </w:rPr>
        <w:t xml:space="preserve"> </w:t>
      </w:r>
      <w:r w:rsidRPr="00F05B90">
        <w:rPr>
          <w:lang w:val="en-GB"/>
        </w:rPr>
        <w:t xml:space="preserve">1989; Ng </w:t>
      </w:r>
      <w:r w:rsidR="00DB2F6A" w:rsidRPr="00F05B90">
        <w:rPr>
          <w:lang w:val="en-GB"/>
        </w:rPr>
        <w:t xml:space="preserve">&amp; </w:t>
      </w:r>
      <w:r w:rsidRPr="00F05B90">
        <w:rPr>
          <w:lang w:val="en-GB"/>
        </w:rPr>
        <w:t>Tai 1994; Simunic 1980).</w:t>
      </w:r>
      <w:r w:rsidR="00B46C08" w:rsidRPr="00F05B90">
        <w:rPr>
          <w:lang w:val="en-GB"/>
        </w:rPr>
        <w:t xml:space="preserve"> </w:t>
      </w:r>
      <w:r w:rsidR="00767A93" w:rsidRPr="00F05B90">
        <w:rPr>
          <w:lang w:val="en-GB"/>
        </w:rPr>
        <w:t xml:space="preserve">Specifically, we control </w:t>
      </w:r>
      <w:r w:rsidR="006F567C" w:rsidRPr="00F05B90">
        <w:rPr>
          <w:lang w:val="en-GB"/>
        </w:rPr>
        <w:t>for Audit</w:t>
      </w:r>
      <w:r w:rsidR="000A1CD8" w:rsidRPr="00F05B90">
        <w:rPr>
          <w:lang w:val="en-GB"/>
        </w:rPr>
        <w:t xml:space="preserve"> fees (</w:t>
      </w:r>
      <w:r w:rsidR="000A1CD8" w:rsidRPr="00F05B90">
        <w:rPr>
          <w:i/>
          <w:iCs/>
          <w:lang w:val="en-GB"/>
        </w:rPr>
        <w:t>LAFEE</w:t>
      </w:r>
      <w:r w:rsidR="000A1CD8" w:rsidRPr="00F05B90">
        <w:rPr>
          <w:lang w:val="en-GB"/>
        </w:rPr>
        <w:t>), Big Four auditor (</w:t>
      </w:r>
      <w:r w:rsidR="000A1CD8" w:rsidRPr="00F05B90">
        <w:rPr>
          <w:i/>
          <w:iCs/>
          <w:lang w:val="en-GB"/>
        </w:rPr>
        <w:t>BIG4)</w:t>
      </w:r>
      <w:r w:rsidR="000A1CD8" w:rsidRPr="00F05B90">
        <w:rPr>
          <w:lang w:val="en-GB"/>
        </w:rPr>
        <w:t>, Audit committee independence (</w:t>
      </w:r>
      <w:r w:rsidR="000A1CD8" w:rsidRPr="00F05B90">
        <w:rPr>
          <w:rFonts w:asciiTheme="majorBidi" w:hAnsiTheme="majorBidi"/>
          <w:i/>
          <w:iCs/>
        </w:rPr>
        <w:t>ACIndep</w:t>
      </w:r>
      <w:r w:rsidR="006F567C" w:rsidRPr="00F05B90">
        <w:rPr>
          <w:rFonts w:asciiTheme="majorBidi" w:hAnsiTheme="majorBidi"/>
        </w:rPr>
        <w:t>)</w:t>
      </w:r>
      <w:r w:rsidR="006F567C" w:rsidRPr="00F05B90">
        <w:t xml:space="preserve">, </w:t>
      </w:r>
      <w:r w:rsidR="000A1CD8" w:rsidRPr="00F05B90">
        <w:rPr>
          <w:lang w:val="en-GB"/>
        </w:rPr>
        <w:t xml:space="preserve">board independence </w:t>
      </w:r>
      <w:r w:rsidR="006F567C" w:rsidRPr="00F05B90">
        <w:rPr>
          <w:lang w:val="en-GB"/>
        </w:rPr>
        <w:t>(</w:t>
      </w:r>
      <w:r w:rsidR="006F567C" w:rsidRPr="00F05B90">
        <w:rPr>
          <w:rFonts w:asciiTheme="majorBidi" w:hAnsiTheme="majorBidi"/>
          <w:i/>
          <w:iCs/>
        </w:rPr>
        <w:t>BoDIndep</w:t>
      </w:r>
      <w:r w:rsidR="006F567C" w:rsidRPr="00F05B90">
        <w:rPr>
          <w:rFonts w:asciiTheme="majorBidi" w:hAnsiTheme="majorBidi"/>
        </w:rPr>
        <w:t>). We also control for</w:t>
      </w:r>
      <w:r w:rsidR="000A1CD8" w:rsidRPr="00F05B90">
        <w:rPr>
          <w:lang w:val="en-GB"/>
        </w:rPr>
        <w:t xml:space="preserve"> </w:t>
      </w:r>
      <w:r w:rsidR="00767A93" w:rsidRPr="00F05B90">
        <w:rPr>
          <w:lang w:val="en-GB"/>
        </w:rPr>
        <w:t>C</w:t>
      </w:r>
      <w:r w:rsidRPr="00F05B90">
        <w:rPr>
          <w:lang w:val="en-GB"/>
        </w:rPr>
        <w:t>urrent ratio (</w:t>
      </w:r>
      <w:r w:rsidRPr="00F05B90">
        <w:rPr>
          <w:i/>
          <w:iCs/>
          <w:lang w:val="en-GB"/>
        </w:rPr>
        <w:t>CurrentR</w:t>
      </w:r>
      <w:r w:rsidRPr="00F05B90">
        <w:rPr>
          <w:lang w:val="en-GB"/>
        </w:rPr>
        <w:t xml:space="preserve">), </w:t>
      </w:r>
      <w:r w:rsidR="00767A93" w:rsidRPr="00F05B90">
        <w:rPr>
          <w:shd w:val="clear" w:color="auto" w:fill="FFFFFF"/>
          <w:lang w:val="en-GB"/>
        </w:rPr>
        <w:t xml:space="preserve">Leverage </w:t>
      </w:r>
      <w:r w:rsidR="00767A93" w:rsidRPr="00F05B90">
        <w:rPr>
          <w:i/>
          <w:iCs/>
          <w:shd w:val="clear" w:color="auto" w:fill="FFFFFF"/>
          <w:lang w:val="en-GB"/>
        </w:rPr>
        <w:t>(Leverage)</w:t>
      </w:r>
      <w:r w:rsidR="00F3587E" w:rsidRPr="00F05B90">
        <w:rPr>
          <w:shd w:val="clear" w:color="auto" w:fill="FFFFFF"/>
          <w:lang w:val="en-GB"/>
        </w:rPr>
        <w:t xml:space="preserve"> </w:t>
      </w:r>
      <w:r w:rsidR="00F3587E" w:rsidRPr="00F05B90">
        <w:rPr>
          <w:lang w:val="en-GB"/>
        </w:rPr>
        <w:t>P</w:t>
      </w:r>
      <w:r w:rsidRPr="00F05B90">
        <w:rPr>
          <w:lang w:val="en-GB"/>
        </w:rPr>
        <w:t>rofitability</w:t>
      </w:r>
      <w:r w:rsidR="00F3587E" w:rsidRPr="00F05B90">
        <w:rPr>
          <w:lang w:val="en-GB"/>
        </w:rPr>
        <w:t xml:space="preserve"> </w:t>
      </w:r>
      <w:r w:rsidR="00F3587E" w:rsidRPr="00F05B90">
        <w:rPr>
          <w:i/>
          <w:iCs/>
          <w:lang w:val="en-GB"/>
        </w:rPr>
        <w:t>(ROA</w:t>
      </w:r>
      <w:r w:rsidR="006F567C" w:rsidRPr="00F05B90">
        <w:rPr>
          <w:i/>
          <w:iCs/>
          <w:lang w:val="en-GB"/>
        </w:rPr>
        <w:t xml:space="preserve"> and LOSS), </w:t>
      </w:r>
      <w:r w:rsidR="006F567C" w:rsidRPr="00F05B90">
        <w:rPr>
          <w:lang w:val="en-GB"/>
        </w:rPr>
        <w:t>and Number of employees (</w:t>
      </w:r>
      <w:r w:rsidR="006F567C" w:rsidRPr="00F05B90">
        <w:rPr>
          <w:i/>
          <w:iCs/>
          <w:lang w:val="en-GB"/>
        </w:rPr>
        <w:t>Employees</w:t>
      </w:r>
      <w:r w:rsidR="006F567C" w:rsidRPr="00F05B90">
        <w:rPr>
          <w:lang w:val="en-GB"/>
        </w:rPr>
        <w:t>). Finally</w:t>
      </w:r>
      <w:r w:rsidR="007E6BE2" w:rsidRPr="00F05B90">
        <w:rPr>
          <w:lang w:val="en-GB"/>
        </w:rPr>
        <w:t>, we</w:t>
      </w:r>
      <w:r w:rsidR="006F567C" w:rsidRPr="00F05B90">
        <w:rPr>
          <w:lang w:val="en-GB"/>
        </w:rPr>
        <w:t xml:space="preserve"> </w:t>
      </w:r>
      <w:r w:rsidR="00417614" w:rsidRPr="00F05B90">
        <w:rPr>
          <w:shd w:val="clear" w:color="auto" w:fill="FFFFFF"/>
          <w:lang w:val="en-GB"/>
        </w:rPr>
        <w:t>control for CEO characterises such as CEO tenure (</w:t>
      </w:r>
      <w:r w:rsidR="00417614" w:rsidRPr="00F05B90">
        <w:rPr>
          <w:i/>
          <w:iCs/>
        </w:rPr>
        <w:t>CEOR)</w:t>
      </w:r>
      <w:r w:rsidR="005F36B3" w:rsidRPr="00F05B90">
        <w:rPr>
          <w:i/>
          <w:iCs/>
        </w:rPr>
        <w:t xml:space="preserve">, </w:t>
      </w:r>
      <w:r w:rsidR="005F36B3" w:rsidRPr="00F05B90">
        <w:t>gender</w:t>
      </w:r>
      <w:r w:rsidR="00417614" w:rsidRPr="00F05B90">
        <w:rPr>
          <w:shd w:val="clear" w:color="auto" w:fill="FFFFFF"/>
          <w:lang w:val="en-GB"/>
        </w:rPr>
        <w:t xml:space="preserve"> </w:t>
      </w:r>
      <w:r w:rsidR="000A1CD8" w:rsidRPr="00F05B90">
        <w:rPr>
          <w:lang w:val="en-GB"/>
        </w:rPr>
        <w:t>(</w:t>
      </w:r>
      <w:r w:rsidR="000A1CD8" w:rsidRPr="00F05B90">
        <w:rPr>
          <w:rFonts w:asciiTheme="majorBidi" w:hAnsiTheme="majorBidi"/>
          <w:i/>
          <w:iCs/>
        </w:rPr>
        <w:t>CEOGender</w:t>
      </w:r>
      <w:r w:rsidR="000A1CD8" w:rsidRPr="00F05B90">
        <w:rPr>
          <w:rFonts w:asciiTheme="majorBidi" w:hAnsiTheme="majorBidi"/>
        </w:rPr>
        <w:t xml:space="preserve">), </w:t>
      </w:r>
      <w:r w:rsidR="007E6BE2" w:rsidRPr="00F05B90">
        <w:rPr>
          <w:rFonts w:asciiTheme="majorBidi" w:hAnsiTheme="majorBidi"/>
        </w:rPr>
        <w:t>CEO Near-Retirement (</w:t>
      </w:r>
      <w:r w:rsidR="007E6BE2" w:rsidRPr="00F05B90">
        <w:rPr>
          <w:rFonts w:asciiTheme="majorBidi" w:hAnsiTheme="majorBidi"/>
          <w:i/>
          <w:iCs/>
        </w:rPr>
        <w:t>Retire</w:t>
      </w:r>
      <w:r w:rsidR="007E6BE2" w:rsidRPr="00F05B90">
        <w:rPr>
          <w:rFonts w:asciiTheme="majorBidi" w:hAnsiTheme="majorBidi"/>
        </w:rPr>
        <w:t xml:space="preserve">) and </w:t>
      </w:r>
      <w:r w:rsidR="000A1CD8" w:rsidRPr="00F05B90">
        <w:rPr>
          <w:rFonts w:asciiTheme="majorBidi" w:hAnsiTheme="majorBidi"/>
        </w:rPr>
        <w:t>insider CEO (</w:t>
      </w:r>
      <w:r w:rsidR="000A1CD8" w:rsidRPr="00F05B90">
        <w:rPr>
          <w:rFonts w:asciiTheme="majorBidi" w:hAnsiTheme="majorBidi"/>
          <w:i/>
          <w:iCs/>
        </w:rPr>
        <w:t>Insider</w:t>
      </w:r>
      <w:r w:rsidR="000A1CD8" w:rsidRPr="00F05B90">
        <w:rPr>
          <w:rFonts w:asciiTheme="majorBidi" w:hAnsiTheme="majorBidi"/>
        </w:rPr>
        <w:t>)</w:t>
      </w:r>
      <w:r w:rsidR="00406FC6" w:rsidRPr="00F05B90">
        <w:rPr>
          <w:rFonts w:asciiTheme="majorBidi" w:hAnsiTheme="majorBidi"/>
        </w:rPr>
        <w:t>.</w:t>
      </w:r>
      <w:r w:rsidR="006F567C" w:rsidRPr="00F05B90">
        <w:rPr>
          <w:lang w:val="en-GB"/>
        </w:rPr>
        <w:t xml:space="preserve"> Variable definitions are provided in Appendix 1.</w:t>
      </w:r>
      <w:r w:rsidRPr="00F05B90">
        <w:rPr>
          <w:lang w:val="en-GB"/>
        </w:rPr>
        <w:t xml:space="preserve"> </w:t>
      </w:r>
    </w:p>
    <w:p w14:paraId="470B0528" w14:textId="4B840722" w:rsidR="00C25A1B" w:rsidRPr="00F05B90" w:rsidRDefault="00F80955" w:rsidP="009B005D">
      <w:pPr>
        <w:spacing w:after="240" w:line="360" w:lineRule="auto"/>
        <w:jc w:val="both"/>
        <w:rPr>
          <w:lang w:val="en-GB"/>
        </w:rPr>
      </w:pPr>
      <w:r w:rsidRPr="00F05B90">
        <w:rPr>
          <w:lang w:val="en-GB"/>
        </w:rPr>
        <w:lastRenderedPageBreak/>
        <w:t xml:space="preserve">To </w:t>
      </w:r>
      <w:r w:rsidR="00AF25A8" w:rsidRPr="00F05B90">
        <w:rPr>
          <w:lang w:val="en-GB"/>
        </w:rPr>
        <w:t xml:space="preserve">examine whether the relationship between industry tournament incentives and auditor </w:t>
      </w:r>
      <w:r w:rsidR="00B3493A" w:rsidRPr="00F05B90">
        <w:rPr>
          <w:lang w:val="en-GB"/>
        </w:rPr>
        <w:t xml:space="preserve">judgment </w:t>
      </w:r>
      <w:r w:rsidR="00AF25A8" w:rsidRPr="00F05B90">
        <w:rPr>
          <w:lang w:val="en-GB"/>
        </w:rPr>
        <w:t xml:space="preserve">is </w:t>
      </w:r>
      <w:r w:rsidRPr="00F05B90">
        <w:rPr>
          <w:lang w:val="en-GB"/>
        </w:rPr>
        <w:t>influence</w:t>
      </w:r>
      <w:r w:rsidR="00AF25A8" w:rsidRPr="00F05B90">
        <w:rPr>
          <w:lang w:val="en-GB"/>
        </w:rPr>
        <w:t>d by</w:t>
      </w:r>
      <w:r w:rsidRPr="00F05B90">
        <w:rPr>
          <w:lang w:val="en-GB"/>
        </w:rPr>
        <w:t xml:space="preserve"> a CEO</w:t>
      </w:r>
      <w:r w:rsidR="00C035B8" w:rsidRPr="00F05B90">
        <w:rPr>
          <w:lang w:val="en-GB"/>
        </w:rPr>
        <w:t>’</w:t>
      </w:r>
      <w:r w:rsidRPr="00F05B90">
        <w:rPr>
          <w:lang w:val="en-GB"/>
        </w:rPr>
        <w:t xml:space="preserve">s financial </w:t>
      </w:r>
      <w:r w:rsidR="00AF25A8" w:rsidRPr="00F05B90">
        <w:rPr>
          <w:lang w:val="en-GB"/>
        </w:rPr>
        <w:t>background</w:t>
      </w:r>
      <w:r w:rsidRPr="00F05B90">
        <w:rPr>
          <w:lang w:val="en-GB"/>
        </w:rPr>
        <w:t xml:space="preserve"> (</w:t>
      </w:r>
      <w:r w:rsidR="00770F35" w:rsidRPr="00F05B90">
        <w:rPr>
          <w:lang w:val="en-GB"/>
        </w:rPr>
        <w:t>H</w:t>
      </w:r>
      <w:r w:rsidRPr="00F05B90">
        <w:rPr>
          <w:lang w:val="en-GB"/>
        </w:rPr>
        <w:t>ypothes</w:t>
      </w:r>
      <w:r w:rsidR="00C035B8" w:rsidRPr="00F05B90">
        <w:rPr>
          <w:lang w:val="en-GB"/>
        </w:rPr>
        <w:t>e</w:t>
      </w:r>
      <w:r w:rsidRPr="00F05B90">
        <w:rPr>
          <w:lang w:val="en-GB"/>
        </w:rPr>
        <w:t xml:space="preserve">s 2a &amp; 2b), </w:t>
      </w:r>
      <w:r w:rsidR="00AF25A8" w:rsidRPr="00F05B90">
        <w:rPr>
          <w:lang w:val="en-GB"/>
        </w:rPr>
        <w:t xml:space="preserve">we introduce interaction terms </w:t>
      </w:r>
      <w:r w:rsidRPr="00F05B90">
        <w:rPr>
          <w:lang w:val="en-GB"/>
        </w:rPr>
        <w:t>us</w:t>
      </w:r>
      <w:r w:rsidR="00AF25A8" w:rsidRPr="00F05B90">
        <w:rPr>
          <w:lang w:val="en-GB"/>
        </w:rPr>
        <w:t xml:space="preserve">ing </w:t>
      </w:r>
      <w:r w:rsidRPr="00F05B90">
        <w:rPr>
          <w:lang w:val="en-GB"/>
        </w:rPr>
        <w:t xml:space="preserve">three proxies for financial </w:t>
      </w:r>
      <w:r w:rsidR="00AF25A8" w:rsidRPr="00F05B90">
        <w:rPr>
          <w:lang w:val="en-GB"/>
        </w:rPr>
        <w:t xml:space="preserve">expertise, </w:t>
      </w:r>
      <w:r w:rsidR="00AF25A8" w:rsidRPr="00F05B90">
        <w:rPr>
          <w:shd w:val="clear" w:color="auto" w:fill="FFFFFF"/>
          <w:lang w:val="en-GB"/>
        </w:rPr>
        <w:t>following Badolato</w:t>
      </w:r>
      <w:r w:rsidR="00AF25A8" w:rsidRPr="00F05B90">
        <w:rPr>
          <w:rStyle w:val="CommentReference"/>
          <w:lang w:val="en-GB"/>
        </w:rPr>
        <w:t xml:space="preserve"> </w:t>
      </w:r>
      <w:r w:rsidR="00AF25A8" w:rsidRPr="00F05B90">
        <w:rPr>
          <w:shd w:val="clear" w:color="auto" w:fill="FFFFFF"/>
          <w:lang w:val="en-GB"/>
        </w:rPr>
        <w:t>et al. (2014)</w:t>
      </w:r>
      <w:r w:rsidR="00A71FB9" w:rsidRPr="00F05B90">
        <w:rPr>
          <w:shd w:val="clear" w:color="auto" w:fill="FFFFFF"/>
          <w:lang w:val="en-GB"/>
        </w:rPr>
        <w:t xml:space="preserve">. </w:t>
      </w:r>
      <w:r w:rsidRPr="00F05B90">
        <w:rPr>
          <w:lang w:val="en-GB"/>
        </w:rPr>
        <w:t xml:space="preserve">Our first </w:t>
      </w:r>
      <w:r w:rsidR="00A71FB9" w:rsidRPr="00F05B90">
        <w:rPr>
          <w:lang w:val="en-GB"/>
        </w:rPr>
        <w:t xml:space="preserve">proxy </w:t>
      </w:r>
      <w:r w:rsidRPr="00F05B90">
        <w:rPr>
          <w:lang w:val="en-GB"/>
        </w:rPr>
        <w:t xml:space="preserve">is the </w:t>
      </w:r>
      <w:r w:rsidR="00A71FB9" w:rsidRPr="00F05B90">
        <w:rPr>
          <w:lang w:val="en-GB"/>
        </w:rPr>
        <w:t xml:space="preserve">CEO’s </w:t>
      </w:r>
      <w:r w:rsidRPr="00F05B90">
        <w:rPr>
          <w:lang w:val="en-GB"/>
        </w:rPr>
        <w:t>financial experience (</w:t>
      </w:r>
      <w:r w:rsidRPr="00F05B90">
        <w:rPr>
          <w:i/>
          <w:iCs/>
          <w:shd w:val="clear" w:color="auto" w:fill="FFFFFF"/>
          <w:lang w:val="en-GB"/>
        </w:rPr>
        <w:t>FinExp).</w:t>
      </w:r>
      <w:r w:rsidRPr="00F05B90">
        <w:rPr>
          <w:shd w:val="clear" w:color="auto" w:fill="FFFFFF"/>
          <w:lang w:val="en-GB"/>
        </w:rPr>
        <w:t xml:space="preserve"> We set </w:t>
      </w:r>
      <w:r w:rsidRPr="00F05B90">
        <w:rPr>
          <w:i/>
          <w:iCs/>
          <w:shd w:val="clear" w:color="auto" w:fill="FFFFFF"/>
          <w:lang w:val="en-GB"/>
        </w:rPr>
        <w:t>FinExp</w:t>
      </w:r>
      <w:r w:rsidRPr="00F05B90">
        <w:rPr>
          <w:lang w:val="en-GB"/>
        </w:rPr>
        <w:t xml:space="preserve"> </w:t>
      </w:r>
      <w:r w:rsidR="00A71FB9" w:rsidRPr="00F05B90">
        <w:rPr>
          <w:lang w:val="en-GB"/>
        </w:rPr>
        <w:t xml:space="preserve">equals </w:t>
      </w:r>
      <w:r w:rsidRPr="00F05B90">
        <w:rPr>
          <w:lang w:val="en-GB"/>
        </w:rPr>
        <w:t xml:space="preserve">to </w:t>
      </w:r>
      <w:r w:rsidR="00264151" w:rsidRPr="00F05B90">
        <w:rPr>
          <w:lang w:val="en-GB"/>
        </w:rPr>
        <w:t>1</w:t>
      </w:r>
      <w:r w:rsidR="00C035B8" w:rsidRPr="00F05B90">
        <w:rPr>
          <w:lang w:val="en-GB"/>
        </w:rPr>
        <w:t xml:space="preserve"> if</w:t>
      </w:r>
      <w:r w:rsidRPr="00F05B90">
        <w:rPr>
          <w:lang w:val="en-GB"/>
        </w:rPr>
        <w:t xml:space="preserve"> the CEO has </w:t>
      </w:r>
      <w:r w:rsidR="00A71FB9" w:rsidRPr="00F05B90">
        <w:rPr>
          <w:lang w:val="en-GB"/>
        </w:rPr>
        <w:t xml:space="preserve">prior </w:t>
      </w:r>
      <w:r w:rsidRPr="00F05B90">
        <w:rPr>
          <w:lang w:val="en-GB"/>
        </w:rPr>
        <w:t>experience in a financial</w:t>
      </w:r>
      <w:r w:rsidR="00A71FB9" w:rsidRPr="00F05B90">
        <w:rPr>
          <w:lang w:val="en-GB"/>
        </w:rPr>
        <w:t xml:space="preserve"> role (e.g., </w:t>
      </w:r>
      <w:r w:rsidR="00C035B8" w:rsidRPr="00F05B90">
        <w:rPr>
          <w:lang w:val="en-GB"/>
        </w:rPr>
        <w:t>banker, analyst, loan officer, investment/asset/fund manager, treasurer, finance director, or vice president of finance</w:t>
      </w:r>
      <w:r w:rsidR="00A71FB9" w:rsidRPr="00F05B90">
        <w:rPr>
          <w:lang w:val="en-GB"/>
        </w:rPr>
        <w:t>)</w:t>
      </w:r>
      <w:r w:rsidRPr="00F05B90">
        <w:rPr>
          <w:lang w:val="en-GB"/>
        </w:rPr>
        <w:t xml:space="preserve">, </w:t>
      </w:r>
      <w:r w:rsidR="00C035B8" w:rsidRPr="00F05B90">
        <w:rPr>
          <w:lang w:val="en-GB"/>
        </w:rPr>
        <w:t xml:space="preserve">and </w:t>
      </w:r>
      <w:r w:rsidR="00264151" w:rsidRPr="00F05B90">
        <w:rPr>
          <w:lang w:val="en-GB"/>
        </w:rPr>
        <w:t xml:space="preserve">0 </w:t>
      </w:r>
      <w:r w:rsidRPr="00F05B90">
        <w:rPr>
          <w:lang w:val="en-GB"/>
        </w:rPr>
        <w:t xml:space="preserve">otherwise. Our second proxy is the </w:t>
      </w:r>
      <w:r w:rsidR="00A71FB9" w:rsidRPr="00F05B90">
        <w:rPr>
          <w:lang w:val="en-GB"/>
        </w:rPr>
        <w:t xml:space="preserve">CEO’s </w:t>
      </w:r>
      <w:r w:rsidRPr="00F05B90">
        <w:rPr>
          <w:lang w:val="en-GB"/>
        </w:rPr>
        <w:t>accounting experience (</w:t>
      </w:r>
      <w:r w:rsidRPr="00F05B90">
        <w:rPr>
          <w:i/>
          <w:iCs/>
          <w:shd w:val="clear" w:color="auto" w:fill="FFFFFF"/>
          <w:lang w:val="en-GB"/>
        </w:rPr>
        <w:t xml:space="preserve">AccExp). </w:t>
      </w:r>
      <w:r w:rsidRPr="00F05B90">
        <w:rPr>
          <w:shd w:val="clear" w:color="auto" w:fill="FFFFFF"/>
          <w:lang w:val="en-GB"/>
        </w:rPr>
        <w:t xml:space="preserve">We set </w:t>
      </w:r>
      <w:r w:rsidRPr="00F05B90">
        <w:rPr>
          <w:i/>
          <w:iCs/>
          <w:shd w:val="clear" w:color="auto" w:fill="FFFFFF"/>
          <w:lang w:val="en-GB"/>
        </w:rPr>
        <w:t>AccExp</w:t>
      </w:r>
      <w:r w:rsidRPr="00F05B90">
        <w:rPr>
          <w:lang w:val="en-GB"/>
        </w:rPr>
        <w:t xml:space="preserve"> </w:t>
      </w:r>
      <w:r w:rsidR="00A71FB9" w:rsidRPr="00F05B90">
        <w:rPr>
          <w:lang w:val="en-GB"/>
        </w:rPr>
        <w:t xml:space="preserve">equals </w:t>
      </w:r>
      <w:r w:rsidRPr="00F05B90">
        <w:rPr>
          <w:lang w:val="en-GB"/>
        </w:rPr>
        <w:t xml:space="preserve">to </w:t>
      </w:r>
      <w:r w:rsidR="00264151" w:rsidRPr="00F05B90">
        <w:rPr>
          <w:lang w:val="en-GB"/>
        </w:rPr>
        <w:t xml:space="preserve">1 </w:t>
      </w:r>
      <w:r w:rsidRPr="00F05B90">
        <w:rPr>
          <w:lang w:val="en-GB"/>
        </w:rPr>
        <w:t>if the CEO has work experience as a public auditor</w:t>
      </w:r>
      <w:r w:rsidR="00A04462" w:rsidRPr="00F05B90">
        <w:rPr>
          <w:lang w:val="en-GB"/>
        </w:rPr>
        <w:t xml:space="preserve">, certified public accountant, or chartered accountant, or in an accountancy-specific position, such as (chief) financial officer, treasurer, controller, head of accounting, chief accountant, or accounting officer, and </w:t>
      </w:r>
      <w:r w:rsidR="00264151" w:rsidRPr="00F05B90">
        <w:rPr>
          <w:lang w:val="en-GB"/>
        </w:rPr>
        <w:t xml:space="preserve">0 </w:t>
      </w:r>
      <w:r w:rsidRPr="00F05B90">
        <w:rPr>
          <w:lang w:val="en-GB"/>
        </w:rPr>
        <w:t xml:space="preserve">otherwise. Our third proxy is </w:t>
      </w:r>
      <w:r w:rsidR="00A0435D" w:rsidRPr="00F05B90">
        <w:rPr>
          <w:lang w:val="en-GB"/>
        </w:rPr>
        <w:t xml:space="preserve">CEO’s </w:t>
      </w:r>
      <w:r w:rsidRPr="00F05B90">
        <w:rPr>
          <w:lang w:val="en-GB"/>
        </w:rPr>
        <w:t>overall financial experience (</w:t>
      </w:r>
      <w:r w:rsidRPr="00F05B90">
        <w:rPr>
          <w:i/>
          <w:iCs/>
          <w:shd w:val="clear" w:color="auto" w:fill="FFFFFF"/>
          <w:lang w:val="en-GB"/>
        </w:rPr>
        <w:t>Fin-AccExp</w:t>
      </w:r>
      <w:r w:rsidRPr="00F05B90">
        <w:rPr>
          <w:lang w:val="en-GB"/>
        </w:rPr>
        <w:t xml:space="preserve">). We set </w:t>
      </w:r>
      <w:r w:rsidRPr="00F05B90">
        <w:rPr>
          <w:i/>
          <w:iCs/>
          <w:shd w:val="clear" w:color="auto" w:fill="FFFFFF"/>
          <w:lang w:val="en-GB"/>
        </w:rPr>
        <w:t xml:space="preserve">Fin-AccExp </w:t>
      </w:r>
      <w:r w:rsidR="00A0435D" w:rsidRPr="00F05B90">
        <w:rPr>
          <w:shd w:val="clear" w:color="auto" w:fill="FFFFFF"/>
          <w:lang w:val="en-GB"/>
        </w:rPr>
        <w:t xml:space="preserve">equal </w:t>
      </w:r>
      <w:r w:rsidRPr="00F05B90">
        <w:rPr>
          <w:lang w:val="en-GB"/>
        </w:rPr>
        <w:t xml:space="preserve">to </w:t>
      </w:r>
      <w:r w:rsidR="00264151" w:rsidRPr="00F05B90">
        <w:rPr>
          <w:lang w:val="en-GB"/>
        </w:rPr>
        <w:t xml:space="preserve">1 </w:t>
      </w:r>
      <w:r w:rsidRPr="00F05B90">
        <w:rPr>
          <w:lang w:val="en-GB"/>
        </w:rPr>
        <w:t xml:space="preserve">if the CEO has prior experience in at least one of the </w:t>
      </w:r>
      <w:r w:rsidR="00A0435D" w:rsidRPr="00F05B90">
        <w:rPr>
          <w:lang w:val="en-GB"/>
        </w:rPr>
        <w:t xml:space="preserve">above </w:t>
      </w:r>
      <w:r w:rsidRPr="00F05B90">
        <w:rPr>
          <w:lang w:val="en-GB"/>
        </w:rPr>
        <w:t xml:space="preserve">accounting or finance </w:t>
      </w:r>
      <w:r w:rsidR="00A04462" w:rsidRPr="00F05B90">
        <w:rPr>
          <w:lang w:val="en-GB"/>
        </w:rPr>
        <w:t>role</w:t>
      </w:r>
      <w:r w:rsidR="006A20BC" w:rsidRPr="00F05B90">
        <w:rPr>
          <w:lang w:val="en-GB"/>
        </w:rPr>
        <w:t>.</w:t>
      </w:r>
    </w:p>
    <w:p w14:paraId="33F58439" w14:textId="00575827" w:rsidR="00F80955" w:rsidRPr="00F05B90" w:rsidRDefault="00F80955" w:rsidP="00CB0980">
      <w:pPr>
        <w:spacing w:before="240" w:after="240" w:line="360" w:lineRule="auto"/>
        <w:jc w:val="both"/>
        <w:rPr>
          <w:lang w:val="en-GB"/>
        </w:rPr>
      </w:pPr>
      <w:r w:rsidRPr="00F05B90">
        <w:rPr>
          <w:lang w:val="en-GB"/>
        </w:rPr>
        <w:t xml:space="preserve">To </w:t>
      </w:r>
      <w:r w:rsidRPr="00F05B90">
        <w:rPr>
          <w:shd w:val="clear" w:color="auto" w:fill="FFFFFF"/>
          <w:lang w:val="en-GB"/>
        </w:rPr>
        <w:t xml:space="preserve">test </w:t>
      </w:r>
      <w:r w:rsidR="00C25A1B" w:rsidRPr="00F05B90">
        <w:rPr>
          <w:shd w:val="clear" w:color="auto" w:fill="FFFFFF"/>
          <w:lang w:val="en-GB"/>
        </w:rPr>
        <w:t>these interactions</w:t>
      </w:r>
      <w:r w:rsidRPr="00F05B90">
        <w:rPr>
          <w:lang w:val="en-GB"/>
        </w:rPr>
        <w:t xml:space="preserve">, we </w:t>
      </w:r>
      <w:r w:rsidR="00C25A1B" w:rsidRPr="00F05B90">
        <w:rPr>
          <w:lang w:val="en-GB"/>
        </w:rPr>
        <w:t xml:space="preserve">estimate </w:t>
      </w:r>
      <w:r w:rsidRPr="00F05B90">
        <w:rPr>
          <w:lang w:val="en-GB"/>
        </w:rPr>
        <w:t xml:space="preserve">the </w:t>
      </w:r>
      <w:r w:rsidRPr="00F05B90">
        <w:rPr>
          <w:shd w:val="clear" w:color="auto" w:fill="FFFFFF"/>
          <w:lang w:val="en-GB"/>
        </w:rPr>
        <w:t>following model</w:t>
      </w:r>
      <w:r w:rsidR="00C25A1B" w:rsidRPr="00F05B90">
        <w:rPr>
          <w:shd w:val="clear" w:color="auto" w:fill="FFFFFF"/>
          <w:lang w:val="en-GB"/>
        </w:rPr>
        <w:t>s</w:t>
      </w:r>
      <w:r w:rsidRPr="00F05B90">
        <w:rPr>
          <w:shd w:val="clear" w:color="auto" w:fill="FFFFFF"/>
          <w:lang w:val="en-GB"/>
        </w:rPr>
        <w:t>:</w:t>
      </w:r>
    </w:p>
    <w:p w14:paraId="6CDE3EC5" w14:textId="2DD51DA3" w:rsidR="00F80955" w:rsidRPr="00F05B90" w:rsidRDefault="00C25A1B" w:rsidP="009B005D">
      <w:pPr>
        <w:spacing w:before="240" w:after="240" w:line="360" w:lineRule="auto"/>
        <w:jc w:val="both"/>
        <w:rPr>
          <w:shd w:val="clear" w:color="auto" w:fill="FFFFFF"/>
          <w:lang w:val="en-GB"/>
        </w:rPr>
      </w:pPr>
      <w:r w:rsidRPr="00F05B90">
        <w:rPr>
          <w:i/>
          <w:iCs/>
          <w:shd w:val="clear" w:color="auto" w:fill="FFFFFF"/>
          <w:lang w:val="en-GB"/>
        </w:rPr>
        <w:t>Auditor_</w:t>
      </w:r>
      <w:r w:rsidR="00675B32" w:rsidRPr="00F05B90">
        <w:rPr>
          <w:i/>
          <w:iCs/>
          <w:shd w:val="clear" w:color="auto" w:fill="FFFFFF"/>
          <w:lang w:val="en-GB"/>
        </w:rPr>
        <w:t xml:space="preserve"> judgment </w:t>
      </w:r>
      <w:r w:rsidR="00F80955" w:rsidRPr="00F05B90">
        <w:rPr>
          <w:i/>
          <w:iCs/>
          <w:shd w:val="clear" w:color="auto" w:fill="FFFFFF"/>
          <w:lang w:val="en-GB"/>
        </w:rPr>
        <w:t xml:space="preserve">= β0 + β1 </w:t>
      </w:r>
      <w:r w:rsidR="00F80955" w:rsidRPr="00F05B90">
        <w:rPr>
          <w:i/>
          <w:iCs/>
          <w:lang w:val="en-GB"/>
        </w:rPr>
        <w:t>Indgap</w:t>
      </w:r>
      <w:r w:rsidR="00F80955" w:rsidRPr="00F05B90">
        <w:rPr>
          <w:i/>
          <w:iCs/>
          <w:shd w:val="clear" w:color="auto" w:fill="FFFFFF"/>
          <w:lang w:val="en-GB"/>
        </w:rPr>
        <w:t xml:space="preserve"> + β2</w:t>
      </w:r>
      <w:r w:rsidR="009B005D" w:rsidRPr="00F05B90">
        <w:rPr>
          <w:i/>
          <w:iCs/>
          <w:shd w:val="clear" w:color="auto" w:fill="FFFFFF"/>
          <w:lang w:val="en-GB"/>
        </w:rPr>
        <w:t xml:space="preserve"> FinExp</w:t>
      </w:r>
      <w:r w:rsidR="00F80955" w:rsidRPr="00F05B90">
        <w:rPr>
          <w:i/>
          <w:iCs/>
          <w:shd w:val="clear" w:color="auto" w:fill="FFFFFF"/>
          <w:lang w:val="en-GB"/>
        </w:rPr>
        <w:t xml:space="preserve"> + β3 </w:t>
      </w:r>
      <w:r w:rsidR="009B005D" w:rsidRPr="00F05B90">
        <w:rPr>
          <w:i/>
          <w:iCs/>
          <w:lang w:val="en-GB"/>
        </w:rPr>
        <w:t>Indgap</w:t>
      </w:r>
      <w:r w:rsidR="009B005D" w:rsidRPr="00F05B90">
        <w:rPr>
          <w:i/>
          <w:iCs/>
          <w:shd w:val="clear" w:color="auto" w:fill="FFFFFF"/>
          <w:lang w:val="en-GB"/>
        </w:rPr>
        <w:t xml:space="preserve"> * FinExp</w:t>
      </w:r>
      <w:r w:rsidR="00F80955" w:rsidRPr="00F05B90">
        <w:rPr>
          <w:i/>
          <w:iCs/>
          <w:shd w:val="clear" w:color="auto" w:fill="FFFFFF"/>
          <w:lang w:val="en-GB"/>
        </w:rPr>
        <w:t xml:space="preserve"> + β</w:t>
      </w:r>
      <w:r w:rsidR="001562B1" w:rsidRPr="00F05B90">
        <w:rPr>
          <w:i/>
          <w:iCs/>
          <w:shd w:val="clear" w:color="auto" w:fill="FFFFFF"/>
          <w:lang w:val="en-GB"/>
        </w:rPr>
        <w:t xml:space="preserve">n CONTROLS </w:t>
      </w:r>
      <w:r w:rsidR="00F80955" w:rsidRPr="00F05B90">
        <w:rPr>
          <w:shd w:val="clear" w:color="auto" w:fill="FFFFFF"/>
          <w:lang w:val="en-GB"/>
        </w:rPr>
        <w:t>+</w:t>
      </w:r>
      <w:r w:rsidR="001562B1" w:rsidRPr="00F05B90">
        <w:rPr>
          <w:shd w:val="clear" w:color="auto" w:fill="FFFFFF"/>
          <w:lang w:val="en-GB"/>
        </w:rPr>
        <w:t xml:space="preserve"> </w:t>
      </w:r>
      <w:r w:rsidR="00F80955" w:rsidRPr="00F05B90">
        <w:rPr>
          <w:shd w:val="clear" w:color="auto" w:fill="FFFFFF"/>
          <w:lang w:val="en-GB"/>
        </w:rPr>
        <w:t xml:space="preserve">ε                                                                                        </w:t>
      </w:r>
      <w:r w:rsidR="001562B1" w:rsidRPr="00F05B90">
        <w:rPr>
          <w:shd w:val="clear" w:color="auto" w:fill="FFFFFF"/>
          <w:lang w:val="en-GB"/>
        </w:rPr>
        <w:t xml:space="preserve">                      </w:t>
      </w:r>
      <w:r w:rsidR="009B005D" w:rsidRPr="00F05B90">
        <w:rPr>
          <w:shd w:val="clear" w:color="auto" w:fill="FFFFFF"/>
          <w:lang w:val="en-GB"/>
        </w:rPr>
        <w:t xml:space="preserve">    </w:t>
      </w:r>
      <w:r w:rsidR="001562B1" w:rsidRPr="00F05B90">
        <w:rPr>
          <w:shd w:val="clear" w:color="auto" w:fill="FFFFFF"/>
          <w:lang w:val="en-GB"/>
        </w:rPr>
        <w:t xml:space="preserve"> </w:t>
      </w:r>
      <w:r w:rsidR="00F80955" w:rsidRPr="00F05B90">
        <w:rPr>
          <w:shd w:val="clear" w:color="auto" w:fill="FFFFFF"/>
          <w:lang w:val="en-GB"/>
        </w:rPr>
        <w:t xml:space="preserve"> </w:t>
      </w:r>
      <w:r w:rsidR="0077120A" w:rsidRPr="00F05B90">
        <w:rPr>
          <w:shd w:val="clear" w:color="auto" w:fill="FFFFFF"/>
          <w:lang w:val="en-GB"/>
        </w:rPr>
        <w:t xml:space="preserve"> </w:t>
      </w:r>
      <w:r w:rsidR="00F80955" w:rsidRPr="00F05B90">
        <w:rPr>
          <w:b/>
          <w:bCs/>
          <w:shd w:val="clear" w:color="auto" w:fill="FFFFFF"/>
          <w:lang w:val="en-GB"/>
        </w:rPr>
        <w:t>(2:1)</w:t>
      </w:r>
    </w:p>
    <w:p w14:paraId="251AF105" w14:textId="37C63CDF" w:rsidR="00F80955" w:rsidRPr="00F05B90" w:rsidRDefault="00C25A1B" w:rsidP="009B005D">
      <w:pPr>
        <w:spacing w:before="240" w:after="240" w:line="360" w:lineRule="auto"/>
        <w:jc w:val="both"/>
        <w:rPr>
          <w:shd w:val="clear" w:color="auto" w:fill="FFFFFF"/>
          <w:lang w:val="en-GB"/>
        </w:rPr>
      </w:pPr>
      <w:r w:rsidRPr="00F05B90">
        <w:rPr>
          <w:i/>
          <w:iCs/>
          <w:shd w:val="clear" w:color="auto" w:fill="FFFFFF"/>
          <w:lang w:val="en-GB"/>
        </w:rPr>
        <w:t>Auditor_</w:t>
      </w:r>
      <w:r w:rsidR="00675B32" w:rsidRPr="00F05B90">
        <w:rPr>
          <w:i/>
          <w:iCs/>
          <w:shd w:val="clear" w:color="auto" w:fill="FFFFFF"/>
          <w:lang w:val="en-GB"/>
        </w:rPr>
        <w:t xml:space="preserve"> judgment </w:t>
      </w:r>
      <w:r w:rsidR="00F80955" w:rsidRPr="00F05B90">
        <w:rPr>
          <w:i/>
          <w:iCs/>
          <w:shd w:val="clear" w:color="auto" w:fill="FFFFFF"/>
          <w:lang w:val="en-GB"/>
        </w:rPr>
        <w:t xml:space="preserve">= β0 + β1 </w:t>
      </w:r>
      <w:r w:rsidR="00F80955" w:rsidRPr="00F05B90">
        <w:rPr>
          <w:i/>
          <w:iCs/>
          <w:lang w:val="en-GB"/>
        </w:rPr>
        <w:t>Indgap</w:t>
      </w:r>
      <w:r w:rsidR="00F80955" w:rsidRPr="00F05B90">
        <w:rPr>
          <w:i/>
          <w:iCs/>
          <w:shd w:val="clear" w:color="auto" w:fill="FFFFFF"/>
          <w:lang w:val="en-GB"/>
        </w:rPr>
        <w:t xml:space="preserve"> + β2</w:t>
      </w:r>
      <w:r w:rsidR="009B005D" w:rsidRPr="00F05B90">
        <w:rPr>
          <w:i/>
          <w:iCs/>
          <w:shd w:val="clear" w:color="auto" w:fill="FFFFFF"/>
          <w:lang w:val="en-GB"/>
        </w:rPr>
        <w:t xml:space="preserve"> AccExp</w:t>
      </w:r>
      <w:r w:rsidR="00F80955" w:rsidRPr="00F05B90">
        <w:rPr>
          <w:i/>
          <w:iCs/>
          <w:shd w:val="clear" w:color="auto" w:fill="FFFFFF"/>
          <w:lang w:val="en-GB"/>
        </w:rPr>
        <w:t xml:space="preserve"> + β3</w:t>
      </w:r>
      <w:r w:rsidR="009B005D" w:rsidRPr="00F05B90">
        <w:rPr>
          <w:i/>
          <w:iCs/>
          <w:shd w:val="clear" w:color="auto" w:fill="FFFFFF"/>
          <w:lang w:val="en-GB"/>
        </w:rPr>
        <w:t xml:space="preserve"> </w:t>
      </w:r>
      <w:r w:rsidR="009B005D" w:rsidRPr="00F05B90">
        <w:rPr>
          <w:i/>
          <w:iCs/>
          <w:lang w:val="en-GB"/>
        </w:rPr>
        <w:t>Indgap</w:t>
      </w:r>
      <w:r w:rsidR="009B005D" w:rsidRPr="00F05B90">
        <w:rPr>
          <w:i/>
          <w:iCs/>
          <w:shd w:val="clear" w:color="auto" w:fill="FFFFFF"/>
          <w:lang w:val="en-GB"/>
        </w:rPr>
        <w:t xml:space="preserve"> * AccExp</w:t>
      </w:r>
      <w:r w:rsidR="00F80955" w:rsidRPr="00F05B90">
        <w:rPr>
          <w:i/>
          <w:iCs/>
          <w:shd w:val="clear" w:color="auto" w:fill="FFFFFF"/>
          <w:lang w:val="en-GB"/>
        </w:rPr>
        <w:t xml:space="preserve"> + β</w:t>
      </w:r>
      <w:r w:rsidR="001562B1" w:rsidRPr="00F05B90">
        <w:rPr>
          <w:i/>
          <w:iCs/>
          <w:shd w:val="clear" w:color="auto" w:fill="FFFFFF"/>
          <w:lang w:val="en-GB"/>
        </w:rPr>
        <w:t>n</w:t>
      </w:r>
      <w:r w:rsidR="00F80955" w:rsidRPr="00F05B90">
        <w:rPr>
          <w:i/>
          <w:iCs/>
          <w:shd w:val="clear" w:color="auto" w:fill="FFFFFF"/>
          <w:lang w:val="en-GB"/>
        </w:rPr>
        <w:t xml:space="preserve"> CONTROLS </w:t>
      </w:r>
      <w:r w:rsidR="00F80955" w:rsidRPr="00F05B90">
        <w:rPr>
          <w:shd w:val="clear" w:color="auto" w:fill="FFFFFF"/>
          <w:lang w:val="en-GB"/>
        </w:rPr>
        <w:t>+</w:t>
      </w:r>
      <w:r w:rsidR="001562B1" w:rsidRPr="00F05B90">
        <w:rPr>
          <w:shd w:val="clear" w:color="auto" w:fill="FFFFFF"/>
          <w:lang w:val="en-GB"/>
        </w:rPr>
        <w:t xml:space="preserve"> </w:t>
      </w:r>
      <w:r w:rsidR="00F80955" w:rsidRPr="00F05B90">
        <w:rPr>
          <w:shd w:val="clear" w:color="auto" w:fill="FFFFFF"/>
          <w:lang w:val="en-GB"/>
        </w:rPr>
        <w:t xml:space="preserve">ε                                                                                   </w:t>
      </w:r>
      <w:r w:rsidR="001562B1" w:rsidRPr="00F05B90">
        <w:rPr>
          <w:shd w:val="clear" w:color="auto" w:fill="FFFFFF"/>
          <w:lang w:val="en-GB"/>
        </w:rPr>
        <w:t xml:space="preserve">                       </w:t>
      </w:r>
      <w:r w:rsidR="00F80955" w:rsidRPr="00F05B90">
        <w:rPr>
          <w:shd w:val="clear" w:color="auto" w:fill="FFFFFF"/>
          <w:lang w:val="en-GB"/>
        </w:rPr>
        <w:t xml:space="preserve">  </w:t>
      </w:r>
      <w:r w:rsidR="009B005D" w:rsidRPr="00F05B90">
        <w:rPr>
          <w:shd w:val="clear" w:color="auto" w:fill="FFFFFF"/>
          <w:lang w:val="en-GB"/>
        </w:rPr>
        <w:t xml:space="preserve">     </w:t>
      </w:r>
      <w:r w:rsidR="00F80955" w:rsidRPr="00F05B90">
        <w:rPr>
          <w:shd w:val="clear" w:color="auto" w:fill="FFFFFF"/>
          <w:lang w:val="en-GB"/>
        </w:rPr>
        <w:t xml:space="preserve">    </w:t>
      </w:r>
      <w:r w:rsidR="0077120A" w:rsidRPr="00F05B90">
        <w:rPr>
          <w:shd w:val="clear" w:color="auto" w:fill="FFFFFF"/>
          <w:lang w:val="en-GB"/>
        </w:rPr>
        <w:t xml:space="preserve"> </w:t>
      </w:r>
      <w:r w:rsidR="00F80955" w:rsidRPr="00F05B90">
        <w:rPr>
          <w:b/>
          <w:bCs/>
          <w:shd w:val="clear" w:color="auto" w:fill="FFFFFF"/>
          <w:lang w:val="en-GB"/>
        </w:rPr>
        <w:t>(2:2)</w:t>
      </w:r>
    </w:p>
    <w:p w14:paraId="159D248F" w14:textId="7CD27658" w:rsidR="00F80955" w:rsidRPr="00F05B90" w:rsidRDefault="00C25A1B" w:rsidP="009B005D">
      <w:pPr>
        <w:spacing w:before="240" w:after="240" w:line="360" w:lineRule="auto"/>
        <w:jc w:val="both"/>
        <w:rPr>
          <w:shd w:val="clear" w:color="auto" w:fill="FFFFFF"/>
          <w:lang w:val="en-GB"/>
        </w:rPr>
      </w:pPr>
      <w:r w:rsidRPr="00F05B90">
        <w:rPr>
          <w:i/>
          <w:iCs/>
          <w:shd w:val="clear" w:color="auto" w:fill="FFFFFF"/>
          <w:lang w:val="en-GB"/>
        </w:rPr>
        <w:t>Auditor_</w:t>
      </w:r>
      <w:r w:rsidR="00675B32" w:rsidRPr="00F05B90">
        <w:rPr>
          <w:i/>
          <w:iCs/>
          <w:shd w:val="clear" w:color="auto" w:fill="FFFFFF"/>
          <w:lang w:val="en-GB"/>
        </w:rPr>
        <w:t xml:space="preserve"> judgment </w:t>
      </w:r>
      <w:r w:rsidR="00F80955" w:rsidRPr="00F05B90">
        <w:rPr>
          <w:i/>
          <w:iCs/>
          <w:shd w:val="clear" w:color="auto" w:fill="FFFFFF"/>
          <w:lang w:val="en-GB"/>
        </w:rPr>
        <w:t xml:space="preserve">= β0 + β1 </w:t>
      </w:r>
      <w:r w:rsidR="00F80955" w:rsidRPr="00F05B90">
        <w:rPr>
          <w:i/>
          <w:iCs/>
          <w:lang w:val="en-GB"/>
        </w:rPr>
        <w:t>Indgap</w:t>
      </w:r>
      <w:r w:rsidR="00F80955" w:rsidRPr="00F05B90">
        <w:rPr>
          <w:i/>
          <w:iCs/>
          <w:shd w:val="clear" w:color="auto" w:fill="FFFFFF"/>
          <w:lang w:val="en-GB"/>
        </w:rPr>
        <w:t xml:space="preserve"> + β2</w:t>
      </w:r>
      <w:r w:rsidR="009B005D" w:rsidRPr="00F05B90">
        <w:rPr>
          <w:i/>
          <w:iCs/>
          <w:shd w:val="clear" w:color="auto" w:fill="FFFFFF"/>
          <w:lang w:val="en-GB"/>
        </w:rPr>
        <w:t xml:space="preserve"> Fin-AccExp</w:t>
      </w:r>
      <w:r w:rsidR="00F80955" w:rsidRPr="00F05B90">
        <w:rPr>
          <w:i/>
          <w:iCs/>
          <w:shd w:val="clear" w:color="auto" w:fill="FFFFFF"/>
          <w:lang w:val="en-GB"/>
        </w:rPr>
        <w:t xml:space="preserve"> + β3</w:t>
      </w:r>
      <w:r w:rsidR="009B005D" w:rsidRPr="00F05B90">
        <w:rPr>
          <w:i/>
          <w:iCs/>
          <w:shd w:val="clear" w:color="auto" w:fill="FFFFFF"/>
          <w:lang w:val="en-GB"/>
        </w:rPr>
        <w:t xml:space="preserve"> </w:t>
      </w:r>
      <w:r w:rsidR="009B005D" w:rsidRPr="00F05B90">
        <w:rPr>
          <w:i/>
          <w:iCs/>
          <w:lang w:val="en-GB"/>
        </w:rPr>
        <w:t>Indgap</w:t>
      </w:r>
      <w:r w:rsidR="009B005D" w:rsidRPr="00F05B90">
        <w:rPr>
          <w:i/>
          <w:iCs/>
          <w:shd w:val="clear" w:color="auto" w:fill="FFFFFF"/>
          <w:lang w:val="en-GB"/>
        </w:rPr>
        <w:t xml:space="preserve"> * Fin-AccExp</w:t>
      </w:r>
      <w:r w:rsidR="00F80955" w:rsidRPr="00F05B90">
        <w:rPr>
          <w:i/>
          <w:iCs/>
          <w:shd w:val="clear" w:color="auto" w:fill="FFFFFF"/>
          <w:lang w:val="en-GB"/>
        </w:rPr>
        <w:t xml:space="preserve"> + β</w:t>
      </w:r>
      <w:r w:rsidR="001562B1" w:rsidRPr="00F05B90">
        <w:rPr>
          <w:i/>
          <w:iCs/>
          <w:shd w:val="clear" w:color="auto" w:fill="FFFFFF"/>
          <w:lang w:val="en-GB"/>
        </w:rPr>
        <w:t>n</w:t>
      </w:r>
      <w:r w:rsidR="00F80955" w:rsidRPr="00F05B90">
        <w:rPr>
          <w:i/>
          <w:iCs/>
          <w:shd w:val="clear" w:color="auto" w:fill="FFFFFF"/>
          <w:lang w:val="en-GB"/>
        </w:rPr>
        <w:t xml:space="preserve"> CONTROLS</w:t>
      </w:r>
      <w:r w:rsidR="001562B1" w:rsidRPr="00F05B90">
        <w:rPr>
          <w:i/>
          <w:iCs/>
          <w:shd w:val="clear" w:color="auto" w:fill="FFFFFF"/>
          <w:lang w:val="en-GB"/>
        </w:rPr>
        <w:t xml:space="preserve"> </w:t>
      </w:r>
      <w:r w:rsidR="00F80955" w:rsidRPr="00F05B90">
        <w:rPr>
          <w:i/>
          <w:iCs/>
          <w:shd w:val="clear" w:color="auto" w:fill="FFFFFF"/>
          <w:lang w:val="en-GB"/>
        </w:rPr>
        <w:t xml:space="preserve">+ </w:t>
      </w:r>
      <w:r w:rsidR="001562B1" w:rsidRPr="00F05B90">
        <w:rPr>
          <w:i/>
          <w:iCs/>
          <w:shd w:val="clear" w:color="auto" w:fill="FFFFFF"/>
          <w:lang w:val="en-GB"/>
        </w:rPr>
        <w:t xml:space="preserve"> </w:t>
      </w:r>
      <w:r w:rsidR="00F80955" w:rsidRPr="00F05B90">
        <w:rPr>
          <w:shd w:val="clear" w:color="auto" w:fill="FFFFFF"/>
          <w:lang w:val="en-GB"/>
        </w:rPr>
        <w:t xml:space="preserve">ε                                                               </w:t>
      </w:r>
      <w:r w:rsidR="0077120A" w:rsidRPr="00F05B90">
        <w:rPr>
          <w:shd w:val="clear" w:color="auto" w:fill="FFFFFF"/>
          <w:lang w:val="en-GB"/>
        </w:rPr>
        <w:t xml:space="preserve">                     </w:t>
      </w:r>
      <w:r w:rsidR="00F80955" w:rsidRPr="00F05B90">
        <w:rPr>
          <w:shd w:val="clear" w:color="auto" w:fill="FFFFFF"/>
          <w:lang w:val="en-GB"/>
        </w:rPr>
        <w:t xml:space="preserve"> </w:t>
      </w:r>
      <w:r w:rsidR="009B005D" w:rsidRPr="00F05B90">
        <w:rPr>
          <w:shd w:val="clear" w:color="auto" w:fill="FFFFFF"/>
          <w:lang w:val="en-GB"/>
        </w:rPr>
        <w:t xml:space="preserve">     </w:t>
      </w:r>
      <w:r w:rsidR="00F80955" w:rsidRPr="00F05B90">
        <w:rPr>
          <w:shd w:val="clear" w:color="auto" w:fill="FFFFFF"/>
          <w:lang w:val="en-GB"/>
        </w:rPr>
        <w:t xml:space="preserve"> </w:t>
      </w:r>
      <w:r w:rsidR="0077120A" w:rsidRPr="00F05B90">
        <w:rPr>
          <w:shd w:val="clear" w:color="auto" w:fill="FFFFFF"/>
          <w:lang w:val="en-GB"/>
        </w:rPr>
        <w:t xml:space="preserve">  </w:t>
      </w:r>
      <w:r w:rsidR="00F80955" w:rsidRPr="00F05B90">
        <w:rPr>
          <w:b/>
          <w:bCs/>
          <w:shd w:val="clear" w:color="auto" w:fill="FFFFFF"/>
          <w:lang w:val="en-GB"/>
        </w:rPr>
        <w:t>(2:3)</w:t>
      </w:r>
    </w:p>
    <w:bookmarkEnd w:id="18"/>
    <w:p w14:paraId="25CE32EC" w14:textId="09E6C0D3" w:rsidR="001C73E5" w:rsidRPr="00F05B90" w:rsidRDefault="00C25A1B" w:rsidP="00F80955">
      <w:pPr>
        <w:spacing w:before="240" w:after="240" w:line="360" w:lineRule="auto"/>
        <w:jc w:val="both"/>
        <w:rPr>
          <w:shd w:val="clear" w:color="auto" w:fill="FFFFFF"/>
          <w:lang w:val="en-GB"/>
        </w:rPr>
      </w:pPr>
      <w:r w:rsidRPr="00F05B90">
        <w:rPr>
          <w:shd w:val="clear" w:color="auto" w:fill="FFFFFF"/>
          <w:lang w:val="en-GB"/>
        </w:rPr>
        <w:t>These models allow us to assess whether CEOs with financial expertise influence auditors’ assessment of risk and audit effort in the presence of industry tournament incentives.</w:t>
      </w:r>
    </w:p>
    <w:p w14:paraId="2218EB1C" w14:textId="77777777" w:rsidR="007D2901" w:rsidRPr="00F05B90" w:rsidRDefault="007D2901" w:rsidP="00E44564">
      <w:pPr>
        <w:pStyle w:val="Heading1"/>
        <w:spacing w:after="240" w:line="240" w:lineRule="auto"/>
        <w:ind w:left="426" w:hanging="426"/>
        <w:contextualSpacing w:val="0"/>
        <w:rPr>
          <w:rFonts w:ascii="Times New Roman" w:hAnsi="Times New Roman" w:cs="Times New Roman"/>
          <w:color w:val="auto"/>
          <w:szCs w:val="24"/>
          <w:lang w:val="en-GB"/>
        </w:rPr>
      </w:pPr>
      <w:bookmarkStart w:id="19" w:name="_Toc123457915"/>
      <w:bookmarkStart w:id="20" w:name="_Hlk189684781"/>
      <w:r w:rsidRPr="00F05B90">
        <w:rPr>
          <w:rFonts w:ascii="Times New Roman" w:hAnsi="Times New Roman" w:cs="Times New Roman"/>
          <w:color w:val="auto"/>
          <w:szCs w:val="24"/>
          <w:lang w:val="en-GB"/>
        </w:rPr>
        <w:t>Empirical results</w:t>
      </w:r>
    </w:p>
    <w:p w14:paraId="48905053" w14:textId="6EDE4B11" w:rsidR="00F80955" w:rsidRPr="00F05B90" w:rsidRDefault="00F80955" w:rsidP="00E44564">
      <w:pPr>
        <w:pStyle w:val="Heading2"/>
        <w:spacing w:before="240" w:after="240" w:line="240" w:lineRule="auto"/>
        <w:ind w:left="426" w:hanging="426"/>
        <w:rPr>
          <w:rFonts w:ascii="Times New Roman" w:hAnsi="Times New Roman" w:cs="Times New Roman"/>
          <w:color w:val="auto"/>
          <w:szCs w:val="24"/>
          <w:lang w:val="en-GB"/>
        </w:rPr>
      </w:pPr>
      <w:r w:rsidRPr="00F05B90">
        <w:rPr>
          <w:rFonts w:ascii="Times New Roman" w:hAnsi="Times New Roman" w:cs="Times New Roman"/>
          <w:color w:val="auto"/>
          <w:szCs w:val="24"/>
          <w:lang w:val="en-GB"/>
        </w:rPr>
        <w:t xml:space="preserve">Descriptive </w:t>
      </w:r>
      <w:r w:rsidR="00A04462" w:rsidRPr="00F05B90">
        <w:rPr>
          <w:rFonts w:ascii="Times New Roman" w:hAnsi="Times New Roman" w:cs="Times New Roman"/>
          <w:color w:val="auto"/>
          <w:szCs w:val="24"/>
          <w:lang w:val="en-GB"/>
        </w:rPr>
        <w:t>s</w:t>
      </w:r>
      <w:r w:rsidRPr="00F05B90">
        <w:rPr>
          <w:rFonts w:ascii="Times New Roman" w:hAnsi="Times New Roman" w:cs="Times New Roman"/>
          <w:color w:val="auto"/>
          <w:szCs w:val="24"/>
          <w:lang w:val="en-GB"/>
        </w:rPr>
        <w:t xml:space="preserve">tatistics and </w:t>
      </w:r>
      <w:r w:rsidR="00A04462" w:rsidRPr="00F05B90">
        <w:rPr>
          <w:rFonts w:ascii="Times New Roman" w:hAnsi="Times New Roman" w:cs="Times New Roman"/>
          <w:color w:val="auto"/>
          <w:szCs w:val="24"/>
          <w:lang w:val="en-GB"/>
        </w:rPr>
        <w:t>c</w:t>
      </w:r>
      <w:r w:rsidRPr="00F05B90">
        <w:rPr>
          <w:rFonts w:ascii="Times New Roman" w:hAnsi="Times New Roman" w:cs="Times New Roman"/>
          <w:color w:val="auto"/>
          <w:szCs w:val="24"/>
          <w:lang w:val="en-GB"/>
        </w:rPr>
        <w:t xml:space="preserve">orrelations: Primary </w:t>
      </w:r>
      <w:r w:rsidR="00A04462" w:rsidRPr="00F05B90">
        <w:rPr>
          <w:rFonts w:ascii="Times New Roman" w:hAnsi="Times New Roman" w:cs="Times New Roman"/>
          <w:color w:val="auto"/>
          <w:szCs w:val="24"/>
          <w:lang w:val="en-GB"/>
        </w:rPr>
        <w:t>v</w:t>
      </w:r>
      <w:r w:rsidRPr="00F05B90">
        <w:rPr>
          <w:rFonts w:ascii="Times New Roman" w:hAnsi="Times New Roman" w:cs="Times New Roman"/>
          <w:color w:val="auto"/>
          <w:szCs w:val="24"/>
          <w:lang w:val="en-GB"/>
        </w:rPr>
        <w:t>ariables</w:t>
      </w:r>
      <w:bookmarkEnd w:id="19"/>
    </w:p>
    <w:p w14:paraId="61F894D6" w14:textId="420C7CC6" w:rsidR="00F80955" w:rsidRPr="00F05B90" w:rsidRDefault="00F80955" w:rsidP="00E44564">
      <w:pPr>
        <w:pStyle w:val="Heading3"/>
        <w:spacing w:before="240" w:after="240" w:line="240" w:lineRule="auto"/>
        <w:rPr>
          <w:rFonts w:ascii="Times New Roman" w:hAnsi="Times New Roman" w:cs="Times New Roman"/>
          <w:color w:val="auto"/>
          <w:lang w:val="en-GB"/>
        </w:rPr>
      </w:pPr>
      <w:r w:rsidRPr="00F05B90">
        <w:rPr>
          <w:rFonts w:ascii="Times New Roman" w:hAnsi="Times New Roman" w:cs="Times New Roman"/>
          <w:color w:val="auto"/>
          <w:lang w:val="en-GB"/>
        </w:rPr>
        <w:t xml:space="preserve">Descriptive </w:t>
      </w:r>
      <w:r w:rsidR="00A04462" w:rsidRPr="00F05B90">
        <w:rPr>
          <w:rFonts w:ascii="Times New Roman" w:hAnsi="Times New Roman" w:cs="Times New Roman"/>
          <w:color w:val="auto"/>
          <w:lang w:val="en-GB"/>
        </w:rPr>
        <w:t>s</w:t>
      </w:r>
      <w:r w:rsidRPr="00F05B90">
        <w:rPr>
          <w:rFonts w:ascii="Times New Roman" w:hAnsi="Times New Roman" w:cs="Times New Roman"/>
          <w:color w:val="auto"/>
          <w:lang w:val="en-GB"/>
        </w:rPr>
        <w:t>tatistics</w:t>
      </w:r>
    </w:p>
    <w:p w14:paraId="3F2BEA90" w14:textId="121D5D38" w:rsidR="00F4478B" w:rsidRPr="00F05B90" w:rsidRDefault="00F80955" w:rsidP="009C5FE0">
      <w:pPr>
        <w:widowControl w:val="0"/>
        <w:autoSpaceDE w:val="0"/>
        <w:autoSpaceDN w:val="0"/>
        <w:adjustRightInd w:val="0"/>
        <w:spacing w:before="240" w:after="240" w:line="360" w:lineRule="auto"/>
        <w:jc w:val="both"/>
        <w:rPr>
          <w:lang w:val="en-GB"/>
        </w:rPr>
      </w:pPr>
      <w:r w:rsidRPr="00F05B90">
        <w:rPr>
          <w:lang w:val="en-GB"/>
        </w:rPr>
        <w:t xml:space="preserve">Table 2 presents </w:t>
      </w:r>
      <w:r w:rsidR="00F4478B" w:rsidRPr="00F05B90">
        <w:rPr>
          <w:lang w:val="en-GB"/>
        </w:rPr>
        <w:t xml:space="preserve">the </w:t>
      </w:r>
      <w:r w:rsidRPr="00F05B90">
        <w:rPr>
          <w:lang w:val="en-GB"/>
        </w:rPr>
        <w:t>descripti</w:t>
      </w:r>
      <w:r w:rsidR="00F4478B" w:rsidRPr="00F05B90">
        <w:rPr>
          <w:lang w:val="en-GB"/>
        </w:rPr>
        <w:t xml:space="preserve">ve statistics </w:t>
      </w:r>
      <w:r w:rsidRPr="00F05B90">
        <w:rPr>
          <w:lang w:val="en-GB"/>
        </w:rPr>
        <w:t>of the variables used in our primary analyses. The mean (standard deviation) of industry tournament incentives</w:t>
      </w:r>
      <w:r w:rsidR="00F4478B" w:rsidRPr="00F05B90">
        <w:rPr>
          <w:lang w:val="en-GB"/>
        </w:rPr>
        <w:t xml:space="preserve"> </w:t>
      </w:r>
      <w:r w:rsidR="00F4478B" w:rsidRPr="00F05B90">
        <w:rPr>
          <w:i/>
          <w:iCs/>
          <w:lang w:val="en-GB"/>
        </w:rPr>
        <w:t xml:space="preserve">(Indgap), </w:t>
      </w:r>
      <w:r w:rsidR="00F4478B" w:rsidRPr="00F05B90">
        <w:rPr>
          <w:lang w:val="en-GB"/>
        </w:rPr>
        <w:t xml:space="preserve">measured as the compensation gap between the CEO under consideration and </w:t>
      </w:r>
      <w:r w:rsidRPr="00F05B90">
        <w:rPr>
          <w:lang w:val="en-GB"/>
        </w:rPr>
        <w:t>the second-highest</w:t>
      </w:r>
      <w:r w:rsidR="00F4478B" w:rsidRPr="00F05B90">
        <w:rPr>
          <w:lang w:val="en-GB"/>
        </w:rPr>
        <w:t>-paid</w:t>
      </w:r>
      <w:r w:rsidRPr="00F05B90">
        <w:rPr>
          <w:lang w:val="en-GB"/>
        </w:rPr>
        <w:t xml:space="preserve"> CEO in </w:t>
      </w:r>
      <w:r w:rsidR="00F4478B" w:rsidRPr="00F05B90">
        <w:rPr>
          <w:lang w:val="en-GB"/>
        </w:rPr>
        <w:t xml:space="preserve">the </w:t>
      </w:r>
      <w:r w:rsidRPr="00F05B90">
        <w:rPr>
          <w:lang w:val="en-GB"/>
        </w:rPr>
        <w:t xml:space="preserve">industry is 6.399 (3.327). The mean value of </w:t>
      </w:r>
      <w:r w:rsidRPr="00F05B90">
        <w:rPr>
          <w:i/>
          <w:iCs/>
          <w:lang w:val="en-GB"/>
        </w:rPr>
        <w:t xml:space="preserve">KAM </w:t>
      </w:r>
      <w:r w:rsidRPr="00F05B90">
        <w:rPr>
          <w:lang w:val="en-GB"/>
        </w:rPr>
        <w:t>(</w:t>
      </w:r>
      <w:r w:rsidRPr="00F05B90">
        <w:rPr>
          <w:i/>
          <w:iCs/>
          <w:lang w:val="en-GB"/>
        </w:rPr>
        <w:t>MAT</w:t>
      </w:r>
      <w:r w:rsidRPr="00F05B90">
        <w:rPr>
          <w:lang w:val="en-GB"/>
        </w:rPr>
        <w:t xml:space="preserve">) is 3.925 (0.648). </w:t>
      </w:r>
      <w:r w:rsidR="009C5FE0" w:rsidRPr="00F05B90">
        <w:rPr>
          <w:lang w:val="en-GB"/>
        </w:rPr>
        <w:t>The mean (standard deviation) of logged audit fees (</w:t>
      </w:r>
      <w:r w:rsidR="009C5FE0" w:rsidRPr="00F05B90">
        <w:rPr>
          <w:i/>
          <w:iCs/>
          <w:lang w:val="en-GB"/>
        </w:rPr>
        <w:t>LAFEE</w:t>
      </w:r>
      <w:r w:rsidR="009C5FE0" w:rsidRPr="00F05B90">
        <w:rPr>
          <w:lang w:val="en-GB"/>
        </w:rPr>
        <w:t xml:space="preserve">) is 3.478 (2.057), and approximately 97% of </w:t>
      </w:r>
      <w:r w:rsidR="009C5FE0" w:rsidRPr="00F05B90">
        <w:rPr>
          <w:lang w:val="en-GB"/>
        </w:rPr>
        <w:lastRenderedPageBreak/>
        <w:t xml:space="preserve">firm-year observations involve Big-4 auditors. </w:t>
      </w:r>
      <w:r w:rsidR="00895F53" w:rsidRPr="00F05B90">
        <w:rPr>
          <w:lang w:val="en-GB"/>
        </w:rPr>
        <w:t xml:space="preserve">On </w:t>
      </w:r>
      <w:r w:rsidRPr="00F05B90">
        <w:rPr>
          <w:lang w:val="en-GB"/>
        </w:rPr>
        <w:t>average</w:t>
      </w:r>
      <w:r w:rsidR="00B343D9" w:rsidRPr="00F05B90">
        <w:rPr>
          <w:lang w:val="en-GB"/>
        </w:rPr>
        <w:t>,</w:t>
      </w:r>
      <w:r w:rsidRPr="00F05B90">
        <w:rPr>
          <w:lang w:val="en-GB"/>
        </w:rPr>
        <w:t xml:space="preserve"> firm</w:t>
      </w:r>
      <w:r w:rsidR="00895F53" w:rsidRPr="00F05B90">
        <w:rPr>
          <w:lang w:val="en-GB"/>
        </w:rPr>
        <w:t>s</w:t>
      </w:r>
      <w:r w:rsidRPr="00F05B90">
        <w:rPr>
          <w:lang w:val="en-GB"/>
        </w:rPr>
        <w:t xml:space="preserve"> </w:t>
      </w:r>
      <w:r w:rsidR="00895F53" w:rsidRPr="00F05B90">
        <w:rPr>
          <w:lang w:val="en-GB"/>
        </w:rPr>
        <w:t xml:space="preserve">report a return on assets </w:t>
      </w:r>
      <w:r w:rsidR="00895F53" w:rsidRPr="00F05B90">
        <w:rPr>
          <w:i/>
          <w:iCs/>
          <w:lang w:val="en-GB"/>
        </w:rPr>
        <w:t>(ROA)</w:t>
      </w:r>
      <w:r w:rsidR="00895F53" w:rsidRPr="00F05B90">
        <w:rPr>
          <w:lang w:val="en-GB"/>
        </w:rPr>
        <w:t xml:space="preserve"> of </w:t>
      </w:r>
      <w:r w:rsidRPr="00F05B90">
        <w:rPr>
          <w:lang w:val="en-GB"/>
        </w:rPr>
        <w:t>6.7%</w:t>
      </w:r>
      <w:r w:rsidR="00895F53" w:rsidRPr="00F05B90">
        <w:rPr>
          <w:lang w:val="en-GB"/>
        </w:rPr>
        <w:t xml:space="preserve">, with </w:t>
      </w:r>
      <w:r w:rsidRPr="00F05B90">
        <w:rPr>
          <w:lang w:val="en-GB"/>
        </w:rPr>
        <w:t xml:space="preserve">13% of firm-year observations </w:t>
      </w:r>
      <w:r w:rsidR="00895F53" w:rsidRPr="00F05B90">
        <w:rPr>
          <w:lang w:val="en-GB"/>
        </w:rPr>
        <w:t xml:space="preserve">showing a </w:t>
      </w:r>
      <w:r w:rsidRPr="00F05B90">
        <w:rPr>
          <w:lang w:val="en-GB"/>
        </w:rPr>
        <w:t xml:space="preserve">net </w:t>
      </w:r>
      <w:r w:rsidR="00895F53" w:rsidRPr="00F05B90">
        <w:rPr>
          <w:lang w:val="en-GB"/>
        </w:rPr>
        <w:t>loss</w:t>
      </w:r>
      <w:r w:rsidRPr="00F05B90">
        <w:rPr>
          <w:lang w:val="en-GB"/>
        </w:rPr>
        <w:t xml:space="preserve">. </w:t>
      </w:r>
      <w:r w:rsidR="009C5FE0" w:rsidRPr="00F05B90">
        <w:rPr>
          <w:lang w:val="en-GB"/>
        </w:rPr>
        <w:t>Firm size, proxied by number of employees</w:t>
      </w:r>
      <w:r w:rsidR="009C5FE0" w:rsidRPr="00F05B90">
        <w:rPr>
          <w:i/>
          <w:iCs/>
          <w:lang w:val="en-GB"/>
        </w:rPr>
        <w:t xml:space="preserve"> (Employees)</w:t>
      </w:r>
      <w:r w:rsidR="009C5FE0" w:rsidRPr="00F05B90">
        <w:rPr>
          <w:lang w:val="en-GB"/>
        </w:rPr>
        <w:t xml:space="preserve"> has a mean (standard deviation) of 30,661.3 (62,966.1). </w:t>
      </w:r>
      <w:r w:rsidR="00895F53" w:rsidRPr="00F05B90">
        <w:rPr>
          <w:lang w:val="en-GB"/>
        </w:rPr>
        <w:t xml:space="preserve">Regarding CEO characteristics, </w:t>
      </w:r>
      <w:r w:rsidRPr="00F05B90">
        <w:rPr>
          <w:lang w:val="en-GB"/>
        </w:rPr>
        <w:t xml:space="preserve">the </w:t>
      </w:r>
      <w:r w:rsidR="00E44564" w:rsidRPr="00F05B90">
        <w:rPr>
          <w:lang w:val="en-GB"/>
        </w:rPr>
        <w:t xml:space="preserve">average </w:t>
      </w:r>
      <w:r w:rsidRPr="00F05B90">
        <w:rPr>
          <w:lang w:val="en-GB"/>
        </w:rPr>
        <w:t>CEO</w:t>
      </w:r>
      <w:r w:rsidR="00A04462" w:rsidRPr="00F05B90">
        <w:rPr>
          <w:lang w:val="en-GB"/>
        </w:rPr>
        <w:t xml:space="preserve"> </w:t>
      </w:r>
      <w:r w:rsidR="00E44564" w:rsidRPr="00F05B90">
        <w:rPr>
          <w:lang w:val="en-GB"/>
        </w:rPr>
        <w:t xml:space="preserve">tenure </w:t>
      </w:r>
      <w:r w:rsidRPr="00F05B90">
        <w:rPr>
          <w:lang w:val="en-GB"/>
        </w:rPr>
        <w:t>(</w:t>
      </w:r>
      <w:r w:rsidRPr="00F05B90">
        <w:rPr>
          <w:i/>
          <w:iCs/>
          <w:lang w:val="en-GB"/>
        </w:rPr>
        <w:t>CEOR</w:t>
      </w:r>
      <w:r w:rsidRPr="00F05B90">
        <w:rPr>
          <w:lang w:val="en-GB"/>
        </w:rPr>
        <w:t xml:space="preserve">) </w:t>
      </w:r>
      <w:r w:rsidR="00E44564" w:rsidRPr="00F05B90">
        <w:rPr>
          <w:lang w:val="en-GB"/>
        </w:rPr>
        <w:t xml:space="preserve">exceeds </w:t>
      </w:r>
      <w:r w:rsidRPr="00F05B90">
        <w:rPr>
          <w:lang w:val="en-GB"/>
        </w:rPr>
        <w:t>four years</w:t>
      </w:r>
      <w:r w:rsidR="00770F35" w:rsidRPr="00F05B90">
        <w:rPr>
          <w:lang w:val="en-GB"/>
        </w:rPr>
        <w:t>,</w:t>
      </w:r>
      <w:r w:rsidR="00E44564" w:rsidRPr="00F05B90">
        <w:rPr>
          <w:lang w:val="en-GB"/>
        </w:rPr>
        <w:t xml:space="preserve"> with</w:t>
      </w:r>
      <w:r w:rsidRPr="00F05B90">
        <w:rPr>
          <w:lang w:val="en-GB"/>
        </w:rPr>
        <w:t xml:space="preserve"> approximately 94% </w:t>
      </w:r>
      <w:r w:rsidR="00E44564" w:rsidRPr="00F05B90">
        <w:rPr>
          <w:lang w:val="en-GB"/>
        </w:rPr>
        <w:t>of CEOs being male</w:t>
      </w:r>
      <w:r w:rsidR="00770F35" w:rsidRPr="00F05B90">
        <w:rPr>
          <w:lang w:val="en-GB"/>
        </w:rPr>
        <w:t xml:space="preserve"> and </w:t>
      </w:r>
      <w:r w:rsidRPr="00F05B90">
        <w:rPr>
          <w:lang w:val="en-GB"/>
        </w:rPr>
        <w:t>4</w:t>
      </w:r>
      <w:r w:rsidR="00C52C24" w:rsidRPr="00F05B90">
        <w:rPr>
          <w:lang w:val="en-GB"/>
        </w:rPr>
        <w:t>4</w:t>
      </w:r>
      <w:r w:rsidRPr="00F05B90">
        <w:rPr>
          <w:lang w:val="en-GB"/>
        </w:rPr>
        <w:t>% hav</w:t>
      </w:r>
      <w:r w:rsidR="00E44564" w:rsidRPr="00F05B90">
        <w:rPr>
          <w:lang w:val="en-GB"/>
        </w:rPr>
        <w:t xml:space="preserve">ing prior </w:t>
      </w:r>
      <w:r w:rsidRPr="00F05B90">
        <w:rPr>
          <w:lang w:val="en-GB"/>
        </w:rPr>
        <w:t>in-house experience (</w:t>
      </w:r>
      <w:r w:rsidR="00E44564" w:rsidRPr="00F05B90">
        <w:rPr>
          <w:lang w:val="en-GB"/>
        </w:rPr>
        <w:t>i.e., they</w:t>
      </w:r>
      <w:r w:rsidRPr="00F05B90">
        <w:rPr>
          <w:lang w:val="en-GB"/>
        </w:rPr>
        <w:t xml:space="preserve"> worked in the firm before </w:t>
      </w:r>
      <w:r w:rsidR="00770F35" w:rsidRPr="00F05B90">
        <w:rPr>
          <w:lang w:val="en-GB"/>
        </w:rPr>
        <w:t xml:space="preserve">assuming the </w:t>
      </w:r>
      <w:r w:rsidR="00E44564" w:rsidRPr="00F05B90">
        <w:rPr>
          <w:lang w:val="en-GB"/>
        </w:rPr>
        <w:t xml:space="preserve">CEO </w:t>
      </w:r>
      <w:r w:rsidR="00770F35" w:rsidRPr="00F05B90">
        <w:rPr>
          <w:lang w:val="en-GB"/>
        </w:rPr>
        <w:t>role</w:t>
      </w:r>
      <w:r w:rsidRPr="00F05B90">
        <w:rPr>
          <w:lang w:val="en-GB"/>
        </w:rPr>
        <w:t>).</w:t>
      </w:r>
    </w:p>
    <w:p w14:paraId="5671CBF8" w14:textId="20D2AF8D" w:rsidR="006C19D7" w:rsidRPr="00F05B90" w:rsidRDefault="00675B32" w:rsidP="00A0667E">
      <w:pPr>
        <w:spacing w:before="240" w:after="240" w:line="360" w:lineRule="auto"/>
        <w:jc w:val="center"/>
        <w:rPr>
          <w:lang w:val="en-GB"/>
        </w:rPr>
      </w:pPr>
      <w:r w:rsidRPr="00F05B90">
        <w:rPr>
          <w:b/>
          <w:bCs/>
          <w:lang w:val="en-GB"/>
        </w:rPr>
        <w:t xml:space="preserve"> </w:t>
      </w:r>
      <w:r w:rsidR="006C19D7" w:rsidRPr="00F05B90">
        <w:rPr>
          <w:b/>
          <w:bCs/>
          <w:lang w:val="en-GB"/>
        </w:rPr>
        <w:t>[PLEASE INSERT TABLE 2 HERE]</w:t>
      </w:r>
    </w:p>
    <w:p w14:paraId="19CA85DB" w14:textId="2347CCE2" w:rsidR="00F80955" w:rsidRPr="00F05B90" w:rsidRDefault="00F80955" w:rsidP="00A0667E">
      <w:pPr>
        <w:pStyle w:val="Heading3"/>
        <w:spacing w:before="240" w:after="240"/>
        <w:rPr>
          <w:rFonts w:ascii="Times New Roman" w:hAnsi="Times New Roman" w:cs="Times New Roman"/>
          <w:color w:val="auto"/>
          <w:lang w:val="en-GB"/>
        </w:rPr>
      </w:pPr>
      <w:bookmarkStart w:id="21" w:name="_Toc123457917"/>
      <w:r w:rsidRPr="00F05B90">
        <w:rPr>
          <w:rFonts w:ascii="Times New Roman" w:hAnsi="Times New Roman" w:cs="Times New Roman"/>
          <w:color w:val="auto"/>
          <w:lang w:val="en-GB"/>
        </w:rPr>
        <w:t xml:space="preserve">Pearson’s </w:t>
      </w:r>
      <w:r w:rsidR="00A04462" w:rsidRPr="00F05B90">
        <w:rPr>
          <w:rFonts w:ascii="Times New Roman" w:hAnsi="Times New Roman" w:cs="Times New Roman"/>
          <w:color w:val="auto"/>
          <w:lang w:val="en-GB"/>
        </w:rPr>
        <w:t>correlation analysis</w:t>
      </w:r>
      <w:bookmarkEnd w:id="21"/>
    </w:p>
    <w:p w14:paraId="7D64D969" w14:textId="2E9204A5" w:rsidR="004955E2" w:rsidRPr="00F05B90" w:rsidRDefault="009C5FE0" w:rsidP="009C5FE0">
      <w:pPr>
        <w:spacing w:before="240" w:after="240" w:line="360" w:lineRule="auto"/>
        <w:jc w:val="both"/>
        <w:rPr>
          <w:lang w:val="en-GB"/>
        </w:rPr>
      </w:pPr>
      <w:r w:rsidRPr="00F05B90">
        <w:rPr>
          <w:lang w:val="en-GB"/>
        </w:rPr>
        <w:t xml:space="preserve">Table 3 reports the correlation coefficients of the main variables. </w:t>
      </w:r>
      <w:r w:rsidRPr="00F05B90">
        <w:rPr>
          <w:i/>
          <w:iCs/>
          <w:lang w:val="en-GB"/>
        </w:rPr>
        <w:t>Indgap</w:t>
      </w:r>
      <w:r w:rsidRPr="00F05B90">
        <w:rPr>
          <w:lang w:val="en-GB"/>
        </w:rPr>
        <w:t xml:space="preserve"> is negatively and significantly correlated with </w:t>
      </w:r>
      <w:r w:rsidRPr="00F05B90">
        <w:rPr>
          <w:i/>
          <w:iCs/>
          <w:lang w:val="en-GB"/>
        </w:rPr>
        <w:t>KAM</w:t>
      </w:r>
      <w:r w:rsidRPr="00F05B90">
        <w:rPr>
          <w:lang w:val="en-GB"/>
        </w:rPr>
        <w:t xml:space="preserve"> at the 0.01 level and positively and significantly correlated with </w:t>
      </w:r>
      <w:r w:rsidRPr="00F05B90">
        <w:rPr>
          <w:i/>
          <w:iCs/>
          <w:lang w:val="en-GB"/>
        </w:rPr>
        <w:t>MAT</w:t>
      </w:r>
      <w:r w:rsidRPr="00F05B90">
        <w:rPr>
          <w:lang w:val="en-GB"/>
        </w:rPr>
        <w:t xml:space="preserve"> at the 0.05 level. The correlation between </w:t>
      </w:r>
      <w:r w:rsidRPr="00F05B90">
        <w:rPr>
          <w:i/>
          <w:iCs/>
          <w:lang w:val="en-GB"/>
        </w:rPr>
        <w:t xml:space="preserve">Indgap </w:t>
      </w:r>
      <w:r w:rsidRPr="00F05B90">
        <w:rPr>
          <w:lang w:val="en-GB"/>
        </w:rPr>
        <w:t>and</w:t>
      </w:r>
      <w:r w:rsidRPr="00F05B90">
        <w:rPr>
          <w:i/>
          <w:iCs/>
          <w:lang w:val="en-GB"/>
        </w:rPr>
        <w:t xml:space="preserve"> LAFEE</w:t>
      </w:r>
      <w:r w:rsidRPr="00F05B90">
        <w:rPr>
          <w:lang w:val="en-GB"/>
        </w:rPr>
        <w:t xml:space="preserve"> is negative but not statistically significant. </w:t>
      </w:r>
      <w:r w:rsidR="00F80955" w:rsidRPr="00F05B90">
        <w:rPr>
          <w:lang w:val="en-GB"/>
        </w:rPr>
        <w:t>A</w:t>
      </w:r>
      <w:r w:rsidR="00C150B1" w:rsidRPr="00F05B90">
        <w:rPr>
          <w:lang w:val="en-GB"/>
        </w:rPr>
        <w:t xml:space="preserve"> </w:t>
      </w:r>
      <w:r w:rsidR="00F80955" w:rsidRPr="00F05B90">
        <w:rPr>
          <w:lang w:val="en-GB"/>
        </w:rPr>
        <w:t xml:space="preserve">correlation </w:t>
      </w:r>
      <w:r w:rsidR="00711380" w:rsidRPr="00F05B90">
        <w:rPr>
          <w:lang w:val="en-GB"/>
        </w:rPr>
        <w:t xml:space="preserve">of </w:t>
      </w:r>
      <w:r w:rsidR="00675B32" w:rsidRPr="00F05B90">
        <w:rPr>
          <w:lang w:val="en-GB"/>
        </w:rPr>
        <w:t>8</w:t>
      </w:r>
      <w:r w:rsidR="00C150B1" w:rsidRPr="00F05B90">
        <w:rPr>
          <w:lang w:val="en-GB"/>
        </w:rPr>
        <w:t>0</w:t>
      </w:r>
      <w:r w:rsidR="00556DE1" w:rsidRPr="00F05B90">
        <w:rPr>
          <w:lang w:val="en-GB"/>
        </w:rPr>
        <w:t>%</w:t>
      </w:r>
      <w:r w:rsidR="00C150B1" w:rsidRPr="00F05B90">
        <w:rPr>
          <w:lang w:val="en-GB"/>
        </w:rPr>
        <w:t xml:space="preserve"> </w:t>
      </w:r>
      <w:r w:rsidR="00F80955" w:rsidRPr="00F05B90">
        <w:rPr>
          <w:lang w:val="en-GB"/>
        </w:rPr>
        <w:t xml:space="preserve">or higher in absolute value </w:t>
      </w:r>
      <w:r w:rsidR="00C150B1" w:rsidRPr="00F05B90">
        <w:rPr>
          <w:lang w:val="en-GB"/>
        </w:rPr>
        <w:t xml:space="preserve">typically signals multicollinearity concerns </w:t>
      </w:r>
      <w:r w:rsidR="00F80955" w:rsidRPr="00F05B90">
        <w:rPr>
          <w:lang w:val="en-GB"/>
        </w:rPr>
        <w:t>(</w:t>
      </w:r>
      <w:r w:rsidR="00675B32" w:rsidRPr="00F05B90">
        <w:rPr>
          <w:lang w:val="en-GB"/>
        </w:rPr>
        <w:t>Gujarati and Damodar, 2009</w:t>
      </w:r>
      <w:r w:rsidR="00F80955" w:rsidRPr="00F05B90">
        <w:rPr>
          <w:lang w:val="en-GB"/>
        </w:rPr>
        <w:t>)</w:t>
      </w:r>
      <w:r w:rsidR="001562B1" w:rsidRPr="00F05B90">
        <w:rPr>
          <w:lang w:val="en-GB"/>
        </w:rPr>
        <w:t xml:space="preserve"> and therefore results reported in Table 3 </w:t>
      </w:r>
      <w:r w:rsidR="0087221F" w:rsidRPr="00F05B90">
        <w:rPr>
          <w:lang w:val="en-GB"/>
        </w:rPr>
        <w:t>do not indicate multicollinearity issues</w:t>
      </w:r>
      <w:r w:rsidR="00F80955" w:rsidRPr="00F05B90">
        <w:rPr>
          <w:lang w:val="en-GB"/>
        </w:rPr>
        <w:t xml:space="preserve">. </w:t>
      </w:r>
      <w:r w:rsidR="0087221F" w:rsidRPr="00F05B90">
        <w:rPr>
          <w:lang w:val="en-GB"/>
        </w:rPr>
        <w:t>Additionally, variance inflation factors (VIFs) were assesse</w:t>
      </w:r>
      <w:r w:rsidRPr="00F05B90">
        <w:rPr>
          <w:lang w:val="en-GB"/>
        </w:rPr>
        <w:t>d</w:t>
      </w:r>
      <w:r w:rsidR="0087221F" w:rsidRPr="00F05B90">
        <w:rPr>
          <w:lang w:val="en-GB"/>
        </w:rPr>
        <w:t xml:space="preserve"> to further examine </w:t>
      </w:r>
      <w:r w:rsidR="00F80955" w:rsidRPr="00F05B90">
        <w:rPr>
          <w:lang w:val="en-GB"/>
        </w:rPr>
        <w:t xml:space="preserve">multicollinearity. </w:t>
      </w:r>
      <w:r w:rsidR="002C29E9" w:rsidRPr="00F05B90">
        <w:rPr>
          <w:lang w:val="en-GB"/>
        </w:rPr>
        <w:t>Unreported results show that t</w:t>
      </w:r>
      <w:r w:rsidR="00F80955" w:rsidRPr="00F05B90">
        <w:rPr>
          <w:lang w:val="en-GB"/>
        </w:rPr>
        <w:t>he highest VIF value is 1.</w:t>
      </w:r>
      <w:r w:rsidR="00B343D9" w:rsidRPr="00F05B90">
        <w:rPr>
          <w:lang w:val="en-GB"/>
        </w:rPr>
        <w:t>6</w:t>
      </w:r>
      <w:r w:rsidR="00F80955" w:rsidRPr="00F05B90">
        <w:rPr>
          <w:lang w:val="en-GB"/>
        </w:rPr>
        <w:t>,</w:t>
      </w:r>
      <w:r w:rsidR="0087221F" w:rsidRPr="00F05B90">
        <w:rPr>
          <w:lang w:val="en-GB"/>
        </w:rPr>
        <w:t xml:space="preserve"> </w:t>
      </w:r>
      <w:r w:rsidR="00F80955" w:rsidRPr="00F05B90">
        <w:rPr>
          <w:lang w:val="en-GB"/>
        </w:rPr>
        <w:t xml:space="preserve">well below the conventional </w:t>
      </w:r>
      <w:r w:rsidR="0087221F" w:rsidRPr="00F05B90">
        <w:rPr>
          <w:lang w:val="en-GB"/>
        </w:rPr>
        <w:t xml:space="preserve">threshold </w:t>
      </w:r>
      <w:r w:rsidR="00C52C24" w:rsidRPr="00F05B90">
        <w:rPr>
          <w:lang w:val="en-GB"/>
        </w:rPr>
        <w:t>of 10</w:t>
      </w:r>
      <w:r w:rsidR="0087221F" w:rsidRPr="00F05B90">
        <w:rPr>
          <w:lang w:val="en-GB"/>
        </w:rPr>
        <w:t>, confirming that</w:t>
      </w:r>
      <w:r w:rsidR="00B343D9" w:rsidRPr="00F05B90">
        <w:rPr>
          <w:lang w:val="en-GB"/>
        </w:rPr>
        <w:t xml:space="preserve"> </w:t>
      </w:r>
      <w:r w:rsidR="00F80955" w:rsidRPr="00F05B90">
        <w:rPr>
          <w:lang w:val="en-GB"/>
        </w:rPr>
        <w:t xml:space="preserve">multicollinearity </w:t>
      </w:r>
      <w:r w:rsidR="0087221F" w:rsidRPr="00F05B90">
        <w:rPr>
          <w:lang w:val="en-GB"/>
        </w:rPr>
        <w:t xml:space="preserve">is not a concern </w:t>
      </w:r>
      <w:r w:rsidR="00F80955" w:rsidRPr="00F05B90">
        <w:rPr>
          <w:lang w:val="en-GB"/>
        </w:rPr>
        <w:t>(</w:t>
      </w:r>
      <w:r w:rsidR="00235F8D" w:rsidRPr="00F05B90">
        <w:rPr>
          <w:lang w:val="en-GB"/>
        </w:rPr>
        <w:t xml:space="preserve">Gujarati and Damodar, 2009; </w:t>
      </w:r>
      <w:r w:rsidR="00F80955" w:rsidRPr="00F05B90">
        <w:rPr>
          <w:lang w:val="en-GB"/>
        </w:rPr>
        <w:t>Hair et al., 2006)</w:t>
      </w:r>
      <w:r w:rsidR="00770F35" w:rsidRPr="00F05B90">
        <w:rPr>
          <w:lang w:val="en-GB"/>
        </w:rPr>
        <w:t xml:space="preserve">. </w:t>
      </w:r>
      <w:r w:rsidR="00F80955" w:rsidRPr="00F05B90">
        <w:rPr>
          <w:lang w:val="en-GB"/>
        </w:rPr>
        <w:t>The Spearman correlation coefficient</w:t>
      </w:r>
      <w:r w:rsidR="008358F5" w:rsidRPr="00F05B90">
        <w:rPr>
          <w:lang w:val="en-GB"/>
        </w:rPr>
        <w:t>s</w:t>
      </w:r>
      <w:r w:rsidR="00F80955" w:rsidRPr="00F05B90">
        <w:rPr>
          <w:lang w:val="en-GB"/>
        </w:rPr>
        <w:t xml:space="preserve"> </w:t>
      </w:r>
      <w:r w:rsidR="008358F5" w:rsidRPr="00F05B90">
        <w:rPr>
          <w:lang w:val="en-GB"/>
        </w:rPr>
        <w:t xml:space="preserve">yield </w:t>
      </w:r>
      <w:r w:rsidR="00F80955" w:rsidRPr="00F05B90">
        <w:rPr>
          <w:lang w:val="en-GB"/>
        </w:rPr>
        <w:t>similar results</w:t>
      </w:r>
      <w:r w:rsidR="008358F5" w:rsidRPr="00F05B90">
        <w:rPr>
          <w:lang w:val="en-GB"/>
        </w:rPr>
        <w:t xml:space="preserve">, consistent </w:t>
      </w:r>
      <w:r w:rsidR="00F80955" w:rsidRPr="00F05B90">
        <w:rPr>
          <w:lang w:val="en-GB"/>
        </w:rPr>
        <w:t>with Pearson</w:t>
      </w:r>
      <w:r w:rsidR="008358F5" w:rsidRPr="00F05B90">
        <w:rPr>
          <w:lang w:val="en-GB"/>
        </w:rPr>
        <w:t xml:space="preserve"> correlation </w:t>
      </w:r>
      <w:r w:rsidR="00F80955" w:rsidRPr="00F05B90">
        <w:rPr>
          <w:lang w:val="en-GB"/>
        </w:rPr>
        <w:t>values.</w:t>
      </w:r>
    </w:p>
    <w:p w14:paraId="79DC9E06" w14:textId="56E6B7F1" w:rsidR="00080920" w:rsidRPr="00F05B90" w:rsidRDefault="006C19D7" w:rsidP="005903A1">
      <w:pPr>
        <w:spacing w:before="240" w:after="240" w:line="360" w:lineRule="auto"/>
        <w:jc w:val="center"/>
        <w:rPr>
          <w:b/>
          <w:bCs/>
          <w:lang w:val="en-GB"/>
        </w:rPr>
      </w:pPr>
      <w:r w:rsidRPr="00F05B90">
        <w:rPr>
          <w:b/>
          <w:bCs/>
          <w:lang w:val="en-GB"/>
        </w:rPr>
        <w:t>[PLEASE INSERT TABLE 3 HERE]</w:t>
      </w:r>
    </w:p>
    <w:p w14:paraId="227E443E" w14:textId="097C86C9" w:rsidR="00F80955" w:rsidRPr="00F05B90" w:rsidRDefault="00F80955" w:rsidP="00CF7438">
      <w:pPr>
        <w:pStyle w:val="Heading2"/>
        <w:spacing w:before="240" w:after="240" w:line="240" w:lineRule="auto"/>
        <w:ind w:left="426" w:hanging="426"/>
        <w:rPr>
          <w:rFonts w:ascii="Times New Roman" w:hAnsi="Times New Roman" w:cs="Times New Roman"/>
          <w:color w:val="auto"/>
          <w:szCs w:val="24"/>
          <w:lang w:val="en-GB"/>
        </w:rPr>
      </w:pPr>
      <w:bookmarkStart w:id="22" w:name="_Toc123457918"/>
      <w:bookmarkStart w:id="23" w:name="_Hlk189709352"/>
      <w:bookmarkEnd w:id="20"/>
      <w:r w:rsidRPr="00F05B90">
        <w:rPr>
          <w:rFonts w:ascii="Times New Roman" w:hAnsi="Times New Roman" w:cs="Times New Roman"/>
          <w:color w:val="auto"/>
          <w:szCs w:val="24"/>
          <w:lang w:val="en-GB"/>
        </w:rPr>
        <w:t xml:space="preserve">Regression </w:t>
      </w:r>
      <w:r w:rsidR="00A04462" w:rsidRPr="00F05B90">
        <w:rPr>
          <w:rFonts w:ascii="Times New Roman" w:hAnsi="Times New Roman" w:cs="Times New Roman"/>
          <w:color w:val="auto"/>
          <w:szCs w:val="24"/>
          <w:lang w:val="en-GB"/>
        </w:rPr>
        <w:t>analysis results and discussion</w:t>
      </w:r>
      <w:bookmarkEnd w:id="22"/>
    </w:p>
    <w:p w14:paraId="610CC04F" w14:textId="4902789A" w:rsidR="00F80955" w:rsidRPr="00F05B90" w:rsidRDefault="00F80955" w:rsidP="00CF7438">
      <w:pPr>
        <w:pStyle w:val="Heading3"/>
        <w:spacing w:before="240" w:after="240" w:line="240" w:lineRule="auto"/>
        <w:rPr>
          <w:rFonts w:ascii="Times New Roman" w:eastAsia="Times New Roman" w:hAnsi="Times New Roman" w:cs="Times New Roman"/>
          <w:color w:val="auto"/>
          <w:shd w:val="clear" w:color="auto" w:fill="FFFFFF"/>
          <w:lang w:val="en-GB"/>
        </w:rPr>
      </w:pPr>
      <w:bookmarkStart w:id="24" w:name="_Toc123457919"/>
      <w:r w:rsidRPr="00F05B90">
        <w:rPr>
          <w:rFonts w:ascii="Times New Roman" w:eastAsia="Times New Roman" w:hAnsi="Times New Roman" w:cs="Times New Roman"/>
          <w:color w:val="auto"/>
          <w:shd w:val="clear" w:color="auto" w:fill="FFFFFF"/>
          <w:lang w:val="en-GB"/>
        </w:rPr>
        <w:t xml:space="preserve">Primary </w:t>
      </w:r>
      <w:r w:rsidR="00A04462" w:rsidRPr="00F05B90">
        <w:rPr>
          <w:rFonts w:ascii="Times New Roman" w:eastAsia="Times New Roman" w:hAnsi="Times New Roman" w:cs="Times New Roman"/>
          <w:color w:val="auto"/>
          <w:shd w:val="clear" w:color="auto" w:fill="FFFFFF"/>
          <w:lang w:val="en-GB"/>
        </w:rPr>
        <w:t>test results</w:t>
      </w:r>
      <w:bookmarkEnd w:id="24"/>
    </w:p>
    <w:p w14:paraId="639ADEEF" w14:textId="0DCF8A3B" w:rsidR="00FE5481" w:rsidRPr="00F05B90" w:rsidRDefault="00F80955" w:rsidP="0077120A">
      <w:pPr>
        <w:spacing w:before="240" w:after="240" w:line="360" w:lineRule="auto"/>
        <w:jc w:val="both"/>
        <w:rPr>
          <w:shd w:val="clear" w:color="auto" w:fill="FFFFFF"/>
          <w:lang w:val="en-GB"/>
        </w:rPr>
      </w:pPr>
      <w:r w:rsidRPr="00F05B90">
        <w:rPr>
          <w:shd w:val="clear" w:color="auto" w:fill="FFFFFF"/>
          <w:lang w:val="en-GB"/>
        </w:rPr>
        <w:t xml:space="preserve">Table 4 presents the </w:t>
      </w:r>
      <w:r w:rsidR="00FE5481" w:rsidRPr="00F05B90">
        <w:rPr>
          <w:shd w:val="clear" w:color="auto" w:fill="FFFFFF"/>
          <w:lang w:val="en-GB"/>
        </w:rPr>
        <w:t xml:space="preserve">regression </w:t>
      </w:r>
      <w:r w:rsidRPr="00F05B90">
        <w:rPr>
          <w:shd w:val="clear" w:color="auto" w:fill="FFFFFF"/>
          <w:lang w:val="en-GB"/>
        </w:rPr>
        <w:t xml:space="preserve">results </w:t>
      </w:r>
      <w:r w:rsidR="00FE5481" w:rsidRPr="00F05B90">
        <w:rPr>
          <w:shd w:val="clear" w:color="auto" w:fill="FFFFFF"/>
          <w:lang w:val="en-GB"/>
        </w:rPr>
        <w:t xml:space="preserve">for </w:t>
      </w:r>
      <w:r w:rsidRPr="00F05B90">
        <w:rPr>
          <w:shd w:val="clear" w:color="auto" w:fill="FFFFFF"/>
          <w:lang w:val="en-GB"/>
        </w:rPr>
        <w:t>Hypotheses 1a and 1b</w:t>
      </w:r>
      <w:r w:rsidR="00770F35" w:rsidRPr="00F05B90">
        <w:rPr>
          <w:shd w:val="clear" w:color="auto" w:fill="FFFFFF"/>
          <w:lang w:val="en-GB"/>
        </w:rPr>
        <w:t>,</w:t>
      </w:r>
      <w:r w:rsidRPr="00F05B90">
        <w:rPr>
          <w:shd w:val="clear" w:color="auto" w:fill="FFFFFF"/>
          <w:lang w:val="en-GB"/>
        </w:rPr>
        <w:t xml:space="preserve"> </w:t>
      </w:r>
      <w:r w:rsidR="00347F56" w:rsidRPr="00F05B90">
        <w:rPr>
          <w:shd w:val="clear" w:color="auto" w:fill="FFFFFF"/>
          <w:lang w:val="en-GB"/>
        </w:rPr>
        <w:t xml:space="preserve">which examine </w:t>
      </w:r>
      <w:r w:rsidRPr="00F05B90">
        <w:rPr>
          <w:shd w:val="clear" w:color="auto" w:fill="FFFFFF"/>
          <w:lang w:val="en-GB"/>
        </w:rPr>
        <w:t xml:space="preserve">the relationship between CEO </w:t>
      </w:r>
      <w:r w:rsidRPr="00F05B90">
        <w:rPr>
          <w:lang w:val="en-GB"/>
        </w:rPr>
        <w:t>industry tournament incentive</w:t>
      </w:r>
      <w:r w:rsidR="00770F35" w:rsidRPr="00F05B90">
        <w:rPr>
          <w:lang w:val="en-GB"/>
        </w:rPr>
        <w:t>s</w:t>
      </w:r>
      <w:r w:rsidRPr="00F05B90">
        <w:rPr>
          <w:lang w:val="en-GB"/>
        </w:rPr>
        <w:t xml:space="preserve"> </w:t>
      </w:r>
      <w:r w:rsidRPr="00F05B90">
        <w:rPr>
          <w:shd w:val="clear" w:color="auto" w:fill="FFFFFF"/>
          <w:lang w:val="en-GB"/>
        </w:rPr>
        <w:t>(</w:t>
      </w:r>
      <w:r w:rsidRPr="00F05B90">
        <w:rPr>
          <w:i/>
          <w:iCs/>
          <w:lang w:val="en-GB"/>
        </w:rPr>
        <w:t>Indgap</w:t>
      </w:r>
      <w:r w:rsidRPr="00F05B90">
        <w:rPr>
          <w:shd w:val="clear" w:color="auto" w:fill="FFFFFF"/>
          <w:lang w:val="en-GB"/>
        </w:rPr>
        <w:t>) and auditors</w:t>
      </w:r>
      <w:r w:rsidR="00770F35" w:rsidRPr="00F05B90">
        <w:rPr>
          <w:shd w:val="clear" w:color="auto" w:fill="FFFFFF"/>
          <w:lang w:val="en-GB"/>
        </w:rPr>
        <w:t>’</w:t>
      </w:r>
      <w:r w:rsidRPr="00F05B90">
        <w:rPr>
          <w:shd w:val="clear" w:color="auto" w:fill="FFFFFF"/>
          <w:lang w:val="en-GB"/>
        </w:rPr>
        <w:t xml:space="preserve"> </w:t>
      </w:r>
      <w:r w:rsidR="00E81CBA" w:rsidRPr="00F05B90">
        <w:rPr>
          <w:shd w:val="clear" w:color="auto" w:fill="FFFFFF"/>
          <w:lang w:val="en-GB"/>
        </w:rPr>
        <w:t>professional judgement</w:t>
      </w:r>
      <w:r w:rsidR="00347F56" w:rsidRPr="00F05B90">
        <w:rPr>
          <w:shd w:val="clear" w:color="auto" w:fill="FFFFFF"/>
          <w:lang w:val="en-GB"/>
        </w:rPr>
        <w:t>, measured by</w:t>
      </w:r>
      <w:r w:rsidRPr="00F05B90">
        <w:rPr>
          <w:shd w:val="clear" w:color="auto" w:fill="FFFFFF"/>
          <w:lang w:val="en-GB"/>
        </w:rPr>
        <w:t xml:space="preserve"> </w:t>
      </w:r>
      <w:r w:rsidR="00347F56" w:rsidRPr="00F05B90">
        <w:rPr>
          <w:shd w:val="clear" w:color="auto" w:fill="FFFFFF"/>
          <w:lang w:val="en-GB"/>
        </w:rPr>
        <w:t xml:space="preserve">number of </w:t>
      </w:r>
      <w:r w:rsidRPr="00F05B90">
        <w:rPr>
          <w:i/>
          <w:iCs/>
          <w:shd w:val="clear" w:color="auto" w:fill="FFFFFF"/>
          <w:lang w:val="en-GB"/>
        </w:rPr>
        <w:t xml:space="preserve">KAM </w:t>
      </w:r>
      <w:r w:rsidRPr="00F05B90">
        <w:rPr>
          <w:shd w:val="clear" w:color="auto" w:fill="FFFFFF"/>
          <w:lang w:val="en-GB"/>
        </w:rPr>
        <w:t xml:space="preserve">and </w:t>
      </w:r>
      <w:r w:rsidRPr="00F05B90">
        <w:rPr>
          <w:i/>
          <w:iCs/>
          <w:shd w:val="clear" w:color="auto" w:fill="FFFFFF"/>
          <w:lang w:val="en-GB"/>
        </w:rPr>
        <w:t>MAT</w:t>
      </w:r>
      <w:r w:rsidR="00347F56" w:rsidRPr="00F05B90">
        <w:rPr>
          <w:i/>
          <w:iCs/>
          <w:shd w:val="clear" w:color="auto" w:fill="FFFFFF"/>
          <w:lang w:val="en-GB"/>
        </w:rPr>
        <w:t xml:space="preserve"> level</w:t>
      </w:r>
      <w:r w:rsidRPr="00F05B90">
        <w:rPr>
          <w:shd w:val="clear" w:color="auto" w:fill="FFFFFF"/>
          <w:lang w:val="en-GB"/>
        </w:rPr>
        <w:t xml:space="preserve">. </w:t>
      </w:r>
      <w:r w:rsidR="00E269E4" w:rsidRPr="00F05B90">
        <w:rPr>
          <w:shd w:val="clear" w:color="auto" w:fill="FFFFFF"/>
          <w:lang w:val="en-GB"/>
        </w:rPr>
        <w:t xml:space="preserve">As </w:t>
      </w:r>
      <w:r w:rsidR="00347F56" w:rsidRPr="00F05B90">
        <w:rPr>
          <w:shd w:val="clear" w:color="auto" w:fill="FFFFFF"/>
          <w:lang w:val="en-GB"/>
        </w:rPr>
        <w:t xml:space="preserve">shown </w:t>
      </w:r>
      <w:r w:rsidRPr="00F05B90">
        <w:rPr>
          <w:shd w:val="clear" w:color="auto" w:fill="FFFFFF"/>
          <w:lang w:val="en-GB"/>
        </w:rPr>
        <w:t xml:space="preserve">in </w:t>
      </w:r>
      <w:r w:rsidR="00347F56" w:rsidRPr="00F05B90">
        <w:rPr>
          <w:shd w:val="clear" w:color="auto" w:fill="FFFFFF"/>
          <w:lang w:val="en-GB"/>
        </w:rPr>
        <w:t>Columns (1) and (2)</w:t>
      </w:r>
      <w:r w:rsidR="0051487E" w:rsidRPr="00F05B90">
        <w:rPr>
          <w:shd w:val="clear" w:color="auto" w:fill="FFFFFF"/>
          <w:lang w:val="en-GB"/>
        </w:rPr>
        <w:t xml:space="preserve"> of </w:t>
      </w:r>
      <w:r w:rsidR="00770F35" w:rsidRPr="00F05B90">
        <w:rPr>
          <w:shd w:val="clear" w:color="auto" w:fill="FFFFFF"/>
          <w:lang w:val="en-GB"/>
        </w:rPr>
        <w:t>T</w:t>
      </w:r>
      <w:r w:rsidRPr="00F05B90">
        <w:rPr>
          <w:shd w:val="clear" w:color="auto" w:fill="FFFFFF"/>
          <w:lang w:val="en-GB"/>
        </w:rPr>
        <w:t>able 4</w:t>
      </w:r>
      <w:r w:rsidR="00770F35" w:rsidRPr="00F05B90">
        <w:rPr>
          <w:shd w:val="clear" w:color="auto" w:fill="FFFFFF"/>
          <w:lang w:val="en-GB"/>
        </w:rPr>
        <w:t>,</w:t>
      </w:r>
      <w:r w:rsidRPr="00F05B90">
        <w:rPr>
          <w:shd w:val="clear" w:color="auto" w:fill="FFFFFF"/>
          <w:lang w:val="en-GB"/>
        </w:rPr>
        <w:t xml:space="preserve"> </w:t>
      </w:r>
      <w:r w:rsidRPr="00F05B90">
        <w:rPr>
          <w:i/>
          <w:iCs/>
          <w:lang w:val="en-GB"/>
        </w:rPr>
        <w:t>Indgap</w:t>
      </w:r>
      <w:r w:rsidRPr="00F05B90">
        <w:rPr>
          <w:shd w:val="clear" w:color="auto" w:fill="FFFFFF"/>
          <w:lang w:val="en-GB"/>
        </w:rPr>
        <w:t xml:space="preserve"> is negatively</w:t>
      </w:r>
      <w:r w:rsidR="0051487E" w:rsidRPr="00F05B90">
        <w:rPr>
          <w:shd w:val="clear" w:color="auto" w:fill="FFFFFF"/>
          <w:lang w:val="en-GB"/>
        </w:rPr>
        <w:t xml:space="preserve"> and significantly</w:t>
      </w:r>
      <w:r w:rsidRPr="00F05B90">
        <w:rPr>
          <w:shd w:val="clear" w:color="auto" w:fill="FFFFFF"/>
          <w:lang w:val="en-GB"/>
        </w:rPr>
        <w:t xml:space="preserve"> associated with </w:t>
      </w:r>
      <w:r w:rsidRPr="00F05B90">
        <w:rPr>
          <w:i/>
          <w:iCs/>
          <w:shd w:val="clear" w:color="auto" w:fill="FFFFFF"/>
          <w:lang w:val="en-GB"/>
        </w:rPr>
        <w:t>KAM</w:t>
      </w:r>
      <w:r w:rsidR="0051487E" w:rsidRPr="00F05B90">
        <w:rPr>
          <w:shd w:val="clear" w:color="auto" w:fill="FFFFFF"/>
          <w:lang w:val="en-GB"/>
        </w:rPr>
        <w:t xml:space="preserve"> (</w:t>
      </w:r>
      <w:r w:rsidRPr="00F05B90">
        <w:rPr>
          <w:shd w:val="clear" w:color="auto" w:fill="FFFFFF"/>
          <w:lang w:val="en-GB"/>
        </w:rPr>
        <w:t>coefficient</w:t>
      </w:r>
      <w:r w:rsidR="0051487E" w:rsidRPr="00F05B90">
        <w:rPr>
          <w:shd w:val="clear" w:color="auto" w:fill="FFFFFF"/>
          <w:lang w:val="en-GB"/>
        </w:rPr>
        <w:t xml:space="preserve"> = </w:t>
      </w:r>
      <w:r w:rsidRPr="00F05B90">
        <w:rPr>
          <w:lang w:val="en-GB"/>
        </w:rPr>
        <w:t>-0.049</w:t>
      </w:r>
      <w:r w:rsidR="0051487E" w:rsidRPr="00F05B90">
        <w:rPr>
          <w:lang w:val="en-GB"/>
        </w:rPr>
        <w:t xml:space="preserve">, </w:t>
      </w:r>
      <w:r w:rsidRPr="00F05B90">
        <w:rPr>
          <w:lang w:val="en-GB"/>
        </w:rPr>
        <w:t>p</w:t>
      </w:r>
      <w:r w:rsidR="0051487E" w:rsidRPr="00F05B90">
        <w:rPr>
          <w:lang w:val="en-GB"/>
        </w:rPr>
        <w:t xml:space="preserve"> </w:t>
      </w:r>
      <w:r w:rsidRPr="00F05B90">
        <w:rPr>
          <w:lang w:val="en-GB"/>
        </w:rPr>
        <w:t>&lt;</w:t>
      </w:r>
      <w:r w:rsidR="0051487E" w:rsidRPr="00F05B90">
        <w:rPr>
          <w:lang w:val="en-GB"/>
        </w:rPr>
        <w:t xml:space="preserve"> </w:t>
      </w:r>
      <w:r w:rsidRPr="00F05B90">
        <w:rPr>
          <w:lang w:val="en-GB"/>
        </w:rPr>
        <w:t>1%), while</w:t>
      </w:r>
      <w:r w:rsidR="0051487E" w:rsidRPr="00F05B90">
        <w:rPr>
          <w:lang w:val="en-GB"/>
        </w:rPr>
        <w:t xml:space="preserve"> it </w:t>
      </w:r>
      <w:r w:rsidRPr="00F05B90">
        <w:rPr>
          <w:lang w:val="en-GB"/>
        </w:rPr>
        <w:t>is</w:t>
      </w:r>
      <w:r w:rsidRPr="00F05B90">
        <w:rPr>
          <w:shd w:val="clear" w:color="auto" w:fill="FFFFFF"/>
          <w:lang w:val="en-GB"/>
        </w:rPr>
        <w:t xml:space="preserve"> positively associated with </w:t>
      </w:r>
      <w:r w:rsidRPr="00F05B90">
        <w:rPr>
          <w:i/>
          <w:iCs/>
          <w:shd w:val="clear" w:color="auto" w:fill="FFFFFF"/>
          <w:lang w:val="en-GB"/>
        </w:rPr>
        <w:t>MAT</w:t>
      </w:r>
      <w:r w:rsidR="0051487E" w:rsidRPr="00F05B90">
        <w:rPr>
          <w:shd w:val="clear" w:color="auto" w:fill="FFFFFF"/>
          <w:lang w:val="en-GB"/>
        </w:rPr>
        <w:t xml:space="preserve"> (</w:t>
      </w:r>
      <w:r w:rsidRPr="00F05B90">
        <w:rPr>
          <w:shd w:val="clear" w:color="auto" w:fill="FFFFFF"/>
          <w:lang w:val="en-GB"/>
        </w:rPr>
        <w:t>coefficient</w:t>
      </w:r>
      <w:r w:rsidR="0051487E" w:rsidRPr="00F05B90">
        <w:rPr>
          <w:shd w:val="clear" w:color="auto" w:fill="FFFFFF"/>
          <w:lang w:val="en-GB"/>
        </w:rPr>
        <w:t xml:space="preserve"> = </w:t>
      </w:r>
      <w:r w:rsidRPr="00F05B90">
        <w:rPr>
          <w:lang w:val="en-GB"/>
        </w:rPr>
        <w:t>0.013</w:t>
      </w:r>
      <w:r w:rsidR="0051487E" w:rsidRPr="00F05B90">
        <w:rPr>
          <w:lang w:val="en-GB"/>
        </w:rPr>
        <w:t xml:space="preserve">, </w:t>
      </w:r>
      <w:r w:rsidRPr="00F05B90">
        <w:rPr>
          <w:lang w:val="en-GB"/>
        </w:rPr>
        <w:t>p</w:t>
      </w:r>
      <w:r w:rsidR="0051487E" w:rsidRPr="00F05B90">
        <w:rPr>
          <w:lang w:val="en-GB"/>
        </w:rPr>
        <w:t xml:space="preserve"> </w:t>
      </w:r>
      <w:r w:rsidRPr="00F05B90">
        <w:rPr>
          <w:lang w:val="en-GB"/>
        </w:rPr>
        <w:t>&lt;</w:t>
      </w:r>
      <w:r w:rsidR="0051487E" w:rsidRPr="00F05B90">
        <w:rPr>
          <w:lang w:val="en-GB"/>
        </w:rPr>
        <w:t xml:space="preserve"> </w:t>
      </w:r>
      <w:r w:rsidRPr="00F05B90">
        <w:rPr>
          <w:lang w:val="en-GB"/>
        </w:rPr>
        <w:t>5%)</w:t>
      </w:r>
      <w:r w:rsidRPr="00F05B90">
        <w:rPr>
          <w:shd w:val="clear" w:color="auto" w:fill="FFFFFF"/>
          <w:lang w:val="en-GB"/>
        </w:rPr>
        <w:t>.</w:t>
      </w:r>
      <w:r w:rsidR="00A65D3C" w:rsidRPr="00F05B90">
        <w:rPr>
          <w:shd w:val="clear" w:color="auto" w:fill="FFFFFF"/>
          <w:lang w:val="en-GB"/>
        </w:rPr>
        <w:t xml:space="preserve"> </w:t>
      </w:r>
      <w:r w:rsidRPr="00F05B90">
        <w:rPr>
          <w:shd w:val="clear" w:color="auto" w:fill="FFFFFF"/>
          <w:lang w:val="en-GB"/>
        </w:rPr>
        <w:t xml:space="preserve">To assess the economic significance of </w:t>
      </w:r>
      <w:r w:rsidR="0051487E" w:rsidRPr="00F05B90">
        <w:rPr>
          <w:shd w:val="clear" w:color="auto" w:fill="FFFFFF"/>
          <w:lang w:val="en-GB"/>
        </w:rPr>
        <w:t>these</w:t>
      </w:r>
      <w:r w:rsidRPr="00F05B90">
        <w:rPr>
          <w:shd w:val="clear" w:color="auto" w:fill="FFFFFF"/>
          <w:lang w:val="en-GB"/>
        </w:rPr>
        <w:t xml:space="preserve"> results, we multiply the coefficient estimates o</w:t>
      </w:r>
      <w:r w:rsidR="0051487E" w:rsidRPr="00F05B90">
        <w:rPr>
          <w:shd w:val="clear" w:color="auto" w:fill="FFFFFF"/>
          <w:lang w:val="en-GB"/>
        </w:rPr>
        <w:t>f</w:t>
      </w:r>
      <w:r w:rsidRPr="00F05B90">
        <w:rPr>
          <w:shd w:val="clear" w:color="auto" w:fill="FFFFFF"/>
          <w:lang w:val="en-GB"/>
        </w:rPr>
        <w:t xml:space="preserve"> </w:t>
      </w:r>
      <w:r w:rsidRPr="00F05B90">
        <w:rPr>
          <w:i/>
          <w:iCs/>
          <w:shd w:val="clear" w:color="auto" w:fill="FFFFFF"/>
          <w:lang w:val="en-GB"/>
        </w:rPr>
        <w:t>Indgap</w:t>
      </w:r>
      <w:r w:rsidRPr="00F05B90">
        <w:rPr>
          <w:shd w:val="clear" w:color="auto" w:fill="FFFFFF"/>
          <w:lang w:val="en-GB"/>
        </w:rPr>
        <w:t xml:space="preserve"> </w:t>
      </w:r>
      <w:r w:rsidR="0051487E" w:rsidRPr="00F05B90">
        <w:rPr>
          <w:shd w:val="clear" w:color="auto" w:fill="FFFFFF"/>
          <w:lang w:val="en-GB"/>
        </w:rPr>
        <w:t>by its sample standard deviation (</w:t>
      </w:r>
      <w:r w:rsidR="0051487E" w:rsidRPr="00F05B90">
        <w:rPr>
          <w:lang w:val="en-GB"/>
        </w:rPr>
        <w:t xml:space="preserve">3.3, as </w:t>
      </w:r>
      <w:r w:rsidR="0051487E" w:rsidRPr="00F05B90">
        <w:rPr>
          <w:shd w:val="clear" w:color="auto" w:fill="FFFFFF"/>
          <w:lang w:val="en-GB"/>
        </w:rPr>
        <w:t xml:space="preserve">reported in Table 2). </w:t>
      </w:r>
      <w:r w:rsidRPr="00F05B90">
        <w:rPr>
          <w:shd w:val="clear" w:color="auto" w:fill="FFFFFF"/>
          <w:lang w:val="en-GB"/>
        </w:rPr>
        <w:t>The results indicate that</w:t>
      </w:r>
      <w:r w:rsidR="00A65D3C" w:rsidRPr="00F05B90">
        <w:rPr>
          <w:shd w:val="clear" w:color="auto" w:fill="FFFFFF"/>
          <w:lang w:val="en-GB"/>
        </w:rPr>
        <w:t xml:space="preserve"> a </w:t>
      </w:r>
      <w:r w:rsidRPr="00F05B90">
        <w:rPr>
          <w:shd w:val="clear" w:color="auto" w:fill="FFFFFF"/>
          <w:lang w:val="en-GB"/>
        </w:rPr>
        <w:t xml:space="preserve">one standard deviation </w:t>
      </w:r>
      <w:r w:rsidRPr="00F05B90">
        <w:rPr>
          <w:shd w:val="clear" w:color="auto" w:fill="FFFFFF"/>
          <w:lang w:val="en-GB"/>
        </w:rPr>
        <w:lastRenderedPageBreak/>
        <w:t xml:space="preserve">increase in </w:t>
      </w:r>
      <w:r w:rsidRPr="00F05B90">
        <w:rPr>
          <w:i/>
          <w:iCs/>
          <w:shd w:val="clear" w:color="auto" w:fill="FFFFFF"/>
          <w:lang w:val="en-GB"/>
        </w:rPr>
        <w:t>Indgap</w:t>
      </w:r>
      <w:r w:rsidRPr="00F05B90">
        <w:rPr>
          <w:shd w:val="clear" w:color="auto" w:fill="FFFFFF"/>
          <w:lang w:val="en-GB"/>
        </w:rPr>
        <w:t xml:space="preserve"> is associated wit</w:t>
      </w:r>
      <w:r w:rsidR="0077120A" w:rsidRPr="00F05B90">
        <w:rPr>
          <w:shd w:val="clear" w:color="auto" w:fill="FFFFFF"/>
          <w:lang w:val="en-GB"/>
        </w:rPr>
        <w:t xml:space="preserve">h an approximate 16 </w:t>
      </w:r>
      <w:r w:rsidR="00FB5D70" w:rsidRPr="00F05B90">
        <w:rPr>
          <w:shd w:val="clear" w:color="auto" w:fill="FFFFFF"/>
          <w:lang w:val="en-GB"/>
        </w:rPr>
        <w:t>%</w:t>
      </w:r>
      <w:r w:rsidRPr="00F05B90">
        <w:rPr>
          <w:shd w:val="clear" w:color="auto" w:fill="FFFFFF"/>
          <w:lang w:val="en-GB"/>
        </w:rPr>
        <w:t xml:space="preserve"> decrease in </w:t>
      </w:r>
      <w:r w:rsidRPr="00F05B90">
        <w:rPr>
          <w:i/>
          <w:iCs/>
          <w:shd w:val="clear" w:color="auto" w:fill="FFFFFF"/>
          <w:lang w:val="en-GB"/>
        </w:rPr>
        <w:t>KAM</w:t>
      </w:r>
      <w:r w:rsidR="00A65D3C" w:rsidRPr="00F05B90">
        <w:rPr>
          <w:i/>
          <w:iCs/>
          <w:shd w:val="clear" w:color="auto" w:fill="FFFFFF"/>
          <w:lang w:val="en-GB"/>
        </w:rPr>
        <w:t xml:space="preserve"> </w:t>
      </w:r>
      <w:r w:rsidR="00A65D3C" w:rsidRPr="00F05B90">
        <w:rPr>
          <w:shd w:val="clear" w:color="auto" w:fill="FFFFFF"/>
          <w:lang w:val="en-GB"/>
        </w:rPr>
        <w:t xml:space="preserve">and </w:t>
      </w:r>
      <w:r w:rsidRPr="00F05B90">
        <w:rPr>
          <w:shd w:val="clear" w:color="auto" w:fill="FFFFFF"/>
          <w:lang w:val="en-GB"/>
        </w:rPr>
        <w:t>4</w:t>
      </w:r>
      <w:r w:rsidR="00FB5D70" w:rsidRPr="00F05B90">
        <w:rPr>
          <w:shd w:val="clear" w:color="auto" w:fill="FFFFFF"/>
          <w:lang w:val="en-GB"/>
        </w:rPr>
        <w:t>%</w:t>
      </w:r>
      <w:r w:rsidRPr="00F05B90">
        <w:rPr>
          <w:shd w:val="clear" w:color="auto" w:fill="FFFFFF"/>
          <w:lang w:val="en-GB"/>
        </w:rPr>
        <w:t xml:space="preserve"> increase in </w:t>
      </w:r>
      <w:r w:rsidRPr="00F05B90">
        <w:rPr>
          <w:i/>
          <w:iCs/>
          <w:shd w:val="clear" w:color="auto" w:fill="FFFFFF"/>
          <w:lang w:val="en-GB"/>
        </w:rPr>
        <w:t>MAT</w:t>
      </w:r>
      <w:r w:rsidR="00527598" w:rsidRPr="00F05B90">
        <w:rPr>
          <w:rStyle w:val="FootnoteReference"/>
          <w:i/>
          <w:iCs/>
          <w:shd w:val="clear" w:color="auto" w:fill="FFFFFF"/>
          <w:lang w:val="en-GB"/>
        </w:rPr>
        <w:footnoteReference w:id="11"/>
      </w:r>
      <w:r w:rsidRPr="00F05B90">
        <w:rPr>
          <w:shd w:val="clear" w:color="auto" w:fill="FFFFFF"/>
          <w:lang w:val="en-GB"/>
        </w:rPr>
        <w:t>.</w:t>
      </w:r>
    </w:p>
    <w:p w14:paraId="3782B125" w14:textId="3F44E34D" w:rsidR="0021636D" w:rsidRPr="00F05B90" w:rsidRDefault="00F80955" w:rsidP="001D4903">
      <w:pPr>
        <w:spacing w:before="240" w:after="240" w:line="360" w:lineRule="auto"/>
        <w:jc w:val="both"/>
      </w:pPr>
      <w:r w:rsidRPr="00F05B90">
        <w:rPr>
          <w:lang w:val="en-GB"/>
        </w:rPr>
        <w:t xml:space="preserve">These results </w:t>
      </w:r>
      <w:r w:rsidR="006C19D7" w:rsidRPr="00F05B90">
        <w:rPr>
          <w:lang w:val="en-GB"/>
        </w:rPr>
        <w:t xml:space="preserve">support </w:t>
      </w:r>
      <w:r w:rsidR="00FB5D70" w:rsidRPr="00F05B90">
        <w:rPr>
          <w:lang w:val="en-GB"/>
        </w:rPr>
        <w:t>H</w:t>
      </w:r>
      <w:r w:rsidR="006C19D7" w:rsidRPr="00F05B90">
        <w:rPr>
          <w:lang w:val="en-GB"/>
        </w:rPr>
        <w:t>ypothes</w:t>
      </w:r>
      <w:r w:rsidR="00341E24" w:rsidRPr="00F05B90">
        <w:rPr>
          <w:lang w:val="en-GB"/>
        </w:rPr>
        <w:t>e</w:t>
      </w:r>
      <w:r w:rsidR="006C19D7" w:rsidRPr="00F05B90">
        <w:rPr>
          <w:lang w:val="en-GB"/>
        </w:rPr>
        <w:t>s 1a</w:t>
      </w:r>
      <w:r w:rsidR="00A65D3C" w:rsidRPr="00F05B90">
        <w:rPr>
          <w:lang w:val="en-GB"/>
        </w:rPr>
        <w:t xml:space="preserve"> and </w:t>
      </w:r>
      <w:r w:rsidR="00341E24" w:rsidRPr="00F05B90">
        <w:rPr>
          <w:lang w:val="en-GB"/>
        </w:rPr>
        <w:t>1b</w:t>
      </w:r>
      <w:r w:rsidR="00A65D3C" w:rsidRPr="00F05B90">
        <w:rPr>
          <w:lang w:val="en-GB"/>
        </w:rPr>
        <w:t xml:space="preserve">, suggesting </w:t>
      </w:r>
      <w:r w:rsidRPr="00F05B90">
        <w:rPr>
          <w:lang w:val="en-GB"/>
        </w:rPr>
        <w:t>that</w:t>
      </w:r>
      <w:r w:rsidR="00FB5D70" w:rsidRPr="00F05B90">
        <w:rPr>
          <w:lang w:val="en-GB"/>
        </w:rPr>
        <w:t xml:space="preserve"> </w:t>
      </w:r>
      <w:r w:rsidR="00A65D3C" w:rsidRPr="00F05B90">
        <w:rPr>
          <w:lang w:val="en-GB"/>
        </w:rPr>
        <w:t xml:space="preserve">stronger </w:t>
      </w:r>
      <w:r w:rsidRPr="00F05B90">
        <w:rPr>
          <w:lang w:val="en-GB"/>
        </w:rPr>
        <w:t>industry tournament incentive</w:t>
      </w:r>
      <w:r w:rsidR="00A65D3C" w:rsidRPr="00F05B90">
        <w:rPr>
          <w:lang w:val="en-GB"/>
        </w:rPr>
        <w:t>s</w:t>
      </w:r>
      <w:r w:rsidRPr="00F05B90">
        <w:rPr>
          <w:lang w:val="en-GB"/>
        </w:rPr>
        <w:t xml:space="preserve"> </w:t>
      </w:r>
      <w:r w:rsidR="00A65D3C" w:rsidRPr="00F05B90">
        <w:rPr>
          <w:lang w:val="en-GB"/>
        </w:rPr>
        <w:t xml:space="preserve">are linked to </w:t>
      </w:r>
      <w:r w:rsidRPr="00F05B90">
        <w:rPr>
          <w:lang w:val="en-GB"/>
        </w:rPr>
        <w:t xml:space="preserve">auditor professional </w:t>
      </w:r>
      <w:r w:rsidR="00E81CBA" w:rsidRPr="00F05B90">
        <w:rPr>
          <w:lang w:val="en-GB"/>
        </w:rPr>
        <w:t>judgment</w:t>
      </w:r>
      <w:r w:rsidR="00640A27" w:rsidRPr="00F05B90">
        <w:rPr>
          <w:lang w:val="en-GB"/>
        </w:rPr>
        <w:t xml:space="preserve">. </w:t>
      </w:r>
      <w:r w:rsidR="00A65D3C" w:rsidRPr="00F05B90">
        <w:rPr>
          <w:lang w:val="en-GB"/>
        </w:rPr>
        <w:t xml:space="preserve">This may be because such </w:t>
      </w:r>
      <w:r w:rsidR="00E448D0" w:rsidRPr="00F05B90">
        <w:rPr>
          <w:lang w:val="en-GB"/>
        </w:rPr>
        <w:t xml:space="preserve">incentives </w:t>
      </w:r>
      <w:r w:rsidR="00A65D3C" w:rsidRPr="00F05B90">
        <w:rPr>
          <w:lang w:val="en-GB"/>
        </w:rPr>
        <w:t xml:space="preserve">mitigate </w:t>
      </w:r>
      <w:r w:rsidR="00E448D0" w:rsidRPr="00F05B90">
        <w:rPr>
          <w:lang w:val="en-GB"/>
        </w:rPr>
        <w:t>agency problem</w:t>
      </w:r>
      <w:r w:rsidR="00A65D3C" w:rsidRPr="00F05B90">
        <w:rPr>
          <w:lang w:val="en-GB"/>
        </w:rPr>
        <w:t>s</w:t>
      </w:r>
      <w:r w:rsidR="00E448D0" w:rsidRPr="00F05B90">
        <w:rPr>
          <w:lang w:val="en-GB"/>
        </w:rPr>
        <w:t xml:space="preserve"> and </w:t>
      </w:r>
      <w:r w:rsidR="00A65D3C" w:rsidRPr="00F05B90">
        <w:rPr>
          <w:lang w:val="en-GB"/>
        </w:rPr>
        <w:t xml:space="preserve">reduce the perceived </w:t>
      </w:r>
      <w:r w:rsidR="00E448D0" w:rsidRPr="00F05B90">
        <w:rPr>
          <w:lang w:val="en-GB"/>
        </w:rPr>
        <w:t>risk of earnings management</w:t>
      </w:r>
      <w:r w:rsidR="00A65D3C" w:rsidRPr="00F05B90">
        <w:rPr>
          <w:lang w:val="en-GB"/>
        </w:rPr>
        <w:t xml:space="preserve">, leading auditors to adjust their </w:t>
      </w:r>
      <w:r w:rsidR="00E448D0" w:rsidRPr="00F05B90">
        <w:rPr>
          <w:lang w:val="en-GB"/>
        </w:rPr>
        <w:t xml:space="preserve">risk </w:t>
      </w:r>
      <w:r w:rsidR="00A65D3C" w:rsidRPr="00F05B90">
        <w:rPr>
          <w:lang w:val="en-GB"/>
        </w:rPr>
        <w:t>assessment accordingly</w:t>
      </w:r>
      <w:r w:rsidR="00E448D0" w:rsidRPr="00F05B90">
        <w:rPr>
          <w:lang w:val="en-GB"/>
        </w:rPr>
        <w:t xml:space="preserve">.  </w:t>
      </w:r>
      <w:r w:rsidR="00537CEF" w:rsidRPr="00F05B90">
        <w:rPr>
          <w:lang w:val="en-GB"/>
        </w:rPr>
        <w:t>O</w:t>
      </w:r>
      <w:r w:rsidR="00640A27" w:rsidRPr="00F05B90">
        <w:rPr>
          <w:lang w:val="en-GB"/>
        </w:rPr>
        <w:t xml:space="preserve">ur </w:t>
      </w:r>
      <w:r w:rsidRPr="00F05B90">
        <w:rPr>
          <w:lang w:val="en-GB"/>
        </w:rPr>
        <w:t xml:space="preserve">results </w:t>
      </w:r>
      <w:r w:rsidR="00537CEF" w:rsidRPr="00F05B90">
        <w:rPr>
          <w:lang w:val="en-GB"/>
        </w:rPr>
        <w:t xml:space="preserve">align </w:t>
      </w:r>
      <w:r w:rsidR="00640A27" w:rsidRPr="00F05B90">
        <w:rPr>
          <w:lang w:val="en-GB"/>
        </w:rPr>
        <w:t>with Tan (2021)</w:t>
      </w:r>
      <w:r w:rsidR="00537CEF" w:rsidRPr="00F05B90">
        <w:rPr>
          <w:lang w:val="en-GB"/>
        </w:rPr>
        <w:t xml:space="preserve">, indicating </w:t>
      </w:r>
      <w:r w:rsidRPr="00F05B90">
        <w:rPr>
          <w:lang w:val="en-GB"/>
        </w:rPr>
        <w:t xml:space="preserve">that auditors </w:t>
      </w:r>
      <w:r w:rsidR="00AC66CD" w:rsidRPr="00F05B90">
        <w:rPr>
          <w:lang w:val="en-GB"/>
        </w:rPr>
        <w:t>r</w:t>
      </w:r>
      <w:r w:rsidR="00222533" w:rsidRPr="00F05B90">
        <w:rPr>
          <w:lang w:val="en-GB"/>
        </w:rPr>
        <w:t>ecognize</w:t>
      </w:r>
      <w:r w:rsidRPr="00F05B90">
        <w:rPr>
          <w:lang w:val="en-GB"/>
        </w:rPr>
        <w:t xml:space="preserve"> the </w:t>
      </w:r>
      <w:r w:rsidR="00537CEF" w:rsidRPr="00F05B90">
        <w:rPr>
          <w:lang w:val="en-GB"/>
        </w:rPr>
        <w:t xml:space="preserve">reduced </w:t>
      </w:r>
      <w:r w:rsidRPr="00F05B90">
        <w:rPr>
          <w:lang w:val="en-GB"/>
        </w:rPr>
        <w:t xml:space="preserve">audit risk </w:t>
      </w:r>
      <w:r w:rsidR="00537CEF" w:rsidRPr="00F05B90">
        <w:rPr>
          <w:lang w:val="en-GB"/>
        </w:rPr>
        <w:t xml:space="preserve">associated with higher </w:t>
      </w:r>
      <w:r w:rsidRPr="00F05B90">
        <w:rPr>
          <w:lang w:val="en-GB"/>
        </w:rPr>
        <w:t xml:space="preserve">industry tournament incentives </w:t>
      </w:r>
      <w:r w:rsidR="00620AAE" w:rsidRPr="00F05B90">
        <w:rPr>
          <w:lang w:val="en-GB"/>
        </w:rPr>
        <w:t xml:space="preserve">and </w:t>
      </w:r>
      <w:r w:rsidR="00537CEF" w:rsidRPr="00F05B90">
        <w:rPr>
          <w:lang w:val="en-GB"/>
        </w:rPr>
        <w:t xml:space="preserve">consequently scale back </w:t>
      </w:r>
      <w:r w:rsidRPr="00F05B90">
        <w:rPr>
          <w:lang w:val="en-GB"/>
        </w:rPr>
        <w:t xml:space="preserve">the </w:t>
      </w:r>
      <w:r w:rsidR="00537CEF" w:rsidRPr="00F05B90">
        <w:rPr>
          <w:lang w:val="en-GB"/>
        </w:rPr>
        <w:t xml:space="preserve">scope and </w:t>
      </w:r>
      <w:r w:rsidRPr="00F05B90">
        <w:rPr>
          <w:lang w:val="en-GB"/>
        </w:rPr>
        <w:t>breadth of the</w:t>
      </w:r>
      <w:r w:rsidR="00537CEF" w:rsidRPr="00F05B90">
        <w:rPr>
          <w:lang w:val="en-GB"/>
        </w:rPr>
        <w:t>ir</w:t>
      </w:r>
      <w:r w:rsidRPr="00F05B90">
        <w:rPr>
          <w:lang w:val="en-GB"/>
        </w:rPr>
        <w:t xml:space="preserve"> audit plan</w:t>
      </w:r>
      <w:r w:rsidR="00537CEF" w:rsidRPr="00F05B90">
        <w:rPr>
          <w:lang w:val="en-GB"/>
        </w:rPr>
        <w:t>s</w:t>
      </w:r>
      <w:r w:rsidRPr="00F05B90">
        <w:rPr>
          <w:lang w:val="en-GB"/>
        </w:rPr>
        <w:t xml:space="preserve">. </w:t>
      </w:r>
      <w:r w:rsidR="00537CEF" w:rsidRPr="00F05B90">
        <w:rPr>
          <w:lang w:val="en-GB"/>
        </w:rPr>
        <w:t xml:space="preserve">Conversely, </w:t>
      </w:r>
      <w:r w:rsidR="00E448D0" w:rsidRPr="00F05B90">
        <w:t xml:space="preserve">lower industry tournament incentives </w:t>
      </w:r>
      <w:r w:rsidR="00537CEF" w:rsidRPr="00F05B90">
        <w:t>lead to more extensive audit procedures</w:t>
      </w:r>
      <w:r w:rsidR="00E448D0" w:rsidRPr="00F05B90">
        <w:t>.</w:t>
      </w:r>
      <w:r w:rsidR="009308F4" w:rsidRPr="00F05B90">
        <w:rPr>
          <w:lang w:val="en-GB"/>
        </w:rPr>
        <w:t xml:space="preserve"> </w:t>
      </w:r>
      <w:r w:rsidR="00620AAE" w:rsidRPr="00F05B90">
        <w:t>While Tan (2021) imply that lower industry tournament incentives are associated with higher audit fees</w:t>
      </w:r>
      <w:r w:rsidR="001D4903" w:rsidRPr="00F05B90">
        <w:t xml:space="preserve">, </w:t>
      </w:r>
      <w:r w:rsidR="00620AAE" w:rsidRPr="00F05B90">
        <w:t xml:space="preserve">our </w:t>
      </w:r>
      <w:r w:rsidR="009308F4" w:rsidRPr="00F05B90">
        <w:t xml:space="preserve">results suggest </w:t>
      </w:r>
      <w:r w:rsidR="00620AAE" w:rsidRPr="00F05B90">
        <w:t>that the higher audit fees</w:t>
      </w:r>
      <w:r w:rsidR="009308F4" w:rsidRPr="00F05B90">
        <w:t xml:space="preserve"> in such cases </w:t>
      </w:r>
      <w:r w:rsidR="00620AAE" w:rsidRPr="00F05B90">
        <w:t xml:space="preserve">translate into </w:t>
      </w:r>
      <w:r w:rsidR="009308F4" w:rsidRPr="00F05B90">
        <w:t xml:space="preserve">meaningful increase in </w:t>
      </w:r>
      <w:r w:rsidR="00620AAE" w:rsidRPr="00F05B90">
        <w:t>auditor effort.</w:t>
      </w:r>
      <w:r w:rsidR="00A20119" w:rsidRPr="00F05B90">
        <w:t xml:space="preserve"> Th</w:t>
      </w:r>
      <w:r w:rsidR="009308F4" w:rsidRPr="00F05B90">
        <w:t>us</w:t>
      </w:r>
      <w:r w:rsidR="00A20119" w:rsidRPr="00F05B90">
        <w:t xml:space="preserve">, </w:t>
      </w:r>
      <w:r w:rsidR="009308F4" w:rsidRPr="00F05B90">
        <w:t xml:space="preserve">our findings </w:t>
      </w:r>
      <w:r w:rsidR="00A20119" w:rsidRPr="00F05B90">
        <w:t xml:space="preserve">contribute to </w:t>
      </w:r>
      <w:r w:rsidR="009308F4" w:rsidRPr="00F05B90">
        <w:t xml:space="preserve">the literature </w:t>
      </w:r>
      <w:r w:rsidR="00A20119" w:rsidRPr="00F05B90">
        <w:rPr>
          <w:lang w:val="en-GB"/>
        </w:rPr>
        <w:t xml:space="preserve">on audit quality and CEO equity-based compensation (e.g., </w:t>
      </w:r>
      <w:r w:rsidR="00A20119" w:rsidRPr="00F05B90">
        <w:t xml:space="preserve">Chen et al., 2015; Kannan et al., 2014; Kim et al., 2014, Tan, 2021) </w:t>
      </w:r>
      <w:r w:rsidR="005B1EEF" w:rsidRPr="00F05B90">
        <w:t xml:space="preserve">by demonstrating that </w:t>
      </w:r>
      <w:r w:rsidR="009308F4" w:rsidRPr="00F05B90">
        <w:t xml:space="preserve">auditors adjust </w:t>
      </w:r>
      <w:r w:rsidR="005B1EEF" w:rsidRPr="00F05B90">
        <w:t>the</w:t>
      </w:r>
      <w:r w:rsidR="009308F4" w:rsidRPr="00F05B90">
        <w:t>ir</w:t>
      </w:r>
      <w:r w:rsidR="005B1EEF" w:rsidRPr="00F05B90">
        <w:t xml:space="preserve"> </w:t>
      </w:r>
      <w:r w:rsidR="009308F4" w:rsidRPr="00F05B90">
        <w:t xml:space="preserve">audit plans based on the </w:t>
      </w:r>
      <w:r w:rsidR="005B1EEF" w:rsidRPr="00F05B90">
        <w:t xml:space="preserve">risks </w:t>
      </w:r>
      <w:r w:rsidR="009308F4" w:rsidRPr="00F05B90">
        <w:t xml:space="preserve">associated with </w:t>
      </w:r>
      <w:r w:rsidR="005B1EEF" w:rsidRPr="00F05B90">
        <w:t>CEO compensation</w:t>
      </w:r>
      <w:r w:rsidR="009308F4" w:rsidRPr="00F05B90">
        <w:t xml:space="preserve"> structures</w:t>
      </w:r>
      <w:r w:rsidR="005B1EEF" w:rsidRPr="00F05B90">
        <w:t xml:space="preserve">. </w:t>
      </w:r>
    </w:p>
    <w:p w14:paraId="7FA415FB" w14:textId="7F77DE41" w:rsidR="00F80955" w:rsidRPr="00F05B90" w:rsidRDefault="00F80955" w:rsidP="00B3493A">
      <w:pPr>
        <w:spacing w:before="240" w:after="240" w:line="360" w:lineRule="auto"/>
        <w:jc w:val="both"/>
        <w:rPr>
          <w:shd w:val="clear" w:color="auto" w:fill="FFFFFF"/>
          <w:lang w:val="en-GB"/>
        </w:rPr>
      </w:pPr>
      <w:r w:rsidRPr="00F05B90">
        <w:rPr>
          <w:lang w:val="en-GB"/>
        </w:rPr>
        <w:t>Results</w:t>
      </w:r>
      <w:r w:rsidRPr="00F05B90">
        <w:rPr>
          <w:rStyle w:val="CommentReference"/>
          <w:sz w:val="24"/>
          <w:szCs w:val="24"/>
          <w:lang w:val="en-GB"/>
        </w:rPr>
        <w:t xml:space="preserve"> </w:t>
      </w:r>
      <w:r w:rsidR="00FB5D70" w:rsidRPr="00F05B90">
        <w:rPr>
          <w:lang w:val="en-GB"/>
        </w:rPr>
        <w:t xml:space="preserve">for </w:t>
      </w:r>
      <w:r w:rsidRPr="00F05B90">
        <w:rPr>
          <w:lang w:val="en-GB"/>
        </w:rPr>
        <w:t xml:space="preserve">the control variables are </w:t>
      </w:r>
      <w:r w:rsidR="00C27FDA" w:rsidRPr="00F05B90">
        <w:rPr>
          <w:lang w:val="en-GB"/>
        </w:rPr>
        <w:t xml:space="preserve">largely aligned </w:t>
      </w:r>
      <w:r w:rsidRPr="00F05B90">
        <w:rPr>
          <w:lang w:val="en-GB"/>
        </w:rPr>
        <w:t xml:space="preserve">with prior research. </w:t>
      </w:r>
      <w:r w:rsidRPr="00F05B90">
        <w:rPr>
          <w:shd w:val="clear" w:color="auto" w:fill="FFFFFF"/>
          <w:lang w:val="en-GB"/>
        </w:rPr>
        <w:t xml:space="preserve">For example, </w:t>
      </w:r>
      <w:r w:rsidR="00C27FDA" w:rsidRPr="00F05B90">
        <w:rPr>
          <w:shd w:val="clear" w:color="auto" w:fill="FFFFFF"/>
          <w:lang w:val="en-GB"/>
        </w:rPr>
        <w:t>board independence (</w:t>
      </w:r>
      <w:r w:rsidR="00C27FDA" w:rsidRPr="00F05B90">
        <w:rPr>
          <w:i/>
          <w:iCs/>
          <w:lang w:val="en-GB"/>
        </w:rPr>
        <w:t>BoDIndep</w:t>
      </w:r>
      <w:r w:rsidR="00C27FDA" w:rsidRPr="00F05B90">
        <w:rPr>
          <w:lang w:val="en-GB"/>
        </w:rPr>
        <w:t xml:space="preserve">) is significantly and positively associated with </w:t>
      </w:r>
      <w:r w:rsidRPr="00F05B90">
        <w:rPr>
          <w:lang w:val="en-GB"/>
        </w:rPr>
        <w:t xml:space="preserve">both dimensions of auditor </w:t>
      </w:r>
      <w:r w:rsidR="00B3493A" w:rsidRPr="00F05B90">
        <w:rPr>
          <w:lang w:val="en-GB"/>
        </w:rPr>
        <w:t>judgment</w:t>
      </w:r>
      <w:r w:rsidR="00C27FDA" w:rsidRPr="00F05B90">
        <w:rPr>
          <w:lang w:val="en-GB"/>
        </w:rPr>
        <w:t xml:space="preserve">. Additionally, </w:t>
      </w:r>
      <w:r w:rsidR="00C27FDA" w:rsidRPr="00F05B90">
        <w:rPr>
          <w:shd w:val="clear" w:color="auto" w:fill="FFFFFF"/>
          <w:lang w:val="en-GB"/>
        </w:rPr>
        <w:t xml:space="preserve">we find </w:t>
      </w:r>
      <w:r w:rsidRPr="00F05B90">
        <w:rPr>
          <w:shd w:val="clear" w:color="auto" w:fill="FFFFFF"/>
          <w:lang w:val="en-GB"/>
        </w:rPr>
        <w:t xml:space="preserve">a negative and significant </w:t>
      </w:r>
      <w:r w:rsidR="00C27FDA" w:rsidRPr="00F05B90">
        <w:rPr>
          <w:shd w:val="clear" w:color="auto" w:fill="FFFFFF"/>
          <w:lang w:val="en-GB"/>
        </w:rPr>
        <w:t xml:space="preserve">relationship </w:t>
      </w:r>
      <w:r w:rsidRPr="00F05B90">
        <w:rPr>
          <w:shd w:val="clear" w:color="auto" w:fill="FFFFFF"/>
          <w:lang w:val="en-GB"/>
        </w:rPr>
        <w:t xml:space="preserve">between </w:t>
      </w:r>
      <w:r w:rsidRPr="00F05B90">
        <w:rPr>
          <w:i/>
          <w:iCs/>
          <w:shd w:val="clear" w:color="auto" w:fill="FFFFFF"/>
          <w:lang w:val="en-GB"/>
        </w:rPr>
        <w:t>MAT</w:t>
      </w:r>
      <w:r w:rsidR="00C27FDA" w:rsidRPr="00F05B90">
        <w:rPr>
          <w:shd w:val="clear" w:color="auto" w:fill="FFFFFF"/>
          <w:lang w:val="en-GB"/>
        </w:rPr>
        <w:t xml:space="preserve"> </w:t>
      </w:r>
      <w:r w:rsidRPr="00F05B90">
        <w:rPr>
          <w:shd w:val="clear" w:color="auto" w:fill="FFFFFF"/>
          <w:lang w:val="en-GB"/>
        </w:rPr>
        <w:t xml:space="preserve">and audit fees, </w:t>
      </w:r>
      <w:r w:rsidR="00C27FDA" w:rsidRPr="00F05B90">
        <w:rPr>
          <w:shd w:val="clear" w:color="auto" w:fill="FFFFFF"/>
          <w:lang w:val="en-GB"/>
        </w:rPr>
        <w:t xml:space="preserve">consistent </w:t>
      </w:r>
      <w:r w:rsidRPr="00F05B90">
        <w:rPr>
          <w:shd w:val="clear" w:color="auto" w:fill="FFFFFF"/>
          <w:lang w:val="en-GB"/>
        </w:rPr>
        <w:t>w</w:t>
      </w:r>
      <w:r w:rsidR="00C27FDA" w:rsidRPr="00F05B90">
        <w:rPr>
          <w:shd w:val="clear" w:color="auto" w:fill="FFFFFF"/>
          <w:lang w:val="en-GB"/>
        </w:rPr>
        <w:t xml:space="preserve">ith </w:t>
      </w:r>
      <w:r w:rsidRPr="00F05B90">
        <w:rPr>
          <w:shd w:val="clear" w:color="auto" w:fill="FFFFFF"/>
          <w:lang w:val="en-GB"/>
        </w:rPr>
        <w:t xml:space="preserve">Choudhary et al. (2019), </w:t>
      </w:r>
      <w:r w:rsidR="00C27FDA" w:rsidRPr="00F05B90">
        <w:rPr>
          <w:shd w:val="clear" w:color="auto" w:fill="FFFFFF"/>
          <w:lang w:val="en-GB"/>
        </w:rPr>
        <w:t xml:space="preserve">who report </w:t>
      </w:r>
      <w:r w:rsidRPr="00F05B90">
        <w:rPr>
          <w:shd w:val="clear" w:color="auto" w:fill="FFFFFF"/>
          <w:lang w:val="en-GB"/>
        </w:rPr>
        <w:t>that looser materiality</w:t>
      </w:r>
      <w:r w:rsidR="00C27FDA" w:rsidRPr="00F05B90">
        <w:rPr>
          <w:shd w:val="clear" w:color="auto" w:fill="FFFFFF"/>
          <w:lang w:val="en-GB"/>
        </w:rPr>
        <w:t xml:space="preserve"> threshold – values </w:t>
      </w:r>
      <w:r w:rsidRPr="00F05B90">
        <w:rPr>
          <w:shd w:val="clear" w:color="auto" w:fill="FFFFFF"/>
          <w:lang w:val="en-GB"/>
        </w:rPr>
        <w:t>closer to the high end of a normal materiality range</w:t>
      </w:r>
      <w:r w:rsidR="00C27FDA" w:rsidRPr="00F05B90">
        <w:rPr>
          <w:shd w:val="clear" w:color="auto" w:fill="FFFFFF"/>
          <w:lang w:val="en-GB"/>
        </w:rPr>
        <w:t xml:space="preserve"> – are associated </w:t>
      </w:r>
      <w:r w:rsidRPr="00F05B90">
        <w:rPr>
          <w:shd w:val="clear" w:color="auto" w:fill="FFFFFF"/>
          <w:lang w:val="en-GB"/>
        </w:rPr>
        <w:t xml:space="preserve">with lower audit fees. </w:t>
      </w:r>
      <w:r w:rsidR="00C27FDA" w:rsidRPr="00F05B90">
        <w:rPr>
          <w:shd w:val="clear" w:color="auto" w:fill="FFFFFF"/>
          <w:lang w:val="en-GB"/>
        </w:rPr>
        <w:t xml:space="preserve">This suggests that </w:t>
      </w:r>
      <w:r w:rsidR="00C27FDA" w:rsidRPr="00F05B90">
        <w:rPr>
          <w:lang w:val="en-GB"/>
        </w:rPr>
        <w:t xml:space="preserve">stricter materiality thresholds </w:t>
      </w:r>
      <w:r w:rsidR="00C27FDA" w:rsidRPr="00F05B90">
        <w:rPr>
          <w:shd w:val="clear" w:color="auto" w:fill="FFFFFF"/>
          <w:lang w:val="en-GB"/>
        </w:rPr>
        <w:t xml:space="preserve">lead to increased </w:t>
      </w:r>
      <w:r w:rsidRPr="00F05B90">
        <w:rPr>
          <w:shd w:val="clear" w:color="auto" w:fill="FFFFFF"/>
          <w:lang w:val="en-GB"/>
        </w:rPr>
        <w:t>audit effort</w:t>
      </w:r>
      <w:r w:rsidR="00C27FDA" w:rsidRPr="00F05B90">
        <w:rPr>
          <w:shd w:val="clear" w:color="auto" w:fill="FFFFFF"/>
          <w:lang w:val="en-GB"/>
        </w:rPr>
        <w:t xml:space="preserve"> and </w:t>
      </w:r>
      <w:r w:rsidRPr="00F05B90">
        <w:rPr>
          <w:shd w:val="clear" w:color="auto" w:fill="FFFFFF"/>
          <w:lang w:val="en-GB"/>
        </w:rPr>
        <w:t>higher fees</w:t>
      </w:r>
      <w:r w:rsidR="00C27FDA" w:rsidRPr="00F05B90">
        <w:rPr>
          <w:shd w:val="clear" w:color="auto" w:fill="FFFFFF"/>
          <w:lang w:val="en-GB"/>
        </w:rPr>
        <w:t xml:space="preserve">. </w:t>
      </w:r>
      <w:r w:rsidR="00740E23" w:rsidRPr="00F05B90">
        <w:rPr>
          <w:shd w:val="clear" w:color="auto" w:fill="FFFFFF"/>
          <w:lang w:val="en-GB"/>
        </w:rPr>
        <w:t xml:space="preserve">Furthermore, </w:t>
      </w:r>
      <w:r w:rsidRPr="00F05B90">
        <w:rPr>
          <w:shd w:val="clear" w:color="auto" w:fill="FFFFFF"/>
          <w:lang w:val="en-GB"/>
        </w:rPr>
        <w:t xml:space="preserve">profitability </w:t>
      </w:r>
      <w:r w:rsidR="00740E23" w:rsidRPr="00F05B90">
        <w:rPr>
          <w:i/>
          <w:iCs/>
          <w:shd w:val="clear" w:color="auto" w:fill="FFFFFF"/>
          <w:lang w:val="en-GB"/>
        </w:rPr>
        <w:t>(</w:t>
      </w:r>
      <w:r w:rsidRPr="00F05B90">
        <w:rPr>
          <w:i/>
          <w:iCs/>
          <w:shd w:val="clear" w:color="auto" w:fill="FFFFFF"/>
          <w:lang w:val="en-GB"/>
        </w:rPr>
        <w:t>ROA</w:t>
      </w:r>
      <w:r w:rsidR="00740E23" w:rsidRPr="00F05B90">
        <w:rPr>
          <w:i/>
          <w:iCs/>
          <w:shd w:val="clear" w:color="auto" w:fill="FFFFFF"/>
          <w:lang w:val="en-GB"/>
        </w:rPr>
        <w:t>)</w:t>
      </w:r>
      <w:r w:rsidRPr="00F05B90">
        <w:rPr>
          <w:shd w:val="clear" w:color="auto" w:fill="FFFFFF"/>
          <w:lang w:val="en-GB"/>
        </w:rPr>
        <w:t xml:space="preserve"> is negatively </w:t>
      </w:r>
      <w:r w:rsidR="00740E23" w:rsidRPr="00F05B90">
        <w:rPr>
          <w:shd w:val="clear" w:color="auto" w:fill="FFFFFF"/>
          <w:lang w:val="en-GB"/>
        </w:rPr>
        <w:t xml:space="preserve">associated with </w:t>
      </w:r>
      <w:r w:rsidRPr="00F05B90">
        <w:rPr>
          <w:lang w:val="en-GB"/>
        </w:rPr>
        <w:t xml:space="preserve">auditor </w:t>
      </w:r>
      <w:r w:rsidR="00B3493A" w:rsidRPr="00F05B90">
        <w:rPr>
          <w:lang w:val="en-GB"/>
        </w:rPr>
        <w:t>judgment</w:t>
      </w:r>
      <w:r w:rsidR="00740E23" w:rsidRPr="00F05B90">
        <w:rPr>
          <w:lang w:val="en-GB"/>
        </w:rPr>
        <w:t xml:space="preserve">, implying that more profitable firms face lower perceived audit risk, leading to a reduced </w:t>
      </w:r>
      <w:r w:rsidRPr="00F05B90">
        <w:rPr>
          <w:shd w:val="clear" w:color="auto" w:fill="FFFFFF"/>
          <w:lang w:val="en-GB"/>
        </w:rPr>
        <w:t>audit</w:t>
      </w:r>
      <w:r w:rsidR="00740E23" w:rsidRPr="00F05B90">
        <w:rPr>
          <w:shd w:val="clear" w:color="auto" w:fill="FFFFFF"/>
          <w:lang w:val="en-GB"/>
        </w:rPr>
        <w:t xml:space="preserve"> </w:t>
      </w:r>
      <w:r w:rsidRPr="00F05B90">
        <w:rPr>
          <w:shd w:val="clear" w:color="auto" w:fill="FFFFFF"/>
          <w:lang w:val="en-GB"/>
        </w:rPr>
        <w:t>scope and effort.</w:t>
      </w:r>
    </w:p>
    <w:p w14:paraId="395DACA1" w14:textId="093F1BCA" w:rsidR="00C27FDA" w:rsidRPr="00F05B90" w:rsidRDefault="006C19D7" w:rsidP="00740E23">
      <w:pPr>
        <w:spacing w:before="240" w:after="240" w:line="360" w:lineRule="auto"/>
        <w:jc w:val="center"/>
        <w:rPr>
          <w:b/>
          <w:bCs/>
          <w:lang w:val="en-GB"/>
        </w:rPr>
      </w:pPr>
      <w:r w:rsidRPr="00F05B90">
        <w:rPr>
          <w:b/>
          <w:bCs/>
          <w:lang w:val="en-GB"/>
        </w:rPr>
        <w:t>[PLEASE INSERT TABLE 4 HERE]</w:t>
      </w:r>
    </w:p>
    <w:p w14:paraId="54EC3518" w14:textId="2BE55218" w:rsidR="00F80955" w:rsidRPr="00F05B90" w:rsidRDefault="00F80955" w:rsidP="00A0667E">
      <w:pPr>
        <w:pStyle w:val="Heading3"/>
        <w:spacing w:before="240" w:after="240"/>
        <w:rPr>
          <w:rFonts w:ascii="Times New Roman" w:hAnsi="Times New Roman" w:cs="Times New Roman"/>
          <w:color w:val="auto"/>
          <w:lang w:val="en-GB"/>
        </w:rPr>
      </w:pPr>
      <w:bookmarkStart w:id="25" w:name="_Toc123457920"/>
      <w:r w:rsidRPr="00F05B90">
        <w:rPr>
          <w:rFonts w:ascii="Times New Roman" w:hAnsi="Times New Roman" w:cs="Times New Roman"/>
          <w:color w:val="auto"/>
          <w:lang w:val="en-GB"/>
        </w:rPr>
        <w:t>Moderator: Financial background</w:t>
      </w:r>
      <w:bookmarkEnd w:id="25"/>
    </w:p>
    <w:p w14:paraId="3CE56D8E" w14:textId="3ED15B93" w:rsidR="0021636D" w:rsidRPr="00F05B90" w:rsidRDefault="0000565D" w:rsidP="00FB1F80">
      <w:pPr>
        <w:spacing w:before="240" w:after="240" w:line="360" w:lineRule="auto"/>
        <w:jc w:val="both"/>
        <w:rPr>
          <w:lang w:val="en-GB"/>
        </w:rPr>
      </w:pPr>
      <w:r w:rsidRPr="00F05B90">
        <w:rPr>
          <w:lang w:val="en-GB"/>
        </w:rPr>
        <w:t>To test H</w:t>
      </w:r>
      <w:r w:rsidR="00F80955" w:rsidRPr="00F05B90">
        <w:rPr>
          <w:lang w:val="en-GB"/>
        </w:rPr>
        <w:t>ypothesis</w:t>
      </w:r>
      <w:r w:rsidRPr="00F05B90">
        <w:rPr>
          <w:lang w:val="en-GB"/>
        </w:rPr>
        <w:t xml:space="preserve"> 2</w:t>
      </w:r>
      <w:r w:rsidR="00F80955" w:rsidRPr="00F05B90">
        <w:rPr>
          <w:lang w:val="en-GB"/>
        </w:rPr>
        <w:t xml:space="preserve">, we follow Badolato et al. (2014) and </w:t>
      </w:r>
      <w:r w:rsidRPr="00F05B90">
        <w:rPr>
          <w:lang w:val="en-GB"/>
        </w:rPr>
        <w:t xml:space="preserve">categorise CEOs’ </w:t>
      </w:r>
      <w:r w:rsidR="00F80955" w:rsidRPr="00F05B90">
        <w:rPr>
          <w:lang w:val="en-GB"/>
        </w:rPr>
        <w:t xml:space="preserve">financial experience into three </w:t>
      </w:r>
      <w:r w:rsidR="00307BE5" w:rsidRPr="00F05B90">
        <w:rPr>
          <w:lang w:val="en-GB"/>
        </w:rPr>
        <w:t xml:space="preserve">groups: </w:t>
      </w:r>
      <w:r w:rsidR="00F80955" w:rsidRPr="00F05B90">
        <w:rPr>
          <w:lang w:val="en-GB"/>
        </w:rPr>
        <w:t>accounting</w:t>
      </w:r>
      <w:r w:rsidR="00307BE5" w:rsidRPr="00F05B90">
        <w:rPr>
          <w:lang w:val="en-GB"/>
        </w:rPr>
        <w:t xml:space="preserve"> expertise</w:t>
      </w:r>
      <w:r w:rsidR="00F80955" w:rsidRPr="00F05B90">
        <w:rPr>
          <w:lang w:val="en-GB"/>
        </w:rPr>
        <w:t>, financial</w:t>
      </w:r>
      <w:r w:rsidR="00AD1AB3" w:rsidRPr="00F05B90">
        <w:rPr>
          <w:lang w:val="en-GB"/>
        </w:rPr>
        <w:t xml:space="preserve"> </w:t>
      </w:r>
      <w:r w:rsidR="00307BE5" w:rsidRPr="00F05B90">
        <w:rPr>
          <w:lang w:val="en-GB"/>
        </w:rPr>
        <w:t>e</w:t>
      </w:r>
      <w:r w:rsidR="0021636D" w:rsidRPr="00F05B90">
        <w:rPr>
          <w:lang w:val="en-GB"/>
        </w:rPr>
        <w:t xml:space="preserve">xpertise, and overall financial </w:t>
      </w:r>
      <w:r w:rsidR="00307BE5" w:rsidRPr="00F05B90">
        <w:rPr>
          <w:lang w:val="en-GB"/>
        </w:rPr>
        <w:lastRenderedPageBreak/>
        <w:t>expertise</w:t>
      </w:r>
      <w:r w:rsidR="00F80955" w:rsidRPr="00F05B90">
        <w:rPr>
          <w:lang w:val="en-GB"/>
        </w:rPr>
        <w:t xml:space="preserve">. </w:t>
      </w:r>
      <w:r w:rsidR="00496203" w:rsidRPr="00F05B90">
        <w:rPr>
          <w:lang w:val="en-GB"/>
        </w:rPr>
        <w:t xml:space="preserve">The results, presented </w:t>
      </w:r>
      <w:r w:rsidR="00F80955" w:rsidRPr="00F05B90">
        <w:rPr>
          <w:lang w:val="en-GB"/>
        </w:rPr>
        <w:t>in Table 5</w:t>
      </w:r>
      <w:r w:rsidR="00496203" w:rsidRPr="00F05B90">
        <w:rPr>
          <w:lang w:val="en-GB"/>
        </w:rPr>
        <w:t xml:space="preserve">, </w:t>
      </w:r>
      <w:r w:rsidR="00F80955" w:rsidRPr="00F05B90">
        <w:rPr>
          <w:lang w:val="en-GB"/>
        </w:rPr>
        <w:t>show that the</w:t>
      </w:r>
      <w:r w:rsidR="0021636D" w:rsidRPr="00F05B90">
        <w:rPr>
          <w:lang w:val="en-GB"/>
        </w:rPr>
        <w:t xml:space="preserve"> </w:t>
      </w:r>
      <w:r w:rsidR="00F80955" w:rsidRPr="00F05B90">
        <w:rPr>
          <w:lang w:val="en-GB"/>
        </w:rPr>
        <w:t xml:space="preserve">coefficients of </w:t>
      </w:r>
      <w:r w:rsidR="00F80955" w:rsidRPr="00F05B90">
        <w:rPr>
          <w:i/>
          <w:iCs/>
          <w:lang w:val="en-GB"/>
        </w:rPr>
        <w:t>Indgap</w:t>
      </w:r>
      <w:r w:rsidR="00F80955" w:rsidRPr="00F05B90">
        <w:rPr>
          <w:lang w:val="en-GB"/>
        </w:rPr>
        <w:t>, without the interaction term, are consistent with our baseline results in</w:t>
      </w:r>
      <w:r w:rsidR="00F80955" w:rsidRPr="00F05B90">
        <w:rPr>
          <w:b/>
          <w:bCs/>
          <w:lang w:val="en-GB"/>
        </w:rPr>
        <w:t xml:space="preserve"> </w:t>
      </w:r>
      <w:r w:rsidR="00F80955" w:rsidRPr="00F05B90">
        <w:rPr>
          <w:lang w:val="en-GB"/>
        </w:rPr>
        <w:t>Table 4, suggesting that higher industry tournament incentive</w:t>
      </w:r>
      <w:r w:rsidR="00FB5D70" w:rsidRPr="00F05B90">
        <w:rPr>
          <w:lang w:val="en-GB"/>
        </w:rPr>
        <w:t>s</w:t>
      </w:r>
      <w:r w:rsidR="00F80955" w:rsidRPr="00F05B90">
        <w:rPr>
          <w:lang w:val="en-GB"/>
        </w:rPr>
        <w:t xml:space="preserve"> </w:t>
      </w:r>
      <w:r w:rsidR="00496203" w:rsidRPr="00F05B90">
        <w:rPr>
          <w:lang w:val="en-GB"/>
        </w:rPr>
        <w:t xml:space="preserve">reduce auditors’ </w:t>
      </w:r>
      <w:r w:rsidR="00A70BC3" w:rsidRPr="00F05B90">
        <w:rPr>
          <w:lang w:val="en-GB"/>
        </w:rPr>
        <w:t>perceived</w:t>
      </w:r>
      <w:r w:rsidR="00F80955" w:rsidRPr="00F05B90">
        <w:rPr>
          <w:lang w:val="en-GB"/>
        </w:rPr>
        <w:t xml:space="preserve"> </w:t>
      </w:r>
      <w:r w:rsidR="00FB5D70" w:rsidRPr="00F05B90">
        <w:rPr>
          <w:lang w:val="en-GB"/>
        </w:rPr>
        <w:t>risk</w:t>
      </w:r>
      <w:r w:rsidR="00F80955" w:rsidRPr="00F05B90">
        <w:rPr>
          <w:lang w:val="en-GB"/>
        </w:rPr>
        <w:t xml:space="preserve">. </w:t>
      </w:r>
      <w:r w:rsidR="00496203" w:rsidRPr="00F05B90">
        <w:rPr>
          <w:lang w:val="en-GB"/>
        </w:rPr>
        <w:t>H</w:t>
      </w:r>
      <w:r w:rsidR="00F80955" w:rsidRPr="00F05B90">
        <w:rPr>
          <w:lang w:val="en-GB"/>
        </w:rPr>
        <w:t xml:space="preserve">owever, </w:t>
      </w:r>
      <w:r w:rsidR="00496203" w:rsidRPr="00F05B90">
        <w:rPr>
          <w:lang w:val="en-GB"/>
        </w:rPr>
        <w:t xml:space="preserve">this effect holds </w:t>
      </w:r>
      <w:r w:rsidR="00F80955" w:rsidRPr="00F05B90">
        <w:rPr>
          <w:lang w:val="en-GB"/>
        </w:rPr>
        <w:t xml:space="preserve">only when </w:t>
      </w:r>
      <w:r w:rsidR="00496203" w:rsidRPr="00F05B90">
        <w:rPr>
          <w:lang w:val="en-GB"/>
        </w:rPr>
        <w:t xml:space="preserve">the </w:t>
      </w:r>
      <w:r w:rsidR="00F80955" w:rsidRPr="00F05B90">
        <w:rPr>
          <w:lang w:val="en-GB"/>
        </w:rPr>
        <w:t xml:space="preserve">CEO </w:t>
      </w:r>
      <w:r w:rsidR="00496203" w:rsidRPr="00F05B90">
        <w:rPr>
          <w:lang w:val="en-GB"/>
        </w:rPr>
        <w:t xml:space="preserve">lack a </w:t>
      </w:r>
      <w:r w:rsidR="00E448D0" w:rsidRPr="00F05B90">
        <w:rPr>
          <w:lang w:val="en-GB"/>
        </w:rPr>
        <w:t xml:space="preserve">relevant </w:t>
      </w:r>
      <w:r w:rsidR="00F80955" w:rsidRPr="00F05B90">
        <w:rPr>
          <w:lang w:val="en-GB"/>
        </w:rPr>
        <w:t>financial background</w:t>
      </w:r>
      <w:r w:rsidR="00496203" w:rsidRPr="00F05B90">
        <w:rPr>
          <w:lang w:val="en-GB"/>
        </w:rPr>
        <w:t>.</w:t>
      </w:r>
      <w:r w:rsidR="00EA4192" w:rsidRPr="00F05B90">
        <w:rPr>
          <w:lang w:val="en-GB"/>
        </w:rPr>
        <w:t xml:space="preserve"> </w:t>
      </w:r>
      <w:r w:rsidR="00496203" w:rsidRPr="00F05B90">
        <w:rPr>
          <w:lang w:val="en-GB"/>
        </w:rPr>
        <w:t xml:space="preserve">When the CEO has a financial background, </w:t>
      </w:r>
      <w:r w:rsidR="00F80955" w:rsidRPr="00F05B90">
        <w:rPr>
          <w:lang w:val="en-GB"/>
        </w:rPr>
        <w:t>auditors perceive industry tournament incentives as a signal for h</w:t>
      </w:r>
      <w:r w:rsidR="00496203" w:rsidRPr="00F05B90">
        <w:rPr>
          <w:lang w:val="en-GB"/>
        </w:rPr>
        <w:t xml:space="preserve">eightened </w:t>
      </w:r>
      <w:r w:rsidR="00F80955" w:rsidRPr="00F05B90">
        <w:rPr>
          <w:lang w:val="en-GB"/>
        </w:rPr>
        <w:t>audit risk</w:t>
      </w:r>
      <w:r w:rsidR="00496203" w:rsidRPr="00F05B90">
        <w:rPr>
          <w:lang w:val="en-GB"/>
        </w:rPr>
        <w:t xml:space="preserve">, prompting them to </w:t>
      </w:r>
      <w:r w:rsidR="00F80955" w:rsidRPr="00F05B90">
        <w:rPr>
          <w:lang w:val="en-GB"/>
        </w:rPr>
        <w:t xml:space="preserve">increase </w:t>
      </w:r>
      <w:r w:rsidR="00161891" w:rsidRPr="00F05B90">
        <w:rPr>
          <w:lang w:val="en-GB"/>
        </w:rPr>
        <w:t>the</w:t>
      </w:r>
      <w:r w:rsidR="00EA4192" w:rsidRPr="00F05B90">
        <w:rPr>
          <w:lang w:val="en-GB"/>
        </w:rPr>
        <w:t xml:space="preserve">ir audit effort, particularly through stricter materiality thresholds (lower MAT). </w:t>
      </w:r>
      <w:r w:rsidR="00F80955" w:rsidRPr="00F05B90">
        <w:rPr>
          <w:lang w:val="en-GB"/>
        </w:rPr>
        <w:t xml:space="preserve">Specifically, </w:t>
      </w:r>
      <w:r w:rsidR="00EA4192" w:rsidRPr="00F05B90">
        <w:rPr>
          <w:lang w:val="en-GB"/>
        </w:rPr>
        <w:t xml:space="preserve">the interaction between industry tournament incentive and overall financial expertise is </w:t>
      </w:r>
      <w:r w:rsidR="00F80955" w:rsidRPr="00F05B90">
        <w:rPr>
          <w:lang w:val="en-GB"/>
        </w:rPr>
        <w:t xml:space="preserve">negative and significant at </w:t>
      </w:r>
      <w:r w:rsidR="00EA4192" w:rsidRPr="00F05B90">
        <w:rPr>
          <w:lang w:val="en-GB"/>
        </w:rPr>
        <w:t xml:space="preserve">the </w:t>
      </w:r>
      <w:r w:rsidR="00752F3D" w:rsidRPr="00F05B90">
        <w:rPr>
          <w:lang w:val="en-GB"/>
        </w:rPr>
        <w:t>5</w:t>
      </w:r>
      <w:r w:rsidR="00F80955" w:rsidRPr="00F05B90">
        <w:rPr>
          <w:lang w:val="en-GB"/>
        </w:rPr>
        <w:t xml:space="preserve">% </w:t>
      </w:r>
      <w:r w:rsidR="00EA4192" w:rsidRPr="00F05B90">
        <w:rPr>
          <w:lang w:val="en-GB"/>
        </w:rPr>
        <w:t xml:space="preserve">level </w:t>
      </w:r>
      <w:r w:rsidR="00F80955" w:rsidRPr="00F05B90">
        <w:rPr>
          <w:lang w:val="en-GB"/>
        </w:rPr>
        <w:t xml:space="preserve">with </w:t>
      </w:r>
      <w:r w:rsidR="00F80955" w:rsidRPr="00F05B90">
        <w:rPr>
          <w:i/>
          <w:iCs/>
          <w:lang w:val="en-GB"/>
        </w:rPr>
        <w:t>MAT</w:t>
      </w:r>
      <w:r w:rsidR="00161891" w:rsidRPr="00F05B90">
        <w:rPr>
          <w:lang w:val="en-GB"/>
        </w:rPr>
        <w:t>.</w:t>
      </w:r>
      <w:r w:rsidR="00F80955" w:rsidRPr="00F05B90">
        <w:rPr>
          <w:lang w:val="en-GB"/>
        </w:rPr>
        <w:t xml:space="preserve"> </w:t>
      </w:r>
      <w:r w:rsidR="00EA4192" w:rsidRPr="00F05B90">
        <w:rPr>
          <w:lang w:val="en-GB"/>
        </w:rPr>
        <w:t xml:space="preserve">The results for </w:t>
      </w:r>
      <w:r w:rsidR="00F80955" w:rsidRPr="00F05B90">
        <w:rPr>
          <w:lang w:val="en-GB"/>
        </w:rPr>
        <w:t xml:space="preserve">accounting expertise </w:t>
      </w:r>
      <w:r w:rsidR="00161891" w:rsidRPr="00F05B90">
        <w:rPr>
          <w:lang w:val="en-GB"/>
        </w:rPr>
        <w:t>are</w:t>
      </w:r>
      <w:r w:rsidR="00F80955" w:rsidRPr="00F05B90">
        <w:rPr>
          <w:lang w:val="en-GB"/>
        </w:rPr>
        <w:t xml:space="preserve"> qualitatively similar. </w:t>
      </w:r>
      <w:r w:rsidR="00EA4192" w:rsidRPr="00F05B90">
        <w:rPr>
          <w:lang w:val="en-GB"/>
        </w:rPr>
        <w:t xml:space="preserve">This suggests that </w:t>
      </w:r>
      <w:r w:rsidR="00F80955" w:rsidRPr="00F05B90">
        <w:rPr>
          <w:lang w:val="en-GB"/>
        </w:rPr>
        <w:t xml:space="preserve">auditors </w:t>
      </w:r>
      <w:r w:rsidR="0079014F" w:rsidRPr="00F05B90">
        <w:rPr>
          <w:lang w:val="en-GB"/>
        </w:rPr>
        <w:t xml:space="preserve">view CEOs with financial expertise as more capable of engaging in earnings management, thereby increasing perceived </w:t>
      </w:r>
      <w:r w:rsidR="00F80955" w:rsidRPr="00F05B90">
        <w:rPr>
          <w:lang w:val="en-GB"/>
        </w:rPr>
        <w:t>business and fraud risks</w:t>
      </w:r>
      <w:r w:rsidR="0079014F" w:rsidRPr="00F05B90">
        <w:rPr>
          <w:lang w:val="en-GB"/>
        </w:rPr>
        <w:t xml:space="preserve">. Consequently, auditor respond with </w:t>
      </w:r>
      <w:r w:rsidR="0021636D" w:rsidRPr="00F05B90">
        <w:rPr>
          <w:lang w:val="en-GB"/>
        </w:rPr>
        <w:t xml:space="preserve">more </w:t>
      </w:r>
      <w:r w:rsidR="0079014F" w:rsidRPr="00F05B90">
        <w:rPr>
          <w:lang w:val="en-GB"/>
        </w:rPr>
        <w:t xml:space="preserve">extensive </w:t>
      </w:r>
      <w:r w:rsidR="00F80955" w:rsidRPr="00F05B90">
        <w:rPr>
          <w:lang w:val="en-GB"/>
        </w:rPr>
        <w:t xml:space="preserve">audit </w:t>
      </w:r>
      <w:r w:rsidR="0079014F" w:rsidRPr="00F05B90">
        <w:rPr>
          <w:lang w:val="en-GB"/>
        </w:rPr>
        <w:t>procedure</w:t>
      </w:r>
      <w:r w:rsidR="0021636D" w:rsidRPr="00F05B90">
        <w:rPr>
          <w:lang w:val="en-GB"/>
        </w:rPr>
        <w:t>s</w:t>
      </w:r>
      <w:r w:rsidR="007D2901" w:rsidRPr="00F05B90">
        <w:rPr>
          <w:lang w:val="en-GB"/>
        </w:rPr>
        <w:t>.</w:t>
      </w:r>
    </w:p>
    <w:p w14:paraId="35DE4CBA" w14:textId="189EE06B" w:rsidR="00E448D0" w:rsidRPr="00F05B90" w:rsidRDefault="00E448D0" w:rsidP="0021636D">
      <w:pPr>
        <w:spacing w:before="240" w:after="240" w:line="360" w:lineRule="auto"/>
        <w:jc w:val="both"/>
      </w:pPr>
      <w:r w:rsidRPr="00F05B90">
        <w:t>Th</w:t>
      </w:r>
      <w:r w:rsidR="0079014F" w:rsidRPr="00F05B90">
        <w:t>ese</w:t>
      </w:r>
      <w:r w:rsidRPr="00F05B90">
        <w:t xml:space="preserve"> finding</w:t>
      </w:r>
      <w:r w:rsidR="0079014F" w:rsidRPr="00F05B90">
        <w:t>s</w:t>
      </w:r>
      <w:r w:rsidRPr="00F05B90">
        <w:t xml:space="preserve"> extend the work of Tan (2021)</w:t>
      </w:r>
      <w:r w:rsidR="0079014F" w:rsidRPr="00F05B90">
        <w:t xml:space="preserve"> by demonstrating that </w:t>
      </w:r>
      <w:r w:rsidR="0079014F" w:rsidRPr="00F05B90">
        <w:rPr>
          <w:lang w:val="en-GB"/>
        </w:rPr>
        <w:t xml:space="preserve">industry tournament incentives mitigate </w:t>
      </w:r>
      <w:r w:rsidRPr="00F05B90">
        <w:t>perceive</w:t>
      </w:r>
      <w:r w:rsidR="0079014F" w:rsidRPr="00F05B90">
        <w:t xml:space="preserve">d audit risk only when the CEO lacks financial expertise. </w:t>
      </w:r>
      <w:r w:rsidRPr="00F05B90">
        <w:t>When CEO</w:t>
      </w:r>
      <w:r w:rsidR="00EA645B" w:rsidRPr="00F05B90">
        <w:t>s</w:t>
      </w:r>
      <w:r w:rsidRPr="00F05B90">
        <w:t xml:space="preserve"> lack</w:t>
      </w:r>
      <w:r w:rsidR="0079014F" w:rsidRPr="00F05B90">
        <w:t xml:space="preserve"> such expertise, </w:t>
      </w:r>
      <w:r w:rsidRPr="00F05B90">
        <w:t xml:space="preserve">auditors may </w:t>
      </w:r>
      <w:r w:rsidR="0079014F" w:rsidRPr="00F05B90">
        <w:t xml:space="preserve">consider </w:t>
      </w:r>
      <w:r w:rsidRPr="00F05B90">
        <w:t>industry tournament incentives sufficient</w:t>
      </w:r>
      <w:r w:rsidR="0079014F" w:rsidRPr="00F05B90">
        <w:t xml:space="preserve"> to</w:t>
      </w:r>
      <w:r w:rsidRPr="00F05B90">
        <w:t xml:space="preserve"> reduce the </w:t>
      </w:r>
      <w:r w:rsidR="0079014F" w:rsidRPr="00F05B90">
        <w:t xml:space="preserve">risk of </w:t>
      </w:r>
      <w:r w:rsidRPr="00F05B90">
        <w:t xml:space="preserve">earnings management, leading to lower audit effort. In contrast, when CEOs possess a relevant financial </w:t>
      </w:r>
      <w:r w:rsidR="00EA645B" w:rsidRPr="00F05B90">
        <w:t>expertise</w:t>
      </w:r>
      <w:r w:rsidRPr="00F05B90">
        <w:t xml:space="preserve">, auditors </w:t>
      </w:r>
      <w:r w:rsidR="00EA645B" w:rsidRPr="00F05B90">
        <w:t xml:space="preserve">respond with heightened scrutiny, </w:t>
      </w:r>
      <w:r w:rsidRPr="00F05B90">
        <w:t xml:space="preserve">particularly </w:t>
      </w:r>
      <w:r w:rsidR="00EA645B" w:rsidRPr="00F05B90">
        <w:t xml:space="preserve">in cases of strong </w:t>
      </w:r>
      <w:r w:rsidRPr="00F05B90">
        <w:t>tournament incentives.</w:t>
      </w:r>
    </w:p>
    <w:p w14:paraId="655A16E2" w14:textId="67FAFBE3" w:rsidR="00D2297F" w:rsidRPr="00F05B90" w:rsidRDefault="003B58CB" w:rsidP="000B3B67">
      <w:pPr>
        <w:spacing w:before="240" w:after="240" w:line="360" w:lineRule="auto"/>
        <w:jc w:val="center"/>
        <w:rPr>
          <w:b/>
          <w:bCs/>
          <w:lang w:val="en-GB"/>
        </w:rPr>
      </w:pPr>
      <w:r w:rsidRPr="00F05B90">
        <w:rPr>
          <w:b/>
          <w:bCs/>
          <w:lang w:val="en-GB"/>
        </w:rPr>
        <w:t>[PLEASE INSERT TABLE 5 HERE]</w:t>
      </w:r>
    </w:p>
    <w:p w14:paraId="36A011EC" w14:textId="613A08BD" w:rsidR="00F80955" w:rsidRPr="00F05B90" w:rsidRDefault="00F80955" w:rsidP="00C744A4">
      <w:pPr>
        <w:pStyle w:val="Heading3"/>
        <w:spacing w:before="240" w:after="240"/>
        <w:rPr>
          <w:rFonts w:ascii="Times New Roman" w:hAnsi="Times New Roman" w:cs="Times New Roman"/>
          <w:color w:val="auto"/>
          <w:lang w:val="en-GB"/>
        </w:rPr>
      </w:pPr>
      <w:bookmarkStart w:id="26" w:name="_Toc123457921"/>
      <w:bookmarkStart w:id="27" w:name="_Hlk189738153"/>
      <w:bookmarkEnd w:id="23"/>
      <w:r w:rsidRPr="00F05B90">
        <w:rPr>
          <w:rFonts w:ascii="Times New Roman" w:eastAsia="Times New Roman" w:hAnsi="Times New Roman" w:cs="Times New Roman"/>
          <w:color w:val="auto"/>
          <w:shd w:val="clear" w:color="auto" w:fill="FFFFFF"/>
          <w:lang w:val="en-GB"/>
        </w:rPr>
        <w:t>Further analysis:</w:t>
      </w:r>
      <w:r w:rsidRPr="00F05B90">
        <w:rPr>
          <w:rFonts w:ascii="Times New Roman" w:hAnsi="Times New Roman" w:cs="Times New Roman"/>
          <w:color w:val="auto"/>
          <w:lang w:val="en-GB"/>
        </w:rPr>
        <w:t xml:space="preserve"> CEO career horizon</w:t>
      </w:r>
      <w:bookmarkEnd w:id="26"/>
    </w:p>
    <w:p w14:paraId="5658B0E6" w14:textId="77777777" w:rsidR="00E54F37" w:rsidRPr="00F05B90" w:rsidRDefault="00F80955" w:rsidP="00E54F37">
      <w:pPr>
        <w:pStyle w:val="Style1"/>
        <w:numPr>
          <w:ilvl w:val="0"/>
          <w:numId w:val="0"/>
        </w:numPr>
        <w:spacing w:before="240" w:after="240" w:line="360" w:lineRule="auto"/>
        <w:contextualSpacing w:val="0"/>
        <w:rPr>
          <w:rFonts w:ascii="Times New Roman" w:hAnsi="Times New Roman"/>
          <w:b w:val="0"/>
          <w:bCs w:val="0"/>
          <w:color w:val="auto"/>
          <w:lang w:val="en-GB"/>
        </w:rPr>
      </w:pPr>
      <w:r w:rsidRPr="00F05B90">
        <w:rPr>
          <w:rFonts w:ascii="Times New Roman" w:hAnsi="Times New Roman"/>
          <w:b w:val="0"/>
          <w:bCs w:val="0"/>
          <w:color w:val="auto"/>
          <w:lang w:val="en-GB"/>
        </w:rPr>
        <w:t>Lazear (</w:t>
      </w:r>
      <w:r w:rsidR="003616C4" w:rsidRPr="00F05B90">
        <w:rPr>
          <w:rFonts w:ascii="Times New Roman" w:hAnsi="Times New Roman"/>
          <w:b w:val="0"/>
          <w:bCs w:val="0"/>
          <w:color w:val="auto"/>
          <w:lang w:val="en-GB"/>
        </w:rPr>
        <w:t>2</w:t>
      </w:r>
      <w:r w:rsidRPr="00F05B90">
        <w:rPr>
          <w:rFonts w:ascii="Times New Roman" w:hAnsi="Times New Roman"/>
          <w:b w:val="0"/>
          <w:bCs w:val="0"/>
          <w:color w:val="auto"/>
          <w:lang w:val="en-GB"/>
        </w:rPr>
        <w:t xml:space="preserve">000) </w:t>
      </w:r>
      <w:r w:rsidR="00E46177" w:rsidRPr="00F05B90">
        <w:rPr>
          <w:rFonts w:ascii="Times New Roman" w:hAnsi="Times New Roman"/>
          <w:b w:val="0"/>
          <w:bCs w:val="0"/>
          <w:color w:val="auto"/>
          <w:lang w:val="en-GB"/>
        </w:rPr>
        <w:t xml:space="preserve">highlights how </w:t>
      </w:r>
      <w:r w:rsidRPr="00F05B90">
        <w:rPr>
          <w:rFonts w:ascii="Times New Roman" w:hAnsi="Times New Roman"/>
          <w:b w:val="0"/>
          <w:bCs w:val="0"/>
          <w:color w:val="auto"/>
          <w:lang w:val="en-GB"/>
        </w:rPr>
        <w:t xml:space="preserve">compensation-based contracts attract managers </w:t>
      </w:r>
      <w:r w:rsidR="00161891" w:rsidRPr="00F05B90">
        <w:rPr>
          <w:rFonts w:ascii="Times New Roman" w:hAnsi="Times New Roman"/>
          <w:b w:val="0"/>
          <w:bCs w:val="0"/>
          <w:color w:val="auto"/>
          <w:lang w:val="en-GB"/>
        </w:rPr>
        <w:t>with</w:t>
      </w:r>
      <w:r w:rsidRPr="00F05B90">
        <w:rPr>
          <w:rFonts w:ascii="Times New Roman" w:hAnsi="Times New Roman"/>
          <w:b w:val="0"/>
          <w:bCs w:val="0"/>
          <w:color w:val="auto"/>
          <w:lang w:val="en-GB"/>
        </w:rPr>
        <w:t xml:space="preserve"> the </w:t>
      </w:r>
      <w:r w:rsidR="00E46177" w:rsidRPr="00F05B90">
        <w:rPr>
          <w:rFonts w:ascii="Times New Roman" w:hAnsi="Times New Roman"/>
          <w:b w:val="0"/>
          <w:bCs w:val="0"/>
          <w:color w:val="auto"/>
          <w:lang w:val="en-GB"/>
        </w:rPr>
        <w:t xml:space="preserve">necessary skills and </w:t>
      </w:r>
      <w:r w:rsidRPr="00F05B90">
        <w:rPr>
          <w:rFonts w:ascii="Times New Roman" w:hAnsi="Times New Roman"/>
          <w:b w:val="0"/>
          <w:bCs w:val="0"/>
          <w:color w:val="auto"/>
          <w:lang w:val="en-GB"/>
        </w:rPr>
        <w:t xml:space="preserve">professional experience to </w:t>
      </w:r>
      <w:r w:rsidR="00E46177" w:rsidRPr="00F05B90">
        <w:rPr>
          <w:rFonts w:ascii="Times New Roman" w:hAnsi="Times New Roman"/>
          <w:b w:val="0"/>
          <w:bCs w:val="0"/>
          <w:color w:val="auto"/>
          <w:lang w:val="en-GB"/>
        </w:rPr>
        <w:t xml:space="preserve">compete </w:t>
      </w:r>
      <w:r w:rsidRPr="00F05B90">
        <w:rPr>
          <w:rFonts w:ascii="Times New Roman" w:hAnsi="Times New Roman"/>
          <w:b w:val="0"/>
          <w:bCs w:val="0"/>
          <w:color w:val="auto"/>
          <w:lang w:val="en-GB"/>
        </w:rPr>
        <w:t>effective</w:t>
      </w:r>
      <w:r w:rsidR="00E46177" w:rsidRPr="00F05B90">
        <w:rPr>
          <w:rFonts w:ascii="Times New Roman" w:hAnsi="Times New Roman"/>
          <w:b w:val="0"/>
          <w:bCs w:val="0"/>
          <w:color w:val="auto"/>
          <w:lang w:val="en-GB"/>
        </w:rPr>
        <w:t>ly</w:t>
      </w:r>
      <w:r w:rsidRPr="00F05B90">
        <w:rPr>
          <w:rFonts w:ascii="Times New Roman" w:hAnsi="Times New Roman"/>
          <w:b w:val="0"/>
          <w:bCs w:val="0"/>
          <w:color w:val="auto"/>
          <w:lang w:val="en-GB"/>
        </w:rPr>
        <w:t xml:space="preserve"> in </w:t>
      </w:r>
      <w:r w:rsidR="00E46177" w:rsidRPr="00F05B90">
        <w:rPr>
          <w:rFonts w:ascii="Times New Roman" w:hAnsi="Times New Roman"/>
          <w:b w:val="0"/>
          <w:bCs w:val="0"/>
          <w:color w:val="auto"/>
          <w:lang w:val="en-GB"/>
        </w:rPr>
        <w:t xml:space="preserve">the </w:t>
      </w:r>
      <w:r w:rsidRPr="00F05B90">
        <w:rPr>
          <w:rFonts w:ascii="Times New Roman" w:hAnsi="Times New Roman"/>
          <w:b w:val="0"/>
          <w:bCs w:val="0"/>
          <w:color w:val="auto"/>
          <w:lang w:val="en-GB"/>
        </w:rPr>
        <w:t xml:space="preserve">market. </w:t>
      </w:r>
      <w:r w:rsidR="00E46177" w:rsidRPr="00F05B90">
        <w:rPr>
          <w:rFonts w:ascii="Times New Roman" w:hAnsi="Times New Roman"/>
          <w:b w:val="0"/>
          <w:bCs w:val="0"/>
          <w:color w:val="auto"/>
          <w:lang w:val="en-GB"/>
        </w:rPr>
        <w:t xml:space="preserve">Firms </w:t>
      </w:r>
      <w:r w:rsidRPr="00F05B90">
        <w:rPr>
          <w:rFonts w:ascii="Times New Roman" w:hAnsi="Times New Roman"/>
          <w:b w:val="0"/>
          <w:bCs w:val="0"/>
          <w:color w:val="auto"/>
          <w:lang w:val="en-GB"/>
        </w:rPr>
        <w:t>offer</w:t>
      </w:r>
      <w:r w:rsidR="00E46177" w:rsidRPr="00F05B90">
        <w:rPr>
          <w:rFonts w:ascii="Times New Roman" w:hAnsi="Times New Roman"/>
          <w:b w:val="0"/>
          <w:bCs w:val="0"/>
          <w:color w:val="auto"/>
          <w:lang w:val="en-GB"/>
        </w:rPr>
        <w:t>ing</w:t>
      </w:r>
      <w:r w:rsidRPr="00F05B90">
        <w:rPr>
          <w:rFonts w:ascii="Times New Roman" w:hAnsi="Times New Roman"/>
          <w:b w:val="0"/>
          <w:bCs w:val="0"/>
          <w:color w:val="auto"/>
          <w:lang w:val="en-GB"/>
        </w:rPr>
        <w:t xml:space="preserve"> higher compensation </w:t>
      </w:r>
      <w:r w:rsidR="00E46177" w:rsidRPr="00F05B90">
        <w:rPr>
          <w:rFonts w:ascii="Times New Roman" w:hAnsi="Times New Roman"/>
          <w:b w:val="0"/>
          <w:bCs w:val="0"/>
          <w:color w:val="auto"/>
          <w:lang w:val="en-GB"/>
        </w:rPr>
        <w:t xml:space="preserve">relative to </w:t>
      </w:r>
      <w:r w:rsidRPr="00F05B90">
        <w:rPr>
          <w:rFonts w:ascii="Times New Roman" w:hAnsi="Times New Roman"/>
          <w:b w:val="0"/>
          <w:bCs w:val="0"/>
          <w:color w:val="auto"/>
          <w:lang w:val="en-GB"/>
        </w:rPr>
        <w:t>industry</w:t>
      </w:r>
      <w:r w:rsidR="00E46177" w:rsidRPr="00F05B90">
        <w:rPr>
          <w:rFonts w:ascii="Times New Roman" w:hAnsi="Times New Roman"/>
          <w:b w:val="0"/>
          <w:bCs w:val="0"/>
          <w:color w:val="auto"/>
          <w:lang w:val="en-GB"/>
        </w:rPr>
        <w:t xml:space="preserve"> peers</w:t>
      </w:r>
      <w:r w:rsidRPr="00F05B90">
        <w:rPr>
          <w:rFonts w:ascii="Times New Roman" w:hAnsi="Times New Roman"/>
          <w:b w:val="0"/>
          <w:bCs w:val="0"/>
          <w:color w:val="auto"/>
          <w:lang w:val="en-GB"/>
        </w:rPr>
        <w:t xml:space="preserve"> are more </w:t>
      </w:r>
      <w:r w:rsidR="00E46177" w:rsidRPr="00F05B90">
        <w:rPr>
          <w:rFonts w:ascii="Times New Roman" w:hAnsi="Times New Roman"/>
          <w:b w:val="0"/>
          <w:bCs w:val="0"/>
          <w:color w:val="auto"/>
          <w:lang w:val="en-GB"/>
        </w:rPr>
        <w:t xml:space="preserve">appealing </w:t>
      </w:r>
      <w:r w:rsidRPr="00F05B90">
        <w:rPr>
          <w:rFonts w:ascii="Times New Roman" w:hAnsi="Times New Roman"/>
          <w:b w:val="0"/>
          <w:bCs w:val="0"/>
          <w:color w:val="auto"/>
          <w:lang w:val="en-GB"/>
        </w:rPr>
        <w:t xml:space="preserve">to </w:t>
      </w:r>
      <w:r w:rsidR="00E46177" w:rsidRPr="00F05B90">
        <w:rPr>
          <w:rFonts w:ascii="Times New Roman" w:hAnsi="Times New Roman"/>
          <w:b w:val="0"/>
          <w:bCs w:val="0"/>
          <w:color w:val="auto"/>
          <w:lang w:val="en-GB"/>
        </w:rPr>
        <w:t xml:space="preserve">mobile </w:t>
      </w:r>
      <w:r w:rsidRPr="00F05B90">
        <w:rPr>
          <w:rFonts w:ascii="Times New Roman" w:hAnsi="Times New Roman"/>
          <w:b w:val="0"/>
          <w:bCs w:val="0"/>
          <w:color w:val="auto"/>
          <w:lang w:val="en-GB"/>
        </w:rPr>
        <w:t>CEOs</w:t>
      </w:r>
      <w:r w:rsidR="00E46177" w:rsidRPr="00F05B90">
        <w:rPr>
          <w:rFonts w:ascii="Times New Roman" w:hAnsi="Times New Roman"/>
          <w:b w:val="0"/>
          <w:bCs w:val="0"/>
          <w:color w:val="auto"/>
          <w:lang w:val="en-GB"/>
        </w:rPr>
        <w:t xml:space="preserve">, making them more </w:t>
      </w:r>
      <w:r w:rsidRPr="00F05B90">
        <w:rPr>
          <w:rFonts w:ascii="Times New Roman" w:hAnsi="Times New Roman"/>
          <w:b w:val="0"/>
          <w:bCs w:val="0"/>
          <w:color w:val="auto"/>
          <w:lang w:val="en-GB"/>
        </w:rPr>
        <w:t xml:space="preserve">sensitive to industry tournament incentives. Consistent with this prediction, Coles et al. (2018) suggest that the </w:t>
      </w:r>
      <w:r w:rsidR="003B58CB" w:rsidRPr="00F05B90">
        <w:rPr>
          <w:rFonts w:ascii="Times New Roman" w:hAnsi="Times New Roman"/>
          <w:b w:val="0"/>
          <w:bCs w:val="0"/>
          <w:color w:val="auto"/>
          <w:lang w:val="en-GB"/>
        </w:rPr>
        <w:t xml:space="preserve">influence of </w:t>
      </w:r>
      <w:r w:rsidRPr="00F05B90">
        <w:rPr>
          <w:rFonts w:ascii="Times New Roman" w:hAnsi="Times New Roman"/>
          <w:b w:val="0"/>
          <w:bCs w:val="0"/>
          <w:color w:val="auto"/>
          <w:lang w:val="en-GB"/>
        </w:rPr>
        <w:t>industry tournament</w:t>
      </w:r>
      <w:r w:rsidR="00161891" w:rsidRPr="00F05B90">
        <w:rPr>
          <w:rFonts w:ascii="Times New Roman" w:hAnsi="Times New Roman"/>
          <w:b w:val="0"/>
          <w:bCs w:val="0"/>
          <w:color w:val="auto"/>
          <w:lang w:val="en-GB"/>
        </w:rPr>
        <w:t>s</w:t>
      </w:r>
      <w:r w:rsidRPr="00F05B90">
        <w:rPr>
          <w:rFonts w:ascii="Times New Roman" w:hAnsi="Times New Roman"/>
          <w:b w:val="0"/>
          <w:bCs w:val="0"/>
          <w:color w:val="auto"/>
          <w:lang w:val="en-GB"/>
        </w:rPr>
        <w:t xml:space="preserve"> </w:t>
      </w:r>
      <w:r w:rsidR="003B58CB" w:rsidRPr="00F05B90">
        <w:rPr>
          <w:rFonts w:ascii="Times New Roman" w:hAnsi="Times New Roman"/>
          <w:b w:val="0"/>
          <w:bCs w:val="0"/>
          <w:color w:val="auto"/>
          <w:lang w:val="en-GB"/>
        </w:rPr>
        <w:t>is</w:t>
      </w:r>
      <w:r w:rsidRPr="00F05B90">
        <w:rPr>
          <w:rFonts w:ascii="Times New Roman" w:hAnsi="Times New Roman"/>
          <w:b w:val="0"/>
          <w:bCs w:val="0"/>
          <w:color w:val="auto"/>
          <w:lang w:val="en-GB"/>
        </w:rPr>
        <w:t xml:space="preserve"> associated with CEO mobility.</w:t>
      </w:r>
      <w:r w:rsidR="003B58CB" w:rsidRPr="00F05B90">
        <w:rPr>
          <w:rFonts w:ascii="Times New Roman" w:hAnsi="Times New Roman"/>
          <w:b w:val="0"/>
          <w:bCs w:val="0"/>
          <w:color w:val="auto"/>
          <w:lang w:val="en-GB"/>
        </w:rPr>
        <w:t xml:space="preserve"> Younger CEOs</w:t>
      </w:r>
      <w:r w:rsidR="00E46177" w:rsidRPr="00F05B90">
        <w:rPr>
          <w:rFonts w:ascii="Times New Roman" w:hAnsi="Times New Roman"/>
          <w:b w:val="0"/>
          <w:bCs w:val="0"/>
          <w:color w:val="auto"/>
          <w:lang w:val="en-GB"/>
        </w:rPr>
        <w:t xml:space="preserve">, with </w:t>
      </w:r>
      <w:r w:rsidR="003B58CB" w:rsidRPr="00F05B90">
        <w:rPr>
          <w:rFonts w:ascii="Times New Roman" w:hAnsi="Times New Roman"/>
          <w:b w:val="0"/>
          <w:bCs w:val="0"/>
          <w:color w:val="auto"/>
          <w:lang w:val="en-GB"/>
        </w:rPr>
        <w:t>long</w:t>
      </w:r>
      <w:r w:rsidR="00161891" w:rsidRPr="00F05B90">
        <w:rPr>
          <w:rFonts w:ascii="Times New Roman" w:hAnsi="Times New Roman"/>
          <w:b w:val="0"/>
          <w:bCs w:val="0"/>
          <w:color w:val="auto"/>
          <w:lang w:val="en-GB"/>
        </w:rPr>
        <w:t>er</w:t>
      </w:r>
      <w:r w:rsidR="003B58CB" w:rsidRPr="00F05B90">
        <w:rPr>
          <w:rFonts w:ascii="Times New Roman" w:hAnsi="Times New Roman"/>
          <w:b w:val="0"/>
          <w:bCs w:val="0"/>
          <w:color w:val="auto"/>
          <w:lang w:val="en-GB"/>
        </w:rPr>
        <w:t xml:space="preserve"> career horizon</w:t>
      </w:r>
      <w:r w:rsidR="00161891" w:rsidRPr="00F05B90">
        <w:rPr>
          <w:rFonts w:ascii="Times New Roman" w:hAnsi="Times New Roman"/>
          <w:b w:val="0"/>
          <w:bCs w:val="0"/>
          <w:color w:val="auto"/>
          <w:lang w:val="en-GB"/>
        </w:rPr>
        <w:t>s,</w:t>
      </w:r>
      <w:r w:rsidR="003B58CB" w:rsidRPr="00F05B90">
        <w:rPr>
          <w:rFonts w:ascii="Times New Roman" w:hAnsi="Times New Roman"/>
          <w:b w:val="0"/>
          <w:bCs w:val="0"/>
          <w:color w:val="auto"/>
          <w:lang w:val="en-GB"/>
        </w:rPr>
        <w:t xml:space="preserve"> </w:t>
      </w:r>
      <w:r w:rsidR="00E46177" w:rsidRPr="00F05B90">
        <w:rPr>
          <w:rFonts w:ascii="Times New Roman" w:hAnsi="Times New Roman"/>
          <w:b w:val="0"/>
          <w:bCs w:val="0"/>
          <w:color w:val="auto"/>
          <w:lang w:val="en-GB"/>
        </w:rPr>
        <w:t xml:space="preserve">have greater </w:t>
      </w:r>
      <w:r w:rsidR="00854A90" w:rsidRPr="00F05B90">
        <w:rPr>
          <w:rFonts w:ascii="Times New Roman" w:hAnsi="Times New Roman"/>
          <w:b w:val="0"/>
          <w:bCs w:val="0"/>
          <w:color w:val="auto"/>
          <w:lang w:val="en-GB"/>
        </w:rPr>
        <w:t>career mobility</w:t>
      </w:r>
      <w:r w:rsidR="00E46177" w:rsidRPr="00F05B90">
        <w:rPr>
          <w:rFonts w:ascii="Times New Roman" w:hAnsi="Times New Roman"/>
          <w:b w:val="0"/>
          <w:bCs w:val="0"/>
          <w:color w:val="auto"/>
          <w:lang w:val="en-GB"/>
        </w:rPr>
        <w:t xml:space="preserve"> than older CEOs</w:t>
      </w:r>
      <w:r w:rsidR="00393279" w:rsidRPr="00F05B90">
        <w:rPr>
          <w:rFonts w:ascii="Times New Roman" w:hAnsi="Times New Roman"/>
          <w:b w:val="0"/>
          <w:bCs w:val="0"/>
          <w:color w:val="auto"/>
          <w:lang w:val="en-GB"/>
        </w:rPr>
        <w:t xml:space="preserve">, making them more motivated to compete for industry tournament prizes </w:t>
      </w:r>
      <w:r w:rsidR="00854A90" w:rsidRPr="00F05B90">
        <w:rPr>
          <w:rFonts w:ascii="Times New Roman" w:hAnsi="Times New Roman"/>
          <w:b w:val="0"/>
          <w:bCs w:val="0"/>
          <w:color w:val="auto"/>
          <w:lang w:val="en-GB"/>
        </w:rPr>
        <w:t>(Veiga, 1983, Ward et al., 1995).</w:t>
      </w:r>
    </w:p>
    <w:p w14:paraId="2980EE37" w14:textId="4B919585" w:rsidR="00F80955" w:rsidRPr="00F05B90" w:rsidRDefault="003B58CB" w:rsidP="00B3493A">
      <w:pPr>
        <w:pStyle w:val="Style1"/>
        <w:numPr>
          <w:ilvl w:val="0"/>
          <w:numId w:val="0"/>
        </w:numPr>
        <w:spacing w:before="240" w:after="240" w:line="360" w:lineRule="auto"/>
        <w:contextualSpacing w:val="0"/>
        <w:rPr>
          <w:rFonts w:asciiTheme="majorBidi" w:hAnsiTheme="majorBidi" w:cstheme="majorBidi"/>
          <w:color w:val="auto"/>
          <w:lang w:val="en-GB"/>
        </w:rPr>
      </w:pPr>
      <w:r w:rsidRPr="00F05B90">
        <w:rPr>
          <w:rFonts w:asciiTheme="majorBidi" w:hAnsiTheme="majorBidi" w:cstheme="majorBidi"/>
          <w:b w:val="0"/>
          <w:bCs w:val="0"/>
          <w:color w:val="auto"/>
          <w:lang w:val="en-GB"/>
        </w:rPr>
        <w:t>T</w:t>
      </w:r>
      <w:r w:rsidR="00F80955" w:rsidRPr="00F05B90">
        <w:rPr>
          <w:rFonts w:asciiTheme="majorBidi" w:hAnsiTheme="majorBidi" w:cstheme="majorBidi"/>
          <w:b w:val="0"/>
          <w:bCs w:val="0"/>
          <w:color w:val="auto"/>
          <w:lang w:val="en-GB"/>
        </w:rPr>
        <w:t>o</w:t>
      </w:r>
      <w:r w:rsidR="00DF71D3" w:rsidRPr="00F05B90">
        <w:rPr>
          <w:rStyle w:val="CommentReference"/>
          <w:rFonts w:asciiTheme="majorBidi" w:hAnsiTheme="majorBidi" w:cstheme="majorBidi"/>
          <w:b w:val="0"/>
          <w:bCs w:val="0"/>
          <w:color w:val="auto"/>
          <w:sz w:val="24"/>
          <w:szCs w:val="24"/>
          <w:lang w:val="en-GB"/>
        </w:rPr>
        <w:t xml:space="preserve"> </w:t>
      </w:r>
      <w:r w:rsidR="00F80955" w:rsidRPr="00F05B90">
        <w:rPr>
          <w:rFonts w:asciiTheme="majorBidi" w:hAnsiTheme="majorBidi" w:cstheme="majorBidi"/>
          <w:b w:val="0"/>
          <w:bCs w:val="0"/>
          <w:color w:val="auto"/>
          <w:lang w:val="en-GB"/>
        </w:rPr>
        <w:t>test</w:t>
      </w:r>
      <w:r w:rsidR="003D0000" w:rsidRPr="00F05B90">
        <w:rPr>
          <w:rFonts w:asciiTheme="majorBidi" w:hAnsiTheme="majorBidi" w:cstheme="majorBidi"/>
          <w:b w:val="0"/>
          <w:bCs w:val="0"/>
          <w:color w:val="auto"/>
          <w:lang w:val="en-GB"/>
        </w:rPr>
        <w:t xml:space="preserve"> </w:t>
      </w:r>
      <w:r w:rsidR="003D0000" w:rsidRPr="00F05B90">
        <w:rPr>
          <w:rStyle w:val="CommentReference"/>
          <w:rFonts w:asciiTheme="majorBidi" w:hAnsiTheme="majorBidi" w:cstheme="majorBidi"/>
          <w:b w:val="0"/>
          <w:bCs w:val="0"/>
          <w:color w:val="auto"/>
          <w:sz w:val="24"/>
          <w:szCs w:val="24"/>
          <w:lang w:val="en-GB"/>
        </w:rPr>
        <w:t>whether</w:t>
      </w:r>
      <w:r w:rsidR="00F80955" w:rsidRPr="00F05B90">
        <w:rPr>
          <w:rFonts w:asciiTheme="majorBidi" w:hAnsiTheme="majorBidi" w:cstheme="majorBidi"/>
          <w:b w:val="0"/>
          <w:bCs w:val="0"/>
          <w:color w:val="auto"/>
          <w:lang w:val="en-GB"/>
        </w:rPr>
        <w:t xml:space="preserve"> CEO career horizon</w:t>
      </w:r>
      <w:r w:rsidR="00161891" w:rsidRPr="00F05B90">
        <w:rPr>
          <w:rFonts w:asciiTheme="majorBidi" w:hAnsiTheme="majorBidi" w:cstheme="majorBidi"/>
          <w:b w:val="0"/>
          <w:bCs w:val="0"/>
          <w:color w:val="auto"/>
          <w:lang w:val="en-GB"/>
        </w:rPr>
        <w:t>s</w:t>
      </w:r>
      <w:r w:rsidR="00F80955" w:rsidRPr="00F05B90">
        <w:rPr>
          <w:rFonts w:asciiTheme="majorBidi" w:hAnsiTheme="majorBidi" w:cstheme="majorBidi"/>
          <w:b w:val="0"/>
          <w:bCs w:val="0"/>
          <w:color w:val="auto"/>
          <w:lang w:val="en-GB"/>
        </w:rPr>
        <w:t xml:space="preserve"> </w:t>
      </w:r>
      <w:r w:rsidR="00393279" w:rsidRPr="00F05B90">
        <w:rPr>
          <w:rFonts w:asciiTheme="majorBidi" w:hAnsiTheme="majorBidi" w:cstheme="majorBidi"/>
          <w:b w:val="0"/>
          <w:bCs w:val="0"/>
          <w:color w:val="auto"/>
          <w:lang w:val="en-GB"/>
        </w:rPr>
        <w:t xml:space="preserve">influence </w:t>
      </w:r>
      <w:r w:rsidR="00F80955" w:rsidRPr="00F05B90">
        <w:rPr>
          <w:rFonts w:asciiTheme="majorBidi" w:hAnsiTheme="majorBidi" w:cstheme="majorBidi"/>
          <w:b w:val="0"/>
          <w:bCs w:val="0"/>
          <w:color w:val="auto"/>
          <w:lang w:val="en-GB"/>
        </w:rPr>
        <w:t xml:space="preserve">the </w:t>
      </w:r>
      <w:r w:rsidR="00393279" w:rsidRPr="00F05B90">
        <w:rPr>
          <w:rFonts w:asciiTheme="majorBidi" w:hAnsiTheme="majorBidi" w:cstheme="majorBidi"/>
          <w:b w:val="0"/>
          <w:bCs w:val="0"/>
          <w:color w:val="auto"/>
          <w:lang w:val="en-GB"/>
        </w:rPr>
        <w:t xml:space="preserve">relationship between </w:t>
      </w:r>
      <w:r w:rsidR="00F80955" w:rsidRPr="00F05B90">
        <w:rPr>
          <w:rFonts w:asciiTheme="majorBidi" w:hAnsiTheme="majorBidi" w:cstheme="majorBidi"/>
          <w:b w:val="0"/>
          <w:bCs w:val="0"/>
          <w:color w:val="auto"/>
          <w:lang w:val="en-GB"/>
        </w:rPr>
        <w:t>industry tournament</w:t>
      </w:r>
      <w:r w:rsidR="00393279" w:rsidRPr="00F05B90">
        <w:rPr>
          <w:rFonts w:asciiTheme="majorBidi" w:hAnsiTheme="majorBidi" w:cstheme="majorBidi"/>
          <w:b w:val="0"/>
          <w:bCs w:val="0"/>
          <w:color w:val="auto"/>
          <w:lang w:val="en-GB"/>
        </w:rPr>
        <w:t xml:space="preserve"> incentives and </w:t>
      </w:r>
      <w:r w:rsidR="00F80955" w:rsidRPr="00F05B90">
        <w:rPr>
          <w:rFonts w:asciiTheme="majorBidi" w:hAnsiTheme="majorBidi" w:cstheme="majorBidi"/>
          <w:b w:val="0"/>
          <w:bCs w:val="0"/>
          <w:color w:val="auto"/>
          <w:lang w:val="en-GB"/>
        </w:rPr>
        <w:t>audit</w:t>
      </w:r>
      <w:r w:rsidR="00393279" w:rsidRPr="00F05B90">
        <w:rPr>
          <w:rFonts w:asciiTheme="majorBidi" w:hAnsiTheme="majorBidi" w:cstheme="majorBidi"/>
          <w:b w:val="0"/>
          <w:bCs w:val="0"/>
          <w:color w:val="auto"/>
          <w:lang w:val="en-GB"/>
        </w:rPr>
        <w:t>or</w:t>
      </w:r>
      <w:r w:rsidR="00F80955" w:rsidRPr="00F05B90">
        <w:rPr>
          <w:rFonts w:asciiTheme="majorBidi" w:hAnsiTheme="majorBidi" w:cstheme="majorBidi"/>
          <w:b w:val="0"/>
          <w:bCs w:val="0"/>
          <w:color w:val="auto"/>
          <w:lang w:val="en-GB"/>
        </w:rPr>
        <w:t xml:space="preserve"> </w:t>
      </w:r>
      <w:r w:rsidR="00B3493A" w:rsidRPr="00F05B90">
        <w:rPr>
          <w:rFonts w:asciiTheme="majorBidi" w:hAnsiTheme="majorBidi" w:cstheme="majorBidi"/>
          <w:b w:val="0"/>
          <w:bCs w:val="0"/>
          <w:color w:val="auto"/>
          <w:lang w:val="en-GB"/>
        </w:rPr>
        <w:t>judgment</w:t>
      </w:r>
      <w:r w:rsidR="00F80955" w:rsidRPr="00F05B90">
        <w:rPr>
          <w:rFonts w:asciiTheme="majorBidi" w:hAnsiTheme="majorBidi" w:cstheme="majorBidi"/>
          <w:b w:val="0"/>
          <w:bCs w:val="0"/>
          <w:color w:val="auto"/>
          <w:lang w:val="en-GB"/>
        </w:rPr>
        <w:t xml:space="preserve">, we </w:t>
      </w:r>
      <w:r w:rsidR="00393279" w:rsidRPr="00F05B90">
        <w:rPr>
          <w:rFonts w:asciiTheme="majorBidi" w:hAnsiTheme="majorBidi" w:cstheme="majorBidi"/>
          <w:b w:val="0"/>
          <w:bCs w:val="0"/>
          <w:color w:val="auto"/>
          <w:lang w:val="en-GB"/>
        </w:rPr>
        <w:t xml:space="preserve">split </w:t>
      </w:r>
      <w:r w:rsidR="00F80955" w:rsidRPr="00F05B90">
        <w:rPr>
          <w:rFonts w:asciiTheme="majorBidi" w:hAnsiTheme="majorBidi" w:cstheme="majorBidi"/>
          <w:b w:val="0"/>
          <w:bCs w:val="0"/>
          <w:color w:val="auto"/>
          <w:lang w:val="en-GB"/>
        </w:rPr>
        <w:t xml:space="preserve">our sample into two groups based </w:t>
      </w:r>
      <w:r w:rsidR="00D46CBB" w:rsidRPr="00F05B90">
        <w:rPr>
          <w:rFonts w:asciiTheme="majorBidi" w:hAnsiTheme="majorBidi" w:cstheme="majorBidi"/>
          <w:b w:val="0"/>
          <w:bCs w:val="0"/>
          <w:color w:val="auto"/>
          <w:lang w:val="en-GB"/>
        </w:rPr>
        <w:t xml:space="preserve">on </w:t>
      </w:r>
      <w:r w:rsidR="00F80955" w:rsidRPr="00F05B90">
        <w:rPr>
          <w:rFonts w:asciiTheme="majorBidi" w:hAnsiTheme="majorBidi" w:cstheme="majorBidi"/>
          <w:b w:val="0"/>
          <w:bCs w:val="0"/>
          <w:color w:val="auto"/>
          <w:lang w:val="en-GB"/>
        </w:rPr>
        <w:t>CEO age</w:t>
      </w:r>
      <w:r w:rsidRPr="00F05B90">
        <w:rPr>
          <w:rFonts w:asciiTheme="majorBidi" w:hAnsiTheme="majorBidi" w:cstheme="majorBidi"/>
          <w:b w:val="0"/>
          <w:bCs w:val="0"/>
          <w:color w:val="auto"/>
          <w:lang w:val="en-GB"/>
        </w:rPr>
        <w:t xml:space="preserve">. </w:t>
      </w:r>
      <w:r w:rsidR="00F80955" w:rsidRPr="00F05B90">
        <w:rPr>
          <w:rFonts w:asciiTheme="majorBidi" w:hAnsiTheme="majorBidi" w:cstheme="majorBidi"/>
          <w:b w:val="0"/>
          <w:bCs w:val="0"/>
          <w:color w:val="auto"/>
          <w:lang w:val="en-GB"/>
        </w:rPr>
        <w:t>CEOs</w:t>
      </w:r>
      <w:r w:rsidR="00C744A4" w:rsidRPr="00F05B90">
        <w:rPr>
          <w:rFonts w:asciiTheme="majorBidi" w:hAnsiTheme="majorBidi" w:cstheme="majorBidi"/>
          <w:b w:val="0"/>
          <w:bCs w:val="0"/>
          <w:color w:val="auto"/>
          <w:lang w:val="en-GB"/>
        </w:rPr>
        <w:t xml:space="preserve"> below the sample median age</w:t>
      </w:r>
      <w:r w:rsidR="00F80955" w:rsidRPr="00F05B90">
        <w:rPr>
          <w:rFonts w:asciiTheme="majorBidi" w:hAnsiTheme="majorBidi" w:cstheme="majorBidi"/>
          <w:b w:val="0"/>
          <w:bCs w:val="0"/>
          <w:color w:val="auto"/>
          <w:lang w:val="en-GB"/>
        </w:rPr>
        <w:t xml:space="preserve"> </w:t>
      </w:r>
      <w:r w:rsidR="00C744A4" w:rsidRPr="00F05B90">
        <w:rPr>
          <w:rFonts w:asciiTheme="majorBidi" w:hAnsiTheme="majorBidi" w:cstheme="majorBidi"/>
          <w:b w:val="0"/>
          <w:bCs w:val="0"/>
          <w:color w:val="auto"/>
          <w:lang w:val="en-GB"/>
        </w:rPr>
        <w:t xml:space="preserve">are classified </w:t>
      </w:r>
      <w:r w:rsidRPr="00F05B90">
        <w:rPr>
          <w:rFonts w:asciiTheme="majorBidi" w:hAnsiTheme="majorBidi" w:cstheme="majorBidi"/>
          <w:b w:val="0"/>
          <w:bCs w:val="0"/>
          <w:color w:val="auto"/>
          <w:lang w:val="en-GB"/>
        </w:rPr>
        <w:t xml:space="preserve">as </w:t>
      </w:r>
      <w:r w:rsidR="00161891" w:rsidRPr="00F05B90">
        <w:rPr>
          <w:rFonts w:asciiTheme="majorBidi" w:hAnsiTheme="majorBidi" w:cstheme="majorBidi"/>
          <w:b w:val="0"/>
          <w:bCs w:val="0"/>
          <w:color w:val="auto"/>
          <w:lang w:val="en-GB"/>
        </w:rPr>
        <w:t>having</w:t>
      </w:r>
      <w:r w:rsidRPr="00F05B90">
        <w:rPr>
          <w:rFonts w:asciiTheme="majorBidi" w:hAnsiTheme="majorBidi" w:cstheme="majorBidi"/>
          <w:b w:val="0"/>
          <w:bCs w:val="0"/>
          <w:color w:val="auto"/>
          <w:lang w:val="en-GB"/>
        </w:rPr>
        <w:t xml:space="preserve"> long</w:t>
      </w:r>
      <w:r w:rsidR="00DD21B6" w:rsidRPr="00F05B90">
        <w:rPr>
          <w:rFonts w:asciiTheme="majorBidi" w:hAnsiTheme="majorBidi" w:cstheme="majorBidi"/>
          <w:b w:val="0"/>
          <w:bCs w:val="0"/>
          <w:color w:val="auto"/>
          <w:lang w:val="en-GB"/>
        </w:rPr>
        <w:t>er</w:t>
      </w:r>
      <w:r w:rsidR="00F80955" w:rsidRPr="00F05B90">
        <w:rPr>
          <w:rFonts w:asciiTheme="majorBidi" w:hAnsiTheme="majorBidi" w:cstheme="majorBidi"/>
          <w:b w:val="0"/>
          <w:bCs w:val="0"/>
          <w:color w:val="auto"/>
          <w:lang w:val="en-GB"/>
        </w:rPr>
        <w:t xml:space="preserve"> career horizons</w:t>
      </w:r>
      <w:r w:rsidR="00C744A4" w:rsidRPr="00F05B90">
        <w:rPr>
          <w:rFonts w:asciiTheme="majorBidi" w:hAnsiTheme="majorBidi" w:cstheme="majorBidi"/>
          <w:b w:val="0"/>
          <w:bCs w:val="0"/>
          <w:color w:val="auto"/>
          <w:lang w:val="en-GB"/>
        </w:rPr>
        <w:t xml:space="preserve">, while those above the median are categorised </w:t>
      </w:r>
      <w:r w:rsidRPr="00F05B90">
        <w:rPr>
          <w:rFonts w:asciiTheme="majorBidi" w:hAnsiTheme="majorBidi" w:cstheme="majorBidi"/>
          <w:b w:val="0"/>
          <w:bCs w:val="0"/>
          <w:color w:val="auto"/>
          <w:lang w:val="en-GB"/>
        </w:rPr>
        <w:t xml:space="preserve">as </w:t>
      </w:r>
      <w:r w:rsidR="00161891" w:rsidRPr="00F05B90">
        <w:rPr>
          <w:rFonts w:asciiTheme="majorBidi" w:hAnsiTheme="majorBidi" w:cstheme="majorBidi"/>
          <w:b w:val="0"/>
          <w:bCs w:val="0"/>
          <w:color w:val="auto"/>
          <w:lang w:val="en-GB"/>
        </w:rPr>
        <w:t>having</w:t>
      </w:r>
      <w:r w:rsidRPr="00F05B90">
        <w:rPr>
          <w:rFonts w:asciiTheme="majorBidi" w:hAnsiTheme="majorBidi" w:cstheme="majorBidi"/>
          <w:b w:val="0"/>
          <w:bCs w:val="0"/>
          <w:color w:val="auto"/>
          <w:lang w:val="en-GB"/>
        </w:rPr>
        <w:t xml:space="preserve"> short</w:t>
      </w:r>
      <w:r w:rsidR="00DD21B6" w:rsidRPr="00F05B90">
        <w:rPr>
          <w:rFonts w:asciiTheme="majorBidi" w:hAnsiTheme="majorBidi" w:cstheme="majorBidi"/>
          <w:b w:val="0"/>
          <w:bCs w:val="0"/>
          <w:color w:val="auto"/>
          <w:lang w:val="en-GB"/>
        </w:rPr>
        <w:t>er</w:t>
      </w:r>
      <w:r w:rsidRPr="00F05B90">
        <w:rPr>
          <w:rFonts w:asciiTheme="majorBidi" w:hAnsiTheme="majorBidi" w:cstheme="majorBidi"/>
          <w:b w:val="0"/>
          <w:bCs w:val="0"/>
          <w:color w:val="auto"/>
          <w:lang w:val="en-GB"/>
        </w:rPr>
        <w:t xml:space="preserve"> career horizons. </w:t>
      </w:r>
      <w:r w:rsidR="00F80955" w:rsidRPr="00F05B90">
        <w:rPr>
          <w:rFonts w:asciiTheme="majorBidi" w:hAnsiTheme="majorBidi" w:cstheme="majorBidi"/>
          <w:b w:val="0"/>
          <w:bCs w:val="0"/>
          <w:color w:val="auto"/>
          <w:lang w:val="en-GB"/>
        </w:rPr>
        <w:t xml:space="preserve"> </w:t>
      </w:r>
      <w:r w:rsidR="00C744A4" w:rsidRPr="00F05B90">
        <w:rPr>
          <w:rFonts w:asciiTheme="majorBidi" w:hAnsiTheme="majorBidi" w:cstheme="majorBidi"/>
          <w:b w:val="0"/>
          <w:bCs w:val="0"/>
          <w:color w:val="auto"/>
          <w:lang w:val="en-GB"/>
        </w:rPr>
        <w:t>W</w:t>
      </w:r>
      <w:r w:rsidR="00F80955" w:rsidRPr="00F05B90">
        <w:rPr>
          <w:rFonts w:asciiTheme="majorBidi" w:hAnsiTheme="majorBidi" w:cstheme="majorBidi"/>
          <w:b w:val="0"/>
          <w:bCs w:val="0"/>
          <w:color w:val="auto"/>
          <w:lang w:val="en-GB"/>
        </w:rPr>
        <w:t xml:space="preserve">e </w:t>
      </w:r>
      <w:r w:rsidR="00C744A4" w:rsidRPr="00F05B90">
        <w:rPr>
          <w:rFonts w:asciiTheme="majorBidi" w:hAnsiTheme="majorBidi" w:cstheme="majorBidi"/>
          <w:b w:val="0"/>
          <w:bCs w:val="0"/>
          <w:color w:val="auto"/>
          <w:lang w:val="en-GB"/>
        </w:rPr>
        <w:t xml:space="preserve">then </w:t>
      </w:r>
      <w:r w:rsidRPr="00F05B90">
        <w:rPr>
          <w:rFonts w:asciiTheme="majorBidi" w:hAnsiTheme="majorBidi" w:cstheme="majorBidi"/>
          <w:b w:val="0"/>
          <w:bCs w:val="0"/>
          <w:color w:val="auto"/>
          <w:lang w:val="en-GB"/>
        </w:rPr>
        <w:t xml:space="preserve">re-estimate our </w:t>
      </w:r>
      <w:r w:rsidR="00C744A4" w:rsidRPr="00F05B90">
        <w:rPr>
          <w:rFonts w:asciiTheme="majorBidi" w:hAnsiTheme="majorBidi" w:cstheme="majorBidi"/>
          <w:b w:val="0"/>
          <w:bCs w:val="0"/>
          <w:color w:val="auto"/>
          <w:lang w:val="en-GB"/>
        </w:rPr>
        <w:t xml:space="preserve">model </w:t>
      </w:r>
      <w:r w:rsidRPr="00F05B90">
        <w:rPr>
          <w:rFonts w:asciiTheme="majorBidi" w:hAnsiTheme="majorBidi" w:cstheme="majorBidi"/>
          <w:b w:val="0"/>
          <w:bCs w:val="0"/>
          <w:color w:val="auto"/>
          <w:lang w:val="en-GB"/>
        </w:rPr>
        <w:lastRenderedPageBreak/>
        <w:t xml:space="preserve">separately </w:t>
      </w:r>
      <w:r w:rsidR="00C744A4" w:rsidRPr="00F05B90">
        <w:rPr>
          <w:rFonts w:asciiTheme="majorBidi" w:hAnsiTheme="majorBidi" w:cstheme="majorBidi"/>
          <w:b w:val="0"/>
          <w:bCs w:val="0"/>
          <w:color w:val="auto"/>
          <w:lang w:val="en-GB"/>
        </w:rPr>
        <w:t>for these groups</w:t>
      </w:r>
      <w:r w:rsidR="00B42893" w:rsidRPr="00F05B90">
        <w:rPr>
          <w:rFonts w:asciiTheme="majorBidi" w:hAnsiTheme="majorBidi" w:cstheme="majorBidi"/>
          <w:b w:val="0"/>
          <w:bCs w:val="0"/>
          <w:color w:val="auto"/>
          <w:lang w:val="en-GB"/>
        </w:rPr>
        <w:t xml:space="preserve">. </w:t>
      </w:r>
      <w:r w:rsidR="00DD21B6" w:rsidRPr="00F05B90">
        <w:rPr>
          <w:rFonts w:asciiTheme="majorBidi" w:hAnsiTheme="majorBidi" w:cstheme="majorBidi"/>
          <w:b w:val="0"/>
          <w:bCs w:val="0"/>
          <w:color w:val="auto"/>
          <w:lang w:val="en-GB"/>
        </w:rPr>
        <w:t xml:space="preserve">Our </w:t>
      </w:r>
      <w:r w:rsidR="00B42893" w:rsidRPr="00F05B90">
        <w:rPr>
          <w:rFonts w:asciiTheme="majorBidi" w:hAnsiTheme="majorBidi" w:cstheme="majorBidi"/>
          <w:b w:val="0"/>
          <w:bCs w:val="0"/>
          <w:color w:val="auto"/>
          <w:lang w:val="en-GB"/>
        </w:rPr>
        <w:t xml:space="preserve">unreported </w:t>
      </w:r>
      <w:r w:rsidR="00DD21B6" w:rsidRPr="00F05B90">
        <w:rPr>
          <w:rFonts w:asciiTheme="majorBidi" w:hAnsiTheme="majorBidi" w:cstheme="majorBidi"/>
          <w:b w:val="0"/>
          <w:bCs w:val="0"/>
          <w:color w:val="auto"/>
          <w:lang w:val="en-GB"/>
        </w:rPr>
        <w:t>results indicate that t</w:t>
      </w:r>
      <w:r w:rsidRPr="00F05B90">
        <w:rPr>
          <w:rFonts w:asciiTheme="majorBidi" w:hAnsiTheme="majorBidi" w:cstheme="majorBidi"/>
          <w:b w:val="0"/>
          <w:bCs w:val="0"/>
          <w:color w:val="auto"/>
          <w:lang w:val="en-GB"/>
        </w:rPr>
        <w:t>he</w:t>
      </w:r>
      <w:r w:rsidR="00F80955" w:rsidRPr="00F05B90">
        <w:rPr>
          <w:rFonts w:asciiTheme="majorBidi" w:hAnsiTheme="majorBidi" w:cstheme="majorBidi"/>
          <w:b w:val="0"/>
          <w:bCs w:val="0"/>
          <w:color w:val="auto"/>
          <w:lang w:val="en-GB"/>
        </w:rPr>
        <w:t xml:space="preserve"> coefficients of </w:t>
      </w:r>
      <w:r w:rsidR="00F80955" w:rsidRPr="00F05B90">
        <w:rPr>
          <w:rFonts w:asciiTheme="majorBidi" w:hAnsiTheme="majorBidi" w:cstheme="majorBidi"/>
          <w:b w:val="0"/>
          <w:bCs w:val="0"/>
          <w:i/>
          <w:iCs/>
          <w:color w:val="auto"/>
          <w:lang w:val="en-GB"/>
        </w:rPr>
        <w:t>Indgap</w:t>
      </w:r>
      <w:r w:rsidR="00F80955" w:rsidRPr="00F05B90">
        <w:rPr>
          <w:rFonts w:asciiTheme="majorBidi" w:hAnsiTheme="majorBidi" w:cstheme="majorBidi"/>
          <w:b w:val="0"/>
          <w:bCs w:val="0"/>
          <w:color w:val="auto"/>
          <w:lang w:val="en-GB"/>
        </w:rPr>
        <w:t xml:space="preserve"> </w:t>
      </w:r>
      <w:r w:rsidR="00AB6F88" w:rsidRPr="00F05B90">
        <w:rPr>
          <w:rFonts w:asciiTheme="majorBidi" w:hAnsiTheme="majorBidi" w:cstheme="majorBidi"/>
          <w:b w:val="0"/>
          <w:bCs w:val="0"/>
          <w:color w:val="auto"/>
          <w:lang w:val="en-GB"/>
        </w:rPr>
        <w:t xml:space="preserve">remain </w:t>
      </w:r>
      <w:r w:rsidR="00F80955" w:rsidRPr="00F05B90">
        <w:rPr>
          <w:rFonts w:asciiTheme="majorBidi" w:hAnsiTheme="majorBidi" w:cstheme="majorBidi"/>
          <w:b w:val="0"/>
          <w:bCs w:val="0"/>
          <w:color w:val="auto"/>
          <w:lang w:val="en-GB"/>
        </w:rPr>
        <w:t xml:space="preserve">negative and significant at the 1% level with </w:t>
      </w:r>
      <w:r w:rsidR="00F80955" w:rsidRPr="00F05B90">
        <w:rPr>
          <w:rFonts w:asciiTheme="majorBidi" w:hAnsiTheme="majorBidi" w:cstheme="majorBidi"/>
          <w:b w:val="0"/>
          <w:bCs w:val="0"/>
          <w:i/>
          <w:iCs/>
          <w:color w:val="auto"/>
          <w:lang w:val="en-GB"/>
        </w:rPr>
        <w:t>KAM</w:t>
      </w:r>
      <w:r w:rsidR="00161891" w:rsidRPr="00F05B90">
        <w:rPr>
          <w:rFonts w:asciiTheme="majorBidi" w:hAnsiTheme="majorBidi" w:cstheme="majorBidi"/>
          <w:b w:val="0"/>
          <w:bCs w:val="0"/>
          <w:color w:val="auto"/>
          <w:lang w:val="en-GB"/>
        </w:rPr>
        <w:t xml:space="preserve"> </w:t>
      </w:r>
      <w:r w:rsidR="00F80955" w:rsidRPr="00F05B90">
        <w:rPr>
          <w:rFonts w:asciiTheme="majorBidi" w:hAnsiTheme="majorBidi" w:cstheme="majorBidi"/>
          <w:b w:val="0"/>
          <w:bCs w:val="0"/>
          <w:color w:val="auto"/>
          <w:lang w:val="en-GB"/>
        </w:rPr>
        <w:t xml:space="preserve">and positive and significant with </w:t>
      </w:r>
      <w:r w:rsidR="00F80955" w:rsidRPr="00F05B90">
        <w:rPr>
          <w:rFonts w:asciiTheme="majorBidi" w:hAnsiTheme="majorBidi" w:cstheme="majorBidi"/>
          <w:b w:val="0"/>
          <w:bCs w:val="0"/>
          <w:i/>
          <w:iCs/>
          <w:color w:val="auto"/>
          <w:lang w:val="en-GB"/>
        </w:rPr>
        <w:t>MAT</w:t>
      </w:r>
      <w:r w:rsidR="00AB6F88" w:rsidRPr="00F05B90">
        <w:rPr>
          <w:rFonts w:asciiTheme="majorBidi" w:hAnsiTheme="majorBidi" w:cstheme="majorBidi"/>
          <w:b w:val="0"/>
          <w:bCs w:val="0"/>
          <w:color w:val="auto"/>
          <w:lang w:val="en-GB"/>
        </w:rPr>
        <w:t xml:space="preserve">, but only for </w:t>
      </w:r>
      <w:r w:rsidR="00F80955" w:rsidRPr="00F05B90">
        <w:rPr>
          <w:rFonts w:asciiTheme="majorBidi" w:hAnsiTheme="majorBidi" w:cstheme="majorBidi"/>
          <w:b w:val="0"/>
          <w:bCs w:val="0"/>
          <w:color w:val="auto"/>
          <w:lang w:val="en-GB"/>
        </w:rPr>
        <w:t>CEOs with longer career horizons</w:t>
      </w:r>
      <w:r w:rsidR="00AB6F88" w:rsidRPr="00F05B90">
        <w:rPr>
          <w:rFonts w:asciiTheme="majorBidi" w:hAnsiTheme="majorBidi" w:cstheme="majorBidi"/>
          <w:b w:val="0"/>
          <w:bCs w:val="0"/>
          <w:color w:val="auto"/>
          <w:lang w:val="en-GB"/>
        </w:rPr>
        <w:t>. Specifically</w:t>
      </w:r>
      <w:r w:rsidR="00D7514E" w:rsidRPr="00F05B90">
        <w:rPr>
          <w:rFonts w:asciiTheme="majorBidi" w:hAnsiTheme="majorBidi" w:cstheme="majorBidi"/>
          <w:b w:val="0"/>
          <w:bCs w:val="0"/>
          <w:color w:val="auto"/>
          <w:lang w:val="en-GB"/>
        </w:rPr>
        <w:t xml:space="preserve">, </w:t>
      </w:r>
      <w:r w:rsidR="00F80955" w:rsidRPr="00F05B90">
        <w:rPr>
          <w:rFonts w:asciiTheme="majorBidi" w:hAnsiTheme="majorBidi" w:cstheme="majorBidi"/>
          <w:b w:val="0"/>
          <w:bCs w:val="0"/>
          <w:color w:val="auto"/>
          <w:lang w:val="en-GB"/>
        </w:rPr>
        <w:t xml:space="preserve">the effect of </w:t>
      </w:r>
      <w:r w:rsidR="00AB6F88" w:rsidRPr="00F05B90">
        <w:rPr>
          <w:rFonts w:asciiTheme="majorBidi" w:hAnsiTheme="majorBidi" w:cstheme="majorBidi"/>
          <w:b w:val="0"/>
          <w:bCs w:val="0"/>
          <w:color w:val="auto"/>
          <w:lang w:val="en-GB"/>
        </w:rPr>
        <w:t xml:space="preserve">industry tournament </w:t>
      </w:r>
      <w:r w:rsidR="00F80955" w:rsidRPr="00F05B90">
        <w:rPr>
          <w:rFonts w:asciiTheme="majorBidi" w:hAnsiTheme="majorBidi" w:cstheme="majorBidi"/>
          <w:b w:val="0"/>
          <w:bCs w:val="0"/>
          <w:color w:val="auto"/>
          <w:lang w:val="en-GB"/>
        </w:rPr>
        <w:t xml:space="preserve">incentives on </w:t>
      </w:r>
      <w:r w:rsidR="00F80955" w:rsidRPr="00F05B90">
        <w:rPr>
          <w:rFonts w:asciiTheme="majorBidi" w:hAnsiTheme="majorBidi" w:cstheme="majorBidi"/>
          <w:b w:val="0"/>
          <w:bCs w:val="0"/>
          <w:i/>
          <w:iCs/>
          <w:color w:val="auto"/>
          <w:lang w:val="en-GB"/>
        </w:rPr>
        <w:t>KAM</w:t>
      </w:r>
      <w:r w:rsidR="00F80955" w:rsidRPr="00F05B90">
        <w:rPr>
          <w:rFonts w:asciiTheme="majorBidi" w:hAnsiTheme="majorBidi" w:cstheme="majorBidi"/>
          <w:b w:val="0"/>
          <w:bCs w:val="0"/>
          <w:color w:val="auto"/>
          <w:lang w:val="en-GB"/>
        </w:rPr>
        <w:t xml:space="preserve"> </w:t>
      </w:r>
      <w:r w:rsidR="00AB6F88" w:rsidRPr="00F05B90">
        <w:rPr>
          <w:rFonts w:asciiTheme="majorBidi" w:hAnsiTheme="majorBidi" w:cstheme="majorBidi"/>
          <w:b w:val="0"/>
          <w:bCs w:val="0"/>
          <w:color w:val="auto"/>
          <w:lang w:val="en-GB"/>
        </w:rPr>
        <w:t xml:space="preserve">for </w:t>
      </w:r>
      <w:r w:rsidR="00F80955" w:rsidRPr="00F05B90">
        <w:rPr>
          <w:rFonts w:asciiTheme="majorBidi" w:hAnsiTheme="majorBidi" w:cstheme="majorBidi"/>
          <w:b w:val="0"/>
          <w:bCs w:val="0"/>
          <w:color w:val="auto"/>
          <w:lang w:val="en-GB"/>
        </w:rPr>
        <w:t xml:space="preserve">younger CEOs is </w:t>
      </w:r>
      <w:r w:rsidR="00AB6F88" w:rsidRPr="00F05B90">
        <w:rPr>
          <w:rFonts w:asciiTheme="majorBidi" w:hAnsiTheme="majorBidi" w:cstheme="majorBidi"/>
          <w:b w:val="0"/>
          <w:bCs w:val="0"/>
          <w:color w:val="auto"/>
          <w:lang w:val="en-GB"/>
        </w:rPr>
        <w:t xml:space="preserve">three </w:t>
      </w:r>
      <w:r w:rsidR="00F80955" w:rsidRPr="00F05B90">
        <w:rPr>
          <w:rFonts w:asciiTheme="majorBidi" w:hAnsiTheme="majorBidi" w:cstheme="majorBidi"/>
          <w:b w:val="0"/>
          <w:bCs w:val="0"/>
          <w:color w:val="auto"/>
          <w:lang w:val="en-GB"/>
        </w:rPr>
        <w:t xml:space="preserve">times lower than </w:t>
      </w:r>
      <w:r w:rsidR="00AB6F88" w:rsidRPr="00F05B90">
        <w:rPr>
          <w:rFonts w:asciiTheme="majorBidi" w:hAnsiTheme="majorBidi" w:cstheme="majorBidi"/>
          <w:b w:val="0"/>
          <w:bCs w:val="0"/>
          <w:color w:val="auto"/>
          <w:lang w:val="en-GB"/>
        </w:rPr>
        <w:t xml:space="preserve">for the </w:t>
      </w:r>
      <w:r w:rsidR="00F80955" w:rsidRPr="00F05B90">
        <w:rPr>
          <w:rFonts w:asciiTheme="majorBidi" w:hAnsiTheme="majorBidi" w:cstheme="majorBidi"/>
          <w:b w:val="0"/>
          <w:bCs w:val="0"/>
          <w:color w:val="auto"/>
          <w:lang w:val="en-GB"/>
        </w:rPr>
        <w:t>older CEOs</w:t>
      </w:r>
      <w:r w:rsidR="00AB6F88" w:rsidRPr="00F05B90">
        <w:rPr>
          <w:rFonts w:asciiTheme="majorBidi" w:hAnsiTheme="majorBidi" w:cstheme="majorBidi"/>
          <w:b w:val="0"/>
          <w:bCs w:val="0"/>
          <w:color w:val="auto"/>
          <w:lang w:val="en-GB"/>
        </w:rPr>
        <w:t>, while its impact</w:t>
      </w:r>
      <w:r w:rsidR="00F80955" w:rsidRPr="00F05B90">
        <w:rPr>
          <w:rFonts w:asciiTheme="majorBidi" w:hAnsiTheme="majorBidi" w:cstheme="majorBidi"/>
          <w:b w:val="0"/>
          <w:bCs w:val="0"/>
          <w:color w:val="auto"/>
          <w:lang w:val="en-GB"/>
        </w:rPr>
        <w:t xml:space="preserve"> on </w:t>
      </w:r>
      <w:r w:rsidR="00F80955" w:rsidRPr="00F05B90">
        <w:rPr>
          <w:rFonts w:asciiTheme="majorBidi" w:hAnsiTheme="majorBidi" w:cstheme="majorBidi"/>
          <w:b w:val="0"/>
          <w:bCs w:val="0"/>
          <w:i/>
          <w:iCs/>
          <w:color w:val="auto"/>
          <w:lang w:val="en-GB"/>
        </w:rPr>
        <w:t>MAT</w:t>
      </w:r>
      <w:r w:rsidR="00F80955" w:rsidRPr="00F05B90">
        <w:rPr>
          <w:rFonts w:asciiTheme="majorBidi" w:hAnsiTheme="majorBidi" w:cstheme="majorBidi"/>
          <w:b w:val="0"/>
          <w:bCs w:val="0"/>
          <w:color w:val="auto"/>
          <w:lang w:val="en-GB"/>
        </w:rPr>
        <w:t xml:space="preserve"> </w:t>
      </w:r>
      <w:r w:rsidR="00AB6F88" w:rsidRPr="00F05B90">
        <w:rPr>
          <w:rFonts w:asciiTheme="majorBidi" w:hAnsiTheme="majorBidi" w:cstheme="majorBidi"/>
          <w:b w:val="0"/>
          <w:bCs w:val="0"/>
          <w:color w:val="auto"/>
          <w:lang w:val="en-GB"/>
        </w:rPr>
        <w:t xml:space="preserve">is </w:t>
      </w:r>
      <w:r w:rsidR="00F80955" w:rsidRPr="00F05B90">
        <w:rPr>
          <w:rFonts w:asciiTheme="majorBidi" w:hAnsiTheme="majorBidi" w:cstheme="majorBidi"/>
          <w:b w:val="0"/>
          <w:bCs w:val="0"/>
          <w:color w:val="auto"/>
          <w:lang w:val="en-GB"/>
        </w:rPr>
        <w:t>2.4 times</w:t>
      </w:r>
      <w:r w:rsidR="00AB6F88" w:rsidRPr="00F05B90">
        <w:rPr>
          <w:rFonts w:asciiTheme="majorBidi" w:hAnsiTheme="majorBidi" w:cstheme="majorBidi"/>
          <w:b w:val="0"/>
          <w:bCs w:val="0"/>
          <w:color w:val="auto"/>
          <w:lang w:val="en-GB"/>
        </w:rPr>
        <w:t xml:space="preserve"> higher</w:t>
      </w:r>
      <w:r w:rsidR="00F80955" w:rsidRPr="00F05B90">
        <w:rPr>
          <w:rFonts w:asciiTheme="majorBidi" w:hAnsiTheme="majorBidi" w:cstheme="majorBidi"/>
          <w:b w:val="0"/>
          <w:bCs w:val="0"/>
          <w:color w:val="auto"/>
          <w:lang w:val="en-GB"/>
        </w:rPr>
        <w:t>. The</w:t>
      </w:r>
      <w:r w:rsidR="000C2B28" w:rsidRPr="00F05B90">
        <w:rPr>
          <w:rFonts w:asciiTheme="majorBidi" w:hAnsiTheme="majorBidi" w:cstheme="majorBidi"/>
          <w:b w:val="0"/>
          <w:bCs w:val="0"/>
          <w:color w:val="auto"/>
          <w:lang w:val="en-GB"/>
        </w:rPr>
        <w:t>se</w:t>
      </w:r>
      <w:r w:rsidR="00F80955" w:rsidRPr="00F05B90">
        <w:rPr>
          <w:rFonts w:asciiTheme="majorBidi" w:hAnsiTheme="majorBidi" w:cstheme="majorBidi"/>
          <w:b w:val="0"/>
          <w:bCs w:val="0"/>
          <w:color w:val="auto"/>
          <w:lang w:val="en-GB"/>
        </w:rPr>
        <w:t xml:space="preserve"> results </w:t>
      </w:r>
      <w:r w:rsidR="000C2B28" w:rsidRPr="00F05B90">
        <w:rPr>
          <w:rFonts w:asciiTheme="majorBidi" w:hAnsiTheme="majorBidi" w:cstheme="majorBidi"/>
          <w:b w:val="0"/>
          <w:bCs w:val="0"/>
          <w:color w:val="auto"/>
          <w:lang w:val="en-GB"/>
        </w:rPr>
        <w:t xml:space="preserve">suggest </w:t>
      </w:r>
      <w:r w:rsidR="00F80955" w:rsidRPr="00F05B90">
        <w:rPr>
          <w:rFonts w:asciiTheme="majorBidi" w:hAnsiTheme="majorBidi" w:cstheme="majorBidi"/>
          <w:b w:val="0"/>
          <w:bCs w:val="0"/>
          <w:color w:val="auto"/>
          <w:lang w:val="en-GB"/>
        </w:rPr>
        <w:t xml:space="preserve">that </w:t>
      </w:r>
      <w:r w:rsidR="000C2B28" w:rsidRPr="00F05B90">
        <w:rPr>
          <w:rFonts w:asciiTheme="majorBidi" w:hAnsiTheme="majorBidi" w:cstheme="majorBidi"/>
          <w:b w:val="0"/>
          <w:bCs w:val="0"/>
          <w:color w:val="auto"/>
          <w:lang w:val="en-GB"/>
        </w:rPr>
        <w:t xml:space="preserve">younger </w:t>
      </w:r>
      <w:r w:rsidR="00F80955" w:rsidRPr="00F05B90">
        <w:rPr>
          <w:rFonts w:asciiTheme="majorBidi" w:hAnsiTheme="majorBidi" w:cstheme="majorBidi"/>
          <w:b w:val="0"/>
          <w:bCs w:val="0"/>
          <w:color w:val="auto"/>
          <w:lang w:val="en-GB"/>
        </w:rPr>
        <w:t>CEOs</w:t>
      </w:r>
      <w:r w:rsidR="000C2B28" w:rsidRPr="00F05B90">
        <w:rPr>
          <w:rFonts w:asciiTheme="majorBidi" w:hAnsiTheme="majorBidi" w:cstheme="majorBidi"/>
          <w:b w:val="0"/>
          <w:bCs w:val="0"/>
          <w:color w:val="auto"/>
          <w:lang w:val="en-GB"/>
        </w:rPr>
        <w:t xml:space="preserve">, who </w:t>
      </w:r>
      <w:r w:rsidR="00D7514E" w:rsidRPr="00F05B90">
        <w:rPr>
          <w:rFonts w:asciiTheme="majorBidi" w:hAnsiTheme="majorBidi" w:cstheme="majorBidi"/>
          <w:b w:val="0"/>
          <w:bCs w:val="0"/>
          <w:color w:val="auto"/>
          <w:lang w:val="en-GB"/>
        </w:rPr>
        <w:t>have greater</w:t>
      </w:r>
      <w:r w:rsidR="00F80955" w:rsidRPr="00F05B90">
        <w:rPr>
          <w:rFonts w:asciiTheme="majorBidi" w:hAnsiTheme="majorBidi" w:cstheme="majorBidi"/>
          <w:b w:val="0"/>
          <w:bCs w:val="0"/>
          <w:color w:val="auto"/>
          <w:lang w:val="en-GB"/>
        </w:rPr>
        <w:t xml:space="preserve"> </w:t>
      </w:r>
      <w:r w:rsidR="000C2B28" w:rsidRPr="00F05B90">
        <w:rPr>
          <w:rFonts w:asciiTheme="majorBidi" w:hAnsiTheme="majorBidi" w:cstheme="majorBidi"/>
          <w:b w:val="0"/>
          <w:bCs w:val="0"/>
          <w:color w:val="auto"/>
          <w:lang w:val="en-GB"/>
        </w:rPr>
        <w:t xml:space="preserve">career mobility and a higher likelihood </w:t>
      </w:r>
      <w:r w:rsidR="00F80955" w:rsidRPr="00F05B90">
        <w:rPr>
          <w:rFonts w:asciiTheme="majorBidi" w:hAnsiTheme="majorBidi" w:cstheme="majorBidi"/>
          <w:b w:val="0"/>
          <w:bCs w:val="0"/>
          <w:color w:val="auto"/>
          <w:lang w:val="en-GB"/>
        </w:rPr>
        <w:t xml:space="preserve">of </w:t>
      </w:r>
      <w:r w:rsidR="00D7514E" w:rsidRPr="00F05B90">
        <w:rPr>
          <w:rFonts w:asciiTheme="majorBidi" w:hAnsiTheme="majorBidi" w:cstheme="majorBidi"/>
          <w:b w:val="0"/>
          <w:bCs w:val="0"/>
          <w:color w:val="auto"/>
          <w:lang w:val="en-GB"/>
        </w:rPr>
        <w:t xml:space="preserve">winning </w:t>
      </w:r>
      <w:r w:rsidR="00F80955" w:rsidRPr="00F05B90">
        <w:rPr>
          <w:rFonts w:asciiTheme="majorBidi" w:hAnsiTheme="majorBidi" w:cstheme="majorBidi"/>
          <w:b w:val="0"/>
          <w:bCs w:val="0"/>
          <w:color w:val="auto"/>
          <w:lang w:val="en-GB"/>
        </w:rPr>
        <w:t>industry tournament</w:t>
      </w:r>
      <w:r w:rsidR="000C2B28" w:rsidRPr="00F05B90">
        <w:rPr>
          <w:rFonts w:asciiTheme="majorBidi" w:hAnsiTheme="majorBidi" w:cstheme="majorBidi"/>
          <w:b w:val="0"/>
          <w:bCs w:val="0"/>
          <w:color w:val="auto"/>
          <w:lang w:val="en-GB"/>
        </w:rPr>
        <w:t>s</w:t>
      </w:r>
      <w:r w:rsidR="00F80955" w:rsidRPr="00F05B90">
        <w:rPr>
          <w:rFonts w:asciiTheme="majorBidi" w:hAnsiTheme="majorBidi" w:cstheme="majorBidi"/>
          <w:b w:val="0"/>
          <w:bCs w:val="0"/>
          <w:color w:val="auto"/>
          <w:lang w:val="en-GB"/>
        </w:rPr>
        <w:t xml:space="preserve">, </w:t>
      </w:r>
      <w:r w:rsidR="000C2B28" w:rsidRPr="00F05B90">
        <w:rPr>
          <w:rFonts w:asciiTheme="majorBidi" w:hAnsiTheme="majorBidi" w:cstheme="majorBidi"/>
          <w:b w:val="0"/>
          <w:bCs w:val="0"/>
          <w:color w:val="auto"/>
          <w:lang w:val="en-GB"/>
        </w:rPr>
        <w:t xml:space="preserve">amplify </w:t>
      </w:r>
      <w:r w:rsidR="00F80955" w:rsidRPr="00F05B90">
        <w:rPr>
          <w:rFonts w:asciiTheme="majorBidi" w:hAnsiTheme="majorBidi" w:cstheme="majorBidi"/>
          <w:b w:val="0"/>
          <w:bCs w:val="0"/>
          <w:color w:val="auto"/>
          <w:lang w:val="en-GB"/>
        </w:rPr>
        <w:t xml:space="preserve">the </w:t>
      </w:r>
      <w:r w:rsidR="000C2B28" w:rsidRPr="00F05B90">
        <w:rPr>
          <w:rFonts w:asciiTheme="majorBidi" w:hAnsiTheme="majorBidi" w:cstheme="majorBidi"/>
          <w:b w:val="0"/>
          <w:bCs w:val="0"/>
          <w:color w:val="auto"/>
          <w:lang w:val="en-GB"/>
        </w:rPr>
        <w:t xml:space="preserve">effect of </w:t>
      </w:r>
      <w:r w:rsidR="00F80955" w:rsidRPr="00F05B90">
        <w:rPr>
          <w:rFonts w:asciiTheme="majorBidi" w:hAnsiTheme="majorBidi" w:cstheme="majorBidi"/>
          <w:b w:val="0"/>
          <w:bCs w:val="0"/>
          <w:color w:val="auto"/>
          <w:lang w:val="en-GB"/>
        </w:rPr>
        <w:t>industry tournament</w:t>
      </w:r>
      <w:r w:rsidR="000C2B28" w:rsidRPr="00F05B90">
        <w:rPr>
          <w:rFonts w:asciiTheme="majorBidi" w:hAnsiTheme="majorBidi" w:cstheme="majorBidi"/>
          <w:b w:val="0"/>
          <w:bCs w:val="0"/>
          <w:color w:val="auto"/>
          <w:lang w:val="en-GB"/>
        </w:rPr>
        <w:t xml:space="preserve"> incentives</w:t>
      </w:r>
      <w:r w:rsidR="00F80955" w:rsidRPr="00F05B90">
        <w:rPr>
          <w:rFonts w:asciiTheme="majorBidi" w:hAnsiTheme="majorBidi" w:cstheme="majorBidi"/>
          <w:b w:val="0"/>
          <w:bCs w:val="0"/>
          <w:color w:val="auto"/>
          <w:lang w:val="en-GB"/>
        </w:rPr>
        <w:t xml:space="preserve"> on auditor </w:t>
      </w:r>
      <w:r w:rsidR="00B3493A" w:rsidRPr="00F05B90">
        <w:rPr>
          <w:rFonts w:asciiTheme="majorBidi" w:hAnsiTheme="majorBidi" w:cstheme="majorBidi"/>
          <w:b w:val="0"/>
          <w:bCs w:val="0"/>
          <w:color w:val="auto"/>
          <w:lang w:val="en-GB"/>
        </w:rPr>
        <w:t>judgment</w:t>
      </w:r>
      <w:r w:rsidR="00F80955" w:rsidRPr="00F05B90">
        <w:rPr>
          <w:rFonts w:asciiTheme="majorBidi" w:hAnsiTheme="majorBidi" w:cstheme="majorBidi"/>
          <w:b w:val="0"/>
          <w:bCs w:val="0"/>
          <w:color w:val="auto"/>
          <w:lang w:val="en-GB"/>
        </w:rPr>
        <w:t xml:space="preserve">. These results support </w:t>
      </w:r>
      <w:r w:rsidR="005252FF" w:rsidRPr="00F05B90">
        <w:rPr>
          <w:rFonts w:asciiTheme="majorBidi" w:hAnsiTheme="majorBidi" w:cstheme="majorBidi"/>
          <w:b w:val="0"/>
          <w:bCs w:val="0"/>
          <w:color w:val="auto"/>
          <w:lang w:val="en-GB"/>
        </w:rPr>
        <w:t xml:space="preserve">prior US-based evidence </w:t>
      </w:r>
      <w:r w:rsidR="00F80955" w:rsidRPr="00F05B90">
        <w:rPr>
          <w:rFonts w:asciiTheme="majorBidi" w:hAnsiTheme="majorBidi" w:cstheme="majorBidi"/>
          <w:b w:val="0"/>
          <w:bCs w:val="0"/>
          <w:color w:val="auto"/>
          <w:lang w:val="en-GB"/>
        </w:rPr>
        <w:t>(Close et al., 2018)</w:t>
      </w:r>
      <w:r w:rsidR="005252FF" w:rsidRPr="00F05B90">
        <w:rPr>
          <w:rFonts w:asciiTheme="majorBidi" w:hAnsiTheme="majorBidi" w:cstheme="majorBidi"/>
          <w:b w:val="0"/>
          <w:bCs w:val="0"/>
          <w:color w:val="auto"/>
          <w:lang w:val="en-GB"/>
        </w:rPr>
        <w:t xml:space="preserve"> </w:t>
      </w:r>
      <w:r w:rsidR="00F80955" w:rsidRPr="00F05B90">
        <w:rPr>
          <w:rFonts w:asciiTheme="majorBidi" w:hAnsiTheme="majorBidi" w:cstheme="majorBidi"/>
          <w:b w:val="0"/>
          <w:bCs w:val="0"/>
          <w:color w:val="auto"/>
          <w:lang w:val="en-GB"/>
        </w:rPr>
        <w:t xml:space="preserve">that industry tournament </w:t>
      </w:r>
      <w:r w:rsidR="005252FF" w:rsidRPr="00F05B90">
        <w:rPr>
          <w:rFonts w:asciiTheme="majorBidi" w:hAnsiTheme="majorBidi" w:cstheme="majorBidi"/>
          <w:b w:val="0"/>
          <w:bCs w:val="0"/>
          <w:color w:val="auto"/>
          <w:lang w:val="en-GB"/>
        </w:rPr>
        <w:t xml:space="preserve">incentives </w:t>
      </w:r>
      <w:r w:rsidR="00F80955" w:rsidRPr="00F05B90">
        <w:rPr>
          <w:rFonts w:asciiTheme="majorBidi" w:hAnsiTheme="majorBidi" w:cstheme="majorBidi"/>
          <w:b w:val="0"/>
          <w:bCs w:val="0"/>
          <w:color w:val="auto"/>
          <w:lang w:val="en-GB"/>
        </w:rPr>
        <w:t xml:space="preserve">are positively </w:t>
      </w:r>
      <w:r w:rsidR="005252FF" w:rsidRPr="00F05B90">
        <w:rPr>
          <w:rFonts w:asciiTheme="majorBidi" w:hAnsiTheme="majorBidi" w:cstheme="majorBidi"/>
          <w:b w:val="0"/>
          <w:bCs w:val="0"/>
          <w:color w:val="auto"/>
          <w:lang w:val="en-GB"/>
        </w:rPr>
        <w:t xml:space="preserve">associated with </w:t>
      </w:r>
      <w:r w:rsidR="00F80955" w:rsidRPr="00F05B90">
        <w:rPr>
          <w:rFonts w:asciiTheme="majorBidi" w:hAnsiTheme="majorBidi" w:cstheme="majorBidi"/>
          <w:b w:val="0"/>
          <w:bCs w:val="0"/>
          <w:color w:val="auto"/>
          <w:lang w:val="en-GB"/>
        </w:rPr>
        <w:t>CEO mobility</w:t>
      </w:r>
      <w:r w:rsidR="005F0A54" w:rsidRPr="00F05B90">
        <w:rPr>
          <w:rFonts w:asciiTheme="majorBidi" w:hAnsiTheme="majorBidi" w:cstheme="majorBidi"/>
          <w:b w:val="0"/>
          <w:bCs w:val="0"/>
          <w:color w:val="auto"/>
          <w:lang w:val="en-GB"/>
        </w:rPr>
        <w:t>.</w:t>
      </w:r>
    </w:p>
    <w:p w14:paraId="675BF316" w14:textId="6A07BA76" w:rsidR="00F80955" w:rsidRPr="00F05B90" w:rsidRDefault="00F80955" w:rsidP="00A0667E">
      <w:pPr>
        <w:pStyle w:val="Heading3"/>
        <w:spacing w:before="240" w:after="240"/>
        <w:rPr>
          <w:rFonts w:ascii="Times New Roman" w:eastAsia="Times New Roman" w:hAnsi="Times New Roman" w:cs="Times New Roman"/>
          <w:color w:val="auto"/>
          <w:shd w:val="clear" w:color="auto" w:fill="FFFFFF"/>
          <w:lang w:val="en-GB"/>
        </w:rPr>
      </w:pPr>
      <w:bookmarkStart w:id="28" w:name="_Toc123457922"/>
      <w:r w:rsidRPr="00F05B90">
        <w:rPr>
          <w:rFonts w:ascii="Times New Roman" w:eastAsia="Times New Roman" w:hAnsi="Times New Roman" w:cs="Times New Roman"/>
          <w:color w:val="auto"/>
          <w:shd w:val="clear" w:color="auto" w:fill="FFFFFF"/>
          <w:lang w:val="en-GB"/>
        </w:rPr>
        <w:t>Further analysis: Controlling CFO incentives</w:t>
      </w:r>
      <w:r w:rsidR="00DF71D3" w:rsidRPr="00F05B90">
        <w:rPr>
          <w:rStyle w:val="CommentReference"/>
          <w:rFonts w:ascii="Times New Roman" w:eastAsiaTheme="minorHAnsi" w:hAnsi="Times New Roman" w:cs="Times New Roman"/>
          <w:b w:val="0"/>
          <w:color w:val="auto"/>
          <w:sz w:val="24"/>
          <w:szCs w:val="24"/>
          <w:lang w:val="en-GB"/>
        </w:rPr>
        <w:t xml:space="preserve"> </w:t>
      </w:r>
      <w:r w:rsidRPr="00F05B90">
        <w:rPr>
          <w:rFonts w:ascii="Times New Roman" w:eastAsia="Times New Roman" w:hAnsi="Times New Roman" w:cs="Times New Roman"/>
          <w:color w:val="auto"/>
          <w:shd w:val="clear" w:color="auto" w:fill="FFFFFF"/>
          <w:lang w:val="en-GB"/>
        </w:rPr>
        <w:t>and intra-firm tournament incentives</w:t>
      </w:r>
      <w:bookmarkEnd w:id="28"/>
    </w:p>
    <w:p w14:paraId="1575A8C3" w14:textId="44CE5682" w:rsidR="00DF315C" w:rsidRPr="00F05B90" w:rsidRDefault="00346163" w:rsidP="00140CFF">
      <w:pPr>
        <w:spacing w:before="240" w:after="240" w:line="360" w:lineRule="auto"/>
        <w:jc w:val="both"/>
        <w:rPr>
          <w:lang w:val="en-GB"/>
        </w:rPr>
      </w:pPr>
      <w:r w:rsidRPr="00F05B90">
        <w:rPr>
          <w:lang w:val="en-GB"/>
        </w:rPr>
        <w:t xml:space="preserve">Our primary analysis </w:t>
      </w:r>
      <w:r w:rsidR="005C5E06" w:rsidRPr="00F05B90">
        <w:rPr>
          <w:lang w:val="en-GB"/>
        </w:rPr>
        <w:t>focuse</w:t>
      </w:r>
      <w:r w:rsidRPr="00F05B90">
        <w:rPr>
          <w:lang w:val="en-GB"/>
        </w:rPr>
        <w:t xml:space="preserve">s </w:t>
      </w:r>
      <w:r w:rsidR="005C5E06" w:rsidRPr="00F05B90">
        <w:rPr>
          <w:lang w:val="en-GB"/>
        </w:rPr>
        <w:t>on CEO industry tournament</w:t>
      </w:r>
      <w:r w:rsidRPr="00F05B90">
        <w:rPr>
          <w:lang w:val="en-GB"/>
        </w:rPr>
        <w:t xml:space="preserve"> incentive</w:t>
      </w:r>
      <w:r w:rsidR="00D7514E" w:rsidRPr="00F05B90">
        <w:rPr>
          <w:lang w:val="en-GB"/>
        </w:rPr>
        <w:t xml:space="preserve">s, </w:t>
      </w:r>
      <w:r w:rsidRPr="00F05B90">
        <w:rPr>
          <w:lang w:val="en-GB"/>
        </w:rPr>
        <w:t xml:space="preserve">as </w:t>
      </w:r>
      <w:r w:rsidR="005C5E06" w:rsidRPr="00F05B90">
        <w:rPr>
          <w:lang w:val="en-GB"/>
        </w:rPr>
        <w:t>CEO compensation play</w:t>
      </w:r>
      <w:r w:rsidR="00D7514E" w:rsidRPr="00F05B90">
        <w:rPr>
          <w:lang w:val="en-GB"/>
        </w:rPr>
        <w:t>s</w:t>
      </w:r>
      <w:r w:rsidR="005C5E06" w:rsidRPr="00F05B90">
        <w:rPr>
          <w:lang w:val="en-GB"/>
        </w:rPr>
        <w:t xml:space="preserve"> a </w:t>
      </w:r>
      <w:r w:rsidRPr="00F05B90">
        <w:rPr>
          <w:lang w:val="en-GB"/>
        </w:rPr>
        <w:t xml:space="preserve">dominant </w:t>
      </w:r>
      <w:r w:rsidR="005C5E06" w:rsidRPr="00F05B90">
        <w:rPr>
          <w:lang w:val="en-GB"/>
        </w:rPr>
        <w:t xml:space="preserve">role in </w:t>
      </w:r>
      <w:r w:rsidRPr="00F05B90">
        <w:rPr>
          <w:lang w:val="en-GB"/>
        </w:rPr>
        <w:t xml:space="preserve">shaping </w:t>
      </w:r>
      <w:r w:rsidR="005C5E06" w:rsidRPr="00F05B90">
        <w:rPr>
          <w:lang w:val="en-GB"/>
        </w:rPr>
        <w:t>firms</w:t>
      </w:r>
      <w:r w:rsidR="00D7514E" w:rsidRPr="00F05B90">
        <w:rPr>
          <w:lang w:val="en-GB"/>
        </w:rPr>
        <w:t>’</w:t>
      </w:r>
      <w:r w:rsidR="005C5E06" w:rsidRPr="00F05B90">
        <w:rPr>
          <w:lang w:val="en-GB"/>
        </w:rPr>
        <w:t xml:space="preserve"> financial reporting decisions compared </w:t>
      </w:r>
      <w:r w:rsidRPr="00F05B90">
        <w:rPr>
          <w:lang w:val="en-GB"/>
        </w:rPr>
        <w:t>to</w:t>
      </w:r>
      <w:r w:rsidR="005C5E06" w:rsidRPr="00F05B90">
        <w:rPr>
          <w:lang w:val="en-GB"/>
        </w:rPr>
        <w:t xml:space="preserve"> CFO</w:t>
      </w:r>
      <w:r w:rsidRPr="00F05B90">
        <w:rPr>
          <w:lang w:val="en-GB"/>
        </w:rPr>
        <w:t xml:space="preserve"> compensation </w:t>
      </w:r>
      <w:r w:rsidR="005C5E06" w:rsidRPr="00F05B90">
        <w:rPr>
          <w:lang w:val="en-GB"/>
        </w:rPr>
        <w:t xml:space="preserve">(e.g., Kim et al., 2014). </w:t>
      </w:r>
      <w:r w:rsidRPr="00F05B90">
        <w:rPr>
          <w:lang w:val="en-GB"/>
        </w:rPr>
        <w:t>However</w:t>
      </w:r>
      <w:r w:rsidR="005C5E06" w:rsidRPr="00F05B90">
        <w:rPr>
          <w:lang w:val="en-GB"/>
        </w:rPr>
        <w:t xml:space="preserve">, CEOs </w:t>
      </w:r>
      <w:r w:rsidRPr="00F05B90">
        <w:rPr>
          <w:lang w:val="en-GB"/>
        </w:rPr>
        <w:t xml:space="preserve">influence </w:t>
      </w:r>
      <w:r w:rsidR="005C5E06" w:rsidRPr="00F05B90">
        <w:rPr>
          <w:lang w:val="en-GB"/>
        </w:rPr>
        <w:t>CFOs</w:t>
      </w:r>
      <w:r w:rsidR="00D7514E" w:rsidRPr="00F05B90">
        <w:rPr>
          <w:lang w:val="en-GB"/>
        </w:rPr>
        <w:t>’</w:t>
      </w:r>
      <w:r w:rsidR="005C5E06" w:rsidRPr="00F05B90">
        <w:rPr>
          <w:lang w:val="en-GB"/>
        </w:rPr>
        <w:t xml:space="preserve"> compensation, retention, and career </w:t>
      </w:r>
      <w:r w:rsidR="00C06CA7" w:rsidRPr="00F05B90">
        <w:rPr>
          <w:lang w:val="en-GB"/>
        </w:rPr>
        <w:t xml:space="preserve">prospects </w:t>
      </w:r>
      <w:r w:rsidR="005C5E06" w:rsidRPr="00F05B90">
        <w:rPr>
          <w:lang w:val="en-GB"/>
        </w:rPr>
        <w:t xml:space="preserve">(Mian 2001; Fee </w:t>
      </w:r>
      <w:r w:rsidR="00D7514E" w:rsidRPr="00F05B90">
        <w:rPr>
          <w:lang w:val="en-GB"/>
        </w:rPr>
        <w:t xml:space="preserve">&amp; </w:t>
      </w:r>
      <w:r w:rsidR="005C5E06" w:rsidRPr="00F05B90">
        <w:rPr>
          <w:lang w:val="en-GB"/>
        </w:rPr>
        <w:t xml:space="preserve">Hadlock 2003). </w:t>
      </w:r>
      <w:r w:rsidR="00C06CA7" w:rsidRPr="00F05B90">
        <w:rPr>
          <w:lang w:val="en-GB"/>
        </w:rPr>
        <w:t>Research also suggests that CFOs may engage in material accounting manipulations due to CEOs pressure (</w:t>
      </w:r>
      <w:r w:rsidR="005C5E06" w:rsidRPr="00F05B90">
        <w:rPr>
          <w:lang w:val="en-GB"/>
        </w:rPr>
        <w:t>Feng et al.</w:t>
      </w:r>
      <w:r w:rsidR="00C06CA7" w:rsidRPr="00F05B90">
        <w:rPr>
          <w:lang w:val="en-GB"/>
        </w:rPr>
        <w:t xml:space="preserve">, </w:t>
      </w:r>
      <w:r w:rsidR="005C5E06" w:rsidRPr="00F05B90">
        <w:rPr>
          <w:lang w:val="en-GB"/>
        </w:rPr>
        <w:t>2011)</w:t>
      </w:r>
      <w:r w:rsidR="00C06CA7" w:rsidRPr="00F05B90">
        <w:rPr>
          <w:lang w:val="en-GB"/>
        </w:rPr>
        <w:t xml:space="preserve">. </w:t>
      </w:r>
      <w:r w:rsidR="001C45C0" w:rsidRPr="00F05B90">
        <w:rPr>
          <w:lang w:val="en-GB"/>
        </w:rPr>
        <w:t>S</w:t>
      </w:r>
      <w:r w:rsidR="00C06CA7" w:rsidRPr="00F05B90">
        <w:rPr>
          <w:lang w:val="en-GB"/>
        </w:rPr>
        <w:t>ome</w:t>
      </w:r>
      <w:r w:rsidR="007D7947" w:rsidRPr="00F05B90">
        <w:rPr>
          <w:lang w:val="en-GB"/>
        </w:rPr>
        <w:t xml:space="preserve"> studies </w:t>
      </w:r>
      <w:r w:rsidR="001C45C0" w:rsidRPr="00F05B90">
        <w:rPr>
          <w:lang w:val="en-GB"/>
        </w:rPr>
        <w:t xml:space="preserve">suggest </w:t>
      </w:r>
      <w:r w:rsidR="007D7947" w:rsidRPr="00F05B90">
        <w:rPr>
          <w:lang w:val="en-GB"/>
        </w:rPr>
        <w:t>that</w:t>
      </w:r>
      <w:r w:rsidR="00C06CA7" w:rsidRPr="00F05B90">
        <w:rPr>
          <w:lang w:val="en-GB"/>
        </w:rPr>
        <w:t xml:space="preserve"> auditors </w:t>
      </w:r>
      <w:r w:rsidR="001C45C0" w:rsidRPr="00F05B90">
        <w:rPr>
          <w:lang w:val="en-GB"/>
        </w:rPr>
        <w:t xml:space="preserve">view </w:t>
      </w:r>
      <w:r w:rsidR="00C06CA7" w:rsidRPr="00F05B90">
        <w:rPr>
          <w:lang w:val="en-GB"/>
        </w:rPr>
        <w:t>CFO compensation as a greater audit risk than CEO incentives</w:t>
      </w:r>
      <w:r w:rsidR="001C45C0" w:rsidRPr="00F05B90">
        <w:rPr>
          <w:lang w:val="en-GB"/>
        </w:rPr>
        <w:t xml:space="preserve"> because CFOs are directly involved in accounting choices</w:t>
      </w:r>
      <w:r w:rsidR="00C06CA7" w:rsidRPr="00F05B90">
        <w:rPr>
          <w:lang w:val="en-GB"/>
        </w:rPr>
        <w:t xml:space="preserve"> (Ge et al., 2011)</w:t>
      </w:r>
      <w:r w:rsidR="00AF3F74" w:rsidRPr="00F05B90">
        <w:rPr>
          <w:lang w:val="en-GB"/>
        </w:rPr>
        <w:t>. O</w:t>
      </w:r>
      <w:r w:rsidR="00C06CA7" w:rsidRPr="00F05B90">
        <w:rPr>
          <w:lang w:val="en-GB"/>
        </w:rPr>
        <w:t>thers</w:t>
      </w:r>
      <w:r w:rsidR="00AF3F74" w:rsidRPr="00F05B90">
        <w:rPr>
          <w:lang w:val="en-GB"/>
        </w:rPr>
        <w:t>, however,</w:t>
      </w:r>
      <w:r w:rsidR="00C06CA7" w:rsidRPr="00F05B90">
        <w:rPr>
          <w:lang w:val="en-GB"/>
        </w:rPr>
        <w:t xml:space="preserve"> </w:t>
      </w:r>
      <w:r w:rsidR="00AF3F74" w:rsidRPr="00F05B90">
        <w:rPr>
          <w:lang w:val="en-GB"/>
        </w:rPr>
        <w:t xml:space="preserve">emphasise </w:t>
      </w:r>
      <w:r w:rsidR="001C45C0" w:rsidRPr="00F05B90">
        <w:rPr>
          <w:lang w:val="en-GB"/>
        </w:rPr>
        <w:t xml:space="preserve">that intra-firm tournament incentives also </w:t>
      </w:r>
      <w:r w:rsidR="008457DF" w:rsidRPr="00F05B90">
        <w:rPr>
          <w:lang w:val="en-GB"/>
        </w:rPr>
        <w:t xml:space="preserve">influence </w:t>
      </w:r>
      <w:r w:rsidR="001C45C0" w:rsidRPr="00F05B90">
        <w:rPr>
          <w:lang w:val="en-GB"/>
        </w:rPr>
        <w:t>audit effort and audit fees (Bryan &amp; Mason, 2017; Jia, 2017).</w:t>
      </w:r>
      <w:r w:rsidR="00DF315C" w:rsidRPr="00F05B90">
        <w:rPr>
          <w:lang w:val="en-GB"/>
        </w:rPr>
        <w:t xml:space="preserve"> </w:t>
      </w:r>
    </w:p>
    <w:p w14:paraId="403EF779" w14:textId="54F2C7CF" w:rsidR="00F80955" w:rsidRPr="00F05B90" w:rsidRDefault="007D7947" w:rsidP="00B07951">
      <w:pPr>
        <w:spacing w:before="240" w:after="240" w:line="360" w:lineRule="auto"/>
        <w:jc w:val="both"/>
        <w:rPr>
          <w:lang w:val="en-GB"/>
        </w:rPr>
      </w:pPr>
      <w:r w:rsidRPr="00F05B90">
        <w:rPr>
          <w:lang w:val="en-GB"/>
        </w:rPr>
        <w:t>T</w:t>
      </w:r>
      <w:r w:rsidR="008457DF" w:rsidRPr="00F05B90">
        <w:rPr>
          <w:lang w:val="en-GB"/>
        </w:rPr>
        <w:t xml:space="preserve">o account for these factors, </w:t>
      </w:r>
      <w:r w:rsidR="005517DA" w:rsidRPr="00F05B90">
        <w:rPr>
          <w:lang w:val="en-GB"/>
        </w:rPr>
        <w:t xml:space="preserve">and as further robustness analysis, </w:t>
      </w:r>
      <w:r w:rsidRPr="00F05B90">
        <w:rPr>
          <w:lang w:val="en-GB"/>
        </w:rPr>
        <w:t>we re</w:t>
      </w:r>
      <w:r w:rsidR="0049712A" w:rsidRPr="00F05B90">
        <w:rPr>
          <w:lang w:val="en-GB"/>
        </w:rPr>
        <w:t>-estimate</w:t>
      </w:r>
      <w:r w:rsidRPr="00F05B90">
        <w:rPr>
          <w:lang w:val="en-GB"/>
        </w:rPr>
        <w:t xml:space="preserve"> </w:t>
      </w:r>
      <w:r w:rsidR="00D7514E" w:rsidRPr="00F05B90">
        <w:rPr>
          <w:lang w:val="en-GB"/>
        </w:rPr>
        <w:t>E</w:t>
      </w:r>
      <w:r w:rsidRPr="00F05B90">
        <w:rPr>
          <w:lang w:val="en-GB"/>
        </w:rPr>
        <w:t>quation</w:t>
      </w:r>
      <w:r w:rsidR="0049712A" w:rsidRPr="00F05B90">
        <w:rPr>
          <w:lang w:val="en-GB"/>
        </w:rPr>
        <w:t xml:space="preserve"> (1)</w:t>
      </w:r>
      <w:r w:rsidRPr="00F05B90">
        <w:rPr>
          <w:lang w:val="en-GB"/>
        </w:rPr>
        <w:t xml:space="preserve"> </w:t>
      </w:r>
      <w:r w:rsidR="00140CFF" w:rsidRPr="00F05B90">
        <w:rPr>
          <w:lang w:val="en-GB"/>
        </w:rPr>
        <w:t xml:space="preserve">while </w:t>
      </w:r>
      <w:r w:rsidR="002F0216" w:rsidRPr="00F05B90">
        <w:rPr>
          <w:lang w:val="en-GB"/>
        </w:rPr>
        <w:t>control</w:t>
      </w:r>
      <w:r w:rsidR="00140CFF" w:rsidRPr="00F05B90">
        <w:rPr>
          <w:lang w:val="en-GB"/>
        </w:rPr>
        <w:t>ling</w:t>
      </w:r>
      <w:r w:rsidR="002F0216" w:rsidRPr="00F05B90">
        <w:rPr>
          <w:lang w:val="en-GB"/>
        </w:rPr>
        <w:t xml:space="preserve"> for </w:t>
      </w:r>
      <w:r w:rsidRPr="00F05B90">
        <w:rPr>
          <w:lang w:val="en-GB"/>
        </w:rPr>
        <w:t>CFO industry tournament</w:t>
      </w:r>
      <w:r w:rsidR="00140CFF" w:rsidRPr="00F05B90">
        <w:rPr>
          <w:lang w:val="en-GB"/>
        </w:rPr>
        <w:t xml:space="preserve"> incentives </w:t>
      </w:r>
      <w:r w:rsidR="00140CFF" w:rsidRPr="00F05B90">
        <w:rPr>
          <w:i/>
          <w:iCs/>
          <w:lang w:val="en-GB"/>
        </w:rPr>
        <w:t>(CFOIT)</w:t>
      </w:r>
      <w:r w:rsidR="00140CFF" w:rsidRPr="00F05B90">
        <w:rPr>
          <w:lang w:val="en-GB"/>
        </w:rPr>
        <w:t xml:space="preserve"> and intra-firm tournament incentives </w:t>
      </w:r>
      <w:r w:rsidR="00140CFF" w:rsidRPr="00F05B90">
        <w:rPr>
          <w:i/>
          <w:iCs/>
          <w:lang w:val="en-GB"/>
        </w:rPr>
        <w:t>(CEO_CFOGAP)</w:t>
      </w:r>
      <w:r w:rsidR="00140CFF" w:rsidRPr="00F05B90">
        <w:rPr>
          <w:lang w:val="en-GB"/>
        </w:rPr>
        <w:t xml:space="preserve">. </w:t>
      </w:r>
      <w:r w:rsidR="00140CFF" w:rsidRPr="00F05B90">
        <w:rPr>
          <w:i/>
          <w:iCs/>
          <w:lang w:val="en-GB"/>
        </w:rPr>
        <w:t>CFOIT</w:t>
      </w:r>
      <w:r w:rsidR="00140CFF" w:rsidRPr="00F05B90">
        <w:rPr>
          <w:lang w:val="en-GB"/>
        </w:rPr>
        <w:t xml:space="preserve"> is measure</w:t>
      </w:r>
      <w:r w:rsidR="00595C3C" w:rsidRPr="00F05B90">
        <w:rPr>
          <w:lang w:val="en-GB"/>
        </w:rPr>
        <w:t>d</w:t>
      </w:r>
      <w:r w:rsidR="00140CFF" w:rsidRPr="00F05B90">
        <w:rPr>
          <w:lang w:val="en-GB"/>
        </w:rPr>
        <w:t xml:space="preserve"> as the natural log</w:t>
      </w:r>
      <w:r w:rsidR="00140CFF" w:rsidRPr="00F05B90">
        <w:rPr>
          <w:rStyle w:val="CommentReference"/>
          <w:sz w:val="24"/>
          <w:szCs w:val="24"/>
          <w:lang w:val="en-GB"/>
        </w:rPr>
        <w:t xml:space="preserve"> </w:t>
      </w:r>
      <w:r w:rsidR="00140CFF" w:rsidRPr="00F05B90">
        <w:rPr>
          <w:lang w:val="en-GB"/>
        </w:rPr>
        <w:t>of the compensation gap between the CFO under consideration and the second-highest-paid CFO in the same industry</w:t>
      </w:r>
      <w:r w:rsidR="00595C3C" w:rsidRPr="00F05B90">
        <w:rPr>
          <w:lang w:val="en-GB"/>
        </w:rPr>
        <w:t xml:space="preserve">, with </w:t>
      </w:r>
      <w:r w:rsidR="00140CFF" w:rsidRPr="00F05B90">
        <w:rPr>
          <w:lang w:val="en-GB"/>
        </w:rPr>
        <w:t xml:space="preserve">negative </w:t>
      </w:r>
      <w:r w:rsidR="00595C3C" w:rsidRPr="00F05B90">
        <w:rPr>
          <w:lang w:val="en-GB"/>
        </w:rPr>
        <w:t>values replaced by zero</w:t>
      </w:r>
      <w:r w:rsidR="00140CFF" w:rsidRPr="00F05B90">
        <w:rPr>
          <w:lang w:val="en-GB"/>
        </w:rPr>
        <w:t>.</w:t>
      </w:r>
      <w:r w:rsidR="005517DA" w:rsidRPr="00F05B90">
        <w:rPr>
          <w:lang w:val="en-GB"/>
        </w:rPr>
        <w:t xml:space="preserve"> </w:t>
      </w:r>
      <w:r w:rsidR="00357B50" w:rsidRPr="00F05B90">
        <w:rPr>
          <w:lang w:val="en-GB"/>
        </w:rPr>
        <w:t xml:space="preserve"> </w:t>
      </w:r>
      <w:r w:rsidR="005517DA" w:rsidRPr="00F05B90">
        <w:rPr>
          <w:i/>
          <w:iCs/>
          <w:lang w:val="en-GB"/>
        </w:rPr>
        <w:t xml:space="preserve">CEO_CFOGAP, </w:t>
      </w:r>
      <w:r w:rsidR="005517DA" w:rsidRPr="00F05B90">
        <w:rPr>
          <w:lang w:val="en-GB"/>
        </w:rPr>
        <w:t>following Jia (2017), is measured as the difference between the CEO and CFO total compensation.</w:t>
      </w:r>
      <w:r w:rsidR="003C7C74" w:rsidRPr="00F05B90">
        <w:rPr>
          <w:b/>
          <w:bCs/>
          <w:lang w:val="en-GB"/>
        </w:rPr>
        <w:t xml:space="preserve"> </w:t>
      </w:r>
      <w:r w:rsidR="00F80955" w:rsidRPr="00F05B90">
        <w:rPr>
          <w:lang w:val="en-GB"/>
        </w:rPr>
        <w:t xml:space="preserve">Table </w:t>
      </w:r>
      <w:r w:rsidR="00B07951" w:rsidRPr="00F05B90">
        <w:rPr>
          <w:lang w:val="en-GB"/>
        </w:rPr>
        <w:t>6</w:t>
      </w:r>
      <w:r w:rsidR="005517DA" w:rsidRPr="00F05B90">
        <w:rPr>
          <w:lang w:val="en-GB"/>
        </w:rPr>
        <w:t xml:space="preserve"> reports the results</w:t>
      </w:r>
      <w:r w:rsidR="00FB1F80" w:rsidRPr="00F05B90">
        <w:rPr>
          <w:lang w:val="en-GB"/>
        </w:rPr>
        <w:t xml:space="preserve"> of this analysis</w:t>
      </w:r>
      <w:r w:rsidR="00F80955" w:rsidRPr="00F05B90">
        <w:rPr>
          <w:lang w:val="en-GB"/>
        </w:rPr>
        <w:t xml:space="preserve">. </w:t>
      </w:r>
      <w:r w:rsidR="00B71FA4" w:rsidRPr="00F05B90">
        <w:rPr>
          <w:lang w:val="en-GB"/>
        </w:rPr>
        <w:t>The coefficient of</w:t>
      </w:r>
      <w:r w:rsidR="00B71FA4" w:rsidRPr="00F05B90">
        <w:rPr>
          <w:i/>
          <w:iCs/>
          <w:lang w:val="en-GB"/>
        </w:rPr>
        <w:t xml:space="preserve"> CFOIT </w:t>
      </w:r>
      <w:r w:rsidR="00B71FA4" w:rsidRPr="00F05B90">
        <w:rPr>
          <w:lang w:val="en-GB"/>
        </w:rPr>
        <w:t>in Columns (1) and (2) are</w:t>
      </w:r>
      <w:r w:rsidR="00D7514E" w:rsidRPr="00F05B90">
        <w:rPr>
          <w:lang w:val="en-GB"/>
        </w:rPr>
        <w:t xml:space="preserve"> </w:t>
      </w:r>
      <w:r w:rsidR="00F80955" w:rsidRPr="00F05B90">
        <w:rPr>
          <w:lang w:val="en-GB"/>
        </w:rPr>
        <w:t>insignificant</w:t>
      </w:r>
      <w:r w:rsidR="00B71FA4" w:rsidRPr="00F05B90">
        <w:rPr>
          <w:lang w:val="en-GB"/>
        </w:rPr>
        <w:t xml:space="preserve"> for both </w:t>
      </w:r>
      <w:r w:rsidR="00F80955" w:rsidRPr="00F05B90">
        <w:rPr>
          <w:i/>
          <w:iCs/>
          <w:lang w:val="en-GB"/>
        </w:rPr>
        <w:t>KAM</w:t>
      </w:r>
      <w:r w:rsidR="00F80955" w:rsidRPr="00F05B90">
        <w:rPr>
          <w:lang w:val="en-GB"/>
        </w:rPr>
        <w:t xml:space="preserve"> and </w:t>
      </w:r>
      <w:r w:rsidR="00F80955" w:rsidRPr="00F05B90">
        <w:rPr>
          <w:i/>
          <w:iCs/>
          <w:lang w:val="en-GB"/>
        </w:rPr>
        <w:t>MAT</w:t>
      </w:r>
      <w:r w:rsidR="006C51A2" w:rsidRPr="00F05B90">
        <w:rPr>
          <w:i/>
          <w:iCs/>
          <w:lang w:val="en-GB"/>
        </w:rPr>
        <w:t xml:space="preserve">, </w:t>
      </w:r>
      <w:r w:rsidR="006C51A2" w:rsidRPr="00F05B90">
        <w:rPr>
          <w:lang w:val="en-GB"/>
        </w:rPr>
        <w:t xml:space="preserve">and </w:t>
      </w:r>
      <w:r w:rsidR="00B40936" w:rsidRPr="00F05B90">
        <w:rPr>
          <w:lang w:val="en-GB"/>
        </w:rPr>
        <w:t xml:space="preserve">our </w:t>
      </w:r>
      <w:r w:rsidR="006C51A2" w:rsidRPr="00F05B90">
        <w:rPr>
          <w:lang w:val="en-GB"/>
        </w:rPr>
        <w:t>primary findings</w:t>
      </w:r>
      <w:r w:rsidR="00770CE6" w:rsidRPr="00F05B90">
        <w:rPr>
          <w:lang w:val="en-GB"/>
        </w:rPr>
        <w:t xml:space="preserve"> (Columns (5) and (6))</w:t>
      </w:r>
      <w:r w:rsidR="006C51A2" w:rsidRPr="00F05B90">
        <w:rPr>
          <w:lang w:val="en-GB"/>
        </w:rPr>
        <w:t xml:space="preserve"> remain </w:t>
      </w:r>
      <w:r w:rsidR="00B40936" w:rsidRPr="00F05B90">
        <w:rPr>
          <w:lang w:val="en-GB"/>
        </w:rPr>
        <w:t xml:space="preserve">qualitatively </w:t>
      </w:r>
      <w:r w:rsidR="006C51A2" w:rsidRPr="00F05B90">
        <w:rPr>
          <w:lang w:val="en-GB"/>
        </w:rPr>
        <w:t>unchanged</w:t>
      </w:r>
      <w:r w:rsidR="00B40936" w:rsidRPr="00F05B90">
        <w:rPr>
          <w:lang w:val="en-GB"/>
        </w:rPr>
        <w:t xml:space="preserve">. However, it seems that auditors place less weight on </w:t>
      </w:r>
      <w:r w:rsidR="00B40936" w:rsidRPr="00F05B90">
        <w:rPr>
          <w:i/>
          <w:iCs/>
          <w:lang w:val="en-GB"/>
        </w:rPr>
        <w:t xml:space="preserve">CFOIT </w:t>
      </w:r>
      <w:r w:rsidR="00B40936" w:rsidRPr="00F05B90">
        <w:rPr>
          <w:lang w:val="en-GB"/>
        </w:rPr>
        <w:t xml:space="preserve">and </w:t>
      </w:r>
      <w:r w:rsidR="00B40936" w:rsidRPr="00F05B90">
        <w:rPr>
          <w:i/>
          <w:iCs/>
          <w:lang w:val="en-GB"/>
        </w:rPr>
        <w:t xml:space="preserve">CEO_CFOGAP </w:t>
      </w:r>
      <w:r w:rsidR="00B40936" w:rsidRPr="00F05B90">
        <w:rPr>
          <w:lang w:val="en-GB"/>
        </w:rPr>
        <w:t>and they do not significantly influence</w:t>
      </w:r>
      <w:r w:rsidR="00D7514E" w:rsidRPr="00F05B90">
        <w:rPr>
          <w:lang w:val="en-GB"/>
        </w:rPr>
        <w:t xml:space="preserve"> the</w:t>
      </w:r>
      <w:r w:rsidR="00B40936" w:rsidRPr="00F05B90">
        <w:rPr>
          <w:lang w:val="en-GB"/>
        </w:rPr>
        <w:t xml:space="preserve"> audit effort. </w:t>
      </w:r>
      <w:r w:rsidR="00F80955" w:rsidRPr="00F05B90">
        <w:rPr>
          <w:lang w:val="en-GB"/>
        </w:rPr>
        <w:t>These</w:t>
      </w:r>
      <w:r w:rsidR="006C51A2" w:rsidRPr="00F05B90">
        <w:rPr>
          <w:lang w:val="en-GB"/>
        </w:rPr>
        <w:t xml:space="preserve"> results </w:t>
      </w:r>
      <w:r w:rsidR="00C95288" w:rsidRPr="00F05B90">
        <w:rPr>
          <w:lang w:val="en-GB"/>
        </w:rPr>
        <w:t>suggest</w:t>
      </w:r>
      <w:r w:rsidR="00F80955" w:rsidRPr="00F05B90">
        <w:rPr>
          <w:lang w:val="en-GB"/>
        </w:rPr>
        <w:t xml:space="preserve"> </w:t>
      </w:r>
      <w:r w:rsidR="00B40936" w:rsidRPr="00F05B90">
        <w:rPr>
          <w:lang w:val="en-GB"/>
        </w:rPr>
        <w:t>that auditors p</w:t>
      </w:r>
      <w:r w:rsidR="006C51A2" w:rsidRPr="00F05B90">
        <w:rPr>
          <w:lang w:val="en-GB"/>
        </w:rPr>
        <w:t xml:space="preserve">lace greater emphasis on </w:t>
      </w:r>
      <w:r w:rsidR="00B40936" w:rsidRPr="00F05B90">
        <w:rPr>
          <w:lang w:val="en-GB"/>
        </w:rPr>
        <w:t xml:space="preserve">CEO industry tournament incentives </w:t>
      </w:r>
      <w:r w:rsidR="00E76221" w:rsidRPr="00F05B90">
        <w:rPr>
          <w:lang w:val="en-GB"/>
        </w:rPr>
        <w:t>rather than</w:t>
      </w:r>
      <w:r w:rsidR="00B40936" w:rsidRPr="00F05B90">
        <w:rPr>
          <w:lang w:val="en-GB"/>
        </w:rPr>
        <w:t xml:space="preserve"> CFO incentives, </w:t>
      </w:r>
      <w:r w:rsidR="006C51A2" w:rsidRPr="00F05B90">
        <w:rPr>
          <w:lang w:val="en-GB"/>
        </w:rPr>
        <w:t>when assess</w:t>
      </w:r>
      <w:r w:rsidR="00E144CF" w:rsidRPr="00F05B90">
        <w:rPr>
          <w:lang w:val="en-GB"/>
        </w:rPr>
        <w:t>ing</w:t>
      </w:r>
      <w:r w:rsidR="006C51A2" w:rsidRPr="00F05B90">
        <w:rPr>
          <w:lang w:val="en-GB"/>
        </w:rPr>
        <w:t xml:space="preserve"> </w:t>
      </w:r>
      <w:r w:rsidR="006C51A2" w:rsidRPr="00F05B90">
        <w:rPr>
          <w:lang w:val="en-GB"/>
        </w:rPr>
        <w:lastRenderedPageBreak/>
        <w:t xml:space="preserve">audit risk. This aligns </w:t>
      </w:r>
      <w:r w:rsidR="00E76221" w:rsidRPr="00F05B90">
        <w:rPr>
          <w:lang w:val="en-GB"/>
        </w:rPr>
        <w:t xml:space="preserve">with </w:t>
      </w:r>
      <w:r w:rsidR="00B40936" w:rsidRPr="00F05B90">
        <w:rPr>
          <w:lang w:val="en-GB"/>
        </w:rPr>
        <w:t>Kim</w:t>
      </w:r>
      <w:r w:rsidR="00F80955" w:rsidRPr="00F05B90">
        <w:rPr>
          <w:lang w:val="en-GB"/>
        </w:rPr>
        <w:t xml:space="preserve"> et al. (201</w:t>
      </w:r>
      <w:r w:rsidR="002325EA" w:rsidRPr="00F05B90">
        <w:rPr>
          <w:lang w:val="en-GB"/>
        </w:rPr>
        <w:t>4</w:t>
      </w:r>
      <w:r w:rsidR="00F80955" w:rsidRPr="00F05B90">
        <w:rPr>
          <w:lang w:val="en-GB"/>
        </w:rPr>
        <w:t>)</w:t>
      </w:r>
      <w:r w:rsidR="006C51A2" w:rsidRPr="00F05B90">
        <w:rPr>
          <w:lang w:val="en-GB"/>
        </w:rPr>
        <w:t>,</w:t>
      </w:r>
      <w:r w:rsidR="00F80955" w:rsidRPr="00F05B90">
        <w:rPr>
          <w:lang w:val="en-GB"/>
        </w:rPr>
        <w:t xml:space="preserve"> </w:t>
      </w:r>
      <w:r w:rsidR="00E76221" w:rsidRPr="00F05B90">
        <w:rPr>
          <w:lang w:val="en-GB"/>
        </w:rPr>
        <w:t xml:space="preserve">who </w:t>
      </w:r>
      <w:r w:rsidR="006C51A2" w:rsidRPr="00F05B90">
        <w:rPr>
          <w:lang w:val="en-GB"/>
        </w:rPr>
        <w:t xml:space="preserve">find </w:t>
      </w:r>
      <w:r w:rsidR="00F80955" w:rsidRPr="00F05B90">
        <w:rPr>
          <w:lang w:val="en-GB"/>
        </w:rPr>
        <w:t xml:space="preserve">that auditors are </w:t>
      </w:r>
      <w:r w:rsidR="00E76221" w:rsidRPr="00F05B90">
        <w:rPr>
          <w:lang w:val="en-GB"/>
        </w:rPr>
        <w:t xml:space="preserve">more </w:t>
      </w:r>
      <w:r w:rsidR="00F80955" w:rsidRPr="00F05B90">
        <w:rPr>
          <w:lang w:val="en-GB"/>
        </w:rPr>
        <w:t xml:space="preserve">concerned </w:t>
      </w:r>
      <w:r w:rsidR="00E76221" w:rsidRPr="00F05B90">
        <w:rPr>
          <w:lang w:val="en-GB"/>
        </w:rPr>
        <w:t>with</w:t>
      </w:r>
      <w:r w:rsidR="00F80955" w:rsidRPr="00F05B90">
        <w:rPr>
          <w:lang w:val="en-GB"/>
        </w:rPr>
        <w:t xml:space="preserve"> CEO compensation than CFO</w:t>
      </w:r>
      <w:r w:rsidR="006C51A2" w:rsidRPr="00F05B90">
        <w:rPr>
          <w:lang w:val="en-GB"/>
        </w:rPr>
        <w:t xml:space="preserve"> compensation in shaping their audit judgment</w:t>
      </w:r>
      <w:r w:rsidR="003C7C74" w:rsidRPr="00F05B90">
        <w:rPr>
          <w:lang w:val="en-GB"/>
        </w:rPr>
        <w:t>.</w:t>
      </w:r>
    </w:p>
    <w:p w14:paraId="39BFA1F4" w14:textId="0A9D93E8" w:rsidR="00A80E13" w:rsidRPr="00F05B90" w:rsidRDefault="00A80E13" w:rsidP="00B07951">
      <w:pPr>
        <w:spacing w:before="240" w:after="240" w:line="360" w:lineRule="auto"/>
        <w:jc w:val="center"/>
        <w:rPr>
          <w:b/>
          <w:bCs/>
          <w:lang w:val="en-GB"/>
        </w:rPr>
      </w:pPr>
      <w:r w:rsidRPr="00F05B90">
        <w:rPr>
          <w:b/>
          <w:bCs/>
          <w:lang w:val="en-GB"/>
        </w:rPr>
        <w:t xml:space="preserve">[PLEASE INSERT TABLE </w:t>
      </w:r>
      <w:r w:rsidR="00B07951" w:rsidRPr="00F05B90">
        <w:rPr>
          <w:b/>
          <w:bCs/>
          <w:lang w:val="en-GB"/>
        </w:rPr>
        <w:t>6</w:t>
      </w:r>
      <w:r w:rsidRPr="00F05B90">
        <w:rPr>
          <w:b/>
          <w:bCs/>
          <w:lang w:val="en-GB"/>
        </w:rPr>
        <w:t xml:space="preserve"> HERE]</w:t>
      </w:r>
    </w:p>
    <w:p w14:paraId="293FB229" w14:textId="7D69D514" w:rsidR="00F80955" w:rsidRPr="00F05B90" w:rsidRDefault="00F80955" w:rsidP="00A0667E">
      <w:pPr>
        <w:pStyle w:val="Heading3"/>
        <w:spacing w:before="240" w:after="240"/>
        <w:rPr>
          <w:rFonts w:ascii="Times New Roman" w:hAnsi="Times New Roman" w:cs="Times New Roman"/>
          <w:bCs/>
          <w:color w:val="auto"/>
          <w:lang w:val="en-GB"/>
        </w:rPr>
      </w:pPr>
      <w:bookmarkStart w:id="29" w:name="_Toc123457924"/>
      <w:r w:rsidRPr="00F05B90">
        <w:rPr>
          <w:rFonts w:ascii="Times New Roman" w:hAnsi="Times New Roman" w:cs="Times New Roman"/>
          <w:color w:val="auto"/>
          <w:lang w:val="en-GB"/>
        </w:rPr>
        <w:t xml:space="preserve">Robustness for primary tests: Controlling for </w:t>
      </w:r>
      <w:r w:rsidR="00721D5D" w:rsidRPr="00F05B90">
        <w:rPr>
          <w:rFonts w:ascii="Times New Roman" w:hAnsi="Times New Roman" w:cs="Times New Roman"/>
          <w:bCs/>
          <w:color w:val="auto"/>
          <w:lang w:val="en-GB"/>
        </w:rPr>
        <w:t>e</w:t>
      </w:r>
      <w:r w:rsidRPr="00F05B90">
        <w:rPr>
          <w:rFonts w:ascii="Times New Roman" w:hAnsi="Times New Roman" w:cs="Times New Roman"/>
          <w:bCs/>
          <w:color w:val="auto"/>
          <w:lang w:val="en-GB"/>
        </w:rPr>
        <w:t>ndogeneity</w:t>
      </w:r>
      <w:bookmarkEnd w:id="29"/>
    </w:p>
    <w:p w14:paraId="3C18F0B0" w14:textId="2CC8151C" w:rsidR="00793A41" w:rsidRPr="00F05B90" w:rsidRDefault="00F80955" w:rsidP="00E81CBA">
      <w:pPr>
        <w:spacing w:before="240" w:after="240" w:line="360" w:lineRule="auto"/>
        <w:jc w:val="both"/>
        <w:rPr>
          <w:lang w:val="en-GB"/>
        </w:rPr>
      </w:pPr>
      <w:r w:rsidRPr="00F05B90">
        <w:rPr>
          <w:lang w:val="en-GB"/>
        </w:rPr>
        <w:t xml:space="preserve">To mitigate potential endogeneity concerns, we </w:t>
      </w:r>
      <w:r w:rsidR="00793A41" w:rsidRPr="00F05B90">
        <w:rPr>
          <w:lang w:val="en-GB"/>
        </w:rPr>
        <w:t>employ a two-stage least squares (</w:t>
      </w:r>
      <w:r w:rsidRPr="00F05B90">
        <w:rPr>
          <w:lang w:val="en-GB"/>
        </w:rPr>
        <w:t>2SLS</w:t>
      </w:r>
      <w:r w:rsidR="00793A41" w:rsidRPr="00F05B90">
        <w:rPr>
          <w:lang w:val="en-GB"/>
        </w:rPr>
        <w:t>)</w:t>
      </w:r>
      <w:r w:rsidRPr="00F05B90">
        <w:rPr>
          <w:lang w:val="en-GB"/>
        </w:rPr>
        <w:t xml:space="preserve"> instrumental variables approach</w:t>
      </w:r>
      <w:r w:rsidR="00793A41" w:rsidRPr="00F05B90">
        <w:rPr>
          <w:lang w:val="en-GB"/>
        </w:rPr>
        <w:t xml:space="preserve">, </w:t>
      </w:r>
      <w:r w:rsidRPr="00F05B90">
        <w:rPr>
          <w:lang w:val="en-GB"/>
        </w:rPr>
        <w:t>us</w:t>
      </w:r>
      <w:r w:rsidR="00793A41" w:rsidRPr="00F05B90">
        <w:rPr>
          <w:lang w:val="en-GB"/>
        </w:rPr>
        <w:t xml:space="preserve">ing </w:t>
      </w:r>
      <w:r w:rsidR="00CF1A80" w:rsidRPr="00F05B90">
        <w:rPr>
          <w:lang w:val="en-GB"/>
        </w:rPr>
        <w:t>two</w:t>
      </w:r>
      <w:r w:rsidRPr="00F05B90">
        <w:rPr>
          <w:lang w:val="en-GB"/>
        </w:rPr>
        <w:t xml:space="preserve"> instrument</w:t>
      </w:r>
      <w:r w:rsidR="00793A41" w:rsidRPr="00F05B90">
        <w:rPr>
          <w:lang w:val="en-GB"/>
        </w:rPr>
        <w:t>s</w:t>
      </w:r>
      <w:r w:rsidRPr="00F05B90">
        <w:rPr>
          <w:lang w:val="en-GB"/>
        </w:rPr>
        <w:t xml:space="preserve"> </w:t>
      </w:r>
      <w:r w:rsidR="00E15DA6" w:rsidRPr="00F05B90">
        <w:rPr>
          <w:lang w:val="en-GB"/>
        </w:rPr>
        <w:t xml:space="preserve">drawn from prior </w:t>
      </w:r>
      <w:r w:rsidR="00793A41" w:rsidRPr="00F05B90">
        <w:rPr>
          <w:lang w:val="en-GB"/>
        </w:rPr>
        <w:t>research</w:t>
      </w:r>
      <w:r w:rsidRPr="00F05B90">
        <w:rPr>
          <w:lang w:val="en-GB"/>
        </w:rPr>
        <w:t>.</w:t>
      </w:r>
      <w:r w:rsidR="00A942D1" w:rsidRPr="00F05B90">
        <w:rPr>
          <w:lang w:val="en-GB"/>
        </w:rPr>
        <w:t xml:space="preserve"> </w:t>
      </w:r>
      <w:r w:rsidR="00793A41" w:rsidRPr="00F05B90">
        <w:rPr>
          <w:lang w:val="en-GB"/>
        </w:rPr>
        <w:t xml:space="preserve">The </w:t>
      </w:r>
      <w:r w:rsidRPr="00F05B90">
        <w:rPr>
          <w:lang w:val="en-GB"/>
        </w:rPr>
        <w:t>first</w:t>
      </w:r>
      <w:r w:rsidR="0023406E" w:rsidRPr="00F05B90">
        <w:rPr>
          <w:lang w:val="en-GB"/>
        </w:rPr>
        <w:t xml:space="preserve"> </w:t>
      </w:r>
      <w:r w:rsidRPr="00F05B90">
        <w:rPr>
          <w:lang w:val="en-GB"/>
        </w:rPr>
        <w:t>is</w:t>
      </w:r>
      <w:r w:rsidR="006B70E2" w:rsidRPr="00F05B90">
        <w:rPr>
          <w:lang w:val="en-GB"/>
        </w:rPr>
        <w:t xml:space="preserve"> </w:t>
      </w:r>
      <w:r w:rsidRPr="00F05B90">
        <w:rPr>
          <w:lang w:val="en-GB"/>
        </w:rPr>
        <w:t>drawn from Coles et al. (2018), which is the natural logarithm of the total compensation received by all CEOs in the same industry</w:t>
      </w:r>
      <w:r w:rsidR="0023406E" w:rsidRPr="00F05B90">
        <w:rPr>
          <w:lang w:val="en-GB"/>
        </w:rPr>
        <w:t xml:space="preserve"> </w:t>
      </w:r>
      <w:r w:rsidRPr="00F05B90">
        <w:rPr>
          <w:lang w:val="en-GB"/>
        </w:rPr>
        <w:t>(</w:t>
      </w:r>
      <w:r w:rsidRPr="00F05B90">
        <w:rPr>
          <w:i/>
          <w:iCs/>
          <w:lang w:val="en-GB"/>
        </w:rPr>
        <w:t>SUM_CEO_COMP-IND</w:t>
      </w:r>
      <w:r w:rsidRPr="00F05B90">
        <w:rPr>
          <w:lang w:val="en-GB"/>
        </w:rPr>
        <w:t xml:space="preserve">). To avoid </w:t>
      </w:r>
      <w:r w:rsidR="00CE1A5B" w:rsidRPr="00F05B90">
        <w:rPr>
          <w:lang w:val="en-GB"/>
        </w:rPr>
        <w:t xml:space="preserve">a </w:t>
      </w:r>
      <w:r w:rsidRPr="00F05B90">
        <w:rPr>
          <w:lang w:val="en-GB"/>
        </w:rPr>
        <w:t>mechanical relationship with this instrument, we compute it as the natural logarithm of the total compensation received by all CEOs in the same industry</w:t>
      </w:r>
      <w:r w:rsidR="00A942D1" w:rsidRPr="00F05B90">
        <w:rPr>
          <w:lang w:val="en-GB"/>
        </w:rPr>
        <w:t>,</w:t>
      </w:r>
      <w:r w:rsidRPr="00F05B90">
        <w:rPr>
          <w:lang w:val="en-GB"/>
        </w:rPr>
        <w:t xml:space="preserve"> excluding</w:t>
      </w:r>
      <w:r w:rsidR="00264151" w:rsidRPr="00F05B90">
        <w:rPr>
          <w:lang w:val="en-GB"/>
        </w:rPr>
        <w:t xml:space="preserve"> that of</w:t>
      </w:r>
      <w:r w:rsidRPr="00F05B90">
        <w:rPr>
          <w:lang w:val="en-GB"/>
        </w:rPr>
        <w:t xml:space="preserve"> the highest</w:t>
      </w:r>
      <w:r w:rsidR="00A942D1" w:rsidRPr="00F05B90">
        <w:rPr>
          <w:lang w:val="en-GB"/>
        </w:rPr>
        <w:t>-</w:t>
      </w:r>
      <w:r w:rsidRPr="00F05B90">
        <w:rPr>
          <w:lang w:val="en-GB"/>
        </w:rPr>
        <w:t xml:space="preserve">paid CEO in the benchmark industry and the correspondent firm CEO. </w:t>
      </w:r>
      <w:r w:rsidR="00E81CBA" w:rsidRPr="00F05B90">
        <w:rPr>
          <w:lang w:val="en-GB"/>
        </w:rPr>
        <w:t xml:space="preserve">Arguably, </w:t>
      </w:r>
      <w:r w:rsidRPr="00F05B90">
        <w:rPr>
          <w:lang w:val="en-GB"/>
        </w:rPr>
        <w:t>wages paid to firms</w:t>
      </w:r>
      <w:r w:rsidR="00264151" w:rsidRPr="00F05B90">
        <w:rPr>
          <w:lang w:val="en-GB"/>
        </w:rPr>
        <w:t>’</w:t>
      </w:r>
      <w:r w:rsidRPr="00F05B90">
        <w:rPr>
          <w:lang w:val="en-GB"/>
        </w:rPr>
        <w:t xml:space="preserve"> employees depend on </w:t>
      </w:r>
      <w:r w:rsidR="00264151" w:rsidRPr="00F05B90">
        <w:rPr>
          <w:lang w:val="en-GB"/>
        </w:rPr>
        <w:t xml:space="preserve">the </w:t>
      </w:r>
      <w:r w:rsidRPr="00F05B90">
        <w:rPr>
          <w:lang w:val="en-GB"/>
        </w:rPr>
        <w:t>firms’ ability to pay such wages (</w:t>
      </w:r>
      <w:r w:rsidR="00E81CBA" w:rsidRPr="00F05B90">
        <w:rPr>
          <w:lang w:val="en-GB"/>
        </w:rPr>
        <w:t xml:space="preserve">Coles et al., 2018; </w:t>
      </w:r>
      <w:r w:rsidRPr="00F05B90">
        <w:rPr>
          <w:lang w:val="en-GB"/>
        </w:rPr>
        <w:t>Kahneman et al.</w:t>
      </w:r>
      <w:r w:rsidR="00264151" w:rsidRPr="00F05B90">
        <w:rPr>
          <w:lang w:val="en-GB"/>
        </w:rPr>
        <w:t>,</w:t>
      </w:r>
      <w:r w:rsidRPr="00F05B90">
        <w:rPr>
          <w:lang w:val="en-GB"/>
        </w:rPr>
        <w:t xml:space="preserve"> 1986)</w:t>
      </w:r>
      <w:r w:rsidR="00264151" w:rsidRPr="00F05B90">
        <w:rPr>
          <w:lang w:val="en-GB"/>
        </w:rPr>
        <w:t xml:space="preserve"> so</w:t>
      </w:r>
      <w:r w:rsidRPr="00F05B90">
        <w:rPr>
          <w:lang w:val="en-GB"/>
        </w:rPr>
        <w:t xml:space="preserve"> total industry CEO compensation is conditional </w:t>
      </w:r>
      <w:r w:rsidR="00264151" w:rsidRPr="00F05B90">
        <w:rPr>
          <w:lang w:val="en-GB"/>
        </w:rPr>
        <w:t xml:space="preserve">on </w:t>
      </w:r>
      <w:r w:rsidRPr="00F05B90">
        <w:rPr>
          <w:lang w:val="en-GB"/>
        </w:rPr>
        <w:t>the ability of an industry to pay. Accordingly,</w:t>
      </w:r>
      <w:r w:rsidR="00E81CBA" w:rsidRPr="00F05B90">
        <w:rPr>
          <w:lang w:val="en-GB"/>
        </w:rPr>
        <w:t xml:space="preserve"> following Coles et al. (2018),</w:t>
      </w:r>
      <w:r w:rsidRPr="00F05B90">
        <w:rPr>
          <w:lang w:val="en-GB"/>
        </w:rPr>
        <w:t xml:space="preserve"> we assume that the total compensation paid to all CEOs in a certain industry reflects the degree of CEO compensation in that industry.</w:t>
      </w:r>
    </w:p>
    <w:p w14:paraId="758EF9F8" w14:textId="0BCBB196" w:rsidR="003C7C74" w:rsidRPr="00F05B90" w:rsidRDefault="00F80955" w:rsidP="00B3493A">
      <w:pPr>
        <w:spacing w:before="240" w:after="240" w:line="360" w:lineRule="auto"/>
        <w:jc w:val="both"/>
        <w:rPr>
          <w:lang w:val="en-GB"/>
        </w:rPr>
      </w:pPr>
      <w:r w:rsidRPr="00F05B90">
        <w:rPr>
          <w:lang w:val="en-GB"/>
        </w:rPr>
        <w:t xml:space="preserve">Our </w:t>
      </w:r>
      <w:r w:rsidR="00CF1A80" w:rsidRPr="00F05B90">
        <w:rPr>
          <w:lang w:val="en-GB"/>
        </w:rPr>
        <w:t xml:space="preserve">second </w:t>
      </w:r>
      <w:r w:rsidRPr="00F05B90">
        <w:rPr>
          <w:lang w:val="en-GB"/>
        </w:rPr>
        <w:t>instrument</w:t>
      </w:r>
      <w:r w:rsidR="00264151" w:rsidRPr="00F05B90">
        <w:rPr>
          <w:lang w:val="en-GB"/>
        </w:rPr>
        <w:t>al variable</w:t>
      </w:r>
      <w:r w:rsidRPr="00F05B90">
        <w:rPr>
          <w:lang w:val="en-GB"/>
        </w:rPr>
        <w:t xml:space="preserve"> is drawn from Huang et al. (2019) and represents the natural logarithm of the number of CEOs in the same industry with higher-paid CEOs in the same industry as the sample firm</w:t>
      </w:r>
      <w:r w:rsidR="00DF71D3" w:rsidRPr="00F05B90">
        <w:rPr>
          <w:lang w:val="en-GB"/>
        </w:rPr>
        <w:t xml:space="preserve"> </w:t>
      </w:r>
      <w:r w:rsidRPr="00F05B90">
        <w:rPr>
          <w:lang w:val="en-GB"/>
        </w:rPr>
        <w:t>(</w:t>
      </w:r>
      <w:r w:rsidRPr="00F05B90">
        <w:rPr>
          <w:i/>
          <w:iCs/>
          <w:lang w:val="en-GB"/>
        </w:rPr>
        <w:t>NO_HIGHER_PAID_IND_CEOS</w:t>
      </w:r>
      <w:r w:rsidRPr="00F05B90">
        <w:rPr>
          <w:lang w:val="en-GB"/>
        </w:rPr>
        <w:t xml:space="preserve">). We </w:t>
      </w:r>
      <w:r w:rsidR="00BD184E" w:rsidRPr="00F05B90">
        <w:rPr>
          <w:lang w:val="en-GB"/>
        </w:rPr>
        <w:t xml:space="preserve">rank </w:t>
      </w:r>
      <w:r w:rsidRPr="00F05B90">
        <w:rPr>
          <w:lang w:val="en-GB"/>
        </w:rPr>
        <w:t xml:space="preserve">CEO </w:t>
      </w:r>
      <w:r w:rsidR="00BD184E" w:rsidRPr="00F05B90">
        <w:rPr>
          <w:lang w:val="en-GB"/>
        </w:rPr>
        <w:t xml:space="preserve">within each industry-year from </w:t>
      </w:r>
      <w:r w:rsidRPr="00F05B90">
        <w:rPr>
          <w:lang w:val="en-GB"/>
        </w:rPr>
        <w:t>the highest to lowest</w:t>
      </w:r>
      <w:r w:rsidR="00BD184E" w:rsidRPr="00F05B90">
        <w:rPr>
          <w:lang w:val="en-GB"/>
        </w:rPr>
        <w:t xml:space="preserve"> pay, assigning a</w:t>
      </w:r>
      <w:r w:rsidRPr="00F05B90">
        <w:rPr>
          <w:lang w:val="en-GB"/>
        </w:rPr>
        <w:t xml:space="preserve"> value </w:t>
      </w:r>
      <w:r w:rsidR="00BD184E" w:rsidRPr="00F05B90">
        <w:rPr>
          <w:lang w:val="en-GB"/>
        </w:rPr>
        <w:t xml:space="preserve">of </w:t>
      </w:r>
      <w:r w:rsidR="00264151" w:rsidRPr="00F05B90">
        <w:rPr>
          <w:lang w:val="en-GB"/>
        </w:rPr>
        <w:t>0</w:t>
      </w:r>
      <w:r w:rsidRPr="00F05B90">
        <w:rPr>
          <w:lang w:val="en-GB"/>
        </w:rPr>
        <w:t xml:space="preserve"> </w:t>
      </w:r>
      <w:r w:rsidR="00BD184E" w:rsidRPr="00F05B90">
        <w:rPr>
          <w:lang w:val="en-GB"/>
        </w:rPr>
        <w:t>to</w:t>
      </w:r>
      <w:r w:rsidRPr="00F05B90">
        <w:rPr>
          <w:lang w:val="en-GB"/>
        </w:rPr>
        <w:t xml:space="preserve"> the highest</w:t>
      </w:r>
      <w:r w:rsidR="00BD184E" w:rsidRPr="00F05B90">
        <w:rPr>
          <w:lang w:val="en-GB"/>
        </w:rPr>
        <w:t>-paid</w:t>
      </w:r>
      <w:r w:rsidRPr="00F05B90">
        <w:rPr>
          <w:lang w:val="en-GB"/>
        </w:rPr>
        <w:t xml:space="preserve"> CEO (as there is no CEO receiv</w:t>
      </w:r>
      <w:r w:rsidR="00264151" w:rsidRPr="00F05B90">
        <w:rPr>
          <w:lang w:val="en-GB"/>
        </w:rPr>
        <w:t>ing</w:t>
      </w:r>
      <w:r w:rsidRPr="00F05B90">
        <w:rPr>
          <w:lang w:val="en-GB"/>
        </w:rPr>
        <w:t xml:space="preserve"> compensation higher than</w:t>
      </w:r>
      <w:r w:rsidR="00264151" w:rsidRPr="00F05B90">
        <w:rPr>
          <w:lang w:val="en-GB"/>
        </w:rPr>
        <w:t xml:space="preserve"> this</w:t>
      </w:r>
      <w:r w:rsidRPr="00F05B90">
        <w:rPr>
          <w:lang w:val="en-GB"/>
        </w:rPr>
        <w:t>)</w:t>
      </w:r>
      <w:r w:rsidR="00264151" w:rsidRPr="00F05B90">
        <w:rPr>
          <w:lang w:val="en-GB"/>
        </w:rPr>
        <w:t xml:space="preserve">, </w:t>
      </w:r>
      <w:r w:rsidR="00222533" w:rsidRPr="00F05B90">
        <w:rPr>
          <w:lang w:val="en-GB"/>
        </w:rPr>
        <w:t xml:space="preserve">1 </w:t>
      </w:r>
      <w:r w:rsidR="00BD184E" w:rsidRPr="00F05B90">
        <w:rPr>
          <w:lang w:val="en-GB"/>
        </w:rPr>
        <w:t xml:space="preserve">to </w:t>
      </w:r>
      <w:r w:rsidRPr="00F05B90">
        <w:rPr>
          <w:lang w:val="en-GB"/>
        </w:rPr>
        <w:t>the second</w:t>
      </w:r>
      <w:r w:rsidR="00BD184E" w:rsidRPr="00F05B90">
        <w:rPr>
          <w:lang w:val="en-GB"/>
        </w:rPr>
        <w:t>-highest</w:t>
      </w:r>
      <w:r w:rsidR="008C5DEE" w:rsidRPr="00F05B90">
        <w:rPr>
          <w:lang w:val="en-GB"/>
        </w:rPr>
        <w:t>,</w:t>
      </w:r>
      <w:r w:rsidRPr="00F05B90">
        <w:rPr>
          <w:lang w:val="en-GB"/>
        </w:rPr>
        <w:t xml:space="preserve"> </w:t>
      </w:r>
      <w:r w:rsidR="00222533" w:rsidRPr="00F05B90">
        <w:rPr>
          <w:lang w:val="en-GB"/>
        </w:rPr>
        <w:t xml:space="preserve">2 </w:t>
      </w:r>
      <w:r w:rsidR="00BD184E" w:rsidRPr="00F05B90">
        <w:rPr>
          <w:lang w:val="en-GB"/>
        </w:rPr>
        <w:t>to</w:t>
      </w:r>
      <w:r w:rsidR="00222533" w:rsidRPr="00F05B90">
        <w:rPr>
          <w:lang w:val="en-GB"/>
        </w:rPr>
        <w:t xml:space="preserve"> </w:t>
      </w:r>
      <w:r w:rsidRPr="00F05B90">
        <w:rPr>
          <w:lang w:val="en-GB"/>
        </w:rPr>
        <w:t>the third</w:t>
      </w:r>
      <w:r w:rsidR="00264151" w:rsidRPr="00F05B90">
        <w:rPr>
          <w:lang w:val="en-GB"/>
        </w:rPr>
        <w:t>, and so on</w:t>
      </w:r>
      <w:r w:rsidRPr="00F05B90">
        <w:rPr>
          <w:lang w:val="en-GB"/>
        </w:rPr>
        <w:t xml:space="preserve">. </w:t>
      </w:r>
      <w:r w:rsidR="00222533" w:rsidRPr="00F05B90">
        <w:rPr>
          <w:lang w:val="en-GB"/>
        </w:rPr>
        <w:t>This</w:t>
      </w:r>
      <w:r w:rsidRPr="00F05B90">
        <w:rPr>
          <w:lang w:val="en-GB"/>
        </w:rPr>
        <w:t xml:space="preserve"> clarif</w:t>
      </w:r>
      <w:r w:rsidR="00222533" w:rsidRPr="00F05B90">
        <w:rPr>
          <w:lang w:val="en-GB"/>
        </w:rPr>
        <w:t>ies</w:t>
      </w:r>
      <w:r w:rsidRPr="00F05B90">
        <w:rPr>
          <w:lang w:val="en-GB"/>
        </w:rPr>
        <w:t xml:space="preserve"> how many CEOs have higher compensation than the CEO under consideration. </w:t>
      </w:r>
      <w:r w:rsidR="00973DA0" w:rsidRPr="00F05B90">
        <w:rPr>
          <w:lang w:val="en-GB"/>
        </w:rPr>
        <w:t xml:space="preserve">This measure captures industry tournament intensity and competition for higher pay slots without directly influencing auditor </w:t>
      </w:r>
      <w:r w:rsidR="00B3493A" w:rsidRPr="00F05B90">
        <w:rPr>
          <w:lang w:val="en-GB"/>
        </w:rPr>
        <w:t>judgment</w:t>
      </w:r>
      <w:r w:rsidR="00973DA0" w:rsidRPr="00F05B90">
        <w:rPr>
          <w:lang w:val="en-GB"/>
        </w:rPr>
        <w:t xml:space="preserve">. </w:t>
      </w:r>
      <w:r w:rsidRPr="00F05B90">
        <w:rPr>
          <w:lang w:val="en-GB"/>
        </w:rPr>
        <w:t xml:space="preserve">As </w:t>
      </w:r>
      <w:r w:rsidR="008C5DEE" w:rsidRPr="00F05B90">
        <w:rPr>
          <w:lang w:val="en-GB"/>
        </w:rPr>
        <w:t>Huang et al. (2019) discuss</w:t>
      </w:r>
      <w:r w:rsidRPr="00F05B90">
        <w:rPr>
          <w:lang w:val="en-GB"/>
        </w:rPr>
        <w:t xml:space="preserve">, CEOs at the lower spectrum of industry pay need to </w:t>
      </w:r>
      <w:r w:rsidR="00222533" w:rsidRPr="00F05B90">
        <w:rPr>
          <w:lang w:val="en-GB"/>
        </w:rPr>
        <w:t>m</w:t>
      </w:r>
      <w:r w:rsidRPr="00F05B90">
        <w:rPr>
          <w:lang w:val="en-GB"/>
        </w:rPr>
        <w:t xml:space="preserve">ake several moves to </w:t>
      </w:r>
      <w:r w:rsidR="00222533" w:rsidRPr="00F05B90">
        <w:rPr>
          <w:lang w:val="en-GB"/>
        </w:rPr>
        <w:t xml:space="preserve">arrive nearer to </w:t>
      </w:r>
      <w:r w:rsidRPr="00F05B90">
        <w:rPr>
          <w:lang w:val="en-GB"/>
        </w:rPr>
        <w:t>maxim</w:t>
      </w:r>
      <w:r w:rsidR="00222533" w:rsidRPr="00F05B90">
        <w:rPr>
          <w:lang w:val="en-GB"/>
        </w:rPr>
        <w:t>um</w:t>
      </w:r>
      <w:r w:rsidRPr="00F05B90">
        <w:rPr>
          <w:lang w:val="en-GB"/>
        </w:rPr>
        <w:t xml:space="preserve"> pay. </w:t>
      </w:r>
      <w:r w:rsidR="00222533" w:rsidRPr="00F05B90">
        <w:rPr>
          <w:lang w:val="en-GB"/>
        </w:rPr>
        <w:t>Accordingly</w:t>
      </w:r>
      <w:r w:rsidRPr="00F05B90">
        <w:rPr>
          <w:lang w:val="en-GB"/>
        </w:rPr>
        <w:t xml:space="preserve">, </w:t>
      </w:r>
      <w:r w:rsidR="00222533" w:rsidRPr="00F05B90">
        <w:rPr>
          <w:lang w:val="en-GB"/>
        </w:rPr>
        <w:t xml:space="preserve">an </w:t>
      </w:r>
      <w:r w:rsidRPr="00F05B90">
        <w:rPr>
          <w:lang w:val="en-GB"/>
        </w:rPr>
        <w:t xml:space="preserve">increase in the number of higher-paid CEOs in a specific industry </w:t>
      </w:r>
      <w:r w:rsidR="00222533" w:rsidRPr="00F05B90">
        <w:rPr>
          <w:lang w:val="en-GB"/>
        </w:rPr>
        <w:t xml:space="preserve">augments the </w:t>
      </w:r>
      <w:r w:rsidRPr="00F05B90">
        <w:rPr>
          <w:lang w:val="en-GB"/>
        </w:rPr>
        <w:t>industry tournament incentives</w:t>
      </w:r>
      <w:r w:rsidR="00222533" w:rsidRPr="00F05B90">
        <w:rPr>
          <w:lang w:val="en-GB"/>
        </w:rPr>
        <w:t xml:space="preserve"> and thus</w:t>
      </w:r>
      <w:r w:rsidRPr="00F05B90">
        <w:rPr>
          <w:lang w:val="en-GB"/>
        </w:rPr>
        <w:t xml:space="preserve"> the level of competition for those slots.</w:t>
      </w:r>
      <w:r w:rsidR="003C7C74" w:rsidRPr="00F05B90">
        <w:rPr>
          <w:lang w:val="en-GB"/>
        </w:rPr>
        <w:t xml:space="preserve"> </w:t>
      </w:r>
      <w:r w:rsidRPr="00F05B90">
        <w:rPr>
          <w:lang w:val="en-GB"/>
        </w:rPr>
        <w:t>Although our main sample focuses mainly on</w:t>
      </w:r>
      <w:r w:rsidR="00222533" w:rsidRPr="00F05B90">
        <w:rPr>
          <w:lang w:val="en-GB"/>
        </w:rPr>
        <w:t xml:space="preserve"> the</w:t>
      </w:r>
      <w:r w:rsidRPr="00F05B90">
        <w:rPr>
          <w:lang w:val="en-GB"/>
        </w:rPr>
        <w:t xml:space="preserve"> FTSE 350, in order to avoid bias when computing these </w:t>
      </w:r>
      <w:r w:rsidR="00CF1A80" w:rsidRPr="00F05B90">
        <w:rPr>
          <w:lang w:val="en-GB"/>
        </w:rPr>
        <w:t>two</w:t>
      </w:r>
      <w:r w:rsidRPr="00F05B90">
        <w:rPr>
          <w:lang w:val="en-GB"/>
        </w:rPr>
        <w:t xml:space="preserve"> instruments, we consider all firms in the FTSE All Share Index. </w:t>
      </w:r>
      <w:r w:rsidR="00222533" w:rsidRPr="00F05B90">
        <w:rPr>
          <w:lang w:val="en-GB"/>
        </w:rPr>
        <w:t>B</w:t>
      </w:r>
      <w:r w:rsidR="00CF1A80" w:rsidRPr="00F05B90">
        <w:rPr>
          <w:lang w:val="en-GB"/>
        </w:rPr>
        <w:t>oth</w:t>
      </w:r>
      <w:r w:rsidRPr="00F05B90">
        <w:rPr>
          <w:lang w:val="en-GB"/>
        </w:rPr>
        <w:t xml:space="preserve"> instrument variables are winsorised at the 1% and 99% levels. We also include time and industry</w:t>
      </w:r>
      <w:r w:rsidRPr="00F05B90">
        <w:rPr>
          <w:rStyle w:val="CommentReference"/>
          <w:sz w:val="24"/>
          <w:szCs w:val="24"/>
          <w:lang w:val="en-GB"/>
        </w:rPr>
        <w:t xml:space="preserve"> </w:t>
      </w:r>
      <w:r w:rsidRPr="00F05B90">
        <w:rPr>
          <w:lang w:val="en-GB"/>
        </w:rPr>
        <w:t xml:space="preserve">fixed effects in all 2SLS models to isolate time-invariant industry factors as well as any time trend </w:t>
      </w:r>
      <w:r w:rsidR="00222533" w:rsidRPr="00F05B90">
        <w:rPr>
          <w:lang w:val="en-GB"/>
        </w:rPr>
        <w:t>with</w:t>
      </w:r>
      <w:r w:rsidRPr="00F05B90">
        <w:rPr>
          <w:lang w:val="en-GB"/>
        </w:rPr>
        <w:t>in external tournament incentives and/or auditors</w:t>
      </w:r>
      <w:r w:rsidR="00F879E5" w:rsidRPr="00F05B90">
        <w:rPr>
          <w:lang w:val="en-GB"/>
        </w:rPr>
        <w:t>’</w:t>
      </w:r>
      <w:r w:rsidRPr="00F05B90">
        <w:rPr>
          <w:lang w:val="en-GB"/>
        </w:rPr>
        <w:t xml:space="preserve"> efforts.</w:t>
      </w:r>
      <w:r w:rsidR="003C7C74" w:rsidRPr="00F05B90">
        <w:rPr>
          <w:lang w:val="en-GB"/>
        </w:rPr>
        <w:t xml:space="preserve"> </w:t>
      </w:r>
    </w:p>
    <w:p w14:paraId="46361EF9" w14:textId="108B2E27" w:rsidR="00D5664C" w:rsidRPr="00F05B90" w:rsidRDefault="00973DA0" w:rsidP="00B3493A">
      <w:pPr>
        <w:spacing w:before="240" w:after="240" w:line="360" w:lineRule="auto"/>
        <w:jc w:val="both"/>
        <w:rPr>
          <w:lang w:val="en-GB"/>
        </w:rPr>
      </w:pPr>
      <w:r w:rsidRPr="00F05B90">
        <w:rPr>
          <w:lang w:val="en-GB"/>
        </w:rPr>
        <w:lastRenderedPageBreak/>
        <w:t xml:space="preserve">For instrument validity, </w:t>
      </w:r>
      <w:r w:rsidR="00F80955" w:rsidRPr="00F05B90">
        <w:rPr>
          <w:lang w:val="en-GB"/>
        </w:rPr>
        <w:t xml:space="preserve">the </w:t>
      </w:r>
      <w:r w:rsidR="00B501DD" w:rsidRPr="00F05B90">
        <w:rPr>
          <w:lang w:val="en-GB"/>
        </w:rPr>
        <w:t>two</w:t>
      </w:r>
      <w:r w:rsidR="00F80955" w:rsidRPr="00F05B90">
        <w:rPr>
          <w:lang w:val="en-GB"/>
        </w:rPr>
        <w:t xml:space="preserve"> instruments should </w:t>
      </w:r>
      <w:r w:rsidRPr="00F05B90">
        <w:rPr>
          <w:lang w:val="en-GB"/>
        </w:rPr>
        <w:t xml:space="preserve">be (i) </w:t>
      </w:r>
      <w:r w:rsidR="00F80955" w:rsidRPr="00F05B90">
        <w:rPr>
          <w:lang w:val="en-GB"/>
        </w:rPr>
        <w:t xml:space="preserve">theoretically </w:t>
      </w:r>
      <w:r w:rsidRPr="00F05B90">
        <w:rPr>
          <w:lang w:val="en-GB"/>
        </w:rPr>
        <w:t>‘</w:t>
      </w:r>
      <w:r w:rsidR="00F80955" w:rsidRPr="00F05B90">
        <w:rPr>
          <w:lang w:val="en-GB"/>
        </w:rPr>
        <w:t>relevant</w:t>
      </w:r>
      <w:r w:rsidR="00F879E5" w:rsidRPr="00F05B90">
        <w:rPr>
          <w:lang w:val="en-GB"/>
        </w:rPr>
        <w:t>’</w:t>
      </w:r>
      <w:r w:rsidRPr="00F05B90">
        <w:rPr>
          <w:lang w:val="en-GB"/>
        </w:rPr>
        <w:t xml:space="preserve">, </w:t>
      </w:r>
      <w:r w:rsidR="00F80955" w:rsidRPr="00F05B90">
        <w:rPr>
          <w:lang w:val="en-GB"/>
        </w:rPr>
        <w:t xml:space="preserve"> </w:t>
      </w:r>
      <w:r w:rsidRPr="00F05B90">
        <w:rPr>
          <w:lang w:val="en-GB"/>
        </w:rPr>
        <w:t xml:space="preserve">meaning they are significantly </w:t>
      </w:r>
      <w:r w:rsidR="00390B6B" w:rsidRPr="00F05B90">
        <w:rPr>
          <w:lang w:val="en-GB"/>
        </w:rPr>
        <w:t xml:space="preserve">positively </w:t>
      </w:r>
      <w:r w:rsidR="00F80955" w:rsidRPr="00F05B90">
        <w:rPr>
          <w:lang w:val="en-GB"/>
        </w:rPr>
        <w:t>correlated with the independent variable (</w:t>
      </w:r>
      <w:r w:rsidR="00F80955" w:rsidRPr="00F05B90">
        <w:rPr>
          <w:i/>
          <w:iCs/>
          <w:lang w:val="en-GB"/>
        </w:rPr>
        <w:t>Indgap</w:t>
      </w:r>
      <w:r w:rsidR="00F80955" w:rsidRPr="00F05B90">
        <w:rPr>
          <w:lang w:val="en-GB"/>
        </w:rPr>
        <w:t>)</w:t>
      </w:r>
      <w:r w:rsidRPr="00F05B90">
        <w:rPr>
          <w:lang w:val="en-GB"/>
        </w:rPr>
        <w:t>, and (ii)</w:t>
      </w:r>
      <w:r w:rsidRPr="00F05B90">
        <w:t xml:space="preserve"> </w:t>
      </w:r>
      <w:r w:rsidRPr="00F05B90">
        <w:rPr>
          <w:lang w:val="en-GB"/>
        </w:rPr>
        <w:t>exogenous</w:t>
      </w:r>
      <w:r w:rsidR="00D5664C" w:rsidRPr="00F05B90">
        <w:rPr>
          <w:lang w:val="en-GB"/>
        </w:rPr>
        <w:t xml:space="preserve"> to our estimation model</w:t>
      </w:r>
      <w:r w:rsidRPr="00F05B90">
        <w:rPr>
          <w:lang w:val="en-GB"/>
        </w:rPr>
        <w:t xml:space="preserve">, meaning they do not directly influence </w:t>
      </w:r>
      <w:r w:rsidR="00F80955" w:rsidRPr="00F05B90">
        <w:rPr>
          <w:lang w:val="en-GB"/>
        </w:rPr>
        <w:t xml:space="preserve">our dependent variables </w:t>
      </w:r>
      <w:r w:rsidR="00F80955" w:rsidRPr="00F05B90">
        <w:rPr>
          <w:i/>
          <w:iCs/>
          <w:lang w:val="en-GB"/>
        </w:rPr>
        <w:t xml:space="preserve">(MAT </w:t>
      </w:r>
      <w:r w:rsidR="00F80955" w:rsidRPr="00F05B90">
        <w:rPr>
          <w:lang w:val="en-GB"/>
        </w:rPr>
        <w:t xml:space="preserve">and </w:t>
      </w:r>
      <w:r w:rsidR="00F80955" w:rsidRPr="00F05B90">
        <w:rPr>
          <w:i/>
          <w:iCs/>
          <w:lang w:val="en-GB"/>
        </w:rPr>
        <w:t>KAM)</w:t>
      </w:r>
      <w:r w:rsidR="00D5664C" w:rsidRPr="00F05B90">
        <w:rPr>
          <w:lang w:val="en-GB"/>
        </w:rPr>
        <w:t xml:space="preserve"> </w:t>
      </w:r>
      <w:r w:rsidR="00F80955" w:rsidRPr="00F05B90">
        <w:rPr>
          <w:lang w:val="en-GB"/>
        </w:rPr>
        <w:t>and the regression error terms</w:t>
      </w:r>
      <w:r w:rsidR="00D5664C" w:rsidRPr="00F05B90">
        <w:rPr>
          <w:lang w:val="en-GB"/>
        </w:rPr>
        <w:t xml:space="preserve">, beyond their effect on </w:t>
      </w:r>
      <w:r w:rsidR="00D5664C" w:rsidRPr="00F05B90">
        <w:rPr>
          <w:i/>
          <w:iCs/>
          <w:lang w:val="en-GB"/>
        </w:rPr>
        <w:t>Indgap</w:t>
      </w:r>
      <w:r w:rsidR="00F80955" w:rsidRPr="00F05B90">
        <w:rPr>
          <w:lang w:val="en-GB"/>
        </w:rPr>
        <w:t>. In other words, CEOs in industr</w:t>
      </w:r>
      <w:r w:rsidR="00D5664C" w:rsidRPr="00F05B90">
        <w:rPr>
          <w:lang w:val="en-GB"/>
        </w:rPr>
        <w:t xml:space="preserve">ies with </w:t>
      </w:r>
      <w:r w:rsidR="00F80955" w:rsidRPr="00F05B90">
        <w:rPr>
          <w:lang w:val="en-GB"/>
        </w:rPr>
        <w:t>high</w:t>
      </w:r>
      <w:r w:rsidR="00D5664C" w:rsidRPr="00F05B90">
        <w:rPr>
          <w:lang w:val="en-GB"/>
        </w:rPr>
        <w:t xml:space="preserve">er overall </w:t>
      </w:r>
      <w:r w:rsidR="00F80955" w:rsidRPr="00F05B90">
        <w:rPr>
          <w:lang w:val="en-GB"/>
        </w:rPr>
        <w:t xml:space="preserve">compensation and/or </w:t>
      </w:r>
      <w:r w:rsidR="00D5664C" w:rsidRPr="00F05B90">
        <w:rPr>
          <w:lang w:val="en-GB"/>
        </w:rPr>
        <w:t xml:space="preserve">greater tournament intensity </w:t>
      </w:r>
      <w:r w:rsidR="00F80955" w:rsidRPr="00F05B90">
        <w:rPr>
          <w:lang w:val="en-GB"/>
        </w:rPr>
        <w:t xml:space="preserve">are more likely to receive higher compensation or </w:t>
      </w:r>
      <w:r w:rsidR="00D5664C" w:rsidRPr="00F05B90">
        <w:rPr>
          <w:lang w:val="en-GB"/>
        </w:rPr>
        <w:t xml:space="preserve">have </w:t>
      </w:r>
      <w:r w:rsidR="00F80955" w:rsidRPr="00F05B90">
        <w:rPr>
          <w:lang w:val="en-GB"/>
        </w:rPr>
        <w:t xml:space="preserve">a higher pay gap, but </w:t>
      </w:r>
      <w:r w:rsidR="00F879E5" w:rsidRPr="00F05B90">
        <w:rPr>
          <w:lang w:val="en-GB"/>
        </w:rPr>
        <w:t>these are not</w:t>
      </w:r>
      <w:r w:rsidR="00F80955" w:rsidRPr="00F05B90">
        <w:rPr>
          <w:lang w:val="en-GB"/>
        </w:rPr>
        <w:t xml:space="preserve"> expected to </w:t>
      </w:r>
      <w:r w:rsidR="00D5664C" w:rsidRPr="00F05B90">
        <w:rPr>
          <w:lang w:val="en-GB"/>
        </w:rPr>
        <w:t xml:space="preserve">influence </w:t>
      </w:r>
      <w:r w:rsidR="00F80955" w:rsidRPr="00F05B90">
        <w:rPr>
          <w:lang w:val="en-GB"/>
        </w:rPr>
        <w:t xml:space="preserve">auditor </w:t>
      </w:r>
      <w:r w:rsidR="00B3493A" w:rsidRPr="00F05B90">
        <w:rPr>
          <w:lang w:val="en-GB"/>
        </w:rPr>
        <w:t xml:space="preserve">judgment </w:t>
      </w:r>
      <w:r w:rsidR="00D5664C" w:rsidRPr="00F05B90">
        <w:rPr>
          <w:lang w:val="en-GB"/>
        </w:rPr>
        <w:t>directly</w:t>
      </w:r>
      <w:r w:rsidR="00F80955" w:rsidRPr="00F05B90">
        <w:rPr>
          <w:lang w:val="en-GB"/>
        </w:rPr>
        <w:t>.</w:t>
      </w:r>
    </w:p>
    <w:p w14:paraId="578BB04C" w14:textId="0A7F06EF" w:rsidR="00F80955" w:rsidRPr="00F05B90" w:rsidRDefault="00F80955" w:rsidP="00B07951">
      <w:pPr>
        <w:spacing w:before="240" w:after="240" w:line="360" w:lineRule="auto"/>
        <w:jc w:val="both"/>
        <w:rPr>
          <w:lang w:val="en-GB"/>
        </w:rPr>
      </w:pPr>
      <w:r w:rsidRPr="00F05B90">
        <w:rPr>
          <w:lang w:val="en-GB"/>
        </w:rPr>
        <w:t>In line with our expectations, the first-stage regression results</w:t>
      </w:r>
      <w:r w:rsidR="00F229F1" w:rsidRPr="00F05B90">
        <w:rPr>
          <w:lang w:val="en-GB"/>
        </w:rPr>
        <w:t xml:space="preserve"> (Table </w:t>
      </w:r>
      <w:r w:rsidR="00B07951" w:rsidRPr="00F05B90">
        <w:rPr>
          <w:lang w:val="en-GB"/>
        </w:rPr>
        <w:t>7</w:t>
      </w:r>
      <w:r w:rsidR="00F229F1" w:rsidRPr="00F05B90">
        <w:rPr>
          <w:lang w:val="en-GB"/>
        </w:rPr>
        <w:t>, Column 1)</w:t>
      </w:r>
      <w:r w:rsidRPr="00F05B90">
        <w:rPr>
          <w:lang w:val="en-GB"/>
        </w:rPr>
        <w:t xml:space="preserve"> </w:t>
      </w:r>
      <w:r w:rsidR="00F229F1" w:rsidRPr="00F05B90">
        <w:rPr>
          <w:lang w:val="en-GB"/>
        </w:rPr>
        <w:t xml:space="preserve">confirm </w:t>
      </w:r>
      <w:r w:rsidRPr="00F05B90">
        <w:rPr>
          <w:lang w:val="en-GB"/>
        </w:rPr>
        <w:t xml:space="preserve">that </w:t>
      </w:r>
      <w:r w:rsidR="00B501DD" w:rsidRPr="00F05B90">
        <w:rPr>
          <w:lang w:val="en-GB"/>
        </w:rPr>
        <w:t>both</w:t>
      </w:r>
      <w:r w:rsidRPr="00F05B90">
        <w:rPr>
          <w:lang w:val="en-GB"/>
        </w:rPr>
        <w:t xml:space="preserve"> </w:t>
      </w:r>
      <w:r w:rsidRPr="00F05B90">
        <w:rPr>
          <w:i/>
          <w:iCs/>
          <w:lang w:val="en-GB"/>
        </w:rPr>
        <w:t>SUM_CEO_COMP-IND</w:t>
      </w:r>
      <w:r w:rsidRPr="00F05B90">
        <w:rPr>
          <w:lang w:val="en-GB"/>
        </w:rPr>
        <w:t xml:space="preserve"> and </w:t>
      </w:r>
      <w:r w:rsidRPr="00F05B90">
        <w:rPr>
          <w:i/>
          <w:iCs/>
          <w:lang w:val="en-GB"/>
        </w:rPr>
        <w:t>NO_HIGHER_PAID_IND_CEOS</w:t>
      </w:r>
      <w:r w:rsidRPr="00F05B90">
        <w:rPr>
          <w:lang w:val="en-GB"/>
        </w:rPr>
        <w:t xml:space="preserve"> are </w:t>
      </w:r>
      <w:r w:rsidR="009963A1" w:rsidRPr="00F05B90">
        <w:rPr>
          <w:lang w:val="en-GB"/>
        </w:rPr>
        <w:t xml:space="preserve">positively and </w:t>
      </w:r>
      <w:r w:rsidRPr="00F05B90">
        <w:rPr>
          <w:lang w:val="en-GB"/>
        </w:rPr>
        <w:t>significantly</w:t>
      </w:r>
      <w:r w:rsidR="009963A1" w:rsidRPr="00F05B90">
        <w:rPr>
          <w:lang w:val="en-GB"/>
        </w:rPr>
        <w:t xml:space="preserve"> </w:t>
      </w:r>
      <w:r w:rsidRPr="00F05B90">
        <w:rPr>
          <w:lang w:val="en-GB"/>
        </w:rPr>
        <w:t>correlated (p</w:t>
      </w:r>
      <w:r w:rsidR="00F229F1" w:rsidRPr="00F05B90">
        <w:rPr>
          <w:lang w:val="en-GB"/>
        </w:rPr>
        <w:t xml:space="preserve"> </w:t>
      </w:r>
      <w:r w:rsidRPr="00F05B90">
        <w:rPr>
          <w:lang w:val="en-GB"/>
        </w:rPr>
        <w:t>&lt;</w:t>
      </w:r>
      <w:r w:rsidR="00F229F1" w:rsidRPr="00F05B90">
        <w:rPr>
          <w:lang w:val="en-GB"/>
        </w:rPr>
        <w:t xml:space="preserve"> </w:t>
      </w:r>
      <w:r w:rsidRPr="00F05B90">
        <w:rPr>
          <w:lang w:val="en-GB"/>
        </w:rPr>
        <w:t>1%) with the industry pay gap (</w:t>
      </w:r>
      <w:r w:rsidRPr="00F05B90">
        <w:rPr>
          <w:i/>
          <w:iCs/>
          <w:lang w:val="en-GB"/>
        </w:rPr>
        <w:t>Indgap</w:t>
      </w:r>
      <w:r w:rsidRPr="00F05B90">
        <w:rPr>
          <w:lang w:val="en-GB"/>
        </w:rPr>
        <w:t>)</w:t>
      </w:r>
      <w:r w:rsidR="00F229F1" w:rsidRPr="00F05B90">
        <w:rPr>
          <w:lang w:val="en-GB"/>
        </w:rPr>
        <w:t>, rejecting the null hypothesis of weak instruments</w:t>
      </w:r>
      <w:r w:rsidRPr="00F05B90">
        <w:rPr>
          <w:lang w:val="en-GB"/>
        </w:rPr>
        <w:t>.</w:t>
      </w:r>
      <w:r w:rsidR="001B1CA1" w:rsidRPr="00F05B90">
        <w:rPr>
          <w:lang w:val="en-GB"/>
        </w:rPr>
        <w:t xml:space="preserve"> Furthermore, as reported in Table </w:t>
      </w:r>
      <w:r w:rsidR="00B07951" w:rsidRPr="00F05B90">
        <w:rPr>
          <w:lang w:val="en-GB"/>
        </w:rPr>
        <w:t>7</w:t>
      </w:r>
      <w:r w:rsidR="001B1CA1" w:rsidRPr="00F05B90">
        <w:rPr>
          <w:lang w:val="en-GB"/>
        </w:rPr>
        <w:t xml:space="preserve">, </w:t>
      </w:r>
      <w:r w:rsidR="001B1CA1" w:rsidRPr="00F05B90">
        <w:rPr>
          <w:i/>
          <w:iCs/>
          <w:lang w:val="en-GB"/>
        </w:rPr>
        <w:t>Cragg-Donald Wald F statistic</w:t>
      </w:r>
      <w:r w:rsidR="001B1CA1" w:rsidRPr="00F05B90">
        <w:rPr>
          <w:lang w:val="en-GB"/>
        </w:rPr>
        <w:t xml:space="preserve"> is 313.96 which is significantly higher that </w:t>
      </w:r>
      <w:r w:rsidR="001B1CA1" w:rsidRPr="00F05B90">
        <w:rPr>
          <w:rFonts w:asciiTheme="majorBidi" w:hAnsiTheme="majorBidi" w:cstheme="majorBidi"/>
        </w:rPr>
        <w:t xml:space="preserve">than the Stock-Yogo critical value. Finally, </w:t>
      </w:r>
      <w:r w:rsidR="001B1CA1" w:rsidRPr="00F05B90">
        <w:rPr>
          <w:rFonts w:asciiTheme="majorBidi" w:hAnsiTheme="majorBidi" w:cstheme="majorBidi"/>
          <w:i/>
          <w:iCs/>
        </w:rPr>
        <w:t>Hansen J statistic</w:t>
      </w:r>
      <w:r w:rsidR="001B1CA1" w:rsidRPr="00F05B90">
        <w:rPr>
          <w:rFonts w:asciiTheme="majorBidi" w:hAnsiTheme="majorBidi" w:cstheme="majorBidi"/>
        </w:rPr>
        <w:t xml:space="preserve"> is insignificant demonstrating that our instrumental variables are jointly exogenous. These statistics further confirm that our instruments are both valid and relevant. Finally, t</w:t>
      </w:r>
      <w:r w:rsidRPr="00F05B90">
        <w:rPr>
          <w:lang w:val="en-GB"/>
        </w:rPr>
        <w:t>he second-stage results</w:t>
      </w:r>
      <w:r w:rsidR="00F229F1" w:rsidRPr="00F05B90">
        <w:rPr>
          <w:lang w:val="en-GB"/>
        </w:rPr>
        <w:t xml:space="preserve"> (Table </w:t>
      </w:r>
      <w:r w:rsidR="00B07951" w:rsidRPr="00F05B90">
        <w:rPr>
          <w:lang w:val="en-GB"/>
        </w:rPr>
        <w:t>7</w:t>
      </w:r>
      <w:r w:rsidR="00F229F1" w:rsidRPr="00F05B90">
        <w:rPr>
          <w:lang w:val="en-GB"/>
        </w:rPr>
        <w:t xml:space="preserve">, </w:t>
      </w:r>
      <w:r w:rsidR="00770F35" w:rsidRPr="00F05B90">
        <w:rPr>
          <w:lang w:val="en-GB"/>
        </w:rPr>
        <w:t>C</w:t>
      </w:r>
      <w:r w:rsidRPr="00F05B90">
        <w:rPr>
          <w:lang w:val="en-GB"/>
        </w:rPr>
        <w:t>olumns (2</w:t>
      </w:r>
      <w:r w:rsidR="00F229F1" w:rsidRPr="00F05B90">
        <w:rPr>
          <w:lang w:val="en-GB"/>
        </w:rPr>
        <w:t>)</w:t>
      </w:r>
      <w:r w:rsidRPr="00F05B90">
        <w:rPr>
          <w:lang w:val="en-GB"/>
        </w:rPr>
        <w:t xml:space="preserve"> and</w:t>
      </w:r>
      <w:r w:rsidR="00F229F1" w:rsidRPr="00F05B90">
        <w:rPr>
          <w:lang w:val="en-GB"/>
        </w:rPr>
        <w:t xml:space="preserve"> (</w:t>
      </w:r>
      <w:r w:rsidRPr="00F05B90">
        <w:rPr>
          <w:lang w:val="en-GB"/>
        </w:rPr>
        <w:t>3)</w:t>
      </w:r>
      <w:r w:rsidR="00F229F1" w:rsidRPr="00F05B90">
        <w:rPr>
          <w:lang w:val="en-GB"/>
        </w:rPr>
        <w:t>)</w:t>
      </w:r>
      <w:r w:rsidRPr="00F05B90">
        <w:rPr>
          <w:lang w:val="en-GB"/>
        </w:rPr>
        <w:t xml:space="preserve"> </w:t>
      </w:r>
      <w:r w:rsidR="00F229F1" w:rsidRPr="00F05B90">
        <w:rPr>
          <w:lang w:val="en-GB"/>
        </w:rPr>
        <w:t xml:space="preserve">remain consistent with </w:t>
      </w:r>
      <w:r w:rsidRPr="00F05B90">
        <w:rPr>
          <w:lang w:val="en-GB"/>
        </w:rPr>
        <w:t xml:space="preserve">our </w:t>
      </w:r>
      <w:r w:rsidR="00F229F1" w:rsidRPr="00F05B90">
        <w:rPr>
          <w:lang w:val="en-GB"/>
        </w:rPr>
        <w:t xml:space="preserve">main </w:t>
      </w:r>
      <w:r w:rsidRPr="00F05B90">
        <w:rPr>
          <w:lang w:val="en-GB"/>
        </w:rPr>
        <w:t xml:space="preserve">findings in Table 4, </w:t>
      </w:r>
      <w:r w:rsidR="00F229F1" w:rsidRPr="00F05B90">
        <w:rPr>
          <w:lang w:val="en-GB"/>
        </w:rPr>
        <w:t xml:space="preserve">reinforcing </w:t>
      </w:r>
      <w:r w:rsidRPr="00F05B90">
        <w:rPr>
          <w:lang w:val="en-GB"/>
        </w:rPr>
        <w:t xml:space="preserve">that industry tournament incentives lead to lower </w:t>
      </w:r>
      <w:r w:rsidR="00F229F1" w:rsidRPr="00F05B90">
        <w:rPr>
          <w:lang w:val="en-GB"/>
        </w:rPr>
        <w:t xml:space="preserve">perceived </w:t>
      </w:r>
      <w:r w:rsidRPr="00F05B90">
        <w:rPr>
          <w:lang w:val="en-GB"/>
        </w:rPr>
        <w:t>audit risk</w:t>
      </w:r>
      <w:r w:rsidR="00F229F1" w:rsidRPr="00F05B90">
        <w:rPr>
          <w:lang w:val="en-GB"/>
        </w:rPr>
        <w:t xml:space="preserve">, thereby reducing </w:t>
      </w:r>
      <w:r w:rsidRPr="00F05B90">
        <w:rPr>
          <w:lang w:val="en-GB"/>
        </w:rPr>
        <w:t>the breadth or scope of the audit plan.</w:t>
      </w:r>
    </w:p>
    <w:p w14:paraId="6F84A976" w14:textId="56C5100B" w:rsidR="00A80E13" w:rsidRPr="00F05B90" w:rsidRDefault="00A80E13" w:rsidP="00B07951">
      <w:pPr>
        <w:spacing w:before="240" w:after="240" w:line="360" w:lineRule="auto"/>
        <w:jc w:val="center"/>
        <w:rPr>
          <w:b/>
          <w:bCs/>
          <w:lang w:val="en-GB"/>
        </w:rPr>
      </w:pPr>
      <w:r w:rsidRPr="00F05B90">
        <w:rPr>
          <w:b/>
          <w:bCs/>
          <w:lang w:val="en-GB"/>
        </w:rPr>
        <w:t xml:space="preserve">[PLEASE INSERT TABLE </w:t>
      </w:r>
      <w:r w:rsidR="00B07951" w:rsidRPr="00F05B90">
        <w:rPr>
          <w:b/>
          <w:bCs/>
          <w:lang w:val="en-GB"/>
        </w:rPr>
        <w:t>7</w:t>
      </w:r>
      <w:r w:rsidRPr="00F05B90">
        <w:rPr>
          <w:b/>
          <w:bCs/>
          <w:lang w:val="en-GB"/>
        </w:rPr>
        <w:t xml:space="preserve"> HERE]</w:t>
      </w:r>
    </w:p>
    <w:p w14:paraId="1FB2B294" w14:textId="3E242CF8" w:rsidR="00317AEB" w:rsidRPr="00F05B90" w:rsidRDefault="00317AEB" w:rsidP="00B07951">
      <w:pPr>
        <w:spacing w:before="240" w:after="240" w:line="360" w:lineRule="auto"/>
        <w:jc w:val="both"/>
        <w:rPr>
          <w:lang w:val="en-GB"/>
        </w:rPr>
      </w:pPr>
      <w:r w:rsidRPr="00F05B90">
        <w:rPr>
          <w:lang w:val="en-GB"/>
        </w:rPr>
        <w:t xml:space="preserve">We future build on Chahine et al. (2020) and Costa and Habib (2023) and utilize the entropy balancing matching technique to mitigate endogeneity concerns arising from observable differences in firm characteristics. To apply this method, we categorize our sample into two groups based on the average value of Indgap1, assigning a dummy variable of 1 (treatment group) if Indgap1 exceeds the sample average and 0 (control group) otherwise. After implementing entropy balancing, we merge the matched pairs into a pooled sample and re-estimate our baseline regression. The entropy-balanced regression results, presented in Table </w:t>
      </w:r>
      <w:r w:rsidR="00B07951" w:rsidRPr="00F05B90">
        <w:rPr>
          <w:lang w:val="en-GB"/>
        </w:rPr>
        <w:t>8</w:t>
      </w:r>
      <w:r w:rsidRPr="00F05B90">
        <w:rPr>
          <w:lang w:val="en-GB"/>
        </w:rPr>
        <w:t xml:space="preserve">, indicate that the coefficient on </w:t>
      </w:r>
      <w:r w:rsidRPr="00F05B90">
        <w:rPr>
          <w:i/>
          <w:iCs/>
          <w:lang w:val="en-GB"/>
        </w:rPr>
        <w:t>Indgap1</w:t>
      </w:r>
      <w:r w:rsidRPr="00F05B90">
        <w:rPr>
          <w:lang w:val="en-GB"/>
        </w:rPr>
        <w:t xml:space="preserve"> remains consistent with our baseline findings. This confirms that our key results are robust to potential endogeneity issues.</w:t>
      </w:r>
    </w:p>
    <w:p w14:paraId="756B5620" w14:textId="3D44DB22" w:rsidR="00317AEB" w:rsidRPr="00F05B90" w:rsidRDefault="00317AEB" w:rsidP="00B07951">
      <w:pPr>
        <w:spacing w:before="240" w:after="240" w:line="360" w:lineRule="auto"/>
        <w:jc w:val="center"/>
        <w:rPr>
          <w:b/>
          <w:bCs/>
          <w:lang w:val="en-GB"/>
        </w:rPr>
      </w:pPr>
      <w:r w:rsidRPr="00F05B90">
        <w:rPr>
          <w:b/>
          <w:bCs/>
          <w:lang w:val="en-GB"/>
        </w:rPr>
        <w:t xml:space="preserve">[PLEASE INSERT TABLE </w:t>
      </w:r>
      <w:r w:rsidR="00B07951" w:rsidRPr="00F05B90">
        <w:rPr>
          <w:b/>
          <w:bCs/>
          <w:lang w:val="en-GB"/>
        </w:rPr>
        <w:t>8</w:t>
      </w:r>
      <w:r w:rsidRPr="00F05B90">
        <w:rPr>
          <w:b/>
          <w:bCs/>
          <w:lang w:val="en-GB"/>
        </w:rPr>
        <w:t xml:space="preserve"> HERE]</w:t>
      </w:r>
    </w:p>
    <w:bookmarkEnd w:id="27"/>
    <w:p w14:paraId="3062CA17" w14:textId="77777777" w:rsidR="0058413D" w:rsidRPr="00F05B90" w:rsidRDefault="0058413D" w:rsidP="0058413D"/>
    <w:p w14:paraId="79D0B85B" w14:textId="588D3B48" w:rsidR="00B42E9E" w:rsidRPr="00F05B90" w:rsidRDefault="00B42E9E" w:rsidP="00B42E9E">
      <w:pPr>
        <w:pStyle w:val="Heading1"/>
        <w:spacing w:after="240" w:line="240" w:lineRule="auto"/>
        <w:ind w:left="426" w:hanging="426"/>
        <w:contextualSpacing w:val="0"/>
        <w:rPr>
          <w:rFonts w:ascii="Times New Roman" w:hAnsi="Times New Roman" w:cs="Times New Roman"/>
          <w:color w:val="auto"/>
          <w:szCs w:val="24"/>
          <w:lang w:val="en-GB"/>
        </w:rPr>
      </w:pPr>
      <w:bookmarkStart w:id="30" w:name="_Hlk189770180"/>
      <w:r w:rsidRPr="00F05B90">
        <w:rPr>
          <w:rFonts w:ascii="Times New Roman" w:hAnsi="Times New Roman" w:cs="Times New Roman"/>
          <w:color w:val="auto"/>
          <w:szCs w:val="24"/>
          <w:lang w:val="en-GB"/>
        </w:rPr>
        <w:lastRenderedPageBreak/>
        <w:t>Conclusion</w:t>
      </w:r>
    </w:p>
    <w:p w14:paraId="5B1F30AD" w14:textId="77777777" w:rsidR="00317AEB" w:rsidRPr="00F05B90" w:rsidRDefault="0042785E" w:rsidP="00317AEB">
      <w:pPr>
        <w:spacing w:before="240" w:after="240" w:line="360" w:lineRule="auto"/>
        <w:jc w:val="both"/>
      </w:pPr>
      <w:r w:rsidRPr="00F05B90">
        <w:t xml:space="preserve">While </w:t>
      </w:r>
      <w:r w:rsidR="00D10B37" w:rsidRPr="00F05B90">
        <w:t>prior</w:t>
      </w:r>
      <w:r w:rsidRPr="00F05B90">
        <w:t xml:space="preserve"> studies provide evidence</w:t>
      </w:r>
      <w:r w:rsidR="000702F8" w:rsidRPr="00F05B90">
        <w:t xml:space="preserve"> </w:t>
      </w:r>
      <w:r w:rsidRPr="00F05B90">
        <w:t>on the influence of CEO compensation on audit quality</w:t>
      </w:r>
      <w:r w:rsidR="000A7FAF" w:rsidRPr="00F05B90">
        <w:t xml:space="preserve">  (</w:t>
      </w:r>
      <w:r w:rsidR="000A7FAF" w:rsidRPr="00F05B90">
        <w:rPr>
          <w:lang w:val="ru-RU"/>
        </w:rPr>
        <w:t>Chen et al., 2015; Kannan et al., 2014; Kim et al., 2014</w:t>
      </w:r>
      <w:r w:rsidR="000A7FAF" w:rsidRPr="00F05B90">
        <w:t>)</w:t>
      </w:r>
      <w:r w:rsidRPr="00F05B90">
        <w:t xml:space="preserve">, they </w:t>
      </w:r>
      <w:r w:rsidR="00D10B37" w:rsidRPr="00F05B90">
        <w:t xml:space="preserve">often overlook the role of </w:t>
      </w:r>
      <w:r w:rsidRPr="00F05B90">
        <w:t>competitive dynamics within industries</w:t>
      </w:r>
      <w:r w:rsidR="00D10B37" w:rsidRPr="00F05B90">
        <w:t xml:space="preserve"> </w:t>
      </w:r>
      <w:r w:rsidRPr="00F05B90">
        <w:t xml:space="preserve">in shaping CEOs' incentives to engage in risky financial practices. </w:t>
      </w:r>
      <w:r w:rsidR="00D10B37" w:rsidRPr="00F05B90">
        <w:t>A</w:t>
      </w:r>
      <w:r w:rsidRPr="00F05B90">
        <w:t xml:space="preserve">n emerging stream of </w:t>
      </w:r>
      <w:r w:rsidR="00D10B37" w:rsidRPr="00F05B90">
        <w:t xml:space="preserve">research </w:t>
      </w:r>
      <w:r w:rsidRPr="00F05B90">
        <w:t>has focused on tournament incentives (Jia, 2017; Ge et al., 2020; Tan, 2021)</w:t>
      </w:r>
      <w:r w:rsidR="00D10B37" w:rsidRPr="00F05B90">
        <w:t>, but n</w:t>
      </w:r>
      <w:r w:rsidRPr="00F05B90">
        <w:t xml:space="preserve">otably, these studies </w:t>
      </w:r>
      <w:r w:rsidR="00D10B37" w:rsidRPr="00F05B90">
        <w:t xml:space="preserve">primarily use </w:t>
      </w:r>
      <w:r w:rsidRPr="00F05B90">
        <w:t>audit fees as a proxy for auditor effort</w:t>
      </w:r>
      <w:r w:rsidR="00D10B37" w:rsidRPr="00F05B90">
        <w:t xml:space="preserve">. This approach makes it unclear </w:t>
      </w:r>
      <w:r w:rsidR="00D10B37" w:rsidRPr="00F05B90">
        <w:rPr>
          <w:lang w:val="en-GB"/>
        </w:rPr>
        <w:t xml:space="preserve">whether higher fees reflect </w:t>
      </w:r>
      <w:r w:rsidR="00D10B37" w:rsidRPr="00F05B90">
        <w:t xml:space="preserve">increased </w:t>
      </w:r>
      <w:r w:rsidRPr="00F05B90">
        <w:t>audit quality</w:t>
      </w:r>
      <w:r w:rsidR="000F6BE2" w:rsidRPr="00F05B90">
        <w:t xml:space="preserve"> or </w:t>
      </w:r>
      <w:r w:rsidR="00D10B37" w:rsidRPr="00F05B90">
        <w:t xml:space="preserve">merely </w:t>
      </w:r>
      <w:r w:rsidR="000F6BE2" w:rsidRPr="00F05B90">
        <w:t xml:space="preserve">a </w:t>
      </w:r>
      <w:r w:rsidR="00D10B37" w:rsidRPr="00F05B90">
        <w:t xml:space="preserve">risk </w:t>
      </w:r>
      <w:r w:rsidR="000F6BE2" w:rsidRPr="00F05B90">
        <w:t xml:space="preserve">premium against </w:t>
      </w:r>
      <w:r w:rsidR="000F6BE2" w:rsidRPr="00F05B90">
        <w:rPr>
          <w:lang w:val="en-GB"/>
        </w:rPr>
        <w:t>potential</w:t>
      </w:r>
      <w:r w:rsidRPr="00F05B90">
        <w:rPr>
          <w:lang w:val="en-GB"/>
        </w:rPr>
        <w:t xml:space="preserve"> litigation</w:t>
      </w:r>
      <w:r w:rsidRPr="00F05B90">
        <w:t xml:space="preserve"> (Kinney et al., 2004; DeFond &amp; Zhang, 2014; </w:t>
      </w:r>
      <w:r w:rsidRPr="00F05B90">
        <w:rPr>
          <w:noProof/>
          <w:lang w:val="en-GB"/>
        </w:rPr>
        <w:t>Seetharaman et al., 2002)</w:t>
      </w:r>
      <w:r w:rsidRPr="00F05B90">
        <w:t xml:space="preserve">. </w:t>
      </w:r>
    </w:p>
    <w:p w14:paraId="586934C3" w14:textId="67F1BC7E" w:rsidR="0038606F" w:rsidRPr="00F05B90" w:rsidRDefault="0042785E" w:rsidP="00B3493A">
      <w:pPr>
        <w:spacing w:before="240" w:after="240" w:line="360" w:lineRule="auto"/>
        <w:jc w:val="both"/>
        <w:rPr>
          <w:lang w:val="en-GB"/>
        </w:rPr>
      </w:pPr>
      <w:r w:rsidRPr="00F05B90">
        <w:rPr>
          <w:lang w:val="en-GB"/>
        </w:rPr>
        <w:t xml:space="preserve">Therefore, unlike </w:t>
      </w:r>
      <w:r w:rsidR="00754B7E" w:rsidRPr="00F05B90">
        <w:rPr>
          <w:lang w:val="en-GB"/>
        </w:rPr>
        <w:t xml:space="preserve">prior </w:t>
      </w:r>
      <w:r w:rsidRPr="00F05B90">
        <w:rPr>
          <w:lang w:val="en-GB"/>
        </w:rPr>
        <w:t xml:space="preserve">tournament studies, </w:t>
      </w:r>
      <w:r w:rsidR="00754B7E" w:rsidRPr="00F05B90">
        <w:rPr>
          <w:lang w:val="en-GB"/>
        </w:rPr>
        <w:t xml:space="preserve">our research provide direct evidence on how industry tournament incentives influence </w:t>
      </w:r>
      <w:r w:rsidR="00754B7E" w:rsidRPr="00F05B90">
        <w:rPr>
          <w:lang w:bidi="ar-EG"/>
        </w:rPr>
        <w:t xml:space="preserve">auditors’ </w:t>
      </w:r>
      <w:r w:rsidR="00754B7E" w:rsidRPr="00F05B90">
        <w:rPr>
          <w:lang w:val="en-GB"/>
        </w:rPr>
        <w:t xml:space="preserve">effort by examining key audit matters </w:t>
      </w:r>
      <w:r w:rsidR="00754B7E" w:rsidRPr="00F05B90">
        <w:rPr>
          <w:i/>
          <w:iCs/>
          <w:lang w:val="en-GB"/>
        </w:rPr>
        <w:t>(</w:t>
      </w:r>
      <w:r w:rsidRPr="00F05B90">
        <w:rPr>
          <w:i/>
          <w:iCs/>
          <w:lang w:val="en-GB"/>
        </w:rPr>
        <w:t>KAM</w:t>
      </w:r>
      <w:r w:rsidR="00754B7E" w:rsidRPr="00F05B90">
        <w:rPr>
          <w:i/>
          <w:iCs/>
          <w:lang w:val="en-GB"/>
        </w:rPr>
        <w:t>)</w:t>
      </w:r>
      <w:r w:rsidRPr="00F05B90">
        <w:rPr>
          <w:lang w:val="en-GB"/>
        </w:rPr>
        <w:t xml:space="preserve"> and </w:t>
      </w:r>
      <w:r w:rsidR="00754B7E" w:rsidRPr="00F05B90">
        <w:rPr>
          <w:lang w:val="en-GB"/>
        </w:rPr>
        <w:t xml:space="preserve">materiality thresholds </w:t>
      </w:r>
      <w:r w:rsidR="00754B7E" w:rsidRPr="00F05B90">
        <w:rPr>
          <w:i/>
          <w:iCs/>
          <w:lang w:val="en-GB"/>
        </w:rPr>
        <w:t>(</w:t>
      </w:r>
      <w:r w:rsidRPr="00F05B90">
        <w:rPr>
          <w:i/>
          <w:iCs/>
          <w:lang w:val="en-GB"/>
        </w:rPr>
        <w:t>MAT</w:t>
      </w:r>
      <w:r w:rsidR="00754B7E" w:rsidRPr="00F05B90">
        <w:rPr>
          <w:i/>
          <w:iCs/>
          <w:lang w:val="en-GB"/>
        </w:rPr>
        <w:t>)</w:t>
      </w:r>
      <w:r w:rsidRPr="00F05B90">
        <w:rPr>
          <w:lang w:val="en-GB"/>
        </w:rPr>
        <w:t xml:space="preserve">. </w:t>
      </w:r>
      <w:r w:rsidR="00754B7E" w:rsidRPr="00F05B90">
        <w:rPr>
          <w:lang w:val="en-GB"/>
        </w:rPr>
        <w:t xml:space="preserve">Our findings indicate that industry tournament incentives are positively associated with the depth of auditors’ professional </w:t>
      </w:r>
      <w:r w:rsidR="00B3493A" w:rsidRPr="00F05B90">
        <w:rPr>
          <w:lang w:val="en-GB"/>
        </w:rPr>
        <w:t xml:space="preserve">judgment </w:t>
      </w:r>
      <w:r w:rsidR="00754B7E" w:rsidRPr="00F05B90">
        <w:rPr>
          <w:i/>
          <w:iCs/>
          <w:lang w:val="en-GB"/>
        </w:rPr>
        <w:t>(MAT)</w:t>
      </w:r>
      <w:r w:rsidR="00754B7E" w:rsidRPr="00F05B90">
        <w:rPr>
          <w:lang w:val="en-GB"/>
        </w:rPr>
        <w:t xml:space="preserve"> but negatively associated with its scope </w:t>
      </w:r>
      <w:r w:rsidR="00754B7E" w:rsidRPr="00F05B90">
        <w:rPr>
          <w:i/>
          <w:iCs/>
          <w:lang w:val="en-GB"/>
        </w:rPr>
        <w:t xml:space="preserve">(KAM). </w:t>
      </w:r>
      <w:r w:rsidR="00754B7E" w:rsidRPr="00F05B90">
        <w:rPr>
          <w:lang w:val="en-GB"/>
        </w:rPr>
        <w:t xml:space="preserve"> Additionally</w:t>
      </w:r>
      <w:r w:rsidRPr="00F05B90">
        <w:rPr>
          <w:lang w:val="en-GB"/>
        </w:rPr>
        <w:t xml:space="preserve">, </w:t>
      </w:r>
      <w:r w:rsidR="00754B7E" w:rsidRPr="00F05B90">
        <w:t xml:space="preserve">we provide the first evidence that </w:t>
      </w:r>
      <w:r w:rsidR="00754B7E" w:rsidRPr="00F05B90">
        <w:rPr>
          <w:lang w:val="en-GB"/>
        </w:rPr>
        <w:t xml:space="preserve">this relationship depends on the CEO's financial expertise, </w:t>
      </w:r>
      <w:r w:rsidR="00B659D0" w:rsidRPr="00F05B90">
        <w:rPr>
          <w:lang w:val="en-GB"/>
        </w:rPr>
        <w:t xml:space="preserve">which affects their </w:t>
      </w:r>
      <w:r w:rsidR="00B659D0" w:rsidRPr="00F05B90">
        <w:t>ability to manipulate financial statements</w:t>
      </w:r>
      <w:r w:rsidR="00B659D0" w:rsidRPr="00F05B90">
        <w:rPr>
          <w:lang w:val="en-GB"/>
        </w:rPr>
        <w:t xml:space="preserve">. These results remain </w:t>
      </w:r>
      <w:r w:rsidR="00F80955" w:rsidRPr="00F05B90">
        <w:rPr>
          <w:lang w:val="en-GB"/>
        </w:rPr>
        <w:t xml:space="preserve">robust </w:t>
      </w:r>
      <w:r w:rsidR="00B659D0" w:rsidRPr="00F05B90">
        <w:rPr>
          <w:lang w:val="en-GB"/>
        </w:rPr>
        <w:t xml:space="preserve">across various model </w:t>
      </w:r>
      <w:r w:rsidR="00F80955" w:rsidRPr="00F05B90">
        <w:rPr>
          <w:lang w:val="en-GB"/>
        </w:rPr>
        <w:t xml:space="preserve">specifications and </w:t>
      </w:r>
      <w:r w:rsidR="00B659D0" w:rsidRPr="00F05B90">
        <w:rPr>
          <w:lang w:val="en-GB"/>
        </w:rPr>
        <w:t xml:space="preserve">after addressing </w:t>
      </w:r>
      <w:r w:rsidR="00F80955" w:rsidRPr="00F05B90">
        <w:rPr>
          <w:lang w:val="en-GB"/>
        </w:rPr>
        <w:t xml:space="preserve">potential endogeneity </w:t>
      </w:r>
      <w:r w:rsidR="00B659D0" w:rsidRPr="00F05B90">
        <w:rPr>
          <w:lang w:val="en-GB"/>
        </w:rPr>
        <w:t>concerns</w:t>
      </w:r>
      <w:r w:rsidR="00F80955" w:rsidRPr="00F05B90">
        <w:rPr>
          <w:lang w:val="en-GB"/>
        </w:rPr>
        <w:t>.</w:t>
      </w:r>
      <w:r w:rsidR="000F6BE2" w:rsidRPr="00F05B90">
        <w:rPr>
          <w:lang w:val="en-GB"/>
        </w:rPr>
        <w:t xml:space="preserve"> </w:t>
      </w:r>
    </w:p>
    <w:p w14:paraId="4FE6DD64" w14:textId="39667C7E" w:rsidR="003C7C74" w:rsidRPr="00F05B90" w:rsidRDefault="0038606F" w:rsidP="00B3493A">
      <w:pPr>
        <w:spacing w:before="240" w:after="240" w:line="360" w:lineRule="auto"/>
        <w:jc w:val="both"/>
        <w:rPr>
          <w:lang w:val="en-GB"/>
        </w:rPr>
      </w:pPr>
      <w:r w:rsidRPr="00F05B90">
        <w:rPr>
          <w:lang w:val="en-GB"/>
        </w:rPr>
        <w:t xml:space="preserve">Our study underscores </w:t>
      </w:r>
      <w:r w:rsidR="00F80955" w:rsidRPr="00F05B90">
        <w:rPr>
          <w:lang w:val="en-GB"/>
        </w:rPr>
        <w:t xml:space="preserve">the importance of </w:t>
      </w:r>
      <w:r w:rsidRPr="00F05B90">
        <w:rPr>
          <w:lang w:val="en-GB"/>
        </w:rPr>
        <w:t xml:space="preserve">considering executive pay gaps and financial expertise </w:t>
      </w:r>
      <w:r w:rsidR="00F80955" w:rsidRPr="00F05B90">
        <w:rPr>
          <w:lang w:val="en-GB"/>
        </w:rPr>
        <w:t>in external audit plan</w:t>
      </w:r>
      <w:r w:rsidRPr="00F05B90">
        <w:rPr>
          <w:lang w:val="en-GB"/>
        </w:rPr>
        <w:t>ning</w:t>
      </w:r>
      <w:r w:rsidR="000E53DC" w:rsidRPr="00F05B90">
        <w:rPr>
          <w:lang w:val="en-GB"/>
        </w:rPr>
        <w:t xml:space="preserve"> and pricing decisions</w:t>
      </w:r>
      <w:r w:rsidRPr="00F05B90">
        <w:rPr>
          <w:lang w:val="en-GB"/>
        </w:rPr>
        <w:t xml:space="preserve">, particularly in the context of </w:t>
      </w:r>
      <w:r w:rsidR="00F80955" w:rsidRPr="00F05B90">
        <w:rPr>
          <w:lang w:val="en-GB"/>
        </w:rPr>
        <w:t>UK international standards on auditing. Our findings enrich and complement the findings of Tan (202</w:t>
      </w:r>
      <w:r w:rsidR="00B527A4" w:rsidRPr="00F05B90">
        <w:rPr>
          <w:lang w:val="en-GB"/>
        </w:rPr>
        <w:t>1</w:t>
      </w:r>
      <w:r w:rsidR="00F80955" w:rsidRPr="00F05B90">
        <w:rPr>
          <w:lang w:val="en-GB"/>
        </w:rPr>
        <w:t>) by providing evidence of industry tournament incentives influenc</w:t>
      </w:r>
      <w:r w:rsidR="006E3026" w:rsidRPr="00F05B90">
        <w:rPr>
          <w:lang w:val="en-GB"/>
        </w:rPr>
        <w:t>ing</w:t>
      </w:r>
      <w:r w:rsidR="00F80955" w:rsidRPr="00F05B90">
        <w:rPr>
          <w:lang w:val="en-GB"/>
        </w:rPr>
        <w:t xml:space="preserve"> external auditors</w:t>
      </w:r>
      <w:r w:rsidR="00DB2F6A" w:rsidRPr="00F05B90">
        <w:rPr>
          <w:lang w:val="en-GB"/>
        </w:rPr>
        <w:t>’</w:t>
      </w:r>
      <w:r w:rsidR="00F80955" w:rsidRPr="00F05B90">
        <w:rPr>
          <w:lang w:val="en-GB"/>
        </w:rPr>
        <w:t xml:space="preserve"> </w:t>
      </w:r>
      <w:r w:rsidR="00B3493A" w:rsidRPr="00F05B90">
        <w:rPr>
          <w:lang w:val="en-GB"/>
        </w:rPr>
        <w:t>judgment</w:t>
      </w:r>
      <w:r w:rsidR="00F80955" w:rsidRPr="00F05B90">
        <w:rPr>
          <w:lang w:val="en-GB"/>
        </w:rPr>
        <w:t xml:space="preserve">. Further, our findings contribute to the </w:t>
      </w:r>
      <w:r w:rsidR="000E53DC" w:rsidRPr="00F05B90">
        <w:rPr>
          <w:lang w:val="en-GB"/>
        </w:rPr>
        <w:t xml:space="preserve">broader </w:t>
      </w:r>
      <w:r w:rsidR="00F80955" w:rsidRPr="00F05B90">
        <w:rPr>
          <w:lang w:val="en-GB"/>
        </w:rPr>
        <w:t>literature on audit plan</w:t>
      </w:r>
      <w:r w:rsidR="000E53DC" w:rsidRPr="00F05B90">
        <w:rPr>
          <w:lang w:val="en-GB"/>
        </w:rPr>
        <w:t>ning</w:t>
      </w:r>
      <w:r w:rsidR="00F80955" w:rsidRPr="00F05B90">
        <w:rPr>
          <w:lang w:val="en-GB"/>
        </w:rPr>
        <w:t xml:space="preserve">. </w:t>
      </w:r>
      <w:r w:rsidR="000E53DC" w:rsidRPr="00F05B90">
        <w:rPr>
          <w:lang w:val="en-GB"/>
        </w:rPr>
        <w:t>P</w:t>
      </w:r>
      <w:r w:rsidR="00F80955" w:rsidRPr="00F05B90">
        <w:rPr>
          <w:lang w:val="en-GB"/>
        </w:rPr>
        <w:t>ractical</w:t>
      </w:r>
      <w:r w:rsidR="000E53DC" w:rsidRPr="00F05B90">
        <w:rPr>
          <w:lang w:val="en-GB"/>
        </w:rPr>
        <w:t xml:space="preserve">ly, our results highlight important considerations </w:t>
      </w:r>
      <w:r w:rsidR="00F80955" w:rsidRPr="00F05B90">
        <w:rPr>
          <w:lang w:val="en-GB"/>
        </w:rPr>
        <w:t>for compensation committee</w:t>
      </w:r>
      <w:r w:rsidR="00071528" w:rsidRPr="00F05B90">
        <w:rPr>
          <w:lang w:val="en-GB"/>
        </w:rPr>
        <w:t>s</w:t>
      </w:r>
      <w:r w:rsidR="00F80955" w:rsidRPr="00F05B90">
        <w:rPr>
          <w:lang w:val="en-GB"/>
        </w:rPr>
        <w:t xml:space="preserve"> and boards of directors,</w:t>
      </w:r>
      <w:r w:rsidR="000E53DC" w:rsidRPr="00F05B90">
        <w:rPr>
          <w:lang w:val="en-GB"/>
        </w:rPr>
        <w:t xml:space="preserve"> emphasising </w:t>
      </w:r>
      <w:r w:rsidR="00F80955" w:rsidRPr="00F05B90">
        <w:rPr>
          <w:lang w:val="en-GB"/>
        </w:rPr>
        <w:t xml:space="preserve">the need to </w:t>
      </w:r>
      <w:r w:rsidR="000E53DC" w:rsidRPr="00F05B90">
        <w:rPr>
          <w:lang w:val="en-GB"/>
        </w:rPr>
        <w:t xml:space="preserve">manage </w:t>
      </w:r>
      <w:r w:rsidR="00F80955" w:rsidRPr="00F05B90">
        <w:rPr>
          <w:lang w:val="en-GB"/>
        </w:rPr>
        <w:t xml:space="preserve">potential agency </w:t>
      </w:r>
      <w:r w:rsidR="000E53DC" w:rsidRPr="00F05B90">
        <w:rPr>
          <w:lang w:val="en-GB"/>
        </w:rPr>
        <w:t xml:space="preserve">risks arising from </w:t>
      </w:r>
      <w:r w:rsidR="00F80955" w:rsidRPr="00F05B90">
        <w:rPr>
          <w:lang w:val="en-GB"/>
        </w:rPr>
        <w:t>tournament incentives</w:t>
      </w:r>
      <w:r w:rsidR="000E53DC" w:rsidRPr="00F05B90">
        <w:rPr>
          <w:lang w:val="en-GB"/>
        </w:rPr>
        <w:t>. Additionally, auditors should incorporate potential CEO tournament prizes into their risk assessment, as these incentives influence audit scope and effort, ultimately affecting audit fees</w:t>
      </w:r>
      <w:r w:rsidR="00F80955" w:rsidRPr="00F05B90">
        <w:rPr>
          <w:lang w:val="en-GB"/>
        </w:rPr>
        <w:t>.</w:t>
      </w:r>
      <w:r w:rsidR="003C7C74" w:rsidRPr="00F05B90">
        <w:rPr>
          <w:lang w:val="en-GB"/>
        </w:rPr>
        <w:t xml:space="preserve"> </w:t>
      </w:r>
    </w:p>
    <w:p w14:paraId="54292637" w14:textId="0EE23783" w:rsidR="00E345C6" w:rsidRPr="00F05B90" w:rsidRDefault="00F80955" w:rsidP="00BC326D">
      <w:pPr>
        <w:spacing w:before="240" w:after="240" w:line="360" w:lineRule="auto"/>
        <w:jc w:val="both"/>
        <w:rPr>
          <w:lang w:val="en-GB"/>
        </w:rPr>
      </w:pPr>
      <w:r w:rsidRPr="00F05B90">
        <w:rPr>
          <w:lang w:val="en-GB"/>
        </w:rPr>
        <w:t>Nevertheless, our study has several limitations. First, our emphasis is on industry tournament incentives, as they m</w:t>
      </w:r>
      <w:r w:rsidR="00071528" w:rsidRPr="00F05B90">
        <w:rPr>
          <w:lang w:val="en-GB"/>
        </w:rPr>
        <w:t>ay</w:t>
      </w:r>
      <w:r w:rsidRPr="00F05B90">
        <w:rPr>
          <w:lang w:val="en-GB"/>
        </w:rPr>
        <w:t xml:space="preserve"> be considered </w:t>
      </w:r>
      <w:r w:rsidR="00071528" w:rsidRPr="00F05B90">
        <w:rPr>
          <w:lang w:val="en-GB"/>
        </w:rPr>
        <w:t>an insightful</w:t>
      </w:r>
      <w:r w:rsidRPr="00F05B90">
        <w:rPr>
          <w:lang w:val="en-GB"/>
        </w:rPr>
        <w:t xml:space="preserve"> </w:t>
      </w:r>
      <w:r w:rsidR="00071528" w:rsidRPr="00F05B90">
        <w:rPr>
          <w:lang w:val="en-GB"/>
        </w:rPr>
        <w:t xml:space="preserve">indicator in </w:t>
      </w:r>
      <w:r w:rsidRPr="00F05B90">
        <w:rPr>
          <w:lang w:val="en-GB"/>
        </w:rPr>
        <w:t>manage</w:t>
      </w:r>
      <w:r w:rsidR="00071528" w:rsidRPr="00F05B90">
        <w:rPr>
          <w:lang w:val="en-GB"/>
        </w:rPr>
        <w:t xml:space="preserve">ment </w:t>
      </w:r>
      <w:r w:rsidRPr="00F05B90">
        <w:rPr>
          <w:lang w:val="en-GB"/>
        </w:rPr>
        <w:t>labour market</w:t>
      </w:r>
      <w:r w:rsidR="00071528" w:rsidRPr="00F05B90">
        <w:rPr>
          <w:lang w:val="en-GB"/>
        </w:rPr>
        <w:t xml:space="preserve"> competition</w:t>
      </w:r>
      <w:r w:rsidRPr="00F05B90">
        <w:rPr>
          <w:lang w:val="en-GB"/>
        </w:rPr>
        <w:t xml:space="preserve">. Yet, </w:t>
      </w:r>
      <w:r w:rsidR="00BC326D" w:rsidRPr="00F05B90">
        <w:rPr>
          <w:lang w:val="en-GB"/>
        </w:rPr>
        <w:t xml:space="preserve">the measurement of industry tournament incentives may not fully capture the competitive dynamics among CEOs and </w:t>
      </w:r>
      <w:r w:rsidRPr="00F05B90">
        <w:rPr>
          <w:lang w:val="en-GB"/>
        </w:rPr>
        <w:t>it is</w:t>
      </w:r>
      <w:r w:rsidR="00071528" w:rsidRPr="00F05B90">
        <w:rPr>
          <w:lang w:val="en-GB"/>
        </w:rPr>
        <w:t xml:space="preserve"> </w:t>
      </w:r>
      <w:r w:rsidR="00BC326D" w:rsidRPr="00F05B90">
        <w:rPr>
          <w:lang w:val="en-GB"/>
        </w:rPr>
        <w:t>unlikely to be the sole characteristic that influences external auditors</w:t>
      </w:r>
      <w:r w:rsidRPr="00F05B90">
        <w:rPr>
          <w:lang w:val="en-GB"/>
        </w:rPr>
        <w:t>. Future research c</w:t>
      </w:r>
      <w:r w:rsidR="00071528" w:rsidRPr="00F05B90">
        <w:rPr>
          <w:lang w:val="en-GB"/>
        </w:rPr>
        <w:t>ould</w:t>
      </w:r>
      <w:r w:rsidRPr="00F05B90">
        <w:rPr>
          <w:lang w:val="en-GB"/>
        </w:rPr>
        <w:t xml:space="preserve"> develop measures of other </w:t>
      </w:r>
      <w:r w:rsidR="00071528" w:rsidRPr="00F05B90">
        <w:rPr>
          <w:lang w:val="en-GB"/>
        </w:rPr>
        <w:t xml:space="preserve">prior experience or </w:t>
      </w:r>
      <w:r w:rsidRPr="00F05B90">
        <w:rPr>
          <w:lang w:val="en-GB"/>
        </w:rPr>
        <w:t xml:space="preserve">characteristics </w:t>
      </w:r>
      <w:r w:rsidR="00071528" w:rsidRPr="00F05B90">
        <w:rPr>
          <w:lang w:val="en-GB"/>
        </w:rPr>
        <w:t>relevant to</w:t>
      </w:r>
      <w:r w:rsidRPr="00F05B90">
        <w:rPr>
          <w:lang w:val="en-GB"/>
        </w:rPr>
        <w:t xml:space="preserve"> </w:t>
      </w:r>
      <w:r w:rsidR="00071528" w:rsidRPr="00F05B90">
        <w:rPr>
          <w:lang w:val="en-GB"/>
        </w:rPr>
        <w:t xml:space="preserve">labour </w:t>
      </w:r>
      <w:r w:rsidRPr="00F05B90">
        <w:rPr>
          <w:lang w:val="en-GB"/>
        </w:rPr>
        <w:t>market competition</w:t>
      </w:r>
      <w:r w:rsidR="00071528" w:rsidRPr="00F05B90">
        <w:rPr>
          <w:lang w:val="en-GB"/>
        </w:rPr>
        <w:t xml:space="preserve"> </w:t>
      </w:r>
      <w:r w:rsidRPr="00F05B90">
        <w:rPr>
          <w:lang w:val="en-GB"/>
        </w:rPr>
        <w:t>that can influence external audit plan</w:t>
      </w:r>
      <w:r w:rsidR="00071528" w:rsidRPr="00F05B90">
        <w:rPr>
          <w:lang w:val="en-GB"/>
        </w:rPr>
        <w:t>ning</w:t>
      </w:r>
      <w:r w:rsidRPr="00F05B90">
        <w:rPr>
          <w:lang w:val="en-GB"/>
        </w:rPr>
        <w:t xml:space="preserve"> </w:t>
      </w:r>
      <w:r w:rsidRPr="00F05B90">
        <w:rPr>
          <w:lang w:val="en-GB"/>
        </w:rPr>
        <w:lastRenderedPageBreak/>
        <w:t xml:space="preserve">and </w:t>
      </w:r>
      <w:r w:rsidR="00071528" w:rsidRPr="00F05B90">
        <w:rPr>
          <w:lang w:val="en-GB"/>
        </w:rPr>
        <w:t xml:space="preserve">professional </w:t>
      </w:r>
      <w:r w:rsidR="00B3493A" w:rsidRPr="00F05B90">
        <w:rPr>
          <w:lang w:val="en-GB"/>
        </w:rPr>
        <w:t>judgment</w:t>
      </w:r>
      <w:r w:rsidRPr="00F05B90">
        <w:rPr>
          <w:lang w:val="en-GB"/>
        </w:rPr>
        <w:t xml:space="preserve">. Second, </w:t>
      </w:r>
      <w:r w:rsidR="007D3F32" w:rsidRPr="00F05B90">
        <w:t xml:space="preserve">while we have taken steps to mitigate endogeneity, we cannot entirely rule out the possibility that some endogeneity concerns remain. Finally, </w:t>
      </w:r>
      <w:r w:rsidRPr="00F05B90">
        <w:rPr>
          <w:lang w:val="en-GB"/>
        </w:rPr>
        <w:t>our study</w:t>
      </w:r>
      <w:r w:rsidR="00071528" w:rsidRPr="00F05B90">
        <w:rPr>
          <w:lang w:val="en-GB"/>
        </w:rPr>
        <w:t>’</w:t>
      </w:r>
      <w:r w:rsidRPr="00F05B90">
        <w:rPr>
          <w:lang w:val="en-GB"/>
        </w:rPr>
        <w:t xml:space="preserve">s sample is </w:t>
      </w:r>
      <w:r w:rsidR="00071528" w:rsidRPr="00F05B90">
        <w:rPr>
          <w:lang w:val="en-GB"/>
        </w:rPr>
        <w:t xml:space="preserve">only </w:t>
      </w:r>
      <w:r w:rsidRPr="00F05B90">
        <w:rPr>
          <w:lang w:val="en-GB"/>
        </w:rPr>
        <w:t xml:space="preserve">based on </w:t>
      </w:r>
      <w:r w:rsidR="00E345C6" w:rsidRPr="00F05B90">
        <w:rPr>
          <w:lang w:val="en-GB"/>
        </w:rPr>
        <w:t>UK</w:t>
      </w:r>
      <w:r w:rsidRPr="00F05B90">
        <w:rPr>
          <w:lang w:val="en-GB"/>
        </w:rPr>
        <w:t xml:space="preserve"> companies </w:t>
      </w:r>
      <w:r w:rsidR="00E345C6" w:rsidRPr="00F05B90">
        <w:rPr>
          <w:lang w:val="en-GB"/>
        </w:rPr>
        <w:t xml:space="preserve">and therefore </w:t>
      </w:r>
      <w:r w:rsidR="00E345C6" w:rsidRPr="00F05B90">
        <w:t xml:space="preserve">the UK’s stringent corporate governance and disclosure framework may influence the observed relationships in our study. As such, this could limit the generalisability of our findings to jurisdictions with weaker governance structures or different regulatory environments. Future research could extend this analysis to other countries with varying levels of governance quality </w:t>
      </w:r>
      <w:r w:rsidR="00E345C6" w:rsidRPr="00F05B90">
        <w:rPr>
          <w:lang w:val="en-GB"/>
        </w:rPr>
        <w:t xml:space="preserve">or expanding to a global context, and thereby enjoy greater generalizability. </w:t>
      </w:r>
    </w:p>
    <w:bookmarkEnd w:id="30"/>
    <w:p w14:paraId="0E5713FE" w14:textId="217049F8" w:rsidR="00E45A68" w:rsidRPr="00F05B90" w:rsidRDefault="00E45A68" w:rsidP="00E345C6">
      <w:pPr>
        <w:spacing w:before="240" w:after="240" w:line="360" w:lineRule="auto"/>
        <w:jc w:val="both"/>
        <w:rPr>
          <w:rFonts w:eastAsiaTheme="majorEastAsia"/>
          <w:b/>
          <w:lang w:val="en-GB"/>
        </w:rPr>
      </w:pPr>
      <w:r w:rsidRPr="00F05B90">
        <w:rPr>
          <w:lang w:val="en-GB"/>
        </w:rPr>
        <w:br w:type="page"/>
      </w:r>
    </w:p>
    <w:p w14:paraId="7BD04510" w14:textId="77777777" w:rsidR="007D3408" w:rsidRPr="00F05B90" w:rsidRDefault="007D3408" w:rsidP="00A0667E">
      <w:pPr>
        <w:pStyle w:val="Heading1"/>
        <w:numPr>
          <w:ilvl w:val="0"/>
          <w:numId w:val="0"/>
        </w:numPr>
        <w:jc w:val="both"/>
        <w:rPr>
          <w:rFonts w:ascii="Times New Roman" w:hAnsi="Times New Roman" w:cs="Times New Roman"/>
          <w:color w:val="auto"/>
          <w:szCs w:val="24"/>
          <w:lang w:val="en-GB"/>
        </w:rPr>
      </w:pPr>
      <w:r w:rsidRPr="00F05B90">
        <w:rPr>
          <w:rFonts w:ascii="Times New Roman" w:hAnsi="Times New Roman" w:cs="Times New Roman"/>
          <w:color w:val="auto"/>
          <w:szCs w:val="24"/>
          <w:lang w:val="en-GB"/>
        </w:rPr>
        <w:lastRenderedPageBreak/>
        <w:t>References</w:t>
      </w:r>
    </w:p>
    <w:p w14:paraId="4AE0696E" w14:textId="77777777" w:rsidR="007363EC" w:rsidRPr="00F05B90" w:rsidRDefault="007363EC" w:rsidP="00E45A68">
      <w:pPr>
        <w:pStyle w:val="NormalWeb"/>
        <w:spacing w:before="0" w:beforeAutospacing="0" w:after="0" w:afterAutospacing="0"/>
        <w:ind w:left="426" w:hanging="426"/>
        <w:jc w:val="both"/>
        <w:rPr>
          <w:lang w:val="en-GB"/>
        </w:rPr>
      </w:pPr>
      <w:r w:rsidRPr="00F05B90">
        <w:rPr>
          <w:lang w:val="en-GB"/>
        </w:rPr>
        <w:t>Abdoh, H. (2022). Industry tournament incentives and differential risk taking. </w:t>
      </w:r>
      <w:r w:rsidRPr="00F05B90">
        <w:rPr>
          <w:i/>
          <w:iCs/>
          <w:lang w:val="en-GB"/>
        </w:rPr>
        <w:t>Review of Financial Economics</w:t>
      </w:r>
      <w:r w:rsidRPr="00F05B90">
        <w:rPr>
          <w:lang w:val="en-GB"/>
        </w:rPr>
        <w:t>, </w:t>
      </w:r>
      <w:r w:rsidRPr="00F05B90">
        <w:rPr>
          <w:i/>
          <w:iCs/>
          <w:lang w:val="en-GB"/>
        </w:rPr>
        <w:t xml:space="preserve">Aug2022, </w:t>
      </w:r>
      <w:r w:rsidRPr="00F05B90">
        <w:rPr>
          <w:lang w:val="en-GB"/>
        </w:rPr>
        <w:t>P1.</w:t>
      </w:r>
    </w:p>
    <w:p w14:paraId="1E3985BE" w14:textId="77777777" w:rsidR="007363EC" w:rsidRPr="00F05B90" w:rsidRDefault="007363EC"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Ali, A., &amp; Zhang, W. (2015). CEO tenure and earnings management. </w:t>
      </w:r>
      <w:r w:rsidRPr="00F05B90">
        <w:rPr>
          <w:i/>
          <w:iCs/>
          <w:shd w:val="clear" w:color="auto" w:fill="FFFFFF"/>
          <w:lang w:val="en-GB"/>
        </w:rPr>
        <w:t>Journal of Accounting and Economics</w:t>
      </w:r>
      <w:r w:rsidRPr="00F05B90">
        <w:rPr>
          <w:shd w:val="clear" w:color="auto" w:fill="FFFFFF"/>
          <w:lang w:val="en-GB"/>
        </w:rPr>
        <w:t>, </w:t>
      </w:r>
      <w:r w:rsidRPr="00F05B90">
        <w:rPr>
          <w:i/>
          <w:iCs/>
          <w:shd w:val="clear" w:color="auto" w:fill="FFFFFF"/>
          <w:lang w:val="en-GB"/>
        </w:rPr>
        <w:t>59</w:t>
      </w:r>
      <w:r w:rsidRPr="00F05B90">
        <w:rPr>
          <w:shd w:val="clear" w:color="auto" w:fill="FFFFFF"/>
          <w:lang w:val="en-GB"/>
        </w:rPr>
        <w:t>(1), 60-79.</w:t>
      </w:r>
    </w:p>
    <w:p w14:paraId="1FCC8944" w14:textId="77777777" w:rsidR="007363EC" w:rsidRPr="00F05B90" w:rsidRDefault="007363EC" w:rsidP="00E45A68">
      <w:pPr>
        <w:pStyle w:val="NormalWeb"/>
        <w:spacing w:before="0" w:beforeAutospacing="0" w:after="0" w:afterAutospacing="0"/>
        <w:ind w:left="426" w:hanging="426"/>
        <w:jc w:val="both"/>
        <w:rPr>
          <w:lang w:val="en-GB"/>
        </w:rPr>
      </w:pPr>
      <w:r w:rsidRPr="00F05B90">
        <w:t xml:space="preserve">Al-mulla, M., &amp; Bradbury, M. E. (2022). Auditor, client and investor consequences of the enhanced auditor's report. </w:t>
      </w:r>
      <w:r w:rsidRPr="00F05B90">
        <w:rPr>
          <w:i/>
        </w:rPr>
        <w:t>International Journal of Auditing</w:t>
      </w:r>
      <w:r w:rsidRPr="00F05B90">
        <w:t>,</w:t>
      </w:r>
      <w:r w:rsidRPr="00F05B90">
        <w:rPr>
          <w:i/>
        </w:rPr>
        <w:t xml:space="preserve"> 26</w:t>
      </w:r>
      <w:r w:rsidRPr="00F05B90">
        <w:t xml:space="preserve">(2), 134-150. https://doi.org/https://doi.org/10.1111/ijau.12255 </w:t>
      </w:r>
    </w:p>
    <w:p w14:paraId="04BAB4DF" w14:textId="77777777" w:rsidR="007363EC" w:rsidRPr="00F05B90" w:rsidRDefault="007363EC" w:rsidP="00E45A68">
      <w:pPr>
        <w:pStyle w:val="NormalWeb"/>
        <w:spacing w:before="0" w:beforeAutospacing="0" w:after="0" w:afterAutospacing="0"/>
        <w:ind w:left="426" w:hanging="426"/>
        <w:jc w:val="both"/>
        <w:rPr>
          <w:lang w:val="en-GB"/>
        </w:rPr>
      </w:pPr>
      <w:r w:rsidRPr="00F05B90">
        <w:rPr>
          <w:lang w:val="en-GB"/>
        </w:rPr>
        <w:t xml:space="preserve">Arens, A. A., Elder, R. J., Beasley, M. S., &amp; Hogan, C. (2017). </w:t>
      </w:r>
      <w:r w:rsidRPr="00F05B90">
        <w:rPr>
          <w:i/>
          <w:iCs/>
          <w:lang w:val="en-GB"/>
        </w:rPr>
        <w:t>Auditing and Assurance Services, An Integrated Approach</w:t>
      </w:r>
      <w:r w:rsidRPr="00F05B90">
        <w:rPr>
          <w:lang w:val="en-GB"/>
        </w:rPr>
        <w:t>. 16</w:t>
      </w:r>
      <w:r w:rsidRPr="00F05B90">
        <w:rPr>
          <w:vertAlign w:val="superscript"/>
          <w:lang w:val="en-GB"/>
        </w:rPr>
        <w:t>th</w:t>
      </w:r>
      <w:r w:rsidRPr="00F05B90">
        <w:rPr>
          <w:lang w:val="en-GB"/>
        </w:rPr>
        <w:t xml:space="preserve"> Edition. Pearson.</w:t>
      </w:r>
    </w:p>
    <w:p w14:paraId="6F894ADB" w14:textId="7F942509"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Armstrong, C. S., Blouin, J. L., &amp; Larcker, D. F. (2012). The incentives for tax planning. </w:t>
      </w:r>
      <w:r w:rsidRPr="00F05B90">
        <w:rPr>
          <w:i/>
          <w:iCs/>
          <w:shd w:val="clear" w:color="auto" w:fill="FFFFFF"/>
          <w:lang w:val="en-GB"/>
        </w:rPr>
        <w:t xml:space="preserve">Journal of </w:t>
      </w:r>
      <w:r w:rsidR="00E5162E" w:rsidRPr="00F05B90">
        <w:rPr>
          <w:i/>
          <w:iCs/>
          <w:shd w:val="clear" w:color="auto" w:fill="FFFFFF"/>
          <w:lang w:val="en-GB"/>
        </w:rPr>
        <w:t>Accounting and Economics</w:t>
      </w:r>
      <w:r w:rsidRPr="00F05B90">
        <w:rPr>
          <w:shd w:val="clear" w:color="auto" w:fill="FFFFFF"/>
          <w:lang w:val="en-GB"/>
        </w:rPr>
        <w:t>, </w:t>
      </w:r>
      <w:r w:rsidRPr="00F05B90">
        <w:rPr>
          <w:i/>
          <w:iCs/>
          <w:shd w:val="clear" w:color="auto" w:fill="FFFFFF"/>
          <w:lang w:val="en-GB"/>
        </w:rPr>
        <w:t>53</w:t>
      </w:r>
      <w:r w:rsidRPr="00F05B90">
        <w:rPr>
          <w:shd w:val="clear" w:color="auto" w:fill="FFFFFF"/>
          <w:lang w:val="en-GB"/>
        </w:rPr>
        <w:t>(1-2), 391-411.</w:t>
      </w:r>
    </w:p>
    <w:p w14:paraId="0109B796"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Armstrong, C. S., Larcker, D. F., Ormazabal, G., &amp; Taylor, D. J. (2013). The relation between equity incentives and misreporting: The role of risk-taking incentives. </w:t>
      </w:r>
      <w:r w:rsidRPr="00F05B90">
        <w:rPr>
          <w:i/>
          <w:iCs/>
          <w:lang w:val="en-GB"/>
        </w:rPr>
        <w:t>Journal of Financial Economics, 109</w:t>
      </w:r>
      <w:r w:rsidRPr="00F05B90">
        <w:rPr>
          <w:lang w:val="en-GB"/>
        </w:rPr>
        <w:t>(2), 327-350.</w:t>
      </w:r>
    </w:p>
    <w:p w14:paraId="6CD4AB10" w14:textId="5D3DF969"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Ashton, R. H., Graul, P. R., &amp; Newton, J. D. (1989). Audit delay and the timeliness of corporate reporting. </w:t>
      </w:r>
      <w:r w:rsidRPr="00F05B90">
        <w:rPr>
          <w:i/>
          <w:iCs/>
          <w:shd w:val="clear" w:color="auto" w:fill="FFFFFF"/>
          <w:lang w:val="en-GB"/>
        </w:rPr>
        <w:t xml:space="preserve">Contemporary </w:t>
      </w:r>
      <w:r w:rsidR="005F66A0" w:rsidRPr="00F05B90">
        <w:rPr>
          <w:i/>
          <w:iCs/>
          <w:shd w:val="clear" w:color="auto" w:fill="FFFFFF"/>
          <w:lang w:val="en-GB"/>
        </w:rPr>
        <w:t>Accounting Research</w:t>
      </w:r>
      <w:r w:rsidRPr="00F05B90">
        <w:rPr>
          <w:shd w:val="clear" w:color="auto" w:fill="FFFFFF"/>
          <w:lang w:val="en-GB"/>
        </w:rPr>
        <w:t>, </w:t>
      </w:r>
      <w:r w:rsidRPr="00F05B90">
        <w:rPr>
          <w:i/>
          <w:iCs/>
          <w:shd w:val="clear" w:color="auto" w:fill="FFFFFF"/>
          <w:lang w:val="en-GB"/>
        </w:rPr>
        <w:t>5</w:t>
      </w:r>
      <w:r w:rsidRPr="00F05B90">
        <w:rPr>
          <w:shd w:val="clear" w:color="auto" w:fill="FFFFFF"/>
          <w:lang w:val="en-GB"/>
        </w:rPr>
        <w:t>(2), 657-673.</w:t>
      </w:r>
    </w:p>
    <w:p w14:paraId="35B38026" w14:textId="6F66D3C8"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Ashton, R. H., Willingham, J. J., &amp; Elliott, R. K. (1987). An empirical analysis of audit delay. </w:t>
      </w:r>
      <w:r w:rsidRPr="00F05B90">
        <w:rPr>
          <w:i/>
          <w:iCs/>
          <w:shd w:val="clear" w:color="auto" w:fill="FFFFFF"/>
          <w:lang w:val="en-GB"/>
        </w:rPr>
        <w:t xml:space="preserve">Journal of </w:t>
      </w:r>
      <w:r w:rsidR="005F66A0" w:rsidRPr="00F05B90">
        <w:rPr>
          <w:i/>
          <w:iCs/>
          <w:shd w:val="clear" w:color="auto" w:fill="FFFFFF"/>
          <w:lang w:val="en-GB"/>
        </w:rPr>
        <w:t>Accounting Research</w:t>
      </w:r>
      <w:r w:rsidRPr="00F05B90">
        <w:rPr>
          <w:shd w:val="clear" w:color="auto" w:fill="FFFFFF"/>
          <w:lang w:val="en-GB"/>
        </w:rPr>
        <w:t>, 275-292.</w:t>
      </w:r>
    </w:p>
    <w:p w14:paraId="4247F012" w14:textId="385AFC9E"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 xml:space="preserve">Audsabumrungrat, J., Pornupatham, S., &amp; Tan, H. T. (2016). </w:t>
      </w:r>
      <w:r w:rsidR="005F66A0" w:rsidRPr="00F05B90">
        <w:rPr>
          <w:shd w:val="clear" w:color="auto" w:fill="FFFFFF"/>
          <w:lang w:val="en-GB"/>
        </w:rPr>
        <w:t>Joint impact of materiality guidance and justification requirement on auditors’ planning ma</w:t>
      </w:r>
      <w:r w:rsidRPr="00F05B90">
        <w:rPr>
          <w:shd w:val="clear" w:color="auto" w:fill="FFFFFF"/>
          <w:lang w:val="en-GB"/>
        </w:rPr>
        <w:t>teriality. </w:t>
      </w:r>
      <w:r w:rsidRPr="00F05B90">
        <w:rPr>
          <w:i/>
          <w:iCs/>
          <w:shd w:val="clear" w:color="auto" w:fill="FFFFFF"/>
          <w:lang w:val="en-GB"/>
        </w:rPr>
        <w:t>Behavioral Research in Accounting</w:t>
      </w:r>
      <w:r w:rsidRPr="00F05B90">
        <w:rPr>
          <w:shd w:val="clear" w:color="auto" w:fill="FFFFFF"/>
          <w:lang w:val="en-GB"/>
        </w:rPr>
        <w:t>, </w:t>
      </w:r>
      <w:r w:rsidRPr="00F05B90">
        <w:rPr>
          <w:i/>
          <w:iCs/>
          <w:shd w:val="clear" w:color="auto" w:fill="FFFFFF"/>
          <w:lang w:val="en-GB"/>
        </w:rPr>
        <w:t>28</w:t>
      </w:r>
      <w:r w:rsidRPr="00F05B90">
        <w:rPr>
          <w:shd w:val="clear" w:color="auto" w:fill="FFFFFF"/>
          <w:lang w:val="en-GB"/>
        </w:rPr>
        <w:t>(2), 17-27.</w:t>
      </w:r>
    </w:p>
    <w:p w14:paraId="5CD1BA34" w14:textId="1599F99D" w:rsidR="007D3408" w:rsidRPr="00F05B90" w:rsidRDefault="007D3408" w:rsidP="00E45A68">
      <w:pPr>
        <w:pStyle w:val="NormalWeb"/>
        <w:spacing w:before="0" w:beforeAutospacing="0" w:after="0" w:afterAutospacing="0"/>
        <w:ind w:left="426" w:hanging="426"/>
        <w:jc w:val="both"/>
        <w:rPr>
          <w:lang w:val="en-GB"/>
        </w:rPr>
      </w:pPr>
      <w:r w:rsidRPr="00F05B90">
        <w:rPr>
          <w:lang w:val="en-GB"/>
        </w:rPr>
        <w:t>Badolato, P.</w:t>
      </w:r>
      <w:r w:rsidR="00E5162E" w:rsidRPr="00F05B90">
        <w:rPr>
          <w:lang w:val="en-GB"/>
        </w:rPr>
        <w:t xml:space="preserve"> </w:t>
      </w:r>
      <w:r w:rsidRPr="00F05B90">
        <w:rPr>
          <w:lang w:val="en-GB"/>
        </w:rPr>
        <w:t>G., Donelson, D.</w:t>
      </w:r>
      <w:r w:rsidR="00E5162E" w:rsidRPr="00F05B90">
        <w:rPr>
          <w:lang w:val="en-GB"/>
        </w:rPr>
        <w:t xml:space="preserve"> </w:t>
      </w:r>
      <w:r w:rsidRPr="00F05B90">
        <w:rPr>
          <w:lang w:val="en-GB"/>
        </w:rPr>
        <w:t xml:space="preserve">C., &amp; Ege, M. (2014). Audit committee financial expertise and earnings management: The role of status. </w:t>
      </w:r>
      <w:r w:rsidRPr="00F05B90">
        <w:rPr>
          <w:i/>
          <w:iCs/>
          <w:lang w:val="en-GB"/>
        </w:rPr>
        <w:t>Journal of Accounting and Economics, 58</w:t>
      </w:r>
      <w:r w:rsidRPr="00F05B90">
        <w:rPr>
          <w:lang w:val="en-GB"/>
        </w:rPr>
        <w:t>, 208-230.</w:t>
      </w:r>
    </w:p>
    <w:p w14:paraId="74E14AA8" w14:textId="4F09C910"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Ball, R., Kothari, S. P., &amp; Robin, A. (2000). The effect of international institutional factors on properties of accounting earnings. </w:t>
      </w:r>
      <w:r w:rsidRPr="00F05B90">
        <w:rPr>
          <w:i/>
          <w:iCs/>
          <w:shd w:val="clear" w:color="auto" w:fill="FFFFFF"/>
          <w:lang w:val="en-GB"/>
        </w:rPr>
        <w:t xml:space="preserve">Journal of </w:t>
      </w:r>
      <w:r w:rsidR="005F66A0" w:rsidRPr="00F05B90">
        <w:rPr>
          <w:i/>
          <w:iCs/>
          <w:shd w:val="clear" w:color="auto" w:fill="FFFFFF"/>
          <w:lang w:val="en-GB"/>
        </w:rPr>
        <w:t xml:space="preserve">Accounting </w:t>
      </w:r>
      <w:r w:rsidR="00AC66CD" w:rsidRPr="00F05B90">
        <w:rPr>
          <w:i/>
          <w:iCs/>
          <w:shd w:val="clear" w:color="auto" w:fill="FFFFFF"/>
          <w:lang w:val="en-GB"/>
        </w:rPr>
        <w:t>and</w:t>
      </w:r>
      <w:r w:rsidR="005F66A0" w:rsidRPr="00F05B90">
        <w:rPr>
          <w:i/>
          <w:iCs/>
          <w:shd w:val="clear" w:color="auto" w:fill="FFFFFF"/>
          <w:lang w:val="en-GB"/>
        </w:rPr>
        <w:t xml:space="preserve"> Economics</w:t>
      </w:r>
      <w:r w:rsidRPr="00F05B90">
        <w:rPr>
          <w:shd w:val="clear" w:color="auto" w:fill="FFFFFF"/>
          <w:lang w:val="en-GB"/>
        </w:rPr>
        <w:t>, </w:t>
      </w:r>
      <w:r w:rsidRPr="00F05B90">
        <w:rPr>
          <w:i/>
          <w:iCs/>
          <w:shd w:val="clear" w:color="auto" w:fill="FFFFFF"/>
          <w:lang w:val="en-GB"/>
        </w:rPr>
        <w:t>29</w:t>
      </w:r>
      <w:r w:rsidRPr="00F05B90">
        <w:rPr>
          <w:shd w:val="clear" w:color="auto" w:fill="FFFFFF"/>
          <w:lang w:val="en-GB"/>
        </w:rPr>
        <w:t>(1), 1-51.</w:t>
      </w:r>
    </w:p>
    <w:p w14:paraId="4C2B10C2" w14:textId="64A8054A" w:rsidR="00CA1D69" w:rsidRPr="00F05B90" w:rsidRDefault="00CA1D69"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Bepari, M. K., Mollik, A. T., Nahar, S., &amp; Islam, M. N. (2022). Determinants of Accounts Level and Entity Level Key Audit Matters: Further Evidence. Accounting in Europe, 19(3), 397-422. https://doi.org/10.1080/17449480.2022.2060753</w:t>
      </w:r>
    </w:p>
    <w:p w14:paraId="71BF9B9D" w14:textId="28E3F49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Bergstresser, D., &amp; Philippon, T. (2006). CEO incentives and earnings management. </w:t>
      </w:r>
      <w:r w:rsidRPr="00F05B90">
        <w:rPr>
          <w:i/>
          <w:iCs/>
          <w:shd w:val="clear" w:color="auto" w:fill="FFFFFF"/>
          <w:lang w:val="en-GB"/>
        </w:rPr>
        <w:t xml:space="preserve">Journal of </w:t>
      </w:r>
      <w:r w:rsidR="005F66A0" w:rsidRPr="00F05B90">
        <w:rPr>
          <w:i/>
          <w:iCs/>
          <w:shd w:val="clear" w:color="auto" w:fill="FFFFFF"/>
          <w:lang w:val="en-GB"/>
        </w:rPr>
        <w:t>Financial Economics</w:t>
      </w:r>
      <w:r w:rsidRPr="00F05B90">
        <w:rPr>
          <w:shd w:val="clear" w:color="auto" w:fill="FFFFFF"/>
          <w:lang w:val="en-GB"/>
        </w:rPr>
        <w:t>, </w:t>
      </w:r>
      <w:r w:rsidRPr="00F05B90">
        <w:rPr>
          <w:i/>
          <w:iCs/>
          <w:shd w:val="clear" w:color="auto" w:fill="FFFFFF"/>
          <w:lang w:val="en-GB"/>
        </w:rPr>
        <w:t>80</w:t>
      </w:r>
      <w:r w:rsidRPr="00F05B90">
        <w:rPr>
          <w:shd w:val="clear" w:color="auto" w:fill="FFFFFF"/>
          <w:lang w:val="en-GB"/>
        </w:rPr>
        <w:t>(3), 511-529.</w:t>
      </w:r>
    </w:p>
    <w:p w14:paraId="49371999"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Billings, B. A., Gao, X., &amp; Jia, Y. (2014). CEO and CFO equity incentives and the pricing of audit services. </w:t>
      </w:r>
      <w:r w:rsidRPr="00F05B90">
        <w:rPr>
          <w:i/>
          <w:iCs/>
          <w:lang w:val="en-GB"/>
        </w:rPr>
        <w:t>Auditing: A Journal of Practice &amp; Theory, 33</w:t>
      </w:r>
      <w:r w:rsidRPr="00F05B90">
        <w:rPr>
          <w:lang w:val="en-GB"/>
        </w:rPr>
        <w:t>(2), 1-25.</w:t>
      </w:r>
    </w:p>
    <w:p w14:paraId="61DDD168" w14:textId="708B1E71"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Bloom M. 1999. The performance effects of pay dispersion on individuals and organizations. </w:t>
      </w:r>
      <w:r w:rsidRPr="00F05B90">
        <w:rPr>
          <w:i/>
          <w:iCs/>
          <w:lang w:val="en-GB"/>
        </w:rPr>
        <w:t>Academy of Management Journal 42</w:t>
      </w:r>
      <w:r w:rsidR="005F66A0" w:rsidRPr="00F05B90">
        <w:rPr>
          <w:lang w:val="en-GB"/>
        </w:rPr>
        <w:t>,</w:t>
      </w:r>
      <w:r w:rsidRPr="00F05B90">
        <w:rPr>
          <w:lang w:val="en-GB"/>
        </w:rPr>
        <w:t xml:space="preserve"> 25</w:t>
      </w:r>
      <w:r w:rsidR="005F66A0" w:rsidRPr="00F05B90">
        <w:rPr>
          <w:lang w:val="en-GB"/>
        </w:rPr>
        <w:t>-</w:t>
      </w:r>
      <w:r w:rsidRPr="00F05B90">
        <w:rPr>
          <w:lang w:val="en-GB"/>
        </w:rPr>
        <w:t>40.</w:t>
      </w:r>
    </w:p>
    <w:p w14:paraId="15B75FEC" w14:textId="241BD64E"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Bryan, D. B., &amp; Mason, T. W. (2017). Executive tournament incentives and audit fees. </w:t>
      </w:r>
      <w:r w:rsidRPr="00F05B90">
        <w:rPr>
          <w:i/>
          <w:iCs/>
          <w:lang w:val="en-GB"/>
        </w:rPr>
        <w:t xml:space="preserve">Advances in </w:t>
      </w:r>
      <w:r w:rsidR="005F66A0" w:rsidRPr="00F05B90">
        <w:rPr>
          <w:i/>
          <w:iCs/>
          <w:lang w:val="en-GB"/>
        </w:rPr>
        <w:t>A</w:t>
      </w:r>
      <w:r w:rsidRPr="00F05B90">
        <w:rPr>
          <w:i/>
          <w:iCs/>
          <w:lang w:val="en-GB"/>
        </w:rPr>
        <w:t>ccounting, 37</w:t>
      </w:r>
      <w:r w:rsidRPr="00F05B90">
        <w:rPr>
          <w:lang w:val="en-GB"/>
        </w:rPr>
        <w:t>, 30-45.</w:t>
      </w:r>
    </w:p>
    <w:p w14:paraId="36E78BBE" w14:textId="747B328F"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Burns, N., &amp; Kedia, S. (2006). The impact of performance-based compensation on misreporting. </w:t>
      </w:r>
      <w:r w:rsidRPr="00F05B90">
        <w:rPr>
          <w:i/>
          <w:iCs/>
          <w:shd w:val="clear" w:color="auto" w:fill="FFFFFF"/>
          <w:lang w:val="en-GB"/>
        </w:rPr>
        <w:t xml:space="preserve">Journal of </w:t>
      </w:r>
      <w:r w:rsidR="005F66A0" w:rsidRPr="00F05B90">
        <w:rPr>
          <w:i/>
          <w:iCs/>
          <w:shd w:val="clear" w:color="auto" w:fill="FFFFFF"/>
          <w:lang w:val="en-GB"/>
        </w:rPr>
        <w:t>Financial Economics</w:t>
      </w:r>
      <w:r w:rsidRPr="00F05B90">
        <w:rPr>
          <w:shd w:val="clear" w:color="auto" w:fill="FFFFFF"/>
          <w:lang w:val="en-GB"/>
        </w:rPr>
        <w:t>, </w:t>
      </w:r>
      <w:r w:rsidRPr="00F05B90">
        <w:rPr>
          <w:i/>
          <w:iCs/>
          <w:shd w:val="clear" w:color="auto" w:fill="FFFFFF"/>
          <w:lang w:val="en-GB"/>
        </w:rPr>
        <w:t>79</w:t>
      </w:r>
      <w:r w:rsidRPr="00F05B90">
        <w:rPr>
          <w:shd w:val="clear" w:color="auto" w:fill="FFFFFF"/>
          <w:lang w:val="en-GB"/>
        </w:rPr>
        <w:t>(1), 35-67.</w:t>
      </w:r>
    </w:p>
    <w:p w14:paraId="03D8A017" w14:textId="77777777" w:rsidR="002F0298" w:rsidRPr="00F05B90" w:rsidRDefault="002F0298" w:rsidP="00E45A68">
      <w:pPr>
        <w:pStyle w:val="NormalWeb"/>
        <w:spacing w:before="0" w:beforeAutospacing="0" w:after="0" w:afterAutospacing="0"/>
        <w:ind w:left="426" w:hanging="426"/>
        <w:jc w:val="both"/>
        <w:rPr>
          <w:lang w:val="en-GB"/>
        </w:rPr>
      </w:pPr>
      <w:r w:rsidRPr="00F05B90">
        <w:rPr>
          <w:lang w:val="en-GB"/>
        </w:rPr>
        <w:t xml:space="preserve">Camacho-Miñano, M.-d.-M., Muñoz-Izquierdo, N., Pincus, M., &amp; Wellmeyer, P. (2024). Are key audit matter disclosures useful in assessing the financial distress level of a client firm? </w:t>
      </w:r>
      <w:r w:rsidRPr="00F05B90">
        <w:rPr>
          <w:i/>
          <w:iCs/>
          <w:lang w:val="en-GB"/>
        </w:rPr>
        <w:t>The British Accounting Review</w:t>
      </w:r>
      <w:r w:rsidRPr="00F05B90">
        <w:rPr>
          <w:lang w:val="en-GB"/>
        </w:rPr>
        <w:t>,</w:t>
      </w:r>
      <w:r w:rsidRPr="00F05B90">
        <w:rPr>
          <w:i/>
          <w:iCs/>
          <w:lang w:val="en-GB"/>
        </w:rPr>
        <w:t xml:space="preserve"> 56</w:t>
      </w:r>
      <w:r w:rsidRPr="00F05B90">
        <w:rPr>
          <w:lang w:val="en-GB"/>
        </w:rPr>
        <w:t xml:space="preserve">(2), 101200. https://doi.org/https://doi.org/10.1016/j.bar.2023.101200 </w:t>
      </w:r>
    </w:p>
    <w:p w14:paraId="3E5D8577" w14:textId="5DB51C13" w:rsidR="00EA3718" w:rsidRPr="00F05B90" w:rsidRDefault="007D3408" w:rsidP="00E45A68">
      <w:pPr>
        <w:pStyle w:val="NormalWeb"/>
        <w:spacing w:before="0" w:beforeAutospacing="0" w:after="0" w:afterAutospacing="0"/>
        <w:ind w:left="426" w:hanging="426"/>
        <w:jc w:val="both"/>
        <w:rPr>
          <w:lang w:val="en-GB"/>
        </w:rPr>
      </w:pPr>
      <w:r w:rsidRPr="00F05B90">
        <w:rPr>
          <w:lang w:val="en-GB"/>
        </w:rPr>
        <w:t>Cappelli P</w:t>
      </w:r>
      <w:r w:rsidR="00E5162E" w:rsidRPr="00F05B90">
        <w:rPr>
          <w:lang w:val="en-GB"/>
        </w:rPr>
        <w:t>.</w:t>
      </w:r>
      <w:r w:rsidRPr="00F05B90">
        <w:rPr>
          <w:lang w:val="en-GB"/>
        </w:rPr>
        <w:t>,</w:t>
      </w:r>
      <w:r w:rsidR="00E5162E" w:rsidRPr="00F05B90">
        <w:rPr>
          <w:lang w:val="en-GB"/>
        </w:rPr>
        <w:t xml:space="preserve"> &amp;</w:t>
      </w:r>
      <w:r w:rsidRPr="00F05B90">
        <w:rPr>
          <w:lang w:val="en-GB"/>
        </w:rPr>
        <w:t xml:space="preserve"> Cascio</w:t>
      </w:r>
      <w:r w:rsidR="00E5162E" w:rsidRPr="00F05B90">
        <w:rPr>
          <w:lang w:val="en-GB"/>
        </w:rPr>
        <w:t>,</w:t>
      </w:r>
      <w:r w:rsidRPr="00F05B90">
        <w:rPr>
          <w:lang w:val="en-GB"/>
        </w:rPr>
        <w:t xml:space="preserve"> W. 1991. Why some jobs command wage premiums: a test of career tournaments and internal labor market hypotheses. </w:t>
      </w:r>
      <w:r w:rsidRPr="00F05B90">
        <w:rPr>
          <w:i/>
          <w:iCs/>
          <w:lang w:val="en-GB"/>
        </w:rPr>
        <w:t>Academy of Management Journal</w:t>
      </w:r>
      <w:r w:rsidR="005F66A0" w:rsidRPr="00F05B90">
        <w:rPr>
          <w:i/>
          <w:iCs/>
          <w:lang w:val="en-GB"/>
        </w:rPr>
        <w:t>,</w:t>
      </w:r>
      <w:r w:rsidRPr="00F05B90">
        <w:rPr>
          <w:i/>
          <w:iCs/>
          <w:lang w:val="en-GB"/>
        </w:rPr>
        <w:t xml:space="preserve"> 34</w:t>
      </w:r>
      <w:r w:rsidR="005F66A0" w:rsidRPr="00F05B90">
        <w:rPr>
          <w:lang w:val="en-GB"/>
        </w:rPr>
        <w:t>,</w:t>
      </w:r>
      <w:r w:rsidRPr="00F05B90">
        <w:rPr>
          <w:lang w:val="en-GB"/>
        </w:rPr>
        <w:t xml:space="preserve"> 848</w:t>
      </w:r>
      <w:r w:rsidR="005F66A0" w:rsidRPr="00F05B90">
        <w:rPr>
          <w:lang w:val="en-GB"/>
        </w:rPr>
        <w:t>-</w:t>
      </w:r>
      <w:r w:rsidRPr="00F05B90">
        <w:rPr>
          <w:lang w:val="en-GB"/>
        </w:rPr>
        <w:t>868.</w:t>
      </w:r>
    </w:p>
    <w:p w14:paraId="5721022C" w14:textId="77777777" w:rsidR="00CC2882" w:rsidRPr="00F05B90" w:rsidRDefault="00CC2882" w:rsidP="00CC2882">
      <w:pPr>
        <w:pStyle w:val="NormalWeb"/>
        <w:spacing w:before="0" w:beforeAutospacing="0" w:after="0" w:afterAutospacing="0"/>
        <w:ind w:left="426" w:hanging="426"/>
        <w:jc w:val="both"/>
        <w:rPr>
          <w:rFonts w:eastAsiaTheme="minorHAnsi"/>
        </w:rPr>
      </w:pPr>
      <w:r w:rsidRPr="00F05B90">
        <w:rPr>
          <w:rFonts w:eastAsiaTheme="minorHAnsi"/>
        </w:rPr>
        <w:t>Chahine, S., Colak, G., Hasan, I., &amp; Mazboudi, M. (2020). Investor relations and IPO performance. </w:t>
      </w:r>
      <w:r w:rsidRPr="00F05B90">
        <w:rPr>
          <w:rFonts w:eastAsiaTheme="minorHAnsi"/>
          <w:i/>
          <w:iCs/>
        </w:rPr>
        <w:t>Review of Accounting Studies</w:t>
      </w:r>
      <w:r w:rsidRPr="00F05B90">
        <w:rPr>
          <w:rFonts w:eastAsiaTheme="minorHAnsi"/>
        </w:rPr>
        <w:t>, </w:t>
      </w:r>
      <w:r w:rsidRPr="00F05B90">
        <w:rPr>
          <w:rFonts w:eastAsiaTheme="minorHAnsi"/>
          <w:i/>
          <w:iCs/>
        </w:rPr>
        <w:t>25</w:t>
      </w:r>
      <w:r w:rsidRPr="00F05B90">
        <w:rPr>
          <w:rFonts w:eastAsiaTheme="minorHAnsi"/>
        </w:rPr>
        <w:t>, 474-512.</w:t>
      </w:r>
    </w:p>
    <w:p w14:paraId="5C95B560" w14:textId="607DD9FF" w:rsidR="00624DB4" w:rsidRPr="00F05B90" w:rsidRDefault="00EA3718" w:rsidP="00CC2882">
      <w:pPr>
        <w:pStyle w:val="NormalWeb"/>
        <w:spacing w:before="0" w:beforeAutospacing="0" w:after="0" w:afterAutospacing="0"/>
        <w:ind w:left="426" w:hanging="426"/>
        <w:jc w:val="both"/>
        <w:rPr>
          <w:rFonts w:eastAsiaTheme="minorHAnsi"/>
          <w:lang w:val="en-GB"/>
        </w:rPr>
      </w:pPr>
      <w:r w:rsidRPr="00F05B90">
        <w:rPr>
          <w:rFonts w:eastAsiaTheme="minorHAnsi"/>
          <w:lang w:val="en-GB"/>
        </w:rPr>
        <w:lastRenderedPageBreak/>
        <w:t xml:space="preserve">Chen, Y., Gul, F. A., Veeraraghavan, M., &amp; Zolotoy, L. (2015). Executive Equity Risk-Taking Incentives and Audit Pricing. </w:t>
      </w:r>
      <w:r w:rsidRPr="00F05B90">
        <w:rPr>
          <w:rFonts w:eastAsiaTheme="minorHAnsi"/>
          <w:i/>
          <w:iCs/>
          <w:lang w:val="en-GB"/>
        </w:rPr>
        <w:t>The Accounting Review</w:t>
      </w:r>
      <w:r w:rsidRPr="00F05B90">
        <w:rPr>
          <w:rFonts w:eastAsiaTheme="minorHAnsi"/>
          <w:lang w:val="en-GB"/>
        </w:rPr>
        <w:t>,</w:t>
      </w:r>
      <w:r w:rsidRPr="00F05B90">
        <w:rPr>
          <w:rFonts w:eastAsiaTheme="minorHAnsi"/>
          <w:i/>
          <w:iCs/>
          <w:lang w:val="en-GB"/>
        </w:rPr>
        <w:t xml:space="preserve"> 90</w:t>
      </w:r>
      <w:r w:rsidRPr="00F05B90">
        <w:rPr>
          <w:rFonts w:eastAsiaTheme="minorHAnsi"/>
          <w:lang w:val="en-GB"/>
        </w:rPr>
        <w:t xml:space="preserve">(6), 2205-2234. </w:t>
      </w:r>
      <w:hyperlink r:id="rId12" w:history="1">
        <w:r w:rsidR="00624DB4" w:rsidRPr="00F05B90">
          <w:rPr>
            <w:rStyle w:val="Hyperlink"/>
            <w:rFonts w:eastAsiaTheme="minorHAnsi"/>
            <w:color w:val="auto"/>
            <w:lang w:val="en-GB"/>
          </w:rPr>
          <w:t>https://doi.org/10.2308/accr-51046</w:t>
        </w:r>
      </w:hyperlink>
    </w:p>
    <w:p w14:paraId="11334F84" w14:textId="5902D441" w:rsidR="00B5308E" w:rsidRPr="00F05B90" w:rsidRDefault="00B5308E" w:rsidP="00E45A68">
      <w:pPr>
        <w:pStyle w:val="NormalWeb"/>
        <w:spacing w:before="0" w:beforeAutospacing="0" w:after="0" w:afterAutospacing="0"/>
        <w:ind w:left="426" w:hanging="426"/>
        <w:jc w:val="both"/>
        <w:rPr>
          <w:shd w:val="clear" w:color="auto" w:fill="FFFFFF"/>
        </w:rPr>
      </w:pPr>
      <w:r w:rsidRPr="00F05B90">
        <w:rPr>
          <w:shd w:val="clear" w:color="auto" w:fill="FFFFFF"/>
        </w:rPr>
        <w:t>Chowdhury, H., Hasan, M. M., Luong, H., &amp; Xu, S. (2024). Do CEOs' Industry Tournament Incentives Affect Stock Liquidity?. </w:t>
      </w:r>
      <w:r w:rsidRPr="00F05B90">
        <w:rPr>
          <w:i/>
          <w:iCs/>
          <w:shd w:val="clear" w:color="auto" w:fill="FFFFFF"/>
        </w:rPr>
        <w:t>Corporate Governance: An International Review</w:t>
      </w:r>
      <w:r w:rsidRPr="00F05B90">
        <w:rPr>
          <w:shd w:val="clear" w:color="auto" w:fill="FFFFFF"/>
        </w:rPr>
        <w:t xml:space="preserve">. </w:t>
      </w:r>
      <w:r w:rsidRPr="00F05B90">
        <w:rPr>
          <w:i/>
          <w:iCs/>
          <w:shd w:val="clear" w:color="auto" w:fill="FFFFFF"/>
        </w:rPr>
        <w:t>Forthcoming</w:t>
      </w:r>
      <w:r w:rsidRPr="00F05B90">
        <w:rPr>
          <w:shd w:val="clear" w:color="auto" w:fill="FFFFFF"/>
        </w:rPr>
        <w:t xml:space="preserve">. </w:t>
      </w:r>
    </w:p>
    <w:p w14:paraId="2156C9AE" w14:textId="01AE27A3" w:rsidR="00B5308E" w:rsidRPr="00F05B90" w:rsidRDefault="00B5308E" w:rsidP="00E45A68">
      <w:pPr>
        <w:pStyle w:val="NormalWeb"/>
        <w:spacing w:before="0" w:beforeAutospacing="0" w:after="0" w:afterAutospacing="0"/>
        <w:ind w:left="426" w:hanging="426"/>
        <w:jc w:val="both"/>
        <w:rPr>
          <w:shd w:val="clear" w:color="auto" w:fill="FFFFFF"/>
        </w:rPr>
      </w:pPr>
      <w:r w:rsidRPr="00F05B90">
        <w:rPr>
          <w:shd w:val="clear" w:color="auto" w:fill="FFFFFF"/>
        </w:rPr>
        <w:t>Chowdhury, H., Hodgson, A., &amp; Pathan, S. (2020). Do external labour market incentives constrain bad news hoarding? The CEO's industry tournament and crash risk reduction. </w:t>
      </w:r>
      <w:r w:rsidRPr="00F05B90">
        <w:rPr>
          <w:i/>
          <w:iCs/>
          <w:shd w:val="clear" w:color="auto" w:fill="FFFFFF"/>
        </w:rPr>
        <w:t>Journal of Corporate Finance</w:t>
      </w:r>
      <w:r w:rsidRPr="00F05B90">
        <w:rPr>
          <w:shd w:val="clear" w:color="auto" w:fill="FFFFFF"/>
        </w:rPr>
        <w:t>, </w:t>
      </w:r>
      <w:r w:rsidRPr="00F05B90">
        <w:rPr>
          <w:i/>
          <w:iCs/>
          <w:shd w:val="clear" w:color="auto" w:fill="FFFFFF"/>
        </w:rPr>
        <w:t>65</w:t>
      </w:r>
      <w:r w:rsidRPr="00F05B90">
        <w:rPr>
          <w:shd w:val="clear" w:color="auto" w:fill="FFFFFF"/>
        </w:rPr>
        <w:t>, 101774.</w:t>
      </w:r>
    </w:p>
    <w:p w14:paraId="5F490BA0" w14:textId="39AF9E40"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Choudhary, P., Merkley, K., &amp; Schipper, K. (2019). Auditors’ quantitative materiality judgments: Properties and implications for financial reporting reliability. </w:t>
      </w:r>
      <w:r w:rsidRPr="00F05B90">
        <w:rPr>
          <w:i/>
          <w:iCs/>
          <w:shd w:val="clear" w:color="auto" w:fill="FFFFFF"/>
          <w:lang w:val="en-GB"/>
        </w:rPr>
        <w:t>Journal of Accounting Research</w:t>
      </w:r>
      <w:r w:rsidRPr="00F05B90">
        <w:rPr>
          <w:shd w:val="clear" w:color="auto" w:fill="FFFFFF"/>
          <w:lang w:val="en-GB"/>
        </w:rPr>
        <w:t>, </w:t>
      </w:r>
      <w:r w:rsidRPr="00F05B90">
        <w:rPr>
          <w:i/>
          <w:iCs/>
          <w:shd w:val="clear" w:color="auto" w:fill="FFFFFF"/>
          <w:lang w:val="en-GB"/>
        </w:rPr>
        <w:t>57</w:t>
      </w:r>
      <w:r w:rsidRPr="00F05B90">
        <w:rPr>
          <w:shd w:val="clear" w:color="auto" w:fill="FFFFFF"/>
          <w:lang w:val="en-GB"/>
        </w:rPr>
        <w:t>(5), 1303-1351.</w:t>
      </w:r>
    </w:p>
    <w:p w14:paraId="104FE9BF"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Christensen, B. E., Elder, R. J., &amp; Glover, S. M. (2015). Behind the numbers: Insights into large audit firm sampling policies. </w:t>
      </w:r>
      <w:r w:rsidRPr="00F05B90">
        <w:rPr>
          <w:i/>
          <w:iCs/>
          <w:lang w:val="en-GB"/>
        </w:rPr>
        <w:t>Accounting Horizons, 29</w:t>
      </w:r>
      <w:r w:rsidRPr="00F05B90">
        <w:rPr>
          <w:lang w:val="en-GB"/>
        </w:rPr>
        <w:t>(1), 61-81.</w:t>
      </w:r>
    </w:p>
    <w:p w14:paraId="64C6F816"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Coles, J. L., Li, Z., &amp; Wang, A. Y. (2018). Industry tournament incentives. </w:t>
      </w:r>
      <w:r w:rsidRPr="00F05B90">
        <w:rPr>
          <w:i/>
          <w:iCs/>
          <w:shd w:val="clear" w:color="auto" w:fill="FFFFFF"/>
          <w:lang w:val="en-GB"/>
        </w:rPr>
        <w:t>The Review of Financial Studies</w:t>
      </w:r>
      <w:r w:rsidRPr="00F05B90">
        <w:rPr>
          <w:shd w:val="clear" w:color="auto" w:fill="FFFFFF"/>
          <w:lang w:val="en-GB"/>
        </w:rPr>
        <w:t>, </w:t>
      </w:r>
      <w:r w:rsidRPr="00F05B90">
        <w:rPr>
          <w:i/>
          <w:iCs/>
          <w:shd w:val="clear" w:color="auto" w:fill="FFFFFF"/>
          <w:lang w:val="en-GB"/>
        </w:rPr>
        <w:t>31</w:t>
      </w:r>
      <w:r w:rsidRPr="00F05B90">
        <w:rPr>
          <w:shd w:val="clear" w:color="auto" w:fill="FFFFFF"/>
          <w:lang w:val="en-GB"/>
        </w:rPr>
        <w:t>(4), 1418-1459.</w:t>
      </w:r>
    </w:p>
    <w:p w14:paraId="421869D6" w14:textId="77777777" w:rsidR="00CC2882" w:rsidRPr="00F05B90" w:rsidRDefault="00CC2882" w:rsidP="00CC2882">
      <w:pPr>
        <w:pStyle w:val="NormalWeb"/>
        <w:spacing w:before="0" w:beforeAutospacing="0" w:after="0" w:afterAutospacing="0"/>
        <w:ind w:left="426" w:hanging="426"/>
        <w:jc w:val="both"/>
        <w:rPr>
          <w:shd w:val="clear" w:color="auto" w:fill="FFFFFF"/>
        </w:rPr>
      </w:pPr>
      <w:r w:rsidRPr="00F05B90">
        <w:rPr>
          <w:shd w:val="clear" w:color="auto" w:fill="FFFFFF"/>
        </w:rPr>
        <w:t>Costa, M. D., &amp; Habib, A. (2023). Local creative culture and audit fees. </w:t>
      </w:r>
      <w:r w:rsidRPr="00F05B90">
        <w:rPr>
          <w:i/>
          <w:iCs/>
          <w:shd w:val="clear" w:color="auto" w:fill="FFFFFF"/>
        </w:rPr>
        <w:t>The British Accounting Review</w:t>
      </w:r>
      <w:r w:rsidRPr="00F05B90">
        <w:rPr>
          <w:shd w:val="clear" w:color="auto" w:fill="FFFFFF"/>
        </w:rPr>
        <w:t>, </w:t>
      </w:r>
      <w:r w:rsidRPr="00F05B90">
        <w:rPr>
          <w:i/>
          <w:iCs/>
          <w:shd w:val="clear" w:color="auto" w:fill="FFFFFF"/>
        </w:rPr>
        <w:t>55</w:t>
      </w:r>
      <w:r w:rsidRPr="00F05B90">
        <w:rPr>
          <w:shd w:val="clear" w:color="auto" w:fill="FFFFFF"/>
        </w:rPr>
        <w:t>(2), 101151.</w:t>
      </w:r>
    </w:p>
    <w:p w14:paraId="40284A92" w14:textId="56096945" w:rsidR="007D3408" w:rsidRPr="00F05B90" w:rsidRDefault="007D3408" w:rsidP="00CC2882">
      <w:pPr>
        <w:pStyle w:val="NormalWeb"/>
        <w:spacing w:before="0" w:beforeAutospacing="0" w:after="0" w:afterAutospacing="0"/>
        <w:ind w:left="426" w:hanging="426"/>
        <w:jc w:val="both"/>
        <w:rPr>
          <w:lang w:val="en-GB"/>
        </w:rPr>
      </w:pPr>
      <w:r w:rsidRPr="00F05B90">
        <w:rPr>
          <w:shd w:val="clear" w:color="auto" w:fill="FFFFFF"/>
          <w:lang w:val="en-GB"/>
        </w:rPr>
        <w:t>Custodio, C., &amp; Metzger, D. (2014). Financial expert CEOs: CE</w:t>
      </w:r>
      <w:r w:rsidR="00F95A60" w:rsidRPr="00F05B90">
        <w:rPr>
          <w:shd w:val="clear" w:color="auto" w:fill="FFFFFF"/>
          <w:lang w:val="en-GB" w:bidi="he-IL"/>
        </w:rPr>
        <w:t>O</w:t>
      </w:r>
      <w:r w:rsidR="00F95A60" w:rsidRPr="00F05B90">
        <w:rPr>
          <w:shd w:val="clear" w:color="auto" w:fill="FFFFFF"/>
          <w:lang w:val="en-GB"/>
        </w:rPr>
        <w:t xml:space="preserve">’s </w:t>
      </w:r>
      <w:r w:rsidRPr="00F05B90">
        <w:rPr>
          <w:shd w:val="clear" w:color="auto" w:fill="FFFFFF"/>
          <w:lang w:val="en-GB"/>
        </w:rPr>
        <w:t>work experience and fir</w:t>
      </w:r>
      <w:r w:rsidR="00F95A60" w:rsidRPr="00F05B90">
        <w:rPr>
          <w:shd w:val="clear" w:color="auto" w:fill="FFFFFF"/>
          <w:lang w:val="en-GB"/>
        </w:rPr>
        <w:t xml:space="preserve">m’s </w:t>
      </w:r>
      <w:r w:rsidRPr="00F05B90">
        <w:rPr>
          <w:shd w:val="clear" w:color="auto" w:fill="FFFFFF"/>
          <w:lang w:val="en-GB"/>
        </w:rPr>
        <w:t>financial policies. </w:t>
      </w:r>
      <w:r w:rsidRPr="00F05B90">
        <w:rPr>
          <w:i/>
          <w:iCs/>
          <w:shd w:val="clear" w:color="auto" w:fill="FFFFFF"/>
          <w:lang w:val="en-GB"/>
        </w:rPr>
        <w:t>Journal of Financial Economics</w:t>
      </w:r>
      <w:r w:rsidRPr="00F05B90">
        <w:rPr>
          <w:shd w:val="clear" w:color="auto" w:fill="FFFFFF"/>
          <w:lang w:val="en-GB"/>
        </w:rPr>
        <w:t>, </w:t>
      </w:r>
      <w:r w:rsidRPr="00F05B90">
        <w:rPr>
          <w:i/>
          <w:iCs/>
          <w:shd w:val="clear" w:color="auto" w:fill="FFFFFF"/>
          <w:lang w:val="en-GB"/>
        </w:rPr>
        <w:t>114</w:t>
      </w:r>
      <w:r w:rsidRPr="00F05B90">
        <w:rPr>
          <w:shd w:val="clear" w:color="auto" w:fill="FFFFFF"/>
          <w:lang w:val="en-GB"/>
        </w:rPr>
        <w:t>(1), 125-154.</w:t>
      </w:r>
    </w:p>
    <w:p w14:paraId="64510C33" w14:textId="77777777" w:rsidR="00DF668F"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DeFond, M. L., Raghunandan, K., &amp; Subramanyam, K. R. (2002). Do non</w:t>
      </w:r>
      <w:r w:rsidR="00E5162E" w:rsidRPr="00F05B90">
        <w:rPr>
          <w:shd w:val="clear" w:color="auto" w:fill="FFFFFF"/>
          <w:lang w:val="en-GB"/>
        </w:rPr>
        <w:t>-</w:t>
      </w:r>
      <w:r w:rsidRPr="00F05B90">
        <w:rPr>
          <w:shd w:val="clear" w:color="auto" w:fill="FFFFFF"/>
          <w:lang w:val="en-GB"/>
        </w:rPr>
        <w:t>audit service fees impair auditor independence? Evidence from going concern audit opinions. </w:t>
      </w:r>
      <w:r w:rsidRPr="00F05B90">
        <w:rPr>
          <w:i/>
          <w:iCs/>
          <w:shd w:val="clear" w:color="auto" w:fill="FFFFFF"/>
          <w:lang w:val="en-GB"/>
        </w:rPr>
        <w:t xml:space="preserve">Journal of </w:t>
      </w:r>
      <w:r w:rsidR="00F95A60" w:rsidRPr="00F05B90">
        <w:rPr>
          <w:i/>
          <w:iCs/>
          <w:shd w:val="clear" w:color="auto" w:fill="FFFFFF"/>
          <w:lang w:val="en-GB"/>
        </w:rPr>
        <w:t>Accounting Research</w:t>
      </w:r>
      <w:r w:rsidRPr="00F05B90">
        <w:rPr>
          <w:shd w:val="clear" w:color="auto" w:fill="FFFFFF"/>
          <w:lang w:val="en-GB"/>
        </w:rPr>
        <w:t>, </w:t>
      </w:r>
      <w:r w:rsidRPr="00F05B90">
        <w:rPr>
          <w:i/>
          <w:iCs/>
          <w:shd w:val="clear" w:color="auto" w:fill="FFFFFF"/>
          <w:lang w:val="en-GB"/>
        </w:rPr>
        <w:t>40</w:t>
      </w:r>
      <w:r w:rsidRPr="00F05B90">
        <w:rPr>
          <w:shd w:val="clear" w:color="auto" w:fill="FFFFFF"/>
          <w:lang w:val="en-GB"/>
        </w:rPr>
        <w:t>(4), 1247-1274.</w:t>
      </w:r>
    </w:p>
    <w:p w14:paraId="1BD619D3" w14:textId="16EEB58E" w:rsidR="00DF668F" w:rsidRPr="00F05B90" w:rsidRDefault="00DF668F" w:rsidP="00E45A68">
      <w:pPr>
        <w:pStyle w:val="NormalWeb"/>
        <w:spacing w:before="0" w:beforeAutospacing="0" w:after="0" w:afterAutospacing="0"/>
        <w:ind w:left="426" w:hanging="426"/>
        <w:jc w:val="both"/>
        <w:rPr>
          <w:shd w:val="clear" w:color="auto" w:fill="FFFFFF"/>
          <w:lang w:val="en-GB"/>
        </w:rPr>
      </w:pPr>
      <w:r w:rsidRPr="00F05B90">
        <w:t xml:space="preserve">dos Santos, K. L., Guerra, R. B., Marques, V. A., &amp; Júnior, E. M. (2020). Do critical audit matters matter? an analysis of their association with earnings management. </w:t>
      </w:r>
      <w:r w:rsidRPr="00F05B90">
        <w:rPr>
          <w:i/>
        </w:rPr>
        <w:t>Journal of Education and Research in Accounting</w:t>
      </w:r>
      <w:r w:rsidRPr="00F05B90">
        <w:t>,</w:t>
      </w:r>
      <w:r w:rsidRPr="00F05B90">
        <w:rPr>
          <w:i/>
        </w:rPr>
        <w:t xml:space="preserve"> 14</w:t>
      </w:r>
      <w:r w:rsidRPr="00F05B90">
        <w:t xml:space="preserve">(1), 55-77. https://papers.ssrn.com/sol3/papers.cfm?abstract_id=3565774  </w:t>
      </w:r>
    </w:p>
    <w:p w14:paraId="556DDEB4" w14:textId="22BD8166" w:rsidR="00024646" w:rsidRPr="00F05B90" w:rsidRDefault="00024646" w:rsidP="00E45A68">
      <w:pPr>
        <w:pStyle w:val="NormalWeb"/>
        <w:spacing w:before="0" w:beforeAutospacing="0" w:after="0" w:afterAutospacing="0"/>
        <w:ind w:left="426" w:hanging="426"/>
        <w:jc w:val="both"/>
        <w:rPr>
          <w:shd w:val="clear" w:color="auto" w:fill="FFFFFF"/>
          <w:lang w:val="it-IT"/>
        </w:rPr>
      </w:pPr>
      <w:r w:rsidRPr="00F05B90">
        <w:rPr>
          <w:shd w:val="clear" w:color="auto" w:fill="FFFFFF"/>
          <w:lang w:val="it-IT"/>
        </w:rPr>
        <w:t>Doyle, J., Ge, W., &amp; McVay, S. (2007). Determinants of weaknesses in internal control over financial reporting. Journal of Accounting and Economics, 44(1), 193-223. https://doi.org/https://doi.org/10.1016/j.jacceco.2006.10.003</w:t>
      </w:r>
    </w:p>
    <w:p w14:paraId="70C0AB86" w14:textId="51CD8B82"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it-IT"/>
        </w:rPr>
        <w:t xml:space="preserve">Duellman, S., Ahmed, A. S., &amp; Abdel-Meguid, A. M. (2013). </w:t>
      </w:r>
      <w:r w:rsidRPr="00F05B90">
        <w:rPr>
          <w:shd w:val="clear" w:color="auto" w:fill="FFFFFF"/>
          <w:lang w:val="en-GB"/>
        </w:rPr>
        <w:t>An empirical analysis of the effects of monitoring intensity on the relation between equity incentives and earnings management. </w:t>
      </w:r>
      <w:r w:rsidRPr="00F05B90">
        <w:rPr>
          <w:i/>
          <w:iCs/>
          <w:shd w:val="clear" w:color="auto" w:fill="FFFFFF"/>
          <w:lang w:val="en-GB"/>
        </w:rPr>
        <w:t>Journal of Accounting and Public Policy</w:t>
      </w:r>
      <w:r w:rsidRPr="00F05B90">
        <w:rPr>
          <w:shd w:val="clear" w:color="auto" w:fill="FFFFFF"/>
          <w:lang w:val="en-GB"/>
        </w:rPr>
        <w:t>, </w:t>
      </w:r>
      <w:r w:rsidRPr="00F05B90">
        <w:rPr>
          <w:i/>
          <w:iCs/>
          <w:shd w:val="clear" w:color="auto" w:fill="FFFFFF"/>
          <w:lang w:val="en-GB"/>
        </w:rPr>
        <w:t>32</w:t>
      </w:r>
      <w:r w:rsidRPr="00F05B90">
        <w:rPr>
          <w:shd w:val="clear" w:color="auto" w:fill="FFFFFF"/>
          <w:lang w:val="en-GB"/>
        </w:rPr>
        <w:t>(6), 495-517.</w:t>
      </w:r>
    </w:p>
    <w:p w14:paraId="2A811B3B" w14:textId="7383B431" w:rsidR="007D3408" w:rsidRPr="00F05B90" w:rsidRDefault="007D3408" w:rsidP="00E45A68">
      <w:pPr>
        <w:pStyle w:val="NormalWeb"/>
        <w:spacing w:before="0" w:beforeAutospacing="0" w:after="0" w:afterAutospacing="0"/>
        <w:ind w:left="426" w:hanging="426"/>
        <w:jc w:val="both"/>
        <w:rPr>
          <w:lang w:val="en-GB"/>
        </w:rPr>
      </w:pPr>
      <w:r w:rsidRPr="00F05B90">
        <w:rPr>
          <w:lang w:val="en-GB"/>
        </w:rPr>
        <w:t>Ehrenberg R</w:t>
      </w:r>
      <w:r w:rsidR="00E5162E" w:rsidRPr="00F05B90">
        <w:rPr>
          <w:lang w:val="en-GB"/>
        </w:rPr>
        <w:t>.</w:t>
      </w:r>
      <w:r w:rsidRPr="00F05B90">
        <w:rPr>
          <w:lang w:val="en-GB"/>
        </w:rPr>
        <w:t>,</w:t>
      </w:r>
      <w:r w:rsidR="00E5162E" w:rsidRPr="00F05B90">
        <w:rPr>
          <w:lang w:val="en-GB"/>
        </w:rPr>
        <w:t xml:space="preserve"> &amp;</w:t>
      </w:r>
      <w:r w:rsidRPr="00F05B90">
        <w:rPr>
          <w:lang w:val="en-GB"/>
        </w:rPr>
        <w:t xml:space="preserve"> Bognanno</w:t>
      </w:r>
      <w:r w:rsidR="00E5162E" w:rsidRPr="00F05B90">
        <w:rPr>
          <w:lang w:val="en-GB"/>
        </w:rPr>
        <w:t>,</w:t>
      </w:r>
      <w:r w:rsidRPr="00F05B90">
        <w:rPr>
          <w:lang w:val="en-GB"/>
        </w:rPr>
        <w:t xml:space="preserve"> M. 1990. The incentive effects of tournaments revisited: evidence from the European PGA tour. </w:t>
      </w:r>
      <w:r w:rsidRPr="00F05B90">
        <w:rPr>
          <w:i/>
          <w:iCs/>
          <w:lang w:val="en-GB"/>
        </w:rPr>
        <w:t>Industrial and Labor Relations Review</w:t>
      </w:r>
      <w:r w:rsidR="00FA3386" w:rsidRPr="00F05B90">
        <w:rPr>
          <w:i/>
          <w:iCs/>
          <w:lang w:val="en-GB"/>
        </w:rPr>
        <w:t>,</w:t>
      </w:r>
      <w:r w:rsidRPr="00F05B90">
        <w:rPr>
          <w:i/>
          <w:iCs/>
          <w:lang w:val="en-GB"/>
        </w:rPr>
        <w:t xml:space="preserve"> 43</w:t>
      </w:r>
      <w:r w:rsidR="00FA3386" w:rsidRPr="00F05B90">
        <w:rPr>
          <w:lang w:val="en-GB"/>
        </w:rPr>
        <w:t>,</w:t>
      </w:r>
      <w:r w:rsidRPr="00F05B90">
        <w:rPr>
          <w:lang w:val="en-GB"/>
        </w:rPr>
        <w:t xml:space="preserve"> 74</w:t>
      </w:r>
      <w:r w:rsidR="00F95A60" w:rsidRPr="00F05B90">
        <w:rPr>
          <w:lang w:val="en-GB"/>
        </w:rPr>
        <w:t>-</w:t>
      </w:r>
      <w:r w:rsidRPr="00F05B90">
        <w:rPr>
          <w:lang w:val="en-GB"/>
        </w:rPr>
        <w:t>88.</w:t>
      </w:r>
    </w:p>
    <w:p w14:paraId="22EF341C" w14:textId="77777777" w:rsidR="001E62E9" w:rsidRPr="00F05B90" w:rsidRDefault="001E62E9"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 xml:space="preserve">Elmarzouky, M., Hussainey, K., &amp; Abdelfattah, T. (2022a). Do key audit matters signal corporate bankruptcy? </w:t>
      </w:r>
      <w:r w:rsidRPr="00F05B90">
        <w:rPr>
          <w:i/>
          <w:iCs/>
          <w:shd w:val="clear" w:color="auto" w:fill="FFFFFF"/>
          <w:lang w:val="en-GB"/>
        </w:rPr>
        <w:t>Journal of Accounting and Management Information Systems</w:t>
      </w:r>
      <w:r w:rsidRPr="00F05B90">
        <w:rPr>
          <w:shd w:val="clear" w:color="auto" w:fill="FFFFFF"/>
          <w:lang w:val="en-GB"/>
        </w:rPr>
        <w:t>,</w:t>
      </w:r>
      <w:r w:rsidRPr="00F05B90">
        <w:rPr>
          <w:i/>
          <w:iCs/>
          <w:shd w:val="clear" w:color="auto" w:fill="FFFFFF"/>
          <w:lang w:val="en-GB"/>
        </w:rPr>
        <w:t xml:space="preserve"> 21</w:t>
      </w:r>
      <w:r w:rsidRPr="00F05B90">
        <w:rPr>
          <w:shd w:val="clear" w:color="auto" w:fill="FFFFFF"/>
          <w:lang w:val="en-GB"/>
        </w:rPr>
        <w:t xml:space="preserve">(3), 315-334. </w:t>
      </w:r>
    </w:p>
    <w:p w14:paraId="4DAEDEED" w14:textId="77777777" w:rsidR="001E62E9" w:rsidRPr="00F05B90" w:rsidRDefault="001E62E9"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 xml:space="preserve">Elmarzouky, M., Hussainey, K., &amp; Abdelfattah, T. (2023). The key audit matters and the audit cost: does governance matter? </w:t>
      </w:r>
      <w:r w:rsidRPr="00F05B90">
        <w:rPr>
          <w:i/>
          <w:iCs/>
          <w:shd w:val="clear" w:color="auto" w:fill="FFFFFF"/>
          <w:lang w:val="en-GB"/>
        </w:rPr>
        <w:t>International Journal of Accounting &amp; Information Management</w:t>
      </w:r>
      <w:r w:rsidRPr="00F05B90">
        <w:rPr>
          <w:shd w:val="clear" w:color="auto" w:fill="FFFFFF"/>
          <w:lang w:val="en-GB"/>
        </w:rPr>
        <w:t>,</w:t>
      </w:r>
      <w:r w:rsidRPr="00F05B90">
        <w:rPr>
          <w:i/>
          <w:iCs/>
          <w:shd w:val="clear" w:color="auto" w:fill="FFFFFF"/>
          <w:lang w:val="en-GB"/>
        </w:rPr>
        <w:t xml:space="preserve"> 31</w:t>
      </w:r>
      <w:r w:rsidRPr="00F05B90">
        <w:rPr>
          <w:shd w:val="clear" w:color="auto" w:fill="FFFFFF"/>
          <w:lang w:val="en-GB"/>
        </w:rPr>
        <w:t xml:space="preserve">(1), 195-217. https://doi.org/10.1108/IJAIM-08-2022-0178 </w:t>
      </w:r>
    </w:p>
    <w:p w14:paraId="48AB123F" w14:textId="77777777" w:rsidR="001E62E9" w:rsidRPr="00F05B90" w:rsidRDefault="001E62E9" w:rsidP="00E45A68">
      <w:pPr>
        <w:pStyle w:val="NormalWeb"/>
        <w:spacing w:before="0" w:beforeAutospacing="0" w:after="0" w:afterAutospacing="0"/>
        <w:ind w:left="426" w:hanging="426"/>
        <w:jc w:val="both"/>
        <w:rPr>
          <w:lang w:val="en-GB"/>
        </w:rPr>
      </w:pPr>
      <w:r w:rsidRPr="00F05B90">
        <w:rPr>
          <w:lang w:val="en-GB"/>
        </w:rPr>
        <w:t xml:space="preserve">Elmarzouky, M., Hussainey, K., Abdelfattah, T., &amp; Karim, A. E. (2022b). Corporate risk disclosure and key audit matters: the egocentric theory. </w:t>
      </w:r>
      <w:r w:rsidRPr="00F05B90">
        <w:rPr>
          <w:i/>
          <w:iCs/>
          <w:lang w:val="en-GB"/>
        </w:rPr>
        <w:t>International Journal of Accounting &amp; Information Management</w:t>
      </w:r>
      <w:r w:rsidRPr="00F05B90">
        <w:rPr>
          <w:lang w:val="en-GB"/>
        </w:rPr>
        <w:t>,</w:t>
      </w:r>
      <w:r w:rsidRPr="00F05B90">
        <w:rPr>
          <w:i/>
          <w:iCs/>
          <w:lang w:val="en-GB"/>
        </w:rPr>
        <w:t xml:space="preserve"> 30</w:t>
      </w:r>
      <w:r w:rsidRPr="00F05B90">
        <w:rPr>
          <w:lang w:val="en-GB"/>
        </w:rPr>
        <w:t xml:space="preserve">(2), 230-251. https://doi.org/10.1108/IJAIM-10-2021-0213 </w:t>
      </w:r>
    </w:p>
    <w:p w14:paraId="364FFF2C" w14:textId="385799BF" w:rsidR="005204D2" w:rsidRPr="00F05B90" w:rsidRDefault="001E62E9" w:rsidP="00E45A68">
      <w:pPr>
        <w:pStyle w:val="NormalWeb"/>
        <w:spacing w:before="0" w:beforeAutospacing="0" w:after="0" w:afterAutospacing="0"/>
        <w:ind w:left="426" w:hanging="426"/>
        <w:jc w:val="both"/>
        <w:rPr>
          <w:lang w:val="en-GB"/>
        </w:rPr>
      </w:pPr>
      <w:r w:rsidRPr="00F05B90">
        <w:rPr>
          <w:lang w:val="en-GB"/>
        </w:rPr>
        <w:t xml:space="preserve">Elmarzouky, M.,Hussainey, K., &amp; Abdelfattah, T. (2024). Key audit matters: a systematic review. </w:t>
      </w:r>
      <w:r w:rsidRPr="00F05B90">
        <w:rPr>
          <w:i/>
          <w:iCs/>
          <w:lang w:val="en-GB"/>
        </w:rPr>
        <w:t>International Journal of Accounting, Auditing and Performance Evaluation</w:t>
      </w:r>
      <w:r w:rsidRPr="00F05B90">
        <w:rPr>
          <w:lang w:val="en-GB"/>
        </w:rPr>
        <w:t>,</w:t>
      </w:r>
      <w:r w:rsidRPr="00F05B90">
        <w:rPr>
          <w:i/>
          <w:iCs/>
          <w:lang w:val="en-GB"/>
        </w:rPr>
        <w:t xml:space="preserve"> 20</w:t>
      </w:r>
      <w:r w:rsidRPr="00F05B90">
        <w:rPr>
          <w:lang w:val="en-GB"/>
        </w:rPr>
        <w:t xml:space="preserve">(3-4), 319-341. https://doi.org/10.1504/ijaape.2024.138473 </w:t>
      </w:r>
    </w:p>
    <w:p w14:paraId="35FE8179"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Fee, C. E., &amp; Hadlock, C. J. (2003). Raids, rewards, and reputations in the market for managerial talent. </w:t>
      </w:r>
      <w:r w:rsidRPr="00F05B90">
        <w:rPr>
          <w:i/>
          <w:iCs/>
          <w:shd w:val="clear" w:color="auto" w:fill="FFFFFF"/>
          <w:lang w:val="en-GB"/>
        </w:rPr>
        <w:t>The Review of Financial Studies</w:t>
      </w:r>
      <w:r w:rsidRPr="00F05B90">
        <w:rPr>
          <w:shd w:val="clear" w:color="auto" w:fill="FFFFFF"/>
          <w:lang w:val="en-GB"/>
        </w:rPr>
        <w:t>, </w:t>
      </w:r>
      <w:r w:rsidRPr="00F05B90">
        <w:rPr>
          <w:i/>
          <w:iCs/>
          <w:shd w:val="clear" w:color="auto" w:fill="FFFFFF"/>
          <w:lang w:val="en-GB"/>
        </w:rPr>
        <w:t>16</w:t>
      </w:r>
      <w:r w:rsidRPr="00F05B90">
        <w:rPr>
          <w:shd w:val="clear" w:color="auto" w:fill="FFFFFF"/>
          <w:lang w:val="en-GB"/>
        </w:rPr>
        <w:t>(4), 1315-1357.</w:t>
      </w:r>
    </w:p>
    <w:p w14:paraId="15FB9017" w14:textId="3E83A605" w:rsidR="007D3408" w:rsidRPr="00F05B90" w:rsidRDefault="007D3408" w:rsidP="00E45A68">
      <w:pPr>
        <w:pStyle w:val="NormalWeb"/>
        <w:spacing w:before="0" w:beforeAutospacing="0" w:after="0" w:afterAutospacing="0"/>
        <w:ind w:left="426" w:hanging="426"/>
        <w:jc w:val="both"/>
        <w:rPr>
          <w:lang w:val="en-GB"/>
        </w:rPr>
      </w:pPr>
      <w:r w:rsidRPr="00F05B90">
        <w:rPr>
          <w:lang w:val="en-GB"/>
        </w:rPr>
        <w:lastRenderedPageBreak/>
        <w:t xml:space="preserve">Feng, M., Ge, W., Luo, S., &amp; Shevlin, T. (2011). Why do CFOs become involved in material accounting manipulations? </w:t>
      </w:r>
      <w:r w:rsidRPr="00F05B90">
        <w:rPr>
          <w:i/>
          <w:iCs/>
          <w:lang w:val="en-GB"/>
        </w:rPr>
        <w:t xml:space="preserve">Journal of </w:t>
      </w:r>
      <w:r w:rsidR="00FA3386" w:rsidRPr="00F05B90">
        <w:rPr>
          <w:i/>
          <w:iCs/>
          <w:lang w:val="en-GB"/>
        </w:rPr>
        <w:t xml:space="preserve">Accounting </w:t>
      </w:r>
      <w:r w:rsidRPr="00F05B90">
        <w:rPr>
          <w:i/>
          <w:iCs/>
          <w:lang w:val="en-GB"/>
        </w:rPr>
        <w:t xml:space="preserve">and </w:t>
      </w:r>
      <w:r w:rsidR="00FA3386" w:rsidRPr="00F05B90">
        <w:rPr>
          <w:i/>
          <w:iCs/>
          <w:lang w:val="en-GB"/>
        </w:rPr>
        <w:t>Economics</w:t>
      </w:r>
      <w:r w:rsidRPr="00F05B90">
        <w:rPr>
          <w:i/>
          <w:iCs/>
          <w:lang w:val="en-GB"/>
        </w:rPr>
        <w:t>, 51</w:t>
      </w:r>
      <w:r w:rsidRPr="00F05B90">
        <w:rPr>
          <w:lang w:val="en-GB"/>
        </w:rPr>
        <w:t>(1-2), 21-36.</w:t>
      </w:r>
    </w:p>
    <w:p w14:paraId="6ED37049"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Florou, A., Morricone, S., &amp; Pope, P. F. (2020). Proactive financial reporting enforcement: Audit fees and financial reporting quality effects. </w:t>
      </w:r>
      <w:r w:rsidRPr="00F05B90">
        <w:rPr>
          <w:i/>
          <w:iCs/>
          <w:shd w:val="clear" w:color="auto" w:fill="FFFFFF"/>
          <w:lang w:val="en-GB"/>
        </w:rPr>
        <w:t>The Accounting Review</w:t>
      </w:r>
      <w:r w:rsidRPr="00F05B90">
        <w:rPr>
          <w:shd w:val="clear" w:color="auto" w:fill="FFFFFF"/>
          <w:lang w:val="en-GB"/>
        </w:rPr>
        <w:t>, </w:t>
      </w:r>
      <w:r w:rsidRPr="00F05B90">
        <w:rPr>
          <w:i/>
          <w:iCs/>
          <w:shd w:val="clear" w:color="auto" w:fill="FFFFFF"/>
          <w:lang w:val="en-GB"/>
        </w:rPr>
        <w:t>95</w:t>
      </w:r>
      <w:r w:rsidRPr="00F05B90">
        <w:rPr>
          <w:shd w:val="clear" w:color="auto" w:fill="FFFFFF"/>
          <w:lang w:val="en-GB"/>
        </w:rPr>
        <w:t>(2), 167-197.</w:t>
      </w:r>
    </w:p>
    <w:p w14:paraId="4087879F" w14:textId="19B99E99"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Francis, J. R., Reichelt, K., &amp; Wang, D. (2005). The pricing of national and city‐specific reputations for industry expertise in the US audit market. </w:t>
      </w:r>
      <w:r w:rsidRPr="00F05B90">
        <w:rPr>
          <w:i/>
          <w:iCs/>
          <w:shd w:val="clear" w:color="auto" w:fill="FFFFFF"/>
          <w:lang w:val="en-GB"/>
        </w:rPr>
        <w:t xml:space="preserve">The </w:t>
      </w:r>
      <w:r w:rsidR="00FA3386" w:rsidRPr="00F05B90">
        <w:rPr>
          <w:i/>
          <w:iCs/>
          <w:shd w:val="clear" w:color="auto" w:fill="FFFFFF"/>
          <w:lang w:val="en-GB"/>
        </w:rPr>
        <w:t>Accounting Review</w:t>
      </w:r>
      <w:r w:rsidRPr="00F05B90">
        <w:rPr>
          <w:shd w:val="clear" w:color="auto" w:fill="FFFFFF"/>
          <w:lang w:val="en-GB"/>
        </w:rPr>
        <w:t>, </w:t>
      </w:r>
      <w:r w:rsidRPr="00F05B90">
        <w:rPr>
          <w:i/>
          <w:iCs/>
          <w:shd w:val="clear" w:color="auto" w:fill="FFFFFF"/>
          <w:lang w:val="en-GB"/>
        </w:rPr>
        <w:t>80</w:t>
      </w:r>
      <w:r w:rsidRPr="00F05B90">
        <w:rPr>
          <w:shd w:val="clear" w:color="auto" w:fill="FFFFFF"/>
          <w:lang w:val="en-GB"/>
        </w:rPr>
        <w:t>(1), 113-136.</w:t>
      </w:r>
    </w:p>
    <w:p w14:paraId="3B88F806" w14:textId="0F8A226F" w:rsidR="00294802" w:rsidRPr="00F05B90" w:rsidRDefault="00294802" w:rsidP="00E45A68">
      <w:pPr>
        <w:pStyle w:val="NormalWeb"/>
        <w:spacing w:before="0" w:beforeAutospacing="0" w:after="0" w:afterAutospacing="0"/>
        <w:ind w:left="426" w:hanging="426"/>
        <w:jc w:val="both"/>
      </w:pPr>
      <w:r w:rsidRPr="00F05B90">
        <w:t>FRC. (2013a). FRC issues revised auditing standard: making auditors’ work more transparent to investors. Financial Reporting Council (FRC), UK - https://www.frc.org.uk/news-and-events/news/2013/06/frc-issues-revised-auditing-standard-making-auditors-work-more-transparent-to-investors/.</w:t>
      </w:r>
    </w:p>
    <w:p w14:paraId="23FC5E54" w14:textId="0A65B487" w:rsidR="008D5C58" w:rsidRPr="00F05B90" w:rsidRDefault="00294802" w:rsidP="00E45A68">
      <w:pPr>
        <w:pStyle w:val="NormalWeb"/>
        <w:spacing w:before="0" w:beforeAutospacing="0" w:after="0" w:afterAutospacing="0"/>
        <w:ind w:left="426" w:hanging="426"/>
        <w:jc w:val="both"/>
      </w:pPr>
      <w:r w:rsidRPr="00F05B90">
        <w:t xml:space="preserve">FRC. (2013b). ISA (UK and Ireland) 700 - The independent auditor’s report on financial statements. Financial Reporting Council (FRC), UK - International Standard on Auditing (ISA) - </w:t>
      </w:r>
      <w:r w:rsidR="00B46618" w:rsidRPr="00F05B90">
        <w:t>https://media.frc.org.uk/documents/700_Revised_June_2013_The_independent_auditors_report_on_financial_statements.pdf</w:t>
      </w:r>
    </w:p>
    <w:p w14:paraId="2E670A45" w14:textId="77777777" w:rsidR="00111AD9" w:rsidRPr="00F05B90" w:rsidRDefault="008D5C58" w:rsidP="00E45A68">
      <w:pPr>
        <w:pStyle w:val="NormalWeb"/>
        <w:spacing w:before="0" w:beforeAutospacing="0" w:after="0" w:afterAutospacing="0"/>
        <w:ind w:left="426" w:hanging="426"/>
        <w:jc w:val="both"/>
      </w:pPr>
      <w:r w:rsidRPr="00F05B90">
        <w:t>FRC. (2016). ISA (UK) 320 (Revised June 2016) - Materiality in Planning and Performing the Audit. Financial Reporting Council (FRC), London, UK - International Standard on Auditing (ISA) - https://media.frc.org.uk/documents/ISA_UK_320_Revised_June_2016.pdf.</w:t>
      </w:r>
    </w:p>
    <w:p w14:paraId="5A76615F" w14:textId="13BAAE1E" w:rsidR="00111AD9" w:rsidRPr="00F05B90" w:rsidRDefault="00111AD9" w:rsidP="00E45A68">
      <w:pPr>
        <w:pStyle w:val="NormalWeb"/>
        <w:spacing w:before="0" w:beforeAutospacing="0" w:after="0" w:afterAutospacing="0"/>
        <w:ind w:left="426" w:hanging="426"/>
        <w:jc w:val="both"/>
      </w:pPr>
      <w:r w:rsidRPr="00F05B90">
        <w:t>FRC. (2022). ISA (UK) 701 - Communicating Key Audit Matters in the Independent Auditor’s Report. Financial Reporting Council (FRC), UK - International Standard on Auditing (ISA) - https://media.frc.org.uk/documents/ISA_UK_701_Updated_May_2022_qLGK0mh.pdf</w:t>
      </w:r>
    </w:p>
    <w:p w14:paraId="7FDF201E" w14:textId="60F6835A"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Gaertner, F. B. (2014). CEO after‐tax compensation incentives and corporate tax avoidance. </w:t>
      </w:r>
      <w:r w:rsidRPr="00F05B90">
        <w:rPr>
          <w:i/>
          <w:iCs/>
          <w:shd w:val="clear" w:color="auto" w:fill="FFFFFF"/>
          <w:lang w:val="en-GB"/>
        </w:rPr>
        <w:t>Contemporary Accounting Research</w:t>
      </w:r>
      <w:r w:rsidRPr="00F05B90">
        <w:rPr>
          <w:shd w:val="clear" w:color="auto" w:fill="FFFFFF"/>
          <w:lang w:val="en-GB"/>
        </w:rPr>
        <w:t>, </w:t>
      </w:r>
      <w:r w:rsidRPr="00F05B90">
        <w:rPr>
          <w:i/>
          <w:iCs/>
          <w:shd w:val="clear" w:color="auto" w:fill="FFFFFF"/>
          <w:lang w:val="en-GB"/>
        </w:rPr>
        <w:t>31</w:t>
      </w:r>
      <w:r w:rsidRPr="00F05B90">
        <w:rPr>
          <w:shd w:val="clear" w:color="auto" w:fill="FFFFFF"/>
          <w:lang w:val="en-GB"/>
        </w:rPr>
        <w:t>(4), 1077-1102.</w:t>
      </w:r>
    </w:p>
    <w:p w14:paraId="2DE00E9E"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Ge, W., &amp; Kim, J. B. (2020). How does the executive pay gap influence audit fees? The roles of R&amp;D investment and institutional ownership. </w:t>
      </w:r>
      <w:r w:rsidRPr="00F05B90">
        <w:rPr>
          <w:i/>
          <w:iCs/>
          <w:lang w:val="en-GB"/>
        </w:rPr>
        <w:t>Journal of Business Finance &amp; Accounting, 47</w:t>
      </w:r>
      <w:r w:rsidRPr="00F05B90">
        <w:rPr>
          <w:lang w:val="en-GB"/>
        </w:rPr>
        <w:t>(5-6), 677-707.</w:t>
      </w:r>
    </w:p>
    <w:p w14:paraId="079D96A6" w14:textId="5B84DF1D"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 xml:space="preserve">Ge, W., Matsumoto, D., &amp; Zhang, J. L. (2011). Do CFOs have style? An empirical investigation of the effect of individual CFOs on accounting practices. </w:t>
      </w:r>
      <w:r w:rsidRPr="00F05B90">
        <w:rPr>
          <w:i/>
          <w:iCs/>
          <w:shd w:val="clear" w:color="auto" w:fill="FFFFFF"/>
          <w:lang w:val="en-GB"/>
        </w:rPr>
        <w:t>Contemporary Accounting Research, 28</w:t>
      </w:r>
      <w:r w:rsidRPr="00F05B90">
        <w:rPr>
          <w:shd w:val="clear" w:color="auto" w:fill="FFFFFF"/>
          <w:lang w:val="en-GB"/>
        </w:rPr>
        <w:t>(4), 1141</w:t>
      </w:r>
      <w:r w:rsidR="00F95A60" w:rsidRPr="00F05B90">
        <w:rPr>
          <w:shd w:val="clear" w:color="auto" w:fill="FFFFFF"/>
          <w:lang w:val="en-GB"/>
        </w:rPr>
        <w:t>-</w:t>
      </w:r>
      <w:r w:rsidRPr="00F05B90">
        <w:rPr>
          <w:shd w:val="clear" w:color="auto" w:fill="FFFFFF"/>
          <w:lang w:val="en-GB"/>
        </w:rPr>
        <w:t>1179.</w:t>
      </w:r>
    </w:p>
    <w:p w14:paraId="2E365A92" w14:textId="77777777" w:rsidR="00AC5820" w:rsidRPr="00F05B90" w:rsidRDefault="007D3408" w:rsidP="00AC5820">
      <w:pPr>
        <w:pStyle w:val="NormalWeb"/>
        <w:spacing w:before="0" w:beforeAutospacing="0" w:after="0" w:afterAutospacing="0"/>
        <w:ind w:left="426" w:hanging="426"/>
        <w:jc w:val="both"/>
        <w:rPr>
          <w:lang w:val="en-GB"/>
        </w:rPr>
      </w:pPr>
      <w:r w:rsidRPr="00F05B90">
        <w:rPr>
          <w:lang w:val="en-GB"/>
        </w:rPr>
        <w:t>Goergen, M.</w:t>
      </w:r>
      <w:r w:rsidR="00E5162E" w:rsidRPr="00F05B90">
        <w:rPr>
          <w:lang w:val="en-GB"/>
        </w:rPr>
        <w:t>, &amp;</w:t>
      </w:r>
      <w:r w:rsidRPr="00F05B90">
        <w:rPr>
          <w:lang w:val="en-GB"/>
        </w:rPr>
        <w:t xml:space="preserve"> Renneboog, L. (2001), Strong managers and passive institutional investors in the UK, in Barca, F. and Becht, M. (Eds), </w:t>
      </w:r>
      <w:r w:rsidRPr="00F05B90">
        <w:rPr>
          <w:i/>
          <w:iCs/>
          <w:lang w:val="en-GB"/>
        </w:rPr>
        <w:t>The Control of Corporate Europe</w:t>
      </w:r>
      <w:r w:rsidRPr="00F05B90">
        <w:rPr>
          <w:lang w:val="en-GB"/>
        </w:rPr>
        <w:t>, Oxford University Press, Oxford</w:t>
      </w:r>
      <w:r w:rsidR="00F95A60" w:rsidRPr="00F05B90">
        <w:rPr>
          <w:lang w:val="en-GB"/>
        </w:rPr>
        <w:t>.</w:t>
      </w:r>
    </w:p>
    <w:p w14:paraId="645A7DA4" w14:textId="59B274C4" w:rsidR="00AC5820" w:rsidRPr="00F05B90" w:rsidRDefault="00AC5820" w:rsidP="00AC5820">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Gounopoulos, D., &amp; Pham, H. (2018). Financial expert CEOs and earnings management around initial public offerings. </w:t>
      </w:r>
      <w:r w:rsidRPr="00F05B90">
        <w:rPr>
          <w:i/>
          <w:iCs/>
          <w:shd w:val="clear" w:color="auto" w:fill="FFFFFF"/>
          <w:lang w:val="en-GB"/>
        </w:rPr>
        <w:t>The International Journal of Accounting</w:t>
      </w:r>
      <w:r w:rsidRPr="00F05B90">
        <w:rPr>
          <w:shd w:val="clear" w:color="auto" w:fill="FFFFFF"/>
          <w:lang w:val="en-GB"/>
        </w:rPr>
        <w:t>, </w:t>
      </w:r>
      <w:r w:rsidRPr="00F05B90">
        <w:rPr>
          <w:i/>
          <w:iCs/>
          <w:shd w:val="clear" w:color="auto" w:fill="FFFFFF"/>
          <w:lang w:val="en-GB"/>
        </w:rPr>
        <w:t>53</w:t>
      </w:r>
      <w:r w:rsidRPr="00F05B90">
        <w:rPr>
          <w:shd w:val="clear" w:color="auto" w:fill="FFFFFF"/>
          <w:lang w:val="en-GB"/>
        </w:rPr>
        <w:t>(2), 102-117.</w:t>
      </w:r>
    </w:p>
    <w:p w14:paraId="46F9A464"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Green, J. R., &amp; Stokey, N. L. (1983). A comparison of tournaments and contracts. </w:t>
      </w:r>
      <w:r w:rsidRPr="00F05B90">
        <w:rPr>
          <w:i/>
          <w:iCs/>
          <w:shd w:val="clear" w:color="auto" w:fill="FFFFFF"/>
          <w:lang w:val="en-GB"/>
        </w:rPr>
        <w:t>Journal of Political Economy</w:t>
      </w:r>
      <w:r w:rsidRPr="00F05B90">
        <w:rPr>
          <w:shd w:val="clear" w:color="auto" w:fill="FFFFFF"/>
          <w:lang w:val="en-GB"/>
        </w:rPr>
        <w:t>, </w:t>
      </w:r>
      <w:r w:rsidRPr="00F05B90">
        <w:rPr>
          <w:i/>
          <w:iCs/>
          <w:shd w:val="clear" w:color="auto" w:fill="FFFFFF"/>
          <w:lang w:val="en-GB"/>
        </w:rPr>
        <w:t>91</w:t>
      </w:r>
      <w:r w:rsidRPr="00F05B90">
        <w:rPr>
          <w:shd w:val="clear" w:color="auto" w:fill="FFFFFF"/>
          <w:lang w:val="en-GB"/>
        </w:rPr>
        <w:t>(3), 349-364.</w:t>
      </w:r>
    </w:p>
    <w:p w14:paraId="553BA273" w14:textId="1C7E5860" w:rsidR="00450E2A" w:rsidRPr="00F05B90" w:rsidRDefault="00450E2A" w:rsidP="00450E2A">
      <w:pPr>
        <w:pStyle w:val="NormalWeb"/>
        <w:spacing w:before="0" w:beforeAutospacing="0" w:after="0" w:afterAutospacing="0"/>
        <w:ind w:left="426" w:hanging="426"/>
        <w:jc w:val="both"/>
        <w:rPr>
          <w:lang w:val="en-GB"/>
        </w:rPr>
      </w:pPr>
      <w:r w:rsidRPr="00F05B90">
        <w:t xml:space="preserve">Gujarati, D.N. &amp; Porter, D.C. (2009). Basic econometrics. </w:t>
      </w:r>
      <w:r w:rsidRPr="00F05B90">
        <w:rPr>
          <w:lang w:val="en-GB"/>
        </w:rPr>
        <w:t xml:space="preserve"> </w:t>
      </w:r>
      <w:r w:rsidRPr="00F05B90">
        <w:t xml:space="preserve">The McGraw-Hill, New York, NY, 10020. </w:t>
      </w:r>
    </w:p>
    <w:p w14:paraId="722463F2" w14:textId="6FBD88F2" w:rsidR="007D3408" w:rsidRPr="00F05B90" w:rsidRDefault="007D3408" w:rsidP="00450E2A">
      <w:pPr>
        <w:pStyle w:val="NormalWeb"/>
        <w:spacing w:before="0" w:beforeAutospacing="0" w:after="0" w:afterAutospacing="0"/>
        <w:ind w:left="426" w:hanging="426"/>
        <w:jc w:val="both"/>
        <w:rPr>
          <w:lang w:val="en-GB"/>
        </w:rPr>
      </w:pPr>
      <w:r w:rsidRPr="00F05B90">
        <w:rPr>
          <w:lang w:val="en-GB"/>
        </w:rPr>
        <w:t>Hair, J.</w:t>
      </w:r>
      <w:r w:rsidR="00E5162E" w:rsidRPr="00F05B90">
        <w:rPr>
          <w:lang w:val="en-GB"/>
        </w:rPr>
        <w:t xml:space="preserve"> </w:t>
      </w:r>
      <w:r w:rsidRPr="00F05B90">
        <w:rPr>
          <w:lang w:val="en-GB"/>
        </w:rPr>
        <w:t>F., Black, W.</w:t>
      </w:r>
      <w:r w:rsidR="00E5162E" w:rsidRPr="00F05B90">
        <w:rPr>
          <w:lang w:val="en-GB"/>
        </w:rPr>
        <w:t xml:space="preserve"> </w:t>
      </w:r>
      <w:r w:rsidRPr="00F05B90">
        <w:rPr>
          <w:lang w:val="en-GB"/>
        </w:rPr>
        <w:t>C., Babin, B.</w:t>
      </w:r>
      <w:r w:rsidR="00E5162E" w:rsidRPr="00F05B90">
        <w:rPr>
          <w:lang w:val="en-GB"/>
        </w:rPr>
        <w:t xml:space="preserve"> </w:t>
      </w:r>
      <w:r w:rsidRPr="00F05B90">
        <w:rPr>
          <w:lang w:val="en-GB"/>
        </w:rPr>
        <w:t>J., Anderson, R.</w:t>
      </w:r>
      <w:r w:rsidR="00E5162E" w:rsidRPr="00F05B90">
        <w:rPr>
          <w:lang w:val="en-GB"/>
        </w:rPr>
        <w:t xml:space="preserve"> </w:t>
      </w:r>
      <w:r w:rsidRPr="00F05B90">
        <w:rPr>
          <w:lang w:val="en-GB"/>
        </w:rPr>
        <w:t>E.</w:t>
      </w:r>
      <w:r w:rsidR="00E5162E" w:rsidRPr="00F05B90">
        <w:rPr>
          <w:lang w:val="en-GB"/>
        </w:rPr>
        <w:t>, &amp;</w:t>
      </w:r>
      <w:r w:rsidRPr="00F05B90">
        <w:rPr>
          <w:lang w:val="en-GB"/>
        </w:rPr>
        <w:t xml:space="preserve"> Tatham, R.</w:t>
      </w:r>
      <w:r w:rsidR="00E5162E" w:rsidRPr="00F05B90">
        <w:rPr>
          <w:lang w:val="en-GB"/>
        </w:rPr>
        <w:t xml:space="preserve"> </w:t>
      </w:r>
      <w:r w:rsidRPr="00F05B90">
        <w:rPr>
          <w:lang w:val="en-GB"/>
        </w:rPr>
        <w:t>L. (2006)</w:t>
      </w:r>
      <w:r w:rsidR="00E5162E" w:rsidRPr="00F05B90">
        <w:rPr>
          <w:lang w:val="en-GB"/>
        </w:rPr>
        <w:t>.</w:t>
      </w:r>
      <w:r w:rsidRPr="00F05B90">
        <w:rPr>
          <w:lang w:val="en-GB"/>
        </w:rPr>
        <w:t xml:space="preserve"> </w:t>
      </w:r>
      <w:r w:rsidRPr="00F05B90">
        <w:rPr>
          <w:i/>
          <w:iCs/>
          <w:lang w:val="en-GB"/>
        </w:rPr>
        <w:t>Multivariate Data Analysis</w:t>
      </w:r>
      <w:r w:rsidRPr="00F05B90">
        <w:rPr>
          <w:lang w:val="en-GB"/>
        </w:rPr>
        <w:t>, London: Prentice-Hall.</w:t>
      </w:r>
    </w:p>
    <w:p w14:paraId="791B3006" w14:textId="087ED1CC"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Hambrick, D. C. (2007). </w:t>
      </w:r>
      <w:r w:rsidRPr="00F05B90">
        <w:rPr>
          <w:i/>
          <w:iCs/>
          <w:lang w:val="en-GB"/>
        </w:rPr>
        <w:t xml:space="preserve">Upper </w:t>
      </w:r>
      <w:r w:rsidR="00F95A60" w:rsidRPr="00F05B90">
        <w:rPr>
          <w:i/>
          <w:iCs/>
          <w:lang w:val="en-GB"/>
        </w:rPr>
        <w:t>Echelons Theory</w:t>
      </w:r>
      <w:r w:rsidRPr="00F05B90">
        <w:rPr>
          <w:lang w:val="en-GB"/>
        </w:rPr>
        <w:t>: An update</w:t>
      </w:r>
      <w:r w:rsidR="00DC6E2E" w:rsidRPr="00F05B90">
        <w:rPr>
          <w:lang w:val="en-GB"/>
        </w:rPr>
        <w:t xml:space="preserve">. </w:t>
      </w:r>
      <w:r w:rsidR="00DC6E2E" w:rsidRPr="00F05B90">
        <w:rPr>
          <w:rFonts w:ascii="Arial" w:hAnsi="Arial" w:cs="Arial"/>
          <w:i/>
          <w:iCs/>
          <w:sz w:val="20"/>
          <w:szCs w:val="20"/>
          <w:shd w:val="clear" w:color="auto" w:fill="FFFFFF"/>
        </w:rPr>
        <w:t>Academy of management review</w:t>
      </w:r>
      <w:r w:rsidR="00DC6E2E" w:rsidRPr="00F05B90">
        <w:rPr>
          <w:rFonts w:ascii="Arial" w:hAnsi="Arial" w:cs="Arial"/>
          <w:sz w:val="20"/>
          <w:szCs w:val="20"/>
          <w:shd w:val="clear" w:color="auto" w:fill="FFFFFF"/>
        </w:rPr>
        <w:t>, </w:t>
      </w:r>
      <w:r w:rsidR="00DC6E2E" w:rsidRPr="00F05B90">
        <w:rPr>
          <w:rFonts w:ascii="Arial" w:hAnsi="Arial" w:cs="Arial"/>
          <w:i/>
          <w:iCs/>
          <w:sz w:val="20"/>
          <w:szCs w:val="20"/>
          <w:shd w:val="clear" w:color="auto" w:fill="FFFFFF"/>
        </w:rPr>
        <w:t>32</w:t>
      </w:r>
      <w:r w:rsidR="00DC6E2E" w:rsidRPr="00F05B90">
        <w:rPr>
          <w:rFonts w:ascii="Arial" w:hAnsi="Arial" w:cs="Arial"/>
          <w:sz w:val="20"/>
          <w:szCs w:val="20"/>
          <w:shd w:val="clear" w:color="auto" w:fill="FFFFFF"/>
        </w:rPr>
        <w:t>(2), 334-343.</w:t>
      </w:r>
    </w:p>
    <w:p w14:paraId="230E52CA" w14:textId="72418120"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 xml:space="preserve">Hambrick, D. C., &amp; Mason, P. A. (1984). Upper echelons: The organization as a reflection of its top managers. </w:t>
      </w:r>
      <w:r w:rsidRPr="00F05B90">
        <w:rPr>
          <w:i/>
          <w:iCs/>
          <w:shd w:val="clear" w:color="auto" w:fill="FFFFFF"/>
          <w:lang w:val="en-GB"/>
        </w:rPr>
        <w:t xml:space="preserve">Academy of </w:t>
      </w:r>
      <w:r w:rsidR="00CF0777" w:rsidRPr="00F05B90">
        <w:rPr>
          <w:i/>
          <w:iCs/>
          <w:shd w:val="clear" w:color="auto" w:fill="FFFFFF"/>
          <w:lang w:val="en-GB"/>
        </w:rPr>
        <w:t>Management Review</w:t>
      </w:r>
      <w:r w:rsidRPr="00F05B90">
        <w:rPr>
          <w:shd w:val="clear" w:color="auto" w:fill="FFFFFF"/>
          <w:lang w:val="en-GB"/>
        </w:rPr>
        <w:t xml:space="preserve">, </w:t>
      </w:r>
      <w:r w:rsidRPr="00F05B90">
        <w:rPr>
          <w:i/>
          <w:iCs/>
          <w:shd w:val="clear" w:color="auto" w:fill="FFFFFF"/>
          <w:lang w:val="en-GB"/>
        </w:rPr>
        <w:t>9</w:t>
      </w:r>
      <w:r w:rsidRPr="00F05B90">
        <w:rPr>
          <w:shd w:val="clear" w:color="auto" w:fill="FFFFFF"/>
          <w:lang w:val="en-GB"/>
        </w:rPr>
        <w:t>(2), 193-206.</w:t>
      </w:r>
    </w:p>
    <w:p w14:paraId="778AC58E"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Harford, J., &amp; Li, K. (2007). Decoupling CEO wealth and firm performance: The case of acquiring CEOs. </w:t>
      </w:r>
      <w:r w:rsidRPr="00F05B90">
        <w:rPr>
          <w:i/>
          <w:iCs/>
          <w:shd w:val="clear" w:color="auto" w:fill="FFFFFF"/>
          <w:lang w:val="en-GB"/>
        </w:rPr>
        <w:t>The Journal of Finance</w:t>
      </w:r>
      <w:r w:rsidRPr="00F05B90">
        <w:rPr>
          <w:shd w:val="clear" w:color="auto" w:fill="FFFFFF"/>
          <w:lang w:val="en-GB"/>
        </w:rPr>
        <w:t>, </w:t>
      </w:r>
      <w:r w:rsidRPr="00F05B90">
        <w:rPr>
          <w:i/>
          <w:iCs/>
          <w:shd w:val="clear" w:color="auto" w:fill="FFFFFF"/>
          <w:lang w:val="en-GB"/>
        </w:rPr>
        <w:t>62</w:t>
      </w:r>
      <w:r w:rsidRPr="00F05B90">
        <w:rPr>
          <w:shd w:val="clear" w:color="auto" w:fill="FFFFFF"/>
          <w:lang w:val="en-GB"/>
        </w:rPr>
        <w:t>(2), 917-949.</w:t>
      </w:r>
    </w:p>
    <w:p w14:paraId="21C9BEF1"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Haß, L. H., Müller, M. A., &amp; Vergauwe, S. (2015). Tournament incentives and corporate fraud. </w:t>
      </w:r>
      <w:r w:rsidRPr="00F05B90">
        <w:rPr>
          <w:i/>
          <w:iCs/>
          <w:shd w:val="clear" w:color="auto" w:fill="FFFFFF"/>
          <w:lang w:val="en-GB"/>
        </w:rPr>
        <w:t>Journal of Corporate Finance</w:t>
      </w:r>
      <w:r w:rsidRPr="00F05B90">
        <w:rPr>
          <w:shd w:val="clear" w:color="auto" w:fill="FFFFFF"/>
          <w:lang w:val="en-GB"/>
        </w:rPr>
        <w:t>, </w:t>
      </w:r>
      <w:r w:rsidRPr="00F05B90">
        <w:rPr>
          <w:i/>
          <w:iCs/>
          <w:shd w:val="clear" w:color="auto" w:fill="FFFFFF"/>
          <w:lang w:val="en-GB"/>
        </w:rPr>
        <w:t>34</w:t>
      </w:r>
      <w:r w:rsidRPr="00F05B90">
        <w:rPr>
          <w:shd w:val="clear" w:color="auto" w:fill="FFFFFF"/>
          <w:lang w:val="en-GB"/>
        </w:rPr>
        <w:t>, 251-267.</w:t>
      </w:r>
    </w:p>
    <w:p w14:paraId="53AEDBD2" w14:textId="51F3D053" w:rsidR="007D3408" w:rsidRPr="00F05B90" w:rsidRDefault="007D3408" w:rsidP="00E45A68">
      <w:pPr>
        <w:pStyle w:val="NormalWeb"/>
        <w:spacing w:before="0" w:beforeAutospacing="0" w:after="0" w:afterAutospacing="0"/>
        <w:ind w:left="426" w:hanging="426"/>
        <w:jc w:val="both"/>
        <w:rPr>
          <w:lang w:val="en-GB"/>
        </w:rPr>
      </w:pPr>
      <w:r w:rsidRPr="00F05B90">
        <w:rPr>
          <w:lang w:val="en-GB"/>
        </w:rPr>
        <w:lastRenderedPageBreak/>
        <w:t xml:space="preserve">Hogan, C. E., </w:t>
      </w:r>
      <w:r w:rsidR="00E5162E" w:rsidRPr="00F05B90">
        <w:rPr>
          <w:lang w:val="en-GB"/>
        </w:rPr>
        <w:t xml:space="preserve">&amp; Wilkins, </w:t>
      </w:r>
      <w:r w:rsidRPr="00F05B90">
        <w:rPr>
          <w:lang w:val="en-GB"/>
        </w:rPr>
        <w:t xml:space="preserve">M. S. (2008). Evidence on the audit risk model: Do auditors increase audit fees in the presence of internal control deficiencies? </w:t>
      </w:r>
      <w:r w:rsidRPr="00F05B90">
        <w:rPr>
          <w:i/>
          <w:iCs/>
          <w:lang w:val="en-GB"/>
        </w:rPr>
        <w:t>Contemporary Accounting Research 25</w:t>
      </w:r>
      <w:r w:rsidRPr="00F05B90">
        <w:rPr>
          <w:lang w:val="en-GB"/>
        </w:rPr>
        <w:t>(1)</w:t>
      </w:r>
      <w:r w:rsidR="00F95A60" w:rsidRPr="00F05B90">
        <w:rPr>
          <w:lang w:val="en-GB"/>
        </w:rPr>
        <w:t>,</w:t>
      </w:r>
      <w:r w:rsidRPr="00F05B90">
        <w:rPr>
          <w:lang w:val="en-GB"/>
        </w:rPr>
        <w:t xml:space="preserve"> 219</w:t>
      </w:r>
      <w:r w:rsidR="00F95A60" w:rsidRPr="00F05B90">
        <w:rPr>
          <w:lang w:val="en-GB"/>
        </w:rPr>
        <w:t>-</w:t>
      </w:r>
      <w:r w:rsidRPr="00F05B90">
        <w:rPr>
          <w:lang w:val="en-GB"/>
        </w:rPr>
        <w:t>242.</w:t>
      </w:r>
    </w:p>
    <w:p w14:paraId="41AF055F"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Huang, J., Jain, B. A., &amp; Kini, O. (2019). Industry tournament incentives and the product-market benefits of corporate liquidity. </w:t>
      </w:r>
      <w:r w:rsidRPr="00F05B90">
        <w:rPr>
          <w:i/>
          <w:iCs/>
          <w:shd w:val="clear" w:color="auto" w:fill="FFFFFF"/>
          <w:lang w:val="en-GB"/>
        </w:rPr>
        <w:t>Journal of Financial and Quantitative Analysis</w:t>
      </w:r>
      <w:r w:rsidRPr="00F05B90">
        <w:rPr>
          <w:shd w:val="clear" w:color="auto" w:fill="FFFFFF"/>
          <w:lang w:val="en-GB"/>
        </w:rPr>
        <w:t>, </w:t>
      </w:r>
      <w:r w:rsidRPr="00F05B90">
        <w:rPr>
          <w:i/>
          <w:iCs/>
          <w:shd w:val="clear" w:color="auto" w:fill="FFFFFF"/>
          <w:lang w:val="en-GB"/>
        </w:rPr>
        <w:t>54</w:t>
      </w:r>
      <w:r w:rsidRPr="00F05B90">
        <w:rPr>
          <w:shd w:val="clear" w:color="auto" w:fill="FFFFFF"/>
          <w:lang w:val="en-GB"/>
        </w:rPr>
        <w:t>(2), 829-876.</w:t>
      </w:r>
    </w:p>
    <w:p w14:paraId="726DF3C9" w14:textId="37302DD3"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Huang, Q., Jiang, F., &amp; Xie, F. (2020). A dark side of industry tournament incentives. European Corporate Governance Institute</w:t>
      </w:r>
      <w:r w:rsidR="00F95A60" w:rsidRPr="00F05B90">
        <w:rPr>
          <w:shd w:val="clear" w:color="auto" w:fill="FFFFFF"/>
          <w:lang w:val="en-GB"/>
        </w:rPr>
        <w:t xml:space="preserve"> </w:t>
      </w:r>
      <w:r w:rsidRPr="00F05B90">
        <w:rPr>
          <w:shd w:val="clear" w:color="auto" w:fill="FFFFFF"/>
          <w:lang w:val="en-GB"/>
        </w:rPr>
        <w:t>–</w:t>
      </w:r>
      <w:r w:rsidR="00F95A60" w:rsidRPr="00F05B90">
        <w:rPr>
          <w:shd w:val="clear" w:color="auto" w:fill="FFFFFF"/>
          <w:lang w:val="en-GB"/>
        </w:rPr>
        <w:t xml:space="preserve"> </w:t>
      </w:r>
      <w:r w:rsidRPr="00F05B90">
        <w:rPr>
          <w:shd w:val="clear" w:color="auto" w:fill="FFFFFF"/>
          <w:lang w:val="en-GB"/>
        </w:rPr>
        <w:t>Finance Working Paper, (684).</w:t>
      </w:r>
    </w:p>
    <w:p w14:paraId="7F2E63E5"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Hvide, H. K. (2002). Tournament rewards and risk taking. </w:t>
      </w:r>
      <w:r w:rsidRPr="00F05B90">
        <w:rPr>
          <w:i/>
          <w:iCs/>
          <w:shd w:val="clear" w:color="auto" w:fill="FFFFFF"/>
          <w:lang w:val="en-GB"/>
        </w:rPr>
        <w:t>Journal of Labor Economics</w:t>
      </w:r>
      <w:r w:rsidRPr="00F05B90">
        <w:rPr>
          <w:shd w:val="clear" w:color="auto" w:fill="FFFFFF"/>
          <w:lang w:val="en-GB"/>
        </w:rPr>
        <w:t>, </w:t>
      </w:r>
      <w:r w:rsidRPr="00F05B90">
        <w:rPr>
          <w:i/>
          <w:iCs/>
          <w:shd w:val="clear" w:color="auto" w:fill="FFFFFF"/>
          <w:lang w:val="en-GB"/>
        </w:rPr>
        <w:t>20</w:t>
      </w:r>
      <w:r w:rsidRPr="00F05B90">
        <w:rPr>
          <w:shd w:val="clear" w:color="auto" w:fill="FFFFFF"/>
          <w:lang w:val="en-GB"/>
        </w:rPr>
        <w:t>(4), 877-898.</w:t>
      </w:r>
    </w:p>
    <w:p w14:paraId="31BB4E64" w14:textId="2F731191"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Institute of Chartered Accountants in England and Wales (ICAEW) </w:t>
      </w:r>
      <w:r w:rsidR="00F95A60" w:rsidRPr="00F05B90">
        <w:rPr>
          <w:lang w:val="en-GB"/>
        </w:rPr>
        <w:t>(</w:t>
      </w:r>
      <w:r w:rsidRPr="00F05B90">
        <w:rPr>
          <w:lang w:val="en-GB"/>
        </w:rPr>
        <w:t>2017</w:t>
      </w:r>
      <w:r w:rsidR="00F95A60" w:rsidRPr="00F05B90">
        <w:rPr>
          <w:lang w:val="en-GB"/>
        </w:rPr>
        <w:t>).</w:t>
      </w:r>
      <w:r w:rsidRPr="00F05B90">
        <w:rPr>
          <w:lang w:val="en-GB"/>
        </w:rPr>
        <w:t xml:space="preserve"> Artificial intelligence and the future of accountancy.</w:t>
      </w:r>
      <w:r w:rsidR="00DC6E2E" w:rsidRPr="00F05B90">
        <w:t xml:space="preserve"> </w:t>
      </w:r>
      <w:hyperlink r:id="rId13" w:history="1">
        <w:r w:rsidR="00DC6E2E" w:rsidRPr="00F05B90">
          <w:rPr>
            <w:rStyle w:val="Hyperlink"/>
            <w:rFonts w:eastAsiaTheme="majorEastAsia"/>
            <w:color w:val="auto"/>
          </w:rPr>
          <w:t>materiality-in-the-audit-of-financial-statements.ashx (icaew.com)</w:t>
        </w:r>
      </w:hyperlink>
    </w:p>
    <w:p w14:paraId="79BB1217" w14:textId="18D51080" w:rsidR="007D3408" w:rsidRPr="00F05B90" w:rsidRDefault="007D3408" w:rsidP="00E45A68">
      <w:pPr>
        <w:pStyle w:val="NormalWeb"/>
        <w:spacing w:before="0" w:beforeAutospacing="0" w:after="0" w:afterAutospacing="0"/>
        <w:ind w:left="426" w:hanging="426"/>
        <w:jc w:val="both"/>
        <w:rPr>
          <w:lang w:val="en-GB"/>
        </w:rPr>
      </w:pPr>
      <w:r w:rsidRPr="00F05B90">
        <w:rPr>
          <w:lang w:val="de-DE"/>
        </w:rPr>
        <w:t xml:space="preserve">Jensen, M. C., &amp; Meckling, W. H. (1976). </w:t>
      </w:r>
      <w:r w:rsidRPr="00F05B90">
        <w:rPr>
          <w:lang w:val="en-GB"/>
        </w:rPr>
        <w:t xml:space="preserve">Theory of the firm: Managerial behavior, agency costs and ownership structure. </w:t>
      </w:r>
      <w:r w:rsidRPr="00F05B90">
        <w:rPr>
          <w:i/>
          <w:iCs/>
          <w:lang w:val="en-GB"/>
        </w:rPr>
        <w:t xml:space="preserve">Journal of </w:t>
      </w:r>
      <w:r w:rsidR="00CF0777" w:rsidRPr="00F05B90">
        <w:rPr>
          <w:i/>
          <w:iCs/>
          <w:lang w:val="en-GB"/>
        </w:rPr>
        <w:t>Financial Economics</w:t>
      </w:r>
      <w:r w:rsidRPr="00F05B90">
        <w:rPr>
          <w:i/>
          <w:iCs/>
          <w:lang w:val="en-GB"/>
        </w:rPr>
        <w:t>, 3</w:t>
      </w:r>
      <w:r w:rsidRPr="00F05B90">
        <w:rPr>
          <w:lang w:val="en-GB"/>
        </w:rPr>
        <w:t>(4), 305-360.</w:t>
      </w:r>
    </w:p>
    <w:p w14:paraId="18B1EC4D" w14:textId="1DD6802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Jia, N. (2017). Tournament incentives and audit fees. </w:t>
      </w:r>
      <w:r w:rsidRPr="00F05B90">
        <w:rPr>
          <w:i/>
          <w:iCs/>
          <w:lang w:val="en-GB"/>
        </w:rPr>
        <w:t>Journal of Accounting and Public Policy, 36</w:t>
      </w:r>
      <w:r w:rsidRPr="00F05B90">
        <w:rPr>
          <w:lang w:val="en-GB"/>
        </w:rPr>
        <w:t>(5), 358-378.</w:t>
      </w:r>
    </w:p>
    <w:p w14:paraId="4DB0BA53" w14:textId="7E9E061E"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Jiang, J. X., Petroni, K. R., &amp; Wang, I. Y. (2010). CFOs and CEOs: Who have the most influence on earnings management? </w:t>
      </w:r>
      <w:r w:rsidRPr="00F05B90">
        <w:rPr>
          <w:i/>
          <w:iCs/>
          <w:shd w:val="clear" w:color="auto" w:fill="FFFFFF"/>
          <w:lang w:val="en-GB"/>
        </w:rPr>
        <w:t>Journal of Financial Economics</w:t>
      </w:r>
      <w:r w:rsidRPr="00F05B90">
        <w:rPr>
          <w:shd w:val="clear" w:color="auto" w:fill="FFFFFF"/>
          <w:lang w:val="en-GB"/>
        </w:rPr>
        <w:t>, </w:t>
      </w:r>
      <w:r w:rsidRPr="00F05B90">
        <w:rPr>
          <w:i/>
          <w:iCs/>
          <w:shd w:val="clear" w:color="auto" w:fill="FFFFFF"/>
          <w:lang w:val="en-GB"/>
        </w:rPr>
        <w:t>96</w:t>
      </w:r>
      <w:r w:rsidRPr="00F05B90">
        <w:rPr>
          <w:shd w:val="clear" w:color="auto" w:fill="FFFFFF"/>
          <w:lang w:val="en-GB"/>
        </w:rPr>
        <w:t>(3), 513-526.</w:t>
      </w:r>
    </w:p>
    <w:p w14:paraId="0FE8D986" w14:textId="00B657A1"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Kahneman, D., Knetsch, J. L., &amp; Thaler, R. (1986). Fairness as a constraint on profit seeking: Entitlements in the market. </w:t>
      </w:r>
      <w:r w:rsidRPr="00F05B90">
        <w:rPr>
          <w:i/>
          <w:iCs/>
          <w:shd w:val="clear" w:color="auto" w:fill="FFFFFF"/>
          <w:lang w:val="en-GB"/>
        </w:rPr>
        <w:t xml:space="preserve">The American </w:t>
      </w:r>
      <w:r w:rsidR="00CF0777" w:rsidRPr="00F05B90">
        <w:rPr>
          <w:i/>
          <w:iCs/>
          <w:shd w:val="clear" w:color="auto" w:fill="FFFFFF"/>
          <w:lang w:val="en-GB"/>
        </w:rPr>
        <w:t>Economic Review</w:t>
      </w:r>
      <w:r w:rsidRPr="00F05B90">
        <w:rPr>
          <w:shd w:val="clear" w:color="auto" w:fill="FFFFFF"/>
          <w:lang w:val="en-GB"/>
        </w:rPr>
        <w:t>,</w:t>
      </w:r>
      <w:r w:rsidR="00DC6E2E" w:rsidRPr="00F05B90">
        <w:rPr>
          <w:shd w:val="clear" w:color="auto" w:fill="FFFFFF"/>
          <w:lang w:val="en-GB"/>
        </w:rPr>
        <w:t xml:space="preserve"> 76(4),</w:t>
      </w:r>
      <w:r w:rsidRPr="00F05B90">
        <w:rPr>
          <w:shd w:val="clear" w:color="auto" w:fill="FFFFFF"/>
          <w:lang w:val="en-GB"/>
        </w:rPr>
        <w:t xml:space="preserve"> 728-741.</w:t>
      </w:r>
    </w:p>
    <w:p w14:paraId="72ED9536" w14:textId="7F1C867B"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Kannan, Y. H., Skantz, T. R., &amp; Higgs, J. L. (2014). The impact of CEO and CFO equity incentives on audit scope and perceived risks as revealed through audit fees. </w:t>
      </w:r>
      <w:r w:rsidRPr="00F05B90">
        <w:rPr>
          <w:i/>
          <w:iCs/>
          <w:lang w:val="en-GB"/>
        </w:rPr>
        <w:t>Auditing: A Journal of Practice &amp; Theory, 33</w:t>
      </w:r>
      <w:r w:rsidRPr="00F05B90">
        <w:rPr>
          <w:lang w:val="en-GB"/>
        </w:rPr>
        <w:t>(2), 111-139.</w:t>
      </w:r>
    </w:p>
    <w:p w14:paraId="04601552" w14:textId="3FDD9E15" w:rsidR="00010317" w:rsidRPr="00F05B90" w:rsidRDefault="00010317" w:rsidP="00E45A68">
      <w:pPr>
        <w:pStyle w:val="NormalWeb"/>
        <w:spacing w:before="0" w:beforeAutospacing="0" w:after="0" w:afterAutospacing="0"/>
        <w:ind w:left="426" w:hanging="426"/>
        <w:jc w:val="both"/>
        <w:rPr>
          <w:lang w:val="en-GB"/>
        </w:rPr>
      </w:pPr>
      <w:r w:rsidRPr="00F05B90">
        <w:rPr>
          <w:lang w:val="en-GB"/>
        </w:rPr>
        <w:t xml:space="preserve">Kim, Y., Li, H., &amp; Li, S. (2014). CEO equity incentives and audit fees. Contemporary Accounting Research, 32(2), 608–638. https://doi.org/10.1111/1911-3846.12096 . </w:t>
      </w:r>
    </w:p>
    <w:p w14:paraId="5F1BA0DE"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Kini, O., &amp; Williams, R. (2012). Tournament incentives, firm risk, and corporate policies. </w:t>
      </w:r>
      <w:r w:rsidRPr="00F05B90">
        <w:rPr>
          <w:i/>
          <w:iCs/>
          <w:shd w:val="clear" w:color="auto" w:fill="FFFFFF"/>
          <w:lang w:val="en-GB"/>
        </w:rPr>
        <w:t>Journal of Financial Economics</w:t>
      </w:r>
      <w:r w:rsidRPr="00F05B90">
        <w:rPr>
          <w:shd w:val="clear" w:color="auto" w:fill="FFFFFF"/>
          <w:lang w:val="en-GB"/>
        </w:rPr>
        <w:t>, </w:t>
      </w:r>
      <w:r w:rsidRPr="00F05B90">
        <w:rPr>
          <w:i/>
          <w:iCs/>
          <w:shd w:val="clear" w:color="auto" w:fill="FFFFFF"/>
          <w:lang w:val="en-GB"/>
        </w:rPr>
        <w:t>103</w:t>
      </w:r>
      <w:r w:rsidRPr="00F05B90">
        <w:rPr>
          <w:shd w:val="clear" w:color="auto" w:fill="FFFFFF"/>
          <w:lang w:val="en-GB"/>
        </w:rPr>
        <w:t>(2), 350-376.</w:t>
      </w:r>
    </w:p>
    <w:p w14:paraId="41F757E3" w14:textId="151D4EEC"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Kinney, W. R., Palmrose, Z. V., </w:t>
      </w:r>
      <w:r w:rsidR="00E5162E" w:rsidRPr="00F05B90">
        <w:rPr>
          <w:lang w:val="en-GB"/>
        </w:rPr>
        <w:t xml:space="preserve">&amp; </w:t>
      </w:r>
      <w:r w:rsidRPr="00F05B90">
        <w:rPr>
          <w:lang w:val="en-GB"/>
        </w:rPr>
        <w:t xml:space="preserve">Scholz, S. (2004). Auditor independence, non‐audit services, and restatements: Was the US Government right? </w:t>
      </w:r>
      <w:r w:rsidRPr="00F05B90">
        <w:rPr>
          <w:i/>
          <w:iCs/>
          <w:lang w:val="en-GB"/>
        </w:rPr>
        <w:t>Journal of Accounting Research 42</w:t>
      </w:r>
      <w:r w:rsidRPr="00F05B90">
        <w:rPr>
          <w:lang w:val="en-GB"/>
        </w:rPr>
        <w:t>(3), 561-588.</w:t>
      </w:r>
    </w:p>
    <w:p w14:paraId="48F3873E" w14:textId="20695FF2"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Kubick, T. R., &amp; Lockhart, G. B. (2016). Do external labor market incentives motivate CEOs to adopt more aggressive corporate tax reporting preferences? </w:t>
      </w:r>
      <w:r w:rsidRPr="00F05B90">
        <w:rPr>
          <w:i/>
          <w:iCs/>
          <w:shd w:val="clear" w:color="auto" w:fill="FFFFFF"/>
          <w:lang w:val="en-GB"/>
        </w:rPr>
        <w:t>Journal of Corporate Finance</w:t>
      </w:r>
      <w:r w:rsidRPr="00F05B90">
        <w:rPr>
          <w:shd w:val="clear" w:color="auto" w:fill="FFFFFF"/>
          <w:lang w:val="en-GB"/>
        </w:rPr>
        <w:t>, </w:t>
      </w:r>
      <w:r w:rsidRPr="00F05B90">
        <w:rPr>
          <w:i/>
          <w:iCs/>
          <w:shd w:val="clear" w:color="auto" w:fill="FFFFFF"/>
          <w:lang w:val="en-GB"/>
        </w:rPr>
        <w:t>36</w:t>
      </w:r>
      <w:r w:rsidRPr="00F05B90">
        <w:rPr>
          <w:shd w:val="clear" w:color="auto" w:fill="FFFFFF"/>
          <w:lang w:val="en-GB"/>
        </w:rPr>
        <w:t>, 255-277.</w:t>
      </w:r>
    </w:p>
    <w:p w14:paraId="41981EF4"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Kubick, T. R., &amp; Lockhart, G. B. (2021). Industry tournament incentives and stock price crash risk. </w:t>
      </w:r>
      <w:r w:rsidRPr="00F05B90">
        <w:rPr>
          <w:i/>
          <w:iCs/>
          <w:shd w:val="clear" w:color="auto" w:fill="FFFFFF"/>
          <w:lang w:val="en-GB"/>
        </w:rPr>
        <w:t>Financial Management</w:t>
      </w:r>
      <w:r w:rsidRPr="00F05B90">
        <w:rPr>
          <w:shd w:val="clear" w:color="auto" w:fill="FFFFFF"/>
          <w:lang w:val="en-GB"/>
        </w:rPr>
        <w:t>, </w:t>
      </w:r>
      <w:r w:rsidRPr="00F05B90">
        <w:rPr>
          <w:i/>
          <w:iCs/>
          <w:shd w:val="clear" w:color="auto" w:fill="FFFFFF"/>
          <w:lang w:val="en-GB"/>
        </w:rPr>
        <w:t>50</w:t>
      </w:r>
      <w:r w:rsidRPr="00F05B90">
        <w:rPr>
          <w:shd w:val="clear" w:color="auto" w:fill="FFFFFF"/>
          <w:lang w:val="en-GB"/>
        </w:rPr>
        <w:t>(2), 345-369.</w:t>
      </w:r>
    </w:p>
    <w:p w14:paraId="03E850C9" w14:textId="474FD897"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 xml:space="preserve">Kwon, S. Y., &amp; Yi, H. S. (2018). Do social ties between CEOs and engagement audit partners affect audit quality and audit fees? </w:t>
      </w:r>
      <w:r w:rsidRPr="00F05B90">
        <w:rPr>
          <w:i/>
          <w:iCs/>
          <w:shd w:val="clear" w:color="auto" w:fill="FFFFFF"/>
          <w:lang w:val="en-GB"/>
        </w:rPr>
        <w:t>Auditing: A Journal of Practice &amp; Theory</w:t>
      </w:r>
      <w:r w:rsidRPr="00F05B90">
        <w:rPr>
          <w:shd w:val="clear" w:color="auto" w:fill="FFFFFF"/>
          <w:lang w:val="en-GB"/>
        </w:rPr>
        <w:t xml:space="preserve">, </w:t>
      </w:r>
      <w:r w:rsidRPr="00F05B90">
        <w:rPr>
          <w:i/>
          <w:iCs/>
          <w:shd w:val="clear" w:color="auto" w:fill="FFFFFF"/>
          <w:lang w:val="en-GB"/>
        </w:rPr>
        <w:t>37</w:t>
      </w:r>
      <w:r w:rsidRPr="00F05B90">
        <w:rPr>
          <w:shd w:val="clear" w:color="auto" w:fill="FFFFFF"/>
          <w:lang w:val="en-GB"/>
        </w:rPr>
        <w:t>(2), 139-161.</w:t>
      </w:r>
    </w:p>
    <w:p w14:paraId="026FCFD8" w14:textId="6A933975"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Laux, C., &amp; Laux, V. (2009). Board committees, CEO compensation, and earnings management. </w:t>
      </w:r>
      <w:r w:rsidRPr="00F05B90">
        <w:rPr>
          <w:i/>
          <w:iCs/>
          <w:shd w:val="clear" w:color="auto" w:fill="FFFFFF"/>
          <w:lang w:val="en-GB"/>
        </w:rPr>
        <w:t xml:space="preserve">The </w:t>
      </w:r>
      <w:r w:rsidR="00CF0777" w:rsidRPr="00F05B90">
        <w:rPr>
          <w:i/>
          <w:iCs/>
          <w:shd w:val="clear" w:color="auto" w:fill="FFFFFF"/>
          <w:lang w:val="en-GB"/>
        </w:rPr>
        <w:t>Accounting Review</w:t>
      </w:r>
      <w:r w:rsidRPr="00F05B90">
        <w:rPr>
          <w:shd w:val="clear" w:color="auto" w:fill="FFFFFF"/>
          <w:lang w:val="en-GB"/>
        </w:rPr>
        <w:t>, </w:t>
      </w:r>
      <w:r w:rsidRPr="00F05B90">
        <w:rPr>
          <w:i/>
          <w:iCs/>
          <w:shd w:val="clear" w:color="auto" w:fill="FFFFFF"/>
          <w:lang w:val="en-GB"/>
        </w:rPr>
        <w:t>84</w:t>
      </w:r>
      <w:r w:rsidRPr="00F05B90">
        <w:rPr>
          <w:shd w:val="clear" w:color="auto" w:fill="FFFFFF"/>
          <w:lang w:val="en-GB"/>
        </w:rPr>
        <w:t>(3), 869-891.</w:t>
      </w:r>
    </w:p>
    <w:p w14:paraId="0F2926D2" w14:textId="50AEC699" w:rsidR="007D3408" w:rsidRPr="00F05B90" w:rsidRDefault="007D3408" w:rsidP="00E45A68">
      <w:pPr>
        <w:pStyle w:val="NormalWeb"/>
        <w:spacing w:before="0" w:beforeAutospacing="0" w:after="0" w:afterAutospacing="0"/>
        <w:ind w:left="426" w:hanging="426"/>
        <w:jc w:val="both"/>
        <w:rPr>
          <w:lang w:val="en-GB"/>
        </w:rPr>
      </w:pPr>
      <w:r w:rsidRPr="00F05B90">
        <w:rPr>
          <w:lang w:val="en-GB"/>
        </w:rPr>
        <w:t>Lazear E</w:t>
      </w:r>
      <w:r w:rsidR="00E5162E" w:rsidRPr="00F05B90">
        <w:rPr>
          <w:lang w:val="en-GB"/>
        </w:rPr>
        <w:t xml:space="preserve">. </w:t>
      </w:r>
      <w:r w:rsidRPr="00F05B90">
        <w:rPr>
          <w:lang w:val="en-GB"/>
        </w:rPr>
        <w:t>P</w:t>
      </w:r>
      <w:r w:rsidR="00E5162E" w:rsidRPr="00F05B90">
        <w:rPr>
          <w:lang w:val="en-GB"/>
        </w:rPr>
        <w:t>.</w:t>
      </w:r>
      <w:r w:rsidRPr="00F05B90">
        <w:rPr>
          <w:lang w:val="en-GB"/>
        </w:rPr>
        <w:t>,</w:t>
      </w:r>
      <w:r w:rsidR="00E5162E" w:rsidRPr="00F05B90">
        <w:rPr>
          <w:lang w:val="en-GB"/>
        </w:rPr>
        <w:t xml:space="preserve"> &amp;</w:t>
      </w:r>
      <w:r w:rsidRPr="00F05B90">
        <w:rPr>
          <w:lang w:val="en-GB"/>
        </w:rPr>
        <w:t xml:space="preserve"> Rosen</w:t>
      </w:r>
      <w:r w:rsidR="00E5162E" w:rsidRPr="00F05B90">
        <w:rPr>
          <w:lang w:val="en-GB"/>
        </w:rPr>
        <w:t>,</w:t>
      </w:r>
      <w:r w:rsidRPr="00F05B90">
        <w:rPr>
          <w:lang w:val="en-GB"/>
        </w:rPr>
        <w:t xml:space="preserve"> S. </w:t>
      </w:r>
      <w:r w:rsidR="00E5162E" w:rsidRPr="00F05B90">
        <w:rPr>
          <w:lang w:val="en-GB"/>
        </w:rPr>
        <w:t>(</w:t>
      </w:r>
      <w:r w:rsidRPr="00F05B90">
        <w:rPr>
          <w:lang w:val="en-GB"/>
        </w:rPr>
        <w:t>1981</w:t>
      </w:r>
      <w:r w:rsidR="00E5162E" w:rsidRPr="00F05B90">
        <w:rPr>
          <w:lang w:val="en-GB"/>
        </w:rPr>
        <w:t>)</w:t>
      </w:r>
      <w:r w:rsidRPr="00F05B90">
        <w:rPr>
          <w:lang w:val="en-GB"/>
        </w:rPr>
        <w:t>. Rank-order tournaments as optimum labor contracts</w:t>
      </w:r>
      <w:r w:rsidRPr="00F05B90">
        <w:rPr>
          <w:i/>
          <w:iCs/>
          <w:lang w:val="en-GB"/>
        </w:rPr>
        <w:t>. Journal of Political Economy 89</w:t>
      </w:r>
      <w:r w:rsidR="00CF0777" w:rsidRPr="00F05B90">
        <w:rPr>
          <w:lang w:val="en-GB"/>
        </w:rPr>
        <w:t>,</w:t>
      </w:r>
      <w:r w:rsidRPr="00F05B90">
        <w:rPr>
          <w:lang w:val="en-GB"/>
        </w:rPr>
        <w:t xml:space="preserve"> 841</w:t>
      </w:r>
      <w:r w:rsidR="00F95A60" w:rsidRPr="00F05B90">
        <w:rPr>
          <w:lang w:val="en-GB"/>
        </w:rPr>
        <w:t>-</w:t>
      </w:r>
      <w:r w:rsidRPr="00F05B90">
        <w:rPr>
          <w:lang w:val="en-GB"/>
        </w:rPr>
        <w:t>864.</w:t>
      </w:r>
    </w:p>
    <w:p w14:paraId="38C2F498" w14:textId="77777777"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Lazear, E. P. (2000). The power of incentives. </w:t>
      </w:r>
      <w:r w:rsidRPr="00F05B90">
        <w:rPr>
          <w:i/>
          <w:iCs/>
          <w:shd w:val="clear" w:color="auto" w:fill="FFFFFF"/>
          <w:lang w:val="en-GB"/>
        </w:rPr>
        <w:t>American Economic Review</w:t>
      </w:r>
      <w:r w:rsidRPr="00F05B90">
        <w:rPr>
          <w:shd w:val="clear" w:color="auto" w:fill="FFFFFF"/>
          <w:lang w:val="en-GB"/>
        </w:rPr>
        <w:t>, </w:t>
      </w:r>
      <w:r w:rsidRPr="00F05B90">
        <w:rPr>
          <w:i/>
          <w:iCs/>
          <w:shd w:val="clear" w:color="auto" w:fill="FFFFFF"/>
          <w:lang w:val="en-GB"/>
        </w:rPr>
        <w:t>90</w:t>
      </w:r>
      <w:r w:rsidRPr="00F05B90">
        <w:rPr>
          <w:shd w:val="clear" w:color="auto" w:fill="FFFFFF"/>
          <w:lang w:val="en-GB"/>
        </w:rPr>
        <w:t>(2), 410-414.</w:t>
      </w:r>
    </w:p>
    <w:p w14:paraId="2A2E4ECD" w14:textId="5C05BA37" w:rsidR="007D3408" w:rsidRPr="00F05B90" w:rsidRDefault="007D3408" w:rsidP="00E45A68">
      <w:pPr>
        <w:pStyle w:val="NormalWeb"/>
        <w:spacing w:before="0" w:beforeAutospacing="0" w:after="0" w:afterAutospacing="0"/>
        <w:ind w:left="426" w:hanging="426"/>
        <w:jc w:val="both"/>
        <w:rPr>
          <w:lang w:val="en-GB"/>
        </w:rPr>
      </w:pPr>
      <w:r w:rsidRPr="00F05B90">
        <w:rPr>
          <w:lang w:val="en-GB"/>
        </w:rPr>
        <w:t>Lennox, C.</w:t>
      </w:r>
      <w:r w:rsidR="00E5162E" w:rsidRPr="00F05B90">
        <w:rPr>
          <w:lang w:val="en-GB"/>
        </w:rPr>
        <w:t xml:space="preserve"> </w:t>
      </w:r>
      <w:r w:rsidRPr="00F05B90">
        <w:rPr>
          <w:lang w:val="en-GB"/>
        </w:rPr>
        <w:t>S., Schmidt, J.</w:t>
      </w:r>
      <w:r w:rsidR="00E5162E" w:rsidRPr="00F05B90">
        <w:rPr>
          <w:lang w:val="en-GB"/>
        </w:rPr>
        <w:t xml:space="preserve"> </w:t>
      </w:r>
      <w:r w:rsidRPr="00F05B90">
        <w:rPr>
          <w:lang w:val="en-GB"/>
        </w:rPr>
        <w:t>J., &amp; Thompson, A. (2018). Is the expanded model of audit reporting informative to investors? Evidence from the UK. Working paper, February. Available at SSRN:</w:t>
      </w:r>
      <w:r w:rsidR="00F95A60" w:rsidRPr="00F05B90">
        <w:rPr>
          <w:lang w:val="en-GB"/>
        </w:rPr>
        <w:t xml:space="preserve"> https://ssrn.com/abstract=2619785</w:t>
      </w:r>
      <w:r w:rsidRPr="00F05B90">
        <w:rPr>
          <w:lang w:val="en-GB"/>
        </w:rPr>
        <w:t>.</w:t>
      </w:r>
    </w:p>
    <w:p w14:paraId="4338AC97" w14:textId="77777777" w:rsidR="001C75E4"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de-DE"/>
        </w:rPr>
        <w:t xml:space="preserve">Liu, Y., Wei, Z., &amp; Xie, F. (2014). </w:t>
      </w:r>
      <w:r w:rsidRPr="00F05B90">
        <w:rPr>
          <w:shd w:val="clear" w:color="auto" w:fill="FFFFFF"/>
          <w:lang w:val="en-GB"/>
        </w:rPr>
        <w:t xml:space="preserve">Do women directors improve firm performance in China? </w:t>
      </w:r>
      <w:r w:rsidRPr="00F05B90">
        <w:rPr>
          <w:i/>
          <w:iCs/>
          <w:lang w:val="en-GB"/>
        </w:rPr>
        <w:t xml:space="preserve">Journal of </w:t>
      </w:r>
      <w:r w:rsidR="00CF0777" w:rsidRPr="00F05B90">
        <w:rPr>
          <w:i/>
          <w:iCs/>
          <w:lang w:val="en-GB"/>
        </w:rPr>
        <w:t>Corporate Finance</w:t>
      </w:r>
      <w:r w:rsidRPr="00F05B90">
        <w:rPr>
          <w:lang w:val="en-GB"/>
        </w:rPr>
        <w:t xml:space="preserve">, </w:t>
      </w:r>
      <w:r w:rsidRPr="00F05B90">
        <w:rPr>
          <w:i/>
          <w:iCs/>
          <w:lang w:val="en-GB"/>
        </w:rPr>
        <w:t>28</w:t>
      </w:r>
      <w:r w:rsidRPr="00F05B90">
        <w:rPr>
          <w:lang w:val="en-GB"/>
        </w:rPr>
        <w:t>, 169-184.</w:t>
      </w:r>
    </w:p>
    <w:p w14:paraId="4B8EBFA8" w14:textId="1895BB21" w:rsidR="001C75E4" w:rsidRPr="00F05B90" w:rsidRDefault="001C75E4" w:rsidP="00E45A68">
      <w:pPr>
        <w:pStyle w:val="NormalWeb"/>
        <w:spacing w:before="0" w:beforeAutospacing="0" w:after="0" w:afterAutospacing="0"/>
        <w:ind w:left="426" w:hanging="426"/>
        <w:jc w:val="both"/>
        <w:rPr>
          <w:lang w:val="en-GB"/>
        </w:rPr>
      </w:pPr>
      <w:r w:rsidRPr="00F05B90">
        <w:lastRenderedPageBreak/>
        <w:t xml:space="preserve">Livne, G., Tsipouridou, M., &amp; Wood, A. (2024). Do Audit Committees and Auditors Coordinate Effort? Evidence from Risk Areas, Materiality, and Meetings. </w:t>
      </w:r>
      <w:r w:rsidRPr="00F05B90">
        <w:rPr>
          <w:i/>
        </w:rPr>
        <w:t>The Accounting Review</w:t>
      </w:r>
      <w:r w:rsidRPr="00F05B90">
        <w:t>,</w:t>
      </w:r>
      <w:r w:rsidRPr="00F05B90">
        <w:rPr>
          <w:i/>
        </w:rPr>
        <w:t xml:space="preserve"> 99</w:t>
      </w:r>
      <w:r w:rsidRPr="00F05B90">
        <w:t xml:space="preserve">(3), 349-372. https://doi.org/10.2308/tar-2020-0441 </w:t>
      </w:r>
    </w:p>
    <w:p w14:paraId="1B260741" w14:textId="566F33AC"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Lueg, R., Punda, P., &amp; Burkert, M. (2014). Does transition to IFRS substantially affect key financial ratios in shareholder-oriented common law regimes? Evidence from the UK. </w:t>
      </w:r>
      <w:r w:rsidRPr="00F05B90">
        <w:rPr>
          <w:i/>
          <w:iCs/>
          <w:shd w:val="clear" w:color="auto" w:fill="FFFFFF"/>
          <w:lang w:val="en-GB"/>
        </w:rPr>
        <w:t xml:space="preserve">Advances in </w:t>
      </w:r>
      <w:r w:rsidR="00CF0777" w:rsidRPr="00F05B90">
        <w:rPr>
          <w:i/>
          <w:iCs/>
          <w:shd w:val="clear" w:color="auto" w:fill="FFFFFF"/>
          <w:lang w:val="en-GB"/>
        </w:rPr>
        <w:t>Accounting</w:t>
      </w:r>
      <w:r w:rsidRPr="00F05B90">
        <w:rPr>
          <w:shd w:val="clear" w:color="auto" w:fill="FFFFFF"/>
          <w:lang w:val="en-GB"/>
        </w:rPr>
        <w:t>, </w:t>
      </w:r>
      <w:r w:rsidRPr="00F05B90">
        <w:rPr>
          <w:i/>
          <w:iCs/>
          <w:shd w:val="clear" w:color="auto" w:fill="FFFFFF"/>
          <w:lang w:val="en-GB"/>
        </w:rPr>
        <w:t>30</w:t>
      </w:r>
      <w:r w:rsidRPr="00F05B90">
        <w:rPr>
          <w:shd w:val="clear" w:color="auto" w:fill="FFFFFF"/>
          <w:lang w:val="en-GB"/>
        </w:rPr>
        <w:t>(1), 241-250.</w:t>
      </w:r>
    </w:p>
    <w:p w14:paraId="0845E7EE" w14:textId="49693446" w:rsidR="00E96DBA"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Ma, M., Pan, J., &amp; Stubben, S. R. (2020). The effect of local tournament incentives on firms' performance, risk-taking decisions, and financial reporting decisions. </w:t>
      </w:r>
      <w:r w:rsidRPr="00F05B90">
        <w:rPr>
          <w:i/>
          <w:iCs/>
          <w:shd w:val="clear" w:color="auto" w:fill="FFFFFF"/>
          <w:lang w:val="en-GB"/>
        </w:rPr>
        <w:t>The Accounting Review</w:t>
      </w:r>
      <w:r w:rsidRPr="00F05B90">
        <w:rPr>
          <w:shd w:val="clear" w:color="auto" w:fill="FFFFFF"/>
          <w:lang w:val="en-GB"/>
        </w:rPr>
        <w:t>, </w:t>
      </w:r>
      <w:r w:rsidRPr="00F05B90">
        <w:rPr>
          <w:i/>
          <w:iCs/>
          <w:shd w:val="clear" w:color="auto" w:fill="FFFFFF"/>
          <w:lang w:val="en-GB"/>
        </w:rPr>
        <w:t>95</w:t>
      </w:r>
      <w:r w:rsidRPr="00F05B90">
        <w:rPr>
          <w:shd w:val="clear" w:color="auto" w:fill="FFFFFF"/>
          <w:lang w:val="en-GB"/>
        </w:rPr>
        <w:t>(2), 283-309.</w:t>
      </w:r>
    </w:p>
    <w:p w14:paraId="680EA178" w14:textId="71C91CC9"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 xml:space="preserve">Matsunaga, S. R., &amp; Yeung, P. E. (2008). Evidence on the impact of a CEO's financial experience on the quality of the firm's financial reports and disclosures. </w:t>
      </w:r>
      <w:r w:rsidR="00FF01B7" w:rsidRPr="00F05B90">
        <w:t>Proceedings of the 2008 AAA Financial Accounting and Reporting Section Conference.</w:t>
      </w:r>
    </w:p>
    <w:p w14:paraId="14555E93" w14:textId="14D8F402" w:rsidR="007D3408" w:rsidRPr="00F05B90" w:rsidRDefault="007D3408" w:rsidP="00E45A68">
      <w:pPr>
        <w:pStyle w:val="NormalWeb"/>
        <w:spacing w:before="0" w:beforeAutospacing="0" w:after="0" w:afterAutospacing="0"/>
        <w:ind w:left="426" w:hanging="426"/>
        <w:jc w:val="both"/>
        <w:rPr>
          <w:lang w:val="en-GB"/>
        </w:rPr>
      </w:pPr>
      <w:r w:rsidRPr="00F05B90">
        <w:rPr>
          <w:lang w:val="de-DE"/>
        </w:rPr>
        <w:t xml:space="preserve">Matsunaga, S. R., Wang, </w:t>
      </w:r>
      <w:r w:rsidR="00E5162E" w:rsidRPr="00F05B90">
        <w:rPr>
          <w:lang w:val="de-DE"/>
        </w:rPr>
        <w:t>S., &amp; Yeung,</w:t>
      </w:r>
      <w:r w:rsidR="00E5162E" w:rsidRPr="00F05B90" w:rsidDel="00E5162E">
        <w:rPr>
          <w:lang w:val="de-DE"/>
        </w:rPr>
        <w:t xml:space="preserve"> </w:t>
      </w:r>
      <w:r w:rsidRPr="00F05B90">
        <w:rPr>
          <w:lang w:val="de-DE"/>
        </w:rPr>
        <w:t xml:space="preserve">P. E. (2013). </w:t>
      </w:r>
      <w:r w:rsidRPr="00F05B90">
        <w:rPr>
          <w:lang w:val="en-GB"/>
        </w:rPr>
        <w:t>Does Appointing a Former CFO as CEO Influence a Firm’s Accounting Policies? Working paper, University of Oregon.</w:t>
      </w:r>
    </w:p>
    <w:p w14:paraId="2A19E90C" w14:textId="702EF8FA"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Mehran, H. (1995). Executive compensation structure, ownership, and firm performance. </w:t>
      </w:r>
      <w:r w:rsidRPr="00F05B90">
        <w:rPr>
          <w:i/>
          <w:iCs/>
          <w:shd w:val="clear" w:color="auto" w:fill="FFFFFF"/>
          <w:lang w:val="en-GB"/>
        </w:rPr>
        <w:t xml:space="preserve">Journal of </w:t>
      </w:r>
      <w:r w:rsidR="00CF0777" w:rsidRPr="00F05B90">
        <w:rPr>
          <w:i/>
          <w:iCs/>
          <w:shd w:val="clear" w:color="auto" w:fill="FFFFFF"/>
          <w:lang w:val="en-GB"/>
        </w:rPr>
        <w:t>Financial Economics</w:t>
      </w:r>
      <w:r w:rsidRPr="00F05B90">
        <w:rPr>
          <w:shd w:val="clear" w:color="auto" w:fill="FFFFFF"/>
          <w:lang w:val="en-GB"/>
        </w:rPr>
        <w:t>, </w:t>
      </w:r>
      <w:r w:rsidRPr="00F05B90">
        <w:rPr>
          <w:i/>
          <w:iCs/>
          <w:shd w:val="clear" w:color="auto" w:fill="FFFFFF"/>
          <w:lang w:val="en-GB"/>
        </w:rPr>
        <w:t>38</w:t>
      </w:r>
      <w:r w:rsidRPr="00F05B90">
        <w:rPr>
          <w:shd w:val="clear" w:color="auto" w:fill="FFFFFF"/>
          <w:lang w:val="en-GB"/>
        </w:rPr>
        <w:t>(2), 163-184.</w:t>
      </w:r>
    </w:p>
    <w:p w14:paraId="3F0E3B50" w14:textId="72C216A3" w:rsidR="007D3408" w:rsidRPr="00F05B90" w:rsidRDefault="007D3408" w:rsidP="00E45A68">
      <w:pPr>
        <w:pStyle w:val="NormalWeb"/>
        <w:spacing w:before="0" w:beforeAutospacing="0" w:after="0" w:afterAutospacing="0"/>
        <w:ind w:left="426" w:hanging="426"/>
        <w:jc w:val="both"/>
        <w:rPr>
          <w:lang w:val="en-GB"/>
        </w:rPr>
      </w:pPr>
      <w:r w:rsidRPr="00F05B90">
        <w:rPr>
          <w:lang w:val="en-GB"/>
        </w:rPr>
        <w:t>Messier</w:t>
      </w:r>
      <w:r w:rsidR="005F66A0" w:rsidRPr="00F05B90">
        <w:rPr>
          <w:lang w:val="en-GB"/>
        </w:rPr>
        <w:t xml:space="preserve"> Jr</w:t>
      </w:r>
      <w:r w:rsidRPr="00F05B90">
        <w:rPr>
          <w:lang w:val="en-GB"/>
        </w:rPr>
        <w:t xml:space="preserve">, W., Glover, S., &amp; Prawitt, D. (2019). </w:t>
      </w:r>
      <w:r w:rsidRPr="00F05B90">
        <w:rPr>
          <w:i/>
          <w:iCs/>
          <w:lang w:val="en-GB"/>
        </w:rPr>
        <w:t xml:space="preserve">Auditing </w:t>
      </w:r>
      <w:r w:rsidR="00CF0777" w:rsidRPr="00F05B90">
        <w:rPr>
          <w:i/>
          <w:iCs/>
          <w:lang w:val="en-GB"/>
        </w:rPr>
        <w:t xml:space="preserve">and Assurance Services: </w:t>
      </w:r>
      <w:r w:rsidRPr="00F05B90">
        <w:rPr>
          <w:i/>
          <w:iCs/>
          <w:lang w:val="en-GB"/>
        </w:rPr>
        <w:t xml:space="preserve">A </w:t>
      </w:r>
      <w:r w:rsidR="00CF0777" w:rsidRPr="00F05B90">
        <w:rPr>
          <w:i/>
          <w:iCs/>
          <w:lang w:val="en-GB"/>
        </w:rPr>
        <w:t>Systematic Approach</w:t>
      </w:r>
      <w:r w:rsidRPr="00F05B90">
        <w:rPr>
          <w:lang w:val="en-GB"/>
        </w:rPr>
        <w:t>. New York, NY: McGraw-Hill Education.</w:t>
      </w:r>
    </w:p>
    <w:p w14:paraId="2006509E" w14:textId="77777777"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Mian, S. (2001). On the choice and replacement of chief financial officers. </w:t>
      </w:r>
      <w:r w:rsidRPr="00F05B90">
        <w:rPr>
          <w:i/>
          <w:iCs/>
          <w:shd w:val="clear" w:color="auto" w:fill="FFFFFF"/>
          <w:lang w:val="en-GB"/>
        </w:rPr>
        <w:t>Journal of Financial Economics</w:t>
      </w:r>
      <w:r w:rsidRPr="00F05B90">
        <w:rPr>
          <w:shd w:val="clear" w:color="auto" w:fill="FFFFFF"/>
          <w:lang w:val="en-GB"/>
        </w:rPr>
        <w:t>, </w:t>
      </w:r>
      <w:r w:rsidRPr="00F05B90">
        <w:rPr>
          <w:i/>
          <w:iCs/>
          <w:shd w:val="clear" w:color="auto" w:fill="FFFFFF"/>
          <w:lang w:val="en-GB"/>
        </w:rPr>
        <w:t>60</w:t>
      </w:r>
      <w:r w:rsidRPr="00F05B90">
        <w:rPr>
          <w:shd w:val="clear" w:color="auto" w:fill="FFFFFF"/>
          <w:lang w:val="en-GB"/>
        </w:rPr>
        <w:t>(1), 143-175.</w:t>
      </w:r>
    </w:p>
    <w:p w14:paraId="2D4F8E19" w14:textId="77777777"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 xml:space="preserve">Mitra, S., Song, H., Lee, S. M., &amp; Kwon, S. H. (2020). CEO tenure and audit pricing. </w:t>
      </w:r>
      <w:r w:rsidRPr="00F05B90">
        <w:rPr>
          <w:i/>
          <w:iCs/>
          <w:shd w:val="clear" w:color="auto" w:fill="FFFFFF"/>
          <w:lang w:val="en-GB"/>
        </w:rPr>
        <w:t>Review of Quantitative Finance and Accounting</w:t>
      </w:r>
      <w:r w:rsidRPr="00F05B90">
        <w:rPr>
          <w:shd w:val="clear" w:color="auto" w:fill="FFFFFF"/>
          <w:lang w:val="en-GB"/>
        </w:rPr>
        <w:t xml:space="preserve">, </w:t>
      </w:r>
      <w:r w:rsidRPr="00F05B90">
        <w:rPr>
          <w:i/>
          <w:iCs/>
          <w:shd w:val="clear" w:color="auto" w:fill="FFFFFF"/>
          <w:lang w:val="en-GB"/>
        </w:rPr>
        <w:t>55</w:t>
      </w:r>
      <w:r w:rsidRPr="00F05B90">
        <w:rPr>
          <w:shd w:val="clear" w:color="auto" w:fill="FFFFFF"/>
          <w:lang w:val="en-GB"/>
        </w:rPr>
        <w:t>(2), 427-459.</w:t>
      </w:r>
    </w:p>
    <w:p w14:paraId="600B209C" w14:textId="2E14E654"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Ng, P. P., &amp; Tai, B. Y. (1994). An empirical examination of the determinants of audit delay in Hong Kong. </w:t>
      </w:r>
      <w:r w:rsidRPr="00F05B90">
        <w:rPr>
          <w:i/>
          <w:iCs/>
          <w:shd w:val="clear" w:color="auto" w:fill="FFFFFF"/>
          <w:lang w:val="en-GB"/>
        </w:rPr>
        <w:t>The British Accounting Review</w:t>
      </w:r>
      <w:r w:rsidRPr="00F05B90">
        <w:rPr>
          <w:shd w:val="clear" w:color="auto" w:fill="FFFFFF"/>
          <w:lang w:val="en-GB"/>
        </w:rPr>
        <w:t>, </w:t>
      </w:r>
      <w:r w:rsidRPr="00F05B90">
        <w:rPr>
          <w:i/>
          <w:iCs/>
          <w:shd w:val="clear" w:color="auto" w:fill="FFFFFF"/>
          <w:lang w:val="en-GB"/>
        </w:rPr>
        <w:t>26</w:t>
      </w:r>
      <w:r w:rsidRPr="00F05B90">
        <w:rPr>
          <w:shd w:val="clear" w:color="auto" w:fill="FFFFFF"/>
          <w:lang w:val="en-GB"/>
        </w:rPr>
        <w:t>(1), 43-59.</w:t>
      </w:r>
    </w:p>
    <w:p w14:paraId="25EEDE1C" w14:textId="1AEB6CD8" w:rsidR="007D3408" w:rsidRPr="00F05B90" w:rsidRDefault="007D3408" w:rsidP="00E45A68">
      <w:pPr>
        <w:pStyle w:val="NormalWeb"/>
        <w:spacing w:before="0" w:beforeAutospacing="0" w:after="0" w:afterAutospacing="0"/>
        <w:ind w:left="426" w:hanging="426"/>
        <w:jc w:val="both"/>
        <w:rPr>
          <w:lang w:val="en-GB"/>
        </w:rPr>
      </w:pPr>
      <w:r w:rsidRPr="00F05B90">
        <w:rPr>
          <w:lang w:val="en-GB"/>
        </w:rPr>
        <w:t>PCAOB (2012). Information for audit committees about the PCAOB inspection process. Available at http://pcaobus.org/Inspections/Documents/ Inspection_Information_for_Audit_Committees.pdf.</w:t>
      </w:r>
    </w:p>
    <w:p w14:paraId="57CB9F0E" w14:textId="77777777"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Phillips, J. D. (2003). Corporate tax‐planning effectiveness: The role of compensation‐based incentives. </w:t>
      </w:r>
      <w:r w:rsidRPr="00F05B90">
        <w:rPr>
          <w:i/>
          <w:iCs/>
          <w:shd w:val="clear" w:color="auto" w:fill="FFFFFF"/>
          <w:lang w:val="en-GB"/>
        </w:rPr>
        <w:t>The Accounting Review</w:t>
      </w:r>
      <w:r w:rsidRPr="00F05B90">
        <w:rPr>
          <w:shd w:val="clear" w:color="auto" w:fill="FFFFFF"/>
          <w:lang w:val="en-GB"/>
        </w:rPr>
        <w:t>, </w:t>
      </w:r>
      <w:r w:rsidRPr="00F05B90">
        <w:rPr>
          <w:i/>
          <w:iCs/>
          <w:shd w:val="clear" w:color="auto" w:fill="FFFFFF"/>
          <w:lang w:val="en-GB"/>
        </w:rPr>
        <w:t>78</w:t>
      </w:r>
      <w:r w:rsidRPr="00F05B90">
        <w:rPr>
          <w:shd w:val="clear" w:color="auto" w:fill="FFFFFF"/>
          <w:lang w:val="en-GB"/>
        </w:rPr>
        <w:t>(3), 847-874.</w:t>
      </w:r>
    </w:p>
    <w:p w14:paraId="39A1AF7B" w14:textId="77777777" w:rsidR="007D3408" w:rsidRPr="00F05B90" w:rsidRDefault="007D3408" w:rsidP="00E45A68">
      <w:pPr>
        <w:pStyle w:val="NormalWeb"/>
        <w:spacing w:before="0" w:beforeAutospacing="0" w:after="0" w:afterAutospacing="0"/>
        <w:ind w:left="426" w:hanging="426"/>
        <w:jc w:val="both"/>
        <w:rPr>
          <w:lang w:val="en-GB"/>
        </w:rPr>
      </w:pPr>
      <w:r w:rsidRPr="00F05B90">
        <w:rPr>
          <w:shd w:val="clear" w:color="auto" w:fill="FFFFFF"/>
          <w:lang w:val="en-GB"/>
        </w:rPr>
        <w:t xml:space="preserve">Plöckinger, M., Aschauer, E., Hiebl, M. R., &amp; Rohatschek, R. (2016). The influence of individual executives on corporate financial reporting: A review and outlook from the perspective of upper echelons theory. </w:t>
      </w:r>
      <w:r w:rsidRPr="00F05B90">
        <w:rPr>
          <w:i/>
          <w:iCs/>
          <w:shd w:val="clear" w:color="auto" w:fill="FFFFFF"/>
          <w:lang w:val="en-GB"/>
        </w:rPr>
        <w:t>Journal of Accounting Literature</w:t>
      </w:r>
      <w:r w:rsidRPr="00F05B90">
        <w:rPr>
          <w:shd w:val="clear" w:color="auto" w:fill="FFFFFF"/>
          <w:lang w:val="en-GB"/>
        </w:rPr>
        <w:t xml:space="preserve">, </w:t>
      </w:r>
      <w:r w:rsidRPr="00F05B90">
        <w:rPr>
          <w:i/>
          <w:iCs/>
          <w:shd w:val="clear" w:color="auto" w:fill="FFFFFF"/>
          <w:lang w:val="en-GB"/>
        </w:rPr>
        <w:t>37</w:t>
      </w:r>
      <w:r w:rsidRPr="00F05B90">
        <w:rPr>
          <w:shd w:val="clear" w:color="auto" w:fill="FFFFFF"/>
          <w:lang w:val="en-GB"/>
        </w:rPr>
        <w:t>, 55-75.</w:t>
      </w:r>
    </w:p>
    <w:p w14:paraId="4A47CA5C" w14:textId="320E7E8D"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Prendergast, C. 1999. The provision of incentives in firms. </w:t>
      </w:r>
      <w:r w:rsidRPr="00F05B90">
        <w:rPr>
          <w:i/>
          <w:iCs/>
          <w:lang w:val="en-GB"/>
        </w:rPr>
        <w:t>Journal of Economic Literature 37</w:t>
      </w:r>
      <w:r w:rsidR="00CF0777" w:rsidRPr="00F05B90">
        <w:rPr>
          <w:lang w:val="en-GB"/>
        </w:rPr>
        <w:t xml:space="preserve">, </w:t>
      </w:r>
      <w:r w:rsidRPr="00F05B90">
        <w:rPr>
          <w:lang w:val="en-GB"/>
        </w:rPr>
        <w:t>7</w:t>
      </w:r>
      <w:r w:rsidR="00F95A60" w:rsidRPr="00F05B90">
        <w:rPr>
          <w:lang w:val="en-GB"/>
        </w:rPr>
        <w:t>-</w:t>
      </w:r>
      <w:r w:rsidRPr="00F05B90">
        <w:rPr>
          <w:lang w:val="en-GB"/>
        </w:rPr>
        <w:t>63.</w:t>
      </w:r>
    </w:p>
    <w:p w14:paraId="3F2AFFCB"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Qu, X., Yao, D., &amp; Percy, M. (2020). How the design of CEO equity-based compensation can lead to lower audit fees: Evidence from Australia. </w:t>
      </w:r>
      <w:r w:rsidRPr="00F05B90">
        <w:rPr>
          <w:i/>
          <w:iCs/>
          <w:lang w:val="en-GB"/>
        </w:rPr>
        <w:t>Journal of Business Ethics, 163</w:t>
      </w:r>
      <w:r w:rsidRPr="00F05B90">
        <w:rPr>
          <w:lang w:val="en-GB"/>
        </w:rPr>
        <w:t>(2), 281-308.</w:t>
      </w:r>
    </w:p>
    <w:p w14:paraId="6FA3D673" w14:textId="4B6231E5"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Reid, L. C., Carcello, J. V., Li, C., &amp; Neal, T. L. (2019). Impact of auditor report changes on financial reporting quality and audit costs: Evidence from the United Kingdom. </w:t>
      </w:r>
      <w:r w:rsidRPr="00F05B90">
        <w:rPr>
          <w:i/>
          <w:iCs/>
          <w:lang w:val="en-GB"/>
        </w:rPr>
        <w:t>Contemporary Accounting Research</w:t>
      </w:r>
      <w:r w:rsidRPr="00F05B90">
        <w:rPr>
          <w:lang w:val="en-GB"/>
        </w:rPr>
        <w:t xml:space="preserve">, </w:t>
      </w:r>
      <w:r w:rsidR="00FF01B7" w:rsidRPr="00F05B90">
        <w:rPr>
          <w:lang w:val="en-GB"/>
        </w:rPr>
        <w:t xml:space="preserve">, </w:t>
      </w:r>
      <w:r w:rsidR="00FF01B7" w:rsidRPr="00F05B90">
        <w:rPr>
          <w:rFonts w:ascii="Arial" w:hAnsi="Arial" w:cs="Arial"/>
          <w:i/>
          <w:iCs/>
          <w:sz w:val="20"/>
          <w:szCs w:val="20"/>
          <w:shd w:val="clear" w:color="auto" w:fill="FFFFFF"/>
        </w:rPr>
        <w:t>36(3),</w:t>
      </w:r>
      <w:r w:rsidR="00FF01B7" w:rsidRPr="00F05B90">
        <w:rPr>
          <w:rFonts w:ascii="Arial" w:hAnsi="Arial" w:cs="Arial"/>
          <w:sz w:val="20"/>
          <w:szCs w:val="20"/>
          <w:shd w:val="clear" w:color="auto" w:fill="FFFFFF"/>
        </w:rPr>
        <w:t xml:space="preserve"> 1501-1539.</w:t>
      </w:r>
    </w:p>
    <w:p w14:paraId="7B66F375"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Seetharaman, A., Gul, F. A., &amp; Lynn, S. G. (2002). Litigation risk and audit fees: Evidence from UK firms cross-listed on US markets. </w:t>
      </w:r>
      <w:r w:rsidRPr="00F05B90">
        <w:rPr>
          <w:i/>
          <w:iCs/>
          <w:lang w:val="en-GB"/>
        </w:rPr>
        <w:t>Journal of Accounting and Economics 33</w:t>
      </w:r>
      <w:r w:rsidRPr="00F05B90">
        <w:rPr>
          <w:lang w:val="en-GB"/>
        </w:rPr>
        <w:t>(1), 91-115.</w:t>
      </w:r>
    </w:p>
    <w:p w14:paraId="3796CF1C" w14:textId="56679CB7"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Sierra-García, L., Gambetta, N., García-Benau, M. A., &amp; Orta-Perez, M. (2019). Understanding the determinants of the magnitude of entity-level risk and account-level risk key audit matters: The case of the United Kingdom. </w:t>
      </w:r>
      <w:r w:rsidRPr="00F05B90">
        <w:rPr>
          <w:i/>
          <w:iCs/>
          <w:lang w:val="en-GB"/>
        </w:rPr>
        <w:t>The British Accounting Review, 51</w:t>
      </w:r>
      <w:r w:rsidRPr="00F05B90">
        <w:rPr>
          <w:lang w:val="en-GB"/>
        </w:rPr>
        <w:t xml:space="preserve">(3), </w:t>
      </w:r>
      <w:r w:rsidR="00A70BC3" w:rsidRPr="00F05B90">
        <w:rPr>
          <w:lang w:val="en-GB"/>
        </w:rPr>
        <w:t>227-240</w:t>
      </w:r>
      <w:r w:rsidRPr="00F05B90">
        <w:rPr>
          <w:lang w:val="en-GB"/>
        </w:rPr>
        <w:t>.</w:t>
      </w:r>
    </w:p>
    <w:p w14:paraId="2F942589" w14:textId="3B1CC274"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Simunic, D. A. (1980). The pricing of audit services: Theory and evidence. </w:t>
      </w:r>
      <w:r w:rsidRPr="00F05B90">
        <w:rPr>
          <w:i/>
          <w:iCs/>
          <w:lang w:val="en-GB"/>
        </w:rPr>
        <w:t>Journal of Accounting Research, 22</w:t>
      </w:r>
      <w:r w:rsidRPr="00F05B90">
        <w:rPr>
          <w:lang w:val="en-GB"/>
        </w:rPr>
        <w:t xml:space="preserve">(3), </w:t>
      </w:r>
      <w:r w:rsidR="00A70BC3" w:rsidRPr="00F05B90">
        <w:rPr>
          <w:lang w:val="en-GB"/>
        </w:rPr>
        <w:t>161-190</w:t>
      </w:r>
      <w:r w:rsidRPr="00F05B90">
        <w:rPr>
          <w:lang w:val="en-GB"/>
        </w:rPr>
        <w:t>.</w:t>
      </w:r>
    </w:p>
    <w:p w14:paraId="6170D3BB" w14:textId="0227AA79"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Stein, J. C. (1989). Efficient capital markets, inefficient firms: A model of myopic corporate behavior. </w:t>
      </w:r>
      <w:r w:rsidRPr="00F05B90">
        <w:rPr>
          <w:i/>
          <w:iCs/>
          <w:lang w:val="en-GB"/>
        </w:rPr>
        <w:t xml:space="preserve">The </w:t>
      </w:r>
      <w:r w:rsidR="00CF0777" w:rsidRPr="00F05B90">
        <w:rPr>
          <w:i/>
          <w:iCs/>
          <w:lang w:val="en-GB"/>
        </w:rPr>
        <w:t>Quarterly Journal of Economics</w:t>
      </w:r>
      <w:r w:rsidRPr="00F05B90">
        <w:rPr>
          <w:i/>
          <w:iCs/>
          <w:lang w:val="en-GB"/>
        </w:rPr>
        <w:t>, 104</w:t>
      </w:r>
      <w:r w:rsidRPr="00F05B90">
        <w:rPr>
          <w:lang w:val="en-GB"/>
        </w:rPr>
        <w:t>(4), 655-669.</w:t>
      </w:r>
    </w:p>
    <w:p w14:paraId="476B49B8" w14:textId="254FBA4C" w:rsidR="007D3408" w:rsidRPr="00F05B90" w:rsidRDefault="007D3408" w:rsidP="00E45A68">
      <w:pPr>
        <w:pStyle w:val="NormalWeb"/>
        <w:spacing w:before="0" w:beforeAutospacing="0" w:after="0" w:afterAutospacing="0"/>
        <w:ind w:left="426" w:hanging="426"/>
        <w:jc w:val="both"/>
        <w:rPr>
          <w:lang w:val="en-GB"/>
        </w:rPr>
      </w:pPr>
      <w:r w:rsidRPr="00F05B90">
        <w:rPr>
          <w:lang w:val="en-GB"/>
        </w:rPr>
        <w:lastRenderedPageBreak/>
        <w:t>Tan, Y. (202</w:t>
      </w:r>
      <w:r w:rsidR="00B14366" w:rsidRPr="00F05B90">
        <w:rPr>
          <w:lang w:val="en-GB"/>
        </w:rPr>
        <w:t>1</w:t>
      </w:r>
      <w:r w:rsidRPr="00F05B90">
        <w:rPr>
          <w:lang w:val="en-GB"/>
        </w:rPr>
        <w:t xml:space="preserve">). Industry tournament incentives and audit fees. </w:t>
      </w:r>
      <w:r w:rsidRPr="00F05B90">
        <w:rPr>
          <w:i/>
          <w:iCs/>
          <w:lang w:val="en-GB"/>
        </w:rPr>
        <w:t>Journal of Business Finance &amp; Accounting, 48</w:t>
      </w:r>
      <w:r w:rsidRPr="00F05B90">
        <w:rPr>
          <w:lang w:val="en-GB"/>
        </w:rPr>
        <w:t>(3-4), 587-612.</w:t>
      </w:r>
    </w:p>
    <w:p w14:paraId="79F7EBAF" w14:textId="2DEACCC5" w:rsidR="007D3408" w:rsidRPr="00F05B90" w:rsidRDefault="007D3408" w:rsidP="00E45A68">
      <w:pPr>
        <w:pStyle w:val="NormalWeb"/>
        <w:spacing w:before="0" w:beforeAutospacing="0" w:after="0" w:afterAutospacing="0"/>
        <w:ind w:left="426" w:hanging="426"/>
        <w:jc w:val="both"/>
        <w:rPr>
          <w:lang w:val="en-GB"/>
        </w:rPr>
      </w:pPr>
      <w:r w:rsidRPr="00F05B90">
        <w:rPr>
          <w:lang w:val="en-GB"/>
        </w:rPr>
        <w:t xml:space="preserve">Vafeas, N., &amp; Waegelein, J. F. (2007). The association between audit committees, compensation incentives, and corporate audit fees. </w:t>
      </w:r>
      <w:r w:rsidRPr="00F05B90">
        <w:rPr>
          <w:i/>
          <w:iCs/>
          <w:lang w:val="en-GB"/>
        </w:rPr>
        <w:t>Review of Quantitative Finance and Accounting, 28</w:t>
      </w:r>
      <w:r w:rsidRPr="00F05B90">
        <w:rPr>
          <w:lang w:val="en-GB"/>
        </w:rPr>
        <w:t>(3), 241-255.</w:t>
      </w:r>
    </w:p>
    <w:p w14:paraId="23BE7A35" w14:textId="46C3A106" w:rsidR="005867D2" w:rsidRPr="00F05B90" w:rsidRDefault="005867D2" w:rsidP="00E45A68">
      <w:pPr>
        <w:pStyle w:val="NormalWeb"/>
        <w:spacing w:before="0" w:beforeAutospacing="0" w:after="0" w:afterAutospacing="0"/>
        <w:ind w:left="426" w:hanging="426"/>
        <w:jc w:val="both"/>
        <w:rPr>
          <w:lang w:val="en-GB"/>
        </w:rPr>
      </w:pPr>
      <w:r w:rsidRPr="00F05B90">
        <w:rPr>
          <w:lang w:val="en-GB"/>
        </w:rPr>
        <w:t xml:space="preserve">Veiga, J. F. (1983). Mobility influences during managerial career stages. </w:t>
      </w:r>
      <w:r w:rsidRPr="00F05B90">
        <w:rPr>
          <w:i/>
          <w:iCs/>
          <w:lang w:val="en-GB"/>
        </w:rPr>
        <w:t>Academy of Management Journal, 26</w:t>
      </w:r>
      <w:r w:rsidRPr="00F05B90">
        <w:rPr>
          <w:lang w:val="en-GB"/>
        </w:rPr>
        <w:t>, 64</w:t>
      </w:r>
      <w:r w:rsidR="00AC66CD" w:rsidRPr="00F05B90">
        <w:rPr>
          <w:lang w:val="en-GB"/>
        </w:rPr>
        <w:t>-</w:t>
      </w:r>
      <w:r w:rsidRPr="00F05B90">
        <w:rPr>
          <w:lang w:val="en-GB"/>
        </w:rPr>
        <w:t>85.</w:t>
      </w:r>
    </w:p>
    <w:p w14:paraId="7F721064" w14:textId="5A053E72" w:rsidR="00AA1A4F" w:rsidRPr="00F05B90" w:rsidRDefault="00AA1A4F" w:rsidP="00E45A68">
      <w:pPr>
        <w:pStyle w:val="NormalWeb"/>
        <w:spacing w:before="0" w:beforeAutospacing="0" w:after="0" w:afterAutospacing="0"/>
        <w:ind w:left="426" w:hanging="426"/>
        <w:jc w:val="both"/>
        <w:rPr>
          <w:lang w:val="en-GB"/>
        </w:rPr>
      </w:pPr>
      <w:r w:rsidRPr="00F05B90">
        <w:rPr>
          <w:lang w:val="en-GB"/>
        </w:rPr>
        <w:t xml:space="preserve">Ward, A., Sonnenfeld, J. A., &amp; Kimberly, J. R. (1995). In search of a kingdom: Determinants of subsequent career outcomes for chief executives who are fired. </w:t>
      </w:r>
      <w:r w:rsidRPr="00F05B90">
        <w:rPr>
          <w:i/>
          <w:iCs/>
          <w:lang w:val="en-GB"/>
        </w:rPr>
        <w:t>Human Resource Management, 34</w:t>
      </w:r>
      <w:r w:rsidRPr="00F05B90">
        <w:rPr>
          <w:lang w:val="en-GB"/>
        </w:rPr>
        <w:t>, 117</w:t>
      </w:r>
      <w:r w:rsidR="00AC66CD" w:rsidRPr="00F05B90">
        <w:rPr>
          <w:lang w:val="en-GB"/>
        </w:rPr>
        <w:t>-</w:t>
      </w:r>
      <w:r w:rsidRPr="00F05B90">
        <w:rPr>
          <w:lang w:val="en-GB"/>
        </w:rPr>
        <w:t>139.</w:t>
      </w:r>
    </w:p>
    <w:p w14:paraId="3719A298" w14:textId="77777777" w:rsidR="007D3408" w:rsidRPr="00F05B90" w:rsidRDefault="007D3408" w:rsidP="00E45A68">
      <w:pPr>
        <w:pStyle w:val="NormalWeb"/>
        <w:spacing w:before="0" w:beforeAutospacing="0" w:after="0" w:afterAutospacing="0"/>
        <w:ind w:left="426" w:hanging="426"/>
        <w:jc w:val="both"/>
        <w:rPr>
          <w:lang w:val="en-GB"/>
        </w:rPr>
      </w:pPr>
      <w:r w:rsidRPr="00F05B90">
        <w:rPr>
          <w:lang w:val="en-GB"/>
        </w:rPr>
        <w:t>Wysocki, P. (2010). Corporate compensation policies and audit fees</w:t>
      </w:r>
      <w:r w:rsidRPr="00F05B90">
        <w:rPr>
          <w:i/>
          <w:iCs/>
          <w:lang w:val="en-GB"/>
        </w:rPr>
        <w:t>. Journal of Accounting and Economics, 49</w:t>
      </w:r>
      <w:r w:rsidRPr="00F05B90">
        <w:rPr>
          <w:lang w:val="en-GB"/>
        </w:rPr>
        <w:t>(1-2), 155-160.</w:t>
      </w:r>
    </w:p>
    <w:p w14:paraId="56746FFE" w14:textId="77777777" w:rsidR="004045A2" w:rsidRPr="00F05B90" w:rsidRDefault="004045A2" w:rsidP="00E45A68">
      <w:pPr>
        <w:pStyle w:val="NormalWeb"/>
        <w:spacing w:before="0" w:beforeAutospacing="0" w:after="0" w:afterAutospacing="0"/>
        <w:ind w:left="426" w:hanging="426"/>
        <w:jc w:val="both"/>
      </w:pPr>
      <w:r w:rsidRPr="00F05B90">
        <w:t xml:space="preserve">Xu, X., Ye, F., &amp; Chen, Y. (2023). The joint effect of investors’ trait scepticism and the familiarity and readability of key audit matters on the communicative value of audit reports. </w:t>
      </w:r>
      <w:r w:rsidRPr="00F05B90">
        <w:rPr>
          <w:i/>
        </w:rPr>
        <w:t>China Journal of Accounting Studies</w:t>
      </w:r>
      <w:r w:rsidRPr="00F05B90">
        <w:t>,</w:t>
      </w:r>
      <w:r w:rsidRPr="00F05B90">
        <w:rPr>
          <w:i/>
        </w:rPr>
        <w:t xml:space="preserve"> 11</w:t>
      </w:r>
      <w:r w:rsidRPr="00F05B90">
        <w:t xml:space="preserve">(1), 1-28. https://doi.org/10.1080/21697213.2022.2143687 </w:t>
      </w:r>
    </w:p>
    <w:p w14:paraId="6D7F6B2C" w14:textId="78628FF9" w:rsidR="007D3408" w:rsidRPr="00F05B90" w:rsidRDefault="007D3408" w:rsidP="00E45A68">
      <w:pPr>
        <w:pStyle w:val="NormalWeb"/>
        <w:spacing w:before="0" w:beforeAutospacing="0" w:after="0" w:afterAutospacing="0"/>
        <w:ind w:left="426" w:hanging="426"/>
        <w:jc w:val="both"/>
        <w:rPr>
          <w:shd w:val="clear" w:color="auto" w:fill="FFFFFF"/>
          <w:lang w:val="en-GB"/>
        </w:rPr>
      </w:pPr>
      <w:r w:rsidRPr="00F05B90">
        <w:rPr>
          <w:shd w:val="clear" w:color="auto" w:fill="FFFFFF"/>
          <w:lang w:val="en-GB"/>
        </w:rPr>
        <w:t>Zaman, M., Hudaib, M., &amp; Haniffa, R. (2011). Corporate governance quality, audit fees and non‐audit services fees. </w:t>
      </w:r>
      <w:r w:rsidRPr="00F05B90">
        <w:rPr>
          <w:i/>
          <w:iCs/>
          <w:shd w:val="clear" w:color="auto" w:fill="FFFFFF"/>
          <w:lang w:val="en-GB"/>
        </w:rPr>
        <w:t>Journal of Business Finance &amp; Accounting</w:t>
      </w:r>
      <w:r w:rsidRPr="00F05B90">
        <w:rPr>
          <w:shd w:val="clear" w:color="auto" w:fill="FFFFFF"/>
          <w:lang w:val="en-GB"/>
        </w:rPr>
        <w:t>, </w:t>
      </w:r>
      <w:r w:rsidRPr="00F05B90">
        <w:rPr>
          <w:i/>
          <w:iCs/>
          <w:shd w:val="clear" w:color="auto" w:fill="FFFFFF"/>
          <w:lang w:val="en-GB"/>
        </w:rPr>
        <w:t>38</w:t>
      </w:r>
      <w:r w:rsidRPr="00F05B90">
        <w:rPr>
          <w:shd w:val="clear" w:color="auto" w:fill="FFFFFF"/>
          <w:lang w:val="en-GB"/>
        </w:rPr>
        <w:t>(1‐2), 165-197.</w:t>
      </w:r>
    </w:p>
    <w:p w14:paraId="4BFCAD40" w14:textId="77777777" w:rsidR="00A0667E" w:rsidRPr="00F05B90" w:rsidRDefault="00A0667E" w:rsidP="00E45A68">
      <w:pPr>
        <w:pStyle w:val="NormalWeb"/>
        <w:spacing w:before="0" w:beforeAutospacing="0" w:after="0" w:afterAutospacing="0"/>
        <w:ind w:left="426" w:hanging="426"/>
        <w:jc w:val="both"/>
        <w:rPr>
          <w:shd w:val="clear" w:color="auto" w:fill="FFFFFF"/>
          <w:lang w:val="en-GB"/>
        </w:rPr>
      </w:pPr>
    </w:p>
    <w:p w14:paraId="368FCBD9" w14:textId="04DB4F9F" w:rsidR="003821E8" w:rsidRPr="00F05B90" w:rsidRDefault="003821E8" w:rsidP="00A0667E">
      <w:pPr>
        <w:spacing w:after="160" w:line="259" w:lineRule="auto"/>
        <w:ind w:left="426" w:hanging="426"/>
        <w:rPr>
          <w:rFonts w:asciiTheme="majorBidi" w:eastAsiaTheme="majorEastAsia" w:hAnsiTheme="majorBidi" w:cstheme="majorBidi"/>
          <w:b/>
          <w:szCs w:val="32"/>
          <w:shd w:val="clear" w:color="auto" w:fill="FFFFFF"/>
        </w:rPr>
      </w:pPr>
    </w:p>
    <w:p w14:paraId="7BF624A0" w14:textId="77777777" w:rsidR="00817718" w:rsidRPr="00F05B90" w:rsidRDefault="00817718" w:rsidP="00A0667E">
      <w:pPr>
        <w:spacing w:after="160" w:line="259" w:lineRule="auto"/>
        <w:ind w:left="426" w:hanging="426"/>
        <w:rPr>
          <w:rFonts w:asciiTheme="majorBidi" w:eastAsiaTheme="majorEastAsia" w:hAnsiTheme="majorBidi" w:cstheme="majorBidi"/>
          <w:b/>
          <w:szCs w:val="32"/>
          <w:shd w:val="clear" w:color="auto" w:fill="FFFFFF"/>
        </w:rPr>
      </w:pPr>
    </w:p>
    <w:p w14:paraId="5B42CD48" w14:textId="5BDEB550" w:rsidR="00817718" w:rsidRPr="00F05B90" w:rsidRDefault="00817718">
      <w:pPr>
        <w:spacing w:after="160" w:line="259" w:lineRule="auto"/>
        <w:rPr>
          <w:rFonts w:asciiTheme="majorBidi" w:eastAsiaTheme="majorEastAsia" w:hAnsiTheme="majorBidi" w:cstheme="majorBidi"/>
          <w:b/>
          <w:szCs w:val="32"/>
          <w:shd w:val="clear" w:color="auto" w:fill="FFFFFF"/>
        </w:rPr>
      </w:pPr>
      <w:r w:rsidRPr="00F05B90">
        <w:rPr>
          <w:rFonts w:asciiTheme="majorBidi" w:eastAsiaTheme="majorEastAsia" w:hAnsiTheme="majorBidi" w:cstheme="majorBidi"/>
          <w:b/>
          <w:szCs w:val="32"/>
          <w:shd w:val="clear" w:color="auto" w:fill="FFFFFF"/>
        </w:rPr>
        <w:br w:type="page"/>
      </w:r>
    </w:p>
    <w:p w14:paraId="694524BC" w14:textId="77777777" w:rsidR="00817718" w:rsidRPr="00F05B90" w:rsidRDefault="00817718" w:rsidP="00817718">
      <w:pPr>
        <w:pStyle w:val="Heading1"/>
        <w:numPr>
          <w:ilvl w:val="0"/>
          <w:numId w:val="0"/>
        </w:numPr>
        <w:jc w:val="center"/>
        <w:rPr>
          <w:rFonts w:ascii="Times New Roman" w:eastAsia="Times New Roman" w:hAnsi="Times New Roman" w:cs="Times New Roman"/>
          <w:b w:val="0"/>
          <w:color w:val="auto"/>
          <w:szCs w:val="24"/>
          <w:shd w:val="clear" w:color="auto" w:fill="FFFFFF"/>
          <w:lang w:val="en-GB"/>
        </w:rPr>
      </w:pPr>
      <w:r w:rsidRPr="00F05B90">
        <w:rPr>
          <w:rFonts w:ascii="Times New Roman" w:eastAsia="Times New Roman" w:hAnsi="Times New Roman" w:cs="Times New Roman"/>
          <w:color w:val="auto"/>
          <w:szCs w:val="24"/>
          <w:shd w:val="clear" w:color="auto" w:fill="FFFFFF"/>
          <w:lang w:val="en-GB"/>
        </w:rPr>
        <w:lastRenderedPageBreak/>
        <w:t>Tables</w:t>
      </w:r>
    </w:p>
    <w:p w14:paraId="1C9F376F" w14:textId="77777777" w:rsidR="00817718" w:rsidRPr="00F05B90" w:rsidRDefault="00817718" w:rsidP="00817718">
      <w:pPr>
        <w:pStyle w:val="Heading2"/>
        <w:numPr>
          <w:ilvl w:val="0"/>
          <w:numId w:val="0"/>
        </w:numPr>
        <w:rPr>
          <w:rFonts w:ascii="Times New Roman" w:hAnsi="Times New Roman" w:cs="Times New Roman"/>
          <w:b w:val="0"/>
          <w:bCs/>
          <w:color w:val="auto"/>
          <w:szCs w:val="24"/>
        </w:rPr>
      </w:pPr>
      <w:r w:rsidRPr="00F05B90">
        <w:rPr>
          <w:rFonts w:ascii="Times New Roman" w:hAnsi="Times New Roman" w:cs="Times New Roman"/>
          <w:color w:val="auto"/>
          <w:szCs w:val="24"/>
        </w:rPr>
        <w:t xml:space="preserve">Table 1: </w:t>
      </w:r>
      <w:r w:rsidRPr="00F05B90">
        <w:rPr>
          <w:rFonts w:ascii="Times New Roman" w:hAnsi="Times New Roman" w:cs="Times New Roman"/>
          <w:b w:val="0"/>
          <w:bCs/>
          <w:color w:val="auto"/>
          <w:szCs w:val="24"/>
        </w:rPr>
        <w:t>Sample description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2"/>
        <w:gridCol w:w="2813"/>
      </w:tblGrid>
      <w:tr w:rsidR="00F05B90" w:rsidRPr="00F05B90" w14:paraId="61B4A49A" w14:textId="77777777" w:rsidTr="00320854">
        <w:trPr>
          <w:trHeight w:val="547"/>
        </w:trPr>
        <w:tc>
          <w:tcPr>
            <w:tcW w:w="5000" w:type="pct"/>
            <w:gridSpan w:val="2"/>
            <w:tcBorders>
              <w:top w:val="single" w:sz="12" w:space="0" w:color="auto"/>
              <w:bottom w:val="single" w:sz="12" w:space="0" w:color="auto"/>
            </w:tcBorders>
          </w:tcPr>
          <w:p w14:paraId="231E6FD3" w14:textId="77777777" w:rsidR="00817718" w:rsidRPr="00F05B90" w:rsidRDefault="00817718" w:rsidP="00320854">
            <w:pPr>
              <w:keepNext/>
              <w:spacing w:after="200" w:line="360" w:lineRule="auto"/>
              <w:jc w:val="center"/>
              <w:rPr>
                <w:b/>
                <w:bCs/>
                <w:i/>
                <w:iCs/>
                <w:sz w:val="20"/>
                <w:szCs w:val="20"/>
              </w:rPr>
            </w:pPr>
            <w:r w:rsidRPr="00F05B90">
              <w:rPr>
                <w:b/>
                <w:bCs/>
                <w:i/>
                <w:iCs/>
                <w:sz w:val="20"/>
                <w:szCs w:val="20"/>
              </w:rPr>
              <w:t>Panel A: Sample Selection</w:t>
            </w:r>
          </w:p>
        </w:tc>
      </w:tr>
      <w:tr w:rsidR="00F05B90" w:rsidRPr="00F05B90" w14:paraId="6ED30BD3" w14:textId="77777777" w:rsidTr="00320854">
        <w:trPr>
          <w:trHeight w:val="463"/>
        </w:trPr>
        <w:tc>
          <w:tcPr>
            <w:tcW w:w="3455" w:type="pct"/>
            <w:tcBorders>
              <w:top w:val="single" w:sz="12" w:space="0" w:color="auto"/>
              <w:bottom w:val="single" w:sz="12" w:space="0" w:color="auto"/>
            </w:tcBorders>
          </w:tcPr>
          <w:p w14:paraId="6A1B9590" w14:textId="77777777" w:rsidR="00817718" w:rsidRPr="00F05B90" w:rsidRDefault="00817718" w:rsidP="00320854">
            <w:pPr>
              <w:spacing w:before="100" w:beforeAutospacing="1" w:after="100" w:afterAutospacing="1" w:line="360" w:lineRule="auto"/>
              <w:jc w:val="center"/>
              <w:rPr>
                <w:b/>
                <w:bCs/>
                <w:sz w:val="20"/>
                <w:szCs w:val="20"/>
              </w:rPr>
            </w:pPr>
            <w:r w:rsidRPr="00F05B90">
              <w:rPr>
                <w:b/>
                <w:bCs/>
                <w:sz w:val="20"/>
                <w:szCs w:val="20"/>
              </w:rPr>
              <w:t>Selection Criteria</w:t>
            </w:r>
          </w:p>
        </w:tc>
        <w:tc>
          <w:tcPr>
            <w:tcW w:w="1545" w:type="pct"/>
            <w:tcBorders>
              <w:top w:val="single" w:sz="12" w:space="0" w:color="auto"/>
              <w:bottom w:val="single" w:sz="12" w:space="0" w:color="auto"/>
            </w:tcBorders>
          </w:tcPr>
          <w:p w14:paraId="3F45AB8D" w14:textId="77777777" w:rsidR="00817718" w:rsidRPr="00F05B90" w:rsidRDefault="00817718" w:rsidP="00320854">
            <w:pPr>
              <w:spacing w:before="100" w:beforeAutospacing="1" w:after="100" w:afterAutospacing="1" w:line="360" w:lineRule="auto"/>
              <w:jc w:val="center"/>
              <w:rPr>
                <w:b/>
                <w:bCs/>
                <w:sz w:val="20"/>
                <w:szCs w:val="20"/>
              </w:rPr>
            </w:pPr>
            <w:r w:rsidRPr="00F05B90">
              <w:rPr>
                <w:b/>
                <w:bCs/>
                <w:sz w:val="20"/>
                <w:szCs w:val="20"/>
              </w:rPr>
              <w:t>No. of Firms</w:t>
            </w:r>
          </w:p>
        </w:tc>
      </w:tr>
      <w:tr w:rsidR="00F05B90" w:rsidRPr="00F05B90" w14:paraId="3535B763" w14:textId="77777777" w:rsidTr="00320854">
        <w:trPr>
          <w:trHeight w:val="430"/>
        </w:trPr>
        <w:tc>
          <w:tcPr>
            <w:tcW w:w="3455" w:type="pct"/>
          </w:tcPr>
          <w:p w14:paraId="3179820F"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 xml:space="preserve">Initial FTSE 350 firms from BoardEx </w:t>
            </w:r>
          </w:p>
        </w:tc>
        <w:tc>
          <w:tcPr>
            <w:tcW w:w="1545" w:type="pct"/>
          </w:tcPr>
          <w:p w14:paraId="1D7F3C36"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2481 firm-year observations (341</w:t>
            </w:r>
            <w:r w:rsidRPr="00F05B90">
              <w:rPr>
                <w:sz w:val="16"/>
                <w:szCs w:val="16"/>
              </w:rPr>
              <w:t xml:space="preserve"> </w:t>
            </w:r>
            <w:r w:rsidRPr="00F05B90">
              <w:rPr>
                <w:sz w:val="20"/>
                <w:szCs w:val="20"/>
              </w:rPr>
              <w:t>unique firms)</w:t>
            </w:r>
          </w:p>
        </w:tc>
      </w:tr>
      <w:tr w:rsidR="00F05B90" w:rsidRPr="00F05B90" w14:paraId="7486F675" w14:textId="77777777" w:rsidTr="00320854">
        <w:trPr>
          <w:trHeight w:val="430"/>
        </w:trPr>
        <w:tc>
          <w:tcPr>
            <w:tcW w:w="3455" w:type="pct"/>
          </w:tcPr>
          <w:p w14:paraId="68C92DA6"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Less: Financial, real estate and insurance firms (i.e., Banks, insurance, life Assurance, real estate, private Equity, Investment companies, and speciality &amp; other finance).</w:t>
            </w:r>
          </w:p>
        </w:tc>
        <w:tc>
          <w:tcPr>
            <w:tcW w:w="1545" w:type="pct"/>
            <w:tcBorders>
              <w:bottom w:val="single" w:sz="12" w:space="0" w:color="auto"/>
            </w:tcBorders>
          </w:tcPr>
          <w:p w14:paraId="08E92D99"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(1032) firm-year observations (144 unique firms)</w:t>
            </w:r>
          </w:p>
        </w:tc>
      </w:tr>
      <w:tr w:rsidR="00F05B90" w:rsidRPr="00F05B90" w14:paraId="403F8BFA" w14:textId="77777777" w:rsidTr="00320854">
        <w:trPr>
          <w:trHeight w:val="430"/>
        </w:trPr>
        <w:tc>
          <w:tcPr>
            <w:tcW w:w="3455" w:type="pct"/>
          </w:tcPr>
          <w:p w14:paraId="78A9E953" w14:textId="77777777" w:rsidR="00817718" w:rsidRPr="00F05B90" w:rsidRDefault="00817718" w:rsidP="00320854">
            <w:pPr>
              <w:spacing w:before="100" w:beforeAutospacing="1" w:after="100" w:afterAutospacing="1" w:line="360" w:lineRule="auto"/>
              <w:rPr>
                <w:sz w:val="20"/>
                <w:szCs w:val="20"/>
              </w:rPr>
            </w:pPr>
          </w:p>
        </w:tc>
        <w:tc>
          <w:tcPr>
            <w:tcW w:w="1545" w:type="pct"/>
            <w:tcBorders>
              <w:top w:val="single" w:sz="12" w:space="0" w:color="auto"/>
            </w:tcBorders>
          </w:tcPr>
          <w:p w14:paraId="29691B0D"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1449 firm-year observations (197 unique firms)</w:t>
            </w:r>
          </w:p>
        </w:tc>
      </w:tr>
      <w:tr w:rsidR="00F05B90" w:rsidRPr="00F05B90" w14:paraId="12A29B3E" w14:textId="77777777" w:rsidTr="00320854">
        <w:trPr>
          <w:trHeight w:val="430"/>
        </w:trPr>
        <w:tc>
          <w:tcPr>
            <w:tcW w:w="3455" w:type="pct"/>
          </w:tcPr>
          <w:p w14:paraId="60E9CFE2"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Less: observations missing data for CEOs compensation</w:t>
            </w:r>
          </w:p>
        </w:tc>
        <w:tc>
          <w:tcPr>
            <w:tcW w:w="1545" w:type="pct"/>
          </w:tcPr>
          <w:p w14:paraId="04D8F7AF"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(48) firm-year observations</w:t>
            </w:r>
          </w:p>
        </w:tc>
      </w:tr>
      <w:tr w:rsidR="00F05B90" w:rsidRPr="00F05B90" w14:paraId="3162192F" w14:textId="77777777" w:rsidTr="00320854">
        <w:trPr>
          <w:trHeight w:val="430"/>
        </w:trPr>
        <w:tc>
          <w:tcPr>
            <w:tcW w:w="3455" w:type="pct"/>
          </w:tcPr>
          <w:p w14:paraId="032A4283" w14:textId="053EEB59" w:rsidR="00817718" w:rsidRPr="00F05B90" w:rsidRDefault="00817718" w:rsidP="00320854">
            <w:pPr>
              <w:spacing w:before="100" w:beforeAutospacing="1" w:after="100" w:afterAutospacing="1" w:line="360" w:lineRule="auto"/>
              <w:rPr>
                <w:sz w:val="20"/>
                <w:szCs w:val="20"/>
              </w:rPr>
            </w:pPr>
            <w:r w:rsidRPr="00F05B90">
              <w:rPr>
                <w:sz w:val="20"/>
                <w:szCs w:val="20"/>
              </w:rPr>
              <w:t xml:space="preserve">Less: observations missing data for auditor </w:t>
            </w:r>
            <w:r w:rsidR="00B3493A" w:rsidRPr="00F05B90">
              <w:rPr>
                <w:sz w:val="20"/>
                <w:szCs w:val="20"/>
              </w:rPr>
              <w:t xml:space="preserve">judgment </w:t>
            </w:r>
            <w:r w:rsidRPr="00F05B90">
              <w:rPr>
                <w:sz w:val="20"/>
                <w:szCs w:val="20"/>
              </w:rPr>
              <w:t>and annual reports</w:t>
            </w:r>
          </w:p>
        </w:tc>
        <w:tc>
          <w:tcPr>
            <w:tcW w:w="1545" w:type="pct"/>
            <w:tcBorders>
              <w:bottom w:val="single" w:sz="12" w:space="0" w:color="auto"/>
            </w:tcBorders>
          </w:tcPr>
          <w:p w14:paraId="07465CC8"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(361) firm-year observations</w:t>
            </w:r>
          </w:p>
        </w:tc>
      </w:tr>
      <w:tr w:rsidR="00817718" w:rsidRPr="00F05B90" w14:paraId="4ACD3249" w14:textId="77777777" w:rsidTr="00320854">
        <w:trPr>
          <w:trHeight w:val="430"/>
        </w:trPr>
        <w:tc>
          <w:tcPr>
            <w:tcW w:w="3455" w:type="pct"/>
            <w:tcBorders>
              <w:bottom w:val="single" w:sz="12" w:space="0" w:color="auto"/>
            </w:tcBorders>
          </w:tcPr>
          <w:p w14:paraId="1B6CF736"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Final Sample</w:t>
            </w:r>
          </w:p>
        </w:tc>
        <w:tc>
          <w:tcPr>
            <w:tcW w:w="1545" w:type="pct"/>
            <w:tcBorders>
              <w:top w:val="single" w:sz="12" w:space="0" w:color="auto"/>
              <w:bottom w:val="single" w:sz="12" w:space="0" w:color="auto"/>
            </w:tcBorders>
          </w:tcPr>
          <w:p w14:paraId="3E54805D" w14:textId="77777777" w:rsidR="00817718" w:rsidRPr="00F05B90" w:rsidRDefault="00817718" w:rsidP="00320854">
            <w:pPr>
              <w:spacing w:before="100" w:beforeAutospacing="1" w:after="100" w:afterAutospacing="1" w:line="360" w:lineRule="auto"/>
              <w:rPr>
                <w:sz w:val="20"/>
                <w:szCs w:val="20"/>
              </w:rPr>
            </w:pPr>
            <w:r w:rsidRPr="00F05B90">
              <w:rPr>
                <w:sz w:val="20"/>
                <w:szCs w:val="20"/>
              </w:rPr>
              <w:t>1040 firm-year observations (150 unique firms)</w:t>
            </w:r>
          </w:p>
        </w:tc>
      </w:tr>
    </w:tbl>
    <w:p w14:paraId="3D0EE90B" w14:textId="77777777" w:rsidR="00817718" w:rsidRPr="00F05B90" w:rsidRDefault="00817718" w:rsidP="00817718">
      <w:pPr>
        <w:spacing w:line="360" w:lineRule="auto"/>
      </w:pPr>
    </w:p>
    <w:tbl>
      <w:tblPr>
        <w:tblStyle w:val="TableGrid1"/>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42"/>
        <w:gridCol w:w="3045"/>
      </w:tblGrid>
      <w:tr w:rsidR="00F05B90" w:rsidRPr="00F05B90" w14:paraId="6215DF9E" w14:textId="77777777" w:rsidTr="00320854">
        <w:trPr>
          <w:trHeight w:val="264"/>
        </w:trPr>
        <w:tc>
          <w:tcPr>
            <w:tcW w:w="9129" w:type="dxa"/>
            <w:gridSpan w:val="3"/>
            <w:tcBorders>
              <w:top w:val="single" w:sz="12" w:space="0" w:color="auto"/>
            </w:tcBorders>
          </w:tcPr>
          <w:p w14:paraId="000F32A0" w14:textId="77777777" w:rsidR="00817718" w:rsidRPr="00F05B90" w:rsidRDefault="00817718" w:rsidP="00320854">
            <w:pPr>
              <w:tabs>
                <w:tab w:val="left" w:pos="2955"/>
              </w:tabs>
              <w:spacing w:line="360" w:lineRule="auto"/>
              <w:jc w:val="center"/>
              <w:rPr>
                <w:b/>
                <w:bCs/>
              </w:rPr>
            </w:pPr>
            <w:r w:rsidRPr="00F05B90">
              <w:rPr>
                <w:b/>
                <w:bCs/>
              </w:rPr>
              <w:t>Panel B: Sample distribution by year</w:t>
            </w:r>
          </w:p>
        </w:tc>
      </w:tr>
      <w:tr w:rsidR="00F05B90" w:rsidRPr="00F05B90" w14:paraId="597755D3" w14:textId="77777777" w:rsidTr="00320854">
        <w:trPr>
          <w:trHeight w:val="251"/>
        </w:trPr>
        <w:tc>
          <w:tcPr>
            <w:tcW w:w="3042" w:type="dxa"/>
            <w:tcBorders>
              <w:top w:val="single" w:sz="12" w:space="0" w:color="auto"/>
              <w:bottom w:val="single" w:sz="12" w:space="0" w:color="auto"/>
            </w:tcBorders>
          </w:tcPr>
          <w:p w14:paraId="7C3092C7" w14:textId="77777777" w:rsidR="00817718" w:rsidRPr="00F05B90" w:rsidRDefault="00817718" w:rsidP="00320854">
            <w:pPr>
              <w:spacing w:line="360" w:lineRule="auto"/>
              <w:rPr>
                <w:b/>
                <w:bCs/>
              </w:rPr>
            </w:pPr>
            <w:r w:rsidRPr="00F05B90">
              <w:rPr>
                <w:b/>
                <w:bCs/>
              </w:rPr>
              <w:t xml:space="preserve">Year </w:t>
            </w:r>
          </w:p>
        </w:tc>
        <w:tc>
          <w:tcPr>
            <w:tcW w:w="3042" w:type="dxa"/>
            <w:tcBorders>
              <w:top w:val="single" w:sz="12" w:space="0" w:color="auto"/>
              <w:bottom w:val="single" w:sz="12" w:space="0" w:color="auto"/>
            </w:tcBorders>
          </w:tcPr>
          <w:p w14:paraId="6E7BD6B9" w14:textId="77777777" w:rsidR="00817718" w:rsidRPr="00F05B90" w:rsidRDefault="00817718" w:rsidP="00320854">
            <w:pPr>
              <w:spacing w:line="360" w:lineRule="auto"/>
              <w:jc w:val="center"/>
              <w:rPr>
                <w:b/>
                <w:bCs/>
              </w:rPr>
            </w:pPr>
            <w:r w:rsidRPr="00F05B90">
              <w:rPr>
                <w:b/>
                <w:bCs/>
              </w:rPr>
              <w:t>Frequency</w:t>
            </w:r>
          </w:p>
        </w:tc>
        <w:tc>
          <w:tcPr>
            <w:tcW w:w="3045" w:type="dxa"/>
            <w:tcBorders>
              <w:top w:val="single" w:sz="12" w:space="0" w:color="auto"/>
              <w:bottom w:val="single" w:sz="12" w:space="0" w:color="auto"/>
            </w:tcBorders>
          </w:tcPr>
          <w:p w14:paraId="1FE96FEB" w14:textId="77777777" w:rsidR="00817718" w:rsidRPr="00F05B90" w:rsidRDefault="00817718" w:rsidP="00320854">
            <w:pPr>
              <w:spacing w:line="360" w:lineRule="auto"/>
              <w:jc w:val="center"/>
              <w:rPr>
                <w:b/>
                <w:bCs/>
              </w:rPr>
            </w:pPr>
            <w:r w:rsidRPr="00F05B90">
              <w:rPr>
                <w:b/>
                <w:bCs/>
              </w:rPr>
              <w:t>Percentage</w:t>
            </w:r>
          </w:p>
        </w:tc>
      </w:tr>
      <w:tr w:rsidR="00F05B90" w:rsidRPr="00F05B90" w14:paraId="6D3D51EF" w14:textId="77777777" w:rsidTr="00320854">
        <w:trPr>
          <w:trHeight w:val="289"/>
        </w:trPr>
        <w:tc>
          <w:tcPr>
            <w:tcW w:w="3042" w:type="dxa"/>
            <w:tcBorders>
              <w:top w:val="single" w:sz="12" w:space="0" w:color="auto"/>
            </w:tcBorders>
          </w:tcPr>
          <w:p w14:paraId="5224561E" w14:textId="77777777" w:rsidR="00817718" w:rsidRPr="00F05B90" w:rsidRDefault="00817718" w:rsidP="00320854">
            <w:pPr>
              <w:spacing w:line="360" w:lineRule="auto"/>
              <w:jc w:val="center"/>
            </w:pPr>
            <w:r w:rsidRPr="00F05B90">
              <w:t>2013</w:t>
            </w:r>
          </w:p>
        </w:tc>
        <w:tc>
          <w:tcPr>
            <w:tcW w:w="3042" w:type="dxa"/>
            <w:tcBorders>
              <w:top w:val="single" w:sz="12" w:space="0" w:color="auto"/>
            </w:tcBorders>
          </w:tcPr>
          <w:p w14:paraId="5708AE44" w14:textId="77777777" w:rsidR="00817718" w:rsidRPr="00F05B90" w:rsidRDefault="00817718" w:rsidP="00320854">
            <w:pPr>
              <w:spacing w:line="360" w:lineRule="auto"/>
              <w:jc w:val="center"/>
            </w:pPr>
            <w:r w:rsidRPr="00F05B90">
              <w:t>81</w:t>
            </w:r>
          </w:p>
        </w:tc>
        <w:tc>
          <w:tcPr>
            <w:tcW w:w="3045" w:type="dxa"/>
            <w:tcBorders>
              <w:top w:val="single" w:sz="12" w:space="0" w:color="auto"/>
            </w:tcBorders>
          </w:tcPr>
          <w:p w14:paraId="031239BA" w14:textId="77777777" w:rsidR="00817718" w:rsidRPr="00F05B90" w:rsidRDefault="00817718" w:rsidP="00320854">
            <w:pPr>
              <w:spacing w:line="360" w:lineRule="auto"/>
              <w:jc w:val="center"/>
            </w:pPr>
            <w:r w:rsidRPr="00F05B90">
              <w:t>8%</w:t>
            </w:r>
          </w:p>
        </w:tc>
      </w:tr>
      <w:tr w:rsidR="00F05B90" w:rsidRPr="00F05B90" w14:paraId="367F6787" w14:textId="77777777" w:rsidTr="00320854">
        <w:trPr>
          <w:trHeight w:val="276"/>
        </w:trPr>
        <w:tc>
          <w:tcPr>
            <w:tcW w:w="3042" w:type="dxa"/>
          </w:tcPr>
          <w:p w14:paraId="647D34F6" w14:textId="77777777" w:rsidR="00817718" w:rsidRPr="00F05B90" w:rsidRDefault="00817718" w:rsidP="00320854">
            <w:pPr>
              <w:spacing w:line="360" w:lineRule="auto"/>
              <w:jc w:val="center"/>
            </w:pPr>
            <w:r w:rsidRPr="00F05B90">
              <w:t>2014</w:t>
            </w:r>
          </w:p>
        </w:tc>
        <w:tc>
          <w:tcPr>
            <w:tcW w:w="3042" w:type="dxa"/>
          </w:tcPr>
          <w:p w14:paraId="3265AAF1" w14:textId="77777777" w:rsidR="00817718" w:rsidRPr="00F05B90" w:rsidRDefault="00817718" w:rsidP="00320854">
            <w:pPr>
              <w:spacing w:line="360" w:lineRule="auto"/>
              <w:jc w:val="center"/>
            </w:pPr>
            <w:r w:rsidRPr="00F05B90">
              <w:t>125</w:t>
            </w:r>
          </w:p>
        </w:tc>
        <w:tc>
          <w:tcPr>
            <w:tcW w:w="3045" w:type="dxa"/>
          </w:tcPr>
          <w:p w14:paraId="015BB6C5" w14:textId="77777777" w:rsidR="00817718" w:rsidRPr="00F05B90" w:rsidRDefault="00817718" w:rsidP="00320854">
            <w:pPr>
              <w:spacing w:line="360" w:lineRule="auto"/>
              <w:jc w:val="center"/>
            </w:pPr>
            <w:r w:rsidRPr="00F05B90">
              <w:t>12%</w:t>
            </w:r>
          </w:p>
        </w:tc>
      </w:tr>
      <w:tr w:rsidR="00F05B90" w:rsidRPr="00F05B90" w14:paraId="637E2A21" w14:textId="77777777" w:rsidTr="00320854">
        <w:trPr>
          <w:trHeight w:val="276"/>
        </w:trPr>
        <w:tc>
          <w:tcPr>
            <w:tcW w:w="3042" w:type="dxa"/>
          </w:tcPr>
          <w:p w14:paraId="50B37637" w14:textId="77777777" w:rsidR="00817718" w:rsidRPr="00F05B90" w:rsidRDefault="00817718" w:rsidP="00320854">
            <w:pPr>
              <w:spacing w:line="360" w:lineRule="auto"/>
              <w:jc w:val="center"/>
            </w:pPr>
            <w:r w:rsidRPr="00F05B90">
              <w:t>2015</w:t>
            </w:r>
          </w:p>
        </w:tc>
        <w:tc>
          <w:tcPr>
            <w:tcW w:w="3042" w:type="dxa"/>
          </w:tcPr>
          <w:p w14:paraId="0FCB0EEC" w14:textId="77777777" w:rsidR="00817718" w:rsidRPr="00F05B90" w:rsidRDefault="00817718" w:rsidP="00320854">
            <w:pPr>
              <w:spacing w:line="360" w:lineRule="auto"/>
              <w:jc w:val="center"/>
            </w:pPr>
            <w:r w:rsidRPr="00F05B90">
              <w:t>130</w:t>
            </w:r>
          </w:p>
        </w:tc>
        <w:tc>
          <w:tcPr>
            <w:tcW w:w="3045" w:type="dxa"/>
          </w:tcPr>
          <w:p w14:paraId="7C083FA2" w14:textId="77777777" w:rsidR="00817718" w:rsidRPr="00F05B90" w:rsidRDefault="00817718" w:rsidP="00320854">
            <w:pPr>
              <w:spacing w:line="360" w:lineRule="auto"/>
              <w:jc w:val="center"/>
            </w:pPr>
            <w:r w:rsidRPr="00F05B90">
              <w:t>12.5%</w:t>
            </w:r>
          </w:p>
        </w:tc>
      </w:tr>
      <w:tr w:rsidR="00F05B90" w:rsidRPr="00F05B90" w14:paraId="3CA6DD3D" w14:textId="77777777" w:rsidTr="00320854">
        <w:trPr>
          <w:trHeight w:val="276"/>
        </w:trPr>
        <w:tc>
          <w:tcPr>
            <w:tcW w:w="3042" w:type="dxa"/>
          </w:tcPr>
          <w:p w14:paraId="7A230CA0" w14:textId="77777777" w:rsidR="00817718" w:rsidRPr="00F05B90" w:rsidRDefault="00817718" w:rsidP="00320854">
            <w:pPr>
              <w:spacing w:line="360" w:lineRule="auto"/>
              <w:jc w:val="center"/>
            </w:pPr>
            <w:r w:rsidRPr="00F05B90">
              <w:t>2016</w:t>
            </w:r>
          </w:p>
        </w:tc>
        <w:tc>
          <w:tcPr>
            <w:tcW w:w="3042" w:type="dxa"/>
          </w:tcPr>
          <w:p w14:paraId="2DA851C2" w14:textId="77777777" w:rsidR="00817718" w:rsidRPr="00F05B90" w:rsidRDefault="00817718" w:rsidP="00320854">
            <w:pPr>
              <w:spacing w:line="360" w:lineRule="auto"/>
              <w:jc w:val="center"/>
            </w:pPr>
            <w:r w:rsidRPr="00F05B90">
              <w:t>138</w:t>
            </w:r>
          </w:p>
        </w:tc>
        <w:tc>
          <w:tcPr>
            <w:tcW w:w="3045" w:type="dxa"/>
          </w:tcPr>
          <w:p w14:paraId="2D554E3A" w14:textId="77777777" w:rsidR="00817718" w:rsidRPr="00F05B90" w:rsidRDefault="00817718" w:rsidP="00320854">
            <w:pPr>
              <w:spacing w:line="360" w:lineRule="auto"/>
              <w:jc w:val="center"/>
            </w:pPr>
            <w:r w:rsidRPr="00F05B90">
              <w:t>13.3%</w:t>
            </w:r>
          </w:p>
        </w:tc>
      </w:tr>
      <w:tr w:rsidR="00F05B90" w:rsidRPr="00F05B90" w14:paraId="6DE672D6" w14:textId="77777777" w:rsidTr="00320854">
        <w:trPr>
          <w:trHeight w:val="276"/>
        </w:trPr>
        <w:tc>
          <w:tcPr>
            <w:tcW w:w="3042" w:type="dxa"/>
          </w:tcPr>
          <w:p w14:paraId="688242A7" w14:textId="77777777" w:rsidR="00817718" w:rsidRPr="00F05B90" w:rsidRDefault="00817718" w:rsidP="00320854">
            <w:pPr>
              <w:spacing w:line="360" w:lineRule="auto"/>
              <w:jc w:val="center"/>
            </w:pPr>
            <w:r w:rsidRPr="00F05B90">
              <w:t>2017</w:t>
            </w:r>
          </w:p>
        </w:tc>
        <w:tc>
          <w:tcPr>
            <w:tcW w:w="3042" w:type="dxa"/>
          </w:tcPr>
          <w:p w14:paraId="6843E42C" w14:textId="77777777" w:rsidR="00817718" w:rsidRPr="00F05B90" w:rsidRDefault="00817718" w:rsidP="00320854">
            <w:pPr>
              <w:spacing w:line="360" w:lineRule="auto"/>
              <w:jc w:val="center"/>
            </w:pPr>
            <w:r w:rsidRPr="00F05B90">
              <w:t>137</w:t>
            </w:r>
          </w:p>
        </w:tc>
        <w:tc>
          <w:tcPr>
            <w:tcW w:w="3045" w:type="dxa"/>
          </w:tcPr>
          <w:p w14:paraId="0F954E38" w14:textId="77777777" w:rsidR="00817718" w:rsidRPr="00F05B90" w:rsidRDefault="00817718" w:rsidP="00320854">
            <w:pPr>
              <w:spacing w:line="360" w:lineRule="auto"/>
              <w:jc w:val="center"/>
            </w:pPr>
            <w:r w:rsidRPr="00F05B90">
              <w:t>13.2%</w:t>
            </w:r>
          </w:p>
        </w:tc>
      </w:tr>
      <w:tr w:rsidR="00F05B90" w:rsidRPr="00F05B90" w14:paraId="0D423CC3" w14:textId="77777777" w:rsidTr="00320854">
        <w:trPr>
          <w:trHeight w:val="276"/>
        </w:trPr>
        <w:tc>
          <w:tcPr>
            <w:tcW w:w="3042" w:type="dxa"/>
          </w:tcPr>
          <w:p w14:paraId="3CD07A4C" w14:textId="77777777" w:rsidR="00817718" w:rsidRPr="00F05B90" w:rsidRDefault="00817718" w:rsidP="00320854">
            <w:pPr>
              <w:spacing w:line="360" w:lineRule="auto"/>
              <w:jc w:val="center"/>
            </w:pPr>
            <w:r w:rsidRPr="00F05B90">
              <w:t>2018</w:t>
            </w:r>
          </w:p>
        </w:tc>
        <w:tc>
          <w:tcPr>
            <w:tcW w:w="3042" w:type="dxa"/>
          </w:tcPr>
          <w:p w14:paraId="24F08782" w14:textId="77777777" w:rsidR="00817718" w:rsidRPr="00F05B90" w:rsidRDefault="00817718" w:rsidP="00320854">
            <w:pPr>
              <w:spacing w:line="360" w:lineRule="auto"/>
              <w:jc w:val="center"/>
            </w:pPr>
            <w:r w:rsidRPr="00F05B90">
              <w:t>142</w:t>
            </w:r>
          </w:p>
        </w:tc>
        <w:tc>
          <w:tcPr>
            <w:tcW w:w="3045" w:type="dxa"/>
          </w:tcPr>
          <w:p w14:paraId="3A8B4E29" w14:textId="77777777" w:rsidR="00817718" w:rsidRPr="00F05B90" w:rsidRDefault="00817718" w:rsidP="00320854">
            <w:pPr>
              <w:spacing w:line="360" w:lineRule="auto"/>
              <w:jc w:val="center"/>
            </w:pPr>
            <w:r w:rsidRPr="00F05B90">
              <w:t>13.7%</w:t>
            </w:r>
          </w:p>
        </w:tc>
      </w:tr>
      <w:tr w:rsidR="00F05B90" w:rsidRPr="00F05B90" w14:paraId="7005EA1A" w14:textId="77777777" w:rsidTr="00320854">
        <w:trPr>
          <w:trHeight w:val="276"/>
        </w:trPr>
        <w:tc>
          <w:tcPr>
            <w:tcW w:w="3042" w:type="dxa"/>
          </w:tcPr>
          <w:p w14:paraId="4121AB5A" w14:textId="77777777" w:rsidR="00817718" w:rsidRPr="00F05B90" w:rsidRDefault="00817718" w:rsidP="00320854">
            <w:pPr>
              <w:spacing w:line="360" w:lineRule="auto"/>
              <w:jc w:val="center"/>
            </w:pPr>
            <w:r w:rsidRPr="00F05B90">
              <w:t>2019</w:t>
            </w:r>
          </w:p>
        </w:tc>
        <w:tc>
          <w:tcPr>
            <w:tcW w:w="3042" w:type="dxa"/>
          </w:tcPr>
          <w:p w14:paraId="43B78379" w14:textId="77777777" w:rsidR="00817718" w:rsidRPr="00F05B90" w:rsidRDefault="00817718" w:rsidP="00320854">
            <w:pPr>
              <w:spacing w:line="360" w:lineRule="auto"/>
              <w:jc w:val="center"/>
            </w:pPr>
            <w:r w:rsidRPr="00F05B90">
              <w:t>143</w:t>
            </w:r>
          </w:p>
        </w:tc>
        <w:tc>
          <w:tcPr>
            <w:tcW w:w="3045" w:type="dxa"/>
          </w:tcPr>
          <w:p w14:paraId="723B8262" w14:textId="77777777" w:rsidR="00817718" w:rsidRPr="00F05B90" w:rsidRDefault="00817718" w:rsidP="00320854">
            <w:pPr>
              <w:spacing w:line="360" w:lineRule="auto"/>
              <w:jc w:val="center"/>
            </w:pPr>
            <w:r w:rsidRPr="00F05B90">
              <w:t>13.8%</w:t>
            </w:r>
          </w:p>
        </w:tc>
      </w:tr>
      <w:tr w:rsidR="00F05B90" w:rsidRPr="00F05B90" w14:paraId="73102972" w14:textId="77777777" w:rsidTr="00320854">
        <w:trPr>
          <w:trHeight w:val="276"/>
        </w:trPr>
        <w:tc>
          <w:tcPr>
            <w:tcW w:w="3042" w:type="dxa"/>
          </w:tcPr>
          <w:p w14:paraId="2DF2D511" w14:textId="77777777" w:rsidR="00817718" w:rsidRPr="00F05B90" w:rsidRDefault="00817718" w:rsidP="00320854">
            <w:pPr>
              <w:spacing w:line="360" w:lineRule="auto"/>
              <w:jc w:val="center"/>
            </w:pPr>
            <w:r w:rsidRPr="00F05B90">
              <w:t>2020</w:t>
            </w:r>
          </w:p>
        </w:tc>
        <w:tc>
          <w:tcPr>
            <w:tcW w:w="3042" w:type="dxa"/>
          </w:tcPr>
          <w:p w14:paraId="57E4BD20" w14:textId="77777777" w:rsidR="00817718" w:rsidRPr="00F05B90" w:rsidRDefault="00817718" w:rsidP="00320854">
            <w:pPr>
              <w:spacing w:line="360" w:lineRule="auto"/>
              <w:jc w:val="center"/>
            </w:pPr>
            <w:r w:rsidRPr="00F05B90">
              <w:t>144</w:t>
            </w:r>
          </w:p>
        </w:tc>
        <w:tc>
          <w:tcPr>
            <w:tcW w:w="3045" w:type="dxa"/>
          </w:tcPr>
          <w:p w14:paraId="7D384731" w14:textId="77777777" w:rsidR="00817718" w:rsidRPr="00F05B90" w:rsidRDefault="00817718" w:rsidP="00320854">
            <w:pPr>
              <w:spacing w:line="360" w:lineRule="auto"/>
              <w:jc w:val="center"/>
            </w:pPr>
            <w:r w:rsidRPr="00F05B90">
              <w:t>13.8%</w:t>
            </w:r>
          </w:p>
        </w:tc>
      </w:tr>
      <w:tr w:rsidR="00F05B90" w:rsidRPr="00F05B90" w14:paraId="32D15D58" w14:textId="77777777" w:rsidTr="00320854">
        <w:trPr>
          <w:trHeight w:val="463"/>
        </w:trPr>
        <w:tc>
          <w:tcPr>
            <w:tcW w:w="3042" w:type="dxa"/>
            <w:tcBorders>
              <w:bottom w:val="single" w:sz="12" w:space="0" w:color="auto"/>
            </w:tcBorders>
          </w:tcPr>
          <w:p w14:paraId="4E12E3FD" w14:textId="77777777" w:rsidR="00817718" w:rsidRPr="00F05B90" w:rsidRDefault="00817718" w:rsidP="00320854">
            <w:pPr>
              <w:spacing w:line="360" w:lineRule="auto"/>
              <w:jc w:val="center"/>
            </w:pPr>
            <w:r w:rsidRPr="00F05B90">
              <w:t>Total</w:t>
            </w:r>
          </w:p>
        </w:tc>
        <w:tc>
          <w:tcPr>
            <w:tcW w:w="3042" w:type="dxa"/>
            <w:tcBorders>
              <w:bottom w:val="single" w:sz="12" w:space="0" w:color="auto"/>
            </w:tcBorders>
          </w:tcPr>
          <w:p w14:paraId="45C13834" w14:textId="77777777" w:rsidR="00817718" w:rsidRPr="00F05B90" w:rsidRDefault="00817718" w:rsidP="00320854">
            <w:pPr>
              <w:spacing w:line="360" w:lineRule="auto"/>
              <w:jc w:val="center"/>
            </w:pPr>
            <w:r w:rsidRPr="00F05B90">
              <w:t>1040</w:t>
            </w:r>
          </w:p>
        </w:tc>
        <w:tc>
          <w:tcPr>
            <w:tcW w:w="3045" w:type="dxa"/>
          </w:tcPr>
          <w:p w14:paraId="2095EDD2" w14:textId="77777777" w:rsidR="00817718" w:rsidRPr="00F05B90" w:rsidRDefault="00817718" w:rsidP="00320854">
            <w:pPr>
              <w:spacing w:line="360" w:lineRule="auto"/>
              <w:jc w:val="center"/>
            </w:pPr>
          </w:p>
        </w:tc>
      </w:tr>
      <w:tr w:rsidR="00817718" w:rsidRPr="00F05B90" w14:paraId="285BEAE7" w14:textId="77777777" w:rsidTr="00320854">
        <w:trPr>
          <w:trHeight w:val="463"/>
        </w:trPr>
        <w:tc>
          <w:tcPr>
            <w:tcW w:w="9129" w:type="dxa"/>
            <w:gridSpan w:val="3"/>
            <w:tcBorders>
              <w:top w:val="single" w:sz="12" w:space="0" w:color="auto"/>
              <w:bottom w:val="single" w:sz="12" w:space="0" w:color="auto"/>
            </w:tcBorders>
          </w:tcPr>
          <w:p w14:paraId="24F6BA75" w14:textId="77777777" w:rsidR="00817718" w:rsidRPr="00F05B90" w:rsidRDefault="00817718" w:rsidP="00320854">
            <w:pPr>
              <w:spacing w:line="360" w:lineRule="auto"/>
            </w:pPr>
            <w:r w:rsidRPr="00F05B90">
              <w:t xml:space="preserve">Note: Panel A of this table summarises the sample description in terms of sample size. Panel B shows the distribution across the sample’s period. </w:t>
            </w:r>
          </w:p>
        </w:tc>
      </w:tr>
    </w:tbl>
    <w:p w14:paraId="694F75EF" w14:textId="77777777" w:rsidR="00817718" w:rsidRPr="00F05B90" w:rsidRDefault="00817718" w:rsidP="00817718">
      <w:pPr>
        <w:spacing w:line="480" w:lineRule="auto"/>
        <w:ind w:left="567" w:hanging="567"/>
        <w:contextualSpacing/>
        <w:jc w:val="both"/>
        <w:rPr>
          <w:rFonts w:ascii="EB Garamond" w:hAnsi="EB Garamond"/>
          <w:b/>
          <w:bCs/>
        </w:rPr>
      </w:pPr>
    </w:p>
    <w:p w14:paraId="286C3FBF" w14:textId="77777777" w:rsidR="00817718" w:rsidRPr="00F05B90" w:rsidRDefault="00817718" w:rsidP="00817718">
      <w:pPr>
        <w:spacing w:line="480" w:lineRule="auto"/>
        <w:ind w:left="567" w:hanging="567"/>
        <w:contextualSpacing/>
        <w:jc w:val="both"/>
        <w:rPr>
          <w:rFonts w:ascii="EB Garamond" w:hAnsi="EB Garamond"/>
          <w:b/>
          <w:bCs/>
        </w:rPr>
      </w:pPr>
    </w:p>
    <w:p w14:paraId="5BD647C5" w14:textId="77777777" w:rsidR="00817718" w:rsidRPr="00F05B90" w:rsidRDefault="00817718" w:rsidP="00817718">
      <w:pPr>
        <w:spacing w:line="480" w:lineRule="auto"/>
        <w:ind w:left="567" w:hanging="567"/>
        <w:contextualSpacing/>
        <w:jc w:val="both"/>
        <w:rPr>
          <w:rFonts w:ascii="EB Garamond" w:hAnsi="EB Garamond"/>
          <w:b/>
          <w:bCs/>
        </w:rPr>
      </w:pPr>
    </w:p>
    <w:p w14:paraId="468C320C" w14:textId="0DD6D30E" w:rsidR="00817718" w:rsidRPr="00F05B90" w:rsidRDefault="00817718" w:rsidP="00817718">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2: </w:t>
      </w:r>
      <w:r w:rsidRPr="00F05B90">
        <w:rPr>
          <w:rFonts w:ascii="Times New Roman" w:hAnsi="Times New Roman" w:cs="Times New Roman"/>
          <w:b w:val="0"/>
          <w:color w:val="auto"/>
          <w:szCs w:val="24"/>
        </w:rPr>
        <w:t>Descriptive Statistics</w:t>
      </w:r>
    </w:p>
    <w:tbl>
      <w:tblPr>
        <w:tblW w:w="0" w:type="auto"/>
        <w:tblLayout w:type="fixed"/>
        <w:tblLook w:val="0000" w:firstRow="0" w:lastRow="0" w:firstColumn="0" w:lastColumn="0" w:noHBand="0" w:noVBand="0"/>
      </w:tblPr>
      <w:tblGrid>
        <w:gridCol w:w="2472"/>
        <w:gridCol w:w="1307"/>
        <w:gridCol w:w="1307"/>
        <w:gridCol w:w="1307"/>
        <w:gridCol w:w="1307"/>
        <w:gridCol w:w="1308"/>
      </w:tblGrid>
      <w:tr w:rsidR="00F05B90" w:rsidRPr="00F05B90" w14:paraId="31C9AAC8" w14:textId="77777777" w:rsidTr="00EF3265">
        <w:trPr>
          <w:trHeight w:val="350"/>
        </w:trPr>
        <w:tc>
          <w:tcPr>
            <w:tcW w:w="2472" w:type="dxa"/>
            <w:tcBorders>
              <w:top w:val="single" w:sz="4" w:space="0" w:color="auto"/>
              <w:left w:val="nil"/>
              <w:bottom w:val="single" w:sz="10" w:space="0" w:color="auto"/>
              <w:right w:val="nil"/>
            </w:tcBorders>
          </w:tcPr>
          <w:p w14:paraId="511A53AD" w14:textId="77777777" w:rsidR="00EF3265" w:rsidRPr="00F05B90" w:rsidRDefault="00EF3265" w:rsidP="005A2722">
            <w:pPr>
              <w:widowControl w:val="0"/>
              <w:autoSpaceDE w:val="0"/>
              <w:autoSpaceDN w:val="0"/>
              <w:adjustRightInd w:val="0"/>
              <w:jc w:val="right"/>
              <w:rPr>
                <w:rFonts w:asciiTheme="majorBidi" w:hAnsiTheme="majorBidi" w:cstheme="majorBidi"/>
                <w:sz w:val="20"/>
                <w:szCs w:val="20"/>
              </w:rPr>
            </w:pPr>
            <w:r w:rsidRPr="00F05B90">
              <w:rPr>
                <w:rFonts w:asciiTheme="majorBidi" w:hAnsiTheme="majorBidi" w:cstheme="majorBidi"/>
                <w:sz w:val="20"/>
                <w:szCs w:val="20"/>
              </w:rPr>
              <w:t xml:space="preserve">  </w:t>
            </w:r>
          </w:p>
        </w:tc>
        <w:tc>
          <w:tcPr>
            <w:tcW w:w="1307" w:type="dxa"/>
            <w:tcBorders>
              <w:top w:val="single" w:sz="4" w:space="0" w:color="auto"/>
              <w:left w:val="nil"/>
              <w:bottom w:val="single" w:sz="10" w:space="0" w:color="auto"/>
              <w:right w:val="nil"/>
            </w:tcBorders>
          </w:tcPr>
          <w:p w14:paraId="7A08FD3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Mean</w:t>
            </w:r>
          </w:p>
        </w:tc>
        <w:tc>
          <w:tcPr>
            <w:tcW w:w="1307" w:type="dxa"/>
            <w:tcBorders>
              <w:top w:val="single" w:sz="4" w:space="0" w:color="auto"/>
              <w:left w:val="nil"/>
              <w:bottom w:val="single" w:sz="10" w:space="0" w:color="auto"/>
              <w:right w:val="nil"/>
            </w:tcBorders>
          </w:tcPr>
          <w:p w14:paraId="45E64FD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Median</w:t>
            </w:r>
          </w:p>
        </w:tc>
        <w:tc>
          <w:tcPr>
            <w:tcW w:w="1307" w:type="dxa"/>
            <w:tcBorders>
              <w:top w:val="single" w:sz="4" w:space="0" w:color="auto"/>
              <w:left w:val="nil"/>
              <w:bottom w:val="single" w:sz="10" w:space="0" w:color="auto"/>
              <w:right w:val="nil"/>
            </w:tcBorders>
          </w:tcPr>
          <w:p w14:paraId="2F91BB8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Std. Dev.</w:t>
            </w:r>
          </w:p>
        </w:tc>
        <w:tc>
          <w:tcPr>
            <w:tcW w:w="1307" w:type="dxa"/>
            <w:tcBorders>
              <w:top w:val="single" w:sz="4" w:space="0" w:color="auto"/>
              <w:left w:val="nil"/>
              <w:bottom w:val="single" w:sz="10" w:space="0" w:color="auto"/>
              <w:right w:val="nil"/>
            </w:tcBorders>
          </w:tcPr>
          <w:p w14:paraId="04D319E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p25</w:t>
            </w:r>
          </w:p>
        </w:tc>
        <w:tc>
          <w:tcPr>
            <w:tcW w:w="1307" w:type="dxa"/>
            <w:tcBorders>
              <w:top w:val="single" w:sz="4" w:space="0" w:color="auto"/>
              <w:left w:val="nil"/>
              <w:bottom w:val="single" w:sz="10" w:space="0" w:color="auto"/>
              <w:right w:val="nil"/>
            </w:tcBorders>
          </w:tcPr>
          <w:p w14:paraId="3194BAA9"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p75</w:t>
            </w:r>
          </w:p>
        </w:tc>
      </w:tr>
      <w:tr w:rsidR="00F05B90" w:rsidRPr="00F05B90" w14:paraId="5FC8F952" w14:textId="77777777" w:rsidTr="00EF3265">
        <w:trPr>
          <w:trHeight w:val="327"/>
        </w:trPr>
        <w:tc>
          <w:tcPr>
            <w:tcW w:w="2472" w:type="dxa"/>
            <w:tcBorders>
              <w:top w:val="nil"/>
              <w:left w:val="nil"/>
              <w:bottom w:val="nil"/>
              <w:right w:val="nil"/>
            </w:tcBorders>
          </w:tcPr>
          <w:p w14:paraId="20A975C7"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KAM</w:t>
            </w:r>
          </w:p>
        </w:tc>
        <w:tc>
          <w:tcPr>
            <w:tcW w:w="1307" w:type="dxa"/>
            <w:tcBorders>
              <w:top w:val="nil"/>
              <w:left w:val="nil"/>
              <w:bottom w:val="nil"/>
              <w:right w:val="nil"/>
            </w:tcBorders>
          </w:tcPr>
          <w:p w14:paraId="201812D6"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3.925</w:t>
            </w:r>
          </w:p>
        </w:tc>
        <w:tc>
          <w:tcPr>
            <w:tcW w:w="1307" w:type="dxa"/>
            <w:tcBorders>
              <w:top w:val="nil"/>
              <w:left w:val="nil"/>
              <w:bottom w:val="nil"/>
              <w:right w:val="nil"/>
            </w:tcBorders>
          </w:tcPr>
          <w:p w14:paraId="5697506A"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4.000</w:t>
            </w:r>
          </w:p>
        </w:tc>
        <w:tc>
          <w:tcPr>
            <w:tcW w:w="1307" w:type="dxa"/>
            <w:tcBorders>
              <w:top w:val="nil"/>
              <w:left w:val="nil"/>
              <w:bottom w:val="nil"/>
              <w:right w:val="nil"/>
            </w:tcBorders>
          </w:tcPr>
          <w:p w14:paraId="05F4E6F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1.564</w:t>
            </w:r>
          </w:p>
        </w:tc>
        <w:tc>
          <w:tcPr>
            <w:tcW w:w="1307" w:type="dxa"/>
            <w:tcBorders>
              <w:top w:val="nil"/>
              <w:left w:val="nil"/>
              <w:bottom w:val="nil"/>
              <w:right w:val="nil"/>
            </w:tcBorders>
          </w:tcPr>
          <w:p w14:paraId="1F4CB618"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3.000</w:t>
            </w:r>
          </w:p>
        </w:tc>
        <w:tc>
          <w:tcPr>
            <w:tcW w:w="1307" w:type="dxa"/>
            <w:tcBorders>
              <w:top w:val="nil"/>
              <w:left w:val="nil"/>
              <w:bottom w:val="nil"/>
              <w:right w:val="nil"/>
            </w:tcBorders>
          </w:tcPr>
          <w:p w14:paraId="5CF28AF0"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5.000</w:t>
            </w:r>
          </w:p>
        </w:tc>
      </w:tr>
      <w:tr w:rsidR="00F05B90" w:rsidRPr="00F05B90" w14:paraId="6A566D69" w14:textId="77777777" w:rsidTr="00EF3265">
        <w:trPr>
          <w:trHeight w:val="350"/>
        </w:trPr>
        <w:tc>
          <w:tcPr>
            <w:tcW w:w="2472" w:type="dxa"/>
            <w:tcBorders>
              <w:top w:val="nil"/>
              <w:left w:val="nil"/>
              <w:bottom w:val="nil"/>
              <w:right w:val="nil"/>
            </w:tcBorders>
          </w:tcPr>
          <w:p w14:paraId="3C119A5A"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MAT</w:t>
            </w:r>
          </w:p>
        </w:tc>
        <w:tc>
          <w:tcPr>
            <w:tcW w:w="1307" w:type="dxa"/>
            <w:tcBorders>
              <w:top w:val="nil"/>
              <w:left w:val="nil"/>
              <w:bottom w:val="nil"/>
              <w:right w:val="nil"/>
            </w:tcBorders>
          </w:tcPr>
          <w:p w14:paraId="0A5B4730"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0.648</w:t>
            </w:r>
          </w:p>
        </w:tc>
        <w:tc>
          <w:tcPr>
            <w:tcW w:w="1307" w:type="dxa"/>
            <w:tcBorders>
              <w:top w:val="nil"/>
              <w:left w:val="nil"/>
              <w:bottom w:val="nil"/>
              <w:right w:val="nil"/>
            </w:tcBorders>
          </w:tcPr>
          <w:p w14:paraId="6AC6C3C4"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0.456</w:t>
            </w:r>
          </w:p>
        </w:tc>
        <w:tc>
          <w:tcPr>
            <w:tcW w:w="1307" w:type="dxa"/>
            <w:tcBorders>
              <w:top w:val="nil"/>
              <w:left w:val="nil"/>
              <w:bottom w:val="nil"/>
              <w:right w:val="nil"/>
            </w:tcBorders>
          </w:tcPr>
          <w:p w14:paraId="66513368"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0.781</w:t>
            </w:r>
          </w:p>
        </w:tc>
        <w:tc>
          <w:tcPr>
            <w:tcW w:w="1307" w:type="dxa"/>
            <w:tcBorders>
              <w:top w:val="nil"/>
              <w:left w:val="nil"/>
              <w:bottom w:val="nil"/>
              <w:right w:val="nil"/>
            </w:tcBorders>
          </w:tcPr>
          <w:p w14:paraId="542E0AB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0.295</w:t>
            </w:r>
          </w:p>
        </w:tc>
        <w:tc>
          <w:tcPr>
            <w:tcW w:w="1307" w:type="dxa"/>
            <w:tcBorders>
              <w:top w:val="nil"/>
              <w:left w:val="nil"/>
              <w:bottom w:val="nil"/>
              <w:right w:val="nil"/>
            </w:tcBorders>
          </w:tcPr>
          <w:p w14:paraId="055D60C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0.699</w:t>
            </w:r>
          </w:p>
        </w:tc>
      </w:tr>
      <w:tr w:rsidR="00F05B90" w:rsidRPr="00F05B90" w14:paraId="142D37BA" w14:textId="77777777" w:rsidTr="00EF3265">
        <w:trPr>
          <w:trHeight w:val="350"/>
        </w:trPr>
        <w:tc>
          <w:tcPr>
            <w:tcW w:w="2472" w:type="dxa"/>
            <w:tcBorders>
              <w:top w:val="nil"/>
              <w:left w:val="nil"/>
              <w:bottom w:val="nil"/>
              <w:right w:val="nil"/>
            </w:tcBorders>
          </w:tcPr>
          <w:p w14:paraId="10B03B0D"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Indgap1</w:t>
            </w:r>
          </w:p>
        </w:tc>
        <w:tc>
          <w:tcPr>
            <w:tcW w:w="1307" w:type="dxa"/>
            <w:tcBorders>
              <w:top w:val="nil"/>
              <w:left w:val="nil"/>
              <w:bottom w:val="nil"/>
              <w:right w:val="nil"/>
            </w:tcBorders>
          </w:tcPr>
          <w:p w14:paraId="53D6166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6.399</w:t>
            </w:r>
          </w:p>
        </w:tc>
        <w:tc>
          <w:tcPr>
            <w:tcW w:w="1307" w:type="dxa"/>
            <w:tcBorders>
              <w:top w:val="nil"/>
              <w:left w:val="nil"/>
              <w:bottom w:val="nil"/>
              <w:right w:val="nil"/>
            </w:tcBorders>
          </w:tcPr>
          <w:p w14:paraId="5726152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7.847</w:t>
            </w:r>
          </w:p>
        </w:tc>
        <w:tc>
          <w:tcPr>
            <w:tcW w:w="1307" w:type="dxa"/>
            <w:tcBorders>
              <w:top w:val="nil"/>
              <w:left w:val="nil"/>
              <w:bottom w:val="nil"/>
              <w:right w:val="nil"/>
            </w:tcBorders>
          </w:tcPr>
          <w:p w14:paraId="6B05772A"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3.327</w:t>
            </w:r>
          </w:p>
        </w:tc>
        <w:tc>
          <w:tcPr>
            <w:tcW w:w="1307" w:type="dxa"/>
            <w:tcBorders>
              <w:top w:val="nil"/>
              <w:left w:val="nil"/>
              <w:bottom w:val="nil"/>
              <w:right w:val="nil"/>
            </w:tcBorders>
          </w:tcPr>
          <w:p w14:paraId="4BB980D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6.410</w:t>
            </w:r>
          </w:p>
        </w:tc>
        <w:tc>
          <w:tcPr>
            <w:tcW w:w="1307" w:type="dxa"/>
            <w:tcBorders>
              <w:top w:val="nil"/>
              <w:left w:val="nil"/>
              <w:bottom w:val="nil"/>
              <w:right w:val="nil"/>
            </w:tcBorders>
          </w:tcPr>
          <w:p w14:paraId="2690983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8.519</w:t>
            </w:r>
          </w:p>
        </w:tc>
      </w:tr>
      <w:tr w:rsidR="00F05B90" w:rsidRPr="00F05B90" w14:paraId="33B824A3" w14:textId="77777777" w:rsidTr="00EF3265">
        <w:trPr>
          <w:trHeight w:val="350"/>
        </w:trPr>
        <w:tc>
          <w:tcPr>
            <w:tcW w:w="2472" w:type="dxa"/>
            <w:tcBorders>
              <w:top w:val="nil"/>
              <w:left w:val="nil"/>
              <w:bottom w:val="nil"/>
              <w:right w:val="nil"/>
            </w:tcBorders>
          </w:tcPr>
          <w:p w14:paraId="25BF8CB3"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LAFEE</w:t>
            </w:r>
          </w:p>
        </w:tc>
        <w:tc>
          <w:tcPr>
            <w:tcW w:w="1307" w:type="dxa"/>
            <w:tcBorders>
              <w:top w:val="nil"/>
              <w:left w:val="nil"/>
              <w:bottom w:val="nil"/>
              <w:right w:val="nil"/>
            </w:tcBorders>
          </w:tcPr>
          <w:p w14:paraId="4085765C"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3.478</w:t>
            </w:r>
          </w:p>
        </w:tc>
        <w:tc>
          <w:tcPr>
            <w:tcW w:w="1307" w:type="dxa"/>
            <w:tcBorders>
              <w:top w:val="nil"/>
              <w:left w:val="nil"/>
              <w:bottom w:val="nil"/>
              <w:right w:val="nil"/>
            </w:tcBorders>
          </w:tcPr>
          <w:p w14:paraId="5B1A7E4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3.079</w:t>
            </w:r>
          </w:p>
        </w:tc>
        <w:tc>
          <w:tcPr>
            <w:tcW w:w="1307" w:type="dxa"/>
            <w:tcBorders>
              <w:top w:val="nil"/>
              <w:left w:val="nil"/>
              <w:bottom w:val="nil"/>
              <w:right w:val="nil"/>
            </w:tcBorders>
          </w:tcPr>
          <w:p w14:paraId="226ABE30"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2.057</w:t>
            </w:r>
          </w:p>
        </w:tc>
        <w:tc>
          <w:tcPr>
            <w:tcW w:w="1307" w:type="dxa"/>
            <w:tcBorders>
              <w:top w:val="nil"/>
              <w:left w:val="nil"/>
              <w:bottom w:val="nil"/>
              <w:right w:val="nil"/>
            </w:tcBorders>
          </w:tcPr>
          <w:p w14:paraId="740EF5DA"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2.699</w:t>
            </w:r>
          </w:p>
        </w:tc>
        <w:tc>
          <w:tcPr>
            <w:tcW w:w="1307" w:type="dxa"/>
            <w:tcBorders>
              <w:top w:val="nil"/>
              <w:left w:val="nil"/>
              <w:bottom w:val="nil"/>
              <w:right w:val="nil"/>
            </w:tcBorders>
          </w:tcPr>
          <w:p w14:paraId="7CFA91C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3.531</w:t>
            </w:r>
          </w:p>
        </w:tc>
      </w:tr>
      <w:tr w:rsidR="00F05B90" w:rsidRPr="00F05B90" w14:paraId="082BA6B4" w14:textId="77777777" w:rsidTr="00EF3265">
        <w:trPr>
          <w:trHeight w:val="350"/>
        </w:trPr>
        <w:tc>
          <w:tcPr>
            <w:tcW w:w="2472" w:type="dxa"/>
            <w:tcBorders>
              <w:top w:val="nil"/>
              <w:left w:val="nil"/>
              <w:bottom w:val="nil"/>
              <w:right w:val="nil"/>
            </w:tcBorders>
          </w:tcPr>
          <w:p w14:paraId="3A625FDA"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BIG4</w:t>
            </w:r>
          </w:p>
        </w:tc>
        <w:tc>
          <w:tcPr>
            <w:tcW w:w="1307" w:type="dxa"/>
            <w:tcBorders>
              <w:top w:val="nil"/>
              <w:left w:val="nil"/>
              <w:bottom w:val="nil"/>
              <w:right w:val="nil"/>
            </w:tcBorders>
          </w:tcPr>
          <w:p w14:paraId="6B03F17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0.968</w:t>
            </w:r>
          </w:p>
        </w:tc>
        <w:tc>
          <w:tcPr>
            <w:tcW w:w="1307" w:type="dxa"/>
            <w:tcBorders>
              <w:top w:val="nil"/>
              <w:left w:val="nil"/>
              <w:bottom w:val="nil"/>
              <w:right w:val="nil"/>
            </w:tcBorders>
          </w:tcPr>
          <w:p w14:paraId="1153D9DF"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c>
          <w:tcPr>
            <w:tcW w:w="1307" w:type="dxa"/>
            <w:tcBorders>
              <w:top w:val="nil"/>
              <w:left w:val="nil"/>
              <w:bottom w:val="nil"/>
              <w:right w:val="nil"/>
            </w:tcBorders>
          </w:tcPr>
          <w:p w14:paraId="58D9FFED"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0.175</w:t>
            </w:r>
          </w:p>
        </w:tc>
        <w:tc>
          <w:tcPr>
            <w:tcW w:w="1307" w:type="dxa"/>
            <w:tcBorders>
              <w:top w:val="nil"/>
              <w:left w:val="nil"/>
              <w:bottom w:val="nil"/>
              <w:right w:val="nil"/>
            </w:tcBorders>
          </w:tcPr>
          <w:p w14:paraId="3E3BFE9D"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c>
          <w:tcPr>
            <w:tcW w:w="1307" w:type="dxa"/>
            <w:tcBorders>
              <w:top w:val="nil"/>
              <w:left w:val="nil"/>
              <w:bottom w:val="nil"/>
              <w:right w:val="nil"/>
            </w:tcBorders>
          </w:tcPr>
          <w:p w14:paraId="1EA3ACDF"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r>
      <w:tr w:rsidR="00F05B90" w:rsidRPr="00F05B90" w14:paraId="08AB8721" w14:textId="77777777" w:rsidTr="00EF3265">
        <w:trPr>
          <w:trHeight w:val="350"/>
        </w:trPr>
        <w:tc>
          <w:tcPr>
            <w:tcW w:w="2472" w:type="dxa"/>
            <w:tcBorders>
              <w:top w:val="nil"/>
              <w:left w:val="nil"/>
              <w:bottom w:val="nil"/>
              <w:right w:val="nil"/>
            </w:tcBorders>
          </w:tcPr>
          <w:p w14:paraId="0DA70A01"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ACIndep</w:t>
            </w:r>
          </w:p>
        </w:tc>
        <w:tc>
          <w:tcPr>
            <w:tcW w:w="1307" w:type="dxa"/>
            <w:tcBorders>
              <w:top w:val="nil"/>
              <w:left w:val="nil"/>
              <w:bottom w:val="nil"/>
              <w:right w:val="nil"/>
            </w:tcBorders>
          </w:tcPr>
          <w:p w14:paraId="5C378E3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0.988</w:t>
            </w:r>
          </w:p>
        </w:tc>
        <w:tc>
          <w:tcPr>
            <w:tcW w:w="1307" w:type="dxa"/>
            <w:tcBorders>
              <w:top w:val="nil"/>
              <w:left w:val="nil"/>
              <w:bottom w:val="nil"/>
              <w:right w:val="nil"/>
            </w:tcBorders>
          </w:tcPr>
          <w:p w14:paraId="5A56F91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c>
          <w:tcPr>
            <w:tcW w:w="1307" w:type="dxa"/>
            <w:tcBorders>
              <w:top w:val="nil"/>
              <w:left w:val="nil"/>
              <w:bottom w:val="nil"/>
              <w:right w:val="nil"/>
            </w:tcBorders>
          </w:tcPr>
          <w:p w14:paraId="559EDAE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0.059</w:t>
            </w:r>
          </w:p>
        </w:tc>
        <w:tc>
          <w:tcPr>
            <w:tcW w:w="1307" w:type="dxa"/>
            <w:tcBorders>
              <w:top w:val="nil"/>
              <w:left w:val="nil"/>
              <w:bottom w:val="nil"/>
              <w:right w:val="nil"/>
            </w:tcBorders>
          </w:tcPr>
          <w:p w14:paraId="4A40607A"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c>
          <w:tcPr>
            <w:tcW w:w="1307" w:type="dxa"/>
            <w:tcBorders>
              <w:top w:val="nil"/>
              <w:left w:val="nil"/>
              <w:bottom w:val="nil"/>
              <w:right w:val="nil"/>
            </w:tcBorders>
          </w:tcPr>
          <w:p w14:paraId="22C207A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r>
      <w:tr w:rsidR="00F05B90" w:rsidRPr="00F05B90" w14:paraId="259F3F74" w14:textId="77777777" w:rsidTr="00EF3265">
        <w:trPr>
          <w:trHeight w:val="350"/>
        </w:trPr>
        <w:tc>
          <w:tcPr>
            <w:tcW w:w="2472" w:type="dxa"/>
            <w:tcBorders>
              <w:top w:val="nil"/>
              <w:left w:val="nil"/>
              <w:bottom w:val="nil"/>
              <w:right w:val="nil"/>
            </w:tcBorders>
          </w:tcPr>
          <w:p w14:paraId="376BB616"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BoDIndep</w:t>
            </w:r>
          </w:p>
        </w:tc>
        <w:tc>
          <w:tcPr>
            <w:tcW w:w="1307" w:type="dxa"/>
            <w:tcBorders>
              <w:top w:val="nil"/>
              <w:left w:val="nil"/>
              <w:bottom w:val="nil"/>
              <w:right w:val="nil"/>
            </w:tcBorders>
          </w:tcPr>
          <w:p w14:paraId="3A352D34"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0.636</w:t>
            </w:r>
          </w:p>
        </w:tc>
        <w:tc>
          <w:tcPr>
            <w:tcW w:w="1307" w:type="dxa"/>
            <w:tcBorders>
              <w:top w:val="nil"/>
              <w:left w:val="nil"/>
              <w:bottom w:val="nil"/>
              <w:right w:val="nil"/>
            </w:tcBorders>
          </w:tcPr>
          <w:p w14:paraId="2513FB1C"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0.667</w:t>
            </w:r>
          </w:p>
        </w:tc>
        <w:tc>
          <w:tcPr>
            <w:tcW w:w="1307" w:type="dxa"/>
            <w:tcBorders>
              <w:top w:val="nil"/>
              <w:left w:val="nil"/>
              <w:bottom w:val="nil"/>
              <w:right w:val="nil"/>
            </w:tcBorders>
          </w:tcPr>
          <w:p w14:paraId="0A95252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0.117</w:t>
            </w:r>
          </w:p>
        </w:tc>
        <w:tc>
          <w:tcPr>
            <w:tcW w:w="1307" w:type="dxa"/>
            <w:tcBorders>
              <w:top w:val="nil"/>
              <w:left w:val="nil"/>
              <w:bottom w:val="nil"/>
              <w:right w:val="nil"/>
            </w:tcBorders>
          </w:tcPr>
          <w:p w14:paraId="16BE598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0.556</w:t>
            </w:r>
          </w:p>
        </w:tc>
        <w:tc>
          <w:tcPr>
            <w:tcW w:w="1307" w:type="dxa"/>
            <w:tcBorders>
              <w:top w:val="nil"/>
              <w:left w:val="nil"/>
              <w:bottom w:val="nil"/>
              <w:right w:val="nil"/>
            </w:tcBorders>
          </w:tcPr>
          <w:p w14:paraId="1F7D5128"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0.727</w:t>
            </w:r>
          </w:p>
        </w:tc>
      </w:tr>
      <w:tr w:rsidR="00F05B90" w:rsidRPr="00F05B90" w14:paraId="5312D246" w14:textId="77777777" w:rsidTr="00EF3265">
        <w:trPr>
          <w:trHeight w:val="350"/>
        </w:trPr>
        <w:tc>
          <w:tcPr>
            <w:tcW w:w="2472" w:type="dxa"/>
            <w:tcBorders>
              <w:top w:val="nil"/>
              <w:left w:val="nil"/>
              <w:bottom w:val="nil"/>
              <w:right w:val="nil"/>
            </w:tcBorders>
          </w:tcPr>
          <w:p w14:paraId="69520966"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Leverage</w:t>
            </w:r>
          </w:p>
        </w:tc>
        <w:tc>
          <w:tcPr>
            <w:tcW w:w="1307" w:type="dxa"/>
            <w:tcBorders>
              <w:top w:val="nil"/>
              <w:left w:val="nil"/>
              <w:bottom w:val="nil"/>
              <w:right w:val="nil"/>
            </w:tcBorders>
          </w:tcPr>
          <w:p w14:paraId="0B3F7A1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1.443</w:t>
            </w:r>
          </w:p>
        </w:tc>
        <w:tc>
          <w:tcPr>
            <w:tcW w:w="1307" w:type="dxa"/>
            <w:tcBorders>
              <w:top w:val="nil"/>
              <w:left w:val="nil"/>
              <w:bottom w:val="nil"/>
              <w:right w:val="nil"/>
            </w:tcBorders>
          </w:tcPr>
          <w:p w14:paraId="1D3C0E7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1.237</w:t>
            </w:r>
          </w:p>
        </w:tc>
        <w:tc>
          <w:tcPr>
            <w:tcW w:w="1307" w:type="dxa"/>
            <w:tcBorders>
              <w:top w:val="nil"/>
              <w:left w:val="nil"/>
              <w:bottom w:val="nil"/>
              <w:right w:val="nil"/>
            </w:tcBorders>
          </w:tcPr>
          <w:p w14:paraId="2402B41C"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4.362</w:t>
            </w:r>
          </w:p>
        </w:tc>
        <w:tc>
          <w:tcPr>
            <w:tcW w:w="1307" w:type="dxa"/>
            <w:tcBorders>
              <w:top w:val="nil"/>
              <w:left w:val="nil"/>
              <w:bottom w:val="nil"/>
              <w:right w:val="nil"/>
            </w:tcBorders>
          </w:tcPr>
          <w:p w14:paraId="16C44C59"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0.697</w:t>
            </w:r>
          </w:p>
        </w:tc>
        <w:tc>
          <w:tcPr>
            <w:tcW w:w="1307" w:type="dxa"/>
            <w:tcBorders>
              <w:top w:val="nil"/>
              <w:left w:val="nil"/>
              <w:bottom w:val="nil"/>
              <w:right w:val="nil"/>
            </w:tcBorders>
          </w:tcPr>
          <w:p w14:paraId="03B1B25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2.208</w:t>
            </w:r>
          </w:p>
        </w:tc>
      </w:tr>
      <w:tr w:rsidR="00F05B90" w:rsidRPr="00F05B90" w14:paraId="2D8205BD" w14:textId="77777777" w:rsidTr="00EF3265">
        <w:trPr>
          <w:trHeight w:val="350"/>
        </w:trPr>
        <w:tc>
          <w:tcPr>
            <w:tcW w:w="2472" w:type="dxa"/>
            <w:tcBorders>
              <w:top w:val="nil"/>
              <w:left w:val="nil"/>
              <w:bottom w:val="nil"/>
              <w:right w:val="nil"/>
            </w:tcBorders>
          </w:tcPr>
          <w:p w14:paraId="1419A325"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LOSS</w:t>
            </w:r>
          </w:p>
        </w:tc>
        <w:tc>
          <w:tcPr>
            <w:tcW w:w="1307" w:type="dxa"/>
            <w:tcBorders>
              <w:top w:val="nil"/>
              <w:left w:val="nil"/>
              <w:bottom w:val="nil"/>
              <w:right w:val="nil"/>
            </w:tcBorders>
          </w:tcPr>
          <w:p w14:paraId="3694828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0.131</w:t>
            </w:r>
          </w:p>
        </w:tc>
        <w:tc>
          <w:tcPr>
            <w:tcW w:w="1307" w:type="dxa"/>
            <w:tcBorders>
              <w:top w:val="nil"/>
              <w:left w:val="nil"/>
              <w:bottom w:val="nil"/>
              <w:right w:val="nil"/>
            </w:tcBorders>
          </w:tcPr>
          <w:p w14:paraId="7A5F7450"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3AFE1F0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0.337</w:t>
            </w:r>
          </w:p>
        </w:tc>
        <w:tc>
          <w:tcPr>
            <w:tcW w:w="1307" w:type="dxa"/>
            <w:tcBorders>
              <w:top w:val="nil"/>
              <w:left w:val="nil"/>
              <w:bottom w:val="nil"/>
              <w:right w:val="nil"/>
            </w:tcBorders>
          </w:tcPr>
          <w:p w14:paraId="41F8C354"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7F6A5669"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r>
      <w:tr w:rsidR="00F05B90" w:rsidRPr="00F05B90" w14:paraId="390048E9" w14:textId="77777777" w:rsidTr="00EF3265">
        <w:trPr>
          <w:trHeight w:val="350"/>
        </w:trPr>
        <w:tc>
          <w:tcPr>
            <w:tcW w:w="2472" w:type="dxa"/>
            <w:tcBorders>
              <w:top w:val="nil"/>
              <w:left w:val="nil"/>
              <w:bottom w:val="nil"/>
              <w:right w:val="nil"/>
            </w:tcBorders>
          </w:tcPr>
          <w:p w14:paraId="7022E66B"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CurrentR</w:t>
            </w:r>
          </w:p>
        </w:tc>
        <w:tc>
          <w:tcPr>
            <w:tcW w:w="1307" w:type="dxa"/>
            <w:tcBorders>
              <w:top w:val="nil"/>
              <w:left w:val="nil"/>
              <w:bottom w:val="nil"/>
              <w:right w:val="nil"/>
            </w:tcBorders>
          </w:tcPr>
          <w:p w14:paraId="05EE910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1.517</w:t>
            </w:r>
          </w:p>
        </w:tc>
        <w:tc>
          <w:tcPr>
            <w:tcW w:w="1307" w:type="dxa"/>
            <w:tcBorders>
              <w:top w:val="nil"/>
              <w:left w:val="nil"/>
              <w:bottom w:val="nil"/>
              <w:right w:val="nil"/>
            </w:tcBorders>
          </w:tcPr>
          <w:p w14:paraId="2C3DB03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1.305</w:t>
            </w:r>
          </w:p>
        </w:tc>
        <w:tc>
          <w:tcPr>
            <w:tcW w:w="1307" w:type="dxa"/>
            <w:tcBorders>
              <w:top w:val="nil"/>
              <w:left w:val="nil"/>
              <w:bottom w:val="nil"/>
              <w:right w:val="nil"/>
            </w:tcBorders>
          </w:tcPr>
          <w:p w14:paraId="559D706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0.936</w:t>
            </w:r>
          </w:p>
        </w:tc>
        <w:tc>
          <w:tcPr>
            <w:tcW w:w="1307" w:type="dxa"/>
            <w:tcBorders>
              <w:top w:val="nil"/>
              <w:left w:val="nil"/>
              <w:bottom w:val="nil"/>
              <w:right w:val="nil"/>
            </w:tcBorders>
          </w:tcPr>
          <w:p w14:paraId="13ED7A5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0.907</w:t>
            </w:r>
          </w:p>
        </w:tc>
        <w:tc>
          <w:tcPr>
            <w:tcW w:w="1307" w:type="dxa"/>
            <w:tcBorders>
              <w:top w:val="nil"/>
              <w:left w:val="nil"/>
              <w:bottom w:val="nil"/>
              <w:right w:val="nil"/>
            </w:tcBorders>
          </w:tcPr>
          <w:p w14:paraId="187AC5B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1.891</w:t>
            </w:r>
          </w:p>
        </w:tc>
      </w:tr>
      <w:tr w:rsidR="00F05B90" w:rsidRPr="00F05B90" w14:paraId="46332CA2" w14:textId="77777777" w:rsidTr="00EF3265">
        <w:trPr>
          <w:trHeight w:val="350"/>
        </w:trPr>
        <w:tc>
          <w:tcPr>
            <w:tcW w:w="2472" w:type="dxa"/>
            <w:tcBorders>
              <w:top w:val="nil"/>
              <w:left w:val="nil"/>
              <w:bottom w:val="nil"/>
              <w:right w:val="nil"/>
            </w:tcBorders>
          </w:tcPr>
          <w:p w14:paraId="5AF9F267"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ROA</w:t>
            </w:r>
          </w:p>
        </w:tc>
        <w:tc>
          <w:tcPr>
            <w:tcW w:w="1307" w:type="dxa"/>
            <w:tcBorders>
              <w:top w:val="nil"/>
              <w:left w:val="nil"/>
              <w:bottom w:val="nil"/>
              <w:right w:val="nil"/>
            </w:tcBorders>
          </w:tcPr>
          <w:p w14:paraId="41D5388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6.740</w:t>
            </w:r>
          </w:p>
        </w:tc>
        <w:tc>
          <w:tcPr>
            <w:tcW w:w="1307" w:type="dxa"/>
            <w:tcBorders>
              <w:top w:val="nil"/>
              <w:left w:val="nil"/>
              <w:bottom w:val="nil"/>
              <w:right w:val="nil"/>
            </w:tcBorders>
          </w:tcPr>
          <w:p w14:paraId="2BE57399"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5.596</w:t>
            </w:r>
          </w:p>
        </w:tc>
        <w:tc>
          <w:tcPr>
            <w:tcW w:w="1307" w:type="dxa"/>
            <w:tcBorders>
              <w:top w:val="nil"/>
              <w:left w:val="nil"/>
              <w:bottom w:val="nil"/>
              <w:right w:val="nil"/>
            </w:tcBorders>
          </w:tcPr>
          <w:p w14:paraId="1C907A0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9.598</w:t>
            </w:r>
          </w:p>
        </w:tc>
        <w:tc>
          <w:tcPr>
            <w:tcW w:w="1307" w:type="dxa"/>
            <w:tcBorders>
              <w:top w:val="nil"/>
              <w:left w:val="nil"/>
              <w:bottom w:val="nil"/>
              <w:right w:val="nil"/>
            </w:tcBorders>
          </w:tcPr>
          <w:p w14:paraId="6DA6BA1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2.370</w:t>
            </w:r>
          </w:p>
        </w:tc>
        <w:tc>
          <w:tcPr>
            <w:tcW w:w="1307" w:type="dxa"/>
            <w:tcBorders>
              <w:top w:val="nil"/>
              <w:left w:val="nil"/>
              <w:bottom w:val="nil"/>
              <w:right w:val="nil"/>
            </w:tcBorders>
          </w:tcPr>
          <w:p w14:paraId="303D9969"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9.949</w:t>
            </w:r>
          </w:p>
        </w:tc>
      </w:tr>
      <w:tr w:rsidR="00F05B90" w:rsidRPr="00F05B90" w14:paraId="33BF5463" w14:textId="77777777" w:rsidTr="00EF3265">
        <w:trPr>
          <w:trHeight w:val="350"/>
        </w:trPr>
        <w:tc>
          <w:tcPr>
            <w:tcW w:w="2472" w:type="dxa"/>
            <w:tcBorders>
              <w:top w:val="nil"/>
              <w:left w:val="nil"/>
              <w:bottom w:val="nil"/>
              <w:right w:val="nil"/>
            </w:tcBorders>
          </w:tcPr>
          <w:p w14:paraId="34441460"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Employees</w:t>
            </w:r>
          </w:p>
        </w:tc>
        <w:tc>
          <w:tcPr>
            <w:tcW w:w="1307" w:type="dxa"/>
            <w:tcBorders>
              <w:top w:val="nil"/>
              <w:left w:val="nil"/>
              <w:bottom w:val="nil"/>
              <w:right w:val="nil"/>
            </w:tcBorders>
          </w:tcPr>
          <w:p w14:paraId="32CE7254"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30661.342</w:t>
            </w:r>
          </w:p>
        </w:tc>
        <w:tc>
          <w:tcPr>
            <w:tcW w:w="1307" w:type="dxa"/>
            <w:tcBorders>
              <w:top w:val="nil"/>
              <w:left w:val="nil"/>
              <w:bottom w:val="nil"/>
              <w:right w:val="nil"/>
            </w:tcBorders>
          </w:tcPr>
          <w:p w14:paraId="3504D6FC"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9693.500</w:t>
            </w:r>
          </w:p>
        </w:tc>
        <w:tc>
          <w:tcPr>
            <w:tcW w:w="1307" w:type="dxa"/>
            <w:tcBorders>
              <w:top w:val="nil"/>
              <w:left w:val="nil"/>
              <w:bottom w:val="nil"/>
              <w:right w:val="nil"/>
            </w:tcBorders>
          </w:tcPr>
          <w:p w14:paraId="15B84C8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62966.071</w:t>
            </w:r>
          </w:p>
        </w:tc>
        <w:tc>
          <w:tcPr>
            <w:tcW w:w="1307" w:type="dxa"/>
            <w:tcBorders>
              <w:top w:val="nil"/>
              <w:left w:val="nil"/>
              <w:bottom w:val="nil"/>
              <w:right w:val="nil"/>
            </w:tcBorders>
          </w:tcPr>
          <w:p w14:paraId="5A5D903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2966.500</w:t>
            </w:r>
          </w:p>
        </w:tc>
        <w:tc>
          <w:tcPr>
            <w:tcW w:w="1307" w:type="dxa"/>
            <w:tcBorders>
              <w:top w:val="nil"/>
              <w:left w:val="nil"/>
              <w:bottom w:val="nil"/>
              <w:right w:val="nil"/>
            </w:tcBorders>
          </w:tcPr>
          <w:p w14:paraId="52737E4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33436.500</w:t>
            </w:r>
          </w:p>
        </w:tc>
      </w:tr>
      <w:tr w:rsidR="00F05B90" w:rsidRPr="00F05B90" w14:paraId="7A10E839" w14:textId="77777777" w:rsidTr="00EF3265">
        <w:trPr>
          <w:trHeight w:val="350"/>
        </w:trPr>
        <w:tc>
          <w:tcPr>
            <w:tcW w:w="2472" w:type="dxa"/>
            <w:tcBorders>
              <w:top w:val="nil"/>
              <w:left w:val="nil"/>
              <w:bottom w:val="nil"/>
              <w:right w:val="nil"/>
            </w:tcBorders>
          </w:tcPr>
          <w:p w14:paraId="4E152C76"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CEOR</w:t>
            </w:r>
          </w:p>
        </w:tc>
        <w:tc>
          <w:tcPr>
            <w:tcW w:w="1307" w:type="dxa"/>
            <w:tcBorders>
              <w:top w:val="nil"/>
              <w:left w:val="nil"/>
              <w:bottom w:val="nil"/>
              <w:right w:val="nil"/>
            </w:tcBorders>
          </w:tcPr>
          <w:p w14:paraId="1D57842F"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4.359</w:t>
            </w:r>
          </w:p>
        </w:tc>
        <w:tc>
          <w:tcPr>
            <w:tcW w:w="1307" w:type="dxa"/>
            <w:tcBorders>
              <w:top w:val="nil"/>
              <w:left w:val="nil"/>
              <w:bottom w:val="nil"/>
              <w:right w:val="nil"/>
            </w:tcBorders>
          </w:tcPr>
          <w:p w14:paraId="4176C65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3.400</w:t>
            </w:r>
          </w:p>
        </w:tc>
        <w:tc>
          <w:tcPr>
            <w:tcW w:w="1307" w:type="dxa"/>
            <w:tcBorders>
              <w:top w:val="nil"/>
              <w:left w:val="nil"/>
              <w:bottom w:val="nil"/>
              <w:right w:val="nil"/>
            </w:tcBorders>
          </w:tcPr>
          <w:p w14:paraId="04A37AC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3.860</w:t>
            </w:r>
          </w:p>
        </w:tc>
        <w:tc>
          <w:tcPr>
            <w:tcW w:w="1307" w:type="dxa"/>
            <w:tcBorders>
              <w:top w:val="nil"/>
              <w:left w:val="nil"/>
              <w:bottom w:val="nil"/>
              <w:right w:val="nil"/>
            </w:tcBorders>
          </w:tcPr>
          <w:p w14:paraId="0EA909B8"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1.300</w:t>
            </w:r>
          </w:p>
        </w:tc>
        <w:tc>
          <w:tcPr>
            <w:tcW w:w="1307" w:type="dxa"/>
            <w:tcBorders>
              <w:top w:val="nil"/>
              <w:left w:val="nil"/>
              <w:bottom w:val="nil"/>
              <w:right w:val="nil"/>
            </w:tcBorders>
          </w:tcPr>
          <w:p w14:paraId="05E695E3"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6.400</w:t>
            </w:r>
          </w:p>
        </w:tc>
      </w:tr>
      <w:tr w:rsidR="00F05B90" w:rsidRPr="00F05B90" w14:paraId="09AF81AD" w14:textId="77777777" w:rsidTr="00EF3265">
        <w:trPr>
          <w:trHeight w:val="350"/>
        </w:trPr>
        <w:tc>
          <w:tcPr>
            <w:tcW w:w="2472" w:type="dxa"/>
            <w:tcBorders>
              <w:top w:val="nil"/>
              <w:left w:val="nil"/>
              <w:bottom w:val="nil"/>
              <w:right w:val="nil"/>
            </w:tcBorders>
          </w:tcPr>
          <w:p w14:paraId="75A9CCD6"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CEOGender</w:t>
            </w:r>
          </w:p>
        </w:tc>
        <w:tc>
          <w:tcPr>
            <w:tcW w:w="1307" w:type="dxa"/>
            <w:tcBorders>
              <w:top w:val="nil"/>
              <w:left w:val="nil"/>
              <w:bottom w:val="nil"/>
              <w:right w:val="nil"/>
            </w:tcBorders>
          </w:tcPr>
          <w:p w14:paraId="0E2430F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0.060</w:t>
            </w:r>
          </w:p>
        </w:tc>
        <w:tc>
          <w:tcPr>
            <w:tcW w:w="1307" w:type="dxa"/>
            <w:tcBorders>
              <w:top w:val="nil"/>
              <w:left w:val="nil"/>
              <w:bottom w:val="nil"/>
              <w:right w:val="nil"/>
            </w:tcBorders>
          </w:tcPr>
          <w:p w14:paraId="1D76697D"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62B9B561"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0.237</w:t>
            </w:r>
          </w:p>
        </w:tc>
        <w:tc>
          <w:tcPr>
            <w:tcW w:w="1307" w:type="dxa"/>
            <w:tcBorders>
              <w:top w:val="nil"/>
              <w:left w:val="nil"/>
              <w:bottom w:val="nil"/>
              <w:right w:val="nil"/>
            </w:tcBorders>
          </w:tcPr>
          <w:p w14:paraId="0970235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2E08263B"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r>
      <w:tr w:rsidR="00F05B90" w:rsidRPr="00F05B90" w14:paraId="0891D5B1" w14:textId="77777777" w:rsidTr="00EF3265">
        <w:trPr>
          <w:trHeight w:val="350"/>
        </w:trPr>
        <w:tc>
          <w:tcPr>
            <w:tcW w:w="2472" w:type="dxa"/>
            <w:tcBorders>
              <w:top w:val="nil"/>
              <w:left w:val="nil"/>
              <w:bottom w:val="nil"/>
              <w:right w:val="nil"/>
            </w:tcBorders>
          </w:tcPr>
          <w:p w14:paraId="2D0E6DF7"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Retire</w:t>
            </w:r>
          </w:p>
        </w:tc>
        <w:tc>
          <w:tcPr>
            <w:tcW w:w="1307" w:type="dxa"/>
            <w:tcBorders>
              <w:top w:val="nil"/>
              <w:left w:val="nil"/>
              <w:bottom w:val="nil"/>
              <w:right w:val="nil"/>
            </w:tcBorders>
          </w:tcPr>
          <w:p w14:paraId="1D9D6557"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0.063</w:t>
            </w:r>
          </w:p>
        </w:tc>
        <w:tc>
          <w:tcPr>
            <w:tcW w:w="1307" w:type="dxa"/>
            <w:tcBorders>
              <w:top w:val="nil"/>
              <w:left w:val="nil"/>
              <w:bottom w:val="nil"/>
              <w:right w:val="nil"/>
            </w:tcBorders>
          </w:tcPr>
          <w:p w14:paraId="3A456E7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14AB4CA8"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0.242</w:t>
            </w:r>
          </w:p>
        </w:tc>
        <w:tc>
          <w:tcPr>
            <w:tcW w:w="1307" w:type="dxa"/>
            <w:tcBorders>
              <w:top w:val="nil"/>
              <w:left w:val="nil"/>
              <w:bottom w:val="nil"/>
              <w:right w:val="nil"/>
            </w:tcBorders>
          </w:tcPr>
          <w:p w14:paraId="0AA88DD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7F555B05"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r>
      <w:tr w:rsidR="00F05B90" w:rsidRPr="00F05B90" w14:paraId="74BEB1D7" w14:textId="77777777" w:rsidTr="00EF3265">
        <w:trPr>
          <w:trHeight w:val="350"/>
        </w:trPr>
        <w:tc>
          <w:tcPr>
            <w:tcW w:w="2472" w:type="dxa"/>
            <w:tcBorders>
              <w:top w:val="nil"/>
              <w:left w:val="nil"/>
              <w:bottom w:val="nil"/>
              <w:right w:val="nil"/>
            </w:tcBorders>
          </w:tcPr>
          <w:p w14:paraId="5DBF98FA" w14:textId="77777777" w:rsidR="00EF3265" w:rsidRPr="00F05B90" w:rsidRDefault="00EF3265" w:rsidP="005A2722">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 Insider</w:t>
            </w:r>
          </w:p>
        </w:tc>
        <w:tc>
          <w:tcPr>
            <w:tcW w:w="1307" w:type="dxa"/>
            <w:tcBorders>
              <w:top w:val="nil"/>
              <w:left w:val="nil"/>
              <w:bottom w:val="nil"/>
              <w:right w:val="nil"/>
            </w:tcBorders>
          </w:tcPr>
          <w:p w14:paraId="1A5C9912"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0.437</w:t>
            </w:r>
          </w:p>
        </w:tc>
        <w:tc>
          <w:tcPr>
            <w:tcW w:w="1307" w:type="dxa"/>
            <w:tcBorders>
              <w:top w:val="nil"/>
              <w:left w:val="nil"/>
              <w:bottom w:val="nil"/>
              <w:right w:val="nil"/>
            </w:tcBorders>
          </w:tcPr>
          <w:p w14:paraId="6D6910B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72B4349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0.496</w:t>
            </w:r>
          </w:p>
        </w:tc>
        <w:tc>
          <w:tcPr>
            <w:tcW w:w="1307" w:type="dxa"/>
            <w:tcBorders>
              <w:top w:val="nil"/>
              <w:left w:val="nil"/>
              <w:bottom w:val="nil"/>
              <w:right w:val="nil"/>
            </w:tcBorders>
          </w:tcPr>
          <w:p w14:paraId="06538B50"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1307" w:type="dxa"/>
            <w:tcBorders>
              <w:top w:val="nil"/>
              <w:left w:val="nil"/>
              <w:bottom w:val="nil"/>
              <w:right w:val="nil"/>
            </w:tcBorders>
          </w:tcPr>
          <w:p w14:paraId="4E141D8E" w14:textId="77777777" w:rsidR="00EF3265" w:rsidRPr="00F05B90" w:rsidRDefault="00EF3265" w:rsidP="005A2722">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1.000</w:t>
            </w:r>
          </w:p>
        </w:tc>
      </w:tr>
      <w:tr w:rsidR="00EF3265" w:rsidRPr="00F05B90" w14:paraId="2D8C4D68" w14:textId="77777777" w:rsidTr="00EF3265">
        <w:trPr>
          <w:trHeight w:val="444"/>
        </w:trPr>
        <w:tc>
          <w:tcPr>
            <w:tcW w:w="9008" w:type="dxa"/>
            <w:gridSpan w:val="6"/>
            <w:tcBorders>
              <w:top w:val="nil"/>
              <w:left w:val="nil"/>
              <w:bottom w:val="nil"/>
              <w:right w:val="nil"/>
            </w:tcBorders>
          </w:tcPr>
          <w:p w14:paraId="6AD94DD8" w14:textId="7AD1809F" w:rsidR="00EF3265" w:rsidRPr="00F05B90" w:rsidRDefault="00EF3265" w:rsidP="00EF3265">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i/>
                <w:iCs/>
                <w:sz w:val="20"/>
                <w:szCs w:val="20"/>
              </w:rPr>
              <w:t>Notes:. All variables are defined in Appendix 1.</w:t>
            </w:r>
          </w:p>
        </w:tc>
      </w:tr>
    </w:tbl>
    <w:p w14:paraId="056B8AF1" w14:textId="259A0687" w:rsidR="00EF3265" w:rsidRPr="00F05B90" w:rsidRDefault="00EF3265" w:rsidP="00EF3265"/>
    <w:p w14:paraId="20F93852" w14:textId="794F29A5" w:rsidR="00EF3265" w:rsidRPr="00F05B90" w:rsidRDefault="00EF3265" w:rsidP="00EF3265"/>
    <w:p w14:paraId="6CFDA5F6" w14:textId="77777777" w:rsidR="00EF3265" w:rsidRPr="00F05B90" w:rsidRDefault="00EF3265" w:rsidP="00EF3265"/>
    <w:p w14:paraId="19546AF8" w14:textId="77777777" w:rsidR="00817718" w:rsidRPr="00F05B90" w:rsidRDefault="00817718" w:rsidP="00817718">
      <w:pPr>
        <w:spacing w:after="240" w:line="360" w:lineRule="auto"/>
        <w:jc w:val="both"/>
        <w:rPr>
          <w:sz w:val="20"/>
          <w:szCs w:val="20"/>
        </w:rPr>
        <w:sectPr w:rsidR="00817718" w:rsidRPr="00F05B90" w:rsidSect="00F81DFB">
          <w:footerReference w:type="default" r:id="rId14"/>
          <w:pgSz w:w="11906" w:h="16838"/>
          <w:pgMar w:top="1361" w:right="1440" w:bottom="1440" w:left="1361" w:header="709" w:footer="709" w:gutter="0"/>
          <w:pgNumType w:start="0"/>
          <w:cols w:space="708"/>
          <w:docGrid w:linePitch="360"/>
        </w:sectPr>
      </w:pPr>
    </w:p>
    <w:p w14:paraId="56986856" w14:textId="77777777" w:rsidR="00817718" w:rsidRPr="00F05B90" w:rsidRDefault="00817718" w:rsidP="00817718">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3: </w:t>
      </w:r>
      <w:r w:rsidRPr="00F05B90">
        <w:rPr>
          <w:rFonts w:ascii="Times New Roman" w:hAnsi="Times New Roman" w:cs="Times New Roman"/>
          <w:b w:val="0"/>
          <w:color w:val="auto"/>
          <w:szCs w:val="24"/>
        </w:rPr>
        <w:t>Correlations</w:t>
      </w:r>
    </w:p>
    <w:tbl>
      <w:tblPr>
        <w:tblW w:w="14459" w:type="dxa"/>
        <w:tblLayout w:type="fixed"/>
        <w:tblLook w:val="0000" w:firstRow="0" w:lastRow="0" w:firstColumn="0" w:lastColumn="0" w:noHBand="0" w:noVBand="0"/>
      </w:tblPr>
      <w:tblGrid>
        <w:gridCol w:w="2308"/>
        <w:gridCol w:w="1098"/>
        <w:gridCol w:w="1098"/>
        <w:gridCol w:w="1098"/>
        <w:gridCol w:w="1098"/>
        <w:gridCol w:w="1098"/>
        <w:gridCol w:w="1098"/>
        <w:gridCol w:w="1027"/>
        <w:gridCol w:w="1134"/>
        <w:gridCol w:w="1134"/>
        <w:gridCol w:w="1134"/>
        <w:gridCol w:w="1134"/>
      </w:tblGrid>
      <w:tr w:rsidR="00F05B90" w:rsidRPr="00F05B90" w14:paraId="55C73F2B" w14:textId="77777777" w:rsidTr="00320854">
        <w:tc>
          <w:tcPr>
            <w:tcW w:w="2308" w:type="dxa"/>
            <w:tcBorders>
              <w:top w:val="single" w:sz="12" w:space="0" w:color="auto"/>
              <w:left w:val="nil"/>
              <w:bottom w:val="single" w:sz="12" w:space="0" w:color="auto"/>
              <w:right w:val="nil"/>
            </w:tcBorders>
          </w:tcPr>
          <w:p w14:paraId="2FE78695"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Variables</w:t>
            </w:r>
          </w:p>
        </w:tc>
        <w:tc>
          <w:tcPr>
            <w:tcW w:w="1098" w:type="dxa"/>
            <w:tcBorders>
              <w:top w:val="single" w:sz="12" w:space="0" w:color="auto"/>
              <w:left w:val="nil"/>
              <w:bottom w:val="single" w:sz="12" w:space="0" w:color="auto"/>
              <w:right w:val="nil"/>
            </w:tcBorders>
          </w:tcPr>
          <w:p w14:paraId="6022C5B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(1)</w:t>
            </w:r>
          </w:p>
        </w:tc>
        <w:tc>
          <w:tcPr>
            <w:tcW w:w="1098" w:type="dxa"/>
            <w:tcBorders>
              <w:top w:val="single" w:sz="12" w:space="0" w:color="auto"/>
              <w:left w:val="nil"/>
              <w:bottom w:val="single" w:sz="12" w:space="0" w:color="auto"/>
              <w:right w:val="nil"/>
            </w:tcBorders>
          </w:tcPr>
          <w:p w14:paraId="3107D12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(2)</w:t>
            </w:r>
          </w:p>
        </w:tc>
        <w:tc>
          <w:tcPr>
            <w:tcW w:w="1098" w:type="dxa"/>
            <w:tcBorders>
              <w:top w:val="single" w:sz="12" w:space="0" w:color="auto"/>
              <w:left w:val="nil"/>
              <w:bottom w:val="single" w:sz="12" w:space="0" w:color="auto"/>
              <w:right w:val="nil"/>
            </w:tcBorders>
          </w:tcPr>
          <w:p w14:paraId="13F0811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(3)</w:t>
            </w:r>
          </w:p>
        </w:tc>
        <w:tc>
          <w:tcPr>
            <w:tcW w:w="1098" w:type="dxa"/>
            <w:tcBorders>
              <w:top w:val="single" w:sz="12" w:space="0" w:color="auto"/>
              <w:left w:val="nil"/>
              <w:bottom w:val="single" w:sz="12" w:space="0" w:color="auto"/>
              <w:right w:val="nil"/>
            </w:tcBorders>
          </w:tcPr>
          <w:p w14:paraId="0C943B3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(4)</w:t>
            </w:r>
          </w:p>
        </w:tc>
        <w:tc>
          <w:tcPr>
            <w:tcW w:w="1098" w:type="dxa"/>
            <w:tcBorders>
              <w:top w:val="single" w:sz="12" w:space="0" w:color="auto"/>
              <w:left w:val="nil"/>
              <w:bottom w:val="single" w:sz="12" w:space="0" w:color="auto"/>
              <w:right w:val="nil"/>
            </w:tcBorders>
          </w:tcPr>
          <w:p w14:paraId="2DB0CF9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(5)</w:t>
            </w:r>
          </w:p>
        </w:tc>
        <w:tc>
          <w:tcPr>
            <w:tcW w:w="1098" w:type="dxa"/>
            <w:tcBorders>
              <w:top w:val="single" w:sz="12" w:space="0" w:color="auto"/>
              <w:left w:val="nil"/>
              <w:bottom w:val="single" w:sz="12" w:space="0" w:color="auto"/>
              <w:right w:val="nil"/>
            </w:tcBorders>
          </w:tcPr>
          <w:p w14:paraId="73181A6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(6)</w:t>
            </w:r>
          </w:p>
        </w:tc>
        <w:tc>
          <w:tcPr>
            <w:tcW w:w="1027" w:type="dxa"/>
            <w:tcBorders>
              <w:top w:val="single" w:sz="12" w:space="0" w:color="auto"/>
              <w:left w:val="nil"/>
              <w:bottom w:val="single" w:sz="12" w:space="0" w:color="auto"/>
              <w:right w:val="nil"/>
            </w:tcBorders>
          </w:tcPr>
          <w:p w14:paraId="7EB9159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(7)</w:t>
            </w:r>
          </w:p>
        </w:tc>
        <w:tc>
          <w:tcPr>
            <w:tcW w:w="1134" w:type="dxa"/>
            <w:tcBorders>
              <w:top w:val="single" w:sz="12" w:space="0" w:color="auto"/>
              <w:left w:val="nil"/>
              <w:bottom w:val="single" w:sz="12" w:space="0" w:color="auto"/>
              <w:right w:val="nil"/>
            </w:tcBorders>
          </w:tcPr>
          <w:p w14:paraId="1D7E229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(8)</w:t>
            </w:r>
          </w:p>
        </w:tc>
        <w:tc>
          <w:tcPr>
            <w:tcW w:w="1134" w:type="dxa"/>
            <w:tcBorders>
              <w:top w:val="single" w:sz="12" w:space="0" w:color="auto"/>
              <w:left w:val="nil"/>
              <w:bottom w:val="single" w:sz="12" w:space="0" w:color="auto"/>
              <w:right w:val="nil"/>
            </w:tcBorders>
          </w:tcPr>
          <w:p w14:paraId="0B01C18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(9)</w:t>
            </w:r>
          </w:p>
        </w:tc>
        <w:tc>
          <w:tcPr>
            <w:tcW w:w="1134" w:type="dxa"/>
            <w:tcBorders>
              <w:top w:val="single" w:sz="12" w:space="0" w:color="auto"/>
              <w:left w:val="nil"/>
              <w:bottom w:val="single" w:sz="12" w:space="0" w:color="auto"/>
              <w:right w:val="nil"/>
            </w:tcBorders>
          </w:tcPr>
          <w:p w14:paraId="5D69A37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(10)</w:t>
            </w:r>
          </w:p>
        </w:tc>
        <w:tc>
          <w:tcPr>
            <w:tcW w:w="1134" w:type="dxa"/>
            <w:tcBorders>
              <w:top w:val="single" w:sz="12" w:space="0" w:color="auto"/>
              <w:left w:val="nil"/>
              <w:bottom w:val="single" w:sz="12" w:space="0" w:color="auto"/>
              <w:right w:val="nil"/>
            </w:tcBorders>
          </w:tcPr>
          <w:p w14:paraId="38B0129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16"/>
                <w:szCs w:val="16"/>
              </w:rPr>
              <w:t>(11)</w:t>
            </w:r>
          </w:p>
        </w:tc>
      </w:tr>
      <w:tr w:rsidR="00F05B90" w:rsidRPr="00F05B90" w14:paraId="65C6BFA1" w14:textId="77777777" w:rsidTr="00320854">
        <w:tc>
          <w:tcPr>
            <w:tcW w:w="2308" w:type="dxa"/>
            <w:tcBorders>
              <w:top w:val="single" w:sz="12" w:space="0" w:color="auto"/>
              <w:left w:val="nil"/>
              <w:bottom w:val="nil"/>
              <w:right w:val="nil"/>
            </w:tcBorders>
          </w:tcPr>
          <w:p w14:paraId="57CF338E"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 KAM</w:t>
            </w:r>
          </w:p>
        </w:tc>
        <w:tc>
          <w:tcPr>
            <w:tcW w:w="1098" w:type="dxa"/>
            <w:tcBorders>
              <w:top w:val="single" w:sz="12" w:space="0" w:color="auto"/>
              <w:left w:val="nil"/>
              <w:bottom w:val="nil"/>
              <w:right w:val="nil"/>
            </w:tcBorders>
          </w:tcPr>
          <w:p w14:paraId="42F9ADB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98" w:type="dxa"/>
            <w:tcBorders>
              <w:top w:val="single" w:sz="12" w:space="0" w:color="auto"/>
              <w:left w:val="nil"/>
              <w:bottom w:val="nil"/>
              <w:right w:val="nil"/>
            </w:tcBorders>
          </w:tcPr>
          <w:p w14:paraId="7F8B4615"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single" w:sz="12" w:space="0" w:color="auto"/>
              <w:left w:val="nil"/>
              <w:bottom w:val="nil"/>
              <w:right w:val="nil"/>
            </w:tcBorders>
          </w:tcPr>
          <w:p w14:paraId="1D0CA1B2"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single" w:sz="12" w:space="0" w:color="auto"/>
              <w:left w:val="nil"/>
              <w:bottom w:val="nil"/>
              <w:right w:val="nil"/>
            </w:tcBorders>
          </w:tcPr>
          <w:p w14:paraId="08A3EC21"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single" w:sz="12" w:space="0" w:color="auto"/>
              <w:left w:val="nil"/>
              <w:bottom w:val="nil"/>
              <w:right w:val="nil"/>
            </w:tcBorders>
          </w:tcPr>
          <w:p w14:paraId="13A665E3"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single" w:sz="12" w:space="0" w:color="auto"/>
              <w:left w:val="nil"/>
              <w:bottom w:val="nil"/>
              <w:right w:val="nil"/>
            </w:tcBorders>
          </w:tcPr>
          <w:p w14:paraId="719F7C45"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27" w:type="dxa"/>
            <w:tcBorders>
              <w:top w:val="single" w:sz="12" w:space="0" w:color="auto"/>
              <w:left w:val="nil"/>
              <w:bottom w:val="nil"/>
              <w:right w:val="nil"/>
            </w:tcBorders>
          </w:tcPr>
          <w:p w14:paraId="0E6F55D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single" w:sz="12" w:space="0" w:color="auto"/>
              <w:left w:val="nil"/>
              <w:bottom w:val="nil"/>
              <w:right w:val="nil"/>
            </w:tcBorders>
          </w:tcPr>
          <w:p w14:paraId="603D96E3"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single" w:sz="12" w:space="0" w:color="auto"/>
              <w:left w:val="nil"/>
              <w:bottom w:val="nil"/>
              <w:right w:val="nil"/>
            </w:tcBorders>
          </w:tcPr>
          <w:p w14:paraId="35D2649F"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single" w:sz="12" w:space="0" w:color="auto"/>
              <w:left w:val="nil"/>
              <w:bottom w:val="nil"/>
              <w:right w:val="nil"/>
            </w:tcBorders>
          </w:tcPr>
          <w:p w14:paraId="636AFFA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single" w:sz="12" w:space="0" w:color="auto"/>
              <w:left w:val="nil"/>
              <w:bottom w:val="nil"/>
              <w:right w:val="nil"/>
            </w:tcBorders>
          </w:tcPr>
          <w:p w14:paraId="1ADE85FB"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570AA18F" w14:textId="77777777" w:rsidTr="00320854">
        <w:tc>
          <w:tcPr>
            <w:tcW w:w="2308" w:type="dxa"/>
            <w:tcBorders>
              <w:top w:val="nil"/>
              <w:left w:val="nil"/>
              <w:bottom w:val="nil"/>
              <w:right w:val="nil"/>
            </w:tcBorders>
          </w:tcPr>
          <w:p w14:paraId="14B26E57"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(2) MAT</w:t>
            </w:r>
          </w:p>
        </w:tc>
        <w:tc>
          <w:tcPr>
            <w:tcW w:w="1098" w:type="dxa"/>
            <w:tcBorders>
              <w:top w:val="nil"/>
              <w:left w:val="nil"/>
              <w:bottom w:val="nil"/>
              <w:right w:val="nil"/>
            </w:tcBorders>
          </w:tcPr>
          <w:p w14:paraId="1C3FB3D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-0.176</w:t>
            </w:r>
            <w:r w:rsidRPr="00F05B90">
              <w:rPr>
                <w:sz w:val="16"/>
                <w:szCs w:val="16"/>
              </w:rPr>
              <w:t>***</w:t>
            </w:r>
          </w:p>
        </w:tc>
        <w:tc>
          <w:tcPr>
            <w:tcW w:w="1098" w:type="dxa"/>
            <w:tcBorders>
              <w:top w:val="nil"/>
              <w:left w:val="nil"/>
              <w:bottom w:val="nil"/>
              <w:right w:val="nil"/>
            </w:tcBorders>
          </w:tcPr>
          <w:p w14:paraId="52E2BD0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98" w:type="dxa"/>
            <w:tcBorders>
              <w:top w:val="nil"/>
              <w:left w:val="nil"/>
              <w:bottom w:val="nil"/>
              <w:right w:val="nil"/>
            </w:tcBorders>
          </w:tcPr>
          <w:p w14:paraId="5F79CC44"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5E9E4509"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78CB5F8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2D1CC883"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27" w:type="dxa"/>
            <w:tcBorders>
              <w:top w:val="nil"/>
              <w:left w:val="nil"/>
              <w:bottom w:val="nil"/>
              <w:right w:val="nil"/>
            </w:tcBorders>
          </w:tcPr>
          <w:p w14:paraId="444516D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298A1A5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3222169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60CA3AAF"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493A2783"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3CC32D15" w14:textId="77777777" w:rsidTr="00320854">
        <w:tc>
          <w:tcPr>
            <w:tcW w:w="2308" w:type="dxa"/>
            <w:tcBorders>
              <w:top w:val="nil"/>
              <w:left w:val="nil"/>
              <w:bottom w:val="nil"/>
              <w:right w:val="nil"/>
            </w:tcBorders>
          </w:tcPr>
          <w:p w14:paraId="4DE4C40A"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(3) Indgap1</w:t>
            </w:r>
          </w:p>
        </w:tc>
        <w:tc>
          <w:tcPr>
            <w:tcW w:w="1098" w:type="dxa"/>
            <w:tcBorders>
              <w:top w:val="nil"/>
              <w:left w:val="nil"/>
              <w:bottom w:val="nil"/>
              <w:right w:val="nil"/>
            </w:tcBorders>
          </w:tcPr>
          <w:p w14:paraId="5C418C59"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-0.167</w:t>
            </w:r>
            <w:r w:rsidRPr="00F05B90">
              <w:rPr>
                <w:sz w:val="16"/>
                <w:szCs w:val="16"/>
              </w:rPr>
              <w:t>***</w:t>
            </w:r>
          </w:p>
        </w:tc>
        <w:tc>
          <w:tcPr>
            <w:tcW w:w="1098" w:type="dxa"/>
            <w:tcBorders>
              <w:top w:val="nil"/>
              <w:left w:val="nil"/>
              <w:bottom w:val="nil"/>
              <w:right w:val="nil"/>
            </w:tcBorders>
          </w:tcPr>
          <w:p w14:paraId="59B20E9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0.069**</w:t>
            </w:r>
          </w:p>
        </w:tc>
        <w:tc>
          <w:tcPr>
            <w:tcW w:w="1098" w:type="dxa"/>
            <w:tcBorders>
              <w:top w:val="nil"/>
              <w:left w:val="nil"/>
              <w:bottom w:val="nil"/>
              <w:right w:val="nil"/>
            </w:tcBorders>
          </w:tcPr>
          <w:p w14:paraId="1EE5C18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98" w:type="dxa"/>
            <w:tcBorders>
              <w:top w:val="nil"/>
              <w:left w:val="nil"/>
              <w:bottom w:val="nil"/>
              <w:right w:val="nil"/>
            </w:tcBorders>
          </w:tcPr>
          <w:p w14:paraId="6F3DD3EB"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31F7DEF3"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0D30DE6E"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27" w:type="dxa"/>
            <w:tcBorders>
              <w:top w:val="nil"/>
              <w:left w:val="nil"/>
              <w:bottom w:val="nil"/>
              <w:right w:val="nil"/>
            </w:tcBorders>
          </w:tcPr>
          <w:p w14:paraId="26D1E6BF"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5D8DFD7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2B425E8E"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2C3245A1"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1FA5F560"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4DECF453" w14:textId="77777777" w:rsidTr="00320854">
        <w:tc>
          <w:tcPr>
            <w:tcW w:w="2308" w:type="dxa"/>
            <w:tcBorders>
              <w:top w:val="nil"/>
              <w:left w:val="nil"/>
              <w:bottom w:val="nil"/>
              <w:right w:val="nil"/>
            </w:tcBorders>
          </w:tcPr>
          <w:p w14:paraId="26A543DD"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(4) LAFEE</w:t>
            </w:r>
          </w:p>
        </w:tc>
        <w:tc>
          <w:tcPr>
            <w:tcW w:w="1098" w:type="dxa"/>
            <w:tcBorders>
              <w:top w:val="nil"/>
              <w:left w:val="nil"/>
              <w:bottom w:val="nil"/>
              <w:right w:val="nil"/>
            </w:tcBorders>
          </w:tcPr>
          <w:p w14:paraId="2D2948D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0.050*</w:t>
            </w:r>
          </w:p>
        </w:tc>
        <w:tc>
          <w:tcPr>
            <w:tcW w:w="1098" w:type="dxa"/>
            <w:tcBorders>
              <w:top w:val="nil"/>
              <w:left w:val="nil"/>
              <w:bottom w:val="nil"/>
              <w:right w:val="nil"/>
            </w:tcBorders>
          </w:tcPr>
          <w:p w14:paraId="23DBDB2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-0.126</w:t>
            </w:r>
            <w:r w:rsidRPr="00F05B90">
              <w:rPr>
                <w:sz w:val="16"/>
                <w:szCs w:val="16"/>
              </w:rPr>
              <w:t>***</w:t>
            </w:r>
          </w:p>
        </w:tc>
        <w:tc>
          <w:tcPr>
            <w:tcW w:w="1098" w:type="dxa"/>
            <w:tcBorders>
              <w:top w:val="nil"/>
              <w:left w:val="nil"/>
              <w:bottom w:val="nil"/>
              <w:right w:val="nil"/>
            </w:tcBorders>
          </w:tcPr>
          <w:p w14:paraId="44738E2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-0.044</w:t>
            </w:r>
          </w:p>
        </w:tc>
        <w:tc>
          <w:tcPr>
            <w:tcW w:w="1098" w:type="dxa"/>
            <w:tcBorders>
              <w:top w:val="nil"/>
              <w:left w:val="nil"/>
              <w:bottom w:val="nil"/>
              <w:right w:val="nil"/>
            </w:tcBorders>
          </w:tcPr>
          <w:p w14:paraId="2022763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98" w:type="dxa"/>
            <w:tcBorders>
              <w:top w:val="nil"/>
              <w:left w:val="nil"/>
              <w:bottom w:val="nil"/>
              <w:right w:val="nil"/>
            </w:tcBorders>
          </w:tcPr>
          <w:p w14:paraId="651D1CD3"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98" w:type="dxa"/>
            <w:tcBorders>
              <w:top w:val="nil"/>
              <w:left w:val="nil"/>
              <w:bottom w:val="nil"/>
              <w:right w:val="nil"/>
            </w:tcBorders>
          </w:tcPr>
          <w:p w14:paraId="28E7C17E"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27" w:type="dxa"/>
            <w:tcBorders>
              <w:top w:val="nil"/>
              <w:left w:val="nil"/>
              <w:bottom w:val="nil"/>
              <w:right w:val="nil"/>
            </w:tcBorders>
          </w:tcPr>
          <w:p w14:paraId="5DF6B565"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5C99CD7D"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136D2089"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5C85DF5D"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16D6EA73"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0D291C3F" w14:textId="77777777" w:rsidTr="00320854">
        <w:tc>
          <w:tcPr>
            <w:tcW w:w="2308" w:type="dxa"/>
            <w:tcBorders>
              <w:top w:val="nil"/>
              <w:left w:val="nil"/>
              <w:bottom w:val="nil"/>
              <w:right w:val="nil"/>
            </w:tcBorders>
          </w:tcPr>
          <w:p w14:paraId="1665F6FC"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(5) BIG4</w:t>
            </w:r>
          </w:p>
        </w:tc>
        <w:tc>
          <w:tcPr>
            <w:tcW w:w="1098" w:type="dxa"/>
            <w:tcBorders>
              <w:top w:val="nil"/>
              <w:left w:val="nil"/>
              <w:bottom w:val="nil"/>
              <w:right w:val="nil"/>
            </w:tcBorders>
          </w:tcPr>
          <w:p w14:paraId="60C0EB6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-0.023</w:t>
            </w:r>
          </w:p>
        </w:tc>
        <w:tc>
          <w:tcPr>
            <w:tcW w:w="1098" w:type="dxa"/>
            <w:tcBorders>
              <w:top w:val="nil"/>
              <w:left w:val="nil"/>
              <w:bottom w:val="nil"/>
              <w:right w:val="nil"/>
            </w:tcBorders>
          </w:tcPr>
          <w:p w14:paraId="6414922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-0.014</w:t>
            </w:r>
          </w:p>
        </w:tc>
        <w:tc>
          <w:tcPr>
            <w:tcW w:w="1098" w:type="dxa"/>
            <w:tcBorders>
              <w:top w:val="nil"/>
              <w:left w:val="nil"/>
              <w:bottom w:val="nil"/>
              <w:right w:val="nil"/>
            </w:tcBorders>
          </w:tcPr>
          <w:p w14:paraId="0438E9E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-0.043</w:t>
            </w:r>
          </w:p>
        </w:tc>
        <w:tc>
          <w:tcPr>
            <w:tcW w:w="1098" w:type="dxa"/>
            <w:tcBorders>
              <w:top w:val="nil"/>
              <w:left w:val="nil"/>
              <w:bottom w:val="nil"/>
              <w:right w:val="nil"/>
            </w:tcBorders>
          </w:tcPr>
          <w:p w14:paraId="1671C159"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-0.230</w:t>
            </w:r>
            <w:r w:rsidRPr="00F05B90">
              <w:rPr>
                <w:sz w:val="16"/>
                <w:szCs w:val="16"/>
              </w:rPr>
              <w:t>***</w:t>
            </w:r>
          </w:p>
        </w:tc>
        <w:tc>
          <w:tcPr>
            <w:tcW w:w="1098" w:type="dxa"/>
            <w:tcBorders>
              <w:top w:val="nil"/>
              <w:left w:val="nil"/>
              <w:bottom w:val="nil"/>
              <w:right w:val="nil"/>
            </w:tcBorders>
          </w:tcPr>
          <w:p w14:paraId="25132DE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98" w:type="dxa"/>
            <w:tcBorders>
              <w:top w:val="nil"/>
              <w:left w:val="nil"/>
              <w:bottom w:val="nil"/>
              <w:right w:val="nil"/>
            </w:tcBorders>
          </w:tcPr>
          <w:p w14:paraId="6BD5B895"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027" w:type="dxa"/>
            <w:tcBorders>
              <w:top w:val="nil"/>
              <w:left w:val="nil"/>
              <w:bottom w:val="nil"/>
              <w:right w:val="nil"/>
            </w:tcBorders>
          </w:tcPr>
          <w:p w14:paraId="01172405"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6FCD78E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38A432C0"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0E3BC64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2632FD38"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0C3061F0" w14:textId="77777777" w:rsidTr="00320854">
        <w:tc>
          <w:tcPr>
            <w:tcW w:w="2308" w:type="dxa"/>
            <w:tcBorders>
              <w:top w:val="nil"/>
              <w:left w:val="nil"/>
              <w:bottom w:val="nil"/>
              <w:right w:val="nil"/>
            </w:tcBorders>
          </w:tcPr>
          <w:p w14:paraId="7D2D5AA0"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(6) ACIndep</w:t>
            </w:r>
          </w:p>
        </w:tc>
        <w:tc>
          <w:tcPr>
            <w:tcW w:w="1098" w:type="dxa"/>
            <w:tcBorders>
              <w:top w:val="nil"/>
              <w:left w:val="nil"/>
              <w:bottom w:val="nil"/>
              <w:right w:val="nil"/>
            </w:tcBorders>
          </w:tcPr>
          <w:p w14:paraId="4FFA9FB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0.045</w:t>
            </w:r>
          </w:p>
        </w:tc>
        <w:tc>
          <w:tcPr>
            <w:tcW w:w="1098" w:type="dxa"/>
            <w:tcBorders>
              <w:top w:val="nil"/>
              <w:left w:val="nil"/>
              <w:bottom w:val="nil"/>
              <w:right w:val="nil"/>
            </w:tcBorders>
          </w:tcPr>
          <w:p w14:paraId="5CCEF9F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-0.061*</w:t>
            </w:r>
          </w:p>
        </w:tc>
        <w:tc>
          <w:tcPr>
            <w:tcW w:w="1098" w:type="dxa"/>
            <w:tcBorders>
              <w:top w:val="nil"/>
              <w:left w:val="nil"/>
              <w:bottom w:val="nil"/>
              <w:right w:val="nil"/>
            </w:tcBorders>
          </w:tcPr>
          <w:p w14:paraId="0B59411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-0.051*</w:t>
            </w:r>
          </w:p>
        </w:tc>
        <w:tc>
          <w:tcPr>
            <w:tcW w:w="1098" w:type="dxa"/>
            <w:tcBorders>
              <w:top w:val="nil"/>
              <w:left w:val="nil"/>
              <w:bottom w:val="nil"/>
              <w:right w:val="nil"/>
            </w:tcBorders>
          </w:tcPr>
          <w:p w14:paraId="7A22011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0.077**</w:t>
            </w:r>
          </w:p>
        </w:tc>
        <w:tc>
          <w:tcPr>
            <w:tcW w:w="1098" w:type="dxa"/>
            <w:tcBorders>
              <w:top w:val="nil"/>
              <w:left w:val="nil"/>
              <w:bottom w:val="nil"/>
              <w:right w:val="nil"/>
            </w:tcBorders>
          </w:tcPr>
          <w:p w14:paraId="058FC57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-0.006</w:t>
            </w:r>
          </w:p>
        </w:tc>
        <w:tc>
          <w:tcPr>
            <w:tcW w:w="1098" w:type="dxa"/>
            <w:tcBorders>
              <w:top w:val="nil"/>
              <w:left w:val="nil"/>
              <w:bottom w:val="nil"/>
              <w:right w:val="nil"/>
            </w:tcBorders>
          </w:tcPr>
          <w:p w14:paraId="77981DD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027" w:type="dxa"/>
            <w:tcBorders>
              <w:top w:val="nil"/>
              <w:left w:val="nil"/>
              <w:bottom w:val="nil"/>
              <w:right w:val="nil"/>
            </w:tcBorders>
          </w:tcPr>
          <w:p w14:paraId="21BE4569"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1B798186"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1F6AA3E2"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591DE36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6AA9B923"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5CD8AB55" w14:textId="77777777" w:rsidTr="00320854">
        <w:tc>
          <w:tcPr>
            <w:tcW w:w="2308" w:type="dxa"/>
            <w:tcBorders>
              <w:top w:val="nil"/>
              <w:left w:val="nil"/>
              <w:bottom w:val="nil"/>
              <w:right w:val="nil"/>
            </w:tcBorders>
          </w:tcPr>
          <w:p w14:paraId="3729EF15"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(7) BoDIndep</w:t>
            </w:r>
          </w:p>
        </w:tc>
        <w:tc>
          <w:tcPr>
            <w:tcW w:w="1098" w:type="dxa"/>
            <w:tcBorders>
              <w:top w:val="nil"/>
              <w:left w:val="nil"/>
              <w:bottom w:val="nil"/>
              <w:right w:val="nil"/>
            </w:tcBorders>
          </w:tcPr>
          <w:p w14:paraId="5EC5C9A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0.203</w:t>
            </w:r>
            <w:r w:rsidRPr="00F05B90">
              <w:rPr>
                <w:sz w:val="16"/>
                <w:szCs w:val="16"/>
              </w:rPr>
              <w:t>***</w:t>
            </w:r>
          </w:p>
        </w:tc>
        <w:tc>
          <w:tcPr>
            <w:tcW w:w="1098" w:type="dxa"/>
            <w:tcBorders>
              <w:top w:val="nil"/>
              <w:left w:val="nil"/>
              <w:bottom w:val="nil"/>
              <w:right w:val="nil"/>
            </w:tcBorders>
          </w:tcPr>
          <w:p w14:paraId="64D4E68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-0.172</w:t>
            </w:r>
            <w:r w:rsidRPr="00F05B90">
              <w:rPr>
                <w:sz w:val="16"/>
                <w:szCs w:val="16"/>
              </w:rPr>
              <w:t>***</w:t>
            </w:r>
          </w:p>
        </w:tc>
        <w:tc>
          <w:tcPr>
            <w:tcW w:w="1098" w:type="dxa"/>
            <w:tcBorders>
              <w:top w:val="nil"/>
              <w:left w:val="nil"/>
              <w:bottom w:val="nil"/>
              <w:right w:val="nil"/>
            </w:tcBorders>
          </w:tcPr>
          <w:p w14:paraId="569C95F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-0.201</w:t>
            </w:r>
            <w:r w:rsidRPr="00F05B90">
              <w:rPr>
                <w:sz w:val="16"/>
                <w:szCs w:val="16"/>
              </w:rPr>
              <w:t>***</w:t>
            </w:r>
          </w:p>
        </w:tc>
        <w:tc>
          <w:tcPr>
            <w:tcW w:w="1098" w:type="dxa"/>
            <w:tcBorders>
              <w:top w:val="nil"/>
              <w:left w:val="nil"/>
              <w:bottom w:val="nil"/>
              <w:right w:val="nil"/>
            </w:tcBorders>
          </w:tcPr>
          <w:p w14:paraId="5033200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0.237</w:t>
            </w:r>
            <w:r w:rsidRPr="00F05B90">
              <w:rPr>
                <w:sz w:val="16"/>
                <w:szCs w:val="16"/>
              </w:rPr>
              <w:t>***</w:t>
            </w:r>
          </w:p>
        </w:tc>
        <w:tc>
          <w:tcPr>
            <w:tcW w:w="1098" w:type="dxa"/>
            <w:tcBorders>
              <w:top w:val="nil"/>
              <w:left w:val="nil"/>
              <w:bottom w:val="nil"/>
              <w:right w:val="nil"/>
            </w:tcBorders>
          </w:tcPr>
          <w:p w14:paraId="5460252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0.037</w:t>
            </w:r>
          </w:p>
        </w:tc>
        <w:tc>
          <w:tcPr>
            <w:tcW w:w="1098" w:type="dxa"/>
            <w:tcBorders>
              <w:top w:val="nil"/>
              <w:left w:val="nil"/>
              <w:bottom w:val="nil"/>
              <w:right w:val="nil"/>
            </w:tcBorders>
          </w:tcPr>
          <w:p w14:paraId="077D172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0.309</w:t>
            </w:r>
            <w:r w:rsidRPr="00F05B90">
              <w:rPr>
                <w:sz w:val="16"/>
                <w:szCs w:val="16"/>
              </w:rPr>
              <w:t>***</w:t>
            </w:r>
          </w:p>
        </w:tc>
        <w:tc>
          <w:tcPr>
            <w:tcW w:w="1027" w:type="dxa"/>
            <w:tcBorders>
              <w:top w:val="nil"/>
              <w:left w:val="nil"/>
              <w:bottom w:val="nil"/>
              <w:right w:val="nil"/>
            </w:tcBorders>
          </w:tcPr>
          <w:p w14:paraId="64ED83B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134" w:type="dxa"/>
            <w:tcBorders>
              <w:top w:val="nil"/>
              <w:left w:val="nil"/>
              <w:bottom w:val="nil"/>
              <w:right w:val="nil"/>
            </w:tcBorders>
          </w:tcPr>
          <w:p w14:paraId="06E3C454"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6AEF75BF"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7F85192B"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30237F55"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19E480D3" w14:textId="77777777" w:rsidTr="00320854">
        <w:tc>
          <w:tcPr>
            <w:tcW w:w="2308" w:type="dxa"/>
            <w:tcBorders>
              <w:top w:val="nil"/>
              <w:left w:val="nil"/>
              <w:bottom w:val="nil"/>
              <w:right w:val="nil"/>
            </w:tcBorders>
          </w:tcPr>
          <w:p w14:paraId="7F31B258"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(8) Leverage</w:t>
            </w:r>
          </w:p>
        </w:tc>
        <w:tc>
          <w:tcPr>
            <w:tcW w:w="1098" w:type="dxa"/>
            <w:tcBorders>
              <w:top w:val="nil"/>
              <w:left w:val="nil"/>
              <w:bottom w:val="nil"/>
              <w:right w:val="nil"/>
            </w:tcBorders>
          </w:tcPr>
          <w:p w14:paraId="3093CB5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0.008</w:t>
            </w:r>
          </w:p>
        </w:tc>
        <w:tc>
          <w:tcPr>
            <w:tcW w:w="1098" w:type="dxa"/>
            <w:tcBorders>
              <w:top w:val="nil"/>
              <w:left w:val="nil"/>
              <w:bottom w:val="nil"/>
              <w:right w:val="nil"/>
            </w:tcBorders>
          </w:tcPr>
          <w:p w14:paraId="30EC755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-0.082</w:t>
            </w:r>
            <w:r w:rsidRPr="00F05B90">
              <w:rPr>
                <w:sz w:val="16"/>
                <w:szCs w:val="16"/>
              </w:rPr>
              <w:t>***</w:t>
            </w:r>
          </w:p>
        </w:tc>
        <w:tc>
          <w:tcPr>
            <w:tcW w:w="1098" w:type="dxa"/>
            <w:tcBorders>
              <w:top w:val="nil"/>
              <w:left w:val="nil"/>
              <w:bottom w:val="nil"/>
              <w:right w:val="nil"/>
            </w:tcBorders>
          </w:tcPr>
          <w:p w14:paraId="7A5E4EF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-0.050*</w:t>
            </w:r>
          </w:p>
        </w:tc>
        <w:tc>
          <w:tcPr>
            <w:tcW w:w="1098" w:type="dxa"/>
            <w:tcBorders>
              <w:top w:val="nil"/>
              <w:left w:val="nil"/>
              <w:bottom w:val="nil"/>
              <w:right w:val="nil"/>
            </w:tcBorders>
          </w:tcPr>
          <w:p w14:paraId="0F07403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0.046</w:t>
            </w:r>
          </w:p>
        </w:tc>
        <w:tc>
          <w:tcPr>
            <w:tcW w:w="1098" w:type="dxa"/>
            <w:tcBorders>
              <w:top w:val="nil"/>
              <w:left w:val="nil"/>
              <w:bottom w:val="nil"/>
              <w:right w:val="nil"/>
            </w:tcBorders>
          </w:tcPr>
          <w:p w14:paraId="2436DDD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0.091</w:t>
            </w:r>
            <w:r w:rsidRPr="00F05B90">
              <w:rPr>
                <w:sz w:val="16"/>
                <w:szCs w:val="16"/>
              </w:rPr>
              <w:t>***</w:t>
            </w:r>
          </w:p>
        </w:tc>
        <w:tc>
          <w:tcPr>
            <w:tcW w:w="1098" w:type="dxa"/>
            <w:tcBorders>
              <w:top w:val="nil"/>
              <w:left w:val="nil"/>
              <w:bottom w:val="nil"/>
              <w:right w:val="nil"/>
            </w:tcBorders>
          </w:tcPr>
          <w:p w14:paraId="67E9378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0.028</w:t>
            </w:r>
          </w:p>
        </w:tc>
        <w:tc>
          <w:tcPr>
            <w:tcW w:w="1027" w:type="dxa"/>
            <w:tcBorders>
              <w:top w:val="nil"/>
              <w:left w:val="nil"/>
              <w:bottom w:val="nil"/>
              <w:right w:val="nil"/>
            </w:tcBorders>
          </w:tcPr>
          <w:p w14:paraId="790324C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0.041</w:t>
            </w:r>
          </w:p>
        </w:tc>
        <w:tc>
          <w:tcPr>
            <w:tcW w:w="1134" w:type="dxa"/>
            <w:tcBorders>
              <w:top w:val="nil"/>
              <w:left w:val="nil"/>
              <w:bottom w:val="nil"/>
              <w:right w:val="nil"/>
            </w:tcBorders>
          </w:tcPr>
          <w:p w14:paraId="08A5F89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134" w:type="dxa"/>
            <w:tcBorders>
              <w:top w:val="nil"/>
              <w:left w:val="nil"/>
              <w:bottom w:val="nil"/>
              <w:right w:val="nil"/>
            </w:tcBorders>
          </w:tcPr>
          <w:p w14:paraId="623EE26B"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2180FEBC"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6CB9404B"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3A3A57B8" w14:textId="77777777" w:rsidTr="00320854">
        <w:tc>
          <w:tcPr>
            <w:tcW w:w="2308" w:type="dxa"/>
            <w:tcBorders>
              <w:top w:val="nil"/>
              <w:left w:val="nil"/>
              <w:bottom w:val="nil"/>
              <w:right w:val="nil"/>
            </w:tcBorders>
          </w:tcPr>
          <w:p w14:paraId="6E2ED0A1"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(9) LOSS</w:t>
            </w:r>
          </w:p>
        </w:tc>
        <w:tc>
          <w:tcPr>
            <w:tcW w:w="1098" w:type="dxa"/>
            <w:tcBorders>
              <w:top w:val="nil"/>
              <w:left w:val="nil"/>
              <w:bottom w:val="nil"/>
              <w:right w:val="nil"/>
            </w:tcBorders>
          </w:tcPr>
          <w:p w14:paraId="1506904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0.170</w:t>
            </w:r>
            <w:r w:rsidRPr="00F05B90">
              <w:rPr>
                <w:sz w:val="16"/>
                <w:szCs w:val="16"/>
              </w:rPr>
              <w:t>***</w:t>
            </w:r>
          </w:p>
        </w:tc>
        <w:tc>
          <w:tcPr>
            <w:tcW w:w="1098" w:type="dxa"/>
            <w:tcBorders>
              <w:top w:val="nil"/>
              <w:left w:val="nil"/>
              <w:bottom w:val="nil"/>
              <w:right w:val="nil"/>
            </w:tcBorders>
          </w:tcPr>
          <w:p w14:paraId="37D8A01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-0.100</w:t>
            </w:r>
            <w:r w:rsidRPr="00F05B90">
              <w:rPr>
                <w:sz w:val="16"/>
                <w:szCs w:val="16"/>
              </w:rPr>
              <w:t>***</w:t>
            </w:r>
          </w:p>
        </w:tc>
        <w:tc>
          <w:tcPr>
            <w:tcW w:w="1098" w:type="dxa"/>
            <w:tcBorders>
              <w:top w:val="nil"/>
              <w:left w:val="nil"/>
              <w:bottom w:val="nil"/>
              <w:right w:val="nil"/>
            </w:tcBorders>
          </w:tcPr>
          <w:p w14:paraId="0C8399E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0.052*</w:t>
            </w:r>
          </w:p>
        </w:tc>
        <w:tc>
          <w:tcPr>
            <w:tcW w:w="1098" w:type="dxa"/>
            <w:tcBorders>
              <w:top w:val="nil"/>
              <w:left w:val="nil"/>
              <w:bottom w:val="nil"/>
              <w:right w:val="nil"/>
            </w:tcBorders>
          </w:tcPr>
          <w:p w14:paraId="2FB5230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-0.009</w:t>
            </w:r>
          </w:p>
        </w:tc>
        <w:tc>
          <w:tcPr>
            <w:tcW w:w="1098" w:type="dxa"/>
            <w:tcBorders>
              <w:top w:val="nil"/>
              <w:left w:val="nil"/>
              <w:bottom w:val="nil"/>
              <w:right w:val="nil"/>
            </w:tcBorders>
          </w:tcPr>
          <w:p w14:paraId="530E1FD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-0.044</w:t>
            </w:r>
          </w:p>
        </w:tc>
        <w:tc>
          <w:tcPr>
            <w:tcW w:w="1098" w:type="dxa"/>
            <w:tcBorders>
              <w:top w:val="nil"/>
              <w:left w:val="nil"/>
              <w:bottom w:val="nil"/>
              <w:right w:val="nil"/>
            </w:tcBorders>
          </w:tcPr>
          <w:p w14:paraId="5FE8091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-0.060*</w:t>
            </w:r>
          </w:p>
        </w:tc>
        <w:tc>
          <w:tcPr>
            <w:tcW w:w="1027" w:type="dxa"/>
            <w:tcBorders>
              <w:top w:val="nil"/>
              <w:left w:val="nil"/>
              <w:bottom w:val="nil"/>
              <w:right w:val="nil"/>
            </w:tcBorders>
          </w:tcPr>
          <w:p w14:paraId="63B29C7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0.045</w:t>
            </w:r>
          </w:p>
        </w:tc>
        <w:tc>
          <w:tcPr>
            <w:tcW w:w="1134" w:type="dxa"/>
            <w:tcBorders>
              <w:top w:val="nil"/>
              <w:left w:val="nil"/>
              <w:bottom w:val="nil"/>
              <w:right w:val="nil"/>
            </w:tcBorders>
          </w:tcPr>
          <w:p w14:paraId="56294F8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0.030</w:t>
            </w:r>
          </w:p>
        </w:tc>
        <w:tc>
          <w:tcPr>
            <w:tcW w:w="1134" w:type="dxa"/>
            <w:tcBorders>
              <w:top w:val="nil"/>
              <w:left w:val="nil"/>
              <w:bottom w:val="nil"/>
              <w:right w:val="nil"/>
            </w:tcBorders>
          </w:tcPr>
          <w:p w14:paraId="09DCE72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134" w:type="dxa"/>
            <w:tcBorders>
              <w:top w:val="nil"/>
              <w:left w:val="nil"/>
              <w:bottom w:val="nil"/>
              <w:right w:val="nil"/>
            </w:tcBorders>
          </w:tcPr>
          <w:p w14:paraId="7A9BA4D7" w14:textId="77777777" w:rsidR="00817718" w:rsidRPr="00F05B90" w:rsidRDefault="00817718" w:rsidP="00320854">
            <w:pPr>
              <w:widowControl w:val="0"/>
              <w:autoSpaceDE w:val="0"/>
              <w:autoSpaceDN w:val="0"/>
              <w:adjustRightInd w:val="0"/>
              <w:spacing w:line="360" w:lineRule="auto"/>
              <w:jc w:val="right"/>
              <w:rPr>
                <w:sz w:val="20"/>
                <w:szCs w:val="20"/>
              </w:rPr>
            </w:pPr>
          </w:p>
        </w:tc>
        <w:tc>
          <w:tcPr>
            <w:tcW w:w="1134" w:type="dxa"/>
            <w:tcBorders>
              <w:top w:val="nil"/>
              <w:left w:val="nil"/>
              <w:bottom w:val="nil"/>
              <w:right w:val="nil"/>
            </w:tcBorders>
          </w:tcPr>
          <w:p w14:paraId="400FD3BA"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5A9016F7" w14:textId="77777777" w:rsidTr="00320854">
        <w:tc>
          <w:tcPr>
            <w:tcW w:w="2308" w:type="dxa"/>
            <w:tcBorders>
              <w:top w:val="nil"/>
              <w:left w:val="nil"/>
              <w:bottom w:val="nil"/>
              <w:right w:val="nil"/>
            </w:tcBorders>
          </w:tcPr>
          <w:p w14:paraId="6B43FCD1"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(10) CurrentR</w:t>
            </w:r>
          </w:p>
        </w:tc>
        <w:tc>
          <w:tcPr>
            <w:tcW w:w="1098" w:type="dxa"/>
            <w:tcBorders>
              <w:top w:val="nil"/>
              <w:left w:val="nil"/>
              <w:bottom w:val="nil"/>
              <w:right w:val="nil"/>
            </w:tcBorders>
          </w:tcPr>
          <w:p w14:paraId="2A46C90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-0.205</w:t>
            </w:r>
            <w:r w:rsidRPr="00F05B90">
              <w:rPr>
                <w:sz w:val="16"/>
                <w:szCs w:val="16"/>
              </w:rPr>
              <w:t>***</w:t>
            </w:r>
          </w:p>
        </w:tc>
        <w:tc>
          <w:tcPr>
            <w:tcW w:w="1098" w:type="dxa"/>
            <w:tcBorders>
              <w:top w:val="nil"/>
              <w:left w:val="nil"/>
              <w:bottom w:val="nil"/>
              <w:right w:val="nil"/>
            </w:tcBorders>
          </w:tcPr>
          <w:p w14:paraId="7899CE3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0.138</w:t>
            </w:r>
            <w:r w:rsidRPr="00F05B90">
              <w:rPr>
                <w:sz w:val="16"/>
                <w:szCs w:val="16"/>
              </w:rPr>
              <w:t>***</w:t>
            </w:r>
          </w:p>
        </w:tc>
        <w:tc>
          <w:tcPr>
            <w:tcW w:w="1098" w:type="dxa"/>
            <w:tcBorders>
              <w:top w:val="nil"/>
              <w:left w:val="nil"/>
              <w:bottom w:val="nil"/>
              <w:right w:val="nil"/>
            </w:tcBorders>
          </w:tcPr>
          <w:p w14:paraId="3F888C7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0.126</w:t>
            </w:r>
            <w:r w:rsidRPr="00F05B90">
              <w:rPr>
                <w:sz w:val="16"/>
                <w:szCs w:val="16"/>
              </w:rPr>
              <w:t>***</w:t>
            </w:r>
          </w:p>
        </w:tc>
        <w:tc>
          <w:tcPr>
            <w:tcW w:w="1098" w:type="dxa"/>
            <w:tcBorders>
              <w:top w:val="nil"/>
              <w:left w:val="nil"/>
              <w:bottom w:val="nil"/>
              <w:right w:val="nil"/>
            </w:tcBorders>
          </w:tcPr>
          <w:p w14:paraId="74826AF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-0.150</w:t>
            </w:r>
            <w:r w:rsidRPr="00F05B90">
              <w:rPr>
                <w:sz w:val="16"/>
                <w:szCs w:val="16"/>
              </w:rPr>
              <w:t>***</w:t>
            </w:r>
          </w:p>
        </w:tc>
        <w:tc>
          <w:tcPr>
            <w:tcW w:w="1098" w:type="dxa"/>
            <w:tcBorders>
              <w:top w:val="nil"/>
              <w:left w:val="nil"/>
              <w:bottom w:val="nil"/>
              <w:right w:val="nil"/>
            </w:tcBorders>
          </w:tcPr>
          <w:p w14:paraId="4A4E00C9"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0.010</w:t>
            </w:r>
          </w:p>
        </w:tc>
        <w:tc>
          <w:tcPr>
            <w:tcW w:w="1098" w:type="dxa"/>
            <w:tcBorders>
              <w:top w:val="nil"/>
              <w:left w:val="nil"/>
              <w:bottom w:val="nil"/>
              <w:right w:val="nil"/>
            </w:tcBorders>
          </w:tcPr>
          <w:p w14:paraId="2D80F97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0.074**</w:t>
            </w:r>
          </w:p>
        </w:tc>
        <w:tc>
          <w:tcPr>
            <w:tcW w:w="1027" w:type="dxa"/>
            <w:tcBorders>
              <w:top w:val="nil"/>
              <w:left w:val="nil"/>
              <w:bottom w:val="nil"/>
              <w:right w:val="nil"/>
            </w:tcBorders>
          </w:tcPr>
          <w:p w14:paraId="47EEE08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-0.108</w:t>
            </w:r>
            <w:r w:rsidRPr="00F05B90">
              <w:rPr>
                <w:sz w:val="16"/>
                <w:szCs w:val="16"/>
              </w:rPr>
              <w:t>***</w:t>
            </w:r>
          </w:p>
        </w:tc>
        <w:tc>
          <w:tcPr>
            <w:tcW w:w="1134" w:type="dxa"/>
            <w:tcBorders>
              <w:top w:val="nil"/>
              <w:left w:val="nil"/>
              <w:bottom w:val="nil"/>
              <w:right w:val="nil"/>
            </w:tcBorders>
          </w:tcPr>
          <w:p w14:paraId="3229ACB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-0.081</w:t>
            </w:r>
            <w:r w:rsidRPr="00F05B90">
              <w:rPr>
                <w:sz w:val="16"/>
                <w:szCs w:val="16"/>
              </w:rPr>
              <w:t>***</w:t>
            </w:r>
          </w:p>
        </w:tc>
        <w:tc>
          <w:tcPr>
            <w:tcW w:w="1134" w:type="dxa"/>
            <w:tcBorders>
              <w:top w:val="nil"/>
              <w:left w:val="nil"/>
              <w:bottom w:val="nil"/>
              <w:right w:val="nil"/>
            </w:tcBorders>
          </w:tcPr>
          <w:p w14:paraId="03D4798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-0.047</w:t>
            </w:r>
          </w:p>
        </w:tc>
        <w:tc>
          <w:tcPr>
            <w:tcW w:w="1134" w:type="dxa"/>
            <w:tcBorders>
              <w:top w:val="nil"/>
              <w:left w:val="nil"/>
              <w:bottom w:val="nil"/>
              <w:right w:val="nil"/>
            </w:tcBorders>
          </w:tcPr>
          <w:p w14:paraId="0946B943"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c>
          <w:tcPr>
            <w:tcW w:w="1134" w:type="dxa"/>
            <w:tcBorders>
              <w:top w:val="nil"/>
              <w:left w:val="nil"/>
              <w:bottom w:val="nil"/>
              <w:right w:val="nil"/>
            </w:tcBorders>
          </w:tcPr>
          <w:p w14:paraId="793DFFED" w14:textId="77777777" w:rsidR="00817718" w:rsidRPr="00F05B90" w:rsidRDefault="00817718" w:rsidP="00320854">
            <w:pPr>
              <w:widowControl w:val="0"/>
              <w:autoSpaceDE w:val="0"/>
              <w:autoSpaceDN w:val="0"/>
              <w:adjustRightInd w:val="0"/>
              <w:spacing w:line="360" w:lineRule="auto"/>
              <w:jc w:val="right"/>
              <w:rPr>
                <w:sz w:val="20"/>
                <w:szCs w:val="20"/>
              </w:rPr>
            </w:pPr>
          </w:p>
        </w:tc>
      </w:tr>
      <w:tr w:rsidR="00F05B90" w:rsidRPr="00F05B90" w14:paraId="7F532BA3" w14:textId="77777777" w:rsidTr="00320854">
        <w:tc>
          <w:tcPr>
            <w:tcW w:w="2308" w:type="dxa"/>
            <w:tcBorders>
              <w:top w:val="nil"/>
              <w:left w:val="nil"/>
              <w:bottom w:val="nil"/>
              <w:right w:val="nil"/>
            </w:tcBorders>
          </w:tcPr>
          <w:p w14:paraId="64CDE2E9"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(11) ROA</w:t>
            </w:r>
          </w:p>
        </w:tc>
        <w:tc>
          <w:tcPr>
            <w:tcW w:w="1098" w:type="dxa"/>
            <w:tcBorders>
              <w:top w:val="nil"/>
              <w:left w:val="nil"/>
              <w:bottom w:val="nil"/>
              <w:right w:val="nil"/>
            </w:tcBorders>
          </w:tcPr>
          <w:p w14:paraId="4986F509"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-0.233</w:t>
            </w:r>
            <w:r w:rsidRPr="00F05B90">
              <w:rPr>
                <w:sz w:val="16"/>
                <w:szCs w:val="16"/>
              </w:rPr>
              <w:t>***</w:t>
            </w:r>
          </w:p>
        </w:tc>
        <w:tc>
          <w:tcPr>
            <w:tcW w:w="1098" w:type="dxa"/>
            <w:tcBorders>
              <w:top w:val="nil"/>
              <w:left w:val="nil"/>
              <w:bottom w:val="nil"/>
              <w:right w:val="nil"/>
            </w:tcBorders>
          </w:tcPr>
          <w:p w14:paraId="597345C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0.455</w:t>
            </w:r>
            <w:r w:rsidRPr="00F05B90">
              <w:rPr>
                <w:sz w:val="16"/>
                <w:szCs w:val="16"/>
              </w:rPr>
              <w:t>***</w:t>
            </w:r>
          </w:p>
        </w:tc>
        <w:tc>
          <w:tcPr>
            <w:tcW w:w="1098" w:type="dxa"/>
            <w:tcBorders>
              <w:top w:val="nil"/>
              <w:left w:val="nil"/>
              <w:bottom w:val="nil"/>
              <w:right w:val="nil"/>
            </w:tcBorders>
          </w:tcPr>
          <w:p w14:paraId="36494953"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-0.040</w:t>
            </w:r>
          </w:p>
        </w:tc>
        <w:tc>
          <w:tcPr>
            <w:tcW w:w="1098" w:type="dxa"/>
            <w:tcBorders>
              <w:top w:val="nil"/>
              <w:left w:val="nil"/>
              <w:bottom w:val="nil"/>
              <w:right w:val="nil"/>
            </w:tcBorders>
          </w:tcPr>
          <w:p w14:paraId="348EC10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-0.085</w:t>
            </w:r>
            <w:r w:rsidRPr="00F05B90">
              <w:rPr>
                <w:sz w:val="16"/>
                <w:szCs w:val="16"/>
              </w:rPr>
              <w:t>***</w:t>
            </w:r>
          </w:p>
        </w:tc>
        <w:tc>
          <w:tcPr>
            <w:tcW w:w="1098" w:type="dxa"/>
            <w:tcBorders>
              <w:top w:val="nil"/>
              <w:left w:val="nil"/>
              <w:bottom w:val="nil"/>
              <w:right w:val="nil"/>
            </w:tcBorders>
          </w:tcPr>
          <w:p w14:paraId="63910FF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0.001</w:t>
            </w:r>
          </w:p>
        </w:tc>
        <w:tc>
          <w:tcPr>
            <w:tcW w:w="1098" w:type="dxa"/>
            <w:tcBorders>
              <w:top w:val="nil"/>
              <w:left w:val="nil"/>
              <w:bottom w:val="nil"/>
              <w:right w:val="nil"/>
            </w:tcBorders>
          </w:tcPr>
          <w:p w14:paraId="4F1FA8A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0.022</w:t>
            </w:r>
          </w:p>
        </w:tc>
        <w:tc>
          <w:tcPr>
            <w:tcW w:w="1027" w:type="dxa"/>
            <w:tcBorders>
              <w:top w:val="nil"/>
              <w:left w:val="nil"/>
              <w:bottom w:val="nil"/>
              <w:right w:val="nil"/>
            </w:tcBorders>
          </w:tcPr>
          <w:p w14:paraId="0C9570D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-0.125</w:t>
            </w:r>
            <w:r w:rsidRPr="00F05B90">
              <w:rPr>
                <w:sz w:val="16"/>
                <w:szCs w:val="16"/>
              </w:rPr>
              <w:t>***</w:t>
            </w:r>
          </w:p>
        </w:tc>
        <w:tc>
          <w:tcPr>
            <w:tcW w:w="1134" w:type="dxa"/>
            <w:tcBorders>
              <w:top w:val="nil"/>
              <w:left w:val="nil"/>
              <w:bottom w:val="nil"/>
              <w:right w:val="nil"/>
            </w:tcBorders>
          </w:tcPr>
          <w:p w14:paraId="5C17036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-0.112</w:t>
            </w:r>
            <w:r w:rsidRPr="00F05B90">
              <w:rPr>
                <w:sz w:val="16"/>
                <w:szCs w:val="16"/>
              </w:rPr>
              <w:t>***</w:t>
            </w:r>
          </w:p>
        </w:tc>
        <w:tc>
          <w:tcPr>
            <w:tcW w:w="1134" w:type="dxa"/>
            <w:tcBorders>
              <w:top w:val="nil"/>
              <w:left w:val="nil"/>
              <w:bottom w:val="nil"/>
              <w:right w:val="nil"/>
            </w:tcBorders>
          </w:tcPr>
          <w:p w14:paraId="79EB818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-0.531</w:t>
            </w:r>
            <w:r w:rsidRPr="00F05B90">
              <w:rPr>
                <w:sz w:val="16"/>
                <w:szCs w:val="16"/>
              </w:rPr>
              <w:t>***</w:t>
            </w:r>
          </w:p>
        </w:tc>
        <w:tc>
          <w:tcPr>
            <w:tcW w:w="1134" w:type="dxa"/>
            <w:tcBorders>
              <w:top w:val="nil"/>
              <w:left w:val="nil"/>
              <w:bottom w:val="nil"/>
              <w:right w:val="nil"/>
            </w:tcBorders>
          </w:tcPr>
          <w:p w14:paraId="5AD6025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0.229</w:t>
            </w:r>
            <w:r w:rsidRPr="00F05B90">
              <w:rPr>
                <w:sz w:val="16"/>
                <w:szCs w:val="16"/>
              </w:rPr>
              <w:t>***</w:t>
            </w:r>
          </w:p>
        </w:tc>
        <w:tc>
          <w:tcPr>
            <w:tcW w:w="1134" w:type="dxa"/>
            <w:tcBorders>
              <w:top w:val="nil"/>
              <w:left w:val="nil"/>
              <w:bottom w:val="nil"/>
              <w:right w:val="nil"/>
            </w:tcBorders>
          </w:tcPr>
          <w:p w14:paraId="5F23E69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1.000</w:t>
            </w:r>
          </w:p>
        </w:tc>
      </w:tr>
      <w:tr w:rsidR="00F05B90" w:rsidRPr="00F05B90" w14:paraId="3952F9D3" w14:textId="77777777" w:rsidTr="00320854">
        <w:tc>
          <w:tcPr>
            <w:tcW w:w="2308" w:type="dxa"/>
            <w:tcBorders>
              <w:top w:val="nil"/>
              <w:left w:val="nil"/>
              <w:bottom w:val="nil"/>
              <w:right w:val="nil"/>
            </w:tcBorders>
          </w:tcPr>
          <w:p w14:paraId="34BE102A"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(12) Employees</w:t>
            </w:r>
          </w:p>
        </w:tc>
        <w:tc>
          <w:tcPr>
            <w:tcW w:w="1098" w:type="dxa"/>
            <w:tcBorders>
              <w:top w:val="nil"/>
              <w:left w:val="nil"/>
              <w:bottom w:val="nil"/>
              <w:right w:val="nil"/>
            </w:tcBorders>
          </w:tcPr>
          <w:p w14:paraId="7A7EF02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0.246</w:t>
            </w:r>
            <w:r w:rsidRPr="00F05B90">
              <w:rPr>
                <w:sz w:val="16"/>
                <w:szCs w:val="16"/>
              </w:rPr>
              <w:t>***</w:t>
            </w:r>
          </w:p>
        </w:tc>
        <w:tc>
          <w:tcPr>
            <w:tcW w:w="1098" w:type="dxa"/>
            <w:tcBorders>
              <w:top w:val="nil"/>
              <w:left w:val="nil"/>
              <w:bottom w:val="nil"/>
              <w:right w:val="nil"/>
            </w:tcBorders>
          </w:tcPr>
          <w:p w14:paraId="72CFDA49"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-0.132</w:t>
            </w:r>
            <w:r w:rsidRPr="00F05B90">
              <w:rPr>
                <w:sz w:val="16"/>
                <w:szCs w:val="16"/>
              </w:rPr>
              <w:t>***</w:t>
            </w:r>
          </w:p>
        </w:tc>
        <w:tc>
          <w:tcPr>
            <w:tcW w:w="1098" w:type="dxa"/>
            <w:tcBorders>
              <w:top w:val="nil"/>
              <w:left w:val="nil"/>
              <w:bottom w:val="nil"/>
              <w:right w:val="nil"/>
            </w:tcBorders>
          </w:tcPr>
          <w:p w14:paraId="2AF625B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-0.208</w:t>
            </w:r>
            <w:r w:rsidRPr="00F05B90">
              <w:rPr>
                <w:sz w:val="16"/>
                <w:szCs w:val="16"/>
              </w:rPr>
              <w:t>***</w:t>
            </w:r>
          </w:p>
        </w:tc>
        <w:tc>
          <w:tcPr>
            <w:tcW w:w="1098" w:type="dxa"/>
            <w:tcBorders>
              <w:top w:val="nil"/>
              <w:left w:val="nil"/>
              <w:bottom w:val="nil"/>
              <w:right w:val="nil"/>
            </w:tcBorders>
          </w:tcPr>
          <w:p w14:paraId="4011DFC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0.069**</w:t>
            </w:r>
          </w:p>
        </w:tc>
        <w:tc>
          <w:tcPr>
            <w:tcW w:w="1098" w:type="dxa"/>
            <w:tcBorders>
              <w:top w:val="nil"/>
              <w:left w:val="nil"/>
              <w:bottom w:val="nil"/>
              <w:right w:val="nil"/>
            </w:tcBorders>
          </w:tcPr>
          <w:p w14:paraId="08C2D0A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0.039</w:t>
            </w:r>
          </w:p>
        </w:tc>
        <w:tc>
          <w:tcPr>
            <w:tcW w:w="1098" w:type="dxa"/>
            <w:tcBorders>
              <w:top w:val="nil"/>
              <w:left w:val="nil"/>
              <w:bottom w:val="nil"/>
              <w:right w:val="nil"/>
            </w:tcBorders>
          </w:tcPr>
          <w:p w14:paraId="34CA633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0.044</w:t>
            </w:r>
          </w:p>
        </w:tc>
        <w:tc>
          <w:tcPr>
            <w:tcW w:w="1027" w:type="dxa"/>
            <w:tcBorders>
              <w:top w:val="nil"/>
              <w:left w:val="nil"/>
              <w:bottom w:val="nil"/>
              <w:right w:val="nil"/>
            </w:tcBorders>
          </w:tcPr>
          <w:p w14:paraId="534D0DB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0.188</w:t>
            </w:r>
            <w:r w:rsidRPr="00F05B90">
              <w:rPr>
                <w:sz w:val="16"/>
                <w:szCs w:val="16"/>
              </w:rPr>
              <w:t>***</w:t>
            </w:r>
          </w:p>
        </w:tc>
        <w:tc>
          <w:tcPr>
            <w:tcW w:w="1134" w:type="dxa"/>
            <w:tcBorders>
              <w:top w:val="nil"/>
              <w:left w:val="nil"/>
              <w:bottom w:val="nil"/>
              <w:right w:val="nil"/>
            </w:tcBorders>
          </w:tcPr>
          <w:p w14:paraId="4E1341E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0.041</w:t>
            </w:r>
          </w:p>
        </w:tc>
        <w:tc>
          <w:tcPr>
            <w:tcW w:w="1134" w:type="dxa"/>
            <w:tcBorders>
              <w:top w:val="nil"/>
              <w:left w:val="nil"/>
              <w:bottom w:val="nil"/>
              <w:right w:val="nil"/>
            </w:tcBorders>
          </w:tcPr>
          <w:p w14:paraId="53D4056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0.033</w:t>
            </w:r>
          </w:p>
        </w:tc>
        <w:tc>
          <w:tcPr>
            <w:tcW w:w="1134" w:type="dxa"/>
            <w:tcBorders>
              <w:top w:val="nil"/>
              <w:left w:val="nil"/>
              <w:bottom w:val="nil"/>
              <w:right w:val="nil"/>
            </w:tcBorders>
          </w:tcPr>
          <w:p w14:paraId="07DFE2A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-0.259</w:t>
            </w:r>
            <w:r w:rsidRPr="00F05B90">
              <w:rPr>
                <w:sz w:val="16"/>
                <w:szCs w:val="16"/>
              </w:rPr>
              <w:t>***</w:t>
            </w:r>
          </w:p>
        </w:tc>
        <w:tc>
          <w:tcPr>
            <w:tcW w:w="1134" w:type="dxa"/>
            <w:tcBorders>
              <w:top w:val="nil"/>
              <w:left w:val="nil"/>
              <w:bottom w:val="nil"/>
              <w:right w:val="nil"/>
            </w:tcBorders>
          </w:tcPr>
          <w:p w14:paraId="3307479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-0.113</w:t>
            </w:r>
            <w:r w:rsidRPr="00F05B90">
              <w:rPr>
                <w:sz w:val="16"/>
                <w:szCs w:val="16"/>
              </w:rPr>
              <w:t>***</w:t>
            </w:r>
          </w:p>
        </w:tc>
      </w:tr>
      <w:tr w:rsidR="00F05B90" w:rsidRPr="00F05B90" w14:paraId="3AC35B10" w14:textId="77777777" w:rsidTr="00320854">
        <w:tc>
          <w:tcPr>
            <w:tcW w:w="2308" w:type="dxa"/>
            <w:tcBorders>
              <w:top w:val="nil"/>
              <w:left w:val="nil"/>
              <w:bottom w:val="nil"/>
              <w:right w:val="nil"/>
            </w:tcBorders>
          </w:tcPr>
          <w:p w14:paraId="3F46D870"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(13) CEOR</w:t>
            </w:r>
          </w:p>
        </w:tc>
        <w:tc>
          <w:tcPr>
            <w:tcW w:w="1098" w:type="dxa"/>
            <w:tcBorders>
              <w:top w:val="nil"/>
              <w:left w:val="nil"/>
              <w:bottom w:val="nil"/>
              <w:right w:val="nil"/>
            </w:tcBorders>
          </w:tcPr>
          <w:p w14:paraId="1BEA10C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-0.040</w:t>
            </w:r>
          </w:p>
        </w:tc>
        <w:tc>
          <w:tcPr>
            <w:tcW w:w="1098" w:type="dxa"/>
            <w:tcBorders>
              <w:top w:val="nil"/>
              <w:left w:val="nil"/>
              <w:bottom w:val="nil"/>
              <w:right w:val="nil"/>
            </w:tcBorders>
          </w:tcPr>
          <w:p w14:paraId="7D92CF8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-0.012</w:t>
            </w:r>
          </w:p>
        </w:tc>
        <w:tc>
          <w:tcPr>
            <w:tcW w:w="1098" w:type="dxa"/>
            <w:tcBorders>
              <w:top w:val="nil"/>
              <w:left w:val="nil"/>
              <w:bottom w:val="nil"/>
              <w:right w:val="nil"/>
            </w:tcBorders>
          </w:tcPr>
          <w:p w14:paraId="0430461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-0.047</w:t>
            </w:r>
          </w:p>
        </w:tc>
        <w:tc>
          <w:tcPr>
            <w:tcW w:w="1098" w:type="dxa"/>
            <w:tcBorders>
              <w:top w:val="nil"/>
              <w:left w:val="nil"/>
              <w:bottom w:val="nil"/>
              <w:right w:val="nil"/>
            </w:tcBorders>
          </w:tcPr>
          <w:p w14:paraId="4AFD7DF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-0.001</w:t>
            </w:r>
          </w:p>
        </w:tc>
        <w:tc>
          <w:tcPr>
            <w:tcW w:w="1098" w:type="dxa"/>
            <w:tcBorders>
              <w:top w:val="nil"/>
              <w:left w:val="nil"/>
              <w:bottom w:val="nil"/>
              <w:right w:val="nil"/>
            </w:tcBorders>
          </w:tcPr>
          <w:p w14:paraId="79D5C9D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-0.089</w:t>
            </w:r>
            <w:r w:rsidRPr="00F05B90">
              <w:rPr>
                <w:sz w:val="16"/>
                <w:szCs w:val="16"/>
              </w:rPr>
              <w:t>***</w:t>
            </w:r>
          </w:p>
        </w:tc>
        <w:tc>
          <w:tcPr>
            <w:tcW w:w="1098" w:type="dxa"/>
            <w:tcBorders>
              <w:top w:val="nil"/>
              <w:left w:val="nil"/>
              <w:bottom w:val="nil"/>
              <w:right w:val="nil"/>
            </w:tcBorders>
          </w:tcPr>
          <w:p w14:paraId="19AC180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0.080</w:t>
            </w:r>
            <w:r w:rsidRPr="00F05B90">
              <w:rPr>
                <w:sz w:val="16"/>
                <w:szCs w:val="16"/>
              </w:rPr>
              <w:t>***</w:t>
            </w:r>
          </w:p>
        </w:tc>
        <w:tc>
          <w:tcPr>
            <w:tcW w:w="1027" w:type="dxa"/>
            <w:tcBorders>
              <w:top w:val="nil"/>
              <w:left w:val="nil"/>
              <w:bottom w:val="nil"/>
              <w:right w:val="nil"/>
            </w:tcBorders>
          </w:tcPr>
          <w:p w14:paraId="7A230BA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-0.053*</w:t>
            </w:r>
          </w:p>
        </w:tc>
        <w:tc>
          <w:tcPr>
            <w:tcW w:w="1134" w:type="dxa"/>
            <w:tcBorders>
              <w:top w:val="nil"/>
              <w:left w:val="nil"/>
              <w:bottom w:val="nil"/>
              <w:right w:val="nil"/>
            </w:tcBorders>
          </w:tcPr>
          <w:p w14:paraId="2D81EAB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0.061*</w:t>
            </w:r>
          </w:p>
        </w:tc>
        <w:tc>
          <w:tcPr>
            <w:tcW w:w="1134" w:type="dxa"/>
            <w:tcBorders>
              <w:top w:val="nil"/>
              <w:left w:val="nil"/>
              <w:bottom w:val="nil"/>
              <w:right w:val="nil"/>
            </w:tcBorders>
          </w:tcPr>
          <w:p w14:paraId="6C16566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-0.071**</w:t>
            </w:r>
          </w:p>
        </w:tc>
        <w:tc>
          <w:tcPr>
            <w:tcW w:w="1134" w:type="dxa"/>
            <w:tcBorders>
              <w:top w:val="nil"/>
              <w:left w:val="nil"/>
              <w:bottom w:val="nil"/>
              <w:right w:val="nil"/>
            </w:tcBorders>
          </w:tcPr>
          <w:p w14:paraId="2FFDAB2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0.000</w:t>
            </w:r>
          </w:p>
        </w:tc>
        <w:tc>
          <w:tcPr>
            <w:tcW w:w="1134" w:type="dxa"/>
            <w:tcBorders>
              <w:top w:val="nil"/>
              <w:left w:val="nil"/>
              <w:bottom w:val="nil"/>
              <w:right w:val="nil"/>
            </w:tcBorders>
          </w:tcPr>
          <w:p w14:paraId="319BA2DA"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0.027</w:t>
            </w:r>
          </w:p>
        </w:tc>
      </w:tr>
      <w:tr w:rsidR="00F05B90" w:rsidRPr="00F05B90" w14:paraId="6189A03C" w14:textId="77777777" w:rsidTr="00320854">
        <w:tc>
          <w:tcPr>
            <w:tcW w:w="2308" w:type="dxa"/>
            <w:tcBorders>
              <w:top w:val="nil"/>
              <w:left w:val="nil"/>
              <w:bottom w:val="nil"/>
              <w:right w:val="nil"/>
            </w:tcBorders>
          </w:tcPr>
          <w:p w14:paraId="738954CB"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(14) CEOGender</w:t>
            </w:r>
          </w:p>
        </w:tc>
        <w:tc>
          <w:tcPr>
            <w:tcW w:w="1098" w:type="dxa"/>
            <w:tcBorders>
              <w:top w:val="nil"/>
              <w:left w:val="nil"/>
              <w:bottom w:val="nil"/>
              <w:right w:val="nil"/>
            </w:tcBorders>
          </w:tcPr>
          <w:p w14:paraId="7686E3B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0.004</w:t>
            </w:r>
          </w:p>
        </w:tc>
        <w:tc>
          <w:tcPr>
            <w:tcW w:w="1098" w:type="dxa"/>
            <w:tcBorders>
              <w:top w:val="nil"/>
              <w:left w:val="nil"/>
              <w:bottom w:val="nil"/>
              <w:right w:val="nil"/>
            </w:tcBorders>
          </w:tcPr>
          <w:p w14:paraId="2FDB840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-0.057*</w:t>
            </w:r>
          </w:p>
        </w:tc>
        <w:tc>
          <w:tcPr>
            <w:tcW w:w="1098" w:type="dxa"/>
            <w:tcBorders>
              <w:top w:val="nil"/>
              <w:left w:val="nil"/>
              <w:bottom w:val="nil"/>
              <w:right w:val="nil"/>
            </w:tcBorders>
          </w:tcPr>
          <w:p w14:paraId="1364ED9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-0.009</w:t>
            </w:r>
          </w:p>
        </w:tc>
        <w:tc>
          <w:tcPr>
            <w:tcW w:w="1098" w:type="dxa"/>
            <w:tcBorders>
              <w:top w:val="nil"/>
              <w:left w:val="nil"/>
              <w:bottom w:val="nil"/>
              <w:right w:val="nil"/>
            </w:tcBorders>
          </w:tcPr>
          <w:p w14:paraId="21FA922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-0.048</w:t>
            </w:r>
          </w:p>
        </w:tc>
        <w:tc>
          <w:tcPr>
            <w:tcW w:w="1098" w:type="dxa"/>
            <w:tcBorders>
              <w:top w:val="nil"/>
              <w:left w:val="nil"/>
              <w:bottom w:val="nil"/>
              <w:right w:val="nil"/>
            </w:tcBorders>
          </w:tcPr>
          <w:p w14:paraId="24C641D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0.046</w:t>
            </w:r>
          </w:p>
        </w:tc>
        <w:tc>
          <w:tcPr>
            <w:tcW w:w="1098" w:type="dxa"/>
            <w:tcBorders>
              <w:top w:val="nil"/>
              <w:left w:val="nil"/>
              <w:bottom w:val="nil"/>
              <w:right w:val="nil"/>
            </w:tcBorders>
          </w:tcPr>
          <w:p w14:paraId="64D8436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0.051*</w:t>
            </w:r>
          </w:p>
        </w:tc>
        <w:tc>
          <w:tcPr>
            <w:tcW w:w="1027" w:type="dxa"/>
            <w:tcBorders>
              <w:top w:val="nil"/>
              <w:left w:val="nil"/>
              <w:bottom w:val="nil"/>
              <w:right w:val="nil"/>
            </w:tcBorders>
          </w:tcPr>
          <w:p w14:paraId="579F652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0.025</w:t>
            </w:r>
          </w:p>
        </w:tc>
        <w:tc>
          <w:tcPr>
            <w:tcW w:w="1134" w:type="dxa"/>
            <w:tcBorders>
              <w:top w:val="nil"/>
              <w:left w:val="nil"/>
              <w:bottom w:val="nil"/>
              <w:right w:val="nil"/>
            </w:tcBorders>
          </w:tcPr>
          <w:p w14:paraId="18F901C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-0.042</w:t>
            </w:r>
          </w:p>
        </w:tc>
        <w:tc>
          <w:tcPr>
            <w:tcW w:w="1134" w:type="dxa"/>
            <w:tcBorders>
              <w:top w:val="nil"/>
              <w:left w:val="nil"/>
              <w:bottom w:val="nil"/>
              <w:right w:val="nil"/>
            </w:tcBorders>
          </w:tcPr>
          <w:p w14:paraId="23C6235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-0.025</w:t>
            </w:r>
          </w:p>
        </w:tc>
        <w:tc>
          <w:tcPr>
            <w:tcW w:w="1134" w:type="dxa"/>
            <w:tcBorders>
              <w:top w:val="nil"/>
              <w:left w:val="nil"/>
              <w:bottom w:val="nil"/>
              <w:right w:val="nil"/>
            </w:tcBorders>
          </w:tcPr>
          <w:p w14:paraId="034741C3"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-0.128</w:t>
            </w:r>
            <w:r w:rsidRPr="00F05B90">
              <w:rPr>
                <w:sz w:val="16"/>
                <w:szCs w:val="16"/>
              </w:rPr>
              <w:t>***</w:t>
            </w:r>
          </w:p>
        </w:tc>
        <w:tc>
          <w:tcPr>
            <w:tcW w:w="1134" w:type="dxa"/>
            <w:tcBorders>
              <w:top w:val="nil"/>
              <w:left w:val="nil"/>
              <w:bottom w:val="nil"/>
              <w:right w:val="nil"/>
            </w:tcBorders>
          </w:tcPr>
          <w:p w14:paraId="5FB2984D"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-0.017</w:t>
            </w:r>
          </w:p>
        </w:tc>
      </w:tr>
      <w:tr w:rsidR="00F05B90" w:rsidRPr="00F05B90" w14:paraId="575E50AA" w14:textId="77777777" w:rsidTr="00320854">
        <w:tc>
          <w:tcPr>
            <w:tcW w:w="2308" w:type="dxa"/>
            <w:tcBorders>
              <w:top w:val="nil"/>
              <w:left w:val="nil"/>
              <w:bottom w:val="nil"/>
              <w:right w:val="nil"/>
            </w:tcBorders>
          </w:tcPr>
          <w:p w14:paraId="77D4FB9B"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(15) Retire</w:t>
            </w:r>
          </w:p>
        </w:tc>
        <w:tc>
          <w:tcPr>
            <w:tcW w:w="1098" w:type="dxa"/>
            <w:tcBorders>
              <w:top w:val="nil"/>
              <w:left w:val="nil"/>
              <w:bottom w:val="nil"/>
              <w:right w:val="nil"/>
            </w:tcBorders>
          </w:tcPr>
          <w:p w14:paraId="40C5530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0.020</w:t>
            </w:r>
          </w:p>
        </w:tc>
        <w:tc>
          <w:tcPr>
            <w:tcW w:w="1098" w:type="dxa"/>
            <w:tcBorders>
              <w:top w:val="nil"/>
              <w:left w:val="nil"/>
              <w:bottom w:val="nil"/>
              <w:right w:val="nil"/>
            </w:tcBorders>
          </w:tcPr>
          <w:p w14:paraId="6D0F3F22"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-0.049</w:t>
            </w:r>
          </w:p>
        </w:tc>
        <w:tc>
          <w:tcPr>
            <w:tcW w:w="1098" w:type="dxa"/>
            <w:tcBorders>
              <w:top w:val="nil"/>
              <w:left w:val="nil"/>
              <w:bottom w:val="nil"/>
              <w:right w:val="nil"/>
            </w:tcBorders>
          </w:tcPr>
          <w:p w14:paraId="7CF5E466"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0.034</w:t>
            </w:r>
          </w:p>
        </w:tc>
        <w:tc>
          <w:tcPr>
            <w:tcW w:w="1098" w:type="dxa"/>
            <w:tcBorders>
              <w:top w:val="nil"/>
              <w:left w:val="nil"/>
              <w:bottom w:val="nil"/>
              <w:right w:val="nil"/>
            </w:tcBorders>
          </w:tcPr>
          <w:p w14:paraId="00481060"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-0.036</w:t>
            </w:r>
          </w:p>
        </w:tc>
        <w:tc>
          <w:tcPr>
            <w:tcW w:w="1098" w:type="dxa"/>
            <w:tcBorders>
              <w:top w:val="nil"/>
              <w:left w:val="nil"/>
              <w:bottom w:val="nil"/>
              <w:right w:val="nil"/>
            </w:tcBorders>
          </w:tcPr>
          <w:p w14:paraId="67A8D4F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0.024</w:t>
            </w:r>
          </w:p>
        </w:tc>
        <w:tc>
          <w:tcPr>
            <w:tcW w:w="1098" w:type="dxa"/>
            <w:tcBorders>
              <w:top w:val="nil"/>
              <w:left w:val="nil"/>
              <w:bottom w:val="nil"/>
              <w:right w:val="nil"/>
            </w:tcBorders>
          </w:tcPr>
          <w:p w14:paraId="52FEFA5F"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0.036</w:t>
            </w:r>
          </w:p>
        </w:tc>
        <w:tc>
          <w:tcPr>
            <w:tcW w:w="1027" w:type="dxa"/>
            <w:tcBorders>
              <w:top w:val="nil"/>
              <w:left w:val="nil"/>
              <w:bottom w:val="nil"/>
              <w:right w:val="nil"/>
            </w:tcBorders>
          </w:tcPr>
          <w:p w14:paraId="1AD7F34B"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0.006</w:t>
            </w:r>
          </w:p>
        </w:tc>
        <w:tc>
          <w:tcPr>
            <w:tcW w:w="1134" w:type="dxa"/>
            <w:tcBorders>
              <w:top w:val="nil"/>
              <w:left w:val="nil"/>
              <w:bottom w:val="nil"/>
              <w:right w:val="nil"/>
            </w:tcBorders>
          </w:tcPr>
          <w:p w14:paraId="699D437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0.005</w:t>
            </w:r>
          </w:p>
        </w:tc>
        <w:tc>
          <w:tcPr>
            <w:tcW w:w="1134" w:type="dxa"/>
            <w:tcBorders>
              <w:top w:val="nil"/>
              <w:left w:val="nil"/>
              <w:bottom w:val="nil"/>
              <w:right w:val="nil"/>
            </w:tcBorders>
          </w:tcPr>
          <w:p w14:paraId="5132D193"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-0.041</w:t>
            </w:r>
          </w:p>
        </w:tc>
        <w:tc>
          <w:tcPr>
            <w:tcW w:w="1134" w:type="dxa"/>
            <w:tcBorders>
              <w:top w:val="nil"/>
              <w:left w:val="nil"/>
              <w:bottom w:val="nil"/>
              <w:right w:val="nil"/>
            </w:tcBorders>
          </w:tcPr>
          <w:p w14:paraId="259ED2F7"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-0.057*</w:t>
            </w:r>
          </w:p>
        </w:tc>
        <w:tc>
          <w:tcPr>
            <w:tcW w:w="1134" w:type="dxa"/>
            <w:tcBorders>
              <w:top w:val="nil"/>
              <w:left w:val="nil"/>
              <w:bottom w:val="nil"/>
              <w:right w:val="nil"/>
            </w:tcBorders>
          </w:tcPr>
          <w:p w14:paraId="59100A0C"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-0.027</w:t>
            </w:r>
          </w:p>
        </w:tc>
      </w:tr>
      <w:tr w:rsidR="00F05B90" w:rsidRPr="00F05B90" w14:paraId="10261CB9" w14:textId="77777777" w:rsidTr="00320854">
        <w:tc>
          <w:tcPr>
            <w:tcW w:w="2308" w:type="dxa"/>
            <w:tcBorders>
              <w:top w:val="nil"/>
              <w:left w:val="nil"/>
              <w:bottom w:val="nil"/>
              <w:right w:val="nil"/>
            </w:tcBorders>
          </w:tcPr>
          <w:p w14:paraId="58496F96" w14:textId="77777777" w:rsidR="00817718" w:rsidRPr="00F05B90" w:rsidRDefault="00817718" w:rsidP="00320854">
            <w:pPr>
              <w:widowControl w:val="0"/>
              <w:autoSpaceDE w:val="0"/>
              <w:autoSpaceDN w:val="0"/>
              <w:adjustRightInd w:val="0"/>
              <w:spacing w:line="360" w:lineRule="auto"/>
              <w:rPr>
                <w:sz w:val="20"/>
                <w:szCs w:val="20"/>
              </w:rPr>
            </w:pPr>
            <w:r w:rsidRPr="00F05B90">
              <w:rPr>
                <w:sz w:val="20"/>
                <w:szCs w:val="20"/>
              </w:rPr>
              <w:t>(16) Insider</w:t>
            </w:r>
          </w:p>
        </w:tc>
        <w:tc>
          <w:tcPr>
            <w:tcW w:w="1098" w:type="dxa"/>
            <w:tcBorders>
              <w:top w:val="nil"/>
              <w:left w:val="nil"/>
              <w:bottom w:val="nil"/>
              <w:right w:val="nil"/>
            </w:tcBorders>
          </w:tcPr>
          <w:p w14:paraId="144AA191"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0.051*</w:t>
            </w:r>
          </w:p>
        </w:tc>
        <w:tc>
          <w:tcPr>
            <w:tcW w:w="1098" w:type="dxa"/>
            <w:tcBorders>
              <w:top w:val="nil"/>
              <w:left w:val="nil"/>
              <w:bottom w:val="nil"/>
              <w:right w:val="nil"/>
            </w:tcBorders>
          </w:tcPr>
          <w:p w14:paraId="0E24E383"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0.040</w:t>
            </w:r>
          </w:p>
        </w:tc>
        <w:tc>
          <w:tcPr>
            <w:tcW w:w="1098" w:type="dxa"/>
            <w:tcBorders>
              <w:top w:val="nil"/>
              <w:left w:val="nil"/>
              <w:bottom w:val="nil"/>
              <w:right w:val="nil"/>
            </w:tcBorders>
          </w:tcPr>
          <w:p w14:paraId="3838D608"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-0.053*</w:t>
            </w:r>
          </w:p>
        </w:tc>
        <w:tc>
          <w:tcPr>
            <w:tcW w:w="1098" w:type="dxa"/>
            <w:tcBorders>
              <w:top w:val="nil"/>
              <w:left w:val="nil"/>
              <w:bottom w:val="nil"/>
              <w:right w:val="nil"/>
            </w:tcBorders>
          </w:tcPr>
          <w:p w14:paraId="7777C8A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0.080</w:t>
            </w:r>
            <w:r w:rsidRPr="00F05B90">
              <w:rPr>
                <w:sz w:val="16"/>
                <w:szCs w:val="16"/>
              </w:rPr>
              <w:t>***</w:t>
            </w:r>
          </w:p>
        </w:tc>
        <w:tc>
          <w:tcPr>
            <w:tcW w:w="1098" w:type="dxa"/>
            <w:tcBorders>
              <w:top w:val="nil"/>
              <w:left w:val="nil"/>
              <w:bottom w:val="nil"/>
              <w:right w:val="nil"/>
            </w:tcBorders>
          </w:tcPr>
          <w:p w14:paraId="495956A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0.060*</w:t>
            </w:r>
          </w:p>
        </w:tc>
        <w:tc>
          <w:tcPr>
            <w:tcW w:w="1098" w:type="dxa"/>
            <w:tcBorders>
              <w:top w:val="nil"/>
              <w:left w:val="nil"/>
              <w:bottom w:val="nil"/>
              <w:right w:val="nil"/>
            </w:tcBorders>
          </w:tcPr>
          <w:p w14:paraId="035F2B0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0.064**</w:t>
            </w:r>
          </w:p>
        </w:tc>
        <w:tc>
          <w:tcPr>
            <w:tcW w:w="1027" w:type="dxa"/>
            <w:tcBorders>
              <w:top w:val="nil"/>
              <w:left w:val="nil"/>
              <w:bottom w:val="nil"/>
              <w:right w:val="nil"/>
            </w:tcBorders>
          </w:tcPr>
          <w:p w14:paraId="75036364"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-0.078**</w:t>
            </w:r>
          </w:p>
        </w:tc>
        <w:tc>
          <w:tcPr>
            <w:tcW w:w="1134" w:type="dxa"/>
            <w:tcBorders>
              <w:top w:val="nil"/>
              <w:left w:val="nil"/>
              <w:bottom w:val="nil"/>
              <w:right w:val="nil"/>
            </w:tcBorders>
          </w:tcPr>
          <w:p w14:paraId="1E08F315"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0.029</w:t>
            </w:r>
          </w:p>
        </w:tc>
        <w:tc>
          <w:tcPr>
            <w:tcW w:w="1134" w:type="dxa"/>
            <w:tcBorders>
              <w:top w:val="nil"/>
              <w:left w:val="nil"/>
              <w:bottom w:val="nil"/>
              <w:right w:val="nil"/>
            </w:tcBorders>
          </w:tcPr>
          <w:p w14:paraId="58623AE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-0.019</w:t>
            </w:r>
          </w:p>
        </w:tc>
        <w:tc>
          <w:tcPr>
            <w:tcW w:w="1134" w:type="dxa"/>
            <w:tcBorders>
              <w:top w:val="nil"/>
              <w:left w:val="nil"/>
              <w:bottom w:val="nil"/>
              <w:right w:val="nil"/>
            </w:tcBorders>
          </w:tcPr>
          <w:p w14:paraId="4B7B8F2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0.017</w:t>
            </w:r>
          </w:p>
        </w:tc>
        <w:tc>
          <w:tcPr>
            <w:tcW w:w="1134" w:type="dxa"/>
            <w:tcBorders>
              <w:top w:val="nil"/>
              <w:left w:val="nil"/>
              <w:bottom w:val="nil"/>
              <w:right w:val="nil"/>
            </w:tcBorders>
          </w:tcPr>
          <w:p w14:paraId="5E30C5EE" w14:textId="77777777" w:rsidR="00817718" w:rsidRPr="00F05B90" w:rsidRDefault="00817718" w:rsidP="00320854">
            <w:pPr>
              <w:widowControl w:val="0"/>
              <w:autoSpaceDE w:val="0"/>
              <w:autoSpaceDN w:val="0"/>
              <w:adjustRightInd w:val="0"/>
              <w:spacing w:line="360" w:lineRule="auto"/>
              <w:jc w:val="right"/>
              <w:rPr>
                <w:sz w:val="20"/>
                <w:szCs w:val="20"/>
              </w:rPr>
            </w:pPr>
            <w:r w:rsidRPr="00F05B90">
              <w:rPr>
                <w:sz w:val="20"/>
                <w:szCs w:val="20"/>
              </w:rPr>
              <w:t>0.058*</w:t>
            </w:r>
          </w:p>
        </w:tc>
      </w:tr>
    </w:tbl>
    <w:p w14:paraId="03DA5C65" w14:textId="77777777" w:rsidR="00817718" w:rsidRPr="00F05B90" w:rsidRDefault="00817718" w:rsidP="00817718">
      <w:pPr>
        <w:spacing w:line="360" w:lineRule="auto"/>
        <w:rPr>
          <w:i/>
          <w:iCs/>
          <w:sz w:val="20"/>
          <w:szCs w:val="20"/>
        </w:rPr>
      </w:pPr>
      <w:r w:rsidRPr="00F05B90">
        <w:rPr>
          <w:i/>
          <w:iCs/>
          <w:sz w:val="20"/>
          <w:szCs w:val="20"/>
        </w:rPr>
        <w:t>*** p&lt;0.01, ** p&lt;0.05, * p&lt;0.1</w:t>
      </w:r>
    </w:p>
    <w:p w14:paraId="6B173893" w14:textId="77777777" w:rsidR="00817718" w:rsidRPr="00F05B90" w:rsidRDefault="00817718" w:rsidP="00817718">
      <w:pPr>
        <w:widowControl w:val="0"/>
        <w:autoSpaceDE w:val="0"/>
        <w:autoSpaceDN w:val="0"/>
        <w:adjustRightInd w:val="0"/>
        <w:spacing w:line="360" w:lineRule="auto"/>
        <w:rPr>
          <w:sz w:val="20"/>
          <w:szCs w:val="20"/>
        </w:rPr>
      </w:pPr>
      <w:r w:rsidRPr="00F05B90">
        <w:rPr>
          <w:b/>
          <w:bCs/>
          <w:sz w:val="20"/>
          <w:szCs w:val="20"/>
        </w:rPr>
        <w:br/>
      </w:r>
    </w:p>
    <w:p w14:paraId="74E24DD8" w14:textId="2B3D4403" w:rsidR="00817718" w:rsidRPr="00F05B90" w:rsidRDefault="00817718" w:rsidP="00817718">
      <w:pPr>
        <w:widowControl w:val="0"/>
        <w:autoSpaceDE w:val="0"/>
        <w:autoSpaceDN w:val="0"/>
        <w:adjustRightInd w:val="0"/>
        <w:spacing w:line="360" w:lineRule="auto"/>
        <w:rPr>
          <w:sz w:val="20"/>
          <w:szCs w:val="20"/>
        </w:rPr>
      </w:pPr>
    </w:p>
    <w:p w14:paraId="6866F1CB" w14:textId="77F8714C" w:rsidR="00EF3265" w:rsidRPr="00F05B90" w:rsidRDefault="00EF3265" w:rsidP="00817718">
      <w:pPr>
        <w:widowControl w:val="0"/>
        <w:autoSpaceDE w:val="0"/>
        <w:autoSpaceDN w:val="0"/>
        <w:adjustRightInd w:val="0"/>
        <w:spacing w:line="360" w:lineRule="auto"/>
        <w:rPr>
          <w:sz w:val="20"/>
          <w:szCs w:val="20"/>
        </w:rPr>
      </w:pPr>
    </w:p>
    <w:p w14:paraId="111F7550" w14:textId="77777777" w:rsidR="00EF3265" w:rsidRPr="00F05B90" w:rsidRDefault="00EF3265" w:rsidP="00817718">
      <w:pPr>
        <w:widowControl w:val="0"/>
        <w:autoSpaceDE w:val="0"/>
        <w:autoSpaceDN w:val="0"/>
        <w:adjustRightInd w:val="0"/>
        <w:spacing w:line="360" w:lineRule="auto"/>
        <w:rPr>
          <w:sz w:val="20"/>
          <w:szCs w:val="20"/>
        </w:rPr>
      </w:pPr>
    </w:p>
    <w:p w14:paraId="28D14DC8" w14:textId="77777777" w:rsidR="00817718" w:rsidRPr="00F05B90" w:rsidRDefault="00817718" w:rsidP="00817718">
      <w:pPr>
        <w:widowControl w:val="0"/>
        <w:autoSpaceDE w:val="0"/>
        <w:autoSpaceDN w:val="0"/>
        <w:adjustRightInd w:val="0"/>
        <w:spacing w:line="360" w:lineRule="auto"/>
        <w:rPr>
          <w:sz w:val="20"/>
          <w:szCs w:val="20"/>
        </w:rPr>
      </w:pPr>
    </w:p>
    <w:tbl>
      <w:tblPr>
        <w:tblW w:w="13046" w:type="dxa"/>
        <w:tblLayout w:type="fixed"/>
        <w:tblLook w:val="0000" w:firstRow="0" w:lastRow="0" w:firstColumn="0" w:lastColumn="0" w:noHBand="0" w:noVBand="0"/>
      </w:tblPr>
      <w:tblGrid>
        <w:gridCol w:w="3465"/>
        <w:gridCol w:w="2252"/>
        <w:gridCol w:w="1648"/>
        <w:gridCol w:w="2015"/>
        <w:gridCol w:w="1465"/>
        <w:gridCol w:w="2201"/>
      </w:tblGrid>
      <w:tr w:rsidR="00F05B90" w:rsidRPr="00F05B90" w14:paraId="3087857C" w14:textId="77777777" w:rsidTr="00EF3265">
        <w:trPr>
          <w:trHeight w:val="458"/>
        </w:trPr>
        <w:tc>
          <w:tcPr>
            <w:tcW w:w="13046" w:type="dxa"/>
            <w:gridSpan w:val="6"/>
            <w:tcBorders>
              <w:top w:val="single" w:sz="12" w:space="0" w:color="auto"/>
              <w:left w:val="nil"/>
              <w:bottom w:val="single" w:sz="12" w:space="0" w:color="auto"/>
              <w:right w:val="nil"/>
            </w:tcBorders>
          </w:tcPr>
          <w:p w14:paraId="5C4079A5" w14:textId="77B83867" w:rsidR="00EF3265" w:rsidRPr="00F05B90" w:rsidRDefault="00EF3265" w:rsidP="00EF3265">
            <w:pPr>
              <w:widowControl w:val="0"/>
              <w:autoSpaceDE w:val="0"/>
              <w:autoSpaceDN w:val="0"/>
              <w:adjustRightInd w:val="0"/>
              <w:spacing w:line="360" w:lineRule="auto"/>
              <w:rPr>
                <w:sz w:val="20"/>
                <w:szCs w:val="20"/>
              </w:rPr>
            </w:pPr>
            <w:r w:rsidRPr="00F05B90">
              <w:rPr>
                <w:b/>
                <w:bCs/>
              </w:rPr>
              <w:lastRenderedPageBreak/>
              <w:t>Table 3 (continued)</w:t>
            </w:r>
          </w:p>
        </w:tc>
      </w:tr>
      <w:tr w:rsidR="00F05B90" w:rsidRPr="00F05B90" w14:paraId="66F4B176" w14:textId="77777777" w:rsidTr="00EF3265">
        <w:trPr>
          <w:trHeight w:val="376"/>
        </w:trPr>
        <w:tc>
          <w:tcPr>
            <w:tcW w:w="3465" w:type="dxa"/>
            <w:tcBorders>
              <w:top w:val="single" w:sz="12" w:space="0" w:color="auto"/>
              <w:left w:val="nil"/>
              <w:bottom w:val="single" w:sz="12" w:space="0" w:color="auto"/>
              <w:right w:val="nil"/>
            </w:tcBorders>
          </w:tcPr>
          <w:p w14:paraId="3C736116" w14:textId="015866B8"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Variables</w:t>
            </w:r>
          </w:p>
        </w:tc>
        <w:tc>
          <w:tcPr>
            <w:tcW w:w="2252" w:type="dxa"/>
            <w:tcBorders>
              <w:top w:val="single" w:sz="12" w:space="0" w:color="auto"/>
              <w:left w:val="nil"/>
              <w:bottom w:val="single" w:sz="12" w:space="0" w:color="auto"/>
              <w:right w:val="nil"/>
            </w:tcBorders>
          </w:tcPr>
          <w:p w14:paraId="31606515"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16"/>
                <w:szCs w:val="16"/>
              </w:rPr>
              <w:t>(12)</w:t>
            </w:r>
          </w:p>
        </w:tc>
        <w:tc>
          <w:tcPr>
            <w:tcW w:w="1648" w:type="dxa"/>
            <w:tcBorders>
              <w:top w:val="single" w:sz="12" w:space="0" w:color="auto"/>
              <w:left w:val="nil"/>
              <w:bottom w:val="single" w:sz="12" w:space="0" w:color="auto"/>
              <w:right w:val="nil"/>
            </w:tcBorders>
          </w:tcPr>
          <w:p w14:paraId="5A12932B"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(13)</w:t>
            </w:r>
          </w:p>
        </w:tc>
        <w:tc>
          <w:tcPr>
            <w:tcW w:w="2015" w:type="dxa"/>
            <w:tcBorders>
              <w:top w:val="single" w:sz="12" w:space="0" w:color="auto"/>
              <w:left w:val="nil"/>
              <w:bottom w:val="single" w:sz="12" w:space="0" w:color="auto"/>
              <w:right w:val="nil"/>
            </w:tcBorders>
          </w:tcPr>
          <w:p w14:paraId="15A4CFD6"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(14)</w:t>
            </w:r>
          </w:p>
        </w:tc>
        <w:tc>
          <w:tcPr>
            <w:tcW w:w="1465" w:type="dxa"/>
            <w:tcBorders>
              <w:top w:val="single" w:sz="12" w:space="0" w:color="auto"/>
              <w:left w:val="nil"/>
              <w:bottom w:val="single" w:sz="12" w:space="0" w:color="auto"/>
              <w:right w:val="nil"/>
            </w:tcBorders>
          </w:tcPr>
          <w:p w14:paraId="6EC5F7D7"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(15)</w:t>
            </w:r>
          </w:p>
        </w:tc>
        <w:tc>
          <w:tcPr>
            <w:tcW w:w="2198" w:type="dxa"/>
            <w:tcBorders>
              <w:top w:val="single" w:sz="12" w:space="0" w:color="auto"/>
              <w:left w:val="nil"/>
              <w:bottom w:val="single" w:sz="12" w:space="0" w:color="auto"/>
              <w:right w:val="nil"/>
            </w:tcBorders>
          </w:tcPr>
          <w:p w14:paraId="3BC1EEAA"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(16)</w:t>
            </w:r>
          </w:p>
        </w:tc>
      </w:tr>
      <w:tr w:rsidR="00F05B90" w:rsidRPr="00F05B90" w14:paraId="67C819FF" w14:textId="77777777" w:rsidTr="00EF3265">
        <w:trPr>
          <w:trHeight w:val="376"/>
        </w:trPr>
        <w:tc>
          <w:tcPr>
            <w:tcW w:w="3465" w:type="dxa"/>
            <w:tcBorders>
              <w:top w:val="single" w:sz="12" w:space="0" w:color="auto"/>
              <w:left w:val="nil"/>
              <w:bottom w:val="nil"/>
              <w:right w:val="nil"/>
            </w:tcBorders>
          </w:tcPr>
          <w:p w14:paraId="5448E285" w14:textId="77777777"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(12) Employees</w:t>
            </w:r>
          </w:p>
        </w:tc>
        <w:tc>
          <w:tcPr>
            <w:tcW w:w="2252" w:type="dxa"/>
            <w:tcBorders>
              <w:top w:val="single" w:sz="12" w:space="0" w:color="auto"/>
              <w:left w:val="nil"/>
              <w:bottom w:val="nil"/>
              <w:right w:val="nil"/>
            </w:tcBorders>
          </w:tcPr>
          <w:p w14:paraId="0B26DC51"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1.000</w:t>
            </w:r>
          </w:p>
        </w:tc>
        <w:tc>
          <w:tcPr>
            <w:tcW w:w="1648" w:type="dxa"/>
            <w:tcBorders>
              <w:top w:val="single" w:sz="12" w:space="0" w:color="auto"/>
              <w:left w:val="nil"/>
              <w:bottom w:val="nil"/>
              <w:right w:val="nil"/>
            </w:tcBorders>
          </w:tcPr>
          <w:p w14:paraId="6CDEB44A"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2015" w:type="dxa"/>
            <w:tcBorders>
              <w:top w:val="single" w:sz="12" w:space="0" w:color="auto"/>
              <w:left w:val="nil"/>
              <w:bottom w:val="nil"/>
              <w:right w:val="nil"/>
            </w:tcBorders>
          </w:tcPr>
          <w:p w14:paraId="36B762CF"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1465" w:type="dxa"/>
            <w:tcBorders>
              <w:top w:val="single" w:sz="12" w:space="0" w:color="auto"/>
              <w:left w:val="nil"/>
              <w:bottom w:val="nil"/>
              <w:right w:val="nil"/>
            </w:tcBorders>
          </w:tcPr>
          <w:p w14:paraId="345676A4"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2198" w:type="dxa"/>
            <w:tcBorders>
              <w:top w:val="single" w:sz="12" w:space="0" w:color="auto"/>
              <w:left w:val="nil"/>
              <w:bottom w:val="nil"/>
              <w:right w:val="nil"/>
            </w:tcBorders>
          </w:tcPr>
          <w:p w14:paraId="74124A71" w14:textId="77777777" w:rsidR="00EF3265" w:rsidRPr="00F05B90" w:rsidRDefault="00EF3265" w:rsidP="00320854">
            <w:pPr>
              <w:widowControl w:val="0"/>
              <w:autoSpaceDE w:val="0"/>
              <w:autoSpaceDN w:val="0"/>
              <w:adjustRightInd w:val="0"/>
              <w:spacing w:line="360" w:lineRule="auto"/>
              <w:jc w:val="right"/>
              <w:rPr>
                <w:sz w:val="20"/>
                <w:szCs w:val="20"/>
              </w:rPr>
            </w:pPr>
          </w:p>
        </w:tc>
      </w:tr>
      <w:tr w:rsidR="00F05B90" w:rsidRPr="00F05B90" w14:paraId="685D55F3" w14:textId="77777777" w:rsidTr="00EF3265">
        <w:trPr>
          <w:trHeight w:val="376"/>
        </w:trPr>
        <w:tc>
          <w:tcPr>
            <w:tcW w:w="3465" w:type="dxa"/>
            <w:tcBorders>
              <w:top w:val="nil"/>
              <w:left w:val="nil"/>
              <w:bottom w:val="nil"/>
              <w:right w:val="nil"/>
            </w:tcBorders>
          </w:tcPr>
          <w:p w14:paraId="029A4806" w14:textId="77777777"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(13) CEOR</w:t>
            </w:r>
          </w:p>
        </w:tc>
        <w:tc>
          <w:tcPr>
            <w:tcW w:w="2252" w:type="dxa"/>
            <w:tcBorders>
              <w:top w:val="nil"/>
              <w:left w:val="nil"/>
              <w:bottom w:val="nil"/>
              <w:right w:val="nil"/>
            </w:tcBorders>
          </w:tcPr>
          <w:p w14:paraId="73C9AF5F"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-0.025</w:t>
            </w:r>
          </w:p>
        </w:tc>
        <w:tc>
          <w:tcPr>
            <w:tcW w:w="1648" w:type="dxa"/>
            <w:tcBorders>
              <w:top w:val="nil"/>
              <w:left w:val="nil"/>
              <w:bottom w:val="nil"/>
              <w:right w:val="nil"/>
            </w:tcBorders>
          </w:tcPr>
          <w:p w14:paraId="1B59BB43"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1.000</w:t>
            </w:r>
          </w:p>
        </w:tc>
        <w:tc>
          <w:tcPr>
            <w:tcW w:w="2015" w:type="dxa"/>
            <w:tcBorders>
              <w:top w:val="nil"/>
              <w:left w:val="nil"/>
              <w:bottom w:val="nil"/>
              <w:right w:val="nil"/>
            </w:tcBorders>
          </w:tcPr>
          <w:p w14:paraId="5C71CB89"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1465" w:type="dxa"/>
            <w:tcBorders>
              <w:top w:val="nil"/>
              <w:left w:val="nil"/>
              <w:bottom w:val="nil"/>
              <w:right w:val="nil"/>
            </w:tcBorders>
          </w:tcPr>
          <w:p w14:paraId="149A2A94"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2198" w:type="dxa"/>
            <w:tcBorders>
              <w:top w:val="nil"/>
              <w:left w:val="nil"/>
              <w:bottom w:val="nil"/>
              <w:right w:val="nil"/>
            </w:tcBorders>
          </w:tcPr>
          <w:p w14:paraId="79602124" w14:textId="77777777" w:rsidR="00EF3265" w:rsidRPr="00F05B90" w:rsidRDefault="00EF3265" w:rsidP="00320854">
            <w:pPr>
              <w:widowControl w:val="0"/>
              <w:autoSpaceDE w:val="0"/>
              <w:autoSpaceDN w:val="0"/>
              <w:adjustRightInd w:val="0"/>
              <w:spacing w:line="360" w:lineRule="auto"/>
              <w:jc w:val="right"/>
              <w:rPr>
                <w:sz w:val="20"/>
                <w:szCs w:val="20"/>
              </w:rPr>
            </w:pPr>
          </w:p>
        </w:tc>
      </w:tr>
      <w:tr w:rsidR="00F05B90" w:rsidRPr="00F05B90" w14:paraId="7F2E3BF0" w14:textId="77777777" w:rsidTr="00EF3265">
        <w:trPr>
          <w:trHeight w:val="376"/>
        </w:trPr>
        <w:tc>
          <w:tcPr>
            <w:tcW w:w="3465" w:type="dxa"/>
            <w:tcBorders>
              <w:top w:val="nil"/>
              <w:left w:val="nil"/>
              <w:bottom w:val="nil"/>
              <w:right w:val="nil"/>
            </w:tcBorders>
          </w:tcPr>
          <w:p w14:paraId="5FB72BA2" w14:textId="77777777"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(14) CEOGender</w:t>
            </w:r>
          </w:p>
        </w:tc>
        <w:tc>
          <w:tcPr>
            <w:tcW w:w="2252" w:type="dxa"/>
            <w:tcBorders>
              <w:top w:val="nil"/>
              <w:left w:val="nil"/>
              <w:bottom w:val="nil"/>
              <w:right w:val="nil"/>
            </w:tcBorders>
          </w:tcPr>
          <w:p w14:paraId="1111D652"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0.055*</w:t>
            </w:r>
          </w:p>
        </w:tc>
        <w:tc>
          <w:tcPr>
            <w:tcW w:w="1648" w:type="dxa"/>
            <w:tcBorders>
              <w:top w:val="nil"/>
              <w:left w:val="nil"/>
              <w:bottom w:val="nil"/>
              <w:right w:val="nil"/>
            </w:tcBorders>
          </w:tcPr>
          <w:p w14:paraId="7457D3EA"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-0.092***</w:t>
            </w:r>
          </w:p>
        </w:tc>
        <w:tc>
          <w:tcPr>
            <w:tcW w:w="2015" w:type="dxa"/>
            <w:tcBorders>
              <w:top w:val="nil"/>
              <w:left w:val="nil"/>
              <w:bottom w:val="nil"/>
              <w:right w:val="nil"/>
            </w:tcBorders>
          </w:tcPr>
          <w:p w14:paraId="6869A6D3"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1.000</w:t>
            </w:r>
          </w:p>
        </w:tc>
        <w:tc>
          <w:tcPr>
            <w:tcW w:w="1465" w:type="dxa"/>
            <w:tcBorders>
              <w:top w:val="nil"/>
              <w:left w:val="nil"/>
              <w:bottom w:val="nil"/>
              <w:right w:val="nil"/>
            </w:tcBorders>
          </w:tcPr>
          <w:p w14:paraId="3831DF5E" w14:textId="77777777" w:rsidR="00EF3265" w:rsidRPr="00F05B90" w:rsidRDefault="00EF3265" w:rsidP="00320854">
            <w:pPr>
              <w:widowControl w:val="0"/>
              <w:autoSpaceDE w:val="0"/>
              <w:autoSpaceDN w:val="0"/>
              <w:adjustRightInd w:val="0"/>
              <w:spacing w:line="360" w:lineRule="auto"/>
              <w:jc w:val="right"/>
              <w:rPr>
                <w:sz w:val="20"/>
                <w:szCs w:val="20"/>
              </w:rPr>
            </w:pPr>
          </w:p>
        </w:tc>
        <w:tc>
          <w:tcPr>
            <w:tcW w:w="2198" w:type="dxa"/>
            <w:tcBorders>
              <w:top w:val="nil"/>
              <w:left w:val="nil"/>
              <w:bottom w:val="nil"/>
              <w:right w:val="nil"/>
            </w:tcBorders>
          </w:tcPr>
          <w:p w14:paraId="6C52F682" w14:textId="77777777" w:rsidR="00EF3265" w:rsidRPr="00F05B90" w:rsidRDefault="00EF3265" w:rsidP="00320854">
            <w:pPr>
              <w:widowControl w:val="0"/>
              <w:autoSpaceDE w:val="0"/>
              <w:autoSpaceDN w:val="0"/>
              <w:adjustRightInd w:val="0"/>
              <w:spacing w:line="360" w:lineRule="auto"/>
              <w:jc w:val="right"/>
              <w:rPr>
                <w:sz w:val="20"/>
                <w:szCs w:val="20"/>
              </w:rPr>
            </w:pPr>
          </w:p>
        </w:tc>
      </w:tr>
      <w:tr w:rsidR="00F05B90" w:rsidRPr="00F05B90" w14:paraId="5E322867" w14:textId="77777777" w:rsidTr="00EF3265">
        <w:trPr>
          <w:trHeight w:val="376"/>
        </w:trPr>
        <w:tc>
          <w:tcPr>
            <w:tcW w:w="3465" w:type="dxa"/>
            <w:tcBorders>
              <w:top w:val="nil"/>
              <w:left w:val="nil"/>
              <w:bottom w:val="nil"/>
              <w:right w:val="nil"/>
            </w:tcBorders>
          </w:tcPr>
          <w:p w14:paraId="2BBE6E7C" w14:textId="77777777"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(15) Retire</w:t>
            </w:r>
          </w:p>
        </w:tc>
        <w:tc>
          <w:tcPr>
            <w:tcW w:w="2252" w:type="dxa"/>
            <w:tcBorders>
              <w:top w:val="nil"/>
              <w:left w:val="nil"/>
              <w:bottom w:val="nil"/>
              <w:right w:val="nil"/>
            </w:tcBorders>
          </w:tcPr>
          <w:p w14:paraId="43A14E1C"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0.022</w:t>
            </w:r>
          </w:p>
        </w:tc>
        <w:tc>
          <w:tcPr>
            <w:tcW w:w="1648" w:type="dxa"/>
            <w:tcBorders>
              <w:top w:val="nil"/>
              <w:left w:val="nil"/>
              <w:bottom w:val="nil"/>
              <w:right w:val="nil"/>
            </w:tcBorders>
          </w:tcPr>
          <w:p w14:paraId="1E3E5174"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0.082***</w:t>
            </w:r>
          </w:p>
        </w:tc>
        <w:tc>
          <w:tcPr>
            <w:tcW w:w="2015" w:type="dxa"/>
            <w:tcBorders>
              <w:top w:val="nil"/>
              <w:left w:val="nil"/>
              <w:bottom w:val="nil"/>
              <w:right w:val="nil"/>
            </w:tcBorders>
          </w:tcPr>
          <w:p w14:paraId="57C79B57"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-0.015</w:t>
            </w:r>
          </w:p>
        </w:tc>
        <w:tc>
          <w:tcPr>
            <w:tcW w:w="1465" w:type="dxa"/>
            <w:tcBorders>
              <w:top w:val="nil"/>
              <w:left w:val="nil"/>
              <w:bottom w:val="nil"/>
              <w:right w:val="nil"/>
            </w:tcBorders>
          </w:tcPr>
          <w:p w14:paraId="1F9F4E65"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1.000</w:t>
            </w:r>
          </w:p>
        </w:tc>
        <w:tc>
          <w:tcPr>
            <w:tcW w:w="2198" w:type="dxa"/>
            <w:tcBorders>
              <w:top w:val="nil"/>
              <w:left w:val="nil"/>
              <w:bottom w:val="nil"/>
              <w:right w:val="nil"/>
            </w:tcBorders>
          </w:tcPr>
          <w:p w14:paraId="3D8F40D9" w14:textId="77777777" w:rsidR="00EF3265" w:rsidRPr="00F05B90" w:rsidRDefault="00EF3265" w:rsidP="00320854">
            <w:pPr>
              <w:widowControl w:val="0"/>
              <w:autoSpaceDE w:val="0"/>
              <w:autoSpaceDN w:val="0"/>
              <w:adjustRightInd w:val="0"/>
              <w:spacing w:line="360" w:lineRule="auto"/>
              <w:jc w:val="right"/>
              <w:rPr>
                <w:sz w:val="20"/>
                <w:szCs w:val="20"/>
              </w:rPr>
            </w:pPr>
          </w:p>
        </w:tc>
      </w:tr>
      <w:tr w:rsidR="00F05B90" w:rsidRPr="00F05B90" w14:paraId="164FEAAF" w14:textId="77777777" w:rsidTr="00EF3265">
        <w:trPr>
          <w:trHeight w:val="376"/>
        </w:trPr>
        <w:tc>
          <w:tcPr>
            <w:tcW w:w="3465" w:type="dxa"/>
            <w:tcBorders>
              <w:top w:val="nil"/>
              <w:left w:val="nil"/>
              <w:bottom w:val="nil"/>
              <w:right w:val="nil"/>
            </w:tcBorders>
          </w:tcPr>
          <w:p w14:paraId="4544DCA5" w14:textId="77777777" w:rsidR="00EF3265" w:rsidRPr="00F05B90" w:rsidRDefault="00EF3265" w:rsidP="00320854">
            <w:pPr>
              <w:widowControl w:val="0"/>
              <w:autoSpaceDE w:val="0"/>
              <w:autoSpaceDN w:val="0"/>
              <w:adjustRightInd w:val="0"/>
              <w:spacing w:line="360" w:lineRule="auto"/>
              <w:rPr>
                <w:sz w:val="20"/>
                <w:szCs w:val="20"/>
              </w:rPr>
            </w:pPr>
            <w:r w:rsidRPr="00F05B90">
              <w:rPr>
                <w:sz w:val="20"/>
                <w:szCs w:val="20"/>
              </w:rPr>
              <w:t>(16) Insider</w:t>
            </w:r>
          </w:p>
        </w:tc>
        <w:tc>
          <w:tcPr>
            <w:tcW w:w="2252" w:type="dxa"/>
            <w:tcBorders>
              <w:top w:val="nil"/>
              <w:left w:val="nil"/>
              <w:bottom w:val="nil"/>
              <w:right w:val="nil"/>
            </w:tcBorders>
          </w:tcPr>
          <w:p w14:paraId="7DD18EFD"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-0.038</w:t>
            </w:r>
          </w:p>
        </w:tc>
        <w:tc>
          <w:tcPr>
            <w:tcW w:w="1648" w:type="dxa"/>
            <w:tcBorders>
              <w:top w:val="nil"/>
              <w:left w:val="nil"/>
              <w:bottom w:val="nil"/>
              <w:right w:val="nil"/>
            </w:tcBorders>
          </w:tcPr>
          <w:p w14:paraId="6B677313"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0.111***</w:t>
            </w:r>
          </w:p>
        </w:tc>
        <w:tc>
          <w:tcPr>
            <w:tcW w:w="2015" w:type="dxa"/>
            <w:tcBorders>
              <w:top w:val="nil"/>
              <w:left w:val="nil"/>
              <w:bottom w:val="nil"/>
              <w:right w:val="nil"/>
            </w:tcBorders>
          </w:tcPr>
          <w:p w14:paraId="7AB680C8"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-0.041</w:t>
            </w:r>
          </w:p>
        </w:tc>
        <w:tc>
          <w:tcPr>
            <w:tcW w:w="1465" w:type="dxa"/>
            <w:tcBorders>
              <w:top w:val="nil"/>
              <w:left w:val="nil"/>
              <w:bottom w:val="nil"/>
              <w:right w:val="nil"/>
            </w:tcBorders>
          </w:tcPr>
          <w:p w14:paraId="4677739D" w14:textId="77777777"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0.029</w:t>
            </w:r>
          </w:p>
        </w:tc>
        <w:tc>
          <w:tcPr>
            <w:tcW w:w="2198" w:type="dxa"/>
            <w:tcBorders>
              <w:top w:val="nil"/>
              <w:left w:val="nil"/>
              <w:bottom w:val="nil"/>
              <w:right w:val="nil"/>
            </w:tcBorders>
          </w:tcPr>
          <w:p w14:paraId="6F9B2AB8" w14:textId="55B9DAF8" w:rsidR="00EF3265" w:rsidRPr="00F05B90" w:rsidRDefault="00EF3265" w:rsidP="00320854">
            <w:pPr>
              <w:widowControl w:val="0"/>
              <w:autoSpaceDE w:val="0"/>
              <w:autoSpaceDN w:val="0"/>
              <w:adjustRightInd w:val="0"/>
              <w:spacing w:line="360" w:lineRule="auto"/>
              <w:jc w:val="right"/>
              <w:rPr>
                <w:sz w:val="20"/>
                <w:szCs w:val="20"/>
              </w:rPr>
            </w:pPr>
            <w:r w:rsidRPr="00F05B90">
              <w:rPr>
                <w:sz w:val="20"/>
                <w:szCs w:val="20"/>
              </w:rPr>
              <w:t>1.000</w:t>
            </w:r>
          </w:p>
        </w:tc>
      </w:tr>
    </w:tbl>
    <w:p w14:paraId="0396B37F" w14:textId="77777777" w:rsidR="00817718" w:rsidRPr="00F05B90" w:rsidRDefault="00817718" w:rsidP="00817718">
      <w:pPr>
        <w:spacing w:line="360" w:lineRule="auto"/>
        <w:rPr>
          <w:i/>
          <w:iCs/>
          <w:sz w:val="20"/>
          <w:szCs w:val="20"/>
        </w:rPr>
      </w:pPr>
      <w:r w:rsidRPr="00F05B90">
        <w:rPr>
          <w:i/>
          <w:iCs/>
          <w:sz w:val="20"/>
          <w:szCs w:val="20"/>
        </w:rPr>
        <w:t>*** p&lt;0.01, ** p&lt;0.05, * p&lt;0.1</w:t>
      </w:r>
    </w:p>
    <w:p w14:paraId="4770B593" w14:textId="77777777" w:rsidR="00817718" w:rsidRPr="00F05B90" w:rsidRDefault="00817718" w:rsidP="00817718">
      <w:pPr>
        <w:spacing w:line="360" w:lineRule="auto"/>
        <w:rPr>
          <w:i/>
          <w:iCs/>
          <w:sz w:val="20"/>
          <w:szCs w:val="20"/>
        </w:rPr>
      </w:pPr>
    </w:p>
    <w:p w14:paraId="49F2A936" w14:textId="77777777" w:rsidR="00817718" w:rsidRPr="00F05B90" w:rsidRDefault="00817718" w:rsidP="00817718">
      <w:pPr>
        <w:spacing w:line="360" w:lineRule="auto"/>
        <w:rPr>
          <w:i/>
          <w:iCs/>
          <w:sz w:val="20"/>
          <w:szCs w:val="20"/>
        </w:rPr>
      </w:pPr>
    </w:p>
    <w:p w14:paraId="7D524A2A" w14:textId="77777777" w:rsidR="00817718" w:rsidRPr="00F05B90" w:rsidRDefault="00817718" w:rsidP="00817718">
      <w:pPr>
        <w:spacing w:line="360" w:lineRule="auto"/>
        <w:rPr>
          <w:i/>
          <w:iCs/>
          <w:sz w:val="20"/>
          <w:szCs w:val="20"/>
        </w:rPr>
      </w:pPr>
    </w:p>
    <w:p w14:paraId="58F42D62" w14:textId="77777777" w:rsidR="00817718" w:rsidRPr="00F05B90" w:rsidRDefault="00817718" w:rsidP="00817718">
      <w:pPr>
        <w:spacing w:line="360" w:lineRule="auto"/>
        <w:rPr>
          <w:i/>
          <w:iCs/>
          <w:sz w:val="20"/>
          <w:szCs w:val="20"/>
        </w:rPr>
      </w:pPr>
    </w:p>
    <w:p w14:paraId="2A7DF9D2" w14:textId="77777777" w:rsidR="00817718" w:rsidRPr="00F05B90" w:rsidRDefault="00817718" w:rsidP="00817718">
      <w:pPr>
        <w:spacing w:line="360" w:lineRule="auto"/>
        <w:rPr>
          <w:i/>
          <w:iCs/>
          <w:sz w:val="20"/>
          <w:szCs w:val="20"/>
        </w:rPr>
      </w:pPr>
    </w:p>
    <w:p w14:paraId="3DE5B260" w14:textId="77777777" w:rsidR="00817718" w:rsidRPr="00F05B90" w:rsidRDefault="00817718" w:rsidP="00817718">
      <w:pPr>
        <w:spacing w:line="360" w:lineRule="auto"/>
        <w:rPr>
          <w:i/>
          <w:iCs/>
          <w:sz w:val="20"/>
          <w:szCs w:val="20"/>
        </w:rPr>
      </w:pPr>
    </w:p>
    <w:p w14:paraId="2FF8D27C" w14:textId="77777777" w:rsidR="00817718" w:rsidRPr="00F05B90" w:rsidRDefault="00817718" w:rsidP="00817718">
      <w:pPr>
        <w:spacing w:after="200" w:line="276" w:lineRule="auto"/>
        <w:rPr>
          <w:i/>
          <w:iCs/>
          <w:sz w:val="20"/>
          <w:szCs w:val="20"/>
        </w:rPr>
      </w:pPr>
    </w:p>
    <w:p w14:paraId="77AFAF11" w14:textId="77777777" w:rsidR="00817718" w:rsidRPr="00F05B90" w:rsidRDefault="00817718" w:rsidP="00817718">
      <w:pPr>
        <w:spacing w:line="360" w:lineRule="auto"/>
        <w:rPr>
          <w:i/>
          <w:iCs/>
          <w:sz w:val="20"/>
          <w:szCs w:val="20"/>
        </w:rPr>
      </w:pPr>
    </w:p>
    <w:p w14:paraId="29DC1F14" w14:textId="77777777" w:rsidR="00817718" w:rsidRPr="00F05B90" w:rsidRDefault="00817718" w:rsidP="00817718">
      <w:pPr>
        <w:spacing w:line="360" w:lineRule="auto"/>
        <w:rPr>
          <w:i/>
          <w:iCs/>
          <w:sz w:val="20"/>
          <w:szCs w:val="20"/>
        </w:rPr>
      </w:pPr>
    </w:p>
    <w:p w14:paraId="7CA11E80" w14:textId="77777777" w:rsidR="00817718" w:rsidRPr="00F05B90" w:rsidRDefault="00817718" w:rsidP="00817718">
      <w:pPr>
        <w:spacing w:line="360" w:lineRule="auto"/>
        <w:rPr>
          <w:i/>
          <w:iCs/>
          <w:sz w:val="20"/>
          <w:szCs w:val="20"/>
        </w:rPr>
      </w:pPr>
    </w:p>
    <w:p w14:paraId="4C1C0557" w14:textId="77777777" w:rsidR="00817718" w:rsidRPr="00F05B90" w:rsidRDefault="00817718" w:rsidP="00817718">
      <w:pPr>
        <w:spacing w:line="360" w:lineRule="auto"/>
        <w:rPr>
          <w:i/>
          <w:iCs/>
          <w:sz w:val="20"/>
          <w:szCs w:val="20"/>
        </w:rPr>
      </w:pPr>
    </w:p>
    <w:p w14:paraId="6A05C9B9" w14:textId="77777777" w:rsidR="00817718" w:rsidRPr="00F05B90" w:rsidRDefault="00817718" w:rsidP="00817718">
      <w:pPr>
        <w:spacing w:line="360" w:lineRule="auto"/>
        <w:rPr>
          <w:i/>
          <w:iCs/>
          <w:sz w:val="20"/>
          <w:szCs w:val="20"/>
        </w:rPr>
      </w:pPr>
    </w:p>
    <w:p w14:paraId="7B18A65B" w14:textId="77777777" w:rsidR="00817718" w:rsidRPr="00F05B90" w:rsidRDefault="00817718" w:rsidP="00817718">
      <w:pPr>
        <w:widowControl w:val="0"/>
        <w:autoSpaceDE w:val="0"/>
        <w:autoSpaceDN w:val="0"/>
        <w:adjustRightInd w:val="0"/>
        <w:jc w:val="center"/>
        <w:rPr>
          <w:b/>
          <w:bCs/>
          <w:sz w:val="20"/>
          <w:szCs w:val="20"/>
        </w:rPr>
        <w:sectPr w:rsidR="00817718" w:rsidRPr="00F05B90" w:rsidSect="00817718">
          <w:pgSz w:w="16838" w:h="11906" w:orient="landscape"/>
          <w:pgMar w:top="1440" w:right="1440" w:bottom="1440" w:left="1440" w:header="709" w:footer="709" w:gutter="0"/>
          <w:cols w:space="708"/>
          <w:docGrid w:linePitch="360"/>
        </w:sectPr>
      </w:pPr>
    </w:p>
    <w:p w14:paraId="17E1CB7D" w14:textId="3B6A237D" w:rsidR="00817718" w:rsidRPr="00F05B90" w:rsidRDefault="00817718" w:rsidP="00B3493A">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4: </w:t>
      </w:r>
      <w:r w:rsidRPr="00F05B90">
        <w:rPr>
          <w:rFonts w:ascii="Times New Roman" w:hAnsi="Times New Roman" w:cs="Times New Roman"/>
          <w:b w:val="0"/>
          <w:color w:val="auto"/>
          <w:szCs w:val="24"/>
        </w:rPr>
        <w:t xml:space="preserve">Effect of CEO industry tournament incentives on auditors’ </w:t>
      </w:r>
      <w:r w:rsidR="00B3493A" w:rsidRPr="00F05B90">
        <w:rPr>
          <w:rFonts w:ascii="Times New Roman" w:hAnsi="Times New Roman" w:cs="Times New Roman"/>
          <w:b w:val="0"/>
          <w:color w:val="auto"/>
          <w:szCs w:val="24"/>
        </w:rPr>
        <w:t>professional judgment</w:t>
      </w:r>
    </w:p>
    <w:tbl>
      <w:tblPr>
        <w:tblW w:w="8861" w:type="dxa"/>
        <w:tblLayout w:type="fixed"/>
        <w:tblLook w:val="0000" w:firstRow="0" w:lastRow="0" w:firstColumn="0" w:lastColumn="0" w:noHBand="0" w:noVBand="0"/>
      </w:tblPr>
      <w:tblGrid>
        <w:gridCol w:w="3092"/>
        <w:gridCol w:w="2628"/>
        <w:gridCol w:w="3141"/>
      </w:tblGrid>
      <w:tr w:rsidR="00F05B90" w:rsidRPr="00F05B90" w14:paraId="1968267E" w14:textId="77777777" w:rsidTr="00320854">
        <w:trPr>
          <w:trHeight w:val="277"/>
        </w:trPr>
        <w:tc>
          <w:tcPr>
            <w:tcW w:w="3092" w:type="dxa"/>
            <w:tcBorders>
              <w:top w:val="single" w:sz="12" w:space="0" w:color="auto"/>
              <w:left w:val="nil"/>
              <w:bottom w:val="nil"/>
              <w:right w:val="nil"/>
            </w:tcBorders>
          </w:tcPr>
          <w:p w14:paraId="4C484A82"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single" w:sz="12" w:space="0" w:color="auto"/>
              <w:left w:val="nil"/>
              <w:bottom w:val="nil"/>
              <w:right w:val="nil"/>
            </w:tcBorders>
          </w:tcPr>
          <w:p w14:paraId="0C5F3DBD"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w:t>
            </w:r>
          </w:p>
        </w:tc>
        <w:tc>
          <w:tcPr>
            <w:tcW w:w="3141" w:type="dxa"/>
            <w:tcBorders>
              <w:top w:val="single" w:sz="12" w:space="0" w:color="auto"/>
              <w:left w:val="nil"/>
              <w:bottom w:val="nil"/>
              <w:right w:val="nil"/>
            </w:tcBorders>
          </w:tcPr>
          <w:p w14:paraId="3CD02D5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(2)</w:t>
            </w:r>
          </w:p>
        </w:tc>
      </w:tr>
      <w:tr w:rsidR="00F05B90" w:rsidRPr="00F05B90" w14:paraId="2FE906A7" w14:textId="77777777" w:rsidTr="00320854">
        <w:trPr>
          <w:trHeight w:val="260"/>
        </w:trPr>
        <w:tc>
          <w:tcPr>
            <w:tcW w:w="3092" w:type="dxa"/>
            <w:tcBorders>
              <w:top w:val="nil"/>
              <w:left w:val="nil"/>
              <w:bottom w:val="nil"/>
              <w:right w:val="nil"/>
            </w:tcBorders>
          </w:tcPr>
          <w:p w14:paraId="4B9978FA"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single" w:sz="12" w:space="0" w:color="auto"/>
              <w:right w:val="nil"/>
            </w:tcBorders>
          </w:tcPr>
          <w:p w14:paraId="59C2FA6B"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KAM</w:t>
            </w:r>
          </w:p>
        </w:tc>
        <w:tc>
          <w:tcPr>
            <w:tcW w:w="3141" w:type="dxa"/>
            <w:tcBorders>
              <w:top w:val="nil"/>
              <w:left w:val="nil"/>
              <w:bottom w:val="single" w:sz="12" w:space="0" w:color="auto"/>
              <w:right w:val="nil"/>
            </w:tcBorders>
          </w:tcPr>
          <w:p w14:paraId="280DAE6B"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MAT</w:t>
            </w:r>
          </w:p>
        </w:tc>
      </w:tr>
      <w:tr w:rsidR="00F05B90" w:rsidRPr="00F05B90" w14:paraId="4AE7F55B" w14:textId="77777777" w:rsidTr="00320854">
        <w:trPr>
          <w:trHeight w:val="260"/>
        </w:trPr>
        <w:tc>
          <w:tcPr>
            <w:tcW w:w="3092" w:type="dxa"/>
            <w:tcBorders>
              <w:left w:val="nil"/>
              <w:bottom w:val="nil"/>
              <w:right w:val="nil"/>
            </w:tcBorders>
          </w:tcPr>
          <w:p w14:paraId="19B10EF6"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Indgap</w:t>
            </w:r>
          </w:p>
        </w:tc>
        <w:tc>
          <w:tcPr>
            <w:tcW w:w="2628" w:type="dxa"/>
            <w:tcBorders>
              <w:top w:val="single" w:sz="12" w:space="0" w:color="auto"/>
              <w:left w:val="nil"/>
              <w:bottom w:val="nil"/>
              <w:right w:val="nil"/>
            </w:tcBorders>
          </w:tcPr>
          <w:p w14:paraId="3897A220"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-0.049</w:t>
            </w:r>
            <w:r w:rsidRPr="00F05B90">
              <w:rPr>
                <w:rFonts w:asciiTheme="majorBidi" w:hAnsiTheme="majorBidi" w:cstheme="majorBidi"/>
                <w:b/>
                <w:bCs/>
                <w:sz w:val="20"/>
                <w:szCs w:val="20"/>
                <w:vertAlign w:val="superscript"/>
              </w:rPr>
              <w:t>***</w:t>
            </w:r>
          </w:p>
        </w:tc>
        <w:tc>
          <w:tcPr>
            <w:tcW w:w="3141" w:type="dxa"/>
            <w:tcBorders>
              <w:top w:val="single" w:sz="12" w:space="0" w:color="auto"/>
              <w:left w:val="nil"/>
              <w:bottom w:val="nil"/>
              <w:right w:val="nil"/>
            </w:tcBorders>
          </w:tcPr>
          <w:p w14:paraId="2C33664A"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0.013</w:t>
            </w:r>
            <w:r w:rsidRPr="00F05B90">
              <w:rPr>
                <w:rFonts w:asciiTheme="majorBidi" w:hAnsiTheme="majorBidi" w:cstheme="majorBidi"/>
                <w:b/>
                <w:bCs/>
                <w:sz w:val="20"/>
                <w:szCs w:val="20"/>
                <w:vertAlign w:val="superscript"/>
              </w:rPr>
              <w:t>**</w:t>
            </w:r>
          </w:p>
        </w:tc>
      </w:tr>
      <w:tr w:rsidR="00F05B90" w:rsidRPr="00F05B90" w14:paraId="6E4E899B" w14:textId="77777777" w:rsidTr="00320854">
        <w:trPr>
          <w:trHeight w:val="277"/>
        </w:trPr>
        <w:tc>
          <w:tcPr>
            <w:tcW w:w="3092" w:type="dxa"/>
            <w:tcBorders>
              <w:top w:val="nil"/>
              <w:left w:val="nil"/>
              <w:bottom w:val="nil"/>
              <w:right w:val="nil"/>
            </w:tcBorders>
          </w:tcPr>
          <w:p w14:paraId="3FBC810C"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3DAF6CCC"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(0.017)</w:t>
            </w:r>
          </w:p>
        </w:tc>
        <w:tc>
          <w:tcPr>
            <w:tcW w:w="3141" w:type="dxa"/>
            <w:tcBorders>
              <w:top w:val="nil"/>
              <w:left w:val="nil"/>
              <w:bottom w:val="nil"/>
              <w:right w:val="nil"/>
            </w:tcBorders>
          </w:tcPr>
          <w:p w14:paraId="0DED93DF"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(0.005)</w:t>
            </w:r>
          </w:p>
        </w:tc>
      </w:tr>
      <w:tr w:rsidR="00F05B90" w:rsidRPr="00F05B90" w14:paraId="471943EF" w14:textId="77777777" w:rsidTr="00320854">
        <w:trPr>
          <w:trHeight w:val="260"/>
        </w:trPr>
        <w:tc>
          <w:tcPr>
            <w:tcW w:w="3092" w:type="dxa"/>
            <w:tcBorders>
              <w:top w:val="nil"/>
              <w:left w:val="nil"/>
              <w:bottom w:val="nil"/>
              <w:right w:val="nil"/>
            </w:tcBorders>
          </w:tcPr>
          <w:p w14:paraId="5601F6F8"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LAFEE</w:t>
            </w:r>
          </w:p>
        </w:tc>
        <w:tc>
          <w:tcPr>
            <w:tcW w:w="2628" w:type="dxa"/>
            <w:tcBorders>
              <w:top w:val="nil"/>
              <w:left w:val="nil"/>
              <w:bottom w:val="nil"/>
              <w:right w:val="nil"/>
            </w:tcBorders>
          </w:tcPr>
          <w:p w14:paraId="246C6515"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-0.001</w:t>
            </w:r>
          </w:p>
        </w:tc>
        <w:tc>
          <w:tcPr>
            <w:tcW w:w="3141" w:type="dxa"/>
            <w:tcBorders>
              <w:top w:val="nil"/>
              <w:left w:val="nil"/>
              <w:bottom w:val="nil"/>
              <w:right w:val="nil"/>
            </w:tcBorders>
          </w:tcPr>
          <w:p w14:paraId="6D6E9A10"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-0.022</w:t>
            </w:r>
            <w:r w:rsidRPr="00F05B90">
              <w:rPr>
                <w:rFonts w:asciiTheme="majorBidi" w:hAnsiTheme="majorBidi" w:cstheme="majorBidi"/>
                <w:b/>
                <w:bCs/>
                <w:sz w:val="20"/>
                <w:szCs w:val="20"/>
                <w:vertAlign w:val="superscript"/>
              </w:rPr>
              <w:t>***</w:t>
            </w:r>
          </w:p>
        </w:tc>
      </w:tr>
      <w:tr w:rsidR="00F05B90" w:rsidRPr="00F05B90" w14:paraId="53D99F46" w14:textId="77777777" w:rsidTr="00320854">
        <w:trPr>
          <w:trHeight w:val="260"/>
        </w:trPr>
        <w:tc>
          <w:tcPr>
            <w:tcW w:w="3092" w:type="dxa"/>
            <w:tcBorders>
              <w:top w:val="nil"/>
              <w:left w:val="nil"/>
              <w:bottom w:val="nil"/>
              <w:right w:val="nil"/>
            </w:tcBorders>
          </w:tcPr>
          <w:p w14:paraId="2F5005DC"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2BFDA130"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(0.022)</w:t>
            </w:r>
          </w:p>
        </w:tc>
        <w:tc>
          <w:tcPr>
            <w:tcW w:w="3141" w:type="dxa"/>
            <w:tcBorders>
              <w:top w:val="nil"/>
              <w:left w:val="nil"/>
              <w:bottom w:val="nil"/>
              <w:right w:val="nil"/>
            </w:tcBorders>
          </w:tcPr>
          <w:p w14:paraId="3C1D873A"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(0.007)</w:t>
            </w:r>
          </w:p>
        </w:tc>
      </w:tr>
      <w:tr w:rsidR="00F05B90" w:rsidRPr="00F05B90" w14:paraId="66719A0B" w14:textId="77777777" w:rsidTr="00320854">
        <w:trPr>
          <w:trHeight w:val="277"/>
        </w:trPr>
        <w:tc>
          <w:tcPr>
            <w:tcW w:w="3092" w:type="dxa"/>
            <w:tcBorders>
              <w:top w:val="nil"/>
              <w:left w:val="nil"/>
              <w:bottom w:val="nil"/>
              <w:right w:val="nil"/>
            </w:tcBorders>
          </w:tcPr>
          <w:p w14:paraId="5EC02D26"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BIG4</w:t>
            </w:r>
          </w:p>
        </w:tc>
        <w:tc>
          <w:tcPr>
            <w:tcW w:w="2628" w:type="dxa"/>
            <w:tcBorders>
              <w:top w:val="nil"/>
              <w:left w:val="nil"/>
              <w:bottom w:val="nil"/>
              <w:right w:val="nil"/>
            </w:tcBorders>
          </w:tcPr>
          <w:p w14:paraId="0D90FA2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-0.321</w:t>
            </w:r>
          </w:p>
        </w:tc>
        <w:tc>
          <w:tcPr>
            <w:tcW w:w="3141" w:type="dxa"/>
            <w:tcBorders>
              <w:top w:val="nil"/>
              <w:left w:val="nil"/>
              <w:bottom w:val="nil"/>
              <w:right w:val="nil"/>
            </w:tcBorders>
          </w:tcPr>
          <w:p w14:paraId="0DD95A80"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-0.008</w:t>
            </w:r>
          </w:p>
        </w:tc>
      </w:tr>
      <w:tr w:rsidR="00F05B90" w:rsidRPr="00F05B90" w14:paraId="7ABBD8AF" w14:textId="77777777" w:rsidTr="00320854">
        <w:trPr>
          <w:trHeight w:val="260"/>
        </w:trPr>
        <w:tc>
          <w:tcPr>
            <w:tcW w:w="3092" w:type="dxa"/>
            <w:tcBorders>
              <w:top w:val="nil"/>
              <w:left w:val="nil"/>
              <w:bottom w:val="nil"/>
              <w:right w:val="nil"/>
            </w:tcBorders>
          </w:tcPr>
          <w:p w14:paraId="2F2F8505"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4D0ECF4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(0.232)</w:t>
            </w:r>
          </w:p>
        </w:tc>
        <w:tc>
          <w:tcPr>
            <w:tcW w:w="3141" w:type="dxa"/>
            <w:tcBorders>
              <w:top w:val="nil"/>
              <w:left w:val="nil"/>
              <w:bottom w:val="nil"/>
              <w:right w:val="nil"/>
            </w:tcBorders>
          </w:tcPr>
          <w:p w14:paraId="4C33CFE8"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(0.187)</w:t>
            </w:r>
          </w:p>
        </w:tc>
      </w:tr>
      <w:tr w:rsidR="00F05B90" w:rsidRPr="00F05B90" w14:paraId="0BE8E452" w14:textId="77777777" w:rsidTr="00320854">
        <w:trPr>
          <w:trHeight w:val="260"/>
        </w:trPr>
        <w:tc>
          <w:tcPr>
            <w:tcW w:w="3092" w:type="dxa"/>
            <w:tcBorders>
              <w:top w:val="nil"/>
              <w:left w:val="nil"/>
              <w:bottom w:val="nil"/>
              <w:right w:val="nil"/>
            </w:tcBorders>
          </w:tcPr>
          <w:p w14:paraId="1374B6E0"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ACIndep</w:t>
            </w:r>
          </w:p>
        </w:tc>
        <w:tc>
          <w:tcPr>
            <w:tcW w:w="2628" w:type="dxa"/>
            <w:tcBorders>
              <w:top w:val="nil"/>
              <w:left w:val="nil"/>
              <w:bottom w:val="nil"/>
              <w:right w:val="nil"/>
            </w:tcBorders>
          </w:tcPr>
          <w:p w14:paraId="7F98683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0.089</w:t>
            </w:r>
          </w:p>
        </w:tc>
        <w:tc>
          <w:tcPr>
            <w:tcW w:w="3141" w:type="dxa"/>
            <w:tcBorders>
              <w:top w:val="nil"/>
              <w:left w:val="nil"/>
              <w:bottom w:val="nil"/>
              <w:right w:val="nil"/>
            </w:tcBorders>
          </w:tcPr>
          <w:p w14:paraId="14E40D8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-0.174</w:t>
            </w:r>
          </w:p>
        </w:tc>
      </w:tr>
      <w:tr w:rsidR="00F05B90" w:rsidRPr="00F05B90" w14:paraId="305F94E5" w14:textId="77777777" w:rsidTr="00320854">
        <w:trPr>
          <w:trHeight w:val="277"/>
        </w:trPr>
        <w:tc>
          <w:tcPr>
            <w:tcW w:w="3092" w:type="dxa"/>
            <w:tcBorders>
              <w:top w:val="nil"/>
              <w:left w:val="nil"/>
              <w:bottom w:val="nil"/>
              <w:right w:val="nil"/>
            </w:tcBorders>
          </w:tcPr>
          <w:p w14:paraId="008BC834"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0D8C1F0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(0.868)</w:t>
            </w:r>
          </w:p>
        </w:tc>
        <w:tc>
          <w:tcPr>
            <w:tcW w:w="3141" w:type="dxa"/>
            <w:tcBorders>
              <w:top w:val="nil"/>
              <w:left w:val="nil"/>
              <w:bottom w:val="nil"/>
              <w:right w:val="nil"/>
            </w:tcBorders>
          </w:tcPr>
          <w:p w14:paraId="538F027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(0.588)</w:t>
            </w:r>
          </w:p>
        </w:tc>
      </w:tr>
      <w:tr w:rsidR="00F05B90" w:rsidRPr="00F05B90" w14:paraId="51AAE388" w14:textId="77777777" w:rsidTr="00320854">
        <w:trPr>
          <w:trHeight w:val="260"/>
        </w:trPr>
        <w:tc>
          <w:tcPr>
            <w:tcW w:w="3092" w:type="dxa"/>
            <w:tcBorders>
              <w:top w:val="nil"/>
              <w:left w:val="nil"/>
              <w:bottom w:val="nil"/>
              <w:right w:val="nil"/>
            </w:tcBorders>
          </w:tcPr>
          <w:p w14:paraId="5DDFF3C0"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BoDIndep</w:t>
            </w:r>
          </w:p>
        </w:tc>
        <w:tc>
          <w:tcPr>
            <w:tcW w:w="2628" w:type="dxa"/>
            <w:tcBorders>
              <w:top w:val="nil"/>
              <w:left w:val="nil"/>
              <w:bottom w:val="nil"/>
              <w:right w:val="nil"/>
            </w:tcBorders>
          </w:tcPr>
          <w:p w14:paraId="7396EF6E"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1.687</w:t>
            </w:r>
            <w:r w:rsidRPr="00F05B90">
              <w:rPr>
                <w:rFonts w:asciiTheme="majorBidi" w:hAnsiTheme="majorBidi" w:cstheme="majorBidi"/>
                <w:b/>
                <w:bCs/>
                <w:sz w:val="20"/>
                <w:szCs w:val="20"/>
                <w:vertAlign w:val="superscript"/>
              </w:rPr>
              <w:t>***</w:t>
            </w:r>
          </w:p>
        </w:tc>
        <w:tc>
          <w:tcPr>
            <w:tcW w:w="3141" w:type="dxa"/>
            <w:tcBorders>
              <w:top w:val="nil"/>
              <w:left w:val="nil"/>
              <w:bottom w:val="nil"/>
              <w:right w:val="nil"/>
            </w:tcBorders>
          </w:tcPr>
          <w:p w14:paraId="006C3145"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-0.456</w:t>
            </w:r>
            <w:r w:rsidRPr="00F05B90">
              <w:rPr>
                <w:rFonts w:asciiTheme="majorBidi" w:hAnsiTheme="majorBidi" w:cstheme="majorBidi"/>
                <w:b/>
                <w:bCs/>
                <w:sz w:val="20"/>
                <w:szCs w:val="20"/>
                <w:vertAlign w:val="superscript"/>
              </w:rPr>
              <w:t>**</w:t>
            </w:r>
          </w:p>
        </w:tc>
      </w:tr>
      <w:tr w:rsidR="00F05B90" w:rsidRPr="00F05B90" w14:paraId="5503187D" w14:textId="77777777" w:rsidTr="00320854">
        <w:trPr>
          <w:trHeight w:val="260"/>
        </w:trPr>
        <w:tc>
          <w:tcPr>
            <w:tcW w:w="3092" w:type="dxa"/>
            <w:tcBorders>
              <w:top w:val="nil"/>
              <w:left w:val="nil"/>
              <w:bottom w:val="nil"/>
              <w:right w:val="nil"/>
            </w:tcBorders>
          </w:tcPr>
          <w:p w14:paraId="23E7AC7B"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09D0A1FC"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(0.461)</w:t>
            </w:r>
          </w:p>
        </w:tc>
        <w:tc>
          <w:tcPr>
            <w:tcW w:w="3141" w:type="dxa"/>
            <w:tcBorders>
              <w:top w:val="nil"/>
              <w:left w:val="nil"/>
              <w:bottom w:val="nil"/>
              <w:right w:val="nil"/>
            </w:tcBorders>
          </w:tcPr>
          <w:p w14:paraId="23E2F5F9"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(0.201)</w:t>
            </w:r>
          </w:p>
        </w:tc>
      </w:tr>
      <w:tr w:rsidR="00F05B90" w:rsidRPr="00F05B90" w14:paraId="7E28D1DD" w14:textId="77777777" w:rsidTr="00320854">
        <w:trPr>
          <w:trHeight w:val="277"/>
        </w:trPr>
        <w:tc>
          <w:tcPr>
            <w:tcW w:w="3092" w:type="dxa"/>
            <w:tcBorders>
              <w:top w:val="nil"/>
              <w:left w:val="nil"/>
              <w:bottom w:val="nil"/>
              <w:right w:val="nil"/>
            </w:tcBorders>
          </w:tcPr>
          <w:p w14:paraId="72CF54BD"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 xml:space="preserve">Leverage </w:t>
            </w:r>
          </w:p>
        </w:tc>
        <w:tc>
          <w:tcPr>
            <w:tcW w:w="2628" w:type="dxa"/>
            <w:tcBorders>
              <w:top w:val="nil"/>
              <w:left w:val="nil"/>
              <w:bottom w:val="nil"/>
              <w:right w:val="nil"/>
            </w:tcBorders>
          </w:tcPr>
          <w:p w14:paraId="16F2D4F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-0.019</w:t>
            </w:r>
          </w:p>
        </w:tc>
        <w:tc>
          <w:tcPr>
            <w:tcW w:w="3141" w:type="dxa"/>
            <w:tcBorders>
              <w:top w:val="nil"/>
              <w:left w:val="nil"/>
              <w:bottom w:val="nil"/>
              <w:right w:val="nil"/>
            </w:tcBorders>
          </w:tcPr>
          <w:p w14:paraId="7CE1D156"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-0.002</w:t>
            </w:r>
          </w:p>
        </w:tc>
      </w:tr>
      <w:tr w:rsidR="00F05B90" w:rsidRPr="00F05B90" w14:paraId="75964005" w14:textId="77777777" w:rsidTr="00320854">
        <w:trPr>
          <w:trHeight w:val="260"/>
        </w:trPr>
        <w:tc>
          <w:tcPr>
            <w:tcW w:w="3092" w:type="dxa"/>
            <w:tcBorders>
              <w:top w:val="nil"/>
              <w:left w:val="nil"/>
              <w:bottom w:val="nil"/>
              <w:right w:val="nil"/>
            </w:tcBorders>
          </w:tcPr>
          <w:p w14:paraId="7F0814C6"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7411FC1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(0.015)</w:t>
            </w:r>
          </w:p>
        </w:tc>
        <w:tc>
          <w:tcPr>
            <w:tcW w:w="3141" w:type="dxa"/>
            <w:tcBorders>
              <w:top w:val="nil"/>
              <w:left w:val="nil"/>
              <w:bottom w:val="nil"/>
              <w:right w:val="nil"/>
            </w:tcBorders>
          </w:tcPr>
          <w:p w14:paraId="7102056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(0.005)</w:t>
            </w:r>
          </w:p>
        </w:tc>
      </w:tr>
      <w:tr w:rsidR="00F05B90" w:rsidRPr="00F05B90" w14:paraId="1BEB08CD" w14:textId="77777777" w:rsidTr="00320854">
        <w:trPr>
          <w:trHeight w:val="260"/>
        </w:trPr>
        <w:tc>
          <w:tcPr>
            <w:tcW w:w="3092" w:type="dxa"/>
            <w:tcBorders>
              <w:top w:val="nil"/>
              <w:left w:val="nil"/>
              <w:bottom w:val="nil"/>
              <w:right w:val="nil"/>
            </w:tcBorders>
          </w:tcPr>
          <w:p w14:paraId="2022E68C"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LOSS</w:t>
            </w:r>
          </w:p>
        </w:tc>
        <w:tc>
          <w:tcPr>
            <w:tcW w:w="2628" w:type="dxa"/>
            <w:tcBorders>
              <w:top w:val="nil"/>
              <w:left w:val="nil"/>
              <w:bottom w:val="nil"/>
              <w:right w:val="nil"/>
            </w:tcBorders>
          </w:tcPr>
          <w:p w14:paraId="75F33D88"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0.179</w:t>
            </w:r>
          </w:p>
        </w:tc>
        <w:tc>
          <w:tcPr>
            <w:tcW w:w="3141" w:type="dxa"/>
            <w:tcBorders>
              <w:top w:val="nil"/>
              <w:left w:val="nil"/>
              <w:bottom w:val="nil"/>
              <w:right w:val="nil"/>
            </w:tcBorders>
          </w:tcPr>
          <w:p w14:paraId="0F8C7ED9"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0.315</w:t>
            </w:r>
            <w:r w:rsidRPr="00F05B90">
              <w:rPr>
                <w:rFonts w:asciiTheme="majorBidi" w:hAnsiTheme="majorBidi" w:cstheme="majorBidi"/>
                <w:b/>
                <w:bCs/>
                <w:sz w:val="20"/>
                <w:szCs w:val="20"/>
                <w:vertAlign w:val="superscript"/>
              </w:rPr>
              <w:t>***</w:t>
            </w:r>
          </w:p>
        </w:tc>
      </w:tr>
      <w:tr w:rsidR="00F05B90" w:rsidRPr="00F05B90" w14:paraId="70D57DDA" w14:textId="77777777" w:rsidTr="00320854">
        <w:trPr>
          <w:trHeight w:val="277"/>
        </w:trPr>
        <w:tc>
          <w:tcPr>
            <w:tcW w:w="3092" w:type="dxa"/>
            <w:tcBorders>
              <w:top w:val="nil"/>
              <w:left w:val="nil"/>
              <w:bottom w:val="nil"/>
              <w:right w:val="nil"/>
            </w:tcBorders>
          </w:tcPr>
          <w:p w14:paraId="22BD5C44"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55897498"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(0.180)</w:t>
            </w:r>
          </w:p>
        </w:tc>
        <w:tc>
          <w:tcPr>
            <w:tcW w:w="3141" w:type="dxa"/>
            <w:tcBorders>
              <w:top w:val="nil"/>
              <w:left w:val="nil"/>
              <w:bottom w:val="nil"/>
              <w:right w:val="nil"/>
            </w:tcBorders>
          </w:tcPr>
          <w:p w14:paraId="154AC789"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(0.074)</w:t>
            </w:r>
          </w:p>
        </w:tc>
      </w:tr>
      <w:tr w:rsidR="00F05B90" w:rsidRPr="00F05B90" w14:paraId="6D38DB95" w14:textId="77777777" w:rsidTr="00320854">
        <w:trPr>
          <w:trHeight w:val="260"/>
        </w:trPr>
        <w:tc>
          <w:tcPr>
            <w:tcW w:w="3092" w:type="dxa"/>
            <w:tcBorders>
              <w:top w:val="nil"/>
              <w:left w:val="nil"/>
              <w:bottom w:val="nil"/>
              <w:right w:val="nil"/>
            </w:tcBorders>
          </w:tcPr>
          <w:p w14:paraId="4949FF0B"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CurrentR</w:t>
            </w:r>
          </w:p>
        </w:tc>
        <w:tc>
          <w:tcPr>
            <w:tcW w:w="2628" w:type="dxa"/>
            <w:tcBorders>
              <w:top w:val="nil"/>
              <w:left w:val="nil"/>
              <w:bottom w:val="nil"/>
              <w:right w:val="nil"/>
            </w:tcBorders>
          </w:tcPr>
          <w:p w14:paraId="36CA23BC"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-0.153</w:t>
            </w:r>
            <w:r w:rsidRPr="00F05B90">
              <w:rPr>
                <w:rFonts w:asciiTheme="majorBidi" w:hAnsiTheme="majorBidi" w:cstheme="majorBidi"/>
                <w:b/>
                <w:bCs/>
                <w:sz w:val="20"/>
                <w:szCs w:val="20"/>
                <w:vertAlign w:val="superscript"/>
              </w:rPr>
              <w:t>***</w:t>
            </w:r>
          </w:p>
        </w:tc>
        <w:tc>
          <w:tcPr>
            <w:tcW w:w="3141" w:type="dxa"/>
            <w:tcBorders>
              <w:top w:val="nil"/>
              <w:left w:val="nil"/>
              <w:bottom w:val="nil"/>
              <w:right w:val="nil"/>
            </w:tcBorders>
          </w:tcPr>
          <w:p w14:paraId="03C9BBD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-0.020</w:t>
            </w:r>
          </w:p>
        </w:tc>
      </w:tr>
      <w:tr w:rsidR="00F05B90" w:rsidRPr="00F05B90" w14:paraId="28055100" w14:textId="77777777" w:rsidTr="00320854">
        <w:trPr>
          <w:trHeight w:val="260"/>
        </w:trPr>
        <w:tc>
          <w:tcPr>
            <w:tcW w:w="3092" w:type="dxa"/>
            <w:tcBorders>
              <w:top w:val="nil"/>
              <w:left w:val="nil"/>
              <w:bottom w:val="nil"/>
              <w:right w:val="nil"/>
            </w:tcBorders>
          </w:tcPr>
          <w:p w14:paraId="394CDC37"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54A8F1D6"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(0.059)</w:t>
            </w:r>
          </w:p>
        </w:tc>
        <w:tc>
          <w:tcPr>
            <w:tcW w:w="3141" w:type="dxa"/>
            <w:tcBorders>
              <w:top w:val="nil"/>
              <w:left w:val="nil"/>
              <w:bottom w:val="nil"/>
              <w:right w:val="nil"/>
            </w:tcBorders>
          </w:tcPr>
          <w:p w14:paraId="70527FF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(0.030)</w:t>
            </w:r>
          </w:p>
        </w:tc>
      </w:tr>
      <w:tr w:rsidR="00F05B90" w:rsidRPr="00F05B90" w14:paraId="376132E3" w14:textId="77777777" w:rsidTr="00320854">
        <w:trPr>
          <w:trHeight w:val="277"/>
        </w:trPr>
        <w:tc>
          <w:tcPr>
            <w:tcW w:w="3092" w:type="dxa"/>
            <w:tcBorders>
              <w:top w:val="nil"/>
              <w:left w:val="nil"/>
              <w:bottom w:val="nil"/>
              <w:right w:val="nil"/>
            </w:tcBorders>
          </w:tcPr>
          <w:p w14:paraId="6F012E1C"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ROA</w:t>
            </w:r>
          </w:p>
        </w:tc>
        <w:tc>
          <w:tcPr>
            <w:tcW w:w="2628" w:type="dxa"/>
            <w:tcBorders>
              <w:top w:val="nil"/>
              <w:left w:val="nil"/>
              <w:bottom w:val="nil"/>
              <w:right w:val="nil"/>
            </w:tcBorders>
          </w:tcPr>
          <w:p w14:paraId="1B52E275"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-0.027</w:t>
            </w:r>
            <w:r w:rsidRPr="00F05B90">
              <w:rPr>
                <w:rFonts w:asciiTheme="majorBidi" w:hAnsiTheme="majorBidi" w:cstheme="majorBidi"/>
                <w:b/>
                <w:bCs/>
                <w:sz w:val="20"/>
                <w:szCs w:val="20"/>
                <w:vertAlign w:val="superscript"/>
              </w:rPr>
              <w:t>***</w:t>
            </w:r>
          </w:p>
        </w:tc>
        <w:tc>
          <w:tcPr>
            <w:tcW w:w="3141" w:type="dxa"/>
            <w:tcBorders>
              <w:top w:val="nil"/>
              <w:left w:val="nil"/>
              <w:bottom w:val="nil"/>
              <w:right w:val="nil"/>
            </w:tcBorders>
          </w:tcPr>
          <w:p w14:paraId="55C666C3"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0.038</w:t>
            </w:r>
            <w:r w:rsidRPr="00F05B90">
              <w:rPr>
                <w:rFonts w:asciiTheme="majorBidi" w:hAnsiTheme="majorBidi" w:cstheme="majorBidi"/>
                <w:b/>
                <w:bCs/>
                <w:sz w:val="20"/>
                <w:szCs w:val="20"/>
                <w:vertAlign w:val="superscript"/>
              </w:rPr>
              <w:t>***</w:t>
            </w:r>
          </w:p>
        </w:tc>
      </w:tr>
      <w:tr w:rsidR="00F05B90" w:rsidRPr="00F05B90" w14:paraId="72326D7E" w14:textId="77777777" w:rsidTr="00320854">
        <w:trPr>
          <w:trHeight w:val="260"/>
        </w:trPr>
        <w:tc>
          <w:tcPr>
            <w:tcW w:w="3092" w:type="dxa"/>
            <w:tcBorders>
              <w:top w:val="nil"/>
              <w:left w:val="nil"/>
              <w:bottom w:val="nil"/>
              <w:right w:val="nil"/>
            </w:tcBorders>
          </w:tcPr>
          <w:p w14:paraId="26EA0575"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7AE02EEB"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(0.006)</w:t>
            </w:r>
          </w:p>
        </w:tc>
        <w:tc>
          <w:tcPr>
            <w:tcW w:w="3141" w:type="dxa"/>
            <w:tcBorders>
              <w:top w:val="nil"/>
              <w:left w:val="nil"/>
              <w:bottom w:val="nil"/>
              <w:right w:val="nil"/>
            </w:tcBorders>
          </w:tcPr>
          <w:p w14:paraId="0574F046"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(0.005)</w:t>
            </w:r>
          </w:p>
        </w:tc>
      </w:tr>
      <w:tr w:rsidR="00F05B90" w:rsidRPr="00F05B90" w14:paraId="278CEDE1" w14:textId="77777777" w:rsidTr="00320854">
        <w:trPr>
          <w:trHeight w:val="260"/>
        </w:trPr>
        <w:tc>
          <w:tcPr>
            <w:tcW w:w="3092" w:type="dxa"/>
            <w:tcBorders>
              <w:top w:val="nil"/>
              <w:left w:val="nil"/>
              <w:bottom w:val="nil"/>
              <w:right w:val="nil"/>
            </w:tcBorders>
          </w:tcPr>
          <w:p w14:paraId="139F603B"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Employees</w:t>
            </w:r>
          </w:p>
        </w:tc>
        <w:tc>
          <w:tcPr>
            <w:tcW w:w="2628" w:type="dxa"/>
            <w:tcBorders>
              <w:top w:val="nil"/>
              <w:left w:val="nil"/>
              <w:bottom w:val="nil"/>
              <w:right w:val="nil"/>
            </w:tcBorders>
          </w:tcPr>
          <w:p w14:paraId="643B68CF"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0.000</w:t>
            </w:r>
            <w:r w:rsidRPr="00F05B90">
              <w:rPr>
                <w:rFonts w:asciiTheme="majorBidi" w:hAnsiTheme="majorBidi" w:cstheme="majorBidi"/>
                <w:b/>
                <w:bCs/>
                <w:sz w:val="20"/>
                <w:szCs w:val="20"/>
                <w:vertAlign w:val="superscript"/>
              </w:rPr>
              <w:t>***</w:t>
            </w:r>
          </w:p>
        </w:tc>
        <w:tc>
          <w:tcPr>
            <w:tcW w:w="3141" w:type="dxa"/>
            <w:tcBorders>
              <w:top w:val="nil"/>
              <w:left w:val="nil"/>
              <w:bottom w:val="nil"/>
              <w:right w:val="nil"/>
            </w:tcBorders>
          </w:tcPr>
          <w:p w14:paraId="5630C1F0"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-0.000</w:t>
            </w:r>
            <w:r w:rsidRPr="00F05B90">
              <w:rPr>
                <w:rFonts w:asciiTheme="majorBidi" w:hAnsiTheme="majorBidi" w:cstheme="majorBidi"/>
                <w:b/>
                <w:bCs/>
                <w:sz w:val="20"/>
                <w:szCs w:val="20"/>
                <w:vertAlign w:val="superscript"/>
              </w:rPr>
              <w:t>***</w:t>
            </w:r>
          </w:p>
        </w:tc>
      </w:tr>
      <w:tr w:rsidR="00F05B90" w:rsidRPr="00F05B90" w14:paraId="7D45C4AC" w14:textId="77777777" w:rsidTr="00320854">
        <w:trPr>
          <w:trHeight w:val="277"/>
        </w:trPr>
        <w:tc>
          <w:tcPr>
            <w:tcW w:w="3092" w:type="dxa"/>
            <w:tcBorders>
              <w:top w:val="nil"/>
              <w:left w:val="nil"/>
              <w:bottom w:val="nil"/>
              <w:right w:val="nil"/>
            </w:tcBorders>
          </w:tcPr>
          <w:p w14:paraId="648E9479"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4CE2C797"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(0.000)</w:t>
            </w:r>
          </w:p>
        </w:tc>
        <w:tc>
          <w:tcPr>
            <w:tcW w:w="3141" w:type="dxa"/>
            <w:tcBorders>
              <w:top w:val="nil"/>
              <w:left w:val="nil"/>
              <w:bottom w:val="nil"/>
              <w:right w:val="nil"/>
            </w:tcBorders>
          </w:tcPr>
          <w:p w14:paraId="330FB955"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(0.000)</w:t>
            </w:r>
          </w:p>
        </w:tc>
      </w:tr>
      <w:tr w:rsidR="00F05B90" w:rsidRPr="00F05B90" w14:paraId="1F3A731B" w14:textId="77777777" w:rsidTr="00320854">
        <w:trPr>
          <w:trHeight w:val="260"/>
        </w:trPr>
        <w:tc>
          <w:tcPr>
            <w:tcW w:w="3092" w:type="dxa"/>
            <w:tcBorders>
              <w:top w:val="nil"/>
              <w:left w:val="nil"/>
              <w:bottom w:val="nil"/>
              <w:right w:val="nil"/>
            </w:tcBorders>
          </w:tcPr>
          <w:p w14:paraId="7896EFAB"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CEOR</w:t>
            </w:r>
          </w:p>
        </w:tc>
        <w:tc>
          <w:tcPr>
            <w:tcW w:w="2628" w:type="dxa"/>
            <w:tcBorders>
              <w:top w:val="nil"/>
              <w:left w:val="nil"/>
              <w:bottom w:val="nil"/>
              <w:right w:val="nil"/>
            </w:tcBorders>
          </w:tcPr>
          <w:p w14:paraId="5175769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-0.000</w:t>
            </w:r>
          </w:p>
        </w:tc>
        <w:tc>
          <w:tcPr>
            <w:tcW w:w="3141" w:type="dxa"/>
            <w:tcBorders>
              <w:top w:val="nil"/>
              <w:left w:val="nil"/>
              <w:bottom w:val="nil"/>
              <w:right w:val="nil"/>
            </w:tcBorders>
          </w:tcPr>
          <w:p w14:paraId="22548336"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-0.012</w:t>
            </w:r>
            <w:r w:rsidRPr="00F05B90">
              <w:rPr>
                <w:rFonts w:asciiTheme="majorBidi" w:hAnsiTheme="majorBidi" w:cstheme="majorBidi"/>
                <w:b/>
                <w:bCs/>
                <w:sz w:val="20"/>
                <w:szCs w:val="20"/>
                <w:vertAlign w:val="superscript"/>
              </w:rPr>
              <w:t>**</w:t>
            </w:r>
          </w:p>
        </w:tc>
      </w:tr>
      <w:tr w:rsidR="00F05B90" w:rsidRPr="00F05B90" w14:paraId="0C15050F" w14:textId="77777777" w:rsidTr="00320854">
        <w:trPr>
          <w:trHeight w:val="260"/>
        </w:trPr>
        <w:tc>
          <w:tcPr>
            <w:tcW w:w="3092" w:type="dxa"/>
            <w:tcBorders>
              <w:top w:val="nil"/>
              <w:left w:val="nil"/>
              <w:bottom w:val="nil"/>
              <w:right w:val="nil"/>
            </w:tcBorders>
          </w:tcPr>
          <w:p w14:paraId="205E8709"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656F2EE5"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(0.012)</w:t>
            </w:r>
          </w:p>
        </w:tc>
        <w:tc>
          <w:tcPr>
            <w:tcW w:w="3141" w:type="dxa"/>
            <w:tcBorders>
              <w:top w:val="nil"/>
              <w:left w:val="nil"/>
              <w:bottom w:val="nil"/>
              <w:right w:val="nil"/>
            </w:tcBorders>
          </w:tcPr>
          <w:p w14:paraId="75670418"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(0.006)</w:t>
            </w:r>
          </w:p>
        </w:tc>
      </w:tr>
      <w:tr w:rsidR="00F05B90" w:rsidRPr="00F05B90" w14:paraId="77D71A07" w14:textId="77777777" w:rsidTr="00320854">
        <w:trPr>
          <w:trHeight w:val="277"/>
        </w:trPr>
        <w:tc>
          <w:tcPr>
            <w:tcW w:w="3092" w:type="dxa"/>
            <w:tcBorders>
              <w:top w:val="nil"/>
              <w:left w:val="nil"/>
              <w:bottom w:val="nil"/>
              <w:right w:val="nil"/>
            </w:tcBorders>
          </w:tcPr>
          <w:p w14:paraId="1D6FB923"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CEOGender</w:t>
            </w:r>
          </w:p>
        </w:tc>
        <w:tc>
          <w:tcPr>
            <w:tcW w:w="2628" w:type="dxa"/>
            <w:tcBorders>
              <w:top w:val="nil"/>
              <w:left w:val="nil"/>
              <w:bottom w:val="nil"/>
              <w:right w:val="nil"/>
            </w:tcBorders>
          </w:tcPr>
          <w:p w14:paraId="621E3F64"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-0.110</w:t>
            </w:r>
          </w:p>
        </w:tc>
        <w:tc>
          <w:tcPr>
            <w:tcW w:w="3141" w:type="dxa"/>
            <w:tcBorders>
              <w:top w:val="nil"/>
              <w:left w:val="nil"/>
              <w:bottom w:val="nil"/>
              <w:right w:val="nil"/>
            </w:tcBorders>
          </w:tcPr>
          <w:p w14:paraId="3D72CAB3"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-0.138</w:t>
            </w:r>
            <w:r w:rsidRPr="00F05B90">
              <w:rPr>
                <w:rFonts w:asciiTheme="majorBidi" w:hAnsiTheme="majorBidi" w:cstheme="majorBidi"/>
                <w:b/>
                <w:bCs/>
                <w:sz w:val="20"/>
                <w:szCs w:val="20"/>
                <w:vertAlign w:val="superscript"/>
              </w:rPr>
              <w:t>**</w:t>
            </w:r>
          </w:p>
        </w:tc>
      </w:tr>
      <w:tr w:rsidR="00F05B90" w:rsidRPr="00F05B90" w14:paraId="628687CF" w14:textId="77777777" w:rsidTr="00320854">
        <w:trPr>
          <w:trHeight w:val="260"/>
        </w:trPr>
        <w:tc>
          <w:tcPr>
            <w:tcW w:w="3092" w:type="dxa"/>
            <w:tcBorders>
              <w:top w:val="nil"/>
              <w:left w:val="nil"/>
              <w:bottom w:val="nil"/>
              <w:right w:val="nil"/>
            </w:tcBorders>
          </w:tcPr>
          <w:p w14:paraId="120E790E"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5046C0F6"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(0.161)</w:t>
            </w:r>
          </w:p>
        </w:tc>
        <w:tc>
          <w:tcPr>
            <w:tcW w:w="3141" w:type="dxa"/>
            <w:tcBorders>
              <w:top w:val="nil"/>
              <w:left w:val="nil"/>
              <w:bottom w:val="nil"/>
              <w:right w:val="nil"/>
            </w:tcBorders>
          </w:tcPr>
          <w:p w14:paraId="45658405"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(0.063)</w:t>
            </w:r>
          </w:p>
        </w:tc>
      </w:tr>
      <w:tr w:rsidR="00F05B90" w:rsidRPr="00F05B90" w14:paraId="772AEE12" w14:textId="77777777" w:rsidTr="00320854">
        <w:trPr>
          <w:trHeight w:val="260"/>
        </w:trPr>
        <w:tc>
          <w:tcPr>
            <w:tcW w:w="3092" w:type="dxa"/>
            <w:tcBorders>
              <w:top w:val="nil"/>
              <w:left w:val="nil"/>
              <w:bottom w:val="nil"/>
              <w:right w:val="nil"/>
            </w:tcBorders>
          </w:tcPr>
          <w:p w14:paraId="5E1501CA"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Retire</w:t>
            </w:r>
          </w:p>
        </w:tc>
        <w:tc>
          <w:tcPr>
            <w:tcW w:w="2628" w:type="dxa"/>
            <w:tcBorders>
              <w:top w:val="nil"/>
              <w:left w:val="nil"/>
              <w:bottom w:val="nil"/>
              <w:right w:val="nil"/>
            </w:tcBorders>
          </w:tcPr>
          <w:p w14:paraId="66F28A4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0.203</w:t>
            </w:r>
          </w:p>
        </w:tc>
        <w:tc>
          <w:tcPr>
            <w:tcW w:w="3141" w:type="dxa"/>
            <w:tcBorders>
              <w:top w:val="nil"/>
              <w:left w:val="nil"/>
              <w:bottom w:val="nil"/>
              <w:right w:val="nil"/>
            </w:tcBorders>
          </w:tcPr>
          <w:p w14:paraId="01B0D012"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-0.074</w:t>
            </w:r>
            <w:r w:rsidRPr="00F05B90">
              <w:rPr>
                <w:rFonts w:asciiTheme="majorBidi" w:hAnsiTheme="majorBidi" w:cstheme="majorBidi"/>
                <w:b/>
                <w:bCs/>
                <w:sz w:val="20"/>
                <w:szCs w:val="20"/>
                <w:vertAlign w:val="superscript"/>
              </w:rPr>
              <w:t>*</w:t>
            </w:r>
          </w:p>
        </w:tc>
      </w:tr>
      <w:tr w:rsidR="00F05B90" w:rsidRPr="00F05B90" w14:paraId="4400FD2D" w14:textId="77777777" w:rsidTr="00320854">
        <w:trPr>
          <w:trHeight w:val="277"/>
        </w:trPr>
        <w:tc>
          <w:tcPr>
            <w:tcW w:w="3092" w:type="dxa"/>
            <w:tcBorders>
              <w:top w:val="nil"/>
              <w:left w:val="nil"/>
              <w:bottom w:val="nil"/>
              <w:right w:val="nil"/>
            </w:tcBorders>
          </w:tcPr>
          <w:p w14:paraId="44FC16D6"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1604E8A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(0.175)</w:t>
            </w:r>
          </w:p>
        </w:tc>
        <w:tc>
          <w:tcPr>
            <w:tcW w:w="3141" w:type="dxa"/>
            <w:tcBorders>
              <w:top w:val="nil"/>
              <w:left w:val="nil"/>
              <w:bottom w:val="nil"/>
              <w:right w:val="nil"/>
            </w:tcBorders>
          </w:tcPr>
          <w:p w14:paraId="555F4C5A"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(0.040)</w:t>
            </w:r>
          </w:p>
        </w:tc>
      </w:tr>
      <w:tr w:rsidR="00F05B90" w:rsidRPr="00F05B90" w14:paraId="2189C5D1" w14:textId="77777777" w:rsidTr="00320854">
        <w:trPr>
          <w:trHeight w:val="260"/>
        </w:trPr>
        <w:tc>
          <w:tcPr>
            <w:tcW w:w="3092" w:type="dxa"/>
            <w:tcBorders>
              <w:top w:val="nil"/>
              <w:left w:val="nil"/>
              <w:bottom w:val="nil"/>
              <w:right w:val="nil"/>
            </w:tcBorders>
          </w:tcPr>
          <w:p w14:paraId="74FD7113"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Insider</w:t>
            </w:r>
          </w:p>
        </w:tc>
        <w:tc>
          <w:tcPr>
            <w:tcW w:w="2628" w:type="dxa"/>
            <w:tcBorders>
              <w:top w:val="nil"/>
              <w:left w:val="nil"/>
              <w:bottom w:val="nil"/>
              <w:right w:val="nil"/>
            </w:tcBorders>
          </w:tcPr>
          <w:p w14:paraId="39E7DBEA"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0.134</w:t>
            </w:r>
          </w:p>
        </w:tc>
        <w:tc>
          <w:tcPr>
            <w:tcW w:w="3141" w:type="dxa"/>
            <w:tcBorders>
              <w:top w:val="nil"/>
              <w:left w:val="nil"/>
              <w:bottom w:val="nil"/>
              <w:right w:val="nil"/>
            </w:tcBorders>
          </w:tcPr>
          <w:p w14:paraId="0EEC7D26"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0.020</w:t>
            </w:r>
          </w:p>
        </w:tc>
      </w:tr>
      <w:tr w:rsidR="00F05B90" w:rsidRPr="00F05B90" w14:paraId="33D59EC9" w14:textId="77777777" w:rsidTr="00320854">
        <w:trPr>
          <w:trHeight w:val="260"/>
        </w:trPr>
        <w:tc>
          <w:tcPr>
            <w:tcW w:w="3092" w:type="dxa"/>
            <w:tcBorders>
              <w:top w:val="nil"/>
              <w:left w:val="nil"/>
              <w:bottom w:val="nil"/>
              <w:right w:val="nil"/>
            </w:tcBorders>
          </w:tcPr>
          <w:p w14:paraId="3D76A071"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nil"/>
              <w:right w:val="nil"/>
            </w:tcBorders>
          </w:tcPr>
          <w:p w14:paraId="0AF5EDC4"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(0.097)</w:t>
            </w:r>
          </w:p>
        </w:tc>
        <w:tc>
          <w:tcPr>
            <w:tcW w:w="3141" w:type="dxa"/>
            <w:tcBorders>
              <w:top w:val="nil"/>
              <w:left w:val="nil"/>
              <w:bottom w:val="nil"/>
              <w:right w:val="nil"/>
            </w:tcBorders>
          </w:tcPr>
          <w:p w14:paraId="17AF1C19"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(0.039)</w:t>
            </w:r>
          </w:p>
        </w:tc>
      </w:tr>
      <w:tr w:rsidR="00F05B90" w:rsidRPr="00F05B90" w14:paraId="79C8D08C" w14:textId="77777777" w:rsidTr="00320854">
        <w:trPr>
          <w:trHeight w:val="277"/>
        </w:trPr>
        <w:tc>
          <w:tcPr>
            <w:tcW w:w="3092" w:type="dxa"/>
            <w:tcBorders>
              <w:top w:val="nil"/>
              <w:left w:val="nil"/>
              <w:bottom w:val="nil"/>
              <w:right w:val="nil"/>
            </w:tcBorders>
          </w:tcPr>
          <w:p w14:paraId="2539453C"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_cons</w:t>
            </w:r>
          </w:p>
        </w:tc>
        <w:tc>
          <w:tcPr>
            <w:tcW w:w="2628" w:type="dxa"/>
            <w:tcBorders>
              <w:top w:val="nil"/>
              <w:left w:val="nil"/>
              <w:bottom w:val="nil"/>
              <w:right w:val="nil"/>
            </w:tcBorders>
          </w:tcPr>
          <w:p w14:paraId="2121DBD3"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4.617</w:t>
            </w:r>
            <w:r w:rsidRPr="00F05B90">
              <w:rPr>
                <w:rFonts w:asciiTheme="majorBidi" w:hAnsiTheme="majorBidi" w:cstheme="majorBidi"/>
                <w:b/>
                <w:bCs/>
                <w:sz w:val="20"/>
                <w:szCs w:val="20"/>
                <w:vertAlign w:val="superscript"/>
              </w:rPr>
              <w:t>***</w:t>
            </w:r>
          </w:p>
        </w:tc>
        <w:tc>
          <w:tcPr>
            <w:tcW w:w="3141" w:type="dxa"/>
            <w:tcBorders>
              <w:top w:val="nil"/>
              <w:left w:val="nil"/>
              <w:bottom w:val="nil"/>
              <w:right w:val="nil"/>
            </w:tcBorders>
          </w:tcPr>
          <w:p w14:paraId="2AFAFD01"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0.767</w:t>
            </w:r>
          </w:p>
        </w:tc>
      </w:tr>
      <w:tr w:rsidR="00F05B90" w:rsidRPr="00F05B90" w14:paraId="6D403FA4" w14:textId="77777777" w:rsidTr="00320854">
        <w:trPr>
          <w:trHeight w:val="260"/>
        </w:trPr>
        <w:tc>
          <w:tcPr>
            <w:tcW w:w="3092" w:type="dxa"/>
            <w:tcBorders>
              <w:top w:val="nil"/>
              <w:left w:val="nil"/>
              <w:bottom w:val="single" w:sz="12" w:space="0" w:color="auto"/>
              <w:right w:val="nil"/>
            </w:tcBorders>
          </w:tcPr>
          <w:p w14:paraId="27F58C1D"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p>
        </w:tc>
        <w:tc>
          <w:tcPr>
            <w:tcW w:w="2628" w:type="dxa"/>
            <w:tcBorders>
              <w:top w:val="nil"/>
              <w:left w:val="nil"/>
              <w:bottom w:val="single" w:sz="12" w:space="0" w:color="auto"/>
              <w:right w:val="nil"/>
            </w:tcBorders>
          </w:tcPr>
          <w:p w14:paraId="120CF4C0" w14:textId="77777777" w:rsidR="00817718" w:rsidRPr="00F05B90" w:rsidRDefault="00817718" w:rsidP="00320854">
            <w:pPr>
              <w:widowControl w:val="0"/>
              <w:autoSpaceDE w:val="0"/>
              <w:autoSpaceDN w:val="0"/>
              <w:adjustRightInd w:val="0"/>
              <w:jc w:val="center"/>
              <w:rPr>
                <w:rFonts w:asciiTheme="majorBidi" w:hAnsiTheme="majorBidi" w:cstheme="majorBidi"/>
                <w:b/>
                <w:bCs/>
                <w:sz w:val="20"/>
                <w:szCs w:val="20"/>
              </w:rPr>
            </w:pPr>
            <w:r w:rsidRPr="00F05B90">
              <w:rPr>
                <w:rFonts w:asciiTheme="majorBidi" w:hAnsiTheme="majorBidi" w:cstheme="majorBidi"/>
                <w:b/>
                <w:bCs/>
                <w:sz w:val="20"/>
                <w:szCs w:val="20"/>
              </w:rPr>
              <w:t>(0.900)</w:t>
            </w:r>
          </w:p>
        </w:tc>
        <w:tc>
          <w:tcPr>
            <w:tcW w:w="3141" w:type="dxa"/>
            <w:tcBorders>
              <w:top w:val="nil"/>
              <w:left w:val="nil"/>
              <w:bottom w:val="single" w:sz="12" w:space="0" w:color="auto"/>
              <w:right w:val="nil"/>
            </w:tcBorders>
          </w:tcPr>
          <w:p w14:paraId="161636C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(0.734)</w:t>
            </w:r>
          </w:p>
        </w:tc>
      </w:tr>
      <w:tr w:rsidR="00F05B90" w:rsidRPr="00F05B90" w14:paraId="717B8E93" w14:textId="77777777" w:rsidTr="00320854">
        <w:trPr>
          <w:trHeight w:val="260"/>
        </w:trPr>
        <w:tc>
          <w:tcPr>
            <w:tcW w:w="3092" w:type="dxa"/>
            <w:tcBorders>
              <w:top w:val="single" w:sz="12" w:space="0" w:color="auto"/>
              <w:left w:val="nil"/>
              <w:bottom w:val="nil"/>
              <w:right w:val="nil"/>
            </w:tcBorders>
          </w:tcPr>
          <w:p w14:paraId="54D65E21"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i/>
                <w:iCs/>
                <w:sz w:val="20"/>
                <w:szCs w:val="20"/>
              </w:rPr>
              <w:t>Year FE</w:t>
            </w:r>
          </w:p>
        </w:tc>
        <w:tc>
          <w:tcPr>
            <w:tcW w:w="2628" w:type="dxa"/>
            <w:tcBorders>
              <w:top w:val="single" w:sz="12" w:space="0" w:color="auto"/>
              <w:left w:val="nil"/>
              <w:bottom w:val="nil"/>
              <w:right w:val="nil"/>
            </w:tcBorders>
          </w:tcPr>
          <w:p w14:paraId="3EE5F307"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 xml:space="preserve">Yes </w:t>
            </w:r>
          </w:p>
        </w:tc>
        <w:tc>
          <w:tcPr>
            <w:tcW w:w="3141" w:type="dxa"/>
            <w:tcBorders>
              <w:top w:val="single" w:sz="12" w:space="0" w:color="auto"/>
              <w:left w:val="nil"/>
              <w:bottom w:val="nil"/>
              <w:right w:val="nil"/>
            </w:tcBorders>
          </w:tcPr>
          <w:p w14:paraId="16A9219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 xml:space="preserve">Yes </w:t>
            </w:r>
          </w:p>
        </w:tc>
      </w:tr>
      <w:tr w:rsidR="00F05B90" w:rsidRPr="00F05B90" w14:paraId="6933E891" w14:textId="77777777" w:rsidTr="00320854">
        <w:trPr>
          <w:trHeight w:val="277"/>
        </w:trPr>
        <w:tc>
          <w:tcPr>
            <w:tcW w:w="3092" w:type="dxa"/>
            <w:tcBorders>
              <w:top w:val="nil"/>
              <w:left w:val="nil"/>
              <w:bottom w:val="nil"/>
              <w:right w:val="nil"/>
            </w:tcBorders>
          </w:tcPr>
          <w:p w14:paraId="2C1997FD"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i/>
                <w:iCs/>
                <w:sz w:val="20"/>
                <w:szCs w:val="20"/>
              </w:rPr>
              <w:t>Industry FE</w:t>
            </w:r>
          </w:p>
        </w:tc>
        <w:tc>
          <w:tcPr>
            <w:tcW w:w="2628" w:type="dxa"/>
            <w:tcBorders>
              <w:top w:val="nil"/>
              <w:left w:val="nil"/>
              <w:bottom w:val="nil"/>
              <w:right w:val="nil"/>
            </w:tcBorders>
          </w:tcPr>
          <w:p w14:paraId="6CE87EAD"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 xml:space="preserve">Yes </w:t>
            </w:r>
          </w:p>
        </w:tc>
        <w:tc>
          <w:tcPr>
            <w:tcW w:w="3141" w:type="dxa"/>
            <w:tcBorders>
              <w:top w:val="nil"/>
              <w:left w:val="nil"/>
              <w:bottom w:val="nil"/>
              <w:right w:val="nil"/>
            </w:tcBorders>
          </w:tcPr>
          <w:p w14:paraId="2E50B4C6"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 xml:space="preserve">Yes </w:t>
            </w:r>
          </w:p>
        </w:tc>
      </w:tr>
      <w:tr w:rsidR="00F05B90" w:rsidRPr="00F05B90" w14:paraId="7F9DA48D" w14:textId="77777777" w:rsidTr="00320854">
        <w:trPr>
          <w:trHeight w:val="260"/>
        </w:trPr>
        <w:tc>
          <w:tcPr>
            <w:tcW w:w="3092" w:type="dxa"/>
            <w:tcBorders>
              <w:top w:val="nil"/>
              <w:left w:val="nil"/>
              <w:bottom w:val="nil"/>
              <w:right w:val="nil"/>
            </w:tcBorders>
          </w:tcPr>
          <w:p w14:paraId="4499DDE1"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i/>
                <w:iCs/>
                <w:sz w:val="20"/>
                <w:szCs w:val="20"/>
              </w:rPr>
              <w:t>R</w:t>
            </w:r>
            <w:r w:rsidRPr="00F05B90">
              <w:rPr>
                <w:rFonts w:asciiTheme="majorBidi" w:hAnsiTheme="majorBidi" w:cstheme="majorBidi"/>
                <w:sz w:val="20"/>
                <w:szCs w:val="20"/>
                <w:vertAlign w:val="superscript"/>
              </w:rPr>
              <w:t>2</w:t>
            </w:r>
          </w:p>
        </w:tc>
        <w:tc>
          <w:tcPr>
            <w:tcW w:w="2628" w:type="dxa"/>
            <w:tcBorders>
              <w:top w:val="nil"/>
              <w:left w:val="nil"/>
              <w:bottom w:val="nil"/>
              <w:right w:val="nil"/>
            </w:tcBorders>
          </w:tcPr>
          <w:p w14:paraId="5DE1EA03"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0.258</w:t>
            </w:r>
          </w:p>
        </w:tc>
        <w:tc>
          <w:tcPr>
            <w:tcW w:w="3141" w:type="dxa"/>
            <w:tcBorders>
              <w:top w:val="nil"/>
              <w:left w:val="nil"/>
              <w:bottom w:val="nil"/>
              <w:right w:val="nil"/>
            </w:tcBorders>
          </w:tcPr>
          <w:p w14:paraId="3EDB56CC"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0.379</w:t>
            </w:r>
          </w:p>
        </w:tc>
      </w:tr>
      <w:tr w:rsidR="00F05B90" w:rsidRPr="00F05B90" w14:paraId="3E9D1473" w14:textId="77777777" w:rsidTr="00320854">
        <w:trPr>
          <w:trHeight w:val="277"/>
        </w:trPr>
        <w:tc>
          <w:tcPr>
            <w:tcW w:w="3092" w:type="dxa"/>
            <w:tcBorders>
              <w:top w:val="nil"/>
              <w:left w:val="nil"/>
              <w:bottom w:val="nil"/>
              <w:right w:val="nil"/>
            </w:tcBorders>
          </w:tcPr>
          <w:p w14:paraId="5DBEAA42"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sz w:val="20"/>
                <w:szCs w:val="20"/>
              </w:rPr>
              <w:t>F</w:t>
            </w:r>
          </w:p>
        </w:tc>
        <w:tc>
          <w:tcPr>
            <w:tcW w:w="2628" w:type="dxa"/>
            <w:tcBorders>
              <w:top w:val="nil"/>
              <w:left w:val="nil"/>
              <w:bottom w:val="nil"/>
              <w:right w:val="nil"/>
            </w:tcBorders>
          </w:tcPr>
          <w:p w14:paraId="76969BB0"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7.680</w:t>
            </w:r>
          </w:p>
        </w:tc>
        <w:tc>
          <w:tcPr>
            <w:tcW w:w="3141" w:type="dxa"/>
            <w:tcBorders>
              <w:top w:val="nil"/>
              <w:left w:val="nil"/>
              <w:bottom w:val="nil"/>
              <w:right w:val="nil"/>
            </w:tcBorders>
          </w:tcPr>
          <w:p w14:paraId="0ADF967E"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10.826</w:t>
            </w:r>
          </w:p>
        </w:tc>
      </w:tr>
      <w:tr w:rsidR="00F05B90" w:rsidRPr="00F05B90" w14:paraId="635D3BDA" w14:textId="77777777" w:rsidTr="00320854">
        <w:trPr>
          <w:trHeight w:val="260"/>
        </w:trPr>
        <w:tc>
          <w:tcPr>
            <w:tcW w:w="3092" w:type="dxa"/>
            <w:tcBorders>
              <w:top w:val="nil"/>
              <w:left w:val="nil"/>
              <w:bottom w:val="nil"/>
              <w:right w:val="nil"/>
            </w:tcBorders>
          </w:tcPr>
          <w:p w14:paraId="2B264DDB" w14:textId="77777777" w:rsidR="00817718" w:rsidRPr="00F05B90" w:rsidRDefault="00817718" w:rsidP="00320854">
            <w:pPr>
              <w:widowControl w:val="0"/>
              <w:autoSpaceDE w:val="0"/>
              <w:autoSpaceDN w:val="0"/>
              <w:adjustRightInd w:val="0"/>
              <w:rPr>
                <w:rFonts w:asciiTheme="majorBidi" w:hAnsiTheme="majorBidi" w:cstheme="majorBidi"/>
                <w:sz w:val="20"/>
                <w:szCs w:val="20"/>
              </w:rPr>
            </w:pPr>
            <w:r w:rsidRPr="00F05B90">
              <w:rPr>
                <w:rFonts w:asciiTheme="majorBidi" w:hAnsiTheme="majorBidi" w:cstheme="majorBidi"/>
                <w:i/>
                <w:iCs/>
                <w:sz w:val="20"/>
                <w:szCs w:val="20"/>
              </w:rPr>
              <w:t>N</w:t>
            </w:r>
          </w:p>
        </w:tc>
        <w:tc>
          <w:tcPr>
            <w:tcW w:w="2628" w:type="dxa"/>
            <w:tcBorders>
              <w:top w:val="nil"/>
              <w:left w:val="nil"/>
              <w:bottom w:val="nil"/>
              <w:right w:val="nil"/>
            </w:tcBorders>
          </w:tcPr>
          <w:p w14:paraId="7785885F"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1040</w:t>
            </w:r>
          </w:p>
        </w:tc>
        <w:tc>
          <w:tcPr>
            <w:tcW w:w="3141" w:type="dxa"/>
            <w:tcBorders>
              <w:top w:val="nil"/>
              <w:left w:val="nil"/>
              <w:bottom w:val="nil"/>
              <w:right w:val="nil"/>
            </w:tcBorders>
          </w:tcPr>
          <w:p w14:paraId="58CD9F18" w14:textId="77777777" w:rsidR="00817718" w:rsidRPr="00F05B90" w:rsidRDefault="00817718" w:rsidP="00320854">
            <w:pPr>
              <w:widowControl w:val="0"/>
              <w:autoSpaceDE w:val="0"/>
              <w:autoSpaceDN w:val="0"/>
              <w:adjustRightInd w:val="0"/>
              <w:jc w:val="center"/>
              <w:rPr>
                <w:rFonts w:asciiTheme="majorBidi" w:hAnsiTheme="majorBidi" w:cstheme="majorBidi"/>
                <w:sz w:val="20"/>
                <w:szCs w:val="20"/>
              </w:rPr>
            </w:pPr>
            <w:r w:rsidRPr="00F05B90">
              <w:rPr>
                <w:rFonts w:asciiTheme="majorBidi" w:hAnsiTheme="majorBidi" w:cstheme="majorBidi"/>
                <w:sz w:val="20"/>
                <w:szCs w:val="20"/>
              </w:rPr>
              <w:t>1040</w:t>
            </w:r>
          </w:p>
        </w:tc>
      </w:tr>
      <w:tr w:rsidR="00817718" w:rsidRPr="00F05B90" w14:paraId="1A59EBF8" w14:textId="77777777" w:rsidTr="00320854">
        <w:trPr>
          <w:trHeight w:val="260"/>
        </w:trPr>
        <w:tc>
          <w:tcPr>
            <w:tcW w:w="8861" w:type="dxa"/>
            <w:gridSpan w:val="3"/>
            <w:tcBorders>
              <w:top w:val="nil"/>
              <w:left w:val="nil"/>
              <w:bottom w:val="single" w:sz="12" w:space="0" w:color="auto"/>
              <w:right w:val="nil"/>
            </w:tcBorders>
          </w:tcPr>
          <w:p w14:paraId="0ACDF5C3" w14:textId="0F45D5D9" w:rsidR="00817718" w:rsidRPr="00F05B90" w:rsidRDefault="00817718" w:rsidP="00320854">
            <w:pPr>
              <w:widowControl w:val="0"/>
              <w:autoSpaceDE w:val="0"/>
              <w:autoSpaceDN w:val="0"/>
              <w:adjustRightInd w:val="0"/>
              <w:jc w:val="both"/>
              <w:rPr>
                <w:rFonts w:asciiTheme="majorBidi" w:hAnsiTheme="majorBidi" w:cstheme="majorBidi"/>
                <w:sz w:val="20"/>
                <w:szCs w:val="20"/>
              </w:rPr>
            </w:pPr>
            <w:r w:rsidRPr="00F05B90">
              <w:rPr>
                <w:rFonts w:asciiTheme="majorBidi" w:hAnsiTheme="majorBidi" w:cstheme="majorBidi"/>
                <w:sz w:val="20"/>
                <w:szCs w:val="20"/>
              </w:rPr>
              <w:t xml:space="preserve">This table reports regression results for Model 1, the sample consists of 1040 firm-year observations between 2013 and 2020. The dependent variable is auditors’ </w:t>
            </w:r>
            <w:r w:rsidR="00B3493A" w:rsidRPr="00F05B90">
              <w:rPr>
                <w:rFonts w:asciiTheme="majorBidi" w:hAnsiTheme="majorBidi" w:cstheme="majorBidi"/>
                <w:sz w:val="20"/>
                <w:szCs w:val="20"/>
              </w:rPr>
              <w:t>professional judgment</w:t>
            </w:r>
            <w:r w:rsidRPr="00F05B90">
              <w:rPr>
                <w:rFonts w:asciiTheme="majorBidi" w:hAnsiTheme="majorBidi" w:cstheme="majorBidi"/>
                <w:sz w:val="20"/>
                <w:szCs w:val="20"/>
              </w:rPr>
              <w:t xml:space="preserve">, namely KAM and MAT. MAT is the materiality amount (£) for the financial statements as a whole, scaled by total assets as at year-end, and multiplied by 100. KAM is the number of significant audit risks, or areas of focus, reported by the auditor in the audit report. The independent variable is the industry tournament incentive (Indgap) measures the compensation gap between the CEO under consideration and the highest-paid CEO in the same industry. LAFEE is the natural logarithm of audit fees. BIG4 is an indicator variable equal to 1 if the audit firm is one of the Big four auditing firms, and 0 otherwise. ACIndep is the percentage of independent members of the audit committee. BoDIndep is the percentage of independent members of the board of directors. Leverage is a firm's total liabilities scaled by total shareholders' equity. LOSS is an indicator variable equal to 1 if the firm report a loss for the year; 0 Otherwise. CurrentR is current assets divided by current liabilities. ROA is </w:t>
            </w:r>
            <w:r w:rsidRPr="00F05B90">
              <w:rPr>
                <w:rFonts w:asciiTheme="majorBidi" w:hAnsiTheme="majorBidi" w:cstheme="majorBidi"/>
                <w:sz w:val="20"/>
                <w:szCs w:val="20"/>
              </w:rPr>
              <w:lastRenderedPageBreak/>
              <w:t xml:space="preserve">earnings scaled by total assets. Employees is the number of employees. CEOR is the number of years of the CEO in the role. CEOGender is an indicator variable equal to 1 if the CEO man, 0 Otherwise. Retire is an indicator variable </w:t>
            </w:r>
            <w:r w:rsidR="00B42893" w:rsidRPr="00F05B90">
              <w:rPr>
                <w:rFonts w:asciiTheme="majorBidi" w:hAnsiTheme="majorBidi" w:cstheme="majorBidi"/>
                <w:sz w:val="20"/>
                <w:szCs w:val="20"/>
              </w:rPr>
              <w:t>equals 1 if the CEO is at least 62 years old and 0 otherwise</w:t>
            </w:r>
            <w:r w:rsidRPr="00F05B90">
              <w:rPr>
                <w:rFonts w:asciiTheme="majorBidi" w:hAnsiTheme="majorBidi" w:cstheme="majorBidi"/>
                <w:sz w:val="20"/>
                <w:szCs w:val="20"/>
              </w:rPr>
              <w:t>. Insider is a dummy indicating 1 if the CEO arrived at the firm within two years prior to becoming CEO, 0 otherwise. Regressions are estimated using robust standard errors. Standard errors in parentheses * p &lt; 0.1, ** p &lt; 0.05, *** p &lt; 0.01. Bold numbers indicate significance for variables of interest.</w:t>
            </w:r>
          </w:p>
        </w:tc>
      </w:tr>
    </w:tbl>
    <w:p w14:paraId="06BE506E" w14:textId="77777777" w:rsidR="00817718" w:rsidRPr="00F05B90" w:rsidRDefault="00817718" w:rsidP="00817718">
      <w:pPr>
        <w:spacing w:line="360" w:lineRule="auto"/>
        <w:rPr>
          <w:b/>
          <w:bCs/>
        </w:rPr>
      </w:pPr>
    </w:p>
    <w:p w14:paraId="4E203C70" w14:textId="77777777" w:rsidR="00817718" w:rsidRPr="00F05B90" w:rsidRDefault="00817718" w:rsidP="00817718">
      <w:pPr>
        <w:widowControl w:val="0"/>
        <w:autoSpaceDE w:val="0"/>
        <w:autoSpaceDN w:val="0"/>
        <w:adjustRightInd w:val="0"/>
        <w:spacing w:line="360" w:lineRule="auto"/>
        <w:sectPr w:rsidR="00817718" w:rsidRPr="00F05B90" w:rsidSect="00817718">
          <w:footerReference w:type="even" r:id="rId15"/>
          <w:footerReference w:type="default" r:id="rId16"/>
          <w:pgSz w:w="12240" w:h="15840" w:code="1"/>
          <w:pgMar w:top="1440" w:right="1440" w:bottom="1440" w:left="1440" w:header="720" w:footer="720" w:gutter="0"/>
          <w:cols w:space="720"/>
          <w:docGrid w:linePitch="360"/>
        </w:sectPr>
      </w:pPr>
    </w:p>
    <w:p w14:paraId="45BB8288" w14:textId="77777777" w:rsidR="00817718" w:rsidRPr="00F05B90" w:rsidRDefault="00817718" w:rsidP="00817718">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5: </w:t>
      </w:r>
      <w:r w:rsidRPr="00F05B90">
        <w:rPr>
          <w:rFonts w:ascii="Times New Roman" w:hAnsi="Times New Roman" w:cs="Times New Roman"/>
          <w:b w:val="0"/>
          <w:color w:val="auto"/>
          <w:szCs w:val="24"/>
        </w:rPr>
        <w:t>CEO’s financial background and CEO industry tournament-auditors’ judgement nexus</w:t>
      </w:r>
    </w:p>
    <w:tbl>
      <w:tblPr>
        <w:tblW w:w="13752" w:type="dxa"/>
        <w:tblLayout w:type="fixed"/>
        <w:tblLook w:val="0000" w:firstRow="0" w:lastRow="0" w:firstColumn="0" w:lastColumn="0" w:noHBand="0" w:noVBand="0"/>
      </w:tblPr>
      <w:tblGrid>
        <w:gridCol w:w="2268"/>
        <w:gridCol w:w="1404"/>
        <w:gridCol w:w="2016"/>
        <w:gridCol w:w="2016"/>
        <w:gridCol w:w="2016"/>
        <w:gridCol w:w="2016"/>
        <w:gridCol w:w="2016"/>
      </w:tblGrid>
      <w:tr w:rsidR="00F05B90" w:rsidRPr="00F05B90" w14:paraId="7A763427" w14:textId="77777777" w:rsidTr="00320854">
        <w:tc>
          <w:tcPr>
            <w:tcW w:w="2268" w:type="dxa"/>
            <w:tcBorders>
              <w:top w:val="single" w:sz="12" w:space="0" w:color="auto"/>
              <w:left w:val="nil"/>
              <w:right w:val="nil"/>
            </w:tcBorders>
          </w:tcPr>
          <w:p w14:paraId="458B802F" w14:textId="77777777" w:rsidR="00817718" w:rsidRPr="00F05B90" w:rsidRDefault="00817718" w:rsidP="00320854">
            <w:pPr>
              <w:widowControl w:val="0"/>
              <w:autoSpaceDE w:val="0"/>
              <w:autoSpaceDN w:val="0"/>
              <w:adjustRightInd w:val="0"/>
              <w:rPr>
                <w:sz w:val="20"/>
                <w:szCs w:val="20"/>
              </w:rPr>
            </w:pPr>
          </w:p>
        </w:tc>
        <w:tc>
          <w:tcPr>
            <w:tcW w:w="3420" w:type="dxa"/>
            <w:gridSpan w:val="2"/>
            <w:tcBorders>
              <w:top w:val="single" w:sz="12" w:space="0" w:color="auto"/>
              <w:left w:val="nil"/>
              <w:bottom w:val="single" w:sz="12" w:space="0" w:color="auto"/>
              <w:right w:val="nil"/>
            </w:tcBorders>
          </w:tcPr>
          <w:p w14:paraId="13C170AE"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CEO Financial Experience</w:t>
            </w:r>
          </w:p>
        </w:tc>
        <w:tc>
          <w:tcPr>
            <w:tcW w:w="4032" w:type="dxa"/>
            <w:gridSpan w:val="2"/>
            <w:tcBorders>
              <w:top w:val="single" w:sz="12" w:space="0" w:color="auto"/>
              <w:left w:val="nil"/>
              <w:bottom w:val="single" w:sz="12" w:space="0" w:color="auto"/>
              <w:right w:val="nil"/>
            </w:tcBorders>
          </w:tcPr>
          <w:p w14:paraId="7F0C825F"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 xml:space="preserve">CEO Accounting Experience </w:t>
            </w:r>
          </w:p>
        </w:tc>
        <w:tc>
          <w:tcPr>
            <w:tcW w:w="4032" w:type="dxa"/>
            <w:gridSpan w:val="2"/>
            <w:tcBorders>
              <w:top w:val="single" w:sz="12" w:space="0" w:color="auto"/>
              <w:left w:val="nil"/>
              <w:bottom w:val="single" w:sz="12" w:space="0" w:color="auto"/>
              <w:right w:val="nil"/>
            </w:tcBorders>
          </w:tcPr>
          <w:p w14:paraId="1DF27B70"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Overall CEO Financial Experience</w:t>
            </w:r>
          </w:p>
        </w:tc>
      </w:tr>
      <w:tr w:rsidR="00F05B90" w:rsidRPr="00F05B90" w14:paraId="2D5B207F" w14:textId="77777777" w:rsidTr="00320854">
        <w:tc>
          <w:tcPr>
            <w:tcW w:w="2268" w:type="dxa"/>
            <w:tcBorders>
              <w:left w:val="nil"/>
              <w:bottom w:val="nil"/>
              <w:right w:val="nil"/>
            </w:tcBorders>
          </w:tcPr>
          <w:p w14:paraId="23BBAC6A" w14:textId="77777777" w:rsidR="00817718" w:rsidRPr="00F05B90" w:rsidRDefault="00817718" w:rsidP="00320854">
            <w:pPr>
              <w:widowControl w:val="0"/>
              <w:autoSpaceDE w:val="0"/>
              <w:autoSpaceDN w:val="0"/>
              <w:adjustRightInd w:val="0"/>
              <w:rPr>
                <w:sz w:val="20"/>
                <w:szCs w:val="20"/>
              </w:rPr>
            </w:pPr>
          </w:p>
        </w:tc>
        <w:tc>
          <w:tcPr>
            <w:tcW w:w="1404" w:type="dxa"/>
            <w:tcBorders>
              <w:top w:val="single" w:sz="12" w:space="0" w:color="auto"/>
              <w:left w:val="nil"/>
              <w:bottom w:val="nil"/>
              <w:right w:val="nil"/>
            </w:tcBorders>
          </w:tcPr>
          <w:p w14:paraId="71D215E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w:t>
            </w:r>
          </w:p>
        </w:tc>
        <w:tc>
          <w:tcPr>
            <w:tcW w:w="2016" w:type="dxa"/>
            <w:tcBorders>
              <w:top w:val="single" w:sz="12" w:space="0" w:color="auto"/>
              <w:left w:val="nil"/>
              <w:bottom w:val="nil"/>
              <w:right w:val="nil"/>
            </w:tcBorders>
          </w:tcPr>
          <w:p w14:paraId="239E3B7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(2)</w:t>
            </w:r>
          </w:p>
        </w:tc>
        <w:tc>
          <w:tcPr>
            <w:tcW w:w="2016" w:type="dxa"/>
            <w:tcBorders>
              <w:top w:val="single" w:sz="12" w:space="0" w:color="auto"/>
              <w:left w:val="nil"/>
              <w:bottom w:val="nil"/>
              <w:right w:val="nil"/>
            </w:tcBorders>
          </w:tcPr>
          <w:p w14:paraId="085D3A3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(3)</w:t>
            </w:r>
          </w:p>
        </w:tc>
        <w:tc>
          <w:tcPr>
            <w:tcW w:w="2016" w:type="dxa"/>
            <w:tcBorders>
              <w:top w:val="single" w:sz="4" w:space="0" w:color="auto"/>
              <w:left w:val="nil"/>
              <w:bottom w:val="nil"/>
              <w:right w:val="nil"/>
            </w:tcBorders>
          </w:tcPr>
          <w:p w14:paraId="7B8E7FC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(4)</w:t>
            </w:r>
          </w:p>
        </w:tc>
        <w:tc>
          <w:tcPr>
            <w:tcW w:w="2016" w:type="dxa"/>
            <w:tcBorders>
              <w:top w:val="single" w:sz="12" w:space="0" w:color="auto"/>
              <w:left w:val="nil"/>
              <w:bottom w:val="nil"/>
              <w:right w:val="nil"/>
            </w:tcBorders>
          </w:tcPr>
          <w:p w14:paraId="24C9F46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(5)</w:t>
            </w:r>
          </w:p>
        </w:tc>
        <w:tc>
          <w:tcPr>
            <w:tcW w:w="2016" w:type="dxa"/>
            <w:tcBorders>
              <w:top w:val="single" w:sz="12" w:space="0" w:color="auto"/>
              <w:left w:val="nil"/>
              <w:bottom w:val="nil"/>
              <w:right w:val="nil"/>
            </w:tcBorders>
          </w:tcPr>
          <w:p w14:paraId="72B1E2E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w:t>
            </w:r>
          </w:p>
        </w:tc>
      </w:tr>
      <w:tr w:rsidR="00F05B90" w:rsidRPr="00F05B90" w14:paraId="5B5BDB89" w14:textId="77777777" w:rsidTr="00320854">
        <w:tc>
          <w:tcPr>
            <w:tcW w:w="2268" w:type="dxa"/>
            <w:tcBorders>
              <w:top w:val="nil"/>
              <w:left w:val="nil"/>
              <w:bottom w:val="nil"/>
              <w:right w:val="nil"/>
            </w:tcBorders>
          </w:tcPr>
          <w:p w14:paraId="1BFA7AC9"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single" w:sz="12" w:space="0" w:color="auto"/>
              <w:right w:val="nil"/>
            </w:tcBorders>
          </w:tcPr>
          <w:p w14:paraId="734531E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409876A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c>
          <w:tcPr>
            <w:tcW w:w="2016" w:type="dxa"/>
            <w:tcBorders>
              <w:top w:val="nil"/>
              <w:left w:val="nil"/>
              <w:bottom w:val="single" w:sz="12" w:space="0" w:color="auto"/>
              <w:right w:val="nil"/>
            </w:tcBorders>
          </w:tcPr>
          <w:p w14:paraId="340D021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72161E3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c>
          <w:tcPr>
            <w:tcW w:w="2016" w:type="dxa"/>
            <w:tcBorders>
              <w:top w:val="nil"/>
              <w:left w:val="nil"/>
              <w:bottom w:val="single" w:sz="12" w:space="0" w:color="auto"/>
              <w:right w:val="nil"/>
            </w:tcBorders>
          </w:tcPr>
          <w:p w14:paraId="5593345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0B4B1B1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r>
      <w:tr w:rsidR="00F05B90" w:rsidRPr="00F05B90" w14:paraId="0F2F5F89" w14:textId="77777777" w:rsidTr="00320854">
        <w:tc>
          <w:tcPr>
            <w:tcW w:w="2268" w:type="dxa"/>
            <w:tcBorders>
              <w:left w:val="nil"/>
              <w:bottom w:val="nil"/>
              <w:right w:val="nil"/>
            </w:tcBorders>
          </w:tcPr>
          <w:p w14:paraId="6E01F2DB" w14:textId="77777777" w:rsidR="00817718" w:rsidRPr="00F05B90" w:rsidRDefault="00817718" w:rsidP="00320854">
            <w:pPr>
              <w:widowControl w:val="0"/>
              <w:autoSpaceDE w:val="0"/>
              <w:autoSpaceDN w:val="0"/>
              <w:adjustRightInd w:val="0"/>
              <w:rPr>
                <w:sz w:val="20"/>
                <w:szCs w:val="20"/>
              </w:rPr>
            </w:pPr>
            <w:r w:rsidRPr="00F05B90">
              <w:rPr>
                <w:sz w:val="20"/>
                <w:szCs w:val="20"/>
              </w:rPr>
              <w:t>Indgap</w:t>
            </w:r>
          </w:p>
        </w:tc>
        <w:tc>
          <w:tcPr>
            <w:tcW w:w="1404" w:type="dxa"/>
            <w:tcBorders>
              <w:top w:val="single" w:sz="12" w:space="0" w:color="auto"/>
              <w:left w:val="nil"/>
              <w:bottom w:val="nil"/>
              <w:right w:val="nil"/>
            </w:tcBorders>
          </w:tcPr>
          <w:p w14:paraId="5BCE9E7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-0.046</w:t>
            </w:r>
            <w:r w:rsidRPr="00F05B90">
              <w:rPr>
                <w:b/>
                <w:bCs/>
                <w:sz w:val="20"/>
                <w:szCs w:val="20"/>
                <w:vertAlign w:val="superscript"/>
              </w:rPr>
              <w:t>***</w:t>
            </w:r>
          </w:p>
        </w:tc>
        <w:tc>
          <w:tcPr>
            <w:tcW w:w="2016" w:type="dxa"/>
            <w:tcBorders>
              <w:top w:val="single" w:sz="12" w:space="0" w:color="auto"/>
              <w:left w:val="nil"/>
              <w:bottom w:val="nil"/>
              <w:right w:val="nil"/>
            </w:tcBorders>
          </w:tcPr>
          <w:p w14:paraId="20A20C1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r w:rsidRPr="00F05B90">
              <w:rPr>
                <w:b/>
                <w:bCs/>
                <w:sz w:val="20"/>
                <w:szCs w:val="20"/>
                <w:vertAlign w:val="superscript"/>
              </w:rPr>
              <w:t>**</w:t>
            </w:r>
          </w:p>
        </w:tc>
        <w:tc>
          <w:tcPr>
            <w:tcW w:w="2016" w:type="dxa"/>
            <w:tcBorders>
              <w:top w:val="single" w:sz="12" w:space="0" w:color="auto"/>
              <w:left w:val="nil"/>
              <w:bottom w:val="nil"/>
              <w:right w:val="nil"/>
            </w:tcBorders>
          </w:tcPr>
          <w:p w14:paraId="03B634B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-0.050</w:t>
            </w:r>
            <w:r w:rsidRPr="00F05B90">
              <w:rPr>
                <w:b/>
                <w:bCs/>
                <w:sz w:val="20"/>
                <w:szCs w:val="20"/>
                <w:vertAlign w:val="superscript"/>
              </w:rPr>
              <w:t>***</w:t>
            </w:r>
          </w:p>
        </w:tc>
        <w:tc>
          <w:tcPr>
            <w:tcW w:w="2016" w:type="dxa"/>
            <w:tcBorders>
              <w:top w:val="single" w:sz="12" w:space="0" w:color="auto"/>
              <w:left w:val="nil"/>
              <w:bottom w:val="nil"/>
              <w:right w:val="nil"/>
            </w:tcBorders>
          </w:tcPr>
          <w:p w14:paraId="0011BF2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0.011</w:t>
            </w:r>
            <w:r w:rsidRPr="00F05B90">
              <w:rPr>
                <w:b/>
                <w:bCs/>
                <w:sz w:val="20"/>
                <w:szCs w:val="20"/>
                <w:vertAlign w:val="superscript"/>
              </w:rPr>
              <w:t>**</w:t>
            </w:r>
          </w:p>
        </w:tc>
        <w:tc>
          <w:tcPr>
            <w:tcW w:w="2016" w:type="dxa"/>
            <w:tcBorders>
              <w:top w:val="single" w:sz="12" w:space="0" w:color="auto"/>
              <w:left w:val="nil"/>
              <w:bottom w:val="nil"/>
              <w:right w:val="nil"/>
            </w:tcBorders>
          </w:tcPr>
          <w:p w14:paraId="43DE1C9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-0.047</w:t>
            </w:r>
            <w:r w:rsidRPr="00F05B90">
              <w:rPr>
                <w:b/>
                <w:bCs/>
                <w:sz w:val="20"/>
                <w:szCs w:val="20"/>
                <w:vertAlign w:val="superscript"/>
              </w:rPr>
              <w:t>***</w:t>
            </w:r>
          </w:p>
        </w:tc>
        <w:tc>
          <w:tcPr>
            <w:tcW w:w="2016" w:type="dxa"/>
            <w:tcBorders>
              <w:top w:val="single" w:sz="12" w:space="0" w:color="auto"/>
              <w:left w:val="nil"/>
              <w:bottom w:val="nil"/>
              <w:right w:val="nil"/>
            </w:tcBorders>
          </w:tcPr>
          <w:p w14:paraId="3AFCCC1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r w:rsidRPr="00F05B90">
              <w:rPr>
                <w:b/>
                <w:bCs/>
                <w:sz w:val="20"/>
                <w:szCs w:val="20"/>
                <w:vertAlign w:val="superscript"/>
              </w:rPr>
              <w:t>**</w:t>
            </w:r>
          </w:p>
        </w:tc>
      </w:tr>
      <w:tr w:rsidR="00F05B90" w:rsidRPr="00F05B90" w14:paraId="7DAC0864" w14:textId="77777777" w:rsidTr="00320854">
        <w:tc>
          <w:tcPr>
            <w:tcW w:w="2268" w:type="dxa"/>
            <w:tcBorders>
              <w:top w:val="nil"/>
              <w:left w:val="nil"/>
              <w:bottom w:val="nil"/>
              <w:right w:val="nil"/>
            </w:tcBorders>
          </w:tcPr>
          <w:p w14:paraId="2770CCEF"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2D72AF3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(0.016)</w:t>
            </w:r>
          </w:p>
        </w:tc>
        <w:tc>
          <w:tcPr>
            <w:tcW w:w="2016" w:type="dxa"/>
            <w:tcBorders>
              <w:top w:val="nil"/>
              <w:left w:val="nil"/>
              <w:bottom w:val="nil"/>
              <w:right w:val="nil"/>
            </w:tcBorders>
          </w:tcPr>
          <w:p w14:paraId="23B881E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c>
          <w:tcPr>
            <w:tcW w:w="2016" w:type="dxa"/>
            <w:tcBorders>
              <w:top w:val="nil"/>
              <w:left w:val="nil"/>
              <w:bottom w:val="nil"/>
              <w:right w:val="nil"/>
            </w:tcBorders>
          </w:tcPr>
          <w:p w14:paraId="785C929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(0.016)</w:t>
            </w:r>
          </w:p>
        </w:tc>
        <w:tc>
          <w:tcPr>
            <w:tcW w:w="2016" w:type="dxa"/>
            <w:tcBorders>
              <w:top w:val="nil"/>
              <w:left w:val="nil"/>
              <w:bottom w:val="nil"/>
              <w:right w:val="nil"/>
            </w:tcBorders>
          </w:tcPr>
          <w:p w14:paraId="126FDD7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c>
          <w:tcPr>
            <w:tcW w:w="2016" w:type="dxa"/>
            <w:tcBorders>
              <w:top w:val="nil"/>
              <w:left w:val="nil"/>
              <w:bottom w:val="nil"/>
              <w:right w:val="nil"/>
            </w:tcBorders>
          </w:tcPr>
          <w:p w14:paraId="688F931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(0.016)</w:t>
            </w:r>
          </w:p>
        </w:tc>
        <w:tc>
          <w:tcPr>
            <w:tcW w:w="2016" w:type="dxa"/>
            <w:tcBorders>
              <w:top w:val="nil"/>
              <w:left w:val="nil"/>
              <w:bottom w:val="nil"/>
              <w:right w:val="nil"/>
            </w:tcBorders>
          </w:tcPr>
          <w:p w14:paraId="6709CA8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r>
      <w:tr w:rsidR="00F05B90" w:rsidRPr="00F05B90" w14:paraId="267873F1" w14:textId="77777777" w:rsidTr="00320854">
        <w:tc>
          <w:tcPr>
            <w:tcW w:w="2268" w:type="dxa"/>
            <w:tcBorders>
              <w:top w:val="nil"/>
              <w:left w:val="nil"/>
              <w:bottom w:val="nil"/>
              <w:right w:val="nil"/>
            </w:tcBorders>
          </w:tcPr>
          <w:p w14:paraId="4BCAD29F" w14:textId="77777777" w:rsidR="00817718" w:rsidRPr="00F05B90" w:rsidRDefault="00817718" w:rsidP="00320854">
            <w:pPr>
              <w:widowControl w:val="0"/>
              <w:autoSpaceDE w:val="0"/>
              <w:autoSpaceDN w:val="0"/>
              <w:adjustRightInd w:val="0"/>
              <w:rPr>
                <w:sz w:val="20"/>
                <w:szCs w:val="20"/>
              </w:rPr>
            </w:pPr>
            <w:r w:rsidRPr="00F05B90">
              <w:rPr>
                <w:i/>
                <w:iCs/>
                <w:sz w:val="20"/>
                <w:szCs w:val="20"/>
              </w:rPr>
              <w:t>FinExp</w:t>
            </w:r>
          </w:p>
        </w:tc>
        <w:tc>
          <w:tcPr>
            <w:tcW w:w="1404" w:type="dxa"/>
            <w:tcBorders>
              <w:top w:val="nil"/>
              <w:left w:val="nil"/>
              <w:bottom w:val="nil"/>
              <w:right w:val="nil"/>
            </w:tcBorders>
          </w:tcPr>
          <w:p w14:paraId="3EFF05F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-0.169</w:t>
            </w:r>
          </w:p>
        </w:tc>
        <w:tc>
          <w:tcPr>
            <w:tcW w:w="2016" w:type="dxa"/>
            <w:tcBorders>
              <w:top w:val="nil"/>
              <w:left w:val="nil"/>
              <w:bottom w:val="nil"/>
              <w:right w:val="nil"/>
            </w:tcBorders>
          </w:tcPr>
          <w:p w14:paraId="589587C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0.041</w:t>
            </w:r>
          </w:p>
        </w:tc>
        <w:tc>
          <w:tcPr>
            <w:tcW w:w="2016" w:type="dxa"/>
            <w:tcBorders>
              <w:top w:val="nil"/>
              <w:left w:val="nil"/>
              <w:bottom w:val="nil"/>
              <w:right w:val="nil"/>
            </w:tcBorders>
          </w:tcPr>
          <w:p w14:paraId="7B8711C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07C2888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CFCF045"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E9A749D"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6836B9E5" w14:textId="77777777" w:rsidTr="00320854">
        <w:tc>
          <w:tcPr>
            <w:tcW w:w="2268" w:type="dxa"/>
            <w:tcBorders>
              <w:top w:val="nil"/>
              <w:left w:val="nil"/>
              <w:bottom w:val="nil"/>
              <w:right w:val="nil"/>
            </w:tcBorders>
          </w:tcPr>
          <w:p w14:paraId="7604B446"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2D84C57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(0.118)</w:t>
            </w:r>
          </w:p>
        </w:tc>
        <w:tc>
          <w:tcPr>
            <w:tcW w:w="2016" w:type="dxa"/>
            <w:tcBorders>
              <w:top w:val="nil"/>
              <w:left w:val="nil"/>
              <w:bottom w:val="nil"/>
              <w:right w:val="nil"/>
            </w:tcBorders>
          </w:tcPr>
          <w:p w14:paraId="5998063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(0.046)</w:t>
            </w:r>
          </w:p>
        </w:tc>
        <w:tc>
          <w:tcPr>
            <w:tcW w:w="2016" w:type="dxa"/>
            <w:tcBorders>
              <w:top w:val="nil"/>
              <w:left w:val="nil"/>
              <w:bottom w:val="nil"/>
              <w:right w:val="nil"/>
            </w:tcBorders>
          </w:tcPr>
          <w:p w14:paraId="3833A80D"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0C2D16A"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CE8AF6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59E6287"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459F310D" w14:textId="77777777" w:rsidTr="00320854">
        <w:tc>
          <w:tcPr>
            <w:tcW w:w="2268" w:type="dxa"/>
            <w:tcBorders>
              <w:top w:val="nil"/>
              <w:left w:val="nil"/>
              <w:bottom w:val="nil"/>
              <w:right w:val="nil"/>
            </w:tcBorders>
          </w:tcPr>
          <w:p w14:paraId="168672C4" w14:textId="77777777" w:rsidR="00817718" w:rsidRPr="00F05B90" w:rsidRDefault="00817718" w:rsidP="00320854">
            <w:pPr>
              <w:widowControl w:val="0"/>
              <w:autoSpaceDE w:val="0"/>
              <w:autoSpaceDN w:val="0"/>
              <w:adjustRightInd w:val="0"/>
              <w:rPr>
                <w:sz w:val="20"/>
                <w:szCs w:val="20"/>
              </w:rPr>
            </w:pPr>
            <w:r w:rsidRPr="00F05B90">
              <w:rPr>
                <w:i/>
                <w:iCs/>
                <w:sz w:val="20"/>
                <w:szCs w:val="20"/>
              </w:rPr>
              <w:t>Indgap*FinExp</w:t>
            </w:r>
          </w:p>
        </w:tc>
        <w:tc>
          <w:tcPr>
            <w:tcW w:w="1404" w:type="dxa"/>
            <w:tcBorders>
              <w:top w:val="nil"/>
              <w:left w:val="nil"/>
              <w:bottom w:val="nil"/>
              <w:right w:val="nil"/>
            </w:tcBorders>
          </w:tcPr>
          <w:p w14:paraId="3EED843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0.036</w:t>
            </w:r>
          </w:p>
        </w:tc>
        <w:tc>
          <w:tcPr>
            <w:tcW w:w="2016" w:type="dxa"/>
            <w:tcBorders>
              <w:top w:val="nil"/>
              <w:left w:val="nil"/>
              <w:bottom w:val="nil"/>
              <w:right w:val="nil"/>
            </w:tcBorders>
          </w:tcPr>
          <w:p w14:paraId="38F743D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-0.016</w:t>
            </w:r>
          </w:p>
        </w:tc>
        <w:tc>
          <w:tcPr>
            <w:tcW w:w="2016" w:type="dxa"/>
            <w:tcBorders>
              <w:top w:val="nil"/>
              <w:left w:val="nil"/>
              <w:bottom w:val="nil"/>
              <w:right w:val="nil"/>
            </w:tcBorders>
          </w:tcPr>
          <w:p w14:paraId="00F1AE74"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52BE3F7A"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67961305"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03649B1C"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61E1DA86" w14:textId="77777777" w:rsidTr="00320854">
        <w:tc>
          <w:tcPr>
            <w:tcW w:w="2268" w:type="dxa"/>
            <w:tcBorders>
              <w:top w:val="nil"/>
              <w:left w:val="nil"/>
              <w:bottom w:val="nil"/>
              <w:right w:val="nil"/>
            </w:tcBorders>
          </w:tcPr>
          <w:p w14:paraId="07299C30"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6259967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(0.030)</w:t>
            </w:r>
          </w:p>
        </w:tc>
        <w:tc>
          <w:tcPr>
            <w:tcW w:w="2016" w:type="dxa"/>
            <w:tcBorders>
              <w:top w:val="nil"/>
              <w:left w:val="nil"/>
              <w:bottom w:val="nil"/>
              <w:right w:val="nil"/>
            </w:tcBorders>
          </w:tcPr>
          <w:p w14:paraId="21EDE91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(0.010)</w:t>
            </w:r>
          </w:p>
        </w:tc>
        <w:tc>
          <w:tcPr>
            <w:tcW w:w="2016" w:type="dxa"/>
            <w:tcBorders>
              <w:top w:val="nil"/>
              <w:left w:val="nil"/>
              <w:bottom w:val="nil"/>
              <w:right w:val="nil"/>
            </w:tcBorders>
          </w:tcPr>
          <w:p w14:paraId="3F14B283"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8110F2E"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6180050A"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074E4CB8"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4AD3EF05" w14:textId="77777777" w:rsidTr="00320854">
        <w:tc>
          <w:tcPr>
            <w:tcW w:w="2268" w:type="dxa"/>
            <w:tcBorders>
              <w:top w:val="nil"/>
              <w:left w:val="nil"/>
              <w:bottom w:val="nil"/>
              <w:right w:val="nil"/>
            </w:tcBorders>
          </w:tcPr>
          <w:p w14:paraId="308942E9" w14:textId="77777777" w:rsidR="00817718" w:rsidRPr="00F05B90" w:rsidRDefault="00817718" w:rsidP="00320854">
            <w:pPr>
              <w:widowControl w:val="0"/>
              <w:autoSpaceDE w:val="0"/>
              <w:autoSpaceDN w:val="0"/>
              <w:adjustRightInd w:val="0"/>
              <w:rPr>
                <w:sz w:val="20"/>
                <w:szCs w:val="20"/>
              </w:rPr>
            </w:pPr>
            <w:r w:rsidRPr="00F05B90">
              <w:rPr>
                <w:i/>
                <w:iCs/>
                <w:sz w:val="20"/>
                <w:szCs w:val="20"/>
              </w:rPr>
              <w:t>AccExp</w:t>
            </w:r>
          </w:p>
        </w:tc>
        <w:tc>
          <w:tcPr>
            <w:tcW w:w="1404" w:type="dxa"/>
            <w:tcBorders>
              <w:top w:val="nil"/>
              <w:left w:val="nil"/>
              <w:bottom w:val="nil"/>
              <w:right w:val="nil"/>
            </w:tcBorders>
          </w:tcPr>
          <w:p w14:paraId="1CD8C4A1"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2FC221D"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5DB5934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0.144</w:t>
            </w:r>
          </w:p>
        </w:tc>
        <w:tc>
          <w:tcPr>
            <w:tcW w:w="2016" w:type="dxa"/>
            <w:tcBorders>
              <w:top w:val="nil"/>
              <w:left w:val="nil"/>
              <w:bottom w:val="nil"/>
              <w:right w:val="nil"/>
            </w:tcBorders>
          </w:tcPr>
          <w:p w14:paraId="19DF84A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0.013</w:t>
            </w:r>
          </w:p>
        </w:tc>
        <w:tc>
          <w:tcPr>
            <w:tcW w:w="2016" w:type="dxa"/>
            <w:tcBorders>
              <w:top w:val="nil"/>
              <w:left w:val="nil"/>
              <w:bottom w:val="nil"/>
              <w:right w:val="nil"/>
            </w:tcBorders>
          </w:tcPr>
          <w:p w14:paraId="2EF0B231"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62F0CC21"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30749D58" w14:textId="77777777" w:rsidTr="00320854">
        <w:tc>
          <w:tcPr>
            <w:tcW w:w="2268" w:type="dxa"/>
            <w:tcBorders>
              <w:top w:val="nil"/>
              <w:left w:val="nil"/>
              <w:bottom w:val="nil"/>
              <w:right w:val="nil"/>
            </w:tcBorders>
          </w:tcPr>
          <w:p w14:paraId="3F857546"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7DF0CBD4"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9C87636"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A6BA23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(0.127)</w:t>
            </w:r>
          </w:p>
        </w:tc>
        <w:tc>
          <w:tcPr>
            <w:tcW w:w="2016" w:type="dxa"/>
            <w:tcBorders>
              <w:top w:val="nil"/>
              <w:left w:val="nil"/>
              <w:bottom w:val="nil"/>
              <w:right w:val="nil"/>
            </w:tcBorders>
          </w:tcPr>
          <w:p w14:paraId="4E3A5B4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(0.043)</w:t>
            </w:r>
          </w:p>
        </w:tc>
        <w:tc>
          <w:tcPr>
            <w:tcW w:w="2016" w:type="dxa"/>
            <w:tcBorders>
              <w:top w:val="nil"/>
              <w:left w:val="nil"/>
              <w:bottom w:val="nil"/>
              <w:right w:val="nil"/>
            </w:tcBorders>
          </w:tcPr>
          <w:p w14:paraId="2FCCFAC7"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65BD766A"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649CAA3D" w14:textId="77777777" w:rsidTr="00320854">
        <w:tc>
          <w:tcPr>
            <w:tcW w:w="2268" w:type="dxa"/>
            <w:tcBorders>
              <w:top w:val="nil"/>
              <w:left w:val="nil"/>
              <w:bottom w:val="nil"/>
              <w:right w:val="nil"/>
            </w:tcBorders>
          </w:tcPr>
          <w:p w14:paraId="04C514D6" w14:textId="77777777" w:rsidR="00817718" w:rsidRPr="00F05B90" w:rsidRDefault="00817718" w:rsidP="00320854">
            <w:pPr>
              <w:widowControl w:val="0"/>
              <w:autoSpaceDE w:val="0"/>
              <w:autoSpaceDN w:val="0"/>
              <w:adjustRightInd w:val="0"/>
              <w:rPr>
                <w:sz w:val="20"/>
                <w:szCs w:val="20"/>
              </w:rPr>
            </w:pPr>
            <w:r w:rsidRPr="00F05B90">
              <w:rPr>
                <w:i/>
                <w:iCs/>
                <w:sz w:val="20"/>
                <w:szCs w:val="20"/>
              </w:rPr>
              <w:t>Indgap*AccExp</w:t>
            </w:r>
          </w:p>
        </w:tc>
        <w:tc>
          <w:tcPr>
            <w:tcW w:w="1404" w:type="dxa"/>
            <w:tcBorders>
              <w:top w:val="nil"/>
              <w:left w:val="nil"/>
              <w:bottom w:val="nil"/>
              <w:right w:val="nil"/>
            </w:tcBorders>
          </w:tcPr>
          <w:p w14:paraId="17BCFD62"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8514F73"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7261C71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-0.007</w:t>
            </w:r>
          </w:p>
        </w:tc>
        <w:tc>
          <w:tcPr>
            <w:tcW w:w="2016" w:type="dxa"/>
            <w:tcBorders>
              <w:top w:val="nil"/>
              <w:left w:val="nil"/>
              <w:bottom w:val="nil"/>
              <w:right w:val="nil"/>
            </w:tcBorders>
          </w:tcPr>
          <w:p w14:paraId="2C20A9A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-0.030</w:t>
            </w:r>
            <w:r w:rsidRPr="00F05B90">
              <w:rPr>
                <w:b/>
                <w:bCs/>
                <w:sz w:val="20"/>
                <w:szCs w:val="20"/>
                <w:vertAlign w:val="superscript"/>
              </w:rPr>
              <w:t>***</w:t>
            </w:r>
          </w:p>
        </w:tc>
        <w:tc>
          <w:tcPr>
            <w:tcW w:w="2016" w:type="dxa"/>
            <w:tcBorders>
              <w:top w:val="nil"/>
              <w:left w:val="nil"/>
              <w:bottom w:val="nil"/>
              <w:right w:val="nil"/>
            </w:tcBorders>
          </w:tcPr>
          <w:p w14:paraId="7C197143"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771B125E"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5C17B743" w14:textId="77777777" w:rsidTr="00320854">
        <w:tc>
          <w:tcPr>
            <w:tcW w:w="2268" w:type="dxa"/>
            <w:tcBorders>
              <w:top w:val="nil"/>
              <w:left w:val="nil"/>
              <w:bottom w:val="nil"/>
              <w:right w:val="nil"/>
            </w:tcBorders>
          </w:tcPr>
          <w:p w14:paraId="693BDD5E"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38A85EFA"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2E507204"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5F32CB1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(0.035)</w:t>
            </w:r>
          </w:p>
        </w:tc>
        <w:tc>
          <w:tcPr>
            <w:tcW w:w="2016" w:type="dxa"/>
            <w:tcBorders>
              <w:top w:val="nil"/>
              <w:left w:val="nil"/>
              <w:bottom w:val="nil"/>
              <w:right w:val="nil"/>
            </w:tcBorders>
          </w:tcPr>
          <w:p w14:paraId="3AA5D75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(0.009)</w:t>
            </w:r>
          </w:p>
        </w:tc>
        <w:tc>
          <w:tcPr>
            <w:tcW w:w="2016" w:type="dxa"/>
            <w:tcBorders>
              <w:top w:val="nil"/>
              <w:left w:val="nil"/>
              <w:bottom w:val="nil"/>
              <w:right w:val="nil"/>
            </w:tcBorders>
          </w:tcPr>
          <w:p w14:paraId="07432855"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66F04CB"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197343A5" w14:textId="77777777" w:rsidTr="00320854">
        <w:tc>
          <w:tcPr>
            <w:tcW w:w="2268" w:type="dxa"/>
            <w:tcBorders>
              <w:top w:val="nil"/>
              <w:left w:val="nil"/>
              <w:bottom w:val="nil"/>
              <w:right w:val="nil"/>
            </w:tcBorders>
          </w:tcPr>
          <w:p w14:paraId="14DE652D" w14:textId="77777777" w:rsidR="00817718" w:rsidRPr="00F05B90" w:rsidRDefault="00817718" w:rsidP="00320854">
            <w:pPr>
              <w:widowControl w:val="0"/>
              <w:autoSpaceDE w:val="0"/>
              <w:autoSpaceDN w:val="0"/>
              <w:adjustRightInd w:val="0"/>
              <w:rPr>
                <w:sz w:val="20"/>
                <w:szCs w:val="20"/>
              </w:rPr>
            </w:pPr>
            <w:r w:rsidRPr="00F05B90">
              <w:rPr>
                <w:i/>
                <w:iCs/>
                <w:sz w:val="20"/>
                <w:szCs w:val="20"/>
              </w:rPr>
              <w:t>Fin-AccExp</w:t>
            </w:r>
          </w:p>
        </w:tc>
        <w:tc>
          <w:tcPr>
            <w:tcW w:w="1404" w:type="dxa"/>
            <w:tcBorders>
              <w:top w:val="nil"/>
              <w:left w:val="nil"/>
              <w:bottom w:val="nil"/>
              <w:right w:val="nil"/>
            </w:tcBorders>
          </w:tcPr>
          <w:p w14:paraId="32DC2F0A"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405553F"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BA417B9"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012ED2C7"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7C58C31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-0.209</w:t>
            </w:r>
            <w:r w:rsidRPr="00F05B90">
              <w:rPr>
                <w:b/>
                <w:bCs/>
                <w:sz w:val="20"/>
                <w:szCs w:val="20"/>
                <w:vertAlign w:val="superscript"/>
              </w:rPr>
              <w:t>*</w:t>
            </w:r>
          </w:p>
        </w:tc>
        <w:tc>
          <w:tcPr>
            <w:tcW w:w="2016" w:type="dxa"/>
            <w:tcBorders>
              <w:top w:val="nil"/>
              <w:left w:val="nil"/>
              <w:bottom w:val="nil"/>
              <w:right w:val="nil"/>
            </w:tcBorders>
          </w:tcPr>
          <w:p w14:paraId="7441C01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0.025</w:t>
            </w:r>
          </w:p>
        </w:tc>
      </w:tr>
      <w:tr w:rsidR="00F05B90" w:rsidRPr="00F05B90" w14:paraId="15761500" w14:textId="77777777" w:rsidTr="00320854">
        <w:tc>
          <w:tcPr>
            <w:tcW w:w="2268" w:type="dxa"/>
            <w:tcBorders>
              <w:top w:val="nil"/>
              <w:left w:val="nil"/>
              <w:bottom w:val="nil"/>
              <w:right w:val="nil"/>
            </w:tcBorders>
          </w:tcPr>
          <w:p w14:paraId="75F6CC35"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18050119"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307C8A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2CA9FE85"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0960937"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66EC2EB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(0.113)</w:t>
            </w:r>
          </w:p>
        </w:tc>
        <w:tc>
          <w:tcPr>
            <w:tcW w:w="2016" w:type="dxa"/>
            <w:tcBorders>
              <w:top w:val="nil"/>
              <w:left w:val="nil"/>
              <w:bottom w:val="nil"/>
              <w:right w:val="nil"/>
            </w:tcBorders>
          </w:tcPr>
          <w:p w14:paraId="0DC9E58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(0.042)</w:t>
            </w:r>
          </w:p>
        </w:tc>
      </w:tr>
      <w:tr w:rsidR="00F05B90" w:rsidRPr="00F05B90" w14:paraId="7E05E030" w14:textId="77777777" w:rsidTr="00320854">
        <w:tc>
          <w:tcPr>
            <w:tcW w:w="2268" w:type="dxa"/>
            <w:tcBorders>
              <w:top w:val="nil"/>
              <w:left w:val="nil"/>
              <w:bottom w:val="nil"/>
              <w:right w:val="nil"/>
            </w:tcBorders>
          </w:tcPr>
          <w:p w14:paraId="6E106EFF" w14:textId="77777777" w:rsidR="00817718" w:rsidRPr="00F05B90" w:rsidRDefault="00817718" w:rsidP="00320854">
            <w:pPr>
              <w:widowControl w:val="0"/>
              <w:autoSpaceDE w:val="0"/>
              <w:autoSpaceDN w:val="0"/>
              <w:adjustRightInd w:val="0"/>
              <w:rPr>
                <w:sz w:val="20"/>
                <w:szCs w:val="20"/>
              </w:rPr>
            </w:pPr>
            <w:r w:rsidRPr="00F05B90">
              <w:rPr>
                <w:i/>
                <w:iCs/>
                <w:sz w:val="20"/>
                <w:szCs w:val="20"/>
              </w:rPr>
              <w:t>Indgap*Fin-AccExp</w:t>
            </w:r>
          </w:p>
        </w:tc>
        <w:tc>
          <w:tcPr>
            <w:tcW w:w="1404" w:type="dxa"/>
            <w:tcBorders>
              <w:top w:val="nil"/>
              <w:left w:val="nil"/>
              <w:bottom w:val="nil"/>
              <w:right w:val="nil"/>
            </w:tcBorders>
          </w:tcPr>
          <w:p w14:paraId="077F3037"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5695FF5"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269319C4"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74502CEC"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2D846D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0.024</w:t>
            </w:r>
          </w:p>
        </w:tc>
        <w:tc>
          <w:tcPr>
            <w:tcW w:w="2016" w:type="dxa"/>
            <w:tcBorders>
              <w:top w:val="nil"/>
              <w:left w:val="nil"/>
              <w:bottom w:val="nil"/>
              <w:right w:val="nil"/>
            </w:tcBorders>
          </w:tcPr>
          <w:p w14:paraId="7E221ED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-0.021</w:t>
            </w:r>
            <w:r w:rsidRPr="00F05B90">
              <w:rPr>
                <w:b/>
                <w:bCs/>
                <w:sz w:val="20"/>
                <w:szCs w:val="20"/>
                <w:vertAlign w:val="superscript"/>
              </w:rPr>
              <w:t>**</w:t>
            </w:r>
          </w:p>
        </w:tc>
      </w:tr>
      <w:tr w:rsidR="00F05B90" w:rsidRPr="00F05B90" w14:paraId="2399BFEA" w14:textId="77777777" w:rsidTr="00320854">
        <w:tc>
          <w:tcPr>
            <w:tcW w:w="2268" w:type="dxa"/>
            <w:tcBorders>
              <w:top w:val="nil"/>
              <w:left w:val="nil"/>
              <w:bottom w:val="nil"/>
              <w:right w:val="nil"/>
            </w:tcBorders>
          </w:tcPr>
          <w:p w14:paraId="427699BB"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5AF4845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718686B3"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50EA7398"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4D615DB8"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2B552AF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(0.029)</w:t>
            </w:r>
          </w:p>
        </w:tc>
        <w:tc>
          <w:tcPr>
            <w:tcW w:w="2016" w:type="dxa"/>
            <w:tcBorders>
              <w:top w:val="nil"/>
              <w:left w:val="nil"/>
              <w:bottom w:val="nil"/>
              <w:right w:val="nil"/>
            </w:tcBorders>
          </w:tcPr>
          <w:p w14:paraId="7D5E3EB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(0.009)</w:t>
            </w:r>
          </w:p>
        </w:tc>
      </w:tr>
      <w:tr w:rsidR="00F05B90" w:rsidRPr="00F05B90" w14:paraId="2DE40E95" w14:textId="77777777" w:rsidTr="00320854">
        <w:tc>
          <w:tcPr>
            <w:tcW w:w="2268" w:type="dxa"/>
            <w:tcBorders>
              <w:top w:val="nil"/>
              <w:left w:val="nil"/>
              <w:bottom w:val="nil"/>
              <w:right w:val="nil"/>
            </w:tcBorders>
          </w:tcPr>
          <w:p w14:paraId="5C64332C" w14:textId="77777777" w:rsidR="00817718" w:rsidRPr="00F05B90" w:rsidRDefault="00817718" w:rsidP="00320854">
            <w:pPr>
              <w:widowControl w:val="0"/>
              <w:autoSpaceDE w:val="0"/>
              <w:autoSpaceDN w:val="0"/>
              <w:adjustRightInd w:val="0"/>
              <w:rPr>
                <w:sz w:val="20"/>
                <w:szCs w:val="20"/>
              </w:rPr>
            </w:pPr>
            <w:r w:rsidRPr="00F05B90">
              <w:rPr>
                <w:sz w:val="20"/>
                <w:szCs w:val="20"/>
              </w:rPr>
              <w:t>LAFEE</w:t>
            </w:r>
          </w:p>
        </w:tc>
        <w:tc>
          <w:tcPr>
            <w:tcW w:w="1404" w:type="dxa"/>
            <w:tcBorders>
              <w:top w:val="nil"/>
              <w:left w:val="nil"/>
              <w:bottom w:val="nil"/>
              <w:right w:val="nil"/>
            </w:tcBorders>
          </w:tcPr>
          <w:p w14:paraId="0B0BFD8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c>
          <w:tcPr>
            <w:tcW w:w="2016" w:type="dxa"/>
            <w:tcBorders>
              <w:top w:val="nil"/>
              <w:left w:val="nil"/>
              <w:bottom w:val="nil"/>
              <w:right w:val="nil"/>
            </w:tcBorders>
          </w:tcPr>
          <w:p w14:paraId="660AA02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-0.022</w:t>
            </w:r>
            <w:r w:rsidRPr="00F05B90">
              <w:rPr>
                <w:b/>
                <w:bCs/>
                <w:sz w:val="20"/>
                <w:szCs w:val="20"/>
                <w:vertAlign w:val="superscript"/>
              </w:rPr>
              <w:t>***</w:t>
            </w:r>
          </w:p>
        </w:tc>
        <w:tc>
          <w:tcPr>
            <w:tcW w:w="2016" w:type="dxa"/>
            <w:tcBorders>
              <w:top w:val="nil"/>
              <w:left w:val="nil"/>
              <w:bottom w:val="nil"/>
              <w:right w:val="nil"/>
            </w:tcBorders>
          </w:tcPr>
          <w:p w14:paraId="40AFC0A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317EAC7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-0.021</w:t>
            </w:r>
            <w:r w:rsidRPr="00F05B90">
              <w:rPr>
                <w:b/>
                <w:bCs/>
                <w:sz w:val="20"/>
                <w:szCs w:val="20"/>
                <w:vertAlign w:val="superscript"/>
              </w:rPr>
              <w:t>***</w:t>
            </w:r>
          </w:p>
        </w:tc>
        <w:tc>
          <w:tcPr>
            <w:tcW w:w="2016" w:type="dxa"/>
            <w:tcBorders>
              <w:top w:val="nil"/>
              <w:left w:val="nil"/>
              <w:bottom w:val="nil"/>
              <w:right w:val="nil"/>
            </w:tcBorders>
          </w:tcPr>
          <w:p w14:paraId="63AC583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0.009</w:t>
            </w:r>
          </w:p>
        </w:tc>
        <w:tc>
          <w:tcPr>
            <w:tcW w:w="2016" w:type="dxa"/>
            <w:tcBorders>
              <w:top w:val="nil"/>
              <w:left w:val="nil"/>
              <w:bottom w:val="nil"/>
              <w:right w:val="nil"/>
            </w:tcBorders>
          </w:tcPr>
          <w:p w14:paraId="65C0BB7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-0.021</w:t>
            </w:r>
            <w:r w:rsidRPr="00F05B90">
              <w:rPr>
                <w:b/>
                <w:bCs/>
                <w:sz w:val="20"/>
                <w:szCs w:val="20"/>
                <w:vertAlign w:val="superscript"/>
              </w:rPr>
              <w:t>***</w:t>
            </w:r>
          </w:p>
        </w:tc>
      </w:tr>
      <w:tr w:rsidR="00F05B90" w:rsidRPr="00F05B90" w14:paraId="01CEC8CC" w14:textId="77777777" w:rsidTr="00320854">
        <w:tc>
          <w:tcPr>
            <w:tcW w:w="2268" w:type="dxa"/>
            <w:tcBorders>
              <w:top w:val="nil"/>
              <w:left w:val="nil"/>
              <w:bottom w:val="nil"/>
              <w:right w:val="nil"/>
            </w:tcBorders>
          </w:tcPr>
          <w:p w14:paraId="211041DF"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07BBD66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(0.023)</w:t>
            </w:r>
          </w:p>
        </w:tc>
        <w:tc>
          <w:tcPr>
            <w:tcW w:w="2016" w:type="dxa"/>
            <w:tcBorders>
              <w:top w:val="nil"/>
              <w:left w:val="nil"/>
              <w:bottom w:val="nil"/>
              <w:right w:val="nil"/>
            </w:tcBorders>
          </w:tcPr>
          <w:p w14:paraId="4C1C6DA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c>
          <w:tcPr>
            <w:tcW w:w="2016" w:type="dxa"/>
            <w:tcBorders>
              <w:top w:val="nil"/>
              <w:left w:val="nil"/>
              <w:bottom w:val="nil"/>
              <w:right w:val="nil"/>
            </w:tcBorders>
          </w:tcPr>
          <w:p w14:paraId="79A789C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(0.022)</w:t>
            </w:r>
          </w:p>
        </w:tc>
        <w:tc>
          <w:tcPr>
            <w:tcW w:w="2016" w:type="dxa"/>
            <w:tcBorders>
              <w:top w:val="nil"/>
              <w:left w:val="nil"/>
              <w:bottom w:val="nil"/>
              <w:right w:val="nil"/>
            </w:tcBorders>
          </w:tcPr>
          <w:p w14:paraId="2B5D05D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(0.007)</w:t>
            </w:r>
          </w:p>
        </w:tc>
        <w:tc>
          <w:tcPr>
            <w:tcW w:w="2016" w:type="dxa"/>
            <w:tcBorders>
              <w:top w:val="nil"/>
              <w:left w:val="nil"/>
              <w:bottom w:val="nil"/>
              <w:right w:val="nil"/>
            </w:tcBorders>
          </w:tcPr>
          <w:p w14:paraId="2AB5B04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(0.023)</w:t>
            </w:r>
          </w:p>
        </w:tc>
        <w:tc>
          <w:tcPr>
            <w:tcW w:w="2016" w:type="dxa"/>
            <w:tcBorders>
              <w:top w:val="nil"/>
              <w:left w:val="nil"/>
              <w:bottom w:val="nil"/>
              <w:right w:val="nil"/>
            </w:tcBorders>
          </w:tcPr>
          <w:p w14:paraId="173907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r>
      <w:tr w:rsidR="00F05B90" w:rsidRPr="00F05B90" w14:paraId="14644A39" w14:textId="77777777" w:rsidTr="00320854">
        <w:tc>
          <w:tcPr>
            <w:tcW w:w="2268" w:type="dxa"/>
            <w:tcBorders>
              <w:top w:val="nil"/>
              <w:left w:val="nil"/>
              <w:bottom w:val="nil"/>
              <w:right w:val="nil"/>
            </w:tcBorders>
          </w:tcPr>
          <w:p w14:paraId="74F9F141" w14:textId="77777777" w:rsidR="00817718" w:rsidRPr="00F05B90" w:rsidRDefault="00817718" w:rsidP="00320854">
            <w:pPr>
              <w:widowControl w:val="0"/>
              <w:autoSpaceDE w:val="0"/>
              <w:autoSpaceDN w:val="0"/>
              <w:adjustRightInd w:val="0"/>
              <w:rPr>
                <w:sz w:val="20"/>
                <w:szCs w:val="20"/>
              </w:rPr>
            </w:pPr>
            <w:r w:rsidRPr="00F05B90">
              <w:rPr>
                <w:sz w:val="20"/>
                <w:szCs w:val="20"/>
              </w:rPr>
              <w:t>BIG4</w:t>
            </w:r>
          </w:p>
        </w:tc>
        <w:tc>
          <w:tcPr>
            <w:tcW w:w="1404" w:type="dxa"/>
            <w:tcBorders>
              <w:top w:val="nil"/>
              <w:left w:val="nil"/>
              <w:bottom w:val="nil"/>
              <w:right w:val="nil"/>
            </w:tcBorders>
          </w:tcPr>
          <w:p w14:paraId="33A93ED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-0.349</w:t>
            </w:r>
          </w:p>
        </w:tc>
        <w:tc>
          <w:tcPr>
            <w:tcW w:w="2016" w:type="dxa"/>
            <w:tcBorders>
              <w:top w:val="nil"/>
              <w:left w:val="nil"/>
              <w:bottom w:val="nil"/>
              <w:right w:val="nil"/>
            </w:tcBorders>
          </w:tcPr>
          <w:p w14:paraId="7EDC314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605BE1C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-0.313</w:t>
            </w:r>
          </w:p>
        </w:tc>
        <w:tc>
          <w:tcPr>
            <w:tcW w:w="2016" w:type="dxa"/>
            <w:tcBorders>
              <w:top w:val="nil"/>
              <w:left w:val="nil"/>
              <w:bottom w:val="nil"/>
              <w:right w:val="nil"/>
            </w:tcBorders>
          </w:tcPr>
          <w:p w14:paraId="3FF0D5A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-0.003</w:t>
            </w:r>
          </w:p>
        </w:tc>
        <w:tc>
          <w:tcPr>
            <w:tcW w:w="2016" w:type="dxa"/>
            <w:tcBorders>
              <w:top w:val="nil"/>
              <w:left w:val="nil"/>
              <w:bottom w:val="nil"/>
              <w:right w:val="nil"/>
            </w:tcBorders>
          </w:tcPr>
          <w:p w14:paraId="15420D8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-0.338</w:t>
            </w:r>
          </w:p>
        </w:tc>
        <w:tc>
          <w:tcPr>
            <w:tcW w:w="2016" w:type="dxa"/>
            <w:tcBorders>
              <w:top w:val="nil"/>
              <w:left w:val="nil"/>
              <w:bottom w:val="nil"/>
              <w:right w:val="nil"/>
            </w:tcBorders>
          </w:tcPr>
          <w:p w14:paraId="220E29B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0.003</w:t>
            </w:r>
          </w:p>
        </w:tc>
      </w:tr>
      <w:tr w:rsidR="00F05B90" w:rsidRPr="00F05B90" w14:paraId="4FF14AE1" w14:textId="77777777" w:rsidTr="00320854">
        <w:tc>
          <w:tcPr>
            <w:tcW w:w="2268" w:type="dxa"/>
            <w:tcBorders>
              <w:top w:val="nil"/>
              <w:left w:val="nil"/>
              <w:bottom w:val="nil"/>
              <w:right w:val="nil"/>
            </w:tcBorders>
          </w:tcPr>
          <w:p w14:paraId="66802B45"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5E08E99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(0.237)</w:t>
            </w:r>
          </w:p>
        </w:tc>
        <w:tc>
          <w:tcPr>
            <w:tcW w:w="2016" w:type="dxa"/>
            <w:tcBorders>
              <w:top w:val="nil"/>
              <w:left w:val="nil"/>
              <w:bottom w:val="nil"/>
              <w:right w:val="nil"/>
            </w:tcBorders>
          </w:tcPr>
          <w:p w14:paraId="16F6BC9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(0.188)</w:t>
            </w:r>
          </w:p>
        </w:tc>
        <w:tc>
          <w:tcPr>
            <w:tcW w:w="2016" w:type="dxa"/>
            <w:tcBorders>
              <w:top w:val="nil"/>
              <w:left w:val="nil"/>
              <w:bottom w:val="nil"/>
              <w:right w:val="nil"/>
            </w:tcBorders>
          </w:tcPr>
          <w:p w14:paraId="12ADF28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(0.230)</w:t>
            </w:r>
          </w:p>
        </w:tc>
        <w:tc>
          <w:tcPr>
            <w:tcW w:w="2016" w:type="dxa"/>
            <w:tcBorders>
              <w:top w:val="nil"/>
              <w:left w:val="nil"/>
              <w:bottom w:val="nil"/>
              <w:right w:val="nil"/>
            </w:tcBorders>
          </w:tcPr>
          <w:p w14:paraId="363E00A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(0.188)</w:t>
            </w:r>
          </w:p>
        </w:tc>
        <w:tc>
          <w:tcPr>
            <w:tcW w:w="2016" w:type="dxa"/>
            <w:tcBorders>
              <w:top w:val="nil"/>
              <w:left w:val="nil"/>
              <w:bottom w:val="nil"/>
              <w:right w:val="nil"/>
            </w:tcBorders>
          </w:tcPr>
          <w:p w14:paraId="03ACF2A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(0.238)</w:t>
            </w:r>
          </w:p>
        </w:tc>
        <w:tc>
          <w:tcPr>
            <w:tcW w:w="2016" w:type="dxa"/>
            <w:tcBorders>
              <w:top w:val="nil"/>
              <w:left w:val="nil"/>
              <w:bottom w:val="nil"/>
              <w:right w:val="nil"/>
            </w:tcBorders>
          </w:tcPr>
          <w:p w14:paraId="1CE673B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(0.190)</w:t>
            </w:r>
          </w:p>
        </w:tc>
      </w:tr>
      <w:tr w:rsidR="00F05B90" w:rsidRPr="00F05B90" w14:paraId="1B237572" w14:textId="77777777" w:rsidTr="00320854">
        <w:tc>
          <w:tcPr>
            <w:tcW w:w="2268" w:type="dxa"/>
            <w:tcBorders>
              <w:top w:val="nil"/>
              <w:left w:val="nil"/>
              <w:bottom w:val="nil"/>
              <w:right w:val="nil"/>
            </w:tcBorders>
          </w:tcPr>
          <w:p w14:paraId="76D2840F" w14:textId="77777777" w:rsidR="00817718" w:rsidRPr="00F05B90" w:rsidRDefault="00817718" w:rsidP="00320854">
            <w:pPr>
              <w:widowControl w:val="0"/>
              <w:autoSpaceDE w:val="0"/>
              <w:autoSpaceDN w:val="0"/>
              <w:adjustRightInd w:val="0"/>
              <w:rPr>
                <w:sz w:val="20"/>
                <w:szCs w:val="20"/>
              </w:rPr>
            </w:pPr>
            <w:r w:rsidRPr="00F05B90">
              <w:rPr>
                <w:sz w:val="20"/>
                <w:szCs w:val="20"/>
              </w:rPr>
              <w:t>ACIndep</w:t>
            </w:r>
          </w:p>
        </w:tc>
        <w:tc>
          <w:tcPr>
            <w:tcW w:w="1404" w:type="dxa"/>
            <w:tcBorders>
              <w:top w:val="nil"/>
              <w:left w:val="nil"/>
              <w:bottom w:val="nil"/>
              <w:right w:val="nil"/>
            </w:tcBorders>
          </w:tcPr>
          <w:p w14:paraId="052129F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0.086</w:t>
            </w:r>
          </w:p>
        </w:tc>
        <w:tc>
          <w:tcPr>
            <w:tcW w:w="2016" w:type="dxa"/>
            <w:tcBorders>
              <w:top w:val="nil"/>
              <w:left w:val="nil"/>
              <w:bottom w:val="nil"/>
              <w:right w:val="nil"/>
            </w:tcBorders>
          </w:tcPr>
          <w:p w14:paraId="6454902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-0.167</w:t>
            </w:r>
          </w:p>
        </w:tc>
        <w:tc>
          <w:tcPr>
            <w:tcW w:w="2016" w:type="dxa"/>
            <w:tcBorders>
              <w:top w:val="nil"/>
              <w:left w:val="nil"/>
              <w:bottom w:val="nil"/>
              <w:right w:val="nil"/>
            </w:tcBorders>
          </w:tcPr>
          <w:p w14:paraId="1B2BC9D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0.193</w:t>
            </w:r>
          </w:p>
        </w:tc>
        <w:tc>
          <w:tcPr>
            <w:tcW w:w="2016" w:type="dxa"/>
            <w:tcBorders>
              <w:top w:val="nil"/>
              <w:left w:val="nil"/>
              <w:bottom w:val="nil"/>
              <w:right w:val="nil"/>
            </w:tcBorders>
          </w:tcPr>
          <w:p w14:paraId="79EB1F7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-0.133</w:t>
            </w:r>
          </w:p>
        </w:tc>
        <w:tc>
          <w:tcPr>
            <w:tcW w:w="2016" w:type="dxa"/>
            <w:tcBorders>
              <w:top w:val="nil"/>
              <w:left w:val="nil"/>
              <w:bottom w:val="nil"/>
              <w:right w:val="nil"/>
            </w:tcBorders>
          </w:tcPr>
          <w:p w14:paraId="4C23C4D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-0.035</w:t>
            </w:r>
          </w:p>
        </w:tc>
        <w:tc>
          <w:tcPr>
            <w:tcW w:w="2016" w:type="dxa"/>
            <w:tcBorders>
              <w:top w:val="nil"/>
              <w:left w:val="nil"/>
              <w:bottom w:val="nil"/>
              <w:right w:val="nil"/>
            </w:tcBorders>
          </w:tcPr>
          <w:p w14:paraId="1343626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-0.142</w:t>
            </w:r>
          </w:p>
        </w:tc>
      </w:tr>
      <w:tr w:rsidR="00F05B90" w:rsidRPr="00F05B90" w14:paraId="1AA8B080" w14:textId="77777777" w:rsidTr="00320854">
        <w:tc>
          <w:tcPr>
            <w:tcW w:w="2268" w:type="dxa"/>
            <w:tcBorders>
              <w:top w:val="nil"/>
              <w:left w:val="nil"/>
              <w:bottom w:val="nil"/>
              <w:right w:val="nil"/>
            </w:tcBorders>
          </w:tcPr>
          <w:p w14:paraId="3A5D5056"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28DFB66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(0.868)</w:t>
            </w:r>
          </w:p>
        </w:tc>
        <w:tc>
          <w:tcPr>
            <w:tcW w:w="2016" w:type="dxa"/>
            <w:tcBorders>
              <w:top w:val="nil"/>
              <w:left w:val="nil"/>
              <w:bottom w:val="nil"/>
              <w:right w:val="nil"/>
            </w:tcBorders>
          </w:tcPr>
          <w:p w14:paraId="2964777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(0.592)</w:t>
            </w:r>
          </w:p>
        </w:tc>
        <w:tc>
          <w:tcPr>
            <w:tcW w:w="2016" w:type="dxa"/>
            <w:tcBorders>
              <w:top w:val="nil"/>
              <w:left w:val="nil"/>
              <w:bottom w:val="nil"/>
              <w:right w:val="nil"/>
            </w:tcBorders>
          </w:tcPr>
          <w:p w14:paraId="0E48BE7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(0.873)</w:t>
            </w:r>
          </w:p>
        </w:tc>
        <w:tc>
          <w:tcPr>
            <w:tcW w:w="2016" w:type="dxa"/>
            <w:tcBorders>
              <w:top w:val="nil"/>
              <w:left w:val="nil"/>
              <w:bottom w:val="nil"/>
              <w:right w:val="nil"/>
            </w:tcBorders>
          </w:tcPr>
          <w:p w14:paraId="17C0B79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(0.581)</w:t>
            </w:r>
          </w:p>
        </w:tc>
        <w:tc>
          <w:tcPr>
            <w:tcW w:w="2016" w:type="dxa"/>
            <w:tcBorders>
              <w:top w:val="nil"/>
              <w:left w:val="nil"/>
              <w:bottom w:val="nil"/>
              <w:right w:val="nil"/>
            </w:tcBorders>
          </w:tcPr>
          <w:p w14:paraId="574F470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(0.879)</w:t>
            </w:r>
          </w:p>
        </w:tc>
        <w:tc>
          <w:tcPr>
            <w:tcW w:w="2016" w:type="dxa"/>
            <w:tcBorders>
              <w:top w:val="nil"/>
              <w:left w:val="nil"/>
              <w:bottom w:val="nil"/>
              <w:right w:val="nil"/>
            </w:tcBorders>
          </w:tcPr>
          <w:p w14:paraId="17650CC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(0.591)</w:t>
            </w:r>
          </w:p>
        </w:tc>
      </w:tr>
      <w:tr w:rsidR="00F05B90" w:rsidRPr="00F05B90" w14:paraId="24F940AE" w14:textId="77777777" w:rsidTr="00320854">
        <w:tc>
          <w:tcPr>
            <w:tcW w:w="2268" w:type="dxa"/>
            <w:tcBorders>
              <w:top w:val="nil"/>
              <w:left w:val="nil"/>
              <w:bottom w:val="nil"/>
              <w:right w:val="nil"/>
            </w:tcBorders>
          </w:tcPr>
          <w:p w14:paraId="5487CF6D" w14:textId="77777777" w:rsidR="00817718" w:rsidRPr="00F05B90" w:rsidRDefault="00817718" w:rsidP="00320854">
            <w:pPr>
              <w:widowControl w:val="0"/>
              <w:autoSpaceDE w:val="0"/>
              <w:autoSpaceDN w:val="0"/>
              <w:adjustRightInd w:val="0"/>
              <w:rPr>
                <w:sz w:val="20"/>
                <w:szCs w:val="20"/>
              </w:rPr>
            </w:pPr>
            <w:r w:rsidRPr="00F05B90">
              <w:rPr>
                <w:sz w:val="20"/>
                <w:szCs w:val="20"/>
              </w:rPr>
              <w:t>BoDIndep</w:t>
            </w:r>
          </w:p>
        </w:tc>
        <w:tc>
          <w:tcPr>
            <w:tcW w:w="1404" w:type="dxa"/>
            <w:tcBorders>
              <w:top w:val="nil"/>
              <w:left w:val="nil"/>
              <w:bottom w:val="nil"/>
              <w:right w:val="nil"/>
            </w:tcBorders>
          </w:tcPr>
          <w:p w14:paraId="792D79E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1.687</w:t>
            </w:r>
            <w:r w:rsidRPr="00F05B90">
              <w:rPr>
                <w:b/>
                <w:bCs/>
                <w:sz w:val="20"/>
                <w:szCs w:val="20"/>
                <w:vertAlign w:val="superscript"/>
              </w:rPr>
              <w:t>***</w:t>
            </w:r>
          </w:p>
        </w:tc>
        <w:tc>
          <w:tcPr>
            <w:tcW w:w="2016" w:type="dxa"/>
            <w:tcBorders>
              <w:top w:val="nil"/>
              <w:left w:val="nil"/>
              <w:bottom w:val="nil"/>
              <w:right w:val="nil"/>
            </w:tcBorders>
          </w:tcPr>
          <w:p w14:paraId="60A9EBE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-0.461</w:t>
            </w:r>
            <w:r w:rsidRPr="00F05B90">
              <w:rPr>
                <w:b/>
                <w:bCs/>
                <w:sz w:val="20"/>
                <w:szCs w:val="20"/>
                <w:vertAlign w:val="superscript"/>
              </w:rPr>
              <w:t>**</w:t>
            </w:r>
          </w:p>
        </w:tc>
        <w:tc>
          <w:tcPr>
            <w:tcW w:w="2016" w:type="dxa"/>
            <w:tcBorders>
              <w:top w:val="nil"/>
              <w:left w:val="nil"/>
              <w:bottom w:val="nil"/>
              <w:right w:val="nil"/>
            </w:tcBorders>
          </w:tcPr>
          <w:p w14:paraId="71CAFEA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1.638</w:t>
            </w:r>
            <w:r w:rsidRPr="00F05B90">
              <w:rPr>
                <w:b/>
                <w:bCs/>
                <w:sz w:val="20"/>
                <w:szCs w:val="20"/>
                <w:vertAlign w:val="superscript"/>
              </w:rPr>
              <w:t>***</w:t>
            </w:r>
          </w:p>
        </w:tc>
        <w:tc>
          <w:tcPr>
            <w:tcW w:w="2016" w:type="dxa"/>
            <w:tcBorders>
              <w:top w:val="nil"/>
              <w:left w:val="nil"/>
              <w:bottom w:val="nil"/>
              <w:right w:val="nil"/>
            </w:tcBorders>
          </w:tcPr>
          <w:p w14:paraId="1398972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-0.477</w:t>
            </w:r>
            <w:r w:rsidRPr="00F05B90">
              <w:rPr>
                <w:b/>
                <w:bCs/>
                <w:sz w:val="20"/>
                <w:szCs w:val="20"/>
                <w:vertAlign w:val="superscript"/>
              </w:rPr>
              <w:t>**</w:t>
            </w:r>
          </w:p>
        </w:tc>
        <w:tc>
          <w:tcPr>
            <w:tcW w:w="2016" w:type="dxa"/>
            <w:tcBorders>
              <w:top w:val="nil"/>
              <w:left w:val="nil"/>
              <w:bottom w:val="nil"/>
              <w:right w:val="nil"/>
            </w:tcBorders>
          </w:tcPr>
          <w:p w14:paraId="5FEA78A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1.686</w:t>
            </w:r>
            <w:r w:rsidRPr="00F05B90">
              <w:rPr>
                <w:b/>
                <w:bCs/>
                <w:sz w:val="20"/>
                <w:szCs w:val="20"/>
                <w:vertAlign w:val="superscript"/>
              </w:rPr>
              <w:t>***</w:t>
            </w:r>
          </w:p>
        </w:tc>
        <w:tc>
          <w:tcPr>
            <w:tcW w:w="2016" w:type="dxa"/>
            <w:tcBorders>
              <w:top w:val="nil"/>
              <w:left w:val="nil"/>
              <w:bottom w:val="nil"/>
              <w:right w:val="nil"/>
            </w:tcBorders>
          </w:tcPr>
          <w:p w14:paraId="4124345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-0.474</w:t>
            </w:r>
            <w:r w:rsidRPr="00F05B90">
              <w:rPr>
                <w:b/>
                <w:bCs/>
                <w:sz w:val="20"/>
                <w:szCs w:val="20"/>
                <w:vertAlign w:val="superscript"/>
              </w:rPr>
              <w:t>**</w:t>
            </w:r>
          </w:p>
        </w:tc>
      </w:tr>
      <w:tr w:rsidR="00F05B90" w:rsidRPr="00F05B90" w14:paraId="39DB1836" w14:textId="77777777" w:rsidTr="00320854">
        <w:tc>
          <w:tcPr>
            <w:tcW w:w="2268" w:type="dxa"/>
            <w:tcBorders>
              <w:top w:val="nil"/>
              <w:left w:val="nil"/>
              <w:bottom w:val="nil"/>
              <w:right w:val="nil"/>
            </w:tcBorders>
          </w:tcPr>
          <w:p w14:paraId="093320D7"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097F927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(0.460)</w:t>
            </w:r>
          </w:p>
        </w:tc>
        <w:tc>
          <w:tcPr>
            <w:tcW w:w="2016" w:type="dxa"/>
            <w:tcBorders>
              <w:top w:val="nil"/>
              <w:left w:val="nil"/>
              <w:bottom w:val="nil"/>
              <w:right w:val="nil"/>
            </w:tcBorders>
          </w:tcPr>
          <w:p w14:paraId="7E2318E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(0.198)</w:t>
            </w:r>
          </w:p>
        </w:tc>
        <w:tc>
          <w:tcPr>
            <w:tcW w:w="2016" w:type="dxa"/>
            <w:tcBorders>
              <w:top w:val="nil"/>
              <w:left w:val="nil"/>
              <w:bottom w:val="nil"/>
              <w:right w:val="nil"/>
            </w:tcBorders>
          </w:tcPr>
          <w:p w14:paraId="237F33C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(0.459)</w:t>
            </w:r>
          </w:p>
        </w:tc>
        <w:tc>
          <w:tcPr>
            <w:tcW w:w="2016" w:type="dxa"/>
            <w:tcBorders>
              <w:top w:val="nil"/>
              <w:left w:val="nil"/>
              <w:bottom w:val="nil"/>
              <w:right w:val="nil"/>
            </w:tcBorders>
          </w:tcPr>
          <w:p w14:paraId="61F3303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(0.205)</w:t>
            </w:r>
          </w:p>
        </w:tc>
        <w:tc>
          <w:tcPr>
            <w:tcW w:w="2016" w:type="dxa"/>
            <w:tcBorders>
              <w:top w:val="nil"/>
              <w:left w:val="nil"/>
              <w:bottom w:val="nil"/>
              <w:right w:val="nil"/>
            </w:tcBorders>
          </w:tcPr>
          <w:p w14:paraId="498E7C2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(0.461)</w:t>
            </w:r>
          </w:p>
        </w:tc>
        <w:tc>
          <w:tcPr>
            <w:tcW w:w="2016" w:type="dxa"/>
            <w:tcBorders>
              <w:top w:val="nil"/>
              <w:left w:val="nil"/>
              <w:bottom w:val="nil"/>
              <w:right w:val="nil"/>
            </w:tcBorders>
          </w:tcPr>
          <w:p w14:paraId="7A3E0F3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(0.200)</w:t>
            </w:r>
          </w:p>
        </w:tc>
      </w:tr>
      <w:tr w:rsidR="00F05B90" w:rsidRPr="00F05B90" w14:paraId="118078D9" w14:textId="77777777" w:rsidTr="00320854">
        <w:tc>
          <w:tcPr>
            <w:tcW w:w="2268" w:type="dxa"/>
            <w:tcBorders>
              <w:top w:val="nil"/>
              <w:left w:val="nil"/>
              <w:bottom w:val="nil"/>
              <w:right w:val="nil"/>
            </w:tcBorders>
          </w:tcPr>
          <w:p w14:paraId="253C9813" w14:textId="77777777" w:rsidR="00817718" w:rsidRPr="00F05B90" w:rsidRDefault="00817718" w:rsidP="00320854">
            <w:pPr>
              <w:widowControl w:val="0"/>
              <w:autoSpaceDE w:val="0"/>
              <w:autoSpaceDN w:val="0"/>
              <w:adjustRightInd w:val="0"/>
              <w:rPr>
                <w:sz w:val="20"/>
                <w:szCs w:val="20"/>
              </w:rPr>
            </w:pPr>
            <w:r w:rsidRPr="00F05B90">
              <w:rPr>
                <w:sz w:val="20"/>
                <w:szCs w:val="20"/>
              </w:rPr>
              <w:t>Leverage</w:t>
            </w:r>
          </w:p>
        </w:tc>
        <w:tc>
          <w:tcPr>
            <w:tcW w:w="1404" w:type="dxa"/>
            <w:tcBorders>
              <w:top w:val="nil"/>
              <w:left w:val="nil"/>
              <w:bottom w:val="nil"/>
              <w:right w:val="nil"/>
            </w:tcBorders>
          </w:tcPr>
          <w:p w14:paraId="20A2DD2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230C041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c>
          <w:tcPr>
            <w:tcW w:w="2016" w:type="dxa"/>
            <w:tcBorders>
              <w:top w:val="nil"/>
              <w:left w:val="nil"/>
              <w:bottom w:val="nil"/>
              <w:right w:val="nil"/>
            </w:tcBorders>
          </w:tcPr>
          <w:p w14:paraId="1F0643D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4E658C9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c>
          <w:tcPr>
            <w:tcW w:w="2016" w:type="dxa"/>
            <w:tcBorders>
              <w:top w:val="nil"/>
              <w:left w:val="nil"/>
              <w:bottom w:val="nil"/>
              <w:right w:val="nil"/>
            </w:tcBorders>
          </w:tcPr>
          <w:p w14:paraId="28D0200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536980D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r>
      <w:tr w:rsidR="00F05B90" w:rsidRPr="00F05B90" w14:paraId="149C076D" w14:textId="77777777" w:rsidTr="00320854">
        <w:tc>
          <w:tcPr>
            <w:tcW w:w="2268" w:type="dxa"/>
            <w:tcBorders>
              <w:top w:val="nil"/>
              <w:left w:val="nil"/>
              <w:bottom w:val="nil"/>
              <w:right w:val="nil"/>
            </w:tcBorders>
          </w:tcPr>
          <w:p w14:paraId="08A8CDEA"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4EF03C8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(0.014)</w:t>
            </w:r>
          </w:p>
        </w:tc>
        <w:tc>
          <w:tcPr>
            <w:tcW w:w="2016" w:type="dxa"/>
            <w:tcBorders>
              <w:top w:val="nil"/>
              <w:left w:val="nil"/>
              <w:bottom w:val="nil"/>
              <w:right w:val="nil"/>
            </w:tcBorders>
          </w:tcPr>
          <w:p w14:paraId="714E316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c>
          <w:tcPr>
            <w:tcW w:w="2016" w:type="dxa"/>
            <w:tcBorders>
              <w:top w:val="nil"/>
              <w:left w:val="nil"/>
              <w:bottom w:val="nil"/>
              <w:right w:val="nil"/>
            </w:tcBorders>
          </w:tcPr>
          <w:p w14:paraId="5FC9FEA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(0.015)</w:t>
            </w:r>
          </w:p>
        </w:tc>
        <w:tc>
          <w:tcPr>
            <w:tcW w:w="2016" w:type="dxa"/>
            <w:tcBorders>
              <w:top w:val="nil"/>
              <w:left w:val="nil"/>
              <w:bottom w:val="nil"/>
              <w:right w:val="nil"/>
            </w:tcBorders>
          </w:tcPr>
          <w:p w14:paraId="633B3C6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c>
          <w:tcPr>
            <w:tcW w:w="2016" w:type="dxa"/>
            <w:tcBorders>
              <w:top w:val="nil"/>
              <w:left w:val="nil"/>
              <w:bottom w:val="nil"/>
              <w:right w:val="nil"/>
            </w:tcBorders>
          </w:tcPr>
          <w:p w14:paraId="7288752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(0.014)</w:t>
            </w:r>
          </w:p>
        </w:tc>
        <w:tc>
          <w:tcPr>
            <w:tcW w:w="2016" w:type="dxa"/>
            <w:tcBorders>
              <w:top w:val="nil"/>
              <w:left w:val="nil"/>
              <w:bottom w:val="nil"/>
              <w:right w:val="nil"/>
            </w:tcBorders>
          </w:tcPr>
          <w:p w14:paraId="78028B0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r>
      <w:tr w:rsidR="00F05B90" w:rsidRPr="00F05B90" w14:paraId="594E8743" w14:textId="77777777" w:rsidTr="00320854">
        <w:tc>
          <w:tcPr>
            <w:tcW w:w="2268" w:type="dxa"/>
            <w:tcBorders>
              <w:top w:val="nil"/>
              <w:left w:val="nil"/>
              <w:bottom w:val="nil"/>
              <w:right w:val="nil"/>
            </w:tcBorders>
          </w:tcPr>
          <w:p w14:paraId="40D59486" w14:textId="77777777" w:rsidR="00817718" w:rsidRPr="00F05B90" w:rsidRDefault="00817718" w:rsidP="00320854">
            <w:pPr>
              <w:widowControl w:val="0"/>
              <w:autoSpaceDE w:val="0"/>
              <w:autoSpaceDN w:val="0"/>
              <w:adjustRightInd w:val="0"/>
              <w:rPr>
                <w:sz w:val="20"/>
                <w:szCs w:val="20"/>
              </w:rPr>
            </w:pPr>
            <w:r w:rsidRPr="00F05B90">
              <w:rPr>
                <w:sz w:val="20"/>
                <w:szCs w:val="20"/>
              </w:rPr>
              <w:t>LOSS</w:t>
            </w:r>
          </w:p>
        </w:tc>
        <w:tc>
          <w:tcPr>
            <w:tcW w:w="1404" w:type="dxa"/>
            <w:tcBorders>
              <w:top w:val="nil"/>
              <w:left w:val="nil"/>
              <w:bottom w:val="nil"/>
              <w:right w:val="nil"/>
            </w:tcBorders>
          </w:tcPr>
          <w:p w14:paraId="5CAFADC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0.200</w:t>
            </w:r>
          </w:p>
        </w:tc>
        <w:tc>
          <w:tcPr>
            <w:tcW w:w="2016" w:type="dxa"/>
            <w:tcBorders>
              <w:top w:val="nil"/>
              <w:left w:val="nil"/>
              <w:bottom w:val="nil"/>
              <w:right w:val="nil"/>
            </w:tcBorders>
          </w:tcPr>
          <w:p w14:paraId="5AAB522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0.310</w:t>
            </w:r>
            <w:r w:rsidRPr="00F05B90">
              <w:rPr>
                <w:b/>
                <w:bCs/>
                <w:sz w:val="20"/>
                <w:szCs w:val="20"/>
                <w:vertAlign w:val="superscript"/>
              </w:rPr>
              <w:t>***</w:t>
            </w:r>
          </w:p>
        </w:tc>
        <w:tc>
          <w:tcPr>
            <w:tcW w:w="2016" w:type="dxa"/>
            <w:tcBorders>
              <w:top w:val="nil"/>
              <w:left w:val="nil"/>
              <w:bottom w:val="nil"/>
              <w:right w:val="nil"/>
            </w:tcBorders>
          </w:tcPr>
          <w:p w14:paraId="797AD92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0.178</w:t>
            </w:r>
          </w:p>
        </w:tc>
        <w:tc>
          <w:tcPr>
            <w:tcW w:w="2016" w:type="dxa"/>
            <w:tcBorders>
              <w:top w:val="nil"/>
              <w:left w:val="nil"/>
              <w:bottom w:val="nil"/>
              <w:right w:val="nil"/>
            </w:tcBorders>
          </w:tcPr>
          <w:p w14:paraId="78EAE36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0.311</w:t>
            </w:r>
            <w:r w:rsidRPr="00F05B90">
              <w:rPr>
                <w:b/>
                <w:bCs/>
                <w:sz w:val="20"/>
                <w:szCs w:val="20"/>
                <w:vertAlign w:val="superscript"/>
              </w:rPr>
              <w:t>***</w:t>
            </w:r>
          </w:p>
        </w:tc>
        <w:tc>
          <w:tcPr>
            <w:tcW w:w="2016" w:type="dxa"/>
            <w:tcBorders>
              <w:top w:val="nil"/>
              <w:left w:val="nil"/>
              <w:bottom w:val="nil"/>
              <w:right w:val="nil"/>
            </w:tcBorders>
          </w:tcPr>
          <w:p w14:paraId="6623901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0.197</w:t>
            </w:r>
          </w:p>
        </w:tc>
        <w:tc>
          <w:tcPr>
            <w:tcW w:w="2016" w:type="dxa"/>
            <w:tcBorders>
              <w:top w:val="nil"/>
              <w:left w:val="nil"/>
              <w:bottom w:val="nil"/>
              <w:right w:val="nil"/>
            </w:tcBorders>
          </w:tcPr>
          <w:p w14:paraId="7D5C4EF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0.310</w:t>
            </w:r>
            <w:r w:rsidRPr="00F05B90">
              <w:rPr>
                <w:b/>
                <w:bCs/>
                <w:sz w:val="20"/>
                <w:szCs w:val="20"/>
                <w:vertAlign w:val="superscript"/>
              </w:rPr>
              <w:t>***</w:t>
            </w:r>
          </w:p>
        </w:tc>
      </w:tr>
      <w:tr w:rsidR="00F05B90" w:rsidRPr="00F05B90" w14:paraId="7CDACF28" w14:textId="77777777" w:rsidTr="00320854">
        <w:tc>
          <w:tcPr>
            <w:tcW w:w="2268" w:type="dxa"/>
            <w:tcBorders>
              <w:top w:val="nil"/>
              <w:left w:val="nil"/>
              <w:bottom w:val="nil"/>
              <w:right w:val="nil"/>
            </w:tcBorders>
          </w:tcPr>
          <w:p w14:paraId="34A80941"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2D77DC6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(0.180)</w:t>
            </w:r>
          </w:p>
        </w:tc>
        <w:tc>
          <w:tcPr>
            <w:tcW w:w="2016" w:type="dxa"/>
            <w:tcBorders>
              <w:top w:val="nil"/>
              <w:left w:val="nil"/>
              <w:bottom w:val="nil"/>
              <w:right w:val="nil"/>
            </w:tcBorders>
          </w:tcPr>
          <w:p w14:paraId="6A4E3FF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(0.073)</w:t>
            </w:r>
          </w:p>
        </w:tc>
        <w:tc>
          <w:tcPr>
            <w:tcW w:w="2016" w:type="dxa"/>
            <w:tcBorders>
              <w:top w:val="nil"/>
              <w:left w:val="nil"/>
              <w:bottom w:val="nil"/>
              <w:right w:val="nil"/>
            </w:tcBorders>
          </w:tcPr>
          <w:p w14:paraId="56F7DE0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(0.180)</w:t>
            </w:r>
          </w:p>
        </w:tc>
        <w:tc>
          <w:tcPr>
            <w:tcW w:w="2016" w:type="dxa"/>
            <w:tcBorders>
              <w:top w:val="nil"/>
              <w:left w:val="nil"/>
              <w:bottom w:val="nil"/>
              <w:right w:val="nil"/>
            </w:tcBorders>
          </w:tcPr>
          <w:p w14:paraId="7E0ED9A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(0.073)</w:t>
            </w:r>
          </w:p>
        </w:tc>
        <w:tc>
          <w:tcPr>
            <w:tcW w:w="2016" w:type="dxa"/>
            <w:tcBorders>
              <w:top w:val="nil"/>
              <w:left w:val="nil"/>
              <w:bottom w:val="nil"/>
              <w:right w:val="nil"/>
            </w:tcBorders>
          </w:tcPr>
          <w:p w14:paraId="1AC11E0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(0.180)</w:t>
            </w:r>
          </w:p>
        </w:tc>
        <w:tc>
          <w:tcPr>
            <w:tcW w:w="2016" w:type="dxa"/>
            <w:tcBorders>
              <w:top w:val="nil"/>
              <w:left w:val="nil"/>
              <w:bottom w:val="nil"/>
              <w:right w:val="nil"/>
            </w:tcBorders>
          </w:tcPr>
          <w:p w14:paraId="7DA9F9A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(0.073)</w:t>
            </w:r>
          </w:p>
        </w:tc>
      </w:tr>
      <w:tr w:rsidR="00F05B90" w:rsidRPr="00F05B90" w14:paraId="282726E1" w14:textId="77777777" w:rsidTr="00320854">
        <w:tc>
          <w:tcPr>
            <w:tcW w:w="2268" w:type="dxa"/>
            <w:tcBorders>
              <w:top w:val="nil"/>
              <w:left w:val="nil"/>
              <w:bottom w:val="nil"/>
              <w:right w:val="nil"/>
            </w:tcBorders>
          </w:tcPr>
          <w:p w14:paraId="714A35ED" w14:textId="77777777" w:rsidR="00817718" w:rsidRPr="00F05B90" w:rsidRDefault="00817718" w:rsidP="00320854">
            <w:pPr>
              <w:widowControl w:val="0"/>
              <w:autoSpaceDE w:val="0"/>
              <w:autoSpaceDN w:val="0"/>
              <w:adjustRightInd w:val="0"/>
              <w:rPr>
                <w:sz w:val="20"/>
                <w:szCs w:val="20"/>
              </w:rPr>
            </w:pPr>
            <w:r w:rsidRPr="00F05B90">
              <w:rPr>
                <w:sz w:val="20"/>
                <w:szCs w:val="20"/>
              </w:rPr>
              <w:t>CurrentR</w:t>
            </w:r>
          </w:p>
        </w:tc>
        <w:tc>
          <w:tcPr>
            <w:tcW w:w="1404" w:type="dxa"/>
            <w:tcBorders>
              <w:top w:val="nil"/>
              <w:left w:val="nil"/>
              <w:bottom w:val="nil"/>
              <w:right w:val="nil"/>
            </w:tcBorders>
          </w:tcPr>
          <w:p w14:paraId="4703C3C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-0.155</w:t>
            </w:r>
            <w:r w:rsidRPr="00F05B90">
              <w:rPr>
                <w:b/>
                <w:bCs/>
                <w:sz w:val="20"/>
                <w:szCs w:val="20"/>
                <w:vertAlign w:val="superscript"/>
              </w:rPr>
              <w:t>***</w:t>
            </w:r>
          </w:p>
        </w:tc>
        <w:tc>
          <w:tcPr>
            <w:tcW w:w="2016" w:type="dxa"/>
            <w:tcBorders>
              <w:top w:val="nil"/>
              <w:left w:val="nil"/>
              <w:bottom w:val="nil"/>
              <w:right w:val="nil"/>
            </w:tcBorders>
          </w:tcPr>
          <w:p w14:paraId="767B6F4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7869E96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-0.154</w:t>
            </w:r>
            <w:r w:rsidRPr="00F05B90">
              <w:rPr>
                <w:b/>
                <w:bCs/>
                <w:sz w:val="20"/>
                <w:szCs w:val="20"/>
                <w:vertAlign w:val="superscript"/>
              </w:rPr>
              <w:t>***</w:t>
            </w:r>
          </w:p>
        </w:tc>
        <w:tc>
          <w:tcPr>
            <w:tcW w:w="2016" w:type="dxa"/>
            <w:tcBorders>
              <w:top w:val="nil"/>
              <w:left w:val="nil"/>
              <w:bottom w:val="nil"/>
              <w:right w:val="nil"/>
            </w:tcBorders>
          </w:tcPr>
          <w:p w14:paraId="122B641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25AB9A3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-0.154</w:t>
            </w:r>
            <w:r w:rsidRPr="00F05B90">
              <w:rPr>
                <w:b/>
                <w:bCs/>
                <w:sz w:val="20"/>
                <w:szCs w:val="20"/>
                <w:vertAlign w:val="superscript"/>
              </w:rPr>
              <w:t>***</w:t>
            </w:r>
          </w:p>
        </w:tc>
        <w:tc>
          <w:tcPr>
            <w:tcW w:w="2016" w:type="dxa"/>
            <w:tcBorders>
              <w:top w:val="nil"/>
              <w:left w:val="nil"/>
              <w:bottom w:val="nil"/>
              <w:right w:val="nil"/>
            </w:tcBorders>
          </w:tcPr>
          <w:p w14:paraId="43477A2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r>
      <w:tr w:rsidR="00F05B90" w:rsidRPr="00F05B90" w14:paraId="0FD2F019" w14:textId="77777777" w:rsidTr="00320854">
        <w:tc>
          <w:tcPr>
            <w:tcW w:w="2268" w:type="dxa"/>
            <w:tcBorders>
              <w:top w:val="nil"/>
              <w:left w:val="nil"/>
              <w:bottom w:val="nil"/>
              <w:right w:val="nil"/>
            </w:tcBorders>
          </w:tcPr>
          <w:p w14:paraId="010B5C5C"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2BE2E80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(0.059)</w:t>
            </w:r>
          </w:p>
        </w:tc>
        <w:tc>
          <w:tcPr>
            <w:tcW w:w="2016" w:type="dxa"/>
            <w:tcBorders>
              <w:top w:val="nil"/>
              <w:left w:val="nil"/>
              <w:bottom w:val="nil"/>
              <w:right w:val="nil"/>
            </w:tcBorders>
          </w:tcPr>
          <w:p w14:paraId="3AEB12C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(0.030)</w:t>
            </w:r>
          </w:p>
        </w:tc>
        <w:tc>
          <w:tcPr>
            <w:tcW w:w="2016" w:type="dxa"/>
            <w:tcBorders>
              <w:top w:val="nil"/>
              <w:left w:val="nil"/>
              <w:bottom w:val="nil"/>
              <w:right w:val="nil"/>
            </w:tcBorders>
          </w:tcPr>
          <w:p w14:paraId="673C4C4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(0.059)</w:t>
            </w:r>
          </w:p>
        </w:tc>
        <w:tc>
          <w:tcPr>
            <w:tcW w:w="2016" w:type="dxa"/>
            <w:tcBorders>
              <w:top w:val="nil"/>
              <w:left w:val="nil"/>
              <w:bottom w:val="nil"/>
              <w:right w:val="nil"/>
            </w:tcBorders>
          </w:tcPr>
          <w:p w14:paraId="0F46F1D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(0.030)</w:t>
            </w:r>
          </w:p>
        </w:tc>
        <w:tc>
          <w:tcPr>
            <w:tcW w:w="2016" w:type="dxa"/>
            <w:tcBorders>
              <w:top w:val="nil"/>
              <w:left w:val="nil"/>
              <w:bottom w:val="nil"/>
              <w:right w:val="nil"/>
            </w:tcBorders>
          </w:tcPr>
          <w:p w14:paraId="2FB8D23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(0.059)</w:t>
            </w:r>
          </w:p>
        </w:tc>
        <w:tc>
          <w:tcPr>
            <w:tcW w:w="2016" w:type="dxa"/>
            <w:tcBorders>
              <w:top w:val="nil"/>
              <w:left w:val="nil"/>
              <w:bottom w:val="nil"/>
              <w:right w:val="nil"/>
            </w:tcBorders>
          </w:tcPr>
          <w:p w14:paraId="6064A32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(0.030)</w:t>
            </w:r>
          </w:p>
        </w:tc>
      </w:tr>
      <w:tr w:rsidR="00F05B90" w:rsidRPr="00F05B90" w14:paraId="491E024C" w14:textId="77777777" w:rsidTr="00320854">
        <w:tc>
          <w:tcPr>
            <w:tcW w:w="2268" w:type="dxa"/>
            <w:tcBorders>
              <w:top w:val="nil"/>
              <w:left w:val="nil"/>
              <w:bottom w:val="nil"/>
              <w:right w:val="nil"/>
            </w:tcBorders>
          </w:tcPr>
          <w:p w14:paraId="2A51B105" w14:textId="77777777" w:rsidR="00817718" w:rsidRPr="00F05B90" w:rsidRDefault="00817718" w:rsidP="00320854">
            <w:pPr>
              <w:widowControl w:val="0"/>
              <w:autoSpaceDE w:val="0"/>
              <w:autoSpaceDN w:val="0"/>
              <w:adjustRightInd w:val="0"/>
              <w:rPr>
                <w:sz w:val="20"/>
                <w:szCs w:val="20"/>
              </w:rPr>
            </w:pPr>
            <w:r w:rsidRPr="00F05B90">
              <w:rPr>
                <w:sz w:val="20"/>
                <w:szCs w:val="20"/>
              </w:rPr>
              <w:t>ROA</w:t>
            </w:r>
          </w:p>
        </w:tc>
        <w:tc>
          <w:tcPr>
            <w:tcW w:w="1404" w:type="dxa"/>
            <w:tcBorders>
              <w:top w:val="nil"/>
              <w:left w:val="nil"/>
              <w:bottom w:val="nil"/>
              <w:right w:val="nil"/>
            </w:tcBorders>
          </w:tcPr>
          <w:p w14:paraId="1B00E0A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-0.026</w:t>
            </w:r>
            <w:r w:rsidRPr="00F05B90">
              <w:rPr>
                <w:b/>
                <w:bCs/>
                <w:sz w:val="20"/>
                <w:szCs w:val="20"/>
                <w:vertAlign w:val="superscript"/>
              </w:rPr>
              <w:t>***</w:t>
            </w:r>
          </w:p>
        </w:tc>
        <w:tc>
          <w:tcPr>
            <w:tcW w:w="2016" w:type="dxa"/>
            <w:tcBorders>
              <w:top w:val="nil"/>
              <w:left w:val="nil"/>
              <w:bottom w:val="nil"/>
              <w:right w:val="nil"/>
            </w:tcBorders>
          </w:tcPr>
          <w:p w14:paraId="0BB7970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0.038</w:t>
            </w:r>
            <w:r w:rsidRPr="00F05B90">
              <w:rPr>
                <w:b/>
                <w:bCs/>
                <w:sz w:val="20"/>
                <w:szCs w:val="20"/>
                <w:vertAlign w:val="superscript"/>
              </w:rPr>
              <w:t>***</w:t>
            </w:r>
          </w:p>
        </w:tc>
        <w:tc>
          <w:tcPr>
            <w:tcW w:w="2016" w:type="dxa"/>
            <w:tcBorders>
              <w:top w:val="nil"/>
              <w:left w:val="nil"/>
              <w:bottom w:val="nil"/>
              <w:right w:val="nil"/>
            </w:tcBorders>
          </w:tcPr>
          <w:p w14:paraId="1D2A978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-0.026</w:t>
            </w:r>
            <w:r w:rsidRPr="00F05B90">
              <w:rPr>
                <w:b/>
                <w:bCs/>
                <w:sz w:val="20"/>
                <w:szCs w:val="20"/>
                <w:vertAlign w:val="superscript"/>
              </w:rPr>
              <w:t>***</w:t>
            </w:r>
          </w:p>
        </w:tc>
        <w:tc>
          <w:tcPr>
            <w:tcW w:w="2016" w:type="dxa"/>
            <w:tcBorders>
              <w:top w:val="nil"/>
              <w:left w:val="nil"/>
              <w:bottom w:val="nil"/>
              <w:right w:val="nil"/>
            </w:tcBorders>
          </w:tcPr>
          <w:p w14:paraId="0603ECA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0.038</w:t>
            </w:r>
            <w:r w:rsidRPr="00F05B90">
              <w:rPr>
                <w:b/>
                <w:bCs/>
                <w:sz w:val="20"/>
                <w:szCs w:val="20"/>
                <w:vertAlign w:val="superscript"/>
              </w:rPr>
              <w:t>***</w:t>
            </w:r>
          </w:p>
        </w:tc>
        <w:tc>
          <w:tcPr>
            <w:tcW w:w="2016" w:type="dxa"/>
            <w:tcBorders>
              <w:top w:val="nil"/>
              <w:left w:val="nil"/>
              <w:bottom w:val="nil"/>
              <w:right w:val="nil"/>
            </w:tcBorders>
          </w:tcPr>
          <w:p w14:paraId="5F9AE85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-0.026</w:t>
            </w:r>
            <w:r w:rsidRPr="00F05B90">
              <w:rPr>
                <w:b/>
                <w:bCs/>
                <w:sz w:val="20"/>
                <w:szCs w:val="20"/>
                <w:vertAlign w:val="superscript"/>
              </w:rPr>
              <w:t>***</w:t>
            </w:r>
          </w:p>
        </w:tc>
        <w:tc>
          <w:tcPr>
            <w:tcW w:w="2016" w:type="dxa"/>
            <w:tcBorders>
              <w:top w:val="nil"/>
              <w:left w:val="nil"/>
              <w:bottom w:val="nil"/>
              <w:right w:val="nil"/>
            </w:tcBorders>
          </w:tcPr>
          <w:p w14:paraId="54CFF60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0.038</w:t>
            </w:r>
            <w:r w:rsidRPr="00F05B90">
              <w:rPr>
                <w:b/>
                <w:bCs/>
                <w:sz w:val="20"/>
                <w:szCs w:val="20"/>
                <w:vertAlign w:val="superscript"/>
              </w:rPr>
              <w:t>***</w:t>
            </w:r>
          </w:p>
        </w:tc>
      </w:tr>
      <w:tr w:rsidR="00F05B90" w:rsidRPr="00F05B90" w14:paraId="47013AA0" w14:textId="77777777" w:rsidTr="00320854">
        <w:tc>
          <w:tcPr>
            <w:tcW w:w="2268" w:type="dxa"/>
            <w:tcBorders>
              <w:top w:val="nil"/>
              <w:left w:val="nil"/>
              <w:bottom w:val="nil"/>
              <w:right w:val="nil"/>
            </w:tcBorders>
          </w:tcPr>
          <w:p w14:paraId="1F4AE757"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1799C44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010ACEA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c>
          <w:tcPr>
            <w:tcW w:w="2016" w:type="dxa"/>
            <w:tcBorders>
              <w:top w:val="nil"/>
              <w:left w:val="nil"/>
              <w:bottom w:val="nil"/>
              <w:right w:val="nil"/>
            </w:tcBorders>
          </w:tcPr>
          <w:p w14:paraId="16A78D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34E2B8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c>
          <w:tcPr>
            <w:tcW w:w="2016" w:type="dxa"/>
            <w:tcBorders>
              <w:top w:val="nil"/>
              <w:left w:val="nil"/>
              <w:bottom w:val="nil"/>
              <w:right w:val="nil"/>
            </w:tcBorders>
          </w:tcPr>
          <w:p w14:paraId="78C3591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793D7D6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r>
      <w:tr w:rsidR="00F05B90" w:rsidRPr="00F05B90" w14:paraId="2255F4E8" w14:textId="77777777" w:rsidTr="00320854">
        <w:tc>
          <w:tcPr>
            <w:tcW w:w="2268" w:type="dxa"/>
            <w:tcBorders>
              <w:top w:val="nil"/>
              <w:left w:val="nil"/>
              <w:bottom w:val="nil"/>
              <w:right w:val="nil"/>
            </w:tcBorders>
          </w:tcPr>
          <w:p w14:paraId="1532F45A" w14:textId="77777777" w:rsidR="00817718" w:rsidRPr="00F05B90" w:rsidRDefault="00817718" w:rsidP="00320854">
            <w:pPr>
              <w:widowControl w:val="0"/>
              <w:autoSpaceDE w:val="0"/>
              <w:autoSpaceDN w:val="0"/>
              <w:adjustRightInd w:val="0"/>
              <w:rPr>
                <w:sz w:val="20"/>
                <w:szCs w:val="20"/>
              </w:rPr>
            </w:pPr>
            <w:r w:rsidRPr="00F05B90">
              <w:rPr>
                <w:sz w:val="20"/>
                <w:szCs w:val="20"/>
              </w:rPr>
              <w:t>Employees</w:t>
            </w:r>
          </w:p>
        </w:tc>
        <w:tc>
          <w:tcPr>
            <w:tcW w:w="1404" w:type="dxa"/>
            <w:tcBorders>
              <w:top w:val="nil"/>
              <w:left w:val="nil"/>
              <w:bottom w:val="nil"/>
              <w:right w:val="nil"/>
            </w:tcBorders>
          </w:tcPr>
          <w:p w14:paraId="5ED4ED9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29AAE1D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1BA5D85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4469F53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2FF06CB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35874B0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r>
      <w:tr w:rsidR="00F05B90" w:rsidRPr="00F05B90" w14:paraId="06AD073C" w14:textId="77777777" w:rsidTr="00320854">
        <w:tc>
          <w:tcPr>
            <w:tcW w:w="2268" w:type="dxa"/>
            <w:tcBorders>
              <w:top w:val="nil"/>
              <w:left w:val="nil"/>
              <w:bottom w:val="nil"/>
              <w:right w:val="nil"/>
            </w:tcBorders>
          </w:tcPr>
          <w:p w14:paraId="56A125F2"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7F39A18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60F7D35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1E72F20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3ABC502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655B14C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7238C36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r>
      <w:tr w:rsidR="00F05B90" w:rsidRPr="00F05B90" w14:paraId="593AE424" w14:textId="77777777" w:rsidTr="00320854">
        <w:tc>
          <w:tcPr>
            <w:tcW w:w="2268" w:type="dxa"/>
            <w:tcBorders>
              <w:top w:val="nil"/>
              <w:left w:val="nil"/>
              <w:bottom w:val="nil"/>
              <w:right w:val="nil"/>
            </w:tcBorders>
          </w:tcPr>
          <w:p w14:paraId="36FB40EB" w14:textId="77777777" w:rsidR="00817718" w:rsidRPr="00F05B90" w:rsidRDefault="00817718" w:rsidP="00320854">
            <w:pPr>
              <w:widowControl w:val="0"/>
              <w:autoSpaceDE w:val="0"/>
              <w:autoSpaceDN w:val="0"/>
              <w:adjustRightInd w:val="0"/>
              <w:rPr>
                <w:sz w:val="20"/>
                <w:szCs w:val="20"/>
              </w:rPr>
            </w:pPr>
            <w:r w:rsidRPr="00F05B90">
              <w:rPr>
                <w:sz w:val="20"/>
                <w:szCs w:val="20"/>
              </w:rPr>
              <w:t>CEOR</w:t>
            </w:r>
          </w:p>
        </w:tc>
        <w:tc>
          <w:tcPr>
            <w:tcW w:w="1404" w:type="dxa"/>
            <w:tcBorders>
              <w:top w:val="nil"/>
              <w:left w:val="nil"/>
              <w:bottom w:val="nil"/>
              <w:right w:val="nil"/>
            </w:tcBorders>
          </w:tcPr>
          <w:p w14:paraId="5FF6531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07DE330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r w:rsidRPr="00F05B90">
              <w:rPr>
                <w:b/>
                <w:bCs/>
                <w:sz w:val="20"/>
                <w:szCs w:val="20"/>
                <w:vertAlign w:val="superscript"/>
              </w:rPr>
              <w:t>**</w:t>
            </w:r>
          </w:p>
        </w:tc>
        <w:tc>
          <w:tcPr>
            <w:tcW w:w="2016" w:type="dxa"/>
            <w:tcBorders>
              <w:top w:val="nil"/>
              <w:left w:val="nil"/>
              <w:bottom w:val="nil"/>
              <w:right w:val="nil"/>
            </w:tcBorders>
          </w:tcPr>
          <w:p w14:paraId="7259858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6F64D6B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r w:rsidRPr="00F05B90">
              <w:rPr>
                <w:b/>
                <w:bCs/>
                <w:sz w:val="20"/>
                <w:szCs w:val="20"/>
                <w:vertAlign w:val="superscript"/>
              </w:rPr>
              <w:t>**</w:t>
            </w:r>
          </w:p>
        </w:tc>
        <w:tc>
          <w:tcPr>
            <w:tcW w:w="2016" w:type="dxa"/>
            <w:tcBorders>
              <w:top w:val="nil"/>
              <w:left w:val="nil"/>
              <w:bottom w:val="nil"/>
              <w:right w:val="nil"/>
            </w:tcBorders>
          </w:tcPr>
          <w:p w14:paraId="0A8E5E1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12BC349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r w:rsidRPr="00F05B90">
              <w:rPr>
                <w:b/>
                <w:bCs/>
                <w:sz w:val="20"/>
                <w:szCs w:val="20"/>
                <w:vertAlign w:val="superscript"/>
              </w:rPr>
              <w:t>**</w:t>
            </w:r>
          </w:p>
        </w:tc>
      </w:tr>
      <w:tr w:rsidR="00F05B90" w:rsidRPr="00F05B90" w14:paraId="3219A232" w14:textId="77777777" w:rsidTr="00320854">
        <w:tc>
          <w:tcPr>
            <w:tcW w:w="2268" w:type="dxa"/>
            <w:tcBorders>
              <w:top w:val="nil"/>
              <w:left w:val="nil"/>
              <w:bottom w:val="nil"/>
              <w:right w:val="nil"/>
            </w:tcBorders>
          </w:tcPr>
          <w:p w14:paraId="434F1E02"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4D3EFFE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(0.012)</w:t>
            </w:r>
          </w:p>
        </w:tc>
        <w:tc>
          <w:tcPr>
            <w:tcW w:w="2016" w:type="dxa"/>
            <w:tcBorders>
              <w:top w:val="nil"/>
              <w:left w:val="nil"/>
              <w:bottom w:val="nil"/>
              <w:right w:val="nil"/>
            </w:tcBorders>
          </w:tcPr>
          <w:p w14:paraId="04EC1E3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714F903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(0.012)</w:t>
            </w:r>
          </w:p>
        </w:tc>
        <w:tc>
          <w:tcPr>
            <w:tcW w:w="2016" w:type="dxa"/>
            <w:tcBorders>
              <w:top w:val="nil"/>
              <w:left w:val="nil"/>
              <w:bottom w:val="nil"/>
              <w:right w:val="nil"/>
            </w:tcBorders>
          </w:tcPr>
          <w:p w14:paraId="145BD02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214DBAC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(0.012)</w:t>
            </w:r>
          </w:p>
        </w:tc>
        <w:tc>
          <w:tcPr>
            <w:tcW w:w="2016" w:type="dxa"/>
            <w:tcBorders>
              <w:top w:val="nil"/>
              <w:left w:val="nil"/>
              <w:bottom w:val="nil"/>
              <w:right w:val="nil"/>
            </w:tcBorders>
          </w:tcPr>
          <w:p w14:paraId="3E03C7E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r>
      <w:tr w:rsidR="00F05B90" w:rsidRPr="00F05B90" w14:paraId="517FB98E" w14:textId="77777777" w:rsidTr="00320854">
        <w:tc>
          <w:tcPr>
            <w:tcW w:w="2268" w:type="dxa"/>
            <w:tcBorders>
              <w:top w:val="nil"/>
              <w:left w:val="nil"/>
              <w:bottom w:val="nil"/>
              <w:right w:val="nil"/>
            </w:tcBorders>
          </w:tcPr>
          <w:p w14:paraId="1C701C80" w14:textId="77777777" w:rsidR="00817718" w:rsidRPr="00F05B90" w:rsidRDefault="00817718" w:rsidP="00320854">
            <w:pPr>
              <w:widowControl w:val="0"/>
              <w:autoSpaceDE w:val="0"/>
              <w:autoSpaceDN w:val="0"/>
              <w:adjustRightInd w:val="0"/>
              <w:rPr>
                <w:sz w:val="20"/>
                <w:szCs w:val="20"/>
              </w:rPr>
            </w:pPr>
            <w:r w:rsidRPr="00F05B90">
              <w:rPr>
                <w:sz w:val="20"/>
                <w:szCs w:val="20"/>
              </w:rPr>
              <w:t>CEOGender</w:t>
            </w:r>
          </w:p>
        </w:tc>
        <w:tc>
          <w:tcPr>
            <w:tcW w:w="1404" w:type="dxa"/>
            <w:tcBorders>
              <w:top w:val="nil"/>
              <w:left w:val="nil"/>
              <w:bottom w:val="nil"/>
              <w:right w:val="nil"/>
            </w:tcBorders>
          </w:tcPr>
          <w:p w14:paraId="1402272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-0.044</w:t>
            </w:r>
          </w:p>
        </w:tc>
        <w:tc>
          <w:tcPr>
            <w:tcW w:w="2016" w:type="dxa"/>
            <w:tcBorders>
              <w:top w:val="nil"/>
              <w:left w:val="nil"/>
              <w:bottom w:val="nil"/>
              <w:right w:val="nil"/>
            </w:tcBorders>
          </w:tcPr>
          <w:p w14:paraId="31A4D60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-0.152</w:t>
            </w:r>
            <w:r w:rsidRPr="00F05B90">
              <w:rPr>
                <w:b/>
                <w:bCs/>
                <w:sz w:val="20"/>
                <w:szCs w:val="20"/>
                <w:vertAlign w:val="superscript"/>
              </w:rPr>
              <w:t>**</w:t>
            </w:r>
          </w:p>
        </w:tc>
        <w:tc>
          <w:tcPr>
            <w:tcW w:w="2016" w:type="dxa"/>
            <w:tcBorders>
              <w:top w:val="nil"/>
              <w:left w:val="nil"/>
              <w:bottom w:val="nil"/>
              <w:right w:val="nil"/>
            </w:tcBorders>
          </w:tcPr>
          <w:p w14:paraId="1BB4136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-0.118</w:t>
            </w:r>
          </w:p>
        </w:tc>
        <w:tc>
          <w:tcPr>
            <w:tcW w:w="2016" w:type="dxa"/>
            <w:tcBorders>
              <w:top w:val="nil"/>
              <w:left w:val="nil"/>
              <w:bottom w:val="nil"/>
              <w:right w:val="nil"/>
            </w:tcBorders>
          </w:tcPr>
          <w:p w14:paraId="665A159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-0.145</w:t>
            </w:r>
            <w:r w:rsidRPr="00F05B90">
              <w:rPr>
                <w:b/>
                <w:bCs/>
                <w:sz w:val="20"/>
                <w:szCs w:val="20"/>
                <w:vertAlign w:val="superscript"/>
              </w:rPr>
              <w:t>**</w:t>
            </w:r>
          </w:p>
        </w:tc>
        <w:tc>
          <w:tcPr>
            <w:tcW w:w="2016" w:type="dxa"/>
            <w:tcBorders>
              <w:top w:val="nil"/>
              <w:left w:val="nil"/>
              <w:bottom w:val="nil"/>
              <w:right w:val="nil"/>
            </w:tcBorders>
          </w:tcPr>
          <w:p w14:paraId="28FBF9C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-0.034</w:t>
            </w:r>
          </w:p>
        </w:tc>
        <w:tc>
          <w:tcPr>
            <w:tcW w:w="2016" w:type="dxa"/>
            <w:tcBorders>
              <w:top w:val="nil"/>
              <w:left w:val="nil"/>
              <w:bottom w:val="nil"/>
              <w:right w:val="nil"/>
            </w:tcBorders>
          </w:tcPr>
          <w:p w14:paraId="65AA4E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-0.142</w:t>
            </w:r>
            <w:r w:rsidRPr="00F05B90">
              <w:rPr>
                <w:b/>
                <w:bCs/>
                <w:sz w:val="20"/>
                <w:szCs w:val="20"/>
                <w:vertAlign w:val="superscript"/>
              </w:rPr>
              <w:t>**</w:t>
            </w:r>
          </w:p>
        </w:tc>
      </w:tr>
      <w:tr w:rsidR="00F05B90" w:rsidRPr="00F05B90" w14:paraId="06B0DD25" w14:textId="77777777" w:rsidTr="00320854">
        <w:tc>
          <w:tcPr>
            <w:tcW w:w="2268" w:type="dxa"/>
            <w:tcBorders>
              <w:top w:val="nil"/>
              <w:left w:val="nil"/>
              <w:bottom w:val="nil"/>
              <w:right w:val="nil"/>
            </w:tcBorders>
          </w:tcPr>
          <w:p w14:paraId="2BFE6F14"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5AF81AB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(0.173)</w:t>
            </w:r>
          </w:p>
        </w:tc>
        <w:tc>
          <w:tcPr>
            <w:tcW w:w="2016" w:type="dxa"/>
            <w:tcBorders>
              <w:top w:val="nil"/>
              <w:left w:val="nil"/>
              <w:bottom w:val="nil"/>
              <w:right w:val="nil"/>
            </w:tcBorders>
          </w:tcPr>
          <w:p w14:paraId="7B25F77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(0.066)</w:t>
            </w:r>
          </w:p>
        </w:tc>
        <w:tc>
          <w:tcPr>
            <w:tcW w:w="2016" w:type="dxa"/>
            <w:tcBorders>
              <w:top w:val="nil"/>
              <w:left w:val="nil"/>
              <w:bottom w:val="nil"/>
              <w:right w:val="nil"/>
            </w:tcBorders>
          </w:tcPr>
          <w:p w14:paraId="7A94267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(0.161)</w:t>
            </w:r>
          </w:p>
        </w:tc>
        <w:tc>
          <w:tcPr>
            <w:tcW w:w="2016" w:type="dxa"/>
            <w:tcBorders>
              <w:top w:val="nil"/>
              <w:left w:val="nil"/>
              <w:bottom w:val="nil"/>
              <w:right w:val="nil"/>
            </w:tcBorders>
          </w:tcPr>
          <w:p w14:paraId="2093812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(0.063)</w:t>
            </w:r>
          </w:p>
        </w:tc>
        <w:tc>
          <w:tcPr>
            <w:tcW w:w="2016" w:type="dxa"/>
            <w:tcBorders>
              <w:top w:val="nil"/>
              <w:left w:val="nil"/>
              <w:bottom w:val="nil"/>
              <w:right w:val="nil"/>
            </w:tcBorders>
          </w:tcPr>
          <w:p w14:paraId="55CEE01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(0.170)</w:t>
            </w:r>
          </w:p>
        </w:tc>
        <w:tc>
          <w:tcPr>
            <w:tcW w:w="2016" w:type="dxa"/>
            <w:tcBorders>
              <w:top w:val="nil"/>
              <w:left w:val="nil"/>
              <w:bottom w:val="nil"/>
              <w:right w:val="nil"/>
            </w:tcBorders>
          </w:tcPr>
          <w:p w14:paraId="7C77457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(0.066)</w:t>
            </w:r>
          </w:p>
        </w:tc>
      </w:tr>
      <w:tr w:rsidR="00F05B90" w:rsidRPr="00F05B90" w14:paraId="5FA7201D" w14:textId="77777777" w:rsidTr="00320854">
        <w:tc>
          <w:tcPr>
            <w:tcW w:w="2268" w:type="dxa"/>
            <w:tcBorders>
              <w:top w:val="nil"/>
              <w:left w:val="nil"/>
              <w:bottom w:val="nil"/>
              <w:right w:val="nil"/>
            </w:tcBorders>
          </w:tcPr>
          <w:p w14:paraId="4A20921B" w14:textId="77777777" w:rsidR="00817718" w:rsidRPr="00F05B90" w:rsidRDefault="00817718" w:rsidP="00320854">
            <w:pPr>
              <w:widowControl w:val="0"/>
              <w:autoSpaceDE w:val="0"/>
              <w:autoSpaceDN w:val="0"/>
              <w:adjustRightInd w:val="0"/>
              <w:rPr>
                <w:sz w:val="20"/>
                <w:szCs w:val="20"/>
              </w:rPr>
            </w:pPr>
            <w:r w:rsidRPr="00F05B90">
              <w:rPr>
                <w:sz w:val="20"/>
                <w:szCs w:val="20"/>
              </w:rPr>
              <w:t>Retire</w:t>
            </w:r>
          </w:p>
        </w:tc>
        <w:tc>
          <w:tcPr>
            <w:tcW w:w="1404" w:type="dxa"/>
            <w:tcBorders>
              <w:top w:val="nil"/>
              <w:left w:val="nil"/>
              <w:bottom w:val="nil"/>
              <w:right w:val="nil"/>
            </w:tcBorders>
          </w:tcPr>
          <w:p w14:paraId="5E92027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0.175</w:t>
            </w:r>
          </w:p>
        </w:tc>
        <w:tc>
          <w:tcPr>
            <w:tcW w:w="2016" w:type="dxa"/>
            <w:tcBorders>
              <w:top w:val="nil"/>
              <w:left w:val="nil"/>
              <w:bottom w:val="nil"/>
              <w:right w:val="nil"/>
            </w:tcBorders>
          </w:tcPr>
          <w:p w14:paraId="2275048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-0.065</w:t>
            </w:r>
          </w:p>
        </w:tc>
        <w:tc>
          <w:tcPr>
            <w:tcW w:w="2016" w:type="dxa"/>
            <w:tcBorders>
              <w:top w:val="nil"/>
              <w:left w:val="nil"/>
              <w:bottom w:val="nil"/>
              <w:right w:val="nil"/>
            </w:tcBorders>
          </w:tcPr>
          <w:p w14:paraId="7E3B16C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0.225</w:t>
            </w:r>
          </w:p>
        </w:tc>
        <w:tc>
          <w:tcPr>
            <w:tcW w:w="2016" w:type="dxa"/>
            <w:tcBorders>
              <w:top w:val="nil"/>
              <w:left w:val="nil"/>
              <w:bottom w:val="nil"/>
              <w:right w:val="nil"/>
            </w:tcBorders>
          </w:tcPr>
          <w:p w14:paraId="3BE53CB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-0.071</w:t>
            </w:r>
            <w:r w:rsidRPr="00F05B90">
              <w:rPr>
                <w:b/>
                <w:bCs/>
                <w:sz w:val="20"/>
                <w:szCs w:val="20"/>
                <w:vertAlign w:val="superscript"/>
              </w:rPr>
              <w:t>*</w:t>
            </w:r>
          </w:p>
        </w:tc>
        <w:tc>
          <w:tcPr>
            <w:tcW w:w="2016" w:type="dxa"/>
            <w:tcBorders>
              <w:top w:val="nil"/>
              <w:left w:val="nil"/>
              <w:bottom w:val="nil"/>
              <w:right w:val="nil"/>
            </w:tcBorders>
          </w:tcPr>
          <w:p w14:paraId="6457E8E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0.165</w:t>
            </w:r>
          </w:p>
        </w:tc>
        <w:tc>
          <w:tcPr>
            <w:tcW w:w="2016" w:type="dxa"/>
            <w:tcBorders>
              <w:top w:val="nil"/>
              <w:left w:val="nil"/>
              <w:bottom w:val="nil"/>
              <w:right w:val="nil"/>
            </w:tcBorders>
          </w:tcPr>
          <w:p w14:paraId="1B8F331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-0.065</w:t>
            </w:r>
          </w:p>
        </w:tc>
      </w:tr>
      <w:tr w:rsidR="00F05B90" w:rsidRPr="00F05B90" w14:paraId="3B2DB643" w14:textId="77777777" w:rsidTr="00320854">
        <w:tc>
          <w:tcPr>
            <w:tcW w:w="2268" w:type="dxa"/>
            <w:tcBorders>
              <w:top w:val="nil"/>
              <w:left w:val="nil"/>
              <w:bottom w:val="nil"/>
              <w:right w:val="nil"/>
            </w:tcBorders>
          </w:tcPr>
          <w:p w14:paraId="2987EBED"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5E72B27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(0.178)</w:t>
            </w:r>
          </w:p>
        </w:tc>
        <w:tc>
          <w:tcPr>
            <w:tcW w:w="2016" w:type="dxa"/>
            <w:tcBorders>
              <w:top w:val="nil"/>
              <w:left w:val="nil"/>
              <w:bottom w:val="nil"/>
              <w:right w:val="nil"/>
            </w:tcBorders>
          </w:tcPr>
          <w:p w14:paraId="7134A6F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(0.041)</w:t>
            </w:r>
          </w:p>
        </w:tc>
        <w:tc>
          <w:tcPr>
            <w:tcW w:w="2016" w:type="dxa"/>
            <w:tcBorders>
              <w:top w:val="nil"/>
              <w:left w:val="nil"/>
              <w:bottom w:val="nil"/>
              <w:right w:val="nil"/>
            </w:tcBorders>
          </w:tcPr>
          <w:p w14:paraId="0BF62C9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(0.176)</w:t>
            </w:r>
          </w:p>
        </w:tc>
        <w:tc>
          <w:tcPr>
            <w:tcW w:w="2016" w:type="dxa"/>
            <w:tcBorders>
              <w:top w:val="nil"/>
              <w:left w:val="nil"/>
              <w:bottom w:val="nil"/>
              <w:right w:val="nil"/>
            </w:tcBorders>
          </w:tcPr>
          <w:p w14:paraId="7E1A8FF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(0.041)</w:t>
            </w:r>
          </w:p>
        </w:tc>
        <w:tc>
          <w:tcPr>
            <w:tcW w:w="2016" w:type="dxa"/>
            <w:tcBorders>
              <w:top w:val="nil"/>
              <w:left w:val="nil"/>
              <w:bottom w:val="nil"/>
              <w:right w:val="nil"/>
            </w:tcBorders>
          </w:tcPr>
          <w:p w14:paraId="5C1236D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(0.178)</w:t>
            </w:r>
          </w:p>
        </w:tc>
        <w:tc>
          <w:tcPr>
            <w:tcW w:w="2016" w:type="dxa"/>
            <w:tcBorders>
              <w:top w:val="nil"/>
              <w:left w:val="nil"/>
              <w:bottom w:val="nil"/>
              <w:right w:val="nil"/>
            </w:tcBorders>
          </w:tcPr>
          <w:p w14:paraId="41CEF22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(0.041)</w:t>
            </w:r>
          </w:p>
        </w:tc>
      </w:tr>
      <w:tr w:rsidR="00F05B90" w:rsidRPr="00F05B90" w14:paraId="4266022E" w14:textId="77777777" w:rsidTr="00320854">
        <w:tc>
          <w:tcPr>
            <w:tcW w:w="2268" w:type="dxa"/>
            <w:tcBorders>
              <w:top w:val="nil"/>
              <w:left w:val="nil"/>
              <w:bottom w:val="nil"/>
              <w:right w:val="nil"/>
            </w:tcBorders>
          </w:tcPr>
          <w:p w14:paraId="63B6033A" w14:textId="77777777" w:rsidR="00817718" w:rsidRPr="00F05B90" w:rsidRDefault="00817718" w:rsidP="00320854">
            <w:pPr>
              <w:widowControl w:val="0"/>
              <w:autoSpaceDE w:val="0"/>
              <w:autoSpaceDN w:val="0"/>
              <w:adjustRightInd w:val="0"/>
              <w:rPr>
                <w:sz w:val="20"/>
                <w:szCs w:val="20"/>
              </w:rPr>
            </w:pPr>
            <w:r w:rsidRPr="00F05B90">
              <w:rPr>
                <w:sz w:val="20"/>
                <w:szCs w:val="20"/>
              </w:rPr>
              <w:t>Insider</w:t>
            </w:r>
          </w:p>
        </w:tc>
        <w:tc>
          <w:tcPr>
            <w:tcW w:w="1404" w:type="dxa"/>
            <w:tcBorders>
              <w:top w:val="nil"/>
              <w:left w:val="nil"/>
              <w:bottom w:val="nil"/>
              <w:right w:val="nil"/>
            </w:tcBorders>
          </w:tcPr>
          <w:p w14:paraId="58A6AE9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0.136</w:t>
            </w:r>
          </w:p>
        </w:tc>
        <w:tc>
          <w:tcPr>
            <w:tcW w:w="2016" w:type="dxa"/>
            <w:tcBorders>
              <w:top w:val="nil"/>
              <w:left w:val="nil"/>
              <w:bottom w:val="nil"/>
              <w:right w:val="nil"/>
            </w:tcBorders>
          </w:tcPr>
          <w:p w14:paraId="0D84037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c>
          <w:tcPr>
            <w:tcW w:w="2016" w:type="dxa"/>
            <w:tcBorders>
              <w:top w:val="nil"/>
              <w:left w:val="nil"/>
              <w:bottom w:val="nil"/>
              <w:right w:val="nil"/>
            </w:tcBorders>
          </w:tcPr>
          <w:p w14:paraId="1C85995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0.128</w:t>
            </w:r>
          </w:p>
        </w:tc>
        <w:tc>
          <w:tcPr>
            <w:tcW w:w="2016" w:type="dxa"/>
            <w:tcBorders>
              <w:top w:val="nil"/>
              <w:left w:val="nil"/>
              <w:bottom w:val="nil"/>
              <w:right w:val="nil"/>
            </w:tcBorders>
          </w:tcPr>
          <w:p w14:paraId="4C585F6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c>
          <w:tcPr>
            <w:tcW w:w="2016" w:type="dxa"/>
            <w:tcBorders>
              <w:top w:val="nil"/>
              <w:left w:val="nil"/>
              <w:bottom w:val="nil"/>
              <w:right w:val="nil"/>
            </w:tcBorders>
          </w:tcPr>
          <w:p w14:paraId="75516A4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0.137</w:t>
            </w:r>
          </w:p>
        </w:tc>
        <w:tc>
          <w:tcPr>
            <w:tcW w:w="2016" w:type="dxa"/>
            <w:tcBorders>
              <w:top w:val="nil"/>
              <w:left w:val="nil"/>
              <w:bottom w:val="nil"/>
              <w:right w:val="nil"/>
            </w:tcBorders>
          </w:tcPr>
          <w:p w14:paraId="4F6720E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0.016</w:t>
            </w:r>
          </w:p>
        </w:tc>
      </w:tr>
      <w:tr w:rsidR="00F05B90" w:rsidRPr="00F05B90" w14:paraId="08C7B371" w14:textId="77777777" w:rsidTr="00320854">
        <w:tc>
          <w:tcPr>
            <w:tcW w:w="2268" w:type="dxa"/>
            <w:tcBorders>
              <w:top w:val="nil"/>
              <w:left w:val="nil"/>
              <w:bottom w:val="nil"/>
              <w:right w:val="nil"/>
            </w:tcBorders>
          </w:tcPr>
          <w:p w14:paraId="5E6E6465"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nil"/>
              <w:right w:val="nil"/>
            </w:tcBorders>
          </w:tcPr>
          <w:p w14:paraId="4C0E4DA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(0.098)</w:t>
            </w:r>
          </w:p>
        </w:tc>
        <w:tc>
          <w:tcPr>
            <w:tcW w:w="2016" w:type="dxa"/>
            <w:tcBorders>
              <w:top w:val="nil"/>
              <w:left w:val="nil"/>
              <w:bottom w:val="nil"/>
              <w:right w:val="nil"/>
            </w:tcBorders>
          </w:tcPr>
          <w:p w14:paraId="5BC707F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(0.039)</w:t>
            </w:r>
          </w:p>
        </w:tc>
        <w:tc>
          <w:tcPr>
            <w:tcW w:w="2016" w:type="dxa"/>
            <w:tcBorders>
              <w:top w:val="nil"/>
              <w:left w:val="nil"/>
              <w:bottom w:val="nil"/>
              <w:right w:val="nil"/>
            </w:tcBorders>
          </w:tcPr>
          <w:p w14:paraId="7D8A77C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(0.097)</w:t>
            </w:r>
          </w:p>
        </w:tc>
        <w:tc>
          <w:tcPr>
            <w:tcW w:w="2016" w:type="dxa"/>
            <w:tcBorders>
              <w:top w:val="nil"/>
              <w:left w:val="nil"/>
              <w:bottom w:val="nil"/>
              <w:right w:val="nil"/>
            </w:tcBorders>
          </w:tcPr>
          <w:p w14:paraId="4423268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(0.040)</w:t>
            </w:r>
          </w:p>
        </w:tc>
        <w:tc>
          <w:tcPr>
            <w:tcW w:w="2016" w:type="dxa"/>
            <w:tcBorders>
              <w:top w:val="nil"/>
              <w:left w:val="nil"/>
              <w:bottom w:val="nil"/>
              <w:right w:val="nil"/>
            </w:tcBorders>
          </w:tcPr>
          <w:p w14:paraId="138ACDD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(0.098)</w:t>
            </w:r>
          </w:p>
        </w:tc>
        <w:tc>
          <w:tcPr>
            <w:tcW w:w="2016" w:type="dxa"/>
            <w:tcBorders>
              <w:top w:val="nil"/>
              <w:left w:val="nil"/>
              <w:bottom w:val="nil"/>
              <w:right w:val="nil"/>
            </w:tcBorders>
          </w:tcPr>
          <w:p w14:paraId="4F08343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(0.039)</w:t>
            </w:r>
          </w:p>
        </w:tc>
      </w:tr>
      <w:tr w:rsidR="00F05B90" w:rsidRPr="00F05B90" w14:paraId="042675B4" w14:textId="77777777" w:rsidTr="00320854">
        <w:tc>
          <w:tcPr>
            <w:tcW w:w="2268" w:type="dxa"/>
            <w:tcBorders>
              <w:top w:val="nil"/>
              <w:left w:val="nil"/>
              <w:bottom w:val="nil"/>
              <w:right w:val="nil"/>
            </w:tcBorders>
          </w:tcPr>
          <w:p w14:paraId="703BB5E3" w14:textId="77777777" w:rsidR="00817718" w:rsidRPr="00F05B90" w:rsidRDefault="00817718" w:rsidP="00320854">
            <w:pPr>
              <w:widowControl w:val="0"/>
              <w:autoSpaceDE w:val="0"/>
              <w:autoSpaceDN w:val="0"/>
              <w:adjustRightInd w:val="0"/>
              <w:rPr>
                <w:sz w:val="20"/>
                <w:szCs w:val="20"/>
              </w:rPr>
            </w:pPr>
            <w:r w:rsidRPr="00F05B90">
              <w:rPr>
                <w:sz w:val="20"/>
                <w:szCs w:val="20"/>
              </w:rPr>
              <w:t>_cons</w:t>
            </w:r>
          </w:p>
        </w:tc>
        <w:tc>
          <w:tcPr>
            <w:tcW w:w="1404" w:type="dxa"/>
            <w:tcBorders>
              <w:top w:val="nil"/>
              <w:left w:val="nil"/>
              <w:bottom w:val="nil"/>
              <w:right w:val="nil"/>
            </w:tcBorders>
          </w:tcPr>
          <w:p w14:paraId="3DBDBC6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4.284</w:t>
            </w:r>
            <w:r w:rsidRPr="00F05B90">
              <w:rPr>
                <w:b/>
                <w:bCs/>
                <w:sz w:val="20"/>
                <w:szCs w:val="20"/>
                <w:vertAlign w:val="superscript"/>
              </w:rPr>
              <w:t>***</w:t>
            </w:r>
          </w:p>
        </w:tc>
        <w:tc>
          <w:tcPr>
            <w:tcW w:w="2016" w:type="dxa"/>
            <w:tcBorders>
              <w:top w:val="nil"/>
              <w:left w:val="nil"/>
              <w:bottom w:val="nil"/>
              <w:right w:val="nil"/>
            </w:tcBorders>
          </w:tcPr>
          <w:p w14:paraId="32F092E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0.849</w:t>
            </w:r>
          </w:p>
        </w:tc>
        <w:tc>
          <w:tcPr>
            <w:tcW w:w="2016" w:type="dxa"/>
            <w:tcBorders>
              <w:top w:val="nil"/>
              <w:left w:val="nil"/>
              <w:bottom w:val="nil"/>
              <w:right w:val="nil"/>
            </w:tcBorders>
          </w:tcPr>
          <w:p w14:paraId="5240949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4.228</w:t>
            </w:r>
            <w:r w:rsidRPr="00F05B90">
              <w:rPr>
                <w:b/>
                <w:bCs/>
                <w:sz w:val="20"/>
                <w:szCs w:val="20"/>
                <w:vertAlign w:val="superscript"/>
              </w:rPr>
              <w:t>***</w:t>
            </w:r>
          </w:p>
        </w:tc>
        <w:tc>
          <w:tcPr>
            <w:tcW w:w="2016" w:type="dxa"/>
            <w:tcBorders>
              <w:top w:val="nil"/>
              <w:left w:val="nil"/>
              <w:bottom w:val="nil"/>
              <w:right w:val="nil"/>
            </w:tcBorders>
          </w:tcPr>
          <w:p w14:paraId="129040B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0.829</w:t>
            </w:r>
          </w:p>
        </w:tc>
        <w:tc>
          <w:tcPr>
            <w:tcW w:w="2016" w:type="dxa"/>
            <w:tcBorders>
              <w:top w:val="nil"/>
              <w:left w:val="nil"/>
              <w:bottom w:val="nil"/>
              <w:right w:val="nil"/>
            </w:tcBorders>
          </w:tcPr>
          <w:p w14:paraId="430E7AC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4.378</w:t>
            </w:r>
            <w:r w:rsidRPr="00F05B90">
              <w:rPr>
                <w:b/>
                <w:bCs/>
                <w:sz w:val="20"/>
                <w:szCs w:val="20"/>
                <w:vertAlign w:val="superscript"/>
              </w:rPr>
              <w:t>***</w:t>
            </w:r>
          </w:p>
        </w:tc>
        <w:tc>
          <w:tcPr>
            <w:tcW w:w="2016" w:type="dxa"/>
            <w:tcBorders>
              <w:top w:val="nil"/>
              <w:left w:val="nil"/>
              <w:bottom w:val="nil"/>
              <w:right w:val="nil"/>
            </w:tcBorders>
          </w:tcPr>
          <w:p w14:paraId="1D87F74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0.826</w:t>
            </w:r>
          </w:p>
        </w:tc>
      </w:tr>
      <w:tr w:rsidR="00F05B90" w:rsidRPr="00F05B90" w14:paraId="27EEA79D" w14:textId="77777777" w:rsidTr="00320854">
        <w:tc>
          <w:tcPr>
            <w:tcW w:w="2268" w:type="dxa"/>
            <w:tcBorders>
              <w:top w:val="nil"/>
              <w:left w:val="nil"/>
              <w:bottom w:val="single" w:sz="12" w:space="0" w:color="auto"/>
              <w:right w:val="nil"/>
            </w:tcBorders>
          </w:tcPr>
          <w:p w14:paraId="527E271F" w14:textId="77777777" w:rsidR="00817718" w:rsidRPr="00F05B90" w:rsidRDefault="00817718" w:rsidP="00320854">
            <w:pPr>
              <w:widowControl w:val="0"/>
              <w:autoSpaceDE w:val="0"/>
              <w:autoSpaceDN w:val="0"/>
              <w:adjustRightInd w:val="0"/>
              <w:rPr>
                <w:sz w:val="20"/>
                <w:szCs w:val="20"/>
              </w:rPr>
            </w:pPr>
          </w:p>
        </w:tc>
        <w:tc>
          <w:tcPr>
            <w:tcW w:w="1404" w:type="dxa"/>
            <w:tcBorders>
              <w:top w:val="nil"/>
              <w:left w:val="nil"/>
              <w:bottom w:val="single" w:sz="12" w:space="0" w:color="auto"/>
              <w:right w:val="nil"/>
            </w:tcBorders>
          </w:tcPr>
          <w:p w14:paraId="4CAFBAF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(0.890)</w:t>
            </w:r>
          </w:p>
        </w:tc>
        <w:tc>
          <w:tcPr>
            <w:tcW w:w="2016" w:type="dxa"/>
            <w:tcBorders>
              <w:top w:val="nil"/>
              <w:left w:val="nil"/>
              <w:bottom w:val="single" w:sz="12" w:space="0" w:color="auto"/>
              <w:right w:val="nil"/>
            </w:tcBorders>
          </w:tcPr>
          <w:p w14:paraId="0CA43C0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(0.734)</w:t>
            </w:r>
          </w:p>
        </w:tc>
        <w:tc>
          <w:tcPr>
            <w:tcW w:w="2016" w:type="dxa"/>
            <w:tcBorders>
              <w:top w:val="nil"/>
              <w:left w:val="nil"/>
              <w:bottom w:val="single" w:sz="12" w:space="0" w:color="auto"/>
              <w:right w:val="nil"/>
            </w:tcBorders>
          </w:tcPr>
          <w:p w14:paraId="139F5EB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(0.892)</w:t>
            </w:r>
          </w:p>
        </w:tc>
        <w:tc>
          <w:tcPr>
            <w:tcW w:w="2016" w:type="dxa"/>
            <w:tcBorders>
              <w:top w:val="nil"/>
              <w:left w:val="nil"/>
              <w:bottom w:val="single" w:sz="12" w:space="0" w:color="auto"/>
              <w:right w:val="nil"/>
            </w:tcBorders>
          </w:tcPr>
          <w:p w14:paraId="64005BB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(0.720)</w:t>
            </w:r>
          </w:p>
        </w:tc>
        <w:tc>
          <w:tcPr>
            <w:tcW w:w="2016" w:type="dxa"/>
            <w:tcBorders>
              <w:top w:val="nil"/>
              <w:left w:val="nil"/>
              <w:bottom w:val="single" w:sz="12" w:space="0" w:color="auto"/>
              <w:right w:val="nil"/>
            </w:tcBorders>
          </w:tcPr>
          <w:p w14:paraId="7CCBEDF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(0.899)</w:t>
            </w:r>
          </w:p>
        </w:tc>
        <w:tc>
          <w:tcPr>
            <w:tcW w:w="2016" w:type="dxa"/>
            <w:tcBorders>
              <w:top w:val="nil"/>
              <w:left w:val="nil"/>
              <w:bottom w:val="single" w:sz="12" w:space="0" w:color="auto"/>
              <w:right w:val="nil"/>
            </w:tcBorders>
          </w:tcPr>
          <w:p w14:paraId="3674550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(0.732)</w:t>
            </w:r>
          </w:p>
        </w:tc>
      </w:tr>
      <w:tr w:rsidR="00F05B90" w:rsidRPr="00F05B90" w14:paraId="12E855DE" w14:textId="77777777" w:rsidTr="00320854">
        <w:tc>
          <w:tcPr>
            <w:tcW w:w="2268" w:type="dxa"/>
            <w:tcBorders>
              <w:top w:val="single" w:sz="12" w:space="0" w:color="auto"/>
              <w:left w:val="nil"/>
              <w:bottom w:val="nil"/>
              <w:right w:val="nil"/>
            </w:tcBorders>
          </w:tcPr>
          <w:p w14:paraId="09A1031C" w14:textId="77777777" w:rsidR="00817718" w:rsidRPr="00F05B90" w:rsidRDefault="00817718" w:rsidP="00320854">
            <w:pPr>
              <w:widowControl w:val="0"/>
              <w:autoSpaceDE w:val="0"/>
              <w:autoSpaceDN w:val="0"/>
              <w:adjustRightInd w:val="0"/>
              <w:rPr>
                <w:sz w:val="20"/>
                <w:szCs w:val="20"/>
              </w:rPr>
            </w:pPr>
            <w:r w:rsidRPr="00F05B90">
              <w:rPr>
                <w:i/>
                <w:iCs/>
                <w:sz w:val="20"/>
                <w:szCs w:val="20"/>
              </w:rPr>
              <w:t>Year FE</w:t>
            </w:r>
          </w:p>
        </w:tc>
        <w:tc>
          <w:tcPr>
            <w:tcW w:w="1404" w:type="dxa"/>
            <w:tcBorders>
              <w:top w:val="single" w:sz="12" w:space="0" w:color="auto"/>
              <w:left w:val="nil"/>
              <w:bottom w:val="nil"/>
              <w:right w:val="nil"/>
            </w:tcBorders>
          </w:tcPr>
          <w:p w14:paraId="0101112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20FCDA8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1F58CF4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2D13BDE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69691B7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004FDD4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77822BD2" w14:textId="77777777" w:rsidTr="00320854">
        <w:tc>
          <w:tcPr>
            <w:tcW w:w="2268" w:type="dxa"/>
            <w:tcBorders>
              <w:top w:val="nil"/>
              <w:left w:val="nil"/>
              <w:bottom w:val="nil"/>
              <w:right w:val="nil"/>
            </w:tcBorders>
          </w:tcPr>
          <w:p w14:paraId="7632E928" w14:textId="77777777" w:rsidR="00817718" w:rsidRPr="00F05B90" w:rsidRDefault="00817718" w:rsidP="00320854">
            <w:pPr>
              <w:widowControl w:val="0"/>
              <w:autoSpaceDE w:val="0"/>
              <w:autoSpaceDN w:val="0"/>
              <w:adjustRightInd w:val="0"/>
              <w:rPr>
                <w:sz w:val="20"/>
                <w:szCs w:val="20"/>
              </w:rPr>
            </w:pPr>
            <w:r w:rsidRPr="00F05B90">
              <w:rPr>
                <w:i/>
                <w:iCs/>
                <w:sz w:val="20"/>
                <w:szCs w:val="20"/>
              </w:rPr>
              <w:t>Industry FE</w:t>
            </w:r>
          </w:p>
        </w:tc>
        <w:tc>
          <w:tcPr>
            <w:tcW w:w="1404" w:type="dxa"/>
            <w:tcBorders>
              <w:top w:val="nil"/>
              <w:left w:val="nil"/>
              <w:bottom w:val="nil"/>
              <w:right w:val="nil"/>
            </w:tcBorders>
          </w:tcPr>
          <w:p w14:paraId="1A27A4F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7DF15AE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2F38ECF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35E8920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36371AD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7B0E87F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5557CBAB" w14:textId="77777777" w:rsidTr="00320854">
        <w:tc>
          <w:tcPr>
            <w:tcW w:w="2268" w:type="dxa"/>
            <w:tcBorders>
              <w:top w:val="nil"/>
              <w:left w:val="nil"/>
              <w:bottom w:val="nil"/>
              <w:right w:val="nil"/>
            </w:tcBorders>
          </w:tcPr>
          <w:p w14:paraId="57D8207B" w14:textId="77777777" w:rsidR="00817718" w:rsidRPr="00F05B90" w:rsidRDefault="00817718" w:rsidP="00320854">
            <w:pPr>
              <w:widowControl w:val="0"/>
              <w:autoSpaceDE w:val="0"/>
              <w:autoSpaceDN w:val="0"/>
              <w:adjustRightInd w:val="0"/>
              <w:rPr>
                <w:sz w:val="20"/>
                <w:szCs w:val="20"/>
              </w:rPr>
            </w:pPr>
            <w:r w:rsidRPr="00F05B90">
              <w:rPr>
                <w:i/>
                <w:iCs/>
                <w:sz w:val="20"/>
                <w:szCs w:val="20"/>
              </w:rPr>
              <w:t>R</w:t>
            </w:r>
            <w:r w:rsidRPr="00F05B90">
              <w:rPr>
                <w:sz w:val="20"/>
                <w:szCs w:val="20"/>
                <w:vertAlign w:val="superscript"/>
              </w:rPr>
              <w:t>2</w:t>
            </w:r>
          </w:p>
        </w:tc>
        <w:tc>
          <w:tcPr>
            <w:tcW w:w="1404" w:type="dxa"/>
            <w:tcBorders>
              <w:top w:val="nil"/>
              <w:left w:val="nil"/>
              <w:bottom w:val="nil"/>
              <w:right w:val="nil"/>
            </w:tcBorders>
          </w:tcPr>
          <w:p w14:paraId="1962FF0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0.260</w:t>
            </w:r>
          </w:p>
        </w:tc>
        <w:tc>
          <w:tcPr>
            <w:tcW w:w="2016" w:type="dxa"/>
            <w:tcBorders>
              <w:top w:val="nil"/>
              <w:left w:val="nil"/>
              <w:bottom w:val="nil"/>
              <w:right w:val="nil"/>
            </w:tcBorders>
          </w:tcPr>
          <w:p w14:paraId="05DD878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0.380</w:t>
            </w:r>
          </w:p>
        </w:tc>
        <w:tc>
          <w:tcPr>
            <w:tcW w:w="2016" w:type="dxa"/>
            <w:tcBorders>
              <w:top w:val="nil"/>
              <w:left w:val="nil"/>
              <w:bottom w:val="nil"/>
              <w:right w:val="nil"/>
            </w:tcBorders>
          </w:tcPr>
          <w:p w14:paraId="1EA6234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0.259</w:t>
            </w:r>
          </w:p>
        </w:tc>
        <w:tc>
          <w:tcPr>
            <w:tcW w:w="2016" w:type="dxa"/>
            <w:tcBorders>
              <w:top w:val="nil"/>
              <w:left w:val="nil"/>
              <w:bottom w:val="nil"/>
              <w:right w:val="nil"/>
            </w:tcBorders>
          </w:tcPr>
          <w:p w14:paraId="66A4730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0.381</w:t>
            </w:r>
          </w:p>
        </w:tc>
        <w:tc>
          <w:tcPr>
            <w:tcW w:w="2016" w:type="dxa"/>
            <w:tcBorders>
              <w:top w:val="nil"/>
              <w:left w:val="nil"/>
              <w:bottom w:val="nil"/>
              <w:right w:val="nil"/>
            </w:tcBorders>
          </w:tcPr>
          <w:p w14:paraId="4DDE70C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0.261</w:t>
            </w:r>
          </w:p>
        </w:tc>
        <w:tc>
          <w:tcPr>
            <w:tcW w:w="2016" w:type="dxa"/>
            <w:tcBorders>
              <w:top w:val="nil"/>
              <w:left w:val="nil"/>
              <w:bottom w:val="nil"/>
              <w:right w:val="nil"/>
            </w:tcBorders>
          </w:tcPr>
          <w:p w14:paraId="699A08F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0.380</w:t>
            </w:r>
          </w:p>
        </w:tc>
      </w:tr>
      <w:tr w:rsidR="00F05B90" w:rsidRPr="00F05B90" w14:paraId="7D3CB091" w14:textId="77777777" w:rsidTr="00320854">
        <w:tc>
          <w:tcPr>
            <w:tcW w:w="2268" w:type="dxa"/>
            <w:tcBorders>
              <w:top w:val="nil"/>
              <w:left w:val="nil"/>
              <w:bottom w:val="nil"/>
              <w:right w:val="nil"/>
            </w:tcBorders>
          </w:tcPr>
          <w:p w14:paraId="242D3F55" w14:textId="77777777" w:rsidR="00817718" w:rsidRPr="00F05B90" w:rsidRDefault="00817718" w:rsidP="00320854">
            <w:pPr>
              <w:widowControl w:val="0"/>
              <w:autoSpaceDE w:val="0"/>
              <w:autoSpaceDN w:val="0"/>
              <w:adjustRightInd w:val="0"/>
              <w:rPr>
                <w:sz w:val="20"/>
                <w:szCs w:val="20"/>
              </w:rPr>
            </w:pPr>
            <w:r w:rsidRPr="00F05B90">
              <w:rPr>
                <w:sz w:val="20"/>
                <w:szCs w:val="20"/>
              </w:rPr>
              <w:t>F</w:t>
            </w:r>
          </w:p>
        </w:tc>
        <w:tc>
          <w:tcPr>
            <w:tcW w:w="1404" w:type="dxa"/>
            <w:tcBorders>
              <w:top w:val="nil"/>
              <w:left w:val="nil"/>
              <w:bottom w:val="nil"/>
              <w:right w:val="nil"/>
            </w:tcBorders>
          </w:tcPr>
          <w:p w14:paraId="76E35C0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7.421</w:t>
            </w:r>
          </w:p>
        </w:tc>
        <w:tc>
          <w:tcPr>
            <w:tcW w:w="2016" w:type="dxa"/>
            <w:tcBorders>
              <w:top w:val="nil"/>
              <w:left w:val="nil"/>
              <w:bottom w:val="nil"/>
              <w:right w:val="nil"/>
            </w:tcBorders>
          </w:tcPr>
          <w:p w14:paraId="0B4F0CB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11.040</w:t>
            </w:r>
          </w:p>
        </w:tc>
        <w:tc>
          <w:tcPr>
            <w:tcW w:w="2016" w:type="dxa"/>
            <w:tcBorders>
              <w:top w:val="nil"/>
              <w:left w:val="nil"/>
              <w:bottom w:val="nil"/>
              <w:right w:val="nil"/>
            </w:tcBorders>
          </w:tcPr>
          <w:p w14:paraId="72A829C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7.518</w:t>
            </w:r>
          </w:p>
        </w:tc>
        <w:tc>
          <w:tcPr>
            <w:tcW w:w="2016" w:type="dxa"/>
            <w:tcBorders>
              <w:top w:val="nil"/>
              <w:left w:val="nil"/>
              <w:bottom w:val="nil"/>
              <w:right w:val="nil"/>
            </w:tcBorders>
          </w:tcPr>
          <w:p w14:paraId="38580BA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10.896</w:t>
            </w:r>
          </w:p>
        </w:tc>
        <w:tc>
          <w:tcPr>
            <w:tcW w:w="2016" w:type="dxa"/>
            <w:tcBorders>
              <w:top w:val="nil"/>
              <w:left w:val="nil"/>
              <w:bottom w:val="nil"/>
              <w:right w:val="nil"/>
            </w:tcBorders>
          </w:tcPr>
          <w:p w14:paraId="24C363B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7.415</w:t>
            </w:r>
          </w:p>
        </w:tc>
        <w:tc>
          <w:tcPr>
            <w:tcW w:w="2016" w:type="dxa"/>
            <w:tcBorders>
              <w:top w:val="nil"/>
              <w:left w:val="nil"/>
              <w:bottom w:val="nil"/>
              <w:right w:val="nil"/>
            </w:tcBorders>
          </w:tcPr>
          <w:p w14:paraId="76D5A58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11.043</w:t>
            </w:r>
          </w:p>
        </w:tc>
      </w:tr>
      <w:tr w:rsidR="00F05B90" w:rsidRPr="00F05B90" w14:paraId="501C6C16" w14:textId="77777777" w:rsidTr="00320854">
        <w:tc>
          <w:tcPr>
            <w:tcW w:w="2268" w:type="dxa"/>
            <w:tcBorders>
              <w:top w:val="nil"/>
              <w:left w:val="nil"/>
              <w:bottom w:val="single" w:sz="12" w:space="0" w:color="auto"/>
              <w:right w:val="nil"/>
            </w:tcBorders>
          </w:tcPr>
          <w:p w14:paraId="1C4E9A3F" w14:textId="77777777" w:rsidR="00817718" w:rsidRPr="00F05B90" w:rsidRDefault="00817718" w:rsidP="00320854">
            <w:pPr>
              <w:widowControl w:val="0"/>
              <w:autoSpaceDE w:val="0"/>
              <w:autoSpaceDN w:val="0"/>
              <w:adjustRightInd w:val="0"/>
              <w:rPr>
                <w:sz w:val="20"/>
                <w:szCs w:val="20"/>
              </w:rPr>
            </w:pPr>
            <w:r w:rsidRPr="00F05B90">
              <w:rPr>
                <w:i/>
                <w:iCs/>
                <w:sz w:val="20"/>
                <w:szCs w:val="20"/>
              </w:rPr>
              <w:t>N</w:t>
            </w:r>
          </w:p>
        </w:tc>
        <w:tc>
          <w:tcPr>
            <w:tcW w:w="1404" w:type="dxa"/>
            <w:tcBorders>
              <w:top w:val="nil"/>
              <w:left w:val="nil"/>
              <w:bottom w:val="single" w:sz="12" w:space="0" w:color="auto"/>
              <w:right w:val="nil"/>
            </w:tcBorders>
          </w:tcPr>
          <w:p w14:paraId="0E80283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c>
          <w:tcPr>
            <w:tcW w:w="2016" w:type="dxa"/>
            <w:tcBorders>
              <w:top w:val="nil"/>
              <w:left w:val="nil"/>
              <w:bottom w:val="single" w:sz="12" w:space="0" w:color="auto"/>
              <w:right w:val="nil"/>
            </w:tcBorders>
          </w:tcPr>
          <w:p w14:paraId="6592E0A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c>
          <w:tcPr>
            <w:tcW w:w="2016" w:type="dxa"/>
            <w:tcBorders>
              <w:top w:val="nil"/>
              <w:left w:val="nil"/>
              <w:bottom w:val="single" w:sz="12" w:space="0" w:color="auto"/>
              <w:right w:val="nil"/>
            </w:tcBorders>
          </w:tcPr>
          <w:p w14:paraId="4EC236D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c>
          <w:tcPr>
            <w:tcW w:w="2016" w:type="dxa"/>
            <w:tcBorders>
              <w:top w:val="nil"/>
              <w:left w:val="nil"/>
              <w:bottom w:val="single" w:sz="12" w:space="0" w:color="auto"/>
              <w:right w:val="nil"/>
            </w:tcBorders>
          </w:tcPr>
          <w:p w14:paraId="0BBFE3A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c>
          <w:tcPr>
            <w:tcW w:w="2016" w:type="dxa"/>
            <w:tcBorders>
              <w:top w:val="nil"/>
              <w:left w:val="nil"/>
              <w:bottom w:val="single" w:sz="12" w:space="0" w:color="auto"/>
              <w:right w:val="nil"/>
            </w:tcBorders>
          </w:tcPr>
          <w:p w14:paraId="5B8E357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c>
          <w:tcPr>
            <w:tcW w:w="2016" w:type="dxa"/>
            <w:tcBorders>
              <w:top w:val="nil"/>
              <w:left w:val="nil"/>
              <w:bottom w:val="single" w:sz="12" w:space="0" w:color="auto"/>
              <w:right w:val="nil"/>
            </w:tcBorders>
          </w:tcPr>
          <w:p w14:paraId="79A528D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1040</w:t>
            </w:r>
          </w:p>
        </w:tc>
      </w:tr>
      <w:tr w:rsidR="00F05B90" w:rsidRPr="00F05B90" w14:paraId="4F2CD0AA" w14:textId="77777777" w:rsidTr="00320854">
        <w:tc>
          <w:tcPr>
            <w:tcW w:w="13752" w:type="dxa"/>
            <w:gridSpan w:val="7"/>
            <w:tcBorders>
              <w:top w:val="single" w:sz="12" w:space="0" w:color="auto"/>
              <w:left w:val="nil"/>
              <w:bottom w:val="single" w:sz="12" w:space="0" w:color="auto"/>
              <w:right w:val="nil"/>
            </w:tcBorders>
          </w:tcPr>
          <w:p w14:paraId="6D6B79CE" w14:textId="13B9529F" w:rsidR="00817718" w:rsidRPr="00F05B90" w:rsidRDefault="00817718" w:rsidP="00320854">
            <w:pPr>
              <w:widowControl w:val="0"/>
              <w:autoSpaceDE w:val="0"/>
              <w:autoSpaceDN w:val="0"/>
              <w:adjustRightInd w:val="0"/>
              <w:jc w:val="both"/>
              <w:rPr>
                <w:sz w:val="20"/>
                <w:szCs w:val="20"/>
              </w:rPr>
            </w:pPr>
            <w:r w:rsidRPr="00F05B90">
              <w:rPr>
                <w:sz w:val="20"/>
                <w:szCs w:val="20"/>
              </w:rPr>
              <w:t>This table reports regression results for</w:t>
            </w:r>
            <w:r w:rsidRPr="00F05B90">
              <w:rPr>
                <w:i/>
                <w:iCs/>
                <w:sz w:val="20"/>
                <w:szCs w:val="20"/>
              </w:rPr>
              <w:t xml:space="preserve"> Model 2, </w:t>
            </w:r>
            <w:r w:rsidRPr="00F05B90">
              <w:rPr>
                <w:sz w:val="20"/>
                <w:szCs w:val="20"/>
              </w:rPr>
              <w:t xml:space="preserve">the sample consists of 1040 firm-year observations between 2013 and 2020. The dependent variable is auditors’ </w:t>
            </w:r>
            <w:r w:rsidR="00B3493A" w:rsidRPr="00F05B90">
              <w:rPr>
                <w:sz w:val="20"/>
                <w:szCs w:val="20"/>
              </w:rPr>
              <w:t>professional judgment</w:t>
            </w:r>
            <w:r w:rsidRPr="00F05B90">
              <w:rPr>
                <w:sz w:val="20"/>
                <w:szCs w:val="20"/>
              </w:rPr>
              <w:t xml:space="preserve">, namely </w:t>
            </w:r>
            <w:r w:rsidRPr="00F05B90">
              <w:rPr>
                <w:i/>
                <w:iCs/>
                <w:sz w:val="20"/>
                <w:szCs w:val="20"/>
              </w:rPr>
              <w:t>KAM</w:t>
            </w:r>
            <w:r w:rsidRPr="00F05B90">
              <w:rPr>
                <w:sz w:val="20"/>
                <w:szCs w:val="20"/>
              </w:rPr>
              <w:t xml:space="preserve"> and </w:t>
            </w:r>
            <w:r w:rsidRPr="00F05B90">
              <w:rPr>
                <w:i/>
                <w:iCs/>
                <w:sz w:val="20"/>
                <w:szCs w:val="20"/>
              </w:rPr>
              <w:t>MAT. MAT</w:t>
            </w:r>
            <w:r w:rsidRPr="00F05B90">
              <w:rPr>
                <w:sz w:val="20"/>
                <w:szCs w:val="20"/>
              </w:rPr>
              <w:t xml:space="preserve"> is the materiality amount (£) for the financial statements as a whole, scaled by total assets as at year-end, and multiplied by 100. </w:t>
            </w:r>
            <w:r w:rsidRPr="00F05B90">
              <w:rPr>
                <w:i/>
                <w:iCs/>
                <w:sz w:val="20"/>
                <w:szCs w:val="20"/>
              </w:rPr>
              <w:t>KAM</w:t>
            </w:r>
            <w:r w:rsidRPr="00F05B90">
              <w:rPr>
                <w:sz w:val="20"/>
                <w:szCs w:val="20"/>
              </w:rPr>
              <w:t xml:space="preserve"> is the number of significant audit risks, or areas of focus, reported by the auditor in the audit report. The independent variable is the industry tournament incentive (</w:t>
            </w:r>
            <w:r w:rsidRPr="00F05B90">
              <w:rPr>
                <w:i/>
                <w:iCs/>
                <w:sz w:val="20"/>
                <w:szCs w:val="20"/>
              </w:rPr>
              <w:t>Indgap</w:t>
            </w:r>
            <w:r w:rsidRPr="00F05B90">
              <w:rPr>
                <w:sz w:val="20"/>
                <w:szCs w:val="20"/>
              </w:rPr>
              <w:t xml:space="preserve">) measures the compensation gap between the CEO under consideration and the highest-paid CEO in the same industry. </w:t>
            </w:r>
            <w:r w:rsidRPr="00F05B90">
              <w:rPr>
                <w:i/>
                <w:iCs/>
                <w:sz w:val="20"/>
                <w:szCs w:val="20"/>
              </w:rPr>
              <w:t>LAFEE</w:t>
            </w:r>
            <w:r w:rsidRPr="00F05B90">
              <w:rPr>
                <w:sz w:val="20"/>
                <w:szCs w:val="20"/>
              </w:rPr>
              <w:t xml:space="preserve"> is the natural logarithm of audit fees. </w:t>
            </w:r>
            <w:r w:rsidRPr="00F05B90">
              <w:rPr>
                <w:i/>
                <w:iCs/>
                <w:sz w:val="20"/>
                <w:szCs w:val="20"/>
              </w:rPr>
              <w:t>BIG4</w:t>
            </w:r>
            <w:r w:rsidRPr="00F05B90">
              <w:rPr>
                <w:sz w:val="20"/>
                <w:szCs w:val="20"/>
              </w:rPr>
              <w:t xml:space="preserve"> is an indicator variable equal to 1 if the audit firm is one of the Big four auditing firms, and 0 otherwise. </w:t>
            </w:r>
            <w:r w:rsidRPr="00F05B90">
              <w:rPr>
                <w:i/>
                <w:iCs/>
                <w:sz w:val="20"/>
                <w:szCs w:val="20"/>
              </w:rPr>
              <w:t xml:space="preserve">ACIndep </w:t>
            </w:r>
            <w:r w:rsidRPr="00F05B90">
              <w:rPr>
                <w:sz w:val="20"/>
                <w:szCs w:val="20"/>
              </w:rPr>
              <w:t xml:space="preserve">is the percentage of independent members of the audit committee. </w:t>
            </w:r>
            <w:r w:rsidRPr="00F05B90">
              <w:rPr>
                <w:i/>
                <w:iCs/>
                <w:sz w:val="20"/>
                <w:szCs w:val="20"/>
              </w:rPr>
              <w:t>BoDIndep</w:t>
            </w:r>
            <w:r w:rsidRPr="00F05B90">
              <w:rPr>
                <w:sz w:val="20"/>
                <w:szCs w:val="20"/>
              </w:rPr>
              <w:t xml:space="preserve"> is the percentage of independent members of the board of directors. </w:t>
            </w:r>
            <w:r w:rsidRPr="00F05B90">
              <w:rPr>
                <w:i/>
                <w:iCs/>
                <w:sz w:val="20"/>
                <w:szCs w:val="20"/>
              </w:rPr>
              <w:t>Leverage</w:t>
            </w:r>
            <w:r w:rsidRPr="00F05B90">
              <w:rPr>
                <w:sz w:val="20"/>
                <w:szCs w:val="20"/>
              </w:rPr>
              <w:t xml:space="preserve"> is a firm's total liabilities scaled by total shareholders' equity. </w:t>
            </w:r>
            <w:r w:rsidRPr="00F05B90">
              <w:rPr>
                <w:i/>
                <w:iCs/>
                <w:sz w:val="20"/>
                <w:szCs w:val="20"/>
              </w:rPr>
              <w:t xml:space="preserve">LOSS </w:t>
            </w:r>
            <w:r w:rsidRPr="00F05B90">
              <w:rPr>
                <w:sz w:val="20"/>
                <w:szCs w:val="20"/>
              </w:rPr>
              <w:t xml:space="preserve">is an indicator variable equal to 1 if the firm report a loss for the year; 0 Otherwise. </w:t>
            </w:r>
            <w:r w:rsidRPr="00F05B90">
              <w:rPr>
                <w:i/>
                <w:iCs/>
                <w:sz w:val="20"/>
                <w:szCs w:val="20"/>
              </w:rPr>
              <w:t>CurrentR</w:t>
            </w:r>
            <w:r w:rsidRPr="00F05B90">
              <w:rPr>
                <w:sz w:val="20"/>
                <w:szCs w:val="20"/>
              </w:rPr>
              <w:t xml:space="preserve"> is current assets divided by current liabilities. </w:t>
            </w:r>
            <w:r w:rsidRPr="00F05B90">
              <w:rPr>
                <w:i/>
                <w:iCs/>
                <w:sz w:val="20"/>
                <w:szCs w:val="20"/>
              </w:rPr>
              <w:t>ROA</w:t>
            </w:r>
            <w:r w:rsidRPr="00F05B90">
              <w:rPr>
                <w:sz w:val="20"/>
                <w:szCs w:val="20"/>
              </w:rPr>
              <w:t xml:space="preserve"> is earnings scaled by total assets. </w:t>
            </w:r>
            <w:r w:rsidRPr="00F05B90">
              <w:rPr>
                <w:i/>
                <w:iCs/>
                <w:sz w:val="20"/>
                <w:szCs w:val="20"/>
              </w:rPr>
              <w:t>Employees</w:t>
            </w:r>
            <w:r w:rsidRPr="00F05B90">
              <w:rPr>
                <w:sz w:val="20"/>
                <w:szCs w:val="20"/>
              </w:rPr>
              <w:t xml:space="preserve"> is the number of employees. </w:t>
            </w:r>
            <w:r w:rsidRPr="00F05B90">
              <w:rPr>
                <w:i/>
                <w:iCs/>
                <w:sz w:val="20"/>
                <w:szCs w:val="20"/>
              </w:rPr>
              <w:t>CEOR</w:t>
            </w:r>
            <w:r w:rsidRPr="00F05B90">
              <w:rPr>
                <w:sz w:val="20"/>
                <w:szCs w:val="20"/>
              </w:rPr>
              <w:t xml:space="preserve"> is the number of years of the CEO in the role. </w:t>
            </w:r>
            <w:r w:rsidRPr="00F05B90">
              <w:rPr>
                <w:i/>
                <w:iCs/>
                <w:sz w:val="20"/>
                <w:szCs w:val="20"/>
              </w:rPr>
              <w:t>CEOGender</w:t>
            </w:r>
            <w:r w:rsidRPr="00F05B90">
              <w:rPr>
                <w:sz w:val="20"/>
                <w:szCs w:val="20"/>
              </w:rPr>
              <w:t xml:space="preserve"> is an indicator variable equal to 1 if the CEO man, 0 Otherwise. </w:t>
            </w:r>
            <w:r w:rsidRPr="00F05B90">
              <w:rPr>
                <w:i/>
                <w:iCs/>
                <w:sz w:val="20"/>
                <w:szCs w:val="20"/>
              </w:rPr>
              <w:t>Retire</w:t>
            </w:r>
            <w:r w:rsidRPr="00F05B90">
              <w:rPr>
                <w:sz w:val="20"/>
                <w:szCs w:val="20"/>
              </w:rPr>
              <w:t xml:space="preserve"> is an indicator variable</w:t>
            </w:r>
            <w:r w:rsidR="00B42893" w:rsidRPr="00F05B90">
              <w:t xml:space="preserve"> </w:t>
            </w:r>
            <w:r w:rsidR="00B42893" w:rsidRPr="00F05B90">
              <w:rPr>
                <w:sz w:val="20"/>
                <w:szCs w:val="20"/>
              </w:rPr>
              <w:t>equals 1 if the CEO is at least 62 years old and 0 otherwise</w:t>
            </w:r>
            <w:r w:rsidRPr="00F05B90">
              <w:rPr>
                <w:sz w:val="20"/>
                <w:szCs w:val="20"/>
              </w:rPr>
              <w:t xml:space="preserve">. </w:t>
            </w:r>
            <w:r w:rsidRPr="00F05B90">
              <w:rPr>
                <w:i/>
                <w:iCs/>
                <w:sz w:val="20"/>
                <w:szCs w:val="20"/>
              </w:rPr>
              <w:t xml:space="preserve">Insider </w:t>
            </w:r>
            <w:r w:rsidRPr="00F05B90">
              <w:rPr>
                <w:sz w:val="20"/>
                <w:szCs w:val="20"/>
              </w:rPr>
              <w:t xml:space="preserve">is a dummy indicating 1 if the CEO arrived at the firm within two years prior to becoming CEO, 0 otherwise. Financial expertise’s </w:t>
            </w:r>
            <w:r w:rsidRPr="00F05B90">
              <w:rPr>
                <w:i/>
                <w:iCs/>
                <w:sz w:val="20"/>
                <w:szCs w:val="20"/>
              </w:rPr>
              <w:t xml:space="preserve">variables are defined in Appendix 2. </w:t>
            </w:r>
            <w:r w:rsidRPr="00F05B90">
              <w:rPr>
                <w:sz w:val="20"/>
                <w:szCs w:val="20"/>
              </w:rPr>
              <w:t xml:space="preserve">Regressions are estimated using robust standard errors. Standard errors in parentheses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0.1,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0.05,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0.01. </w:t>
            </w:r>
            <w:r w:rsidRPr="00F05B90">
              <w:rPr>
                <w:i/>
                <w:iCs/>
                <w:sz w:val="20"/>
                <w:szCs w:val="20"/>
              </w:rPr>
              <w:t>Bold numbers indicate significance for variables of interest.</w:t>
            </w:r>
          </w:p>
        </w:tc>
      </w:tr>
    </w:tbl>
    <w:p w14:paraId="054DFB47" w14:textId="77777777" w:rsidR="00817718" w:rsidRPr="00F05B90" w:rsidRDefault="00817718" w:rsidP="00817718">
      <w:pPr>
        <w:widowControl w:val="0"/>
        <w:autoSpaceDE w:val="0"/>
        <w:autoSpaceDN w:val="0"/>
        <w:adjustRightInd w:val="0"/>
        <w:spacing w:line="360" w:lineRule="auto"/>
        <w:sectPr w:rsidR="00817718" w:rsidRPr="00F05B90" w:rsidSect="00817718">
          <w:pgSz w:w="15840" w:h="12240" w:orient="landscape" w:code="1"/>
          <w:pgMar w:top="1440" w:right="1440" w:bottom="1440" w:left="1440" w:header="720" w:footer="720" w:gutter="0"/>
          <w:cols w:space="720"/>
          <w:docGrid w:linePitch="360"/>
        </w:sectPr>
      </w:pPr>
    </w:p>
    <w:p w14:paraId="0B3467FF" w14:textId="7B8DF875" w:rsidR="00817718" w:rsidRPr="00F05B90" w:rsidRDefault="00817718" w:rsidP="00B3493A">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w:t>
      </w:r>
      <w:r w:rsidR="00B07951" w:rsidRPr="00F05B90">
        <w:rPr>
          <w:rFonts w:ascii="Times New Roman" w:hAnsi="Times New Roman" w:cs="Times New Roman"/>
          <w:color w:val="auto"/>
          <w:szCs w:val="24"/>
        </w:rPr>
        <w:t>6</w:t>
      </w:r>
      <w:r w:rsidRPr="00F05B90">
        <w:rPr>
          <w:rFonts w:ascii="Times New Roman" w:hAnsi="Times New Roman" w:cs="Times New Roman"/>
          <w:color w:val="auto"/>
          <w:szCs w:val="24"/>
        </w:rPr>
        <w:t xml:space="preserve">: </w:t>
      </w:r>
      <w:r w:rsidRPr="00F05B90">
        <w:rPr>
          <w:rFonts w:ascii="Times New Roman" w:hAnsi="Times New Roman" w:cs="Times New Roman"/>
          <w:b w:val="0"/>
          <w:color w:val="auto"/>
          <w:szCs w:val="24"/>
        </w:rPr>
        <w:t xml:space="preserve">The effect of CFO incentives and intra-firm tournament incentives on auditors </w:t>
      </w:r>
      <w:r w:rsidR="00B3493A" w:rsidRPr="00F05B90">
        <w:rPr>
          <w:rFonts w:ascii="Times New Roman" w:hAnsi="Times New Roman" w:cs="Times New Roman"/>
          <w:b w:val="0"/>
          <w:color w:val="auto"/>
          <w:szCs w:val="24"/>
        </w:rPr>
        <w:t>professional judgment</w:t>
      </w:r>
    </w:p>
    <w:tbl>
      <w:tblPr>
        <w:tblW w:w="13752" w:type="dxa"/>
        <w:tblLayout w:type="fixed"/>
        <w:tblLook w:val="0000" w:firstRow="0" w:lastRow="0" w:firstColumn="0" w:lastColumn="0" w:noHBand="0" w:noVBand="0"/>
      </w:tblPr>
      <w:tblGrid>
        <w:gridCol w:w="1656"/>
        <w:gridCol w:w="2016"/>
        <w:gridCol w:w="2016"/>
        <w:gridCol w:w="2016"/>
        <w:gridCol w:w="2016"/>
        <w:gridCol w:w="2016"/>
        <w:gridCol w:w="2016"/>
      </w:tblGrid>
      <w:tr w:rsidR="00F05B90" w:rsidRPr="00F05B90" w14:paraId="47BE4E29" w14:textId="77777777" w:rsidTr="00320854">
        <w:tc>
          <w:tcPr>
            <w:tcW w:w="1656" w:type="dxa"/>
            <w:tcBorders>
              <w:top w:val="single" w:sz="12" w:space="0" w:color="auto"/>
              <w:left w:val="nil"/>
              <w:bottom w:val="nil"/>
              <w:right w:val="nil"/>
            </w:tcBorders>
          </w:tcPr>
          <w:p w14:paraId="74864EAA" w14:textId="77777777" w:rsidR="00817718" w:rsidRPr="00F05B90" w:rsidRDefault="00817718" w:rsidP="00320854">
            <w:pPr>
              <w:widowControl w:val="0"/>
              <w:autoSpaceDE w:val="0"/>
              <w:autoSpaceDN w:val="0"/>
              <w:adjustRightInd w:val="0"/>
              <w:rPr>
                <w:sz w:val="20"/>
                <w:szCs w:val="20"/>
              </w:rPr>
            </w:pPr>
          </w:p>
        </w:tc>
        <w:tc>
          <w:tcPr>
            <w:tcW w:w="2016" w:type="dxa"/>
            <w:tcBorders>
              <w:top w:val="single" w:sz="12" w:space="0" w:color="auto"/>
              <w:left w:val="nil"/>
              <w:bottom w:val="nil"/>
              <w:right w:val="nil"/>
            </w:tcBorders>
          </w:tcPr>
          <w:p w14:paraId="5F84D65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w:t>
            </w:r>
          </w:p>
        </w:tc>
        <w:tc>
          <w:tcPr>
            <w:tcW w:w="2016" w:type="dxa"/>
            <w:tcBorders>
              <w:top w:val="single" w:sz="12" w:space="0" w:color="auto"/>
              <w:left w:val="nil"/>
              <w:bottom w:val="nil"/>
              <w:right w:val="nil"/>
            </w:tcBorders>
          </w:tcPr>
          <w:p w14:paraId="061F370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(2)</w:t>
            </w:r>
          </w:p>
        </w:tc>
        <w:tc>
          <w:tcPr>
            <w:tcW w:w="2016" w:type="dxa"/>
            <w:tcBorders>
              <w:top w:val="single" w:sz="12" w:space="0" w:color="auto"/>
              <w:left w:val="nil"/>
              <w:bottom w:val="nil"/>
              <w:right w:val="nil"/>
            </w:tcBorders>
          </w:tcPr>
          <w:p w14:paraId="768F9BB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(3)</w:t>
            </w:r>
          </w:p>
        </w:tc>
        <w:tc>
          <w:tcPr>
            <w:tcW w:w="2016" w:type="dxa"/>
            <w:tcBorders>
              <w:top w:val="single" w:sz="12" w:space="0" w:color="auto"/>
              <w:left w:val="nil"/>
              <w:bottom w:val="nil"/>
              <w:right w:val="nil"/>
            </w:tcBorders>
          </w:tcPr>
          <w:p w14:paraId="7E561CA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(4)</w:t>
            </w:r>
          </w:p>
        </w:tc>
        <w:tc>
          <w:tcPr>
            <w:tcW w:w="2016" w:type="dxa"/>
            <w:tcBorders>
              <w:top w:val="single" w:sz="12" w:space="0" w:color="auto"/>
              <w:left w:val="nil"/>
              <w:bottom w:val="nil"/>
              <w:right w:val="nil"/>
            </w:tcBorders>
          </w:tcPr>
          <w:p w14:paraId="489592F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(5)</w:t>
            </w:r>
          </w:p>
        </w:tc>
        <w:tc>
          <w:tcPr>
            <w:tcW w:w="2016" w:type="dxa"/>
            <w:tcBorders>
              <w:top w:val="single" w:sz="12" w:space="0" w:color="auto"/>
              <w:left w:val="nil"/>
              <w:bottom w:val="nil"/>
              <w:right w:val="nil"/>
            </w:tcBorders>
          </w:tcPr>
          <w:p w14:paraId="2D343AB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w:t>
            </w:r>
          </w:p>
        </w:tc>
      </w:tr>
      <w:tr w:rsidR="00F05B90" w:rsidRPr="00F05B90" w14:paraId="4090347C" w14:textId="77777777" w:rsidTr="00320854">
        <w:tc>
          <w:tcPr>
            <w:tcW w:w="1656" w:type="dxa"/>
            <w:tcBorders>
              <w:top w:val="nil"/>
              <w:left w:val="nil"/>
              <w:bottom w:val="single" w:sz="12" w:space="0" w:color="auto"/>
              <w:right w:val="nil"/>
            </w:tcBorders>
          </w:tcPr>
          <w:p w14:paraId="6AC94B24" w14:textId="77777777" w:rsidR="00817718" w:rsidRPr="00F05B90" w:rsidRDefault="00817718" w:rsidP="00320854">
            <w:pPr>
              <w:widowControl w:val="0"/>
              <w:autoSpaceDE w:val="0"/>
              <w:autoSpaceDN w:val="0"/>
              <w:adjustRightInd w:val="0"/>
              <w:rPr>
                <w:sz w:val="20"/>
                <w:szCs w:val="20"/>
              </w:rPr>
            </w:pPr>
          </w:p>
        </w:tc>
        <w:tc>
          <w:tcPr>
            <w:tcW w:w="2016" w:type="dxa"/>
            <w:tcBorders>
              <w:top w:val="nil"/>
              <w:left w:val="nil"/>
              <w:bottom w:val="single" w:sz="12" w:space="0" w:color="auto"/>
              <w:right w:val="nil"/>
            </w:tcBorders>
          </w:tcPr>
          <w:p w14:paraId="4754928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1285EEA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c>
          <w:tcPr>
            <w:tcW w:w="2016" w:type="dxa"/>
            <w:tcBorders>
              <w:top w:val="nil"/>
              <w:left w:val="nil"/>
              <w:bottom w:val="single" w:sz="12" w:space="0" w:color="auto"/>
              <w:right w:val="nil"/>
            </w:tcBorders>
          </w:tcPr>
          <w:p w14:paraId="3720690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716B44B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c>
          <w:tcPr>
            <w:tcW w:w="2016" w:type="dxa"/>
            <w:tcBorders>
              <w:top w:val="nil"/>
              <w:left w:val="nil"/>
              <w:bottom w:val="single" w:sz="12" w:space="0" w:color="auto"/>
              <w:right w:val="nil"/>
            </w:tcBorders>
          </w:tcPr>
          <w:p w14:paraId="3B38A36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KAM</w:t>
            </w:r>
          </w:p>
        </w:tc>
        <w:tc>
          <w:tcPr>
            <w:tcW w:w="2016" w:type="dxa"/>
            <w:tcBorders>
              <w:top w:val="nil"/>
              <w:left w:val="nil"/>
              <w:bottom w:val="single" w:sz="12" w:space="0" w:color="auto"/>
              <w:right w:val="nil"/>
            </w:tcBorders>
          </w:tcPr>
          <w:p w14:paraId="06E2A99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MAT</w:t>
            </w:r>
          </w:p>
        </w:tc>
      </w:tr>
      <w:tr w:rsidR="00F05B90" w:rsidRPr="00F05B90" w14:paraId="11DEED3A" w14:textId="77777777" w:rsidTr="00320854">
        <w:tc>
          <w:tcPr>
            <w:tcW w:w="1656" w:type="dxa"/>
            <w:tcBorders>
              <w:top w:val="single" w:sz="12" w:space="0" w:color="auto"/>
              <w:left w:val="nil"/>
              <w:right w:val="nil"/>
            </w:tcBorders>
          </w:tcPr>
          <w:p w14:paraId="773A48D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Indgap</w:t>
            </w:r>
          </w:p>
        </w:tc>
        <w:tc>
          <w:tcPr>
            <w:tcW w:w="2016" w:type="dxa"/>
            <w:tcBorders>
              <w:top w:val="single" w:sz="12" w:space="0" w:color="auto"/>
              <w:left w:val="nil"/>
              <w:right w:val="nil"/>
            </w:tcBorders>
          </w:tcPr>
          <w:p w14:paraId="1209717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_</w:t>
            </w:r>
          </w:p>
        </w:tc>
        <w:tc>
          <w:tcPr>
            <w:tcW w:w="2016" w:type="dxa"/>
            <w:tcBorders>
              <w:top w:val="single" w:sz="12" w:space="0" w:color="auto"/>
              <w:left w:val="nil"/>
              <w:right w:val="nil"/>
            </w:tcBorders>
          </w:tcPr>
          <w:p w14:paraId="0F52CAC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_</w:t>
            </w:r>
          </w:p>
        </w:tc>
        <w:tc>
          <w:tcPr>
            <w:tcW w:w="2016" w:type="dxa"/>
            <w:tcBorders>
              <w:top w:val="single" w:sz="12" w:space="0" w:color="auto"/>
              <w:left w:val="nil"/>
              <w:right w:val="nil"/>
            </w:tcBorders>
          </w:tcPr>
          <w:p w14:paraId="763936D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_</w:t>
            </w:r>
          </w:p>
        </w:tc>
        <w:tc>
          <w:tcPr>
            <w:tcW w:w="2016" w:type="dxa"/>
            <w:tcBorders>
              <w:top w:val="single" w:sz="12" w:space="0" w:color="auto"/>
              <w:left w:val="nil"/>
              <w:right w:val="nil"/>
            </w:tcBorders>
          </w:tcPr>
          <w:p w14:paraId="0BFA939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_</w:t>
            </w:r>
          </w:p>
        </w:tc>
        <w:tc>
          <w:tcPr>
            <w:tcW w:w="2016" w:type="dxa"/>
            <w:tcBorders>
              <w:top w:val="single" w:sz="12" w:space="0" w:color="auto"/>
              <w:left w:val="nil"/>
              <w:right w:val="nil"/>
            </w:tcBorders>
          </w:tcPr>
          <w:p w14:paraId="26FC5FC5"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-0.074</w:t>
            </w:r>
            <w:r w:rsidRPr="00F05B90">
              <w:rPr>
                <w:b/>
                <w:bCs/>
                <w:sz w:val="20"/>
                <w:szCs w:val="20"/>
                <w:vertAlign w:val="superscript"/>
              </w:rPr>
              <w:t>***</w:t>
            </w:r>
          </w:p>
        </w:tc>
        <w:tc>
          <w:tcPr>
            <w:tcW w:w="2016" w:type="dxa"/>
            <w:tcBorders>
              <w:top w:val="single" w:sz="12" w:space="0" w:color="auto"/>
              <w:left w:val="nil"/>
              <w:right w:val="nil"/>
            </w:tcBorders>
          </w:tcPr>
          <w:p w14:paraId="3AF2DB96"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0.016</w:t>
            </w:r>
            <w:r w:rsidRPr="00F05B90">
              <w:rPr>
                <w:b/>
                <w:bCs/>
                <w:sz w:val="20"/>
                <w:szCs w:val="20"/>
                <w:vertAlign w:val="superscript"/>
              </w:rPr>
              <w:t>**</w:t>
            </w:r>
          </w:p>
        </w:tc>
      </w:tr>
      <w:tr w:rsidR="00F05B90" w:rsidRPr="00F05B90" w14:paraId="1E7AF232" w14:textId="77777777" w:rsidTr="00320854">
        <w:tc>
          <w:tcPr>
            <w:tcW w:w="1656" w:type="dxa"/>
            <w:tcBorders>
              <w:left w:val="nil"/>
              <w:bottom w:val="nil"/>
              <w:right w:val="nil"/>
            </w:tcBorders>
          </w:tcPr>
          <w:p w14:paraId="303F747B" w14:textId="77777777" w:rsidR="00817718" w:rsidRPr="00F05B90" w:rsidRDefault="00817718" w:rsidP="00320854">
            <w:pPr>
              <w:widowControl w:val="0"/>
              <w:autoSpaceDE w:val="0"/>
              <w:autoSpaceDN w:val="0"/>
              <w:adjustRightInd w:val="0"/>
              <w:rPr>
                <w:i/>
                <w:iCs/>
                <w:sz w:val="20"/>
                <w:szCs w:val="20"/>
              </w:rPr>
            </w:pPr>
          </w:p>
        </w:tc>
        <w:tc>
          <w:tcPr>
            <w:tcW w:w="2016" w:type="dxa"/>
            <w:tcBorders>
              <w:left w:val="nil"/>
              <w:bottom w:val="nil"/>
              <w:right w:val="nil"/>
            </w:tcBorders>
          </w:tcPr>
          <w:p w14:paraId="0D64652F" w14:textId="77777777" w:rsidR="00817718" w:rsidRPr="00F05B90" w:rsidRDefault="00817718" w:rsidP="00320854">
            <w:pPr>
              <w:widowControl w:val="0"/>
              <w:autoSpaceDE w:val="0"/>
              <w:autoSpaceDN w:val="0"/>
              <w:adjustRightInd w:val="0"/>
              <w:jc w:val="center"/>
              <w:rPr>
                <w:sz w:val="20"/>
                <w:szCs w:val="20"/>
              </w:rPr>
            </w:pPr>
          </w:p>
        </w:tc>
        <w:tc>
          <w:tcPr>
            <w:tcW w:w="2016" w:type="dxa"/>
            <w:tcBorders>
              <w:left w:val="nil"/>
              <w:bottom w:val="nil"/>
              <w:right w:val="nil"/>
            </w:tcBorders>
          </w:tcPr>
          <w:p w14:paraId="5F8A6F06" w14:textId="77777777" w:rsidR="00817718" w:rsidRPr="00F05B90" w:rsidRDefault="00817718" w:rsidP="00320854">
            <w:pPr>
              <w:widowControl w:val="0"/>
              <w:autoSpaceDE w:val="0"/>
              <w:autoSpaceDN w:val="0"/>
              <w:adjustRightInd w:val="0"/>
              <w:jc w:val="center"/>
              <w:rPr>
                <w:sz w:val="20"/>
                <w:szCs w:val="20"/>
              </w:rPr>
            </w:pPr>
          </w:p>
        </w:tc>
        <w:tc>
          <w:tcPr>
            <w:tcW w:w="2016" w:type="dxa"/>
            <w:tcBorders>
              <w:left w:val="nil"/>
              <w:bottom w:val="nil"/>
              <w:right w:val="nil"/>
            </w:tcBorders>
          </w:tcPr>
          <w:p w14:paraId="5CD226CC" w14:textId="77777777" w:rsidR="00817718" w:rsidRPr="00F05B90" w:rsidRDefault="00817718" w:rsidP="00320854">
            <w:pPr>
              <w:widowControl w:val="0"/>
              <w:autoSpaceDE w:val="0"/>
              <w:autoSpaceDN w:val="0"/>
              <w:adjustRightInd w:val="0"/>
              <w:jc w:val="center"/>
              <w:rPr>
                <w:sz w:val="20"/>
                <w:szCs w:val="20"/>
              </w:rPr>
            </w:pPr>
          </w:p>
        </w:tc>
        <w:tc>
          <w:tcPr>
            <w:tcW w:w="2016" w:type="dxa"/>
            <w:tcBorders>
              <w:left w:val="nil"/>
              <w:bottom w:val="nil"/>
              <w:right w:val="nil"/>
            </w:tcBorders>
          </w:tcPr>
          <w:p w14:paraId="0527565A" w14:textId="77777777" w:rsidR="00817718" w:rsidRPr="00F05B90" w:rsidRDefault="00817718" w:rsidP="00320854">
            <w:pPr>
              <w:widowControl w:val="0"/>
              <w:autoSpaceDE w:val="0"/>
              <w:autoSpaceDN w:val="0"/>
              <w:adjustRightInd w:val="0"/>
              <w:jc w:val="center"/>
              <w:rPr>
                <w:sz w:val="20"/>
                <w:szCs w:val="20"/>
              </w:rPr>
            </w:pPr>
          </w:p>
        </w:tc>
        <w:tc>
          <w:tcPr>
            <w:tcW w:w="2016" w:type="dxa"/>
            <w:tcBorders>
              <w:left w:val="nil"/>
              <w:bottom w:val="nil"/>
              <w:right w:val="nil"/>
            </w:tcBorders>
          </w:tcPr>
          <w:p w14:paraId="51285FEF"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(0.023)</w:t>
            </w:r>
          </w:p>
        </w:tc>
        <w:tc>
          <w:tcPr>
            <w:tcW w:w="2016" w:type="dxa"/>
            <w:tcBorders>
              <w:left w:val="nil"/>
              <w:bottom w:val="nil"/>
              <w:right w:val="nil"/>
            </w:tcBorders>
          </w:tcPr>
          <w:p w14:paraId="14F5383B"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(0.008)</w:t>
            </w:r>
          </w:p>
        </w:tc>
      </w:tr>
      <w:tr w:rsidR="00F05B90" w:rsidRPr="00F05B90" w14:paraId="53A76F0E" w14:textId="77777777" w:rsidTr="00320854">
        <w:tc>
          <w:tcPr>
            <w:tcW w:w="1656" w:type="dxa"/>
            <w:tcBorders>
              <w:left w:val="nil"/>
              <w:bottom w:val="nil"/>
              <w:right w:val="nil"/>
            </w:tcBorders>
          </w:tcPr>
          <w:p w14:paraId="6DAA3BEE"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CFOIT</w:t>
            </w:r>
          </w:p>
        </w:tc>
        <w:tc>
          <w:tcPr>
            <w:tcW w:w="2016" w:type="dxa"/>
            <w:tcBorders>
              <w:left w:val="nil"/>
              <w:bottom w:val="nil"/>
              <w:right w:val="nil"/>
            </w:tcBorders>
          </w:tcPr>
          <w:p w14:paraId="36CA1C8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-4.757</w:t>
            </w:r>
          </w:p>
        </w:tc>
        <w:tc>
          <w:tcPr>
            <w:tcW w:w="2016" w:type="dxa"/>
            <w:tcBorders>
              <w:left w:val="nil"/>
              <w:bottom w:val="nil"/>
              <w:right w:val="nil"/>
            </w:tcBorders>
          </w:tcPr>
          <w:p w14:paraId="02B49B9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-0.374</w:t>
            </w:r>
          </w:p>
        </w:tc>
        <w:tc>
          <w:tcPr>
            <w:tcW w:w="2016" w:type="dxa"/>
            <w:tcBorders>
              <w:left w:val="nil"/>
              <w:bottom w:val="nil"/>
              <w:right w:val="nil"/>
            </w:tcBorders>
          </w:tcPr>
          <w:p w14:paraId="65C1CD10"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_</w:t>
            </w:r>
          </w:p>
        </w:tc>
        <w:tc>
          <w:tcPr>
            <w:tcW w:w="2016" w:type="dxa"/>
            <w:tcBorders>
              <w:left w:val="nil"/>
              <w:bottom w:val="nil"/>
              <w:right w:val="nil"/>
            </w:tcBorders>
          </w:tcPr>
          <w:p w14:paraId="56E4DD84"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_</w:t>
            </w:r>
          </w:p>
        </w:tc>
        <w:tc>
          <w:tcPr>
            <w:tcW w:w="2016" w:type="dxa"/>
            <w:tcBorders>
              <w:left w:val="nil"/>
              <w:bottom w:val="nil"/>
              <w:right w:val="nil"/>
            </w:tcBorders>
          </w:tcPr>
          <w:p w14:paraId="251307B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-2.755</w:t>
            </w:r>
          </w:p>
        </w:tc>
        <w:tc>
          <w:tcPr>
            <w:tcW w:w="2016" w:type="dxa"/>
            <w:tcBorders>
              <w:left w:val="nil"/>
              <w:bottom w:val="nil"/>
              <w:right w:val="nil"/>
            </w:tcBorders>
          </w:tcPr>
          <w:p w14:paraId="661BCD7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-1.130</w:t>
            </w:r>
          </w:p>
        </w:tc>
      </w:tr>
      <w:tr w:rsidR="00F05B90" w:rsidRPr="00F05B90" w14:paraId="03C55141" w14:textId="77777777" w:rsidTr="00320854">
        <w:tc>
          <w:tcPr>
            <w:tcW w:w="1656" w:type="dxa"/>
            <w:tcBorders>
              <w:top w:val="nil"/>
              <w:left w:val="nil"/>
              <w:bottom w:val="nil"/>
              <w:right w:val="nil"/>
            </w:tcBorders>
          </w:tcPr>
          <w:p w14:paraId="595C57D5"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46A267D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(3.433)</w:t>
            </w:r>
          </w:p>
        </w:tc>
        <w:tc>
          <w:tcPr>
            <w:tcW w:w="2016" w:type="dxa"/>
            <w:tcBorders>
              <w:top w:val="nil"/>
              <w:left w:val="nil"/>
              <w:bottom w:val="nil"/>
              <w:right w:val="nil"/>
            </w:tcBorders>
          </w:tcPr>
          <w:p w14:paraId="5F7748D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(1.328)</w:t>
            </w:r>
          </w:p>
        </w:tc>
        <w:tc>
          <w:tcPr>
            <w:tcW w:w="2016" w:type="dxa"/>
            <w:tcBorders>
              <w:top w:val="nil"/>
              <w:left w:val="nil"/>
              <w:bottom w:val="nil"/>
              <w:right w:val="nil"/>
            </w:tcBorders>
          </w:tcPr>
          <w:p w14:paraId="7E31A1B0"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5114D160"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26B1343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(3.662)</w:t>
            </w:r>
          </w:p>
        </w:tc>
        <w:tc>
          <w:tcPr>
            <w:tcW w:w="2016" w:type="dxa"/>
            <w:tcBorders>
              <w:top w:val="nil"/>
              <w:left w:val="nil"/>
              <w:bottom w:val="nil"/>
              <w:right w:val="nil"/>
            </w:tcBorders>
          </w:tcPr>
          <w:p w14:paraId="772C910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(1.512)</w:t>
            </w:r>
          </w:p>
        </w:tc>
      </w:tr>
      <w:tr w:rsidR="00F05B90" w:rsidRPr="00F05B90" w14:paraId="36B275AE" w14:textId="77777777" w:rsidTr="00320854">
        <w:tc>
          <w:tcPr>
            <w:tcW w:w="1656" w:type="dxa"/>
            <w:tcBorders>
              <w:top w:val="nil"/>
              <w:left w:val="nil"/>
              <w:bottom w:val="nil"/>
              <w:right w:val="nil"/>
            </w:tcBorders>
          </w:tcPr>
          <w:p w14:paraId="43CAE0A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CEO_CFOGAP</w:t>
            </w:r>
          </w:p>
        </w:tc>
        <w:tc>
          <w:tcPr>
            <w:tcW w:w="2016" w:type="dxa"/>
            <w:tcBorders>
              <w:top w:val="nil"/>
              <w:left w:val="nil"/>
              <w:bottom w:val="nil"/>
              <w:right w:val="nil"/>
            </w:tcBorders>
          </w:tcPr>
          <w:p w14:paraId="5918A5A1"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_</w:t>
            </w:r>
          </w:p>
        </w:tc>
        <w:tc>
          <w:tcPr>
            <w:tcW w:w="2016" w:type="dxa"/>
            <w:tcBorders>
              <w:top w:val="nil"/>
              <w:left w:val="nil"/>
              <w:bottom w:val="nil"/>
              <w:right w:val="nil"/>
            </w:tcBorders>
          </w:tcPr>
          <w:p w14:paraId="2196F838" w14:textId="77777777" w:rsidR="00817718" w:rsidRPr="00F05B90" w:rsidRDefault="00817718" w:rsidP="00320854">
            <w:pPr>
              <w:widowControl w:val="0"/>
              <w:autoSpaceDE w:val="0"/>
              <w:autoSpaceDN w:val="0"/>
              <w:adjustRightInd w:val="0"/>
              <w:jc w:val="center"/>
              <w:rPr>
                <w:sz w:val="20"/>
                <w:szCs w:val="20"/>
              </w:rPr>
            </w:pPr>
            <w:r w:rsidRPr="00F05B90">
              <w:rPr>
                <w:b/>
                <w:bCs/>
                <w:sz w:val="20"/>
                <w:szCs w:val="20"/>
              </w:rPr>
              <w:t>_</w:t>
            </w:r>
          </w:p>
        </w:tc>
        <w:tc>
          <w:tcPr>
            <w:tcW w:w="2016" w:type="dxa"/>
            <w:tcBorders>
              <w:top w:val="nil"/>
              <w:left w:val="nil"/>
              <w:bottom w:val="nil"/>
              <w:right w:val="nil"/>
            </w:tcBorders>
          </w:tcPr>
          <w:p w14:paraId="37BD30F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700B7B0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037B571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2DC9EDB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r>
      <w:tr w:rsidR="00F05B90" w:rsidRPr="00F05B90" w14:paraId="19A1B56F" w14:textId="77777777" w:rsidTr="00320854">
        <w:tc>
          <w:tcPr>
            <w:tcW w:w="1656" w:type="dxa"/>
            <w:tcBorders>
              <w:top w:val="nil"/>
              <w:left w:val="nil"/>
              <w:bottom w:val="nil"/>
              <w:right w:val="nil"/>
            </w:tcBorders>
          </w:tcPr>
          <w:p w14:paraId="77595E03"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3A789612"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3F22097B" w14:textId="77777777" w:rsidR="00817718" w:rsidRPr="00F05B90" w:rsidRDefault="00817718" w:rsidP="00320854">
            <w:pPr>
              <w:widowControl w:val="0"/>
              <w:autoSpaceDE w:val="0"/>
              <w:autoSpaceDN w:val="0"/>
              <w:adjustRightInd w:val="0"/>
              <w:jc w:val="center"/>
              <w:rPr>
                <w:sz w:val="20"/>
                <w:szCs w:val="20"/>
              </w:rPr>
            </w:pPr>
          </w:p>
        </w:tc>
        <w:tc>
          <w:tcPr>
            <w:tcW w:w="2016" w:type="dxa"/>
            <w:tcBorders>
              <w:top w:val="nil"/>
              <w:left w:val="nil"/>
              <w:bottom w:val="nil"/>
              <w:right w:val="nil"/>
            </w:tcBorders>
          </w:tcPr>
          <w:p w14:paraId="17D27E7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014A595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1C52751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2261B67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r>
      <w:tr w:rsidR="00F05B90" w:rsidRPr="00F05B90" w14:paraId="28CBD8FC" w14:textId="77777777" w:rsidTr="00320854">
        <w:tc>
          <w:tcPr>
            <w:tcW w:w="1656" w:type="dxa"/>
            <w:tcBorders>
              <w:top w:val="nil"/>
              <w:left w:val="nil"/>
              <w:bottom w:val="nil"/>
              <w:right w:val="nil"/>
            </w:tcBorders>
          </w:tcPr>
          <w:p w14:paraId="6BBA160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LAFEE</w:t>
            </w:r>
          </w:p>
        </w:tc>
        <w:tc>
          <w:tcPr>
            <w:tcW w:w="2016" w:type="dxa"/>
            <w:tcBorders>
              <w:top w:val="nil"/>
              <w:left w:val="nil"/>
              <w:bottom w:val="nil"/>
              <w:right w:val="nil"/>
            </w:tcBorders>
          </w:tcPr>
          <w:p w14:paraId="5CEB598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0.028</w:t>
            </w:r>
          </w:p>
        </w:tc>
        <w:tc>
          <w:tcPr>
            <w:tcW w:w="2016" w:type="dxa"/>
            <w:tcBorders>
              <w:top w:val="nil"/>
              <w:left w:val="nil"/>
              <w:bottom w:val="nil"/>
              <w:right w:val="nil"/>
            </w:tcBorders>
          </w:tcPr>
          <w:p w14:paraId="4BD5750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-0.037</w:t>
            </w:r>
            <w:r w:rsidRPr="00F05B90">
              <w:rPr>
                <w:b/>
                <w:bCs/>
                <w:sz w:val="20"/>
                <w:szCs w:val="20"/>
                <w:vertAlign w:val="superscript"/>
              </w:rPr>
              <w:t>***</w:t>
            </w:r>
          </w:p>
        </w:tc>
        <w:tc>
          <w:tcPr>
            <w:tcW w:w="2016" w:type="dxa"/>
            <w:tcBorders>
              <w:top w:val="nil"/>
              <w:left w:val="nil"/>
              <w:bottom w:val="nil"/>
              <w:right w:val="nil"/>
            </w:tcBorders>
          </w:tcPr>
          <w:p w14:paraId="56F6FB6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0.031</w:t>
            </w:r>
          </w:p>
        </w:tc>
        <w:tc>
          <w:tcPr>
            <w:tcW w:w="2016" w:type="dxa"/>
            <w:tcBorders>
              <w:top w:val="nil"/>
              <w:left w:val="nil"/>
              <w:bottom w:val="nil"/>
              <w:right w:val="nil"/>
            </w:tcBorders>
          </w:tcPr>
          <w:p w14:paraId="5C17C6A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-0.031</w:t>
            </w:r>
            <w:r w:rsidRPr="00F05B90">
              <w:rPr>
                <w:b/>
                <w:bCs/>
                <w:sz w:val="20"/>
                <w:szCs w:val="20"/>
                <w:vertAlign w:val="superscript"/>
              </w:rPr>
              <w:t>***</w:t>
            </w:r>
          </w:p>
        </w:tc>
        <w:tc>
          <w:tcPr>
            <w:tcW w:w="2016" w:type="dxa"/>
            <w:tcBorders>
              <w:top w:val="nil"/>
              <w:left w:val="nil"/>
              <w:bottom w:val="nil"/>
              <w:right w:val="nil"/>
            </w:tcBorders>
          </w:tcPr>
          <w:p w14:paraId="172C066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0.034</w:t>
            </w:r>
          </w:p>
        </w:tc>
        <w:tc>
          <w:tcPr>
            <w:tcW w:w="2016" w:type="dxa"/>
            <w:tcBorders>
              <w:top w:val="nil"/>
              <w:left w:val="nil"/>
              <w:bottom w:val="nil"/>
              <w:right w:val="nil"/>
            </w:tcBorders>
          </w:tcPr>
          <w:p w14:paraId="0EFD5C5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-0.038</w:t>
            </w:r>
            <w:r w:rsidRPr="00F05B90">
              <w:rPr>
                <w:b/>
                <w:bCs/>
                <w:sz w:val="20"/>
                <w:szCs w:val="20"/>
                <w:vertAlign w:val="superscript"/>
              </w:rPr>
              <w:t>***</w:t>
            </w:r>
          </w:p>
        </w:tc>
      </w:tr>
      <w:tr w:rsidR="00F05B90" w:rsidRPr="00F05B90" w14:paraId="707BBCC0" w14:textId="77777777" w:rsidTr="00320854">
        <w:tc>
          <w:tcPr>
            <w:tcW w:w="1656" w:type="dxa"/>
            <w:tcBorders>
              <w:top w:val="nil"/>
              <w:left w:val="nil"/>
              <w:bottom w:val="nil"/>
              <w:right w:val="nil"/>
            </w:tcBorders>
          </w:tcPr>
          <w:p w14:paraId="2F50068D"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2C18223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(0.025)</w:t>
            </w:r>
          </w:p>
        </w:tc>
        <w:tc>
          <w:tcPr>
            <w:tcW w:w="2016" w:type="dxa"/>
            <w:tcBorders>
              <w:top w:val="nil"/>
              <w:left w:val="nil"/>
              <w:bottom w:val="nil"/>
              <w:right w:val="nil"/>
            </w:tcBorders>
          </w:tcPr>
          <w:p w14:paraId="34E688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c>
          <w:tcPr>
            <w:tcW w:w="2016" w:type="dxa"/>
            <w:tcBorders>
              <w:top w:val="nil"/>
              <w:left w:val="nil"/>
              <w:bottom w:val="nil"/>
              <w:right w:val="nil"/>
            </w:tcBorders>
          </w:tcPr>
          <w:p w14:paraId="0B05F66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(0.024)</w:t>
            </w:r>
          </w:p>
        </w:tc>
        <w:tc>
          <w:tcPr>
            <w:tcW w:w="2016" w:type="dxa"/>
            <w:tcBorders>
              <w:top w:val="nil"/>
              <w:left w:val="nil"/>
              <w:bottom w:val="nil"/>
              <w:right w:val="nil"/>
            </w:tcBorders>
          </w:tcPr>
          <w:p w14:paraId="7ECA067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c>
          <w:tcPr>
            <w:tcW w:w="2016" w:type="dxa"/>
            <w:tcBorders>
              <w:top w:val="nil"/>
              <w:left w:val="nil"/>
              <w:bottom w:val="nil"/>
              <w:right w:val="nil"/>
            </w:tcBorders>
          </w:tcPr>
          <w:p w14:paraId="2766B62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(0.026)</w:t>
            </w:r>
          </w:p>
        </w:tc>
        <w:tc>
          <w:tcPr>
            <w:tcW w:w="2016" w:type="dxa"/>
            <w:tcBorders>
              <w:top w:val="nil"/>
              <w:left w:val="nil"/>
              <w:bottom w:val="nil"/>
              <w:right w:val="nil"/>
            </w:tcBorders>
          </w:tcPr>
          <w:p w14:paraId="2A67F05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(0.009)</w:t>
            </w:r>
          </w:p>
        </w:tc>
      </w:tr>
      <w:tr w:rsidR="00F05B90" w:rsidRPr="00F05B90" w14:paraId="4FA3AB63" w14:textId="77777777" w:rsidTr="00320854">
        <w:tc>
          <w:tcPr>
            <w:tcW w:w="1656" w:type="dxa"/>
            <w:tcBorders>
              <w:top w:val="nil"/>
              <w:left w:val="nil"/>
              <w:bottom w:val="nil"/>
              <w:right w:val="nil"/>
            </w:tcBorders>
          </w:tcPr>
          <w:p w14:paraId="560503B7"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BIG4</w:t>
            </w:r>
          </w:p>
        </w:tc>
        <w:tc>
          <w:tcPr>
            <w:tcW w:w="2016" w:type="dxa"/>
            <w:tcBorders>
              <w:top w:val="nil"/>
              <w:left w:val="nil"/>
              <w:bottom w:val="nil"/>
              <w:right w:val="nil"/>
            </w:tcBorders>
          </w:tcPr>
          <w:p w14:paraId="196C67F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-1.202</w:t>
            </w:r>
            <w:r w:rsidRPr="00F05B90">
              <w:rPr>
                <w:b/>
                <w:bCs/>
                <w:sz w:val="20"/>
                <w:szCs w:val="20"/>
                <w:vertAlign w:val="superscript"/>
              </w:rPr>
              <w:t>***</w:t>
            </w:r>
          </w:p>
        </w:tc>
        <w:tc>
          <w:tcPr>
            <w:tcW w:w="2016" w:type="dxa"/>
            <w:tcBorders>
              <w:top w:val="nil"/>
              <w:left w:val="nil"/>
              <w:bottom w:val="nil"/>
              <w:right w:val="nil"/>
            </w:tcBorders>
          </w:tcPr>
          <w:p w14:paraId="6EDD121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-0.249</w:t>
            </w:r>
          </w:p>
        </w:tc>
        <w:tc>
          <w:tcPr>
            <w:tcW w:w="2016" w:type="dxa"/>
            <w:tcBorders>
              <w:top w:val="nil"/>
              <w:left w:val="nil"/>
              <w:bottom w:val="nil"/>
              <w:right w:val="nil"/>
            </w:tcBorders>
          </w:tcPr>
          <w:p w14:paraId="320C18B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-1.031</w:t>
            </w:r>
            <w:r w:rsidRPr="00F05B90">
              <w:rPr>
                <w:b/>
                <w:bCs/>
                <w:sz w:val="20"/>
                <w:szCs w:val="20"/>
                <w:vertAlign w:val="superscript"/>
              </w:rPr>
              <w:t>***</w:t>
            </w:r>
          </w:p>
        </w:tc>
        <w:tc>
          <w:tcPr>
            <w:tcW w:w="2016" w:type="dxa"/>
            <w:tcBorders>
              <w:top w:val="nil"/>
              <w:left w:val="nil"/>
              <w:bottom w:val="nil"/>
              <w:right w:val="nil"/>
            </w:tcBorders>
          </w:tcPr>
          <w:p w14:paraId="151D9B1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-0.004</w:t>
            </w:r>
          </w:p>
        </w:tc>
        <w:tc>
          <w:tcPr>
            <w:tcW w:w="2016" w:type="dxa"/>
            <w:tcBorders>
              <w:top w:val="nil"/>
              <w:left w:val="nil"/>
              <w:bottom w:val="nil"/>
              <w:right w:val="nil"/>
            </w:tcBorders>
          </w:tcPr>
          <w:p w14:paraId="2BD2D2E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-1.219</w:t>
            </w:r>
            <w:r w:rsidRPr="00F05B90">
              <w:rPr>
                <w:b/>
                <w:bCs/>
                <w:sz w:val="20"/>
                <w:szCs w:val="20"/>
                <w:vertAlign w:val="superscript"/>
              </w:rPr>
              <w:t>***</w:t>
            </w:r>
          </w:p>
        </w:tc>
        <w:tc>
          <w:tcPr>
            <w:tcW w:w="2016" w:type="dxa"/>
            <w:tcBorders>
              <w:top w:val="nil"/>
              <w:left w:val="nil"/>
              <w:bottom w:val="nil"/>
              <w:right w:val="nil"/>
            </w:tcBorders>
          </w:tcPr>
          <w:p w14:paraId="51F2188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-0.269</w:t>
            </w:r>
          </w:p>
        </w:tc>
      </w:tr>
      <w:tr w:rsidR="00F05B90" w:rsidRPr="00F05B90" w14:paraId="474A0EED" w14:textId="77777777" w:rsidTr="00320854">
        <w:tc>
          <w:tcPr>
            <w:tcW w:w="1656" w:type="dxa"/>
            <w:tcBorders>
              <w:top w:val="nil"/>
              <w:left w:val="nil"/>
              <w:bottom w:val="nil"/>
              <w:right w:val="nil"/>
            </w:tcBorders>
          </w:tcPr>
          <w:p w14:paraId="54F2E595"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055E5F3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(0.303)</w:t>
            </w:r>
          </w:p>
        </w:tc>
        <w:tc>
          <w:tcPr>
            <w:tcW w:w="2016" w:type="dxa"/>
            <w:tcBorders>
              <w:top w:val="nil"/>
              <w:left w:val="nil"/>
              <w:bottom w:val="nil"/>
              <w:right w:val="nil"/>
            </w:tcBorders>
          </w:tcPr>
          <w:p w14:paraId="1076C16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(0.428)</w:t>
            </w:r>
          </w:p>
        </w:tc>
        <w:tc>
          <w:tcPr>
            <w:tcW w:w="2016" w:type="dxa"/>
            <w:tcBorders>
              <w:top w:val="nil"/>
              <w:left w:val="nil"/>
              <w:bottom w:val="nil"/>
              <w:right w:val="nil"/>
            </w:tcBorders>
          </w:tcPr>
          <w:p w14:paraId="36E5734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(0.268)</w:t>
            </w:r>
          </w:p>
        </w:tc>
        <w:tc>
          <w:tcPr>
            <w:tcW w:w="2016" w:type="dxa"/>
            <w:tcBorders>
              <w:top w:val="nil"/>
              <w:left w:val="nil"/>
              <w:bottom w:val="nil"/>
              <w:right w:val="nil"/>
            </w:tcBorders>
          </w:tcPr>
          <w:p w14:paraId="1B83C70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(0.386)</w:t>
            </w:r>
          </w:p>
        </w:tc>
        <w:tc>
          <w:tcPr>
            <w:tcW w:w="2016" w:type="dxa"/>
            <w:tcBorders>
              <w:top w:val="nil"/>
              <w:left w:val="nil"/>
              <w:bottom w:val="nil"/>
              <w:right w:val="nil"/>
            </w:tcBorders>
          </w:tcPr>
          <w:p w14:paraId="2978254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(0.314)</w:t>
            </w:r>
          </w:p>
        </w:tc>
        <w:tc>
          <w:tcPr>
            <w:tcW w:w="2016" w:type="dxa"/>
            <w:tcBorders>
              <w:top w:val="nil"/>
              <w:left w:val="nil"/>
              <w:bottom w:val="nil"/>
              <w:right w:val="nil"/>
            </w:tcBorders>
          </w:tcPr>
          <w:p w14:paraId="013AC95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(0.439)</w:t>
            </w:r>
          </w:p>
        </w:tc>
      </w:tr>
      <w:tr w:rsidR="00F05B90" w:rsidRPr="00F05B90" w14:paraId="28445F90" w14:textId="77777777" w:rsidTr="00320854">
        <w:tc>
          <w:tcPr>
            <w:tcW w:w="1656" w:type="dxa"/>
            <w:tcBorders>
              <w:top w:val="nil"/>
              <w:left w:val="nil"/>
              <w:bottom w:val="nil"/>
              <w:right w:val="nil"/>
            </w:tcBorders>
          </w:tcPr>
          <w:p w14:paraId="7F2B8684"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ACIndep</w:t>
            </w:r>
          </w:p>
        </w:tc>
        <w:tc>
          <w:tcPr>
            <w:tcW w:w="2016" w:type="dxa"/>
            <w:tcBorders>
              <w:top w:val="nil"/>
              <w:left w:val="nil"/>
              <w:bottom w:val="nil"/>
              <w:right w:val="nil"/>
            </w:tcBorders>
          </w:tcPr>
          <w:p w14:paraId="43D47B4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-1.841</w:t>
            </w:r>
            <w:r w:rsidRPr="00F05B90">
              <w:rPr>
                <w:b/>
                <w:bCs/>
                <w:sz w:val="20"/>
                <w:szCs w:val="20"/>
                <w:vertAlign w:val="superscript"/>
              </w:rPr>
              <w:t>*</w:t>
            </w:r>
          </w:p>
        </w:tc>
        <w:tc>
          <w:tcPr>
            <w:tcW w:w="2016" w:type="dxa"/>
            <w:tcBorders>
              <w:top w:val="nil"/>
              <w:left w:val="nil"/>
              <w:bottom w:val="nil"/>
              <w:right w:val="nil"/>
            </w:tcBorders>
          </w:tcPr>
          <w:p w14:paraId="4989257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-0.613</w:t>
            </w:r>
          </w:p>
        </w:tc>
        <w:tc>
          <w:tcPr>
            <w:tcW w:w="2016" w:type="dxa"/>
            <w:tcBorders>
              <w:top w:val="nil"/>
              <w:left w:val="nil"/>
              <w:bottom w:val="nil"/>
              <w:right w:val="nil"/>
            </w:tcBorders>
          </w:tcPr>
          <w:p w14:paraId="2D6FDAB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-2.066</w:t>
            </w:r>
            <w:r w:rsidRPr="00F05B90">
              <w:rPr>
                <w:b/>
                <w:bCs/>
                <w:sz w:val="20"/>
                <w:szCs w:val="20"/>
                <w:vertAlign w:val="superscript"/>
              </w:rPr>
              <w:t>*</w:t>
            </w:r>
          </w:p>
        </w:tc>
        <w:tc>
          <w:tcPr>
            <w:tcW w:w="2016" w:type="dxa"/>
            <w:tcBorders>
              <w:top w:val="nil"/>
              <w:left w:val="nil"/>
              <w:bottom w:val="nil"/>
              <w:right w:val="nil"/>
            </w:tcBorders>
          </w:tcPr>
          <w:p w14:paraId="3726821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-0.178</w:t>
            </w:r>
          </w:p>
        </w:tc>
        <w:tc>
          <w:tcPr>
            <w:tcW w:w="2016" w:type="dxa"/>
            <w:tcBorders>
              <w:top w:val="nil"/>
              <w:left w:val="nil"/>
              <w:bottom w:val="nil"/>
              <w:right w:val="nil"/>
            </w:tcBorders>
          </w:tcPr>
          <w:p w14:paraId="5B5862A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-1.810</w:t>
            </w:r>
            <w:r w:rsidRPr="00F05B90">
              <w:rPr>
                <w:b/>
                <w:bCs/>
                <w:sz w:val="20"/>
                <w:szCs w:val="20"/>
                <w:vertAlign w:val="superscript"/>
              </w:rPr>
              <w:t>*</w:t>
            </w:r>
          </w:p>
        </w:tc>
        <w:tc>
          <w:tcPr>
            <w:tcW w:w="2016" w:type="dxa"/>
            <w:tcBorders>
              <w:top w:val="nil"/>
              <w:left w:val="nil"/>
              <w:bottom w:val="nil"/>
              <w:right w:val="nil"/>
            </w:tcBorders>
          </w:tcPr>
          <w:p w14:paraId="68CD550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-0.602</w:t>
            </w:r>
          </w:p>
        </w:tc>
      </w:tr>
      <w:tr w:rsidR="00F05B90" w:rsidRPr="00F05B90" w14:paraId="68FAF872" w14:textId="77777777" w:rsidTr="00320854">
        <w:tc>
          <w:tcPr>
            <w:tcW w:w="1656" w:type="dxa"/>
            <w:tcBorders>
              <w:top w:val="nil"/>
              <w:left w:val="nil"/>
              <w:bottom w:val="nil"/>
              <w:right w:val="nil"/>
            </w:tcBorders>
          </w:tcPr>
          <w:p w14:paraId="6212E59C"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09FF8AC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(1.109)</w:t>
            </w:r>
          </w:p>
        </w:tc>
        <w:tc>
          <w:tcPr>
            <w:tcW w:w="2016" w:type="dxa"/>
            <w:tcBorders>
              <w:top w:val="nil"/>
              <w:left w:val="nil"/>
              <w:bottom w:val="nil"/>
              <w:right w:val="nil"/>
            </w:tcBorders>
          </w:tcPr>
          <w:p w14:paraId="2B7AFC5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(0.968)</w:t>
            </w:r>
          </w:p>
        </w:tc>
        <w:tc>
          <w:tcPr>
            <w:tcW w:w="2016" w:type="dxa"/>
            <w:tcBorders>
              <w:top w:val="nil"/>
              <w:left w:val="nil"/>
              <w:bottom w:val="nil"/>
              <w:right w:val="nil"/>
            </w:tcBorders>
          </w:tcPr>
          <w:p w14:paraId="282F2A2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(1.065)</w:t>
            </w:r>
          </w:p>
        </w:tc>
        <w:tc>
          <w:tcPr>
            <w:tcW w:w="2016" w:type="dxa"/>
            <w:tcBorders>
              <w:top w:val="nil"/>
              <w:left w:val="nil"/>
              <w:bottom w:val="nil"/>
              <w:right w:val="nil"/>
            </w:tcBorders>
          </w:tcPr>
          <w:p w14:paraId="347051B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(0.958)</w:t>
            </w:r>
          </w:p>
        </w:tc>
        <w:tc>
          <w:tcPr>
            <w:tcW w:w="2016" w:type="dxa"/>
            <w:tcBorders>
              <w:top w:val="nil"/>
              <w:left w:val="nil"/>
              <w:bottom w:val="nil"/>
              <w:right w:val="nil"/>
            </w:tcBorders>
          </w:tcPr>
          <w:p w14:paraId="53FB9A8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(1.096)</w:t>
            </w:r>
          </w:p>
        </w:tc>
        <w:tc>
          <w:tcPr>
            <w:tcW w:w="2016" w:type="dxa"/>
            <w:tcBorders>
              <w:top w:val="nil"/>
              <w:left w:val="nil"/>
              <w:bottom w:val="nil"/>
              <w:right w:val="nil"/>
            </w:tcBorders>
          </w:tcPr>
          <w:p w14:paraId="7663AD4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(0.956)</w:t>
            </w:r>
          </w:p>
        </w:tc>
      </w:tr>
      <w:tr w:rsidR="00F05B90" w:rsidRPr="00F05B90" w14:paraId="484E782C" w14:textId="77777777" w:rsidTr="00320854">
        <w:tc>
          <w:tcPr>
            <w:tcW w:w="1656" w:type="dxa"/>
            <w:tcBorders>
              <w:top w:val="nil"/>
              <w:left w:val="nil"/>
              <w:bottom w:val="nil"/>
              <w:right w:val="nil"/>
            </w:tcBorders>
          </w:tcPr>
          <w:p w14:paraId="7F1A193B"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BoDIndep</w:t>
            </w:r>
          </w:p>
        </w:tc>
        <w:tc>
          <w:tcPr>
            <w:tcW w:w="2016" w:type="dxa"/>
            <w:tcBorders>
              <w:top w:val="nil"/>
              <w:left w:val="nil"/>
              <w:bottom w:val="nil"/>
              <w:right w:val="nil"/>
            </w:tcBorders>
          </w:tcPr>
          <w:p w14:paraId="2746FB4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3.452</w:t>
            </w:r>
            <w:r w:rsidRPr="00F05B90">
              <w:rPr>
                <w:b/>
                <w:bCs/>
                <w:sz w:val="20"/>
                <w:szCs w:val="20"/>
                <w:vertAlign w:val="superscript"/>
              </w:rPr>
              <w:t>***</w:t>
            </w:r>
          </w:p>
        </w:tc>
        <w:tc>
          <w:tcPr>
            <w:tcW w:w="2016" w:type="dxa"/>
            <w:tcBorders>
              <w:top w:val="nil"/>
              <w:left w:val="nil"/>
              <w:bottom w:val="nil"/>
              <w:right w:val="nil"/>
            </w:tcBorders>
          </w:tcPr>
          <w:p w14:paraId="692181D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-0.461</w:t>
            </w:r>
            <w:r w:rsidRPr="00F05B90">
              <w:rPr>
                <w:b/>
                <w:bCs/>
                <w:sz w:val="20"/>
                <w:szCs w:val="20"/>
                <w:vertAlign w:val="superscript"/>
              </w:rPr>
              <w:t>*</w:t>
            </w:r>
          </w:p>
        </w:tc>
        <w:tc>
          <w:tcPr>
            <w:tcW w:w="2016" w:type="dxa"/>
            <w:tcBorders>
              <w:top w:val="nil"/>
              <w:left w:val="nil"/>
              <w:bottom w:val="nil"/>
              <w:right w:val="nil"/>
            </w:tcBorders>
          </w:tcPr>
          <w:p w14:paraId="457E184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3.242</w:t>
            </w:r>
            <w:r w:rsidRPr="00F05B90">
              <w:rPr>
                <w:b/>
                <w:bCs/>
                <w:sz w:val="20"/>
                <w:szCs w:val="20"/>
                <w:vertAlign w:val="superscript"/>
              </w:rPr>
              <w:t>***</w:t>
            </w:r>
          </w:p>
        </w:tc>
        <w:tc>
          <w:tcPr>
            <w:tcW w:w="2016" w:type="dxa"/>
            <w:tcBorders>
              <w:top w:val="nil"/>
              <w:left w:val="nil"/>
              <w:bottom w:val="nil"/>
              <w:right w:val="nil"/>
            </w:tcBorders>
          </w:tcPr>
          <w:p w14:paraId="11761E1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-0.774</w:t>
            </w:r>
            <w:r w:rsidRPr="00F05B90">
              <w:rPr>
                <w:b/>
                <w:bCs/>
                <w:sz w:val="20"/>
                <w:szCs w:val="20"/>
                <w:vertAlign w:val="superscript"/>
              </w:rPr>
              <w:t>***</w:t>
            </w:r>
          </w:p>
        </w:tc>
        <w:tc>
          <w:tcPr>
            <w:tcW w:w="2016" w:type="dxa"/>
            <w:tcBorders>
              <w:top w:val="nil"/>
              <w:left w:val="nil"/>
              <w:bottom w:val="nil"/>
              <w:right w:val="nil"/>
            </w:tcBorders>
          </w:tcPr>
          <w:p w14:paraId="7B6DC22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3.182</w:t>
            </w:r>
            <w:r w:rsidRPr="00F05B90">
              <w:rPr>
                <w:b/>
                <w:bCs/>
                <w:sz w:val="20"/>
                <w:szCs w:val="20"/>
                <w:vertAlign w:val="superscript"/>
              </w:rPr>
              <w:t>***</w:t>
            </w:r>
          </w:p>
        </w:tc>
        <w:tc>
          <w:tcPr>
            <w:tcW w:w="2016" w:type="dxa"/>
            <w:tcBorders>
              <w:top w:val="nil"/>
              <w:left w:val="nil"/>
              <w:bottom w:val="nil"/>
              <w:right w:val="nil"/>
            </w:tcBorders>
          </w:tcPr>
          <w:p w14:paraId="3CBD616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-0.396</w:t>
            </w:r>
          </w:p>
        </w:tc>
      </w:tr>
      <w:tr w:rsidR="00F05B90" w:rsidRPr="00F05B90" w14:paraId="6100DC2F" w14:textId="77777777" w:rsidTr="00320854">
        <w:tc>
          <w:tcPr>
            <w:tcW w:w="1656" w:type="dxa"/>
            <w:tcBorders>
              <w:top w:val="nil"/>
              <w:left w:val="nil"/>
              <w:bottom w:val="nil"/>
              <w:right w:val="nil"/>
            </w:tcBorders>
          </w:tcPr>
          <w:p w14:paraId="0564FBF7"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0E22ED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(0.624)</w:t>
            </w:r>
          </w:p>
        </w:tc>
        <w:tc>
          <w:tcPr>
            <w:tcW w:w="2016" w:type="dxa"/>
            <w:tcBorders>
              <w:top w:val="nil"/>
              <w:left w:val="nil"/>
              <w:bottom w:val="nil"/>
              <w:right w:val="nil"/>
            </w:tcBorders>
          </w:tcPr>
          <w:p w14:paraId="6CF484C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(0.269)</w:t>
            </w:r>
          </w:p>
        </w:tc>
        <w:tc>
          <w:tcPr>
            <w:tcW w:w="2016" w:type="dxa"/>
            <w:tcBorders>
              <w:top w:val="nil"/>
              <w:left w:val="nil"/>
              <w:bottom w:val="nil"/>
              <w:right w:val="nil"/>
            </w:tcBorders>
          </w:tcPr>
          <w:p w14:paraId="7B964F3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(0.557)</w:t>
            </w:r>
          </w:p>
        </w:tc>
        <w:tc>
          <w:tcPr>
            <w:tcW w:w="2016" w:type="dxa"/>
            <w:tcBorders>
              <w:top w:val="nil"/>
              <w:left w:val="nil"/>
              <w:bottom w:val="nil"/>
              <w:right w:val="nil"/>
            </w:tcBorders>
          </w:tcPr>
          <w:p w14:paraId="506995C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(0.295)</w:t>
            </w:r>
          </w:p>
        </w:tc>
        <w:tc>
          <w:tcPr>
            <w:tcW w:w="2016" w:type="dxa"/>
            <w:tcBorders>
              <w:top w:val="nil"/>
              <w:left w:val="nil"/>
              <w:bottom w:val="nil"/>
              <w:right w:val="nil"/>
            </w:tcBorders>
          </w:tcPr>
          <w:p w14:paraId="7DA3879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(0.633)</w:t>
            </w:r>
          </w:p>
        </w:tc>
        <w:tc>
          <w:tcPr>
            <w:tcW w:w="2016" w:type="dxa"/>
            <w:tcBorders>
              <w:top w:val="nil"/>
              <w:left w:val="nil"/>
              <w:bottom w:val="nil"/>
              <w:right w:val="nil"/>
            </w:tcBorders>
          </w:tcPr>
          <w:p w14:paraId="0595DB0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(0.275)</w:t>
            </w:r>
          </w:p>
        </w:tc>
      </w:tr>
      <w:tr w:rsidR="00F05B90" w:rsidRPr="00F05B90" w14:paraId="59B71C95" w14:textId="77777777" w:rsidTr="00320854">
        <w:tc>
          <w:tcPr>
            <w:tcW w:w="1656" w:type="dxa"/>
            <w:tcBorders>
              <w:top w:val="nil"/>
              <w:left w:val="nil"/>
              <w:bottom w:val="nil"/>
              <w:right w:val="nil"/>
            </w:tcBorders>
          </w:tcPr>
          <w:p w14:paraId="790BD0D6"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Leverage</w:t>
            </w:r>
          </w:p>
        </w:tc>
        <w:tc>
          <w:tcPr>
            <w:tcW w:w="2016" w:type="dxa"/>
            <w:tcBorders>
              <w:top w:val="nil"/>
              <w:left w:val="nil"/>
              <w:bottom w:val="nil"/>
              <w:right w:val="nil"/>
            </w:tcBorders>
          </w:tcPr>
          <w:p w14:paraId="555792C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-0.016</w:t>
            </w:r>
          </w:p>
        </w:tc>
        <w:tc>
          <w:tcPr>
            <w:tcW w:w="2016" w:type="dxa"/>
            <w:tcBorders>
              <w:top w:val="nil"/>
              <w:left w:val="nil"/>
              <w:bottom w:val="nil"/>
              <w:right w:val="nil"/>
            </w:tcBorders>
          </w:tcPr>
          <w:p w14:paraId="1BA7ECC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c>
          <w:tcPr>
            <w:tcW w:w="2016" w:type="dxa"/>
            <w:tcBorders>
              <w:top w:val="nil"/>
              <w:left w:val="nil"/>
              <w:bottom w:val="nil"/>
              <w:right w:val="nil"/>
            </w:tcBorders>
          </w:tcPr>
          <w:p w14:paraId="1433AFD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-0.017</w:t>
            </w:r>
          </w:p>
        </w:tc>
        <w:tc>
          <w:tcPr>
            <w:tcW w:w="2016" w:type="dxa"/>
            <w:tcBorders>
              <w:top w:val="nil"/>
              <w:left w:val="nil"/>
              <w:bottom w:val="nil"/>
              <w:right w:val="nil"/>
            </w:tcBorders>
          </w:tcPr>
          <w:p w14:paraId="1DED964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0.001</w:t>
            </w:r>
          </w:p>
        </w:tc>
        <w:tc>
          <w:tcPr>
            <w:tcW w:w="2016" w:type="dxa"/>
            <w:tcBorders>
              <w:top w:val="nil"/>
              <w:left w:val="nil"/>
              <w:bottom w:val="nil"/>
              <w:right w:val="nil"/>
            </w:tcBorders>
          </w:tcPr>
          <w:p w14:paraId="3EAA42E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2016" w:type="dxa"/>
            <w:tcBorders>
              <w:top w:val="nil"/>
              <w:left w:val="nil"/>
              <w:bottom w:val="nil"/>
              <w:right w:val="nil"/>
            </w:tcBorders>
          </w:tcPr>
          <w:p w14:paraId="24D6A65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r>
      <w:tr w:rsidR="00F05B90" w:rsidRPr="00F05B90" w14:paraId="1E633E25" w14:textId="77777777" w:rsidTr="00320854">
        <w:tc>
          <w:tcPr>
            <w:tcW w:w="1656" w:type="dxa"/>
            <w:tcBorders>
              <w:top w:val="nil"/>
              <w:left w:val="nil"/>
              <w:bottom w:val="nil"/>
              <w:right w:val="nil"/>
            </w:tcBorders>
          </w:tcPr>
          <w:p w14:paraId="60D071F1"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37B0276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(0.013)</w:t>
            </w:r>
          </w:p>
        </w:tc>
        <w:tc>
          <w:tcPr>
            <w:tcW w:w="2016" w:type="dxa"/>
            <w:tcBorders>
              <w:top w:val="nil"/>
              <w:left w:val="nil"/>
              <w:bottom w:val="nil"/>
              <w:right w:val="nil"/>
            </w:tcBorders>
          </w:tcPr>
          <w:p w14:paraId="7BE3A59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(0.007)</w:t>
            </w:r>
          </w:p>
        </w:tc>
        <w:tc>
          <w:tcPr>
            <w:tcW w:w="2016" w:type="dxa"/>
            <w:tcBorders>
              <w:top w:val="nil"/>
              <w:left w:val="nil"/>
              <w:bottom w:val="nil"/>
              <w:right w:val="nil"/>
            </w:tcBorders>
          </w:tcPr>
          <w:p w14:paraId="6754FE5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(0.013)</w:t>
            </w:r>
          </w:p>
        </w:tc>
        <w:tc>
          <w:tcPr>
            <w:tcW w:w="2016" w:type="dxa"/>
            <w:tcBorders>
              <w:top w:val="nil"/>
              <w:left w:val="nil"/>
              <w:bottom w:val="nil"/>
              <w:right w:val="nil"/>
            </w:tcBorders>
          </w:tcPr>
          <w:p w14:paraId="42ADC03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(0.006)</w:t>
            </w:r>
          </w:p>
        </w:tc>
        <w:tc>
          <w:tcPr>
            <w:tcW w:w="2016" w:type="dxa"/>
            <w:tcBorders>
              <w:top w:val="nil"/>
              <w:left w:val="nil"/>
              <w:bottom w:val="nil"/>
              <w:right w:val="nil"/>
            </w:tcBorders>
          </w:tcPr>
          <w:p w14:paraId="1EB501A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(0.013)</w:t>
            </w:r>
          </w:p>
        </w:tc>
        <w:tc>
          <w:tcPr>
            <w:tcW w:w="2016" w:type="dxa"/>
            <w:tcBorders>
              <w:top w:val="nil"/>
              <w:left w:val="nil"/>
              <w:bottom w:val="nil"/>
              <w:right w:val="nil"/>
            </w:tcBorders>
          </w:tcPr>
          <w:p w14:paraId="210D82E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(0.007)</w:t>
            </w:r>
          </w:p>
        </w:tc>
      </w:tr>
      <w:tr w:rsidR="00F05B90" w:rsidRPr="00F05B90" w14:paraId="1B3E2D63" w14:textId="77777777" w:rsidTr="00320854">
        <w:tc>
          <w:tcPr>
            <w:tcW w:w="1656" w:type="dxa"/>
            <w:tcBorders>
              <w:top w:val="nil"/>
              <w:left w:val="nil"/>
              <w:bottom w:val="nil"/>
              <w:right w:val="nil"/>
            </w:tcBorders>
          </w:tcPr>
          <w:p w14:paraId="6053D8B2"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LOSS</w:t>
            </w:r>
          </w:p>
        </w:tc>
        <w:tc>
          <w:tcPr>
            <w:tcW w:w="2016" w:type="dxa"/>
            <w:tcBorders>
              <w:top w:val="nil"/>
              <w:left w:val="nil"/>
              <w:bottom w:val="nil"/>
              <w:right w:val="nil"/>
            </w:tcBorders>
          </w:tcPr>
          <w:p w14:paraId="0BAD1AE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0.119</w:t>
            </w:r>
          </w:p>
        </w:tc>
        <w:tc>
          <w:tcPr>
            <w:tcW w:w="2016" w:type="dxa"/>
            <w:tcBorders>
              <w:top w:val="nil"/>
              <w:left w:val="nil"/>
              <w:bottom w:val="nil"/>
              <w:right w:val="nil"/>
            </w:tcBorders>
          </w:tcPr>
          <w:p w14:paraId="0AEDDB8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0.262</w:t>
            </w:r>
            <w:r w:rsidRPr="00F05B90">
              <w:rPr>
                <w:b/>
                <w:bCs/>
                <w:sz w:val="20"/>
                <w:szCs w:val="20"/>
                <w:vertAlign w:val="superscript"/>
              </w:rPr>
              <w:t>***</w:t>
            </w:r>
          </w:p>
        </w:tc>
        <w:tc>
          <w:tcPr>
            <w:tcW w:w="2016" w:type="dxa"/>
            <w:tcBorders>
              <w:top w:val="nil"/>
              <w:left w:val="nil"/>
              <w:bottom w:val="nil"/>
              <w:right w:val="nil"/>
            </w:tcBorders>
          </w:tcPr>
          <w:p w14:paraId="620B61B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0.070</w:t>
            </w:r>
          </w:p>
        </w:tc>
        <w:tc>
          <w:tcPr>
            <w:tcW w:w="2016" w:type="dxa"/>
            <w:tcBorders>
              <w:top w:val="nil"/>
              <w:left w:val="nil"/>
              <w:bottom w:val="nil"/>
              <w:right w:val="nil"/>
            </w:tcBorders>
          </w:tcPr>
          <w:p w14:paraId="69B0B8F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0.378</w:t>
            </w:r>
            <w:r w:rsidRPr="00F05B90">
              <w:rPr>
                <w:b/>
                <w:bCs/>
                <w:sz w:val="20"/>
                <w:szCs w:val="20"/>
                <w:vertAlign w:val="superscript"/>
              </w:rPr>
              <w:t>***</w:t>
            </w:r>
          </w:p>
        </w:tc>
        <w:tc>
          <w:tcPr>
            <w:tcW w:w="2016" w:type="dxa"/>
            <w:tcBorders>
              <w:top w:val="nil"/>
              <w:left w:val="nil"/>
              <w:bottom w:val="nil"/>
              <w:right w:val="nil"/>
            </w:tcBorders>
          </w:tcPr>
          <w:p w14:paraId="3BB4D5D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0.081</w:t>
            </w:r>
          </w:p>
        </w:tc>
        <w:tc>
          <w:tcPr>
            <w:tcW w:w="2016" w:type="dxa"/>
            <w:tcBorders>
              <w:top w:val="nil"/>
              <w:left w:val="nil"/>
              <w:bottom w:val="nil"/>
              <w:right w:val="nil"/>
            </w:tcBorders>
          </w:tcPr>
          <w:p w14:paraId="237D5BF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0.273</w:t>
            </w:r>
            <w:r w:rsidRPr="00F05B90">
              <w:rPr>
                <w:b/>
                <w:bCs/>
                <w:sz w:val="20"/>
                <w:szCs w:val="20"/>
                <w:vertAlign w:val="superscript"/>
              </w:rPr>
              <w:t>***</w:t>
            </w:r>
          </w:p>
        </w:tc>
      </w:tr>
      <w:tr w:rsidR="00F05B90" w:rsidRPr="00F05B90" w14:paraId="0E3E335F" w14:textId="77777777" w:rsidTr="00320854">
        <w:tc>
          <w:tcPr>
            <w:tcW w:w="1656" w:type="dxa"/>
            <w:tcBorders>
              <w:top w:val="nil"/>
              <w:left w:val="nil"/>
              <w:bottom w:val="nil"/>
              <w:right w:val="nil"/>
            </w:tcBorders>
          </w:tcPr>
          <w:p w14:paraId="3B5FDED8"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67F4E0E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(0.222)</w:t>
            </w:r>
          </w:p>
        </w:tc>
        <w:tc>
          <w:tcPr>
            <w:tcW w:w="2016" w:type="dxa"/>
            <w:tcBorders>
              <w:top w:val="nil"/>
              <w:left w:val="nil"/>
              <w:bottom w:val="nil"/>
              <w:right w:val="nil"/>
            </w:tcBorders>
          </w:tcPr>
          <w:p w14:paraId="3865E9D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(0.100)</w:t>
            </w:r>
          </w:p>
        </w:tc>
        <w:tc>
          <w:tcPr>
            <w:tcW w:w="2016" w:type="dxa"/>
            <w:tcBorders>
              <w:top w:val="nil"/>
              <w:left w:val="nil"/>
              <w:bottom w:val="nil"/>
              <w:right w:val="nil"/>
            </w:tcBorders>
          </w:tcPr>
          <w:p w14:paraId="38C8E61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(0.215)</w:t>
            </w:r>
          </w:p>
        </w:tc>
        <w:tc>
          <w:tcPr>
            <w:tcW w:w="2016" w:type="dxa"/>
            <w:tcBorders>
              <w:top w:val="nil"/>
              <w:left w:val="nil"/>
              <w:bottom w:val="nil"/>
              <w:right w:val="nil"/>
            </w:tcBorders>
          </w:tcPr>
          <w:p w14:paraId="0E2F423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(0.102)</w:t>
            </w:r>
          </w:p>
        </w:tc>
        <w:tc>
          <w:tcPr>
            <w:tcW w:w="2016" w:type="dxa"/>
            <w:tcBorders>
              <w:top w:val="nil"/>
              <w:left w:val="nil"/>
              <w:bottom w:val="nil"/>
              <w:right w:val="nil"/>
            </w:tcBorders>
          </w:tcPr>
          <w:p w14:paraId="460D081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(0.222)</w:t>
            </w:r>
          </w:p>
        </w:tc>
        <w:tc>
          <w:tcPr>
            <w:tcW w:w="2016" w:type="dxa"/>
            <w:tcBorders>
              <w:top w:val="nil"/>
              <w:left w:val="nil"/>
              <w:bottom w:val="nil"/>
              <w:right w:val="nil"/>
            </w:tcBorders>
          </w:tcPr>
          <w:p w14:paraId="7CFCEDD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(0.100)</w:t>
            </w:r>
          </w:p>
        </w:tc>
      </w:tr>
      <w:tr w:rsidR="00F05B90" w:rsidRPr="00F05B90" w14:paraId="065F0971" w14:textId="77777777" w:rsidTr="00320854">
        <w:tc>
          <w:tcPr>
            <w:tcW w:w="1656" w:type="dxa"/>
            <w:tcBorders>
              <w:top w:val="nil"/>
              <w:left w:val="nil"/>
              <w:bottom w:val="nil"/>
              <w:right w:val="nil"/>
            </w:tcBorders>
          </w:tcPr>
          <w:p w14:paraId="03456F3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CurrentR</w:t>
            </w:r>
          </w:p>
        </w:tc>
        <w:tc>
          <w:tcPr>
            <w:tcW w:w="2016" w:type="dxa"/>
            <w:tcBorders>
              <w:top w:val="nil"/>
              <w:left w:val="nil"/>
              <w:bottom w:val="nil"/>
              <w:right w:val="nil"/>
            </w:tcBorders>
          </w:tcPr>
          <w:p w14:paraId="19C7A70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-0.116</w:t>
            </w:r>
          </w:p>
        </w:tc>
        <w:tc>
          <w:tcPr>
            <w:tcW w:w="2016" w:type="dxa"/>
            <w:tcBorders>
              <w:top w:val="nil"/>
              <w:left w:val="nil"/>
              <w:bottom w:val="nil"/>
              <w:right w:val="nil"/>
            </w:tcBorders>
          </w:tcPr>
          <w:p w14:paraId="1B5FBDE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-0.046</w:t>
            </w:r>
          </w:p>
        </w:tc>
        <w:tc>
          <w:tcPr>
            <w:tcW w:w="2016" w:type="dxa"/>
            <w:tcBorders>
              <w:top w:val="nil"/>
              <w:left w:val="nil"/>
              <w:bottom w:val="nil"/>
              <w:right w:val="nil"/>
            </w:tcBorders>
          </w:tcPr>
          <w:p w14:paraId="4304B87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-0.090</w:t>
            </w:r>
          </w:p>
        </w:tc>
        <w:tc>
          <w:tcPr>
            <w:tcW w:w="2016" w:type="dxa"/>
            <w:tcBorders>
              <w:top w:val="nil"/>
              <w:left w:val="nil"/>
              <w:bottom w:val="nil"/>
              <w:right w:val="nil"/>
            </w:tcBorders>
          </w:tcPr>
          <w:p w14:paraId="2725382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-0.072</w:t>
            </w:r>
            <w:r w:rsidRPr="00F05B90">
              <w:rPr>
                <w:b/>
                <w:bCs/>
                <w:sz w:val="20"/>
                <w:szCs w:val="20"/>
                <w:vertAlign w:val="superscript"/>
              </w:rPr>
              <w:t>*</w:t>
            </w:r>
          </w:p>
        </w:tc>
        <w:tc>
          <w:tcPr>
            <w:tcW w:w="2016" w:type="dxa"/>
            <w:tcBorders>
              <w:top w:val="nil"/>
              <w:left w:val="nil"/>
              <w:bottom w:val="nil"/>
              <w:right w:val="nil"/>
            </w:tcBorders>
          </w:tcPr>
          <w:p w14:paraId="59E8B76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-0.108</w:t>
            </w:r>
          </w:p>
        </w:tc>
        <w:tc>
          <w:tcPr>
            <w:tcW w:w="2016" w:type="dxa"/>
            <w:tcBorders>
              <w:top w:val="nil"/>
              <w:left w:val="nil"/>
              <w:bottom w:val="nil"/>
              <w:right w:val="nil"/>
            </w:tcBorders>
          </w:tcPr>
          <w:p w14:paraId="4FD0552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-0.048</w:t>
            </w:r>
          </w:p>
        </w:tc>
      </w:tr>
      <w:tr w:rsidR="00F05B90" w:rsidRPr="00F05B90" w14:paraId="33A1D3DF" w14:textId="77777777" w:rsidTr="00320854">
        <w:tc>
          <w:tcPr>
            <w:tcW w:w="1656" w:type="dxa"/>
            <w:tcBorders>
              <w:top w:val="nil"/>
              <w:left w:val="nil"/>
              <w:bottom w:val="nil"/>
              <w:right w:val="nil"/>
            </w:tcBorders>
          </w:tcPr>
          <w:p w14:paraId="06F9F2D8"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3DE6043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(0.074)</w:t>
            </w:r>
          </w:p>
        </w:tc>
        <w:tc>
          <w:tcPr>
            <w:tcW w:w="2016" w:type="dxa"/>
            <w:tcBorders>
              <w:top w:val="nil"/>
              <w:left w:val="nil"/>
              <w:bottom w:val="nil"/>
              <w:right w:val="nil"/>
            </w:tcBorders>
          </w:tcPr>
          <w:p w14:paraId="3C3B765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(0.038)</w:t>
            </w:r>
          </w:p>
        </w:tc>
        <w:tc>
          <w:tcPr>
            <w:tcW w:w="2016" w:type="dxa"/>
            <w:tcBorders>
              <w:top w:val="nil"/>
              <w:left w:val="nil"/>
              <w:bottom w:val="nil"/>
              <w:right w:val="nil"/>
            </w:tcBorders>
          </w:tcPr>
          <w:p w14:paraId="503887D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(0.069)</w:t>
            </w:r>
          </w:p>
        </w:tc>
        <w:tc>
          <w:tcPr>
            <w:tcW w:w="2016" w:type="dxa"/>
            <w:tcBorders>
              <w:top w:val="nil"/>
              <w:left w:val="nil"/>
              <w:bottom w:val="nil"/>
              <w:right w:val="nil"/>
            </w:tcBorders>
          </w:tcPr>
          <w:p w14:paraId="23C0ADA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(0.042)</w:t>
            </w:r>
          </w:p>
        </w:tc>
        <w:tc>
          <w:tcPr>
            <w:tcW w:w="2016" w:type="dxa"/>
            <w:tcBorders>
              <w:top w:val="nil"/>
              <w:left w:val="nil"/>
              <w:bottom w:val="nil"/>
              <w:right w:val="nil"/>
            </w:tcBorders>
          </w:tcPr>
          <w:p w14:paraId="31D1E7D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(0.074)</w:t>
            </w:r>
          </w:p>
        </w:tc>
        <w:tc>
          <w:tcPr>
            <w:tcW w:w="2016" w:type="dxa"/>
            <w:tcBorders>
              <w:top w:val="nil"/>
              <w:left w:val="nil"/>
              <w:bottom w:val="nil"/>
              <w:right w:val="nil"/>
            </w:tcBorders>
          </w:tcPr>
          <w:p w14:paraId="5CB8ABC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(0.037)</w:t>
            </w:r>
          </w:p>
        </w:tc>
      </w:tr>
      <w:tr w:rsidR="00F05B90" w:rsidRPr="00F05B90" w14:paraId="4EADCBC1" w14:textId="77777777" w:rsidTr="00320854">
        <w:tc>
          <w:tcPr>
            <w:tcW w:w="1656" w:type="dxa"/>
            <w:tcBorders>
              <w:top w:val="nil"/>
              <w:left w:val="nil"/>
              <w:bottom w:val="nil"/>
              <w:right w:val="nil"/>
            </w:tcBorders>
          </w:tcPr>
          <w:p w14:paraId="6249D3CC"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ROA</w:t>
            </w:r>
          </w:p>
        </w:tc>
        <w:tc>
          <w:tcPr>
            <w:tcW w:w="2016" w:type="dxa"/>
            <w:tcBorders>
              <w:top w:val="nil"/>
              <w:left w:val="nil"/>
              <w:bottom w:val="nil"/>
              <w:right w:val="nil"/>
            </w:tcBorders>
          </w:tcPr>
          <w:p w14:paraId="454F256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-0.021</w:t>
            </w:r>
            <w:r w:rsidRPr="00F05B90">
              <w:rPr>
                <w:b/>
                <w:bCs/>
                <w:sz w:val="20"/>
                <w:szCs w:val="20"/>
                <w:vertAlign w:val="superscript"/>
              </w:rPr>
              <w:t>***</w:t>
            </w:r>
          </w:p>
        </w:tc>
        <w:tc>
          <w:tcPr>
            <w:tcW w:w="2016" w:type="dxa"/>
            <w:tcBorders>
              <w:top w:val="nil"/>
              <w:left w:val="nil"/>
              <w:bottom w:val="nil"/>
              <w:right w:val="nil"/>
            </w:tcBorders>
          </w:tcPr>
          <w:p w14:paraId="0859E62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0.031</w:t>
            </w:r>
            <w:r w:rsidRPr="00F05B90">
              <w:rPr>
                <w:b/>
                <w:bCs/>
                <w:sz w:val="20"/>
                <w:szCs w:val="20"/>
                <w:vertAlign w:val="superscript"/>
              </w:rPr>
              <w:t>***</w:t>
            </w:r>
          </w:p>
        </w:tc>
        <w:tc>
          <w:tcPr>
            <w:tcW w:w="2016" w:type="dxa"/>
            <w:tcBorders>
              <w:top w:val="nil"/>
              <w:left w:val="nil"/>
              <w:bottom w:val="nil"/>
              <w:right w:val="nil"/>
            </w:tcBorders>
          </w:tcPr>
          <w:p w14:paraId="7BDE95C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-0.023</w:t>
            </w:r>
            <w:r w:rsidRPr="00F05B90">
              <w:rPr>
                <w:b/>
                <w:bCs/>
                <w:sz w:val="20"/>
                <w:szCs w:val="20"/>
                <w:vertAlign w:val="superscript"/>
              </w:rPr>
              <w:t>***</w:t>
            </w:r>
          </w:p>
        </w:tc>
        <w:tc>
          <w:tcPr>
            <w:tcW w:w="2016" w:type="dxa"/>
            <w:tcBorders>
              <w:top w:val="nil"/>
              <w:left w:val="nil"/>
              <w:bottom w:val="nil"/>
              <w:right w:val="nil"/>
            </w:tcBorders>
          </w:tcPr>
          <w:p w14:paraId="2524843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0.041</w:t>
            </w:r>
            <w:r w:rsidRPr="00F05B90">
              <w:rPr>
                <w:b/>
                <w:bCs/>
                <w:sz w:val="20"/>
                <w:szCs w:val="20"/>
                <w:vertAlign w:val="superscript"/>
              </w:rPr>
              <w:t>***</w:t>
            </w:r>
          </w:p>
        </w:tc>
        <w:tc>
          <w:tcPr>
            <w:tcW w:w="2016" w:type="dxa"/>
            <w:tcBorders>
              <w:top w:val="nil"/>
              <w:left w:val="nil"/>
              <w:bottom w:val="nil"/>
              <w:right w:val="nil"/>
            </w:tcBorders>
          </w:tcPr>
          <w:p w14:paraId="04F181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-0.023</w:t>
            </w:r>
            <w:r w:rsidRPr="00F05B90">
              <w:rPr>
                <w:b/>
                <w:bCs/>
                <w:sz w:val="20"/>
                <w:szCs w:val="20"/>
                <w:vertAlign w:val="superscript"/>
              </w:rPr>
              <w:t>***</w:t>
            </w:r>
          </w:p>
        </w:tc>
        <w:tc>
          <w:tcPr>
            <w:tcW w:w="2016" w:type="dxa"/>
            <w:tcBorders>
              <w:top w:val="nil"/>
              <w:left w:val="nil"/>
              <w:bottom w:val="nil"/>
              <w:right w:val="nil"/>
            </w:tcBorders>
          </w:tcPr>
          <w:p w14:paraId="3FEEFEB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0.031</w:t>
            </w:r>
            <w:r w:rsidRPr="00F05B90">
              <w:rPr>
                <w:b/>
                <w:bCs/>
                <w:sz w:val="20"/>
                <w:szCs w:val="20"/>
                <w:vertAlign w:val="superscript"/>
              </w:rPr>
              <w:t>***</w:t>
            </w:r>
          </w:p>
        </w:tc>
      </w:tr>
      <w:tr w:rsidR="00F05B90" w:rsidRPr="00F05B90" w14:paraId="08C9EC60" w14:textId="77777777" w:rsidTr="00320854">
        <w:tc>
          <w:tcPr>
            <w:tcW w:w="1656" w:type="dxa"/>
            <w:tcBorders>
              <w:top w:val="nil"/>
              <w:left w:val="nil"/>
              <w:bottom w:val="nil"/>
              <w:right w:val="nil"/>
            </w:tcBorders>
          </w:tcPr>
          <w:p w14:paraId="7C6E83D3"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36C438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c>
          <w:tcPr>
            <w:tcW w:w="2016" w:type="dxa"/>
            <w:tcBorders>
              <w:top w:val="nil"/>
              <w:left w:val="nil"/>
              <w:bottom w:val="nil"/>
              <w:right w:val="nil"/>
            </w:tcBorders>
          </w:tcPr>
          <w:p w14:paraId="20AEE02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6FDAA13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(0.007)</w:t>
            </w:r>
          </w:p>
        </w:tc>
        <w:tc>
          <w:tcPr>
            <w:tcW w:w="2016" w:type="dxa"/>
            <w:tcBorders>
              <w:top w:val="nil"/>
              <w:left w:val="nil"/>
              <w:bottom w:val="nil"/>
              <w:right w:val="nil"/>
            </w:tcBorders>
          </w:tcPr>
          <w:p w14:paraId="3166D14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2016" w:type="dxa"/>
            <w:tcBorders>
              <w:top w:val="nil"/>
              <w:left w:val="nil"/>
              <w:bottom w:val="nil"/>
              <w:right w:val="nil"/>
            </w:tcBorders>
          </w:tcPr>
          <w:p w14:paraId="50769F9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(0.008)</w:t>
            </w:r>
          </w:p>
        </w:tc>
        <w:tc>
          <w:tcPr>
            <w:tcW w:w="2016" w:type="dxa"/>
            <w:tcBorders>
              <w:top w:val="nil"/>
              <w:left w:val="nil"/>
              <w:bottom w:val="nil"/>
              <w:right w:val="nil"/>
            </w:tcBorders>
          </w:tcPr>
          <w:p w14:paraId="71D4B8F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r>
      <w:tr w:rsidR="00F05B90" w:rsidRPr="00F05B90" w14:paraId="278B034E" w14:textId="77777777" w:rsidTr="00320854">
        <w:tc>
          <w:tcPr>
            <w:tcW w:w="1656" w:type="dxa"/>
            <w:tcBorders>
              <w:top w:val="nil"/>
              <w:left w:val="nil"/>
              <w:bottom w:val="nil"/>
              <w:right w:val="nil"/>
            </w:tcBorders>
          </w:tcPr>
          <w:p w14:paraId="457DDB5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Employees</w:t>
            </w:r>
          </w:p>
        </w:tc>
        <w:tc>
          <w:tcPr>
            <w:tcW w:w="2016" w:type="dxa"/>
            <w:tcBorders>
              <w:top w:val="nil"/>
              <w:left w:val="nil"/>
              <w:bottom w:val="nil"/>
              <w:right w:val="nil"/>
            </w:tcBorders>
          </w:tcPr>
          <w:p w14:paraId="085488D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2E12CA6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21EC3FB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7F54347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2016" w:type="dxa"/>
            <w:tcBorders>
              <w:top w:val="nil"/>
              <w:left w:val="nil"/>
              <w:bottom w:val="nil"/>
              <w:right w:val="nil"/>
            </w:tcBorders>
          </w:tcPr>
          <w:p w14:paraId="5C6D271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6281C5B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r>
      <w:tr w:rsidR="00F05B90" w:rsidRPr="00F05B90" w14:paraId="227B71E5" w14:textId="77777777" w:rsidTr="00320854">
        <w:tc>
          <w:tcPr>
            <w:tcW w:w="1656" w:type="dxa"/>
            <w:tcBorders>
              <w:top w:val="nil"/>
              <w:left w:val="nil"/>
              <w:bottom w:val="nil"/>
              <w:right w:val="nil"/>
            </w:tcBorders>
          </w:tcPr>
          <w:p w14:paraId="1B0A8A8D"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7E71F41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74AD673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3B5DEC5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1D3FCDF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2016" w:type="dxa"/>
            <w:tcBorders>
              <w:top w:val="nil"/>
              <w:left w:val="nil"/>
              <w:bottom w:val="nil"/>
              <w:right w:val="nil"/>
            </w:tcBorders>
          </w:tcPr>
          <w:p w14:paraId="33CC93A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(0.000)</w:t>
            </w:r>
          </w:p>
        </w:tc>
        <w:tc>
          <w:tcPr>
            <w:tcW w:w="2016" w:type="dxa"/>
            <w:tcBorders>
              <w:top w:val="nil"/>
              <w:left w:val="nil"/>
              <w:bottom w:val="nil"/>
              <w:right w:val="nil"/>
            </w:tcBorders>
          </w:tcPr>
          <w:p w14:paraId="4A4A611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r>
      <w:tr w:rsidR="00F05B90" w:rsidRPr="00F05B90" w14:paraId="1BBEBF35" w14:textId="77777777" w:rsidTr="00320854">
        <w:tc>
          <w:tcPr>
            <w:tcW w:w="1656" w:type="dxa"/>
            <w:tcBorders>
              <w:top w:val="nil"/>
              <w:left w:val="nil"/>
              <w:bottom w:val="nil"/>
              <w:right w:val="nil"/>
            </w:tcBorders>
          </w:tcPr>
          <w:p w14:paraId="74CD1D0E"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CEOR</w:t>
            </w:r>
          </w:p>
        </w:tc>
        <w:tc>
          <w:tcPr>
            <w:tcW w:w="2016" w:type="dxa"/>
            <w:tcBorders>
              <w:top w:val="nil"/>
              <w:left w:val="nil"/>
              <w:bottom w:val="nil"/>
              <w:right w:val="nil"/>
            </w:tcBorders>
          </w:tcPr>
          <w:p w14:paraId="7BE08B2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c>
          <w:tcPr>
            <w:tcW w:w="2016" w:type="dxa"/>
            <w:tcBorders>
              <w:top w:val="nil"/>
              <w:left w:val="nil"/>
              <w:bottom w:val="nil"/>
              <w:right w:val="nil"/>
            </w:tcBorders>
          </w:tcPr>
          <w:p w14:paraId="70468AA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-0.013</w:t>
            </w:r>
            <w:r w:rsidRPr="00F05B90">
              <w:rPr>
                <w:b/>
                <w:bCs/>
                <w:sz w:val="20"/>
                <w:szCs w:val="20"/>
                <w:vertAlign w:val="superscript"/>
              </w:rPr>
              <w:t>**</w:t>
            </w:r>
          </w:p>
        </w:tc>
        <w:tc>
          <w:tcPr>
            <w:tcW w:w="2016" w:type="dxa"/>
            <w:tcBorders>
              <w:top w:val="nil"/>
              <w:left w:val="nil"/>
              <w:bottom w:val="nil"/>
              <w:right w:val="nil"/>
            </w:tcBorders>
          </w:tcPr>
          <w:p w14:paraId="5D428A9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-0.027</w:t>
            </w:r>
            <w:r w:rsidRPr="00F05B90">
              <w:rPr>
                <w:b/>
                <w:bCs/>
                <w:sz w:val="20"/>
                <w:szCs w:val="20"/>
                <w:vertAlign w:val="superscript"/>
              </w:rPr>
              <w:t>*</w:t>
            </w:r>
          </w:p>
        </w:tc>
        <w:tc>
          <w:tcPr>
            <w:tcW w:w="2016" w:type="dxa"/>
            <w:tcBorders>
              <w:top w:val="nil"/>
              <w:left w:val="nil"/>
              <w:bottom w:val="nil"/>
              <w:right w:val="nil"/>
            </w:tcBorders>
          </w:tcPr>
          <w:p w14:paraId="5CCB1C1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-0.012</w:t>
            </w:r>
          </w:p>
        </w:tc>
        <w:tc>
          <w:tcPr>
            <w:tcW w:w="2016" w:type="dxa"/>
            <w:tcBorders>
              <w:top w:val="nil"/>
              <w:left w:val="nil"/>
              <w:bottom w:val="nil"/>
              <w:right w:val="nil"/>
            </w:tcBorders>
          </w:tcPr>
          <w:p w14:paraId="7702884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-0.020</w:t>
            </w:r>
          </w:p>
        </w:tc>
        <w:tc>
          <w:tcPr>
            <w:tcW w:w="2016" w:type="dxa"/>
            <w:tcBorders>
              <w:top w:val="nil"/>
              <w:left w:val="nil"/>
              <w:bottom w:val="nil"/>
              <w:right w:val="nil"/>
            </w:tcBorders>
          </w:tcPr>
          <w:p w14:paraId="3732324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-0.013</w:t>
            </w:r>
            <w:r w:rsidRPr="00F05B90">
              <w:rPr>
                <w:b/>
                <w:bCs/>
                <w:sz w:val="20"/>
                <w:szCs w:val="20"/>
                <w:vertAlign w:val="superscript"/>
              </w:rPr>
              <w:t>**</w:t>
            </w:r>
          </w:p>
        </w:tc>
      </w:tr>
      <w:tr w:rsidR="00F05B90" w:rsidRPr="00F05B90" w14:paraId="0F13A35A" w14:textId="77777777" w:rsidTr="00320854">
        <w:tc>
          <w:tcPr>
            <w:tcW w:w="1656" w:type="dxa"/>
            <w:tcBorders>
              <w:top w:val="nil"/>
              <w:left w:val="nil"/>
              <w:bottom w:val="nil"/>
              <w:right w:val="nil"/>
            </w:tcBorders>
          </w:tcPr>
          <w:p w14:paraId="7FBA14B0"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20B8AC3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c>
          <w:tcPr>
            <w:tcW w:w="2016" w:type="dxa"/>
            <w:tcBorders>
              <w:top w:val="nil"/>
              <w:left w:val="nil"/>
              <w:bottom w:val="nil"/>
              <w:right w:val="nil"/>
            </w:tcBorders>
          </w:tcPr>
          <w:p w14:paraId="67B43CD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(0.007)</w:t>
            </w:r>
          </w:p>
        </w:tc>
        <w:tc>
          <w:tcPr>
            <w:tcW w:w="2016" w:type="dxa"/>
            <w:tcBorders>
              <w:top w:val="nil"/>
              <w:left w:val="nil"/>
              <w:bottom w:val="nil"/>
              <w:right w:val="nil"/>
            </w:tcBorders>
          </w:tcPr>
          <w:p w14:paraId="088F8D3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(0.016)</w:t>
            </w:r>
          </w:p>
        </w:tc>
        <w:tc>
          <w:tcPr>
            <w:tcW w:w="2016" w:type="dxa"/>
            <w:tcBorders>
              <w:top w:val="nil"/>
              <w:left w:val="nil"/>
              <w:bottom w:val="nil"/>
              <w:right w:val="nil"/>
            </w:tcBorders>
          </w:tcPr>
          <w:p w14:paraId="0628D01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(0.008)</w:t>
            </w:r>
          </w:p>
        </w:tc>
        <w:tc>
          <w:tcPr>
            <w:tcW w:w="2016" w:type="dxa"/>
            <w:tcBorders>
              <w:top w:val="nil"/>
              <w:left w:val="nil"/>
              <w:bottom w:val="nil"/>
              <w:right w:val="nil"/>
            </w:tcBorders>
          </w:tcPr>
          <w:p w14:paraId="66C3F82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(0.018)</w:t>
            </w:r>
          </w:p>
        </w:tc>
        <w:tc>
          <w:tcPr>
            <w:tcW w:w="2016" w:type="dxa"/>
            <w:tcBorders>
              <w:top w:val="nil"/>
              <w:left w:val="nil"/>
              <w:bottom w:val="nil"/>
              <w:right w:val="nil"/>
            </w:tcBorders>
          </w:tcPr>
          <w:p w14:paraId="07136B9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(0.007)</w:t>
            </w:r>
          </w:p>
        </w:tc>
      </w:tr>
      <w:tr w:rsidR="00F05B90" w:rsidRPr="00F05B90" w14:paraId="74C32A86" w14:textId="77777777" w:rsidTr="00320854">
        <w:tc>
          <w:tcPr>
            <w:tcW w:w="1656" w:type="dxa"/>
            <w:tcBorders>
              <w:top w:val="nil"/>
              <w:left w:val="nil"/>
              <w:bottom w:val="nil"/>
              <w:right w:val="nil"/>
            </w:tcBorders>
          </w:tcPr>
          <w:p w14:paraId="7F6E7434"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CEOGender</w:t>
            </w:r>
          </w:p>
        </w:tc>
        <w:tc>
          <w:tcPr>
            <w:tcW w:w="2016" w:type="dxa"/>
            <w:tcBorders>
              <w:top w:val="nil"/>
              <w:left w:val="nil"/>
              <w:bottom w:val="nil"/>
              <w:right w:val="nil"/>
            </w:tcBorders>
          </w:tcPr>
          <w:p w14:paraId="4B6CFE2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-0.327</w:t>
            </w:r>
            <w:r w:rsidRPr="00F05B90">
              <w:rPr>
                <w:b/>
                <w:bCs/>
                <w:sz w:val="20"/>
                <w:szCs w:val="20"/>
                <w:vertAlign w:val="superscript"/>
              </w:rPr>
              <w:t>*</w:t>
            </w:r>
          </w:p>
        </w:tc>
        <w:tc>
          <w:tcPr>
            <w:tcW w:w="2016" w:type="dxa"/>
            <w:tcBorders>
              <w:top w:val="nil"/>
              <w:left w:val="nil"/>
              <w:bottom w:val="nil"/>
              <w:right w:val="nil"/>
            </w:tcBorders>
          </w:tcPr>
          <w:p w14:paraId="2F5F036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-0.134</w:t>
            </w:r>
            <w:r w:rsidRPr="00F05B90">
              <w:rPr>
                <w:b/>
                <w:bCs/>
                <w:sz w:val="20"/>
                <w:szCs w:val="20"/>
                <w:vertAlign w:val="superscript"/>
              </w:rPr>
              <w:t>*</w:t>
            </w:r>
          </w:p>
        </w:tc>
        <w:tc>
          <w:tcPr>
            <w:tcW w:w="2016" w:type="dxa"/>
            <w:tcBorders>
              <w:top w:val="nil"/>
              <w:left w:val="nil"/>
              <w:bottom w:val="nil"/>
              <w:right w:val="nil"/>
            </w:tcBorders>
          </w:tcPr>
          <w:p w14:paraId="6B1222B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-0.277</w:t>
            </w:r>
            <w:r w:rsidRPr="00F05B90">
              <w:rPr>
                <w:b/>
                <w:bCs/>
                <w:sz w:val="20"/>
                <w:szCs w:val="20"/>
                <w:vertAlign w:val="superscript"/>
              </w:rPr>
              <w:t>*</w:t>
            </w:r>
          </w:p>
        </w:tc>
        <w:tc>
          <w:tcPr>
            <w:tcW w:w="2016" w:type="dxa"/>
            <w:tcBorders>
              <w:top w:val="nil"/>
              <w:left w:val="nil"/>
              <w:bottom w:val="nil"/>
              <w:right w:val="nil"/>
            </w:tcBorders>
          </w:tcPr>
          <w:p w14:paraId="31CB9FD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-0.196</w:t>
            </w:r>
            <w:r w:rsidRPr="00F05B90">
              <w:rPr>
                <w:b/>
                <w:bCs/>
                <w:sz w:val="20"/>
                <w:szCs w:val="20"/>
                <w:vertAlign w:val="superscript"/>
              </w:rPr>
              <w:t>**</w:t>
            </w:r>
          </w:p>
        </w:tc>
        <w:tc>
          <w:tcPr>
            <w:tcW w:w="2016" w:type="dxa"/>
            <w:tcBorders>
              <w:top w:val="nil"/>
              <w:left w:val="nil"/>
              <w:bottom w:val="nil"/>
              <w:right w:val="nil"/>
            </w:tcBorders>
          </w:tcPr>
          <w:p w14:paraId="6BBF428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-0.328</w:t>
            </w:r>
            <w:r w:rsidRPr="00F05B90">
              <w:rPr>
                <w:b/>
                <w:bCs/>
                <w:sz w:val="20"/>
                <w:szCs w:val="20"/>
                <w:vertAlign w:val="superscript"/>
              </w:rPr>
              <w:t>*</w:t>
            </w:r>
          </w:p>
        </w:tc>
        <w:tc>
          <w:tcPr>
            <w:tcW w:w="2016" w:type="dxa"/>
            <w:tcBorders>
              <w:top w:val="nil"/>
              <w:left w:val="nil"/>
              <w:bottom w:val="nil"/>
              <w:right w:val="nil"/>
            </w:tcBorders>
          </w:tcPr>
          <w:p w14:paraId="2368564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-0.135</w:t>
            </w:r>
            <w:r w:rsidRPr="00F05B90">
              <w:rPr>
                <w:b/>
                <w:bCs/>
                <w:sz w:val="20"/>
                <w:szCs w:val="20"/>
                <w:vertAlign w:val="superscript"/>
              </w:rPr>
              <w:t>**</w:t>
            </w:r>
          </w:p>
        </w:tc>
      </w:tr>
      <w:tr w:rsidR="00F05B90" w:rsidRPr="00F05B90" w14:paraId="7EF3689B" w14:textId="77777777" w:rsidTr="00320854">
        <w:tc>
          <w:tcPr>
            <w:tcW w:w="1656" w:type="dxa"/>
            <w:tcBorders>
              <w:top w:val="nil"/>
              <w:left w:val="nil"/>
              <w:bottom w:val="nil"/>
              <w:right w:val="nil"/>
            </w:tcBorders>
          </w:tcPr>
          <w:p w14:paraId="7E43481E"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7632A76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(0.171)</w:t>
            </w:r>
          </w:p>
        </w:tc>
        <w:tc>
          <w:tcPr>
            <w:tcW w:w="2016" w:type="dxa"/>
            <w:tcBorders>
              <w:top w:val="nil"/>
              <w:left w:val="nil"/>
              <w:bottom w:val="nil"/>
              <w:right w:val="nil"/>
            </w:tcBorders>
          </w:tcPr>
          <w:p w14:paraId="104CE1A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(0.070)</w:t>
            </w:r>
          </w:p>
        </w:tc>
        <w:tc>
          <w:tcPr>
            <w:tcW w:w="2016" w:type="dxa"/>
            <w:tcBorders>
              <w:top w:val="nil"/>
              <w:left w:val="nil"/>
              <w:bottom w:val="nil"/>
              <w:right w:val="nil"/>
            </w:tcBorders>
          </w:tcPr>
          <w:p w14:paraId="707A79C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(0.168)</w:t>
            </w:r>
          </w:p>
        </w:tc>
        <w:tc>
          <w:tcPr>
            <w:tcW w:w="2016" w:type="dxa"/>
            <w:tcBorders>
              <w:top w:val="nil"/>
              <w:left w:val="nil"/>
              <w:bottom w:val="nil"/>
              <w:right w:val="nil"/>
            </w:tcBorders>
          </w:tcPr>
          <w:p w14:paraId="259F59A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(0.082)</w:t>
            </w:r>
          </w:p>
        </w:tc>
        <w:tc>
          <w:tcPr>
            <w:tcW w:w="2016" w:type="dxa"/>
            <w:tcBorders>
              <w:top w:val="nil"/>
              <w:left w:val="nil"/>
              <w:bottom w:val="nil"/>
              <w:right w:val="nil"/>
            </w:tcBorders>
          </w:tcPr>
          <w:p w14:paraId="6D4048A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(0.175)</w:t>
            </w:r>
          </w:p>
        </w:tc>
        <w:tc>
          <w:tcPr>
            <w:tcW w:w="2016" w:type="dxa"/>
            <w:tcBorders>
              <w:top w:val="nil"/>
              <w:left w:val="nil"/>
              <w:bottom w:val="nil"/>
              <w:right w:val="nil"/>
            </w:tcBorders>
          </w:tcPr>
          <w:p w14:paraId="562FB3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(0.069)</w:t>
            </w:r>
          </w:p>
        </w:tc>
      </w:tr>
      <w:tr w:rsidR="00F05B90" w:rsidRPr="00F05B90" w14:paraId="4DF29D9D" w14:textId="77777777" w:rsidTr="00320854">
        <w:tc>
          <w:tcPr>
            <w:tcW w:w="1656" w:type="dxa"/>
            <w:tcBorders>
              <w:top w:val="nil"/>
              <w:left w:val="nil"/>
              <w:bottom w:val="nil"/>
              <w:right w:val="nil"/>
            </w:tcBorders>
          </w:tcPr>
          <w:p w14:paraId="5B00FF7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Retire</w:t>
            </w:r>
          </w:p>
        </w:tc>
        <w:tc>
          <w:tcPr>
            <w:tcW w:w="2016" w:type="dxa"/>
            <w:tcBorders>
              <w:top w:val="nil"/>
              <w:left w:val="nil"/>
              <w:bottom w:val="nil"/>
              <w:right w:val="nil"/>
            </w:tcBorders>
          </w:tcPr>
          <w:p w14:paraId="505452B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0.319</w:t>
            </w:r>
          </w:p>
        </w:tc>
        <w:tc>
          <w:tcPr>
            <w:tcW w:w="2016" w:type="dxa"/>
            <w:tcBorders>
              <w:top w:val="nil"/>
              <w:left w:val="nil"/>
              <w:bottom w:val="nil"/>
              <w:right w:val="nil"/>
            </w:tcBorders>
          </w:tcPr>
          <w:p w14:paraId="4DF606F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-0.079</w:t>
            </w:r>
          </w:p>
        </w:tc>
        <w:tc>
          <w:tcPr>
            <w:tcW w:w="2016" w:type="dxa"/>
            <w:tcBorders>
              <w:top w:val="nil"/>
              <w:left w:val="nil"/>
              <w:bottom w:val="nil"/>
              <w:right w:val="nil"/>
            </w:tcBorders>
          </w:tcPr>
          <w:p w14:paraId="72759BA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0.353</w:t>
            </w:r>
          </w:p>
        </w:tc>
        <w:tc>
          <w:tcPr>
            <w:tcW w:w="2016" w:type="dxa"/>
            <w:tcBorders>
              <w:top w:val="nil"/>
              <w:left w:val="nil"/>
              <w:bottom w:val="nil"/>
              <w:right w:val="nil"/>
            </w:tcBorders>
          </w:tcPr>
          <w:p w14:paraId="24E032E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-0.178</w:t>
            </w:r>
            <w:r w:rsidRPr="00F05B90">
              <w:rPr>
                <w:b/>
                <w:bCs/>
                <w:sz w:val="20"/>
                <w:szCs w:val="20"/>
                <w:vertAlign w:val="superscript"/>
              </w:rPr>
              <w:t>***</w:t>
            </w:r>
          </w:p>
        </w:tc>
        <w:tc>
          <w:tcPr>
            <w:tcW w:w="2016" w:type="dxa"/>
            <w:tcBorders>
              <w:top w:val="nil"/>
              <w:left w:val="nil"/>
              <w:bottom w:val="nil"/>
              <w:right w:val="nil"/>
            </w:tcBorders>
          </w:tcPr>
          <w:p w14:paraId="480E73D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0.365</w:t>
            </w:r>
          </w:p>
        </w:tc>
        <w:tc>
          <w:tcPr>
            <w:tcW w:w="2016" w:type="dxa"/>
            <w:tcBorders>
              <w:top w:val="nil"/>
              <w:left w:val="nil"/>
              <w:bottom w:val="nil"/>
              <w:right w:val="nil"/>
            </w:tcBorders>
          </w:tcPr>
          <w:p w14:paraId="6D7F768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-0.084</w:t>
            </w:r>
          </w:p>
        </w:tc>
      </w:tr>
      <w:tr w:rsidR="00F05B90" w:rsidRPr="00F05B90" w14:paraId="3D705B8D" w14:textId="77777777" w:rsidTr="00320854">
        <w:tc>
          <w:tcPr>
            <w:tcW w:w="1656" w:type="dxa"/>
            <w:tcBorders>
              <w:top w:val="nil"/>
              <w:left w:val="nil"/>
              <w:bottom w:val="nil"/>
              <w:right w:val="nil"/>
            </w:tcBorders>
          </w:tcPr>
          <w:p w14:paraId="6F956D05"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5284429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(0.267)</w:t>
            </w:r>
          </w:p>
        </w:tc>
        <w:tc>
          <w:tcPr>
            <w:tcW w:w="2016" w:type="dxa"/>
            <w:tcBorders>
              <w:top w:val="nil"/>
              <w:left w:val="nil"/>
              <w:bottom w:val="nil"/>
              <w:right w:val="nil"/>
            </w:tcBorders>
          </w:tcPr>
          <w:p w14:paraId="36FC6D2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(0.054)</w:t>
            </w:r>
          </w:p>
        </w:tc>
        <w:tc>
          <w:tcPr>
            <w:tcW w:w="2016" w:type="dxa"/>
            <w:tcBorders>
              <w:top w:val="nil"/>
              <w:left w:val="nil"/>
              <w:bottom w:val="nil"/>
              <w:right w:val="nil"/>
            </w:tcBorders>
          </w:tcPr>
          <w:p w14:paraId="0CF4757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(0.225)</w:t>
            </w:r>
          </w:p>
        </w:tc>
        <w:tc>
          <w:tcPr>
            <w:tcW w:w="2016" w:type="dxa"/>
            <w:tcBorders>
              <w:top w:val="nil"/>
              <w:left w:val="nil"/>
              <w:bottom w:val="nil"/>
              <w:right w:val="nil"/>
            </w:tcBorders>
          </w:tcPr>
          <w:p w14:paraId="194C341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(0.063)</w:t>
            </w:r>
          </w:p>
        </w:tc>
        <w:tc>
          <w:tcPr>
            <w:tcW w:w="2016" w:type="dxa"/>
            <w:tcBorders>
              <w:top w:val="nil"/>
              <w:left w:val="nil"/>
              <w:bottom w:val="nil"/>
              <w:right w:val="nil"/>
            </w:tcBorders>
          </w:tcPr>
          <w:p w14:paraId="1B76737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(0.273)</w:t>
            </w:r>
          </w:p>
        </w:tc>
        <w:tc>
          <w:tcPr>
            <w:tcW w:w="2016" w:type="dxa"/>
            <w:tcBorders>
              <w:top w:val="nil"/>
              <w:left w:val="nil"/>
              <w:bottom w:val="nil"/>
              <w:right w:val="nil"/>
            </w:tcBorders>
          </w:tcPr>
          <w:p w14:paraId="2A37E59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(0.054)</w:t>
            </w:r>
          </w:p>
        </w:tc>
      </w:tr>
      <w:tr w:rsidR="00F05B90" w:rsidRPr="00F05B90" w14:paraId="52FB20C3" w14:textId="77777777" w:rsidTr="00320854">
        <w:tc>
          <w:tcPr>
            <w:tcW w:w="1656" w:type="dxa"/>
            <w:tcBorders>
              <w:top w:val="nil"/>
              <w:left w:val="nil"/>
              <w:bottom w:val="nil"/>
              <w:right w:val="nil"/>
            </w:tcBorders>
          </w:tcPr>
          <w:p w14:paraId="1A750DD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Insider</w:t>
            </w:r>
          </w:p>
        </w:tc>
        <w:tc>
          <w:tcPr>
            <w:tcW w:w="2016" w:type="dxa"/>
            <w:tcBorders>
              <w:top w:val="nil"/>
              <w:left w:val="nil"/>
              <w:bottom w:val="nil"/>
              <w:right w:val="nil"/>
            </w:tcBorders>
          </w:tcPr>
          <w:p w14:paraId="179F930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0.116</w:t>
            </w:r>
          </w:p>
        </w:tc>
        <w:tc>
          <w:tcPr>
            <w:tcW w:w="2016" w:type="dxa"/>
            <w:tcBorders>
              <w:top w:val="nil"/>
              <w:left w:val="nil"/>
              <w:bottom w:val="nil"/>
              <w:right w:val="nil"/>
            </w:tcBorders>
          </w:tcPr>
          <w:p w14:paraId="5FD7F1F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0.041</w:t>
            </w:r>
          </w:p>
        </w:tc>
        <w:tc>
          <w:tcPr>
            <w:tcW w:w="2016" w:type="dxa"/>
            <w:tcBorders>
              <w:top w:val="nil"/>
              <w:left w:val="nil"/>
              <w:bottom w:val="nil"/>
              <w:right w:val="nil"/>
            </w:tcBorders>
          </w:tcPr>
          <w:p w14:paraId="7A6A980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0.172</w:t>
            </w:r>
          </w:p>
        </w:tc>
        <w:tc>
          <w:tcPr>
            <w:tcW w:w="2016" w:type="dxa"/>
            <w:tcBorders>
              <w:top w:val="nil"/>
              <w:left w:val="nil"/>
              <w:bottom w:val="nil"/>
              <w:right w:val="nil"/>
            </w:tcBorders>
          </w:tcPr>
          <w:p w14:paraId="6658063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-0.008</w:t>
            </w:r>
          </w:p>
        </w:tc>
        <w:tc>
          <w:tcPr>
            <w:tcW w:w="2016" w:type="dxa"/>
            <w:tcBorders>
              <w:top w:val="nil"/>
              <w:left w:val="nil"/>
              <w:bottom w:val="nil"/>
              <w:right w:val="nil"/>
            </w:tcBorders>
          </w:tcPr>
          <w:p w14:paraId="59F3173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0.112</w:t>
            </w:r>
          </w:p>
        </w:tc>
        <w:tc>
          <w:tcPr>
            <w:tcW w:w="2016" w:type="dxa"/>
            <w:tcBorders>
              <w:top w:val="nil"/>
              <w:left w:val="nil"/>
              <w:bottom w:val="nil"/>
              <w:right w:val="nil"/>
            </w:tcBorders>
          </w:tcPr>
          <w:p w14:paraId="5DCE6B6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0.042</w:t>
            </w:r>
          </w:p>
        </w:tc>
      </w:tr>
      <w:tr w:rsidR="00F05B90" w:rsidRPr="00F05B90" w14:paraId="00A1E206" w14:textId="77777777" w:rsidTr="00320854">
        <w:tc>
          <w:tcPr>
            <w:tcW w:w="1656" w:type="dxa"/>
            <w:tcBorders>
              <w:top w:val="nil"/>
              <w:left w:val="nil"/>
              <w:bottom w:val="nil"/>
              <w:right w:val="nil"/>
            </w:tcBorders>
          </w:tcPr>
          <w:p w14:paraId="0724CA96"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nil"/>
              <w:right w:val="nil"/>
            </w:tcBorders>
          </w:tcPr>
          <w:p w14:paraId="297C85A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(0.129)</w:t>
            </w:r>
          </w:p>
        </w:tc>
        <w:tc>
          <w:tcPr>
            <w:tcW w:w="2016" w:type="dxa"/>
            <w:tcBorders>
              <w:top w:val="nil"/>
              <w:left w:val="nil"/>
              <w:bottom w:val="nil"/>
              <w:right w:val="nil"/>
            </w:tcBorders>
          </w:tcPr>
          <w:p w14:paraId="291F409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(0.049)</w:t>
            </w:r>
          </w:p>
        </w:tc>
        <w:tc>
          <w:tcPr>
            <w:tcW w:w="2016" w:type="dxa"/>
            <w:tcBorders>
              <w:top w:val="nil"/>
              <w:left w:val="nil"/>
              <w:bottom w:val="nil"/>
              <w:right w:val="nil"/>
            </w:tcBorders>
          </w:tcPr>
          <w:p w14:paraId="2EFE99A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(0.117)</w:t>
            </w:r>
          </w:p>
        </w:tc>
        <w:tc>
          <w:tcPr>
            <w:tcW w:w="2016" w:type="dxa"/>
            <w:tcBorders>
              <w:top w:val="nil"/>
              <w:left w:val="nil"/>
              <w:bottom w:val="nil"/>
              <w:right w:val="nil"/>
            </w:tcBorders>
          </w:tcPr>
          <w:p w14:paraId="785A8F7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(0.053)</w:t>
            </w:r>
          </w:p>
        </w:tc>
        <w:tc>
          <w:tcPr>
            <w:tcW w:w="2016" w:type="dxa"/>
            <w:tcBorders>
              <w:top w:val="nil"/>
              <w:left w:val="nil"/>
              <w:bottom w:val="nil"/>
              <w:right w:val="nil"/>
            </w:tcBorders>
          </w:tcPr>
          <w:p w14:paraId="453E873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(0.129)</w:t>
            </w:r>
          </w:p>
        </w:tc>
        <w:tc>
          <w:tcPr>
            <w:tcW w:w="2016" w:type="dxa"/>
            <w:tcBorders>
              <w:top w:val="nil"/>
              <w:left w:val="nil"/>
              <w:bottom w:val="nil"/>
              <w:right w:val="nil"/>
            </w:tcBorders>
          </w:tcPr>
          <w:p w14:paraId="0AD74C9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(0.050)</w:t>
            </w:r>
          </w:p>
        </w:tc>
      </w:tr>
      <w:tr w:rsidR="00F05B90" w:rsidRPr="00F05B90" w14:paraId="6A527B62" w14:textId="77777777" w:rsidTr="00320854">
        <w:tc>
          <w:tcPr>
            <w:tcW w:w="1656" w:type="dxa"/>
            <w:tcBorders>
              <w:top w:val="nil"/>
              <w:left w:val="nil"/>
              <w:bottom w:val="nil"/>
              <w:right w:val="nil"/>
            </w:tcBorders>
          </w:tcPr>
          <w:p w14:paraId="5D68B74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_cons</w:t>
            </w:r>
          </w:p>
        </w:tc>
        <w:tc>
          <w:tcPr>
            <w:tcW w:w="2016" w:type="dxa"/>
            <w:tcBorders>
              <w:top w:val="nil"/>
              <w:left w:val="nil"/>
              <w:bottom w:val="nil"/>
              <w:right w:val="nil"/>
            </w:tcBorders>
          </w:tcPr>
          <w:p w14:paraId="154AFF8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27.915</w:t>
            </w:r>
            <w:r w:rsidRPr="00F05B90">
              <w:rPr>
                <w:b/>
                <w:bCs/>
                <w:sz w:val="20"/>
                <w:szCs w:val="20"/>
                <w:vertAlign w:val="superscript"/>
              </w:rPr>
              <w:t>*</w:t>
            </w:r>
          </w:p>
        </w:tc>
        <w:tc>
          <w:tcPr>
            <w:tcW w:w="2016" w:type="dxa"/>
            <w:tcBorders>
              <w:top w:val="nil"/>
              <w:left w:val="nil"/>
              <w:bottom w:val="nil"/>
              <w:right w:val="nil"/>
            </w:tcBorders>
          </w:tcPr>
          <w:p w14:paraId="793889F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3.312</w:t>
            </w:r>
          </w:p>
        </w:tc>
        <w:tc>
          <w:tcPr>
            <w:tcW w:w="2016" w:type="dxa"/>
            <w:tcBorders>
              <w:top w:val="nil"/>
              <w:left w:val="nil"/>
              <w:bottom w:val="nil"/>
              <w:right w:val="nil"/>
            </w:tcBorders>
          </w:tcPr>
          <w:p w14:paraId="0912D3D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6.460</w:t>
            </w:r>
            <w:r w:rsidRPr="00F05B90">
              <w:rPr>
                <w:b/>
                <w:bCs/>
                <w:sz w:val="20"/>
                <w:szCs w:val="20"/>
                <w:vertAlign w:val="superscript"/>
              </w:rPr>
              <w:t>***</w:t>
            </w:r>
          </w:p>
        </w:tc>
        <w:tc>
          <w:tcPr>
            <w:tcW w:w="2016" w:type="dxa"/>
            <w:tcBorders>
              <w:top w:val="nil"/>
              <w:left w:val="nil"/>
              <w:bottom w:val="nil"/>
              <w:right w:val="nil"/>
            </w:tcBorders>
          </w:tcPr>
          <w:p w14:paraId="32553DE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1.109</w:t>
            </w:r>
          </w:p>
        </w:tc>
        <w:tc>
          <w:tcPr>
            <w:tcW w:w="2016" w:type="dxa"/>
            <w:tcBorders>
              <w:top w:val="nil"/>
              <w:left w:val="nil"/>
              <w:bottom w:val="nil"/>
              <w:right w:val="nil"/>
            </w:tcBorders>
          </w:tcPr>
          <w:p w14:paraId="0B3501F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19.484</w:t>
            </w:r>
          </w:p>
        </w:tc>
        <w:tc>
          <w:tcPr>
            <w:tcW w:w="2016" w:type="dxa"/>
            <w:tcBorders>
              <w:top w:val="nil"/>
              <w:left w:val="nil"/>
              <w:bottom w:val="nil"/>
              <w:right w:val="nil"/>
            </w:tcBorders>
          </w:tcPr>
          <w:p w14:paraId="0B983C6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6.611</w:t>
            </w:r>
          </w:p>
        </w:tc>
      </w:tr>
      <w:tr w:rsidR="00F05B90" w:rsidRPr="00F05B90" w14:paraId="26275160" w14:textId="77777777" w:rsidTr="00320854">
        <w:tc>
          <w:tcPr>
            <w:tcW w:w="1656" w:type="dxa"/>
            <w:tcBorders>
              <w:top w:val="nil"/>
              <w:left w:val="nil"/>
              <w:bottom w:val="single" w:sz="12" w:space="0" w:color="auto"/>
              <w:right w:val="nil"/>
            </w:tcBorders>
          </w:tcPr>
          <w:p w14:paraId="79544660" w14:textId="77777777" w:rsidR="00817718" w:rsidRPr="00F05B90" w:rsidRDefault="00817718" w:rsidP="00320854">
            <w:pPr>
              <w:widowControl w:val="0"/>
              <w:autoSpaceDE w:val="0"/>
              <w:autoSpaceDN w:val="0"/>
              <w:adjustRightInd w:val="0"/>
              <w:rPr>
                <w:i/>
                <w:iCs/>
                <w:sz w:val="20"/>
                <w:szCs w:val="20"/>
              </w:rPr>
            </w:pPr>
          </w:p>
        </w:tc>
        <w:tc>
          <w:tcPr>
            <w:tcW w:w="2016" w:type="dxa"/>
            <w:tcBorders>
              <w:top w:val="nil"/>
              <w:left w:val="nil"/>
              <w:bottom w:val="single" w:sz="12" w:space="0" w:color="auto"/>
              <w:right w:val="nil"/>
            </w:tcBorders>
          </w:tcPr>
          <w:p w14:paraId="311CC0A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(15.661)</w:t>
            </w:r>
          </w:p>
        </w:tc>
        <w:tc>
          <w:tcPr>
            <w:tcW w:w="2016" w:type="dxa"/>
            <w:tcBorders>
              <w:top w:val="nil"/>
              <w:left w:val="nil"/>
              <w:bottom w:val="single" w:sz="12" w:space="0" w:color="auto"/>
              <w:right w:val="nil"/>
            </w:tcBorders>
          </w:tcPr>
          <w:p w14:paraId="37183A4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(6.407)</w:t>
            </w:r>
          </w:p>
        </w:tc>
        <w:tc>
          <w:tcPr>
            <w:tcW w:w="2016" w:type="dxa"/>
            <w:tcBorders>
              <w:top w:val="nil"/>
              <w:left w:val="nil"/>
              <w:bottom w:val="single" w:sz="12" w:space="0" w:color="auto"/>
              <w:right w:val="nil"/>
            </w:tcBorders>
          </w:tcPr>
          <w:p w14:paraId="377FE38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(1.020)</w:t>
            </w:r>
          </w:p>
        </w:tc>
        <w:tc>
          <w:tcPr>
            <w:tcW w:w="2016" w:type="dxa"/>
            <w:tcBorders>
              <w:top w:val="nil"/>
              <w:left w:val="nil"/>
              <w:bottom w:val="single" w:sz="12" w:space="0" w:color="auto"/>
              <w:right w:val="nil"/>
            </w:tcBorders>
          </w:tcPr>
          <w:p w14:paraId="4048549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(1.229)</w:t>
            </w:r>
          </w:p>
        </w:tc>
        <w:tc>
          <w:tcPr>
            <w:tcW w:w="2016" w:type="dxa"/>
            <w:tcBorders>
              <w:top w:val="nil"/>
              <w:left w:val="nil"/>
              <w:bottom w:val="single" w:sz="12" w:space="0" w:color="auto"/>
              <w:right w:val="nil"/>
            </w:tcBorders>
          </w:tcPr>
          <w:p w14:paraId="31E1CE3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(16.653)</w:t>
            </w:r>
          </w:p>
        </w:tc>
        <w:tc>
          <w:tcPr>
            <w:tcW w:w="2016" w:type="dxa"/>
            <w:tcBorders>
              <w:top w:val="nil"/>
              <w:left w:val="nil"/>
              <w:bottom w:val="single" w:sz="12" w:space="0" w:color="auto"/>
              <w:right w:val="nil"/>
            </w:tcBorders>
          </w:tcPr>
          <w:p w14:paraId="3EB0F80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(7.289)</w:t>
            </w:r>
          </w:p>
        </w:tc>
      </w:tr>
      <w:tr w:rsidR="00F05B90" w:rsidRPr="00F05B90" w14:paraId="3C01C4E0" w14:textId="77777777" w:rsidTr="00320854">
        <w:tc>
          <w:tcPr>
            <w:tcW w:w="1656" w:type="dxa"/>
            <w:tcBorders>
              <w:top w:val="single" w:sz="12" w:space="0" w:color="auto"/>
              <w:left w:val="nil"/>
              <w:bottom w:val="nil"/>
              <w:right w:val="nil"/>
            </w:tcBorders>
          </w:tcPr>
          <w:p w14:paraId="4D6991E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Year FE</w:t>
            </w:r>
          </w:p>
        </w:tc>
        <w:tc>
          <w:tcPr>
            <w:tcW w:w="2016" w:type="dxa"/>
            <w:tcBorders>
              <w:top w:val="single" w:sz="12" w:space="0" w:color="auto"/>
              <w:left w:val="nil"/>
              <w:bottom w:val="nil"/>
              <w:right w:val="nil"/>
            </w:tcBorders>
          </w:tcPr>
          <w:p w14:paraId="660E8C4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57285F5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42DDE3B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5574F6C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032B5B2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single" w:sz="12" w:space="0" w:color="auto"/>
              <w:left w:val="nil"/>
              <w:bottom w:val="nil"/>
              <w:right w:val="nil"/>
            </w:tcBorders>
          </w:tcPr>
          <w:p w14:paraId="31559A0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28FBE93E" w14:textId="77777777" w:rsidTr="00320854">
        <w:tc>
          <w:tcPr>
            <w:tcW w:w="1656" w:type="dxa"/>
            <w:tcBorders>
              <w:top w:val="nil"/>
              <w:left w:val="nil"/>
              <w:bottom w:val="nil"/>
              <w:right w:val="nil"/>
            </w:tcBorders>
          </w:tcPr>
          <w:p w14:paraId="2AEA8BC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Industry FE</w:t>
            </w:r>
          </w:p>
        </w:tc>
        <w:tc>
          <w:tcPr>
            <w:tcW w:w="2016" w:type="dxa"/>
            <w:tcBorders>
              <w:top w:val="nil"/>
              <w:left w:val="nil"/>
              <w:bottom w:val="nil"/>
              <w:right w:val="nil"/>
            </w:tcBorders>
          </w:tcPr>
          <w:p w14:paraId="0302542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0B63086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71452B2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05959E0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57DC2A8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2016" w:type="dxa"/>
            <w:tcBorders>
              <w:top w:val="nil"/>
              <w:left w:val="nil"/>
              <w:bottom w:val="nil"/>
              <w:right w:val="nil"/>
            </w:tcBorders>
          </w:tcPr>
          <w:p w14:paraId="3457D7B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3752CE89" w14:textId="77777777" w:rsidTr="00320854">
        <w:tc>
          <w:tcPr>
            <w:tcW w:w="1656" w:type="dxa"/>
            <w:tcBorders>
              <w:top w:val="nil"/>
              <w:left w:val="nil"/>
              <w:bottom w:val="nil"/>
              <w:right w:val="nil"/>
            </w:tcBorders>
          </w:tcPr>
          <w:p w14:paraId="632FADDD"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lastRenderedPageBreak/>
              <w:t>R</w:t>
            </w:r>
            <w:r w:rsidRPr="00F05B90">
              <w:rPr>
                <w:i/>
                <w:iCs/>
                <w:sz w:val="20"/>
                <w:szCs w:val="20"/>
                <w:vertAlign w:val="superscript"/>
              </w:rPr>
              <w:t>2</w:t>
            </w:r>
          </w:p>
        </w:tc>
        <w:tc>
          <w:tcPr>
            <w:tcW w:w="2016" w:type="dxa"/>
            <w:tcBorders>
              <w:top w:val="nil"/>
              <w:left w:val="nil"/>
              <w:bottom w:val="nil"/>
              <w:right w:val="nil"/>
            </w:tcBorders>
          </w:tcPr>
          <w:p w14:paraId="372DD5E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0.361</w:t>
            </w:r>
          </w:p>
        </w:tc>
        <w:tc>
          <w:tcPr>
            <w:tcW w:w="2016" w:type="dxa"/>
            <w:tcBorders>
              <w:top w:val="nil"/>
              <w:left w:val="nil"/>
              <w:bottom w:val="nil"/>
              <w:right w:val="nil"/>
            </w:tcBorders>
          </w:tcPr>
          <w:p w14:paraId="7474820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0.391</w:t>
            </w:r>
          </w:p>
        </w:tc>
        <w:tc>
          <w:tcPr>
            <w:tcW w:w="2016" w:type="dxa"/>
            <w:tcBorders>
              <w:top w:val="nil"/>
              <w:left w:val="nil"/>
              <w:bottom w:val="nil"/>
              <w:right w:val="nil"/>
            </w:tcBorders>
          </w:tcPr>
          <w:p w14:paraId="34ACD80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0.354</w:t>
            </w:r>
          </w:p>
        </w:tc>
        <w:tc>
          <w:tcPr>
            <w:tcW w:w="2016" w:type="dxa"/>
            <w:tcBorders>
              <w:top w:val="nil"/>
              <w:left w:val="nil"/>
              <w:bottom w:val="nil"/>
              <w:right w:val="nil"/>
            </w:tcBorders>
          </w:tcPr>
          <w:p w14:paraId="65E75E4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0.385</w:t>
            </w:r>
          </w:p>
        </w:tc>
        <w:tc>
          <w:tcPr>
            <w:tcW w:w="2016" w:type="dxa"/>
            <w:tcBorders>
              <w:top w:val="nil"/>
              <w:left w:val="nil"/>
              <w:bottom w:val="nil"/>
              <w:right w:val="nil"/>
            </w:tcBorders>
          </w:tcPr>
          <w:p w14:paraId="7818A14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0.367</w:t>
            </w:r>
          </w:p>
        </w:tc>
        <w:tc>
          <w:tcPr>
            <w:tcW w:w="2016" w:type="dxa"/>
            <w:tcBorders>
              <w:top w:val="nil"/>
              <w:left w:val="nil"/>
              <w:bottom w:val="nil"/>
              <w:right w:val="nil"/>
            </w:tcBorders>
          </w:tcPr>
          <w:p w14:paraId="63F1338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0.395</w:t>
            </w:r>
          </w:p>
        </w:tc>
      </w:tr>
      <w:tr w:rsidR="00F05B90" w:rsidRPr="00F05B90" w14:paraId="19CC8FCC" w14:textId="77777777" w:rsidTr="00320854">
        <w:tc>
          <w:tcPr>
            <w:tcW w:w="1656" w:type="dxa"/>
            <w:tcBorders>
              <w:top w:val="nil"/>
              <w:left w:val="nil"/>
              <w:bottom w:val="nil"/>
              <w:right w:val="nil"/>
            </w:tcBorders>
          </w:tcPr>
          <w:p w14:paraId="7ECA275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F</w:t>
            </w:r>
          </w:p>
        </w:tc>
        <w:tc>
          <w:tcPr>
            <w:tcW w:w="2016" w:type="dxa"/>
            <w:tcBorders>
              <w:top w:val="nil"/>
              <w:left w:val="nil"/>
              <w:bottom w:val="nil"/>
              <w:right w:val="nil"/>
            </w:tcBorders>
          </w:tcPr>
          <w:p w14:paraId="2C54696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8.930</w:t>
            </w:r>
          </w:p>
        </w:tc>
        <w:tc>
          <w:tcPr>
            <w:tcW w:w="2016" w:type="dxa"/>
            <w:tcBorders>
              <w:top w:val="nil"/>
              <w:left w:val="nil"/>
              <w:bottom w:val="nil"/>
              <w:right w:val="nil"/>
            </w:tcBorders>
          </w:tcPr>
          <w:p w14:paraId="3D5CA02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10.293</w:t>
            </w:r>
          </w:p>
        </w:tc>
        <w:tc>
          <w:tcPr>
            <w:tcW w:w="2016" w:type="dxa"/>
            <w:tcBorders>
              <w:top w:val="nil"/>
              <w:left w:val="nil"/>
              <w:bottom w:val="nil"/>
              <w:right w:val="nil"/>
            </w:tcBorders>
          </w:tcPr>
          <w:p w14:paraId="2579158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8.882</w:t>
            </w:r>
          </w:p>
        </w:tc>
        <w:tc>
          <w:tcPr>
            <w:tcW w:w="2016" w:type="dxa"/>
            <w:tcBorders>
              <w:top w:val="nil"/>
              <w:left w:val="nil"/>
              <w:bottom w:val="nil"/>
              <w:right w:val="nil"/>
            </w:tcBorders>
          </w:tcPr>
          <w:p w14:paraId="313B53E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9.659</w:t>
            </w:r>
          </w:p>
        </w:tc>
        <w:tc>
          <w:tcPr>
            <w:tcW w:w="2016" w:type="dxa"/>
            <w:tcBorders>
              <w:top w:val="nil"/>
              <w:left w:val="nil"/>
              <w:bottom w:val="nil"/>
              <w:right w:val="nil"/>
            </w:tcBorders>
          </w:tcPr>
          <w:p w14:paraId="4C0D99E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8.657</w:t>
            </w:r>
          </w:p>
        </w:tc>
        <w:tc>
          <w:tcPr>
            <w:tcW w:w="2016" w:type="dxa"/>
            <w:tcBorders>
              <w:top w:val="nil"/>
              <w:left w:val="nil"/>
              <w:bottom w:val="nil"/>
              <w:right w:val="nil"/>
            </w:tcBorders>
          </w:tcPr>
          <w:p w14:paraId="40D72C5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9.583</w:t>
            </w:r>
          </w:p>
        </w:tc>
      </w:tr>
      <w:tr w:rsidR="00F05B90" w:rsidRPr="00F05B90" w14:paraId="4595B1EB" w14:textId="77777777" w:rsidTr="00320854">
        <w:tc>
          <w:tcPr>
            <w:tcW w:w="1656" w:type="dxa"/>
            <w:tcBorders>
              <w:top w:val="nil"/>
              <w:left w:val="nil"/>
              <w:bottom w:val="single" w:sz="12" w:space="0" w:color="auto"/>
              <w:right w:val="nil"/>
            </w:tcBorders>
          </w:tcPr>
          <w:p w14:paraId="57B5538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N</w:t>
            </w:r>
          </w:p>
        </w:tc>
        <w:tc>
          <w:tcPr>
            <w:tcW w:w="2016" w:type="dxa"/>
            <w:tcBorders>
              <w:top w:val="nil"/>
              <w:left w:val="nil"/>
              <w:bottom w:val="single" w:sz="12" w:space="0" w:color="auto"/>
              <w:right w:val="nil"/>
            </w:tcBorders>
          </w:tcPr>
          <w:p w14:paraId="6253759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636</w:t>
            </w:r>
          </w:p>
        </w:tc>
        <w:tc>
          <w:tcPr>
            <w:tcW w:w="2016" w:type="dxa"/>
            <w:tcBorders>
              <w:top w:val="nil"/>
              <w:left w:val="nil"/>
              <w:bottom w:val="single" w:sz="12" w:space="0" w:color="auto"/>
              <w:right w:val="nil"/>
            </w:tcBorders>
          </w:tcPr>
          <w:p w14:paraId="36D3A14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636</w:t>
            </w:r>
          </w:p>
        </w:tc>
        <w:tc>
          <w:tcPr>
            <w:tcW w:w="2016" w:type="dxa"/>
            <w:tcBorders>
              <w:top w:val="nil"/>
              <w:left w:val="nil"/>
              <w:bottom w:val="single" w:sz="12" w:space="0" w:color="auto"/>
              <w:right w:val="nil"/>
            </w:tcBorders>
          </w:tcPr>
          <w:p w14:paraId="6FDF4F8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708</w:t>
            </w:r>
          </w:p>
        </w:tc>
        <w:tc>
          <w:tcPr>
            <w:tcW w:w="2016" w:type="dxa"/>
            <w:tcBorders>
              <w:top w:val="nil"/>
              <w:left w:val="nil"/>
              <w:bottom w:val="single" w:sz="12" w:space="0" w:color="auto"/>
              <w:right w:val="nil"/>
            </w:tcBorders>
          </w:tcPr>
          <w:p w14:paraId="64FAB7F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708</w:t>
            </w:r>
          </w:p>
        </w:tc>
        <w:tc>
          <w:tcPr>
            <w:tcW w:w="2016" w:type="dxa"/>
            <w:tcBorders>
              <w:top w:val="nil"/>
              <w:left w:val="nil"/>
              <w:bottom w:val="single" w:sz="12" w:space="0" w:color="auto"/>
              <w:right w:val="nil"/>
            </w:tcBorders>
          </w:tcPr>
          <w:p w14:paraId="0171964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633</w:t>
            </w:r>
          </w:p>
        </w:tc>
        <w:tc>
          <w:tcPr>
            <w:tcW w:w="2016" w:type="dxa"/>
            <w:tcBorders>
              <w:top w:val="nil"/>
              <w:left w:val="nil"/>
              <w:bottom w:val="single" w:sz="12" w:space="0" w:color="auto"/>
              <w:right w:val="nil"/>
            </w:tcBorders>
          </w:tcPr>
          <w:p w14:paraId="7D9E865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633</w:t>
            </w:r>
          </w:p>
        </w:tc>
      </w:tr>
      <w:tr w:rsidR="00817718" w:rsidRPr="00F05B90" w14:paraId="559BF463" w14:textId="77777777" w:rsidTr="00320854">
        <w:tc>
          <w:tcPr>
            <w:tcW w:w="13752" w:type="dxa"/>
            <w:gridSpan w:val="7"/>
            <w:tcBorders>
              <w:top w:val="single" w:sz="12" w:space="0" w:color="auto"/>
              <w:left w:val="nil"/>
              <w:bottom w:val="single" w:sz="12" w:space="0" w:color="auto"/>
              <w:right w:val="nil"/>
            </w:tcBorders>
          </w:tcPr>
          <w:p w14:paraId="1AD76DCC" w14:textId="1EE7B1B6" w:rsidR="00817718" w:rsidRPr="00F05B90" w:rsidRDefault="00817718" w:rsidP="00B42893">
            <w:pPr>
              <w:widowControl w:val="0"/>
              <w:autoSpaceDE w:val="0"/>
              <w:autoSpaceDN w:val="0"/>
              <w:adjustRightInd w:val="0"/>
              <w:jc w:val="both"/>
              <w:rPr>
                <w:sz w:val="20"/>
                <w:szCs w:val="20"/>
              </w:rPr>
            </w:pPr>
            <w:r w:rsidRPr="00F05B90">
              <w:rPr>
                <w:sz w:val="20"/>
                <w:szCs w:val="20"/>
              </w:rPr>
              <w:t>This table reports regression results for</w:t>
            </w:r>
            <w:r w:rsidRPr="00F05B90">
              <w:rPr>
                <w:i/>
                <w:iCs/>
                <w:sz w:val="20"/>
                <w:szCs w:val="20"/>
              </w:rPr>
              <w:t xml:space="preserve"> Model 1, </w:t>
            </w:r>
            <w:r w:rsidRPr="00F05B90">
              <w:rPr>
                <w:sz w:val="20"/>
                <w:szCs w:val="20"/>
              </w:rPr>
              <w:t xml:space="preserve">the sample consists of 1040 firm-year observations between 2013 and 2020. The dependent variable is auditors’ </w:t>
            </w:r>
            <w:r w:rsidR="00B3493A" w:rsidRPr="00F05B90">
              <w:rPr>
                <w:sz w:val="20"/>
                <w:szCs w:val="20"/>
              </w:rPr>
              <w:t>professional judgment</w:t>
            </w:r>
            <w:r w:rsidRPr="00F05B90">
              <w:rPr>
                <w:sz w:val="20"/>
                <w:szCs w:val="20"/>
              </w:rPr>
              <w:t xml:space="preserve">, namely </w:t>
            </w:r>
            <w:r w:rsidRPr="00F05B90">
              <w:rPr>
                <w:i/>
                <w:iCs/>
                <w:sz w:val="20"/>
                <w:szCs w:val="20"/>
              </w:rPr>
              <w:t>KAM</w:t>
            </w:r>
            <w:r w:rsidRPr="00F05B90">
              <w:rPr>
                <w:sz w:val="20"/>
                <w:szCs w:val="20"/>
              </w:rPr>
              <w:t xml:space="preserve"> and </w:t>
            </w:r>
            <w:r w:rsidRPr="00F05B90">
              <w:rPr>
                <w:i/>
                <w:iCs/>
                <w:sz w:val="20"/>
                <w:szCs w:val="20"/>
              </w:rPr>
              <w:t>MAT. MAT</w:t>
            </w:r>
            <w:r w:rsidRPr="00F05B90">
              <w:rPr>
                <w:sz w:val="20"/>
                <w:szCs w:val="20"/>
              </w:rPr>
              <w:t xml:space="preserve"> is the materiality amount (£) for the financial statements as a whole, scaled by total assets as at year-end, and multiplied by 100. </w:t>
            </w:r>
            <w:r w:rsidRPr="00F05B90">
              <w:rPr>
                <w:i/>
                <w:iCs/>
                <w:sz w:val="20"/>
                <w:szCs w:val="20"/>
              </w:rPr>
              <w:t>KAM</w:t>
            </w:r>
            <w:r w:rsidRPr="00F05B90">
              <w:rPr>
                <w:sz w:val="20"/>
                <w:szCs w:val="20"/>
              </w:rPr>
              <w:t xml:space="preserve"> is the number of significant audit risks, or areas of focus, reported by the auditor in the audit report. The independent variable is the industry tournament incentive (</w:t>
            </w:r>
            <w:r w:rsidRPr="00F05B90">
              <w:rPr>
                <w:i/>
                <w:iCs/>
                <w:sz w:val="20"/>
                <w:szCs w:val="20"/>
              </w:rPr>
              <w:t>Indgap</w:t>
            </w:r>
            <w:r w:rsidRPr="00F05B90">
              <w:rPr>
                <w:sz w:val="20"/>
                <w:szCs w:val="20"/>
              </w:rPr>
              <w:t xml:space="preserve">) measures the compensation gap between the CEO under consideration and the highest-paid CEO in the same industry. </w:t>
            </w:r>
            <w:r w:rsidRPr="00F05B90">
              <w:rPr>
                <w:i/>
                <w:iCs/>
                <w:sz w:val="20"/>
                <w:szCs w:val="20"/>
              </w:rPr>
              <w:t>CFOIT</w:t>
            </w:r>
            <w:r w:rsidRPr="00F05B90">
              <w:rPr>
                <w:sz w:val="20"/>
                <w:szCs w:val="20"/>
              </w:rPr>
              <w:t xml:space="preserve"> is the natural log of the compensation gap between the CFO under consideration and the second-highest-paid CFO in the same industry. </w:t>
            </w:r>
            <w:r w:rsidRPr="00F05B90">
              <w:rPr>
                <w:i/>
                <w:iCs/>
                <w:sz w:val="20"/>
                <w:szCs w:val="20"/>
              </w:rPr>
              <w:t>CEO_CFOGAP</w:t>
            </w:r>
            <w:r w:rsidRPr="00F05B90">
              <w:rPr>
                <w:sz w:val="20"/>
                <w:szCs w:val="20"/>
              </w:rPr>
              <w:t xml:space="preserve"> is the difference between the total CEO compensation and the total compensation of the CFO in the firm. </w:t>
            </w:r>
            <w:r w:rsidRPr="00F05B90">
              <w:rPr>
                <w:i/>
                <w:iCs/>
                <w:sz w:val="20"/>
                <w:szCs w:val="20"/>
              </w:rPr>
              <w:t>LAFEE</w:t>
            </w:r>
            <w:r w:rsidRPr="00F05B90">
              <w:rPr>
                <w:sz w:val="20"/>
                <w:szCs w:val="20"/>
              </w:rPr>
              <w:t xml:space="preserve"> is the natural logarithm of audit fees. </w:t>
            </w:r>
            <w:r w:rsidRPr="00F05B90">
              <w:rPr>
                <w:i/>
                <w:iCs/>
                <w:sz w:val="20"/>
                <w:szCs w:val="20"/>
              </w:rPr>
              <w:t>BIG4</w:t>
            </w:r>
            <w:r w:rsidRPr="00F05B90">
              <w:rPr>
                <w:sz w:val="20"/>
                <w:szCs w:val="20"/>
              </w:rPr>
              <w:t xml:space="preserve"> is an indicator variable equal to 1 if the audit firm is one of the Big four auditing firms, and 0 otherwise. </w:t>
            </w:r>
            <w:r w:rsidRPr="00F05B90">
              <w:rPr>
                <w:i/>
                <w:iCs/>
                <w:sz w:val="20"/>
                <w:szCs w:val="20"/>
              </w:rPr>
              <w:t xml:space="preserve">ACIndep </w:t>
            </w:r>
            <w:r w:rsidRPr="00F05B90">
              <w:rPr>
                <w:sz w:val="20"/>
                <w:szCs w:val="20"/>
              </w:rPr>
              <w:t xml:space="preserve">is the percentage of independent members of the audit committee. </w:t>
            </w:r>
            <w:r w:rsidRPr="00F05B90">
              <w:rPr>
                <w:i/>
                <w:iCs/>
                <w:sz w:val="20"/>
                <w:szCs w:val="20"/>
              </w:rPr>
              <w:t>BoDIndep</w:t>
            </w:r>
            <w:r w:rsidRPr="00F05B90">
              <w:rPr>
                <w:sz w:val="20"/>
                <w:szCs w:val="20"/>
              </w:rPr>
              <w:t xml:space="preserve"> is the percentage of independent members of the board of directors. </w:t>
            </w:r>
            <w:r w:rsidRPr="00F05B90">
              <w:rPr>
                <w:i/>
                <w:iCs/>
                <w:sz w:val="20"/>
                <w:szCs w:val="20"/>
              </w:rPr>
              <w:t>Leverage</w:t>
            </w:r>
            <w:r w:rsidRPr="00F05B90">
              <w:rPr>
                <w:sz w:val="20"/>
                <w:szCs w:val="20"/>
              </w:rPr>
              <w:t xml:space="preserve"> is a firm's total liabilities scaled by total shareholders' equity. </w:t>
            </w:r>
            <w:r w:rsidRPr="00F05B90">
              <w:rPr>
                <w:i/>
                <w:iCs/>
                <w:sz w:val="20"/>
                <w:szCs w:val="20"/>
              </w:rPr>
              <w:t xml:space="preserve">LOSS </w:t>
            </w:r>
            <w:r w:rsidRPr="00F05B90">
              <w:rPr>
                <w:sz w:val="20"/>
                <w:szCs w:val="20"/>
              </w:rPr>
              <w:t xml:space="preserve">is an indicator variable equal to 1 if the firm report a loss for the year; 0 Otherwise. </w:t>
            </w:r>
            <w:r w:rsidRPr="00F05B90">
              <w:rPr>
                <w:i/>
                <w:iCs/>
                <w:sz w:val="20"/>
                <w:szCs w:val="20"/>
              </w:rPr>
              <w:t>CurrentR</w:t>
            </w:r>
            <w:r w:rsidRPr="00F05B90">
              <w:rPr>
                <w:sz w:val="20"/>
                <w:szCs w:val="20"/>
              </w:rPr>
              <w:t xml:space="preserve"> is current assets divided by current liabilities. </w:t>
            </w:r>
            <w:r w:rsidRPr="00F05B90">
              <w:rPr>
                <w:i/>
                <w:iCs/>
                <w:sz w:val="20"/>
                <w:szCs w:val="20"/>
              </w:rPr>
              <w:t>ROA</w:t>
            </w:r>
            <w:r w:rsidRPr="00F05B90">
              <w:rPr>
                <w:sz w:val="20"/>
                <w:szCs w:val="20"/>
              </w:rPr>
              <w:t xml:space="preserve"> is earnings scaled by total assets. </w:t>
            </w:r>
            <w:r w:rsidRPr="00F05B90">
              <w:rPr>
                <w:i/>
                <w:iCs/>
                <w:sz w:val="20"/>
                <w:szCs w:val="20"/>
              </w:rPr>
              <w:t>Employees</w:t>
            </w:r>
            <w:r w:rsidRPr="00F05B90">
              <w:rPr>
                <w:sz w:val="20"/>
                <w:szCs w:val="20"/>
              </w:rPr>
              <w:t xml:space="preserve"> is the number of employees. </w:t>
            </w:r>
            <w:r w:rsidRPr="00F05B90">
              <w:rPr>
                <w:i/>
                <w:iCs/>
                <w:sz w:val="20"/>
                <w:szCs w:val="20"/>
              </w:rPr>
              <w:t>CEOR</w:t>
            </w:r>
            <w:r w:rsidRPr="00F05B90">
              <w:rPr>
                <w:sz w:val="20"/>
                <w:szCs w:val="20"/>
              </w:rPr>
              <w:t xml:space="preserve"> is the number of years of the CEO in the role. </w:t>
            </w:r>
            <w:r w:rsidRPr="00F05B90">
              <w:rPr>
                <w:i/>
                <w:iCs/>
                <w:sz w:val="20"/>
                <w:szCs w:val="20"/>
              </w:rPr>
              <w:t>CEOGender</w:t>
            </w:r>
            <w:r w:rsidRPr="00F05B90">
              <w:rPr>
                <w:sz w:val="20"/>
                <w:szCs w:val="20"/>
              </w:rPr>
              <w:t xml:space="preserve"> is an indicator variable equal to 1 if the CEO man, 0 Otherwise. </w:t>
            </w:r>
            <w:r w:rsidRPr="00F05B90">
              <w:rPr>
                <w:i/>
                <w:iCs/>
                <w:sz w:val="20"/>
                <w:szCs w:val="20"/>
              </w:rPr>
              <w:t>Retire</w:t>
            </w:r>
            <w:r w:rsidRPr="00F05B90">
              <w:rPr>
                <w:sz w:val="20"/>
                <w:szCs w:val="20"/>
              </w:rPr>
              <w:t xml:space="preserve"> is an indicator variable </w:t>
            </w:r>
            <w:r w:rsidR="00B42893" w:rsidRPr="00F05B90">
              <w:rPr>
                <w:sz w:val="20"/>
                <w:szCs w:val="20"/>
              </w:rPr>
              <w:t>equals 1 if the CEO is at least 62 years old and 0 otherwise</w:t>
            </w:r>
            <w:r w:rsidRPr="00F05B90">
              <w:rPr>
                <w:sz w:val="20"/>
                <w:szCs w:val="20"/>
              </w:rPr>
              <w:t xml:space="preserve">. </w:t>
            </w:r>
            <w:r w:rsidRPr="00F05B90">
              <w:rPr>
                <w:i/>
                <w:iCs/>
                <w:sz w:val="20"/>
                <w:szCs w:val="20"/>
              </w:rPr>
              <w:t xml:space="preserve">Insider </w:t>
            </w:r>
            <w:r w:rsidRPr="00F05B90">
              <w:rPr>
                <w:sz w:val="20"/>
                <w:szCs w:val="20"/>
              </w:rPr>
              <w:t xml:space="preserve">is a dummy indicating 1 if the CEO arrived at the firm within two years prior to becoming CEO, 0 otherwise. Regressions are estimated using robust standard errors. Standard errors in parentheses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0.1,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0.05,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0.01. </w:t>
            </w:r>
            <w:r w:rsidRPr="00F05B90">
              <w:rPr>
                <w:i/>
                <w:iCs/>
                <w:sz w:val="20"/>
                <w:szCs w:val="20"/>
              </w:rPr>
              <w:t>Bold numbers indicate significance for variables of interest.</w:t>
            </w:r>
          </w:p>
        </w:tc>
      </w:tr>
    </w:tbl>
    <w:p w14:paraId="7A7F6CD4" w14:textId="77777777" w:rsidR="00817718" w:rsidRPr="00F05B90" w:rsidRDefault="00817718" w:rsidP="00817718">
      <w:pPr>
        <w:widowControl w:val="0"/>
        <w:autoSpaceDE w:val="0"/>
        <w:autoSpaceDN w:val="0"/>
        <w:adjustRightInd w:val="0"/>
        <w:spacing w:line="360" w:lineRule="auto"/>
      </w:pPr>
    </w:p>
    <w:p w14:paraId="057EEF8A" w14:textId="77777777" w:rsidR="00817718" w:rsidRPr="00F05B90" w:rsidRDefault="00817718" w:rsidP="00817718">
      <w:pPr>
        <w:spacing w:line="480" w:lineRule="auto"/>
        <w:ind w:left="567" w:hanging="567"/>
        <w:contextualSpacing/>
        <w:jc w:val="both"/>
        <w:rPr>
          <w:rFonts w:ascii="EB Garamond" w:hAnsi="EB Garamond"/>
          <w:b/>
          <w:bCs/>
        </w:rPr>
        <w:sectPr w:rsidR="00817718" w:rsidRPr="00F05B90" w:rsidSect="00817718">
          <w:pgSz w:w="15840" w:h="12240" w:orient="landscape" w:code="1"/>
          <w:pgMar w:top="1440" w:right="1440" w:bottom="1440" w:left="1440" w:header="720" w:footer="720" w:gutter="0"/>
          <w:cols w:space="720"/>
          <w:docGrid w:linePitch="360"/>
        </w:sectPr>
      </w:pPr>
    </w:p>
    <w:p w14:paraId="71B8319C" w14:textId="52A9C414" w:rsidR="00817718" w:rsidRPr="00F05B90" w:rsidRDefault="00817718" w:rsidP="00B3493A">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w:t>
      </w:r>
      <w:r w:rsidR="00B07951" w:rsidRPr="00F05B90">
        <w:rPr>
          <w:rFonts w:ascii="Times New Roman" w:hAnsi="Times New Roman" w:cs="Times New Roman"/>
          <w:color w:val="auto"/>
          <w:szCs w:val="24"/>
        </w:rPr>
        <w:t>7</w:t>
      </w:r>
      <w:r w:rsidRPr="00F05B90">
        <w:rPr>
          <w:rFonts w:ascii="Times New Roman" w:hAnsi="Times New Roman" w:cs="Times New Roman"/>
          <w:color w:val="auto"/>
          <w:szCs w:val="24"/>
        </w:rPr>
        <w:t xml:space="preserve">: </w:t>
      </w:r>
      <w:r w:rsidRPr="00F05B90">
        <w:rPr>
          <w:rFonts w:ascii="Times New Roman" w:hAnsi="Times New Roman" w:cs="Times New Roman"/>
          <w:b w:val="0"/>
          <w:color w:val="auto"/>
          <w:szCs w:val="24"/>
        </w:rPr>
        <w:t>Regression estimates of auditors</w:t>
      </w:r>
      <w:r w:rsidR="00B3493A" w:rsidRPr="00F05B90">
        <w:rPr>
          <w:rFonts w:ascii="Times New Roman" w:hAnsi="Times New Roman" w:cs="Times New Roman"/>
          <w:b w:val="0"/>
          <w:color w:val="auto"/>
          <w:szCs w:val="24"/>
        </w:rPr>
        <w:t>’</w:t>
      </w:r>
      <w:r w:rsidRPr="00F05B90">
        <w:rPr>
          <w:rFonts w:ascii="Times New Roman" w:hAnsi="Times New Roman" w:cs="Times New Roman"/>
          <w:b w:val="0"/>
          <w:color w:val="auto"/>
          <w:szCs w:val="24"/>
        </w:rPr>
        <w:t xml:space="preserve"> </w:t>
      </w:r>
      <w:r w:rsidR="00B3493A" w:rsidRPr="00F05B90">
        <w:rPr>
          <w:rFonts w:ascii="Times New Roman" w:hAnsi="Times New Roman" w:cs="Times New Roman"/>
          <w:b w:val="0"/>
          <w:color w:val="auto"/>
          <w:szCs w:val="24"/>
        </w:rPr>
        <w:t>professional judgment</w:t>
      </w:r>
      <w:r w:rsidRPr="00F05B90">
        <w:rPr>
          <w:rFonts w:ascii="Times New Roman" w:hAnsi="Times New Roman" w:cs="Times New Roman"/>
          <w:b w:val="0"/>
          <w:color w:val="auto"/>
          <w:szCs w:val="24"/>
        </w:rPr>
        <w:t xml:space="preserve"> and industry tournament incentives (Controlling for Endogeneity; 2SLS IV)</w:t>
      </w:r>
    </w:p>
    <w:tbl>
      <w:tblPr>
        <w:tblW w:w="5000" w:type="pct"/>
        <w:tblLook w:val="0000" w:firstRow="0" w:lastRow="0" w:firstColumn="0" w:lastColumn="0" w:noHBand="0" w:noVBand="0"/>
      </w:tblPr>
      <w:tblGrid>
        <w:gridCol w:w="3100"/>
        <w:gridCol w:w="2001"/>
        <w:gridCol w:w="2001"/>
        <w:gridCol w:w="2003"/>
      </w:tblGrid>
      <w:tr w:rsidR="00F05B90" w:rsidRPr="00F05B90" w14:paraId="69CD3314" w14:textId="77777777" w:rsidTr="00320854">
        <w:tc>
          <w:tcPr>
            <w:tcW w:w="1702" w:type="pct"/>
            <w:tcBorders>
              <w:top w:val="single" w:sz="12" w:space="0" w:color="auto"/>
              <w:left w:val="nil"/>
              <w:right w:val="nil"/>
            </w:tcBorders>
          </w:tcPr>
          <w:p w14:paraId="42541B84" w14:textId="77777777" w:rsidR="00817718" w:rsidRPr="00F05B90" w:rsidRDefault="00817718" w:rsidP="00320854">
            <w:pPr>
              <w:widowControl w:val="0"/>
              <w:autoSpaceDE w:val="0"/>
              <w:autoSpaceDN w:val="0"/>
              <w:adjustRightInd w:val="0"/>
              <w:rPr>
                <w:sz w:val="20"/>
                <w:szCs w:val="20"/>
              </w:rPr>
            </w:pPr>
          </w:p>
        </w:tc>
        <w:tc>
          <w:tcPr>
            <w:tcW w:w="1099" w:type="pct"/>
            <w:tcBorders>
              <w:top w:val="single" w:sz="12" w:space="0" w:color="auto"/>
              <w:left w:val="nil"/>
              <w:bottom w:val="single" w:sz="12" w:space="0" w:color="auto"/>
              <w:right w:val="nil"/>
            </w:tcBorders>
          </w:tcPr>
          <w:p w14:paraId="2FB07BE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w:t>
            </w:r>
            <w:r w:rsidRPr="00F05B90">
              <w:rPr>
                <w:b/>
                <w:bCs/>
                <w:sz w:val="20"/>
                <w:szCs w:val="20"/>
                <w:vertAlign w:val="superscript"/>
              </w:rPr>
              <w:t>st</w:t>
            </w:r>
            <w:r w:rsidRPr="00F05B90">
              <w:rPr>
                <w:b/>
                <w:bCs/>
                <w:sz w:val="20"/>
                <w:szCs w:val="20"/>
              </w:rPr>
              <w:t xml:space="preserve"> stage </w:t>
            </w:r>
          </w:p>
        </w:tc>
        <w:tc>
          <w:tcPr>
            <w:tcW w:w="2199" w:type="pct"/>
            <w:gridSpan w:val="2"/>
            <w:tcBorders>
              <w:top w:val="single" w:sz="12" w:space="0" w:color="auto"/>
              <w:left w:val="nil"/>
              <w:bottom w:val="nil"/>
              <w:right w:val="nil"/>
            </w:tcBorders>
          </w:tcPr>
          <w:p w14:paraId="208D5A4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w:t>
            </w:r>
            <w:r w:rsidRPr="00F05B90">
              <w:rPr>
                <w:b/>
                <w:bCs/>
                <w:sz w:val="20"/>
                <w:szCs w:val="20"/>
                <w:vertAlign w:val="superscript"/>
              </w:rPr>
              <w:t>nd</w:t>
            </w:r>
            <w:r w:rsidRPr="00F05B90">
              <w:rPr>
                <w:b/>
                <w:bCs/>
                <w:sz w:val="20"/>
                <w:szCs w:val="20"/>
              </w:rPr>
              <w:t xml:space="preserve"> stage </w:t>
            </w:r>
          </w:p>
        </w:tc>
      </w:tr>
      <w:tr w:rsidR="00F05B90" w:rsidRPr="00F05B90" w14:paraId="05EFF2DA" w14:textId="77777777" w:rsidTr="00320854">
        <w:tc>
          <w:tcPr>
            <w:tcW w:w="1702" w:type="pct"/>
            <w:tcBorders>
              <w:left w:val="nil"/>
              <w:bottom w:val="nil"/>
              <w:right w:val="nil"/>
            </w:tcBorders>
          </w:tcPr>
          <w:p w14:paraId="002D6594" w14:textId="77777777" w:rsidR="00817718" w:rsidRPr="00F05B90" w:rsidRDefault="00817718" w:rsidP="00320854">
            <w:pPr>
              <w:widowControl w:val="0"/>
              <w:autoSpaceDE w:val="0"/>
              <w:autoSpaceDN w:val="0"/>
              <w:adjustRightInd w:val="0"/>
              <w:rPr>
                <w:sz w:val="20"/>
                <w:szCs w:val="20"/>
              </w:rPr>
            </w:pPr>
          </w:p>
        </w:tc>
        <w:tc>
          <w:tcPr>
            <w:tcW w:w="1099" w:type="pct"/>
            <w:tcBorders>
              <w:top w:val="single" w:sz="12" w:space="0" w:color="auto"/>
              <w:left w:val="nil"/>
              <w:bottom w:val="nil"/>
              <w:right w:val="nil"/>
            </w:tcBorders>
          </w:tcPr>
          <w:p w14:paraId="689E940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w:t>
            </w:r>
          </w:p>
        </w:tc>
        <w:tc>
          <w:tcPr>
            <w:tcW w:w="1099" w:type="pct"/>
            <w:tcBorders>
              <w:top w:val="single" w:sz="12" w:space="0" w:color="auto"/>
              <w:left w:val="nil"/>
              <w:bottom w:val="nil"/>
              <w:right w:val="nil"/>
            </w:tcBorders>
          </w:tcPr>
          <w:p w14:paraId="26A2231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w:t>
            </w:r>
          </w:p>
        </w:tc>
        <w:tc>
          <w:tcPr>
            <w:tcW w:w="1100" w:type="pct"/>
            <w:tcBorders>
              <w:top w:val="single" w:sz="12" w:space="0" w:color="auto"/>
              <w:left w:val="nil"/>
              <w:bottom w:val="nil"/>
              <w:right w:val="nil"/>
            </w:tcBorders>
          </w:tcPr>
          <w:p w14:paraId="3529215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w:t>
            </w:r>
          </w:p>
        </w:tc>
      </w:tr>
      <w:tr w:rsidR="00F05B90" w:rsidRPr="00F05B90" w14:paraId="76FCB638" w14:textId="77777777" w:rsidTr="00320854">
        <w:tc>
          <w:tcPr>
            <w:tcW w:w="1702" w:type="pct"/>
            <w:tcBorders>
              <w:top w:val="nil"/>
              <w:left w:val="nil"/>
              <w:right w:val="nil"/>
            </w:tcBorders>
          </w:tcPr>
          <w:p w14:paraId="6144412D" w14:textId="77777777" w:rsidR="00817718" w:rsidRPr="00F05B90" w:rsidRDefault="00817718" w:rsidP="00320854">
            <w:pPr>
              <w:widowControl w:val="0"/>
              <w:autoSpaceDE w:val="0"/>
              <w:autoSpaceDN w:val="0"/>
              <w:adjustRightInd w:val="0"/>
              <w:rPr>
                <w:sz w:val="20"/>
                <w:szCs w:val="20"/>
              </w:rPr>
            </w:pPr>
          </w:p>
        </w:tc>
        <w:tc>
          <w:tcPr>
            <w:tcW w:w="1099" w:type="pct"/>
            <w:tcBorders>
              <w:top w:val="nil"/>
              <w:left w:val="nil"/>
              <w:bottom w:val="single" w:sz="12" w:space="0" w:color="auto"/>
              <w:right w:val="nil"/>
            </w:tcBorders>
          </w:tcPr>
          <w:p w14:paraId="12854D1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Indgap</w:t>
            </w:r>
          </w:p>
        </w:tc>
        <w:tc>
          <w:tcPr>
            <w:tcW w:w="1099" w:type="pct"/>
            <w:tcBorders>
              <w:top w:val="nil"/>
              <w:left w:val="nil"/>
              <w:bottom w:val="single" w:sz="12" w:space="0" w:color="auto"/>
              <w:right w:val="nil"/>
            </w:tcBorders>
          </w:tcPr>
          <w:p w14:paraId="1EEB3ADB" w14:textId="4E65FA68" w:rsidR="00817718" w:rsidRPr="00F05B90" w:rsidRDefault="00884826" w:rsidP="00320854">
            <w:pPr>
              <w:widowControl w:val="0"/>
              <w:autoSpaceDE w:val="0"/>
              <w:autoSpaceDN w:val="0"/>
              <w:adjustRightInd w:val="0"/>
              <w:jc w:val="center"/>
              <w:rPr>
                <w:b/>
                <w:bCs/>
                <w:sz w:val="20"/>
                <w:szCs w:val="20"/>
              </w:rPr>
            </w:pPr>
            <w:r w:rsidRPr="00F05B90">
              <w:rPr>
                <w:b/>
                <w:bCs/>
                <w:sz w:val="20"/>
                <w:szCs w:val="20"/>
              </w:rPr>
              <w:t>KAM</w:t>
            </w:r>
          </w:p>
        </w:tc>
        <w:tc>
          <w:tcPr>
            <w:tcW w:w="1100" w:type="pct"/>
            <w:tcBorders>
              <w:top w:val="nil"/>
              <w:left w:val="nil"/>
              <w:bottom w:val="single" w:sz="12" w:space="0" w:color="auto"/>
              <w:right w:val="nil"/>
            </w:tcBorders>
          </w:tcPr>
          <w:p w14:paraId="413DB2A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MAT</w:t>
            </w:r>
          </w:p>
        </w:tc>
      </w:tr>
      <w:tr w:rsidR="00F05B90" w:rsidRPr="00F05B90" w14:paraId="28BCB19A" w14:textId="77777777" w:rsidTr="00320854">
        <w:tc>
          <w:tcPr>
            <w:tcW w:w="1702" w:type="pct"/>
            <w:tcBorders>
              <w:left w:val="nil"/>
              <w:bottom w:val="nil"/>
              <w:right w:val="nil"/>
            </w:tcBorders>
          </w:tcPr>
          <w:p w14:paraId="57E7699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Indgap</w:t>
            </w:r>
          </w:p>
        </w:tc>
        <w:tc>
          <w:tcPr>
            <w:tcW w:w="1099" w:type="pct"/>
            <w:tcBorders>
              <w:top w:val="single" w:sz="12" w:space="0" w:color="auto"/>
              <w:left w:val="nil"/>
              <w:bottom w:val="nil"/>
              <w:right w:val="nil"/>
            </w:tcBorders>
          </w:tcPr>
          <w:p w14:paraId="63CAD1BF"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single" w:sz="12" w:space="0" w:color="auto"/>
              <w:left w:val="nil"/>
              <w:bottom w:val="nil"/>
              <w:right w:val="nil"/>
            </w:tcBorders>
          </w:tcPr>
          <w:p w14:paraId="76DD6AF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-0.070</w:t>
            </w:r>
            <w:r w:rsidRPr="00F05B90">
              <w:rPr>
                <w:b/>
                <w:bCs/>
                <w:sz w:val="20"/>
                <w:szCs w:val="20"/>
                <w:vertAlign w:val="superscript"/>
              </w:rPr>
              <w:t>***</w:t>
            </w:r>
          </w:p>
        </w:tc>
        <w:tc>
          <w:tcPr>
            <w:tcW w:w="1100" w:type="pct"/>
            <w:tcBorders>
              <w:top w:val="single" w:sz="12" w:space="0" w:color="auto"/>
              <w:left w:val="nil"/>
              <w:bottom w:val="nil"/>
              <w:right w:val="nil"/>
            </w:tcBorders>
          </w:tcPr>
          <w:p w14:paraId="275CA89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0.030</w:t>
            </w:r>
            <w:r w:rsidRPr="00F05B90">
              <w:rPr>
                <w:b/>
                <w:bCs/>
                <w:sz w:val="20"/>
                <w:szCs w:val="20"/>
                <w:vertAlign w:val="superscript"/>
              </w:rPr>
              <w:t>**</w:t>
            </w:r>
          </w:p>
        </w:tc>
      </w:tr>
      <w:tr w:rsidR="00F05B90" w:rsidRPr="00F05B90" w14:paraId="14E7473B" w14:textId="77777777" w:rsidTr="00320854">
        <w:tc>
          <w:tcPr>
            <w:tcW w:w="1702" w:type="pct"/>
            <w:tcBorders>
              <w:top w:val="nil"/>
              <w:left w:val="nil"/>
              <w:bottom w:val="nil"/>
              <w:right w:val="nil"/>
            </w:tcBorders>
          </w:tcPr>
          <w:p w14:paraId="69F62760"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23518430"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nil"/>
              <w:left w:val="nil"/>
              <w:bottom w:val="nil"/>
              <w:right w:val="nil"/>
            </w:tcBorders>
          </w:tcPr>
          <w:p w14:paraId="0948F8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(0.025)</w:t>
            </w:r>
          </w:p>
        </w:tc>
        <w:tc>
          <w:tcPr>
            <w:tcW w:w="1100" w:type="pct"/>
            <w:tcBorders>
              <w:top w:val="nil"/>
              <w:left w:val="nil"/>
              <w:bottom w:val="nil"/>
              <w:right w:val="nil"/>
            </w:tcBorders>
          </w:tcPr>
          <w:p w14:paraId="4F5F450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(0.012)</w:t>
            </w:r>
          </w:p>
        </w:tc>
      </w:tr>
      <w:tr w:rsidR="00F05B90" w:rsidRPr="00F05B90" w14:paraId="354381B1" w14:textId="77777777" w:rsidTr="00320854">
        <w:tc>
          <w:tcPr>
            <w:tcW w:w="1702" w:type="pct"/>
            <w:tcBorders>
              <w:top w:val="nil"/>
              <w:left w:val="nil"/>
              <w:bottom w:val="nil"/>
              <w:right w:val="nil"/>
            </w:tcBorders>
          </w:tcPr>
          <w:p w14:paraId="07A44C5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LAFEE</w:t>
            </w:r>
          </w:p>
        </w:tc>
        <w:tc>
          <w:tcPr>
            <w:tcW w:w="1099" w:type="pct"/>
            <w:tcBorders>
              <w:top w:val="nil"/>
              <w:left w:val="nil"/>
              <w:bottom w:val="nil"/>
              <w:right w:val="nil"/>
            </w:tcBorders>
          </w:tcPr>
          <w:p w14:paraId="4510ADDF"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0.046</w:t>
            </w:r>
          </w:p>
        </w:tc>
        <w:tc>
          <w:tcPr>
            <w:tcW w:w="1099" w:type="pct"/>
            <w:tcBorders>
              <w:top w:val="nil"/>
              <w:left w:val="nil"/>
              <w:bottom w:val="nil"/>
              <w:right w:val="nil"/>
            </w:tcBorders>
          </w:tcPr>
          <w:p w14:paraId="2BEB13D0"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-0.006</w:t>
            </w:r>
          </w:p>
        </w:tc>
        <w:tc>
          <w:tcPr>
            <w:tcW w:w="1100" w:type="pct"/>
            <w:tcBorders>
              <w:top w:val="nil"/>
              <w:left w:val="nil"/>
              <w:bottom w:val="nil"/>
              <w:right w:val="nil"/>
            </w:tcBorders>
          </w:tcPr>
          <w:p w14:paraId="7463D732"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-0.022</w:t>
            </w:r>
            <w:r w:rsidRPr="00F05B90">
              <w:rPr>
                <w:b/>
                <w:bCs/>
                <w:sz w:val="20"/>
                <w:szCs w:val="20"/>
                <w:vertAlign w:val="superscript"/>
              </w:rPr>
              <w:t>***</w:t>
            </w:r>
          </w:p>
        </w:tc>
      </w:tr>
      <w:tr w:rsidR="00F05B90" w:rsidRPr="00F05B90" w14:paraId="72690DBE" w14:textId="77777777" w:rsidTr="00320854">
        <w:tc>
          <w:tcPr>
            <w:tcW w:w="1702" w:type="pct"/>
            <w:tcBorders>
              <w:top w:val="nil"/>
              <w:left w:val="nil"/>
              <w:bottom w:val="nil"/>
              <w:right w:val="nil"/>
            </w:tcBorders>
          </w:tcPr>
          <w:p w14:paraId="79D325C2"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345C881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(0.029)</w:t>
            </w:r>
          </w:p>
        </w:tc>
        <w:tc>
          <w:tcPr>
            <w:tcW w:w="1099" w:type="pct"/>
            <w:tcBorders>
              <w:top w:val="nil"/>
              <w:left w:val="nil"/>
              <w:bottom w:val="nil"/>
              <w:right w:val="nil"/>
            </w:tcBorders>
          </w:tcPr>
          <w:p w14:paraId="5CDE1467"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(0.021)</w:t>
            </w:r>
          </w:p>
        </w:tc>
        <w:tc>
          <w:tcPr>
            <w:tcW w:w="1100" w:type="pct"/>
            <w:tcBorders>
              <w:top w:val="nil"/>
              <w:left w:val="nil"/>
              <w:bottom w:val="nil"/>
              <w:right w:val="nil"/>
            </w:tcBorders>
          </w:tcPr>
          <w:p w14:paraId="4EC18DC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(0.007)</w:t>
            </w:r>
          </w:p>
        </w:tc>
      </w:tr>
      <w:tr w:rsidR="00F05B90" w:rsidRPr="00F05B90" w14:paraId="785AB4D8" w14:textId="77777777" w:rsidTr="00320854">
        <w:tc>
          <w:tcPr>
            <w:tcW w:w="1702" w:type="pct"/>
            <w:tcBorders>
              <w:top w:val="nil"/>
              <w:left w:val="nil"/>
              <w:bottom w:val="nil"/>
              <w:right w:val="nil"/>
            </w:tcBorders>
          </w:tcPr>
          <w:p w14:paraId="434114EE"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BIG4</w:t>
            </w:r>
          </w:p>
        </w:tc>
        <w:tc>
          <w:tcPr>
            <w:tcW w:w="1099" w:type="pct"/>
            <w:tcBorders>
              <w:top w:val="nil"/>
              <w:left w:val="nil"/>
              <w:bottom w:val="nil"/>
              <w:right w:val="nil"/>
            </w:tcBorders>
          </w:tcPr>
          <w:p w14:paraId="32CCBF4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-0.670</w:t>
            </w:r>
            <w:r w:rsidRPr="00F05B90">
              <w:rPr>
                <w:b/>
                <w:bCs/>
                <w:sz w:val="20"/>
                <w:szCs w:val="20"/>
                <w:vertAlign w:val="superscript"/>
              </w:rPr>
              <w:t>*</w:t>
            </w:r>
          </w:p>
        </w:tc>
        <w:tc>
          <w:tcPr>
            <w:tcW w:w="1099" w:type="pct"/>
            <w:tcBorders>
              <w:top w:val="nil"/>
              <w:left w:val="nil"/>
              <w:bottom w:val="nil"/>
              <w:right w:val="nil"/>
            </w:tcBorders>
          </w:tcPr>
          <w:p w14:paraId="73D41329"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-0.326</w:t>
            </w:r>
          </w:p>
        </w:tc>
        <w:tc>
          <w:tcPr>
            <w:tcW w:w="1100" w:type="pct"/>
            <w:tcBorders>
              <w:top w:val="nil"/>
              <w:left w:val="nil"/>
              <w:bottom w:val="nil"/>
              <w:right w:val="nil"/>
            </w:tcBorders>
          </w:tcPr>
          <w:p w14:paraId="29F0077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-0.010</w:t>
            </w:r>
          </w:p>
        </w:tc>
      </w:tr>
      <w:tr w:rsidR="00F05B90" w:rsidRPr="00F05B90" w14:paraId="7C7AFFC1" w14:textId="77777777" w:rsidTr="00320854">
        <w:tc>
          <w:tcPr>
            <w:tcW w:w="1702" w:type="pct"/>
            <w:tcBorders>
              <w:top w:val="nil"/>
              <w:left w:val="nil"/>
              <w:bottom w:val="nil"/>
              <w:right w:val="nil"/>
            </w:tcBorders>
          </w:tcPr>
          <w:p w14:paraId="4AD8BC27"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77B6FD6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(0.373)</w:t>
            </w:r>
          </w:p>
        </w:tc>
        <w:tc>
          <w:tcPr>
            <w:tcW w:w="1099" w:type="pct"/>
            <w:tcBorders>
              <w:top w:val="nil"/>
              <w:left w:val="nil"/>
              <w:bottom w:val="nil"/>
              <w:right w:val="nil"/>
            </w:tcBorders>
          </w:tcPr>
          <w:p w14:paraId="4224656F"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(0.231)</w:t>
            </w:r>
          </w:p>
        </w:tc>
        <w:tc>
          <w:tcPr>
            <w:tcW w:w="1100" w:type="pct"/>
            <w:tcBorders>
              <w:top w:val="nil"/>
              <w:left w:val="nil"/>
              <w:bottom w:val="nil"/>
              <w:right w:val="nil"/>
            </w:tcBorders>
          </w:tcPr>
          <w:p w14:paraId="0954277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(0.191)</w:t>
            </w:r>
          </w:p>
        </w:tc>
      </w:tr>
      <w:tr w:rsidR="00F05B90" w:rsidRPr="00F05B90" w14:paraId="61B2D5CF" w14:textId="77777777" w:rsidTr="00320854">
        <w:tc>
          <w:tcPr>
            <w:tcW w:w="1702" w:type="pct"/>
            <w:tcBorders>
              <w:top w:val="nil"/>
              <w:left w:val="nil"/>
              <w:bottom w:val="nil"/>
              <w:right w:val="nil"/>
            </w:tcBorders>
          </w:tcPr>
          <w:p w14:paraId="15B2952A"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ACIndep</w:t>
            </w:r>
          </w:p>
        </w:tc>
        <w:tc>
          <w:tcPr>
            <w:tcW w:w="1099" w:type="pct"/>
            <w:tcBorders>
              <w:top w:val="nil"/>
              <w:left w:val="nil"/>
              <w:bottom w:val="nil"/>
              <w:right w:val="nil"/>
            </w:tcBorders>
          </w:tcPr>
          <w:p w14:paraId="7F111E1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0.058</w:t>
            </w:r>
          </w:p>
        </w:tc>
        <w:tc>
          <w:tcPr>
            <w:tcW w:w="1099" w:type="pct"/>
            <w:tcBorders>
              <w:top w:val="nil"/>
              <w:left w:val="nil"/>
              <w:bottom w:val="nil"/>
              <w:right w:val="nil"/>
            </w:tcBorders>
          </w:tcPr>
          <w:p w14:paraId="4EBC03D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0.061</w:t>
            </w:r>
          </w:p>
        </w:tc>
        <w:tc>
          <w:tcPr>
            <w:tcW w:w="1100" w:type="pct"/>
            <w:tcBorders>
              <w:top w:val="nil"/>
              <w:left w:val="nil"/>
              <w:bottom w:val="nil"/>
              <w:right w:val="nil"/>
            </w:tcBorders>
          </w:tcPr>
          <w:p w14:paraId="1DEB29E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-0.138</w:t>
            </w:r>
          </w:p>
        </w:tc>
      </w:tr>
      <w:tr w:rsidR="00F05B90" w:rsidRPr="00F05B90" w14:paraId="7EF69A1A" w14:textId="77777777" w:rsidTr="00320854">
        <w:tc>
          <w:tcPr>
            <w:tcW w:w="1702" w:type="pct"/>
            <w:tcBorders>
              <w:top w:val="nil"/>
              <w:left w:val="nil"/>
              <w:bottom w:val="nil"/>
              <w:right w:val="nil"/>
            </w:tcBorders>
          </w:tcPr>
          <w:p w14:paraId="24C15911"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2882A61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(1.005)</w:t>
            </w:r>
          </w:p>
        </w:tc>
        <w:tc>
          <w:tcPr>
            <w:tcW w:w="1099" w:type="pct"/>
            <w:tcBorders>
              <w:top w:val="nil"/>
              <w:left w:val="nil"/>
              <w:bottom w:val="nil"/>
              <w:right w:val="nil"/>
            </w:tcBorders>
          </w:tcPr>
          <w:p w14:paraId="372B5E3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(0.834)</w:t>
            </w:r>
          </w:p>
        </w:tc>
        <w:tc>
          <w:tcPr>
            <w:tcW w:w="1100" w:type="pct"/>
            <w:tcBorders>
              <w:top w:val="nil"/>
              <w:left w:val="nil"/>
              <w:bottom w:val="nil"/>
              <w:right w:val="nil"/>
            </w:tcBorders>
          </w:tcPr>
          <w:p w14:paraId="15C9EF8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(0.575)</w:t>
            </w:r>
          </w:p>
        </w:tc>
      </w:tr>
      <w:tr w:rsidR="00F05B90" w:rsidRPr="00F05B90" w14:paraId="29335059" w14:textId="77777777" w:rsidTr="00320854">
        <w:tc>
          <w:tcPr>
            <w:tcW w:w="1702" w:type="pct"/>
            <w:tcBorders>
              <w:top w:val="nil"/>
              <w:left w:val="nil"/>
              <w:bottom w:val="nil"/>
              <w:right w:val="nil"/>
            </w:tcBorders>
          </w:tcPr>
          <w:p w14:paraId="5582E103"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BoDIndep</w:t>
            </w:r>
          </w:p>
        </w:tc>
        <w:tc>
          <w:tcPr>
            <w:tcW w:w="1099" w:type="pct"/>
            <w:tcBorders>
              <w:top w:val="nil"/>
              <w:left w:val="nil"/>
              <w:bottom w:val="nil"/>
              <w:right w:val="nil"/>
            </w:tcBorders>
          </w:tcPr>
          <w:p w14:paraId="18FF1CD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-1.196</w:t>
            </w:r>
            <w:r w:rsidRPr="00F05B90">
              <w:rPr>
                <w:b/>
                <w:bCs/>
                <w:sz w:val="20"/>
                <w:szCs w:val="20"/>
                <w:vertAlign w:val="superscript"/>
              </w:rPr>
              <w:t>*</w:t>
            </w:r>
          </w:p>
        </w:tc>
        <w:tc>
          <w:tcPr>
            <w:tcW w:w="1099" w:type="pct"/>
            <w:tcBorders>
              <w:top w:val="nil"/>
              <w:left w:val="nil"/>
              <w:bottom w:val="nil"/>
              <w:right w:val="nil"/>
            </w:tcBorders>
          </w:tcPr>
          <w:p w14:paraId="0E01208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1.636</w:t>
            </w:r>
            <w:r w:rsidRPr="00F05B90">
              <w:rPr>
                <w:b/>
                <w:bCs/>
                <w:sz w:val="20"/>
                <w:szCs w:val="20"/>
                <w:vertAlign w:val="superscript"/>
              </w:rPr>
              <w:t>***</w:t>
            </w:r>
          </w:p>
        </w:tc>
        <w:tc>
          <w:tcPr>
            <w:tcW w:w="1100" w:type="pct"/>
            <w:tcBorders>
              <w:top w:val="nil"/>
              <w:left w:val="nil"/>
              <w:bottom w:val="nil"/>
              <w:right w:val="nil"/>
            </w:tcBorders>
          </w:tcPr>
          <w:p w14:paraId="5C4A4B3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-0.354</w:t>
            </w:r>
            <w:r w:rsidRPr="00F05B90">
              <w:rPr>
                <w:b/>
                <w:bCs/>
                <w:sz w:val="20"/>
                <w:szCs w:val="20"/>
                <w:vertAlign w:val="superscript"/>
              </w:rPr>
              <w:t>*</w:t>
            </w:r>
          </w:p>
        </w:tc>
      </w:tr>
      <w:tr w:rsidR="00F05B90" w:rsidRPr="00F05B90" w14:paraId="18010829" w14:textId="77777777" w:rsidTr="00320854">
        <w:tc>
          <w:tcPr>
            <w:tcW w:w="1702" w:type="pct"/>
            <w:tcBorders>
              <w:top w:val="nil"/>
              <w:left w:val="nil"/>
              <w:bottom w:val="nil"/>
              <w:right w:val="nil"/>
            </w:tcBorders>
          </w:tcPr>
          <w:p w14:paraId="309E2CFE"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3F30CAC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(0.718)</w:t>
            </w:r>
          </w:p>
        </w:tc>
        <w:tc>
          <w:tcPr>
            <w:tcW w:w="1099" w:type="pct"/>
            <w:tcBorders>
              <w:top w:val="nil"/>
              <w:left w:val="nil"/>
              <w:bottom w:val="nil"/>
              <w:right w:val="nil"/>
            </w:tcBorders>
          </w:tcPr>
          <w:p w14:paraId="4DDF876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(0.465)</w:t>
            </w:r>
          </w:p>
        </w:tc>
        <w:tc>
          <w:tcPr>
            <w:tcW w:w="1100" w:type="pct"/>
            <w:tcBorders>
              <w:top w:val="nil"/>
              <w:left w:val="nil"/>
              <w:bottom w:val="nil"/>
              <w:right w:val="nil"/>
            </w:tcBorders>
          </w:tcPr>
          <w:p w14:paraId="135AA88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(0.191)</w:t>
            </w:r>
          </w:p>
        </w:tc>
      </w:tr>
      <w:tr w:rsidR="00F05B90" w:rsidRPr="00F05B90" w14:paraId="22DBBA59" w14:textId="77777777" w:rsidTr="00320854">
        <w:tc>
          <w:tcPr>
            <w:tcW w:w="1702" w:type="pct"/>
            <w:tcBorders>
              <w:top w:val="nil"/>
              <w:left w:val="nil"/>
              <w:bottom w:val="nil"/>
              <w:right w:val="nil"/>
            </w:tcBorders>
          </w:tcPr>
          <w:p w14:paraId="7AA2C5B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LeverageDE</w:t>
            </w:r>
          </w:p>
        </w:tc>
        <w:tc>
          <w:tcPr>
            <w:tcW w:w="1099" w:type="pct"/>
            <w:tcBorders>
              <w:top w:val="nil"/>
              <w:left w:val="nil"/>
              <w:bottom w:val="nil"/>
              <w:right w:val="nil"/>
            </w:tcBorders>
          </w:tcPr>
          <w:p w14:paraId="5186E50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-0.008</w:t>
            </w:r>
          </w:p>
        </w:tc>
        <w:tc>
          <w:tcPr>
            <w:tcW w:w="1099" w:type="pct"/>
            <w:tcBorders>
              <w:top w:val="nil"/>
              <w:left w:val="nil"/>
              <w:bottom w:val="nil"/>
              <w:right w:val="nil"/>
            </w:tcBorders>
          </w:tcPr>
          <w:p w14:paraId="3F0C18C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-0.019</w:t>
            </w:r>
          </w:p>
        </w:tc>
        <w:tc>
          <w:tcPr>
            <w:tcW w:w="1100" w:type="pct"/>
            <w:tcBorders>
              <w:top w:val="nil"/>
              <w:left w:val="nil"/>
              <w:bottom w:val="nil"/>
              <w:right w:val="nil"/>
            </w:tcBorders>
          </w:tcPr>
          <w:p w14:paraId="4E1F53B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-0.002</w:t>
            </w:r>
          </w:p>
        </w:tc>
      </w:tr>
      <w:tr w:rsidR="00F05B90" w:rsidRPr="00F05B90" w14:paraId="21290DBE" w14:textId="77777777" w:rsidTr="00320854">
        <w:tc>
          <w:tcPr>
            <w:tcW w:w="1702" w:type="pct"/>
            <w:tcBorders>
              <w:top w:val="nil"/>
              <w:left w:val="nil"/>
              <w:bottom w:val="nil"/>
              <w:right w:val="nil"/>
            </w:tcBorders>
          </w:tcPr>
          <w:p w14:paraId="6288AF83"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30C223DC"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(0.014)</w:t>
            </w:r>
          </w:p>
        </w:tc>
        <w:tc>
          <w:tcPr>
            <w:tcW w:w="1099" w:type="pct"/>
            <w:tcBorders>
              <w:top w:val="nil"/>
              <w:left w:val="nil"/>
              <w:bottom w:val="nil"/>
              <w:right w:val="nil"/>
            </w:tcBorders>
          </w:tcPr>
          <w:p w14:paraId="22E67EA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(0.014)</w:t>
            </w:r>
          </w:p>
        </w:tc>
        <w:tc>
          <w:tcPr>
            <w:tcW w:w="1100" w:type="pct"/>
            <w:tcBorders>
              <w:top w:val="nil"/>
              <w:left w:val="nil"/>
              <w:bottom w:val="nil"/>
              <w:right w:val="nil"/>
            </w:tcBorders>
          </w:tcPr>
          <w:p w14:paraId="7F9563F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r>
      <w:tr w:rsidR="00F05B90" w:rsidRPr="00F05B90" w14:paraId="6F8B1085" w14:textId="77777777" w:rsidTr="00320854">
        <w:tc>
          <w:tcPr>
            <w:tcW w:w="1702" w:type="pct"/>
            <w:tcBorders>
              <w:top w:val="nil"/>
              <w:left w:val="nil"/>
              <w:bottom w:val="nil"/>
              <w:right w:val="nil"/>
            </w:tcBorders>
          </w:tcPr>
          <w:p w14:paraId="3F00F42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LOSS</w:t>
            </w:r>
          </w:p>
        </w:tc>
        <w:tc>
          <w:tcPr>
            <w:tcW w:w="1099" w:type="pct"/>
            <w:tcBorders>
              <w:top w:val="nil"/>
              <w:left w:val="nil"/>
              <w:bottom w:val="nil"/>
              <w:right w:val="nil"/>
            </w:tcBorders>
          </w:tcPr>
          <w:p w14:paraId="22A497D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-0.088</w:t>
            </w:r>
          </w:p>
        </w:tc>
        <w:tc>
          <w:tcPr>
            <w:tcW w:w="1099" w:type="pct"/>
            <w:tcBorders>
              <w:top w:val="nil"/>
              <w:left w:val="nil"/>
              <w:bottom w:val="nil"/>
              <w:right w:val="nil"/>
            </w:tcBorders>
          </w:tcPr>
          <w:p w14:paraId="1F6150F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0.123</w:t>
            </w:r>
          </w:p>
        </w:tc>
        <w:tc>
          <w:tcPr>
            <w:tcW w:w="1100" w:type="pct"/>
            <w:tcBorders>
              <w:top w:val="nil"/>
              <w:left w:val="nil"/>
              <w:bottom w:val="nil"/>
              <w:right w:val="nil"/>
            </w:tcBorders>
          </w:tcPr>
          <w:p w14:paraId="736B1ED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0.322</w:t>
            </w:r>
            <w:r w:rsidRPr="00F05B90">
              <w:rPr>
                <w:b/>
                <w:bCs/>
                <w:sz w:val="20"/>
                <w:szCs w:val="20"/>
                <w:vertAlign w:val="superscript"/>
              </w:rPr>
              <w:t>***</w:t>
            </w:r>
          </w:p>
        </w:tc>
      </w:tr>
      <w:tr w:rsidR="00F05B90" w:rsidRPr="00F05B90" w14:paraId="74881900" w14:textId="77777777" w:rsidTr="00320854">
        <w:tc>
          <w:tcPr>
            <w:tcW w:w="1702" w:type="pct"/>
            <w:tcBorders>
              <w:top w:val="nil"/>
              <w:left w:val="nil"/>
              <w:bottom w:val="nil"/>
              <w:right w:val="nil"/>
            </w:tcBorders>
          </w:tcPr>
          <w:p w14:paraId="4505A63E"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04C76FF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(0.244)</w:t>
            </w:r>
          </w:p>
        </w:tc>
        <w:tc>
          <w:tcPr>
            <w:tcW w:w="1099" w:type="pct"/>
            <w:tcBorders>
              <w:top w:val="nil"/>
              <w:left w:val="nil"/>
              <w:bottom w:val="nil"/>
              <w:right w:val="nil"/>
            </w:tcBorders>
          </w:tcPr>
          <w:p w14:paraId="721F2F9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(0.180)</w:t>
            </w:r>
          </w:p>
        </w:tc>
        <w:tc>
          <w:tcPr>
            <w:tcW w:w="1100" w:type="pct"/>
            <w:tcBorders>
              <w:top w:val="nil"/>
              <w:left w:val="nil"/>
              <w:bottom w:val="nil"/>
              <w:right w:val="nil"/>
            </w:tcBorders>
          </w:tcPr>
          <w:p w14:paraId="3171C465"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(0.073)</w:t>
            </w:r>
          </w:p>
        </w:tc>
      </w:tr>
      <w:tr w:rsidR="00F05B90" w:rsidRPr="00F05B90" w14:paraId="7A1C7207" w14:textId="77777777" w:rsidTr="00320854">
        <w:tc>
          <w:tcPr>
            <w:tcW w:w="1702" w:type="pct"/>
            <w:tcBorders>
              <w:top w:val="nil"/>
              <w:left w:val="nil"/>
              <w:bottom w:val="nil"/>
              <w:right w:val="nil"/>
            </w:tcBorders>
          </w:tcPr>
          <w:p w14:paraId="24340BB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CurrentR</w:t>
            </w:r>
          </w:p>
        </w:tc>
        <w:tc>
          <w:tcPr>
            <w:tcW w:w="1099" w:type="pct"/>
            <w:tcBorders>
              <w:top w:val="nil"/>
              <w:left w:val="nil"/>
              <w:bottom w:val="nil"/>
              <w:right w:val="nil"/>
            </w:tcBorders>
          </w:tcPr>
          <w:p w14:paraId="7BB12DF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0.170</w:t>
            </w:r>
            <w:r w:rsidRPr="00F05B90">
              <w:rPr>
                <w:b/>
                <w:bCs/>
                <w:sz w:val="20"/>
                <w:szCs w:val="20"/>
                <w:vertAlign w:val="superscript"/>
              </w:rPr>
              <w:t>**</w:t>
            </w:r>
          </w:p>
        </w:tc>
        <w:tc>
          <w:tcPr>
            <w:tcW w:w="1099" w:type="pct"/>
            <w:tcBorders>
              <w:top w:val="nil"/>
              <w:left w:val="nil"/>
              <w:bottom w:val="nil"/>
              <w:right w:val="nil"/>
            </w:tcBorders>
          </w:tcPr>
          <w:p w14:paraId="573E0E9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-0.123</w:t>
            </w:r>
            <w:r w:rsidRPr="00F05B90">
              <w:rPr>
                <w:b/>
                <w:bCs/>
                <w:sz w:val="20"/>
                <w:szCs w:val="20"/>
                <w:vertAlign w:val="superscript"/>
              </w:rPr>
              <w:t>**</w:t>
            </w:r>
          </w:p>
        </w:tc>
        <w:tc>
          <w:tcPr>
            <w:tcW w:w="1100" w:type="pct"/>
            <w:tcBorders>
              <w:top w:val="nil"/>
              <w:left w:val="nil"/>
              <w:bottom w:val="nil"/>
              <w:right w:val="nil"/>
            </w:tcBorders>
          </w:tcPr>
          <w:p w14:paraId="02C27C05"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-0.033</w:t>
            </w:r>
          </w:p>
        </w:tc>
      </w:tr>
      <w:tr w:rsidR="00F05B90" w:rsidRPr="00F05B90" w14:paraId="4D088CFD" w14:textId="77777777" w:rsidTr="00320854">
        <w:tc>
          <w:tcPr>
            <w:tcW w:w="1702" w:type="pct"/>
            <w:tcBorders>
              <w:top w:val="nil"/>
              <w:left w:val="nil"/>
              <w:bottom w:val="nil"/>
              <w:right w:val="nil"/>
            </w:tcBorders>
          </w:tcPr>
          <w:p w14:paraId="304F68D0"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7174BE1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(0.082)</w:t>
            </w:r>
          </w:p>
        </w:tc>
        <w:tc>
          <w:tcPr>
            <w:tcW w:w="1099" w:type="pct"/>
            <w:tcBorders>
              <w:top w:val="nil"/>
              <w:left w:val="nil"/>
              <w:bottom w:val="nil"/>
              <w:right w:val="nil"/>
            </w:tcBorders>
          </w:tcPr>
          <w:p w14:paraId="26AE547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(0.059)</w:t>
            </w:r>
          </w:p>
        </w:tc>
        <w:tc>
          <w:tcPr>
            <w:tcW w:w="1100" w:type="pct"/>
            <w:tcBorders>
              <w:top w:val="nil"/>
              <w:left w:val="nil"/>
              <w:bottom w:val="nil"/>
              <w:right w:val="nil"/>
            </w:tcBorders>
          </w:tcPr>
          <w:p w14:paraId="08EB7C3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(0.030)</w:t>
            </w:r>
          </w:p>
        </w:tc>
      </w:tr>
      <w:tr w:rsidR="00F05B90" w:rsidRPr="00F05B90" w14:paraId="43C03BC1" w14:textId="77777777" w:rsidTr="00320854">
        <w:tc>
          <w:tcPr>
            <w:tcW w:w="1702" w:type="pct"/>
            <w:tcBorders>
              <w:top w:val="nil"/>
              <w:left w:val="nil"/>
              <w:bottom w:val="nil"/>
              <w:right w:val="nil"/>
            </w:tcBorders>
          </w:tcPr>
          <w:p w14:paraId="5C15A54B"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ROA</w:t>
            </w:r>
          </w:p>
        </w:tc>
        <w:tc>
          <w:tcPr>
            <w:tcW w:w="1099" w:type="pct"/>
            <w:tcBorders>
              <w:top w:val="nil"/>
              <w:left w:val="nil"/>
              <w:bottom w:val="nil"/>
              <w:right w:val="nil"/>
            </w:tcBorders>
          </w:tcPr>
          <w:p w14:paraId="457310DA"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-0.018</w:t>
            </w:r>
            <w:r w:rsidRPr="00F05B90">
              <w:rPr>
                <w:b/>
                <w:bCs/>
                <w:sz w:val="20"/>
                <w:szCs w:val="20"/>
                <w:vertAlign w:val="superscript"/>
              </w:rPr>
              <w:t>**</w:t>
            </w:r>
          </w:p>
        </w:tc>
        <w:tc>
          <w:tcPr>
            <w:tcW w:w="1099" w:type="pct"/>
            <w:tcBorders>
              <w:top w:val="nil"/>
              <w:left w:val="nil"/>
              <w:bottom w:val="nil"/>
              <w:right w:val="nil"/>
            </w:tcBorders>
          </w:tcPr>
          <w:p w14:paraId="6A5A568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-0.030</w:t>
            </w:r>
            <w:r w:rsidRPr="00F05B90">
              <w:rPr>
                <w:b/>
                <w:bCs/>
                <w:sz w:val="20"/>
                <w:szCs w:val="20"/>
                <w:vertAlign w:val="superscript"/>
              </w:rPr>
              <w:t>***</w:t>
            </w:r>
          </w:p>
        </w:tc>
        <w:tc>
          <w:tcPr>
            <w:tcW w:w="1100" w:type="pct"/>
            <w:tcBorders>
              <w:top w:val="nil"/>
              <w:left w:val="nil"/>
              <w:bottom w:val="nil"/>
              <w:right w:val="nil"/>
            </w:tcBorders>
          </w:tcPr>
          <w:p w14:paraId="26B6895B"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0.039</w:t>
            </w:r>
            <w:r w:rsidRPr="00F05B90">
              <w:rPr>
                <w:b/>
                <w:bCs/>
                <w:sz w:val="20"/>
                <w:szCs w:val="20"/>
                <w:vertAlign w:val="superscript"/>
              </w:rPr>
              <w:t>***</w:t>
            </w:r>
          </w:p>
        </w:tc>
      </w:tr>
      <w:tr w:rsidR="00F05B90" w:rsidRPr="00F05B90" w14:paraId="4650709B" w14:textId="77777777" w:rsidTr="00320854">
        <w:tc>
          <w:tcPr>
            <w:tcW w:w="1702" w:type="pct"/>
            <w:tcBorders>
              <w:top w:val="nil"/>
              <w:left w:val="nil"/>
              <w:bottom w:val="nil"/>
              <w:right w:val="nil"/>
            </w:tcBorders>
          </w:tcPr>
          <w:p w14:paraId="40C130D5"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4E7B2D6D"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(0.009)</w:t>
            </w:r>
          </w:p>
        </w:tc>
        <w:tc>
          <w:tcPr>
            <w:tcW w:w="1099" w:type="pct"/>
            <w:tcBorders>
              <w:top w:val="nil"/>
              <w:left w:val="nil"/>
              <w:bottom w:val="nil"/>
              <w:right w:val="nil"/>
            </w:tcBorders>
          </w:tcPr>
          <w:p w14:paraId="668A847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c>
          <w:tcPr>
            <w:tcW w:w="1100" w:type="pct"/>
            <w:tcBorders>
              <w:top w:val="nil"/>
              <w:left w:val="nil"/>
              <w:bottom w:val="nil"/>
              <w:right w:val="nil"/>
            </w:tcBorders>
          </w:tcPr>
          <w:p w14:paraId="6B08A93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(0.005)</w:t>
            </w:r>
          </w:p>
        </w:tc>
      </w:tr>
      <w:tr w:rsidR="00F05B90" w:rsidRPr="00F05B90" w14:paraId="212C018B" w14:textId="77777777" w:rsidTr="00320854">
        <w:tc>
          <w:tcPr>
            <w:tcW w:w="1702" w:type="pct"/>
            <w:tcBorders>
              <w:top w:val="nil"/>
              <w:left w:val="nil"/>
              <w:bottom w:val="nil"/>
              <w:right w:val="nil"/>
            </w:tcBorders>
          </w:tcPr>
          <w:p w14:paraId="16FCCB0B"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Employees</w:t>
            </w:r>
          </w:p>
        </w:tc>
        <w:tc>
          <w:tcPr>
            <w:tcW w:w="1099" w:type="pct"/>
            <w:tcBorders>
              <w:top w:val="nil"/>
              <w:left w:val="nil"/>
              <w:bottom w:val="nil"/>
              <w:right w:val="nil"/>
            </w:tcBorders>
          </w:tcPr>
          <w:p w14:paraId="7B062B9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-3.45</w:t>
            </w:r>
            <w:r w:rsidRPr="00F05B90">
              <w:rPr>
                <w:b/>
                <w:bCs/>
                <w:sz w:val="20"/>
                <w:szCs w:val="20"/>
                <w:vertAlign w:val="superscript"/>
              </w:rPr>
              <w:t>**</w:t>
            </w:r>
          </w:p>
        </w:tc>
        <w:tc>
          <w:tcPr>
            <w:tcW w:w="1099" w:type="pct"/>
            <w:tcBorders>
              <w:top w:val="nil"/>
              <w:left w:val="nil"/>
              <w:bottom w:val="nil"/>
              <w:right w:val="nil"/>
            </w:tcBorders>
          </w:tcPr>
          <w:p w14:paraId="36C2AAA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r w:rsidRPr="00F05B90">
              <w:rPr>
                <w:b/>
                <w:bCs/>
                <w:sz w:val="20"/>
                <w:szCs w:val="20"/>
                <w:vertAlign w:val="superscript"/>
              </w:rPr>
              <w:t>**</w:t>
            </w:r>
          </w:p>
        </w:tc>
        <w:tc>
          <w:tcPr>
            <w:tcW w:w="1100" w:type="pct"/>
            <w:tcBorders>
              <w:top w:val="nil"/>
              <w:left w:val="nil"/>
              <w:bottom w:val="nil"/>
              <w:right w:val="nil"/>
            </w:tcBorders>
          </w:tcPr>
          <w:p w14:paraId="65199312"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-0.000</w:t>
            </w:r>
          </w:p>
        </w:tc>
      </w:tr>
      <w:tr w:rsidR="00F05B90" w:rsidRPr="00F05B90" w14:paraId="5A34E71F" w14:textId="77777777" w:rsidTr="00320854">
        <w:tc>
          <w:tcPr>
            <w:tcW w:w="1702" w:type="pct"/>
            <w:tcBorders>
              <w:top w:val="nil"/>
              <w:left w:val="nil"/>
              <w:bottom w:val="nil"/>
              <w:right w:val="nil"/>
            </w:tcBorders>
          </w:tcPr>
          <w:p w14:paraId="3043E978"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38606E5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(1.70)</w:t>
            </w:r>
          </w:p>
        </w:tc>
        <w:tc>
          <w:tcPr>
            <w:tcW w:w="1099" w:type="pct"/>
            <w:tcBorders>
              <w:top w:val="nil"/>
              <w:left w:val="nil"/>
              <w:bottom w:val="nil"/>
              <w:right w:val="nil"/>
            </w:tcBorders>
          </w:tcPr>
          <w:p w14:paraId="6676FAD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(0.000)</w:t>
            </w:r>
          </w:p>
        </w:tc>
        <w:tc>
          <w:tcPr>
            <w:tcW w:w="1100" w:type="pct"/>
            <w:tcBorders>
              <w:top w:val="nil"/>
              <w:left w:val="nil"/>
              <w:bottom w:val="nil"/>
              <w:right w:val="nil"/>
            </w:tcBorders>
          </w:tcPr>
          <w:p w14:paraId="7D8108A0"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(0.000)</w:t>
            </w:r>
          </w:p>
        </w:tc>
      </w:tr>
      <w:tr w:rsidR="00F05B90" w:rsidRPr="00F05B90" w14:paraId="7FD0BE26" w14:textId="77777777" w:rsidTr="00320854">
        <w:tc>
          <w:tcPr>
            <w:tcW w:w="1702" w:type="pct"/>
            <w:tcBorders>
              <w:top w:val="nil"/>
              <w:left w:val="nil"/>
              <w:bottom w:val="nil"/>
              <w:right w:val="nil"/>
            </w:tcBorders>
          </w:tcPr>
          <w:p w14:paraId="3A9379FC"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CEOR</w:t>
            </w:r>
          </w:p>
        </w:tc>
        <w:tc>
          <w:tcPr>
            <w:tcW w:w="1099" w:type="pct"/>
            <w:tcBorders>
              <w:top w:val="nil"/>
              <w:left w:val="nil"/>
              <w:bottom w:val="nil"/>
              <w:right w:val="nil"/>
            </w:tcBorders>
          </w:tcPr>
          <w:p w14:paraId="46BB9DB3"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-0.005</w:t>
            </w:r>
          </w:p>
        </w:tc>
        <w:tc>
          <w:tcPr>
            <w:tcW w:w="1099" w:type="pct"/>
            <w:tcBorders>
              <w:top w:val="nil"/>
              <w:left w:val="nil"/>
              <w:bottom w:val="nil"/>
              <w:right w:val="nil"/>
            </w:tcBorders>
          </w:tcPr>
          <w:p w14:paraId="269DBE1C"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-0.012</w:t>
            </w:r>
          </w:p>
        </w:tc>
        <w:tc>
          <w:tcPr>
            <w:tcW w:w="1100" w:type="pct"/>
            <w:tcBorders>
              <w:top w:val="nil"/>
              <w:left w:val="nil"/>
              <w:bottom w:val="nil"/>
              <w:right w:val="nil"/>
            </w:tcBorders>
          </w:tcPr>
          <w:p w14:paraId="0C93091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-0.011</w:t>
            </w:r>
            <w:r w:rsidRPr="00F05B90">
              <w:rPr>
                <w:b/>
                <w:bCs/>
                <w:sz w:val="20"/>
                <w:szCs w:val="20"/>
                <w:vertAlign w:val="superscript"/>
              </w:rPr>
              <w:t>*</w:t>
            </w:r>
          </w:p>
        </w:tc>
      </w:tr>
      <w:tr w:rsidR="00F05B90" w:rsidRPr="00F05B90" w14:paraId="745A484D" w14:textId="77777777" w:rsidTr="00320854">
        <w:tc>
          <w:tcPr>
            <w:tcW w:w="1702" w:type="pct"/>
            <w:tcBorders>
              <w:top w:val="nil"/>
              <w:left w:val="nil"/>
              <w:bottom w:val="nil"/>
              <w:right w:val="nil"/>
            </w:tcBorders>
          </w:tcPr>
          <w:p w14:paraId="061BAF3F"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6F1EA5A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(0.017)</w:t>
            </w:r>
          </w:p>
        </w:tc>
        <w:tc>
          <w:tcPr>
            <w:tcW w:w="1099" w:type="pct"/>
            <w:tcBorders>
              <w:top w:val="nil"/>
              <w:left w:val="nil"/>
              <w:bottom w:val="nil"/>
              <w:right w:val="nil"/>
            </w:tcBorders>
          </w:tcPr>
          <w:p w14:paraId="05C6DAFB" w14:textId="77777777" w:rsidR="00817718" w:rsidRPr="00F05B90" w:rsidRDefault="00817718" w:rsidP="00320854">
            <w:pPr>
              <w:widowControl w:val="0"/>
              <w:autoSpaceDE w:val="0"/>
              <w:autoSpaceDN w:val="0"/>
              <w:adjustRightInd w:val="0"/>
              <w:jc w:val="center"/>
              <w:rPr>
                <w:b/>
                <w:bCs/>
                <w:sz w:val="20"/>
                <w:szCs w:val="20"/>
              </w:rPr>
            </w:pPr>
            <w:r w:rsidRPr="00F05B90">
              <w:rPr>
                <w:sz w:val="20"/>
                <w:szCs w:val="20"/>
              </w:rPr>
              <w:t>(0.012)</w:t>
            </w:r>
          </w:p>
        </w:tc>
        <w:tc>
          <w:tcPr>
            <w:tcW w:w="1100" w:type="pct"/>
            <w:tcBorders>
              <w:top w:val="nil"/>
              <w:left w:val="nil"/>
              <w:bottom w:val="nil"/>
              <w:right w:val="nil"/>
            </w:tcBorders>
          </w:tcPr>
          <w:p w14:paraId="38CB8FD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(0.006)</w:t>
            </w:r>
          </w:p>
        </w:tc>
      </w:tr>
      <w:tr w:rsidR="00F05B90" w:rsidRPr="00F05B90" w14:paraId="41398636" w14:textId="77777777" w:rsidTr="00320854">
        <w:tc>
          <w:tcPr>
            <w:tcW w:w="1702" w:type="pct"/>
            <w:tcBorders>
              <w:top w:val="nil"/>
              <w:left w:val="nil"/>
              <w:bottom w:val="nil"/>
              <w:right w:val="nil"/>
            </w:tcBorders>
          </w:tcPr>
          <w:p w14:paraId="4694B552"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CEOGender</w:t>
            </w:r>
          </w:p>
        </w:tc>
        <w:tc>
          <w:tcPr>
            <w:tcW w:w="1099" w:type="pct"/>
            <w:tcBorders>
              <w:top w:val="nil"/>
              <w:left w:val="nil"/>
              <w:bottom w:val="nil"/>
              <w:right w:val="nil"/>
            </w:tcBorders>
          </w:tcPr>
          <w:p w14:paraId="51FCF4A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-0. 450</w:t>
            </w:r>
          </w:p>
        </w:tc>
        <w:tc>
          <w:tcPr>
            <w:tcW w:w="1099" w:type="pct"/>
            <w:tcBorders>
              <w:top w:val="nil"/>
              <w:left w:val="nil"/>
              <w:bottom w:val="nil"/>
              <w:right w:val="nil"/>
            </w:tcBorders>
          </w:tcPr>
          <w:p w14:paraId="7042EA7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-0.131</w:t>
            </w:r>
          </w:p>
        </w:tc>
        <w:tc>
          <w:tcPr>
            <w:tcW w:w="1100" w:type="pct"/>
            <w:tcBorders>
              <w:top w:val="nil"/>
              <w:left w:val="nil"/>
              <w:bottom w:val="nil"/>
              <w:right w:val="nil"/>
            </w:tcBorders>
          </w:tcPr>
          <w:p w14:paraId="522A70E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-0.159</w:t>
            </w:r>
            <w:r w:rsidRPr="00F05B90">
              <w:rPr>
                <w:b/>
                <w:bCs/>
                <w:sz w:val="20"/>
                <w:szCs w:val="20"/>
                <w:vertAlign w:val="superscript"/>
              </w:rPr>
              <w:t>**</w:t>
            </w:r>
          </w:p>
        </w:tc>
      </w:tr>
      <w:tr w:rsidR="00F05B90" w:rsidRPr="00F05B90" w14:paraId="0005C153" w14:textId="77777777" w:rsidTr="00320854">
        <w:tc>
          <w:tcPr>
            <w:tcW w:w="1702" w:type="pct"/>
            <w:tcBorders>
              <w:top w:val="nil"/>
              <w:left w:val="nil"/>
              <w:bottom w:val="nil"/>
              <w:right w:val="nil"/>
            </w:tcBorders>
          </w:tcPr>
          <w:p w14:paraId="56DEA5F9"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369231E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(0.295)</w:t>
            </w:r>
          </w:p>
        </w:tc>
        <w:tc>
          <w:tcPr>
            <w:tcW w:w="1099" w:type="pct"/>
            <w:tcBorders>
              <w:top w:val="nil"/>
              <w:left w:val="nil"/>
              <w:bottom w:val="nil"/>
              <w:right w:val="nil"/>
            </w:tcBorders>
          </w:tcPr>
          <w:p w14:paraId="21921D3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(0.164)</w:t>
            </w:r>
          </w:p>
        </w:tc>
        <w:tc>
          <w:tcPr>
            <w:tcW w:w="1100" w:type="pct"/>
            <w:tcBorders>
              <w:top w:val="nil"/>
              <w:left w:val="nil"/>
              <w:bottom w:val="nil"/>
              <w:right w:val="nil"/>
            </w:tcBorders>
          </w:tcPr>
          <w:p w14:paraId="7D780286"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(0.065)</w:t>
            </w:r>
          </w:p>
        </w:tc>
      </w:tr>
      <w:tr w:rsidR="00F05B90" w:rsidRPr="00F05B90" w14:paraId="2266A471" w14:textId="77777777" w:rsidTr="00320854">
        <w:tc>
          <w:tcPr>
            <w:tcW w:w="1702" w:type="pct"/>
            <w:tcBorders>
              <w:top w:val="nil"/>
              <w:left w:val="nil"/>
              <w:bottom w:val="nil"/>
              <w:right w:val="nil"/>
            </w:tcBorders>
          </w:tcPr>
          <w:p w14:paraId="77D63D54"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Retire</w:t>
            </w:r>
          </w:p>
        </w:tc>
        <w:tc>
          <w:tcPr>
            <w:tcW w:w="1099" w:type="pct"/>
            <w:tcBorders>
              <w:top w:val="nil"/>
              <w:left w:val="nil"/>
              <w:bottom w:val="nil"/>
              <w:right w:val="nil"/>
            </w:tcBorders>
          </w:tcPr>
          <w:p w14:paraId="70FBB7D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0.843</w:t>
            </w:r>
            <w:r w:rsidRPr="00F05B90">
              <w:rPr>
                <w:b/>
                <w:bCs/>
                <w:sz w:val="20"/>
                <w:szCs w:val="20"/>
                <w:vertAlign w:val="superscript"/>
              </w:rPr>
              <w:t>***</w:t>
            </w:r>
          </w:p>
        </w:tc>
        <w:tc>
          <w:tcPr>
            <w:tcW w:w="1099" w:type="pct"/>
            <w:tcBorders>
              <w:top w:val="nil"/>
              <w:left w:val="nil"/>
              <w:bottom w:val="nil"/>
              <w:right w:val="nil"/>
            </w:tcBorders>
          </w:tcPr>
          <w:p w14:paraId="03C9030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0.243</w:t>
            </w:r>
          </w:p>
        </w:tc>
        <w:tc>
          <w:tcPr>
            <w:tcW w:w="1100" w:type="pct"/>
            <w:tcBorders>
              <w:top w:val="nil"/>
              <w:left w:val="nil"/>
              <w:bottom w:val="nil"/>
              <w:right w:val="nil"/>
            </w:tcBorders>
          </w:tcPr>
          <w:p w14:paraId="518625D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-0.077</w:t>
            </w:r>
            <w:r w:rsidRPr="00F05B90">
              <w:rPr>
                <w:b/>
                <w:bCs/>
                <w:sz w:val="20"/>
                <w:szCs w:val="20"/>
                <w:vertAlign w:val="superscript"/>
              </w:rPr>
              <w:t>*</w:t>
            </w:r>
          </w:p>
        </w:tc>
      </w:tr>
      <w:tr w:rsidR="00F05B90" w:rsidRPr="00F05B90" w14:paraId="5B77C5B9" w14:textId="77777777" w:rsidTr="00320854">
        <w:tc>
          <w:tcPr>
            <w:tcW w:w="1702" w:type="pct"/>
            <w:tcBorders>
              <w:top w:val="nil"/>
              <w:left w:val="nil"/>
              <w:bottom w:val="nil"/>
              <w:right w:val="nil"/>
            </w:tcBorders>
          </w:tcPr>
          <w:p w14:paraId="56BF35C7"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007EEC03"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(0.256)</w:t>
            </w:r>
          </w:p>
        </w:tc>
        <w:tc>
          <w:tcPr>
            <w:tcW w:w="1099" w:type="pct"/>
            <w:tcBorders>
              <w:top w:val="nil"/>
              <w:left w:val="nil"/>
              <w:bottom w:val="nil"/>
              <w:right w:val="nil"/>
            </w:tcBorders>
          </w:tcPr>
          <w:p w14:paraId="2030E4F7"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(0.177)</w:t>
            </w:r>
          </w:p>
        </w:tc>
        <w:tc>
          <w:tcPr>
            <w:tcW w:w="1100" w:type="pct"/>
            <w:tcBorders>
              <w:top w:val="nil"/>
              <w:left w:val="nil"/>
              <w:bottom w:val="nil"/>
              <w:right w:val="nil"/>
            </w:tcBorders>
          </w:tcPr>
          <w:p w14:paraId="0ECCA23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(0.040)</w:t>
            </w:r>
          </w:p>
        </w:tc>
      </w:tr>
      <w:tr w:rsidR="00F05B90" w:rsidRPr="00F05B90" w14:paraId="1EFE15E1" w14:textId="77777777" w:rsidTr="00320854">
        <w:tc>
          <w:tcPr>
            <w:tcW w:w="1702" w:type="pct"/>
            <w:tcBorders>
              <w:top w:val="nil"/>
              <w:left w:val="nil"/>
              <w:bottom w:val="nil"/>
              <w:right w:val="nil"/>
            </w:tcBorders>
          </w:tcPr>
          <w:p w14:paraId="1CE93312"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Insider</w:t>
            </w:r>
          </w:p>
        </w:tc>
        <w:tc>
          <w:tcPr>
            <w:tcW w:w="1099" w:type="pct"/>
            <w:tcBorders>
              <w:top w:val="nil"/>
              <w:left w:val="nil"/>
              <w:bottom w:val="nil"/>
              <w:right w:val="nil"/>
            </w:tcBorders>
          </w:tcPr>
          <w:p w14:paraId="3959081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0.013</w:t>
            </w:r>
          </w:p>
        </w:tc>
        <w:tc>
          <w:tcPr>
            <w:tcW w:w="1099" w:type="pct"/>
            <w:tcBorders>
              <w:top w:val="nil"/>
              <w:left w:val="nil"/>
              <w:bottom w:val="nil"/>
              <w:right w:val="nil"/>
            </w:tcBorders>
          </w:tcPr>
          <w:p w14:paraId="2797357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0.175</w:t>
            </w:r>
            <w:r w:rsidRPr="00F05B90">
              <w:rPr>
                <w:b/>
                <w:bCs/>
                <w:sz w:val="20"/>
                <w:szCs w:val="20"/>
                <w:vertAlign w:val="superscript"/>
              </w:rPr>
              <w:t>*</w:t>
            </w:r>
          </w:p>
        </w:tc>
        <w:tc>
          <w:tcPr>
            <w:tcW w:w="1100" w:type="pct"/>
            <w:tcBorders>
              <w:top w:val="nil"/>
              <w:left w:val="nil"/>
              <w:bottom w:val="nil"/>
              <w:right w:val="nil"/>
            </w:tcBorders>
          </w:tcPr>
          <w:p w14:paraId="6EE9EB8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0.020</w:t>
            </w:r>
          </w:p>
        </w:tc>
      </w:tr>
      <w:tr w:rsidR="00F05B90" w:rsidRPr="00F05B90" w14:paraId="4AFAF832" w14:textId="77777777" w:rsidTr="00320854">
        <w:tc>
          <w:tcPr>
            <w:tcW w:w="1702" w:type="pct"/>
            <w:tcBorders>
              <w:top w:val="nil"/>
              <w:left w:val="nil"/>
              <w:bottom w:val="nil"/>
              <w:right w:val="nil"/>
            </w:tcBorders>
          </w:tcPr>
          <w:p w14:paraId="149A1F40"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77AD8AC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(0.143)</w:t>
            </w:r>
          </w:p>
        </w:tc>
        <w:tc>
          <w:tcPr>
            <w:tcW w:w="1099" w:type="pct"/>
            <w:tcBorders>
              <w:top w:val="nil"/>
              <w:left w:val="nil"/>
              <w:bottom w:val="nil"/>
              <w:right w:val="nil"/>
            </w:tcBorders>
          </w:tcPr>
          <w:p w14:paraId="57B2CF4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(0.096)</w:t>
            </w:r>
          </w:p>
        </w:tc>
        <w:tc>
          <w:tcPr>
            <w:tcW w:w="1100" w:type="pct"/>
            <w:tcBorders>
              <w:top w:val="nil"/>
              <w:left w:val="nil"/>
              <w:bottom w:val="nil"/>
              <w:right w:val="nil"/>
            </w:tcBorders>
          </w:tcPr>
          <w:p w14:paraId="01C7044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(0.039)</w:t>
            </w:r>
          </w:p>
        </w:tc>
      </w:tr>
      <w:tr w:rsidR="00F05B90" w:rsidRPr="00F05B90" w14:paraId="26E1C2B2" w14:textId="77777777" w:rsidTr="00320854">
        <w:tc>
          <w:tcPr>
            <w:tcW w:w="1702" w:type="pct"/>
            <w:tcBorders>
              <w:top w:val="nil"/>
              <w:left w:val="nil"/>
              <w:bottom w:val="nil"/>
              <w:right w:val="nil"/>
            </w:tcBorders>
          </w:tcPr>
          <w:p w14:paraId="1910740E"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SUM_CEO_COMP-IND</w:t>
            </w:r>
          </w:p>
        </w:tc>
        <w:tc>
          <w:tcPr>
            <w:tcW w:w="1099" w:type="pct"/>
            <w:tcBorders>
              <w:top w:val="nil"/>
              <w:left w:val="nil"/>
              <w:bottom w:val="nil"/>
              <w:right w:val="nil"/>
            </w:tcBorders>
          </w:tcPr>
          <w:p w14:paraId="2740F80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0.528</w:t>
            </w:r>
            <w:r w:rsidRPr="00F05B90">
              <w:rPr>
                <w:b/>
                <w:bCs/>
                <w:sz w:val="20"/>
                <w:szCs w:val="20"/>
                <w:vertAlign w:val="superscript"/>
              </w:rPr>
              <w:t>***</w:t>
            </w:r>
          </w:p>
        </w:tc>
        <w:tc>
          <w:tcPr>
            <w:tcW w:w="1099" w:type="pct"/>
            <w:tcBorders>
              <w:top w:val="nil"/>
              <w:left w:val="nil"/>
              <w:bottom w:val="nil"/>
              <w:right w:val="nil"/>
            </w:tcBorders>
          </w:tcPr>
          <w:p w14:paraId="0279090E" w14:textId="77777777" w:rsidR="00817718" w:rsidRPr="00F05B90" w:rsidRDefault="00817718" w:rsidP="00320854">
            <w:pPr>
              <w:widowControl w:val="0"/>
              <w:autoSpaceDE w:val="0"/>
              <w:autoSpaceDN w:val="0"/>
              <w:adjustRightInd w:val="0"/>
              <w:rPr>
                <w:sz w:val="20"/>
                <w:szCs w:val="20"/>
              </w:rPr>
            </w:pPr>
          </w:p>
        </w:tc>
        <w:tc>
          <w:tcPr>
            <w:tcW w:w="1100" w:type="pct"/>
            <w:tcBorders>
              <w:top w:val="nil"/>
              <w:left w:val="nil"/>
              <w:bottom w:val="nil"/>
              <w:right w:val="nil"/>
            </w:tcBorders>
          </w:tcPr>
          <w:p w14:paraId="785D1B00" w14:textId="77777777" w:rsidR="00817718" w:rsidRPr="00F05B90" w:rsidRDefault="00817718" w:rsidP="00320854">
            <w:pPr>
              <w:widowControl w:val="0"/>
              <w:autoSpaceDE w:val="0"/>
              <w:autoSpaceDN w:val="0"/>
              <w:adjustRightInd w:val="0"/>
              <w:rPr>
                <w:sz w:val="20"/>
                <w:szCs w:val="20"/>
              </w:rPr>
            </w:pPr>
          </w:p>
        </w:tc>
      </w:tr>
      <w:tr w:rsidR="00F05B90" w:rsidRPr="00F05B90" w14:paraId="78B8706B" w14:textId="77777777" w:rsidTr="00320854">
        <w:tc>
          <w:tcPr>
            <w:tcW w:w="1702" w:type="pct"/>
            <w:tcBorders>
              <w:top w:val="nil"/>
              <w:left w:val="nil"/>
              <w:bottom w:val="nil"/>
              <w:right w:val="nil"/>
            </w:tcBorders>
          </w:tcPr>
          <w:p w14:paraId="3DF6DC3D"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426BE521"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(0.173)</w:t>
            </w:r>
          </w:p>
        </w:tc>
        <w:tc>
          <w:tcPr>
            <w:tcW w:w="1099" w:type="pct"/>
            <w:tcBorders>
              <w:top w:val="nil"/>
              <w:left w:val="nil"/>
              <w:bottom w:val="nil"/>
              <w:right w:val="nil"/>
            </w:tcBorders>
          </w:tcPr>
          <w:p w14:paraId="4041FC14" w14:textId="77777777" w:rsidR="00817718" w:rsidRPr="00F05B90" w:rsidRDefault="00817718" w:rsidP="00320854">
            <w:pPr>
              <w:widowControl w:val="0"/>
              <w:autoSpaceDE w:val="0"/>
              <w:autoSpaceDN w:val="0"/>
              <w:adjustRightInd w:val="0"/>
              <w:jc w:val="center"/>
              <w:rPr>
                <w:sz w:val="20"/>
                <w:szCs w:val="20"/>
              </w:rPr>
            </w:pPr>
          </w:p>
        </w:tc>
        <w:tc>
          <w:tcPr>
            <w:tcW w:w="1100" w:type="pct"/>
            <w:tcBorders>
              <w:top w:val="nil"/>
              <w:left w:val="nil"/>
              <w:bottom w:val="nil"/>
              <w:right w:val="nil"/>
            </w:tcBorders>
          </w:tcPr>
          <w:p w14:paraId="3E7063FB"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725B35F8" w14:textId="77777777" w:rsidTr="00320854">
        <w:tc>
          <w:tcPr>
            <w:tcW w:w="1702" w:type="pct"/>
            <w:tcBorders>
              <w:top w:val="nil"/>
              <w:left w:val="nil"/>
              <w:bottom w:val="nil"/>
              <w:right w:val="nil"/>
            </w:tcBorders>
          </w:tcPr>
          <w:p w14:paraId="56BDA9B6"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NO_HIGHER_PAID_IND_CEOS</w:t>
            </w:r>
          </w:p>
        </w:tc>
        <w:tc>
          <w:tcPr>
            <w:tcW w:w="1099" w:type="pct"/>
            <w:tcBorders>
              <w:top w:val="nil"/>
              <w:left w:val="nil"/>
              <w:bottom w:val="nil"/>
              <w:right w:val="nil"/>
            </w:tcBorders>
          </w:tcPr>
          <w:p w14:paraId="45249A3C"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2.579</w:t>
            </w:r>
            <w:r w:rsidRPr="00F05B90">
              <w:rPr>
                <w:b/>
                <w:bCs/>
                <w:sz w:val="20"/>
                <w:szCs w:val="20"/>
                <w:vertAlign w:val="superscript"/>
              </w:rPr>
              <w:t>***</w:t>
            </w:r>
          </w:p>
        </w:tc>
        <w:tc>
          <w:tcPr>
            <w:tcW w:w="1099" w:type="pct"/>
            <w:tcBorders>
              <w:top w:val="nil"/>
              <w:left w:val="nil"/>
              <w:bottom w:val="nil"/>
              <w:right w:val="nil"/>
            </w:tcBorders>
          </w:tcPr>
          <w:p w14:paraId="283DD7F3" w14:textId="77777777" w:rsidR="00817718" w:rsidRPr="00F05B90" w:rsidRDefault="00817718" w:rsidP="00320854">
            <w:pPr>
              <w:widowControl w:val="0"/>
              <w:autoSpaceDE w:val="0"/>
              <w:autoSpaceDN w:val="0"/>
              <w:adjustRightInd w:val="0"/>
              <w:jc w:val="center"/>
              <w:rPr>
                <w:sz w:val="20"/>
                <w:szCs w:val="20"/>
              </w:rPr>
            </w:pPr>
          </w:p>
        </w:tc>
        <w:tc>
          <w:tcPr>
            <w:tcW w:w="1100" w:type="pct"/>
            <w:tcBorders>
              <w:top w:val="nil"/>
              <w:left w:val="nil"/>
              <w:bottom w:val="nil"/>
              <w:right w:val="nil"/>
            </w:tcBorders>
          </w:tcPr>
          <w:p w14:paraId="67924B2F"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28B9595E" w14:textId="77777777" w:rsidTr="00320854">
        <w:tc>
          <w:tcPr>
            <w:tcW w:w="1702" w:type="pct"/>
            <w:tcBorders>
              <w:top w:val="nil"/>
              <w:left w:val="nil"/>
              <w:bottom w:val="nil"/>
              <w:right w:val="nil"/>
            </w:tcBorders>
          </w:tcPr>
          <w:p w14:paraId="30325A83"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nil"/>
              <w:right w:val="nil"/>
            </w:tcBorders>
          </w:tcPr>
          <w:p w14:paraId="16C73154"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(0.137)</w:t>
            </w:r>
          </w:p>
        </w:tc>
        <w:tc>
          <w:tcPr>
            <w:tcW w:w="1099" w:type="pct"/>
            <w:tcBorders>
              <w:top w:val="nil"/>
              <w:left w:val="nil"/>
              <w:bottom w:val="nil"/>
              <w:right w:val="nil"/>
            </w:tcBorders>
          </w:tcPr>
          <w:p w14:paraId="72BC1FE8" w14:textId="77777777" w:rsidR="00817718" w:rsidRPr="00F05B90" w:rsidRDefault="00817718" w:rsidP="00320854">
            <w:pPr>
              <w:widowControl w:val="0"/>
              <w:autoSpaceDE w:val="0"/>
              <w:autoSpaceDN w:val="0"/>
              <w:adjustRightInd w:val="0"/>
              <w:jc w:val="center"/>
              <w:rPr>
                <w:sz w:val="20"/>
                <w:szCs w:val="20"/>
              </w:rPr>
            </w:pPr>
          </w:p>
        </w:tc>
        <w:tc>
          <w:tcPr>
            <w:tcW w:w="1100" w:type="pct"/>
            <w:tcBorders>
              <w:top w:val="nil"/>
              <w:left w:val="nil"/>
              <w:bottom w:val="nil"/>
              <w:right w:val="nil"/>
            </w:tcBorders>
          </w:tcPr>
          <w:p w14:paraId="3620F08E"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28261713" w14:textId="77777777" w:rsidTr="00320854">
        <w:tc>
          <w:tcPr>
            <w:tcW w:w="1702" w:type="pct"/>
            <w:tcBorders>
              <w:top w:val="nil"/>
              <w:left w:val="nil"/>
              <w:bottom w:val="nil"/>
              <w:right w:val="nil"/>
            </w:tcBorders>
          </w:tcPr>
          <w:p w14:paraId="69A6468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_cons</w:t>
            </w:r>
          </w:p>
        </w:tc>
        <w:tc>
          <w:tcPr>
            <w:tcW w:w="1099" w:type="pct"/>
            <w:tcBorders>
              <w:top w:val="nil"/>
              <w:left w:val="nil"/>
              <w:bottom w:val="nil"/>
              <w:right w:val="nil"/>
            </w:tcBorders>
          </w:tcPr>
          <w:p w14:paraId="2AEDCCDE"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4.804</w:t>
            </w:r>
            <w:r w:rsidRPr="00F05B90">
              <w:rPr>
                <w:b/>
                <w:bCs/>
                <w:sz w:val="20"/>
                <w:szCs w:val="20"/>
                <w:vertAlign w:val="superscript"/>
              </w:rPr>
              <w:t>***</w:t>
            </w:r>
          </w:p>
        </w:tc>
        <w:tc>
          <w:tcPr>
            <w:tcW w:w="1099" w:type="pct"/>
            <w:tcBorders>
              <w:top w:val="nil"/>
              <w:left w:val="nil"/>
              <w:bottom w:val="nil"/>
              <w:right w:val="nil"/>
            </w:tcBorders>
          </w:tcPr>
          <w:p w14:paraId="7FD93038"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4.009</w:t>
            </w:r>
            <w:r w:rsidRPr="00F05B90">
              <w:rPr>
                <w:b/>
                <w:bCs/>
                <w:sz w:val="20"/>
                <w:szCs w:val="20"/>
                <w:vertAlign w:val="superscript"/>
              </w:rPr>
              <w:t>***</w:t>
            </w:r>
          </w:p>
        </w:tc>
        <w:tc>
          <w:tcPr>
            <w:tcW w:w="1100" w:type="pct"/>
            <w:tcBorders>
              <w:top w:val="nil"/>
              <w:left w:val="nil"/>
              <w:bottom w:val="nil"/>
              <w:right w:val="nil"/>
            </w:tcBorders>
          </w:tcPr>
          <w:p w14:paraId="4A1BD0C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0.825</w:t>
            </w:r>
          </w:p>
        </w:tc>
      </w:tr>
      <w:tr w:rsidR="00F05B90" w:rsidRPr="00F05B90" w14:paraId="4051451B" w14:textId="77777777" w:rsidTr="00320854">
        <w:tc>
          <w:tcPr>
            <w:tcW w:w="1702" w:type="pct"/>
            <w:tcBorders>
              <w:top w:val="nil"/>
              <w:left w:val="nil"/>
              <w:bottom w:val="single" w:sz="4" w:space="0" w:color="auto"/>
              <w:right w:val="nil"/>
            </w:tcBorders>
          </w:tcPr>
          <w:p w14:paraId="584FFC22" w14:textId="77777777" w:rsidR="00817718" w:rsidRPr="00F05B90" w:rsidRDefault="00817718" w:rsidP="00320854">
            <w:pPr>
              <w:widowControl w:val="0"/>
              <w:autoSpaceDE w:val="0"/>
              <w:autoSpaceDN w:val="0"/>
              <w:adjustRightInd w:val="0"/>
              <w:rPr>
                <w:i/>
                <w:iCs/>
                <w:sz w:val="20"/>
                <w:szCs w:val="20"/>
              </w:rPr>
            </w:pPr>
          </w:p>
        </w:tc>
        <w:tc>
          <w:tcPr>
            <w:tcW w:w="1099" w:type="pct"/>
            <w:tcBorders>
              <w:top w:val="nil"/>
              <w:left w:val="nil"/>
              <w:bottom w:val="single" w:sz="4" w:space="0" w:color="auto"/>
              <w:right w:val="nil"/>
            </w:tcBorders>
          </w:tcPr>
          <w:p w14:paraId="0F888217"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(0.892)</w:t>
            </w:r>
          </w:p>
        </w:tc>
        <w:tc>
          <w:tcPr>
            <w:tcW w:w="1099" w:type="pct"/>
            <w:tcBorders>
              <w:top w:val="nil"/>
              <w:left w:val="nil"/>
              <w:bottom w:val="single" w:sz="4" w:space="0" w:color="auto"/>
              <w:right w:val="nil"/>
            </w:tcBorders>
          </w:tcPr>
          <w:p w14:paraId="02F368C0"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(0.771)</w:t>
            </w:r>
          </w:p>
        </w:tc>
        <w:tc>
          <w:tcPr>
            <w:tcW w:w="1100" w:type="pct"/>
            <w:tcBorders>
              <w:top w:val="nil"/>
              <w:left w:val="nil"/>
              <w:bottom w:val="single" w:sz="4" w:space="0" w:color="auto"/>
              <w:right w:val="nil"/>
            </w:tcBorders>
          </w:tcPr>
          <w:p w14:paraId="4F0650A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(0.701)</w:t>
            </w:r>
          </w:p>
        </w:tc>
      </w:tr>
      <w:tr w:rsidR="00F05B90" w:rsidRPr="00F05B90" w14:paraId="11256D16" w14:textId="77777777" w:rsidTr="00320854">
        <w:tc>
          <w:tcPr>
            <w:tcW w:w="1702" w:type="pct"/>
            <w:tcBorders>
              <w:top w:val="single" w:sz="4" w:space="0" w:color="auto"/>
              <w:left w:val="nil"/>
              <w:bottom w:val="nil"/>
              <w:right w:val="nil"/>
            </w:tcBorders>
          </w:tcPr>
          <w:p w14:paraId="08D4E1E5"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R</w:t>
            </w:r>
            <w:r w:rsidRPr="00F05B90">
              <w:rPr>
                <w:i/>
                <w:iCs/>
                <w:sz w:val="20"/>
                <w:szCs w:val="20"/>
                <w:vertAlign w:val="superscript"/>
              </w:rPr>
              <w:t>2</w:t>
            </w:r>
          </w:p>
        </w:tc>
        <w:tc>
          <w:tcPr>
            <w:tcW w:w="1099" w:type="pct"/>
            <w:tcBorders>
              <w:top w:val="single" w:sz="4" w:space="0" w:color="auto"/>
              <w:left w:val="nil"/>
              <w:bottom w:val="nil"/>
              <w:right w:val="nil"/>
            </w:tcBorders>
          </w:tcPr>
          <w:p w14:paraId="69EAD3CC"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single" w:sz="4" w:space="0" w:color="auto"/>
              <w:left w:val="nil"/>
              <w:bottom w:val="nil"/>
              <w:right w:val="nil"/>
            </w:tcBorders>
          </w:tcPr>
          <w:p w14:paraId="70CC2F7E"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0.159</w:t>
            </w:r>
          </w:p>
        </w:tc>
        <w:tc>
          <w:tcPr>
            <w:tcW w:w="1100" w:type="pct"/>
            <w:tcBorders>
              <w:top w:val="single" w:sz="4" w:space="0" w:color="auto"/>
              <w:left w:val="nil"/>
              <w:bottom w:val="nil"/>
              <w:right w:val="nil"/>
            </w:tcBorders>
          </w:tcPr>
          <w:p w14:paraId="6446F4AD"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0.263</w:t>
            </w:r>
          </w:p>
        </w:tc>
      </w:tr>
      <w:tr w:rsidR="00F05B90" w:rsidRPr="00F05B90" w14:paraId="77C15705" w14:textId="77777777" w:rsidTr="00320854">
        <w:tc>
          <w:tcPr>
            <w:tcW w:w="1702" w:type="pct"/>
            <w:tcBorders>
              <w:top w:val="nil"/>
              <w:left w:val="nil"/>
              <w:bottom w:val="nil"/>
              <w:right w:val="nil"/>
            </w:tcBorders>
          </w:tcPr>
          <w:p w14:paraId="63D6AF7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F</w:t>
            </w:r>
          </w:p>
        </w:tc>
        <w:tc>
          <w:tcPr>
            <w:tcW w:w="1099" w:type="pct"/>
            <w:tcBorders>
              <w:top w:val="nil"/>
              <w:left w:val="nil"/>
              <w:bottom w:val="nil"/>
              <w:right w:val="nil"/>
            </w:tcBorders>
          </w:tcPr>
          <w:p w14:paraId="3E167D90"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nil"/>
              <w:left w:val="nil"/>
              <w:bottom w:val="nil"/>
              <w:right w:val="nil"/>
            </w:tcBorders>
          </w:tcPr>
          <w:p w14:paraId="7FDBD78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8.324</w:t>
            </w:r>
          </w:p>
        </w:tc>
        <w:tc>
          <w:tcPr>
            <w:tcW w:w="1100" w:type="pct"/>
            <w:tcBorders>
              <w:top w:val="nil"/>
              <w:left w:val="nil"/>
              <w:bottom w:val="nil"/>
              <w:right w:val="nil"/>
            </w:tcBorders>
          </w:tcPr>
          <w:p w14:paraId="2FE82432"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8.061</w:t>
            </w:r>
          </w:p>
        </w:tc>
      </w:tr>
      <w:tr w:rsidR="00F05B90" w:rsidRPr="00F05B90" w14:paraId="472B2088" w14:textId="77777777" w:rsidTr="00320854">
        <w:tc>
          <w:tcPr>
            <w:tcW w:w="1702" w:type="pct"/>
            <w:tcBorders>
              <w:top w:val="nil"/>
              <w:left w:val="nil"/>
              <w:bottom w:val="nil"/>
              <w:right w:val="nil"/>
            </w:tcBorders>
          </w:tcPr>
          <w:p w14:paraId="4F34583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N</w:t>
            </w:r>
          </w:p>
        </w:tc>
        <w:tc>
          <w:tcPr>
            <w:tcW w:w="1099" w:type="pct"/>
            <w:tcBorders>
              <w:top w:val="nil"/>
              <w:left w:val="nil"/>
              <w:bottom w:val="nil"/>
              <w:right w:val="nil"/>
            </w:tcBorders>
          </w:tcPr>
          <w:p w14:paraId="262A456D"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nil"/>
              <w:left w:val="nil"/>
              <w:bottom w:val="nil"/>
              <w:right w:val="nil"/>
            </w:tcBorders>
          </w:tcPr>
          <w:p w14:paraId="3EB62696"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980</w:t>
            </w:r>
          </w:p>
        </w:tc>
        <w:tc>
          <w:tcPr>
            <w:tcW w:w="1100" w:type="pct"/>
            <w:tcBorders>
              <w:top w:val="nil"/>
              <w:left w:val="nil"/>
              <w:bottom w:val="nil"/>
              <w:right w:val="nil"/>
            </w:tcBorders>
          </w:tcPr>
          <w:p w14:paraId="6CF326F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980</w:t>
            </w:r>
          </w:p>
        </w:tc>
      </w:tr>
      <w:tr w:rsidR="00F05B90" w:rsidRPr="00F05B90" w14:paraId="3CA8DC12" w14:textId="77777777" w:rsidTr="00320854">
        <w:tc>
          <w:tcPr>
            <w:tcW w:w="1702" w:type="pct"/>
            <w:tcBorders>
              <w:top w:val="nil"/>
              <w:left w:val="nil"/>
              <w:bottom w:val="nil"/>
              <w:right w:val="nil"/>
            </w:tcBorders>
          </w:tcPr>
          <w:p w14:paraId="5C8BE7D5"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Year FE</w:t>
            </w:r>
          </w:p>
        </w:tc>
        <w:tc>
          <w:tcPr>
            <w:tcW w:w="1099" w:type="pct"/>
            <w:tcBorders>
              <w:top w:val="nil"/>
              <w:left w:val="nil"/>
              <w:bottom w:val="nil"/>
              <w:right w:val="nil"/>
            </w:tcBorders>
          </w:tcPr>
          <w:p w14:paraId="7E49BBD4"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1099" w:type="pct"/>
            <w:tcBorders>
              <w:top w:val="nil"/>
              <w:left w:val="nil"/>
              <w:bottom w:val="nil"/>
              <w:right w:val="nil"/>
            </w:tcBorders>
          </w:tcPr>
          <w:p w14:paraId="6DB7B1F8"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1100" w:type="pct"/>
            <w:tcBorders>
              <w:top w:val="nil"/>
              <w:left w:val="nil"/>
              <w:bottom w:val="nil"/>
              <w:right w:val="nil"/>
            </w:tcBorders>
          </w:tcPr>
          <w:p w14:paraId="3B335DF9"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1643FD5F" w14:textId="77777777" w:rsidTr="00320854">
        <w:tc>
          <w:tcPr>
            <w:tcW w:w="1702" w:type="pct"/>
            <w:tcBorders>
              <w:top w:val="nil"/>
              <w:left w:val="nil"/>
              <w:bottom w:val="nil"/>
              <w:right w:val="nil"/>
            </w:tcBorders>
          </w:tcPr>
          <w:p w14:paraId="350F6460"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Industry FE</w:t>
            </w:r>
          </w:p>
        </w:tc>
        <w:tc>
          <w:tcPr>
            <w:tcW w:w="1099" w:type="pct"/>
            <w:tcBorders>
              <w:top w:val="nil"/>
              <w:left w:val="nil"/>
              <w:bottom w:val="nil"/>
              <w:right w:val="nil"/>
            </w:tcBorders>
          </w:tcPr>
          <w:p w14:paraId="2A8A7571"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1099" w:type="pct"/>
            <w:tcBorders>
              <w:top w:val="nil"/>
              <w:left w:val="nil"/>
              <w:bottom w:val="nil"/>
              <w:right w:val="nil"/>
            </w:tcBorders>
          </w:tcPr>
          <w:p w14:paraId="1CC83D3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c>
          <w:tcPr>
            <w:tcW w:w="1100" w:type="pct"/>
            <w:tcBorders>
              <w:top w:val="nil"/>
              <w:left w:val="nil"/>
              <w:bottom w:val="nil"/>
              <w:right w:val="nil"/>
            </w:tcBorders>
          </w:tcPr>
          <w:p w14:paraId="48E1B75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 xml:space="preserve">Yes </w:t>
            </w:r>
          </w:p>
        </w:tc>
      </w:tr>
      <w:tr w:rsidR="00F05B90" w:rsidRPr="00F05B90" w14:paraId="6DD2711A" w14:textId="77777777" w:rsidTr="00320854">
        <w:tc>
          <w:tcPr>
            <w:tcW w:w="1702" w:type="pct"/>
            <w:tcBorders>
              <w:top w:val="nil"/>
              <w:left w:val="nil"/>
              <w:bottom w:val="nil"/>
              <w:right w:val="nil"/>
            </w:tcBorders>
          </w:tcPr>
          <w:p w14:paraId="495BDAC9" w14:textId="77777777" w:rsidR="00817718" w:rsidRPr="00F05B90" w:rsidRDefault="00817718" w:rsidP="00320854">
            <w:pPr>
              <w:widowControl w:val="0"/>
              <w:autoSpaceDE w:val="0"/>
              <w:autoSpaceDN w:val="0"/>
              <w:adjustRightInd w:val="0"/>
              <w:rPr>
                <w:i/>
                <w:iCs/>
                <w:sz w:val="20"/>
                <w:szCs w:val="20"/>
                <w:lang w:val="de-DE"/>
              </w:rPr>
            </w:pPr>
            <w:r w:rsidRPr="00F05B90">
              <w:rPr>
                <w:i/>
                <w:iCs/>
                <w:sz w:val="20"/>
                <w:szCs w:val="20"/>
                <w:lang w:val="de-DE"/>
              </w:rPr>
              <w:t>Kleibergen-Paap Wald rk F statistic</w:t>
            </w:r>
          </w:p>
        </w:tc>
        <w:tc>
          <w:tcPr>
            <w:tcW w:w="1099" w:type="pct"/>
            <w:tcBorders>
              <w:top w:val="nil"/>
              <w:left w:val="nil"/>
              <w:bottom w:val="nil"/>
              <w:right w:val="nil"/>
            </w:tcBorders>
          </w:tcPr>
          <w:p w14:paraId="63E5307A" w14:textId="77777777" w:rsidR="00817718" w:rsidRPr="00F05B90" w:rsidRDefault="00817718" w:rsidP="00320854">
            <w:pPr>
              <w:widowControl w:val="0"/>
              <w:autoSpaceDE w:val="0"/>
              <w:autoSpaceDN w:val="0"/>
              <w:adjustRightInd w:val="0"/>
              <w:jc w:val="center"/>
              <w:rPr>
                <w:b/>
                <w:bCs/>
                <w:sz w:val="20"/>
                <w:szCs w:val="20"/>
                <w:lang w:val="de-DE"/>
              </w:rPr>
            </w:pPr>
            <w:r w:rsidRPr="00F05B90">
              <w:rPr>
                <w:b/>
                <w:bCs/>
                <w:sz w:val="20"/>
                <w:szCs w:val="20"/>
                <w:lang w:val="de-DE"/>
              </w:rPr>
              <w:t>169.154***</w:t>
            </w:r>
          </w:p>
        </w:tc>
        <w:tc>
          <w:tcPr>
            <w:tcW w:w="1099" w:type="pct"/>
            <w:tcBorders>
              <w:top w:val="nil"/>
              <w:left w:val="nil"/>
              <w:bottom w:val="nil"/>
              <w:right w:val="nil"/>
            </w:tcBorders>
          </w:tcPr>
          <w:p w14:paraId="6A81A1E4" w14:textId="77777777" w:rsidR="00817718" w:rsidRPr="00F05B90" w:rsidRDefault="00817718" w:rsidP="00320854">
            <w:pPr>
              <w:widowControl w:val="0"/>
              <w:autoSpaceDE w:val="0"/>
              <w:autoSpaceDN w:val="0"/>
              <w:adjustRightInd w:val="0"/>
              <w:jc w:val="center"/>
              <w:rPr>
                <w:sz w:val="20"/>
                <w:szCs w:val="20"/>
                <w:lang w:val="de-DE"/>
              </w:rPr>
            </w:pPr>
          </w:p>
        </w:tc>
        <w:tc>
          <w:tcPr>
            <w:tcW w:w="1100" w:type="pct"/>
            <w:tcBorders>
              <w:top w:val="nil"/>
              <w:left w:val="nil"/>
              <w:bottom w:val="nil"/>
              <w:right w:val="nil"/>
            </w:tcBorders>
          </w:tcPr>
          <w:p w14:paraId="0A2CA569" w14:textId="77777777" w:rsidR="00817718" w:rsidRPr="00F05B90" w:rsidRDefault="00817718" w:rsidP="00320854">
            <w:pPr>
              <w:widowControl w:val="0"/>
              <w:autoSpaceDE w:val="0"/>
              <w:autoSpaceDN w:val="0"/>
              <w:adjustRightInd w:val="0"/>
              <w:jc w:val="center"/>
              <w:rPr>
                <w:sz w:val="20"/>
                <w:szCs w:val="20"/>
                <w:lang w:val="de-DE"/>
              </w:rPr>
            </w:pPr>
          </w:p>
        </w:tc>
      </w:tr>
      <w:tr w:rsidR="00F05B90" w:rsidRPr="00F05B90" w14:paraId="51A04C07" w14:textId="77777777" w:rsidTr="00320854">
        <w:tc>
          <w:tcPr>
            <w:tcW w:w="1702" w:type="pct"/>
            <w:tcBorders>
              <w:top w:val="nil"/>
              <w:left w:val="nil"/>
              <w:bottom w:val="nil"/>
              <w:right w:val="nil"/>
            </w:tcBorders>
          </w:tcPr>
          <w:p w14:paraId="3D49E8FB"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F Test of excluded instruments</w:t>
            </w:r>
          </w:p>
        </w:tc>
        <w:tc>
          <w:tcPr>
            <w:tcW w:w="1099" w:type="pct"/>
            <w:tcBorders>
              <w:top w:val="nil"/>
              <w:left w:val="nil"/>
              <w:bottom w:val="nil"/>
              <w:right w:val="nil"/>
            </w:tcBorders>
          </w:tcPr>
          <w:p w14:paraId="577BCCCF"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210.88***</w:t>
            </w:r>
          </w:p>
        </w:tc>
        <w:tc>
          <w:tcPr>
            <w:tcW w:w="1099" w:type="pct"/>
            <w:tcBorders>
              <w:top w:val="nil"/>
              <w:left w:val="nil"/>
              <w:bottom w:val="nil"/>
              <w:right w:val="nil"/>
            </w:tcBorders>
          </w:tcPr>
          <w:p w14:paraId="436D030E" w14:textId="77777777" w:rsidR="00817718" w:rsidRPr="00F05B90" w:rsidRDefault="00817718" w:rsidP="00320854">
            <w:pPr>
              <w:widowControl w:val="0"/>
              <w:autoSpaceDE w:val="0"/>
              <w:autoSpaceDN w:val="0"/>
              <w:adjustRightInd w:val="0"/>
              <w:jc w:val="center"/>
              <w:rPr>
                <w:sz w:val="20"/>
                <w:szCs w:val="20"/>
              </w:rPr>
            </w:pPr>
          </w:p>
        </w:tc>
        <w:tc>
          <w:tcPr>
            <w:tcW w:w="1100" w:type="pct"/>
            <w:tcBorders>
              <w:top w:val="nil"/>
              <w:left w:val="nil"/>
              <w:bottom w:val="nil"/>
              <w:right w:val="nil"/>
            </w:tcBorders>
          </w:tcPr>
          <w:p w14:paraId="481B1277"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01E62201" w14:textId="77777777" w:rsidTr="00320854">
        <w:tc>
          <w:tcPr>
            <w:tcW w:w="1702" w:type="pct"/>
            <w:tcBorders>
              <w:top w:val="nil"/>
              <w:left w:val="nil"/>
              <w:bottom w:val="nil"/>
              <w:right w:val="nil"/>
            </w:tcBorders>
          </w:tcPr>
          <w:p w14:paraId="0D91787F"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Cragg-Donald Wald F statistic</w:t>
            </w:r>
          </w:p>
        </w:tc>
        <w:tc>
          <w:tcPr>
            <w:tcW w:w="1099" w:type="pct"/>
            <w:tcBorders>
              <w:top w:val="nil"/>
              <w:left w:val="nil"/>
              <w:bottom w:val="nil"/>
              <w:right w:val="nil"/>
            </w:tcBorders>
          </w:tcPr>
          <w:p w14:paraId="20C84C59" w14:textId="77777777" w:rsidR="00817718" w:rsidRPr="00F05B90" w:rsidRDefault="00817718" w:rsidP="00320854">
            <w:pPr>
              <w:widowControl w:val="0"/>
              <w:autoSpaceDE w:val="0"/>
              <w:autoSpaceDN w:val="0"/>
              <w:adjustRightInd w:val="0"/>
              <w:jc w:val="center"/>
              <w:rPr>
                <w:b/>
                <w:bCs/>
                <w:sz w:val="20"/>
                <w:szCs w:val="20"/>
              </w:rPr>
            </w:pPr>
            <w:r w:rsidRPr="00F05B90">
              <w:rPr>
                <w:b/>
                <w:bCs/>
                <w:sz w:val="20"/>
                <w:szCs w:val="20"/>
              </w:rPr>
              <w:t>313.96***</w:t>
            </w:r>
          </w:p>
        </w:tc>
        <w:tc>
          <w:tcPr>
            <w:tcW w:w="1099" w:type="pct"/>
            <w:tcBorders>
              <w:top w:val="nil"/>
              <w:left w:val="nil"/>
              <w:bottom w:val="nil"/>
              <w:right w:val="nil"/>
            </w:tcBorders>
          </w:tcPr>
          <w:p w14:paraId="3F25AC41" w14:textId="77777777" w:rsidR="00817718" w:rsidRPr="00F05B90" w:rsidRDefault="00817718" w:rsidP="00320854">
            <w:pPr>
              <w:widowControl w:val="0"/>
              <w:autoSpaceDE w:val="0"/>
              <w:autoSpaceDN w:val="0"/>
              <w:adjustRightInd w:val="0"/>
              <w:jc w:val="center"/>
              <w:rPr>
                <w:sz w:val="20"/>
                <w:szCs w:val="20"/>
              </w:rPr>
            </w:pPr>
          </w:p>
        </w:tc>
        <w:tc>
          <w:tcPr>
            <w:tcW w:w="1100" w:type="pct"/>
            <w:tcBorders>
              <w:top w:val="nil"/>
              <w:left w:val="nil"/>
              <w:bottom w:val="nil"/>
              <w:right w:val="nil"/>
            </w:tcBorders>
          </w:tcPr>
          <w:p w14:paraId="234DFCC0" w14:textId="77777777" w:rsidR="00817718" w:rsidRPr="00F05B90" w:rsidRDefault="00817718" w:rsidP="00320854">
            <w:pPr>
              <w:widowControl w:val="0"/>
              <w:autoSpaceDE w:val="0"/>
              <w:autoSpaceDN w:val="0"/>
              <w:adjustRightInd w:val="0"/>
              <w:jc w:val="center"/>
              <w:rPr>
                <w:sz w:val="20"/>
                <w:szCs w:val="20"/>
              </w:rPr>
            </w:pPr>
          </w:p>
        </w:tc>
      </w:tr>
      <w:tr w:rsidR="00F05B90" w:rsidRPr="00F05B90" w14:paraId="2A66BC35" w14:textId="77777777" w:rsidTr="00320854">
        <w:tc>
          <w:tcPr>
            <w:tcW w:w="1702" w:type="pct"/>
            <w:tcBorders>
              <w:top w:val="nil"/>
              <w:left w:val="nil"/>
              <w:bottom w:val="nil"/>
              <w:right w:val="nil"/>
            </w:tcBorders>
          </w:tcPr>
          <w:p w14:paraId="74B32214"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Sargan-Hansen statistic</w:t>
            </w:r>
          </w:p>
        </w:tc>
        <w:tc>
          <w:tcPr>
            <w:tcW w:w="1099" w:type="pct"/>
            <w:tcBorders>
              <w:top w:val="nil"/>
              <w:left w:val="nil"/>
              <w:bottom w:val="nil"/>
              <w:right w:val="nil"/>
            </w:tcBorders>
          </w:tcPr>
          <w:p w14:paraId="172F4F6F"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nil"/>
              <w:left w:val="nil"/>
              <w:bottom w:val="nil"/>
              <w:right w:val="nil"/>
            </w:tcBorders>
          </w:tcPr>
          <w:p w14:paraId="0D070A9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2.295</w:t>
            </w:r>
          </w:p>
        </w:tc>
        <w:tc>
          <w:tcPr>
            <w:tcW w:w="1100" w:type="pct"/>
            <w:tcBorders>
              <w:top w:val="nil"/>
              <w:left w:val="nil"/>
              <w:bottom w:val="nil"/>
              <w:right w:val="nil"/>
            </w:tcBorders>
          </w:tcPr>
          <w:p w14:paraId="622E6F0A"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0.006</w:t>
            </w:r>
          </w:p>
        </w:tc>
      </w:tr>
      <w:tr w:rsidR="00F05B90" w:rsidRPr="00F05B90" w14:paraId="5C391F1E" w14:textId="77777777" w:rsidTr="00320854">
        <w:tc>
          <w:tcPr>
            <w:tcW w:w="1702" w:type="pct"/>
            <w:tcBorders>
              <w:top w:val="nil"/>
              <w:left w:val="nil"/>
              <w:bottom w:val="single" w:sz="12" w:space="0" w:color="auto"/>
              <w:right w:val="nil"/>
            </w:tcBorders>
          </w:tcPr>
          <w:p w14:paraId="424F1478" w14:textId="77777777" w:rsidR="00817718" w:rsidRPr="00F05B90" w:rsidRDefault="00817718" w:rsidP="00320854">
            <w:pPr>
              <w:widowControl w:val="0"/>
              <w:autoSpaceDE w:val="0"/>
              <w:autoSpaceDN w:val="0"/>
              <w:adjustRightInd w:val="0"/>
              <w:rPr>
                <w:i/>
                <w:iCs/>
                <w:sz w:val="20"/>
                <w:szCs w:val="20"/>
              </w:rPr>
            </w:pPr>
            <w:r w:rsidRPr="00F05B90">
              <w:rPr>
                <w:i/>
                <w:iCs/>
                <w:sz w:val="20"/>
                <w:szCs w:val="20"/>
              </w:rPr>
              <w:t>Sargan-Hansen statistic [</w:t>
            </w:r>
            <w:r w:rsidRPr="00F05B90">
              <w:rPr>
                <w:i/>
                <w:iCs/>
                <w:sz w:val="20"/>
                <w:szCs w:val="20"/>
              </w:rPr>
              <w:sym w:font="Symbol" w:char="F063"/>
            </w:r>
            <w:r w:rsidRPr="00F05B90">
              <w:rPr>
                <w:i/>
                <w:iCs/>
                <w:sz w:val="20"/>
                <w:szCs w:val="20"/>
              </w:rPr>
              <w:t xml:space="preserve"> 2 (1) P-value]</w:t>
            </w:r>
          </w:p>
        </w:tc>
        <w:tc>
          <w:tcPr>
            <w:tcW w:w="1099" w:type="pct"/>
            <w:tcBorders>
              <w:top w:val="nil"/>
              <w:left w:val="nil"/>
              <w:bottom w:val="single" w:sz="12" w:space="0" w:color="auto"/>
              <w:right w:val="nil"/>
            </w:tcBorders>
          </w:tcPr>
          <w:p w14:paraId="6ED129EA" w14:textId="77777777" w:rsidR="00817718" w:rsidRPr="00F05B90" w:rsidRDefault="00817718" w:rsidP="00320854">
            <w:pPr>
              <w:widowControl w:val="0"/>
              <w:autoSpaceDE w:val="0"/>
              <w:autoSpaceDN w:val="0"/>
              <w:adjustRightInd w:val="0"/>
              <w:jc w:val="center"/>
              <w:rPr>
                <w:sz w:val="20"/>
                <w:szCs w:val="20"/>
              </w:rPr>
            </w:pPr>
          </w:p>
        </w:tc>
        <w:tc>
          <w:tcPr>
            <w:tcW w:w="1099" w:type="pct"/>
            <w:tcBorders>
              <w:top w:val="nil"/>
              <w:left w:val="nil"/>
              <w:bottom w:val="single" w:sz="12" w:space="0" w:color="auto"/>
              <w:right w:val="nil"/>
            </w:tcBorders>
          </w:tcPr>
          <w:p w14:paraId="6941EC8B"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0.938</w:t>
            </w:r>
          </w:p>
        </w:tc>
        <w:tc>
          <w:tcPr>
            <w:tcW w:w="1100" w:type="pct"/>
            <w:tcBorders>
              <w:top w:val="nil"/>
              <w:left w:val="nil"/>
              <w:bottom w:val="single" w:sz="12" w:space="0" w:color="auto"/>
              <w:right w:val="nil"/>
            </w:tcBorders>
          </w:tcPr>
          <w:p w14:paraId="211C7820" w14:textId="77777777" w:rsidR="00817718" w:rsidRPr="00F05B90" w:rsidRDefault="00817718" w:rsidP="00320854">
            <w:pPr>
              <w:widowControl w:val="0"/>
              <w:autoSpaceDE w:val="0"/>
              <w:autoSpaceDN w:val="0"/>
              <w:adjustRightInd w:val="0"/>
              <w:jc w:val="center"/>
              <w:rPr>
                <w:sz w:val="20"/>
                <w:szCs w:val="20"/>
              </w:rPr>
            </w:pPr>
            <w:r w:rsidRPr="00F05B90">
              <w:rPr>
                <w:sz w:val="20"/>
                <w:szCs w:val="20"/>
              </w:rPr>
              <w:t>0.1298</w:t>
            </w:r>
          </w:p>
        </w:tc>
      </w:tr>
      <w:tr w:rsidR="00817718" w:rsidRPr="00F05B90" w14:paraId="3A8A2497" w14:textId="77777777" w:rsidTr="00320854">
        <w:tc>
          <w:tcPr>
            <w:tcW w:w="5000" w:type="pct"/>
            <w:gridSpan w:val="4"/>
            <w:tcBorders>
              <w:top w:val="single" w:sz="12" w:space="0" w:color="auto"/>
              <w:left w:val="nil"/>
              <w:bottom w:val="single" w:sz="12" w:space="0" w:color="auto"/>
              <w:right w:val="nil"/>
            </w:tcBorders>
          </w:tcPr>
          <w:p w14:paraId="166BA448" w14:textId="39DB06E5" w:rsidR="00817718" w:rsidRPr="00F05B90" w:rsidRDefault="00817718" w:rsidP="00B42893">
            <w:pPr>
              <w:widowControl w:val="0"/>
              <w:autoSpaceDE w:val="0"/>
              <w:autoSpaceDN w:val="0"/>
              <w:adjustRightInd w:val="0"/>
              <w:jc w:val="both"/>
              <w:rPr>
                <w:sz w:val="20"/>
                <w:szCs w:val="20"/>
              </w:rPr>
            </w:pPr>
            <w:r w:rsidRPr="00F05B90">
              <w:rPr>
                <w:sz w:val="20"/>
                <w:szCs w:val="20"/>
              </w:rPr>
              <w:t>This table reports table presents the endogeneity test (2SLS IV)</w:t>
            </w:r>
            <w:r w:rsidRPr="00F05B90">
              <w:rPr>
                <w:i/>
                <w:iCs/>
                <w:sz w:val="20"/>
                <w:szCs w:val="20"/>
              </w:rPr>
              <w:t xml:space="preserve">, </w:t>
            </w:r>
            <w:r w:rsidRPr="00F05B90">
              <w:rPr>
                <w:sz w:val="20"/>
                <w:szCs w:val="20"/>
              </w:rPr>
              <w:t xml:space="preserve">the sample consists of 1040 firm-year observations between 2013 and 2020. The dependent variable is auditors’ </w:t>
            </w:r>
            <w:r w:rsidR="00B3493A" w:rsidRPr="00F05B90">
              <w:rPr>
                <w:sz w:val="20"/>
                <w:szCs w:val="20"/>
              </w:rPr>
              <w:t>professional judgment</w:t>
            </w:r>
            <w:r w:rsidRPr="00F05B90">
              <w:rPr>
                <w:sz w:val="20"/>
                <w:szCs w:val="20"/>
              </w:rPr>
              <w:t xml:space="preserve">, namely </w:t>
            </w:r>
            <w:r w:rsidRPr="00F05B90">
              <w:rPr>
                <w:i/>
                <w:iCs/>
                <w:sz w:val="20"/>
                <w:szCs w:val="20"/>
              </w:rPr>
              <w:t>KAM</w:t>
            </w:r>
            <w:r w:rsidRPr="00F05B90">
              <w:rPr>
                <w:sz w:val="20"/>
                <w:szCs w:val="20"/>
              </w:rPr>
              <w:t xml:space="preserve"> and </w:t>
            </w:r>
            <w:r w:rsidRPr="00F05B90">
              <w:rPr>
                <w:i/>
                <w:iCs/>
                <w:sz w:val="20"/>
                <w:szCs w:val="20"/>
              </w:rPr>
              <w:t>MAT. MAT</w:t>
            </w:r>
            <w:r w:rsidRPr="00F05B90">
              <w:rPr>
                <w:sz w:val="20"/>
                <w:szCs w:val="20"/>
              </w:rPr>
              <w:t xml:space="preserve"> is the materiality amount (£) for the financial statements as a whole, scaled by total assets as at year-end, and multiplied by 100. </w:t>
            </w:r>
            <w:r w:rsidRPr="00F05B90">
              <w:rPr>
                <w:i/>
                <w:iCs/>
                <w:sz w:val="20"/>
                <w:szCs w:val="20"/>
              </w:rPr>
              <w:t>KAM</w:t>
            </w:r>
            <w:r w:rsidRPr="00F05B90">
              <w:rPr>
                <w:sz w:val="20"/>
                <w:szCs w:val="20"/>
              </w:rPr>
              <w:t xml:space="preserve"> is the number of significant audit risks, or areas of focus, reported by the auditor in the audit report. The independent variable is the industry tournament incentive (</w:t>
            </w:r>
            <w:r w:rsidRPr="00F05B90">
              <w:rPr>
                <w:i/>
                <w:iCs/>
                <w:sz w:val="20"/>
                <w:szCs w:val="20"/>
              </w:rPr>
              <w:t>Indgap</w:t>
            </w:r>
            <w:r w:rsidRPr="00F05B90">
              <w:rPr>
                <w:sz w:val="20"/>
                <w:szCs w:val="20"/>
              </w:rPr>
              <w:t xml:space="preserve">) measures the compensation gap between the CEO under consideration and the highest-paid CEO in the same industry. </w:t>
            </w:r>
            <w:r w:rsidRPr="00F05B90">
              <w:rPr>
                <w:i/>
                <w:iCs/>
                <w:sz w:val="20"/>
                <w:szCs w:val="20"/>
              </w:rPr>
              <w:t>SUM_CEO_COMP-IND</w:t>
            </w:r>
            <w:r w:rsidRPr="00F05B90">
              <w:rPr>
                <w:sz w:val="20"/>
                <w:szCs w:val="20"/>
              </w:rPr>
              <w:t xml:space="preserve"> is the natural logarithm of the total compensation received by all CEOs in the same </w:t>
            </w:r>
            <w:r w:rsidRPr="00F05B90">
              <w:rPr>
                <w:sz w:val="20"/>
                <w:szCs w:val="20"/>
              </w:rPr>
              <w:lastRenderedPageBreak/>
              <w:t xml:space="preserve">industry. </w:t>
            </w:r>
            <w:r w:rsidRPr="00F05B90">
              <w:rPr>
                <w:i/>
                <w:iCs/>
                <w:sz w:val="20"/>
                <w:szCs w:val="20"/>
              </w:rPr>
              <w:t>NO_HIGHER_PAID_IND_CEOS</w:t>
            </w:r>
            <w:r w:rsidRPr="00F05B90">
              <w:rPr>
                <w:sz w:val="20"/>
                <w:szCs w:val="20"/>
              </w:rPr>
              <w:t xml:space="preserve"> is the natural logarithm of the number of CEOs in the same industry with higher-paid CEOs in the same industry. </w:t>
            </w:r>
            <w:r w:rsidRPr="00F05B90">
              <w:rPr>
                <w:i/>
                <w:iCs/>
                <w:sz w:val="20"/>
                <w:szCs w:val="20"/>
              </w:rPr>
              <w:t>Ind #CEO</w:t>
            </w:r>
            <w:r w:rsidRPr="00F05B90">
              <w:rPr>
                <w:sz w:val="20"/>
                <w:szCs w:val="20"/>
              </w:rPr>
              <w:t xml:space="preserve"> represents the number of CEOs in an industry. </w:t>
            </w:r>
            <w:r w:rsidRPr="00F05B90">
              <w:rPr>
                <w:i/>
                <w:iCs/>
                <w:sz w:val="20"/>
                <w:szCs w:val="20"/>
              </w:rPr>
              <w:t>LAFEE</w:t>
            </w:r>
            <w:r w:rsidRPr="00F05B90">
              <w:rPr>
                <w:sz w:val="20"/>
                <w:szCs w:val="20"/>
              </w:rPr>
              <w:t xml:space="preserve"> is the natural logarithm of audit fees. </w:t>
            </w:r>
            <w:r w:rsidRPr="00F05B90">
              <w:rPr>
                <w:i/>
                <w:iCs/>
                <w:sz w:val="20"/>
                <w:szCs w:val="20"/>
              </w:rPr>
              <w:t>BIG4</w:t>
            </w:r>
            <w:r w:rsidRPr="00F05B90">
              <w:rPr>
                <w:sz w:val="20"/>
                <w:szCs w:val="20"/>
              </w:rPr>
              <w:t xml:space="preserve"> is an indicator variable equal to 1 if the audit firm is one of the Big four auditing firms, and 0 otherwise. </w:t>
            </w:r>
            <w:r w:rsidRPr="00F05B90">
              <w:rPr>
                <w:i/>
                <w:iCs/>
                <w:sz w:val="20"/>
                <w:szCs w:val="20"/>
              </w:rPr>
              <w:t>ACIndep</w:t>
            </w:r>
            <w:r w:rsidRPr="00F05B90">
              <w:rPr>
                <w:sz w:val="20"/>
                <w:szCs w:val="20"/>
              </w:rPr>
              <w:t xml:space="preserve"> is the percentage of independent members of the audit committee. </w:t>
            </w:r>
            <w:r w:rsidRPr="00F05B90">
              <w:rPr>
                <w:i/>
                <w:iCs/>
                <w:sz w:val="20"/>
                <w:szCs w:val="20"/>
              </w:rPr>
              <w:t>BoDIndep</w:t>
            </w:r>
            <w:r w:rsidRPr="00F05B90">
              <w:rPr>
                <w:sz w:val="20"/>
                <w:szCs w:val="20"/>
              </w:rPr>
              <w:t xml:space="preserve"> is the percentage of independent members of the board of directors. </w:t>
            </w:r>
            <w:r w:rsidRPr="00F05B90">
              <w:rPr>
                <w:i/>
                <w:iCs/>
                <w:sz w:val="20"/>
                <w:szCs w:val="20"/>
              </w:rPr>
              <w:t>Leverage</w:t>
            </w:r>
            <w:r w:rsidRPr="00F05B90">
              <w:rPr>
                <w:sz w:val="20"/>
                <w:szCs w:val="20"/>
              </w:rPr>
              <w:t xml:space="preserve"> is a firm's total liabilities scaled by total shareholders' equity. </w:t>
            </w:r>
            <w:r w:rsidRPr="00F05B90">
              <w:rPr>
                <w:i/>
                <w:iCs/>
                <w:sz w:val="20"/>
                <w:szCs w:val="20"/>
              </w:rPr>
              <w:t xml:space="preserve">LOSS </w:t>
            </w:r>
            <w:r w:rsidRPr="00F05B90">
              <w:rPr>
                <w:sz w:val="20"/>
                <w:szCs w:val="20"/>
              </w:rPr>
              <w:t xml:space="preserve">is an indicator variable equal to 1 if the firm report a loss for the year; 0 Otherwise. </w:t>
            </w:r>
            <w:r w:rsidRPr="00F05B90">
              <w:rPr>
                <w:i/>
                <w:iCs/>
                <w:sz w:val="20"/>
                <w:szCs w:val="20"/>
              </w:rPr>
              <w:t>CurrentR</w:t>
            </w:r>
            <w:r w:rsidRPr="00F05B90">
              <w:rPr>
                <w:sz w:val="20"/>
                <w:szCs w:val="20"/>
              </w:rPr>
              <w:t xml:space="preserve"> is current assets divided by current liabilities. </w:t>
            </w:r>
            <w:r w:rsidRPr="00F05B90">
              <w:rPr>
                <w:i/>
                <w:iCs/>
                <w:sz w:val="20"/>
                <w:szCs w:val="20"/>
              </w:rPr>
              <w:t>ROA</w:t>
            </w:r>
            <w:r w:rsidRPr="00F05B90">
              <w:rPr>
                <w:sz w:val="20"/>
                <w:szCs w:val="20"/>
              </w:rPr>
              <w:t xml:space="preserve"> is earnings scaled by total assets. </w:t>
            </w:r>
            <w:r w:rsidRPr="00F05B90">
              <w:rPr>
                <w:i/>
                <w:iCs/>
                <w:sz w:val="20"/>
                <w:szCs w:val="20"/>
              </w:rPr>
              <w:t>Employees</w:t>
            </w:r>
            <w:r w:rsidRPr="00F05B90">
              <w:rPr>
                <w:sz w:val="20"/>
                <w:szCs w:val="20"/>
              </w:rPr>
              <w:t xml:space="preserve"> is the number of employees. </w:t>
            </w:r>
            <w:r w:rsidRPr="00F05B90">
              <w:rPr>
                <w:i/>
                <w:iCs/>
                <w:sz w:val="20"/>
                <w:szCs w:val="20"/>
              </w:rPr>
              <w:t>CEOR</w:t>
            </w:r>
            <w:r w:rsidRPr="00F05B90">
              <w:rPr>
                <w:sz w:val="20"/>
                <w:szCs w:val="20"/>
              </w:rPr>
              <w:t xml:space="preserve"> is the number of years of the CEO in the role. </w:t>
            </w:r>
            <w:r w:rsidRPr="00F05B90">
              <w:rPr>
                <w:i/>
                <w:iCs/>
                <w:sz w:val="20"/>
                <w:szCs w:val="20"/>
              </w:rPr>
              <w:t>CEOGender</w:t>
            </w:r>
            <w:r w:rsidRPr="00F05B90">
              <w:rPr>
                <w:sz w:val="20"/>
                <w:szCs w:val="20"/>
              </w:rPr>
              <w:t xml:space="preserve"> is an indicator variable equal to 1 if the CEO man, 0 Otherwise. </w:t>
            </w:r>
            <w:r w:rsidRPr="00F05B90">
              <w:rPr>
                <w:i/>
                <w:iCs/>
                <w:sz w:val="20"/>
                <w:szCs w:val="20"/>
              </w:rPr>
              <w:t>Retire</w:t>
            </w:r>
            <w:r w:rsidRPr="00F05B90">
              <w:rPr>
                <w:sz w:val="20"/>
                <w:szCs w:val="20"/>
              </w:rPr>
              <w:t xml:space="preserve"> is an indicator variable </w:t>
            </w:r>
            <w:r w:rsidR="00B42893" w:rsidRPr="00F05B90">
              <w:rPr>
                <w:sz w:val="20"/>
                <w:szCs w:val="20"/>
              </w:rPr>
              <w:t>equals 1 if the CEO is at least 62 years old and 0 otherwise</w:t>
            </w:r>
            <w:r w:rsidRPr="00F05B90">
              <w:rPr>
                <w:sz w:val="20"/>
                <w:szCs w:val="20"/>
              </w:rPr>
              <w:t xml:space="preserve">. </w:t>
            </w:r>
            <w:r w:rsidRPr="00F05B90">
              <w:rPr>
                <w:i/>
                <w:iCs/>
                <w:sz w:val="20"/>
                <w:szCs w:val="20"/>
              </w:rPr>
              <w:t xml:space="preserve">Insider </w:t>
            </w:r>
            <w:r w:rsidRPr="00F05B90">
              <w:rPr>
                <w:sz w:val="20"/>
                <w:szCs w:val="20"/>
              </w:rPr>
              <w:t xml:space="preserve">is a dummy indicating 1 if the CEO arrived at the firm within two years prior to becoming CEO, 0 otherwise. Regressions are estimated using robust standard errors. Standard errors in parentheses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0.1,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0.05, </w:t>
            </w:r>
            <w:r w:rsidRPr="00F05B90">
              <w:rPr>
                <w:sz w:val="20"/>
                <w:szCs w:val="20"/>
                <w:vertAlign w:val="superscript"/>
              </w:rPr>
              <w:t>***</w:t>
            </w:r>
            <w:r w:rsidRPr="00F05B90">
              <w:rPr>
                <w:sz w:val="20"/>
                <w:szCs w:val="20"/>
              </w:rPr>
              <w:t xml:space="preserve"> </w:t>
            </w:r>
            <w:r w:rsidRPr="00F05B90">
              <w:rPr>
                <w:i/>
                <w:iCs/>
                <w:sz w:val="20"/>
                <w:szCs w:val="20"/>
              </w:rPr>
              <w:t>p</w:t>
            </w:r>
            <w:r w:rsidRPr="00F05B90">
              <w:rPr>
                <w:sz w:val="20"/>
                <w:szCs w:val="20"/>
              </w:rPr>
              <w:t xml:space="preserve"> &lt; 0.01. </w:t>
            </w:r>
            <w:r w:rsidRPr="00F05B90">
              <w:rPr>
                <w:i/>
                <w:iCs/>
                <w:sz w:val="20"/>
                <w:szCs w:val="20"/>
              </w:rPr>
              <w:t>Bold numbers indicate significance for variables of interest.</w:t>
            </w:r>
          </w:p>
        </w:tc>
      </w:tr>
    </w:tbl>
    <w:p w14:paraId="09DEB02F" w14:textId="77777777" w:rsidR="00817718" w:rsidRPr="00F05B90" w:rsidRDefault="00817718" w:rsidP="00A0667E">
      <w:pPr>
        <w:spacing w:after="160" w:line="259" w:lineRule="auto"/>
        <w:ind w:left="426" w:hanging="426"/>
        <w:rPr>
          <w:rFonts w:asciiTheme="majorBidi" w:eastAsiaTheme="majorEastAsia" w:hAnsiTheme="majorBidi" w:cstheme="majorBidi"/>
          <w:b/>
          <w:szCs w:val="32"/>
          <w:shd w:val="clear" w:color="auto" w:fill="FFFFFF"/>
        </w:rPr>
      </w:pPr>
    </w:p>
    <w:p w14:paraId="75C5E9F5" w14:textId="2D2C3433" w:rsidR="00817718" w:rsidRPr="00F05B90" w:rsidRDefault="00817718" w:rsidP="00A0667E">
      <w:pPr>
        <w:spacing w:after="160" w:line="259" w:lineRule="auto"/>
        <w:ind w:left="426" w:hanging="426"/>
        <w:rPr>
          <w:rFonts w:asciiTheme="majorBidi" w:eastAsiaTheme="majorEastAsia" w:hAnsiTheme="majorBidi" w:cstheme="majorBidi"/>
          <w:b/>
          <w:szCs w:val="32"/>
          <w:shd w:val="clear" w:color="auto" w:fill="FFFFFF"/>
        </w:rPr>
      </w:pPr>
    </w:p>
    <w:p w14:paraId="13DB48F8" w14:textId="4C49B94A"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435629C5" w14:textId="74D3F1B1"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01EC0067" w14:textId="569694D8"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9D918B4" w14:textId="2AB96B39"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26532607" w14:textId="7BDEF3D6"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33D6516" w14:textId="165C372A"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ABD056C" w14:textId="6CE231D2"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C9E41E5" w14:textId="431564F6"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26CF1CD1" w14:textId="7F9CF28B"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4311C225" w14:textId="4BC85096"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EC85FFC" w14:textId="0B960E9D"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6BB559C" w14:textId="6E5B655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434CBE49" w14:textId="532F55B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9F92E77" w14:textId="2A96D7EF"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77E6AEE2" w14:textId="2F50777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D04E77A" w14:textId="1E1D42C2"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396D947" w14:textId="0680B400"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286280A" w14:textId="02CC9967"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7E25B9EA" w14:textId="6384B86C"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75A3F9CC" w14:textId="79734517"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62E7C70" w14:textId="4712B703"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403BC8A" w14:textId="0E1D610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2F42D650" w14:textId="45F2CFA6" w:rsidR="00895BEB" w:rsidRPr="00F05B90" w:rsidRDefault="00895BEB" w:rsidP="00B3493A">
      <w:pPr>
        <w:pStyle w:val="Heading2"/>
        <w:numPr>
          <w:ilvl w:val="0"/>
          <w:numId w:val="0"/>
        </w:numPr>
        <w:rPr>
          <w:rFonts w:ascii="Times New Roman" w:hAnsi="Times New Roman" w:cs="Times New Roman"/>
          <w:b w:val="0"/>
          <w:color w:val="auto"/>
          <w:szCs w:val="24"/>
        </w:rPr>
      </w:pPr>
      <w:r w:rsidRPr="00F05B90">
        <w:rPr>
          <w:rFonts w:ascii="Times New Roman" w:hAnsi="Times New Roman" w:cs="Times New Roman"/>
          <w:color w:val="auto"/>
          <w:szCs w:val="24"/>
        </w:rPr>
        <w:lastRenderedPageBreak/>
        <w:t xml:space="preserve">Table </w:t>
      </w:r>
      <w:r w:rsidR="00B07951" w:rsidRPr="00F05B90">
        <w:rPr>
          <w:rFonts w:ascii="Times New Roman" w:hAnsi="Times New Roman" w:cs="Times New Roman"/>
          <w:color w:val="auto"/>
          <w:szCs w:val="24"/>
        </w:rPr>
        <w:t>8</w:t>
      </w:r>
      <w:r w:rsidRPr="00F05B90">
        <w:rPr>
          <w:rFonts w:ascii="Times New Roman" w:hAnsi="Times New Roman" w:cs="Times New Roman"/>
          <w:color w:val="auto"/>
          <w:szCs w:val="24"/>
        </w:rPr>
        <w:t xml:space="preserve">: </w:t>
      </w:r>
      <w:r w:rsidRPr="00F05B90">
        <w:rPr>
          <w:rFonts w:ascii="Times New Roman" w:hAnsi="Times New Roman" w:cs="Times New Roman"/>
          <w:b w:val="0"/>
          <w:color w:val="auto"/>
          <w:szCs w:val="24"/>
        </w:rPr>
        <w:t>Regression estimates of auditors</w:t>
      </w:r>
      <w:r w:rsidR="00B3493A" w:rsidRPr="00F05B90">
        <w:rPr>
          <w:rFonts w:ascii="Times New Roman" w:hAnsi="Times New Roman" w:cs="Times New Roman"/>
          <w:b w:val="0"/>
          <w:color w:val="auto"/>
          <w:szCs w:val="24"/>
        </w:rPr>
        <w:t>’</w:t>
      </w:r>
      <w:r w:rsidRPr="00F05B90">
        <w:rPr>
          <w:rFonts w:ascii="Times New Roman" w:hAnsi="Times New Roman" w:cs="Times New Roman"/>
          <w:b w:val="0"/>
          <w:color w:val="auto"/>
          <w:szCs w:val="24"/>
        </w:rPr>
        <w:t xml:space="preserve"> </w:t>
      </w:r>
      <w:r w:rsidR="00B3493A" w:rsidRPr="00F05B90">
        <w:rPr>
          <w:rFonts w:ascii="Times New Roman" w:hAnsi="Times New Roman" w:cs="Times New Roman"/>
          <w:b w:val="0"/>
          <w:color w:val="auto"/>
          <w:szCs w:val="24"/>
        </w:rPr>
        <w:t>professional judgment</w:t>
      </w:r>
      <w:r w:rsidRPr="00F05B90">
        <w:rPr>
          <w:rFonts w:ascii="Times New Roman" w:hAnsi="Times New Roman" w:cs="Times New Roman"/>
          <w:b w:val="0"/>
          <w:color w:val="auto"/>
          <w:szCs w:val="24"/>
        </w:rPr>
        <w:t xml:space="preserve"> and industry tournament incentives (Controlling for Endogeneity; Entropy Balancing)</w:t>
      </w:r>
    </w:p>
    <w:p w14:paraId="1821194D" w14:textId="021E41D8"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tbl>
      <w:tblPr>
        <w:tblW w:w="0" w:type="auto"/>
        <w:tblLayout w:type="fixed"/>
        <w:tblLook w:val="04A0" w:firstRow="1" w:lastRow="0" w:firstColumn="1" w:lastColumn="0" w:noHBand="0" w:noVBand="1"/>
      </w:tblPr>
      <w:tblGrid>
        <w:gridCol w:w="1656"/>
        <w:gridCol w:w="2016"/>
        <w:gridCol w:w="4692"/>
      </w:tblGrid>
      <w:tr w:rsidR="00F05B90" w:rsidRPr="00F05B90" w14:paraId="1781CDC7" w14:textId="77777777" w:rsidTr="00895BEB">
        <w:tc>
          <w:tcPr>
            <w:tcW w:w="1656" w:type="dxa"/>
            <w:tcBorders>
              <w:top w:val="single" w:sz="4" w:space="0" w:color="auto"/>
              <w:left w:val="nil"/>
              <w:bottom w:val="nil"/>
              <w:right w:val="nil"/>
            </w:tcBorders>
          </w:tcPr>
          <w:p w14:paraId="6662149F" w14:textId="77777777" w:rsidR="00895BEB" w:rsidRPr="00F05B90" w:rsidRDefault="00895BEB">
            <w:pPr>
              <w:widowControl w:val="0"/>
              <w:autoSpaceDE w:val="0"/>
              <w:autoSpaceDN w:val="0"/>
              <w:adjustRightInd w:val="0"/>
            </w:pPr>
          </w:p>
        </w:tc>
        <w:tc>
          <w:tcPr>
            <w:tcW w:w="2016" w:type="dxa"/>
            <w:tcBorders>
              <w:top w:val="single" w:sz="4" w:space="0" w:color="auto"/>
              <w:left w:val="nil"/>
              <w:bottom w:val="nil"/>
              <w:right w:val="nil"/>
            </w:tcBorders>
            <w:hideMark/>
          </w:tcPr>
          <w:p w14:paraId="5BBE11D2" w14:textId="77777777" w:rsidR="00895BEB" w:rsidRPr="00F05B90" w:rsidRDefault="00895BEB">
            <w:pPr>
              <w:widowControl w:val="0"/>
              <w:autoSpaceDE w:val="0"/>
              <w:autoSpaceDN w:val="0"/>
              <w:adjustRightInd w:val="0"/>
              <w:jc w:val="center"/>
            </w:pPr>
            <w:r w:rsidRPr="00F05B90">
              <w:t>(1)</w:t>
            </w:r>
          </w:p>
        </w:tc>
        <w:tc>
          <w:tcPr>
            <w:tcW w:w="4692" w:type="dxa"/>
            <w:tcBorders>
              <w:top w:val="single" w:sz="4" w:space="0" w:color="auto"/>
              <w:left w:val="nil"/>
              <w:bottom w:val="nil"/>
              <w:right w:val="nil"/>
            </w:tcBorders>
            <w:hideMark/>
          </w:tcPr>
          <w:p w14:paraId="25BE7B02" w14:textId="77777777" w:rsidR="00895BEB" w:rsidRPr="00F05B90" w:rsidRDefault="00895BEB">
            <w:pPr>
              <w:widowControl w:val="0"/>
              <w:autoSpaceDE w:val="0"/>
              <w:autoSpaceDN w:val="0"/>
              <w:adjustRightInd w:val="0"/>
              <w:jc w:val="center"/>
            </w:pPr>
            <w:r w:rsidRPr="00F05B90">
              <w:t>(2)</w:t>
            </w:r>
          </w:p>
        </w:tc>
      </w:tr>
      <w:tr w:rsidR="00F05B90" w:rsidRPr="00F05B90" w14:paraId="6F8982B3" w14:textId="77777777" w:rsidTr="00895BEB">
        <w:tc>
          <w:tcPr>
            <w:tcW w:w="1656" w:type="dxa"/>
          </w:tcPr>
          <w:p w14:paraId="69BFFACC" w14:textId="77777777" w:rsidR="00895BEB" w:rsidRPr="00F05B90" w:rsidRDefault="00895BEB">
            <w:pPr>
              <w:widowControl w:val="0"/>
              <w:autoSpaceDE w:val="0"/>
              <w:autoSpaceDN w:val="0"/>
              <w:adjustRightInd w:val="0"/>
            </w:pPr>
          </w:p>
        </w:tc>
        <w:tc>
          <w:tcPr>
            <w:tcW w:w="2016" w:type="dxa"/>
            <w:hideMark/>
          </w:tcPr>
          <w:p w14:paraId="05054419" w14:textId="1B15718E" w:rsidR="00895BEB" w:rsidRPr="00F05B90" w:rsidRDefault="00895BEB">
            <w:pPr>
              <w:widowControl w:val="0"/>
              <w:autoSpaceDE w:val="0"/>
              <w:autoSpaceDN w:val="0"/>
              <w:adjustRightInd w:val="0"/>
              <w:jc w:val="center"/>
            </w:pPr>
            <w:r w:rsidRPr="00F05B90">
              <w:t>KAM</w:t>
            </w:r>
          </w:p>
        </w:tc>
        <w:tc>
          <w:tcPr>
            <w:tcW w:w="4692" w:type="dxa"/>
            <w:hideMark/>
          </w:tcPr>
          <w:p w14:paraId="36121A58" w14:textId="77777777" w:rsidR="00895BEB" w:rsidRPr="00F05B90" w:rsidRDefault="00895BEB">
            <w:pPr>
              <w:widowControl w:val="0"/>
              <w:autoSpaceDE w:val="0"/>
              <w:autoSpaceDN w:val="0"/>
              <w:adjustRightInd w:val="0"/>
              <w:jc w:val="center"/>
            </w:pPr>
            <w:r w:rsidRPr="00F05B90">
              <w:t>MAT</w:t>
            </w:r>
          </w:p>
        </w:tc>
      </w:tr>
      <w:tr w:rsidR="00F05B90" w:rsidRPr="00F05B90" w14:paraId="081CE594" w14:textId="77777777" w:rsidTr="00895BEB">
        <w:tc>
          <w:tcPr>
            <w:tcW w:w="1656" w:type="dxa"/>
            <w:tcBorders>
              <w:top w:val="single" w:sz="4" w:space="0" w:color="auto"/>
              <w:left w:val="nil"/>
              <w:bottom w:val="nil"/>
              <w:right w:val="nil"/>
            </w:tcBorders>
            <w:hideMark/>
          </w:tcPr>
          <w:p w14:paraId="0967F9FA" w14:textId="77777777" w:rsidR="00895BEB" w:rsidRPr="00F05B90" w:rsidRDefault="00895BEB">
            <w:pPr>
              <w:widowControl w:val="0"/>
              <w:autoSpaceDE w:val="0"/>
              <w:autoSpaceDN w:val="0"/>
              <w:adjustRightInd w:val="0"/>
            </w:pPr>
            <w:r w:rsidRPr="00F05B90">
              <w:rPr>
                <w:rFonts w:asciiTheme="majorBidi" w:hAnsiTheme="majorBidi"/>
              </w:rPr>
              <w:t>Indgap</w:t>
            </w:r>
          </w:p>
        </w:tc>
        <w:tc>
          <w:tcPr>
            <w:tcW w:w="2016" w:type="dxa"/>
            <w:tcBorders>
              <w:top w:val="single" w:sz="4" w:space="0" w:color="auto"/>
              <w:left w:val="nil"/>
              <w:bottom w:val="nil"/>
              <w:right w:val="nil"/>
            </w:tcBorders>
            <w:hideMark/>
          </w:tcPr>
          <w:p w14:paraId="74EDA37D" w14:textId="77777777" w:rsidR="00895BEB" w:rsidRPr="00F05B90" w:rsidRDefault="00895BEB">
            <w:pPr>
              <w:widowControl w:val="0"/>
              <w:autoSpaceDE w:val="0"/>
              <w:autoSpaceDN w:val="0"/>
              <w:adjustRightInd w:val="0"/>
              <w:jc w:val="center"/>
            </w:pPr>
            <w:r w:rsidRPr="00F05B90">
              <w:t>-0.033</w:t>
            </w:r>
            <w:r w:rsidRPr="00F05B90">
              <w:rPr>
                <w:vertAlign w:val="superscript"/>
              </w:rPr>
              <w:t>**</w:t>
            </w:r>
          </w:p>
        </w:tc>
        <w:tc>
          <w:tcPr>
            <w:tcW w:w="4692" w:type="dxa"/>
            <w:tcBorders>
              <w:top w:val="single" w:sz="4" w:space="0" w:color="auto"/>
              <w:left w:val="nil"/>
              <w:bottom w:val="nil"/>
              <w:right w:val="nil"/>
            </w:tcBorders>
            <w:hideMark/>
          </w:tcPr>
          <w:p w14:paraId="5BA5F10A" w14:textId="77777777" w:rsidR="00895BEB" w:rsidRPr="00F05B90" w:rsidRDefault="00895BEB">
            <w:pPr>
              <w:widowControl w:val="0"/>
              <w:autoSpaceDE w:val="0"/>
              <w:autoSpaceDN w:val="0"/>
              <w:adjustRightInd w:val="0"/>
              <w:jc w:val="center"/>
            </w:pPr>
            <w:r w:rsidRPr="00F05B90">
              <w:t>0.023</w:t>
            </w:r>
            <w:r w:rsidRPr="00F05B90">
              <w:rPr>
                <w:vertAlign w:val="superscript"/>
              </w:rPr>
              <w:t>***</w:t>
            </w:r>
          </w:p>
        </w:tc>
      </w:tr>
      <w:tr w:rsidR="00F05B90" w:rsidRPr="00F05B90" w14:paraId="74BD0E0D" w14:textId="77777777" w:rsidTr="00895BEB">
        <w:tc>
          <w:tcPr>
            <w:tcW w:w="1656" w:type="dxa"/>
          </w:tcPr>
          <w:p w14:paraId="57A0032E" w14:textId="77777777" w:rsidR="00895BEB" w:rsidRPr="00F05B90" w:rsidRDefault="00895BEB">
            <w:pPr>
              <w:widowControl w:val="0"/>
              <w:autoSpaceDE w:val="0"/>
              <w:autoSpaceDN w:val="0"/>
              <w:adjustRightInd w:val="0"/>
            </w:pPr>
          </w:p>
        </w:tc>
        <w:tc>
          <w:tcPr>
            <w:tcW w:w="2016" w:type="dxa"/>
            <w:hideMark/>
          </w:tcPr>
          <w:p w14:paraId="30A6E031" w14:textId="77777777" w:rsidR="00895BEB" w:rsidRPr="00F05B90" w:rsidRDefault="00895BEB">
            <w:pPr>
              <w:widowControl w:val="0"/>
              <w:autoSpaceDE w:val="0"/>
              <w:autoSpaceDN w:val="0"/>
              <w:adjustRightInd w:val="0"/>
              <w:jc w:val="center"/>
            </w:pPr>
            <w:r w:rsidRPr="00F05B90">
              <w:t>(0.013)</w:t>
            </w:r>
          </w:p>
        </w:tc>
        <w:tc>
          <w:tcPr>
            <w:tcW w:w="4692" w:type="dxa"/>
            <w:hideMark/>
          </w:tcPr>
          <w:p w14:paraId="0CF38189" w14:textId="77777777" w:rsidR="00895BEB" w:rsidRPr="00F05B90" w:rsidRDefault="00895BEB">
            <w:pPr>
              <w:widowControl w:val="0"/>
              <w:autoSpaceDE w:val="0"/>
              <w:autoSpaceDN w:val="0"/>
              <w:adjustRightInd w:val="0"/>
              <w:jc w:val="center"/>
            </w:pPr>
            <w:r w:rsidRPr="00F05B90">
              <w:t>(0.006)</w:t>
            </w:r>
          </w:p>
        </w:tc>
      </w:tr>
      <w:tr w:rsidR="00F05B90" w:rsidRPr="00F05B90" w14:paraId="69F0DCBA" w14:textId="77777777" w:rsidTr="00895BEB">
        <w:tc>
          <w:tcPr>
            <w:tcW w:w="1656" w:type="dxa"/>
            <w:hideMark/>
          </w:tcPr>
          <w:p w14:paraId="13D10C26" w14:textId="77777777" w:rsidR="00895BEB" w:rsidRPr="00F05B90" w:rsidRDefault="00895BEB">
            <w:pPr>
              <w:widowControl w:val="0"/>
              <w:autoSpaceDE w:val="0"/>
              <w:autoSpaceDN w:val="0"/>
              <w:adjustRightInd w:val="0"/>
            </w:pPr>
            <w:r w:rsidRPr="00F05B90">
              <w:rPr>
                <w:rFonts w:asciiTheme="majorBidi" w:hAnsiTheme="majorBidi"/>
              </w:rPr>
              <w:t>LAFEE</w:t>
            </w:r>
          </w:p>
        </w:tc>
        <w:tc>
          <w:tcPr>
            <w:tcW w:w="2016" w:type="dxa"/>
            <w:hideMark/>
          </w:tcPr>
          <w:p w14:paraId="55CBD85B" w14:textId="77777777" w:rsidR="00895BEB" w:rsidRPr="00F05B90" w:rsidRDefault="00895BEB">
            <w:pPr>
              <w:widowControl w:val="0"/>
              <w:autoSpaceDE w:val="0"/>
              <w:autoSpaceDN w:val="0"/>
              <w:adjustRightInd w:val="0"/>
              <w:jc w:val="center"/>
            </w:pPr>
            <w:r w:rsidRPr="00F05B90">
              <w:t>-0.012</w:t>
            </w:r>
          </w:p>
        </w:tc>
        <w:tc>
          <w:tcPr>
            <w:tcW w:w="4692" w:type="dxa"/>
            <w:hideMark/>
          </w:tcPr>
          <w:p w14:paraId="08381100" w14:textId="77777777" w:rsidR="00895BEB" w:rsidRPr="00F05B90" w:rsidRDefault="00895BEB">
            <w:pPr>
              <w:widowControl w:val="0"/>
              <w:autoSpaceDE w:val="0"/>
              <w:autoSpaceDN w:val="0"/>
              <w:adjustRightInd w:val="0"/>
              <w:jc w:val="center"/>
            </w:pPr>
            <w:r w:rsidRPr="00F05B90">
              <w:t>-0.025</w:t>
            </w:r>
            <w:r w:rsidRPr="00F05B90">
              <w:rPr>
                <w:vertAlign w:val="superscript"/>
              </w:rPr>
              <w:t>**</w:t>
            </w:r>
          </w:p>
        </w:tc>
      </w:tr>
      <w:tr w:rsidR="00F05B90" w:rsidRPr="00F05B90" w14:paraId="792297D9" w14:textId="77777777" w:rsidTr="00895BEB">
        <w:tc>
          <w:tcPr>
            <w:tcW w:w="1656" w:type="dxa"/>
          </w:tcPr>
          <w:p w14:paraId="5850C075" w14:textId="77777777" w:rsidR="00895BEB" w:rsidRPr="00F05B90" w:rsidRDefault="00895BEB">
            <w:pPr>
              <w:widowControl w:val="0"/>
              <w:autoSpaceDE w:val="0"/>
              <w:autoSpaceDN w:val="0"/>
              <w:adjustRightInd w:val="0"/>
            </w:pPr>
          </w:p>
        </w:tc>
        <w:tc>
          <w:tcPr>
            <w:tcW w:w="2016" w:type="dxa"/>
            <w:hideMark/>
          </w:tcPr>
          <w:p w14:paraId="2CF43022" w14:textId="77777777" w:rsidR="00895BEB" w:rsidRPr="00F05B90" w:rsidRDefault="00895BEB">
            <w:pPr>
              <w:widowControl w:val="0"/>
              <w:autoSpaceDE w:val="0"/>
              <w:autoSpaceDN w:val="0"/>
              <w:adjustRightInd w:val="0"/>
              <w:jc w:val="center"/>
            </w:pPr>
            <w:r w:rsidRPr="00F05B90">
              <w:t>(0.024)</w:t>
            </w:r>
          </w:p>
        </w:tc>
        <w:tc>
          <w:tcPr>
            <w:tcW w:w="4692" w:type="dxa"/>
            <w:hideMark/>
          </w:tcPr>
          <w:p w14:paraId="2EE743D9" w14:textId="77777777" w:rsidR="00895BEB" w:rsidRPr="00F05B90" w:rsidRDefault="00895BEB">
            <w:pPr>
              <w:widowControl w:val="0"/>
              <w:autoSpaceDE w:val="0"/>
              <w:autoSpaceDN w:val="0"/>
              <w:adjustRightInd w:val="0"/>
              <w:jc w:val="center"/>
            </w:pPr>
            <w:r w:rsidRPr="00F05B90">
              <w:t>(0.011)</w:t>
            </w:r>
          </w:p>
        </w:tc>
      </w:tr>
      <w:tr w:rsidR="00F05B90" w:rsidRPr="00F05B90" w14:paraId="5A33FF42" w14:textId="77777777" w:rsidTr="00895BEB">
        <w:tc>
          <w:tcPr>
            <w:tcW w:w="1656" w:type="dxa"/>
            <w:hideMark/>
          </w:tcPr>
          <w:p w14:paraId="3F284CA1" w14:textId="77777777" w:rsidR="00895BEB" w:rsidRPr="00F05B90" w:rsidRDefault="00895BEB">
            <w:pPr>
              <w:widowControl w:val="0"/>
              <w:autoSpaceDE w:val="0"/>
              <w:autoSpaceDN w:val="0"/>
              <w:adjustRightInd w:val="0"/>
            </w:pPr>
            <w:r w:rsidRPr="00F05B90">
              <w:rPr>
                <w:rFonts w:asciiTheme="majorBidi" w:hAnsiTheme="majorBidi"/>
              </w:rPr>
              <w:t>BIG4</w:t>
            </w:r>
          </w:p>
        </w:tc>
        <w:tc>
          <w:tcPr>
            <w:tcW w:w="2016" w:type="dxa"/>
            <w:hideMark/>
          </w:tcPr>
          <w:p w14:paraId="08108C71" w14:textId="77777777" w:rsidR="00895BEB" w:rsidRPr="00F05B90" w:rsidRDefault="00895BEB">
            <w:pPr>
              <w:widowControl w:val="0"/>
              <w:autoSpaceDE w:val="0"/>
              <w:autoSpaceDN w:val="0"/>
              <w:adjustRightInd w:val="0"/>
              <w:jc w:val="center"/>
            </w:pPr>
            <w:r w:rsidRPr="00F05B90">
              <w:t>-0.384</w:t>
            </w:r>
          </w:p>
        </w:tc>
        <w:tc>
          <w:tcPr>
            <w:tcW w:w="4692" w:type="dxa"/>
            <w:hideMark/>
          </w:tcPr>
          <w:p w14:paraId="7DE87741" w14:textId="77777777" w:rsidR="00895BEB" w:rsidRPr="00F05B90" w:rsidRDefault="00895BEB">
            <w:pPr>
              <w:widowControl w:val="0"/>
              <w:autoSpaceDE w:val="0"/>
              <w:autoSpaceDN w:val="0"/>
              <w:adjustRightInd w:val="0"/>
              <w:jc w:val="center"/>
            </w:pPr>
            <w:r w:rsidRPr="00F05B90">
              <w:t>-0.052</w:t>
            </w:r>
          </w:p>
        </w:tc>
      </w:tr>
      <w:tr w:rsidR="00F05B90" w:rsidRPr="00F05B90" w14:paraId="05D33244" w14:textId="77777777" w:rsidTr="00895BEB">
        <w:tc>
          <w:tcPr>
            <w:tcW w:w="1656" w:type="dxa"/>
          </w:tcPr>
          <w:p w14:paraId="17D4708E" w14:textId="77777777" w:rsidR="00895BEB" w:rsidRPr="00F05B90" w:rsidRDefault="00895BEB">
            <w:pPr>
              <w:widowControl w:val="0"/>
              <w:autoSpaceDE w:val="0"/>
              <w:autoSpaceDN w:val="0"/>
              <w:adjustRightInd w:val="0"/>
            </w:pPr>
          </w:p>
        </w:tc>
        <w:tc>
          <w:tcPr>
            <w:tcW w:w="2016" w:type="dxa"/>
            <w:hideMark/>
          </w:tcPr>
          <w:p w14:paraId="4BEEA870" w14:textId="77777777" w:rsidR="00895BEB" w:rsidRPr="00F05B90" w:rsidRDefault="00895BEB">
            <w:pPr>
              <w:widowControl w:val="0"/>
              <w:autoSpaceDE w:val="0"/>
              <w:autoSpaceDN w:val="0"/>
              <w:adjustRightInd w:val="0"/>
              <w:jc w:val="center"/>
            </w:pPr>
            <w:r w:rsidRPr="00F05B90">
              <w:t>(0.256)</w:t>
            </w:r>
          </w:p>
        </w:tc>
        <w:tc>
          <w:tcPr>
            <w:tcW w:w="4692" w:type="dxa"/>
            <w:hideMark/>
          </w:tcPr>
          <w:p w14:paraId="1DC0BB03" w14:textId="77777777" w:rsidR="00895BEB" w:rsidRPr="00F05B90" w:rsidRDefault="00895BEB">
            <w:pPr>
              <w:widowControl w:val="0"/>
              <w:autoSpaceDE w:val="0"/>
              <w:autoSpaceDN w:val="0"/>
              <w:adjustRightInd w:val="0"/>
              <w:jc w:val="center"/>
            </w:pPr>
            <w:r w:rsidRPr="00F05B90">
              <w:t>(0.114)</w:t>
            </w:r>
          </w:p>
        </w:tc>
      </w:tr>
      <w:tr w:rsidR="00F05B90" w:rsidRPr="00F05B90" w14:paraId="4C987767" w14:textId="77777777" w:rsidTr="00895BEB">
        <w:tc>
          <w:tcPr>
            <w:tcW w:w="1656" w:type="dxa"/>
            <w:hideMark/>
          </w:tcPr>
          <w:p w14:paraId="123C1BD2" w14:textId="77777777" w:rsidR="00895BEB" w:rsidRPr="00F05B90" w:rsidRDefault="00895BEB">
            <w:pPr>
              <w:widowControl w:val="0"/>
              <w:autoSpaceDE w:val="0"/>
              <w:autoSpaceDN w:val="0"/>
              <w:adjustRightInd w:val="0"/>
            </w:pPr>
            <w:r w:rsidRPr="00F05B90">
              <w:rPr>
                <w:rFonts w:asciiTheme="majorBidi" w:hAnsiTheme="majorBidi"/>
              </w:rPr>
              <w:t>ACIndep</w:t>
            </w:r>
          </w:p>
        </w:tc>
        <w:tc>
          <w:tcPr>
            <w:tcW w:w="2016" w:type="dxa"/>
            <w:hideMark/>
          </w:tcPr>
          <w:p w14:paraId="2703F4D9" w14:textId="77777777" w:rsidR="00895BEB" w:rsidRPr="00F05B90" w:rsidRDefault="00895BEB">
            <w:pPr>
              <w:widowControl w:val="0"/>
              <w:autoSpaceDE w:val="0"/>
              <w:autoSpaceDN w:val="0"/>
              <w:adjustRightInd w:val="0"/>
              <w:jc w:val="center"/>
            </w:pPr>
            <w:r w:rsidRPr="00F05B90">
              <w:t>-0.846</w:t>
            </w:r>
          </w:p>
        </w:tc>
        <w:tc>
          <w:tcPr>
            <w:tcW w:w="4692" w:type="dxa"/>
            <w:hideMark/>
          </w:tcPr>
          <w:p w14:paraId="5DD4ED17" w14:textId="77777777" w:rsidR="00895BEB" w:rsidRPr="00F05B90" w:rsidRDefault="00895BEB">
            <w:pPr>
              <w:widowControl w:val="0"/>
              <w:autoSpaceDE w:val="0"/>
              <w:autoSpaceDN w:val="0"/>
              <w:adjustRightInd w:val="0"/>
              <w:jc w:val="center"/>
            </w:pPr>
            <w:r w:rsidRPr="00F05B90">
              <w:t>-0.024</w:t>
            </w:r>
          </w:p>
        </w:tc>
      </w:tr>
      <w:tr w:rsidR="00F05B90" w:rsidRPr="00F05B90" w14:paraId="3362792F" w14:textId="77777777" w:rsidTr="00895BEB">
        <w:tc>
          <w:tcPr>
            <w:tcW w:w="1656" w:type="dxa"/>
          </w:tcPr>
          <w:p w14:paraId="1029816A" w14:textId="77777777" w:rsidR="00895BEB" w:rsidRPr="00F05B90" w:rsidRDefault="00895BEB">
            <w:pPr>
              <w:widowControl w:val="0"/>
              <w:autoSpaceDE w:val="0"/>
              <w:autoSpaceDN w:val="0"/>
              <w:adjustRightInd w:val="0"/>
            </w:pPr>
          </w:p>
        </w:tc>
        <w:tc>
          <w:tcPr>
            <w:tcW w:w="2016" w:type="dxa"/>
            <w:hideMark/>
          </w:tcPr>
          <w:p w14:paraId="23566E91" w14:textId="77777777" w:rsidR="00895BEB" w:rsidRPr="00F05B90" w:rsidRDefault="00895BEB">
            <w:pPr>
              <w:widowControl w:val="0"/>
              <w:autoSpaceDE w:val="0"/>
              <w:autoSpaceDN w:val="0"/>
              <w:adjustRightInd w:val="0"/>
              <w:jc w:val="center"/>
            </w:pPr>
            <w:r w:rsidRPr="00F05B90">
              <w:t>(0.748)</w:t>
            </w:r>
          </w:p>
        </w:tc>
        <w:tc>
          <w:tcPr>
            <w:tcW w:w="4692" w:type="dxa"/>
            <w:hideMark/>
          </w:tcPr>
          <w:p w14:paraId="45DC66D9" w14:textId="77777777" w:rsidR="00895BEB" w:rsidRPr="00F05B90" w:rsidRDefault="00895BEB">
            <w:pPr>
              <w:widowControl w:val="0"/>
              <w:autoSpaceDE w:val="0"/>
              <w:autoSpaceDN w:val="0"/>
              <w:adjustRightInd w:val="0"/>
              <w:jc w:val="center"/>
            </w:pPr>
            <w:r w:rsidRPr="00F05B90">
              <w:t>(0.334)</w:t>
            </w:r>
          </w:p>
        </w:tc>
      </w:tr>
      <w:tr w:rsidR="00F05B90" w:rsidRPr="00F05B90" w14:paraId="0BD4B9BF" w14:textId="77777777" w:rsidTr="00895BEB">
        <w:tc>
          <w:tcPr>
            <w:tcW w:w="1656" w:type="dxa"/>
            <w:hideMark/>
          </w:tcPr>
          <w:p w14:paraId="63CFDE8F" w14:textId="77777777" w:rsidR="00895BEB" w:rsidRPr="00F05B90" w:rsidRDefault="00895BEB">
            <w:pPr>
              <w:widowControl w:val="0"/>
              <w:autoSpaceDE w:val="0"/>
              <w:autoSpaceDN w:val="0"/>
              <w:adjustRightInd w:val="0"/>
            </w:pPr>
            <w:r w:rsidRPr="00F05B90">
              <w:rPr>
                <w:rFonts w:asciiTheme="majorBidi" w:hAnsiTheme="majorBidi"/>
              </w:rPr>
              <w:t>BoDIndep</w:t>
            </w:r>
          </w:p>
        </w:tc>
        <w:tc>
          <w:tcPr>
            <w:tcW w:w="2016" w:type="dxa"/>
            <w:hideMark/>
          </w:tcPr>
          <w:p w14:paraId="3899EFAA" w14:textId="77777777" w:rsidR="00895BEB" w:rsidRPr="00F05B90" w:rsidRDefault="00895BEB">
            <w:pPr>
              <w:widowControl w:val="0"/>
              <w:autoSpaceDE w:val="0"/>
              <w:autoSpaceDN w:val="0"/>
              <w:adjustRightInd w:val="0"/>
              <w:jc w:val="center"/>
            </w:pPr>
            <w:r w:rsidRPr="00F05B90">
              <w:t>2.264</w:t>
            </w:r>
            <w:r w:rsidRPr="00F05B90">
              <w:rPr>
                <w:vertAlign w:val="superscript"/>
              </w:rPr>
              <w:t>***</w:t>
            </w:r>
          </w:p>
        </w:tc>
        <w:tc>
          <w:tcPr>
            <w:tcW w:w="4692" w:type="dxa"/>
            <w:hideMark/>
          </w:tcPr>
          <w:p w14:paraId="048C0CD3" w14:textId="77777777" w:rsidR="00895BEB" w:rsidRPr="00F05B90" w:rsidRDefault="00895BEB">
            <w:pPr>
              <w:widowControl w:val="0"/>
              <w:autoSpaceDE w:val="0"/>
              <w:autoSpaceDN w:val="0"/>
              <w:adjustRightInd w:val="0"/>
              <w:jc w:val="center"/>
            </w:pPr>
            <w:r w:rsidRPr="00F05B90">
              <w:t>-0.256</w:t>
            </w:r>
          </w:p>
        </w:tc>
      </w:tr>
      <w:tr w:rsidR="00F05B90" w:rsidRPr="00F05B90" w14:paraId="4B0824E8" w14:textId="77777777" w:rsidTr="00895BEB">
        <w:tc>
          <w:tcPr>
            <w:tcW w:w="1656" w:type="dxa"/>
          </w:tcPr>
          <w:p w14:paraId="7AE6859D" w14:textId="77777777" w:rsidR="00895BEB" w:rsidRPr="00F05B90" w:rsidRDefault="00895BEB">
            <w:pPr>
              <w:widowControl w:val="0"/>
              <w:autoSpaceDE w:val="0"/>
              <w:autoSpaceDN w:val="0"/>
              <w:adjustRightInd w:val="0"/>
            </w:pPr>
          </w:p>
        </w:tc>
        <w:tc>
          <w:tcPr>
            <w:tcW w:w="2016" w:type="dxa"/>
            <w:hideMark/>
          </w:tcPr>
          <w:p w14:paraId="78A0BED5" w14:textId="77777777" w:rsidR="00895BEB" w:rsidRPr="00F05B90" w:rsidRDefault="00895BEB">
            <w:pPr>
              <w:widowControl w:val="0"/>
              <w:autoSpaceDE w:val="0"/>
              <w:autoSpaceDN w:val="0"/>
              <w:adjustRightInd w:val="0"/>
              <w:jc w:val="center"/>
            </w:pPr>
            <w:r w:rsidRPr="00F05B90">
              <w:t>(0.413)</w:t>
            </w:r>
          </w:p>
        </w:tc>
        <w:tc>
          <w:tcPr>
            <w:tcW w:w="4692" w:type="dxa"/>
            <w:hideMark/>
          </w:tcPr>
          <w:p w14:paraId="49C5F9AC" w14:textId="77777777" w:rsidR="00895BEB" w:rsidRPr="00F05B90" w:rsidRDefault="00895BEB">
            <w:pPr>
              <w:widowControl w:val="0"/>
              <w:autoSpaceDE w:val="0"/>
              <w:autoSpaceDN w:val="0"/>
              <w:adjustRightInd w:val="0"/>
              <w:jc w:val="center"/>
            </w:pPr>
            <w:r w:rsidRPr="00F05B90">
              <w:t>(0.185)</w:t>
            </w:r>
          </w:p>
        </w:tc>
      </w:tr>
      <w:tr w:rsidR="00F05B90" w:rsidRPr="00F05B90" w14:paraId="21111936" w14:textId="77777777" w:rsidTr="00895BEB">
        <w:tc>
          <w:tcPr>
            <w:tcW w:w="1656" w:type="dxa"/>
            <w:hideMark/>
          </w:tcPr>
          <w:p w14:paraId="127CC7ED" w14:textId="77777777" w:rsidR="00895BEB" w:rsidRPr="00F05B90" w:rsidRDefault="00895BEB">
            <w:pPr>
              <w:widowControl w:val="0"/>
              <w:autoSpaceDE w:val="0"/>
              <w:autoSpaceDN w:val="0"/>
              <w:adjustRightInd w:val="0"/>
            </w:pPr>
            <w:r w:rsidRPr="00F05B90">
              <w:rPr>
                <w:rFonts w:asciiTheme="majorBidi" w:hAnsiTheme="majorBidi"/>
              </w:rPr>
              <w:t xml:space="preserve">Leverage </w:t>
            </w:r>
          </w:p>
        </w:tc>
        <w:tc>
          <w:tcPr>
            <w:tcW w:w="2016" w:type="dxa"/>
            <w:hideMark/>
          </w:tcPr>
          <w:p w14:paraId="580E9B4C" w14:textId="77777777" w:rsidR="00895BEB" w:rsidRPr="00F05B90" w:rsidRDefault="00895BEB">
            <w:pPr>
              <w:widowControl w:val="0"/>
              <w:autoSpaceDE w:val="0"/>
              <w:autoSpaceDN w:val="0"/>
              <w:adjustRightInd w:val="0"/>
              <w:jc w:val="center"/>
            </w:pPr>
            <w:r w:rsidRPr="00F05B90">
              <w:t>-0.018</w:t>
            </w:r>
            <w:r w:rsidRPr="00F05B90">
              <w:rPr>
                <w:vertAlign w:val="superscript"/>
              </w:rPr>
              <w:t>*</w:t>
            </w:r>
          </w:p>
        </w:tc>
        <w:tc>
          <w:tcPr>
            <w:tcW w:w="4692" w:type="dxa"/>
            <w:hideMark/>
          </w:tcPr>
          <w:p w14:paraId="4368A866" w14:textId="77777777" w:rsidR="00895BEB" w:rsidRPr="00F05B90" w:rsidRDefault="00895BEB">
            <w:pPr>
              <w:widowControl w:val="0"/>
              <w:autoSpaceDE w:val="0"/>
              <w:autoSpaceDN w:val="0"/>
              <w:adjustRightInd w:val="0"/>
              <w:jc w:val="center"/>
            </w:pPr>
            <w:r w:rsidRPr="00F05B90">
              <w:t>-0.002</w:t>
            </w:r>
          </w:p>
        </w:tc>
      </w:tr>
      <w:tr w:rsidR="00F05B90" w:rsidRPr="00F05B90" w14:paraId="3273EB93" w14:textId="77777777" w:rsidTr="00895BEB">
        <w:tc>
          <w:tcPr>
            <w:tcW w:w="1656" w:type="dxa"/>
          </w:tcPr>
          <w:p w14:paraId="28010363" w14:textId="77777777" w:rsidR="00895BEB" w:rsidRPr="00F05B90" w:rsidRDefault="00895BEB">
            <w:pPr>
              <w:widowControl w:val="0"/>
              <w:autoSpaceDE w:val="0"/>
              <w:autoSpaceDN w:val="0"/>
              <w:adjustRightInd w:val="0"/>
            </w:pPr>
          </w:p>
        </w:tc>
        <w:tc>
          <w:tcPr>
            <w:tcW w:w="2016" w:type="dxa"/>
            <w:hideMark/>
          </w:tcPr>
          <w:p w14:paraId="49EBAD7A" w14:textId="77777777" w:rsidR="00895BEB" w:rsidRPr="00F05B90" w:rsidRDefault="00895BEB">
            <w:pPr>
              <w:widowControl w:val="0"/>
              <w:autoSpaceDE w:val="0"/>
              <w:autoSpaceDN w:val="0"/>
              <w:adjustRightInd w:val="0"/>
              <w:jc w:val="center"/>
            </w:pPr>
            <w:r w:rsidRPr="00F05B90">
              <w:t>(0.010)</w:t>
            </w:r>
          </w:p>
        </w:tc>
        <w:tc>
          <w:tcPr>
            <w:tcW w:w="4692" w:type="dxa"/>
            <w:hideMark/>
          </w:tcPr>
          <w:p w14:paraId="716B0A38" w14:textId="77777777" w:rsidR="00895BEB" w:rsidRPr="00F05B90" w:rsidRDefault="00895BEB">
            <w:pPr>
              <w:widowControl w:val="0"/>
              <w:autoSpaceDE w:val="0"/>
              <w:autoSpaceDN w:val="0"/>
              <w:adjustRightInd w:val="0"/>
              <w:jc w:val="center"/>
            </w:pPr>
            <w:r w:rsidRPr="00F05B90">
              <w:t>(0.005)</w:t>
            </w:r>
          </w:p>
        </w:tc>
      </w:tr>
      <w:tr w:rsidR="00F05B90" w:rsidRPr="00F05B90" w14:paraId="684D6E5B" w14:textId="77777777" w:rsidTr="00895BEB">
        <w:tc>
          <w:tcPr>
            <w:tcW w:w="1656" w:type="dxa"/>
            <w:hideMark/>
          </w:tcPr>
          <w:p w14:paraId="2421292A" w14:textId="77777777" w:rsidR="00895BEB" w:rsidRPr="00F05B90" w:rsidRDefault="00895BEB">
            <w:pPr>
              <w:widowControl w:val="0"/>
              <w:autoSpaceDE w:val="0"/>
              <w:autoSpaceDN w:val="0"/>
              <w:adjustRightInd w:val="0"/>
            </w:pPr>
            <w:r w:rsidRPr="00F05B90">
              <w:rPr>
                <w:rFonts w:asciiTheme="majorBidi" w:hAnsiTheme="majorBidi"/>
              </w:rPr>
              <w:t>LOSS</w:t>
            </w:r>
          </w:p>
        </w:tc>
        <w:tc>
          <w:tcPr>
            <w:tcW w:w="2016" w:type="dxa"/>
            <w:hideMark/>
          </w:tcPr>
          <w:p w14:paraId="27350408" w14:textId="77777777" w:rsidR="00895BEB" w:rsidRPr="00F05B90" w:rsidRDefault="00895BEB">
            <w:pPr>
              <w:widowControl w:val="0"/>
              <w:autoSpaceDE w:val="0"/>
              <w:autoSpaceDN w:val="0"/>
              <w:adjustRightInd w:val="0"/>
              <w:jc w:val="center"/>
            </w:pPr>
            <w:r w:rsidRPr="00F05B90">
              <w:t>0.177</w:t>
            </w:r>
          </w:p>
        </w:tc>
        <w:tc>
          <w:tcPr>
            <w:tcW w:w="4692" w:type="dxa"/>
            <w:hideMark/>
          </w:tcPr>
          <w:p w14:paraId="37E85D3B" w14:textId="77777777" w:rsidR="00895BEB" w:rsidRPr="00F05B90" w:rsidRDefault="00895BEB">
            <w:pPr>
              <w:widowControl w:val="0"/>
              <w:autoSpaceDE w:val="0"/>
              <w:autoSpaceDN w:val="0"/>
              <w:adjustRightInd w:val="0"/>
              <w:jc w:val="center"/>
            </w:pPr>
            <w:r w:rsidRPr="00F05B90">
              <w:t>0.331</w:t>
            </w:r>
            <w:r w:rsidRPr="00F05B90">
              <w:rPr>
                <w:vertAlign w:val="superscript"/>
              </w:rPr>
              <w:t>***</w:t>
            </w:r>
          </w:p>
        </w:tc>
      </w:tr>
      <w:tr w:rsidR="00F05B90" w:rsidRPr="00F05B90" w14:paraId="51A747EB" w14:textId="77777777" w:rsidTr="00895BEB">
        <w:tc>
          <w:tcPr>
            <w:tcW w:w="1656" w:type="dxa"/>
          </w:tcPr>
          <w:p w14:paraId="7D8F95A9" w14:textId="77777777" w:rsidR="00895BEB" w:rsidRPr="00F05B90" w:rsidRDefault="00895BEB">
            <w:pPr>
              <w:widowControl w:val="0"/>
              <w:autoSpaceDE w:val="0"/>
              <w:autoSpaceDN w:val="0"/>
              <w:adjustRightInd w:val="0"/>
            </w:pPr>
          </w:p>
        </w:tc>
        <w:tc>
          <w:tcPr>
            <w:tcW w:w="2016" w:type="dxa"/>
            <w:hideMark/>
          </w:tcPr>
          <w:p w14:paraId="086D7739" w14:textId="77777777" w:rsidR="00895BEB" w:rsidRPr="00F05B90" w:rsidRDefault="00895BEB">
            <w:pPr>
              <w:widowControl w:val="0"/>
              <w:autoSpaceDE w:val="0"/>
              <w:autoSpaceDN w:val="0"/>
              <w:adjustRightInd w:val="0"/>
              <w:jc w:val="center"/>
            </w:pPr>
            <w:r w:rsidRPr="00F05B90">
              <w:t>(0.151)</w:t>
            </w:r>
          </w:p>
        </w:tc>
        <w:tc>
          <w:tcPr>
            <w:tcW w:w="4692" w:type="dxa"/>
            <w:hideMark/>
          </w:tcPr>
          <w:p w14:paraId="6A837EE0" w14:textId="77777777" w:rsidR="00895BEB" w:rsidRPr="00F05B90" w:rsidRDefault="00895BEB">
            <w:pPr>
              <w:widowControl w:val="0"/>
              <w:autoSpaceDE w:val="0"/>
              <w:autoSpaceDN w:val="0"/>
              <w:adjustRightInd w:val="0"/>
              <w:jc w:val="center"/>
            </w:pPr>
            <w:r w:rsidRPr="00F05B90">
              <w:t>(0.068)</w:t>
            </w:r>
          </w:p>
        </w:tc>
      </w:tr>
      <w:tr w:rsidR="00F05B90" w:rsidRPr="00F05B90" w14:paraId="515F8668" w14:textId="77777777" w:rsidTr="00895BEB">
        <w:tc>
          <w:tcPr>
            <w:tcW w:w="1656" w:type="dxa"/>
            <w:hideMark/>
          </w:tcPr>
          <w:p w14:paraId="197ED578" w14:textId="77777777" w:rsidR="00895BEB" w:rsidRPr="00F05B90" w:rsidRDefault="00895BEB">
            <w:pPr>
              <w:widowControl w:val="0"/>
              <w:autoSpaceDE w:val="0"/>
              <w:autoSpaceDN w:val="0"/>
              <w:adjustRightInd w:val="0"/>
            </w:pPr>
            <w:r w:rsidRPr="00F05B90">
              <w:rPr>
                <w:rFonts w:asciiTheme="majorBidi" w:hAnsiTheme="majorBidi"/>
              </w:rPr>
              <w:t>CurrentR</w:t>
            </w:r>
          </w:p>
        </w:tc>
        <w:tc>
          <w:tcPr>
            <w:tcW w:w="2016" w:type="dxa"/>
            <w:hideMark/>
          </w:tcPr>
          <w:p w14:paraId="31D020EE" w14:textId="77777777" w:rsidR="00895BEB" w:rsidRPr="00F05B90" w:rsidRDefault="00895BEB">
            <w:pPr>
              <w:widowControl w:val="0"/>
              <w:autoSpaceDE w:val="0"/>
              <w:autoSpaceDN w:val="0"/>
              <w:adjustRightInd w:val="0"/>
              <w:jc w:val="center"/>
            </w:pPr>
            <w:r w:rsidRPr="00F05B90">
              <w:t>-0.175</w:t>
            </w:r>
            <w:r w:rsidRPr="00F05B90">
              <w:rPr>
                <w:vertAlign w:val="superscript"/>
              </w:rPr>
              <w:t>***</w:t>
            </w:r>
          </w:p>
        </w:tc>
        <w:tc>
          <w:tcPr>
            <w:tcW w:w="4692" w:type="dxa"/>
            <w:hideMark/>
          </w:tcPr>
          <w:p w14:paraId="188C171E" w14:textId="77777777" w:rsidR="00895BEB" w:rsidRPr="00F05B90" w:rsidRDefault="00895BEB">
            <w:pPr>
              <w:widowControl w:val="0"/>
              <w:autoSpaceDE w:val="0"/>
              <w:autoSpaceDN w:val="0"/>
              <w:adjustRightInd w:val="0"/>
              <w:jc w:val="center"/>
            </w:pPr>
            <w:r w:rsidRPr="00F05B90">
              <w:t>-0.052</w:t>
            </w:r>
            <w:r w:rsidRPr="00F05B90">
              <w:rPr>
                <w:vertAlign w:val="superscript"/>
              </w:rPr>
              <w:t>**</w:t>
            </w:r>
          </w:p>
        </w:tc>
      </w:tr>
      <w:tr w:rsidR="00F05B90" w:rsidRPr="00F05B90" w14:paraId="74CA1CC1" w14:textId="77777777" w:rsidTr="00895BEB">
        <w:tc>
          <w:tcPr>
            <w:tcW w:w="1656" w:type="dxa"/>
          </w:tcPr>
          <w:p w14:paraId="58B41993" w14:textId="77777777" w:rsidR="00895BEB" w:rsidRPr="00F05B90" w:rsidRDefault="00895BEB">
            <w:pPr>
              <w:widowControl w:val="0"/>
              <w:autoSpaceDE w:val="0"/>
              <w:autoSpaceDN w:val="0"/>
              <w:adjustRightInd w:val="0"/>
            </w:pPr>
          </w:p>
        </w:tc>
        <w:tc>
          <w:tcPr>
            <w:tcW w:w="2016" w:type="dxa"/>
            <w:hideMark/>
          </w:tcPr>
          <w:p w14:paraId="1045F56C" w14:textId="77777777" w:rsidR="00895BEB" w:rsidRPr="00F05B90" w:rsidRDefault="00895BEB">
            <w:pPr>
              <w:widowControl w:val="0"/>
              <w:autoSpaceDE w:val="0"/>
              <w:autoSpaceDN w:val="0"/>
              <w:adjustRightInd w:val="0"/>
              <w:jc w:val="center"/>
            </w:pPr>
            <w:r w:rsidRPr="00F05B90">
              <w:t>(0.057)</w:t>
            </w:r>
          </w:p>
        </w:tc>
        <w:tc>
          <w:tcPr>
            <w:tcW w:w="4692" w:type="dxa"/>
            <w:hideMark/>
          </w:tcPr>
          <w:p w14:paraId="66E4DB9E" w14:textId="77777777" w:rsidR="00895BEB" w:rsidRPr="00F05B90" w:rsidRDefault="00895BEB">
            <w:pPr>
              <w:widowControl w:val="0"/>
              <w:autoSpaceDE w:val="0"/>
              <w:autoSpaceDN w:val="0"/>
              <w:adjustRightInd w:val="0"/>
              <w:jc w:val="center"/>
            </w:pPr>
            <w:r w:rsidRPr="00F05B90">
              <w:t>(0.026)</w:t>
            </w:r>
          </w:p>
        </w:tc>
      </w:tr>
      <w:tr w:rsidR="00F05B90" w:rsidRPr="00F05B90" w14:paraId="15529C7F" w14:textId="77777777" w:rsidTr="00895BEB">
        <w:tc>
          <w:tcPr>
            <w:tcW w:w="1656" w:type="dxa"/>
            <w:hideMark/>
          </w:tcPr>
          <w:p w14:paraId="08BE0896" w14:textId="77777777" w:rsidR="00895BEB" w:rsidRPr="00F05B90" w:rsidRDefault="00895BEB">
            <w:pPr>
              <w:widowControl w:val="0"/>
              <w:autoSpaceDE w:val="0"/>
              <w:autoSpaceDN w:val="0"/>
              <w:adjustRightInd w:val="0"/>
            </w:pPr>
            <w:r w:rsidRPr="00F05B90">
              <w:rPr>
                <w:rFonts w:asciiTheme="majorBidi" w:hAnsiTheme="majorBidi"/>
              </w:rPr>
              <w:t>ROA</w:t>
            </w:r>
          </w:p>
        </w:tc>
        <w:tc>
          <w:tcPr>
            <w:tcW w:w="2016" w:type="dxa"/>
            <w:hideMark/>
          </w:tcPr>
          <w:p w14:paraId="7D5C0854" w14:textId="77777777" w:rsidR="00895BEB" w:rsidRPr="00F05B90" w:rsidRDefault="00895BEB">
            <w:pPr>
              <w:widowControl w:val="0"/>
              <w:autoSpaceDE w:val="0"/>
              <w:autoSpaceDN w:val="0"/>
              <w:adjustRightInd w:val="0"/>
              <w:jc w:val="center"/>
            </w:pPr>
            <w:r w:rsidRPr="00F05B90">
              <w:t>-0.022</w:t>
            </w:r>
            <w:r w:rsidRPr="00F05B90">
              <w:rPr>
                <w:vertAlign w:val="superscript"/>
              </w:rPr>
              <w:t>***</w:t>
            </w:r>
          </w:p>
        </w:tc>
        <w:tc>
          <w:tcPr>
            <w:tcW w:w="4692" w:type="dxa"/>
            <w:hideMark/>
          </w:tcPr>
          <w:p w14:paraId="4EB8744D" w14:textId="77777777" w:rsidR="00895BEB" w:rsidRPr="00F05B90" w:rsidRDefault="00895BEB">
            <w:pPr>
              <w:widowControl w:val="0"/>
              <w:autoSpaceDE w:val="0"/>
              <w:autoSpaceDN w:val="0"/>
              <w:adjustRightInd w:val="0"/>
              <w:jc w:val="center"/>
            </w:pPr>
            <w:r w:rsidRPr="00F05B90">
              <w:t>0.036</w:t>
            </w:r>
            <w:r w:rsidRPr="00F05B90">
              <w:rPr>
                <w:vertAlign w:val="superscript"/>
              </w:rPr>
              <w:t>***</w:t>
            </w:r>
          </w:p>
        </w:tc>
      </w:tr>
      <w:tr w:rsidR="00F05B90" w:rsidRPr="00F05B90" w14:paraId="44C2115A" w14:textId="77777777" w:rsidTr="00895BEB">
        <w:tc>
          <w:tcPr>
            <w:tcW w:w="1656" w:type="dxa"/>
          </w:tcPr>
          <w:p w14:paraId="1D4A648B" w14:textId="77777777" w:rsidR="00895BEB" w:rsidRPr="00F05B90" w:rsidRDefault="00895BEB">
            <w:pPr>
              <w:widowControl w:val="0"/>
              <w:autoSpaceDE w:val="0"/>
              <w:autoSpaceDN w:val="0"/>
              <w:adjustRightInd w:val="0"/>
            </w:pPr>
          </w:p>
        </w:tc>
        <w:tc>
          <w:tcPr>
            <w:tcW w:w="2016" w:type="dxa"/>
            <w:hideMark/>
          </w:tcPr>
          <w:p w14:paraId="49FFE902" w14:textId="77777777" w:rsidR="00895BEB" w:rsidRPr="00F05B90" w:rsidRDefault="00895BEB">
            <w:pPr>
              <w:widowControl w:val="0"/>
              <w:autoSpaceDE w:val="0"/>
              <w:autoSpaceDN w:val="0"/>
              <w:adjustRightInd w:val="0"/>
              <w:jc w:val="center"/>
            </w:pPr>
            <w:r w:rsidRPr="00F05B90">
              <w:t>(0.006)</w:t>
            </w:r>
          </w:p>
        </w:tc>
        <w:tc>
          <w:tcPr>
            <w:tcW w:w="4692" w:type="dxa"/>
            <w:hideMark/>
          </w:tcPr>
          <w:p w14:paraId="799ADA9F" w14:textId="77777777" w:rsidR="00895BEB" w:rsidRPr="00F05B90" w:rsidRDefault="00895BEB">
            <w:pPr>
              <w:widowControl w:val="0"/>
              <w:autoSpaceDE w:val="0"/>
              <w:autoSpaceDN w:val="0"/>
              <w:adjustRightInd w:val="0"/>
              <w:jc w:val="center"/>
            </w:pPr>
            <w:r w:rsidRPr="00F05B90">
              <w:t>(0.003)</w:t>
            </w:r>
          </w:p>
        </w:tc>
      </w:tr>
      <w:tr w:rsidR="00F05B90" w:rsidRPr="00F05B90" w14:paraId="284DBEA4" w14:textId="77777777" w:rsidTr="00895BEB">
        <w:tc>
          <w:tcPr>
            <w:tcW w:w="1656" w:type="dxa"/>
            <w:hideMark/>
          </w:tcPr>
          <w:p w14:paraId="642092D1" w14:textId="77777777" w:rsidR="00895BEB" w:rsidRPr="00F05B90" w:rsidRDefault="00895BEB">
            <w:pPr>
              <w:widowControl w:val="0"/>
              <w:autoSpaceDE w:val="0"/>
              <w:autoSpaceDN w:val="0"/>
              <w:adjustRightInd w:val="0"/>
            </w:pPr>
            <w:r w:rsidRPr="00F05B90">
              <w:rPr>
                <w:rFonts w:asciiTheme="majorBidi" w:hAnsiTheme="majorBidi"/>
              </w:rPr>
              <w:t>Employees</w:t>
            </w:r>
          </w:p>
        </w:tc>
        <w:tc>
          <w:tcPr>
            <w:tcW w:w="2016" w:type="dxa"/>
            <w:hideMark/>
          </w:tcPr>
          <w:p w14:paraId="50AD560F" w14:textId="77777777" w:rsidR="00895BEB" w:rsidRPr="00F05B90" w:rsidRDefault="00895BEB">
            <w:pPr>
              <w:widowControl w:val="0"/>
              <w:autoSpaceDE w:val="0"/>
              <w:autoSpaceDN w:val="0"/>
              <w:adjustRightInd w:val="0"/>
              <w:jc w:val="center"/>
            </w:pPr>
            <w:r w:rsidRPr="00F05B90">
              <w:t>0.000</w:t>
            </w:r>
            <w:r w:rsidRPr="00F05B90">
              <w:rPr>
                <w:vertAlign w:val="superscript"/>
              </w:rPr>
              <w:t>***</w:t>
            </w:r>
          </w:p>
        </w:tc>
        <w:tc>
          <w:tcPr>
            <w:tcW w:w="4692" w:type="dxa"/>
            <w:hideMark/>
          </w:tcPr>
          <w:p w14:paraId="24CB5A23" w14:textId="77777777" w:rsidR="00895BEB" w:rsidRPr="00F05B90" w:rsidRDefault="00895BEB">
            <w:pPr>
              <w:widowControl w:val="0"/>
              <w:autoSpaceDE w:val="0"/>
              <w:autoSpaceDN w:val="0"/>
              <w:adjustRightInd w:val="0"/>
              <w:jc w:val="center"/>
            </w:pPr>
            <w:r w:rsidRPr="00F05B90">
              <w:t>-0.000</w:t>
            </w:r>
            <w:r w:rsidRPr="00F05B90">
              <w:rPr>
                <w:vertAlign w:val="superscript"/>
              </w:rPr>
              <w:t>**</w:t>
            </w:r>
          </w:p>
        </w:tc>
      </w:tr>
      <w:tr w:rsidR="00F05B90" w:rsidRPr="00F05B90" w14:paraId="1F300AF6" w14:textId="77777777" w:rsidTr="00895BEB">
        <w:tc>
          <w:tcPr>
            <w:tcW w:w="1656" w:type="dxa"/>
          </w:tcPr>
          <w:p w14:paraId="49976FD2" w14:textId="77777777" w:rsidR="00895BEB" w:rsidRPr="00F05B90" w:rsidRDefault="00895BEB">
            <w:pPr>
              <w:widowControl w:val="0"/>
              <w:autoSpaceDE w:val="0"/>
              <w:autoSpaceDN w:val="0"/>
              <w:adjustRightInd w:val="0"/>
            </w:pPr>
          </w:p>
        </w:tc>
        <w:tc>
          <w:tcPr>
            <w:tcW w:w="2016" w:type="dxa"/>
            <w:hideMark/>
          </w:tcPr>
          <w:p w14:paraId="51A9A7C0" w14:textId="77777777" w:rsidR="00895BEB" w:rsidRPr="00F05B90" w:rsidRDefault="00895BEB">
            <w:pPr>
              <w:widowControl w:val="0"/>
              <w:autoSpaceDE w:val="0"/>
              <w:autoSpaceDN w:val="0"/>
              <w:adjustRightInd w:val="0"/>
              <w:jc w:val="center"/>
            </w:pPr>
            <w:r w:rsidRPr="00F05B90">
              <w:t>(0.000)</w:t>
            </w:r>
          </w:p>
        </w:tc>
        <w:tc>
          <w:tcPr>
            <w:tcW w:w="4692" w:type="dxa"/>
            <w:hideMark/>
          </w:tcPr>
          <w:p w14:paraId="74955021" w14:textId="77777777" w:rsidR="00895BEB" w:rsidRPr="00F05B90" w:rsidRDefault="00895BEB">
            <w:pPr>
              <w:widowControl w:val="0"/>
              <w:autoSpaceDE w:val="0"/>
              <w:autoSpaceDN w:val="0"/>
              <w:adjustRightInd w:val="0"/>
              <w:jc w:val="center"/>
            </w:pPr>
            <w:r w:rsidRPr="00F05B90">
              <w:t>(0.000)</w:t>
            </w:r>
          </w:p>
        </w:tc>
      </w:tr>
      <w:tr w:rsidR="00F05B90" w:rsidRPr="00F05B90" w14:paraId="658A3DDF" w14:textId="77777777" w:rsidTr="00895BEB">
        <w:tc>
          <w:tcPr>
            <w:tcW w:w="1656" w:type="dxa"/>
            <w:hideMark/>
          </w:tcPr>
          <w:p w14:paraId="11213458" w14:textId="77777777" w:rsidR="00895BEB" w:rsidRPr="00F05B90" w:rsidRDefault="00895BEB">
            <w:pPr>
              <w:widowControl w:val="0"/>
              <w:autoSpaceDE w:val="0"/>
              <w:autoSpaceDN w:val="0"/>
              <w:adjustRightInd w:val="0"/>
            </w:pPr>
            <w:r w:rsidRPr="00F05B90">
              <w:rPr>
                <w:rFonts w:asciiTheme="majorBidi" w:hAnsiTheme="majorBidi"/>
              </w:rPr>
              <w:t>CEOR</w:t>
            </w:r>
          </w:p>
        </w:tc>
        <w:tc>
          <w:tcPr>
            <w:tcW w:w="2016" w:type="dxa"/>
            <w:hideMark/>
          </w:tcPr>
          <w:p w14:paraId="41E1D78E" w14:textId="77777777" w:rsidR="00895BEB" w:rsidRPr="00F05B90" w:rsidRDefault="00895BEB">
            <w:pPr>
              <w:widowControl w:val="0"/>
              <w:autoSpaceDE w:val="0"/>
              <w:autoSpaceDN w:val="0"/>
              <w:adjustRightInd w:val="0"/>
              <w:jc w:val="center"/>
            </w:pPr>
            <w:r w:rsidRPr="00F05B90">
              <w:t>0.019</w:t>
            </w:r>
          </w:p>
        </w:tc>
        <w:tc>
          <w:tcPr>
            <w:tcW w:w="4692" w:type="dxa"/>
            <w:hideMark/>
          </w:tcPr>
          <w:p w14:paraId="10173649" w14:textId="77777777" w:rsidR="00895BEB" w:rsidRPr="00F05B90" w:rsidRDefault="00895BEB">
            <w:pPr>
              <w:widowControl w:val="0"/>
              <w:autoSpaceDE w:val="0"/>
              <w:autoSpaceDN w:val="0"/>
              <w:adjustRightInd w:val="0"/>
              <w:jc w:val="center"/>
            </w:pPr>
            <w:r w:rsidRPr="00F05B90">
              <w:t>-0.012</w:t>
            </w:r>
            <w:r w:rsidRPr="00F05B90">
              <w:rPr>
                <w:vertAlign w:val="superscript"/>
              </w:rPr>
              <w:t>**</w:t>
            </w:r>
          </w:p>
        </w:tc>
      </w:tr>
      <w:tr w:rsidR="00F05B90" w:rsidRPr="00F05B90" w14:paraId="61938396" w14:textId="77777777" w:rsidTr="00895BEB">
        <w:tc>
          <w:tcPr>
            <w:tcW w:w="1656" w:type="dxa"/>
          </w:tcPr>
          <w:p w14:paraId="03748C6D" w14:textId="77777777" w:rsidR="00895BEB" w:rsidRPr="00F05B90" w:rsidRDefault="00895BEB">
            <w:pPr>
              <w:widowControl w:val="0"/>
              <w:autoSpaceDE w:val="0"/>
              <w:autoSpaceDN w:val="0"/>
              <w:adjustRightInd w:val="0"/>
            </w:pPr>
          </w:p>
        </w:tc>
        <w:tc>
          <w:tcPr>
            <w:tcW w:w="2016" w:type="dxa"/>
            <w:hideMark/>
          </w:tcPr>
          <w:p w14:paraId="293BE11B" w14:textId="77777777" w:rsidR="00895BEB" w:rsidRPr="00F05B90" w:rsidRDefault="00895BEB">
            <w:pPr>
              <w:widowControl w:val="0"/>
              <w:autoSpaceDE w:val="0"/>
              <w:autoSpaceDN w:val="0"/>
              <w:adjustRightInd w:val="0"/>
              <w:jc w:val="center"/>
            </w:pPr>
            <w:r w:rsidRPr="00F05B90">
              <w:t>(0.012)</w:t>
            </w:r>
          </w:p>
        </w:tc>
        <w:tc>
          <w:tcPr>
            <w:tcW w:w="4692" w:type="dxa"/>
            <w:hideMark/>
          </w:tcPr>
          <w:p w14:paraId="7937826D" w14:textId="77777777" w:rsidR="00895BEB" w:rsidRPr="00F05B90" w:rsidRDefault="00895BEB">
            <w:pPr>
              <w:widowControl w:val="0"/>
              <w:autoSpaceDE w:val="0"/>
              <w:autoSpaceDN w:val="0"/>
              <w:adjustRightInd w:val="0"/>
              <w:jc w:val="center"/>
            </w:pPr>
            <w:r w:rsidRPr="00F05B90">
              <w:t>(0.005)</w:t>
            </w:r>
          </w:p>
        </w:tc>
      </w:tr>
      <w:tr w:rsidR="00F05B90" w:rsidRPr="00F05B90" w14:paraId="0864CEBC" w14:textId="77777777" w:rsidTr="00895BEB">
        <w:tc>
          <w:tcPr>
            <w:tcW w:w="1656" w:type="dxa"/>
            <w:hideMark/>
          </w:tcPr>
          <w:p w14:paraId="732BF239" w14:textId="77777777" w:rsidR="00895BEB" w:rsidRPr="00F05B90" w:rsidRDefault="00895BEB">
            <w:pPr>
              <w:widowControl w:val="0"/>
              <w:autoSpaceDE w:val="0"/>
              <w:autoSpaceDN w:val="0"/>
              <w:adjustRightInd w:val="0"/>
            </w:pPr>
            <w:r w:rsidRPr="00F05B90">
              <w:rPr>
                <w:rFonts w:asciiTheme="majorBidi" w:hAnsiTheme="majorBidi"/>
              </w:rPr>
              <w:t>CEOGender</w:t>
            </w:r>
          </w:p>
        </w:tc>
        <w:tc>
          <w:tcPr>
            <w:tcW w:w="2016" w:type="dxa"/>
            <w:hideMark/>
          </w:tcPr>
          <w:p w14:paraId="77F861A6" w14:textId="77777777" w:rsidR="00895BEB" w:rsidRPr="00F05B90" w:rsidRDefault="00895BEB">
            <w:pPr>
              <w:widowControl w:val="0"/>
              <w:autoSpaceDE w:val="0"/>
              <w:autoSpaceDN w:val="0"/>
              <w:adjustRightInd w:val="0"/>
              <w:jc w:val="center"/>
            </w:pPr>
            <w:r w:rsidRPr="00F05B90">
              <w:t>-0.167</w:t>
            </w:r>
          </w:p>
        </w:tc>
        <w:tc>
          <w:tcPr>
            <w:tcW w:w="4692" w:type="dxa"/>
            <w:hideMark/>
          </w:tcPr>
          <w:p w14:paraId="0EC721B5" w14:textId="77777777" w:rsidR="00895BEB" w:rsidRPr="00F05B90" w:rsidRDefault="00895BEB">
            <w:pPr>
              <w:widowControl w:val="0"/>
              <w:autoSpaceDE w:val="0"/>
              <w:autoSpaceDN w:val="0"/>
              <w:adjustRightInd w:val="0"/>
              <w:jc w:val="center"/>
            </w:pPr>
            <w:r w:rsidRPr="00F05B90">
              <w:t>-0.247</w:t>
            </w:r>
            <w:r w:rsidRPr="00F05B90">
              <w:rPr>
                <w:vertAlign w:val="superscript"/>
              </w:rPr>
              <w:t>***</w:t>
            </w:r>
          </w:p>
        </w:tc>
      </w:tr>
      <w:tr w:rsidR="00F05B90" w:rsidRPr="00F05B90" w14:paraId="32B9387D" w14:textId="77777777" w:rsidTr="00895BEB">
        <w:tc>
          <w:tcPr>
            <w:tcW w:w="1656" w:type="dxa"/>
          </w:tcPr>
          <w:p w14:paraId="1E5BBBB2" w14:textId="77777777" w:rsidR="00895BEB" w:rsidRPr="00F05B90" w:rsidRDefault="00895BEB">
            <w:pPr>
              <w:widowControl w:val="0"/>
              <w:autoSpaceDE w:val="0"/>
              <w:autoSpaceDN w:val="0"/>
              <w:adjustRightInd w:val="0"/>
            </w:pPr>
          </w:p>
        </w:tc>
        <w:tc>
          <w:tcPr>
            <w:tcW w:w="2016" w:type="dxa"/>
            <w:hideMark/>
          </w:tcPr>
          <w:p w14:paraId="403C5463" w14:textId="77777777" w:rsidR="00895BEB" w:rsidRPr="00F05B90" w:rsidRDefault="00895BEB">
            <w:pPr>
              <w:widowControl w:val="0"/>
              <w:autoSpaceDE w:val="0"/>
              <w:autoSpaceDN w:val="0"/>
              <w:adjustRightInd w:val="0"/>
              <w:jc w:val="center"/>
            </w:pPr>
            <w:r w:rsidRPr="00F05B90">
              <w:t>(0.197)</w:t>
            </w:r>
          </w:p>
        </w:tc>
        <w:tc>
          <w:tcPr>
            <w:tcW w:w="4692" w:type="dxa"/>
            <w:hideMark/>
          </w:tcPr>
          <w:p w14:paraId="657E20B2" w14:textId="77777777" w:rsidR="00895BEB" w:rsidRPr="00F05B90" w:rsidRDefault="00895BEB">
            <w:pPr>
              <w:widowControl w:val="0"/>
              <w:autoSpaceDE w:val="0"/>
              <w:autoSpaceDN w:val="0"/>
              <w:adjustRightInd w:val="0"/>
              <w:jc w:val="center"/>
            </w:pPr>
            <w:r w:rsidRPr="00F05B90">
              <w:t>(0.088)</w:t>
            </w:r>
          </w:p>
        </w:tc>
      </w:tr>
      <w:tr w:rsidR="00F05B90" w:rsidRPr="00F05B90" w14:paraId="67648D92" w14:textId="77777777" w:rsidTr="00895BEB">
        <w:tc>
          <w:tcPr>
            <w:tcW w:w="1656" w:type="dxa"/>
            <w:hideMark/>
          </w:tcPr>
          <w:p w14:paraId="06B8D580" w14:textId="77777777" w:rsidR="00895BEB" w:rsidRPr="00F05B90" w:rsidRDefault="00895BEB">
            <w:pPr>
              <w:widowControl w:val="0"/>
              <w:autoSpaceDE w:val="0"/>
              <w:autoSpaceDN w:val="0"/>
              <w:adjustRightInd w:val="0"/>
            </w:pPr>
            <w:r w:rsidRPr="00F05B90">
              <w:rPr>
                <w:rFonts w:asciiTheme="majorBidi" w:hAnsiTheme="majorBidi"/>
              </w:rPr>
              <w:t>Retire</w:t>
            </w:r>
          </w:p>
        </w:tc>
        <w:tc>
          <w:tcPr>
            <w:tcW w:w="2016" w:type="dxa"/>
            <w:hideMark/>
          </w:tcPr>
          <w:p w14:paraId="7BE34AEA" w14:textId="77777777" w:rsidR="00895BEB" w:rsidRPr="00F05B90" w:rsidRDefault="00895BEB">
            <w:pPr>
              <w:widowControl w:val="0"/>
              <w:autoSpaceDE w:val="0"/>
              <w:autoSpaceDN w:val="0"/>
              <w:adjustRightInd w:val="0"/>
              <w:jc w:val="center"/>
            </w:pPr>
            <w:r w:rsidRPr="00F05B90">
              <w:t>0.169</w:t>
            </w:r>
          </w:p>
        </w:tc>
        <w:tc>
          <w:tcPr>
            <w:tcW w:w="4692" w:type="dxa"/>
            <w:hideMark/>
          </w:tcPr>
          <w:p w14:paraId="59BDF4C8" w14:textId="77777777" w:rsidR="00895BEB" w:rsidRPr="00F05B90" w:rsidRDefault="00895BEB">
            <w:pPr>
              <w:widowControl w:val="0"/>
              <w:autoSpaceDE w:val="0"/>
              <w:autoSpaceDN w:val="0"/>
              <w:adjustRightInd w:val="0"/>
              <w:jc w:val="center"/>
            </w:pPr>
            <w:r w:rsidRPr="00F05B90">
              <w:t>-0.091</w:t>
            </w:r>
          </w:p>
        </w:tc>
      </w:tr>
      <w:tr w:rsidR="00F05B90" w:rsidRPr="00F05B90" w14:paraId="65E94308" w14:textId="77777777" w:rsidTr="00895BEB">
        <w:tc>
          <w:tcPr>
            <w:tcW w:w="1656" w:type="dxa"/>
          </w:tcPr>
          <w:p w14:paraId="17980FFB" w14:textId="77777777" w:rsidR="00895BEB" w:rsidRPr="00F05B90" w:rsidRDefault="00895BEB">
            <w:pPr>
              <w:widowControl w:val="0"/>
              <w:autoSpaceDE w:val="0"/>
              <w:autoSpaceDN w:val="0"/>
              <w:adjustRightInd w:val="0"/>
            </w:pPr>
          </w:p>
        </w:tc>
        <w:tc>
          <w:tcPr>
            <w:tcW w:w="2016" w:type="dxa"/>
            <w:hideMark/>
          </w:tcPr>
          <w:p w14:paraId="3FA9BFEA" w14:textId="77777777" w:rsidR="00895BEB" w:rsidRPr="00F05B90" w:rsidRDefault="00895BEB">
            <w:pPr>
              <w:widowControl w:val="0"/>
              <w:autoSpaceDE w:val="0"/>
              <w:autoSpaceDN w:val="0"/>
              <w:adjustRightInd w:val="0"/>
              <w:jc w:val="center"/>
            </w:pPr>
            <w:r w:rsidRPr="00F05B90">
              <w:t>(0.172)</w:t>
            </w:r>
          </w:p>
        </w:tc>
        <w:tc>
          <w:tcPr>
            <w:tcW w:w="4692" w:type="dxa"/>
            <w:hideMark/>
          </w:tcPr>
          <w:p w14:paraId="6E344288" w14:textId="77777777" w:rsidR="00895BEB" w:rsidRPr="00F05B90" w:rsidRDefault="00895BEB">
            <w:pPr>
              <w:widowControl w:val="0"/>
              <w:autoSpaceDE w:val="0"/>
              <w:autoSpaceDN w:val="0"/>
              <w:adjustRightInd w:val="0"/>
              <w:jc w:val="center"/>
            </w:pPr>
            <w:r w:rsidRPr="00F05B90">
              <w:t>(0.077)</w:t>
            </w:r>
          </w:p>
        </w:tc>
      </w:tr>
      <w:tr w:rsidR="00F05B90" w:rsidRPr="00F05B90" w14:paraId="1E6C3C3B" w14:textId="77777777" w:rsidTr="00895BEB">
        <w:tc>
          <w:tcPr>
            <w:tcW w:w="1656" w:type="dxa"/>
            <w:hideMark/>
          </w:tcPr>
          <w:p w14:paraId="40BD6BD6" w14:textId="77777777" w:rsidR="00895BEB" w:rsidRPr="00F05B90" w:rsidRDefault="00895BEB">
            <w:pPr>
              <w:widowControl w:val="0"/>
              <w:autoSpaceDE w:val="0"/>
              <w:autoSpaceDN w:val="0"/>
              <w:adjustRightInd w:val="0"/>
            </w:pPr>
            <w:r w:rsidRPr="00F05B90">
              <w:rPr>
                <w:rFonts w:asciiTheme="majorBidi" w:hAnsiTheme="majorBidi"/>
              </w:rPr>
              <w:t>Insider</w:t>
            </w:r>
          </w:p>
        </w:tc>
        <w:tc>
          <w:tcPr>
            <w:tcW w:w="2016" w:type="dxa"/>
            <w:hideMark/>
          </w:tcPr>
          <w:p w14:paraId="3DDEDA18" w14:textId="77777777" w:rsidR="00895BEB" w:rsidRPr="00F05B90" w:rsidRDefault="00895BEB">
            <w:pPr>
              <w:widowControl w:val="0"/>
              <w:autoSpaceDE w:val="0"/>
              <w:autoSpaceDN w:val="0"/>
              <w:adjustRightInd w:val="0"/>
              <w:jc w:val="center"/>
            </w:pPr>
            <w:r w:rsidRPr="00F05B90">
              <w:t>0.238</w:t>
            </w:r>
            <w:r w:rsidRPr="00F05B90">
              <w:rPr>
                <w:vertAlign w:val="superscript"/>
              </w:rPr>
              <w:t>**</w:t>
            </w:r>
          </w:p>
        </w:tc>
        <w:tc>
          <w:tcPr>
            <w:tcW w:w="4692" w:type="dxa"/>
            <w:hideMark/>
          </w:tcPr>
          <w:p w14:paraId="29618D08" w14:textId="77777777" w:rsidR="00895BEB" w:rsidRPr="00F05B90" w:rsidRDefault="00895BEB">
            <w:pPr>
              <w:widowControl w:val="0"/>
              <w:autoSpaceDE w:val="0"/>
              <w:autoSpaceDN w:val="0"/>
              <w:adjustRightInd w:val="0"/>
              <w:jc w:val="center"/>
            </w:pPr>
            <w:r w:rsidRPr="00F05B90">
              <w:t>0.001</w:t>
            </w:r>
          </w:p>
        </w:tc>
      </w:tr>
      <w:tr w:rsidR="00F05B90" w:rsidRPr="00F05B90" w14:paraId="3C5E40C5" w14:textId="77777777" w:rsidTr="00895BEB">
        <w:tc>
          <w:tcPr>
            <w:tcW w:w="1656" w:type="dxa"/>
          </w:tcPr>
          <w:p w14:paraId="394F727C" w14:textId="77777777" w:rsidR="00895BEB" w:rsidRPr="00F05B90" w:rsidRDefault="00895BEB">
            <w:pPr>
              <w:widowControl w:val="0"/>
              <w:autoSpaceDE w:val="0"/>
              <w:autoSpaceDN w:val="0"/>
              <w:adjustRightInd w:val="0"/>
            </w:pPr>
          </w:p>
        </w:tc>
        <w:tc>
          <w:tcPr>
            <w:tcW w:w="2016" w:type="dxa"/>
            <w:hideMark/>
          </w:tcPr>
          <w:p w14:paraId="37E7CABA" w14:textId="77777777" w:rsidR="00895BEB" w:rsidRPr="00F05B90" w:rsidRDefault="00895BEB">
            <w:pPr>
              <w:widowControl w:val="0"/>
              <w:autoSpaceDE w:val="0"/>
              <w:autoSpaceDN w:val="0"/>
              <w:adjustRightInd w:val="0"/>
              <w:jc w:val="center"/>
            </w:pPr>
            <w:r w:rsidRPr="00F05B90">
              <w:t>(0.093)</w:t>
            </w:r>
          </w:p>
        </w:tc>
        <w:tc>
          <w:tcPr>
            <w:tcW w:w="4692" w:type="dxa"/>
            <w:hideMark/>
          </w:tcPr>
          <w:p w14:paraId="52590694" w14:textId="77777777" w:rsidR="00895BEB" w:rsidRPr="00F05B90" w:rsidRDefault="00895BEB">
            <w:pPr>
              <w:widowControl w:val="0"/>
              <w:autoSpaceDE w:val="0"/>
              <w:autoSpaceDN w:val="0"/>
              <w:adjustRightInd w:val="0"/>
              <w:jc w:val="center"/>
            </w:pPr>
            <w:r w:rsidRPr="00F05B90">
              <w:t>(0.042)</w:t>
            </w:r>
          </w:p>
        </w:tc>
      </w:tr>
      <w:tr w:rsidR="00F05B90" w:rsidRPr="00F05B90" w14:paraId="354CC94C" w14:textId="77777777" w:rsidTr="00895BEB">
        <w:tc>
          <w:tcPr>
            <w:tcW w:w="1656" w:type="dxa"/>
            <w:hideMark/>
          </w:tcPr>
          <w:p w14:paraId="06E799B7" w14:textId="77777777" w:rsidR="00895BEB" w:rsidRPr="00F05B90" w:rsidRDefault="00895BEB">
            <w:pPr>
              <w:widowControl w:val="0"/>
              <w:autoSpaceDE w:val="0"/>
              <w:autoSpaceDN w:val="0"/>
              <w:adjustRightInd w:val="0"/>
            </w:pPr>
            <w:r w:rsidRPr="00F05B90">
              <w:t>_cons</w:t>
            </w:r>
          </w:p>
        </w:tc>
        <w:tc>
          <w:tcPr>
            <w:tcW w:w="2016" w:type="dxa"/>
            <w:hideMark/>
          </w:tcPr>
          <w:p w14:paraId="7E00B447" w14:textId="77777777" w:rsidR="00895BEB" w:rsidRPr="00F05B90" w:rsidRDefault="00895BEB">
            <w:pPr>
              <w:widowControl w:val="0"/>
              <w:autoSpaceDE w:val="0"/>
              <w:autoSpaceDN w:val="0"/>
              <w:adjustRightInd w:val="0"/>
              <w:jc w:val="center"/>
            </w:pPr>
            <w:r w:rsidRPr="00F05B90">
              <w:t>4.012</w:t>
            </w:r>
            <w:r w:rsidRPr="00F05B90">
              <w:rPr>
                <w:vertAlign w:val="superscript"/>
              </w:rPr>
              <w:t>***</w:t>
            </w:r>
          </w:p>
        </w:tc>
        <w:tc>
          <w:tcPr>
            <w:tcW w:w="4692" w:type="dxa"/>
            <w:hideMark/>
          </w:tcPr>
          <w:p w14:paraId="7C110DD6" w14:textId="77777777" w:rsidR="00895BEB" w:rsidRPr="00F05B90" w:rsidRDefault="00895BEB">
            <w:pPr>
              <w:widowControl w:val="0"/>
              <w:autoSpaceDE w:val="0"/>
              <w:autoSpaceDN w:val="0"/>
              <w:adjustRightInd w:val="0"/>
              <w:jc w:val="center"/>
            </w:pPr>
            <w:r w:rsidRPr="00F05B90">
              <w:t>0.725</w:t>
            </w:r>
            <w:r w:rsidRPr="00F05B90">
              <w:rPr>
                <w:vertAlign w:val="superscript"/>
              </w:rPr>
              <w:t>**</w:t>
            </w:r>
          </w:p>
        </w:tc>
      </w:tr>
      <w:tr w:rsidR="00F05B90" w:rsidRPr="00F05B90" w14:paraId="02672A5B" w14:textId="77777777" w:rsidTr="00895BEB">
        <w:tc>
          <w:tcPr>
            <w:tcW w:w="1656" w:type="dxa"/>
            <w:tcBorders>
              <w:top w:val="nil"/>
              <w:left w:val="nil"/>
              <w:bottom w:val="single" w:sz="4" w:space="0" w:color="auto"/>
              <w:right w:val="nil"/>
            </w:tcBorders>
          </w:tcPr>
          <w:p w14:paraId="5DD33A81" w14:textId="77777777" w:rsidR="00895BEB" w:rsidRPr="00F05B90" w:rsidRDefault="00895BEB">
            <w:pPr>
              <w:widowControl w:val="0"/>
              <w:autoSpaceDE w:val="0"/>
              <w:autoSpaceDN w:val="0"/>
              <w:adjustRightInd w:val="0"/>
            </w:pPr>
          </w:p>
        </w:tc>
        <w:tc>
          <w:tcPr>
            <w:tcW w:w="2016" w:type="dxa"/>
            <w:tcBorders>
              <w:top w:val="nil"/>
              <w:left w:val="nil"/>
              <w:bottom w:val="single" w:sz="4" w:space="0" w:color="auto"/>
              <w:right w:val="nil"/>
            </w:tcBorders>
            <w:hideMark/>
          </w:tcPr>
          <w:p w14:paraId="0B785529" w14:textId="77777777" w:rsidR="00895BEB" w:rsidRPr="00F05B90" w:rsidRDefault="00895BEB">
            <w:pPr>
              <w:widowControl w:val="0"/>
              <w:autoSpaceDE w:val="0"/>
              <w:autoSpaceDN w:val="0"/>
              <w:adjustRightInd w:val="0"/>
              <w:jc w:val="center"/>
            </w:pPr>
            <w:r w:rsidRPr="00F05B90">
              <w:t>(0.773)</w:t>
            </w:r>
          </w:p>
        </w:tc>
        <w:tc>
          <w:tcPr>
            <w:tcW w:w="4692" w:type="dxa"/>
            <w:tcBorders>
              <w:top w:val="nil"/>
              <w:left w:val="nil"/>
              <w:bottom w:val="single" w:sz="4" w:space="0" w:color="auto"/>
              <w:right w:val="nil"/>
            </w:tcBorders>
            <w:hideMark/>
          </w:tcPr>
          <w:p w14:paraId="2267C7C2" w14:textId="77777777" w:rsidR="00895BEB" w:rsidRPr="00F05B90" w:rsidRDefault="00895BEB">
            <w:pPr>
              <w:widowControl w:val="0"/>
              <w:autoSpaceDE w:val="0"/>
              <w:autoSpaceDN w:val="0"/>
              <w:adjustRightInd w:val="0"/>
              <w:jc w:val="center"/>
            </w:pPr>
            <w:r w:rsidRPr="00F05B90">
              <w:t>(0.346)</w:t>
            </w:r>
          </w:p>
        </w:tc>
      </w:tr>
      <w:tr w:rsidR="00F05B90" w:rsidRPr="00F05B90" w14:paraId="513AFC49" w14:textId="77777777" w:rsidTr="00895BEB">
        <w:tc>
          <w:tcPr>
            <w:tcW w:w="1656" w:type="dxa"/>
            <w:tcBorders>
              <w:top w:val="single" w:sz="4" w:space="0" w:color="auto"/>
              <w:left w:val="nil"/>
              <w:bottom w:val="nil"/>
              <w:right w:val="nil"/>
            </w:tcBorders>
            <w:hideMark/>
          </w:tcPr>
          <w:p w14:paraId="4AD0A678" w14:textId="77777777" w:rsidR="00895BEB" w:rsidRPr="00F05B90" w:rsidRDefault="00895BEB">
            <w:pPr>
              <w:widowControl w:val="0"/>
              <w:autoSpaceDE w:val="0"/>
              <w:autoSpaceDN w:val="0"/>
              <w:adjustRightInd w:val="0"/>
            </w:pPr>
            <w:r w:rsidRPr="00F05B90">
              <w:rPr>
                <w:i/>
                <w:iCs/>
              </w:rPr>
              <w:t>R</w:t>
            </w:r>
            <w:r w:rsidRPr="00F05B90">
              <w:rPr>
                <w:vertAlign w:val="superscript"/>
              </w:rPr>
              <w:t>2</w:t>
            </w:r>
          </w:p>
        </w:tc>
        <w:tc>
          <w:tcPr>
            <w:tcW w:w="2016" w:type="dxa"/>
            <w:tcBorders>
              <w:top w:val="single" w:sz="4" w:space="0" w:color="auto"/>
              <w:left w:val="nil"/>
              <w:bottom w:val="nil"/>
              <w:right w:val="nil"/>
            </w:tcBorders>
            <w:hideMark/>
          </w:tcPr>
          <w:p w14:paraId="418F3964" w14:textId="77777777" w:rsidR="00895BEB" w:rsidRPr="00F05B90" w:rsidRDefault="00895BEB">
            <w:pPr>
              <w:widowControl w:val="0"/>
              <w:autoSpaceDE w:val="0"/>
              <w:autoSpaceDN w:val="0"/>
              <w:adjustRightInd w:val="0"/>
              <w:jc w:val="center"/>
            </w:pPr>
            <w:r w:rsidRPr="00F05B90">
              <w:t>0.305</w:t>
            </w:r>
          </w:p>
        </w:tc>
        <w:tc>
          <w:tcPr>
            <w:tcW w:w="4692" w:type="dxa"/>
            <w:tcBorders>
              <w:top w:val="single" w:sz="4" w:space="0" w:color="auto"/>
              <w:left w:val="nil"/>
              <w:bottom w:val="nil"/>
              <w:right w:val="nil"/>
            </w:tcBorders>
            <w:hideMark/>
          </w:tcPr>
          <w:p w14:paraId="2E997C1C" w14:textId="77777777" w:rsidR="00895BEB" w:rsidRPr="00F05B90" w:rsidRDefault="00895BEB">
            <w:pPr>
              <w:widowControl w:val="0"/>
              <w:autoSpaceDE w:val="0"/>
              <w:autoSpaceDN w:val="0"/>
              <w:adjustRightInd w:val="0"/>
              <w:jc w:val="center"/>
            </w:pPr>
            <w:r w:rsidRPr="00F05B90">
              <w:t>0.352</w:t>
            </w:r>
          </w:p>
        </w:tc>
      </w:tr>
      <w:tr w:rsidR="00F05B90" w:rsidRPr="00F05B90" w14:paraId="6DA4D79E" w14:textId="77777777" w:rsidTr="00895BEB">
        <w:tc>
          <w:tcPr>
            <w:tcW w:w="1656" w:type="dxa"/>
            <w:hideMark/>
          </w:tcPr>
          <w:p w14:paraId="5EED6C9C" w14:textId="77777777" w:rsidR="00895BEB" w:rsidRPr="00F05B90" w:rsidRDefault="00895BEB">
            <w:pPr>
              <w:widowControl w:val="0"/>
              <w:autoSpaceDE w:val="0"/>
              <w:autoSpaceDN w:val="0"/>
              <w:adjustRightInd w:val="0"/>
            </w:pPr>
            <w:r w:rsidRPr="00F05B90">
              <w:t>F</w:t>
            </w:r>
          </w:p>
        </w:tc>
        <w:tc>
          <w:tcPr>
            <w:tcW w:w="2016" w:type="dxa"/>
            <w:hideMark/>
          </w:tcPr>
          <w:p w14:paraId="556C92AF" w14:textId="77777777" w:rsidR="00895BEB" w:rsidRPr="00F05B90" w:rsidRDefault="00895BEB">
            <w:pPr>
              <w:widowControl w:val="0"/>
              <w:autoSpaceDE w:val="0"/>
              <w:autoSpaceDN w:val="0"/>
              <w:adjustRightInd w:val="0"/>
              <w:jc w:val="center"/>
            </w:pPr>
            <w:r w:rsidRPr="00F05B90">
              <w:t>10.271</w:t>
            </w:r>
          </w:p>
        </w:tc>
        <w:tc>
          <w:tcPr>
            <w:tcW w:w="4692" w:type="dxa"/>
            <w:hideMark/>
          </w:tcPr>
          <w:p w14:paraId="414420A3" w14:textId="77777777" w:rsidR="00895BEB" w:rsidRPr="00F05B90" w:rsidRDefault="00895BEB">
            <w:pPr>
              <w:widowControl w:val="0"/>
              <w:autoSpaceDE w:val="0"/>
              <w:autoSpaceDN w:val="0"/>
              <w:adjustRightInd w:val="0"/>
              <w:jc w:val="center"/>
            </w:pPr>
            <w:r w:rsidRPr="00F05B90">
              <w:t>17.852</w:t>
            </w:r>
          </w:p>
        </w:tc>
      </w:tr>
      <w:tr w:rsidR="00F05B90" w:rsidRPr="00F05B90" w14:paraId="603E451D" w14:textId="77777777" w:rsidTr="00895BEB">
        <w:tc>
          <w:tcPr>
            <w:tcW w:w="1656" w:type="dxa"/>
            <w:tcBorders>
              <w:top w:val="nil"/>
              <w:left w:val="nil"/>
              <w:bottom w:val="nil"/>
              <w:right w:val="nil"/>
            </w:tcBorders>
            <w:hideMark/>
          </w:tcPr>
          <w:p w14:paraId="67F0B066" w14:textId="77777777" w:rsidR="00895BEB" w:rsidRPr="00F05B90" w:rsidRDefault="00895BEB">
            <w:pPr>
              <w:widowControl w:val="0"/>
              <w:autoSpaceDE w:val="0"/>
              <w:autoSpaceDN w:val="0"/>
              <w:adjustRightInd w:val="0"/>
            </w:pPr>
            <w:r w:rsidRPr="00F05B90">
              <w:rPr>
                <w:i/>
                <w:iCs/>
              </w:rPr>
              <w:t>N</w:t>
            </w:r>
          </w:p>
        </w:tc>
        <w:tc>
          <w:tcPr>
            <w:tcW w:w="2016" w:type="dxa"/>
            <w:tcBorders>
              <w:top w:val="nil"/>
              <w:left w:val="nil"/>
              <w:bottom w:val="nil"/>
              <w:right w:val="nil"/>
            </w:tcBorders>
            <w:hideMark/>
          </w:tcPr>
          <w:p w14:paraId="17AC1764" w14:textId="77777777" w:rsidR="00895BEB" w:rsidRPr="00F05B90" w:rsidRDefault="00895BEB">
            <w:pPr>
              <w:widowControl w:val="0"/>
              <w:autoSpaceDE w:val="0"/>
              <w:autoSpaceDN w:val="0"/>
              <w:adjustRightInd w:val="0"/>
              <w:jc w:val="center"/>
            </w:pPr>
            <w:r w:rsidRPr="00F05B90">
              <w:t>1040</w:t>
            </w:r>
          </w:p>
        </w:tc>
        <w:tc>
          <w:tcPr>
            <w:tcW w:w="4692" w:type="dxa"/>
            <w:tcBorders>
              <w:top w:val="nil"/>
              <w:left w:val="nil"/>
              <w:bottom w:val="nil"/>
              <w:right w:val="nil"/>
            </w:tcBorders>
            <w:hideMark/>
          </w:tcPr>
          <w:p w14:paraId="400A251B" w14:textId="77777777" w:rsidR="00895BEB" w:rsidRPr="00F05B90" w:rsidRDefault="00895BEB">
            <w:pPr>
              <w:widowControl w:val="0"/>
              <w:autoSpaceDE w:val="0"/>
              <w:autoSpaceDN w:val="0"/>
              <w:adjustRightInd w:val="0"/>
              <w:jc w:val="center"/>
            </w:pPr>
            <w:r w:rsidRPr="00F05B90">
              <w:t>1040</w:t>
            </w:r>
          </w:p>
        </w:tc>
      </w:tr>
      <w:tr w:rsidR="00895BEB" w:rsidRPr="00F05B90" w14:paraId="6E16D9FA" w14:textId="77777777" w:rsidTr="00895BEB">
        <w:tc>
          <w:tcPr>
            <w:tcW w:w="8364" w:type="dxa"/>
            <w:gridSpan w:val="3"/>
            <w:tcBorders>
              <w:top w:val="nil"/>
              <w:left w:val="nil"/>
              <w:bottom w:val="single" w:sz="4" w:space="0" w:color="auto"/>
              <w:right w:val="nil"/>
            </w:tcBorders>
          </w:tcPr>
          <w:p w14:paraId="6D79A0B3" w14:textId="00FBE5AF" w:rsidR="00895BEB" w:rsidRPr="00F05B90" w:rsidRDefault="00895BEB" w:rsidP="00B42893">
            <w:pPr>
              <w:widowControl w:val="0"/>
              <w:autoSpaceDE w:val="0"/>
              <w:autoSpaceDN w:val="0"/>
              <w:adjustRightInd w:val="0"/>
              <w:jc w:val="both"/>
            </w:pPr>
            <w:r w:rsidRPr="00F05B90">
              <w:rPr>
                <w:sz w:val="20"/>
                <w:szCs w:val="20"/>
              </w:rPr>
              <w:t>This table reports table presents the endogeneity test (Entroby Balancing)</w:t>
            </w:r>
            <w:r w:rsidRPr="00F05B90">
              <w:rPr>
                <w:rFonts w:asciiTheme="majorBidi" w:hAnsiTheme="majorBidi" w:cstheme="majorBidi"/>
                <w:sz w:val="20"/>
                <w:szCs w:val="20"/>
              </w:rPr>
              <w:t xml:space="preserve">, the sample consists of 1040 firm-year observations between 2013 and 2020. The dependent variable is auditors’ </w:t>
            </w:r>
            <w:r w:rsidR="00B3493A" w:rsidRPr="00F05B90">
              <w:rPr>
                <w:rFonts w:asciiTheme="majorBidi" w:hAnsiTheme="majorBidi" w:cstheme="majorBidi"/>
                <w:sz w:val="20"/>
                <w:szCs w:val="20"/>
              </w:rPr>
              <w:t>professional judgment</w:t>
            </w:r>
            <w:r w:rsidRPr="00F05B90">
              <w:rPr>
                <w:rFonts w:asciiTheme="majorBidi" w:hAnsiTheme="majorBidi" w:cstheme="majorBidi"/>
                <w:sz w:val="20"/>
                <w:szCs w:val="20"/>
              </w:rPr>
              <w:t xml:space="preserve">, namely KAM and MAT. MAT is the materiality amount (£) for the financial statements as a whole, scaled by total assets as at year-end, and multiplied by 100. KAM is the number of significant audit risks, or areas of focus, reported by the auditor in the audit report. The independent variable is the industry tournament incentive (Indgap) measures the compensation gap between the CEO under consideration and the highest-paid CEO in the same industry. LAFEE is the natural logarithm of audit fees. BIG4 is an indicator variable equal to 1 if the audit firm is one of the Big four auditing firms, and 0 otherwise. ACIndep is the percentage of independent members of the audit committee. BoDIndep is the percentage of independent members of the board of directors. Leverage is a firm's total liabilities scaled by total shareholders' equity. LOSS is an indicator variable equal to 1 if the firm report a loss for the year; 0 Otherwise. CurrentR is current assets divided by current liabilities. ROA is earnings scaled by total assets. Employees is the number of employees. CEOR is the number of years of the </w:t>
            </w:r>
            <w:r w:rsidRPr="00F05B90">
              <w:rPr>
                <w:rFonts w:asciiTheme="majorBidi" w:hAnsiTheme="majorBidi" w:cstheme="majorBidi"/>
                <w:sz w:val="20"/>
                <w:szCs w:val="20"/>
              </w:rPr>
              <w:lastRenderedPageBreak/>
              <w:t xml:space="preserve">CEO in the role. CEOGender is an indicator variable equal to 1 if the CEO man, 0 Otherwise. Retire is an indicator variable </w:t>
            </w:r>
            <w:r w:rsidR="00B42893" w:rsidRPr="00F05B90">
              <w:rPr>
                <w:rFonts w:asciiTheme="majorBidi" w:hAnsiTheme="majorBidi" w:cstheme="majorBidi"/>
                <w:sz w:val="20"/>
                <w:szCs w:val="20"/>
              </w:rPr>
              <w:t>equals 1 if the CEO is at least 62 years old and 0 otherwise</w:t>
            </w:r>
            <w:r w:rsidRPr="00F05B90">
              <w:rPr>
                <w:rFonts w:asciiTheme="majorBidi" w:hAnsiTheme="majorBidi" w:cstheme="majorBidi"/>
                <w:sz w:val="20"/>
                <w:szCs w:val="20"/>
              </w:rPr>
              <w:t>. Insider is a dummy indicating 1 if the CEO arrived at the firm within two years prior to becoming CEO, 0 otherwise. Regressions are estimated using robust standard errors. Standard errors in parentheses * p &lt; 0.1, ** p &lt; 0.05, *** p &lt; 0.01. Bold numbers indicate significance for variables of interest.</w:t>
            </w:r>
          </w:p>
        </w:tc>
      </w:tr>
    </w:tbl>
    <w:p w14:paraId="48B22906" w14:textId="77777777" w:rsidR="00895BEB" w:rsidRPr="00F05B90" w:rsidRDefault="00895BEB" w:rsidP="00895BEB">
      <w:pPr>
        <w:widowControl w:val="0"/>
        <w:autoSpaceDE w:val="0"/>
        <w:autoSpaceDN w:val="0"/>
        <w:adjustRightInd w:val="0"/>
        <w:rPr>
          <w:sz w:val="20"/>
          <w:szCs w:val="20"/>
        </w:rPr>
      </w:pPr>
    </w:p>
    <w:p w14:paraId="79E2E7A5" w14:textId="77777777" w:rsidR="00895BEB" w:rsidRPr="00F05B90" w:rsidRDefault="00895BEB" w:rsidP="00895BEB">
      <w:pPr>
        <w:widowControl w:val="0"/>
        <w:autoSpaceDE w:val="0"/>
        <w:autoSpaceDN w:val="0"/>
        <w:adjustRightInd w:val="0"/>
        <w:rPr>
          <w:sz w:val="20"/>
          <w:szCs w:val="20"/>
        </w:rPr>
      </w:pPr>
    </w:p>
    <w:p w14:paraId="4CC68CA3" w14:textId="77777777" w:rsidR="00895BEB" w:rsidRPr="00F05B90" w:rsidRDefault="00895BEB" w:rsidP="00895BEB">
      <w:pPr>
        <w:widowControl w:val="0"/>
        <w:autoSpaceDE w:val="0"/>
        <w:autoSpaceDN w:val="0"/>
        <w:adjustRightInd w:val="0"/>
        <w:rPr>
          <w:sz w:val="20"/>
          <w:szCs w:val="20"/>
        </w:rPr>
      </w:pPr>
    </w:p>
    <w:p w14:paraId="1A274D66" w14:textId="77777777" w:rsidR="00895BEB" w:rsidRPr="00F05B90" w:rsidRDefault="00895BEB" w:rsidP="00895BEB">
      <w:pPr>
        <w:widowControl w:val="0"/>
        <w:autoSpaceDE w:val="0"/>
        <w:autoSpaceDN w:val="0"/>
        <w:adjustRightInd w:val="0"/>
      </w:pPr>
    </w:p>
    <w:p w14:paraId="5DD0AB1F" w14:textId="004AD63C"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20964DB" w14:textId="690F897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41A887C" w14:textId="5D31D010"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B07D113" w14:textId="1DFC05CC"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87735C1" w14:textId="65967E1B"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970C379" w14:textId="10600555"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4EB949F9" w14:textId="50C53027"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7D5224F" w14:textId="5E5FABE1"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751B8F9" w14:textId="418D78DC"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B625A79" w14:textId="6B86397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758849F" w14:textId="6E268550"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6D547D2" w14:textId="47D0AFC3"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2BF3B63D" w14:textId="4E639D2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E91DB08" w14:textId="26E4F649"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8C90CA3" w14:textId="228C43BE"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7A0F90FC" w14:textId="3F5E0598"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509652C" w14:textId="2EF1F61F"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37BD323" w14:textId="394D7F24"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6D136AAE" w14:textId="397371FD"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CE8DA44" w14:textId="2C114D34"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2ECB7FFC" w14:textId="77777777"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174C72F7" w14:textId="067463AF"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3A20EB2B" w14:textId="77777777" w:rsidR="00895BEB" w:rsidRPr="00F05B90" w:rsidRDefault="00895BEB" w:rsidP="00A0667E">
      <w:pPr>
        <w:spacing w:after="160" w:line="259" w:lineRule="auto"/>
        <w:ind w:left="426" w:hanging="426"/>
        <w:rPr>
          <w:rFonts w:asciiTheme="majorBidi" w:eastAsiaTheme="majorEastAsia" w:hAnsiTheme="majorBidi" w:cstheme="majorBidi"/>
          <w:b/>
          <w:szCs w:val="32"/>
          <w:shd w:val="clear" w:color="auto" w:fill="FFFFFF"/>
        </w:rPr>
      </w:pPr>
    </w:p>
    <w:p w14:paraId="58077863" w14:textId="77777777" w:rsidR="00817718" w:rsidRPr="00F05B90" w:rsidRDefault="00817718" w:rsidP="00817718">
      <w:pPr>
        <w:pStyle w:val="Heading1"/>
        <w:numPr>
          <w:ilvl w:val="0"/>
          <w:numId w:val="0"/>
        </w:numPr>
        <w:jc w:val="center"/>
        <w:rPr>
          <w:rFonts w:ascii="Times New Roman" w:eastAsia="Times New Roman" w:hAnsi="Times New Roman" w:cs="Times New Roman"/>
          <w:b w:val="0"/>
          <w:color w:val="auto"/>
          <w:szCs w:val="24"/>
          <w:shd w:val="clear" w:color="auto" w:fill="FFFFFF"/>
          <w:lang w:val="en-GB"/>
        </w:rPr>
      </w:pPr>
      <w:r w:rsidRPr="00F05B90">
        <w:rPr>
          <w:rFonts w:ascii="Times New Roman" w:eastAsia="Times New Roman" w:hAnsi="Times New Roman" w:cs="Times New Roman"/>
          <w:color w:val="auto"/>
          <w:szCs w:val="24"/>
          <w:shd w:val="clear" w:color="auto" w:fill="FFFFFF"/>
          <w:lang w:val="en-GB"/>
        </w:rPr>
        <w:lastRenderedPageBreak/>
        <w:t>Appendices</w:t>
      </w:r>
    </w:p>
    <w:p w14:paraId="31A255E4" w14:textId="77777777" w:rsidR="00817718" w:rsidRPr="00F05B90" w:rsidRDefault="00817718" w:rsidP="00817718">
      <w:pPr>
        <w:keepNext/>
        <w:keepLines/>
        <w:spacing w:before="240" w:after="240" w:line="360" w:lineRule="auto"/>
        <w:outlineLvl w:val="1"/>
        <w:rPr>
          <w:rFonts w:eastAsiaTheme="majorEastAsia"/>
          <w:bCs/>
        </w:rPr>
      </w:pPr>
      <w:r w:rsidRPr="00F05B90">
        <w:rPr>
          <w:rFonts w:asciiTheme="majorBidi" w:eastAsiaTheme="majorEastAsia" w:hAnsiTheme="majorBidi" w:cstheme="majorBidi"/>
          <w:b/>
          <w:szCs w:val="26"/>
        </w:rPr>
        <w:t xml:space="preserve">Appendix 1: </w:t>
      </w:r>
      <w:r w:rsidRPr="00F05B90">
        <w:rPr>
          <w:rFonts w:eastAsiaTheme="majorEastAsia"/>
          <w:bCs/>
        </w:rPr>
        <w:t>Variable definitions</w:t>
      </w:r>
    </w:p>
    <w:tbl>
      <w:tblPr>
        <w:tblW w:w="9397" w:type="dxa"/>
        <w:jc w:val="center"/>
        <w:tblLook w:val="04A0" w:firstRow="1" w:lastRow="0" w:firstColumn="1" w:lastColumn="0" w:noHBand="0" w:noVBand="1"/>
      </w:tblPr>
      <w:tblGrid>
        <w:gridCol w:w="1400"/>
        <w:gridCol w:w="6664"/>
        <w:gridCol w:w="1333"/>
      </w:tblGrid>
      <w:tr w:rsidR="00F05B90" w:rsidRPr="00F05B90" w14:paraId="7F92F93F" w14:textId="77777777" w:rsidTr="00937852">
        <w:trPr>
          <w:trHeight w:val="432"/>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5E332" w14:textId="77777777" w:rsidR="00817718" w:rsidRPr="00F05B90" w:rsidRDefault="00817718" w:rsidP="00320854">
            <w:pPr>
              <w:spacing w:line="256" w:lineRule="auto"/>
              <w:rPr>
                <w:b/>
                <w:bCs/>
              </w:rPr>
            </w:pPr>
            <w:r w:rsidRPr="00F05B90">
              <w:rPr>
                <w:b/>
                <w:bCs/>
                <w:shd w:val="clear" w:color="auto" w:fill="FFFFFF"/>
              </w:rPr>
              <w:t>Audit Firm</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9C710" w14:textId="77777777" w:rsidR="00817718" w:rsidRPr="00F05B90" w:rsidRDefault="00817718" w:rsidP="00320854">
            <w:pPr>
              <w:spacing w:line="256" w:lineRule="auto"/>
              <w:rPr>
                <w:b/>
                <w:bCs/>
              </w:rPr>
            </w:pPr>
            <w:r w:rsidRPr="00F05B90">
              <w:rPr>
                <w:b/>
                <w:bCs/>
                <w:shd w:val="clear" w:color="auto" w:fill="FFFFFF"/>
              </w:rPr>
              <w:t>Definition</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678BE" w14:textId="77777777" w:rsidR="00817718" w:rsidRPr="00F05B90" w:rsidRDefault="00817718" w:rsidP="00320854">
            <w:pPr>
              <w:spacing w:line="256" w:lineRule="auto"/>
              <w:rPr>
                <w:b/>
                <w:bCs/>
              </w:rPr>
            </w:pPr>
            <w:r w:rsidRPr="00F05B90">
              <w:rPr>
                <w:b/>
                <w:bCs/>
                <w:shd w:val="clear" w:color="auto" w:fill="FFFFFF"/>
              </w:rPr>
              <w:t>Data Source</w:t>
            </w:r>
          </w:p>
        </w:tc>
      </w:tr>
      <w:tr w:rsidR="00F05B90" w:rsidRPr="00F05B90" w14:paraId="3846888D" w14:textId="77777777" w:rsidTr="00937852">
        <w:trPr>
          <w:trHeight w:val="221"/>
          <w:jc w:val="center"/>
        </w:trPr>
        <w:tc>
          <w:tcPr>
            <w:tcW w:w="93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0D920" w14:textId="7E6DEB62" w:rsidR="00817718" w:rsidRPr="00F05B90" w:rsidRDefault="00817718" w:rsidP="00B3493A">
            <w:pPr>
              <w:spacing w:line="256" w:lineRule="auto"/>
              <w:jc w:val="center"/>
              <w:rPr>
                <w:b/>
                <w:bCs/>
              </w:rPr>
            </w:pPr>
            <w:r w:rsidRPr="00F05B90">
              <w:rPr>
                <w:b/>
                <w:bCs/>
                <w:shd w:val="clear" w:color="auto" w:fill="FFFFFF"/>
              </w:rPr>
              <w:t xml:space="preserve">The main dependent variable </w:t>
            </w:r>
            <w:r w:rsidRPr="00F05B90">
              <w:rPr>
                <w:shd w:val="clear" w:color="auto" w:fill="FFFFFF"/>
              </w:rPr>
              <w:t>(</w:t>
            </w:r>
            <w:r w:rsidRPr="00F05B90">
              <w:rPr>
                <w:i/>
                <w:iCs/>
                <w:shd w:val="clear" w:color="auto" w:fill="FFFFFF"/>
                <w:lang w:val="en-GB"/>
              </w:rPr>
              <w:t>Auditor_</w:t>
            </w:r>
            <w:r w:rsidR="00B3493A" w:rsidRPr="00F05B90">
              <w:rPr>
                <w:b/>
              </w:rPr>
              <w:t xml:space="preserve"> </w:t>
            </w:r>
            <w:r w:rsidR="00B3493A" w:rsidRPr="00F05B90">
              <w:rPr>
                <w:i/>
                <w:iCs/>
                <w:shd w:val="clear" w:color="auto" w:fill="FFFFFF"/>
              </w:rPr>
              <w:t>judgment</w:t>
            </w:r>
            <w:r w:rsidRPr="00F05B90">
              <w:rPr>
                <w:i/>
                <w:iCs/>
                <w:shd w:val="clear" w:color="auto" w:fill="FFFFFF"/>
              </w:rPr>
              <w:t>)</w:t>
            </w:r>
          </w:p>
        </w:tc>
      </w:tr>
      <w:tr w:rsidR="00F05B90" w:rsidRPr="00F05B90" w14:paraId="7DA25438" w14:textId="77777777" w:rsidTr="00937852">
        <w:trPr>
          <w:trHeight w:val="1086"/>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16098" w14:textId="77777777" w:rsidR="00817718" w:rsidRPr="00F05B90" w:rsidRDefault="00817718" w:rsidP="00320854">
            <w:pPr>
              <w:spacing w:line="256" w:lineRule="auto"/>
              <w:rPr>
                <w:i/>
                <w:iCs/>
              </w:rPr>
            </w:pPr>
            <w:r w:rsidRPr="00F05B90">
              <w:rPr>
                <w:i/>
                <w:iCs/>
              </w:rPr>
              <w:t>KAM</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352C1" w14:textId="77777777" w:rsidR="00817718" w:rsidRPr="00F05B90" w:rsidRDefault="00817718" w:rsidP="00320854">
            <w:pPr>
              <w:spacing w:line="256" w:lineRule="auto"/>
            </w:pPr>
            <w:r w:rsidRPr="00F05B90">
              <w:rPr>
                <w:shd w:val="clear" w:color="auto" w:fill="FFFFFF"/>
              </w:rPr>
              <w:t>Number of significant audit risks, or areas of focus, reported by the auditor in the audit report</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A7E0B" w14:textId="77777777" w:rsidR="00817718" w:rsidRPr="00F05B90" w:rsidRDefault="00817718" w:rsidP="00320854">
            <w:pPr>
              <w:spacing w:line="256" w:lineRule="auto"/>
            </w:pPr>
            <w:r w:rsidRPr="00F05B90">
              <w:rPr>
                <w:shd w:val="clear" w:color="auto" w:fill="FFFFFF"/>
              </w:rPr>
              <w:t>Hand- collection from audit report</w:t>
            </w:r>
          </w:p>
        </w:tc>
      </w:tr>
      <w:tr w:rsidR="00F05B90" w:rsidRPr="00F05B90" w14:paraId="1BDCAD5A" w14:textId="77777777" w:rsidTr="00937852">
        <w:trPr>
          <w:trHeight w:val="558"/>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5DBA8" w14:textId="77777777" w:rsidR="00817718" w:rsidRPr="00F05B90" w:rsidRDefault="00817718" w:rsidP="00320854">
            <w:pPr>
              <w:spacing w:line="256" w:lineRule="auto"/>
              <w:rPr>
                <w:i/>
                <w:iCs/>
                <w:shd w:val="clear" w:color="auto" w:fill="FFFFFF"/>
              </w:rPr>
            </w:pPr>
            <w:r w:rsidRPr="00F05B90">
              <w:rPr>
                <w:i/>
                <w:iCs/>
                <w:shd w:val="clear" w:color="auto" w:fill="FFFFFF"/>
              </w:rPr>
              <w:t>MAT</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8AADA" w14:textId="77777777" w:rsidR="00817718" w:rsidRPr="00F05B90" w:rsidRDefault="00817718" w:rsidP="00320854">
            <w:pPr>
              <w:spacing w:line="256" w:lineRule="auto"/>
              <w:rPr>
                <w:shd w:val="clear" w:color="auto" w:fill="FFFFFF"/>
              </w:rPr>
            </w:pPr>
            <w:r w:rsidRPr="00F05B90">
              <w:t>MAT is the materiality amount (£) for the financial statements as a whole, scaled by total assets as at year-end, and multiplied by 100</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F397A" w14:textId="77777777" w:rsidR="00817718" w:rsidRPr="00F05B90" w:rsidRDefault="00817718" w:rsidP="00320854">
            <w:pPr>
              <w:spacing w:line="256" w:lineRule="auto"/>
              <w:rPr>
                <w:shd w:val="clear" w:color="auto" w:fill="FFFFFF"/>
              </w:rPr>
            </w:pPr>
            <w:r w:rsidRPr="00F05B90">
              <w:rPr>
                <w:shd w:val="clear" w:color="auto" w:fill="FFFFFF"/>
              </w:rPr>
              <w:t>Hand- collection from audit report</w:t>
            </w:r>
          </w:p>
        </w:tc>
      </w:tr>
      <w:tr w:rsidR="00F05B90" w:rsidRPr="00F05B90" w14:paraId="382EF213" w14:textId="77777777" w:rsidTr="00937852">
        <w:trPr>
          <w:trHeight w:val="221"/>
          <w:jc w:val="center"/>
        </w:trPr>
        <w:tc>
          <w:tcPr>
            <w:tcW w:w="93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319BA" w14:textId="77777777" w:rsidR="00817718" w:rsidRPr="00F05B90" w:rsidRDefault="00817718" w:rsidP="00320854">
            <w:pPr>
              <w:spacing w:line="256" w:lineRule="auto"/>
              <w:jc w:val="center"/>
              <w:rPr>
                <w:b/>
                <w:bCs/>
              </w:rPr>
            </w:pPr>
            <w:r w:rsidRPr="00F05B90">
              <w:rPr>
                <w:b/>
                <w:bCs/>
                <w:shd w:val="clear" w:color="auto" w:fill="FFFFFF"/>
              </w:rPr>
              <w:t>Main independent variable</w:t>
            </w:r>
          </w:p>
        </w:tc>
      </w:tr>
      <w:tr w:rsidR="00F05B90" w:rsidRPr="00F05B90" w14:paraId="03999503" w14:textId="77777777" w:rsidTr="00937852">
        <w:trPr>
          <w:trHeight w:val="695"/>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9A654" w14:textId="77777777" w:rsidR="00817718" w:rsidRPr="00F05B90" w:rsidRDefault="00817718" w:rsidP="00320854">
            <w:pPr>
              <w:spacing w:line="256" w:lineRule="auto"/>
              <w:rPr>
                <w:i/>
                <w:iCs/>
              </w:rPr>
            </w:pPr>
            <w:r w:rsidRPr="00F05B90">
              <w:rPr>
                <w:i/>
                <w:iCs/>
              </w:rPr>
              <w:t>Indgap</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EE625" w14:textId="77777777" w:rsidR="00817718" w:rsidRPr="00F05B90" w:rsidRDefault="00817718" w:rsidP="00320854">
            <w:pPr>
              <w:spacing w:line="256" w:lineRule="auto"/>
            </w:pPr>
            <w:r w:rsidRPr="00F05B90">
              <w:t xml:space="preserve">The natural log of the compensation gap between the CEO under consideration and the second-highest-paid CEO in the same industry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FD636" w14:textId="77777777" w:rsidR="00817718" w:rsidRPr="00F05B90" w:rsidRDefault="00817718" w:rsidP="00320854">
            <w:pPr>
              <w:spacing w:line="256" w:lineRule="auto"/>
            </w:pPr>
            <w:r w:rsidRPr="00F05B90">
              <w:t>BoardEx</w:t>
            </w:r>
          </w:p>
        </w:tc>
      </w:tr>
      <w:tr w:rsidR="00F05B90" w:rsidRPr="00F05B90" w14:paraId="63BBA6F6" w14:textId="77777777" w:rsidTr="00937852">
        <w:trPr>
          <w:trHeight w:val="695"/>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63AD4" w14:textId="77777777" w:rsidR="00817718" w:rsidRPr="00F05B90" w:rsidRDefault="00817718" w:rsidP="00320854">
            <w:pPr>
              <w:spacing w:line="256" w:lineRule="auto"/>
              <w:rPr>
                <w:i/>
                <w:iCs/>
                <w:shd w:val="clear" w:color="auto" w:fill="FFFFFF"/>
              </w:rPr>
            </w:pPr>
            <w:r w:rsidRPr="00F05B90">
              <w:rPr>
                <w:i/>
                <w:iCs/>
                <w:shd w:val="clear" w:color="auto" w:fill="FFFFFF"/>
              </w:rPr>
              <w:t>Financial experience</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5E8FC" w14:textId="77777777" w:rsidR="004D3C69" w:rsidRPr="00F05B90" w:rsidRDefault="004D3C69" w:rsidP="004D3C69">
            <w:pPr>
              <w:spacing w:line="256" w:lineRule="auto"/>
              <w:rPr>
                <w:shd w:val="clear" w:color="auto" w:fill="FFFFFF"/>
              </w:rPr>
            </w:pPr>
            <w:r w:rsidRPr="00F05B90">
              <w:rPr>
                <w:shd w:val="clear" w:color="auto" w:fill="FFFFFF"/>
              </w:rPr>
              <w:t>To measure the CEO's financial background, we employ three distinct proxies.</w:t>
            </w:r>
          </w:p>
          <w:p w14:paraId="0A57E517" w14:textId="77777777" w:rsidR="004D3C69" w:rsidRPr="00F05B90" w:rsidRDefault="004D3C69" w:rsidP="004D3C69">
            <w:pPr>
              <w:spacing w:line="256" w:lineRule="auto"/>
              <w:rPr>
                <w:shd w:val="clear" w:color="auto" w:fill="FFFFFF"/>
              </w:rPr>
            </w:pPr>
          </w:p>
          <w:p w14:paraId="68FC5927" w14:textId="77777777" w:rsidR="004D3C69" w:rsidRPr="00F05B90" w:rsidRDefault="004D3C69" w:rsidP="004D3C69">
            <w:pPr>
              <w:spacing w:line="256" w:lineRule="auto"/>
              <w:rPr>
                <w:shd w:val="clear" w:color="auto" w:fill="FFFFFF"/>
              </w:rPr>
            </w:pPr>
            <w:r w:rsidRPr="00F05B90">
              <w:rPr>
                <w:shd w:val="clear" w:color="auto" w:fill="FFFFFF"/>
              </w:rPr>
              <w:t>First, we use financial experience (FinExp), which equals 1 if the CEO has held a prior financial role—such as banker, analyst, loan officer, investment/asset/fund manager, treasurer, finance director, or vice president of finance—and 0 otherwise.</w:t>
            </w:r>
          </w:p>
          <w:p w14:paraId="33F5170B" w14:textId="77777777" w:rsidR="004D3C69" w:rsidRPr="00F05B90" w:rsidRDefault="004D3C69" w:rsidP="004D3C69">
            <w:pPr>
              <w:spacing w:line="256" w:lineRule="auto"/>
              <w:rPr>
                <w:shd w:val="clear" w:color="auto" w:fill="FFFFFF"/>
              </w:rPr>
            </w:pPr>
          </w:p>
          <w:p w14:paraId="5C81CDB9" w14:textId="77777777" w:rsidR="004D3C69" w:rsidRPr="00F05B90" w:rsidRDefault="004D3C69" w:rsidP="004D3C69">
            <w:pPr>
              <w:spacing w:line="256" w:lineRule="auto"/>
              <w:rPr>
                <w:shd w:val="clear" w:color="auto" w:fill="FFFFFF"/>
              </w:rPr>
            </w:pPr>
            <w:r w:rsidRPr="00F05B90">
              <w:rPr>
                <w:shd w:val="clear" w:color="auto" w:fill="FFFFFF"/>
              </w:rPr>
              <w:t>Second, we define accounting experience (AccExp) as equal to 1 if the CEO has worked as a public auditor, certified public accountant, chartered accountant, or in a role with specific accounting responsibilities (e.g., CFO, treasurer, controller, head of accounting, chief accountant, or accounting officer), and 0 otherwise.</w:t>
            </w:r>
          </w:p>
          <w:p w14:paraId="7ABE0C0B" w14:textId="77777777" w:rsidR="004D3C69" w:rsidRPr="00F05B90" w:rsidRDefault="004D3C69" w:rsidP="004D3C69">
            <w:pPr>
              <w:spacing w:line="256" w:lineRule="auto"/>
              <w:rPr>
                <w:shd w:val="clear" w:color="auto" w:fill="FFFFFF"/>
              </w:rPr>
            </w:pPr>
          </w:p>
          <w:p w14:paraId="423BAD55" w14:textId="67E0FA07" w:rsidR="00817718" w:rsidRPr="00F05B90" w:rsidRDefault="004D3C69" w:rsidP="004D3C69">
            <w:pPr>
              <w:spacing w:line="256" w:lineRule="auto"/>
            </w:pPr>
            <w:r w:rsidRPr="00F05B90">
              <w:rPr>
                <w:shd w:val="clear" w:color="auto" w:fill="FFFFFF"/>
              </w:rPr>
              <w:t>Third, we construct a broader measure of financial expertise, Fin-AccExp, which captures the CEO’s overall financial and accounting experience.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7950" w14:textId="77777777" w:rsidR="00817718" w:rsidRPr="00F05B90" w:rsidRDefault="00817718" w:rsidP="00320854">
            <w:pPr>
              <w:spacing w:line="256" w:lineRule="auto"/>
            </w:pPr>
            <w:r w:rsidRPr="00F05B90">
              <w:rPr>
                <w:shd w:val="clear" w:color="auto" w:fill="FFFFFF"/>
              </w:rPr>
              <w:t>Hand-collection from annual reports</w:t>
            </w:r>
          </w:p>
        </w:tc>
      </w:tr>
      <w:tr w:rsidR="00F05B90" w:rsidRPr="00F05B90" w14:paraId="10904427" w14:textId="77777777" w:rsidTr="00937852">
        <w:trPr>
          <w:trHeight w:val="326"/>
          <w:jc w:val="center"/>
        </w:trPr>
        <w:tc>
          <w:tcPr>
            <w:tcW w:w="93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10E59" w14:textId="77777777" w:rsidR="00817718" w:rsidRPr="00F05B90" w:rsidRDefault="00817718" w:rsidP="00320854">
            <w:pPr>
              <w:spacing w:line="360" w:lineRule="auto"/>
              <w:jc w:val="center"/>
              <w:rPr>
                <w:i/>
                <w:iCs/>
              </w:rPr>
            </w:pPr>
            <w:r w:rsidRPr="00F05B90">
              <w:rPr>
                <w:b/>
                <w:bCs/>
                <w:i/>
                <w:iCs/>
                <w:shd w:val="clear" w:color="auto" w:fill="FFFFFF"/>
              </w:rPr>
              <w:t>Control variables</w:t>
            </w:r>
          </w:p>
        </w:tc>
      </w:tr>
      <w:tr w:rsidR="00F05B90" w:rsidRPr="00F05B90" w14:paraId="0487CDA6" w14:textId="77777777" w:rsidTr="00937852">
        <w:trPr>
          <w:trHeight w:val="442"/>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1E6F1" w14:textId="7FCFDEA4" w:rsidR="00406FC6" w:rsidRPr="00F05B90" w:rsidRDefault="00406FC6" w:rsidP="00406FC6">
            <w:pPr>
              <w:spacing w:line="256" w:lineRule="auto"/>
              <w:rPr>
                <w:i/>
                <w:iCs/>
                <w:shd w:val="clear" w:color="auto" w:fill="FFFFFF"/>
              </w:rPr>
            </w:pPr>
            <w:r w:rsidRPr="00F05B90">
              <w:rPr>
                <w:i/>
                <w:iCs/>
              </w:rPr>
              <w:t>LAFEE</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59A5F" w14:textId="75FC6136" w:rsidR="00406FC6" w:rsidRPr="00F05B90" w:rsidRDefault="00406FC6" w:rsidP="00406FC6">
            <w:pPr>
              <w:spacing w:line="256" w:lineRule="auto"/>
              <w:rPr>
                <w:shd w:val="clear" w:color="auto" w:fill="FFFFFF"/>
              </w:rPr>
            </w:pPr>
            <w:r w:rsidRPr="00F05B90">
              <w:t>Logarithm of audit fees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FFADC" w14:textId="770E6F47" w:rsidR="00406FC6" w:rsidRPr="00F05B90" w:rsidRDefault="00406FC6" w:rsidP="00406FC6">
            <w:pPr>
              <w:spacing w:line="256" w:lineRule="auto"/>
              <w:rPr>
                <w:shd w:val="clear" w:color="auto" w:fill="FFFFFF"/>
              </w:rPr>
            </w:pPr>
            <w:r w:rsidRPr="00F05B90">
              <w:rPr>
                <w:shd w:val="clear" w:color="auto" w:fill="FFFFFF"/>
              </w:rPr>
              <w:t>Fame</w:t>
            </w:r>
          </w:p>
        </w:tc>
      </w:tr>
      <w:tr w:rsidR="00F05B90" w:rsidRPr="00F05B90" w14:paraId="7AE295BA" w14:textId="77777777" w:rsidTr="00937852">
        <w:trPr>
          <w:trHeight w:val="442"/>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33B27" w14:textId="77777777" w:rsidR="00406FC6" w:rsidRPr="00F05B90" w:rsidRDefault="00406FC6" w:rsidP="00406FC6">
            <w:pPr>
              <w:spacing w:line="256" w:lineRule="auto"/>
              <w:rPr>
                <w:i/>
                <w:iCs/>
              </w:rPr>
            </w:pPr>
            <w:r w:rsidRPr="00F05B90">
              <w:rPr>
                <w:i/>
                <w:iCs/>
                <w:shd w:val="clear" w:color="auto" w:fill="FFFFFF"/>
              </w:rPr>
              <w:lastRenderedPageBreak/>
              <w:t>BIG4</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0F65F" w14:textId="77777777" w:rsidR="00406FC6" w:rsidRPr="00F05B90" w:rsidRDefault="00406FC6" w:rsidP="00406FC6">
            <w:pPr>
              <w:spacing w:line="256" w:lineRule="auto"/>
            </w:pPr>
            <w:r w:rsidRPr="00F05B90">
              <w:rPr>
                <w:shd w:val="clear" w:color="auto" w:fill="FFFFFF"/>
              </w:rPr>
              <w:t>Indicator variable equal to 1 if the audit firm is one of the Big Four auditing firms, and 0 otherwise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884FB" w14:textId="77777777" w:rsidR="00406FC6" w:rsidRPr="00F05B90" w:rsidRDefault="00406FC6" w:rsidP="00406FC6">
            <w:pPr>
              <w:spacing w:line="256" w:lineRule="auto"/>
            </w:pPr>
            <w:r w:rsidRPr="00F05B90">
              <w:rPr>
                <w:shd w:val="clear" w:color="auto" w:fill="FFFFFF"/>
              </w:rPr>
              <w:t>Fame</w:t>
            </w:r>
          </w:p>
        </w:tc>
      </w:tr>
      <w:tr w:rsidR="00F05B90" w:rsidRPr="00F05B90" w14:paraId="34CF390A"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391CD" w14:textId="77777777" w:rsidR="00406FC6" w:rsidRPr="00F05B90" w:rsidRDefault="00406FC6" w:rsidP="00406FC6">
            <w:pPr>
              <w:spacing w:line="256" w:lineRule="auto"/>
              <w:rPr>
                <w:i/>
                <w:iCs/>
                <w:shd w:val="clear" w:color="auto" w:fill="FFFFFF"/>
              </w:rPr>
            </w:pPr>
            <w:r w:rsidRPr="00F05B90">
              <w:rPr>
                <w:i/>
                <w:iCs/>
              </w:rPr>
              <w:t>ACIndep</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D4E25" w14:textId="77777777" w:rsidR="00406FC6" w:rsidRPr="00F05B90" w:rsidRDefault="00406FC6" w:rsidP="00406FC6">
            <w:pPr>
              <w:spacing w:before="100" w:beforeAutospacing="1" w:after="100" w:afterAutospacing="1" w:line="256" w:lineRule="auto"/>
            </w:pPr>
            <w:r w:rsidRPr="00F05B90">
              <w:t>Percentage of independent members of the audit committee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BD821" w14:textId="77777777" w:rsidR="00406FC6" w:rsidRPr="00F05B90" w:rsidRDefault="00406FC6" w:rsidP="00406FC6">
            <w:pPr>
              <w:spacing w:line="256" w:lineRule="auto"/>
              <w:rPr>
                <w:shd w:val="clear" w:color="auto" w:fill="FFFFFF"/>
              </w:rPr>
            </w:pPr>
            <w:r w:rsidRPr="00F05B90">
              <w:rPr>
                <w:shd w:val="clear" w:color="auto" w:fill="FFFFFF"/>
              </w:rPr>
              <w:t>BoardEx</w:t>
            </w:r>
          </w:p>
        </w:tc>
      </w:tr>
      <w:tr w:rsidR="00F05B90" w:rsidRPr="00F05B90" w14:paraId="2BDBD5A4"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C0050" w14:textId="77777777" w:rsidR="00406FC6" w:rsidRPr="00F05B90" w:rsidRDefault="00406FC6" w:rsidP="00406FC6">
            <w:pPr>
              <w:spacing w:line="256" w:lineRule="auto"/>
              <w:rPr>
                <w:i/>
                <w:iCs/>
                <w:shd w:val="clear" w:color="auto" w:fill="FFFFFF"/>
              </w:rPr>
            </w:pPr>
            <w:r w:rsidRPr="00F05B90">
              <w:rPr>
                <w:i/>
                <w:iCs/>
              </w:rPr>
              <w:t>BoIndep</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4C213" w14:textId="77777777" w:rsidR="00406FC6" w:rsidRPr="00F05B90" w:rsidRDefault="00406FC6" w:rsidP="00406FC6">
            <w:pPr>
              <w:spacing w:line="256" w:lineRule="auto"/>
              <w:rPr>
                <w:shd w:val="clear" w:color="auto" w:fill="FFFFFF"/>
              </w:rPr>
            </w:pPr>
            <w:r w:rsidRPr="00F05B90">
              <w:t>Percentage of independent members of the board of directors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6118B" w14:textId="77777777" w:rsidR="00406FC6" w:rsidRPr="00F05B90" w:rsidRDefault="00406FC6" w:rsidP="00406FC6">
            <w:pPr>
              <w:spacing w:line="256" w:lineRule="auto"/>
              <w:rPr>
                <w:shd w:val="clear" w:color="auto" w:fill="FFFFFF"/>
              </w:rPr>
            </w:pPr>
            <w:r w:rsidRPr="00F05B90">
              <w:rPr>
                <w:shd w:val="clear" w:color="auto" w:fill="FFFFFF"/>
              </w:rPr>
              <w:t>BoardEx</w:t>
            </w:r>
          </w:p>
        </w:tc>
      </w:tr>
      <w:tr w:rsidR="00F05B90" w:rsidRPr="00F05B90" w14:paraId="4363717F"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A9761" w14:textId="1CC0926F" w:rsidR="00406FC6" w:rsidRPr="00F05B90" w:rsidRDefault="00406FC6" w:rsidP="00406FC6">
            <w:pPr>
              <w:spacing w:line="256" w:lineRule="auto"/>
              <w:rPr>
                <w:i/>
                <w:iCs/>
              </w:rPr>
            </w:pPr>
            <w:r w:rsidRPr="00F05B90">
              <w:rPr>
                <w:i/>
                <w:iCs/>
              </w:rPr>
              <w:t>Leverage</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E3AB5" w14:textId="4F4E748D" w:rsidR="00406FC6" w:rsidRPr="00F05B90" w:rsidRDefault="00406FC6" w:rsidP="00406FC6">
            <w:pPr>
              <w:spacing w:line="256" w:lineRule="auto"/>
            </w:pPr>
            <w:r w:rsidRPr="00F05B90">
              <w:rPr>
                <w:shd w:val="clear" w:color="auto" w:fill="FFFFFF"/>
              </w:rPr>
              <w:t xml:space="preserve">Total liabilities divided by total equity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EFCC2" w14:textId="3C5179F5" w:rsidR="00406FC6" w:rsidRPr="00F05B90" w:rsidRDefault="00406FC6" w:rsidP="00406FC6">
            <w:pPr>
              <w:spacing w:line="256" w:lineRule="auto"/>
              <w:rPr>
                <w:shd w:val="clear" w:color="auto" w:fill="FFFFFF"/>
              </w:rPr>
            </w:pPr>
            <w:r w:rsidRPr="00F05B90">
              <w:rPr>
                <w:shd w:val="clear" w:color="auto" w:fill="FFFFFF"/>
              </w:rPr>
              <w:t>DataStream</w:t>
            </w:r>
          </w:p>
        </w:tc>
      </w:tr>
      <w:tr w:rsidR="00F05B90" w:rsidRPr="00F05B90" w14:paraId="4B714176"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A44F1" w14:textId="7CA0E3F8" w:rsidR="00406FC6" w:rsidRPr="00F05B90" w:rsidRDefault="00406FC6" w:rsidP="00406FC6">
            <w:pPr>
              <w:spacing w:line="256" w:lineRule="auto"/>
              <w:rPr>
                <w:i/>
                <w:iCs/>
              </w:rPr>
            </w:pPr>
            <w:r w:rsidRPr="00F05B90">
              <w:rPr>
                <w:i/>
                <w:iCs/>
              </w:rPr>
              <w:t>Loss</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3BC7A" w14:textId="738DCAB9" w:rsidR="00406FC6" w:rsidRPr="00F05B90" w:rsidRDefault="00406FC6" w:rsidP="00406FC6">
            <w:pPr>
              <w:spacing w:line="256" w:lineRule="auto"/>
            </w:pPr>
            <w:r w:rsidRPr="00F05B90">
              <w:rPr>
                <w:shd w:val="clear" w:color="auto" w:fill="FFFFFF"/>
              </w:rPr>
              <w:t>Equal to 1 if the firm reports a loss for the year, and 0 otherwise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24F84" w14:textId="1C0B67FC" w:rsidR="00406FC6" w:rsidRPr="00F05B90" w:rsidRDefault="00406FC6" w:rsidP="00406FC6">
            <w:pPr>
              <w:spacing w:line="256" w:lineRule="auto"/>
              <w:rPr>
                <w:shd w:val="clear" w:color="auto" w:fill="FFFFFF"/>
              </w:rPr>
            </w:pPr>
            <w:r w:rsidRPr="00F05B90">
              <w:rPr>
                <w:shd w:val="clear" w:color="auto" w:fill="FFFFFF"/>
              </w:rPr>
              <w:t>DataStream</w:t>
            </w:r>
          </w:p>
        </w:tc>
      </w:tr>
      <w:tr w:rsidR="00F05B90" w:rsidRPr="00F05B90" w14:paraId="42FDBEFE"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4B73B" w14:textId="6D354037" w:rsidR="00406FC6" w:rsidRPr="00F05B90" w:rsidRDefault="00406FC6" w:rsidP="00406FC6">
            <w:pPr>
              <w:spacing w:line="256" w:lineRule="auto"/>
              <w:rPr>
                <w:i/>
                <w:iCs/>
              </w:rPr>
            </w:pPr>
            <w:r w:rsidRPr="00F05B90">
              <w:rPr>
                <w:i/>
                <w:iCs/>
              </w:rPr>
              <w:t>CurrentR</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62E38" w14:textId="38C196DF" w:rsidR="00406FC6" w:rsidRPr="00F05B90" w:rsidRDefault="00406FC6" w:rsidP="00406FC6">
            <w:pPr>
              <w:spacing w:line="256" w:lineRule="auto"/>
            </w:pPr>
            <w:r w:rsidRPr="00F05B90">
              <w:rPr>
                <w:shd w:val="clear" w:color="auto" w:fill="FFFFFF"/>
              </w:rPr>
              <w:t xml:space="preserve">Current assets divided by current liabilities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807BD" w14:textId="57582FF9" w:rsidR="00406FC6" w:rsidRPr="00F05B90" w:rsidRDefault="00406FC6" w:rsidP="00406FC6">
            <w:pPr>
              <w:spacing w:line="256" w:lineRule="auto"/>
              <w:rPr>
                <w:shd w:val="clear" w:color="auto" w:fill="FFFFFF"/>
              </w:rPr>
            </w:pPr>
            <w:r w:rsidRPr="00F05B90">
              <w:rPr>
                <w:shd w:val="clear" w:color="auto" w:fill="FFFFFF"/>
              </w:rPr>
              <w:t>DataStream</w:t>
            </w:r>
          </w:p>
        </w:tc>
      </w:tr>
      <w:tr w:rsidR="00F05B90" w:rsidRPr="00F05B90" w14:paraId="7ABBF701"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B989B" w14:textId="7C3A99C0" w:rsidR="00406FC6" w:rsidRPr="00F05B90" w:rsidRDefault="00406FC6" w:rsidP="00406FC6">
            <w:pPr>
              <w:spacing w:line="256" w:lineRule="auto"/>
              <w:rPr>
                <w:i/>
                <w:iCs/>
              </w:rPr>
            </w:pPr>
            <w:r w:rsidRPr="00F05B90">
              <w:rPr>
                <w:i/>
                <w:iCs/>
              </w:rPr>
              <w:t>ROA</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A5EF5" w14:textId="076B6CF3" w:rsidR="00406FC6" w:rsidRPr="00F05B90" w:rsidRDefault="00406FC6" w:rsidP="00406FC6">
            <w:pPr>
              <w:spacing w:line="256" w:lineRule="auto"/>
            </w:pPr>
            <w:r w:rsidRPr="00F05B90">
              <w:rPr>
                <w:shd w:val="clear" w:color="auto" w:fill="FFFFFF"/>
              </w:rPr>
              <w:t xml:space="preserve">Return on Assets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9F2B" w14:textId="3FBACC40" w:rsidR="00406FC6" w:rsidRPr="00F05B90" w:rsidRDefault="00406FC6" w:rsidP="00406FC6">
            <w:pPr>
              <w:spacing w:line="256" w:lineRule="auto"/>
              <w:rPr>
                <w:shd w:val="clear" w:color="auto" w:fill="FFFFFF"/>
              </w:rPr>
            </w:pPr>
            <w:r w:rsidRPr="00F05B90">
              <w:rPr>
                <w:shd w:val="clear" w:color="auto" w:fill="FFFFFF"/>
              </w:rPr>
              <w:t>DataStream</w:t>
            </w:r>
          </w:p>
        </w:tc>
      </w:tr>
      <w:tr w:rsidR="00F05B90" w:rsidRPr="00F05B90" w14:paraId="471F4D98"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D64BA" w14:textId="32552EC8" w:rsidR="00406FC6" w:rsidRPr="00F05B90" w:rsidRDefault="00406FC6" w:rsidP="00406FC6">
            <w:pPr>
              <w:spacing w:line="256" w:lineRule="auto"/>
              <w:rPr>
                <w:i/>
                <w:iCs/>
              </w:rPr>
            </w:pPr>
            <w:r w:rsidRPr="00F05B90">
              <w:rPr>
                <w:i/>
                <w:iCs/>
              </w:rPr>
              <w:t>Employee</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E2743" w14:textId="4FC2075A" w:rsidR="00406FC6" w:rsidRPr="00F05B90" w:rsidRDefault="00406FC6" w:rsidP="00406FC6">
            <w:pPr>
              <w:spacing w:line="256" w:lineRule="auto"/>
            </w:pPr>
            <w:r w:rsidRPr="00F05B90">
              <w:rPr>
                <w:shd w:val="clear" w:color="auto" w:fill="FFFFFF"/>
              </w:rPr>
              <w:t>The number of employees</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4FA34" w14:textId="24BAEE50" w:rsidR="00406FC6" w:rsidRPr="00F05B90" w:rsidRDefault="00406FC6" w:rsidP="00406FC6">
            <w:pPr>
              <w:spacing w:line="256" w:lineRule="auto"/>
              <w:rPr>
                <w:shd w:val="clear" w:color="auto" w:fill="FFFFFF"/>
              </w:rPr>
            </w:pPr>
            <w:r w:rsidRPr="00F05B90">
              <w:rPr>
                <w:shd w:val="clear" w:color="auto" w:fill="FFFFFF"/>
              </w:rPr>
              <w:t>DataStream</w:t>
            </w:r>
          </w:p>
        </w:tc>
      </w:tr>
      <w:tr w:rsidR="00F05B90" w:rsidRPr="00F05B90" w14:paraId="121209DE"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FCDBF" w14:textId="059E4B49" w:rsidR="00406FC6" w:rsidRPr="00F05B90" w:rsidRDefault="00406FC6" w:rsidP="00406FC6">
            <w:pPr>
              <w:spacing w:line="256" w:lineRule="auto"/>
              <w:rPr>
                <w:i/>
                <w:iCs/>
              </w:rPr>
            </w:pPr>
            <w:r w:rsidRPr="00F05B90">
              <w:rPr>
                <w:i/>
                <w:iCs/>
              </w:rPr>
              <w:t>CEOR</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D1B5" w14:textId="77777777" w:rsidR="00406FC6" w:rsidRPr="00F05B90" w:rsidRDefault="00406FC6" w:rsidP="00406FC6">
            <w:pPr>
              <w:spacing w:line="256" w:lineRule="auto"/>
              <w:rPr>
                <w:shd w:val="clear" w:color="auto" w:fill="FFFFFF"/>
              </w:rPr>
            </w:pPr>
            <w:r w:rsidRPr="00F05B90">
              <w:rPr>
                <w:shd w:val="clear" w:color="auto" w:fill="FFFFFF"/>
              </w:rPr>
              <w:t xml:space="preserve">Number of years the CEO has been in the role </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DE4DF" w14:textId="1A09D0DC" w:rsidR="00406FC6" w:rsidRPr="00F05B90" w:rsidRDefault="00406FC6" w:rsidP="00406FC6">
            <w:pPr>
              <w:spacing w:line="256" w:lineRule="auto"/>
              <w:rPr>
                <w:shd w:val="clear" w:color="auto" w:fill="FFFFFF"/>
              </w:rPr>
            </w:pPr>
            <w:r w:rsidRPr="00F05B90">
              <w:rPr>
                <w:shd w:val="clear" w:color="auto" w:fill="FFFFFF"/>
              </w:rPr>
              <w:t>BoardEx</w:t>
            </w:r>
          </w:p>
        </w:tc>
      </w:tr>
      <w:tr w:rsidR="00F05B90" w:rsidRPr="00F05B90" w14:paraId="73B20CDF"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14EBB" w14:textId="1036C639" w:rsidR="00406FC6" w:rsidRPr="00F05B90" w:rsidRDefault="00406FC6" w:rsidP="00406FC6">
            <w:pPr>
              <w:spacing w:line="256" w:lineRule="auto"/>
              <w:rPr>
                <w:i/>
                <w:iCs/>
              </w:rPr>
            </w:pPr>
            <w:r w:rsidRPr="00F05B90">
              <w:rPr>
                <w:i/>
                <w:iCs/>
              </w:rPr>
              <w:t>CEOGender</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647E9" w14:textId="6738B738" w:rsidR="00406FC6" w:rsidRPr="00F05B90" w:rsidRDefault="00406FC6" w:rsidP="00406FC6">
            <w:pPr>
              <w:spacing w:line="256" w:lineRule="auto"/>
              <w:rPr>
                <w:shd w:val="clear" w:color="auto" w:fill="FFFFFF"/>
              </w:rPr>
            </w:pPr>
            <w:r w:rsidRPr="00F05B90">
              <w:rPr>
                <w:shd w:val="clear" w:color="auto" w:fill="FFFFFF"/>
              </w:rPr>
              <w:t>Equal to 1 if the CEO is a man, and 0 otherwise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15F4D" w14:textId="093D501B" w:rsidR="00406FC6" w:rsidRPr="00F05B90" w:rsidRDefault="00406FC6" w:rsidP="00406FC6">
            <w:pPr>
              <w:spacing w:line="256" w:lineRule="auto"/>
              <w:rPr>
                <w:shd w:val="clear" w:color="auto" w:fill="FFFFFF"/>
              </w:rPr>
            </w:pPr>
            <w:r w:rsidRPr="00F05B90">
              <w:rPr>
                <w:shd w:val="clear" w:color="auto" w:fill="FFFFFF"/>
              </w:rPr>
              <w:t>BoardEx</w:t>
            </w:r>
          </w:p>
        </w:tc>
      </w:tr>
      <w:tr w:rsidR="00F05B90" w:rsidRPr="00F05B90" w14:paraId="28E5C757"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AFEB2" w14:textId="10A7E196" w:rsidR="00406FC6" w:rsidRPr="00F05B90" w:rsidRDefault="00406FC6" w:rsidP="00406FC6">
            <w:pPr>
              <w:spacing w:line="256" w:lineRule="auto"/>
              <w:rPr>
                <w:i/>
                <w:iCs/>
              </w:rPr>
            </w:pPr>
            <w:r w:rsidRPr="00F05B90">
              <w:rPr>
                <w:i/>
                <w:iCs/>
              </w:rPr>
              <w:t>Retire</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9D8B8" w14:textId="2AE4C4AC" w:rsidR="00406FC6" w:rsidRPr="00F05B90" w:rsidRDefault="00050132" w:rsidP="00050132">
            <w:pPr>
              <w:spacing w:line="256" w:lineRule="auto"/>
              <w:rPr>
                <w:shd w:val="clear" w:color="auto" w:fill="FFFFFF"/>
              </w:rPr>
            </w:pPr>
            <w:r w:rsidRPr="00F05B90">
              <w:rPr>
                <w:rFonts w:asciiTheme="majorBidi" w:hAnsiTheme="majorBidi"/>
              </w:rPr>
              <w:t xml:space="preserve">Indicator </w:t>
            </w:r>
            <w:r w:rsidR="00406FC6" w:rsidRPr="00F05B90">
              <w:rPr>
                <w:rFonts w:asciiTheme="majorBidi" w:hAnsiTheme="majorBidi"/>
              </w:rPr>
              <w:t>variable that equals 1 if the CEO is at least 62 years old and 0 otherwise.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BCD75" w14:textId="3B218995" w:rsidR="00406FC6" w:rsidRPr="00F05B90" w:rsidRDefault="00406FC6" w:rsidP="00406FC6">
            <w:pPr>
              <w:spacing w:line="256" w:lineRule="auto"/>
              <w:rPr>
                <w:shd w:val="clear" w:color="auto" w:fill="FFFFFF"/>
              </w:rPr>
            </w:pPr>
            <w:r w:rsidRPr="00F05B90">
              <w:rPr>
                <w:shd w:val="clear" w:color="auto" w:fill="FFFFFF"/>
              </w:rPr>
              <w:t>BoardEx</w:t>
            </w:r>
          </w:p>
        </w:tc>
      </w:tr>
      <w:tr w:rsidR="00F05B90" w:rsidRPr="00F05B90" w14:paraId="032D880F" w14:textId="77777777" w:rsidTr="00937852">
        <w:trPr>
          <w:trHeight w:val="221"/>
          <w:jc w:val="center"/>
        </w:trPr>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4C99D" w14:textId="3A5A7404" w:rsidR="00406FC6" w:rsidRPr="00F05B90" w:rsidRDefault="00406FC6" w:rsidP="00406FC6">
            <w:pPr>
              <w:spacing w:line="256" w:lineRule="auto"/>
              <w:rPr>
                <w:i/>
                <w:iCs/>
                <w:shd w:val="clear" w:color="auto" w:fill="FFFFFF"/>
              </w:rPr>
            </w:pPr>
            <w:r w:rsidRPr="00F05B90">
              <w:rPr>
                <w:i/>
                <w:iCs/>
              </w:rPr>
              <w:t>Insider</w:t>
            </w:r>
          </w:p>
        </w:tc>
        <w:tc>
          <w:tcPr>
            <w:tcW w:w="6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75697" w14:textId="1C81A41F" w:rsidR="00406FC6" w:rsidRPr="00F05B90" w:rsidRDefault="00406FC6" w:rsidP="00406FC6">
            <w:pPr>
              <w:spacing w:line="256" w:lineRule="auto"/>
              <w:rPr>
                <w:shd w:val="clear" w:color="auto" w:fill="FFFFFF"/>
              </w:rPr>
            </w:pPr>
            <w:r w:rsidRPr="00F05B90">
              <w:rPr>
                <w:shd w:val="clear" w:color="auto" w:fill="FFFFFF"/>
              </w:rPr>
              <w:t>A dummy indicating if the CEO was an outside hire, defined as having arrived at the firm within two years prior to becoming CEO: equal to 1 if the CEO was an inside hire, and 0 otherwise</w:t>
            </w:r>
          </w:p>
        </w:tc>
        <w:tc>
          <w:tcPr>
            <w:tcW w:w="1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1AE6F" w14:textId="61CAC0FC" w:rsidR="00406FC6" w:rsidRPr="00F05B90" w:rsidRDefault="00406FC6" w:rsidP="00406FC6">
            <w:pPr>
              <w:spacing w:line="256" w:lineRule="auto"/>
              <w:rPr>
                <w:shd w:val="clear" w:color="auto" w:fill="FFFFFF"/>
              </w:rPr>
            </w:pPr>
            <w:r w:rsidRPr="00F05B90">
              <w:rPr>
                <w:shd w:val="clear" w:color="auto" w:fill="FFFFFF"/>
              </w:rPr>
              <w:t>BoardEx</w:t>
            </w:r>
          </w:p>
        </w:tc>
      </w:tr>
    </w:tbl>
    <w:p w14:paraId="11259163" w14:textId="77777777" w:rsidR="00817718" w:rsidRPr="00F05B90" w:rsidRDefault="00817718" w:rsidP="00817718">
      <w:pPr>
        <w:spacing w:line="360" w:lineRule="auto"/>
        <w:jc w:val="both"/>
      </w:pPr>
      <w:r w:rsidRPr="00F05B90">
        <w:rPr>
          <w:shd w:val="clear" w:color="auto" w:fill="FFFFFF"/>
        </w:rPr>
        <w:tab/>
      </w:r>
    </w:p>
    <w:p w14:paraId="69474BB8" w14:textId="77777777" w:rsidR="00817718" w:rsidRPr="00F05B90" w:rsidRDefault="00817718" w:rsidP="00817718">
      <w:pPr>
        <w:spacing w:line="360" w:lineRule="auto"/>
        <w:jc w:val="both"/>
      </w:pPr>
    </w:p>
    <w:p w14:paraId="6F30B9FE" w14:textId="77777777" w:rsidR="00817718" w:rsidRPr="00F05B90" w:rsidRDefault="00817718" w:rsidP="00817718">
      <w:pPr>
        <w:spacing w:line="360" w:lineRule="auto"/>
        <w:jc w:val="both"/>
      </w:pPr>
    </w:p>
    <w:p w14:paraId="3B5C318C" w14:textId="77777777" w:rsidR="00817718" w:rsidRPr="00F05B90" w:rsidRDefault="00817718" w:rsidP="00817718">
      <w:pPr>
        <w:spacing w:line="360" w:lineRule="auto"/>
        <w:jc w:val="both"/>
      </w:pPr>
    </w:p>
    <w:p w14:paraId="5AE58D77" w14:textId="77777777" w:rsidR="00817718" w:rsidRPr="00F05B90" w:rsidRDefault="00817718" w:rsidP="00817718">
      <w:pPr>
        <w:spacing w:line="360" w:lineRule="auto"/>
        <w:jc w:val="both"/>
      </w:pPr>
    </w:p>
    <w:p w14:paraId="3371049E" w14:textId="77777777" w:rsidR="00817718" w:rsidRPr="00F05B90" w:rsidRDefault="00817718" w:rsidP="00817718">
      <w:pPr>
        <w:spacing w:line="360" w:lineRule="auto"/>
        <w:jc w:val="both"/>
      </w:pPr>
    </w:p>
    <w:p w14:paraId="11CAFAF1" w14:textId="77777777" w:rsidR="00817718" w:rsidRPr="00F05B90" w:rsidRDefault="00817718" w:rsidP="00817718">
      <w:pPr>
        <w:spacing w:line="360" w:lineRule="auto"/>
        <w:jc w:val="both"/>
      </w:pPr>
    </w:p>
    <w:p w14:paraId="3309A55A" w14:textId="77777777" w:rsidR="00817718" w:rsidRPr="00F05B90" w:rsidRDefault="00817718" w:rsidP="00817718">
      <w:pPr>
        <w:spacing w:line="360" w:lineRule="auto"/>
        <w:jc w:val="both"/>
      </w:pPr>
    </w:p>
    <w:p w14:paraId="14193135" w14:textId="77777777" w:rsidR="00817718" w:rsidRPr="00F05B90" w:rsidRDefault="00817718" w:rsidP="00817718">
      <w:pPr>
        <w:spacing w:line="360" w:lineRule="auto"/>
        <w:jc w:val="both"/>
      </w:pPr>
    </w:p>
    <w:p w14:paraId="25818AFB" w14:textId="77777777" w:rsidR="00817718" w:rsidRPr="00F05B90" w:rsidRDefault="00817718" w:rsidP="00817718">
      <w:pPr>
        <w:spacing w:line="360" w:lineRule="auto"/>
        <w:jc w:val="both"/>
      </w:pPr>
    </w:p>
    <w:p w14:paraId="75BD9905" w14:textId="77777777" w:rsidR="00817718" w:rsidRPr="00F05B90" w:rsidRDefault="00817718" w:rsidP="00817718">
      <w:pPr>
        <w:spacing w:line="360" w:lineRule="auto"/>
        <w:jc w:val="both"/>
      </w:pPr>
    </w:p>
    <w:p w14:paraId="05A44CDB" w14:textId="77777777" w:rsidR="00817718" w:rsidRPr="00F05B90" w:rsidRDefault="00817718" w:rsidP="00817718">
      <w:pPr>
        <w:spacing w:line="360" w:lineRule="auto"/>
        <w:jc w:val="both"/>
      </w:pPr>
    </w:p>
    <w:p w14:paraId="0B2520BD" w14:textId="77777777" w:rsidR="00817718" w:rsidRPr="00F05B90" w:rsidRDefault="00817718" w:rsidP="00817718">
      <w:pPr>
        <w:spacing w:line="360" w:lineRule="auto"/>
        <w:jc w:val="both"/>
      </w:pPr>
    </w:p>
    <w:p w14:paraId="2A65A876" w14:textId="77777777" w:rsidR="00817718" w:rsidRPr="00F05B90" w:rsidRDefault="00817718" w:rsidP="00817718">
      <w:pPr>
        <w:spacing w:line="360" w:lineRule="auto"/>
        <w:jc w:val="both"/>
      </w:pPr>
    </w:p>
    <w:p w14:paraId="18FC7A61" w14:textId="77777777" w:rsidR="00817718" w:rsidRPr="00F05B90" w:rsidRDefault="00817718" w:rsidP="00817718">
      <w:pPr>
        <w:spacing w:line="360" w:lineRule="auto"/>
        <w:jc w:val="both"/>
      </w:pPr>
    </w:p>
    <w:p w14:paraId="28EFA7F7" w14:textId="77777777" w:rsidR="00817718" w:rsidRPr="00F05B90" w:rsidRDefault="00817718" w:rsidP="00817718">
      <w:pPr>
        <w:spacing w:line="360" w:lineRule="auto"/>
        <w:jc w:val="both"/>
      </w:pPr>
    </w:p>
    <w:p w14:paraId="022384A7" w14:textId="7C92056A" w:rsidR="00817718" w:rsidRPr="00F05B90" w:rsidRDefault="00817718" w:rsidP="009B005D">
      <w:pPr>
        <w:keepNext/>
        <w:keepLines/>
        <w:spacing w:before="40" w:line="360" w:lineRule="auto"/>
        <w:outlineLvl w:val="1"/>
        <w:rPr>
          <w:rFonts w:eastAsiaTheme="majorEastAsia"/>
          <w:bCs/>
        </w:rPr>
      </w:pPr>
      <w:bookmarkStart w:id="31" w:name="_Toc123457942"/>
      <w:r w:rsidRPr="00F05B90">
        <w:rPr>
          <w:rFonts w:eastAsiaTheme="majorEastAsia"/>
          <w:b/>
        </w:rPr>
        <w:lastRenderedPageBreak/>
        <w:t xml:space="preserve">Appendix </w:t>
      </w:r>
      <w:r w:rsidR="009B005D" w:rsidRPr="00F05B90">
        <w:rPr>
          <w:rFonts w:eastAsiaTheme="majorEastAsia"/>
          <w:b/>
        </w:rPr>
        <w:t>2</w:t>
      </w:r>
      <w:r w:rsidRPr="00F05B90">
        <w:rPr>
          <w:rFonts w:eastAsiaTheme="majorEastAsia"/>
          <w:b/>
        </w:rPr>
        <w:t xml:space="preserve">: </w:t>
      </w:r>
      <w:r w:rsidRPr="00F05B90">
        <w:rPr>
          <w:rFonts w:eastAsiaTheme="majorEastAsia"/>
          <w:bCs/>
        </w:rPr>
        <w:t>Industry Classifications</w:t>
      </w:r>
      <w:bookmarkEnd w:id="31"/>
    </w:p>
    <w:p w14:paraId="27A4B1AB" w14:textId="5800C8CC" w:rsidR="00817718" w:rsidRPr="00F05B90" w:rsidRDefault="00817718" w:rsidP="00760408">
      <w:pPr>
        <w:spacing w:before="120" w:after="120" w:line="360" w:lineRule="auto"/>
        <w:jc w:val="both"/>
        <w:rPr>
          <w:shd w:val="clear" w:color="auto" w:fill="FFFFFF"/>
        </w:rPr>
      </w:pPr>
      <w:r w:rsidRPr="00F05B90">
        <w:t xml:space="preserve">We used the industry classification from the BoardEx database </w:t>
      </w:r>
      <w:r w:rsidR="00760408" w:rsidRPr="00F05B90">
        <w:t xml:space="preserve">to identify </w:t>
      </w:r>
      <w:r w:rsidRPr="00F05B90">
        <w:t>non-financial industry categories. These include: Aerospace &amp; Defence; Automobiles &amp; Parts; Beverages; Business Services; Chemicals; Clothing &amp; Personal Products; Construction &amp; Building Materials; Containers &amp; Packaging; Diversified Industrials; Electricity; Electronic &amp; Electrical Equipment; Engineering &amp; Machinery; Food &amp; Drug Retailers; Food Producers &amp; Processors; Forestry &amp; Paper; General Retailers; Health; Household Products; Information Technology Hardware; Leisure &amp; Hotels; Leisure Goods</w:t>
      </w:r>
      <w:r w:rsidR="00760408" w:rsidRPr="00F05B90">
        <w:t>; Media &amp; Entertainment; Mining.</w:t>
      </w:r>
    </w:p>
    <w:p w14:paraId="7440AD09" w14:textId="77777777" w:rsidR="00817718" w:rsidRPr="00F05B90" w:rsidRDefault="00817718" w:rsidP="00817718">
      <w:pPr>
        <w:rPr>
          <w:rFonts w:ascii="Arial" w:hAnsi="Arial" w:cs="Arial"/>
          <w:sz w:val="20"/>
          <w:szCs w:val="20"/>
        </w:rPr>
      </w:pPr>
    </w:p>
    <w:p w14:paraId="29A35522" w14:textId="77777777" w:rsidR="00817718" w:rsidRPr="00F05B90" w:rsidRDefault="00817718" w:rsidP="00A0667E">
      <w:pPr>
        <w:spacing w:after="160" w:line="259" w:lineRule="auto"/>
        <w:ind w:left="426" w:hanging="426"/>
        <w:rPr>
          <w:rFonts w:asciiTheme="majorBidi" w:eastAsiaTheme="majorEastAsia" w:hAnsiTheme="majorBidi" w:cstheme="majorBidi"/>
          <w:b/>
          <w:szCs w:val="32"/>
          <w:shd w:val="clear" w:color="auto" w:fill="FFFFFF"/>
        </w:rPr>
      </w:pPr>
    </w:p>
    <w:p w14:paraId="370BA73F" w14:textId="77777777" w:rsidR="00817718" w:rsidRPr="00F05B90" w:rsidRDefault="00817718" w:rsidP="00A0667E">
      <w:pPr>
        <w:spacing w:after="160" w:line="259" w:lineRule="auto"/>
        <w:ind w:left="426" w:hanging="426"/>
        <w:rPr>
          <w:rFonts w:asciiTheme="majorBidi" w:eastAsiaTheme="majorEastAsia" w:hAnsiTheme="majorBidi" w:cstheme="majorBidi"/>
          <w:b/>
          <w:szCs w:val="32"/>
          <w:shd w:val="clear" w:color="auto" w:fill="FFFFFF"/>
        </w:rPr>
      </w:pPr>
    </w:p>
    <w:sectPr w:rsidR="00817718" w:rsidRPr="00F05B90" w:rsidSect="00CD4107">
      <w:pgSz w:w="11906" w:h="16838"/>
      <w:pgMar w:top="1361" w:right="1440" w:bottom="1440" w:left="1361" w:header="709"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BAE44" w14:textId="77777777" w:rsidR="009C5FE0" w:rsidRDefault="009C5FE0" w:rsidP="00F80955">
      <w:r>
        <w:separator/>
      </w:r>
    </w:p>
  </w:endnote>
  <w:endnote w:type="continuationSeparator" w:id="0">
    <w:p w14:paraId="0D7A0324" w14:textId="77777777" w:rsidR="009C5FE0" w:rsidRDefault="009C5FE0" w:rsidP="00F8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00000001"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854658"/>
      <w:docPartObj>
        <w:docPartGallery w:val="Page Numbers (Bottom of Page)"/>
        <w:docPartUnique/>
      </w:docPartObj>
    </w:sdtPr>
    <w:sdtEndPr>
      <w:rPr>
        <w:noProof/>
      </w:rPr>
    </w:sdtEndPr>
    <w:sdtContent>
      <w:p w14:paraId="60AA84CD" w14:textId="7FBFDA03" w:rsidR="009C5FE0" w:rsidRDefault="009C5FE0">
        <w:pPr>
          <w:pStyle w:val="Footer"/>
          <w:jc w:val="center"/>
        </w:pPr>
        <w:r>
          <w:fldChar w:fldCharType="begin"/>
        </w:r>
        <w:r>
          <w:instrText xml:space="preserve"> PAGE   \* MERGEFORMAT </w:instrText>
        </w:r>
        <w:r>
          <w:fldChar w:fldCharType="separate"/>
        </w:r>
        <w:r w:rsidR="00F05B90">
          <w:rPr>
            <w:noProof/>
          </w:rPr>
          <w:t>3</w:t>
        </w:r>
        <w:r>
          <w:rPr>
            <w:noProof/>
          </w:rPr>
          <w:fldChar w:fldCharType="end"/>
        </w:r>
      </w:p>
    </w:sdtContent>
  </w:sdt>
  <w:p w14:paraId="08B5A569" w14:textId="77777777" w:rsidR="009C5FE0" w:rsidRDefault="009C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60213"/>
      <w:docPartObj>
        <w:docPartGallery w:val="Page Numbers (Bottom of Page)"/>
        <w:docPartUnique/>
      </w:docPartObj>
    </w:sdtPr>
    <w:sdtEndPr>
      <w:rPr>
        <w:rStyle w:val="PageNumber"/>
      </w:rPr>
    </w:sdtEndPr>
    <w:sdtContent>
      <w:p w14:paraId="3A59BA50" w14:textId="77777777" w:rsidR="009C5FE0" w:rsidRDefault="009C5FE0" w:rsidP="004E03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D5F50" w14:textId="77777777" w:rsidR="009C5FE0" w:rsidRDefault="009C5FE0" w:rsidP="004E03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826948"/>
      <w:docPartObj>
        <w:docPartGallery w:val="Page Numbers (Bottom of Page)"/>
        <w:docPartUnique/>
      </w:docPartObj>
    </w:sdtPr>
    <w:sdtEndPr>
      <w:rPr>
        <w:rStyle w:val="PageNumber"/>
      </w:rPr>
    </w:sdtEndPr>
    <w:sdtContent>
      <w:p w14:paraId="3432833E" w14:textId="05499B52" w:rsidR="009C5FE0" w:rsidRDefault="009C5FE0" w:rsidP="00CD41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5B90">
          <w:rPr>
            <w:rStyle w:val="PageNumber"/>
            <w:noProof/>
          </w:rPr>
          <w:t>43</w:t>
        </w:r>
        <w:r>
          <w:rPr>
            <w:rStyle w:val="PageNumber"/>
          </w:rPr>
          <w:fldChar w:fldCharType="end"/>
        </w:r>
      </w:p>
    </w:sdtContent>
  </w:sdt>
  <w:p w14:paraId="10E1A63C" w14:textId="77777777" w:rsidR="009C5FE0" w:rsidRDefault="009C5FE0" w:rsidP="004E03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56B11" w14:textId="77777777" w:rsidR="009C5FE0" w:rsidRDefault="009C5FE0" w:rsidP="00F80955">
      <w:r>
        <w:separator/>
      </w:r>
    </w:p>
  </w:footnote>
  <w:footnote w:type="continuationSeparator" w:id="0">
    <w:p w14:paraId="4D89D765" w14:textId="77777777" w:rsidR="009C5FE0" w:rsidRDefault="009C5FE0" w:rsidP="00F80955">
      <w:r>
        <w:continuationSeparator/>
      </w:r>
    </w:p>
  </w:footnote>
  <w:footnote w:id="1">
    <w:p w14:paraId="149FBEF0" w14:textId="78934023" w:rsidR="000C267A" w:rsidRPr="000C267A" w:rsidRDefault="000C267A" w:rsidP="000C267A">
      <w:pPr>
        <w:pStyle w:val="FootnoteText"/>
      </w:pPr>
      <w:r>
        <w:rPr>
          <w:rStyle w:val="FootnoteReference"/>
        </w:rPr>
        <w:footnoteRef/>
      </w:r>
      <w:r>
        <w:t xml:space="preserve"> I</w:t>
      </w:r>
      <w:r w:rsidRPr="00C05D13">
        <w:rPr>
          <w:color w:val="000000" w:themeColor="text1"/>
          <w:lang w:val="en-GB"/>
        </w:rPr>
        <w:t>industry tournament incentives</w:t>
      </w:r>
      <w:r>
        <w:rPr>
          <w:color w:val="000000" w:themeColor="text1"/>
          <w:lang w:val="en-GB"/>
        </w:rPr>
        <w:t xml:space="preserve"> refers to </w:t>
      </w:r>
      <w:r w:rsidRPr="00C05D13">
        <w:rPr>
          <w:color w:val="000000" w:themeColor="text1"/>
          <w:lang w:val="en-GB"/>
        </w:rPr>
        <w:t xml:space="preserve">the gap between the highest-paid CEOs in an industry and their </w:t>
      </w:r>
      <w:r>
        <w:rPr>
          <w:color w:val="000000" w:themeColor="text1"/>
          <w:lang w:val="en-GB"/>
        </w:rPr>
        <w:t xml:space="preserve">industry </w:t>
      </w:r>
      <w:r w:rsidRPr="00C05D13">
        <w:rPr>
          <w:color w:val="000000" w:themeColor="text1"/>
          <w:lang w:val="en-GB"/>
        </w:rPr>
        <w:t>peers</w:t>
      </w:r>
      <w:r>
        <w:rPr>
          <w:color w:val="000000" w:themeColor="text1"/>
          <w:lang w:val="en-GB"/>
        </w:rPr>
        <w:t xml:space="preserve">. </w:t>
      </w:r>
    </w:p>
  </w:footnote>
  <w:footnote w:id="2">
    <w:p w14:paraId="4B856541" w14:textId="69C34279" w:rsidR="009C5FE0" w:rsidRPr="00F21188" w:rsidRDefault="009C5FE0" w:rsidP="002A46C7">
      <w:pPr>
        <w:pStyle w:val="FootnoteText"/>
        <w:jc w:val="both"/>
      </w:pPr>
      <w:r>
        <w:rPr>
          <w:rStyle w:val="FootnoteReference"/>
        </w:rPr>
        <w:footnoteRef/>
      </w:r>
      <w:r>
        <w:t xml:space="preserve"> </w:t>
      </w:r>
      <w:r w:rsidRPr="00F21188">
        <w:t>As a further analysis, we also considered the internal tournament incentive</w:t>
      </w:r>
      <w:r>
        <w:t>.</w:t>
      </w:r>
    </w:p>
  </w:footnote>
  <w:footnote w:id="3">
    <w:p w14:paraId="3F7865E0" w14:textId="3705E1FE" w:rsidR="009C5FE0" w:rsidRPr="00526262" w:rsidRDefault="009C5FE0" w:rsidP="002A46C7">
      <w:pPr>
        <w:pStyle w:val="FootnoteText"/>
        <w:jc w:val="both"/>
      </w:pPr>
      <w:r>
        <w:rPr>
          <w:rStyle w:val="FootnoteReference"/>
        </w:rPr>
        <w:footnoteRef/>
      </w:r>
      <w:r>
        <w:t xml:space="preserve"> </w:t>
      </w:r>
      <w:r w:rsidRPr="00F51F52">
        <w:t>The IAASB’s guidance (2009, ISA 320.04) states, “the auditor’s determination of materiality is a matter of professional judgment, and is affected by the auditor’s perception of the financial information needs of users of the financial statements”</w:t>
      </w:r>
      <w:r>
        <w:t>.</w:t>
      </w:r>
    </w:p>
  </w:footnote>
  <w:footnote w:id="4">
    <w:p w14:paraId="4591AACB" w14:textId="4FE82789" w:rsidR="009C5FE0" w:rsidRPr="00526262" w:rsidRDefault="009C5FE0" w:rsidP="002A46C7">
      <w:pPr>
        <w:pStyle w:val="FootnoteText"/>
        <w:jc w:val="both"/>
      </w:pPr>
      <w:r>
        <w:rPr>
          <w:rStyle w:val="FootnoteReference"/>
        </w:rPr>
        <w:footnoteRef/>
      </w:r>
      <w:r>
        <w:t xml:space="preserve"> The level of materiality set is based on professional judgment and is likely to depend on many factors, such as the complexity of the company, its business and financial structure, the reliability of its internal con</w:t>
      </w:r>
      <w:r w:rsidRPr="00264151">
        <w:t>trols</w:t>
      </w:r>
      <w:r>
        <w:t>, and the corporate governance mechanism (FRC, 2016).</w:t>
      </w:r>
    </w:p>
  </w:footnote>
  <w:footnote w:id="5">
    <w:p w14:paraId="29EA9A68" w14:textId="68C7A8D0" w:rsidR="009C5FE0" w:rsidRPr="00AA7971" w:rsidRDefault="009C5FE0" w:rsidP="00A0667E">
      <w:pPr>
        <w:pStyle w:val="FootnoteText"/>
        <w:jc w:val="both"/>
      </w:pPr>
      <w:r>
        <w:rPr>
          <w:rStyle w:val="FootnoteReference"/>
        </w:rPr>
        <w:footnoteRef/>
      </w:r>
      <w:r>
        <w:t xml:space="preserve"> Prior studies </w:t>
      </w:r>
      <w:r w:rsidRPr="005A7874">
        <w:t>on the determinants of materiality</w:t>
      </w:r>
      <w:r>
        <w:t xml:space="preserve"> and risk matters</w:t>
      </w:r>
      <w:r w:rsidRPr="005A7874">
        <w:t xml:space="preserve"> </w:t>
      </w:r>
      <w:r>
        <w:t>are limited because of</w:t>
      </w:r>
      <w:r w:rsidRPr="005A7874">
        <w:t xml:space="preserve"> lack of data availability</w:t>
      </w:r>
      <w:r>
        <w:t xml:space="preserve"> </w:t>
      </w:r>
      <w:r w:rsidRPr="009262E0">
        <w:t>(Bepari et al., 2022; Doyle et al., 2007)</w:t>
      </w:r>
      <w:r w:rsidRPr="005A7874">
        <w:t>.</w:t>
      </w:r>
    </w:p>
  </w:footnote>
  <w:footnote w:id="6">
    <w:p w14:paraId="5E13F9FC" w14:textId="19FA0664" w:rsidR="009C5FE0" w:rsidRPr="00A6523B" w:rsidRDefault="009C5FE0" w:rsidP="00FA6AAD">
      <w:pPr>
        <w:pStyle w:val="FootnoteText"/>
        <w:jc w:val="both"/>
      </w:pPr>
      <w:r>
        <w:rPr>
          <w:rStyle w:val="FootnoteReference"/>
        </w:rPr>
        <w:footnoteRef/>
      </w:r>
      <w:r>
        <w:t xml:space="preserve"> </w:t>
      </w:r>
      <w:r w:rsidRPr="00E2472D">
        <w:t>For example, Alan Greenspan</w:t>
      </w:r>
      <w:r>
        <w:t>,</w:t>
      </w:r>
      <w:r w:rsidRPr="00E2472D">
        <w:t xml:space="preserve"> former </w:t>
      </w:r>
      <w:r>
        <w:t>C</w:t>
      </w:r>
      <w:r w:rsidRPr="00E2472D">
        <w:t>hairman of the Board of Governors of the Federal Reserve System</w:t>
      </w:r>
      <w:r>
        <w:t>, noted</w:t>
      </w:r>
      <w:r w:rsidRPr="00E2472D">
        <w:t xml:space="preserve"> that</w:t>
      </w:r>
      <w:r>
        <w:t xml:space="preserve"> </w:t>
      </w:r>
      <w:r w:rsidRPr="00D222AA">
        <w:t xml:space="preserve">the widespread use of shares and stock options as executive compensation had unintended consequences. He stated this practice </w:t>
      </w:r>
      <w:r>
        <w:t>“</w:t>
      </w:r>
      <w:r w:rsidRPr="00E2472D">
        <w:t>perversely created incentives to artificially inflate reported earnings in order to keep stock</w:t>
      </w:r>
      <w:r>
        <w:t xml:space="preserve"> </w:t>
      </w:r>
      <w:r w:rsidRPr="00E2472D">
        <w:t>prices high and rising</w:t>
      </w:r>
      <w:r>
        <w:t>”</w:t>
      </w:r>
      <w:r w:rsidRPr="00E2472D">
        <w:t xml:space="preserve"> (Federal Reserve Board’s semiannual monetary policy report to Congress</w:t>
      </w:r>
      <w:r>
        <w:t xml:space="preserve">, </w:t>
      </w:r>
      <w:r w:rsidRPr="00E2472D">
        <w:t>July 16, 2002).</w:t>
      </w:r>
    </w:p>
  </w:footnote>
  <w:footnote w:id="7">
    <w:p w14:paraId="1EC089C5" w14:textId="56FD5870" w:rsidR="009C5FE0" w:rsidRPr="00C05D13" w:rsidRDefault="009C5FE0" w:rsidP="00E04823">
      <w:pPr>
        <w:pStyle w:val="FootnoteText"/>
        <w:rPr>
          <w:color w:val="000000" w:themeColor="text1"/>
        </w:rPr>
      </w:pPr>
      <w:r w:rsidRPr="00C05D13">
        <w:rPr>
          <w:rStyle w:val="FootnoteReference"/>
          <w:color w:val="000000" w:themeColor="text1"/>
        </w:rPr>
        <w:footnoteRef/>
      </w:r>
      <w:r w:rsidRPr="00C05D13">
        <w:rPr>
          <w:color w:val="000000" w:themeColor="text1"/>
        </w:rPr>
        <w:t xml:space="preserve"> For a comprehensive review of studies on KAM, please refer to Elmarzouky et al. (2024).</w:t>
      </w:r>
    </w:p>
  </w:footnote>
  <w:footnote w:id="8">
    <w:p w14:paraId="4B6D603D" w14:textId="15F341A9" w:rsidR="009C5FE0" w:rsidRPr="00A82770" w:rsidRDefault="009C5FE0" w:rsidP="00616E9D">
      <w:pPr>
        <w:pStyle w:val="FootnoteText"/>
        <w:jc w:val="both"/>
      </w:pPr>
      <w:r>
        <w:rPr>
          <w:rStyle w:val="FootnoteReference"/>
        </w:rPr>
        <w:footnoteRef/>
      </w:r>
      <w:r>
        <w:t xml:space="preserve"> According to ISA (</w:t>
      </w:r>
      <w:r w:rsidRPr="00C352D8">
        <w:t xml:space="preserve">UK) </w:t>
      </w:r>
      <w:r>
        <w:t>701.A9, “the auditor’s decision-making process in determining key audit matters is designed to select a smaller number of matters from the matters communicated with those charged with governance, based on the auditor’s judgment about which matters were of most significance in the audit of the financial statements of the current period.” (FRC, 2022, p. 9)</w:t>
      </w:r>
    </w:p>
  </w:footnote>
  <w:footnote w:id="9">
    <w:p w14:paraId="7B6B92EE" w14:textId="65E04C73" w:rsidR="009C5FE0" w:rsidRPr="00C872EE" w:rsidRDefault="009C5FE0" w:rsidP="00E21ACF">
      <w:pPr>
        <w:pStyle w:val="FootnoteText"/>
        <w:jc w:val="both"/>
      </w:pPr>
      <w:r>
        <w:rPr>
          <w:rStyle w:val="FootnoteReference"/>
        </w:rPr>
        <w:footnoteRef/>
      </w:r>
      <w:r>
        <w:t xml:space="preserve"> We add </w:t>
      </w:r>
      <w:r w:rsidRPr="00540B3B">
        <w:t xml:space="preserve">1 to </w:t>
      </w:r>
      <w:r>
        <w:t>all</w:t>
      </w:r>
      <w:r w:rsidRPr="00540B3B">
        <w:t xml:space="preserve"> </w:t>
      </w:r>
      <w:r>
        <w:t>values</w:t>
      </w:r>
      <w:r w:rsidRPr="00540B3B">
        <w:t xml:space="preserve"> </w:t>
      </w:r>
      <w:r>
        <w:t>before</w:t>
      </w:r>
      <w:r w:rsidRPr="00540B3B">
        <w:t xml:space="preserve"> applying the </w:t>
      </w:r>
      <w:r w:rsidRPr="00C11522">
        <w:t xml:space="preserve">natural </w:t>
      </w:r>
      <w:r w:rsidRPr="00540B3B">
        <w:t>log function</w:t>
      </w:r>
      <w:r>
        <w:t xml:space="preserve"> to ensure that CEOs with the </w:t>
      </w:r>
      <w:r w:rsidRPr="009C7A36">
        <w:t>highest</w:t>
      </w:r>
      <w:r>
        <w:t xml:space="preserve"> and </w:t>
      </w:r>
      <w:r w:rsidRPr="009F29CD">
        <w:t xml:space="preserve">second-highest </w:t>
      </w:r>
      <w:r>
        <w:t>compensation, who are designated as 0, are included in the sample.</w:t>
      </w:r>
    </w:p>
  </w:footnote>
  <w:footnote w:id="10">
    <w:p w14:paraId="58235990" w14:textId="24675C28" w:rsidR="009C5FE0" w:rsidRPr="0082215D" w:rsidRDefault="009C5FE0" w:rsidP="00B3493A">
      <w:pPr>
        <w:pStyle w:val="FootnoteText"/>
        <w:jc w:val="both"/>
        <w:rPr>
          <w:color w:val="FF0000"/>
          <w:lang w:val="en-GB"/>
        </w:rPr>
      </w:pPr>
      <w:r w:rsidRPr="0077120A">
        <w:rPr>
          <w:rStyle w:val="FootnoteReference"/>
          <w:color w:val="000000" w:themeColor="text1"/>
        </w:rPr>
        <w:footnoteRef/>
      </w:r>
      <w:r w:rsidRPr="0077120A">
        <w:rPr>
          <w:color w:val="000000" w:themeColor="text1"/>
        </w:rPr>
        <w:t xml:space="preserve"> </w:t>
      </w:r>
      <w:r w:rsidRPr="0077120A">
        <w:rPr>
          <w:color w:val="000000" w:themeColor="text1"/>
          <w:lang w:val="en-GB"/>
        </w:rPr>
        <w:t>We employ Ordinary Least Squares (OLS) regression, a widely used method in accounting research. This choice aligns with prior studies (e.g., Thomsen et al., 2006; Zhou, 2001), which suggest that fixed-effects models are less suitable for corporate governance research. The key limitation of fixed-effects models arise from the minimal year-to-year variation in governance variables – such as Indgap in our case – within firms. These small changes are unlikely to meaningfully capture or reflect auditor’s professional judgment. In contrast, research suggests that between-firm variation in corporate governance variables is significantly larger (e.g., Thomsen et al., 2006; Zhou, 2001). Accordingly, we adopt OLS regression to better account for these cross-sectional differences.</w:t>
      </w:r>
    </w:p>
  </w:footnote>
  <w:footnote w:id="11">
    <w:p w14:paraId="6DF6A258" w14:textId="0583DEA0" w:rsidR="009C5FE0" w:rsidRPr="00527598" w:rsidRDefault="009C5FE0" w:rsidP="00527598">
      <w:pPr>
        <w:pStyle w:val="FootnoteText"/>
        <w:rPr>
          <w:lang w:val="en-GB"/>
        </w:rPr>
      </w:pPr>
      <w:r>
        <w:rPr>
          <w:rStyle w:val="FootnoteReference"/>
        </w:rPr>
        <w:footnoteRef/>
      </w:r>
      <w:r>
        <w:t xml:space="preserve"> </w:t>
      </w:r>
      <w:r w:rsidRPr="005A2722">
        <w:rPr>
          <w:color w:val="FF0000"/>
        </w:rPr>
        <w:t>While we followed Coles et al. (2018) and Tan (2021) in measuring the pay gap, this approach may not fully eliminate the influence of extreme outliers. Therefore, as a robustness analysis, we constructed an alternative percentile-based pay gap measures (75th percentiles) and our unreported results are qualitatively similar to our baseline analysis, especially when using key audit matters</w:t>
      </w:r>
      <w:r>
        <w:t>.</w:t>
      </w:r>
      <w:r w:rsidRPr="0052759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E7360"/>
    <w:multiLevelType w:val="multilevel"/>
    <w:tmpl w:val="0409001D"/>
    <w:styleLink w:val="Style8"/>
    <w:lvl w:ilvl="0">
      <w:start w:val="1"/>
      <w:numFmt w:val="bullet"/>
      <w:lvlText w:val=""/>
      <w:lvlJc w:val="left"/>
      <w:pPr>
        <w:ind w:left="360" w:hanging="360"/>
      </w:pPr>
      <w:rPr>
        <w:rFonts w:ascii="Symbol" w:hAnsi="Symbol" w:cs="Times New Roman"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4137F3"/>
    <w:multiLevelType w:val="multilevel"/>
    <w:tmpl w:val="0409001D"/>
    <w:styleLink w:val="Style3"/>
    <w:lvl w:ilvl="0">
      <w:start w:val="1"/>
      <w:numFmt w:val="decimal"/>
      <w:lvlText w:val="%1)"/>
      <w:lvlJc w:val="left"/>
      <w:pPr>
        <w:ind w:left="360" w:hanging="360"/>
      </w:pPr>
      <w:rPr>
        <w:rFonts w:ascii="EB Garamond" w:hAnsi="EB Garamon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C74E92"/>
    <w:multiLevelType w:val="multilevel"/>
    <w:tmpl w:val="3880E306"/>
    <w:lvl w:ilvl="0">
      <w:start w:val="1"/>
      <w:numFmt w:val="decimal"/>
      <w:pStyle w:val="Style1"/>
      <w:lvlText w:val="%1."/>
      <w:lvlJc w:val="left"/>
      <w:pPr>
        <w:ind w:left="720" w:hanging="360"/>
      </w:pPr>
      <w:rPr>
        <w:rFonts w:ascii="EB Garamond" w:hAnsi="EB Garamond" w:hint="default"/>
        <w:b/>
        <w:color w:val="000000"/>
      </w:rPr>
    </w:lvl>
    <w:lvl w:ilvl="1">
      <w:start w:val="1"/>
      <w:numFmt w:val="decimal"/>
      <w:pStyle w:val="Sty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701FEB"/>
    <w:multiLevelType w:val="multilevel"/>
    <w:tmpl w:val="48BA9EA0"/>
    <w:styleLink w:val="Style4"/>
    <w:lvl w:ilvl="0">
      <w:start w:val="1"/>
      <w:numFmt w:val="decimal"/>
      <w:lvlText w:val="%1."/>
      <w:lvlJc w:val="left"/>
      <w:pPr>
        <w:ind w:left="720" w:hanging="360"/>
      </w:pPr>
      <w:rPr>
        <w:rFonts w:ascii="EB Garamond" w:hAnsi="EB Garamond"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A76B9E"/>
    <w:multiLevelType w:val="multilevel"/>
    <w:tmpl w:val="0FDCE5F2"/>
    <w:lvl w:ilvl="0">
      <w:start w:val="1"/>
      <w:numFmt w:val="decimal"/>
      <w:pStyle w:val="Heading1"/>
      <w:lvlText w:val="%1."/>
      <w:lvlJc w:val="left"/>
      <w:pPr>
        <w:ind w:left="1080" w:hanging="360"/>
      </w:pPr>
      <w:rPr>
        <w:rFonts w:hint="default"/>
      </w:rPr>
    </w:lvl>
    <w:lvl w:ilvl="1">
      <w:start w:val="1"/>
      <w:numFmt w:val="decimal"/>
      <w:pStyle w:val="Heading2"/>
      <w:lvlText w:val="%1.%2."/>
      <w:lvlJc w:val="left"/>
      <w:pPr>
        <w:ind w:left="2417" w:hanging="432"/>
      </w:pPr>
      <w:rPr>
        <w:rFonts w:hint="default"/>
      </w:rPr>
    </w:lvl>
    <w:lvl w:ilvl="2">
      <w:start w:val="1"/>
      <w:numFmt w:val="decimal"/>
      <w:pStyle w:val="Heading3"/>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3MDGxNDM3N7O0tDBT0lEKTi0uzszPAykwrQUAymCtmywAAAA="/>
  </w:docVars>
  <w:rsids>
    <w:rsidRoot w:val="00F80955"/>
    <w:rsid w:val="00003DC5"/>
    <w:rsid w:val="00004DC7"/>
    <w:rsid w:val="0000565D"/>
    <w:rsid w:val="000060C1"/>
    <w:rsid w:val="00010317"/>
    <w:rsid w:val="00013D98"/>
    <w:rsid w:val="00014A14"/>
    <w:rsid w:val="0001764A"/>
    <w:rsid w:val="00020A9C"/>
    <w:rsid w:val="00024646"/>
    <w:rsid w:val="0002557A"/>
    <w:rsid w:val="0002677C"/>
    <w:rsid w:val="00027B32"/>
    <w:rsid w:val="00032DAE"/>
    <w:rsid w:val="00040F52"/>
    <w:rsid w:val="00044A27"/>
    <w:rsid w:val="0004551A"/>
    <w:rsid w:val="00050132"/>
    <w:rsid w:val="00060C1B"/>
    <w:rsid w:val="00061AE1"/>
    <w:rsid w:val="000652AF"/>
    <w:rsid w:val="000652C9"/>
    <w:rsid w:val="000702F8"/>
    <w:rsid w:val="00071528"/>
    <w:rsid w:val="00080920"/>
    <w:rsid w:val="0008119E"/>
    <w:rsid w:val="00083325"/>
    <w:rsid w:val="00086727"/>
    <w:rsid w:val="0009180D"/>
    <w:rsid w:val="00093EBE"/>
    <w:rsid w:val="00094514"/>
    <w:rsid w:val="000A1B39"/>
    <w:rsid w:val="000A1CD8"/>
    <w:rsid w:val="000A7FAF"/>
    <w:rsid w:val="000B0EB0"/>
    <w:rsid w:val="000B333E"/>
    <w:rsid w:val="000B3B67"/>
    <w:rsid w:val="000B4613"/>
    <w:rsid w:val="000B4C63"/>
    <w:rsid w:val="000B5D76"/>
    <w:rsid w:val="000B676F"/>
    <w:rsid w:val="000C1B91"/>
    <w:rsid w:val="000C267A"/>
    <w:rsid w:val="000C2B28"/>
    <w:rsid w:val="000C3213"/>
    <w:rsid w:val="000C6809"/>
    <w:rsid w:val="000D0305"/>
    <w:rsid w:val="000D1437"/>
    <w:rsid w:val="000D36EE"/>
    <w:rsid w:val="000D640C"/>
    <w:rsid w:val="000E53DC"/>
    <w:rsid w:val="000F0BDC"/>
    <w:rsid w:val="000F1E82"/>
    <w:rsid w:val="000F3113"/>
    <w:rsid w:val="000F6BE2"/>
    <w:rsid w:val="000F6CBF"/>
    <w:rsid w:val="00102F34"/>
    <w:rsid w:val="0010594B"/>
    <w:rsid w:val="001111E7"/>
    <w:rsid w:val="00111AD9"/>
    <w:rsid w:val="00123F3F"/>
    <w:rsid w:val="00126729"/>
    <w:rsid w:val="00131416"/>
    <w:rsid w:val="001330C7"/>
    <w:rsid w:val="00133385"/>
    <w:rsid w:val="001404E8"/>
    <w:rsid w:val="00140CFF"/>
    <w:rsid w:val="00146369"/>
    <w:rsid w:val="001562B1"/>
    <w:rsid w:val="00157EE3"/>
    <w:rsid w:val="00160B5B"/>
    <w:rsid w:val="00161891"/>
    <w:rsid w:val="00170698"/>
    <w:rsid w:val="001824FB"/>
    <w:rsid w:val="0018348A"/>
    <w:rsid w:val="001A01BE"/>
    <w:rsid w:val="001A50C2"/>
    <w:rsid w:val="001B1CA1"/>
    <w:rsid w:val="001B5B2E"/>
    <w:rsid w:val="001C00C7"/>
    <w:rsid w:val="001C45C0"/>
    <w:rsid w:val="001C5A25"/>
    <w:rsid w:val="001C73E5"/>
    <w:rsid w:val="001C75E4"/>
    <w:rsid w:val="001D487D"/>
    <w:rsid w:val="001D4903"/>
    <w:rsid w:val="001E10B1"/>
    <w:rsid w:val="001E496C"/>
    <w:rsid w:val="001E62E9"/>
    <w:rsid w:val="001E6F0E"/>
    <w:rsid w:val="001F5683"/>
    <w:rsid w:val="001F6F65"/>
    <w:rsid w:val="001F7435"/>
    <w:rsid w:val="00201D86"/>
    <w:rsid w:val="002049FA"/>
    <w:rsid w:val="0021281B"/>
    <w:rsid w:val="00214BAE"/>
    <w:rsid w:val="0021636D"/>
    <w:rsid w:val="002178AA"/>
    <w:rsid w:val="00217F14"/>
    <w:rsid w:val="002203EE"/>
    <w:rsid w:val="00222533"/>
    <w:rsid w:val="00223B53"/>
    <w:rsid w:val="00226133"/>
    <w:rsid w:val="00227CEF"/>
    <w:rsid w:val="00231DE5"/>
    <w:rsid w:val="002325EA"/>
    <w:rsid w:val="00232F06"/>
    <w:rsid w:val="0023406E"/>
    <w:rsid w:val="00235B46"/>
    <w:rsid w:val="00235F8D"/>
    <w:rsid w:val="00246B3E"/>
    <w:rsid w:val="00250E14"/>
    <w:rsid w:val="00250E35"/>
    <w:rsid w:val="002513BA"/>
    <w:rsid w:val="00256767"/>
    <w:rsid w:val="00256B3F"/>
    <w:rsid w:val="00260F44"/>
    <w:rsid w:val="00261574"/>
    <w:rsid w:val="002616A7"/>
    <w:rsid w:val="002633DE"/>
    <w:rsid w:val="00264151"/>
    <w:rsid w:val="002643A0"/>
    <w:rsid w:val="00265EEF"/>
    <w:rsid w:val="00273F6D"/>
    <w:rsid w:val="002747E5"/>
    <w:rsid w:val="00276121"/>
    <w:rsid w:val="0028410E"/>
    <w:rsid w:val="0028501E"/>
    <w:rsid w:val="0028677A"/>
    <w:rsid w:val="002871F3"/>
    <w:rsid w:val="0029440A"/>
    <w:rsid w:val="00294802"/>
    <w:rsid w:val="002967C3"/>
    <w:rsid w:val="002A46C7"/>
    <w:rsid w:val="002A6CA8"/>
    <w:rsid w:val="002B0120"/>
    <w:rsid w:val="002B23A0"/>
    <w:rsid w:val="002B7A8C"/>
    <w:rsid w:val="002C0B55"/>
    <w:rsid w:val="002C29E9"/>
    <w:rsid w:val="002C7BD2"/>
    <w:rsid w:val="002D30F8"/>
    <w:rsid w:val="002D3229"/>
    <w:rsid w:val="002D6A6E"/>
    <w:rsid w:val="002E1AF0"/>
    <w:rsid w:val="002E63E8"/>
    <w:rsid w:val="002E7389"/>
    <w:rsid w:val="002F0216"/>
    <w:rsid w:val="002F0298"/>
    <w:rsid w:val="002F2672"/>
    <w:rsid w:val="002F3173"/>
    <w:rsid w:val="002F7273"/>
    <w:rsid w:val="0030507C"/>
    <w:rsid w:val="00307BE5"/>
    <w:rsid w:val="00317AEB"/>
    <w:rsid w:val="00320854"/>
    <w:rsid w:val="00320C07"/>
    <w:rsid w:val="00320FD8"/>
    <w:rsid w:val="00321DFE"/>
    <w:rsid w:val="003233F2"/>
    <w:rsid w:val="003247E9"/>
    <w:rsid w:val="003258C4"/>
    <w:rsid w:val="00327F56"/>
    <w:rsid w:val="00332AD8"/>
    <w:rsid w:val="00334F44"/>
    <w:rsid w:val="00341E24"/>
    <w:rsid w:val="00342CAF"/>
    <w:rsid w:val="00346163"/>
    <w:rsid w:val="00347F56"/>
    <w:rsid w:val="00351838"/>
    <w:rsid w:val="003568B1"/>
    <w:rsid w:val="00357B50"/>
    <w:rsid w:val="003616C4"/>
    <w:rsid w:val="00364660"/>
    <w:rsid w:val="0036536D"/>
    <w:rsid w:val="00365D65"/>
    <w:rsid w:val="003770C2"/>
    <w:rsid w:val="003779FB"/>
    <w:rsid w:val="003801AC"/>
    <w:rsid w:val="003821E8"/>
    <w:rsid w:val="00383EF0"/>
    <w:rsid w:val="00384DBF"/>
    <w:rsid w:val="0038606F"/>
    <w:rsid w:val="00387AC1"/>
    <w:rsid w:val="00390B6B"/>
    <w:rsid w:val="00392DAC"/>
    <w:rsid w:val="00393279"/>
    <w:rsid w:val="00393D5A"/>
    <w:rsid w:val="00395205"/>
    <w:rsid w:val="00395EB5"/>
    <w:rsid w:val="003A3581"/>
    <w:rsid w:val="003A74A6"/>
    <w:rsid w:val="003B2F4F"/>
    <w:rsid w:val="003B3DDA"/>
    <w:rsid w:val="003B4012"/>
    <w:rsid w:val="003B58CB"/>
    <w:rsid w:val="003B65CA"/>
    <w:rsid w:val="003C0B20"/>
    <w:rsid w:val="003C7C74"/>
    <w:rsid w:val="003D0000"/>
    <w:rsid w:val="003D2B4E"/>
    <w:rsid w:val="003D504A"/>
    <w:rsid w:val="003D6582"/>
    <w:rsid w:val="003E3541"/>
    <w:rsid w:val="003E4E86"/>
    <w:rsid w:val="003E68CF"/>
    <w:rsid w:val="003E78D7"/>
    <w:rsid w:val="003F352D"/>
    <w:rsid w:val="003F427B"/>
    <w:rsid w:val="00402D1E"/>
    <w:rsid w:val="004032FA"/>
    <w:rsid w:val="004045A2"/>
    <w:rsid w:val="0040476F"/>
    <w:rsid w:val="00406B17"/>
    <w:rsid w:val="00406FC6"/>
    <w:rsid w:val="004078AC"/>
    <w:rsid w:val="00413AE8"/>
    <w:rsid w:val="00417614"/>
    <w:rsid w:val="00427164"/>
    <w:rsid w:val="0042785E"/>
    <w:rsid w:val="00433E49"/>
    <w:rsid w:val="00443B70"/>
    <w:rsid w:val="00450E2A"/>
    <w:rsid w:val="00453767"/>
    <w:rsid w:val="00454004"/>
    <w:rsid w:val="004541FA"/>
    <w:rsid w:val="00455F8E"/>
    <w:rsid w:val="00463823"/>
    <w:rsid w:val="00465F5A"/>
    <w:rsid w:val="00466092"/>
    <w:rsid w:val="00466CC4"/>
    <w:rsid w:val="00472E81"/>
    <w:rsid w:val="00472FD8"/>
    <w:rsid w:val="00475D0B"/>
    <w:rsid w:val="00481052"/>
    <w:rsid w:val="004955E2"/>
    <w:rsid w:val="00496203"/>
    <w:rsid w:val="0049712A"/>
    <w:rsid w:val="004A0BA0"/>
    <w:rsid w:val="004A118D"/>
    <w:rsid w:val="004A1856"/>
    <w:rsid w:val="004A62E1"/>
    <w:rsid w:val="004B00F8"/>
    <w:rsid w:val="004C0471"/>
    <w:rsid w:val="004D3C69"/>
    <w:rsid w:val="004D4A84"/>
    <w:rsid w:val="004E0349"/>
    <w:rsid w:val="004E28F0"/>
    <w:rsid w:val="004F0279"/>
    <w:rsid w:val="004F032B"/>
    <w:rsid w:val="004F2F76"/>
    <w:rsid w:val="005027F8"/>
    <w:rsid w:val="0050354D"/>
    <w:rsid w:val="00503722"/>
    <w:rsid w:val="0051191C"/>
    <w:rsid w:val="00512555"/>
    <w:rsid w:val="0051487E"/>
    <w:rsid w:val="005204D2"/>
    <w:rsid w:val="00522F9C"/>
    <w:rsid w:val="0052347D"/>
    <w:rsid w:val="005252FF"/>
    <w:rsid w:val="00526262"/>
    <w:rsid w:val="00527598"/>
    <w:rsid w:val="00527C84"/>
    <w:rsid w:val="005318F5"/>
    <w:rsid w:val="005329DD"/>
    <w:rsid w:val="005356FB"/>
    <w:rsid w:val="00536E37"/>
    <w:rsid w:val="00537CEF"/>
    <w:rsid w:val="0054444D"/>
    <w:rsid w:val="005517DA"/>
    <w:rsid w:val="00553677"/>
    <w:rsid w:val="00555FB0"/>
    <w:rsid w:val="00556DE1"/>
    <w:rsid w:val="00557A8C"/>
    <w:rsid w:val="00560073"/>
    <w:rsid w:val="00562462"/>
    <w:rsid w:val="00563762"/>
    <w:rsid w:val="00567332"/>
    <w:rsid w:val="005718D4"/>
    <w:rsid w:val="005733DE"/>
    <w:rsid w:val="00577AD3"/>
    <w:rsid w:val="005817AB"/>
    <w:rsid w:val="00582508"/>
    <w:rsid w:val="00583043"/>
    <w:rsid w:val="00583057"/>
    <w:rsid w:val="005834E1"/>
    <w:rsid w:val="0058360D"/>
    <w:rsid w:val="0058413D"/>
    <w:rsid w:val="00586298"/>
    <w:rsid w:val="005867D2"/>
    <w:rsid w:val="005903A1"/>
    <w:rsid w:val="00590B24"/>
    <w:rsid w:val="00594FA4"/>
    <w:rsid w:val="00595C3C"/>
    <w:rsid w:val="00595FA5"/>
    <w:rsid w:val="005A2722"/>
    <w:rsid w:val="005B1EEF"/>
    <w:rsid w:val="005B5806"/>
    <w:rsid w:val="005B604E"/>
    <w:rsid w:val="005C0DEC"/>
    <w:rsid w:val="005C59EE"/>
    <w:rsid w:val="005C5E06"/>
    <w:rsid w:val="005C5E85"/>
    <w:rsid w:val="005D0E26"/>
    <w:rsid w:val="005D16EE"/>
    <w:rsid w:val="005D292F"/>
    <w:rsid w:val="005D3260"/>
    <w:rsid w:val="005D405E"/>
    <w:rsid w:val="005E33E3"/>
    <w:rsid w:val="005E3F91"/>
    <w:rsid w:val="005E73EF"/>
    <w:rsid w:val="005F0A54"/>
    <w:rsid w:val="005F36B3"/>
    <w:rsid w:val="005F3D74"/>
    <w:rsid w:val="005F66A0"/>
    <w:rsid w:val="00600BF6"/>
    <w:rsid w:val="00602A46"/>
    <w:rsid w:val="00604877"/>
    <w:rsid w:val="00605312"/>
    <w:rsid w:val="00606756"/>
    <w:rsid w:val="00606CDC"/>
    <w:rsid w:val="0060783A"/>
    <w:rsid w:val="00613117"/>
    <w:rsid w:val="00614F23"/>
    <w:rsid w:val="00616E9D"/>
    <w:rsid w:val="0061709F"/>
    <w:rsid w:val="00617ECD"/>
    <w:rsid w:val="00620AAE"/>
    <w:rsid w:val="00624DB4"/>
    <w:rsid w:val="00625F7F"/>
    <w:rsid w:val="00632642"/>
    <w:rsid w:val="00640A27"/>
    <w:rsid w:val="006466DE"/>
    <w:rsid w:val="00647BA3"/>
    <w:rsid w:val="00651805"/>
    <w:rsid w:val="006610E1"/>
    <w:rsid w:val="00663BB3"/>
    <w:rsid w:val="00667C72"/>
    <w:rsid w:val="006715D8"/>
    <w:rsid w:val="0067400B"/>
    <w:rsid w:val="00675B32"/>
    <w:rsid w:val="006810CA"/>
    <w:rsid w:val="0068650B"/>
    <w:rsid w:val="00691BBF"/>
    <w:rsid w:val="00691CF8"/>
    <w:rsid w:val="0069202E"/>
    <w:rsid w:val="006928FD"/>
    <w:rsid w:val="0069495D"/>
    <w:rsid w:val="006A0778"/>
    <w:rsid w:val="006A09FD"/>
    <w:rsid w:val="006A0F76"/>
    <w:rsid w:val="006A20BC"/>
    <w:rsid w:val="006B1447"/>
    <w:rsid w:val="006B2936"/>
    <w:rsid w:val="006B3DC2"/>
    <w:rsid w:val="006B5A93"/>
    <w:rsid w:val="006B70E2"/>
    <w:rsid w:val="006B79B2"/>
    <w:rsid w:val="006C1208"/>
    <w:rsid w:val="006C19D7"/>
    <w:rsid w:val="006C51A2"/>
    <w:rsid w:val="006C6142"/>
    <w:rsid w:val="006D65A9"/>
    <w:rsid w:val="006E097F"/>
    <w:rsid w:val="006E146B"/>
    <w:rsid w:val="006E207C"/>
    <w:rsid w:val="006E3026"/>
    <w:rsid w:val="006E3762"/>
    <w:rsid w:val="006E37BD"/>
    <w:rsid w:val="006E4565"/>
    <w:rsid w:val="006F06DB"/>
    <w:rsid w:val="006F0826"/>
    <w:rsid w:val="006F567C"/>
    <w:rsid w:val="006F64BE"/>
    <w:rsid w:val="007111DE"/>
    <w:rsid w:val="00711380"/>
    <w:rsid w:val="00713D0B"/>
    <w:rsid w:val="00715048"/>
    <w:rsid w:val="00716206"/>
    <w:rsid w:val="00717CD1"/>
    <w:rsid w:val="00721D5D"/>
    <w:rsid w:val="007231F9"/>
    <w:rsid w:val="00725340"/>
    <w:rsid w:val="007310CC"/>
    <w:rsid w:val="00731AB0"/>
    <w:rsid w:val="007355EB"/>
    <w:rsid w:val="00736331"/>
    <w:rsid w:val="007363EC"/>
    <w:rsid w:val="00737AD7"/>
    <w:rsid w:val="00740A0F"/>
    <w:rsid w:val="00740E23"/>
    <w:rsid w:val="00752F3D"/>
    <w:rsid w:val="007549B8"/>
    <w:rsid w:val="00754AEC"/>
    <w:rsid w:val="00754B7E"/>
    <w:rsid w:val="00760408"/>
    <w:rsid w:val="00765777"/>
    <w:rsid w:val="00767A93"/>
    <w:rsid w:val="00770CE6"/>
    <w:rsid w:val="00770F35"/>
    <w:rsid w:val="0077120A"/>
    <w:rsid w:val="007729E1"/>
    <w:rsid w:val="007775D6"/>
    <w:rsid w:val="00780E5E"/>
    <w:rsid w:val="0078292D"/>
    <w:rsid w:val="007869F7"/>
    <w:rsid w:val="0079014F"/>
    <w:rsid w:val="007933C9"/>
    <w:rsid w:val="00793A41"/>
    <w:rsid w:val="0079444C"/>
    <w:rsid w:val="007A0825"/>
    <w:rsid w:val="007A13FE"/>
    <w:rsid w:val="007A31A5"/>
    <w:rsid w:val="007B5145"/>
    <w:rsid w:val="007C00D1"/>
    <w:rsid w:val="007C5AF5"/>
    <w:rsid w:val="007C6B8D"/>
    <w:rsid w:val="007C6C0A"/>
    <w:rsid w:val="007D0CA4"/>
    <w:rsid w:val="007D2901"/>
    <w:rsid w:val="007D3408"/>
    <w:rsid w:val="007D3544"/>
    <w:rsid w:val="007D3F32"/>
    <w:rsid w:val="007D7947"/>
    <w:rsid w:val="007E3320"/>
    <w:rsid w:val="007E6BE2"/>
    <w:rsid w:val="007F2B51"/>
    <w:rsid w:val="00800AA9"/>
    <w:rsid w:val="00803057"/>
    <w:rsid w:val="008059C5"/>
    <w:rsid w:val="00805C6A"/>
    <w:rsid w:val="00811596"/>
    <w:rsid w:val="00812DEC"/>
    <w:rsid w:val="00815F64"/>
    <w:rsid w:val="00817718"/>
    <w:rsid w:val="0082215D"/>
    <w:rsid w:val="00826F5D"/>
    <w:rsid w:val="00827563"/>
    <w:rsid w:val="00832156"/>
    <w:rsid w:val="00834E4B"/>
    <w:rsid w:val="008358F5"/>
    <w:rsid w:val="008364CA"/>
    <w:rsid w:val="00844C2E"/>
    <w:rsid w:val="008450BE"/>
    <w:rsid w:val="008457DF"/>
    <w:rsid w:val="00851E32"/>
    <w:rsid w:val="008522C0"/>
    <w:rsid w:val="00853E63"/>
    <w:rsid w:val="008549D9"/>
    <w:rsid w:val="00854A90"/>
    <w:rsid w:val="008561D9"/>
    <w:rsid w:val="008703D2"/>
    <w:rsid w:val="0087221F"/>
    <w:rsid w:val="00872D1A"/>
    <w:rsid w:val="00873F96"/>
    <w:rsid w:val="008802B6"/>
    <w:rsid w:val="00883153"/>
    <w:rsid w:val="00884826"/>
    <w:rsid w:val="00891A9B"/>
    <w:rsid w:val="00892963"/>
    <w:rsid w:val="00895BEB"/>
    <w:rsid w:val="00895F53"/>
    <w:rsid w:val="00897811"/>
    <w:rsid w:val="008A18D1"/>
    <w:rsid w:val="008B1D2D"/>
    <w:rsid w:val="008B2990"/>
    <w:rsid w:val="008B36D9"/>
    <w:rsid w:val="008B3737"/>
    <w:rsid w:val="008B477B"/>
    <w:rsid w:val="008B4C74"/>
    <w:rsid w:val="008B5315"/>
    <w:rsid w:val="008B796D"/>
    <w:rsid w:val="008C059A"/>
    <w:rsid w:val="008C285D"/>
    <w:rsid w:val="008C4EAD"/>
    <w:rsid w:val="008C5DEE"/>
    <w:rsid w:val="008D056A"/>
    <w:rsid w:val="008D0D34"/>
    <w:rsid w:val="008D3EA7"/>
    <w:rsid w:val="008D416D"/>
    <w:rsid w:val="008D5C58"/>
    <w:rsid w:val="008D6762"/>
    <w:rsid w:val="008D797F"/>
    <w:rsid w:val="008D7B55"/>
    <w:rsid w:val="008E1C91"/>
    <w:rsid w:val="008E606E"/>
    <w:rsid w:val="00901D5D"/>
    <w:rsid w:val="00902A21"/>
    <w:rsid w:val="00903C69"/>
    <w:rsid w:val="0090455C"/>
    <w:rsid w:val="00911828"/>
    <w:rsid w:val="009262E0"/>
    <w:rsid w:val="0092738D"/>
    <w:rsid w:val="009308F4"/>
    <w:rsid w:val="00931C40"/>
    <w:rsid w:val="00933012"/>
    <w:rsid w:val="00937852"/>
    <w:rsid w:val="00937F3E"/>
    <w:rsid w:val="009411E9"/>
    <w:rsid w:val="009416BD"/>
    <w:rsid w:val="009420DE"/>
    <w:rsid w:val="00942CCC"/>
    <w:rsid w:val="009431CF"/>
    <w:rsid w:val="00946797"/>
    <w:rsid w:val="00947EDE"/>
    <w:rsid w:val="009635EA"/>
    <w:rsid w:val="00967D64"/>
    <w:rsid w:val="00971D64"/>
    <w:rsid w:val="00972B87"/>
    <w:rsid w:val="00973DA0"/>
    <w:rsid w:val="00975247"/>
    <w:rsid w:val="00984AB3"/>
    <w:rsid w:val="00987075"/>
    <w:rsid w:val="00987F08"/>
    <w:rsid w:val="00991B55"/>
    <w:rsid w:val="009963A1"/>
    <w:rsid w:val="009A02BC"/>
    <w:rsid w:val="009A0F3A"/>
    <w:rsid w:val="009A19ED"/>
    <w:rsid w:val="009A5CEB"/>
    <w:rsid w:val="009B005D"/>
    <w:rsid w:val="009B0F14"/>
    <w:rsid w:val="009B48DE"/>
    <w:rsid w:val="009C5FE0"/>
    <w:rsid w:val="009C69BE"/>
    <w:rsid w:val="009C7D6B"/>
    <w:rsid w:val="009D0C1D"/>
    <w:rsid w:val="009D0F1E"/>
    <w:rsid w:val="009E40EB"/>
    <w:rsid w:val="009E4647"/>
    <w:rsid w:val="009E64FB"/>
    <w:rsid w:val="009F144D"/>
    <w:rsid w:val="009F3A58"/>
    <w:rsid w:val="009F7C3D"/>
    <w:rsid w:val="00A01B68"/>
    <w:rsid w:val="00A040BA"/>
    <w:rsid w:val="00A0435D"/>
    <w:rsid w:val="00A04462"/>
    <w:rsid w:val="00A0667E"/>
    <w:rsid w:val="00A07695"/>
    <w:rsid w:val="00A07AEF"/>
    <w:rsid w:val="00A1171E"/>
    <w:rsid w:val="00A13E45"/>
    <w:rsid w:val="00A20119"/>
    <w:rsid w:val="00A20DA3"/>
    <w:rsid w:val="00A214B1"/>
    <w:rsid w:val="00A224EF"/>
    <w:rsid w:val="00A22532"/>
    <w:rsid w:val="00A314C6"/>
    <w:rsid w:val="00A42571"/>
    <w:rsid w:val="00A57A39"/>
    <w:rsid w:val="00A61FB6"/>
    <w:rsid w:val="00A63811"/>
    <w:rsid w:val="00A6523B"/>
    <w:rsid w:val="00A65D3C"/>
    <w:rsid w:val="00A70BC3"/>
    <w:rsid w:val="00A712DE"/>
    <w:rsid w:val="00A7151A"/>
    <w:rsid w:val="00A71FB9"/>
    <w:rsid w:val="00A72988"/>
    <w:rsid w:val="00A76C8B"/>
    <w:rsid w:val="00A771F6"/>
    <w:rsid w:val="00A80E13"/>
    <w:rsid w:val="00A942D1"/>
    <w:rsid w:val="00A97090"/>
    <w:rsid w:val="00AA052E"/>
    <w:rsid w:val="00AA1A4F"/>
    <w:rsid w:val="00AA2875"/>
    <w:rsid w:val="00AA4714"/>
    <w:rsid w:val="00AA4C1D"/>
    <w:rsid w:val="00AA6394"/>
    <w:rsid w:val="00AB1150"/>
    <w:rsid w:val="00AB3955"/>
    <w:rsid w:val="00AB604E"/>
    <w:rsid w:val="00AB6F88"/>
    <w:rsid w:val="00AC5207"/>
    <w:rsid w:val="00AC5820"/>
    <w:rsid w:val="00AC66CD"/>
    <w:rsid w:val="00AC6E57"/>
    <w:rsid w:val="00AC7734"/>
    <w:rsid w:val="00AD032C"/>
    <w:rsid w:val="00AD1AB3"/>
    <w:rsid w:val="00AD2B45"/>
    <w:rsid w:val="00AE0D6F"/>
    <w:rsid w:val="00AE2250"/>
    <w:rsid w:val="00AE4EA0"/>
    <w:rsid w:val="00AF25A8"/>
    <w:rsid w:val="00AF3F74"/>
    <w:rsid w:val="00AF6CC3"/>
    <w:rsid w:val="00B07951"/>
    <w:rsid w:val="00B11981"/>
    <w:rsid w:val="00B14366"/>
    <w:rsid w:val="00B153FF"/>
    <w:rsid w:val="00B16737"/>
    <w:rsid w:val="00B1778A"/>
    <w:rsid w:val="00B20994"/>
    <w:rsid w:val="00B20B3C"/>
    <w:rsid w:val="00B22F4A"/>
    <w:rsid w:val="00B2376B"/>
    <w:rsid w:val="00B2387F"/>
    <w:rsid w:val="00B242E4"/>
    <w:rsid w:val="00B25038"/>
    <w:rsid w:val="00B30BCC"/>
    <w:rsid w:val="00B316EA"/>
    <w:rsid w:val="00B343D9"/>
    <w:rsid w:val="00B3493A"/>
    <w:rsid w:val="00B40936"/>
    <w:rsid w:val="00B42893"/>
    <w:rsid w:val="00B42E9E"/>
    <w:rsid w:val="00B446A6"/>
    <w:rsid w:val="00B46618"/>
    <w:rsid w:val="00B46C08"/>
    <w:rsid w:val="00B501DD"/>
    <w:rsid w:val="00B527A4"/>
    <w:rsid w:val="00B52DC0"/>
    <w:rsid w:val="00B5308E"/>
    <w:rsid w:val="00B5365D"/>
    <w:rsid w:val="00B5465C"/>
    <w:rsid w:val="00B659D0"/>
    <w:rsid w:val="00B65FB7"/>
    <w:rsid w:val="00B71FA4"/>
    <w:rsid w:val="00B72602"/>
    <w:rsid w:val="00B8105E"/>
    <w:rsid w:val="00B81547"/>
    <w:rsid w:val="00B85C62"/>
    <w:rsid w:val="00B87219"/>
    <w:rsid w:val="00B925FB"/>
    <w:rsid w:val="00B942F5"/>
    <w:rsid w:val="00BA2A0E"/>
    <w:rsid w:val="00BA6B82"/>
    <w:rsid w:val="00BB1248"/>
    <w:rsid w:val="00BB25AF"/>
    <w:rsid w:val="00BB2D3B"/>
    <w:rsid w:val="00BC0E1A"/>
    <w:rsid w:val="00BC2145"/>
    <w:rsid w:val="00BC326D"/>
    <w:rsid w:val="00BC3C3D"/>
    <w:rsid w:val="00BC444E"/>
    <w:rsid w:val="00BD0382"/>
    <w:rsid w:val="00BD184E"/>
    <w:rsid w:val="00BD1F3F"/>
    <w:rsid w:val="00BD3B97"/>
    <w:rsid w:val="00BD4D18"/>
    <w:rsid w:val="00BE1104"/>
    <w:rsid w:val="00C00C17"/>
    <w:rsid w:val="00C035B8"/>
    <w:rsid w:val="00C05D13"/>
    <w:rsid w:val="00C06CA7"/>
    <w:rsid w:val="00C150B1"/>
    <w:rsid w:val="00C17B87"/>
    <w:rsid w:val="00C201F2"/>
    <w:rsid w:val="00C20DB9"/>
    <w:rsid w:val="00C2199F"/>
    <w:rsid w:val="00C22305"/>
    <w:rsid w:val="00C25A1B"/>
    <w:rsid w:val="00C25C70"/>
    <w:rsid w:val="00C262E8"/>
    <w:rsid w:val="00C27FDA"/>
    <w:rsid w:val="00C3190F"/>
    <w:rsid w:val="00C37AC3"/>
    <w:rsid w:val="00C42A1A"/>
    <w:rsid w:val="00C431BA"/>
    <w:rsid w:val="00C44339"/>
    <w:rsid w:val="00C44E7C"/>
    <w:rsid w:val="00C464C7"/>
    <w:rsid w:val="00C469B0"/>
    <w:rsid w:val="00C52C24"/>
    <w:rsid w:val="00C57AB6"/>
    <w:rsid w:val="00C602AE"/>
    <w:rsid w:val="00C61791"/>
    <w:rsid w:val="00C620B2"/>
    <w:rsid w:val="00C62EFE"/>
    <w:rsid w:val="00C63299"/>
    <w:rsid w:val="00C64C47"/>
    <w:rsid w:val="00C73C11"/>
    <w:rsid w:val="00C744A4"/>
    <w:rsid w:val="00C77DB1"/>
    <w:rsid w:val="00C86EE7"/>
    <w:rsid w:val="00C872EE"/>
    <w:rsid w:val="00C91FAC"/>
    <w:rsid w:val="00C95288"/>
    <w:rsid w:val="00CA1D69"/>
    <w:rsid w:val="00CA3771"/>
    <w:rsid w:val="00CA480A"/>
    <w:rsid w:val="00CA5623"/>
    <w:rsid w:val="00CA5C9E"/>
    <w:rsid w:val="00CB0980"/>
    <w:rsid w:val="00CB1B20"/>
    <w:rsid w:val="00CB2B04"/>
    <w:rsid w:val="00CB5E6C"/>
    <w:rsid w:val="00CB74EB"/>
    <w:rsid w:val="00CC2882"/>
    <w:rsid w:val="00CC2A80"/>
    <w:rsid w:val="00CC436A"/>
    <w:rsid w:val="00CC5961"/>
    <w:rsid w:val="00CC61D0"/>
    <w:rsid w:val="00CC74A9"/>
    <w:rsid w:val="00CD25E6"/>
    <w:rsid w:val="00CD4107"/>
    <w:rsid w:val="00CE0A57"/>
    <w:rsid w:val="00CE14E5"/>
    <w:rsid w:val="00CE1A5B"/>
    <w:rsid w:val="00CE4D50"/>
    <w:rsid w:val="00CE5926"/>
    <w:rsid w:val="00CF0777"/>
    <w:rsid w:val="00CF1A80"/>
    <w:rsid w:val="00CF7438"/>
    <w:rsid w:val="00CF7DD9"/>
    <w:rsid w:val="00D10B37"/>
    <w:rsid w:val="00D12621"/>
    <w:rsid w:val="00D12DC3"/>
    <w:rsid w:val="00D130DF"/>
    <w:rsid w:val="00D17FC0"/>
    <w:rsid w:val="00D20DF8"/>
    <w:rsid w:val="00D222AA"/>
    <w:rsid w:val="00D2297F"/>
    <w:rsid w:val="00D269D6"/>
    <w:rsid w:val="00D303F3"/>
    <w:rsid w:val="00D313AC"/>
    <w:rsid w:val="00D32249"/>
    <w:rsid w:val="00D35272"/>
    <w:rsid w:val="00D37FB3"/>
    <w:rsid w:val="00D46CBB"/>
    <w:rsid w:val="00D51BE9"/>
    <w:rsid w:val="00D5664C"/>
    <w:rsid w:val="00D64C1F"/>
    <w:rsid w:val="00D66AF1"/>
    <w:rsid w:val="00D7363E"/>
    <w:rsid w:val="00D7514E"/>
    <w:rsid w:val="00D75D9F"/>
    <w:rsid w:val="00D76562"/>
    <w:rsid w:val="00D80009"/>
    <w:rsid w:val="00D8023C"/>
    <w:rsid w:val="00D81955"/>
    <w:rsid w:val="00D938E4"/>
    <w:rsid w:val="00DA0273"/>
    <w:rsid w:val="00DA0E50"/>
    <w:rsid w:val="00DA3922"/>
    <w:rsid w:val="00DA6443"/>
    <w:rsid w:val="00DB0028"/>
    <w:rsid w:val="00DB0AB3"/>
    <w:rsid w:val="00DB2816"/>
    <w:rsid w:val="00DB2F6A"/>
    <w:rsid w:val="00DB4E4C"/>
    <w:rsid w:val="00DB5F8F"/>
    <w:rsid w:val="00DB5FD3"/>
    <w:rsid w:val="00DB7F17"/>
    <w:rsid w:val="00DC2AF1"/>
    <w:rsid w:val="00DC4591"/>
    <w:rsid w:val="00DC5E6F"/>
    <w:rsid w:val="00DC6D05"/>
    <w:rsid w:val="00DC6E2E"/>
    <w:rsid w:val="00DD0631"/>
    <w:rsid w:val="00DD21B6"/>
    <w:rsid w:val="00DD45D0"/>
    <w:rsid w:val="00DE62BE"/>
    <w:rsid w:val="00DF315C"/>
    <w:rsid w:val="00DF668F"/>
    <w:rsid w:val="00DF71D3"/>
    <w:rsid w:val="00E01A7A"/>
    <w:rsid w:val="00E04454"/>
    <w:rsid w:val="00E04823"/>
    <w:rsid w:val="00E10CD3"/>
    <w:rsid w:val="00E144CF"/>
    <w:rsid w:val="00E14D87"/>
    <w:rsid w:val="00E15DA6"/>
    <w:rsid w:val="00E15F7C"/>
    <w:rsid w:val="00E17698"/>
    <w:rsid w:val="00E20FE6"/>
    <w:rsid w:val="00E21ACF"/>
    <w:rsid w:val="00E23144"/>
    <w:rsid w:val="00E23B38"/>
    <w:rsid w:val="00E254CA"/>
    <w:rsid w:val="00E269E4"/>
    <w:rsid w:val="00E3008B"/>
    <w:rsid w:val="00E322EC"/>
    <w:rsid w:val="00E345C6"/>
    <w:rsid w:val="00E3489B"/>
    <w:rsid w:val="00E3534E"/>
    <w:rsid w:val="00E3684D"/>
    <w:rsid w:val="00E37ECF"/>
    <w:rsid w:val="00E41E36"/>
    <w:rsid w:val="00E42DF4"/>
    <w:rsid w:val="00E44564"/>
    <w:rsid w:val="00E448D0"/>
    <w:rsid w:val="00E45A68"/>
    <w:rsid w:val="00E46177"/>
    <w:rsid w:val="00E5020A"/>
    <w:rsid w:val="00E50A9A"/>
    <w:rsid w:val="00E5162E"/>
    <w:rsid w:val="00E53C7D"/>
    <w:rsid w:val="00E54F37"/>
    <w:rsid w:val="00E57770"/>
    <w:rsid w:val="00E6131F"/>
    <w:rsid w:val="00E63E92"/>
    <w:rsid w:val="00E66D70"/>
    <w:rsid w:val="00E76221"/>
    <w:rsid w:val="00E7725C"/>
    <w:rsid w:val="00E77BC2"/>
    <w:rsid w:val="00E81CBA"/>
    <w:rsid w:val="00E9017D"/>
    <w:rsid w:val="00E96DBA"/>
    <w:rsid w:val="00EA3718"/>
    <w:rsid w:val="00EA4192"/>
    <w:rsid w:val="00EA46C3"/>
    <w:rsid w:val="00EA645B"/>
    <w:rsid w:val="00EB3C92"/>
    <w:rsid w:val="00EB579D"/>
    <w:rsid w:val="00EC064F"/>
    <w:rsid w:val="00EC0A5F"/>
    <w:rsid w:val="00EC5377"/>
    <w:rsid w:val="00EC5F15"/>
    <w:rsid w:val="00ED237C"/>
    <w:rsid w:val="00ED600C"/>
    <w:rsid w:val="00EE3BB0"/>
    <w:rsid w:val="00EE427B"/>
    <w:rsid w:val="00EE5894"/>
    <w:rsid w:val="00EE6738"/>
    <w:rsid w:val="00EF01A0"/>
    <w:rsid w:val="00EF3265"/>
    <w:rsid w:val="00EF3A59"/>
    <w:rsid w:val="00EF7CAD"/>
    <w:rsid w:val="00F0491B"/>
    <w:rsid w:val="00F04977"/>
    <w:rsid w:val="00F05B90"/>
    <w:rsid w:val="00F10E1F"/>
    <w:rsid w:val="00F149D9"/>
    <w:rsid w:val="00F15D1E"/>
    <w:rsid w:val="00F203DD"/>
    <w:rsid w:val="00F21188"/>
    <w:rsid w:val="00F229F1"/>
    <w:rsid w:val="00F2588B"/>
    <w:rsid w:val="00F322A5"/>
    <w:rsid w:val="00F32F7B"/>
    <w:rsid w:val="00F343AC"/>
    <w:rsid w:val="00F357F7"/>
    <w:rsid w:val="00F3587E"/>
    <w:rsid w:val="00F41F35"/>
    <w:rsid w:val="00F422D7"/>
    <w:rsid w:val="00F43F01"/>
    <w:rsid w:val="00F4478B"/>
    <w:rsid w:val="00F45581"/>
    <w:rsid w:val="00F51EC8"/>
    <w:rsid w:val="00F53F57"/>
    <w:rsid w:val="00F542E9"/>
    <w:rsid w:val="00F6134D"/>
    <w:rsid w:val="00F61B10"/>
    <w:rsid w:val="00F65862"/>
    <w:rsid w:val="00F667C1"/>
    <w:rsid w:val="00F70FF8"/>
    <w:rsid w:val="00F75400"/>
    <w:rsid w:val="00F77F18"/>
    <w:rsid w:val="00F80955"/>
    <w:rsid w:val="00F80FDB"/>
    <w:rsid w:val="00F81DFB"/>
    <w:rsid w:val="00F8352D"/>
    <w:rsid w:val="00F84A45"/>
    <w:rsid w:val="00F86E3B"/>
    <w:rsid w:val="00F879E5"/>
    <w:rsid w:val="00F87CEB"/>
    <w:rsid w:val="00F910B8"/>
    <w:rsid w:val="00F92314"/>
    <w:rsid w:val="00F927B5"/>
    <w:rsid w:val="00F945E2"/>
    <w:rsid w:val="00F94C96"/>
    <w:rsid w:val="00F956B5"/>
    <w:rsid w:val="00F95A60"/>
    <w:rsid w:val="00FA3386"/>
    <w:rsid w:val="00FA6AAD"/>
    <w:rsid w:val="00FA783A"/>
    <w:rsid w:val="00FB00FE"/>
    <w:rsid w:val="00FB1F80"/>
    <w:rsid w:val="00FB5CAA"/>
    <w:rsid w:val="00FB5D70"/>
    <w:rsid w:val="00FB695B"/>
    <w:rsid w:val="00FB6AC1"/>
    <w:rsid w:val="00FB7FDA"/>
    <w:rsid w:val="00FD0236"/>
    <w:rsid w:val="00FD5E9A"/>
    <w:rsid w:val="00FD6490"/>
    <w:rsid w:val="00FE4CC9"/>
    <w:rsid w:val="00FE5481"/>
    <w:rsid w:val="00FF01B7"/>
    <w:rsid w:val="00FF0378"/>
    <w:rsid w:val="00FF0CC3"/>
    <w:rsid w:val="00FF4E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134C4"/>
  <w15:chartTrackingRefBased/>
  <w15:docId w15:val="{62557475-D7E9-499A-841A-BB40F41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55"/>
    <w:pPr>
      <w:spacing w:after="0" w:line="240" w:lineRule="auto"/>
    </w:pPr>
    <w:rPr>
      <w:rFonts w:ascii="Times New Roman" w:eastAsia="Times New Roman" w:hAnsi="Times New Roman" w:cs="Times New Roman"/>
      <w:sz w:val="24"/>
      <w:szCs w:val="24"/>
      <w:lang w:val="en-US"/>
    </w:rPr>
  </w:style>
  <w:style w:type="paragraph" w:styleId="Heading1">
    <w:name w:val="heading 1"/>
    <w:basedOn w:val="ListParagraph"/>
    <w:next w:val="Style1"/>
    <w:link w:val="Heading1Char"/>
    <w:uiPriority w:val="9"/>
    <w:qFormat/>
    <w:rsid w:val="00F80955"/>
    <w:pPr>
      <w:keepNext/>
      <w:keepLines/>
      <w:numPr>
        <w:numId w:val="5"/>
      </w:numPr>
      <w:spacing w:before="240" w:line="480" w:lineRule="auto"/>
      <w:outlineLvl w:val="0"/>
    </w:pPr>
    <w:rPr>
      <w:rFonts w:asciiTheme="majorBidi" w:eastAsiaTheme="majorEastAsia" w:hAnsiTheme="majorBidi" w:cstheme="majorBidi"/>
      <w:b/>
      <w:color w:val="000000" w:themeColor="text1"/>
      <w:szCs w:val="32"/>
    </w:rPr>
  </w:style>
  <w:style w:type="paragraph" w:styleId="Heading2">
    <w:name w:val="heading 2"/>
    <w:basedOn w:val="Normal"/>
    <w:next w:val="Normal"/>
    <w:link w:val="Heading2Char"/>
    <w:uiPriority w:val="9"/>
    <w:unhideWhenUsed/>
    <w:qFormat/>
    <w:rsid w:val="00F80955"/>
    <w:pPr>
      <w:keepNext/>
      <w:keepLines/>
      <w:numPr>
        <w:ilvl w:val="1"/>
        <w:numId w:val="5"/>
      </w:numPr>
      <w:spacing w:before="40" w:line="360" w:lineRule="auto"/>
      <w:outlineLvl w:val="1"/>
    </w:pPr>
    <w:rPr>
      <w:rFonts w:asciiTheme="majorBidi" w:eastAsiaTheme="majorEastAsia" w:hAnsiTheme="majorBidi" w:cstheme="majorBidi"/>
      <w:b/>
      <w:color w:val="000000" w:themeColor="text1"/>
      <w:szCs w:val="26"/>
    </w:rPr>
  </w:style>
  <w:style w:type="paragraph" w:styleId="Heading3">
    <w:name w:val="heading 3"/>
    <w:basedOn w:val="Normal"/>
    <w:next w:val="Normal"/>
    <w:link w:val="Heading3Char"/>
    <w:uiPriority w:val="9"/>
    <w:unhideWhenUsed/>
    <w:qFormat/>
    <w:rsid w:val="00F80955"/>
    <w:pPr>
      <w:keepNext/>
      <w:keepLines/>
      <w:numPr>
        <w:ilvl w:val="2"/>
        <w:numId w:val="5"/>
      </w:numPr>
      <w:spacing w:before="40" w:line="360" w:lineRule="auto"/>
      <w:ind w:left="504"/>
      <w:outlineLvl w:val="2"/>
    </w:pPr>
    <w:rPr>
      <w:rFonts w:asciiTheme="majorBidi" w:eastAsiaTheme="majorEastAsia" w:hAnsiTheme="majorBidi" w:cstheme="majorBidi"/>
      <w:b/>
      <w:color w:val="000000" w:themeColor="text1"/>
    </w:rPr>
  </w:style>
  <w:style w:type="paragraph" w:styleId="Heading4">
    <w:name w:val="heading 4"/>
    <w:basedOn w:val="Normal"/>
    <w:next w:val="Normal"/>
    <w:link w:val="Heading4Char"/>
    <w:autoRedefine/>
    <w:uiPriority w:val="9"/>
    <w:unhideWhenUsed/>
    <w:qFormat/>
    <w:rsid w:val="002616A7"/>
    <w:pPr>
      <w:keepNext/>
      <w:keepLines/>
      <w:spacing w:before="240" w:after="240"/>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unhideWhenUsed/>
    <w:qFormat/>
    <w:rsid w:val="008177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7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7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7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7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16A7"/>
    <w:rPr>
      <w:rFonts w:asciiTheme="majorHAnsi" w:eastAsiaTheme="majorEastAsia" w:hAnsiTheme="majorHAnsi" w:cstheme="majorBidi"/>
      <w:b/>
      <w:iCs/>
      <w:color w:val="000000" w:themeColor="text1"/>
    </w:rPr>
  </w:style>
  <w:style w:type="character" w:customStyle="1" w:styleId="Heading1Char">
    <w:name w:val="Heading 1 Char"/>
    <w:basedOn w:val="DefaultParagraphFont"/>
    <w:link w:val="Heading1"/>
    <w:uiPriority w:val="9"/>
    <w:rsid w:val="00F80955"/>
    <w:rPr>
      <w:rFonts w:asciiTheme="majorBidi" w:eastAsiaTheme="majorEastAsia" w:hAnsiTheme="majorBidi" w:cstheme="majorBidi"/>
      <w:b/>
      <w:color w:val="000000" w:themeColor="text1"/>
      <w:sz w:val="24"/>
      <w:szCs w:val="32"/>
      <w:lang w:val="en-US"/>
    </w:rPr>
  </w:style>
  <w:style w:type="character" w:customStyle="1" w:styleId="Heading2Char">
    <w:name w:val="Heading 2 Char"/>
    <w:basedOn w:val="DefaultParagraphFont"/>
    <w:link w:val="Heading2"/>
    <w:uiPriority w:val="9"/>
    <w:rsid w:val="00F80955"/>
    <w:rPr>
      <w:rFonts w:asciiTheme="majorBidi" w:eastAsiaTheme="majorEastAsia" w:hAnsiTheme="majorBidi" w:cstheme="majorBidi"/>
      <w:b/>
      <w:color w:val="000000" w:themeColor="text1"/>
      <w:sz w:val="24"/>
      <w:szCs w:val="26"/>
      <w:lang w:val="en-US"/>
    </w:rPr>
  </w:style>
  <w:style w:type="character" w:customStyle="1" w:styleId="Heading3Char">
    <w:name w:val="Heading 3 Char"/>
    <w:basedOn w:val="DefaultParagraphFont"/>
    <w:link w:val="Heading3"/>
    <w:uiPriority w:val="9"/>
    <w:rsid w:val="00F80955"/>
    <w:rPr>
      <w:rFonts w:asciiTheme="majorBidi" w:eastAsiaTheme="majorEastAsia" w:hAnsiTheme="majorBidi" w:cstheme="majorBidi"/>
      <w:b/>
      <w:color w:val="000000" w:themeColor="text1"/>
      <w:sz w:val="24"/>
      <w:szCs w:val="24"/>
      <w:lang w:val="en-US"/>
    </w:rPr>
  </w:style>
  <w:style w:type="paragraph" w:styleId="Subtitle">
    <w:name w:val="Subtitle"/>
    <w:basedOn w:val="Normal"/>
    <w:next w:val="Normal"/>
    <w:link w:val="SubtitleChar"/>
    <w:uiPriority w:val="11"/>
    <w:qFormat/>
    <w:rsid w:val="00F8095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80955"/>
    <w:rPr>
      <w:rFonts w:ascii="Times New Roman" w:eastAsiaTheme="minorEastAsia" w:hAnsi="Times New Roman" w:cs="Times New Roman"/>
      <w:color w:val="5A5A5A" w:themeColor="text1" w:themeTint="A5"/>
      <w:spacing w:val="15"/>
      <w:lang w:val="en-US"/>
    </w:rPr>
  </w:style>
  <w:style w:type="paragraph" w:styleId="NormalWeb">
    <w:name w:val="Normal (Web)"/>
    <w:basedOn w:val="Normal"/>
    <w:uiPriority w:val="99"/>
    <w:unhideWhenUsed/>
    <w:rsid w:val="00F80955"/>
    <w:pPr>
      <w:spacing w:before="100" w:beforeAutospacing="1" w:after="100" w:afterAutospacing="1"/>
    </w:pPr>
  </w:style>
  <w:style w:type="character" w:customStyle="1" w:styleId="apple-tab-span">
    <w:name w:val="apple-tab-span"/>
    <w:basedOn w:val="DefaultParagraphFont"/>
    <w:rsid w:val="00F80955"/>
  </w:style>
  <w:style w:type="paragraph" w:styleId="ListParagraph">
    <w:name w:val="List Paragraph"/>
    <w:basedOn w:val="Normal"/>
    <w:uiPriority w:val="34"/>
    <w:qFormat/>
    <w:rsid w:val="00F80955"/>
    <w:pPr>
      <w:ind w:left="720"/>
      <w:contextualSpacing/>
    </w:pPr>
  </w:style>
  <w:style w:type="character" w:styleId="CommentReference">
    <w:name w:val="annotation reference"/>
    <w:basedOn w:val="DefaultParagraphFont"/>
    <w:uiPriority w:val="99"/>
    <w:semiHidden/>
    <w:unhideWhenUsed/>
    <w:rsid w:val="00F80955"/>
    <w:rPr>
      <w:sz w:val="16"/>
      <w:szCs w:val="16"/>
    </w:rPr>
  </w:style>
  <w:style w:type="paragraph" w:styleId="CommentText">
    <w:name w:val="annotation text"/>
    <w:basedOn w:val="Normal"/>
    <w:link w:val="CommentTextChar"/>
    <w:uiPriority w:val="99"/>
    <w:unhideWhenUsed/>
    <w:rsid w:val="00F80955"/>
    <w:rPr>
      <w:sz w:val="20"/>
      <w:szCs w:val="20"/>
    </w:rPr>
  </w:style>
  <w:style w:type="character" w:customStyle="1" w:styleId="CommentTextChar">
    <w:name w:val="Comment Text Char"/>
    <w:basedOn w:val="DefaultParagraphFont"/>
    <w:link w:val="CommentText"/>
    <w:uiPriority w:val="99"/>
    <w:rsid w:val="00F80955"/>
    <w:rPr>
      <w:rFonts w:ascii="Times New Roman" w:eastAsia="Times New Roman" w:hAnsi="Times New Roman" w:cs="Times New Roman"/>
      <w:sz w:val="20"/>
      <w:szCs w:val="20"/>
      <w:lang w:val="en-US"/>
    </w:rPr>
  </w:style>
  <w:style w:type="paragraph" w:customStyle="1" w:styleId="Style1">
    <w:name w:val="Style1"/>
    <w:basedOn w:val="ListParagraph"/>
    <w:link w:val="Style1Char"/>
    <w:qFormat/>
    <w:rsid w:val="00F80955"/>
    <w:pPr>
      <w:numPr>
        <w:numId w:val="1"/>
      </w:numPr>
      <w:tabs>
        <w:tab w:val="num" w:pos="360"/>
      </w:tabs>
      <w:spacing w:line="480" w:lineRule="auto"/>
      <w:ind w:firstLine="0"/>
      <w:jc w:val="both"/>
    </w:pPr>
    <w:rPr>
      <w:rFonts w:ascii="EB Garamond" w:hAnsi="EB Garamond"/>
      <w:b/>
      <w:bCs/>
      <w:color w:val="000000"/>
    </w:rPr>
  </w:style>
  <w:style w:type="paragraph" w:customStyle="1" w:styleId="Style2">
    <w:name w:val="Style2"/>
    <w:basedOn w:val="ListParagraph"/>
    <w:uiPriority w:val="99"/>
    <w:qFormat/>
    <w:rsid w:val="00F80955"/>
    <w:pPr>
      <w:numPr>
        <w:ilvl w:val="1"/>
        <w:numId w:val="1"/>
      </w:numPr>
      <w:spacing w:line="480" w:lineRule="auto"/>
      <w:ind w:left="567" w:hanging="567"/>
      <w:jc w:val="both"/>
    </w:pPr>
    <w:rPr>
      <w:rFonts w:ascii="EB Garamond" w:hAnsi="EB Garamond"/>
      <w:b/>
      <w:bCs/>
      <w:color w:val="000000"/>
    </w:rPr>
  </w:style>
  <w:style w:type="table" w:styleId="TableGrid">
    <w:name w:val="Table Grid"/>
    <w:basedOn w:val="TableNormal"/>
    <w:uiPriority w:val="39"/>
    <w:rsid w:val="00F8095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0955"/>
    <w:rPr>
      <w:sz w:val="20"/>
      <w:szCs w:val="20"/>
    </w:rPr>
  </w:style>
  <w:style w:type="character" w:customStyle="1" w:styleId="EndnoteTextChar">
    <w:name w:val="Endnote Text Char"/>
    <w:basedOn w:val="DefaultParagraphFont"/>
    <w:link w:val="EndnoteText"/>
    <w:uiPriority w:val="99"/>
    <w:semiHidden/>
    <w:rsid w:val="00F80955"/>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80955"/>
    <w:rPr>
      <w:vertAlign w:val="superscript"/>
    </w:rPr>
  </w:style>
  <w:style w:type="paragraph" w:styleId="FootnoteText">
    <w:name w:val="footnote text"/>
    <w:basedOn w:val="Normal"/>
    <w:link w:val="FootnoteTextChar"/>
    <w:uiPriority w:val="99"/>
    <w:semiHidden/>
    <w:unhideWhenUsed/>
    <w:rsid w:val="00F80955"/>
    <w:rPr>
      <w:sz w:val="20"/>
      <w:szCs w:val="20"/>
    </w:rPr>
  </w:style>
  <w:style w:type="character" w:customStyle="1" w:styleId="FootnoteTextChar">
    <w:name w:val="Footnote Text Char"/>
    <w:basedOn w:val="DefaultParagraphFont"/>
    <w:link w:val="FootnoteText"/>
    <w:uiPriority w:val="99"/>
    <w:semiHidden/>
    <w:rsid w:val="00F8095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80955"/>
    <w:rPr>
      <w:vertAlign w:val="superscript"/>
    </w:rPr>
  </w:style>
  <w:style w:type="paragraph" w:styleId="Header">
    <w:name w:val="header"/>
    <w:basedOn w:val="Normal"/>
    <w:link w:val="HeaderChar"/>
    <w:uiPriority w:val="99"/>
    <w:unhideWhenUsed/>
    <w:rsid w:val="00F80955"/>
    <w:pPr>
      <w:tabs>
        <w:tab w:val="center" w:pos="4680"/>
        <w:tab w:val="right" w:pos="9360"/>
      </w:tabs>
    </w:pPr>
  </w:style>
  <w:style w:type="character" w:customStyle="1" w:styleId="HeaderChar">
    <w:name w:val="Header Char"/>
    <w:basedOn w:val="DefaultParagraphFont"/>
    <w:link w:val="Header"/>
    <w:uiPriority w:val="99"/>
    <w:rsid w:val="00F8095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0955"/>
    <w:pPr>
      <w:tabs>
        <w:tab w:val="center" w:pos="4680"/>
        <w:tab w:val="right" w:pos="9360"/>
      </w:tabs>
    </w:pPr>
  </w:style>
  <w:style w:type="character" w:customStyle="1" w:styleId="FooterChar">
    <w:name w:val="Footer Char"/>
    <w:basedOn w:val="DefaultParagraphFont"/>
    <w:link w:val="Footer"/>
    <w:uiPriority w:val="99"/>
    <w:rsid w:val="00F80955"/>
    <w:rPr>
      <w:rFonts w:ascii="Times New Roman" w:eastAsia="Times New Roman" w:hAnsi="Times New Roman" w:cs="Times New Roman"/>
      <w:sz w:val="24"/>
      <w:szCs w:val="24"/>
      <w:lang w:val="en-US"/>
    </w:rPr>
  </w:style>
  <w:style w:type="numbering" w:customStyle="1" w:styleId="Style4">
    <w:name w:val="Style4"/>
    <w:basedOn w:val="NoList"/>
    <w:uiPriority w:val="99"/>
    <w:rsid w:val="00F80955"/>
    <w:pPr>
      <w:numPr>
        <w:numId w:val="2"/>
      </w:numPr>
    </w:pPr>
  </w:style>
  <w:style w:type="paragraph" w:styleId="CommentSubject">
    <w:name w:val="annotation subject"/>
    <w:basedOn w:val="CommentText"/>
    <w:next w:val="CommentText"/>
    <w:link w:val="CommentSubjectChar"/>
    <w:uiPriority w:val="99"/>
    <w:semiHidden/>
    <w:unhideWhenUsed/>
    <w:rsid w:val="00F80955"/>
    <w:rPr>
      <w:b/>
      <w:bCs/>
    </w:rPr>
  </w:style>
  <w:style w:type="character" w:customStyle="1" w:styleId="CommentSubjectChar">
    <w:name w:val="Comment Subject Char"/>
    <w:basedOn w:val="CommentTextChar"/>
    <w:link w:val="CommentSubject"/>
    <w:uiPriority w:val="99"/>
    <w:semiHidden/>
    <w:rsid w:val="00F80955"/>
    <w:rPr>
      <w:rFonts w:ascii="Times New Roman" w:eastAsia="Times New Roman" w:hAnsi="Times New Roman" w:cs="Times New Roman"/>
      <w:b/>
      <w:bCs/>
      <w:sz w:val="20"/>
      <w:szCs w:val="20"/>
      <w:lang w:val="en-US"/>
    </w:rPr>
  </w:style>
  <w:style w:type="paragraph" w:styleId="Revision">
    <w:name w:val="Revision"/>
    <w:hidden/>
    <w:uiPriority w:val="99"/>
    <w:semiHidden/>
    <w:rsid w:val="00F80955"/>
    <w:pPr>
      <w:spacing w:after="0" w:line="240" w:lineRule="auto"/>
    </w:pPr>
    <w:rPr>
      <w:rFonts w:ascii="Times New Roman" w:eastAsia="Times New Roman" w:hAnsi="Times New Roman" w:cs="Times New Roman"/>
      <w:sz w:val="24"/>
      <w:szCs w:val="24"/>
      <w:lang w:val="en-US"/>
    </w:rPr>
  </w:style>
  <w:style w:type="numbering" w:customStyle="1" w:styleId="Style3">
    <w:name w:val="Style3"/>
    <w:uiPriority w:val="99"/>
    <w:rsid w:val="00F80955"/>
    <w:pPr>
      <w:numPr>
        <w:numId w:val="3"/>
      </w:numPr>
    </w:pPr>
  </w:style>
  <w:style w:type="numbering" w:customStyle="1" w:styleId="Style8">
    <w:name w:val="Style8"/>
    <w:uiPriority w:val="99"/>
    <w:rsid w:val="00F80955"/>
    <w:pPr>
      <w:numPr>
        <w:numId w:val="4"/>
      </w:numPr>
    </w:pPr>
  </w:style>
  <w:style w:type="paragraph" w:styleId="Caption">
    <w:name w:val="caption"/>
    <w:basedOn w:val="Normal"/>
    <w:next w:val="Normal"/>
    <w:uiPriority w:val="35"/>
    <w:unhideWhenUsed/>
    <w:qFormat/>
    <w:rsid w:val="00F80955"/>
    <w:pPr>
      <w:spacing w:after="200"/>
    </w:pPr>
    <w:rPr>
      <w:i/>
      <w:iCs/>
      <w:color w:val="44546A" w:themeColor="text2"/>
      <w:sz w:val="18"/>
      <w:szCs w:val="18"/>
    </w:rPr>
  </w:style>
  <w:style w:type="character" w:customStyle="1" w:styleId="apple-converted-space">
    <w:name w:val="apple-converted-space"/>
    <w:basedOn w:val="DefaultParagraphFont"/>
    <w:rsid w:val="00F80955"/>
  </w:style>
  <w:style w:type="character" w:styleId="Hyperlink">
    <w:name w:val="Hyperlink"/>
    <w:basedOn w:val="DefaultParagraphFont"/>
    <w:uiPriority w:val="99"/>
    <w:unhideWhenUsed/>
    <w:rsid w:val="00F80955"/>
    <w:rPr>
      <w:color w:val="0563C1" w:themeColor="hyperlink"/>
      <w:u w:val="single"/>
    </w:rPr>
  </w:style>
  <w:style w:type="paragraph" w:customStyle="1" w:styleId="body-paragraph">
    <w:name w:val="body-paragraph"/>
    <w:basedOn w:val="Normal"/>
    <w:rsid w:val="00F80955"/>
    <w:pPr>
      <w:spacing w:before="100" w:beforeAutospacing="1" w:after="100" w:afterAutospacing="1"/>
    </w:pPr>
  </w:style>
  <w:style w:type="paragraph" w:customStyle="1" w:styleId="msonormal0">
    <w:name w:val="msonormal"/>
    <w:basedOn w:val="Normal"/>
    <w:uiPriority w:val="99"/>
    <w:rsid w:val="00F80955"/>
    <w:pPr>
      <w:spacing w:before="100" w:beforeAutospacing="1" w:after="100" w:afterAutospacing="1"/>
    </w:pPr>
  </w:style>
  <w:style w:type="character" w:styleId="FollowedHyperlink">
    <w:name w:val="FollowedHyperlink"/>
    <w:basedOn w:val="DefaultParagraphFont"/>
    <w:uiPriority w:val="99"/>
    <w:semiHidden/>
    <w:unhideWhenUsed/>
    <w:rsid w:val="00F80955"/>
    <w:rPr>
      <w:color w:val="800080"/>
      <w:u w:val="single"/>
    </w:rPr>
  </w:style>
  <w:style w:type="character" w:customStyle="1" w:styleId="UnresolvedMention1">
    <w:name w:val="Unresolved Mention1"/>
    <w:basedOn w:val="DefaultParagraphFont"/>
    <w:uiPriority w:val="99"/>
    <w:semiHidden/>
    <w:unhideWhenUsed/>
    <w:rsid w:val="00F80955"/>
    <w:rPr>
      <w:color w:val="605E5C"/>
      <w:shd w:val="clear" w:color="auto" w:fill="E1DFDD"/>
    </w:rPr>
  </w:style>
  <w:style w:type="paragraph" w:styleId="TableofFigures">
    <w:name w:val="table of figures"/>
    <w:basedOn w:val="Normal"/>
    <w:next w:val="Normal"/>
    <w:uiPriority w:val="99"/>
    <w:unhideWhenUsed/>
    <w:rsid w:val="00F80955"/>
  </w:style>
  <w:style w:type="paragraph" w:styleId="TOCHeading">
    <w:name w:val="TOC Heading"/>
    <w:basedOn w:val="Heading1"/>
    <w:next w:val="Normal"/>
    <w:uiPriority w:val="39"/>
    <w:unhideWhenUsed/>
    <w:qFormat/>
    <w:rsid w:val="00F80955"/>
    <w:pPr>
      <w:spacing w:before="480" w:line="276" w:lineRule="auto"/>
      <w:outlineLvl w:val="9"/>
    </w:pPr>
    <w:rPr>
      <w:b w:val="0"/>
      <w:bCs/>
      <w:sz w:val="28"/>
      <w:szCs w:val="28"/>
    </w:rPr>
  </w:style>
  <w:style w:type="paragraph" w:styleId="TOC1">
    <w:name w:val="toc 1"/>
    <w:basedOn w:val="Normal"/>
    <w:next w:val="Normal"/>
    <w:autoRedefine/>
    <w:uiPriority w:val="39"/>
    <w:unhideWhenUsed/>
    <w:rsid w:val="00F80955"/>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F80955"/>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F80955"/>
    <w:pPr>
      <w:ind w:left="480"/>
    </w:pPr>
    <w:rPr>
      <w:rFonts w:asciiTheme="minorHAnsi" w:hAnsiTheme="minorHAnsi" w:cstheme="minorHAnsi"/>
      <w:sz w:val="20"/>
    </w:rPr>
  </w:style>
  <w:style w:type="paragraph" w:styleId="TOC4">
    <w:name w:val="toc 4"/>
    <w:basedOn w:val="Normal"/>
    <w:next w:val="Normal"/>
    <w:autoRedefine/>
    <w:uiPriority w:val="39"/>
    <w:unhideWhenUsed/>
    <w:rsid w:val="00F80955"/>
    <w:pPr>
      <w:ind w:left="720"/>
    </w:pPr>
    <w:rPr>
      <w:rFonts w:asciiTheme="minorHAnsi" w:hAnsiTheme="minorHAnsi" w:cstheme="minorHAnsi"/>
      <w:sz w:val="20"/>
    </w:rPr>
  </w:style>
  <w:style w:type="paragraph" w:styleId="TOC5">
    <w:name w:val="toc 5"/>
    <w:basedOn w:val="Normal"/>
    <w:next w:val="Normal"/>
    <w:autoRedefine/>
    <w:uiPriority w:val="39"/>
    <w:unhideWhenUsed/>
    <w:rsid w:val="00F80955"/>
    <w:pPr>
      <w:ind w:left="960"/>
    </w:pPr>
    <w:rPr>
      <w:rFonts w:asciiTheme="minorHAnsi" w:hAnsiTheme="minorHAnsi" w:cstheme="minorHAnsi"/>
      <w:sz w:val="20"/>
    </w:rPr>
  </w:style>
  <w:style w:type="paragraph" w:styleId="TOC6">
    <w:name w:val="toc 6"/>
    <w:basedOn w:val="Normal"/>
    <w:next w:val="Normal"/>
    <w:autoRedefine/>
    <w:uiPriority w:val="39"/>
    <w:unhideWhenUsed/>
    <w:rsid w:val="00F80955"/>
    <w:pPr>
      <w:ind w:left="1200"/>
    </w:pPr>
    <w:rPr>
      <w:rFonts w:asciiTheme="minorHAnsi" w:hAnsiTheme="minorHAnsi" w:cstheme="minorHAnsi"/>
      <w:sz w:val="20"/>
    </w:rPr>
  </w:style>
  <w:style w:type="paragraph" w:styleId="TOC7">
    <w:name w:val="toc 7"/>
    <w:basedOn w:val="Normal"/>
    <w:next w:val="Normal"/>
    <w:autoRedefine/>
    <w:uiPriority w:val="39"/>
    <w:unhideWhenUsed/>
    <w:rsid w:val="00F80955"/>
    <w:pPr>
      <w:ind w:left="1440"/>
    </w:pPr>
    <w:rPr>
      <w:rFonts w:asciiTheme="minorHAnsi" w:hAnsiTheme="minorHAnsi" w:cstheme="minorHAnsi"/>
      <w:sz w:val="20"/>
    </w:rPr>
  </w:style>
  <w:style w:type="paragraph" w:styleId="TOC8">
    <w:name w:val="toc 8"/>
    <w:basedOn w:val="Normal"/>
    <w:next w:val="Normal"/>
    <w:autoRedefine/>
    <w:uiPriority w:val="39"/>
    <w:unhideWhenUsed/>
    <w:rsid w:val="00F80955"/>
    <w:pPr>
      <w:ind w:left="1680"/>
    </w:pPr>
    <w:rPr>
      <w:rFonts w:asciiTheme="minorHAnsi" w:hAnsiTheme="minorHAnsi" w:cstheme="minorHAnsi"/>
      <w:sz w:val="20"/>
    </w:rPr>
  </w:style>
  <w:style w:type="paragraph" w:styleId="TOC9">
    <w:name w:val="toc 9"/>
    <w:basedOn w:val="Normal"/>
    <w:next w:val="Normal"/>
    <w:autoRedefine/>
    <w:uiPriority w:val="39"/>
    <w:unhideWhenUsed/>
    <w:rsid w:val="00F80955"/>
    <w:pPr>
      <w:ind w:left="1920"/>
    </w:pPr>
    <w:rPr>
      <w:rFonts w:asciiTheme="minorHAnsi" w:hAnsiTheme="minorHAnsi" w:cstheme="minorHAnsi"/>
      <w:sz w:val="20"/>
    </w:rPr>
  </w:style>
  <w:style w:type="character" w:styleId="PageNumber">
    <w:name w:val="page number"/>
    <w:basedOn w:val="DefaultParagraphFont"/>
    <w:uiPriority w:val="99"/>
    <w:semiHidden/>
    <w:unhideWhenUsed/>
    <w:rsid w:val="00F80955"/>
  </w:style>
  <w:style w:type="character" w:styleId="Emphasis">
    <w:name w:val="Emphasis"/>
    <w:basedOn w:val="DefaultParagraphFont"/>
    <w:uiPriority w:val="20"/>
    <w:qFormat/>
    <w:rsid w:val="00F80955"/>
    <w:rPr>
      <w:i/>
      <w:iCs/>
    </w:rPr>
  </w:style>
  <w:style w:type="paragraph" w:styleId="BalloonText">
    <w:name w:val="Balloon Text"/>
    <w:basedOn w:val="Normal"/>
    <w:link w:val="BalloonTextChar"/>
    <w:uiPriority w:val="99"/>
    <w:semiHidden/>
    <w:unhideWhenUsed/>
    <w:rsid w:val="00F8095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80955"/>
    <w:rPr>
      <w:rFonts w:ascii="Segoe UI" w:hAnsi="Segoe UI" w:cs="Segoe UI"/>
      <w:sz w:val="18"/>
      <w:szCs w:val="18"/>
      <w:lang w:val="en-US"/>
    </w:rPr>
  </w:style>
  <w:style w:type="character" w:styleId="PlaceholderText">
    <w:name w:val="Placeholder Text"/>
    <w:basedOn w:val="DefaultParagraphFont"/>
    <w:uiPriority w:val="99"/>
    <w:semiHidden/>
    <w:rsid w:val="00F80955"/>
    <w:rPr>
      <w:color w:val="808080"/>
    </w:rPr>
  </w:style>
  <w:style w:type="character" w:customStyle="1" w:styleId="Style1Char">
    <w:name w:val="Style1 Char"/>
    <w:basedOn w:val="Heading1Char"/>
    <w:link w:val="Style1"/>
    <w:rsid w:val="00F80955"/>
    <w:rPr>
      <w:rFonts w:ascii="EB Garamond" w:eastAsia="Times New Roman" w:hAnsi="EB Garamond" w:cs="Times New Roman"/>
      <w:b/>
      <w:bCs/>
      <w:color w:val="000000"/>
      <w:sz w:val="24"/>
      <w:szCs w:val="24"/>
      <w:lang w:val="en-US"/>
    </w:rPr>
  </w:style>
  <w:style w:type="character" w:styleId="Strong">
    <w:name w:val="Strong"/>
    <w:basedOn w:val="DefaultParagraphFont"/>
    <w:uiPriority w:val="22"/>
    <w:qFormat/>
    <w:rsid w:val="00F80955"/>
    <w:rPr>
      <w:b/>
      <w:bCs/>
    </w:rPr>
  </w:style>
  <w:style w:type="character" w:styleId="SubtleEmphasis">
    <w:name w:val="Subtle Emphasis"/>
    <w:basedOn w:val="DefaultParagraphFont"/>
    <w:uiPriority w:val="19"/>
    <w:qFormat/>
    <w:rsid w:val="00F80955"/>
    <w:rPr>
      <w:i/>
      <w:iCs/>
      <w:color w:val="404040" w:themeColor="text1" w:themeTint="BF"/>
    </w:rPr>
  </w:style>
  <w:style w:type="paragraph" w:styleId="NoSpacing">
    <w:name w:val="No Spacing"/>
    <w:uiPriority w:val="1"/>
    <w:qFormat/>
    <w:rsid w:val="00F80955"/>
    <w:pPr>
      <w:spacing w:after="0" w:line="240" w:lineRule="auto"/>
    </w:pPr>
    <w:rPr>
      <w:rFonts w:ascii="Times New Roman" w:eastAsia="Times New Roman" w:hAnsi="Times New Roman" w:cs="Times New Roman"/>
      <w:sz w:val="24"/>
      <w:szCs w:val="24"/>
      <w:lang w:val="en-US"/>
    </w:rPr>
  </w:style>
  <w:style w:type="paragraph" w:customStyle="1" w:styleId="Headi">
    <w:name w:val="Headi"/>
    <w:basedOn w:val="Normal"/>
    <w:next w:val="Heading4"/>
    <w:link w:val="HeadiChar"/>
    <w:autoRedefine/>
    <w:qFormat/>
    <w:rsid w:val="00F80955"/>
  </w:style>
  <w:style w:type="character" w:customStyle="1" w:styleId="HeadiChar">
    <w:name w:val="Headi Char"/>
    <w:basedOn w:val="DefaultParagraphFont"/>
    <w:link w:val="Headi"/>
    <w:rsid w:val="00F80955"/>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DC6E2E"/>
    <w:rPr>
      <w:color w:val="605E5C"/>
      <w:shd w:val="clear" w:color="auto" w:fill="E1DFDD"/>
    </w:rPr>
  </w:style>
  <w:style w:type="numbering" w:customStyle="1" w:styleId="NoList1">
    <w:name w:val="No List1"/>
    <w:next w:val="NoList"/>
    <w:uiPriority w:val="99"/>
    <w:semiHidden/>
    <w:unhideWhenUsed/>
    <w:rsid w:val="005F3D74"/>
  </w:style>
  <w:style w:type="table" w:customStyle="1" w:styleId="TableGrid1">
    <w:name w:val="Table Grid1"/>
    <w:basedOn w:val="TableNormal"/>
    <w:next w:val="TableGrid"/>
    <w:uiPriority w:val="39"/>
    <w:rsid w:val="005F3D7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24DB4"/>
    <w:rPr>
      <w:color w:val="605E5C"/>
      <w:shd w:val="clear" w:color="auto" w:fill="E1DFDD"/>
    </w:rPr>
  </w:style>
  <w:style w:type="paragraph" w:customStyle="1" w:styleId="EndNoteBibliography">
    <w:name w:val="EndNote Bibliography"/>
    <w:basedOn w:val="Normal"/>
    <w:link w:val="EndNoteBibliographyChar"/>
    <w:rsid w:val="001C75E4"/>
    <w:pPr>
      <w:jc w:val="both"/>
    </w:pPr>
    <w:rPr>
      <w:noProof/>
    </w:rPr>
  </w:style>
  <w:style w:type="character" w:customStyle="1" w:styleId="EndNoteBibliographyChar">
    <w:name w:val="EndNote Bibliography Char"/>
    <w:basedOn w:val="DefaultParagraphFont"/>
    <w:link w:val="EndNoteBibliography"/>
    <w:rsid w:val="001C75E4"/>
    <w:rPr>
      <w:rFonts w:ascii="Times New Roman" w:eastAsia="Times New Roman" w:hAnsi="Times New Roman" w:cs="Times New Roman"/>
      <w:noProof/>
      <w:sz w:val="24"/>
      <w:szCs w:val="24"/>
      <w:lang w:val="en-US"/>
    </w:rPr>
  </w:style>
  <w:style w:type="character" w:customStyle="1" w:styleId="Heading5Char">
    <w:name w:val="Heading 5 Char"/>
    <w:basedOn w:val="DefaultParagraphFont"/>
    <w:link w:val="Heading5"/>
    <w:uiPriority w:val="9"/>
    <w:semiHidden/>
    <w:rsid w:val="00817718"/>
    <w:rPr>
      <w:rFonts w:ascii="Times New Roman" w:eastAsiaTheme="majorEastAsia" w:hAnsi="Times New Roman"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817718"/>
    <w:rPr>
      <w:rFonts w:ascii="Times New Roman" w:eastAsiaTheme="majorEastAsia" w:hAnsi="Times New Roman"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817718"/>
    <w:rPr>
      <w:rFonts w:ascii="Times New Roman" w:eastAsiaTheme="majorEastAsia" w:hAnsi="Times New Roman"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817718"/>
    <w:rPr>
      <w:rFonts w:ascii="Times New Roman" w:eastAsiaTheme="majorEastAsia" w:hAnsi="Times New Roman"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817718"/>
    <w:rPr>
      <w:rFonts w:ascii="Times New Roman" w:eastAsiaTheme="majorEastAsia" w:hAnsi="Times New Roman" w:cstheme="majorBidi"/>
      <w:color w:val="272727" w:themeColor="text1" w:themeTint="D8"/>
      <w:sz w:val="24"/>
      <w:szCs w:val="24"/>
      <w:lang w:val="en-US"/>
    </w:rPr>
  </w:style>
  <w:style w:type="character" w:customStyle="1" w:styleId="Style3Char">
    <w:name w:val="Style3 Char"/>
    <w:basedOn w:val="Heading1Char"/>
    <w:rsid w:val="00817718"/>
    <w:rPr>
      <w:rFonts w:ascii="Times New Roman" w:eastAsiaTheme="majorEastAsia" w:hAnsi="Times New Roman" w:cs="Times New Roman"/>
      <w:b/>
      <w:bCs/>
      <w:color w:val="2F5496" w:themeColor="accent1" w:themeShade="BF"/>
      <w:sz w:val="24"/>
      <w:szCs w:val="24"/>
      <w:lang w:val="en-US"/>
    </w:rPr>
  </w:style>
  <w:style w:type="paragraph" w:styleId="Title">
    <w:name w:val="Title"/>
    <w:basedOn w:val="Normal"/>
    <w:next w:val="Normal"/>
    <w:link w:val="TitleChar"/>
    <w:uiPriority w:val="10"/>
    <w:qFormat/>
    <w:rsid w:val="008177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718"/>
    <w:rPr>
      <w:rFonts w:asciiTheme="majorHAnsi" w:eastAsiaTheme="majorEastAsia" w:hAnsiTheme="majorHAnsi" w:cstheme="majorBidi"/>
      <w:spacing w:val="-10"/>
      <w:kern w:val="28"/>
      <w:sz w:val="56"/>
      <w:szCs w:val="56"/>
      <w:lang w:val="en-US"/>
    </w:rPr>
  </w:style>
  <w:style w:type="paragraph" w:styleId="Quote">
    <w:name w:val="Quote"/>
    <w:basedOn w:val="Normal"/>
    <w:next w:val="Normal"/>
    <w:link w:val="QuoteChar"/>
    <w:uiPriority w:val="29"/>
    <w:qFormat/>
    <w:rsid w:val="008177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718"/>
    <w:rPr>
      <w:rFonts w:ascii="Times New Roman" w:eastAsia="Times New Roman" w:hAnsi="Times New Roman" w:cs="Times New Roman"/>
      <w:i/>
      <w:iCs/>
      <w:color w:val="404040" w:themeColor="text1" w:themeTint="BF"/>
      <w:sz w:val="24"/>
      <w:szCs w:val="24"/>
      <w:lang w:val="en-US"/>
    </w:rPr>
  </w:style>
  <w:style w:type="character" w:styleId="IntenseEmphasis">
    <w:name w:val="Intense Emphasis"/>
    <w:basedOn w:val="DefaultParagraphFont"/>
    <w:uiPriority w:val="21"/>
    <w:qFormat/>
    <w:rsid w:val="00817718"/>
    <w:rPr>
      <w:i/>
      <w:iCs/>
      <w:color w:val="2F5496" w:themeColor="accent1" w:themeShade="BF"/>
    </w:rPr>
  </w:style>
  <w:style w:type="paragraph" w:styleId="IntenseQuote">
    <w:name w:val="Intense Quote"/>
    <w:basedOn w:val="Normal"/>
    <w:next w:val="Normal"/>
    <w:link w:val="IntenseQuoteChar"/>
    <w:uiPriority w:val="30"/>
    <w:qFormat/>
    <w:rsid w:val="00817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718"/>
    <w:rPr>
      <w:rFonts w:ascii="Times New Roman" w:eastAsia="Times New Roman" w:hAnsi="Times New Roman" w:cs="Times New Roman"/>
      <w:i/>
      <w:iCs/>
      <w:color w:val="2F5496" w:themeColor="accent1" w:themeShade="BF"/>
      <w:sz w:val="24"/>
      <w:szCs w:val="24"/>
      <w:lang w:val="en-US"/>
    </w:rPr>
  </w:style>
  <w:style w:type="character" w:styleId="IntenseReference">
    <w:name w:val="Intense Reference"/>
    <w:basedOn w:val="DefaultParagraphFont"/>
    <w:uiPriority w:val="32"/>
    <w:qFormat/>
    <w:rsid w:val="00817718"/>
    <w:rPr>
      <w:b/>
      <w:bCs/>
      <w:smallCaps/>
      <w:color w:val="2F5496" w:themeColor="accent1" w:themeShade="BF"/>
      <w:spacing w:val="5"/>
    </w:rPr>
  </w:style>
  <w:style w:type="paragraph" w:styleId="PlainText">
    <w:name w:val="Plain Text"/>
    <w:basedOn w:val="Normal"/>
    <w:link w:val="PlainTextChar"/>
    <w:uiPriority w:val="99"/>
    <w:unhideWhenUsed/>
    <w:rsid w:val="00800AA9"/>
    <w:rPr>
      <w:rFonts w:ascii="Calibri" w:eastAsiaTheme="minorEastAsia" w:hAnsi="Calibri" w:cstheme="minorBidi"/>
      <w:sz w:val="22"/>
      <w:szCs w:val="21"/>
      <w:lang w:val="en-GB" w:eastAsia="zh-CN"/>
    </w:rPr>
  </w:style>
  <w:style w:type="character" w:customStyle="1" w:styleId="PlainTextChar">
    <w:name w:val="Plain Text Char"/>
    <w:basedOn w:val="DefaultParagraphFont"/>
    <w:link w:val="PlainText"/>
    <w:uiPriority w:val="99"/>
    <w:rsid w:val="00800AA9"/>
    <w:rPr>
      <w:rFonts w:ascii="Calibri" w:eastAsiaTheme="minorEastAsia" w:hAnsi="Calibr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7286">
      <w:bodyDiv w:val="1"/>
      <w:marLeft w:val="0"/>
      <w:marRight w:val="0"/>
      <w:marTop w:val="0"/>
      <w:marBottom w:val="0"/>
      <w:divBdr>
        <w:top w:val="none" w:sz="0" w:space="0" w:color="auto"/>
        <w:left w:val="none" w:sz="0" w:space="0" w:color="auto"/>
        <w:bottom w:val="none" w:sz="0" w:space="0" w:color="auto"/>
        <w:right w:val="none" w:sz="0" w:space="0" w:color="auto"/>
      </w:divBdr>
    </w:div>
    <w:div w:id="107311788">
      <w:bodyDiv w:val="1"/>
      <w:marLeft w:val="0"/>
      <w:marRight w:val="0"/>
      <w:marTop w:val="0"/>
      <w:marBottom w:val="0"/>
      <w:divBdr>
        <w:top w:val="none" w:sz="0" w:space="0" w:color="auto"/>
        <w:left w:val="none" w:sz="0" w:space="0" w:color="auto"/>
        <w:bottom w:val="none" w:sz="0" w:space="0" w:color="auto"/>
        <w:right w:val="none" w:sz="0" w:space="0" w:color="auto"/>
      </w:divBdr>
      <w:divsChild>
        <w:div w:id="380786572">
          <w:marLeft w:val="0"/>
          <w:marRight w:val="0"/>
          <w:marTop w:val="0"/>
          <w:marBottom w:val="0"/>
          <w:divBdr>
            <w:top w:val="none" w:sz="0" w:space="0" w:color="auto"/>
            <w:left w:val="none" w:sz="0" w:space="0" w:color="auto"/>
            <w:bottom w:val="none" w:sz="0" w:space="0" w:color="auto"/>
            <w:right w:val="none" w:sz="0" w:space="0" w:color="auto"/>
          </w:divBdr>
        </w:div>
      </w:divsChild>
    </w:div>
    <w:div w:id="442770561">
      <w:bodyDiv w:val="1"/>
      <w:marLeft w:val="0"/>
      <w:marRight w:val="0"/>
      <w:marTop w:val="0"/>
      <w:marBottom w:val="0"/>
      <w:divBdr>
        <w:top w:val="none" w:sz="0" w:space="0" w:color="auto"/>
        <w:left w:val="none" w:sz="0" w:space="0" w:color="auto"/>
        <w:bottom w:val="none" w:sz="0" w:space="0" w:color="auto"/>
        <w:right w:val="none" w:sz="0" w:space="0" w:color="auto"/>
      </w:divBdr>
    </w:div>
    <w:div w:id="865413514">
      <w:bodyDiv w:val="1"/>
      <w:marLeft w:val="0"/>
      <w:marRight w:val="0"/>
      <w:marTop w:val="0"/>
      <w:marBottom w:val="0"/>
      <w:divBdr>
        <w:top w:val="none" w:sz="0" w:space="0" w:color="auto"/>
        <w:left w:val="none" w:sz="0" w:space="0" w:color="auto"/>
        <w:bottom w:val="none" w:sz="0" w:space="0" w:color="auto"/>
        <w:right w:val="none" w:sz="0" w:space="0" w:color="auto"/>
      </w:divBdr>
    </w:div>
    <w:div w:id="1054043468">
      <w:bodyDiv w:val="1"/>
      <w:marLeft w:val="0"/>
      <w:marRight w:val="0"/>
      <w:marTop w:val="0"/>
      <w:marBottom w:val="0"/>
      <w:divBdr>
        <w:top w:val="none" w:sz="0" w:space="0" w:color="auto"/>
        <w:left w:val="none" w:sz="0" w:space="0" w:color="auto"/>
        <w:bottom w:val="none" w:sz="0" w:space="0" w:color="auto"/>
        <w:right w:val="none" w:sz="0" w:space="0" w:color="auto"/>
      </w:divBdr>
    </w:div>
    <w:div w:id="1149983368">
      <w:bodyDiv w:val="1"/>
      <w:marLeft w:val="0"/>
      <w:marRight w:val="0"/>
      <w:marTop w:val="0"/>
      <w:marBottom w:val="0"/>
      <w:divBdr>
        <w:top w:val="none" w:sz="0" w:space="0" w:color="auto"/>
        <w:left w:val="none" w:sz="0" w:space="0" w:color="auto"/>
        <w:bottom w:val="none" w:sz="0" w:space="0" w:color="auto"/>
        <w:right w:val="none" w:sz="0" w:space="0" w:color="auto"/>
      </w:divBdr>
    </w:div>
    <w:div w:id="1283802188">
      <w:bodyDiv w:val="1"/>
      <w:marLeft w:val="0"/>
      <w:marRight w:val="0"/>
      <w:marTop w:val="0"/>
      <w:marBottom w:val="0"/>
      <w:divBdr>
        <w:top w:val="none" w:sz="0" w:space="0" w:color="auto"/>
        <w:left w:val="none" w:sz="0" w:space="0" w:color="auto"/>
        <w:bottom w:val="none" w:sz="0" w:space="0" w:color="auto"/>
        <w:right w:val="none" w:sz="0" w:space="0" w:color="auto"/>
      </w:divBdr>
    </w:div>
    <w:div w:id="1300839245">
      <w:bodyDiv w:val="1"/>
      <w:marLeft w:val="0"/>
      <w:marRight w:val="0"/>
      <w:marTop w:val="0"/>
      <w:marBottom w:val="0"/>
      <w:divBdr>
        <w:top w:val="none" w:sz="0" w:space="0" w:color="auto"/>
        <w:left w:val="none" w:sz="0" w:space="0" w:color="auto"/>
        <w:bottom w:val="none" w:sz="0" w:space="0" w:color="auto"/>
        <w:right w:val="none" w:sz="0" w:space="0" w:color="auto"/>
      </w:divBdr>
    </w:div>
    <w:div w:id="1955749506">
      <w:bodyDiv w:val="1"/>
      <w:marLeft w:val="0"/>
      <w:marRight w:val="0"/>
      <w:marTop w:val="0"/>
      <w:marBottom w:val="0"/>
      <w:divBdr>
        <w:top w:val="none" w:sz="0" w:space="0" w:color="auto"/>
        <w:left w:val="none" w:sz="0" w:space="0" w:color="auto"/>
        <w:bottom w:val="none" w:sz="0" w:space="0" w:color="auto"/>
        <w:right w:val="none" w:sz="0" w:space="0" w:color="auto"/>
      </w:divBdr>
    </w:div>
    <w:div w:id="2077582541">
      <w:bodyDiv w:val="1"/>
      <w:marLeft w:val="0"/>
      <w:marRight w:val="0"/>
      <w:marTop w:val="0"/>
      <w:marBottom w:val="0"/>
      <w:divBdr>
        <w:top w:val="none" w:sz="0" w:space="0" w:color="auto"/>
        <w:left w:val="none" w:sz="0" w:space="0" w:color="auto"/>
        <w:bottom w:val="none" w:sz="0" w:space="0" w:color="auto"/>
        <w:right w:val="none" w:sz="0" w:space="0" w:color="auto"/>
      </w:divBdr>
    </w:div>
    <w:div w:id="21260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ew.com/-/media/corporate/files/technical/iaa/materiality-in-the-audit-of-financial-statements.ash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2308/accr-510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alsalami@nu.edu.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CC3572B5D054D90DB6100F8D928B1" ma:contentTypeVersion="17" ma:contentTypeDescription="Create a new document." ma:contentTypeScope="" ma:versionID="8cda928b5b61a088a2740b4f6fecaba7">
  <xsd:schema xmlns:xsd="http://www.w3.org/2001/XMLSchema" xmlns:xs="http://www.w3.org/2001/XMLSchema" xmlns:p="http://schemas.microsoft.com/office/2006/metadata/properties" xmlns:ns3="63a14f80-5754-4d9c-92b4-10a4e5bed1e0" xmlns:ns4="4a50cc54-e4b2-4ec4-8468-bab2a2b75503" targetNamespace="http://schemas.microsoft.com/office/2006/metadata/properties" ma:root="true" ma:fieldsID="c58eaed9c59dee38ff33f9e168ede23f" ns3:_="" ns4:_="">
    <xsd:import namespace="63a14f80-5754-4d9c-92b4-10a4e5bed1e0"/>
    <xsd:import namespace="4a50cc54-e4b2-4ec4-8468-bab2a2b755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14f80-5754-4d9c-92b4-10a4e5bed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0cc54-e4b2-4ec4-8468-bab2a2b755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a14f80-5754-4d9c-92b4-10a4e5bed1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C52B-F8D9-4530-9E32-A2BC29930455}">
  <ds:schemaRefs>
    <ds:schemaRef ds:uri="http://schemas.microsoft.com/sharepoint/v3/contenttype/forms"/>
  </ds:schemaRefs>
</ds:datastoreItem>
</file>

<file path=customXml/itemProps2.xml><?xml version="1.0" encoding="utf-8"?>
<ds:datastoreItem xmlns:ds="http://schemas.openxmlformats.org/officeDocument/2006/customXml" ds:itemID="{A7361215-73F1-4413-A77D-976F39C2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14f80-5754-4d9c-92b4-10a4e5bed1e0"/>
    <ds:schemaRef ds:uri="4a50cc54-e4b2-4ec4-8468-bab2a2b7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5995E-B515-4367-A272-6D04CEB14FC1}">
  <ds:schemaRefs>
    <ds:schemaRef ds:uri="63a14f80-5754-4d9c-92b4-10a4e5bed1e0"/>
    <ds:schemaRef ds:uri="http://schemas.microsoft.com/office/2006/documentManagement/types"/>
    <ds:schemaRef ds:uri="http://purl.org/dc/elements/1.1/"/>
    <ds:schemaRef ds:uri="http://schemas.microsoft.com/office/2006/metadata/properties"/>
    <ds:schemaRef ds:uri="4a50cc54-e4b2-4ec4-8468-bab2a2b7550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E523BA6-F225-4545-930B-01392F6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13920</Words>
  <Characters>79348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Alsulami</dc:creator>
  <cp:keywords/>
  <dc:description/>
  <cp:lastModifiedBy>Alaa Zalata</cp:lastModifiedBy>
  <cp:revision>3</cp:revision>
  <cp:lastPrinted>2025-02-13T09:42:00Z</cp:lastPrinted>
  <dcterms:created xsi:type="dcterms:W3CDTF">2025-06-22T12:25:00Z</dcterms:created>
  <dcterms:modified xsi:type="dcterms:W3CDTF">2025-06-22T12:25:00Z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0x010100A17CC3572B5D054D90DB6100F8D928B1</vt:lpwstr>
  </property>
</Properties>
</file>