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A4B5" w14:textId="2AD8D6C7" w:rsidR="006B0A4C" w:rsidRPr="008E66D5" w:rsidRDefault="0DD5A512" w:rsidP="00D73116">
      <w:pPr>
        <w:spacing w:before="160" w:line="276" w:lineRule="auto"/>
        <w:rPr>
          <w:rFonts w:ascii="Arial" w:hAnsi="Arial" w:cs="Arial"/>
          <w:b/>
          <w:bCs/>
          <w:sz w:val="28"/>
          <w:szCs w:val="28"/>
        </w:rPr>
      </w:pPr>
      <w:r w:rsidRPr="008E66D5">
        <w:rPr>
          <w:rFonts w:ascii="Arial" w:hAnsi="Arial" w:cs="Arial"/>
          <w:b/>
          <w:bCs/>
          <w:sz w:val="28"/>
          <w:szCs w:val="28"/>
        </w:rPr>
        <w:t xml:space="preserve">From theory to practice: </w:t>
      </w:r>
      <w:r w:rsidR="00677F34" w:rsidRPr="008E66D5">
        <w:rPr>
          <w:rFonts w:ascii="Arial" w:hAnsi="Arial" w:cs="Arial"/>
          <w:b/>
          <w:bCs/>
          <w:sz w:val="28"/>
          <w:szCs w:val="28"/>
        </w:rPr>
        <w:t>Using the</w:t>
      </w:r>
      <w:r w:rsidRPr="008E66D5">
        <w:rPr>
          <w:rFonts w:ascii="Arial" w:hAnsi="Arial" w:cs="Arial"/>
          <w:b/>
          <w:bCs/>
          <w:sz w:val="28"/>
          <w:szCs w:val="28"/>
        </w:rPr>
        <w:t xml:space="preserve"> </w:t>
      </w:r>
      <w:r w:rsidR="00677F34" w:rsidRPr="008E66D5">
        <w:rPr>
          <w:rFonts w:ascii="Arial" w:hAnsi="Arial" w:cs="Arial"/>
          <w:b/>
          <w:bCs/>
          <w:sz w:val="28"/>
          <w:szCs w:val="28"/>
        </w:rPr>
        <w:t>Normalisation Process Theory (NPT) and Theoretical Domains Framework (TDF) to understand</w:t>
      </w:r>
      <w:r w:rsidR="008E66D5">
        <w:rPr>
          <w:rFonts w:ascii="Arial" w:hAnsi="Arial" w:cs="Arial"/>
          <w:b/>
          <w:bCs/>
          <w:sz w:val="28"/>
          <w:szCs w:val="28"/>
        </w:rPr>
        <w:t xml:space="preserve"> </w:t>
      </w:r>
      <w:r w:rsidR="00677F34" w:rsidRPr="008E66D5">
        <w:rPr>
          <w:rFonts w:ascii="Arial" w:hAnsi="Arial" w:cs="Arial"/>
          <w:b/>
          <w:bCs/>
          <w:sz w:val="28"/>
          <w:szCs w:val="28"/>
        </w:rPr>
        <w:t xml:space="preserve">implementation of decarbonisation in </w:t>
      </w:r>
      <w:r w:rsidRPr="008E66D5">
        <w:rPr>
          <w:rFonts w:ascii="Arial" w:hAnsi="Arial" w:cs="Arial"/>
          <w:b/>
          <w:bCs/>
          <w:sz w:val="28"/>
          <w:szCs w:val="28"/>
        </w:rPr>
        <w:t xml:space="preserve">general practice </w:t>
      </w:r>
    </w:p>
    <w:p w14:paraId="32A5BBFD" w14:textId="77777777" w:rsidR="003F58C2" w:rsidRPr="008E66D5" w:rsidRDefault="003F58C2" w:rsidP="00D73116">
      <w:pPr>
        <w:spacing w:before="160" w:line="276" w:lineRule="auto"/>
        <w:rPr>
          <w:rFonts w:ascii="Arial" w:hAnsi="Arial" w:cs="Arial"/>
          <w:b/>
          <w:bCs/>
          <w:sz w:val="24"/>
          <w:szCs w:val="24"/>
        </w:rPr>
      </w:pPr>
    </w:p>
    <w:p w14:paraId="3869A020" w14:textId="503F978C" w:rsidR="00D70B8E" w:rsidRPr="008E66D5" w:rsidRDefault="00D70B8E" w:rsidP="00D73116">
      <w:pPr>
        <w:spacing w:before="160" w:line="276" w:lineRule="auto"/>
        <w:rPr>
          <w:rFonts w:ascii="Arial" w:hAnsi="Arial" w:cs="Arial"/>
          <w:b/>
          <w:bCs/>
          <w:sz w:val="28"/>
          <w:szCs w:val="28"/>
        </w:rPr>
      </w:pPr>
      <w:r w:rsidRPr="008E66D5">
        <w:rPr>
          <w:rFonts w:ascii="Arial" w:hAnsi="Arial" w:cs="Arial"/>
          <w:b/>
          <w:bCs/>
          <w:sz w:val="28"/>
          <w:szCs w:val="28"/>
        </w:rPr>
        <w:t>Abstract</w:t>
      </w:r>
    </w:p>
    <w:p w14:paraId="7A911F91" w14:textId="4850C3EA" w:rsidR="004D6DB2" w:rsidRPr="008E66D5" w:rsidRDefault="004D6DB2" w:rsidP="00D73116">
      <w:pPr>
        <w:spacing w:before="160" w:line="276" w:lineRule="auto"/>
        <w:rPr>
          <w:rFonts w:ascii="Arial" w:hAnsi="Arial" w:cs="Arial"/>
          <w:b/>
          <w:bCs/>
          <w:sz w:val="24"/>
          <w:szCs w:val="24"/>
        </w:rPr>
      </w:pPr>
      <w:r w:rsidRPr="008E66D5">
        <w:rPr>
          <w:rFonts w:ascii="Arial" w:hAnsi="Arial" w:cs="Arial"/>
          <w:b/>
          <w:bCs/>
          <w:sz w:val="24"/>
          <w:szCs w:val="24"/>
        </w:rPr>
        <w:t>Background</w:t>
      </w:r>
      <w:r w:rsidR="00953D55" w:rsidRPr="008E66D5">
        <w:rPr>
          <w:rFonts w:ascii="Arial" w:hAnsi="Arial" w:cs="Arial"/>
          <w:b/>
          <w:bCs/>
          <w:sz w:val="24"/>
          <w:szCs w:val="24"/>
        </w:rPr>
        <w:t xml:space="preserve">: </w:t>
      </w:r>
      <w:r w:rsidR="13267BE7" w:rsidRPr="008E66D5">
        <w:rPr>
          <w:rFonts w:ascii="Arial" w:hAnsi="Arial" w:cs="Arial"/>
          <w:sz w:val="24"/>
          <w:szCs w:val="24"/>
        </w:rPr>
        <w:t xml:space="preserve">Decarbonisation in </w:t>
      </w:r>
      <w:r w:rsidR="0370DD48" w:rsidRPr="008E66D5">
        <w:rPr>
          <w:rFonts w:ascii="Arial" w:hAnsi="Arial" w:cs="Arial"/>
          <w:sz w:val="24"/>
          <w:szCs w:val="24"/>
        </w:rPr>
        <w:t>general practice</w:t>
      </w:r>
      <w:r w:rsidR="6205083A" w:rsidRPr="008E66D5">
        <w:rPr>
          <w:rFonts w:ascii="Arial" w:hAnsi="Arial" w:cs="Arial"/>
          <w:sz w:val="24"/>
          <w:szCs w:val="24"/>
        </w:rPr>
        <w:t xml:space="preserve"> is </w:t>
      </w:r>
      <w:r w:rsidR="0370DD48" w:rsidRPr="008E66D5">
        <w:rPr>
          <w:rFonts w:ascii="Arial" w:hAnsi="Arial" w:cs="Arial"/>
          <w:sz w:val="24"/>
          <w:szCs w:val="24"/>
        </w:rPr>
        <w:t>a critical step toward</w:t>
      </w:r>
      <w:r w:rsidR="6205083A" w:rsidRPr="008E66D5">
        <w:rPr>
          <w:rFonts w:ascii="Arial" w:hAnsi="Arial" w:cs="Arial"/>
          <w:sz w:val="24"/>
          <w:szCs w:val="24"/>
        </w:rPr>
        <w:t xml:space="preserve"> achieving a net zero healthcare system</w:t>
      </w:r>
      <w:r w:rsidR="0370DD48" w:rsidRPr="008E66D5">
        <w:rPr>
          <w:rFonts w:ascii="Arial" w:hAnsi="Arial" w:cs="Arial"/>
          <w:sz w:val="24"/>
          <w:szCs w:val="24"/>
        </w:rPr>
        <w:t>.</w:t>
      </w:r>
      <w:r w:rsidR="6205083A" w:rsidRPr="008E66D5">
        <w:rPr>
          <w:rFonts w:ascii="Arial" w:hAnsi="Arial" w:cs="Arial"/>
          <w:sz w:val="24"/>
          <w:szCs w:val="24"/>
        </w:rPr>
        <w:t xml:space="preserve"> </w:t>
      </w:r>
      <w:r w:rsidR="0370DD48" w:rsidRPr="008E66D5">
        <w:rPr>
          <w:rFonts w:ascii="Arial" w:hAnsi="Arial" w:cs="Arial"/>
          <w:sz w:val="24"/>
          <w:szCs w:val="24"/>
        </w:rPr>
        <w:t>Key</w:t>
      </w:r>
      <w:r w:rsidR="6205083A" w:rsidRPr="008E66D5">
        <w:rPr>
          <w:rFonts w:ascii="Arial" w:hAnsi="Arial" w:cs="Arial"/>
          <w:sz w:val="24"/>
          <w:szCs w:val="24"/>
        </w:rPr>
        <w:t xml:space="preserve"> factors influenc</w:t>
      </w:r>
      <w:r w:rsidR="0EB119C2" w:rsidRPr="008E66D5">
        <w:rPr>
          <w:rFonts w:ascii="Arial" w:hAnsi="Arial" w:cs="Arial"/>
          <w:sz w:val="24"/>
          <w:szCs w:val="24"/>
        </w:rPr>
        <w:t>e</w:t>
      </w:r>
      <w:r w:rsidR="6205083A" w:rsidRPr="008E66D5">
        <w:rPr>
          <w:rFonts w:ascii="Arial" w:hAnsi="Arial" w:cs="Arial"/>
          <w:sz w:val="24"/>
          <w:szCs w:val="24"/>
        </w:rPr>
        <w:t xml:space="preserve"> </w:t>
      </w:r>
      <w:r w:rsidR="0370DD48" w:rsidRPr="008E66D5">
        <w:rPr>
          <w:rFonts w:ascii="Arial" w:hAnsi="Arial" w:cs="Arial"/>
          <w:sz w:val="24"/>
          <w:szCs w:val="24"/>
        </w:rPr>
        <w:t xml:space="preserve">the </w:t>
      </w:r>
      <w:r w:rsidR="6205083A" w:rsidRPr="008E66D5">
        <w:rPr>
          <w:rFonts w:ascii="Arial" w:hAnsi="Arial" w:cs="Arial"/>
          <w:sz w:val="24"/>
          <w:szCs w:val="24"/>
        </w:rPr>
        <w:t>implementation</w:t>
      </w:r>
      <w:r w:rsidR="0370DD48" w:rsidRPr="008E66D5">
        <w:rPr>
          <w:rFonts w:ascii="Arial" w:hAnsi="Arial" w:cs="Arial"/>
          <w:sz w:val="24"/>
          <w:szCs w:val="24"/>
        </w:rPr>
        <w:t xml:space="preserve"> of sustainable practices</w:t>
      </w:r>
      <w:r w:rsidR="3FDF1C1A" w:rsidRPr="008E66D5">
        <w:rPr>
          <w:rFonts w:ascii="Arial" w:hAnsi="Arial" w:cs="Arial"/>
          <w:sz w:val="24"/>
          <w:szCs w:val="24"/>
        </w:rPr>
        <w:t>.</w:t>
      </w:r>
      <w:r w:rsidR="0370DD48" w:rsidRPr="008E66D5">
        <w:rPr>
          <w:rFonts w:ascii="Arial" w:hAnsi="Arial" w:cs="Arial"/>
          <w:sz w:val="24"/>
          <w:szCs w:val="24"/>
        </w:rPr>
        <w:t xml:space="preserve"> Understanding how the</w:t>
      </w:r>
      <w:r w:rsidR="00CC098B" w:rsidRPr="008E66D5">
        <w:rPr>
          <w:rFonts w:ascii="Arial" w:hAnsi="Arial" w:cs="Arial"/>
          <w:sz w:val="24"/>
          <w:szCs w:val="24"/>
        </w:rPr>
        <w:t>y</w:t>
      </w:r>
      <w:r w:rsidR="0370DD48" w:rsidRPr="008E66D5">
        <w:rPr>
          <w:rFonts w:ascii="Arial" w:hAnsi="Arial" w:cs="Arial"/>
          <w:sz w:val="24"/>
          <w:szCs w:val="24"/>
        </w:rPr>
        <w:t xml:space="preserve"> </w:t>
      </w:r>
      <w:r w:rsidR="5C2C75DF" w:rsidRPr="008E66D5">
        <w:rPr>
          <w:rFonts w:ascii="Arial" w:hAnsi="Arial" w:cs="Arial"/>
          <w:sz w:val="24"/>
          <w:szCs w:val="24"/>
        </w:rPr>
        <w:t>drive,</w:t>
      </w:r>
      <w:r w:rsidR="0370DD48" w:rsidRPr="008E66D5">
        <w:rPr>
          <w:rFonts w:ascii="Arial" w:hAnsi="Arial" w:cs="Arial"/>
          <w:sz w:val="24"/>
          <w:szCs w:val="24"/>
        </w:rPr>
        <w:t xml:space="preserve"> or hinder decarboni</w:t>
      </w:r>
      <w:r w:rsidR="61270A67" w:rsidRPr="008E66D5">
        <w:rPr>
          <w:rFonts w:ascii="Arial" w:hAnsi="Arial" w:cs="Arial"/>
          <w:sz w:val="24"/>
          <w:szCs w:val="24"/>
        </w:rPr>
        <w:t>s</w:t>
      </w:r>
      <w:r w:rsidR="0370DD48" w:rsidRPr="008E66D5">
        <w:rPr>
          <w:rFonts w:ascii="Arial" w:hAnsi="Arial" w:cs="Arial"/>
          <w:sz w:val="24"/>
          <w:szCs w:val="24"/>
        </w:rPr>
        <w:t>ation efforts is essential for effective action.</w:t>
      </w:r>
      <w:r w:rsidR="00953D55" w:rsidRPr="008E66D5">
        <w:rPr>
          <w:rFonts w:ascii="Arial" w:hAnsi="Arial" w:cs="Arial"/>
          <w:b/>
          <w:bCs/>
          <w:sz w:val="24"/>
          <w:szCs w:val="24"/>
        </w:rPr>
        <w:t xml:space="preserve"> </w:t>
      </w:r>
      <w:r w:rsidR="13267BE7" w:rsidRPr="008E66D5">
        <w:rPr>
          <w:rFonts w:ascii="Arial" w:hAnsi="Arial" w:cs="Arial"/>
          <w:sz w:val="24"/>
          <w:szCs w:val="24"/>
        </w:rPr>
        <w:t xml:space="preserve">This study </w:t>
      </w:r>
      <w:r w:rsidR="0370DD48" w:rsidRPr="008E66D5">
        <w:rPr>
          <w:rFonts w:ascii="Arial" w:hAnsi="Arial" w:cs="Arial"/>
          <w:sz w:val="24"/>
          <w:szCs w:val="24"/>
        </w:rPr>
        <w:t>examines the value of the</w:t>
      </w:r>
      <w:r w:rsidR="6205083A" w:rsidRPr="008E66D5">
        <w:rPr>
          <w:rFonts w:ascii="Arial" w:hAnsi="Arial" w:cs="Arial"/>
          <w:sz w:val="24"/>
          <w:szCs w:val="24"/>
        </w:rPr>
        <w:t xml:space="preserve"> Normalisation Process Theory (NPT) and Theoretical Domains </w:t>
      </w:r>
      <w:r w:rsidR="6DEE2CAB" w:rsidRPr="008E66D5">
        <w:rPr>
          <w:rFonts w:ascii="Arial" w:hAnsi="Arial" w:cs="Arial"/>
          <w:sz w:val="24"/>
          <w:szCs w:val="24"/>
        </w:rPr>
        <w:t>F</w:t>
      </w:r>
      <w:r w:rsidR="6205083A" w:rsidRPr="008E66D5">
        <w:rPr>
          <w:rFonts w:ascii="Arial" w:hAnsi="Arial" w:cs="Arial"/>
          <w:sz w:val="24"/>
          <w:szCs w:val="24"/>
        </w:rPr>
        <w:t>ramework (TDF)</w:t>
      </w:r>
      <w:r w:rsidR="0370DD48" w:rsidRPr="008E66D5">
        <w:rPr>
          <w:rFonts w:ascii="Arial" w:hAnsi="Arial" w:cs="Arial"/>
          <w:sz w:val="24"/>
          <w:szCs w:val="24"/>
        </w:rPr>
        <w:t xml:space="preserve"> in</w:t>
      </w:r>
      <w:r w:rsidR="6205083A" w:rsidRPr="008E66D5">
        <w:rPr>
          <w:rFonts w:ascii="Arial" w:hAnsi="Arial" w:cs="Arial"/>
          <w:sz w:val="24"/>
          <w:szCs w:val="24"/>
        </w:rPr>
        <w:t xml:space="preserve"> understanding</w:t>
      </w:r>
      <w:r w:rsidR="0370DD48" w:rsidRPr="008E66D5">
        <w:rPr>
          <w:rFonts w:ascii="Arial" w:hAnsi="Arial" w:cs="Arial"/>
          <w:sz w:val="24"/>
          <w:szCs w:val="24"/>
        </w:rPr>
        <w:t xml:space="preserve"> </w:t>
      </w:r>
      <w:r w:rsidR="542A13D2" w:rsidRPr="008E66D5">
        <w:rPr>
          <w:rFonts w:ascii="Arial" w:hAnsi="Arial" w:cs="Arial"/>
          <w:sz w:val="24"/>
          <w:szCs w:val="24"/>
        </w:rPr>
        <w:t xml:space="preserve">the key drivers of and barriers to </w:t>
      </w:r>
      <w:r w:rsidR="0370DD48" w:rsidRPr="008E66D5">
        <w:rPr>
          <w:rFonts w:ascii="Arial" w:hAnsi="Arial" w:cs="Arial"/>
          <w:sz w:val="24"/>
          <w:szCs w:val="24"/>
        </w:rPr>
        <w:t xml:space="preserve">decarbonisation in general practice. </w:t>
      </w:r>
    </w:p>
    <w:p w14:paraId="343B97F1" w14:textId="64F173E2" w:rsidR="004D6DB2" w:rsidRPr="008E66D5" w:rsidRDefault="004D6DB2" w:rsidP="00D73116">
      <w:pPr>
        <w:spacing w:before="160" w:line="276" w:lineRule="auto"/>
        <w:rPr>
          <w:rFonts w:ascii="Arial" w:hAnsi="Arial" w:cs="Arial"/>
          <w:sz w:val="24"/>
          <w:szCs w:val="24"/>
        </w:rPr>
      </w:pPr>
      <w:r w:rsidRPr="008E66D5">
        <w:rPr>
          <w:rFonts w:ascii="Arial" w:hAnsi="Arial" w:cs="Arial"/>
          <w:b/>
          <w:bCs/>
          <w:sz w:val="24"/>
          <w:szCs w:val="24"/>
        </w:rPr>
        <w:t>Methods</w:t>
      </w:r>
      <w:r w:rsidR="00953D55" w:rsidRPr="008E66D5">
        <w:rPr>
          <w:rFonts w:ascii="Arial" w:hAnsi="Arial" w:cs="Arial"/>
          <w:sz w:val="24"/>
          <w:szCs w:val="24"/>
        </w:rPr>
        <w:t xml:space="preserve">: </w:t>
      </w:r>
      <w:r w:rsidR="38D63A47" w:rsidRPr="008E66D5">
        <w:rPr>
          <w:rFonts w:ascii="Arial" w:hAnsi="Arial" w:cs="Arial"/>
          <w:sz w:val="24"/>
          <w:szCs w:val="24"/>
        </w:rPr>
        <w:t>F</w:t>
      </w:r>
      <w:r w:rsidR="13267BE7" w:rsidRPr="008E66D5">
        <w:rPr>
          <w:rFonts w:ascii="Arial" w:hAnsi="Arial" w:cs="Arial"/>
          <w:sz w:val="24"/>
          <w:szCs w:val="24"/>
        </w:rPr>
        <w:t xml:space="preserve">actors </w:t>
      </w:r>
      <w:r w:rsidR="38D63A47" w:rsidRPr="008E66D5">
        <w:rPr>
          <w:rFonts w:ascii="Arial" w:hAnsi="Arial" w:cs="Arial"/>
          <w:sz w:val="24"/>
          <w:szCs w:val="24"/>
        </w:rPr>
        <w:t xml:space="preserve">derived from a </w:t>
      </w:r>
      <w:r w:rsidR="6205083A" w:rsidRPr="008E66D5">
        <w:rPr>
          <w:rFonts w:ascii="Arial" w:hAnsi="Arial" w:cs="Arial"/>
          <w:sz w:val="24"/>
          <w:szCs w:val="24"/>
        </w:rPr>
        <w:t>systematic review and narrative synthesis</w:t>
      </w:r>
      <w:r w:rsidR="38D63A47" w:rsidRPr="008E66D5">
        <w:rPr>
          <w:rFonts w:ascii="Arial" w:hAnsi="Arial" w:cs="Arial"/>
          <w:sz w:val="24"/>
          <w:szCs w:val="24"/>
        </w:rPr>
        <w:t xml:space="preserve"> were mapped to NPT constructs and TDF domains by a multidisciplinary team </w:t>
      </w:r>
      <w:r w:rsidR="6205083A" w:rsidRPr="008E66D5">
        <w:rPr>
          <w:rFonts w:ascii="Arial" w:hAnsi="Arial" w:cs="Arial"/>
          <w:sz w:val="24"/>
          <w:szCs w:val="24"/>
        </w:rPr>
        <w:t>of t</w:t>
      </w:r>
      <w:r w:rsidR="13267BE7" w:rsidRPr="008E66D5">
        <w:rPr>
          <w:rFonts w:ascii="Arial" w:hAnsi="Arial" w:cs="Arial"/>
          <w:sz w:val="24"/>
          <w:szCs w:val="24"/>
        </w:rPr>
        <w:t>en coders</w:t>
      </w:r>
      <w:r w:rsidR="6205083A" w:rsidRPr="008E66D5">
        <w:rPr>
          <w:rFonts w:ascii="Arial" w:hAnsi="Arial" w:cs="Arial"/>
          <w:sz w:val="24"/>
          <w:szCs w:val="24"/>
        </w:rPr>
        <w:t>,</w:t>
      </w:r>
      <w:r w:rsidR="13267BE7" w:rsidRPr="008E66D5">
        <w:rPr>
          <w:rFonts w:ascii="Arial" w:hAnsi="Arial" w:cs="Arial"/>
          <w:sz w:val="24"/>
          <w:szCs w:val="24"/>
        </w:rPr>
        <w:t xml:space="preserve"> </w:t>
      </w:r>
      <w:r w:rsidR="6205083A" w:rsidRPr="008E66D5">
        <w:rPr>
          <w:rFonts w:ascii="Arial" w:hAnsi="Arial" w:cs="Arial"/>
          <w:sz w:val="24"/>
          <w:szCs w:val="24"/>
        </w:rPr>
        <w:t>including</w:t>
      </w:r>
      <w:r w:rsidR="13267BE7" w:rsidRPr="008E66D5">
        <w:rPr>
          <w:rFonts w:ascii="Arial" w:hAnsi="Arial" w:cs="Arial"/>
          <w:sz w:val="24"/>
          <w:szCs w:val="24"/>
        </w:rPr>
        <w:t xml:space="preserve"> academic GPs, researchers</w:t>
      </w:r>
      <w:r w:rsidR="6205083A" w:rsidRPr="008E66D5">
        <w:rPr>
          <w:rFonts w:ascii="Arial" w:hAnsi="Arial" w:cs="Arial"/>
          <w:sz w:val="24"/>
          <w:szCs w:val="24"/>
        </w:rPr>
        <w:t>,</w:t>
      </w:r>
      <w:r w:rsidR="13267BE7" w:rsidRPr="008E66D5">
        <w:rPr>
          <w:rFonts w:ascii="Arial" w:hAnsi="Arial" w:cs="Arial"/>
          <w:sz w:val="24"/>
          <w:szCs w:val="24"/>
        </w:rPr>
        <w:t xml:space="preserve"> and patient representatives</w:t>
      </w:r>
      <w:r w:rsidR="38D63A47" w:rsidRPr="008E66D5">
        <w:rPr>
          <w:rFonts w:ascii="Arial" w:hAnsi="Arial" w:cs="Arial"/>
          <w:sz w:val="24"/>
          <w:szCs w:val="24"/>
        </w:rPr>
        <w:t>. The mapping was conducted independently, and c</w:t>
      </w:r>
      <w:r w:rsidR="13267BE7" w:rsidRPr="008E66D5">
        <w:rPr>
          <w:rFonts w:ascii="Arial" w:hAnsi="Arial" w:cs="Arial"/>
          <w:sz w:val="24"/>
          <w:szCs w:val="24"/>
        </w:rPr>
        <w:t xml:space="preserve">oder agreement </w:t>
      </w:r>
      <w:r w:rsidR="6205083A" w:rsidRPr="008E66D5">
        <w:rPr>
          <w:rFonts w:ascii="Arial" w:hAnsi="Arial" w:cs="Arial"/>
          <w:sz w:val="24"/>
          <w:szCs w:val="24"/>
        </w:rPr>
        <w:t xml:space="preserve">was evaluated </w:t>
      </w:r>
      <w:r w:rsidR="00533E9D" w:rsidRPr="008E66D5">
        <w:rPr>
          <w:rFonts w:ascii="Arial" w:hAnsi="Arial" w:cs="Arial"/>
          <w:sz w:val="24"/>
          <w:szCs w:val="24"/>
        </w:rPr>
        <w:t>for</w:t>
      </w:r>
      <w:r w:rsidR="6205083A" w:rsidRPr="008E66D5">
        <w:rPr>
          <w:rFonts w:ascii="Arial" w:hAnsi="Arial" w:cs="Arial"/>
          <w:sz w:val="24"/>
          <w:szCs w:val="24"/>
        </w:rPr>
        <w:t xml:space="preserve"> consistency and reliability </w:t>
      </w:r>
      <w:r w:rsidR="38D63A47" w:rsidRPr="008E66D5">
        <w:rPr>
          <w:rFonts w:ascii="Arial" w:hAnsi="Arial" w:cs="Arial"/>
          <w:sz w:val="24"/>
          <w:szCs w:val="24"/>
        </w:rPr>
        <w:t>in</w:t>
      </w:r>
      <w:r w:rsidR="6205083A" w:rsidRPr="008E66D5">
        <w:rPr>
          <w:rFonts w:ascii="Arial" w:hAnsi="Arial" w:cs="Arial"/>
          <w:sz w:val="24"/>
          <w:szCs w:val="24"/>
        </w:rPr>
        <w:t xml:space="preserve"> categorisation</w:t>
      </w:r>
      <w:r w:rsidR="13267BE7" w:rsidRPr="008E66D5">
        <w:rPr>
          <w:rFonts w:ascii="Arial" w:hAnsi="Arial" w:cs="Arial"/>
          <w:sz w:val="24"/>
          <w:szCs w:val="24"/>
        </w:rPr>
        <w:t>.</w:t>
      </w:r>
    </w:p>
    <w:p w14:paraId="5B5489B5" w14:textId="3E76CB10" w:rsidR="004D6DB2" w:rsidRPr="008E66D5" w:rsidRDefault="004D6DB2" w:rsidP="00D73116">
      <w:pPr>
        <w:spacing w:before="160" w:line="276" w:lineRule="auto"/>
        <w:rPr>
          <w:rFonts w:ascii="Arial" w:hAnsi="Arial" w:cs="Arial"/>
          <w:b/>
          <w:bCs/>
          <w:sz w:val="24"/>
          <w:szCs w:val="24"/>
        </w:rPr>
      </w:pPr>
      <w:r w:rsidRPr="008E66D5">
        <w:rPr>
          <w:rFonts w:ascii="Arial" w:hAnsi="Arial" w:cs="Arial"/>
          <w:b/>
          <w:bCs/>
          <w:sz w:val="24"/>
          <w:szCs w:val="24"/>
        </w:rPr>
        <w:t>Results</w:t>
      </w:r>
      <w:r w:rsidR="00953D55" w:rsidRPr="008E66D5">
        <w:rPr>
          <w:rFonts w:ascii="Arial" w:hAnsi="Arial" w:cs="Arial"/>
          <w:b/>
          <w:bCs/>
          <w:sz w:val="24"/>
          <w:szCs w:val="24"/>
        </w:rPr>
        <w:t>:</w:t>
      </w:r>
      <w:r w:rsidRPr="008E66D5">
        <w:rPr>
          <w:rFonts w:ascii="Arial" w:hAnsi="Arial" w:cs="Arial"/>
          <w:b/>
          <w:bCs/>
          <w:sz w:val="24"/>
          <w:szCs w:val="24"/>
        </w:rPr>
        <w:t xml:space="preserve"> </w:t>
      </w:r>
      <w:r w:rsidR="00AF1936" w:rsidRPr="008E66D5">
        <w:rPr>
          <w:rFonts w:ascii="Arial" w:hAnsi="Arial" w:cs="Arial"/>
          <w:sz w:val="24"/>
          <w:szCs w:val="24"/>
        </w:rPr>
        <w:t xml:space="preserve">The study identifies key NPT </w:t>
      </w:r>
      <w:r w:rsidR="00420374" w:rsidRPr="008E66D5">
        <w:rPr>
          <w:rFonts w:ascii="Arial" w:hAnsi="Arial" w:cs="Arial"/>
          <w:sz w:val="24"/>
          <w:szCs w:val="24"/>
        </w:rPr>
        <w:t>(</w:t>
      </w:r>
      <w:r w:rsidR="00420374" w:rsidRPr="008E66D5">
        <w:rPr>
          <w:rFonts w:ascii="Arial" w:hAnsi="Arial" w:cs="Arial"/>
          <w:i/>
          <w:iCs/>
          <w:sz w:val="24"/>
          <w:szCs w:val="24"/>
        </w:rPr>
        <w:t>‘Coherence’</w:t>
      </w:r>
      <w:r w:rsidR="00420374" w:rsidRPr="008E66D5">
        <w:rPr>
          <w:rFonts w:ascii="Arial" w:hAnsi="Arial" w:cs="Arial"/>
          <w:sz w:val="24"/>
          <w:szCs w:val="24"/>
        </w:rPr>
        <w:t xml:space="preserve">, </w:t>
      </w:r>
      <w:r w:rsidR="00420374" w:rsidRPr="008E66D5">
        <w:rPr>
          <w:rFonts w:ascii="Arial" w:hAnsi="Arial" w:cs="Arial"/>
          <w:i/>
          <w:iCs/>
          <w:sz w:val="24"/>
          <w:szCs w:val="24"/>
        </w:rPr>
        <w:t>‘Collective Action’</w:t>
      </w:r>
      <w:r w:rsidR="00420374" w:rsidRPr="008E66D5">
        <w:rPr>
          <w:rFonts w:ascii="Arial" w:hAnsi="Arial" w:cs="Arial"/>
          <w:sz w:val="24"/>
          <w:szCs w:val="24"/>
        </w:rPr>
        <w:t xml:space="preserve">, and </w:t>
      </w:r>
      <w:r w:rsidR="00420374" w:rsidRPr="008E66D5">
        <w:rPr>
          <w:rFonts w:ascii="Arial" w:hAnsi="Arial" w:cs="Arial"/>
          <w:i/>
          <w:iCs/>
          <w:sz w:val="24"/>
          <w:szCs w:val="24"/>
        </w:rPr>
        <w:t>‘Cognitive Participation’</w:t>
      </w:r>
      <w:r w:rsidR="00420374" w:rsidRPr="008E66D5">
        <w:rPr>
          <w:rFonts w:ascii="Arial" w:hAnsi="Arial" w:cs="Arial"/>
          <w:sz w:val="24"/>
          <w:szCs w:val="24"/>
        </w:rPr>
        <w:t xml:space="preserve">) </w:t>
      </w:r>
      <w:r w:rsidR="00AF1936" w:rsidRPr="008E66D5">
        <w:rPr>
          <w:rFonts w:ascii="Arial" w:hAnsi="Arial" w:cs="Arial"/>
          <w:sz w:val="24"/>
          <w:szCs w:val="24"/>
        </w:rPr>
        <w:t xml:space="preserve">and TDF </w:t>
      </w:r>
      <w:r w:rsidR="00420374" w:rsidRPr="008E66D5">
        <w:rPr>
          <w:rFonts w:ascii="Arial" w:hAnsi="Arial" w:cs="Arial"/>
          <w:sz w:val="24"/>
          <w:szCs w:val="24"/>
        </w:rPr>
        <w:t>domains (</w:t>
      </w:r>
      <w:r w:rsidR="00420374" w:rsidRPr="008E66D5">
        <w:rPr>
          <w:rFonts w:ascii="Arial" w:hAnsi="Arial" w:cs="Arial"/>
          <w:i/>
          <w:iCs/>
          <w:sz w:val="24"/>
          <w:szCs w:val="24"/>
        </w:rPr>
        <w:t>‘Environmental Context and Resources’</w:t>
      </w:r>
      <w:r w:rsidR="00420374" w:rsidRPr="008E66D5">
        <w:rPr>
          <w:rFonts w:ascii="Arial" w:hAnsi="Arial" w:cs="Arial"/>
          <w:sz w:val="24"/>
          <w:szCs w:val="24"/>
        </w:rPr>
        <w:t>, ‘</w:t>
      </w:r>
      <w:r w:rsidR="00420374" w:rsidRPr="008E66D5">
        <w:rPr>
          <w:rFonts w:ascii="Arial" w:hAnsi="Arial" w:cs="Arial"/>
          <w:i/>
          <w:iCs/>
          <w:sz w:val="24"/>
          <w:szCs w:val="24"/>
        </w:rPr>
        <w:t>Knowledge’</w:t>
      </w:r>
      <w:r w:rsidR="00420374" w:rsidRPr="008E66D5">
        <w:rPr>
          <w:rFonts w:ascii="Arial" w:hAnsi="Arial" w:cs="Arial"/>
          <w:sz w:val="24"/>
          <w:szCs w:val="24"/>
        </w:rPr>
        <w:t xml:space="preserve">, and </w:t>
      </w:r>
      <w:r w:rsidR="00420374" w:rsidRPr="008E66D5">
        <w:rPr>
          <w:rFonts w:ascii="Arial" w:hAnsi="Arial" w:cs="Arial"/>
          <w:i/>
          <w:iCs/>
          <w:sz w:val="24"/>
          <w:szCs w:val="24"/>
        </w:rPr>
        <w:t>‘Social/professional role and identity’</w:t>
      </w:r>
      <w:r w:rsidR="00420374" w:rsidRPr="008E66D5">
        <w:rPr>
          <w:rFonts w:ascii="Arial" w:hAnsi="Arial" w:cs="Arial"/>
          <w:sz w:val="24"/>
          <w:szCs w:val="24"/>
        </w:rPr>
        <w:t xml:space="preserve">) </w:t>
      </w:r>
      <w:r w:rsidR="00AF1936" w:rsidRPr="008E66D5">
        <w:rPr>
          <w:rFonts w:ascii="Arial" w:hAnsi="Arial" w:cs="Arial"/>
          <w:sz w:val="24"/>
          <w:szCs w:val="24"/>
        </w:rPr>
        <w:t xml:space="preserve">associated with factors identified in previous research as being associated with achieving decarbonisation in general practice. </w:t>
      </w:r>
      <w:r w:rsidR="00FB2D1D" w:rsidRPr="008E66D5">
        <w:rPr>
          <w:rFonts w:ascii="Arial" w:hAnsi="Arial" w:cs="Arial"/>
          <w:sz w:val="24"/>
          <w:szCs w:val="24"/>
        </w:rPr>
        <w:t xml:space="preserve">The findings demonstrate that the NPT and TDF frameworks provide useful, though incomplete, insights into factors influencing decarbonisation in general practice. High intercoder reliability </w:t>
      </w:r>
      <w:r w:rsidR="00420374" w:rsidRPr="008E66D5">
        <w:rPr>
          <w:rFonts w:ascii="Arial" w:hAnsi="Arial" w:cs="Arial"/>
          <w:sz w:val="24"/>
          <w:szCs w:val="24"/>
        </w:rPr>
        <w:t xml:space="preserve">rate (IRR) </w:t>
      </w:r>
      <w:r w:rsidR="00FB2D1D" w:rsidRPr="008E66D5">
        <w:rPr>
          <w:rFonts w:ascii="Arial" w:hAnsi="Arial" w:cs="Arial"/>
          <w:sz w:val="24"/>
          <w:szCs w:val="24"/>
        </w:rPr>
        <w:t>(73</w:t>
      </w:r>
      <w:r w:rsidR="00420374" w:rsidRPr="008E66D5">
        <w:rPr>
          <w:rFonts w:ascii="Arial" w:hAnsi="Arial" w:cs="Arial"/>
          <w:sz w:val="24"/>
          <w:szCs w:val="24"/>
        </w:rPr>
        <w:t>%</w:t>
      </w:r>
      <w:r w:rsidR="00FB2D1D" w:rsidRPr="008E66D5">
        <w:rPr>
          <w:rFonts w:ascii="Arial" w:hAnsi="Arial" w:cs="Arial"/>
          <w:sz w:val="24"/>
          <w:szCs w:val="24"/>
        </w:rPr>
        <w:t xml:space="preserve"> for NPT, 84</w:t>
      </w:r>
      <w:r w:rsidR="00420374" w:rsidRPr="008E66D5">
        <w:rPr>
          <w:rFonts w:ascii="Arial" w:hAnsi="Arial" w:cs="Arial"/>
          <w:sz w:val="24"/>
          <w:szCs w:val="24"/>
        </w:rPr>
        <w:t>%</w:t>
      </w:r>
      <w:r w:rsidR="00FB2D1D" w:rsidRPr="008E66D5">
        <w:rPr>
          <w:rFonts w:ascii="Arial" w:hAnsi="Arial" w:cs="Arial"/>
          <w:sz w:val="24"/>
          <w:szCs w:val="24"/>
        </w:rPr>
        <w:t xml:space="preserve"> for TDF) supports the consistency of the analysis, particularly for structured drivers such as financial incentives and policy support. </w:t>
      </w:r>
    </w:p>
    <w:p w14:paraId="2F84BC6D" w14:textId="0AE82AE6" w:rsidR="00632D18" w:rsidRPr="008E66D5" w:rsidRDefault="004D6DB2" w:rsidP="00D73116">
      <w:pPr>
        <w:spacing w:before="160" w:line="276" w:lineRule="auto"/>
        <w:rPr>
          <w:rFonts w:ascii="Arial" w:hAnsi="Arial" w:cs="Arial"/>
          <w:b/>
          <w:bCs/>
          <w:sz w:val="24"/>
          <w:szCs w:val="24"/>
        </w:rPr>
      </w:pPr>
      <w:r w:rsidRPr="008E66D5">
        <w:rPr>
          <w:rFonts w:ascii="Arial" w:hAnsi="Arial" w:cs="Arial"/>
          <w:b/>
          <w:bCs/>
          <w:sz w:val="24"/>
          <w:szCs w:val="24"/>
        </w:rPr>
        <w:t>Conclusions</w:t>
      </w:r>
      <w:r w:rsidR="00953D55" w:rsidRPr="008E66D5">
        <w:rPr>
          <w:rFonts w:ascii="Arial" w:hAnsi="Arial" w:cs="Arial"/>
          <w:b/>
          <w:bCs/>
          <w:sz w:val="24"/>
          <w:szCs w:val="24"/>
        </w:rPr>
        <w:t xml:space="preserve">: </w:t>
      </w:r>
      <w:r w:rsidR="00AF1936" w:rsidRPr="008E66D5">
        <w:rPr>
          <w:rFonts w:ascii="Arial" w:hAnsi="Arial" w:cs="Arial"/>
          <w:sz w:val="24"/>
          <w:szCs w:val="24"/>
        </w:rPr>
        <w:t xml:space="preserve">The findings suggest that the NPT and TDF </w:t>
      </w:r>
      <w:r w:rsidR="00533E9D" w:rsidRPr="008E66D5">
        <w:rPr>
          <w:rFonts w:ascii="Arial" w:hAnsi="Arial" w:cs="Arial"/>
          <w:sz w:val="24"/>
          <w:szCs w:val="24"/>
        </w:rPr>
        <w:t xml:space="preserve">are </w:t>
      </w:r>
      <w:r w:rsidR="00037E33" w:rsidRPr="008E66D5">
        <w:rPr>
          <w:rFonts w:ascii="Arial" w:hAnsi="Arial" w:cs="Arial"/>
          <w:sz w:val="24"/>
          <w:szCs w:val="24"/>
        </w:rPr>
        <w:t xml:space="preserve">useful </w:t>
      </w:r>
      <w:r w:rsidR="00AF1936" w:rsidRPr="008E66D5">
        <w:rPr>
          <w:rFonts w:ascii="Arial" w:hAnsi="Arial" w:cs="Arial"/>
          <w:sz w:val="24"/>
          <w:szCs w:val="24"/>
        </w:rPr>
        <w:t>to understand</w:t>
      </w:r>
      <w:r w:rsidR="003A340C" w:rsidRPr="008E66D5">
        <w:rPr>
          <w:rFonts w:ascii="Arial" w:hAnsi="Arial" w:cs="Arial"/>
          <w:sz w:val="24"/>
          <w:szCs w:val="24"/>
        </w:rPr>
        <w:t>ing</w:t>
      </w:r>
      <w:r w:rsidR="00AF1936" w:rsidRPr="008E66D5">
        <w:rPr>
          <w:rFonts w:ascii="Arial" w:hAnsi="Arial" w:cs="Arial"/>
          <w:sz w:val="24"/>
          <w:szCs w:val="24"/>
        </w:rPr>
        <w:t xml:space="preserve"> the factors affecting implementation of decarbonisation in general practice</w:t>
      </w:r>
      <w:r w:rsidR="003A340C" w:rsidRPr="008E66D5">
        <w:rPr>
          <w:rFonts w:ascii="Arial" w:hAnsi="Arial" w:cs="Arial"/>
          <w:sz w:val="24"/>
          <w:szCs w:val="24"/>
        </w:rPr>
        <w:t xml:space="preserve">, </w:t>
      </w:r>
      <w:proofErr w:type="gramStart"/>
      <w:r w:rsidR="003A340C" w:rsidRPr="008E66D5">
        <w:rPr>
          <w:rFonts w:ascii="Arial" w:hAnsi="Arial" w:cs="Arial"/>
          <w:sz w:val="24"/>
          <w:szCs w:val="24"/>
        </w:rPr>
        <w:t>and also</w:t>
      </w:r>
      <w:proofErr w:type="gramEnd"/>
      <w:r w:rsidR="003A340C" w:rsidRPr="008E66D5">
        <w:rPr>
          <w:rFonts w:ascii="Arial" w:hAnsi="Arial" w:cs="Arial"/>
          <w:sz w:val="24"/>
          <w:szCs w:val="24"/>
        </w:rPr>
        <w:t xml:space="preserve"> for identifying evidence gaps</w:t>
      </w:r>
      <w:r w:rsidR="00533E9D" w:rsidRPr="008E66D5">
        <w:rPr>
          <w:rFonts w:ascii="Arial" w:hAnsi="Arial" w:cs="Arial"/>
          <w:sz w:val="24"/>
          <w:szCs w:val="24"/>
        </w:rPr>
        <w:t>.  S</w:t>
      </w:r>
      <w:r w:rsidR="00812F37" w:rsidRPr="008E66D5">
        <w:rPr>
          <w:rFonts w:ascii="Arial" w:hAnsi="Arial" w:cs="Arial"/>
          <w:sz w:val="24"/>
          <w:szCs w:val="24"/>
        </w:rPr>
        <w:t>uch factors require more attention when</w:t>
      </w:r>
      <w:r w:rsidR="00037E33" w:rsidRPr="008E66D5">
        <w:rPr>
          <w:rFonts w:ascii="Arial" w:hAnsi="Arial" w:cs="Arial"/>
          <w:sz w:val="24"/>
          <w:szCs w:val="24"/>
        </w:rPr>
        <w:t xml:space="preserve"> developing evidence-based strategies for promoting decarbonisation, something that future research could evaluate.</w:t>
      </w:r>
      <w:r w:rsidR="7FAAEBF1" w:rsidRPr="008E66D5">
        <w:rPr>
          <w:rFonts w:ascii="Arial" w:hAnsi="Arial" w:cs="Arial"/>
          <w:sz w:val="24"/>
          <w:szCs w:val="24"/>
        </w:rPr>
        <w:t xml:space="preserve"> </w:t>
      </w:r>
    </w:p>
    <w:p w14:paraId="59E67E2E" w14:textId="6C747A1D" w:rsidR="00632D18" w:rsidRPr="008E66D5" w:rsidRDefault="00220407" w:rsidP="00D73116">
      <w:pPr>
        <w:spacing w:before="160" w:line="276" w:lineRule="auto"/>
        <w:rPr>
          <w:rFonts w:ascii="Arial" w:hAnsi="Arial" w:cs="Arial"/>
          <w:sz w:val="24"/>
          <w:szCs w:val="24"/>
        </w:rPr>
      </w:pPr>
      <w:r w:rsidRPr="008E66D5">
        <w:rPr>
          <w:rFonts w:ascii="Arial" w:hAnsi="Arial" w:cs="Arial"/>
          <w:b/>
          <w:bCs/>
          <w:sz w:val="24"/>
          <w:szCs w:val="24"/>
        </w:rPr>
        <w:t>Keywords:</w:t>
      </w:r>
      <w:r w:rsidRPr="008E66D5">
        <w:rPr>
          <w:rFonts w:ascii="Arial" w:hAnsi="Arial" w:cs="Arial"/>
          <w:sz w:val="24"/>
          <w:szCs w:val="24"/>
        </w:rPr>
        <w:t xml:space="preserve"> </w:t>
      </w:r>
      <w:r w:rsidR="005838E4" w:rsidRPr="008E66D5">
        <w:rPr>
          <w:rFonts w:ascii="Arial" w:hAnsi="Arial" w:cs="Arial"/>
          <w:sz w:val="24"/>
          <w:szCs w:val="24"/>
        </w:rPr>
        <w:t xml:space="preserve">Decarbonisation; sustainability; net zero healthcare; </w:t>
      </w:r>
      <w:r w:rsidRPr="008E66D5">
        <w:rPr>
          <w:rFonts w:ascii="Arial" w:hAnsi="Arial" w:cs="Arial"/>
          <w:sz w:val="24"/>
          <w:szCs w:val="24"/>
        </w:rPr>
        <w:t xml:space="preserve">behaviour change; emissions reduction; climate </w:t>
      </w:r>
      <w:r w:rsidR="005838E4" w:rsidRPr="008E66D5">
        <w:rPr>
          <w:rFonts w:ascii="Arial" w:hAnsi="Arial" w:cs="Arial"/>
          <w:sz w:val="24"/>
          <w:szCs w:val="24"/>
        </w:rPr>
        <w:t>action</w:t>
      </w:r>
      <w:r w:rsidRPr="008E66D5">
        <w:rPr>
          <w:rFonts w:ascii="Arial" w:hAnsi="Arial" w:cs="Arial"/>
          <w:sz w:val="24"/>
          <w:szCs w:val="24"/>
        </w:rPr>
        <w:t xml:space="preserve">; </w:t>
      </w:r>
      <w:r w:rsidR="004D6DB2" w:rsidRPr="008E66D5">
        <w:rPr>
          <w:rFonts w:ascii="Arial" w:hAnsi="Arial" w:cs="Arial"/>
          <w:sz w:val="24"/>
          <w:szCs w:val="24"/>
        </w:rPr>
        <w:t xml:space="preserve">environmental </w:t>
      </w:r>
      <w:r w:rsidR="005838E4" w:rsidRPr="008E66D5">
        <w:rPr>
          <w:rFonts w:ascii="Arial" w:hAnsi="Arial" w:cs="Arial"/>
          <w:sz w:val="24"/>
          <w:szCs w:val="24"/>
        </w:rPr>
        <w:t>sustainability</w:t>
      </w:r>
      <w:r w:rsidR="004D6DB2" w:rsidRPr="008E66D5">
        <w:rPr>
          <w:rFonts w:ascii="Arial" w:hAnsi="Arial" w:cs="Arial"/>
          <w:sz w:val="24"/>
          <w:szCs w:val="24"/>
        </w:rPr>
        <w:t>; planetary health</w:t>
      </w:r>
    </w:p>
    <w:tbl>
      <w:tblPr>
        <w:tblStyle w:val="TableGrid"/>
        <w:tblW w:w="0" w:type="auto"/>
        <w:tblLook w:val="04A0" w:firstRow="1" w:lastRow="0" w:firstColumn="1" w:lastColumn="0" w:noHBand="0" w:noVBand="1"/>
      </w:tblPr>
      <w:tblGrid>
        <w:gridCol w:w="9016"/>
      </w:tblGrid>
      <w:tr w:rsidR="0012460B" w:rsidRPr="008E66D5" w14:paraId="61CF639E" w14:textId="77777777" w:rsidTr="0012460B">
        <w:tc>
          <w:tcPr>
            <w:tcW w:w="9016" w:type="dxa"/>
          </w:tcPr>
          <w:p w14:paraId="5A1652E1" w14:textId="77777777" w:rsidR="0012460B" w:rsidRPr="008E66D5" w:rsidRDefault="0012460B" w:rsidP="00D73116">
            <w:pPr>
              <w:spacing w:before="160" w:line="276" w:lineRule="auto"/>
              <w:rPr>
                <w:rFonts w:ascii="Arial" w:hAnsi="Arial" w:cs="Arial"/>
                <w:b/>
                <w:bCs/>
                <w:sz w:val="28"/>
                <w:szCs w:val="28"/>
              </w:rPr>
            </w:pPr>
            <w:r w:rsidRPr="008E66D5">
              <w:rPr>
                <w:rFonts w:ascii="Arial" w:hAnsi="Arial" w:cs="Arial"/>
                <w:b/>
                <w:bCs/>
                <w:sz w:val="28"/>
                <w:szCs w:val="28"/>
              </w:rPr>
              <w:t>Key messages</w:t>
            </w:r>
          </w:p>
          <w:p w14:paraId="0DE9C407" w14:textId="65A8D599" w:rsidR="0012460B" w:rsidRPr="008E66D5" w:rsidRDefault="0012460B" w:rsidP="0012460B">
            <w:pPr>
              <w:pStyle w:val="ListParagraph"/>
              <w:numPr>
                <w:ilvl w:val="0"/>
                <w:numId w:val="3"/>
              </w:numPr>
              <w:spacing w:before="160" w:line="276" w:lineRule="auto"/>
              <w:ind w:left="173" w:hanging="219"/>
              <w:rPr>
                <w:rFonts w:ascii="Arial" w:hAnsi="Arial" w:cs="Arial"/>
                <w:sz w:val="24"/>
                <w:szCs w:val="24"/>
              </w:rPr>
            </w:pPr>
            <w:r w:rsidRPr="008E66D5">
              <w:rPr>
                <w:rFonts w:ascii="Arial" w:hAnsi="Arial" w:cs="Arial"/>
                <w:sz w:val="24"/>
                <w:szCs w:val="24"/>
              </w:rPr>
              <w:t>The NPT and TDF frameworks effectively capture key factors in decarbonisation.</w:t>
            </w:r>
          </w:p>
          <w:p w14:paraId="1D12F8A8" w14:textId="6C0D2D1F" w:rsidR="0012460B" w:rsidRPr="008E66D5" w:rsidRDefault="0012460B" w:rsidP="0012460B">
            <w:pPr>
              <w:pStyle w:val="ListParagraph"/>
              <w:numPr>
                <w:ilvl w:val="0"/>
                <w:numId w:val="3"/>
              </w:numPr>
              <w:spacing w:before="160" w:line="276" w:lineRule="auto"/>
              <w:ind w:left="173" w:hanging="219"/>
              <w:rPr>
                <w:rFonts w:ascii="Arial" w:hAnsi="Arial" w:cs="Arial"/>
                <w:sz w:val="24"/>
                <w:szCs w:val="24"/>
              </w:rPr>
            </w:pPr>
            <w:r w:rsidRPr="008E66D5">
              <w:rPr>
                <w:rFonts w:ascii="Arial" w:hAnsi="Arial" w:cs="Arial"/>
                <w:sz w:val="24"/>
                <w:szCs w:val="24"/>
              </w:rPr>
              <w:t>High intercoder reliability confirms their consistency and suitability.</w:t>
            </w:r>
          </w:p>
          <w:p w14:paraId="7574A630" w14:textId="409B7987" w:rsidR="0012460B" w:rsidRPr="008E66D5" w:rsidRDefault="0012460B" w:rsidP="0012460B">
            <w:pPr>
              <w:pStyle w:val="ListParagraph"/>
              <w:numPr>
                <w:ilvl w:val="0"/>
                <w:numId w:val="3"/>
              </w:numPr>
              <w:spacing w:before="160" w:line="276" w:lineRule="auto"/>
              <w:ind w:left="173" w:hanging="219"/>
              <w:rPr>
                <w:rFonts w:ascii="Arial" w:hAnsi="Arial" w:cs="Arial"/>
                <w:sz w:val="24"/>
                <w:szCs w:val="24"/>
              </w:rPr>
            </w:pPr>
            <w:r w:rsidRPr="008E66D5">
              <w:rPr>
                <w:rFonts w:ascii="Arial" w:hAnsi="Arial" w:cs="Arial"/>
                <w:sz w:val="24"/>
                <w:szCs w:val="24"/>
              </w:rPr>
              <w:t>Variability in interpreting subjective factors shows need for refinement.</w:t>
            </w:r>
          </w:p>
          <w:p w14:paraId="20B9ADDE" w14:textId="77777777" w:rsidR="0012460B" w:rsidRPr="008E66D5" w:rsidRDefault="0012460B" w:rsidP="0012460B">
            <w:pPr>
              <w:pStyle w:val="ListParagraph"/>
              <w:numPr>
                <w:ilvl w:val="0"/>
                <w:numId w:val="3"/>
              </w:numPr>
              <w:spacing w:before="160" w:line="276" w:lineRule="auto"/>
              <w:ind w:left="173" w:hanging="219"/>
              <w:rPr>
                <w:rFonts w:ascii="Arial" w:hAnsi="Arial" w:cs="Arial"/>
                <w:sz w:val="24"/>
                <w:szCs w:val="24"/>
              </w:rPr>
            </w:pPr>
            <w:r w:rsidRPr="008E66D5">
              <w:rPr>
                <w:rFonts w:ascii="Arial" w:hAnsi="Arial" w:cs="Arial"/>
                <w:sz w:val="24"/>
                <w:szCs w:val="24"/>
              </w:rPr>
              <w:t>Literature gaps reveal a lack of research on emotional and motivational aspects.</w:t>
            </w:r>
          </w:p>
          <w:p w14:paraId="7C86FE1C" w14:textId="7570F256" w:rsidR="0012460B" w:rsidRPr="008E66D5" w:rsidRDefault="0012460B" w:rsidP="0012460B">
            <w:pPr>
              <w:pStyle w:val="ListParagraph"/>
              <w:numPr>
                <w:ilvl w:val="0"/>
                <w:numId w:val="3"/>
              </w:numPr>
              <w:spacing w:before="160" w:line="276" w:lineRule="auto"/>
              <w:ind w:left="173" w:hanging="219"/>
              <w:rPr>
                <w:rFonts w:ascii="Arial" w:hAnsi="Arial" w:cs="Arial"/>
                <w:sz w:val="24"/>
                <w:szCs w:val="24"/>
              </w:rPr>
            </w:pPr>
            <w:r w:rsidRPr="008E66D5">
              <w:rPr>
                <w:rFonts w:ascii="Arial" w:hAnsi="Arial" w:cs="Arial"/>
                <w:sz w:val="24"/>
                <w:szCs w:val="24"/>
              </w:rPr>
              <w:t>The multidisciplinary approach strengths the study’s reliability.</w:t>
            </w:r>
          </w:p>
        </w:tc>
      </w:tr>
    </w:tbl>
    <w:p w14:paraId="3461FFEC" w14:textId="50245126" w:rsidR="00D70B8E" w:rsidRPr="008E66D5" w:rsidRDefault="00D70B8E" w:rsidP="00D73116">
      <w:pPr>
        <w:spacing w:before="160" w:line="276" w:lineRule="auto"/>
        <w:rPr>
          <w:rFonts w:ascii="Arial" w:hAnsi="Arial" w:cs="Arial"/>
          <w:b/>
          <w:bCs/>
          <w:sz w:val="28"/>
          <w:szCs w:val="28"/>
        </w:rPr>
      </w:pPr>
      <w:r w:rsidRPr="008E66D5">
        <w:rPr>
          <w:rFonts w:ascii="Arial" w:hAnsi="Arial" w:cs="Arial"/>
          <w:b/>
          <w:bCs/>
          <w:sz w:val="28"/>
          <w:szCs w:val="28"/>
        </w:rPr>
        <w:lastRenderedPageBreak/>
        <w:t>Background</w:t>
      </w:r>
    </w:p>
    <w:p w14:paraId="547C89CE" w14:textId="27CD7375" w:rsidR="00E51B46" w:rsidRPr="008E66D5" w:rsidRDefault="014DE19F" w:rsidP="00D73116">
      <w:pPr>
        <w:spacing w:before="160" w:line="276" w:lineRule="auto"/>
        <w:rPr>
          <w:rFonts w:ascii="Arial" w:hAnsi="Arial" w:cs="Arial"/>
          <w:sz w:val="24"/>
          <w:szCs w:val="24"/>
        </w:rPr>
      </w:pPr>
      <w:r w:rsidRPr="008E66D5">
        <w:rPr>
          <w:rFonts w:ascii="Arial" w:hAnsi="Arial" w:cs="Arial"/>
          <w:sz w:val="24"/>
          <w:szCs w:val="24"/>
        </w:rPr>
        <w:t xml:space="preserve">Climate change poses a </w:t>
      </w:r>
      <w:r w:rsidR="31631826" w:rsidRPr="008E66D5">
        <w:rPr>
          <w:rFonts w:ascii="Arial" w:hAnsi="Arial" w:cs="Arial"/>
          <w:sz w:val="24"/>
          <w:szCs w:val="24"/>
        </w:rPr>
        <w:t>profound</w:t>
      </w:r>
      <w:r w:rsidRPr="008E66D5">
        <w:rPr>
          <w:rFonts w:ascii="Arial" w:hAnsi="Arial" w:cs="Arial"/>
          <w:sz w:val="24"/>
          <w:szCs w:val="24"/>
        </w:rPr>
        <w:t xml:space="preserve"> threat to global health</w:t>
      </w:r>
      <w:r w:rsidR="38A70AE2" w:rsidRPr="008E66D5">
        <w:rPr>
          <w:rFonts w:ascii="Arial" w:hAnsi="Arial" w:cs="Arial"/>
          <w:sz w:val="24"/>
          <w:szCs w:val="24"/>
        </w:rPr>
        <w:t xml:space="preserve"> </w:t>
      </w:r>
      <w:r w:rsidR="31631826" w:rsidRPr="008E66D5">
        <w:rPr>
          <w:rFonts w:ascii="Arial" w:hAnsi="Arial" w:cs="Arial"/>
          <w:sz w:val="24"/>
          <w:szCs w:val="24"/>
        </w:rPr>
        <w:t xml:space="preserve">with far-reaching implications for disease patterns, health systems, and societal well-being </w:t>
      </w:r>
      <w:r w:rsidR="00B27577" w:rsidRPr="008E66D5">
        <w:rPr>
          <w:rFonts w:ascii="Arial" w:hAnsi="Arial" w:cs="Arial"/>
          <w:sz w:val="24"/>
          <w:szCs w:val="24"/>
          <w:vertAlign w:val="superscript"/>
        </w:rPr>
        <w:t>1-6</w:t>
      </w:r>
      <w:r w:rsidR="31631826" w:rsidRPr="008E66D5">
        <w:rPr>
          <w:rFonts w:ascii="Arial" w:hAnsi="Arial" w:cs="Arial"/>
          <w:sz w:val="24"/>
          <w:szCs w:val="24"/>
        </w:rPr>
        <w:t xml:space="preserve">. Recognising this, </w:t>
      </w:r>
      <w:r w:rsidRPr="008E66D5">
        <w:rPr>
          <w:rFonts w:ascii="Arial" w:hAnsi="Arial" w:cs="Arial"/>
          <w:sz w:val="24"/>
          <w:szCs w:val="24"/>
        </w:rPr>
        <w:t xml:space="preserve">healthcare systems </w:t>
      </w:r>
      <w:r w:rsidR="31631826" w:rsidRPr="008E66D5">
        <w:rPr>
          <w:rFonts w:ascii="Arial" w:hAnsi="Arial" w:cs="Arial"/>
          <w:sz w:val="24"/>
          <w:szCs w:val="24"/>
        </w:rPr>
        <w:t xml:space="preserve">worldwide are under increasing pressure </w:t>
      </w:r>
      <w:r w:rsidRPr="008E66D5">
        <w:rPr>
          <w:rFonts w:ascii="Arial" w:hAnsi="Arial" w:cs="Arial"/>
          <w:sz w:val="24"/>
          <w:szCs w:val="24"/>
        </w:rPr>
        <w:t>to reduce their environmental impact</w:t>
      </w:r>
      <w:r w:rsidR="38A70AE2" w:rsidRPr="008E66D5">
        <w:rPr>
          <w:rFonts w:ascii="Arial" w:hAnsi="Arial" w:cs="Arial"/>
          <w:sz w:val="24"/>
          <w:szCs w:val="24"/>
        </w:rPr>
        <w:t xml:space="preserve"> </w:t>
      </w:r>
      <w:r w:rsidR="00BA202D" w:rsidRPr="008E66D5">
        <w:rPr>
          <w:rFonts w:ascii="Arial" w:hAnsi="Arial" w:cs="Arial"/>
          <w:sz w:val="24"/>
          <w:szCs w:val="24"/>
          <w:vertAlign w:val="superscript"/>
        </w:rPr>
        <w:t>7-17</w:t>
      </w:r>
      <w:r w:rsidRPr="008E66D5">
        <w:rPr>
          <w:rFonts w:ascii="Arial" w:hAnsi="Arial" w:cs="Arial"/>
          <w:sz w:val="24"/>
          <w:szCs w:val="24"/>
        </w:rPr>
        <w:t xml:space="preserve">. </w:t>
      </w:r>
      <w:r w:rsidR="124C0F1B" w:rsidRPr="008E66D5">
        <w:rPr>
          <w:rFonts w:ascii="Arial" w:hAnsi="Arial" w:cs="Arial"/>
          <w:sz w:val="24"/>
          <w:szCs w:val="24"/>
        </w:rPr>
        <w:t>In the United Kingdom</w:t>
      </w:r>
      <w:r w:rsidR="004946B2" w:rsidRPr="008E66D5">
        <w:rPr>
          <w:rFonts w:ascii="Arial" w:hAnsi="Arial" w:cs="Arial"/>
          <w:sz w:val="24"/>
          <w:szCs w:val="24"/>
        </w:rPr>
        <w:t xml:space="preserve"> (UK)</w:t>
      </w:r>
      <w:r w:rsidR="124C0F1B" w:rsidRPr="008E66D5">
        <w:rPr>
          <w:rFonts w:ascii="Arial" w:hAnsi="Arial" w:cs="Arial"/>
          <w:sz w:val="24"/>
          <w:szCs w:val="24"/>
        </w:rPr>
        <w:t xml:space="preserve">, </w:t>
      </w:r>
      <w:r w:rsidR="31631826" w:rsidRPr="008E66D5">
        <w:rPr>
          <w:rFonts w:ascii="Arial" w:hAnsi="Arial" w:cs="Arial"/>
          <w:sz w:val="24"/>
          <w:szCs w:val="24"/>
        </w:rPr>
        <w:t>the National Health Service (NHS) has committed to achieving net zero emissions by 20</w:t>
      </w:r>
      <w:r w:rsidR="241CD553" w:rsidRPr="008E66D5">
        <w:rPr>
          <w:rFonts w:ascii="Arial" w:hAnsi="Arial" w:cs="Arial"/>
          <w:sz w:val="24"/>
          <w:szCs w:val="24"/>
        </w:rPr>
        <w:t>40</w:t>
      </w:r>
      <w:r w:rsidR="00BA202D" w:rsidRPr="008E66D5">
        <w:rPr>
          <w:rFonts w:ascii="Arial" w:hAnsi="Arial" w:cs="Arial"/>
          <w:sz w:val="24"/>
          <w:szCs w:val="24"/>
        </w:rPr>
        <w:t xml:space="preserve"> </w:t>
      </w:r>
      <w:r w:rsidR="00BA202D" w:rsidRPr="008E66D5">
        <w:rPr>
          <w:rFonts w:ascii="Arial" w:hAnsi="Arial" w:cs="Arial"/>
          <w:sz w:val="24"/>
          <w:szCs w:val="24"/>
          <w:vertAlign w:val="superscript"/>
        </w:rPr>
        <w:t>18</w:t>
      </w:r>
      <w:r w:rsidR="31631826" w:rsidRPr="008E66D5">
        <w:rPr>
          <w:rFonts w:ascii="Arial" w:hAnsi="Arial" w:cs="Arial"/>
          <w:sz w:val="24"/>
          <w:szCs w:val="24"/>
        </w:rPr>
        <w:t xml:space="preserve">, placing </w:t>
      </w:r>
      <w:r w:rsidR="124C0F1B" w:rsidRPr="008E66D5">
        <w:rPr>
          <w:rFonts w:ascii="Arial" w:hAnsi="Arial" w:cs="Arial"/>
          <w:sz w:val="24"/>
          <w:szCs w:val="24"/>
        </w:rPr>
        <w:t>g</w:t>
      </w:r>
      <w:r w:rsidRPr="008E66D5">
        <w:rPr>
          <w:rFonts w:ascii="Arial" w:hAnsi="Arial" w:cs="Arial"/>
          <w:sz w:val="24"/>
          <w:szCs w:val="24"/>
        </w:rPr>
        <w:t xml:space="preserve">eneral practice, </w:t>
      </w:r>
      <w:r w:rsidR="31631826" w:rsidRPr="008E66D5">
        <w:rPr>
          <w:rFonts w:ascii="Arial" w:hAnsi="Arial" w:cs="Arial"/>
          <w:sz w:val="24"/>
          <w:szCs w:val="24"/>
        </w:rPr>
        <w:t>a cornerstone of primary healthcare, at the forefront of decarbonisation efforts</w:t>
      </w:r>
      <w:r w:rsidR="00F66EA1" w:rsidRPr="008E66D5">
        <w:rPr>
          <w:rFonts w:ascii="Arial" w:hAnsi="Arial" w:cs="Arial"/>
          <w:sz w:val="24"/>
          <w:szCs w:val="24"/>
        </w:rPr>
        <w:t xml:space="preserve"> </w:t>
      </w:r>
      <w:r w:rsidR="00F66EA1" w:rsidRPr="008E66D5">
        <w:rPr>
          <w:rFonts w:ascii="Arial" w:hAnsi="Arial" w:cs="Arial"/>
          <w:sz w:val="24"/>
          <w:szCs w:val="24"/>
          <w:vertAlign w:val="superscript"/>
        </w:rPr>
        <w:t>19-21</w:t>
      </w:r>
      <w:r w:rsidR="31631826" w:rsidRPr="008E66D5">
        <w:rPr>
          <w:rFonts w:ascii="Arial" w:hAnsi="Arial" w:cs="Arial"/>
          <w:sz w:val="24"/>
          <w:szCs w:val="24"/>
        </w:rPr>
        <w:t xml:space="preserve">. Given its scale and accessibility, general practice </w:t>
      </w:r>
      <w:r w:rsidR="00437C49" w:rsidRPr="008E66D5">
        <w:rPr>
          <w:rFonts w:ascii="Arial" w:hAnsi="Arial" w:cs="Arial"/>
          <w:sz w:val="24"/>
          <w:szCs w:val="24"/>
        </w:rPr>
        <w:t xml:space="preserve">has potential </w:t>
      </w:r>
      <w:r w:rsidR="31631826" w:rsidRPr="008E66D5">
        <w:rPr>
          <w:rFonts w:ascii="Arial" w:hAnsi="Arial" w:cs="Arial"/>
          <w:sz w:val="24"/>
          <w:szCs w:val="24"/>
        </w:rPr>
        <w:t>to drive meaningful environmental change while delivering critical health services</w:t>
      </w:r>
      <w:r w:rsidR="00F66EA1" w:rsidRPr="008E66D5">
        <w:rPr>
          <w:rFonts w:ascii="Arial" w:hAnsi="Arial" w:cs="Arial"/>
          <w:sz w:val="24"/>
          <w:szCs w:val="24"/>
        </w:rPr>
        <w:t xml:space="preserve"> </w:t>
      </w:r>
      <w:r w:rsidR="00F66EA1" w:rsidRPr="008E66D5">
        <w:rPr>
          <w:rFonts w:ascii="Arial" w:hAnsi="Arial" w:cs="Arial"/>
          <w:sz w:val="24"/>
          <w:szCs w:val="24"/>
          <w:vertAlign w:val="superscript"/>
        </w:rPr>
        <w:t>22,23</w:t>
      </w:r>
      <w:r w:rsidR="31631826" w:rsidRPr="008E66D5">
        <w:rPr>
          <w:rFonts w:ascii="Arial" w:hAnsi="Arial" w:cs="Arial"/>
          <w:sz w:val="24"/>
          <w:szCs w:val="24"/>
        </w:rPr>
        <w:t>.</w:t>
      </w:r>
    </w:p>
    <w:p w14:paraId="12ED78B2" w14:textId="77777777" w:rsidR="007A1B82" w:rsidRDefault="38A70AE2" w:rsidP="00D73116">
      <w:pPr>
        <w:spacing w:before="160" w:line="276" w:lineRule="auto"/>
        <w:rPr>
          <w:rFonts w:ascii="Arial" w:hAnsi="Arial" w:cs="Arial"/>
          <w:sz w:val="24"/>
          <w:szCs w:val="24"/>
        </w:rPr>
      </w:pPr>
      <w:r w:rsidRPr="008E66D5">
        <w:rPr>
          <w:rFonts w:ascii="Arial" w:hAnsi="Arial" w:cs="Arial"/>
          <w:sz w:val="24"/>
          <w:szCs w:val="24"/>
        </w:rPr>
        <w:t>Understanding</w:t>
      </w:r>
      <w:r w:rsidR="014DE19F" w:rsidRPr="008E66D5">
        <w:rPr>
          <w:rFonts w:ascii="Arial" w:hAnsi="Arial" w:cs="Arial"/>
          <w:sz w:val="24"/>
          <w:szCs w:val="24"/>
        </w:rPr>
        <w:t xml:space="preserve"> the factors that influence the implementation of decarboni</w:t>
      </w:r>
      <w:r w:rsidRPr="008E66D5">
        <w:rPr>
          <w:rFonts w:ascii="Arial" w:hAnsi="Arial" w:cs="Arial"/>
          <w:sz w:val="24"/>
          <w:szCs w:val="24"/>
        </w:rPr>
        <w:t>s</w:t>
      </w:r>
      <w:r w:rsidR="014DE19F" w:rsidRPr="008E66D5">
        <w:rPr>
          <w:rFonts w:ascii="Arial" w:hAnsi="Arial" w:cs="Arial"/>
          <w:sz w:val="24"/>
          <w:szCs w:val="24"/>
        </w:rPr>
        <w:t xml:space="preserve">ation actions within </w:t>
      </w:r>
      <w:r w:rsidR="31631826" w:rsidRPr="008E66D5">
        <w:rPr>
          <w:rFonts w:ascii="Arial" w:hAnsi="Arial" w:cs="Arial"/>
          <w:sz w:val="24"/>
          <w:szCs w:val="24"/>
        </w:rPr>
        <w:t>general practice</w:t>
      </w:r>
      <w:r w:rsidR="014DE19F" w:rsidRPr="008E66D5">
        <w:rPr>
          <w:rFonts w:ascii="Arial" w:hAnsi="Arial" w:cs="Arial"/>
          <w:sz w:val="24"/>
          <w:szCs w:val="24"/>
        </w:rPr>
        <w:t xml:space="preserve"> is crucial for developing effective strategies to mitigate climate change and its health consequences</w:t>
      </w:r>
      <w:r w:rsidRPr="008E66D5">
        <w:rPr>
          <w:rFonts w:ascii="Arial" w:hAnsi="Arial" w:cs="Arial"/>
          <w:sz w:val="24"/>
          <w:szCs w:val="24"/>
        </w:rPr>
        <w:t xml:space="preserve"> </w:t>
      </w:r>
      <w:r w:rsidR="00F66EA1" w:rsidRPr="008E66D5">
        <w:rPr>
          <w:rFonts w:ascii="Arial" w:hAnsi="Arial" w:cs="Arial"/>
          <w:sz w:val="24"/>
          <w:szCs w:val="24"/>
          <w:vertAlign w:val="superscript"/>
        </w:rPr>
        <w:t>24</w:t>
      </w:r>
      <w:r w:rsidR="014DE19F" w:rsidRPr="008E66D5">
        <w:rPr>
          <w:rFonts w:ascii="Arial" w:hAnsi="Arial" w:cs="Arial"/>
          <w:sz w:val="24"/>
          <w:szCs w:val="24"/>
        </w:rPr>
        <w:t xml:space="preserve">. </w:t>
      </w:r>
      <w:r w:rsidR="004946B2" w:rsidRPr="008E66D5">
        <w:rPr>
          <w:rFonts w:ascii="Arial" w:hAnsi="Arial" w:cs="Arial"/>
          <w:sz w:val="24"/>
          <w:szCs w:val="24"/>
        </w:rPr>
        <w:t>There are likely to be m</w:t>
      </w:r>
      <w:r w:rsidR="31631826" w:rsidRPr="008E66D5">
        <w:rPr>
          <w:rFonts w:ascii="Arial" w:hAnsi="Arial" w:cs="Arial"/>
          <w:sz w:val="24"/>
          <w:szCs w:val="24"/>
        </w:rPr>
        <w:t>ultifaceted challenges,</w:t>
      </w:r>
      <w:r w:rsidR="014DE19F" w:rsidRPr="008E66D5">
        <w:rPr>
          <w:rFonts w:ascii="Arial" w:hAnsi="Arial" w:cs="Arial"/>
          <w:sz w:val="24"/>
          <w:szCs w:val="24"/>
        </w:rPr>
        <w:t xml:space="preserve"> </w:t>
      </w:r>
      <w:r w:rsidR="31631826" w:rsidRPr="008E66D5">
        <w:rPr>
          <w:rFonts w:ascii="Arial" w:hAnsi="Arial" w:cs="Arial"/>
          <w:sz w:val="24"/>
          <w:szCs w:val="24"/>
        </w:rPr>
        <w:t>including structural, organisational, and individual-level barriers, as well as patient-related dynamics</w:t>
      </w:r>
      <w:r w:rsidRPr="008E66D5">
        <w:rPr>
          <w:rFonts w:ascii="Arial" w:hAnsi="Arial" w:cs="Arial"/>
          <w:sz w:val="24"/>
          <w:szCs w:val="24"/>
        </w:rPr>
        <w:t xml:space="preserve"> </w:t>
      </w:r>
      <w:r w:rsidR="00F66EA1" w:rsidRPr="008E66D5">
        <w:rPr>
          <w:rFonts w:ascii="Arial" w:hAnsi="Arial" w:cs="Arial"/>
          <w:sz w:val="24"/>
          <w:szCs w:val="24"/>
          <w:vertAlign w:val="superscript"/>
        </w:rPr>
        <w:t>25-27</w:t>
      </w:r>
      <w:r w:rsidR="014DE19F" w:rsidRPr="008E66D5">
        <w:rPr>
          <w:rFonts w:ascii="Arial" w:hAnsi="Arial" w:cs="Arial"/>
          <w:sz w:val="24"/>
          <w:szCs w:val="24"/>
        </w:rPr>
        <w:t>.</w:t>
      </w:r>
      <w:r w:rsidR="241CD553" w:rsidRPr="008E66D5">
        <w:rPr>
          <w:rFonts w:ascii="Arial" w:hAnsi="Arial" w:cs="Arial"/>
          <w:sz w:val="24"/>
          <w:szCs w:val="24"/>
        </w:rPr>
        <w:t xml:space="preserve"> </w:t>
      </w:r>
      <w:r w:rsidR="004946B2" w:rsidRPr="008E66D5">
        <w:rPr>
          <w:rFonts w:ascii="Arial" w:hAnsi="Arial" w:cs="Arial"/>
          <w:sz w:val="24"/>
          <w:szCs w:val="24"/>
        </w:rPr>
        <w:t>E</w:t>
      </w:r>
      <w:r w:rsidR="5CAE8DCD" w:rsidRPr="008E66D5">
        <w:rPr>
          <w:rFonts w:ascii="Arial" w:hAnsi="Arial" w:cs="Arial"/>
          <w:sz w:val="24"/>
          <w:szCs w:val="24"/>
        </w:rPr>
        <w:t xml:space="preserve">nvironmental goals </w:t>
      </w:r>
      <w:r w:rsidR="004946B2" w:rsidRPr="008E66D5">
        <w:rPr>
          <w:rFonts w:ascii="Arial" w:hAnsi="Arial" w:cs="Arial"/>
          <w:sz w:val="24"/>
          <w:szCs w:val="24"/>
        </w:rPr>
        <w:t xml:space="preserve">need to be balanced </w:t>
      </w:r>
      <w:r w:rsidR="5CAE8DCD" w:rsidRPr="008E66D5">
        <w:rPr>
          <w:rFonts w:ascii="Arial" w:hAnsi="Arial" w:cs="Arial"/>
          <w:sz w:val="24"/>
          <w:szCs w:val="24"/>
        </w:rPr>
        <w:t>with clinical outcomes, patient care quality, and operational feasibility</w:t>
      </w:r>
      <w:r w:rsidR="001F51A2" w:rsidRPr="008E66D5">
        <w:rPr>
          <w:rFonts w:ascii="Arial" w:hAnsi="Arial" w:cs="Arial"/>
          <w:sz w:val="24"/>
          <w:szCs w:val="24"/>
        </w:rPr>
        <w:t xml:space="preserve"> </w:t>
      </w:r>
      <w:r w:rsidR="001F51A2" w:rsidRPr="008E66D5">
        <w:rPr>
          <w:rFonts w:ascii="Arial" w:hAnsi="Arial" w:cs="Arial"/>
          <w:sz w:val="24"/>
          <w:szCs w:val="24"/>
          <w:vertAlign w:val="superscript"/>
        </w:rPr>
        <w:t>28-3</w:t>
      </w:r>
      <w:r w:rsidR="004D531D" w:rsidRPr="008E66D5">
        <w:rPr>
          <w:rFonts w:ascii="Arial" w:hAnsi="Arial" w:cs="Arial"/>
          <w:sz w:val="24"/>
          <w:szCs w:val="24"/>
          <w:vertAlign w:val="superscript"/>
        </w:rPr>
        <w:t>1</w:t>
      </w:r>
      <w:r w:rsidR="5CAE8DCD" w:rsidRPr="008E66D5">
        <w:rPr>
          <w:rFonts w:ascii="Arial" w:hAnsi="Arial" w:cs="Arial"/>
          <w:sz w:val="24"/>
          <w:szCs w:val="24"/>
        </w:rPr>
        <w:t xml:space="preserve">. </w:t>
      </w:r>
    </w:p>
    <w:p w14:paraId="59E2D2BD" w14:textId="0662AF58" w:rsidR="006F3F82" w:rsidRPr="008E66D5" w:rsidRDefault="2909162B" w:rsidP="00D73116">
      <w:pPr>
        <w:spacing w:before="160" w:line="276" w:lineRule="auto"/>
        <w:rPr>
          <w:rFonts w:ascii="Arial" w:hAnsi="Arial" w:cs="Arial"/>
          <w:sz w:val="24"/>
          <w:szCs w:val="24"/>
        </w:rPr>
      </w:pPr>
      <w:r w:rsidRPr="008E66D5">
        <w:rPr>
          <w:rFonts w:ascii="Arial" w:hAnsi="Arial" w:cs="Arial"/>
          <w:sz w:val="24"/>
          <w:szCs w:val="24"/>
        </w:rPr>
        <w:t xml:space="preserve">A </w:t>
      </w:r>
      <w:r w:rsidR="004946B2" w:rsidRPr="008E66D5">
        <w:rPr>
          <w:rFonts w:ascii="Arial" w:hAnsi="Arial" w:cs="Arial"/>
          <w:sz w:val="24"/>
          <w:szCs w:val="24"/>
        </w:rPr>
        <w:t xml:space="preserve">recent </w:t>
      </w:r>
      <w:r w:rsidRPr="008E66D5">
        <w:rPr>
          <w:rFonts w:ascii="Arial" w:hAnsi="Arial" w:cs="Arial"/>
          <w:sz w:val="24"/>
          <w:szCs w:val="24"/>
        </w:rPr>
        <w:t xml:space="preserve">systematic review </w:t>
      </w:r>
      <w:r w:rsidR="007A1B82">
        <w:rPr>
          <w:rFonts w:ascii="Arial" w:hAnsi="Arial" w:cs="Arial"/>
          <w:sz w:val="24"/>
          <w:szCs w:val="24"/>
        </w:rPr>
        <w:t xml:space="preserve">undertaken by our team </w:t>
      </w:r>
      <w:r w:rsidR="4E931E4A" w:rsidRPr="008E66D5">
        <w:rPr>
          <w:rFonts w:ascii="Arial" w:hAnsi="Arial" w:cs="Arial"/>
          <w:sz w:val="24"/>
          <w:szCs w:val="24"/>
        </w:rPr>
        <w:t>highlight</w:t>
      </w:r>
      <w:r w:rsidR="004946B2" w:rsidRPr="008E66D5">
        <w:rPr>
          <w:rFonts w:ascii="Arial" w:hAnsi="Arial" w:cs="Arial"/>
          <w:sz w:val="24"/>
          <w:szCs w:val="24"/>
        </w:rPr>
        <w:t>ed</w:t>
      </w:r>
      <w:r w:rsidR="4E931E4A" w:rsidRPr="008E66D5">
        <w:rPr>
          <w:rFonts w:ascii="Arial" w:hAnsi="Arial" w:cs="Arial"/>
          <w:sz w:val="24"/>
          <w:szCs w:val="24"/>
        </w:rPr>
        <w:t xml:space="preserve"> the multifaceted nature of decarbonisation, spanning micro, </w:t>
      </w:r>
      <w:proofErr w:type="spellStart"/>
      <w:r w:rsidR="4E931E4A" w:rsidRPr="008E66D5">
        <w:rPr>
          <w:rFonts w:ascii="Arial" w:hAnsi="Arial" w:cs="Arial"/>
          <w:sz w:val="24"/>
          <w:szCs w:val="24"/>
        </w:rPr>
        <w:t>meso</w:t>
      </w:r>
      <w:proofErr w:type="spellEnd"/>
      <w:r w:rsidR="4E931E4A" w:rsidRPr="008E66D5">
        <w:rPr>
          <w:rFonts w:ascii="Arial" w:hAnsi="Arial" w:cs="Arial"/>
          <w:sz w:val="24"/>
          <w:szCs w:val="24"/>
        </w:rPr>
        <w:t>, and macro system levels, each with its clinical practices or procurement processes</w:t>
      </w:r>
      <w:r w:rsidR="004946B2" w:rsidRPr="008E66D5">
        <w:rPr>
          <w:rFonts w:ascii="Arial" w:hAnsi="Arial" w:cs="Arial"/>
          <w:sz w:val="24"/>
          <w:szCs w:val="24"/>
        </w:rPr>
        <w:t xml:space="preserve"> </w:t>
      </w:r>
      <w:r w:rsidR="001F51A2" w:rsidRPr="008E66D5">
        <w:rPr>
          <w:rFonts w:ascii="Arial" w:hAnsi="Arial" w:cs="Arial"/>
          <w:sz w:val="24"/>
          <w:szCs w:val="24"/>
          <w:vertAlign w:val="superscript"/>
        </w:rPr>
        <w:t>3</w:t>
      </w:r>
      <w:r w:rsidR="004D531D" w:rsidRPr="008E66D5">
        <w:rPr>
          <w:rFonts w:ascii="Arial" w:hAnsi="Arial" w:cs="Arial"/>
          <w:sz w:val="24"/>
          <w:szCs w:val="24"/>
          <w:vertAlign w:val="superscript"/>
        </w:rPr>
        <w:t>2</w:t>
      </w:r>
      <w:r w:rsidR="001F51A2" w:rsidRPr="008E66D5">
        <w:rPr>
          <w:rFonts w:ascii="Arial" w:hAnsi="Arial" w:cs="Arial"/>
          <w:sz w:val="24"/>
          <w:szCs w:val="24"/>
          <w:vertAlign w:val="superscript"/>
        </w:rPr>
        <w:t>,3</w:t>
      </w:r>
      <w:r w:rsidR="004D531D" w:rsidRPr="008E66D5">
        <w:rPr>
          <w:rFonts w:ascii="Arial" w:hAnsi="Arial" w:cs="Arial"/>
          <w:sz w:val="24"/>
          <w:szCs w:val="24"/>
          <w:vertAlign w:val="superscript"/>
        </w:rPr>
        <w:t>3</w:t>
      </w:r>
      <w:r w:rsidR="0AA8A010" w:rsidRPr="008E66D5">
        <w:rPr>
          <w:rFonts w:ascii="Arial" w:hAnsi="Arial" w:cs="Arial"/>
          <w:sz w:val="24"/>
          <w:szCs w:val="24"/>
        </w:rPr>
        <w:t xml:space="preserve">. </w:t>
      </w:r>
      <w:r w:rsidR="001F51A2" w:rsidRPr="008E66D5">
        <w:rPr>
          <w:rFonts w:ascii="Arial" w:hAnsi="Arial" w:cs="Arial"/>
          <w:sz w:val="24"/>
          <w:szCs w:val="24"/>
        </w:rPr>
        <w:t xml:space="preserve">The review examined 15 studies spanning five countries, with the majority originating from the UK (n=5), followed by Australia (n=3), the United States (n=2), Germany (n=2), and one each from France, Switzerland, and Israel. These studies used various methodologies (qualitative, n=7; quantitative, n=7; mixed methods, n=1), and included a range of participants, such as healthcare professionals (n=7), patients (n=5), health stakeholders (n=2), and the </w:t>
      </w:r>
      <w:proofErr w:type="gramStart"/>
      <w:r w:rsidR="001F51A2" w:rsidRPr="008E66D5">
        <w:rPr>
          <w:rFonts w:ascii="Arial" w:hAnsi="Arial" w:cs="Arial"/>
          <w:sz w:val="24"/>
          <w:szCs w:val="24"/>
        </w:rPr>
        <w:t>general public</w:t>
      </w:r>
      <w:proofErr w:type="gramEnd"/>
      <w:r w:rsidR="001F51A2" w:rsidRPr="008E66D5">
        <w:rPr>
          <w:rFonts w:ascii="Arial" w:hAnsi="Arial" w:cs="Arial"/>
          <w:sz w:val="24"/>
          <w:szCs w:val="24"/>
        </w:rPr>
        <w:t xml:space="preserve"> (n=1). Four key factors were identified: institutional and policy support; organisational leadership, support and constraints; professional knowledge, awareness, and engagement; and patient and community engagement. Within these, 15 sub-factors provided nuanced insights into enablers and barriers to sustainable practices </w:t>
      </w:r>
      <w:r w:rsidR="001F51A2" w:rsidRPr="008E66D5">
        <w:rPr>
          <w:rFonts w:ascii="Arial" w:hAnsi="Arial" w:cs="Arial"/>
          <w:sz w:val="24"/>
          <w:szCs w:val="24"/>
          <w:vertAlign w:val="superscript"/>
        </w:rPr>
        <w:t>32</w:t>
      </w:r>
      <w:r w:rsidR="001F51A2" w:rsidRPr="008E66D5">
        <w:rPr>
          <w:rFonts w:ascii="Arial" w:hAnsi="Arial" w:cs="Arial"/>
          <w:sz w:val="24"/>
          <w:szCs w:val="24"/>
        </w:rPr>
        <w:t>.</w:t>
      </w:r>
      <w:r w:rsidR="001F51A2" w:rsidRPr="008E66D5">
        <w:rPr>
          <w:rFonts w:ascii="Arial" w:hAnsi="Arial" w:cs="Arial"/>
          <w:b/>
          <w:bCs/>
          <w:sz w:val="24"/>
          <w:szCs w:val="24"/>
        </w:rPr>
        <w:t xml:space="preserve"> </w:t>
      </w:r>
      <w:r w:rsidR="0AA8A010" w:rsidRPr="008E66D5">
        <w:rPr>
          <w:rFonts w:ascii="Arial" w:hAnsi="Arial" w:cs="Arial"/>
          <w:sz w:val="24"/>
          <w:szCs w:val="24"/>
        </w:rPr>
        <w:t xml:space="preserve">Strategies to tackle </w:t>
      </w:r>
      <w:r w:rsidR="004946B2" w:rsidRPr="008E66D5">
        <w:rPr>
          <w:rFonts w:ascii="Arial" w:hAnsi="Arial" w:cs="Arial"/>
          <w:sz w:val="24"/>
          <w:szCs w:val="24"/>
        </w:rPr>
        <w:t xml:space="preserve">decarbonisation in general practice </w:t>
      </w:r>
      <w:r w:rsidR="0AA8A010" w:rsidRPr="008E66D5">
        <w:rPr>
          <w:rFonts w:ascii="Arial" w:hAnsi="Arial" w:cs="Arial"/>
          <w:sz w:val="24"/>
          <w:szCs w:val="24"/>
        </w:rPr>
        <w:t>need to</w:t>
      </w:r>
      <w:r w:rsidR="4E931E4A" w:rsidRPr="008E66D5">
        <w:rPr>
          <w:rFonts w:ascii="Arial" w:hAnsi="Arial" w:cs="Arial"/>
          <w:sz w:val="24"/>
          <w:szCs w:val="24"/>
        </w:rPr>
        <w:t xml:space="preserve"> navigat</w:t>
      </w:r>
      <w:r w:rsidR="270654BB" w:rsidRPr="008E66D5">
        <w:rPr>
          <w:rFonts w:ascii="Arial" w:hAnsi="Arial" w:cs="Arial"/>
          <w:sz w:val="24"/>
          <w:szCs w:val="24"/>
        </w:rPr>
        <w:t>e</w:t>
      </w:r>
      <w:r w:rsidR="4E931E4A" w:rsidRPr="008E66D5">
        <w:rPr>
          <w:rFonts w:ascii="Arial" w:hAnsi="Arial" w:cs="Arial"/>
          <w:sz w:val="24"/>
          <w:szCs w:val="24"/>
        </w:rPr>
        <w:t xml:space="preserve"> entrenched systems, </w:t>
      </w:r>
      <w:r w:rsidR="5A79BCDD" w:rsidRPr="008E66D5">
        <w:rPr>
          <w:rFonts w:ascii="Arial" w:hAnsi="Arial" w:cs="Arial"/>
          <w:sz w:val="24"/>
          <w:szCs w:val="24"/>
        </w:rPr>
        <w:t xml:space="preserve">overcome </w:t>
      </w:r>
      <w:r w:rsidR="4E931E4A" w:rsidRPr="008E66D5">
        <w:rPr>
          <w:rFonts w:ascii="Arial" w:hAnsi="Arial" w:cs="Arial"/>
          <w:sz w:val="24"/>
          <w:szCs w:val="24"/>
        </w:rPr>
        <w:t xml:space="preserve">organisational </w:t>
      </w:r>
      <w:r w:rsidR="004946B2" w:rsidRPr="008E66D5">
        <w:rPr>
          <w:rFonts w:ascii="Arial" w:hAnsi="Arial" w:cs="Arial"/>
          <w:sz w:val="24"/>
          <w:szCs w:val="24"/>
        </w:rPr>
        <w:t xml:space="preserve">and individual </w:t>
      </w:r>
      <w:r w:rsidR="4E931E4A" w:rsidRPr="008E66D5">
        <w:rPr>
          <w:rFonts w:ascii="Arial" w:hAnsi="Arial" w:cs="Arial"/>
          <w:sz w:val="24"/>
          <w:szCs w:val="24"/>
        </w:rPr>
        <w:t xml:space="preserve">inertia, and </w:t>
      </w:r>
      <w:r w:rsidR="0E14922B" w:rsidRPr="008E66D5">
        <w:rPr>
          <w:rFonts w:ascii="Arial" w:hAnsi="Arial" w:cs="Arial"/>
          <w:sz w:val="24"/>
          <w:szCs w:val="24"/>
        </w:rPr>
        <w:t xml:space="preserve">balance </w:t>
      </w:r>
      <w:r w:rsidR="4E931E4A" w:rsidRPr="008E66D5">
        <w:rPr>
          <w:rFonts w:ascii="Arial" w:hAnsi="Arial" w:cs="Arial"/>
          <w:sz w:val="24"/>
          <w:szCs w:val="24"/>
        </w:rPr>
        <w:t>varying stakeholder priorities</w:t>
      </w:r>
      <w:r w:rsidR="001F51A2" w:rsidRPr="008E66D5">
        <w:rPr>
          <w:rFonts w:ascii="Arial" w:hAnsi="Arial" w:cs="Arial"/>
          <w:sz w:val="24"/>
          <w:szCs w:val="24"/>
        </w:rPr>
        <w:t xml:space="preserve"> </w:t>
      </w:r>
      <w:r w:rsidR="001F51A2" w:rsidRPr="008E66D5">
        <w:rPr>
          <w:rFonts w:ascii="Arial" w:hAnsi="Arial" w:cs="Arial"/>
          <w:sz w:val="24"/>
          <w:szCs w:val="24"/>
          <w:vertAlign w:val="superscript"/>
        </w:rPr>
        <w:t>3</w:t>
      </w:r>
      <w:r w:rsidR="004D531D" w:rsidRPr="008E66D5">
        <w:rPr>
          <w:rFonts w:ascii="Arial" w:hAnsi="Arial" w:cs="Arial"/>
          <w:sz w:val="24"/>
          <w:szCs w:val="24"/>
          <w:vertAlign w:val="superscript"/>
        </w:rPr>
        <w:t>3</w:t>
      </w:r>
      <w:r w:rsidR="4E931E4A" w:rsidRPr="008E66D5">
        <w:rPr>
          <w:rFonts w:ascii="Arial" w:hAnsi="Arial" w:cs="Arial"/>
          <w:sz w:val="24"/>
          <w:szCs w:val="24"/>
        </w:rPr>
        <w:t xml:space="preserve">. </w:t>
      </w:r>
    </w:p>
    <w:p w14:paraId="4F6AD98E" w14:textId="01A2060B" w:rsidR="00795D1D" w:rsidRPr="008E66D5" w:rsidRDefault="005873BF" w:rsidP="00D73116">
      <w:pPr>
        <w:spacing w:before="160" w:line="276" w:lineRule="auto"/>
        <w:rPr>
          <w:rFonts w:ascii="Arial" w:hAnsi="Arial" w:cs="Arial"/>
          <w:sz w:val="24"/>
          <w:szCs w:val="24"/>
        </w:rPr>
      </w:pPr>
      <w:r w:rsidRPr="008E66D5">
        <w:rPr>
          <w:rFonts w:ascii="Arial" w:hAnsi="Arial" w:cs="Arial"/>
          <w:sz w:val="24"/>
          <w:szCs w:val="24"/>
        </w:rPr>
        <w:t>This study builds on the</w:t>
      </w:r>
      <w:r w:rsidR="007A1B82">
        <w:rPr>
          <w:rFonts w:ascii="Arial" w:hAnsi="Arial" w:cs="Arial"/>
          <w:sz w:val="24"/>
          <w:szCs w:val="24"/>
        </w:rPr>
        <w:t>se</w:t>
      </w:r>
      <w:r w:rsidRPr="008E66D5">
        <w:rPr>
          <w:rFonts w:ascii="Arial" w:hAnsi="Arial" w:cs="Arial"/>
          <w:sz w:val="24"/>
          <w:szCs w:val="24"/>
        </w:rPr>
        <w:t xml:space="preserve"> findings to further enhance understanding of decarbonisation in general practice. Using a mapping exercise, we sought to identify how factors from our systematic review aligned with NPT and TDF constructs to gain deeper insights into the mechanisms enabling or hindering such actions. </w:t>
      </w:r>
      <w:r w:rsidR="402C0730" w:rsidRPr="008E66D5">
        <w:rPr>
          <w:rFonts w:ascii="Arial" w:hAnsi="Arial" w:cs="Arial"/>
          <w:sz w:val="24"/>
          <w:szCs w:val="24"/>
        </w:rPr>
        <w:t>F</w:t>
      </w:r>
      <w:r w:rsidR="38F93B35" w:rsidRPr="008E66D5">
        <w:rPr>
          <w:rFonts w:ascii="Arial" w:hAnsi="Arial" w:cs="Arial"/>
          <w:sz w:val="24"/>
          <w:szCs w:val="24"/>
        </w:rPr>
        <w:t xml:space="preserve">rameworks such as the </w:t>
      </w:r>
      <w:r w:rsidR="1989EE25" w:rsidRPr="008E66D5">
        <w:rPr>
          <w:rFonts w:ascii="Arial" w:hAnsi="Arial" w:cs="Arial"/>
          <w:sz w:val="24"/>
          <w:szCs w:val="24"/>
        </w:rPr>
        <w:t xml:space="preserve">Normalisation Process Theory (NPT) </w:t>
      </w:r>
      <w:r w:rsidR="004D531D" w:rsidRPr="008E66D5">
        <w:rPr>
          <w:rFonts w:ascii="Arial" w:hAnsi="Arial" w:cs="Arial"/>
          <w:sz w:val="24"/>
          <w:szCs w:val="24"/>
          <w:vertAlign w:val="superscript"/>
        </w:rPr>
        <w:t>34-36</w:t>
      </w:r>
      <w:r w:rsidR="1989EE25" w:rsidRPr="008E66D5">
        <w:rPr>
          <w:rFonts w:ascii="Arial" w:hAnsi="Arial" w:cs="Arial"/>
          <w:sz w:val="24"/>
          <w:szCs w:val="24"/>
        </w:rPr>
        <w:t xml:space="preserve"> and </w:t>
      </w:r>
      <w:r w:rsidR="38F93B35" w:rsidRPr="008E66D5">
        <w:rPr>
          <w:rFonts w:ascii="Arial" w:hAnsi="Arial" w:cs="Arial"/>
          <w:sz w:val="24"/>
          <w:szCs w:val="24"/>
        </w:rPr>
        <w:t>Theoretical Domains Framework (TDF)</w:t>
      </w:r>
      <w:r w:rsidR="38F93B35" w:rsidRPr="008E66D5">
        <w:rPr>
          <w:rFonts w:ascii="Arial" w:hAnsi="Arial" w:cs="Arial"/>
          <w:sz w:val="24"/>
          <w:szCs w:val="24"/>
          <w:vertAlign w:val="superscript"/>
        </w:rPr>
        <w:t xml:space="preserve"> </w:t>
      </w:r>
      <w:r w:rsidR="004D531D" w:rsidRPr="008E66D5">
        <w:rPr>
          <w:rFonts w:ascii="Arial" w:hAnsi="Arial" w:cs="Arial"/>
          <w:sz w:val="24"/>
          <w:szCs w:val="24"/>
          <w:vertAlign w:val="superscript"/>
        </w:rPr>
        <w:t>37</w:t>
      </w:r>
      <w:r w:rsidR="0A988AC7" w:rsidRPr="008E66D5">
        <w:rPr>
          <w:rFonts w:ascii="Arial" w:hAnsi="Arial" w:cs="Arial"/>
          <w:sz w:val="24"/>
          <w:szCs w:val="24"/>
        </w:rPr>
        <w:t xml:space="preserve"> </w:t>
      </w:r>
      <w:r w:rsidR="402C0730" w:rsidRPr="008E66D5">
        <w:rPr>
          <w:rFonts w:ascii="Arial" w:hAnsi="Arial" w:cs="Arial"/>
          <w:sz w:val="24"/>
          <w:szCs w:val="24"/>
        </w:rPr>
        <w:t xml:space="preserve">offer structured approaches to understanding behaviour change </w:t>
      </w:r>
      <w:r w:rsidR="006E4285" w:rsidRPr="008E66D5">
        <w:rPr>
          <w:rFonts w:ascii="Arial" w:hAnsi="Arial" w:cs="Arial"/>
          <w:sz w:val="24"/>
          <w:szCs w:val="24"/>
        </w:rPr>
        <w:t>at organisational and individual levels</w:t>
      </w:r>
      <w:r w:rsidR="402C0730" w:rsidRPr="008E66D5">
        <w:rPr>
          <w:rFonts w:ascii="Arial" w:hAnsi="Arial" w:cs="Arial"/>
          <w:sz w:val="24"/>
          <w:szCs w:val="24"/>
        </w:rPr>
        <w:t xml:space="preserve">. </w:t>
      </w:r>
      <w:r w:rsidR="0C2C60B1" w:rsidRPr="008E66D5">
        <w:rPr>
          <w:rFonts w:ascii="Arial" w:hAnsi="Arial" w:cs="Arial"/>
          <w:sz w:val="24"/>
          <w:szCs w:val="24"/>
        </w:rPr>
        <w:t xml:space="preserve">The NPT focuses on the social processes and interactions that facilitate or hinder the normalisation of new practices within systems </w:t>
      </w:r>
      <w:r w:rsidR="004D531D" w:rsidRPr="008E66D5">
        <w:rPr>
          <w:rFonts w:ascii="Arial" w:hAnsi="Arial" w:cs="Arial"/>
          <w:sz w:val="24"/>
          <w:szCs w:val="24"/>
          <w:vertAlign w:val="superscript"/>
        </w:rPr>
        <w:t>34-36</w:t>
      </w:r>
      <w:r w:rsidR="0C2C60B1" w:rsidRPr="008E66D5">
        <w:rPr>
          <w:rFonts w:ascii="Arial" w:hAnsi="Arial" w:cs="Arial"/>
          <w:sz w:val="24"/>
          <w:szCs w:val="24"/>
        </w:rPr>
        <w:t>. On the other hand, the TDF identifies cognitive, affective, and environmental determinants of behaviour, providing a comprehensive lens for analysing professional knowledge, individual engagement, and contextual factors</w:t>
      </w:r>
      <w:r w:rsidR="006E4285" w:rsidRPr="008E66D5">
        <w:rPr>
          <w:rFonts w:ascii="Arial" w:hAnsi="Arial" w:cs="Arial"/>
          <w:sz w:val="24"/>
          <w:szCs w:val="24"/>
        </w:rPr>
        <w:t xml:space="preserve"> </w:t>
      </w:r>
      <w:r w:rsidR="004D531D" w:rsidRPr="008E66D5">
        <w:rPr>
          <w:rFonts w:ascii="Arial" w:hAnsi="Arial" w:cs="Arial"/>
          <w:sz w:val="24"/>
          <w:szCs w:val="24"/>
          <w:vertAlign w:val="superscript"/>
        </w:rPr>
        <w:t>37</w:t>
      </w:r>
      <w:r w:rsidR="0C2C60B1" w:rsidRPr="008E66D5">
        <w:rPr>
          <w:rFonts w:ascii="Arial" w:hAnsi="Arial" w:cs="Arial"/>
          <w:sz w:val="24"/>
          <w:szCs w:val="24"/>
        </w:rPr>
        <w:t xml:space="preserve">. </w:t>
      </w:r>
      <w:r w:rsidR="1989EE25" w:rsidRPr="008E66D5">
        <w:rPr>
          <w:rFonts w:ascii="Arial" w:hAnsi="Arial" w:cs="Arial"/>
          <w:sz w:val="24"/>
          <w:szCs w:val="24"/>
        </w:rPr>
        <w:t>Together</w:t>
      </w:r>
      <w:r w:rsidR="01DF86BB" w:rsidRPr="008E66D5">
        <w:rPr>
          <w:rFonts w:ascii="Arial" w:hAnsi="Arial" w:cs="Arial"/>
          <w:sz w:val="24"/>
          <w:szCs w:val="24"/>
        </w:rPr>
        <w:t xml:space="preserve">, these frameworks </w:t>
      </w:r>
      <w:r w:rsidR="402C0730" w:rsidRPr="008E66D5">
        <w:rPr>
          <w:rFonts w:ascii="Arial" w:hAnsi="Arial" w:cs="Arial"/>
          <w:sz w:val="24"/>
          <w:szCs w:val="24"/>
        </w:rPr>
        <w:t>enable</w:t>
      </w:r>
      <w:r w:rsidR="01DF86BB" w:rsidRPr="008E66D5">
        <w:rPr>
          <w:rFonts w:ascii="Arial" w:hAnsi="Arial" w:cs="Arial"/>
          <w:sz w:val="24"/>
          <w:szCs w:val="24"/>
        </w:rPr>
        <w:t xml:space="preserve"> a holistic </w:t>
      </w:r>
      <w:r w:rsidR="7013D947" w:rsidRPr="008E66D5">
        <w:rPr>
          <w:rFonts w:ascii="Arial" w:hAnsi="Arial" w:cs="Arial"/>
          <w:sz w:val="24"/>
          <w:szCs w:val="24"/>
        </w:rPr>
        <w:t>analysis</w:t>
      </w:r>
      <w:r w:rsidR="01DF86BB" w:rsidRPr="008E66D5">
        <w:rPr>
          <w:rFonts w:ascii="Arial" w:hAnsi="Arial" w:cs="Arial"/>
          <w:sz w:val="24"/>
          <w:szCs w:val="24"/>
        </w:rPr>
        <w:t xml:space="preserve"> of individual and systemic </w:t>
      </w:r>
      <w:r w:rsidR="7013D947" w:rsidRPr="008E66D5">
        <w:rPr>
          <w:rFonts w:ascii="Arial" w:hAnsi="Arial" w:cs="Arial"/>
          <w:sz w:val="24"/>
          <w:szCs w:val="24"/>
        </w:rPr>
        <w:t>factors</w:t>
      </w:r>
      <w:r w:rsidR="01DF86BB" w:rsidRPr="008E66D5">
        <w:rPr>
          <w:rFonts w:ascii="Arial" w:hAnsi="Arial" w:cs="Arial"/>
          <w:sz w:val="24"/>
          <w:szCs w:val="24"/>
        </w:rPr>
        <w:t xml:space="preserve">, </w:t>
      </w:r>
      <w:r w:rsidR="402C0730" w:rsidRPr="008E66D5">
        <w:rPr>
          <w:rFonts w:ascii="Arial" w:hAnsi="Arial" w:cs="Arial"/>
          <w:sz w:val="24"/>
          <w:szCs w:val="24"/>
        </w:rPr>
        <w:t xml:space="preserve">capturing </w:t>
      </w:r>
      <w:r w:rsidR="01DF86BB" w:rsidRPr="008E66D5">
        <w:rPr>
          <w:rFonts w:ascii="Arial" w:hAnsi="Arial" w:cs="Arial"/>
          <w:sz w:val="24"/>
          <w:szCs w:val="24"/>
        </w:rPr>
        <w:t>the complex</w:t>
      </w:r>
      <w:r w:rsidR="402C0730" w:rsidRPr="008E66D5">
        <w:rPr>
          <w:rFonts w:ascii="Arial" w:hAnsi="Arial" w:cs="Arial"/>
          <w:sz w:val="24"/>
          <w:szCs w:val="24"/>
        </w:rPr>
        <w:t>ity</w:t>
      </w:r>
      <w:r w:rsidR="01DF86BB" w:rsidRPr="008E66D5">
        <w:rPr>
          <w:rFonts w:ascii="Arial" w:hAnsi="Arial" w:cs="Arial"/>
          <w:sz w:val="24"/>
          <w:szCs w:val="24"/>
        </w:rPr>
        <w:t xml:space="preserve"> </w:t>
      </w:r>
      <w:r w:rsidR="402C0730" w:rsidRPr="008E66D5">
        <w:rPr>
          <w:rFonts w:ascii="Arial" w:hAnsi="Arial" w:cs="Arial"/>
          <w:sz w:val="24"/>
          <w:szCs w:val="24"/>
        </w:rPr>
        <w:t>of</w:t>
      </w:r>
      <w:r w:rsidR="01DF86BB" w:rsidRPr="008E66D5">
        <w:rPr>
          <w:rFonts w:ascii="Arial" w:hAnsi="Arial" w:cs="Arial"/>
          <w:sz w:val="24"/>
          <w:szCs w:val="24"/>
        </w:rPr>
        <w:t xml:space="preserve"> embedding </w:t>
      </w:r>
      <w:r w:rsidR="62775EE2" w:rsidRPr="008E66D5">
        <w:rPr>
          <w:rFonts w:ascii="Arial" w:hAnsi="Arial" w:cs="Arial"/>
          <w:sz w:val="24"/>
          <w:szCs w:val="24"/>
        </w:rPr>
        <w:t xml:space="preserve">new </w:t>
      </w:r>
      <w:r w:rsidR="014DE19F" w:rsidRPr="008E66D5">
        <w:rPr>
          <w:rFonts w:ascii="Arial" w:hAnsi="Arial" w:cs="Arial"/>
          <w:sz w:val="24"/>
          <w:szCs w:val="24"/>
        </w:rPr>
        <w:t>practice</w:t>
      </w:r>
      <w:r w:rsidR="01DF86BB" w:rsidRPr="008E66D5">
        <w:rPr>
          <w:rFonts w:ascii="Arial" w:hAnsi="Arial" w:cs="Arial"/>
          <w:sz w:val="24"/>
          <w:szCs w:val="24"/>
        </w:rPr>
        <w:t>s in healthcare.</w:t>
      </w:r>
      <w:r w:rsidR="38A70AE2" w:rsidRPr="008E66D5">
        <w:rPr>
          <w:rFonts w:ascii="Arial" w:hAnsi="Arial" w:cs="Arial"/>
          <w:sz w:val="24"/>
          <w:szCs w:val="24"/>
        </w:rPr>
        <w:t xml:space="preserve"> </w:t>
      </w:r>
      <w:r w:rsidR="1989EE25" w:rsidRPr="008E66D5">
        <w:rPr>
          <w:rFonts w:ascii="Arial" w:hAnsi="Arial" w:cs="Arial"/>
          <w:sz w:val="24"/>
          <w:szCs w:val="24"/>
        </w:rPr>
        <w:t xml:space="preserve">These </w:t>
      </w:r>
      <w:r w:rsidR="1989EE25" w:rsidRPr="008E66D5">
        <w:rPr>
          <w:rFonts w:ascii="Arial" w:hAnsi="Arial" w:cs="Arial"/>
          <w:sz w:val="24"/>
          <w:szCs w:val="24"/>
        </w:rPr>
        <w:lastRenderedPageBreak/>
        <w:t xml:space="preserve">frameworks have been used effectively in previous studies to explore behaviour change in healthcare, including interventions targeting clinical practice, patient engagement, and system-level transformations </w:t>
      </w:r>
      <w:r w:rsidR="004D531D" w:rsidRPr="008E66D5">
        <w:rPr>
          <w:rFonts w:ascii="Arial" w:hAnsi="Arial" w:cs="Arial"/>
          <w:sz w:val="24"/>
          <w:szCs w:val="24"/>
          <w:vertAlign w:val="superscript"/>
        </w:rPr>
        <w:t>34-37</w:t>
      </w:r>
      <w:r w:rsidR="1989EE25" w:rsidRPr="008E66D5">
        <w:rPr>
          <w:rFonts w:ascii="Arial" w:hAnsi="Arial" w:cs="Arial"/>
          <w:sz w:val="24"/>
          <w:szCs w:val="24"/>
        </w:rPr>
        <w:t xml:space="preserve">. </w:t>
      </w:r>
    </w:p>
    <w:p w14:paraId="0CF0CED1" w14:textId="158BF263" w:rsidR="001B2BB9" w:rsidRPr="008E66D5" w:rsidRDefault="005873BF" w:rsidP="00D73116">
      <w:pPr>
        <w:spacing w:before="160" w:line="276" w:lineRule="auto"/>
        <w:rPr>
          <w:rFonts w:ascii="Arial" w:hAnsi="Arial" w:cs="Arial"/>
          <w:sz w:val="24"/>
          <w:szCs w:val="24"/>
        </w:rPr>
      </w:pPr>
      <w:r w:rsidRPr="008E66D5">
        <w:rPr>
          <w:rFonts w:ascii="Arial" w:hAnsi="Arial" w:cs="Arial"/>
          <w:sz w:val="24"/>
          <w:szCs w:val="24"/>
        </w:rPr>
        <w:t>Hence, t</w:t>
      </w:r>
      <w:r w:rsidR="38A70AE2" w:rsidRPr="008E66D5">
        <w:rPr>
          <w:rFonts w:ascii="Arial" w:hAnsi="Arial" w:cs="Arial"/>
          <w:sz w:val="24"/>
          <w:szCs w:val="24"/>
        </w:rPr>
        <w:t xml:space="preserve">he </w:t>
      </w:r>
      <w:r w:rsidR="00597B51" w:rsidRPr="008E66D5">
        <w:rPr>
          <w:rFonts w:ascii="Arial" w:hAnsi="Arial" w:cs="Arial"/>
          <w:sz w:val="24"/>
          <w:szCs w:val="24"/>
        </w:rPr>
        <w:t xml:space="preserve">overarching </w:t>
      </w:r>
      <w:r w:rsidR="0E1626D9" w:rsidRPr="008E66D5">
        <w:rPr>
          <w:rFonts w:ascii="Arial" w:hAnsi="Arial" w:cs="Arial"/>
          <w:sz w:val="24"/>
          <w:szCs w:val="24"/>
        </w:rPr>
        <w:t xml:space="preserve">aim </w:t>
      </w:r>
      <w:r w:rsidR="00ED860A" w:rsidRPr="008E66D5">
        <w:rPr>
          <w:rFonts w:ascii="Arial" w:hAnsi="Arial" w:cs="Arial"/>
          <w:sz w:val="24"/>
          <w:szCs w:val="24"/>
        </w:rPr>
        <w:t xml:space="preserve">of this study is </w:t>
      </w:r>
      <w:r w:rsidR="0E1626D9" w:rsidRPr="008E66D5">
        <w:rPr>
          <w:rFonts w:ascii="Arial" w:hAnsi="Arial" w:cs="Arial"/>
          <w:sz w:val="24"/>
          <w:szCs w:val="24"/>
        </w:rPr>
        <w:t>to</w:t>
      </w:r>
      <w:r w:rsidR="00597B51" w:rsidRPr="008E66D5">
        <w:rPr>
          <w:rFonts w:ascii="Arial" w:hAnsi="Arial" w:cs="Arial"/>
          <w:sz w:val="24"/>
          <w:szCs w:val="24"/>
        </w:rPr>
        <w:t xml:space="preserve"> advance understanding of the factors influencing decarbonisation in general practice and t</w:t>
      </w:r>
      <w:r w:rsidRPr="008E66D5">
        <w:rPr>
          <w:rFonts w:ascii="Arial" w:hAnsi="Arial" w:cs="Arial"/>
          <w:sz w:val="24"/>
          <w:szCs w:val="24"/>
        </w:rPr>
        <w:t>o support t</w:t>
      </w:r>
      <w:r w:rsidR="00597B51" w:rsidRPr="008E66D5">
        <w:rPr>
          <w:rFonts w:ascii="Arial" w:hAnsi="Arial" w:cs="Arial"/>
          <w:sz w:val="24"/>
          <w:szCs w:val="24"/>
        </w:rPr>
        <w:t>ranslating these insights into actionable strategies</w:t>
      </w:r>
      <w:r w:rsidR="00B86797" w:rsidRPr="008E66D5">
        <w:rPr>
          <w:rFonts w:ascii="Arial" w:hAnsi="Arial" w:cs="Arial"/>
          <w:sz w:val="24"/>
          <w:szCs w:val="24"/>
        </w:rPr>
        <w:t xml:space="preserve">. </w:t>
      </w:r>
      <w:r w:rsidR="00597B51" w:rsidRPr="008E66D5">
        <w:rPr>
          <w:rFonts w:ascii="Arial" w:hAnsi="Arial" w:cs="Arial"/>
          <w:sz w:val="24"/>
          <w:szCs w:val="24"/>
        </w:rPr>
        <w:t>Specifically, th</w:t>
      </w:r>
      <w:r w:rsidR="00B86797" w:rsidRPr="008E66D5">
        <w:rPr>
          <w:rFonts w:ascii="Arial" w:hAnsi="Arial" w:cs="Arial"/>
          <w:sz w:val="24"/>
          <w:szCs w:val="24"/>
        </w:rPr>
        <w:t>is</w:t>
      </w:r>
      <w:r w:rsidR="00597B51" w:rsidRPr="008E66D5">
        <w:rPr>
          <w:rFonts w:ascii="Arial" w:hAnsi="Arial" w:cs="Arial"/>
          <w:sz w:val="24"/>
          <w:szCs w:val="24"/>
        </w:rPr>
        <w:t xml:space="preserve"> study has two objectives: first, to map and compare the application of the </w:t>
      </w:r>
      <w:r w:rsidR="51976976" w:rsidRPr="008E66D5">
        <w:rPr>
          <w:rFonts w:ascii="Arial" w:hAnsi="Arial" w:cs="Arial"/>
          <w:sz w:val="24"/>
          <w:szCs w:val="24"/>
        </w:rPr>
        <w:t xml:space="preserve">NPT and TDF </w:t>
      </w:r>
      <w:r w:rsidR="00ED860A" w:rsidRPr="008E66D5">
        <w:rPr>
          <w:rFonts w:ascii="Arial" w:hAnsi="Arial" w:cs="Arial"/>
          <w:sz w:val="24"/>
          <w:szCs w:val="24"/>
        </w:rPr>
        <w:t>in</w:t>
      </w:r>
      <w:r w:rsidR="51976976" w:rsidRPr="008E66D5">
        <w:rPr>
          <w:rFonts w:ascii="Arial" w:hAnsi="Arial" w:cs="Arial"/>
          <w:sz w:val="24"/>
          <w:szCs w:val="24"/>
        </w:rPr>
        <w:t xml:space="preserve"> understanding </w:t>
      </w:r>
      <w:r w:rsidR="00597B51" w:rsidRPr="008E66D5">
        <w:rPr>
          <w:rFonts w:ascii="Arial" w:hAnsi="Arial" w:cs="Arial"/>
          <w:sz w:val="24"/>
          <w:szCs w:val="24"/>
        </w:rPr>
        <w:t>key</w:t>
      </w:r>
      <w:r w:rsidR="00ED860A" w:rsidRPr="008E66D5">
        <w:rPr>
          <w:rFonts w:ascii="Arial" w:hAnsi="Arial" w:cs="Arial"/>
          <w:sz w:val="24"/>
          <w:szCs w:val="24"/>
        </w:rPr>
        <w:t xml:space="preserve"> factors </w:t>
      </w:r>
      <w:r w:rsidR="46896D27" w:rsidRPr="008E66D5">
        <w:rPr>
          <w:rFonts w:ascii="Arial" w:hAnsi="Arial" w:cs="Arial"/>
          <w:sz w:val="24"/>
          <w:szCs w:val="24"/>
        </w:rPr>
        <w:t xml:space="preserve">and sub-factors </w:t>
      </w:r>
      <w:r w:rsidR="00597B51" w:rsidRPr="008E66D5">
        <w:rPr>
          <w:rFonts w:ascii="Arial" w:hAnsi="Arial" w:cs="Arial"/>
          <w:sz w:val="24"/>
          <w:szCs w:val="24"/>
        </w:rPr>
        <w:t>related to</w:t>
      </w:r>
      <w:r w:rsidR="00ED860A" w:rsidRPr="008E66D5">
        <w:rPr>
          <w:rFonts w:ascii="Arial" w:hAnsi="Arial" w:cs="Arial"/>
          <w:sz w:val="24"/>
          <w:szCs w:val="24"/>
        </w:rPr>
        <w:t xml:space="preserve"> </w:t>
      </w:r>
      <w:r w:rsidR="51976976" w:rsidRPr="008E66D5">
        <w:rPr>
          <w:rFonts w:ascii="Arial" w:hAnsi="Arial" w:cs="Arial"/>
          <w:sz w:val="24"/>
          <w:szCs w:val="24"/>
        </w:rPr>
        <w:t>decarbonisation</w:t>
      </w:r>
      <w:r w:rsidR="00597B51" w:rsidRPr="008E66D5">
        <w:rPr>
          <w:rFonts w:ascii="Arial" w:hAnsi="Arial" w:cs="Arial"/>
          <w:sz w:val="24"/>
          <w:szCs w:val="24"/>
        </w:rPr>
        <w:t>; and second,</w:t>
      </w:r>
      <w:r w:rsidR="51976976" w:rsidRPr="008E66D5">
        <w:rPr>
          <w:rFonts w:ascii="Arial" w:hAnsi="Arial" w:cs="Arial"/>
          <w:sz w:val="24"/>
          <w:szCs w:val="24"/>
        </w:rPr>
        <w:t xml:space="preserve"> </w:t>
      </w:r>
      <w:r w:rsidR="00ED860A" w:rsidRPr="008E66D5">
        <w:rPr>
          <w:rFonts w:ascii="Arial" w:hAnsi="Arial" w:cs="Arial"/>
          <w:sz w:val="24"/>
          <w:szCs w:val="24"/>
        </w:rPr>
        <w:t xml:space="preserve">to </w:t>
      </w:r>
      <w:r w:rsidR="00597B51" w:rsidRPr="008E66D5">
        <w:rPr>
          <w:rFonts w:ascii="Arial" w:hAnsi="Arial" w:cs="Arial"/>
          <w:sz w:val="24"/>
          <w:szCs w:val="24"/>
        </w:rPr>
        <w:t>derive</w:t>
      </w:r>
      <w:r w:rsidR="00ED860A" w:rsidRPr="008E66D5">
        <w:rPr>
          <w:rFonts w:ascii="Arial" w:hAnsi="Arial" w:cs="Arial"/>
          <w:sz w:val="24"/>
          <w:szCs w:val="24"/>
        </w:rPr>
        <w:t xml:space="preserve"> actionable </w:t>
      </w:r>
      <w:r w:rsidR="00597B51" w:rsidRPr="008E66D5">
        <w:rPr>
          <w:rFonts w:ascii="Arial" w:hAnsi="Arial" w:cs="Arial"/>
          <w:sz w:val="24"/>
          <w:szCs w:val="24"/>
        </w:rPr>
        <w:t>findings from the analysis that</w:t>
      </w:r>
      <w:r w:rsidR="00ED860A" w:rsidRPr="008E66D5">
        <w:rPr>
          <w:rFonts w:ascii="Arial" w:hAnsi="Arial" w:cs="Arial"/>
          <w:sz w:val="24"/>
          <w:szCs w:val="24"/>
        </w:rPr>
        <w:t xml:space="preserve"> can </w:t>
      </w:r>
      <w:r w:rsidR="00597B51" w:rsidRPr="008E66D5">
        <w:rPr>
          <w:rFonts w:ascii="Arial" w:hAnsi="Arial" w:cs="Arial"/>
          <w:sz w:val="24"/>
          <w:szCs w:val="24"/>
        </w:rPr>
        <w:t>inform</w:t>
      </w:r>
      <w:r w:rsidR="00ED860A" w:rsidRPr="008E66D5">
        <w:rPr>
          <w:rFonts w:ascii="Arial" w:hAnsi="Arial" w:cs="Arial"/>
          <w:sz w:val="24"/>
          <w:szCs w:val="24"/>
        </w:rPr>
        <w:t xml:space="preserve"> the </w:t>
      </w:r>
      <w:r w:rsidR="00597B51" w:rsidRPr="008E66D5">
        <w:rPr>
          <w:rFonts w:ascii="Arial" w:hAnsi="Arial" w:cs="Arial"/>
          <w:sz w:val="24"/>
          <w:szCs w:val="24"/>
        </w:rPr>
        <w:t xml:space="preserve">design and implementation of </w:t>
      </w:r>
      <w:r w:rsidR="00ED860A" w:rsidRPr="008E66D5">
        <w:rPr>
          <w:rFonts w:ascii="Arial" w:hAnsi="Arial" w:cs="Arial"/>
          <w:sz w:val="24"/>
          <w:szCs w:val="24"/>
        </w:rPr>
        <w:t>effective and sustainab</w:t>
      </w:r>
      <w:r w:rsidR="00597B51" w:rsidRPr="008E66D5">
        <w:rPr>
          <w:rFonts w:ascii="Arial" w:hAnsi="Arial" w:cs="Arial"/>
          <w:sz w:val="24"/>
          <w:szCs w:val="24"/>
        </w:rPr>
        <w:t>le</w:t>
      </w:r>
      <w:r w:rsidR="00ED860A" w:rsidRPr="008E66D5">
        <w:rPr>
          <w:rFonts w:ascii="Arial" w:hAnsi="Arial" w:cs="Arial"/>
          <w:sz w:val="24"/>
          <w:szCs w:val="24"/>
        </w:rPr>
        <w:t xml:space="preserve"> decarbonisation actions in healthcare settings.</w:t>
      </w:r>
    </w:p>
    <w:p w14:paraId="46BE8AD3" w14:textId="4715519C" w:rsidR="009E2878" w:rsidRPr="008E66D5" w:rsidRDefault="00D70B8E" w:rsidP="00D73116">
      <w:pPr>
        <w:tabs>
          <w:tab w:val="left" w:pos="2680"/>
        </w:tabs>
        <w:spacing w:before="160" w:line="276" w:lineRule="auto"/>
        <w:rPr>
          <w:rFonts w:ascii="Arial" w:hAnsi="Arial" w:cs="Arial"/>
          <w:b/>
          <w:bCs/>
          <w:sz w:val="28"/>
          <w:szCs w:val="28"/>
        </w:rPr>
      </w:pPr>
      <w:r w:rsidRPr="008E66D5">
        <w:rPr>
          <w:rFonts w:ascii="Arial" w:hAnsi="Arial" w:cs="Arial"/>
          <w:b/>
          <w:bCs/>
          <w:sz w:val="28"/>
          <w:szCs w:val="28"/>
        </w:rPr>
        <w:t>Methods</w:t>
      </w:r>
    </w:p>
    <w:p w14:paraId="6636133D" w14:textId="7B872D6B" w:rsidR="00984B46" w:rsidRPr="008E66D5" w:rsidRDefault="7A20DA25" w:rsidP="00D73116">
      <w:pPr>
        <w:tabs>
          <w:tab w:val="left" w:pos="2680"/>
        </w:tabs>
        <w:spacing w:before="160" w:line="276" w:lineRule="auto"/>
        <w:rPr>
          <w:rFonts w:ascii="Arial" w:hAnsi="Arial" w:cs="Arial"/>
          <w:sz w:val="24"/>
          <w:szCs w:val="24"/>
        </w:rPr>
      </w:pPr>
      <w:r w:rsidRPr="008E66D5">
        <w:rPr>
          <w:rFonts w:ascii="Arial" w:hAnsi="Arial" w:cs="Arial"/>
          <w:sz w:val="24"/>
          <w:szCs w:val="24"/>
        </w:rPr>
        <w:t>W</w:t>
      </w:r>
      <w:r w:rsidR="602CDA45" w:rsidRPr="008E66D5">
        <w:rPr>
          <w:rFonts w:ascii="Arial" w:hAnsi="Arial" w:cs="Arial"/>
          <w:sz w:val="24"/>
          <w:szCs w:val="24"/>
        </w:rPr>
        <w:t>e conducted</w:t>
      </w:r>
      <w:r w:rsidR="5C4063C2" w:rsidRPr="008E66D5">
        <w:rPr>
          <w:rFonts w:ascii="Arial" w:hAnsi="Arial" w:cs="Arial"/>
          <w:sz w:val="24"/>
          <w:szCs w:val="24"/>
        </w:rPr>
        <w:t xml:space="preserve"> </w:t>
      </w:r>
      <w:r w:rsidR="602CDA45" w:rsidRPr="008E66D5">
        <w:rPr>
          <w:rFonts w:ascii="Arial" w:hAnsi="Arial" w:cs="Arial"/>
          <w:sz w:val="24"/>
          <w:szCs w:val="24"/>
        </w:rPr>
        <w:t>a</w:t>
      </w:r>
      <w:r w:rsidR="5C4063C2" w:rsidRPr="008E66D5">
        <w:rPr>
          <w:rFonts w:ascii="Arial" w:hAnsi="Arial" w:cs="Arial"/>
          <w:sz w:val="24"/>
          <w:szCs w:val="24"/>
        </w:rPr>
        <w:t xml:space="preserve"> multi-step</w:t>
      </w:r>
      <w:r w:rsidR="2589DF5F" w:rsidRPr="008E66D5">
        <w:rPr>
          <w:rFonts w:ascii="Arial" w:hAnsi="Arial" w:cs="Arial"/>
          <w:sz w:val="24"/>
          <w:szCs w:val="24"/>
        </w:rPr>
        <w:t xml:space="preserve"> map</w:t>
      </w:r>
      <w:r w:rsidR="79D14AA4" w:rsidRPr="008E66D5">
        <w:rPr>
          <w:rFonts w:ascii="Arial" w:hAnsi="Arial" w:cs="Arial"/>
          <w:sz w:val="24"/>
          <w:szCs w:val="24"/>
        </w:rPr>
        <w:t>ping exer</w:t>
      </w:r>
      <w:r w:rsidR="602CDA45" w:rsidRPr="008E66D5">
        <w:rPr>
          <w:rFonts w:ascii="Arial" w:hAnsi="Arial" w:cs="Arial"/>
          <w:sz w:val="24"/>
          <w:szCs w:val="24"/>
        </w:rPr>
        <w:t>cise</w:t>
      </w:r>
      <w:r w:rsidR="2C80893B" w:rsidRPr="008E66D5">
        <w:rPr>
          <w:rFonts w:ascii="Arial" w:hAnsi="Arial" w:cs="Arial"/>
          <w:sz w:val="24"/>
          <w:szCs w:val="24"/>
        </w:rPr>
        <w:t xml:space="preserve"> that</w:t>
      </w:r>
      <w:r w:rsidR="602CDA45" w:rsidRPr="008E66D5">
        <w:rPr>
          <w:rFonts w:ascii="Arial" w:hAnsi="Arial" w:cs="Arial"/>
          <w:sz w:val="24"/>
          <w:szCs w:val="24"/>
        </w:rPr>
        <w:t xml:space="preserve"> </w:t>
      </w:r>
      <w:r w:rsidR="691CCDF9" w:rsidRPr="008E66D5">
        <w:rPr>
          <w:rFonts w:ascii="Arial" w:hAnsi="Arial" w:cs="Arial"/>
          <w:sz w:val="24"/>
          <w:szCs w:val="24"/>
        </w:rPr>
        <w:t>dr</w:t>
      </w:r>
      <w:r w:rsidR="602CDA45" w:rsidRPr="008E66D5">
        <w:rPr>
          <w:rFonts w:ascii="Arial" w:hAnsi="Arial" w:cs="Arial"/>
          <w:sz w:val="24"/>
          <w:szCs w:val="24"/>
        </w:rPr>
        <w:t>ew</w:t>
      </w:r>
      <w:r w:rsidR="691CCDF9" w:rsidRPr="008E66D5">
        <w:rPr>
          <w:rFonts w:ascii="Arial" w:hAnsi="Arial" w:cs="Arial"/>
          <w:sz w:val="24"/>
          <w:szCs w:val="24"/>
        </w:rPr>
        <w:t xml:space="preserve"> on the interpretations of </w:t>
      </w:r>
      <w:r w:rsidR="4487E599" w:rsidRPr="008E66D5">
        <w:rPr>
          <w:rFonts w:ascii="Arial" w:hAnsi="Arial" w:cs="Arial"/>
          <w:sz w:val="24"/>
          <w:szCs w:val="24"/>
        </w:rPr>
        <w:t xml:space="preserve">a </w:t>
      </w:r>
      <w:r w:rsidR="691CCDF9" w:rsidRPr="008E66D5">
        <w:rPr>
          <w:rFonts w:ascii="Arial" w:hAnsi="Arial" w:cs="Arial"/>
          <w:sz w:val="24"/>
          <w:szCs w:val="24"/>
        </w:rPr>
        <w:t>multi</w:t>
      </w:r>
      <w:r w:rsidR="7AD2B37B" w:rsidRPr="008E66D5">
        <w:rPr>
          <w:rFonts w:ascii="Arial" w:hAnsi="Arial" w:cs="Arial"/>
          <w:sz w:val="24"/>
          <w:szCs w:val="24"/>
        </w:rPr>
        <w:t>-disciplinary team of</w:t>
      </w:r>
      <w:r w:rsidR="691CCDF9" w:rsidRPr="008E66D5">
        <w:rPr>
          <w:rFonts w:ascii="Arial" w:hAnsi="Arial" w:cs="Arial"/>
          <w:sz w:val="24"/>
          <w:szCs w:val="24"/>
        </w:rPr>
        <w:t xml:space="preserve"> coders to align</w:t>
      </w:r>
      <w:r w:rsidR="2589DF5F" w:rsidRPr="008E66D5">
        <w:rPr>
          <w:rFonts w:ascii="Arial" w:hAnsi="Arial" w:cs="Arial"/>
          <w:sz w:val="24"/>
          <w:szCs w:val="24"/>
        </w:rPr>
        <w:t xml:space="preserve"> </w:t>
      </w:r>
      <w:r w:rsidR="602CDA45" w:rsidRPr="008E66D5">
        <w:rPr>
          <w:rFonts w:ascii="Arial" w:hAnsi="Arial" w:cs="Arial"/>
          <w:sz w:val="24"/>
          <w:szCs w:val="24"/>
        </w:rPr>
        <w:t>identified</w:t>
      </w:r>
      <w:r w:rsidR="2589DF5F" w:rsidRPr="008E66D5">
        <w:rPr>
          <w:rFonts w:ascii="Arial" w:hAnsi="Arial" w:cs="Arial"/>
          <w:sz w:val="24"/>
          <w:szCs w:val="24"/>
        </w:rPr>
        <w:t xml:space="preserve"> factors</w:t>
      </w:r>
      <w:r w:rsidR="691CCDF9" w:rsidRPr="008E66D5">
        <w:rPr>
          <w:rFonts w:ascii="Arial" w:hAnsi="Arial" w:cs="Arial"/>
          <w:sz w:val="24"/>
          <w:szCs w:val="24"/>
        </w:rPr>
        <w:t xml:space="preserve"> </w:t>
      </w:r>
      <w:r w:rsidR="00376CE1" w:rsidRPr="008E66D5">
        <w:rPr>
          <w:rFonts w:ascii="Arial" w:hAnsi="Arial" w:cs="Arial"/>
          <w:sz w:val="24"/>
          <w:szCs w:val="24"/>
        </w:rPr>
        <w:t xml:space="preserve">from the systematic review </w:t>
      </w:r>
      <w:r w:rsidR="691CCDF9" w:rsidRPr="008E66D5">
        <w:rPr>
          <w:rFonts w:ascii="Arial" w:hAnsi="Arial" w:cs="Arial"/>
          <w:sz w:val="24"/>
          <w:szCs w:val="24"/>
        </w:rPr>
        <w:t>with the relevant</w:t>
      </w:r>
      <w:r w:rsidR="2589DF5F" w:rsidRPr="008E66D5">
        <w:rPr>
          <w:rFonts w:ascii="Arial" w:hAnsi="Arial" w:cs="Arial"/>
          <w:sz w:val="24"/>
          <w:szCs w:val="24"/>
        </w:rPr>
        <w:t xml:space="preserve"> </w:t>
      </w:r>
      <w:r w:rsidR="1FA4A1B7" w:rsidRPr="008E66D5">
        <w:rPr>
          <w:rFonts w:ascii="Arial" w:hAnsi="Arial" w:cs="Arial"/>
          <w:sz w:val="24"/>
          <w:szCs w:val="24"/>
        </w:rPr>
        <w:t>co</w:t>
      </w:r>
      <w:r w:rsidR="602CDA45" w:rsidRPr="008E66D5">
        <w:rPr>
          <w:rFonts w:ascii="Arial" w:hAnsi="Arial" w:cs="Arial"/>
          <w:sz w:val="24"/>
          <w:szCs w:val="24"/>
        </w:rPr>
        <w:t>nstructs</w:t>
      </w:r>
      <w:r w:rsidR="1FA4A1B7" w:rsidRPr="008E66D5">
        <w:rPr>
          <w:rFonts w:ascii="Arial" w:hAnsi="Arial" w:cs="Arial"/>
          <w:sz w:val="24"/>
          <w:szCs w:val="24"/>
        </w:rPr>
        <w:t xml:space="preserve"> </w:t>
      </w:r>
      <w:r w:rsidR="691CCDF9" w:rsidRPr="008E66D5">
        <w:rPr>
          <w:rFonts w:ascii="Arial" w:hAnsi="Arial" w:cs="Arial"/>
          <w:sz w:val="24"/>
          <w:szCs w:val="24"/>
        </w:rPr>
        <w:t>of</w:t>
      </w:r>
      <w:r w:rsidR="7C8A6C47" w:rsidRPr="008E66D5">
        <w:rPr>
          <w:rFonts w:ascii="Arial" w:hAnsi="Arial" w:cs="Arial"/>
          <w:sz w:val="24"/>
          <w:szCs w:val="24"/>
        </w:rPr>
        <w:t xml:space="preserve"> NPT</w:t>
      </w:r>
      <w:r w:rsidR="0F1C1639" w:rsidRPr="008E66D5">
        <w:rPr>
          <w:rFonts w:ascii="Arial" w:hAnsi="Arial" w:cs="Arial"/>
          <w:sz w:val="24"/>
          <w:szCs w:val="24"/>
        </w:rPr>
        <w:t xml:space="preserve"> and </w:t>
      </w:r>
      <w:r w:rsidR="602CDA45" w:rsidRPr="008E66D5">
        <w:rPr>
          <w:rFonts w:ascii="Arial" w:hAnsi="Arial" w:cs="Arial"/>
          <w:sz w:val="24"/>
          <w:szCs w:val="24"/>
        </w:rPr>
        <w:t xml:space="preserve">domains of </w:t>
      </w:r>
      <w:r w:rsidR="0F1C1639" w:rsidRPr="008E66D5">
        <w:rPr>
          <w:rFonts w:ascii="Arial" w:hAnsi="Arial" w:cs="Arial"/>
          <w:sz w:val="24"/>
          <w:szCs w:val="24"/>
        </w:rPr>
        <w:t>TDF</w:t>
      </w:r>
      <w:r w:rsidR="5C4063C2" w:rsidRPr="008E66D5">
        <w:rPr>
          <w:rFonts w:ascii="Arial" w:hAnsi="Arial" w:cs="Arial"/>
          <w:sz w:val="24"/>
          <w:szCs w:val="24"/>
        </w:rPr>
        <w:t xml:space="preserve">. </w:t>
      </w:r>
      <w:r w:rsidR="009C0DB6" w:rsidRPr="008E66D5">
        <w:rPr>
          <w:rFonts w:ascii="Arial" w:hAnsi="Arial" w:cs="Arial"/>
          <w:sz w:val="24"/>
          <w:szCs w:val="24"/>
          <w:lang w:val="en-US"/>
        </w:rPr>
        <w:t>C</w:t>
      </w:r>
      <w:r w:rsidR="00B94128" w:rsidRPr="008E66D5">
        <w:rPr>
          <w:rFonts w:ascii="Arial" w:hAnsi="Arial" w:cs="Arial"/>
          <w:sz w:val="24"/>
          <w:szCs w:val="24"/>
          <w:lang w:val="en-US"/>
        </w:rPr>
        <w:t xml:space="preserve">oders </w:t>
      </w:r>
      <w:r w:rsidR="009C0DB6" w:rsidRPr="008E66D5">
        <w:rPr>
          <w:rFonts w:ascii="Arial" w:hAnsi="Arial" w:cs="Arial"/>
          <w:sz w:val="24"/>
          <w:szCs w:val="24"/>
          <w:lang w:val="en-US"/>
        </w:rPr>
        <w:t xml:space="preserve">(see coders characteristics in Section 3.1.) </w:t>
      </w:r>
      <w:r w:rsidR="4BC418C9" w:rsidRPr="008E66D5">
        <w:rPr>
          <w:rFonts w:ascii="Arial" w:hAnsi="Arial" w:cs="Arial"/>
          <w:sz w:val="24"/>
          <w:szCs w:val="24"/>
        </w:rPr>
        <w:t xml:space="preserve">independently </w:t>
      </w:r>
      <w:r w:rsidR="2589DF5F" w:rsidRPr="008E66D5">
        <w:rPr>
          <w:rFonts w:ascii="Arial" w:hAnsi="Arial" w:cs="Arial"/>
          <w:sz w:val="24"/>
          <w:szCs w:val="24"/>
        </w:rPr>
        <w:t xml:space="preserve">coded </w:t>
      </w:r>
      <w:r w:rsidR="001C56D9" w:rsidRPr="008E66D5">
        <w:rPr>
          <w:rFonts w:ascii="Arial" w:hAnsi="Arial" w:cs="Arial"/>
          <w:sz w:val="24"/>
          <w:szCs w:val="24"/>
        </w:rPr>
        <w:t xml:space="preserve">a dataset consisting of four main factors and fifteen sub-factors (Table 1) </w:t>
      </w:r>
      <w:r w:rsidR="602CDA45" w:rsidRPr="008E66D5">
        <w:rPr>
          <w:rFonts w:ascii="Arial" w:hAnsi="Arial" w:cs="Arial"/>
          <w:sz w:val="24"/>
          <w:szCs w:val="24"/>
        </w:rPr>
        <w:t>derived from</w:t>
      </w:r>
      <w:r w:rsidR="1C329137" w:rsidRPr="008E66D5">
        <w:rPr>
          <w:rFonts w:ascii="Arial" w:hAnsi="Arial" w:cs="Arial"/>
          <w:sz w:val="24"/>
          <w:szCs w:val="24"/>
        </w:rPr>
        <w:t xml:space="preserve"> </w:t>
      </w:r>
      <w:r w:rsidR="00B86797" w:rsidRPr="008E66D5">
        <w:rPr>
          <w:rFonts w:ascii="Arial" w:hAnsi="Arial" w:cs="Arial"/>
          <w:sz w:val="24"/>
          <w:szCs w:val="24"/>
        </w:rPr>
        <w:t>a recent systematic review</w:t>
      </w:r>
      <w:r w:rsidR="00364F3C" w:rsidRPr="008E66D5">
        <w:rPr>
          <w:rFonts w:ascii="Arial" w:hAnsi="Arial" w:cs="Arial"/>
          <w:sz w:val="24"/>
          <w:szCs w:val="24"/>
        </w:rPr>
        <w:t xml:space="preserve"> </w:t>
      </w:r>
      <w:r w:rsidR="00364F3C" w:rsidRPr="008E66D5">
        <w:rPr>
          <w:rFonts w:ascii="Arial" w:hAnsi="Arial" w:cs="Arial"/>
          <w:sz w:val="24"/>
          <w:szCs w:val="24"/>
          <w:vertAlign w:val="superscript"/>
        </w:rPr>
        <w:t>33</w:t>
      </w:r>
      <w:r w:rsidR="00364F3C" w:rsidRPr="008E66D5">
        <w:rPr>
          <w:rFonts w:ascii="Arial" w:hAnsi="Arial" w:cs="Arial"/>
          <w:sz w:val="24"/>
          <w:szCs w:val="24"/>
        </w:rPr>
        <w:t>,</w:t>
      </w:r>
      <w:r w:rsidR="0C85BBE1" w:rsidRPr="008E66D5">
        <w:rPr>
          <w:rFonts w:ascii="Arial" w:hAnsi="Arial" w:cs="Arial"/>
          <w:sz w:val="24"/>
          <w:szCs w:val="24"/>
        </w:rPr>
        <w:t xml:space="preserve"> mapping them onto NPT core constructs and TDF domains</w:t>
      </w:r>
      <w:r w:rsidR="00A43919" w:rsidRPr="008E66D5">
        <w:rPr>
          <w:rFonts w:ascii="Arial" w:hAnsi="Arial" w:cs="Arial"/>
          <w:sz w:val="24"/>
          <w:szCs w:val="24"/>
        </w:rPr>
        <w:t xml:space="preserve"> (Supplementary Table 1)</w:t>
      </w:r>
      <w:r w:rsidR="0C85BBE1" w:rsidRPr="008E66D5">
        <w:rPr>
          <w:rFonts w:ascii="Arial" w:hAnsi="Arial" w:cs="Arial"/>
          <w:sz w:val="24"/>
          <w:szCs w:val="24"/>
        </w:rPr>
        <w:t>. This process aimed to ensure diverse perspectives in assigning alignment</w:t>
      </w:r>
      <w:r w:rsidR="00984B46" w:rsidRPr="008E66D5">
        <w:rPr>
          <w:rFonts w:ascii="Arial" w:hAnsi="Arial" w:cs="Arial"/>
          <w:sz w:val="24"/>
          <w:szCs w:val="24"/>
        </w:rPr>
        <w:t>.</w:t>
      </w:r>
    </w:p>
    <w:p w14:paraId="438D00DF" w14:textId="5238F8C6" w:rsidR="00984B46" w:rsidRPr="008E66D5" w:rsidRDefault="00984B46" w:rsidP="00984B46">
      <w:pPr>
        <w:tabs>
          <w:tab w:val="left" w:pos="2680"/>
        </w:tabs>
        <w:spacing w:before="160" w:line="276" w:lineRule="auto"/>
        <w:rPr>
          <w:rFonts w:ascii="Arial" w:hAnsi="Arial" w:cs="Arial"/>
          <w:sz w:val="24"/>
          <w:szCs w:val="24"/>
          <w:lang w:val="x-none"/>
        </w:rPr>
      </w:pPr>
      <w:r w:rsidRPr="008E66D5">
        <w:rPr>
          <w:rFonts w:ascii="Arial" w:hAnsi="Arial" w:cs="Arial"/>
          <w:sz w:val="24"/>
          <w:szCs w:val="24"/>
        </w:rPr>
        <w:t>Intercoder reliability was measured to evaluate agreement levels among coders in the mapping process, with agreement rates calculated using established guidelines</w:t>
      </w:r>
      <w:r w:rsidR="00364F3C" w:rsidRPr="008E66D5">
        <w:rPr>
          <w:rFonts w:ascii="Arial" w:hAnsi="Arial" w:cs="Arial"/>
          <w:sz w:val="24"/>
          <w:szCs w:val="24"/>
        </w:rPr>
        <w:t xml:space="preserve"> </w:t>
      </w:r>
      <w:r w:rsidR="00364F3C" w:rsidRPr="008E66D5">
        <w:rPr>
          <w:rFonts w:ascii="Arial" w:hAnsi="Arial" w:cs="Arial"/>
          <w:sz w:val="24"/>
          <w:szCs w:val="24"/>
          <w:vertAlign w:val="superscript"/>
        </w:rPr>
        <w:t>38</w:t>
      </w:r>
      <w:r w:rsidRPr="008E66D5">
        <w:rPr>
          <w:rFonts w:ascii="Arial" w:hAnsi="Arial" w:cs="Arial"/>
          <w:sz w:val="24"/>
          <w:szCs w:val="24"/>
        </w:rPr>
        <w:t xml:space="preserve">.  </w:t>
      </w:r>
    </w:p>
    <w:p w14:paraId="13675291" w14:textId="77777777" w:rsidR="00984B46" w:rsidRPr="008E66D5" w:rsidRDefault="00984B46" w:rsidP="00984B46">
      <w:pPr>
        <w:spacing w:before="160" w:line="276" w:lineRule="auto"/>
        <w:rPr>
          <w:rFonts w:ascii="Arial" w:hAnsi="Arial" w:cs="Arial"/>
          <w:sz w:val="26"/>
          <w:szCs w:val="26"/>
        </w:rPr>
      </w:pPr>
      <w:r w:rsidRPr="008E66D5">
        <w:rPr>
          <w:rFonts w:ascii="Arial" w:hAnsi="Arial" w:cs="Arial"/>
          <w:sz w:val="26"/>
          <w:szCs w:val="26"/>
        </w:rPr>
        <w:t>Procedure</w:t>
      </w:r>
    </w:p>
    <w:p w14:paraId="50D493C7" w14:textId="59388E2E" w:rsidR="001C56D9" w:rsidRPr="00844328" w:rsidRDefault="00984B46" w:rsidP="00844328">
      <w:pPr>
        <w:spacing w:before="160" w:line="276" w:lineRule="auto"/>
        <w:rPr>
          <w:rFonts w:ascii="Arial" w:hAnsi="Arial" w:cs="Arial"/>
          <w:sz w:val="24"/>
          <w:szCs w:val="24"/>
          <w:lang w:val="x-none"/>
        </w:rPr>
      </w:pPr>
      <w:r w:rsidRPr="008E66D5">
        <w:rPr>
          <w:rFonts w:ascii="Arial" w:hAnsi="Arial" w:cs="Arial"/>
          <w:sz w:val="24"/>
          <w:szCs w:val="24"/>
        </w:rPr>
        <w:t>The coders were briefed on the study’s aims and the structured insights that the frameworks provide, framing the exercise as an exploration of mechanisms driving or hindering decarbonisation.  Each coder then received a mapping table detailing the main and sub-factors influencing decarbonisation (Supplementary Table 1), along with reference materials outlining NPT core constructs (Supplementary Table 2) and TDF domains (Supplementary Table 3). They were asked to independently align the factors with the NPT constructs and TDF domains, documenting their choices.  A constructivist perspective was adopted</w:t>
      </w:r>
      <w:r w:rsidR="00364F3C" w:rsidRPr="008E66D5">
        <w:rPr>
          <w:rFonts w:ascii="Arial" w:hAnsi="Arial" w:cs="Arial"/>
          <w:sz w:val="24"/>
          <w:szCs w:val="24"/>
        </w:rPr>
        <w:t xml:space="preserve"> </w:t>
      </w:r>
      <w:r w:rsidR="00364F3C" w:rsidRPr="008E66D5">
        <w:rPr>
          <w:rFonts w:ascii="Arial" w:hAnsi="Arial" w:cs="Arial"/>
          <w:sz w:val="24"/>
          <w:szCs w:val="24"/>
          <w:vertAlign w:val="superscript"/>
        </w:rPr>
        <w:t>39</w:t>
      </w:r>
      <w:r w:rsidRPr="008E66D5">
        <w:rPr>
          <w:rFonts w:ascii="Arial" w:hAnsi="Arial" w:cs="Arial"/>
          <w:sz w:val="24"/>
          <w:szCs w:val="24"/>
        </w:rPr>
        <w:t xml:space="preserve">, encouraging coders to actively interpret the factors based on the frameworks. </w:t>
      </w:r>
    </w:p>
    <w:p w14:paraId="41132B4F" w14:textId="13CF8DAC" w:rsidR="00EA6F39" w:rsidRPr="008E66D5" w:rsidRDefault="00EA6F39" w:rsidP="00D73116">
      <w:pPr>
        <w:spacing w:before="160" w:line="276" w:lineRule="auto"/>
        <w:rPr>
          <w:rFonts w:ascii="Arial" w:hAnsi="Arial" w:cs="Arial"/>
          <w:sz w:val="26"/>
          <w:szCs w:val="26"/>
        </w:rPr>
      </w:pPr>
      <w:r w:rsidRPr="008E66D5">
        <w:rPr>
          <w:rFonts w:ascii="Arial" w:hAnsi="Arial" w:cs="Arial"/>
          <w:sz w:val="26"/>
          <w:szCs w:val="26"/>
        </w:rPr>
        <w:t>Data analysis</w:t>
      </w:r>
    </w:p>
    <w:p w14:paraId="069C51D9" w14:textId="1319DA47" w:rsidR="001742B2" w:rsidRPr="008E66D5" w:rsidRDefault="599B916A" w:rsidP="00D73116">
      <w:pPr>
        <w:spacing w:before="160" w:line="276" w:lineRule="auto"/>
        <w:rPr>
          <w:rFonts w:ascii="Arial" w:hAnsi="Arial" w:cs="Arial"/>
          <w:sz w:val="24"/>
          <w:szCs w:val="24"/>
        </w:rPr>
      </w:pPr>
      <w:r w:rsidRPr="008E66D5">
        <w:rPr>
          <w:rFonts w:ascii="Arial" w:hAnsi="Arial" w:cs="Arial"/>
          <w:sz w:val="24"/>
          <w:szCs w:val="24"/>
        </w:rPr>
        <w:t>After cod</w:t>
      </w:r>
      <w:r w:rsidR="69E1AFD0" w:rsidRPr="008E66D5">
        <w:rPr>
          <w:rFonts w:ascii="Arial" w:hAnsi="Arial" w:cs="Arial"/>
          <w:sz w:val="24"/>
          <w:szCs w:val="24"/>
        </w:rPr>
        <w:t>ing</w:t>
      </w:r>
      <w:r w:rsidRPr="008E66D5">
        <w:rPr>
          <w:rFonts w:ascii="Arial" w:hAnsi="Arial" w:cs="Arial"/>
          <w:sz w:val="24"/>
          <w:szCs w:val="24"/>
        </w:rPr>
        <w:t>,</w:t>
      </w:r>
      <w:r w:rsidR="69E1AFD0" w:rsidRPr="008E66D5">
        <w:rPr>
          <w:rFonts w:ascii="Arial" w:hAnsi="Arial" w:cs="Arial"/>
          <w:sz w:val="24"/>
          <w:szCs w:val="24"/>
        </w:rPr>
        <w:t xml:space="preserve"> the degree</w:t>
      </w:r>
      <w:r w:rsidRPr="008E66D5">
        <w:rPr>
          <w:rFonts w:ascii="Arial" w:hAnsi="Arial" w:cs="Arial"/>
          <w:sz w:val="24"/>
          <w:szCs w:val="24"/>
        </w:rPr>
        <w:t xml:space="preserve"> of agreement among coders w</w:t>
      </w:r>
      <w:r w:rsidR="69E1AFD0" w:rsidRPr="008E66D5">
        <w:rPr>
          <w:rFonts w:ascii="Arial" w:hAnsi="Arial" w:cs="Arial"/>
          <w:sz w:val="24"/>
          <w:szCs w:val="24"/>
        </w:rPr>
        <w:t>as</w:t>
      </w:r>
      <w:r w:rsidRPr="008E66D5">
        <w:rPr>
          <w:rFonts w:ascii="Arial" w:hAnsi="Arial" w:cs="Arial"/>
          <w:sz w:val="24"/>
          <w:szCs w:val="24"/>
        </w:rPr>
        <w:t xml:space="preserve"> calculated</w:t>
      </w:r>
      <w:r w:rsidR="16AB9AE1" w:rsidRPr="008E66D5">
        <w:rPr>
          <w:rFonts w:ascii="Arial" w:hAnsi="Arial" w:cs="Arial"/>
          <w:sz w:val="24"/>
          <w:szCs w:val="24"/>
        </w:rPr>
        <w:t xml:space="preserve"> </w:t>
      </w:r>
      <w:r w:rsidR="00843747" w:rsidRPr="008E66D5">
        <w:rPr>
          <w:rFonts w:ascii="Arial" w:hAnsi="Arial" w:cs="Arial"/>
          <w:sz w:val="24"/>
          <w:szCs w:val="24"/>
        </w:rPr>
        <w:t xml:space="preserve">using an inter-rater reliability (IRR) metric. This was expressed </w:t>
      </w:r>
      <w:r w:rsidR="69E1AFD0" w:rsidRPr="008E66D5">
        <w:rPr>
          <w:rFonts w:ascii="Arial" w:hAnsi="Arial" w:cs="Arial"/>
          <w:sz w:val="24"/>
          <w:szCs w:val="24"/>
        </w:rPr>
        <w:t>as a percentage, re</w:t>
      </w:r>
      <w:r w:rsidR="00843747" w:rsidRPr="008E66D5">
        <w:rPr>
          <w:rFonts w:ascii="Arial" w:hAnsi="Arial" w:cs="Arial"/>
          <w:sz w:val="24"/>
          <w:szCs w:val="24"/>
        </w:rPr>
        <w:t>presenting</w:t>
      </w:r>
      <w:r w:rsidR="16AB9AE1" w:rsidRPr="008E66D5">
        <w:rPr>
          <w:rFonts w:ascii="Arial" w:hAnsi="Arial" w:cs="Arial"/>
          <w:sz w:val="24"/>
          <w:szCs w:val="24"/>
        </w:rPr>
        <w:t xml:space="preserve"> the proportion of coders who </w:t>
      </w:r>
      <w:r w:rsidR="00843747" w:rsidRPr="008E66D5">
        <w:rPr>
          <w:rFonts w:ascii="Arial" w:hAnsi="Arial" w:cs="Arial"/>
          <w:sz w:val="24"/>
          <w:szCs w:val="24"/>
        </w:rPr>
        <w:t xml:space="preserve">independently </w:t>
      </w:r>
      <w:r w:rsidR="69E1AFD0" w:rsidRPr="008E66D5">
        <w:rPr>
          <w:rFonts w:ascii="Arial" w:hAnsi="Arial" w:cs="Arial"/>
          <w:sz w:val="24"/>
          <w:szCs w:val="24"/>
        </w:rPr>
        <w:t>mapped a given factor to</w:t>
      </w:r>
      <w:r w:rsidR="16AB9AE1" w:rsidRPr="008E66D5">
        <w:rPr>
          <w:rFonts w:ascii="Arial" w:hAnsi="Arial" w:cs="Arial"/>
          <w:sz w:val="24"/>
          <w:szCs w:val="24"/>
        </w:rPr>
        <w:t xml:space="preserve"> the same NPT construct </w:t>
      </w:r>
      <w:r w:rsidR="69E1AFD0" w:rsidRPr="008E66D5">
        <w:rPr>
          <w:rFonts w:ascii="Arial" w:hAnsi="Arial" w:cs="Arial"/>
          <w:sz w:val="24"/>
          <w:szCs w:val="24"/>
        </w:rPr>
        <w:t>or</w:t>
      </w:r>
      <w:r w:rsidR="16AB9AE1" w:rsidRPr="008E66D5">
        <w:rPr>
          <w:rFonts w:ascii="Arial" w:hAnsi="Arial" w:cs="Arial"/>
          <w:sz w:val="24"/>
          <w:szCs w:val="24"/>
        </w:rPr>
        <w:t xml:space="preserve"> TDF domain</w:t>
      </w:r>
      <w:r w:rsidRPr="008E66D5">
        <w:rPr>
          <w:rFonts w:ascii="Arial" w:hAnsi="Arial" w:cs="Arial"/>
          <w:sz w:val="24"/>
          <w:szCs w:val="24"/>
        </w:rPr>
        <w:t xml:space="preserve">. </w:t>
      </w:r>
      <w:r w:rsidR="00843747" w:rsidRPr="008E66D5">
        <w:rPr>
          <w:rFonts w:ascii="Arial" w:hAnsi="Arial" w:cs="Arial"/>
          <w:sz w:val="24"/>
          <w:szCs w:val="24"/>
        </w:rPr>
        <w:t>To calculate the IRR, the total number of agreements between coders for each mapping was divided by the total number of possible coder comparisons for that factor, providing a measure of consensus</w:t>
      </w:r>
      <w:r w:rsidR="00050713" w:rsidRPr="008E66D5">
        <w:rPr>
          <w:rFonts w:ascii="Arial" w:hAnsi="Arial" w:cs="Arial"/>
          <w:sz w:val="24"/>
          <w:szCs w:val="24"/>
        </w:rPr>
        <w:t xml:space="preserve"> </w:t>
      </w:r>
      <w:r w:rsidR="005E312E" w:rsidRPr="008E66D5">
        <w:rPr>
          <w:rFonts w:ascii="Arial" w:hAnsi="Arial" w:cs="Arial"/>
          <w:sz w:val="24"/>
          <w:szCs w:val="24"/>
          <w:vertAlign w:val="superscript"/>
        </w:rPr>
        <w:t>38</w:t>
      </w:r>
      <w:r w:rsidR="00843747" w:rsidRPr="008E66D5">
        <w:rPr>
          <w:rFonts w:ascii="Arial" w:hAnsi="Arial" w:cs="Arial"/>
          <w:sz w:val="24"/>
          <w:szCs w:val="24"/>
        </w:rPr>
        <w:t xml:space="preserve">. </w:t>
      </w:r>
      <w:r w:rsidR="69E1AFD0" w:rsidRPr="008E66D5">
        <w:rPr>
          <w:rFonts w:ascii="Arial" w:hAnsi="Arial" w:cs="Arial"/>
          <w:sz w:val="24"/>
          <w:szCs w:val="24"/>
        </w:rPr>
        <w:t xml:space="preserve">The </w:t>
      </w:r>
      <w:r w:rsidR="00843747" w:rsidRPr="008E66D5">
        <w:rPr>
          <w:rFonts w:ascii="Arial" w:hAnsi="Arial" w:cs="Arial"/>
          <w:sz w:val="24"/>
          <w:szCs w:val="24"/>
        </w:rPr>
        <w:t>aggregated r</w:t>
      </w:r>
      <w:r w:rsidR="69E1AFD0" w:rsidRPr="008E66D5">
        <w:rPr>
          <w:rFonts w:ascii="Arial" w:hAnsi="Arial" w:cs="Arial"/>
          <w:sz w:val="24"/>
          <w:szCs w:val="24"/>
        </w:rPr>
        <w:t>esults</w:t>
      </w:r>
      <w:r w:rsidR="2EC95D38" w:rsidRPr="008E66D5">
        <w:rPr>
          <w:rFonts w:ascii="Arial" w:hAnsi="Arial" w:cs="Arial"/>
          <w:sz w:val="24"/>
          <w:szCs w:val="24"/>
        </w:rPr>
        <w:t xml:space="preserve"> were </w:t>
      </w:r>
      <w:r w:rsidR="00843747" w:rsidRPr="008E66D5">
        <w:rPr>
          <w:rFonts w:ascii="Arial" w:hAnsi="Arial" w:cs="Arial"/>
          <w:sz w:val="24"/>
          <w:szCs w:val="24"/>
        </w:rPr>
        <w:t>analysed</w:t>
      </w:r>
      <w:r w:rsidR="69E1AFD0" w:rsidRPr="008E66D5">
        <w:rPr>
          <w:rFonts w:ascii="Arial" w:hAnsi="Arial" w:cs="Arial"/>
          <w:sz w:val="24"/>
          <w:szCs w:val="24"/>
        </w:rPr>
        <w:t xml:space="preserve"> to identify consistent </w:t>
      </w:r>
      <w:r w:rsidR="2EC95D38" w:rsidRPr="008E66D5">
        <w:rPr>
          <w:rFonts w:ascii="Arial" w:hAnsi="Arial" w:cs="Arial"/>
          <w:sz w:val="24"/>
          <w:szCs w:val="24"/>
        </w:rPr>
        <w:t>align</w:t>
      </w:r>
      <w:r w:rsidR="69E1AFD0" w:rsidRPr="008E66D5">
        <w:rPr>
          <w:rFonts w:ascii="Arial" w:hAnsi="Arial" w:cs="Arial"/>
          <w:sz w:val="24"/>
          <w:szCs w:val="24"/>
        </w:rPr>
        <w:t>ments,</w:t>
      </w:r>
      <w:r w:rsidR="2EC95D38" w:rsidRPr="008E66D5">
        <w:rPr>
          <w:rFonts w:ascii="Arial" w:hAnsi="Arial" w:cs="Arial"/>
          <w:sz w:val="24"/>
          <w:szCs w:val="24"/>
        </w:rPr>
        <w:t xml:space="preserve"> </w:t>
      </w:r>
      <w:r w:rsidR="00843747" w:rsidRPr="008E66D5">
        <w:rPr>
          <w:rFonts w:ascii="Arial" w:hAnsi="Arial" w:cs="Arial"/>
          <w:sz w:val="24"/>
          <w:szCs w:val="24"/>
        </w:rPr>
        <w:t>highlighting the</w:t>
      </w:r>
      <w:r w:rsidR="69E1AFD0" w:rsidRPr="008E66D5">
        <w:rPr>
          <w:rFonts w:ascii="Arial" w:hAnsi="Arial" w:cs="Arial"/>
          <w:sz w:val="24"/>
          <w:szCs w:val="24"/>
        </w:rPr>
        <w:t xml:space="preserve"> factors most robustly linked to specific constructs in the</w:t>
      </w:r>
      <w:r w:rsidR="2EC95D38" w:rsidRPr="008E66D5">
        <w:rPr>
          <w:rFonts w:ascii="Arial" w:hAnsi="Arial" w:cs="Arial"/>
          <w:sz w:val="24"/>
          <w:szCs w:val="24"/>
        </w:rPr>
        <w:t xml:space="preserve"> </w:t>
      </w:r>
      <w:r w:rsidR="0F1C1639" w:rsidRPr="008E66D5">
        <w:rPr>
          <w:rFonts w:ascii="Arial" w:hAnsi="Arial" w:cs="Arial"/>
          <w:sz w:val="24"/>
          <w:szCs w:val="24"/>
        </w:rPr>
        <w:t>NPT and TDF</w:t>
      </w:r>
      <w:r w:rsidR="2EC95D38" w:rsidRPr="008E66D5">
        <w:rPr>
          <w:rFonts w:ascii="Arial" w:hAnsi="Arial" w:cs="Arial"/>
          <w:sz w:val="24"/>
          <w:szCs w:val="24"/>
        </w:rPr>
        <w:t xml:space="preserve"> </w:t>
      </w:r>
      <w:r w:rsidR="7173560F" w:rsidRPr="008E66D5">
        <w:rPr>
          <w:rFonts w:ascii="Arial" w:hAnsi="Arial" w:cs="Arial"/>
          <w:sz w:val="24"/>
          <w:szCs w:val="24"/>
        </w:rPr>
        <w:t>frameworks</w:t>
      </w:r>
      <w:r w:rsidR="2EC95D38" w:rsidRPr="008E66D5">
        <w:rPr>
          <w:rFonts w:ascii="Arial" w:hAnsi="Arial" w:cs="Arial"/>
          <w:sz w:val="24"/>
          <w:szCs w:val="24"/>
        </w:rPr>
        <w:t>.</w:t>
      </w:r>
      <w:r w:rsidR="00843747" w:rsidRPr="008E66D5">
        <w:rPr>
          <w:rFonts w:ascii="Arial" w:hAnsi="Arial" w:cs="Arial"/>
          <w:sz w:val="24"/>
          <w:szCs w:val="24"/>
        </w:rPr>
        <w:t xml:space="preserve"> This approach ensured transparency and reliability in determining the strength of associations between factors and theoretical constructs.</w:t>
      </w:r>
    </w:p>
    <w:p w14:paraId="764B2BCF" w14:textId="724F7E4A" w:rsidR="001742B2" w:rsidRPr="008E66D5" w:rsidRDefault="00AC2D1E" w:rsidP="00D73116">
      <w:pPr>
        <w:spacing w:before="160" w:line="276" w:lineRule="auto"/>
        <w:rPr>
          <w:rFonts w:ascii="Arial" w:hAnsi="Arial" w:cs="Arial"/>
          <w:b/>
          <w:bCs/>
          <w:sz w:val="28"/>
          <w:szCs w:val="28"/>
        </w:rPr>
      </w:pPr>
      <w:r w:rsidRPr="008E66D5">
        <w:rPr>
          <w:rFonts w:ascii="Arial" w:hAnsi="Arial" w:cs="Arial"/>
          <w:b/>
          <w:bCs/>
          <w:sz w:val="28"/>
          <w:szCs w:val="28"/>
        </w:rPr>
        <w:lastRenderedPageBreak/>
        <w:t>Results</w:t>
      </w:r>
    </w:p>
    <w:p w14:paraId="172E8170" w14:textId="65D7E20F" w:rsidR="009F2799" w:rsidRPr="008E66D5" w:rsidRDefault="00FE1FF5" w:rsidP="00D73116">
      <w:pPr>
        <w:spacing w:before="160" w:line="276" w:lineRule="auto"/>
        <w:rPr>
          <w:rFonts w:ascii="Arial" w:hAnsi="Arial" w:cs="Arial"/>
          <w:sz w:val="26"/>
          <w:szCs w:val="26"/>
        </w:rPr>
      </w:pPr>
      <w:r w:rsidRPr="008E66D5">
        <w:rPr>
          <w:rFonts w:ascii="Arial" w:hAnsi="Arial" w:cs="Arial"/>
          <w:sz w:val="26"/>
          <w:szCs w:val="26"/>
        </w:rPr>
        <w:t>Coder</w:t>
      </w:r>
      <w:r w:rsidR="009F2799" w:rsidRPr="008E66D5">
        <w:rPr>
          <w:rFonts w:ascii="Arial" w:hAnsi="Arial" w:cs="Arial"/>
          <w:sz w:val="26"/>
          <w:szCs w:val="26"/>
        </w:rPr>
        <w:t xml:space="preserve"> characteristics</w:t>
      </w:r>
    </w:p>
    <w:p w14:paraId="4DE6221B" w14:textId="005F38AE" w:rsidR="007A5A36" w:rsidRPr="008E66D5" w:rsidRDefault="00322DF3" w:rsidP="00D73116">
      <w:pPr>
        <w:spacing w:before="160" w:line="276" w:lineRule="auto"/>
        <w:rPr>
          <w:rFonts w:ascii="Arial" w:hAnsi="Arial" w:cs="Arial"/>
          <w:sz w:val="24"/>
          <w:szCs w:val="24"/>
        </w:rPr>
      </w:pPr>
      <w:r w:rsidRPr="008E66D5">
        <w:rPr>
          <w:rFonts w:ascii="Arial" w:hAnsi="Arial" w:cs="Arial"/>
          <w:sz w:val="24"/>
          <w:szCs w:val="24"/>
        </w:rPr>
        <w:t>The study team included</w:t>
      </w:r>
      <w:r w:rsidR="005A562D" w:rsidRPr="008E66D5">
        <w:rPr>
          <w:rFonts w:ascii="Arial" w:hAnsi="Arial" w:cs="Arial"/>
          <w:sz w:val="24"/>
          <w:szCs w:val="24"/>
        </w:rPr>
        <w:t xml:space="preserve"> t</w:t>
      </w:r>
      <w:r w:rsidR="007A5A36" w:rsidRPr="008E66D5">
        <w:rPr>
          <w:rFonts w:ascii="Arial" w:hAnsi="Arial" w:cs="Arial"/>
          <w:sz w:val="24"/>
          <w:szCs w:val="24"/>
        </w:rPr>
        <w:t xml:space="preserve">en </w:t>
      </w:r>
      <w:r w:rsidR="00FE1FF5" w:rsidRPr="008E66D5">
        <w:rPr>
          <w:rFonts w:ascii="Arial" w:hAnsi="Arial" w:cs="Arial"/>
          <w:sz w:val="24"/>
          <w:szCs w:val="24"/>
        </w:rPr>
        <w:t>coders</w:t>
      </w:r>
      <w:r w:rsidRPr="008E66D5">
        <w:rPr>
          <w:rFonts w:ascii="Arial" w:hAnsi="Arial" w:cs="Arial"/>
          <w:sz w:val="24"/>
          <w:szCs w:val="24"/>
        </w:rPr>
        <w:t>:</w:t>
      </w:r>
      <w:r w:rsidR="007A5A36" w:rsidRPr="008E66D5">
        <w:rPr>
          <w:rFonts w:ascii="Arial" w:hAnsi="Arial" w:cs="Arial"/>
          <w:sz w:val="24"/>
          <w:szCs w:val="24"/>
        </w:rPr>
        <w:t xml:space="preserve"> </w:t>
      </w:r>
      <w:r w:rsidR="00BA2B3B" w:rsidRPr="008E66D5">
        <w:rPr>
          <w:rFonts w:ascii="Arial" w:hAnsi="Arial" w:cs="Arial"/>
          <w:sz w:val="24"/>
          <w:szCs w:val="24"/>
        </w:rPr>
        <w:t>three</w:t>
      </w:r>
      <w:r w:rsidR="007A5A36" w:rsidRPr="008E66D5">
        <w:rPr>
          <w:rFonts w:ascii="Arial" w:hAnsi="Arial" w:cs="Arial"/>
          <w:sz w:val="24"/>
          <w:szCs w:val="24"/>
        </w:rPr>
        <w:t xml:space="preserve"> </w:t>
      </w:r>
      <w:r w:rsidR="00DC2EE9" w:rsidRPr="008E66D5">
        <w:rPr>
          <w:rFonts w:ascii="Arial" w:hAnsi="Arial" w:cs="Arial"/>
          <w:sz w:val="24"/>
          <w:szCs w:val="24"/>
        </w:rPr>
        <w:t>academic GPs</w:t>
      </w:r>
      <w:r w:rsidR="79D60FBF" w:rsidRPr="008E66D5">
        <w:rPr>
          <w:rFonts w:ascii="Arial" w:hAnsi="Arial" w:cs="Arial"/>
          <w:sz w:val="24"/>
          <w:szCs w:val="24"/>
        </w:rPr>
        <w:t xml:space="preserve"> (two clinically active)</w:t>
      </w:r>
      <w:r w:rsidR="00DC2EE9" w:rsidRPr="008E66D5">
        <w:rPr>
          <w:rFonts w:ascii="Arial" w:hAnsi="Arial" w:cs="Arial"/>
          <w:sz w:val="24"/>
          <w:szCs w:val="24"/>
        </w:rPr>
        <w:t>,</w:t>
      </w:r>
      <w:r w:rsidR="007A5A36" w:rsidRPr="008E66D5">
        <w:rPr>
          <w:rFonts w:ascii="Arial" w:hAnsi="Arial" w:cs="Arial"/>
          <w:sz w:val="24"/>
          <w:szCs w:val="24"/>
        </w:rPr>
        <w:t xml:space="preserve"> </w:t>
      </w:r>
      <w:r w:rsidR="00BA2B3B" w:rsidRPr="008E66D5">
        <w:rPr>
          <w:rFonts w:ascii="Arial" w:hAnsi="Arial" w:cs="Arial"/>
          <w:sz w:val="24"/>
          <w:szCs w:val="24"/>
        </w:rPr>
        <w:t>six</w:t>
      </w:r>
      <w:r w:rsidR="007A5A36" w:rsidRPr="008E66D5">
        <w:rPr>
          <w:rFonts w:ascii="Arial" w:hAnsi="Arial" w:cs="Arial"/>
          <w:sz w:val="24"/>
          <w:szCs w:val="24"/>
        </w:rPr>
        <w:t xml:space="preserve"> </w:t>
      </w:r>
      <w:r w:rsidRPr="008E66D5">
        <w:rPr>
          <w:rFonts w:ascii="Arial" w:hAnsi="Arial" w:cs="Arial"/>
          <w:sz w:val="24"/>
          <w:szCs w:val="24"/>
        </w:rPr>
        <w:t xml:space="preserve">multidisciplinary </w:t>
      </w:r>
      <w:r w:rsidR="007A5A36" w:rsidRPr="008E66D5">
        <w:rPr>
          <w:rFonts w:ascii="Arial" w:hAnsi="Arial" w:cs="Arial"/>
          <w:sz w:val="24"/>
          <w:szCs w:val="24"/>
        </w:rPr>
        <w:t>researchers</w:t>
      </w:r>
      <w:r w:rsidR="555E0F44" w:rsidRPr="008E66D5">
        <w:rPr>
          <w:rFonts w:ascii="Arial" w:hAnsi="Arial" w:cs="Arial"/>
          <w:sz w:val="24"/>
          <w:szCs w:val="24"/>
        </w:rPr>
        <w:t xml:space="preserve"> working in universities</w:t>
      </w:r>
      <w:r w:rsidRPr="008E66D5">
        <w:rPr>
          <w:rFonts w:ascii="Arial" w:hAnsi="Arial" w:cs="Arial"/>
          <w:sz w:val="24"/>
          <w:szCs w:val="24"/>
        </w:rPr>
        <w:t>,</w:t>
      </w:r>
      <w:r w:rsidR="007A5A36" w:rsidRPr="008E66D5">
        <w:rPr>
          <w:rFonts w:ascii="Arial" w:hAnsi="Arial" w:cs="Arial"/>
          <w:sz w:val="24"/>
          <w:szCs w:val="24"/>
        </w:rPr>
        <w:t xml:space="preserve"> and </w:t>
      </w:r>
      <w:r w:rsidR="00BA2B3B" w:rsidRPr="008E66D5">
        <w:rPr>
          <w:rFonts w:ascii="Arial" w:hAnsi="Arial" w:cs="Arial"/>
          <w:sz w:val="24"/>
          <w:szCs w:val="24"/>
        </w:rPr>
        <w:t>one</w:t>
      </w:r>
      <w:r w:rsidR="007A5A36" w:rsidRPr="008E66D5">
        <w:rPr>
          <w:rFonts w:ascii="Arial" w:hAnsi="Arial" w:cs="Arial"/>
          <w:sz w:val="24"/>
          <w:szCs w:val="24"/>
        </w:rPr>
        <w:t xml:space="preserve"> patient representative. </w:t>
      </w:r>
      <w:r w:rsidR="005A562D" w:rsidRPr="008E66D5">
        <w:rPr>
          <w:rFonts w:ascii="Arial" w:hAnsi="Arial" w:cs="Arial"/>
          <w:sz w:val="24"/>
          <w:szCs w:val="24"/>
        </w:rPr>
        <w:t xml:space="preserve">Supplementary </w:t>
      </w:r>
      <w:r w:rsidR="0080738A" w:rsidRPr="008E66D5">
        <w:rPr>
          <w:rFonts w:ascii="Arial" w:hAnsi="Arial" w:cs="Arial"/>
          <w:sz w:val="24"/>
          <w:szCs w:val="24"/>
        </w:rPr>
        <w:t>T</w:t>
      </w:r>
      <w:r w:rsidR="005A562D" w:rsidRPr="008E66D5">
        <w:rPr>
          <w:rFonts w:ascii="Arial" w:hAnsi="Arial" w:cs="Arial"/>
          <w:sz w:val="24"/>
          <w:szCs w:val="24"/>
        </w:rPr>
        <w:t xml:space="preserve">able </w:t>
      </w:r>
      <w:r w:rsidR="00CC2C09" w:rsidRPr="008E66D5">
        <w:rPr>
          <w:rFonts w:ascii="Arial" w:hAnsi="Arial" w:cs="Arial"/>
          <w:sz w:val="24"/>
          <w:szCs w:val="24"/>
        </w:rPr>
        <w:t>4</w:t>
      </w:r>
      <w:r w:rsidR="00CC6DAB" w:rsidRPr="008E66D5">
        <w:rPr>
          <w:rFonts w:ascii="Arial" w:hAnsi="Arial" w:cs="Arial"/>
          <w:sz w:val="24"/>
          <w:szCs w:val="24"/>
        </w:rPr>
        <w:t xml:space="preserve"> </w:t>
      </w:r>
      <w:r w:rsidRPr="008E66D5">
        <w:rPr>
          <w:rFonts w:ascii="Arial" w:hAnsi="Arial" w:cs="Arial"/>
          <w:sz w:val="24"/>
          <w:szCs w:val="24"/>
        </w:rPr>
        <w:t xml:space="preserve">provides </w:t>
      </w:r>
      <w:r w:rsidR="007A5A36" w:rsidRPr="008E66D5">
        <w:rPr>
          <w:rFonts w:ascii="Arial" w:hAnsi="Arial" w:cs="Arial"/>
          <w:sz w:val="24"/>
          <w:szCs w:val="24"/>
        </w:rPr>
        <w:t xml:space="preserve">details </w:t>
      </w:r>
      <w:r w:rsidRPr="008E66D5">
        <w:rPr>
          <w:rFonts w:ascii="Arial" w:hAnsi="Arial" w:cs="Arial"/>
          <w:sz w:val="24"/>
          <w:szCs w:val="24"/>
        </w:rPr>
        <w:t xml:space="preserve">on </w:t>
      </w:r>
      <w:r w:rsidR="007A5A36" w:rsidRPr="008E66D5">
        <w:rPr>
          <w:rFonts w:ascii="Arial" w:hAnsi="Arial" w:cs="Arial"/>
          <w:sz w:val="24"/>
          <w:szCs w:val="24"/>
        </w:rPr>
        <w:t xml:space="preserve">their background, </w:t>
      </w:r>
      <w:r w:rsidRPr="008E66D5">
        <w:rPr>
          <w:rFonts w:ascii="Arial" w:hAnsi="Arial" w:cs="Arial"/>
          <w:sz w:val="24"/>
          <w:szCs w:val="24"/>
        </w:rPr>
        <w:t>including</w:t>
      </w:r>
      <w:r w:rsidR="007A5A36" w:rsidRPr="008E66D5">
        <w:rPr>
          <w:rFonts w:ascii="Arial" w:hAnsi="Arial" w:cs="Arial"/>
          <w:sz w:val="24"/>
          <w:szCs w:val="24"/>
        </w:rPr>
        <w:t xml:space="preserve"> research </w:t>
      </w:r>
      <w:r w:rsidR="002F6204" w:rsidRPr="008E66D5">
        <w:rPr>
          <w:rFonts w:ascii="Arial" w:hAnsi="Arial" w:cs="Arial"/>
          <w:sz w:val="24"/>
          <w:szCs w:val="24"/>
        </w:rPr>
        <w:t xml:space="preserve">and </w:t>
      </w:r>
      <w:r w:rsidR="007A5A36" w:rsidRPr="008E66D5">
        <w:rPr>
          <w:rFonts w:ascii="Arial" w:hAnsi="Arial" w:cs="Arial"/>
          <w:sz w:val="24"/>
          <w:szCs w:val="24"/>
        </w:rPr>
        <w:t>clinical experience.</w:t>
      </w:r>
    </w:p>
    <w:p w14:paraId="75775C9F" w14:textId="3AAFD2A1" w:rsidR="0004646C" w:rsidRPr="008E66D5" w:rsidRDefault="2391D53B" w:rsidP="00D73116">
      <w:pPr>
        <w:spacing w:before="160" w:line="276" w:lineRule="auto"/>
        <w:rPr>
          <w:rFonts w:ascii="Arial" w:hAnsi="Arial" w:cs="Arial"/>
          <w:sz w:val="26"/>
          <w:szCs w:val="26"/>
        </w:rPr>
      </w:pPr>
      <w:r w:rsidRPr="008E66D5">
        <w:rPr>
          <w:rFonts w:ascii="Arial" w:hAnsi="Arial" w:cs="Arial"/>
          <w:sz w:val="26"/>
          <w:szCs w:val="26"/>
        </w:rPr>
        <w:t>Inter</w:t>
      </w:r>
      <w:r w:rsidR="67622CED" w:rsidRPr="008E66D5">
        <w:rPr>
          <w:rFonts w:ascii="Arial" w:hAnsi="Arial" w:cs="Arial"/>
          <w:sz w:val="26"/>
          <w:szCs w:val="26"/>
        </w:rPr>
        <w:t>coder</w:t>
      </w:r>
      <w:r w:rsidRPr="008E66D5">
        <w:rPr>
          <w:rFonts w:ascii="Arial" w:hAnsi="Arial" w:cs="Arial"/>
          <w:sz w:val="26"/>
          <w:szCs w:val="26"/>
        </w:rPr>
        <w:t xml:space="preserve"> </w:t>
      </w:r>
      <w:r w:rsidR="544B1290" w:rsidRPr="008E66D5">
        <w:rPr>
          <w:rFonts w:ascii="Arial" w:hAnsi="Arial" w:cs="Arial"/>
          <w:sz w:val="26"/>
          <w:szCs w:val="26"/>
        </w:rPr>
        <w:t>reliability</w:t>
      </w:r>
    </w:p>
    <w:p w14:paraId="752C3961" w14:textId="1FAE37AC" w:rsidR="006B5B5B" w:rsidRPr="008E66D5" w:rsidRDefault="6A7E4A18" w:rsidP="00D73116">
      <w:pPr>
        <w:spacing w:before="160" w:line="276" w:lineRule="auto"/>
        <w:rPr>
          <w:rFonts w:ascii="Arial" w:hAnsi="Arial" w:cs="Arial"/>
          <w:sz w:val="24"/>
          <w:szCs w:val="24"/>
        </w:rPr>
      </w:pPr>
      <w:r w:rsidRPr="008E66D5">
        <w:rPr>
          <w:rFonts w:ascii="Arial" w:hAnsi="Arial" w:cs="Arial"/>
          <w:sz w:val="24"/>
          <w:szCs w:val="24"/>
        </w:rPr>
        <w:t>Intercoder reliability was assessed to ensure consistency in mapping factors to the frameworks.</w:t>
      </w:r>
      <w:r w:rsidR="2BEFA43D" w:rsidRPr="008E66D5">
        <w:rPr>
          <w:rFonts w:ascii="Arial" w:hAnsi="Arial" w:cs="Arial"/>
          <w:sz w:val="24"/>
          <w:szCs w:val="24"/>
        </w:rPr>
        <w:t xml:space="preserve"> </w:t>
      </w:r>
      <w:r w:rsidR="00045E28" w:rsidRPr="008E66D5">
        <w:rPr>
          <w:rFonts w:ascii="Arial" w:hAnsi="Arial" w:cs="Arial"/>
          <w:sz w:val="24"/>
          <w:szCs w:val="24"/>
        </w:rPr>
        <w:t>NPT constructs yielded an intercoder reliability rate (IRR) of 7</w:t>
      </w:r>
      <w:r w:rsidR="005A7865" w:rsidRPr="008E66D5">
        <w:rPr>
          <w:rFonts w:ascii="Arial" w:hAnsi="Arial" w:cs="Arial"/>
          <w:sz w:val="24"/>
          <w:szCs w:val="24"/>
        </w:rPr>
        <w:t>3</w:t>
      </w:r>
      <w:r w:rsidR="00045E28" w:rsidRPr="008E66D5">
        <w:rPr>
          <w:rFonts w:ascii="Arial" w:hAnsi="Arial" w:cs="Arial"/>
          <w:sz w:val="24"/>
          <w:szCs w:val="24"/>
        </w:rPr>
        <w:t>%, while TDF domains achieved 8</w:t>
      </w:r>
      <w:r w:rsidR="005A7865" w:rsidRPr="008E66D5">
        <w:rPr>
          <w:rFonts w:ascii="Arial" w:hAnsi="Arial" w:cs="Arial"/>
          <w:sz w:val="24"/>
          <w:szCs w:val="24"/>
        </w:rPr>
        <w:t>4</w:t>
      </w:r>
      <w:r w:rsidR="00045E28" w:rsidRPr="008E66D5">
        <w:rPr>
          <w:rFonts w:ascii="Arial" w:hAnsi="Arial" w:cs="Arial"/>
          <w:sz w:val="24"/>
          <w:szCs w:val="24"/>
        </w:rPr>
        <w:t xml:space="preserve">%. </w:t>
      </w:r>
      <w:r w:rsidR="6B2372E3" w:rsidRPr="008E66D5">
        <w:rPr>
          <w:rFonts w:ascii="Arial" w:hAnsi="Arial" w:cs="Arial"/>
          <w:sz w:val="24"/>
          <w:szCs w:val="24"/>
        </w:rPr>
        <w:t>Consistent with established benchmarks,</w:t>
      </w:r>
      <w:bookmarkStart w:id="0" w:name="_Hlk187347883"/>
      <w:r w:rsidR="00045E28" w:rsidRPr="008E66D5">
        <w:rPr>
          <w:rFonts w:ascii="Arial" w:hAnsi="Arial" w:cs="Arial"/>
          <w:sz w:val="24"/>
          <w:szCs w:val="24"/>
        </w:rPr>
        <w:t xml:space="preserve"> IRR ≥ 81% </w:t>
      </w:r>
      <w:r w:rsidR="6B2372E3" w:rsidRPr="008E66D5">
        <w:rPr>
          <w:rFonts w:ascii="Arial" w:hAnsi="Arial" w:cs="Arial"/>
          <w:sz w:val="24"/>
          <w:szCs w:val="24"/>
        </w:rPr>
        <w:t>was interpreted as</w:t>
      </w:r>
      <w:r w:rsidR="284CAA37" w:rsidRPr="008E66D5">
        <w:rPr>
          <w:rFonts w:ascii="Arial" w:hAnsi="Arial" w:cs="Arial"/>
          <w:sz w:val="24"/>
          <w:szCs w:val="24"/>
        </w:rPr>
        <w:t xml:space="preserve"> almost perfect agreement, values between 61</w:t>
      </w:r>
      <w:r w:rsidR="005F23D9" w:rsidRPr="008E66D5">
        <w:rPr>
          <w:rFonts w:ascii="Arial" w:hAnsi="Arial" w:cs="Arial"/>
          <w:sz w:val="24"/>
          <w:szCs w:val="24"/>
        </w:rPr>
        <w:t>%</w:t>
      </w:r>
      <w:r w:rsidR="284CAA37" w:rsidRPr="008E66D5">
        <w:rPr>
          <w:rFonts w:ascii="Arial" w:hAnsi="Arial" w:cs="Arial"/>
          <w:sz w:val="24"/>
          <w:szCs w:val="24"/>
        </w:rPr>
        <w:t xml:space="preserve"> and 80</w:t>
      </w:r>
      <w:r w:rsidR="005F23D9" w:rsidRPr="008E66D5">
        <w:rPr>
          <w:rFonts w:ascii="Arial" w:hAnsi="Arial" w:cs="Arial"/>
          <w:sz w:val="24"/>
          <w:szCs w:val="24"/>
        </w:rPr>
        <w:t>%</w:t>
      </w:r>
      <w:r w:rsidR="284CAA37" w:rsidRPr="008E66D5">
        <w:rPr>
          <w:rFonts w:ascii="Arial" w:hAnsi="Arial" w:cs="Arial"/>
          <w:sz w:val="24"/>
          <w:szCs w:val="24"/>
        </w:rPr>
        <w:t xml:space="preserve"> as substantial agreement</w:t>
      </w:r>
      <w:r w:rsidR="6B2372E3" w:rsidRPr="008E66D5">
        <w:rPr>
          <w:rFonts w:ascii="Arial" w:hAnsi="Arial" w:cs="Arial"/>
          <w:sz w:val="24"/>
          <w:szCs w:val="24"/>
        </w:rPr>
        <w:t>, and v</w:t>
      </w:r>
      <w:r w:rsidR="284CAA37" w:rsidRPr="008E66D5">
        <w:rPr>
          <w:rFonts w:ascii="Arial" w:hAnsi="Arial" w:cs="Arial"/>
          <w:sz w:val="24"/>
          <w:szCs w:val="24"/>
        </w:rPr>
        <w:t xml:space="preserve">alues </w:t>
      </w:r>
      <w:r w:rsidR="6B2372E3" w:rsidRPr="008E66D5">
        <w:rPr>
          <w:rFonts w:ascii="Arial" w:hAnsi="Arial" w:cs="Arial"/>
          <w:sz w:val="24"/>
          <w:szCs w:val="24"/>
        </w:rPr>
        <w:t>between</w:t>
      </w:r>
      <w:r w:rsidR="284CAA37" w:rsidRPr="008E66D5">
        <w:rPr>
          <w:rFonts w:ascii="Arial" w:hAnsi="Arial" w:cs="Arial"/>
          <w:sz w:val="24"/>
          <w:szCs w:val="24"/>
        </w:rPr>
        <w:t xml:space="preserve"> </w:t>
      </w:r>
      <w:r w:rsidR="6B2372E3" w:rsidRPr="008E66D5">
        <w:rPr>
          <w:rFonts w:ascii="Arial" w:hAnsi="Arial" w:cs="Arial"/>
          <w:sz w:val="24"/>
          <w:szCs w:val="24"/>
        </w:rPr>
        <w:t>40</w:t>
      </w:r>
      <w:r w:rsidR="005F23D9" w:rsidRPr="008E66D5">
        <w:rPr>
          <w:rFonts w:ascii="Arial" w:hAnsi="Arial" w:cs="Arial"/>
          <w:sz w:val="24"/>
          <w:szCs w:val="24"/>
        </w:rPr>
        <w:t>%</w:t>
      </w:r>
      <w:r w:rsidR="6B2372E3" w:rsidRPr="008E66D5">
        <w:rPr>
          <w:rFonts w:ascii="Arial" w:hAnsi="Arial" w:cs="Arial"/>
          <w:sz w:val="24"/>
          <w:szCs w:val="24"/>
        </w:rPr>
        <w:t xml:space="preserve"> and </w:t>
      </w:r>
      <w:r w:rsidR="284CAA37" w:rsidRPr="008E66D5">
        <w:rPr>
          <w:rFonts w:ascii="Arial" w:hAnsi="Arial" w:cs="Arial"/>
          <w:sz w:val="24"/>
          <w:szCs w:val="24"/>
        </w:rPr>
        <w:t>60</w:t>
      </w:r>
      <w:r w:rsidR="005F23D9" w:rsidRPr="008E66D5">
        <w:rPr>
          <w:rFonts w:ascii="Arial" w:hAnsi="Arial" w:cs="Arial"/>
          <w:sz w:val="24"/>
          <w:szCs w:val="24"/>
        </w:rPr>
        <w:t>%</w:t>
      </w:r>
      <w:r w:rsidR="284CAA37" w:rsidRPr="008E66D5">
        <w:rPr>
          <w:rFonts w:ascii="Arial" w:hAnsi="Arial" w:cs="Arial"/>
          <w:sz w:val="24"/>
          <w:szCs w:val="24"/>
        </w:rPr>
        <w:t xml:space="preserve"> </w:t>
      </w:r>
      <w:r w:rsidR="6B2372E3" w:rsidRPr="008E66D5">
        <w:rPr>
          <w:rFonts w:ascii="Arial" w:hAnsi="Arial" w:cs="Arial"/>
          <w:sz w:val="24"/>
          <w:szCs w:val="24"/>
        </w:rPr>
        <w:t>as</w:t>
      </w:r>
      <w:r w:rsidR="284CAA37" w:rsidRPr="008E66D5">
        <w:rPr>
          <w:rFonts w:ascii="Arial" w:hAnsi="Arial" w:cs="Arial"/>
          <w:sz w:val="24"/>
          <w:szCs w:val="24"/>
        </w:rPr>
        <w:t xml:space="preserve"> moderate</w:t>
      </w:r>
      <w:r w:rsidR="00376CE1" w:rsidRPr="008E66D5">
        <w:rPr>
          <w:rFonts w:ascii="Arial" w:hAnsi="Arial" w:cs="Arial"/>
          <w:sz w:val="24"/>
          <w:szCs w:val="24"/>
        </w:rPr>
        <w:t xml:space="preserve"> </w:t>
      </w:r>
      <w:r w:rsidR="005E312E" w:rsidRPr="008E66D5">
        <w:rPr>
          <w:rFonts w:ascii="Arial" w:hAnsi="Arial" w:cs="Arial"/>
          <w:sz w:val="24"/>
          <w:szCs w:val="24"/>
          <w:vertAlign w:val="superscript"/>
        </w:rPr>
        <w:t>38</w:t>
      </w:r>
      <w:r w:rsidR="6B2372E3" w:rsidRPr="008E66D5">
        <w:rPr>
          <w:rFonts w:ascii="Arial" w:hAnsi="Arial" w:cs="Arial"/>
          <w:sz w:val="24"/>
          <w:szCs w:val="24"/>
        </w:rPr>
        <w:t>. Scores</w:t>
      </w:r>
      <w:r w:rsidR="284CAA37" w:rsidRPr="008E66D5">
        <w:rPr>
          <w:rFonts w:ascii="Arial" w:hAnsi="Arial" w:cs="Arial"/>
          <w:sz w:val="24"/>
          <w:szCs w:val="24"/>
        </w:rPr>
        <w:t xml:space="preserve"> below 40</w:t>
      </w:r>
      <w:r w:rsidR="005F23D9" w:rsidRPr="008E66D5">
        <w:rPr>
          <w:rFonts w:ascii="Arial" w:hAnsi="Arial" w:cs="Arial"/>
          <w:sz w:val="24"/>
          <w:szCs w:val="24"/>
        </w:rPr>
        <w:t>%</w:t>
      </w:r>
      <w:r w:rsidR="00045E28" w:rsidRPr="008E66D5">
        <w:rPr>
          <w:rFonts w:ascii="Arial" w:hAnsi="Arial" w:cs="Arial"/>
          <w:sz w:val="24"/>
          <w:szCs w:val="24"/>
        </w:rPr>
        <w:t xml:space="preserve">, </w:t>
      </w:r>
      <w:r w:rsidR="6B2372E3" w:rsidRPr="008E66D5">
        <w:rPr>
          <w:rFonts w:ascii="Arial" w:hAnsi="Arial" w:cs="Arial"/>
          <w:sz w:val="24"/>
          <w:szCs w:val="24"/>
        </w:rPr>
        <w:t>were considered</w:t>
      </w:r>
      <w:r w:rsidR="284CAA37" w:rsidRPr="008E66D5">
        <w:rPr>
          <w:rFonts w:ascii="Arial" w:hAnsi="Arial" w:cs="Arial"/>
          <w:sz w:val="24"/>
          <w:szCs w:val="24"/>
        </w:rPr>
        <w:t xml:space="preserve"> fair</w:t>
      </w:r>
      <w:r w:rsidR="07C44F6E" w:rsidRPr="008E66D5">
        <w:rPr>
          <w:rFonts w:ascii="Arial" w:hAnsi="Arial" w:cs="Arial"/>
          <w:sz w:val="24"/>
          <w:szCs w:val="24"/>
        </w:rPr>
        <w:t xml:space="preserve"> or poor agreemen</w:t>
      </w:r>
      <w:r w:rsidR="00512EBD" w:rsidRPr="008E66D5">
        <w:rPr>
          <w:rFonts w:ascii="Arial" w:hAnsi="Arial" w:cs="Arial"/>
          <w:sz w:val="24"/>
          <w:szCs w:val="24"/>
        </w:rPr>
        <w:t>t and</w:t>
      </w:r>
      <w:r w:rsidR="798BA7F7" w:rsidRPr="008E66D5">
        <w:rPr>
          <w:rFonts w:ascii="Arial" w:hAnsi="Arial" w:cs="Arial"/>
          <w:sz w:val="24"/>
          <w:szCs w:val="24"/>
        </w:rPr>
        <w:t xml:space="preserve"> have not been included</w:t>
      </w:r>
      <w:r w:rsidR="00D84963" w:rsidRPr="008E66D5">
        <w:rPr>
          <w:rFonts w:ascii="Arial" w:hAnsi="Arial" w:cs="Arial"/>
          <w:sz w:val="24"/>
          <w:szCs w:val="24"/>
        </w:rPr>
        <w:t xml:space="preserve"> </w:t>
      </w:r>
      <w:bookmarkEnd w:id="0"/>
      <w:r w:rsidR="005E312E" w:rsidRPr="008E66D5">
        <w:rPr>
          <w:rFonts w:ascii="Arial" w:hAnsi="Arial" w:cs="Arial"/>
          <w:sz w:val="24"/>
          <w:szCs w:val="24"/>
          <w:vertAlign w:val="superscript"/>
        </w:rPr>
        <w:t>38</w:t>
      </w:r>
      <w:r w:rsidR="00D84963" w:rsidRPr="008E66D5">
        <w:rPr>
          <w:rFonts w:ascii="Arial" w:hAnsi="Arial" w:cs="Arial"/>
          <w:sz w:val="24"/>
          <w:szCs w:val="24"/>
        </w:rPr>
        <w:t>.</w:t>
      </w:r>
      <w:r w:rsidR="07C44F6E" w:rsidRPr="008E66D5">
        <w:rPr>
          <w:rFonts w:ascii="Arial" w:hAnsi="Arial" w:cs="Arial"/>
          <w:sz w:val="24"/>
          <w:szCs w:val="24"/>
        </w:rPr>
        <w:t xml:space="preserve"> </w:t>
      </w:r>
      <w:r w:rsidR="006B5B5B" w:rsidRPr="008E66D5">
        <w:rPr>
          <w:rFonts w:ascii="Arial" w:hAnsi="Arial" w:cs="Arial"/>
          <w:sz w:val="24"/>
          <w:szCs w:val="24"/>
        </w:rPr>
        <w:t xml:space="preserve">Table </w:t>
      </w:r>
      <w:r w:rsidR="00844328">
        <w:rPr>
          <w:rFonts w:ascii="Arial" w:hAnsi="Arial" w:cs="Arial"/>
          <w:sz w:val="24"/>
          <w:szCs w:val="24"/>
        </w:rPr>
        <w:t>1</w:t>
      </w:r>
      <w:r w:rsidR="006B5B5B" w:rsidRPr="008E66D5">
        <w:rPr>
          <w:rFonts w:ascii="Arial" w:hAnsi="Arial" w:cs="Arial"/>
          <w:sz w:val="24"/>
          <w:szCs w:val="24"/>
        </w:rPr>
        <w:t xml:space="preserve"> reports </w:t>
      </w:r>
      <w:r w:rsidR="009A6F9C" w:rsidRPr="008E66D5">
        <w:rPr>
          <w:rFonts w:ascii="Arial" w:hAnsi="Arial" w:cs="Arial"/>
          <w:sz w:val="24"/>
          <w:szCs w:val="24"/>
        </w:rPr>
        <w:t xml:space="preserve">the factors from the review that mapped against </w:t>
      </w:r>
      <w:r w:rsidR="006B5B5B" w:rsidRPr="008E66D5">
        <w:rPr>
          <w:rFonts w:ascii="Arial" w:hAnsi="Arial" w:cs="Arial"/>
          <w:sz w:val="24"/>
          <w:szCs w:val="24"/>
        </w:rPr>
        <w:t>the constructs and domains with the highest coder agreement</w:t>
      </w:r>
      <w:r w:rsidR="005E312E" w:rsidRPr="008E66D5">
        <w:rPr>
          <w:rFonts w:ascii="Arial" w:hAnsi="Arial" w:cs="Arial"/>
          <w:sz w:val="24"/>
          <w:szCs w:val="24"/>
        </w:rPr>
        <w:t>.</w:t>
      </w:r>
    </w:p>
    <w:p w14:paraId="4BDF7BB0" w14:textId="3CA24077" w:rsidR="006B5B5B" w:rsidRPr="008E66D5" w:rsidRDefault="006B5B5B" w:rsidP="00D73116">
      <w:pPr>
        <w:spacing w:before="160" w:line="276" w:lineRule="auto"/>
        <w:rPr>
          <w:rFonts w:ascii="Arial" w:hAnsi="Arial" w:cs="Arial"/>
          <w:sz w:val="24"/>
          <w:szCs w:val="24"/>
        </w:rPr>
        <w:sectPr w:rsidR="006B5B5B" w:rsidRPr="008E66D5" w:rsidSect="00091191">
          <w:type w:val="continuous"/>
          <w:pgSz w:w="11906" w:h="16838"/>
          <w:pgMar w:top="1440" w:right="1080" w:bottom="1440" w:left="1080" w:header="708" w:footer="708" w:gutter="0"/>
          <w:cols w:space="708"/>
          <w:docGrid w:linePitch="360"/>
        </w:sectPr>
      </w:pPr>
    </w:p>
    <w:p w14:paraId="036AB28E" w14:textId="39292923" w:rsidR="006F05EA" w:rsidRPr="008E66D5" w:rsidRDefault="006F05EA" w:rsidP="003E79C5">
      <w:pPr>
        <w:spacing w:after="0" w:line="240" w:lineRule="auto"/>
        <w:rPr>
          <w:rFonts w:ascii="Arial" w:hAnsi="Arial" w:cs="Arial"/>
          <w:b/>
          <w:bCs/>
          <w:sz w:val="24"/>
          <w:szCs w:val="24"/>
        </w:rPr>
      </w:pPr>
      <w:bookmarkStart w:id="1" w:name="_Hlk166093034"/>
      <w:r w:rsidRPr="008E66D5">
        <w:rPr>
          <w:rFonts w:ascii="Arial" w:eastAsia="Aptos" w:hAnsi="Arial" w:cs="Arial"/>
          <w:b/>
          <w:bCs/>
          <w:sz w:val="24"/>
          <w:szCs w:val="24"/>
        </w:rPr>
        <w:lastRenderedPageBreak/>
        <w:t xml:space="preserve">Table </w:t>
      </w:r>
      <w:r w:rsidR="00844328">
        <w:rPr>
          <w:rFonts w:ascii="Arial" w:eastAsia="Aptos" w:hAnsi="Arial" w:cs="Arial"/>
          <w:b/>
          <w:bCs/>
          <w:sz w:val="24"/>
          <w:szCs w:val="24"/>
        </w:rPr>
        <w:t>1</w:t>
      </w:r>
      <w:r w:rsidRPr="008E66D5">
        <w:rPr>
          <w:rFonts w:ascii="Arial" w:eastAsia="Aptos" w:hAnsi="Arial" w:cs="Arial"/>
          <w:b/>
          <w:bCs/>
          <w:sz w:val="24"/>
          <w:szCs w:val="24"/>
        </w:rPr>
        <w:t xml:space="preserve">. </w:t>
      </w:r>
      <w:r w:rsidR="00BE3DAB" w:rsidRPr="008E66D5">
        <w:rPr>
          <w:rFonts w:ascii="Arial" w:eastAsia="Aptos" w:hAnsi="Arial" w:cs="Arial"/>
          <w:sz w:val="24"/>
          <w:szCs w:val="24"/>
        </w:rPr>
        <w:t>D</w:t>
      </w:r>
      <w:r w:rsidRPr="008E66D5">
        <w:rPr>
          <w:rFonts w:ascii="Arial" w:eastAsia="Aptos" w:hAnsi="Arial" w:cs="Arial"/>
          <w:sz w:val="24"/>
          <w:szCs w:val="24"/>
        </w:rPr>
        <w:t xml:space="preserve">ecarbonisation </w:t>
      </w:r>
      <w:r w:rsidR="00BE3DAB" w:rsidRPr="008E66D5">
        <w:rPr>
          <w:rFonts w:ascii="Arial" w:eastAsia="Aptos" w:hAnsi="Arial" w:cs="Arial"/>
          <w:sz w:val="24"/>
          <w:szCs w:val="24"/>
        </w:rPr>
        <w:t xml:space="preserve">factors </w:t>
      </w:r>
      <w:r w:rsidR="005E312E" w:rsidRPr="008E66D5">
        <w:rPr>
          <w:rFonts w:ascii="Arial" w:eastAsia="Aptos" w:hAnsi="Arial" w:cs="Arial"/>
          <w:sz w:val="24"/>
          <w:szCs w:val="24"/>
        </w:rPr>
        <w:t xml:space="preserve">derived from </w:t>
      </w:r>
      <w:r w:rsidR="007A1B82">
        <w:rPr>
          <w:rFonts w:ascii="Arial" w:eastAsia="Aptos" w:hAnsi="Arial" w:cs="Arial"/>
          <w:sz w:val="24"/>
          <w:szCs w:val="24"/>
        </w:rPr>
        <w:t>the literature</w:t>
      </w:r>
      <w:r w:rsidR="005E312E" w:rsidRPr="008E66D5">
        <w:rPr>
          <w:rFonts w:ascii="Arial" w:eastAsia="Aptos" w:hAnsi="Arial" w:cs="Arial"/>
          <w:sz w:val="24"/>
          <w:szCs w:val="24"/>
          <w:vertAlign w:val="superscript"/>
        </w:rPr>
        <w:t xml:space="preserve">33 </w:t>
      </w:r>
      <w:r w:rsidRPr="008E66D5">
        <w:rPr>
          <w:rFonts w:ascii="Arial" w:hAnsi="Arial" w:cs="Arial"/>
          <w:sz w:val="24"/>
          <w:szCs w:val="24"/>
        </w:rPr>
        <w:t xml:space="preserve">mapped to the </w:t>
      </w:r>
      <w:r w:rsidR="00EC09DB" w:rsidRPr="008E66D5">
        <w:rPr>
          <w:rFonts w:ascii="Arial" w:hAnsi="Arial" w:cs="Arial"/>
          <w:sz w:val="24"/>
          <w:szCs w:val="24"/>
        </w:rPr>
        <w:t>NPT and TDF</w:t>
      </w:r>
    </w:p>
    <w:tbl>
      <w:tblPr>
        <w:tblStyle w:val="TableGrid"/>
        <w:tblW w:w="15304" w:type="dxa"/>
        <w:tblLook w:val="04A0" w:firstRow="1" w:lastRow="0" w:firstColumn="1" w:lastColumn="0" w:noHBand="0" w:noVBand="1"/>
      </w:tblPr>
      <w:tblGrid>
        <w:gridCol w:w="7508"/>
        <w:gridCol w:w="3176"/>
        <w:gridCol w:w="4620"/>
      </w:tblGrid>
      <w:tr w:rsidR="00ED4629" w:rsidRPr="008E66D5" w14:paraId="7F765763" w14:textId="77777777" w:rsidTr="6F39E01A">
        <w:trPr>
          <w:trHeight w:val="300"/>
        </w:trPr>
        <w:tc>
          <w:tcPr>
            <w:tcW w:w="7508" w:type="dxa"/>
            <w:shd w:val="clear" w:color="auto" w:fill="auto"/>
          </w:tcPr>
          <w:bookmarkEnd w:id="1"/>
          <w:p w14:paraId="2F5096FA" w14:textId="4DED94DE" w:rsidR="00C53110" w:rsidRPr="008E66D5" w:rsidRDefault="00C53110" w:rsidP="003E79C5">
            <w:pPr>
              <w:jc w:val="center"/>
              <w:rPr>
                <w:rFonts w:ascii="Arial" w:eastAsia="Aptos" w:hAnsi="Arial" w:cs="Arial"/>
                <w:b/>
                <w:bCs/>
                <w:sz w:val="20"/>
                <w:szCs w:val="20"/>
                <w:vertAlign w:val="superscript"/>
              </w:rPr>
            </w:pPr>
            <w:r w:rsidRPr="008E66D5">
              <w:rPr>
                <w:rFonts w:ascii="Arial" w:eastAsia="Aptos" w:hAnsi="Arial" w:cs="Arial"/>
                <w:b/>
                <w:bCs/>
                <w:sz w:val="20"/>
                <w:szCs w:val="20"/>
              </w:rPr>
              <w:t xml:space="preserve">Factors </w:t>
            </w:r>
            <w:r w:rsidR="005E312E" w:rsidRPr="008E66D5">
              <w:rPr>
                <w:rFonts w:ascii="Arial" w:eastAsia="Aptos" w:hAnsi="Arial" w:cs="Arial"/>
                <w:b/>
                <w:bCs/>
                <w:sz w:val="20"/>
                <w:szCs w:val="20"/>
                <w:vertAlign w:val="superscript"/>
              </w:rPr>
              <w:t>33</w:t>
            </w:r>
          </w:p>
        </w:tc>
        <w:tc>
          <w:tcPr>
            <w:tcW w:w="3176" w:type="dxa"/>
          </w:tcPr>
          <w:p w14:paraId="4CAC112F" w14:textId="3C8C9E98" w:rsidR="009B0688" w:rsidRPr="008E66D5" w:rsidRDefault="00C53110" w:rsidP="003E79C5">
            <w:pPr>
              <w:jc w:val="center"/>
              <w:rPr>
                <w:rFonts w:ascii="Arial" w:hAnsi="Arial" w:cs="Arial"/>
                <w:b/>
                <w:bCs/>
                <w:sz w:val="20"/>
                <w:szCs w:val="20"/>
              </w:rPr>
            </w:pPr>
            <w:r w:rsidRPr="008E66D5">
              <w:rPr>
                <w:rFonts w:ascii="Arial" w:hAnsi="Arial" w:cs="Arial"/>
                <w:b/>
                <w:bCs/>
                <w:sz w:val="20"/>
                <w:szCs w:val="20"/>
              </w:rPr>
              <w:t>NPT</w:t>
            </w:r>
            <w:r w:rsidRPr="008E66D5">
              <w:rPr>
                <w:rFonts w:ascii="Arial" w:hAnsi="Arial" w:cs="Arial"/>
                <w:sz w:val="20"/>
                <w:szCs w:val="20"/>
              </w:rPr>
              <w:t xml:space="preserve"> </w:t>
            </w:r>
            <w:r w:rsidRPr="008E66D5">
              <w:rPr>
                <w:rFonts w:ascii="Arial" w:hAnsi="Arial" w:cs="Arial"/>
                <w:b/>
                <w:bCs/>
                <w:sz w:val="20"/>
                <w:szCs w:val="20"/>
              </w:rPr>
              <w:t>core construct</w:t>
            </w:r>
          </w:p>
          <w:p w14:paraId="41BCC0CC" w14:textId="7EA9A1AB" w:rsidR="00C53110" w:rsidRPr="008E66D5" w:rsidRDefault="084D4ADE" w:rsidP="003E79C5">
            <w:pPr>
              <w:jc w:val="center"/>
              <w:rPr>
                <w:rFonts w:ascii="Arial" w:eastAsia="Aptos" w:hAnsi="Arial" w:cs="Arial"/>
                <w:b/>
                <w:bCs/>
                <w:sz w:val="20"/>
                <w:szCs w:val="20"/>
              </w:rPr>
            </w:pPr>
            <w:r w:rsidRPr="008E66D5">
              <w:rPr>
                <w:rFonts w:ascii="Arial" w:hAnsi="Arial" w:cs="Arial"/>
                <w:b/>
                <w:bCs/>
                <w:sz w:val="20"/>
                <w:szCs w:val="20"/>
              </w:rPr>
              <w:t>(</w:t>
            </w:r>
            <w:r w:rsidR="14E49D6F" w:rsidRPr="008E66D5">
              <w:rPr>
                <w:rFonts w:ascii="Arial" w:hAnsi="Arial" w:cs="Arial"/>
                <w:b/>
                <w:bCs/>
                <w:sz w:val="20"/>
                <w:szCs w:val="20"/>
              </w:rPr>
              <w:t xml:space="preserve">% </w:t>
            </w:r>
            <w:proofErr w:type="gramStart"/>
            <w:r w:rsidRPr="008E66D5">
              <w:rPr>
                <w:rFonts w:ascii="Arial" w:hAnsi="Arial" w:cs="Arial"/>
                <w:b/>
                <w:bCs/>
                <w:sz w:val="20"/>
                <w:szCs w:val="20"/>
              </w:rPr>
              <w:t>agreement)*</w:t>
            </w:r>
            <w:proofErr w:type="gramEnd"/>
          </w:p>
        </w:tc>
        <w:tc>
          <w:tcPr>
            <w:tcW w:w="4620" w:type="dxa"/>
          </w:tcPr>
          <w:p w14:paraId="5E857110" w14:textId="79ACFB11" w:rsidR="00C95DDC" w:rsidRPr="008E66D5" w:rsidRDefault="00C53110" w:rsidP="003E79C5">
            <w:pPr>
              <w:jc w:val="center"/>
              <w:rPr>
                <w:rFonts w:ascii="Arial" w:hAnsi="Arial" w:cs="Arial"/>
                <w:b/>
                <w:bCs/>
                <w:sz w:val="20"/>
                <w:szCs w:val="20"/>
              </w:rPr>
            </w:pPr>
            <w:r w:rsidRPr="008E66D5">
              <w:rPr>
                <w:rFonts w:ascii="Arial" w:hAnsi="Arial" w:cs="Arial"/>
                <w:b/>
                <w:bCs/>
                <w:sz w:val="20"/>
                <w:szCs w:val="20"/>
              </w:rPr>
              <w:t>TDF</w:t>
            </w:r>
            <w:r w:rsidRPr="008E66D5">
              <w:rPr>
                <w:rFonts w:ascii="Arial" w:hAnsi="Arial" w:cs="Arial"/>
                <w:sz w:val="20"/>
                <w:szCs w:val="20"/>
              </w:rPr>
              <w:t xml:space="preserve"> </w:t>
            </w:r>
            <w:r w:rsidRPr="008E66D5">
              <w:rPr>
                <w:rFonts w:ascii="Arial" w:hAnsi="Arial" w:cs="Arial"/>
                <w:b/>
                <w:bCs/>
                <w:sz w:val="20"/>
                <w:szCs w:val="20"/>
              </w:rPr>
              <w:t>domain</w:t>
            </w:r>
          </w:p>
          <w:p w14:paraId="013D32FF" w14:textId="40C8482B" w:rsidR="00C53110" w:rsidRPr="008E66D5" w:rsidRDefault="00C53110" w:rsidP="003E79C5">
            <w:pPr>
              <w:jc w:val="center"/>
              <w:rPr>
                <w:rFonts w:ascii="Arial" w:eastAsia="Aptos" w:hAnsi="Arial" w:cs="Arial"/>
                <w:b/>
                <w:bCs/>
                <w:sz w:val="20"/>
                <w:szCs w:val="20"/>
              </w:rPr>
            </w:pPr>
            <w:r w:rsidRPr="008E66D5">
              <w:rPr>
                <w:rFonts w:ascii="Arial" w:hAnsi="Arial" w:cs="Arial"/>
                <w:b/>
                <w:bCs/>
                <w:sz w:val="20"/>
                <w:szCs w:val="20"/>
              </w:rPr>
              <w:t>(</w:t>
            </w:r>
            <w:r w:rsidR="00C95DDC" w:rsidRPr="008E66D5">
              <w:rPr>
                <w:rFonts w:ascii="Arial" w:hAnsi="Arial" w:cs="Arial"/>
                <w:b/>
                <w:bCs/>
                <w:sz w:val="20"/>
                <w:szCs w:val="20"/>
              </w:rPr>
              <w:t xml:space="preserve">% </w:t>
            </w:r>
            <w:proofErr w:type="gramStart"/>
            <w:r w:rsidRPr="008E66D5">
              <w:rPr>
                <w:rFonts w:ascii="Arial" w:hAnsi="Arial" w:cs="Arial"/>
                <w:b/>
                <w:bCs/>
                <w:sz w:val="20"/>
                <w:szCs w:val="20"/>
              </w:rPr>
              <w:t>agreement)*</w:t>
            </w:r>
            <w:proofErr w:type="gramEnd"/>
          </w:p>
        </w:tc>
      </w:tr>
      <w:tr w:rsidR="00C53110" w:rsidRPr="008E66D5" w14:paraId="1AC77D83" w14:textId="77777777" w:rsidTr="6F39E01A">
        <w:trPr>
          <w:trHeight w:val="300"/>
        </w:trPr>
        <w:tc>
          <w:tcPr>
            <w:tcW w:w="10684" w:type="dxa"/>
            <w:gridSpan w:val="2"/>
            <w:shd w:val="clear" w:color="auto" w:fill="auto"/>
          </w:tcPr>
          <w:p w14:paraId="7A036DE8" w14:textId="77777777" w:rsidR="00C53110" w:rsidRPr="008E66D5" w:rsidRDefault="00C53110" w:rsidP="003E79C5">
            <w:pPr>
              <w:rPr>
                <w:rFonts w:ascii="Arial" w:eastAsia="Aptos" w:hAnsi="Arial" w:cs="Arial"/>
                <w:sz w:val="20"/>
                <w:szCs w:val="20"/>
              </w:rPr>
            </w:pPr>
            <w:r w:rsidRPr="008E66D5">
              <w:rPr>
                <w:rFonts w:ascii="Arial" w:eastAsia="Aptos" w:hAnsi="Arial" w:cs="Arial"/>
                <w:b/>
                <w:bCs/>
                <w:sz w:val="20"/>
                <w:szCs w:val="20"/>
              </w:rPr>
              <w:t>1. Institutional and policy support</w:t>
            </w:r>
          </w:p>
        </w:tc>
        <w:tc>
          <w:tcPr>
            <w:tcW w:w="4620" w:type="dxa"/>
          </w:tcPr>
          <w:p w14:paraId="709C45F4" w14:textId="77777777" w:rsidR="00C53110" w:rsidRPr="008E66D5" w:rsidRDefault="00C53110" w:rsidP="003E79C5">
            <w:pPr>
              <w:rPr>
                <w:rFonts w:ascii="Arial" w:eastAsia="Aptos" w:hAnsi="Arial" w:cs="Arial"/>
                <w:b/>
                <w:bCs/>
                <w:sz w:val="20"/>
                <w:szCs w:val="20"/>
              </w:rPr>
            </w:pPr>
          </w:p>
        </w:tc>
      </w:tr>
      <w:tr w:rsidR="00ED4629" w:rsidRPr="008E66D5" w14:paraId="1ADD1040" w14:textId="77777777" w:rsidTr="6F39E01A">
        <w:trPr>
          <w:trHeight w:val="300"/>
        </w:trPr>
        <w:tc>
          <w:tcPr>
            <w:tcW w:w="7508" w:type="dxa"/>
            <w:shd w:val="clear" w:color="auto" w:fill="auto"/>
          </w:tcPr>
          <w:p w14:paraId="7226D91D"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1.1. Financial incentives and policies</w:t>
            </w:r>
          </w:p>
          <w:p w14:paraId="57641529"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Financial incentives are essential for the adoption of decarbonisation actions, but inconsistent policy guidance in some regions acts as a barrier.</w:t>
            </w:r>
          </w:p>
        </w:tc>
        <w:tc>
          <w:tcPr>
            <w:tcW w:w="3176" w:type="dxa"/>
          </w:tcPr>
          <w:p w14:paraId="358CA7D4" w14:textId="74167C9E" w:rsidR="00C53110" w:rsidRPr="008E66D5" w:rsidRDefault="00C53110" w:rsidP="003E79C5">
            <w:pPr>
              <w:rPr>
                <w:rFonts w:ascii="Arial" w:hAnsi="Arial" w:cs="Arial"/>
                <w:sz w:val="20"/>
                <w:szCs w:val="20"/>
              </w:rPr>
            </w:pPr>
            <w:r w:rsidRPr="008E66D5">
              <w:rPr>
                <w:rFonts w:ascii="Arial" w:hAnsi="Arial" w:cs="Arial"/>
                <w:sz w:val="20"/>
                <w:szCs w:val="20"/>
              </w:rPr>
              <w:t>[3] Collective Action (</w:t>
            </w:r>
            <w:r w:rsidRPr="008E66D5">
              <w:rPr>
                <w:rFonts w:ascii="Arial" w:eastAsia="Aptos" w:hAnsi="Arial" w:cs="Arial"/>
                <w:sz w:val="20"/>
                <w:szCs w:val="20"/>
              </w:rPr>
              <w:t>80%)</w:t>
            </w:r>
          </w:p>
        </w:tc>
        <w:tc>
          <w:tcPr>
            <w:tcW w:w="4620" w:type="dxa"/>
          </w:tcPr>
          <w:p w14:paraId="58AE081B" w14:textId="6DC73AE3" w:rsidR="00CE4DBA" w:rsidRPr="008E66D5" w:rsidRDefault="00CE4DBA" w:rsidP="003E79C5">
            <w:pPr>
              <w:rPr>
                <w:rFonts w:ascii="Arial" w:hAnsi="Arial" w:cs="Arial"/>
                <w:sz w:val="20"/>
                <w:szCs w:val="20"/>
              </w:rPr>
            </w:pPr>
            <w:r w:rsidRPr="008E66D5">
              <w:rPr>
                <w:rFonts w:ascii="Arial" w:hAnsi="Arial" w:cs="Arial"/>
                <w:sz w:val="20"/>
                <w:szCs w:val="20"/>
              </w:rPr>
              <w:t xml:space="preserve">[7] Reinforcement (50%); </w:t>
            </w:r>
          </w:p>
          <w:p w14:paraId="700F3300" w14:textId="17C416DE"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 (</w:t>
            </w:r>
            <w:r w:rsidRPr="008E66D5">
              <w:rPr>
                <w:rFonts w:ascii="Arial" w:eastAsia="Aptos" w:hAnsi="Arial" w:cs="Arial"/>
                <w:sz w:val="20"/>
                <w:szCs w:val="20"/>
              </w:rPr>
              <w:t>100%)</w:t>
            </w:r>
          </w:p>
        </w:tc>
      </w:tr>
      <w:tr w:rsidR="00ED4629" w:rsidRPr="008E66D5" w14:paraId="510FCAC1" w14:textId="77777777" w:rsidTr="6F39E01A">
        <w:trPr>
          <w:trHeight w:val="300"/>
        </w:trPr>
        <w:tc>
          <w:tcPr>
            <w:tcW w:w="7508" w:type="dxa"/>
            <w:shd w:val="clear" w:color="auto" w:fill="auto"/>
          </w:tcPr>
          <w:p w14:paraId="2DC516E8"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1.2. Frameworks and declarations</w:t>
            </w:r>
          </w:p>
          <w:p w14:paraId="7D0C89D6"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Guidelines such as the WONCA declaration motivate GPs to integrate climate change considerations into their practices by providing structured guidelines and strategic vision.</w:t>
            </w:r>
          </w:p>
        </w:tc>
        <w:tc>
          <w:tcPr>
            <w:tcW w:w="3176" w:type="dxa"/>
          </w:tcPr>
          <w:p w14:paraId="4B88B208"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[1] Coherence (</w:t>
            </w:r>
            <w:r w:rsidRPr="008E66D5">
              <w:rPr>
                <w:rFonts w:ascii="Arial" w:eastAsia="Aptos" w:hAnsi="Arial" w:cs="Arial"/>
                <w:sz w:val="20"/>
                <w:szCs w:val="20"/>
              </w:rPr>
              <w:t>60%)</w:t>
            </w:r>
          </w:p>
          <w:p w14:paraId="6510C27D" w14:textId="33EBEDCB" w:rsidR="005442E7" w:rsidRPr="008E66D5" w:rsidRDefault="005442E7" w:rsidP="003E79C5">
            <w:pPr>
              <w:rPr>
                <w:rFonts w:ascii="Arial" w:hAnsi="Arial" w:cs="Arial"/>
                <w:sz w:val="20"/>
                <w:szCs w:val="20"/>
              </w:rPr>
            </w:pPr>
            <w:r w:rsidRPr="008E66D5">
              <w:rPr>
                <w:rFonts w:ascii="Arial" w:eastAsia="Aptos" w:hAnsi="Arial" w:cs="Arial"/>
                <w:sz w:val="20"/>
                <w:szCs w:val="20"/>
              </w:rPr>
              <w:t>[3] Collective Action (40%)</w:t>
            </w:r>
          </w:p>
        </w:tc>
        <w:tc>
          <w:tcPr>
            <w:tcW w:w="4620" w:type="dxa"/>
          </w:tcPr>
          <w:p w14:paraId="46A159D8" w14:textId="77777777" w:rsidR="00CE4DBA" w:rsidRPr="008E66D5" w:rsidRDefault="00CE4DBA" w:rsidP="003E79C5">
            <w:pPr>
              <w:rPr>
                <w:rFonts w:ascii="Arial" w:hAnsi="Arial" w:cs="Arial"/>
                <w:sz w:val="20"/>
                <w:szCs w:val="20"/>
              </w:rPr>
            </w:pPr>
            <w:r w:rsidRPr="008E66D5">
              <w:rPr>
                <w:rFonts w:ascii="Arial" w:hAnsi="Arial" w:cs="Arial"/>
                <w:sz w:val="20"/>
                <w:szCs w:val="20"/>
              </w:rPr>
              <w:t xml:space="preserve">[1] Knowledge (50%); </w:t>
            </w:r>
          </w:p>
          <w:p w14:paraId="4C21C578" w14:textId="4E224254" w:rsidR="00CE4DBA" w:rsidRPr="008E66D5" w:rsidRDefault="00CE4DBA" w:rsidP="003E79C5">
            <w:pPr>
              <w:rPr>
                <w:rFonts w:ascii="Arial" w:hAnsi="Arial" w:cs="Arial"/>
                <w:sz w:val="20"/>
                <w:szCs w:val="20"/>
              </w:rPr>
            </w:pPr>
            <w:r w:rsidRPr="008E66D5">
              <w:rPr>
                <w:rFonts w:ascii="Arial" w:hAnsi="Arial" w:cs="Arial"/>
                <w:sz w:val="20"/>
                <w:szCs w:val="20"/>
              </w:rPr>
              <w:t xml:space="preserve">[3] Social/professional role and identity (40%); </w:t>
            </w:r>
          </w:p>
          <w:p w14:paraId="4F02170B" w14:textId="6EE1164F"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 (</w:t>
            </w:r>
            <w:r w:rsidRPr="008E66D5">
              <w:rPr>
                <w:rFonts w:ascii="Arial" w:eastAsia="Aptos" w:hAnsi="Arial" w:cs="Arial"/>
                <w:sz w:val="20"/>
                <w:szCs w:val="20"/>
              </w:rPr>
              <w:t>70%)</w:t>
            </w:r>
          </w:p>
        </w:tc>
      </w:tr>
      <w:tr w:rsidR="00ED4629" w:rsidRPr="008E66D5" w14:paraId="4E31B6A6" w14:textId="77777777" w:rsidTr="6F39E01A">
        <w:trPr>
          <w:trHeight w:val="300"/>
        </w:trPr>
        <w:tc>
          <w:tcPr>
            <w:tcW w:w="7508" w:type="dxa"/>
            <w:shd w:val="clear" w:color="auto" w:fill="auto"/>
          </w:tcPr>
          <w:p w14:paraId="65E21CF0"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1.3. System-level changes</w:t>
            </w:r>
          </w:p>
          <w:p w14:paraId="2E7D0053"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Effective decarbonisation requires better networking and centralisation of sustainability efforts to ensure coherence and efficiency across the healthcare system.</w:t>
            </w:r>
          </w:p>
        </w:tc>
        <w:tc>
          <w:tcPr>
            <w:tcW w:w="3176" w:type="dxa"/>
          </w:tcPr>
          <w:p w14:paraId="59439759" w14:textId="6C5FC51B" w:rsidR="005442E7" w:rsidRPr="008E66D5" w:rsidRDefault="005442E7" w:rsidP="003E79C5">
            <w:pPr>
              <w:rPr>
                <w:rFonts w:ascii="Arial" w:hAnsi="Arial" w:cs="Arial"/>
                <w:sz w:val="20"/>
                <w:szCs w:val="20"/>
              </w:rPr>
            </w:pPr>
            <w:r w:rsidRPr="008E66D5">
              <w:rPr>
                <w:rFonts w:ascii="Arial" w:hAnsi="Arial" w:cs="Arial"/>
                <w:sz w:val="20"/>
                <w:szCs w:val="20"/>
              </w:rPr>
              <w:t xml:space="preserve">[1] Coherence (50%); </w:t>
            </w:r>
          </w:p>
          <w:p w14:paraId="0C824187" w14:textId="7CE7876F" w:rsidR="00C53110" w:rsidRPr="008E66D5" w:rsidRDefault="00C53110" w:rsidP="003E79C5">
            <w:pPr>
              <w:rPr>
                <w:rFonts w:ascii="Arial" w:hAnsi="Arial" w:cs="Arial"/>
                <w:sz w:val="20"/>
                <w:szCs w:val="20"/>
              </w:rPr>
            </w:pPr>
            <w:r w:rsidRPr="008E66D5">
              <w:rPr>
                <w:rFonts w:ascii="Arial" w:hAnsi="Arial" w:cs="Arial"/>
                <w:sz w:val="20"/>
                <w:szCs w:val="20"/>
              </w:rPr>
              <w:t>[3] Collective Action (</w:t>
            </w:r>
            <w:r w:rsidRPr="008E66D5">
              <w:rPr>
                <w:rFonts w:ascii="Arial" w:eastAsia="Aptos" w:hAnsi="Arial" w:cs="Arial"/>
                <w:sz w:val="20"/>
                <w:szCs w:val="20"/>
              </w:rPr>
              <w:t>70%)</w:t>
            </w:r>
          </w:p>
        </w:tc>
        <w:tc>
          <w:tcPr>
            <w:tcW w:w="4620" w:type="dxa"/>
          </w:tcPr>
          <w:p w14:paraId="30005A6E"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[11] Environmental context and resources (</w:t>
            </w:r>
            <w:r w:rsidRPr="008E66D5">
              <w:rPr>
                <w:rFonts w:ascii="Arial" w:eastAsia="Aptos" w:hAnsi="Arial" w:cs="Arial"/>
                <w:sz w:val="20"/>
                <w:szCs w:val="20"/>
              </w:rPr>
              <w:t>80%)</w:t>
            </w:r>
          </w:p>
          <w:p w14:paraId="7C18958E" w14:textId="121744F4" w:rsidR="00CE4DBA" w:rsidRPr="008E66D5" w:rsidRDefault="00CE4DBA" w:rsidP="003E79C5">
            <w:pPr>
              <w:rPr>
                <w:rFonts w:ascii="Arial" w:hAnsi="Arial" w:cs="Arial"/>
                <w:sz w:val="20"/>
                <w:szCs w:val="20"/>
              </w:rPr>
            </w:pPr>
            <w:r w:rsidRPr="008E66D5">
              <w:rPr>
                <w:rFonts w:ascii="Arial" w:eastAsia="Aptos" w:hAnsi="Arial" w:cs="Arial"/>
                <w:sz w:val="20"/>
                <w:szCs w:val="20"/>
              </w:rPr>
              <w:t>[12] Social influences (60%)</w:t>
            </w:r>
          </w:p>
        </w:tc>
      </w:tr>
      <w:tr w:rsidR="00C53110" w:rsidRPr="008E66D5" w14:paraId="208A4CEF" w14:textId="77777777" w:rsidTr="6F39E01A">
        <w:trPr>
          <w:trHeight w:val="300"/>
        </w:trPr>
        <w:tc>
          <w:tcPr>
            <w:tcW w:w="10684" w:type="dxa"/>
            <w:gridSpan w:val="2"/>
            <w:shd w:val="clear" w:color="auto" w:fill="auto"/>
          </w:tcPr>
          <w:p w14:paraId="6438D85E" w14:textId="77777777" w:rsidR="00C53110" w:rsidRPr="008E66D5" w:rsidRDefault="00C53110" w:rsidP="003E79C5">
            <w:pPr>
              <w:rPr>
                <w:rFonts w:ascii="Arial" w:eastAsia="Aptos" w:hAnsi="Arial" w:cs="Arial"/>
                <w:sz w:val="20"/>
                <w:szCs w:val="20"/>
              </w:rPr>
            </w:pPr>
            <w:r w:rsidRPr="008E66D5">
              <w:rPr>
                <w:rFonts w:ascii="Arial" w:eastAsia="Aptos" w:hAnsi="Arial" w:cs="Arial"/>
                <w:b/>
                <w:bCs/>
                <w:sz w:val="20"/>
                <w:szCs w:val="20"/>
              </w:rPr>
              <w:t>2. Organisational leadership, support, and constraints</w:t>
            </w:r>
          </w:p>
        </w:tc>
        <w:tc>
          <w:tcPr>
            <w:tcW w:w="4620" w:type="dxa"/>
          </w:tcPr>
          <w:p w14:paraId="73D174B9" w14:textId="77777777" w:rsidR="00C53110" w:rsidRPr="008E66D5" w:rsidRDefault="00C53110" w:rsidP="003E79C5">
            <w:pPr>
              <w:rPr>
                <w:rFonts w:ascii="Arial" w:eastAsia="Aptos" w:hAnsi="Arial" w:cs="Arial"/>
                <w:b/>
                <w:bCs/>
                <w:sz w:val="20"/>
                <w:szCs w:val="20"/>
              </w:rPr>
            </w:pPr>
          </w:p>
        </w:tc>
      </w:tr>
      <w:tr w:rsidR="00ED4629" w:rsidRPr="008E66D5" w14:paraId="6F6C8C72" w14:textId="77777777" w:rsidTr="6F39E01A">
        <w:trPr>
          <w:trHeight w:val="300"/>
        </w:trPr>
        <w:tc>
          <w:tcPr>
            <w:tcW w:w="7508" w:type="dxa"/>
            <w:shd w:val="clear" w:color="auto" w:fill="auto"/>
          </w:tcPr>
          <w:p w14:paraId="74B62E02"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2.1. Leadership and culture</w:t>
            </w:r>
          </w:p>
          <w:p w14:paraId="0C1003FB"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 xml:space="preserve">Proactive leadership and a culture that values sustainability </w:t>
            </w:r>
            <w:proofErr w:type="gramStart"/>
            <w:r w:rsidRPr="008E66D5">
              <w:rPr>
                <w:rFonts w:ascii="Arial" w:eastAsia="Aptos" w:hAnsi="Arial" w:cs="Arial"/>
                <w:sz w:val="20"/>
                <w:szCs w:val="20"/>
              </w:rPr>
              <w:t>are</w:t>
            </w:r>
            <w:proofErr w:type="gramEnd"/>
            <w:r w:rsidRPr="008E66D5">
              <w:rPr>
                <w:rFonts w:ascii="Arial" w:eastAsia="Aptos" w:hAnsi="Arial" w:cs="Arial"/>
                <w:sz w:val="20"/>
                <w:szCs w:val="20"/>
              </w:rPr>
              <w:t xml:space="preserve"> critical for driving successful decarbonisation efforts within general practices.</w:t>
            </w:r>
          </w:p>
        </w:tc>
        <w:tc>
          <w:tcPr>
            <w:tcW w:w="3176" w:type="dxa"/>
          </w:tcPr>
          <w:p w14:paraId="3D9B19FE" w14:textId="0D7EE1F4" w:rsidR="005442E7" w:rsidRPr="008E66D5" w:rsidRDefault="005442E7" w:rsidP="003E79C5">
            <w:pPr>
              <w:rPr>
                <w:rFonts w:ascii="Arial" w:hAnsi="Arial" w:cs="Arial"/>
                <w:sz w:val="20"/>
                <w:szCs w:val="20"/>
              </w:rPr>
            </w:pPr>
            <w:r w:rsidRPr="008E66D5">
              <w:rPr>
                <w:rFonts w:ascii="Arial" w:hAnsi="Arial" w:cs="Arial"/>
                <w:sz w:val="20"/>
                <w:szCs w:val="20"/>
              </w:rPr>
              <w:t>[1] Coherence (40%);</w:t>
            </w:r>
          </w:p>
          <w:p w14:paraId="5D757465" w14:textId="311995F8" w:rsidR="00C53110" w:rsidRPr="008E66D5" w:rsidRDefault="00C53110" w:rsidP="003E79C5">
            <w:pPr>
              <w:rPr>
                <w:rFonts w:ascii="Arial" w:hAnsi="Arial" w:cs="Arial"/>
                <w:sz w:val="20"/>
                <w:szCs w:val="20"/>
              </w:rPr>
            </w:pPr>
            <w:r w:rsidRPr="008E66D5">
              <w:rPr>
                <w:rFonts w:ascii="Arial" w:hAnsi="Arial" w:cs="Arial"/>
                <w:sz w:val="20"/>
                <w:szCs w:val="20"/>
              </w:rPr>
              <w:t>[2] Cognitive Participation (</w:t>
            </w:r>
            <w:r w:rsidRPr="008E66D5">
              <w:rPr>
                <w:rFonts w:ascii="Arial" w:eastAsia="Aptos" w:hAnsi="Arial" w:cs="Arial"/>
                <w:sz w:val="20"/>
                <w:szCs w:val="20"/>
              </w:rPr>
              <w:t>70%)</w:t>
            </w:r>
          </w:p>
        </w:tc>
        <w:tc>
          <w:tcPr>
            <w:tcW w:w="4620" w:type="dxa"/>
          </w:tcPr>
          <w:p w14:paraId="118F4B3B" w14:textId="77777777" w:rsidR="00CE4DBA" w:rsidRPr="008E66D5" w:rsidRDefault="00CE4DBA" w:rsidP="003E79C5">
            <w:pPr>
              <w:rPr>
                <w:rFonts w:ascii="Arial" w:hAnsi="Arial" w:cs="Arial"/>
                <w:sz w:val="20"/>
                <w:szCs w:val="20"/>
              </w:rPr>
            </w:pPr>
            <w:r w:rsidRPr="008E66D5">
              <w:rPr>
                <w:rFonts w:ascii="Arial" w:hAnsi="Arial" w:cs="Arial"/>
                <w:sz w:val="20"/>
                <w:szCs w:val="20"/>
              </w:rPr>
              <w:t xml:space="preserve">[3] Social/professional role and identity (60%); </w:t>
            </w:r>
          </w:p>
          <w:p w14:paraId="4145D3A6" w14:textId="77777777" w:rsidR="00CE4DBA" w:rsidRPr="008E66D5" w:rsidRDefault="00CE4DBA" w:rsidP="003E79C5">
            <w:pPr>
              <w:rPr>
                <w:rFonts w:ascii="Arial" w:hAnsi="Arial" w:cs="Arial"/>
                <w:sz w:val="20"/>
                <w:szCs w:val="20"/>
              </w:rPr>
            </w:pPr>
            <w:r w:rsidRPr="008E66D5">
              <w:rPr>
                <w:rFonts w:ascii="Arial" w:hAnsi="Arial" w:cs="Arial"/>
                <w:sz w:val="20"/>
                <w:szCs w:val="20"/>
              </w:rPr>
              <w:t xml:space="preserve">[11] Environmental context and resources (80%); </w:t>
            </w:r>
          </w:p>
          <w:p w14:paraId="7DFF3A14" w14:textId="2ED57081" w:rsidR="00C53110" w:rsidRPr="008E66D5" w:rsidRDefault="00CE4DBA" w:rsidP="003E79C5">
            <w:pPr>
              <w:rPr>
                <w:rFonts w:ascii="Arial" w:hAnsi="Arial" w:cs="Arial"/>
                <w:sz w:val="20"/>
                <w:szCs w:val="20"/>
              </w:rPr>
            </w:pPr>
            <w:r w:rsidRPr="008E66D5">
              <w:rPr>
                <w:rFonts w:ascii="Arial" w:hAnsi="Arial" w:cs="Arial"/>
                <w:sz w:val="20"/>
                <w:szCs w:val="20"/>
              </w:rPr>
              <w:t>[12] Social influences (40%)</w:t>
            </w:r>
          </w:p>
        </w:tc>
      </w:tr>
      <w:tr w:rsidR="00ED4629" w:rsidRPr="008E66D5" w14:paraId="0EDD3590" w14:textId="77777777" w:rsidTr="6F39E01A">
        <w:trPr>
          <w:trHeight w:val="300"/>
        </w:trPr>
        <w:tc>
          <w:tcPr>
            <w:tcW w:w="7508" w:type="dxa"/>
            <w:shd w:val="clear" w:color="auto" w:fill="auto"/>
          </w:tcPr>
          <w:p w14:paraId="3254D346"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2.2. Practice management</w:t>
            </w:r>
          </w:p>
          <w:p w14:paraId="7B39E098"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Effective leadership and staff engagement are essential for integrating decarbonisation actions into daily practice activities.</w:t>
            </w:r>
          </w:p>
        </w:tc>
        <w:tc>
          <w:tcPr>
            <w:tcW w:w="3176" w:type="dxa"/>
          </w:tcPr>
          <w:p w14:paraId="766A21F3" w14:textId="377D36D7" w:rsidR="00C53110" w:rsidRPr="008E66D5" w:rsidRDefault="00C53110" w:rsidP="003E79C5">
            <w:pPr>
              <w:rPr>
                <w:rFonts w:ascii="Arial" w:hAnsi="Arial" w:cs="Arial"/>
                <w:sz w:val="20"/>
                <w:szCs w:val="20"/>
              </w:rPr>
            </w:pPr>
            <w:r w:rsidRPr="008E66D5">
              <w:rPr>
                <w:rFonts w:ascii="Arial" w:hAnsi="Arial" w:cs="Arial"/>
                <w:sz w:val="20"/>
                <w:szCs w:val="20"/>
              </w:rPr>
              <w:t>[2] Cognitive Participation</w:t>
            </w:r>
            <w:r w:rsidR="009B0688" w:rsidRPr="008E66D5">
              <w:rPr>
                <w:rFonts w:ascii="Arial" w:hAnsi="Arial" w:cs="Arial"/>
                <w:sz w:val="20"/>
                <w:szCs w:val="20"/>
              </w:rPr>
              <w:t xml:space="preserve"> </w:t>
            </w:r>
            <w:r w:rsidRPr="008E66D5">
              <w:rPr>
                <w:rFonts w:ascii="Arial" w:eastAsia="Aptos" w:hAnsi="Arial" w:cs="Arial"/>
                <w:sz w:val="20"/>
                <w:szCs w:val="20"/>
              </w:rPr>
              <w:t>(80%)</w:t>
            </w:r>
          </w:p>
        </w:tc>
        <w:tc>
          <w:tcPr>
            <w:tcW w:w="4620" w:type="dxa"/>
          </w:tcPr>
          <w:p w14:paraId="257909AE" w14:textId="22748846" w:rsidR="00CE4DBA" w:rsidRPr="008E66D5" w:rsidRDefault="00CE4DBA" w:rsidP="003E79C5">
            <w:pPr>
              <w:rPr>
                <w:rFonts w:ascii="Arial" w:hAnsi="Arial" w:cs="Arial"/>
                <w:sz w:val="20"/>
                <w:szCs w:val="20"/>
              </w:rPr>
            </w:pPr>
            <w:r w:rsidRPr="008E66D5">
              <w:rPr>
                <w:rFonts w:ascii="Arial" w:hAnsi="Arial" w:cs="Arial"/>
                <w:sz w:val="20"/>
                <w:szCs w:val="20"/>
              </w:rPr>
              <w:t xml:space="preserve">[3] Social/professional role and identity (50%); </w:t>
            </w:r>
          </w:p>
          <w:p w14:paraId="60A5557F" w14:textId="216E7486"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w:t>
            </w:r>
            <w:r w:rsidR="009B0688" w:rsidRPr="008E66D5">
              <w:rPr>
                <w:rFonts w:ascii="Arial" w:hAnsi="Arial" w:cs="Arial"/>
                <w:sz w:val="20"/>
                <w:szCs w:val="20"/>
              </w:rPr>
              <w:t xml:space="preserve"> </w:t>
            </w:r>
            <w:r w:rsidRPr="008E66D5">
              <w:rPr>
                <w:rFonts w:ascii="Arial" w:eastAsia="Aptos" w:hAnsi="Arial" w:cs="Arial"/>
                <w:sz w:val="20"/>
                <w:szCs w:val="20"/>
              </w:rPr>
              <w:t>(60%)</w:t>
            </w:r>
          </w:p>
        </w:tc>
      </w:tr>
      <w:tr w:rsidR="00ED4629" w:rsidRPr="008E66D5" w14:paraId="181BDE3A" w14:textId="77777777" w:rsidTr="6F39E01A">
        <w:trPr>
          <w:trHeight w:val="300"/>
        </w:trPr>
        <w:tc>
          <w:tcPr>
            <w:tcW w:w="7508" w:type="dxa"/>
            <w:shd w:val="clear" w:color="auto" w:fill="auto"/>
          </w:tcPr>
          <w:p w14:paraId="575C923A"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2.3. Resource constraints</w:t>
            </w:r>
          </w:p>
          <w:p w14:paraId="1562AEC3"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High costs and resource limitations hinder the adoption of sustainable measures, requiring financial support and cost-effective solutions.</w:t>
            </w:r>
          </w:p>
        </w:tc>
        <w:tc>
          <w:tcPr>
            <w:tcW w:w="3176" w:type="dxa"/>
          </w:tcPr>
          <w:p w14:paraId="05D733B4" w14:textId="0BB11AED" w:rsidR="00C53110" w:rsidRPr="008E66D5" w:rsidRDefault="00C53110" w:rsidP="003E79C5">
            <w:pPr>
              <w:rPr>
                <w:rFonts w:ascii="Arial" w:hAnsi="Arial" w:cs="Arial"/>
                <w:sz w:val="20"/>
                <w:szCs w:val="20"/>
              </w:rPr>
            </w:pPr>
            <w:r w:rsidRPr="008E66D5">
              <w:rPr>
                <w:rFonts w:ascii="Arial" w:hAnsi="Arial" w:cs="Arial"/>
                <w:sz w:val="20"/>
                <w:szCs w:val="20"/>
              </w:rPr>
              <w:t>[3] Collective Action</w:t>
            </w:r>
            <w:r w:rsidR="009B0688" w:rsidRPr="008E66D5">
              <w:rPr>
                <w:rFonts w:ascii="Arial" w:hAnsi="Arial" w:cs="Arial"/>
                <w:sz w:val="20"/>
                <w:szCs w:val="20"/>
              </w:rPr>
              <w:t xml:space="preserve"> </w:t>
            </w:r>
            <w:r w:rsidRPr="008E66D5">
              <w:rPr>
                <w:rFonts w:ascii="Arial" w:eastAsia="Aptos" w:hAnsi="Arial" w:cs="Arial"/>
                <w:sz w:val="20"/>
                <w:szCs w:val="20"/>
              </w:rPr>
              <w:t>(70%)</w:t>
            </w:r>
          </w:p>
        </w:tc>
        <w:tc>
          <w:tcPr>
            <w:tcW w:w="4620" w:type="dxa"/>
          </w:tcPr>
          <w:p w14:paraId="2BE73118" w14:textId="588DCA04"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w:t>
            </w:r>
            <w:r w:rsidR="009B0688" w:rsidRPr="008E66D5">
              <w:rPr>
                <w:rFonts w:ascii="Arial" w:hAnsi="Arial" w:cs="Arial"/>
                <w:sz w:val="20"/>
                <w:szCs w:val="20"/>
              </w:rPr>
              <w:t xml:space="preserve"> </w:t>
            </w:r>
            <w:r w:rsidRPr="008E66D5">
              <w:rPr>
                <w:rFonts w:ascii="Arial" w:eastAsia="Aptos" w:hAnsi="Arial" w:cs="Arial"/>
                <w:sz w:val="20"/>
                <w:szCs w:val="20"/>
              </w:rPr>
              <w:t>(100%)</w:t>
            </w:r>
          </w:p>
        </w:tc>
      </w:tr>
      <w:tr w:rsidR="00C53110" w:rsidRPr="008E66D5" w14:paraId="5FE1C198" w14:textId="77777777" w:rsidTr="6F39E01A">
        <w:trPr>
          <w:trHeight w:val="300"/>
        </w:trPr>
        <w:tc>
          <w:tcPr>
            <w:tcW w:w="10684" w:type="dxa"/>
            <w:gridSpan w:val="2"/>
            <w:shd w:val="clear" w:color="auto" w:fill="auto"/>
          </w:tcPr>
          <w:p w14:paraId="00291770" w14:textId="77777777" w:rsidR="00C53110" w:rsidRPr="008E66D5" w:rsidRDefault="00C53110" w:rsidP="003E79C5">
            <w:pPr>
              <w:rPr>
                <w:rFonts w:ascii="Arial" w:eastAsia="Aptos" w:hAnsi="Arial" w:cs="Arial"/>
                <w:sz w:val="20"/>
                <w:szCs w:val="20"/>
              </w:rPr>
            </w:pPr>
            <w:r w:rsidRPr="008E66D5">
              <w:rPr>
                <w:rFonts w:ascii="Arial" w:eastAsia="Aptos" w:hAnsi="Arial" w:cs="Arial"/>
                <w:b/>
                <w:bCs/>
                <w:sz w:val="20"/>
                <w:szCs w:val="20"/>
              </w:rPr>
              <w:t>3. Professional knowledge, awareness, and engagement</w:t>
            </w:r>
          </w:p>
        </w:tc>
        <w:tc>
          <w:tcPr>
            <w:tcW w:w="4620" w:type="dxa"/>
          </w:tcPr>
          <w:p w14:paraId="4374D84A" w14:textId="77777777" w:rsidR="00C53110" w:rsidRPr="008E66D5" w:rsidRDefault="00C53110" w:rsidP="003E79C5">
            <w:pPr>
              <w:rPr>
                <w:rFonts w:ascii="Arial" w:eastAsia="Aptos" w:hAnsi="Arial" w:cs="Arial"/>
                <w:b/>
                <w:bCs/>
                <w:sz w:val="20"/>
                <w:szCs w:val="20"/>
              </w:rPr>
            </w:pPr>
          </w:p>
        </w:tc>
      </w:tr>
      <w:tr w:rsidR="00ED4629" w:rsidRPr="008E66D5" w14:paraId="1745BADF" w14:textId="77777777" w:rsidTr="6F39E01A">
        <w:trPr>
          <w:trHeight w:val="300"/>
        </w:trPr>
        <w:tc>
          <w:tcPr>
            <w:tcW w:w="7508" w:type="dxa"/>
            <w:shd w:val="clear" w:color="auto" w:fill="auto"/>
          </w:tcPr>
          <w:p w14:paraId="72CCD9A1"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3.1. Knowledge and awareness</w:t>
            </w:r>
          </w:p>
          <w:p w14:paraId="37C5E788"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Clinician awareness of climate change impacts is crucial, but many lack specific knowledge and feel uncomfortable discussing it with patients.</w:t>
            </w:r>
          </w:p>
        </w:tc>
        <w:tc>
          <w:tcPr>
            <w:tcW w:w="3176" w:type="dxa"/>
          </w:tcPr>
          <w:p w14:paraId="3E501191" w14:textId="7E2FD2A6" w:rsidR="00C53110" w:rsidRPr="008E66D5" w:rsidRDefault="00C53110" w:rsidP="003E79C5">
            <w:pPr>
              <w:rPr>
                <w:rFonts w:ascii="Arial"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(90%)</w:t>
            </w:r>
          </w:p>
        </w:tc>
        <w:tc>
          <w:tcPr>
            <w:tcW w:w="4620" w:type="dxa"/>
          </w:tcPr>
          <w:p w14:paraId="3FDC0877"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[1] Knowledge</w:t>
            </w:r>
            <w:r w:rsidR="009B0688" w:rsidRPr="008E66D5">
              <w:rPr>
                <w:rFonts w:ascii="Arial" w:hAnsi="Arial" w:cs="Arial"/>
                <w:sz w:val="20"/>
                <w:szCs w:val="20"/>
              </w:rPr>
              <w:t xml:space="preserve"> </w:t>
            </w:r>
            <w:r w:rsidRPr="008E66D5">
              <w:rPr>
                <w:rFonts w:ascii="Arial" w:eastAsia="Aptos" w:hAnsi="Arial" w:cs="Arial"/>
                <w:sz w:val="20"/>
                <w:szCs w:val="20"/>
              </w:rPr>
              <w:t>(100%)</w:t>
            </w:r>
            <w:r w:rsidR="00CE4DBA" w:rsidRPr="008E66D5">
              <w:rPr>
                <w:rFonts w:ascii="Arial" w:eastAsia="Aptos" w:hAnsi="Arial" w:cs="Arial"/>
                <w:sz w:val="20"/>
                <w:szCs w:val="20"/>
              </w:rPr>
              <w:t>;</w:t>
            </w:r>
          </w:p>
          <w:p w14:paraId="20BEB441" w14:textId="5A3CFF02" w:rsidR="00CE4DBA" w:rsidRPr="008E66D5" w:rsidRDefault="00CE4DBA" w:rsidP="003E79C5">
            <w:pPr>
              <w:rPr>
                <w:rFonts w:ascii="Arial" w:hAnsi="Arial" w:cs="Arial"/>
                <w:sz w:val="20"/>
                <w:szCs w:val="20"/>
              </w:rPr>
            </w:pPr>
            <w:r w:rsidRPr="008E66D5">
              <w:rPr>
                <w:rFonts w:ascii="Arial" w:eastAsia="Aptos" w:hAnsi="Arial" w:cs="Arial"/>
                <w:sz w:val="20"/>
                <w:szCs w:val="20"/>
              </w:rPr>
              <w:t>[4] Beliefs about capabilities (50%)</w:t>
            </w:r>
          </w:p>
        </w:tc>
      </w:tr>
      <w:tr w:rsidR="00ED4629" w:rsidRPr="008E66D5" w14:paraId="63F2F64C" w14:textId="77777777" w:rsidTr="008B579B">
        <w:trPr>
          <w:trHeight w:val="300"/>
        </w:trPr>
        <w:tc>
          <w:tcPr>
            <w:tcW w:w="7508" w:type="dxa"/>
            <w:shd w:val="clear" w:color="auto" w:fill="auto"/>
          </w:tcPr>
          <w:p w14:paraId="691EAF49" w14:textId="77777777" w:rsidR="00C53110" w:rsidRPr="008E66D5" w:rsidRDefault="00C53110" w:rsidP="003E79C5">
            <w:pPr>
              <w:rPr>
                <w:rFonts w:ascii="Arial" w:eastAsia="Aptos" w:hAnsi="Arial" w:cs="Arial"/>
                <w:sz w:val="20"/>
                <w:szCs w:val="20"/>
              </w:rPr>
            </w:pPr>
            <w:r w:rsidRPr="008E66D5">
              <w:rPr>
                <w:rFonts w:ascii="Arial" w:eastAsia="Aptos" w:hAnsi="Arial" w:cs="Arial"/>
                <w:b/>
                <w:bCs/>
                <w:i/>
                <w:iCs/>
                <w:sz w:val="20"/>
                <w:szCs w:val="20"/>
              </w:rPr>
              <w:t>3.2. Education and training</w:t>
            </w:r>
            <w:r w:rsidRPr="008E66D5">
              <w:rPr>
                <w:rFonts w:ascii="Arial" w:eastAsia="Aptos" w:hAnsi="Arial" w:cs="Arial"/>
                <w:sz w:val="20"/>
                <w:szCs w:val="20"/>
              </w:rPr>
              <w:t xml:space="preserve"> </w:t>
            </w:r>
          </w:p>
          <w:p w14:paraId="59377F26"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Enhancing clinician competence through targeted education and training on decarbonisation is needed.</w:t>
            </w:r>
          </w:p>
        </w:tc>
        <w:tc>
          <w:tcPr>
            <w:tcW w:w="3176" w:type="dxa"/>
          </w:tcPr>
          <w:p w14:paraId="4115C9C5" w14:textId="781BBD8E" w:rsidR="00C53110" w:rsidRPr="008E66D5" w:rsidRDefault="00C53110" w:rsidP="003E79C5">
            <w:pPr>
              <w:rPr>
                <w:rFonts w:ascii="Arial"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(80%)</w:t>
            </w:r>
          </w:p>
        </w:tc>
        <w:tc>
          <w:tcPr>
            <w:tcW w:w="4620" w:type="dxa"/>
            <w:shd w:val="clear" w:color="auto" w:fill="auto"/>
          </w:tcPr>
          <w:p w14:paraId="4880963F"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[2] Skills</w:t>
            </w:r>
            <w:r w:rsidR="009B0688" w:rsidRPr="008E66D5">
              <w:rPr>
                <w:rFonts w:ascii="Arial" w:hAnsi="Arial" w:cs="Arial"/>
                <w:sz w:val="20"/>
                <w:szCs w:val="20"/>
              </w:rPr>
              <w:t xml:space="preserve"> </w:t>
            </w:r>
            <w:r w:rsidRPr="008E66D5">
              <w:rPr>
                <w:rFonts w:ascii="Arial" w:eastAsia="Aptos" w:hAnsi="Arial" w:cs="Arial"/>
                <w:sz w:val="20"/>
                <w:szCs w:val="20"/>
              </w:rPr>
              <w:t>(90%)</w:t>
            </w:r>
            <w:r w:rsidR="00CE4DBA" w:rsidRPr="008E66D5">
              <w:rPr>
                <w:rFonts w:ascii="Arial" w:eastAsia="Aptos" w:hAnsi="Arial" w:cs="Arial"/>
                <w:sz w:val="20"/>
                <w:szCs w:val="20"/>
              </w:rPr>
              <w:t>;</w:t>
            </w:r>
          </w:p>
          <w:p w14:paraId="7BEA52CB" w14:textId="70FB50B0" w:rsidR="00CE4DBA" w:rsidRPr="008E66D5" w:rsidRDefault="00CE4DBA" w:rsidP="003E79C5">
            <w:pPr>
              <w:rPr>
                <w:rFonts w:ascii="Arial" w:hAnsi="Arial" w:cs="Arial"/>
                <w:sz w:val="20"/>
                <w:szCs w:val="20"/>
              </w:rPr>
            </w:pPr>
            <w:r w:rsidRPr="008E66D5">
              <w:rPr>
                <w:rFonts w:ascii="Arial" w:hAnsi="Arial" w:cs="Arial"/>
                <w:sz w:val="20"/>
                <w:szCs w:val="20"/>
              </w:rPr>
              <w:t xml:space="preserve">[6] Beliefs about </w:t>
            </w:r>
            <w:r w:rsidR="008B579B" w:rsidRPr="008E66D5">
              <w:rPr>
                <w:rFonts w:ascii="Arial" w:eastAsia="Aptos" w:hAnsi="Arial" w:cs="Arial"/>
                <w:sz w:val="20"/>
                <w:szCs w:val="20"/>
              </w:rPr>
              <w:t>consequences</w:t>
            </w:r>
            <w:r w:rsidRPr="008E66D5">
              <w:rPr>
                <w:rFonts w:ascii="Arial" w:hAnsi="Arial" w:cs="Arial"/>
                <w:sz w:val="20"/>
                <w:szCs w:val="20"/>
              </w:rPr>
              <w:t xml:space="preserve"> (40%)</w:t>
            </w:r>
          </w:p>
        </w:tc>
      </w:tr>
      <w:tr w:rsidR="00ED4629" w:rsidRPr="008E66D5" w14:paraId="30B71176" w14:textId="77777777" w:rsidTr="008B579B">
        <w:trPr>
          <w:trHeight w:val="300"/>
        </w:trPr>
        <w:tc>
          <w:tcPr>
            <w:tcW w:w="7508" w:type="dxa"/>
            <w:shd w:val="clear" w:color="auto" w:fill="auto"/>
          </w:tcPr>
          <w:p w14:paraId="7ADFB1D9"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3.3. Personal environmental consciousness</w:t>
            </w:r>
          </w:p>
          <w:p w14:paraId="72B6D5C7"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GPs who are environmentally conscious personally are more likely to adopt decarbonisation actions professionally.</w:t>
            </w:r>
          </w:p>
        </w:tc>
        <w:tc>
          <w:tcPr>
            <w:tcW w:w="3176" w:type="dxa"/>
          </w:tcPr>
          <w:p w14:paraId="03E3924A"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(60%)</w:t>
            </w:r>
            <w:r w:rsidR="0035351D" w:rsidRPr="008E66D5">
              <w:rPr>
                <w:rFonts w:ascii="Arial" w:eastAsia="Aptos" w:hAnsi="Arial" w:cs="Arial"/>
                <w:sz w:val="20"/>
                <w:szCs w:val="20"/>
              </w:rPr>
              <w:t>;</w:t>
            </w:r>
          </w:p>
          <w:p w14:paraId="6B342E8C" w14:textId="4C6FD405" w:rsidR="0035351D" w:rsidRPr="008E66D5" w:rsidRDefault="0035351D" w:rsidP="003E79C5">
            <w:pPr>
              <w:rPr>
                <w:rFonts w:ascii="Arial" w:hAnsi="Arial" w:cs="Arial"/>
                <w:sz w:val="20"/>
                <w:szCs w:val="20"/>
              </w:rPr>
            </w:pPr>
            <w:r w:rsidRPr="008E66D5">
              <w:rPr>
                <w:rFonts w:ascii="Arial" w:hAnsi="Arial" w:cs="Arial"/>
                <w:sz w:val="20"/>
                <w:szCs w:val="20"/>
              </w:rPr>
              <w:t>[2] Cognitive Participation (60%)</w:t>
            </w:r>
          </w:p>
        </w:tc>
        <w:tc>
          <w:tcPr>
            <w:tcW w:w="4620" w:type="dxa"/>
            <w:shd w:val="clear" w:color="auto" w:fill="auto"/>
          </w:tcPr>
          <w:p w14:paraId="2F43463A" w14:textId="77777777" w:rsidR="000B5B96" w:rsidRPr="008E66D5" w:rsidRDefault="000B5B96" w:rsidP="003E79C5">
            <w:pPr>
              <w:rPr>
                <w:rFonts w:ascii="Arial" w:hAnsi="Arial" w:cs="Arial"/>
                <w:sz w:val="20"/>
                <w:szCs w:val="20"/>
              </w:rPr>
            </w:pPr>
            <w:r w:rsidRPr="008E66D5">
              <w:rPr>
                <w:rFonts w:ascii="Arial" w:hAnsi="Arial" w:cs="Arial"/>
                <w:sz w:val="20"/>
                <w:szCs w:val="20"/>
              </w:rPr>
              <w:t xml:space="preserve">[1] Knowledge (40%); </w:t>
            </w:r>
          </w:p>
          <w:p w14:paraId="42E9F4A3" w14:textId="77777777" w:rsidR="000B5B96" w:rsidRPr="008E66D5" w:rsidRDefault="000B5B96" w:rsidP="003E79C5">
            <w:pPr>
              <w:rPr>
                <w:rFonts w:ascii="Arial" w:hAnsi="Arial" w:cs="Arial"/>
                <w:sz w:val="20"/>
                <w:szCs w:val="20"/>
              </w:rPr>
            </w:pPr>
            <w:r w:rsidRPr="008E66D5">
              <w:rPr>
                <w:rFonts w:ascii="Arial" w:hAnsi="Arial" w:cs="Arial"/>
                <w:sz w:val="20"/>
                <w:szCs w:val="20"/>
              </w:rPr>
              <w:t xml:space="preserve">[3] Social/professional role and identity (60%); </w:t>
            </w:r>
          </w:p>
          <w:p w14:paraId="245AFBB1" w14:textId="77777777" w:rsidR="000B5B96" w:rsidRPr="008E66D5" w:rsidRDefault="000B5B96" w:rsidP="003E79C5">
            <w:pPr>
              <w:rPr>
                <w:rFonts w:ascii="Arial" w:hAnsi="Arial" w:cs="Arial"/>
                <w:sz w:val="20"/>
                <w:szCs w:val="20"/>
              </w:rPr>
            </w:pPr>
            <w:r w:rsidRPr="008E66D5">
              <w:rPr>
                <w:rFonts w:ascii="Arial" w:hAnsi="Arial" w:cs="Arial"/>
                <w:sz w:val="20"/>
                <w:szCs w:val="20"/>
              </w:rPr>
              <w:t xml:space="preserve">[4] Beliefs about capabilities (50%); </w:t>
            </w:r>
          </w:p>
          <w:p w14:paraId="4BEAA96B" w14:textId="51766D0C" w:rsidR="00C53110" w:rsidRPr="008E66D5" w:rsidRDefault="000B5B96" w:rsidP="003E79C5">
            <w:pPr>
              <w:rPr>
                <w:rFonts w:ascii="Arial" w:hAnsi="Arial" w:cs="Arial"/>
                <w:sz w:val="20"/>
                <w:szCs w:val="20"/>
              </w:rPr>
            </w:pPr>
            <w:r w:rsidRPr="008E66D5">
              <w:rPr>
                <w:rFonts w:ascii="Arial" w:hAnsi="Arial" w:cs="Arial"/>
                <w:sz w:val="20"/>
                <w:szCs w:val="20"/>
              </w:rPr>
              <w:t>[6] Beliefs about consequences (40%)</w:t>
            </w:r>
          </w:p>
        </w:tc>
      </w:tr>
      <w:tr w:rsidR="00ED4629" w:rsidRPr="008E66D5" w14:paraId="4D3E5D70" w14:textId="77777777" w:rsidTr="008B579B">
        <w:trPr>
          <w:trHeight w:val="300"/>
        </w:trPr>
        <w:tc>
          <w:tcPr>
            <w:tcW w:w="7508" w:type="dxa"/>
            <w:shd w:val="clear" w:color="auto" w:fill="auto"/>
          </w:tcPr>
          <w:p w14:paraId="7A25A61E"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3.4. Variation in awareness and engagement</w:t>
            </w:r>
          </w:p>
          <w:p w14:paraId="1162CD54"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lastRenderedPageBreak/>
              <w:t>Significant differences exist among clinicians, with high willingness to learn but low comfort in counselling patients on climate-related issues.</w:t>
            </w:r>
          </w:p>
        </w:tc>
        <w:tc>
          <w:tcPr>
            <w:tcW w:w="3176" w:type="dxa"/>
          </w:tcPr>
          <w:p w14:paraId="0A9AB3B4"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lastRenderedPageBreak/>
              <w:t>[1] Coherence</w:t>
            </w:r>
            <w:r w:rsidR="009B0688" w:rsidRPr="008E66D5">
              <w:rPr>
                <w:rFonts w:ascii="Arial" w:hAnsi="Arial" w:cs="Arial"/>
                <w:sz w:val="20"/>
                <w:szCs w:val="20"/>
              </w:rPr>
              <w:t xml:space="preserve"> </w:t>
            </w:r>
            <w:r w:rsidRPr="008E66D5">
              <w:rPr>
                <w:rFonts w:ascii="Arial" w:eastAsia="Aptos" w:hAnsi="Arial" w:cs="Arial"/>
                <w:sz w:val="20"/>
                <w:szCs w:val="20"/>
              </w:rPr>
              <w:t>(50%)</w:t>
            </w:r>
          </w:p>
          <w:p w14:paraId="166BCFE2" w14:textId="6BECC8FE" w:rsidR="0035351D" w:rsidRPr="008E66D5" w:rsidRDefault="0035351D" w:rsidP="003E79C5">
            <w:pPr>
              <w:rPr>
                <w:rFonts w:ascii="Arial" w:hAnsi="Arial" w:cs="Arial"/>
                <w:sz w:val="20"/>
                <w:szCs w:val="20"/>
              </w:rPr>
            </w:pPr>
            <w:r w:rsidRPr="008E66D5">
              <w:rPr>
                <w:rFonts w:ascii="Arial" w:eastAsia="Aptos" w:hAnsi="Arial" w:cs="Arial"/>
                <w:sz w:val="20"/>
                <w:szCs w:val="20"/>
              </w:rPr>
              <w:lastRenderedPageBreak/>
              <w:t>[2] Cognitive Participation (40%)</w:t>
            </w:r>
          </w:p>
        </w:tc>
        <w:tc>
          <w:tcPr>
            <w:tcW w:w="4620" w:type="dxa"/>
            <w:shd w:val="clear" w:color="auto" w:fill="auto"/>
          </w:tcPr>
          <w:p w14:paraId="04C8BC0F"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lastRenderedPageBreak/>
              <w:t>[3] Social/professional role and identity</w:t>
            </w:r>
            <w:r w:rsidR="009B0688" w:rsidRPr="008E66D5">
              <w:rPr>
                <w:rFonts w:ascii="Arial" w:hAnsi="Arial" w:cs="Arial"/>
                <w:sz w:val="20"/>
                <w:szCs w:val="20"/>
              </w:rPr>
              <w:t xml:space="preserve"> </w:t>
            </w:r>
            <w:r w:rsidRPr="008E66D5">
              <w:rPr>
                <w:rFonts w:ascii="Arial" w:eastAsia="Aptos" w:hAnsi="Arial" w:cs="Arial"/>
                <w:sz w:val="20"/>
                <w:szCs w:val="20"/>
              </w:rPr>
              <w:t>(60%)</w:t>
            </w:r>
          </w:p>
          <w:p w14:paraId="4112C5B4" w14:textId="7AA0D185" w:rsidR="000B5B96" w:rsidRPr="008E66D5" w:rsidRDefault="000B5B96" w:rsidP="003E79C5">
            <w:pPr>
              <w:rPr>
                <w:rFonts w:ascii="Arial" w:hAnsi="Arial" w:cs="Arial"/>
                <w:sz w:val="20"/>
                <w:szCs w:val="20"/>
              </w:rPr>
            </w:pPr>
            <w:r w:rsidRPr="008E66D5">
              <w:rPr>
                <w:rFonts w:ascii="Arial" w:eastAsia="Aptos" w:hAnsi="Arial" w:cs="Arial"/>
                <w:sz w:val="20"/>
                <w:szCs w:val="20"/>
              </w:rPr>
              <w:lastRenderedPageBreak/>
              <w:t>[6] Beliefs about c</w:t>
            </w:r>
            <w:r w:rsidR="008B579B" w:rsidRPr="008E66D5">
              <w:rPr>
                <w:rFonts w:ascii="Arial" w:eastAsia="Aptos" w:hAnsi="Arial" w:cs="Arial"/>
                <w:sz w:val="20"/>
                <w:szCs w:val="20"/>
              </w:rPr>
              <w:t>onsequences</w:t>
            </w:r>
            <w:r w:rsidRPr="008E66D5">
              <w:rPr>
                <w:rFonts w:ascii="Arial" w:eastAsia="Aptos" w:hAnsi="Arial" w:cs="Arial"/>
                <w:sz w:val="20"/>
                <w:szCs w:val="20"/>
              </w:rPr>
              <w:t xml:space="preserve"> (50%)</w:t>
            </w:r>
          </w:p>
        </w:tc>
      </w:tr>
      <w:tr w:rsidR="00ED4629" w:rsidRPr="008E66D5" w14:paraId="18CB2B04" w14:textId="77777777" w:rsidTr="6F39E01A">
        <w:trPr>
          <w:trHeight w:val="300"/>
        </w:trPr>
        <w:tc>
          <w:tcPr>
            <w:tcW w:w="7508" w:type="dxa"/>
            <w:shd w:val="clear" w:color="auto" w:fill="auto"/>
          </w:tcPr>
          <w:p w14:paraId="6C936588"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lastRenderedPageBreak/>
              <w:t>3.5. Preferences and acceptance</w:t>
            </w:r>
          </w:p>
          <w:p w14:paraId="6DAAF60F"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Variability in acceptance of sustainability roles and measures, with constraints including limited awareness, funding, and patient motivation.</w:t>
            </w:r>
          </w:p>
        </w:tc>
        <w:tc>
          <w:tcPr>
            <w:tcW w:w="3176" w:type="dxa"/>
          </w:tcPr>
          <w:p w14:paraId="69659F08" w14:textId="5DD13FA4" w:rsidR="0035351D" w:rsidRPr="008E66D5" w:rsidRDefault="0035351D" w:rsidP="003E79C5">
            <w:pPr>
              <w:rPr>
                <w:rFonts w:ascii="Arial" w:hAnsi="Arial" w:cs="Arial"/>
                <w:sz w:val="20"/>
                <w:szCs w:val="20"/>
              </w:rPr>
            </w:pPr>
            <w:r w:rsidRPr="008E66D5">
              <w:rPr>
                <w:rFonts w:ascii="Arial" w:hAnsi="Arial" w:cs="Arial"/>
                <w:sz w:val="20"/>
                <w:szCs w:val="20"/>
              </w:rPr>
              <w:t xml:space="preserve">[1] Coherence (40%); </w:t>
            </w:r>
          </w:p>
          <w:p w14:paraId="52AE8DC4" w14:textId="00E196DF" w:rsidR="00C53110" w:rsidRPr="008E66D5" w:rsidRDefault="00C53110" w:rsidP="003E79C5">
            <w:pPr>
              <w:rPr>
                <w:rFonts w:ascii="Arial" w:hAnsi="Arial" w:cs="Arial"/>
                <w:sz w:val="20"/>
                <w:szCs w:val="20"/>
              </w:rPr>
            </w:pPr>
            <w:r w:rsidRPr="008E66D5">
              <w:rPr>
                <w:rFonts w:ascii="Arial" w:hAnsi="Arial" w:cs="Arial"/>
                <w:sz w:val="20"/>
                <w:szCs w:val="20"/>
              </w:rPr>
              <w:t>[2] Cognitive Participation</w:t>
            </w:r>
            <w:r w:rsidR="009B0688" w:rsidRPr="008E66D5">
              <w:rPr>
                <w:rFonts w:ascii="Arial" w:hAnsi="Arial" w:cs="Arial"/>
                <w:sz w:val="20"/>
                <w:szCs w:val="20"/>
              </w:rPr>
              <w:t xml:space="preserve"> </w:t>
            </w:r>
            <w:r w:rsidRPr="008E66D5">
              <w:rPr>
                <w:rFonts w:ascii="Arial" w:eastAsia="Aptos" w:hAnsi="Arial" w:cs="Arial"/>
                <w:sz w:val="20"/>
                <w:szCs w:val="20"/>
              </w:rPr>
              <w:t>(70%)</w:t>
            </w:r>
          </w:p>
        </w:tc>
        <w:tc>
          <w:tcPr>
            <w:tcW w:w="4620" w:type="dxa"/>
          </w:tcPr>
          <w:p w14:paraId="0B2A88F3" w14:textId="77777777" w:rsidR="000B5B96" w:rsidRPr="008E66D5" w:rsidRDefault="000B5B96" w:rsidP="003E79C5">
            <w:pPr>
              <w:rPr>
                <w:rFonts w:ascii="Arial" w:hAnsi="Arial" w:cs="Arial"/>
                <w:sz w:val="20"/>
                <w:szCs w:val="20"/>
              </w:rPr>
            </w:pPr>
            <w:r w:rsidRPr="008E66D5">
              <w:rPr>
                <w:rFonts w:ascii="Arial" w:hAnsi="Arial" w:cs="Arial"/>
                <w:sz w:val="20"/>
                <w:szCs w:val="20"/>
              </w:rPr>
              <w:t xml:space="preserve">[1] Knowledge (50%); </w:t>
            </w:r>
          </w:p>
          <w:p w14:paraId="0D817CD6" w14:textId="1CEBC677" w:rsidR="00C53110" w:rsidRPr="008E66D5" w:rsidRDefault="00C53110" w:rsidP="003E79C5">
            <w:pPr>
              <w:rPr>
                <w:rFonts w:ascii="Arial" w:hAnsi="Arial" w:cs="Arial"/>
                <w:sz w:val="20"/>
                <w:szCs w:val="20"/>
              </w:rPr>
            </w:pPr>
            <w:r w:rsidRPr="008E66D5">
              <w:rPr>
                <w:rFonts w:ascii="Arial" w:hAnsi="Arial" w:cs="Arial"/>
                <w:sz w:val="20"/>
                <w:szCs w:val="20"/>
              </w:rPr>
              <w:t>[3] Social/professional role and identity</w:t>
            </w:r>
            <w:r w:rsidR="009B0688" w:rsidRPr="008E66D5">
              <w:rPr>
                <w:rFonts w:ascii="Arial" w:hAnsi="Arial" w:cs="Arial"/>
                <w:sz w:val="20"/>
                <w:szCs w:val="20"/>
              </w:rPr>
              <w:t xml:space="preserve"> (</w:t>
            </w:r>
            <w:r w:rsidRPr="008E66D5">
              <w:rPr>
                <w:rFonts w:ascii="Arial" w:hAnsi="Arial" w:cs="Arial"/>
                <w:sz w:val="20"/>
                <w:szCs w:val="20"/>
              </w:rPr>
              <w:t>50%</w:t>
            </w:r>
            <w:r w:rsidR="009B0688" w:rsidRPr="008E66D5">
              <w:rPr>
                <w:rFonts w:ascii="Arial" w:hAnsi="Arial" w:cs="Arial"/>
                <w:sz w:val="20"/>
                <w:szCs w:val="20"/>
              </w:rPr>
              <w:t>)</w:t>
            </w:r>
            <w:r w:rsidRPr="008E66D5">
              <w:rPr>
                <w:rFonts w:ascii="Arial" w:hAnsi="Arial" w:cs="Arial"/>
                <w:sz w:val="20"/>
                <w:szCs w:val="20"/>
              </w:rPr>
              <w:t xml:space="preserve">; </w:t>
            </w:r>
          </w:p>
          <w:p w14:paraId="3B9ECF0C" w14:textId="0E7844BA"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 (50%)</w:t>
            </w:r>
          </w:p>
        </w:tc>
      </w:tr>
      <w:tr w:rsidR="00C53110" w:rsidRPr="008E66D5" w14:paraId="6911324F" w14:textId="77777777" w:rsidTr="6F39E01A">
        <w:trPr>
          <w:trHeight w:val="300"/>
        </w:trPr>
        <w:tc>
          <w:tcPr>
            <w:tcW w:w="10684" w:type="dxa"/>
            <w:gridSpan w:val="2"/>
            <w:shd w:val="clear" w:color="auto" w:fill="auto"/>
          </w:tcPr>
          <w:p w14:paraId="453DFBD0" w14:textId="77777777" w:rsidR="00C53110" w:rsidRPr="008E66D5" w:rsidRDefault="00C53110" w:rsidP="003E79C5">
            <w:pPr>
              <w:rPr>
                <w:rFonts w:ascii="Arial" w:eastAsia="Aptos" w:hAnsi="Arial" w:cs="Arial"/>
                <w:sz w:val="20"/>
                <w:szCs w:val="20"/>
              </w:rPr>
            </w:pPr>
            <w:r w:rsidRPr="008E66D5">
              <w:rPr>
                <w:rFonts w:ascii="Arial" w:eastAsia="Aptos" w:hAnsi="Arial" w:cs="Arial"/>
                <w:b/>
                <w:bCs/>
                <w:sz w:val="20"/>
                <w:szCs w:val="20"/>
              </w:rPr>
              <w:t xml:space="preserve">4. </w:t>
            </w:r>
            <w:bookmarkStart w:id="2" w:name="_Hlk180088136"/>
            <w:r w:rsidRPr="008E66D5">
              <w:rPr>
                <w:rFonts w:ascii="Arial" w:eastAsia="Aptos" w:hAnsi="Arial" w:cs="Arial"/>
                <w:b/>
                <w:bCs/>
                <w:sz w:val="20"/>
                <w:szCs w:val="20"/>
              </w:rPr>
              <w:t>Patient and community engagement</w:t>
            </w:r>
            <w:bookmarkEnd w:id="2"/>
          </w:p>
        </w:tc>
        <w:tc>
          <w:tcPr>
            <w:tcW w:w="4620" w:type="dxa"/>
          </w:tcPr>
          <w:p w14:paraId="75F23FB6" w14:textId="77777777" w:rsidR="00C53110" w:rsidRPr="008E66D5" w:rsidRDefault="00C53110" w:rsidP="003E79C5">
            <w:pPr>
              <w:rPr>
                <w:rFonts w:ascii="Arial" w:eastAsia="Aptos" w:hAnsi="Arial" w:cs="Arial"/>
                <w:b/>
                <w:bCs/>
                <w:sz w:val="20"/>
                <w:szCs w:val="20"/>
              </w:rPr>
            </w:pPr>
          </w:p>
        </w:tc>
      </w:tr>
      <w:tr w:rsidR="00ED4629" w:rsidRPr="008E66D5" w14:paraId="0243ECD5" w14:textId="77777777" w:rsidTr="6F39E01A">
        <w:trPr>
          <w:trHeight w:val="300"/>
        </w:trPr>
        <w:tc>
          <w:tcPr>
            <w:tcW w:w="7508" w:type="dxa"/>
            <w:shd w:val="clear" w:color="auto" w:fill="auto"/>
          </w:tcPr>
          <w:p w14:paraId="53C3E819"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4.1. Patient discussions and barriers</w:t>
            </w:r>
          </w:p>
          <w:p w14:paraId="1DABFA66"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Many GPs discuss climate change with patients, but barriers such as time constraints and lack of recommendations limit these discussions.</w:t>
            </w:r>
          </w:p>
        </w:tc>
        <w:tc>
          <w:tcPr>
            <w:tcW w:w="3176" w:type="dxa"/>
          </w:tcPr>
          <w:p w14:paraId="69B1E36F" w14:textId="440F5B82" w:rsidR="00C53110" w:rsidRPr="008E66D5" w:rsidRDefault="00C53110" w:rsidP="003E79C5">
            <w:pPr>
              <w:rPr>
                <w:rFonts w:ascii="Arial" w:hAnsi="Arial" w:cs="Arial"/>
                <w:sz w:val="20"/>
                <w:szCs w:val="20"/>
              </w:rPr>
            </w:pPr>
            <w:r w:rsidRPr="008E66D5">
              <w:rPr>
                <w:rFonts w:ascii="Arial" w:hAnsi="Arial" w:cs="Arial"/>
                <w:sz w:val="20"/>
                <w:szCs w:val="20"/>
              </w:rPr>
              <w:t>[3] Collective Action</w:t>
            </w:r>
            <w:r w:rsidR="009B0688" w:rsidRPr="008E66D5">
              <w:rPr>
                <w:rFonts w:ascii="Arial" w:hAnsi="Arial" w:cs="Arial"/>
                <w:sz w:val="20"/>
                <w:szCs w:val="20"/>
              </w:rPr>
              <w:t xml:space="preserve"> </w:t>
            </w:r>
            <w:r w:rsidRPr="008E66D5">
              <w:rPr>
                <w:rFonts w:ascii="Arial" w:eastAsia="Aptos" w:hAnsi="Arial" w:cs="Arial"/>
                <w:sz w:val="20"/>
                <w:szCs w:val="20"/>
              </w:rPr>
              <w:t>(70%)</w:t>
            </w:r>
          </w:p>
        </w:tc>
        <w:tc>
          <w:tcPr>
            <w:tcW w:w="4620" w:type="dxa"/>
          </w:tcPr>
          <w:p w14:paraId="34F3CB8A" w14:textId="77777777" w:rsidR="000B5B96" w:rsidRPr="008E66D5" w:rsidRDefault="000B5B96" w:rsidP="003E79C5">
            <w:pPr>
              <w:rPr>
                <w:rFonts w:ascii="Arial" w:hAnsi="Arial" w:cs="Arial"/>
                <w:sz w:val="20"/>
                <w:szCs w:val="20"/>
              </w:rPr>
            </w:pPr>
            <w:r w:rsidRPr="008E66D5">
              <w:rPr>
                <w:rFonts w:ascii="Arial" w:hAnsi="Arial" w:cs="Arial"/>
                <w:sz w:val="20"/>
                <w:szCs w:val="20"/>
              </w:rPr>
              <w:t xml:space="preserve">[4] Beliefs about capabilities (40%); </w:t>
            </w:r>
          </w:p>
          <w:p w14:paraId="686F04FE" w14:textId="60A75517" w:rsidR="00C53110" w:rsidRPr="008E66D5" w:rsidRDefault="00C53110" w:rsidP="003E79C5">
            <w:pPr>
              <w:rPr>
                <w:rFonts w:ascii="Arial" w:hAnsi="Arial" w:cs="Arial"/>
                <w:sz w:val="20"/>
                <w:szCs w:val="20"/>
              </w:rPr>
            </w:pPr>
            <w:r w:rsidRPr="008E66D5">
              <w:rPr>
                <w:rFonts w:ascii="Arial" w:hAnsi="Arial" w:cs="Arial"/>
                <w:sz w:val="20"/>
                <w:szCs w:val="20"/>
              </w:rPr>
              <w:t>[11] Environmental context and resources</w:t>
            </w:r>
            <w:r w:rsidR="009B0688" w:rsidRPr="008E66D5">
              <w:rPr>
                <w:rFonts w:ascii="Arial" w:hAnsi="Arial" w:cs="Arial"/>
                <w:sz w:val="20"/>
                <w:szCs w:val="20"/>
              </w:rPr>
              <w:t xml:space="preserve"> </w:t>
            </w:r>
            <w:r w:rsidRPr="008E66D5">
              <w:rPr>
                <w:rFonts w:ascii="Arial" w:eastAsia="Aptos" w:hAnsi="Arial" w:cs="Arial"/>
                <w:sz w:val="20"/>
                <w:szCs w:val="20"/>
              </w:rPr>
              <w:t>(90%)</w:t>
            </w:r>
          </w:p>
        </w:tc>
      </w:tr>
      <w:tr w:rsidR="00ED4629" w:rsidRPr="008E66D5" w14:paraId="1227DD9D" w14:textId="77777777" w:rsidTr="6F39E01A">
        <w:trPr>
          <w:trHeight w:val="300"/>
        </w:trPr>
        <w:tc>
          <w:tcPr>
            <w:tcW w:w="7508" w:type="dxa"/>
            <w:shd w:val="clear" w:color="auto" w:fill="auto"/>
          </w:tcPr>
          <w:p w14:paraId="02E15BAF"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4.2. Patient perception and information sources</w:t>
            </w:r>
          </w:p>
          <w:p w14:paraId="1A86F3D0"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Patients believe climate change affects health but rely on non-medical sources for information.</w:t>
            </w:r>
          </w:p>
        </w:tc>
        <w:tc>
          <w:tcPr>
            <w:tcW w:w="3176" w:type="dxa"/>
          </w:tcPr>
          <w:p w14:paraId="4644359E" w14:textId="6FC61988" w:rsidR="00C53110" w:rsidRPr="008E66D5" w:rsidRDefault="00C53110" w:rsidP="003E79C5">
            <w:pPr>
              <w:rPr>
                <w:rFonts w:ascii="Arial"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(90%)</w:t>
            </w:r>
          </w:p>
        </w:tc>
        <w:tc>
          <w:tcPr>
            <w:tcW w:w="4620" w:type="dxa"/>
          </w:tcPr>
          <w:p w14:paraId="7E0FE16B" w14:textId="77777777" w:rsidR="00C53110" w:rsidRPr="008E66D5" w:rsidRDefault="00C53110" w:rsidP="003E79C5">
            <w:pPr>
              <w:rPr>
                <w:rFonts w:ascii="Arial" w:eastAsia="Aptos" w:hAnsi="Arial" w:cs="Arial"/>
                <w:sz w:val="20"/>
                <w:szCs w:val="20"/>
              </w:rPr>
            </w:pPr>
            <w:r w:rsidRPr="008E66D5">
              <w:rPr>
                <w:rFonts w:ascii="Arial" w:hAnsi="Arial" w:cs="Arial"/>
                <w:sz w:val="20"/>
                <w:szCs w:val="20"/>
              </w:rPr>
              <w:t>[1] Knowledge</w:t>
            </w:r>
            <w:r w:rsidR="009B0688" w:rsidRPr="008E66D5">
              <w:rPr>
                <w:rFonts w:ascii="Arial" w:hAnsi="Arial" w:cs="Arial"/>
                <w:sz w:val="20"/>
                <w:szCs w:val="20"/>
              </w:rPr>
              <w:t xml:space="preserve"> </w:t>
            </w:r>
            <w:r w:rsidRPr="008E66D5">
              <w:rPr>
                <w:rFonts w:ascii="Arial" w:eastAsia="Aptos" w:hAnsi="Arial" w:cs="Arial"/>
                <w:sz w:val="20"/>
                <w:szCs w:val="20"/>
              </w:rPr>
              <w:t>(60%)</w:t>
            </w:r>
            <w:r w:rsidR="000B5B96" w:rsidRPr="008E66D5">
              <w:rPr>
                <w:rFonts w:ascii="Arial" w:eastAsia="Aptos" w:hAnsi="Arial" w:cs="Arial"/>
                <w:sz w:val="20"/>
                <w:szCs w:val="20"/>
              </w:rPr>
              <w:t>;</w:t>
            </w:r>
          </w:p>
          <w:p w14:paraId="41C9D66B" w14:textId="4247C0AE" w:rsidR="000B5B96" w:rsidRPr="008E66D5" w:rsidRDefault="000B5B96" w:rsidP="003E79C5">
            <w:pPr>
              <w:rPr>
                <w:rFonts w:ascii="Arial" w:hAnsi="Arial" w:cs="Arial"/>
                <w:sz w:val="20"/>
                <w:szCs w:val="20"/>
              </w:rPr>
            </w:pPr>
            <w:r w:rsidRPr="008E66D5">
              <w:rPr>
                <w:rFonts w:ascii="Arial" w:eastAsia="Aptos" w:hAnsi="Arial" w:cs="Arial"/>
                <w:sz w:val="20"/>
                <w:szCs w:val="20"/>
              </w:rPr>
              <w:t>[12] Social influences (50%)</w:t>
            </w:r>
          </w:p>
        </w:tc>
      </w:tr>
      <w:tr w:rsidR="00ED4629" w:rsidRPr="008E66D5" w14:paraId="276F2372" w14:textId="77777777" w:rsidTr="6F39E01A">
        <w:trPr>
          <w:trHeight w:val="300"/>
        </w:trPr>
        <w:tc>
          <w:tcPr>
            <w:tcW w:w="7508" w:type="dxa"/>
            <w:shd w:val="clear" w:color="auto" w:fill="auto"/>
          </w:tcPr>
          <w:p w14:paraId="1E6D7CC5"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4.3. Community engagement in activities</w:t>
            </w:r>
          </w:p>
          <w:p w14:paraId="695855E6"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Local communities engage in nature-based activities, but awareness of initiatives like Green Social Prescribing is limited.</w:t>
            </w:r>
          </w:p>
        </w:tc>
        <w:tc>
          <w:tcPr>
            <w:tcW w:w="3176" w:type="dxa"/>
          </w:tcPr>
          <w:p w14:paraId="7CE44B91" w14:textId="13785E21" w:rsidR="00C53110" w:rsidRPr="008E66D5" w:rsidRDefault="00C53110" w:rsidP="003E79C5">
            <w:pPr>
              <w:rPr>
                <w:rFonts w:ascii="Arial"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(50%)</w:t>
            </w:r>
          </w:p>
        </w:tc>
        <w:tc>
          <w:tcPr>
            <w:tcW w:w="4620" w:type="dxa"/>
          </w:tcPr>
          <w:p w14:paraId="5D33F2E9" w14:textId="59CB7DD8" w:rsidR="00C53110" w:rsidRPr="008E66D5" w:rsidRDefault="00C53110" w:rsidP="003E79C5">
            <w:pPr>
              <w:rPr>
                <w:rFonts w:ascii="Arial" w:hAnsi="Arial" w:cs="Arial"/>
                <w:sz w:val="20"/>
                <w:szCs w:val="20"/>
              </w:rPr>
            </w:pPr>
            <w:r w:rsidRPr="008E66D5">
              <w:rPr>
                <w:rFonts w:ascii="Arial" w:hAnsi="Arial" w:cs="Arial"/>
                <w:sz w:val="20"/>
                <w:szCs w:val="20"/>
              </w:rPr>
              <w:t>[1] Knowledge</w:t>
            </w:r>
            <w:r w:rsidR="009B0688" w:rsidRPr="008E66D5">
              <w:rPr>
                <w:rFonts w:ascii="Arial" w:hAnsi="Arial" w:cs="Arial"/>
                <w:sz w:val="20"/>
                <w:szCs w:val="20"/>
              </w:rPr>
              <w:t xml:space="preserve"> </w:t>
            </w:r>
            <w:r w:rsidRPr="008E66D5">
              <w:rPr>
                <w:rFonts w:ascii="Arial" w:eastAsia="Aptos" w:hAnsi="Arial" w:cs="Arial"/>
                <w:sz w:val="20"/>
                <w:szCs w:val="20"/>
              </w:rPr>
              <w:t>(80%)</w:t>
            </w:r>
          </w:p>
        </w:tc>
      </w:tr>
      <w:tr w:rsidR="00ED4629" w:rsidRPr="008E66D5" w14:paraId="4129A1A7" w14:textId="77777777" w:rsidTr="6F39E01A">
        <w:trPr>
          <w:trHeight w:val="300"/>
        </w:trPr>
        <w:tc>
          <w:tcPr>
            <w:tcW w:w="7508" w:type="dxa"/>
            <w:shd w:val="clear" w:color="auto" w:fill="auto"/>
          </w:tcPr>
          <w:p w14:paraId="6DAF95EB" w14:textId="77777777" w:rsidR="00C53110" w:rsidRPr="008E66D5" w:rsidRDefault="00C53110" w:rsidP="003E79C5">
            <w:pPr>
              <w:rPr>
                <w:rFonts w:ascii="Arial" w:eastAsia="Aptos" w:hAnsi="Arial" w:cs="Arial"/>
                <w:b/>
                <w:bCs/>
                <w:i/>
                <w:iCs/>
                <w:sz w:val="20"/>
                <w:szCs w:val="20"/>
              </w:rPr>
            </w:pPr>
            <w:r w:rsidRPr="008E66D5">
              <w:rPr>
                <w:rFonts w:ascii="Arial" w:eastAsia="Aptos" w:hAnsi="Arial" w:cs="Arial"/>
                <w:b/>
                <w:bCs/>
                <w:i/>
                <w:iCs/>
                <w:sz w:val="20"/>
                <w:szCs w:val="20"/>
              </w:rPr>
              <w:t>4.4. Information gap</w:t>
            </w:r>
          </w:p>
          <w:p w14:paraId="0417397B" w14:textId="77777777" w:rsidR="00C53110" w:rsidRPr="008E66D5" w:rsidRDefault="00C53110" w:rsidP="003E79C5">
            <w:pPr>
              <w:rPr>
                <w:rFonts w:ascii="Arial" w:eastAsia="Aptos" w:hAnsi="Arial" w:cs="Arial"/>
                <w:sz w:val="20"/>
                <w:szCs w:val="20"/>
              </w:rPr>
            </w:pPr>
            <w:r w:rsidRPr="008E66D5">
              <w:rPr>
                <w:rFonts w:ascii="Arial" w:eastAsia="Aptos" w:hAnsi="Arial" w:cs="Arial"/>
                <w:sz w:val="20"/>
                <w:szCs w:val="20"/>
              </w:rPr>
              <w:t>Patients trust physicians but do not view them as primary sources of environmental information, relying instead on news outlets, social media, and personal networks.</w:t>
            </w:r>
          </w:p>
        </w:tc>
        <w:tc>
          <w:tcPr>
            <w:tcW w:w="3176" w:type="dxa"/>
          </w:tcPr>
          <w:p w14:paraId="0A04E6BF" w14:textId="5B20A10B" w:rsidR="00C53110" w:rsidRPr="008E66D5" w:rsidRDefault="00C53110" w:rsidP="003E79C5">
            <w:pPr>
              <w:rPr>
                <w:rFonts w:ascii="Arial" w:hAnsi="Arial" w:cs="Arial"/>
                <w:sz w:val="20"/>
                <w:szCs w:val="20"/>
              </w:rPr>
            </w:pPr>
            <w:r w:rsidRPr="008E66D5">
              <w:rPr>
                <w:rFonts w:ascii="Arial" w:hAnsi="Arial" w:cs="Arial"/>
                <w:sz w:val="20"/>
                <w:szCs w:val="20"/>
              </w:rPr>
              <w:t>[1] Coherence</w:t>
            </w:r>
            <w:r w:rsidR="009B0688" w:rsidRPr="008E66D5">
              <w:rPr>
                <w:rFonts w:ascii="Arial" w:hAnsi="Arial" w:cs="Arial"/>
                <w:sz w:val="20"/>
                <w:szCs w:val="20"/>
              </w:rPr>
              <w:t xml:space="preserve"> </w:t>
            </w:r>
            <w:r w:rsidRPr="008E66D5">
              <w:rPr>
                <w:rFonts w:ascii="Arial" w:eastAsia="Aptos" w:hAnsi="Arial" w:cs="Arial"/>
                <w:sz w:val="20"/>
                <w:szCs w:val="20"/>
              </w:rPr>
              <w:t>(40%)</w:t>
            </w:r>
          </w:p>
        </w:tc>
        <w:tc>
          <w:tcPr>
            <w:tcW w:w="4620" w:type="dxa"/>
          </w:tcPr>
          <w:p w14:paraId="2DEBD41A" w14:textId="37613361" w:rsidR="00C53110" w:rsidRPr="008E66D5" w:rsidRDefault="00C53110" w:rsidP="003E79C5">
            <w:pPr>
              <w:rPr>
                <w:rFonts w:ascii="Arial" w:eastAsia="Aptos" w:hAnsi="Arial" w:cs="Arial"/>
                <w:sz w:val="20"/>
                <w:szCs w:val="20"/>
              </w:rPr>
            </w:pPr>
            <w:r w:rsidRPr="008E66D5">
              <w:rPr>
                <w:rFonts w:ascii="Arial" w:hAnsi="Arial" w:cs="Arial"/>
                <w:sz w:val="20"/>
                <w:szCs w:val="20"/>
              </w:rPr>
              <w:t>[1] Knowledge</w:t>
            </w:r>
            <w:r w:rsidR="009B0688" w:rsidRPr="008E66D5">
              <w:rPr>
                <w:rFonts w:ascii="Arial" w:hAnsi="Arial" w:cs="Arial"/>
                <w:sz w:val="20"/>
                <w:szCs w:val="20"/>
              </w:rPr>
              <w:t xml:space="preserve"> </w:t>
            </w:r>
            <w:r w:rsidRPr="008E66D5">
              <w:rPr>
                <w:rFonts w:ascii="Arial" w:eastAsia="Aptos" w:hAnsi="Arial" w:cs="Arial"/>
                <w:sz w:val="20"/>
                <w:szCs w:val="20"/>
              </w:rPr>
              <w:t>(60%)</w:t>
            </w:r>
            <w:r w:rsidR="000B5B96" w:rsidRPr="008E66D5">
              <w:rPr>
                <w:rFonts w:ascii="Arial" w:eastAsia="Aptos" w:hAnsi="Arial" w:cs="Arial"/>
                <w:sz w:val="20"/>
                <w:szCs w:val="20"/>
              </w:rPr>
              <w:t>;</w:t>
            </w:r>
          </w:p>
          <w:p w14:paraId="4B34B0ED" w14:textId="77777777" w:rsidR="000B5B96" w:rsidRPr="008E66D5" w:rsidRDefault="000B5B96" w:rsidP="003E79C5">
            <w:pPr>
              <w:rPr>
                <w:rFonts w:ascii="Arial" w:eastAsia="Aptos" w:hAnsi="Arial" w:cs="Arial"/>
                <w:sz w:val="20"/>
                <w:szCs w:val="20"/>
              </w:rPr>
            </w:pPr>
            <w:r w:rsidRPr="008E66D5">
              <w:rPr>
                <w:rFonts w:ascii="Arial" w:eastAsia="Aptos" w:hAnsi="Arial" w:cs="Arial"/>
                <w:sz w:val="20"/>
                <w:szCs w:val="20"/>
              </w:rPr>
              <w:t xml:space="preserve">[3] Social/professional role and identity (50%); </w:t>
            </w:r>
          </w:p>
          <w:p w14:paraId="7914F6AA" w14:textId="3F7458E0" w:rsidR="000B5B96" w:rsidRPr="008E66D5" w:rsidRDefault="000B5B96" w:rsidP="003E79C5">
            <w:pPr>
              <w:rPr>
                <w:rFonts w:ascii="Arial" w:hAnsi="Arial" w:cs="Arial"/>
                <w:sz w:val="20"/>
                <w:szCs w:val="20"/>
              </w:rPr>
            </w:pPr>
            <w:r w:rsidRPr="008E66D5">
              <w:rPr>
                <w:rFonts w:ascii="Arial" w:eastAsia="Aptos" w:hAnsi="Arial" w:cs="Arial"/>
                <w:sz w:val="20"/>
                <w:szCs w:val="20"/>
              </w:rPr>
              <w:t>[12] Social influences (40%)</w:t>
            </w:r>
          </w:p>
        </w:tc>
      </w:tr>
    </w:tbl>
    <w:p w14:paraId="766129D3" w14:textId="71BBDDA9" w:rsidR="00C95DDC" w:rsidRPr="008E66D5" w:rsidRDefault="006F05EA" w:rsidP="003E79C5">
      <w:pPr>
        <w:spacing w:after="0" w:line="240" w:lineRule="auto"/>
        <w:rPr>
          <w:rFonts w:ascii="Arial" w:hAnsi="Arial" w:cs="Arial"/>
          <w:sz w:val="20"/>
          <w:szCs w:val="20"/>
        </w:rPr>
      </w:pPr>
      <w:r w:rsidRPr="008E66D5">
        <w:rPr>
          <w:rFonts w:ascii="Arial" w:hAnsi="Arial" w:cs="Arial"/>
          <w:sz w:val="20"/>
          <w:szCs w:val="20"/>
        </w:rPr>
        <w:t>*</w:t>
      </w:r>
      <w:r w:rsidR="00C130C3" w:rsidRPr="008E66D5">
        <w:rPr>
          <w:rFonts w:ascii="Arial" w:hAnsi="Arial" w:cs="Arial"/>
          <w:sz w:val="20"/>
          <w:szCs w:val="20"/>
        </w:rPr>
        <w:t>The d</w:t>
      </w:r>
      <w:r w:rsidR="001B5923" w:rsidRPr="008E66D5">
        <w:rPr>
          <w:rFonts w:ascii="Arial" w:hAnsi="Arial" w:cs="Arial"/>
          <w:sz w:val="20"/>
          <w:szCs w:val="20"/>
        </w:rPr>
        <w:t xml:space="preserve">omains presented </w:t>
      </w:r>
      <w:r w:rsidR="00C130C3" w:rsidRPr="008E66D5">
        <w:rPr>
          <w:rFonts w:ascii="Arial" w:hAnsi="Arial" w:cs="Arial"/>
          <w:sz w:val="20"/>
          <w:szCs w:val="20"/>
        </w:rPr>
        <w:t>we</w:t>
      </w:r>
      <w:r w:rsidR="001B5923" w:rsidRPr="008E66D5">
        <w:rPr>
          <w:rFonts w:ascii="Arial" w:hAnsi="Arial" w:cs="Arial"/>
          <w:sz w:val="20"/>
          <w:szCs w:val="20"/>
        </w:rPr>
        <w:t xml:space="preserve">re the ones that </w:t>
      </w:r>
      <w:r w:rsidR="00C95DDC" w:rsidRPr="008E66D5">
        <w:rPr>
          <w:rFonts w:ascii="Arial" w:hAnsi="Arial" w:cs="Arial"/>
          <w:sz w:val="20"/>
          <w:szCs w:val="20"/>
        </w:rPr>
        <w:t>the most coders a</w:t>
      </w:r>
      <w:r w:rsidR="00C130C3" w:rsidRPr="008E66D5">
        <w:rPr>
          <w:rFonts w:ascii="Arial" w:hAnsi="Arial" w:cs="Arial"/>
          <w:sz w:val="20"/>
          <w:szCs w:val="20"/>
        </w:rPr>
        <w:t>ligned</w:t>
      </w:r>
      <w:r w:rsidR="00C95DDC" w:rsidRPr="008E66D5">
        <w:rPr>
          <w:rFonts w:ascii="Arial" w:hAnsi="Arial" w:cs="Arial"/>
          <w:sz w:val="20"/>
          <w:szCs w:val="20"/>
        </w:rPr>
        <w:t xml:space="preserve"> with NPT or TDF.</w:t>
      </w:r>
      <w:r w:rsidR="00C130C3" w:rsidRPr="008E66D5">
        <w:rPr>
          <w:rFonts w:ascii="Arial" w:hAnsi="Arial" w:cs="Arial"/>
          <w:sz w:val="20"/>
          <w:szCs w:val="20"/>
        </w:rPr>
        <w:t xml:space="preserve"> Agreement was evaluated using</w:t>
      </w:r>
      <w:r w:rsidR="00C95DDC" w:rsidRPr="008E66D5">
        <w:rPr>
          <w:rFonts w:ascii="Arial" w:hAnsi="Arial" w:cs="Arial"/>
          <w:sz w:val="20"/>
          <w:szCs w:val="20"/>
        </w:rPr>
        <w:t xml:space="preserve"> </w:t>
      </w:r>
      <w:r w:rsidR="005F23D9" w:rsidRPr="008E66D5">
        <w:rPr>
          <w:rFonts w:ascii="Arial" w:hAnsi="Arial" w:cs="Arial"/>
          <w:sz w:val="20"/>
          <w:szCs w:val="20"/>
        </w:rPr>
        <w:t>IRR</w:t>
      </w:r>
      <w:r w:rsidR="00C130C3" w:rsidRPr="008E66D5">
        <w:rPr>
          <w:rFonts w:ascii="Arial" w:hAnsi="Arial" w:cs="Arial"/>
          <w:sz w:val="20"/>
          <w:szCs w:val="20"/>
        </w:rPr>
        <w:t xml:space="preserve"> values, with </w:t>
      </w:r>
      <w:r w:rsidR="005F23D9" w:rsidRPr="008E66D5">
        <w:rPr>
          <w:rFonts w:ascii="Arial" w:hAnsi="Arial" w:cs="Arial"/>
          <w:sz w:val="20"/>
          <w:szCs w:val="20"/>
        </w:rPr>
        <w:t>IRR ≥ 81% interpreted as almost perfect agreement, values between 61% and 80% as substantial agreement, and values between 40% and 60% as moderate. Scores below 40% were considered fair or poor agreement and have not been included.</w:t>
      </w:r>
    </w:p>
    <w:p w14:paraId="1A140865" w14:textId="77777777" w:rsidR="006F05EA" w:rsidRPr="008E66D5" w:rsidRDefault="006F05EA" w:rsidP="00D73116">
      <w:pPr>
        <w:spacing w:before="160" w:line="276" w:lineRule="auto"/>
        <w:rPr>
          <w:rFonts w:ascii="Arial" w:hAnsi="Arial" w:cs="Arial"/>
          <w:sz w:val="24"/>
          <w:szCs w:val="24"/>
        </w:rPr>
      </w:pPr>
    </w:p>
    <w:p w14:paraId="5798E734" w14:textId="77777777" w:rsidR="002644E7" w:rsidRPr="008E66D5" w:rsidRDefault="002644E7" w:rsidP="00D73116">
      <w:pPr>
        <w:spacing w:before="160" w:line="276" w:lineRule="auto"/>
        <w:rPr>
          <w:rFonts w:ascii="Arial" w:hAnsi="Arial" w:cs="Arial"/>
          <w:b/>
          <w:bCs/>
          <w:i/>
          <w:iCs/>
          <w:sz w:val="24"/>
          <w:szCs w:val="24"/>
        </w:rPr>
        <w:sectPr w:rsidR="002644E7" w:rsidRPr="008E66D5" w:rsidSect="00091191">
          <w:type w:val="continuous"/>
          <w:pgSz w:w="16838" w:h="11906" w:orient="landscape"/>
          <w:pgMar w:top="1440" w:right="1080" w:bottom="1440" w:left="1080" w:header="708" w:footer="708" w:gutter="0"/>
          <w:cols w:space="708"/>
          <w:docGrid w:linePitch="360"/>
        </w:sectPr>
      </w:pPr>
    </w:p>
    <w:p w14:paraId="6B17C745" w14:textId="3226CD40" w:rsidR="000D7777" w:rsidRPr="008E66D5" w:rsidRDefault="00221B72" w:rsidP="00D73116">
      <w:pPr>
        <w:spacing w:before="160" w:line="276" w:lineRule="auto"/>
        <w:rPr>
          <w:rFonts w:ascii="Arial" w:eastAsia="Aptos" w:hAnsi="Arial" w:cs="Arial"/>
          <w:sz w:val="26"/>
          <w:szCs w:val="26"/>
        </w:rPr>
      </w:pPr>
      <w:r w:rsidRPr="008E66D5">
        <w:rPr>
          <w:rFonts w:ascii="Arial" w:eastAsia="Aptos" w:hAnsi="Arial" w:cs="Arial"/>
          <w:sz w:val="26"/>
          <w:szCs w:val="26"/>
        </w:rPr>
        <w:lastRenderedPageBreak/>
        <w:t>Institutional and policy support</w:t>
      </w:r>
    </w:p>
    <w:p w14:paraId="5E74380E" w14:textId="7C7DF2A7" w:rsidR="00D707F7" w:rsidRPr="008E66D5" w:rsidRDefault="00376CE1" w:rsidP="00D73116">
      <w:pPr>
        <w:spacing w:before="160" w:line="276" w:lineRule="auto"/>
        <w:rPr>
          <w:rFonts w:ascii="Arial" w:eastAsia="Aptos" w:hAnsi="Arial" w:cs="Arial"/>
          <w:sz w:val="24"/>
          <w:szCs w:val="24"/>
        </w:rPr>
      </w:pPr>
      <w:r w:rsidRPr="008E66D5">
        <w:rPr>
          <w:rFonts w:ascii="Arial" w:eastAsia="Aptos" w:hAnsi="Arial" w:cs="Arial"/>
          <w:sz w:val="24"/>
          <w:szCs w:val="24"/>
        </w:rPr>
        <w:t>There was</w:t>
      </w:r>
      <w:r w:rsidR="00C52F3C" w:rsidRPr="008E66D5">
        <w:rPr>
          <w:rFonts w:ascii="Arial" w:eastAsia="Aptos" w:hAnsi="Arial" w:cs="Arial"/>
          <w:sz w:val="24"/>
          <w:szCs w:val="24"/>
        </w:rPr>
        <w:t xml:space="preserve"> strong</w:t>
      </w:r>
      <w:r w:rsidR="25D338F9" w:rsidRPr="008E66D5">
        <w:rPr>
          <w:rFonts w:ascii="Arial" w:eastAsia="Aptos" w:hAnsi="Arial" w:cs="Arial"/>
          <w:sz w:val="24"/>
          <w:szCs w:val="24"/>
        </w:rPr>
        <w:t xml:space="preserve"> agreement</w:t>
      </w:r>
      <w:r w:rsidR="0076763D" w:rsidRPr="008E66D5">
        <w:rPr>
          <w:rFonts w:ascii="Arial" w:eastAsia="Aptos" w:hAnsi="Arial" w:cs="Arial"/>
          <w:sz w:val="24"/>
          <w:szCs w:val="24"/>
        </w:rPr>
        <w:t xml:space="preserve"> </w:t>
      </w:r>
      <w:r w:rsidR="25D338F9" w:rsidRPr="008E66D5">
        <w:rPr>
          <w:rFonts w:ascii="Arial" w:eastAsia="Aptos" w:hAnsi="Arial" w:cs="Arial"/>
          <w:sz w:val="24"/>
          <w:szCs w:val="24"/>
        </w:rPr>
        <w:t>that financial incentives</w:t>
      </w:r>
      <w:r w:rsidR="00845BDB" w:rsidRPr="008E66D5">
        <w:rPr>
          <w:rFonts w:ascii="Arial" w:eastAsia="Aptos" w:hAnsi="Arial" w:cs="Arial"/>
          <w:sz w:val="24"/>
          <w:szCs w:val="24"/>
        </w:rPr>
        <w:t xml:space="preserve"> and</w:t>
      </w:r>
      <w:r w:rsidR="25D338F9" w:rsidRPr="008E66D5">
        <w:rPr>
          <w:rFonts w:ascii="Arial" w:eastAsia="Aptos" w:hAnsi="Arial" w:cs="Arial"/>
          <w:sz w:val="24"/>
          <w:szCs w:val="24"/>
        </w:rPr>
        <w:t xml:space="preserve"> polic</w:t>
      </w:r>
      <w:r w:rsidR="00107122" w:rsidRPr="008E66D5">
        <w:rPr>
          <w:rFonts w:ascii="Arial" w:eastAsia="Aptos" w:hAnsi="Arial" w:cs="Arial"/>
          <w:sz w:val="24"/>
          <w:szCs w:val="24"/>
        </w:rPr>
        <w:t>ies</w:t>
      </w:r>
      <w:r w:rsidR="00845BDB" w:rsidRPr="008E66D5">
        <w:rPr>
          <w:rFonts w:ascii="Arial" w:eastAsia="Aptos" w:hAnsi="Arial" w:cs="Arial"/>
          <w:sz w:val="24"/>
          <w:szCs w:val="24"/>
        </w:rPr>
        <w:t xml:space="preserve"> align with</w:t>
      </w:r>
      <w:r w:rsidR="25D338F9" w:rsidRPr="008E66D5">
        <w:rPr>
          <w:rFonts w:ascii="Arial" w:eastAsia="Aptos" w:hAnsi="Arial" w:cs="Arial"/>
          <w:sz w:val="24"/>
          <w:szCs w:val="24"/>
        </w:rPr>
        <w:t xml:space="preserve"> </w:t>
      </w:r>
      <w:r w:rsidR="25D338F9" w:rsidRPr="008E66D5">
        <w:rPr>
          <w:rFonts w:ascii="Arial" w:eastAsia="Aptos" w:hAnsi="Arial" w:cs="Arial"/>
          <w:i/>
          <w:iCs/>
          <w:sz w:val="24"/>
          <w:szCs w:val="24"/>
        </w:rPr>
        <w:t>‘Collective action’</w:t>
      </w:r>
      <w:r w:rsidR="25D338F9" w:rsidRPr="008E66D5">
        <w:rPr>
          <w:rFonts w:ascii="Arial" w:eastAsia="Aptos" w:hAnsi="Arial" w:cs="Arial"/>
          <w:sz w:val="24"/>
          <w:szCs w:val="24"/>
        </w:rPr>
        <w:t xml:space="preserve"> in NPT</w:t>
      </w:r>
      <w:r w:rsidR="0076763D" w:rsidRPr="008E66D5">
        <w:rPr>
          <w:rFonts w:ascii="Arial" w:eastAsia="Aptos" w:hAnsi="Arial" w:cs="Arial"/>
          <w:sz w:val="24"/>
          <w:szCs w:val="24"/>
        </w:rPr>
        <w:t xml:space="preserve"> (80%)</w:t>
      </w:r>
      <w:r w:rsidR="25D338F9" w:rsidRPr="008E66D5">
        <w:rPr>
          <w:rFonts w:ascii="Arial" w:eastAsia="Aptos" w:hAnsi="Arial" w:cs="Arial"/>
          <w:sz w:val="24"/>
          <w:szCs w:val="24"/>
        </w:rPr>
        <w:t xml:space="preserve"> </w:t>
      </w:r>
      <w:r w:rsidR="00BE3DAB" w:rsidRPr="008E66D5">
        <w:rPr>
          <w:rFonts w:ascii="Arial" w:eastAsia="Aptos" w:hAnsi="Arial" w:cs="Arial"/>
          <w:sz w:val="24"/>
          <w:szCs w:val="24"/>
        </w:rPr>
        <w:t xml:space="preserve">(see Supplementary Table </w:t>
      </w:r>
      <w:r w:rsidR="00844328">
        <w:rPr>
          <w:rFonts w:ascii="Arial" w:eastAsia="Aptos" w:hAnsi="Arial" w:cs="Arial"/>
          <w:sz w:val="24"/>
          <w:szCs w:val="24"/>
        </w:rPr>
        <w:t>1</w:t>
      </w:r>
      <w:r w:rsidR="00BE3DAB" w:rsidRPr="008E66D5">
        <w:rPr>
          <w:rFonts w:ascii="Arial" w:eastAsia="Aptos" w:hAnsi="Arial" w:cs="Arial"/>
          <w:sz w:val="24"/>
          <w:szCs w:val="24"/>
        </w:rPr>
        <w:t xml:space="preserve"> for description of </w:t>
      </w:r>
      <w:r w:rsidR="00E25B62" w:rsidRPr="008E66D5">
        <w:rPr>
          <w:rFonts w:ascii="Arial" w:eastAsia="Aptos" w:hAnsi="Arial" w:cs="Arial"/>
          <w:sz w:val="24"/>
          <w:szCs w:val="24"/>
        </w:rPr>
        <w:t xml:space="preserve">NPT </w:t>
      </w:r>
      <w:r w:rsidR="00BE3DAB" w:rsidRPr="008E66D5">
        <w:rPr>
          <w:rFonts w:ascii="Arial" w:eastAsia="Aptos" w:hAnsi="Arial" w:cs="Arial"/>
          <w:sz w:val="24"/>
          <w:szCs w:val="24"/>
        </w:rPr>
        <w:t>construct</w:t>
      </w:r>
      <w:r w:rsidR="00E25B62" w:rsidRPr="008E66D5">
        <w:rPr>
          <w:rFonts w:ascii="Arial" w:eastAsia="Aptos" w:hAnsi="Arial" w:cs="Arial"/>
          <w:sz w:val="24"/>
          <w:szCs w:val="24"/>
        </w:rPr>
        <w:t>s</w:t>
      </w:r>
      <w:r w:rsidR="00BE3DAB" w:rsidRPr="008E66D5">
        <w:rPr>
          <w:rFonts w:ascii="Arial" w:eastAsia="Aptos" w:hAnsi="Arial" w:cs="Arial"/>
          <w:sz w:val="24"/>
          <w:szCs w:val="24"/>
        </w:rPr>
        <w:t xml:space="preserve">) </w:t>
      </w:r>
      <w:r w:rsidR="25D338F9" w:rsidRPr="008E66D5">
        <w:rPr>
          <w:rFonts w:ascii="Arial" w:eastAsia="Aptos" w:hAnsi="Arial" w:cs="Arial"/>
          <w:sz w:val="24"/>
          <w:szCs w:val="24"/>
        </w:rPr>
        <w:t xml:space="preserve">and </w:t>
      </w:r>
      <w:r w:rsidR="25D338F9" w:rsidRPr="008E66D5">
        <w:rPr>
          <w:rFonts w:ascii="Arial" w:eastAsia="Aptos" w:hAnsi="Arial" w:cs="Arial"/>
          <w:i/>
          <w:iCs/>
          <w:sz w:val="24"/>
          <w:szCs w:val="24"/>
        </w:rPr>
        <w:t>‘Environmental context and resources’</w:t>
      </w:r>
      <w:r w:rsidR="25D338F9" w:rsidRPr="008E66D5">
        <w:rPr>
          <w:rFonts w:ascii="Arial" w:eastAsia="Aptos" w:hAnsi="Arial" w:cs="Arial"/>
          <w:sz w:val="24"/>
          <w:szCs w:val="24"/>
        </w:rPr>
        <w:t xml:space="preserve"> </w:t>
      </w:r>
      <w:r w:rsidR="00681674" w:rsidRPr="008E66D5">
        <w:rPr>
          <w:rFonts w:ascii="Arial" w:eastAsia="Aptos" w:hAnsi="Arial" w:cs="Arial"/>
          <w:sz w:val="24"/>
          <w:szCs w:val="24"/>
        </w:rPr>
        <w:t xml:space="preserve">(100%) </w:t>
      </w:r>
      <w:r w:rsidR="00D707F7" w:rsidRPr="008E66D5">
        <w:rPr>
          <w:rFonts w:ascii="Arial" w:eastAsia="Aptos" w:hAnsi="Arial" w:cs="Arial"/>
          <w:sz w:val="24"/>
          <w:szCs w:val="24"/>
        </w:rPr>
        <w:t>in TDF, while a moderate agreement was found for their alignment with</w:t>
      </w:r>
      <w:r w:rsidR="00681674" w:rsidRPr="008E66D5">
        <w:rPr>
          <w:rFonts w:ascii="Arial" w:eastAsia="Aptos" w:hAnsi="Arial" w:cs="Arial"/>
          <w:sz w:val="24"/>
          <w:szCs w:val="24"/>
        </w:rPr>
        <w:t xml:space="preserve"> </w:t>
      </w:r>
      <w:r w:rsidR="00681674" w:rsidRPr="008E66D5">
        <w:rPr>
          <w:rFonts w:ascii="Arial" w:eastAsia="Aptos" w:hAnsi="Arial" w:cs="Arial"/>
          <w:i/>
          <w:iCs/>
          <w:sz w:val="24"/>
          <w:szCs w:val="24"/>
        </w:rPr>
        <w:t>‘Reinforcement’</w:t>
      </w:r>
      <w:r w:rsidR="00681674" w:rsidRPr="008E66D5">
        <w:rPr>
          <w:rFonts w:ascii="Arial" w:eastAsia="Aptos" w:hAnsi="Arial" w:cs="Arial"/>
          <w:sz w:val="24"/>
          <w:szCs w:val="24"/>
        </w:rPr>
        <w:t xml:space="preserve"> (50%) </w:t>
      </w:r>
      <w:r w:rsidR="25D338F9" w:rsidRPr="008E66D5">
        <w:rPr>
          <w:rFonts w:ascii="Arial" w:eastAsia="Aptos" w:hAnsi="Arial" w:cs="Arial"/>
          <w:sz w:val="24"/>
          <w:szCs w:val="24"/>
        </w:rPr>
        <w:t>in TDF</w:t>
      </w:r>
      <w:r w:rsidR="00BE3DAB" w:rsidRPr="008E66D5">
        <w:rPr>
          <w:rFonts w:ascii="Arial" w:eastAsia="Aptos" w:hAnsi="Arial" w:cs="Arial"/>
          <w:sz w:val="24"/>
          <w:szCs w:val="24"/>
        </w:rPr>
        <w:t xml:space="preserve"> (see Supplementary Table 3 for description of </w:t>
      </w:r>
      <w:r w:rsidR="00E25B62" w:rsidRPr="008E66D5">
        <w:rPr>
          <w:rFonts w:ascii="Arial" w:eastAsia="Aptos" w:hAnsi="Arial" w:cs="Arial"/>
          <w:sz w:val="24"/>
          <w:szCs w:val="24"/>
        </w:rPr>
        <w:t xml:space="preserve">TDF </w:t>
      </w:r>
      <w:r w:rsidR="00BE3DAB" w:rsidRPr="008E66D5">
        <w:rPr>
          <w:rFonts w:ascii="Arial" w:eastAsia="Aptos" w:hAnsi="Arial" w:cs="Arial"/>
          <w:sz w:val="24"/>
          <w:szCs w:val="24"/>
        </w:rPr>
        <w:t>domain</w:t>
      </w:r>
      <w:r w:rsidR="00681674" w:rsidRPr="008E66D5">
        <w:rPr>
          <w:rFonts w:ascii="Arial" w:eastAsia="Aptos" w:hAnsi="Arial" w:cs="Arial"/>
          <w:sz w:val="24"/>
          <w:szCs w:val="24"/>
        </w:rPr>
        <w:t>s</w:t>
      </w:r>
      <w:r w:rsidR="00BE3DAB" w:rsidRPr="008E66D5">
        <w:rPr>
          <w:rFonts w:ascii="Arial" w:eastAsia="Aptos" w:hAnsi="Arial" w:cs="Arial"/>
          <w:sz w:val="24"/>
          <w:szCs w:val="24"/>
        </w:rPr>
        <w:t>)</w:t>
      </w:r>
      <w:r w:rsidR="00C52F3C" w:rsidRPr="008E66D5">
        <w:rPr>
          <w:rFonts w:ascii="Arial" w:eastAsia="Aptos" w:hAnsi="Arial" w:cs="Arial"/>
          <w:sz w:val="24"/>
          <w:szCs w:val="24"/>
        </w:rPr>
        <w:t xml:space="preserve"> </w:t>
      </w:r>
      <w:r w:rsidR="069FF37E" w:rsidRPr="008E66D5">
        <w:rPr>
          <w:rFonts w:ascii="Arial" w:eastAsia="Aptos" w:hAnsi="Arial" w:cs="Arial"/>
          <w:sz w:val="24"/>
          <w:szCs w:val="24"/>
        </w:rPr>
        <w:t>(</w:t>
      </w:r>
      <w:r w:rsidR="00C52F3C" w:rsidRPr="008E66D5">
        <w:rPr>
          <w:rFonts w:ascii="Arial" w:eastAsia="Aptos" w:hAnsi="Arial" w:cs="Arial"/>
          <w:sz w:val="24"/>
          <w:szCs w:val="24"/>
        </w:rPr>
        <w:t xml:space="preserve">Table </w:t>
      </w:r>
      <w:r w:rsidR="00844328">
        <w:rPr>
          <w:rFonts w:ascii="Arial" w:eastAsia="Aptos" w:hAnsi="Arial" w:cs="Arial"/>
          <w:sz w:val="24"/>
          <w:szCs w:val="24"/>
        </w:rPr>
        <w:t>1</w:t>
      </w:r>
      <w:r w:rsidR="00C52F3C" w:rsidRPr="008E66D5">
        <w:rPr>
          <w:rFonts w:ascii="Arial" w:eastAsia="Aptos" w:hAnsi="Arial" w:cs="Arial"/>
          <w:sz w:val="24"/>
          <w:szCs w:val="24"/>
        </w:rPr>
        <w:t xml:space="preserve">, </w:t>
      </w:r>
      <w:r w:rsidR="069FF37E" w:rsidRPr="008E66D5">
        <w:rPr>
          <w:rFonts w:ascii="Arial" w:eastAsia="Aptos" w:hAnsi="Arial" w:cs="Arial"/>
          <w:sz w:val="24"/>
          <w:szCs w:val="24"/>
        </w:rPr>
        <w:t>Figure 1)</w:t>
      </w:r>
      <w:r w:rsidR="25D338F9" w:rsidRPr="008E66D5">
        <w:rPr>
          <w:rFonts w:ascii="Arial" w:eastAsia="Aptos" w:hAnsi="Arial" w:cs="Arial"/>
          <w:sz w:val="24"/>
          <w:szCs w:val="24"/>
        </w:rPr>
        <w:t xml:space="preserve">. </w:t>
      </w:r>
    </w:p>
    <w:p w14:paraId="4A8AEA63" w14:textId="70F837A2" w:rsidR="00D707F7" w:rsidRPr="008E66D5" w:rsidRDefault="007F2BBB" w:rsidP="00D73116">
      <w:pPr>
        <w:spacing w:before="160" w:line="276" w:lineRule="auto"/>
        <w:rPr>
          <w:rFonts w:ascii="Arial" w:eastAsia="Aptos" w:hAnsi="Arial" w:cs="Arial"/>
          <w:sz w:val="24"/>
          <w:szCs w:val="24"/>
        </w:rPr>
      </w:pPr>
      <w:r w:rsidRPr="008E66D5">
        <w:rPr>
          <w:rFonts w:ascii="Arial" w:eastAsia="Aptos" w:hAnsi="Arial" w:cs="Arial"/>
          <w:sz w:val="24"/>
          <w:szCs w:val="24"/>
        </w:rPr>
        <w:t>F</w:t>
      </w:r>
      <w:r w:rsidR="25D338F9" w:rsidRPr="008E66D5">
        <w:rPr>
          <w:rFonts w:ascii="Arial" w:eastAsia="Aptos" w:hAnsi="Arial" w:cs="Arial"/>
          <w:sz w:val="24"/>
          <w:szCs w:val="24"/>
        </w:rPr>
        <w:t xml:space="preserve">rameworks </w:t>
      </w:r>
      <w:r w:rsidR="00681674" w:rsidRPr="008E66D5">
        <w:rPr>
          <w:rFonts w:ascii="Arial" w:eastAsia="Aptos" w:hAnsi="Arial" w:cs="Arial"/>
          <w:sz w:val="24"/>
          <w:szCs w:val="24"/>
        </w:rPr>
        <w:t xml:space="preserve">and declarations </w:t>
      </w:r>
      <w:r w:rsidRPr="008E66D5">
        <w:rPr>
          <w:rFonts w:ascii="Arial" w:eastAsia="Aptos" w:hAnsi="Arial" w:cs="Arial"/>
          <w:sz w:val="24"/>
          <w:szCs w:val="24"/>
        </w:rPr>
        <w:t xml:space="preserve">such as the WONCA </w:t>
      </w:r>
      <w:r w:rsidR="00E25B62" w:rsidRPr="008E66D5">
        <w:rPr>
          <w:rFonts w:ascii="Arial" w:eastAsia="Aptos" w:hAnsi="Arial" w:cs="Arial"/>
          <w:sz w:val="24"/>
          <w:szCs w:val="24"/>
        </w:rPr>
        <w:t>guidelines,</w:t>
      </w:r>
      <w:r w:rsidR="00875AB4" w:rsidRPr="008E66D5">
        <w:rPr>
          <w:rFonts w:ascii="Arial" w:eastAsia="Aptos" w:hAnsi="Arial" w:cs="Arial"/>
          <w:sz w:val="24"/>
          <w:szCs w:val="24"/>
        </w:rPr>
        <w:t xml:space="preserve"> </w:t>
      </w:r>
      <w:r w:rsidRPr="008E66D5">
        <w:rPr>
          <w:rFonts w:ascii="Arial" w:eastAsia="Aptos" w:hAnsi="Arial" w:cs="Arial"/>
          <w:sz w:val="24"/>
          <w:szCs w:val="24"/>
        </w:rPr>
        <w:t>were</w:t>
      </w:r>
      <w:r w:rsidR="25D338F9" w:rsidRPr="008E66D5">
        <w:rPr>
          <w:rFonts w:ascii="Arial" w:eastAsia="Aptos" w:hAnsi="Arial" w:cs="Arial"/>
          <w:sz w:val="24"/>
          <w:szCs w:val="24"/>
        </w:rPr>
        <w:t xml:space="preserve"> </w:t>
      </w:r>
      <w:r w:rsidR="00C52F3C" w:rsidRPr="008E66D5">
        <w:rPr>
          <w:rFonts w:ascii="Arial" w:eastAsia="Aptos" w:hAnsi="Arial" w:cs="Arial"/>
          <w:sz w:val="24"/>
          <w:szCs w:val="24"/>
        </w:rPr>
        <w:t>linked to</w:t>
      </w:r>
      <w:r w:rsidR="00576B67" w:rsidRPr="008E66D5">
        <w:rPr>
          <w:rFonts w:ascii="Arial" w:eastAsia="Aptos" w:hAnsi="Arial" w:cs="Arial"/>
          <w:sz w:val="24"/>
          <w:szCs w:val="24"/>
        </w:rPr>
        <w:t xml:space="preserve"> </w:t>
      </w:r>
      <w:r w:rsidRPr="008E66D5">
        <w:rPr>
          <w:rFonts w:ascii="Arial" w:eastAsia="Aptos" w:hAnsi="Arial" w:cs="Arial"/>
          <w:i/>
          <w:iCs/>
          <w:sz w:val="24"/>
          <w:szCs w:val="24"/>
        </w:rPr>
        <w:t>‘Coherence’</w:t>
      </w:r>
      <w:r w:rsidRPr="008E66D5">
        <w:rPr>
          <w:rFonts w:ascii="Arial" w:eastAsia="Aptos" w:hAnsi="Arial" w:cs="Arial"/>
          <w:sz w:val="24"/>
          <w:szCs w:val="24"/>
        </w:rPr>
        <w:t xml:space="preserve"> (60%)</w:t>
      </w:r>
      <w:r w:rsidR="00E25B62" w:rsidRPr="008E66D5">
        <w:rPr>
          <w:rFonts w:ascii="Arial" w:eastAsia="Aptos" w:hAnsi="Arial" w:cs="Arial"/>
          <w:sz w:val="24"/>
          <w:szCs w:val="24"/>
        </w:rPr>
        <w:t xml:space="preserve"> and </w:t>
      </w:r>
      <w:r w:rsidR="00E25B62" w:rsidRPr="008E66D5">
        <w:rPr>
          <w:rFonts w:ascii="Arial" w:eastAsia="Aptos" w:hAnsi="Arial" w:cs="Arial"/>
          <w:i/>
          <w:iCs/>
          <w:sz w:val="24"/>
          <w:szCs w:val="24"/>
        </w:rPr>
        <w:t>‘Collective action’</w:t>
      </w:r>
      <w:r w:rsidR="00E25B62" w:rsidRPr="008E66D5">
        <w:rPr>
          <w:rFonts w:ascii="Arial" w:eastAsia="Aptos" w:hAnsi="Arial" w:cs="Arial"/>
          <w:sz w:val="24"/>
          <w:szCs w:val="24"/>
        </w:rPr>
        <w:t xml:space="preserve"> (40%) in NPT; and to </w:t>
      </w:r>
      <w:r w:rsidR="00E25B62" w:rsidRPr="008E66D5">
        <w:rPr>
          <w:rFonts w:ascii="Arial" w:eastAsia="Aptos" w:hAnsi="Arial" w:cs="Arial"/>
          <w:i/>
          <w:iCs/>
          <w:sz w:val="24"/>
          <w:szCs w:val="24"/>
        </w:rPr>
        <w:t>‘Environmental context and resources’</w:t>
      </w:r>
      <w:r w:rsidR="00E25B62" w:rsidRPr="008E66D5">
        <w:rPr>
          <w:rFonts w:ascii="Arial" w:eastAsia="Aptos" w:hAnsi="Arial" w:cs="Arial"/>
          <w:sz w:val="24"/>
          <w:szCs w:val="24"/>
        </w:rPr>
        <w:t xml:space="preserve"> (70%), </w:t>
      </w:r>
      <w:r w:rsidR="00E25B62" w:rsidRPr="008E66D5">
        <w:rPr>
          <w:rFonts w:ascii="Arial" w:eastAsia="Aptos" w:hAnsi="Arial" w:cs="Arial"/>
          <w:i/>
          <w:iCs/>
          <w:sz w:val="24"/>
          <w:szCs w:val="24"/>
        </w:rPr>
        <w:t>‘Knowledge’</w:t>
      </w:r>
      <w:r w:rsidR="00E25B62" w:rsidRPr="008E66D5">
        <w:rPr>
          <w:rFonts w:ascii="Arial" w:eastAsia="Aptos" w:hAnsi="Arial" w:cs="Arial"/>
          <w:sz w:val="24"/>
          <w:szCs w:val="24"/>
        </w:rPr>
        <w:t xml:space="preserve"> (50%) and </w:t>
      </w:r>
      <w:r w:rsidR="00E25B62" w:rsidRPr="008E66D5">
        <w:rPr>
          <w:rFonts w:ascii="Arial" w:eastAsia="Aptos" w:hAnsi="Arial" w:cs="Arial"/>
          <w:i/>
          <w:iCs/>
          <w:sz w:val="24"/>
          <w:szCs w:val="24"/>
        </w:rPr>
        <w:t>‘Social/professional role and identity’</w:t>
      </w:r>
      <w:r w:rsidR="00E25B62" w:rsidRPr="008E66D5">
        <w:rPr>
          <w:rFonts w:ascii="Arial" w:eastAsia="Aptos" w:hAnsi="Arial" w:cs="Arial"/>
          <w:sz w:val="24"/>
          <w:szCs w:val="24"/>
        </w:rPr>
        <w:t xml:space="preserve"> (40%) in TDF. System-level changes were associated with </w:t>
      </w:r>
      <w:r w:rsidR="00E25B62" w:rsidRPr="008E66D5">
        <w:rPr>
          <w:rFonts w:ascii="Arial" w:eastAsia="Aptos" w:hAnsi="Arial" w:cs="Arial"/>
          <w:i/>
          <w:iCs/>
          <w:sz w:val="24"/>
          <w:szCs w:val="24"/>
        </w:rPr>
        <w:t>‘Coherence’</w:t>
      </w:r>
      <w:r w:rsidR="00E25B62" w:rsidRPr="008E66D5">
        <w:rPr>
          <w:rFonts w:ascii="Arial" w:eastAsia="Aptos" w:hAnsi="Arial" w:cs="Arial"/>
          <w:sz w:val="24"/>
          <w:szCs w:val="24"/>
        </w:rPr>
        <w:t xml:space="preserve"> (50%) and </w:t>
      </w:r>
      <w:r w:rsidR="00E25B62" w:rsidRPr="008E66D5">
        <w:rPr>
          <w:rFonts w:ascii="Arial" w:eastAsia="Aptos" w:hAnsi="Arial" w:cs="Arial"/>
          <w:i/>
          <w:iCs/>
          <w:sz w:val="24"/>
          <w:szCs w:val="24"/>
        </w:rPr>
        <w:t>‘Collective action’</w:t>
      </w:r>
      <w:r w:rsidR="00E25B62" w:rsidRPr="008E66D5">
        <w:rPr>
          <w:rFonts w:ascii="Arial" w:eastAsia="Aptos" w:hAnsi="Arial" w:cs="Arial"/>
          <w:sz w:val="24"/>
          <w:szCs w:val="24"/>
        </w:rPr>
        <w:t xml:space="preserve"> (70%) in NPT, as well as </w:t>
      </w:r>
      <w:r w:rsidR="00E25B62" w:rsidRPr="008E66D5">
        <w:rPr>
          <w:rFonts w:ascii="Arial" w:eastAsia="Aptos" w:hAnsi="Arial" w:cs="Arial"/>
          <w:i/>
          <w:iCs/>
          <w:sz w:val="24"/>
          <w:szCs w:val="24"/>
        </w:rPr>
        <w:t xml:space="preserve">‘Environmental context and resources’ </w:t>
      </w:r>
      <w:r w:rsidR="00E25B62" w:rsidRPr="008E66D5">
        <w:rPr>
          <w:rFonts w:ascii="Arial" w:eastAsia="Aptos" w:hAnsi="Arial" w:cs="Arial"/>
          <w:sz w:val="24"/>
          <w:szCs w:val="24"/>
        </w:rPr>
        <w:t>(80%) and</w:t>
      </w:r>
      <w:r w:rsidR="00E25B62" w:rsidRPr="008E66D5">
        <w:rPr>
          <w:rFonts w:ascii="Arial" w:eastAsia="Aptos" w:hAnsi="Arial" w:cs="Arial"/>
          <w:i/>
          <w:iCs/>
          <w:sz w:val="24"/>
          <w:szCs w:val="24"/>
        </w:rPr>
        <w:t xml:space="preserve"> ‘Social influences’ </w:t>
      </w:r>
      <w:r w:rsidR="00E25B62" w:rsidRPr="008E66D5">
        <w:rPr>
          <w:rFonts w:ascii="Arial" w:eastAsia="Aptos" w:hAnsi="Arial" w:cs="Arial"/>
          <w:sz w:val="24"/>
          <w:szCs w:val="24"/>
        </w:rPr>
        <w:t>(60%) in TDF.</w:t>
      </w:r>
      <w:r w:rsidR="00D901F0" w:rsidRPr="008E66D5">
        <w:rPr>
          <w:rFonts w:ascii="Arial" w:eastAsia="Aptos" w:hAnsi="Arial" w:cs="Arial"/>
          <w:sz w:val="24"/>
          <w:szCs w:val="24"/>
        </w:rPr>
        <w:t xml:space="preserve"> However, </w:t>
      </w:r>
      <w:bookmarkStart w:id="3" w:name="_Hlk188007590"/>
      <w:r w:rsidR="007A1B82">
        <w:rPr>
          <w:rFonts w:ascii="Arial" w:eastAsia="Aptos" w:hAnsi="Arial" w:cs="Arial"/>
          <w:sz w:val="24"/>
          <w:szCs w:val="24"/>
        </w:rPr>
        <w:t xml:space="preserve">no evidence mapped against </w:t>
      </w:r>
      <w:r w:rsidR="00D707F7" w:rsidRPr="008E66D5">
        <w:rPr>
          <w:rFonts w:ascii="Arial" w:eastAsia="Aptos" w:hAnsi="Arial" w:cs="Arial"/>
          <w:sz w:val="24"/>
          <w:szCs w:val="24"/>
        </w:rPr>
        <w:t>‘</w:t>
      </w:r>
      <w:r w:rsidR="00585AC6">
        <w:rPr>
          <w:rFonts w:ascii="Arial" w:eastAsia="Aptos" w:hAnsi="Arial" w:cs="Arial"/>
          <w:i/>
          <w:iCs/>
          <w:sz w:val="24"/>
          <w:szCs w:val="24"/>
        </w:rPr>
        <w:t>R</w:t>
      </w:r>
      <w:r w:rsidR="00D707F7" w:rsidRPr="008E66D5">
        <w:rPr>
          <w:rFonts w:ascii="Arial" w:eastAsia="Aptos" w:hAnsi="Arial" w:cs="Arial"/>
          <w:i/>
          <w:iCs/>
          <w:sz w:val="24"/>
          <w:szCs w:val="24"/>
        </w:rPr>
        <w:t>eflexive monitoring’</w:t>
      </w:r>
      <w:r w:rsidR="00D707F7" w:rsidRPr="008E66D5">
        <w:rPr>
          <w:rFonts w:ascii="Arial" w:eastAsia="Aptos" w:hAnsi="Arial" w:cs="Arial"/>
          <w:sz w:val="24"/>
          <w:szCs w:val="24"/>
        </w:rPr>
        <w:t xml:space="preserve"> in NPT.</w:t>
      </w:r>
      <w:bookmarkEnd w:id="3"/>
    </w:p>
    <w:p w14:paraId="758D3098" w14:textId="07D9AD34" w:rsidR="006B5B5B" w:rsidRPr="008E66D5" w:rsidRDefault="00B14DCA" w:rsidP="00D73116">
      <w:pPr>
        <w:spacing w:before="160" w:line="276" w:lineRule="auto"/>
        <w:rPr>
          <w:rFonts w:ascii="Arial" w:hAnsi="Arial" w:cs="Arial"/>
          <w:sz w:val="24"/>
          <w:szCs w:val="24"/>
        </w:rPr>
      </w:pPr>
      <w:r>
        <w:rPr>
          <w:noProof/>
        </w:rPr>
        <w:drawing>
          <wp:inline distT="0" distB="0" distL="0" distR="0" wp14:anchorId="44D654BE" wp14:editId="70A0A4E1">
            <wp:extent cx="6117220" cy="2857385"/>
            <wp:effectExtent l="0" t="0" r="0" b="635"/>
            <wp:docPr id="1558164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64976" name="Picture 1" descr="A screenshot of a computer&#10;&#10;Description automatically generated"/>
                    <pic:cNvPicPr/>
                  </pic:nvPicPr>
                  <pic:blipFill rotWithShape="1">
                    <a:blip r:embed="rId9"/>
                    <a:srcRect l="21695" t="24107" r="21441" b="28672"/>
                    <a:stretch/>
                  </pic:blipFill>
                  <pic:spPr bwMode="auto">
                    <a:xfrm>
                      <a:off x="0" y="0"/>
                      <a:ext cx="6137778" cy="2866988"/>
                    </a:xfrm>
                    <a:prstGeom prst="rect">
                      <a:avLst/>
                    </a:prstGeom>
                    <a:ln>
                      <a:noFill/>
                    </a:ln>
                    <a:extLst>
                      <a:ext uri="{53640926-AAD7-44D8-BBD7-CCE9431645EC}">
                        <a14:shadowObscured xmlns:a14="http://schemas.microsoft.com/office/drawing/2010/main"/>
                      </a:ext>
                    </a:extLst>
                  </pic:spPr>
                </pic:pic>
              </a:graphicData>
            </a:graphic>
          </wp:inline>
        </w:drawing>
      </w:r>
    </w:p>
    <w:p w14:paraId="207CF9F0" w14:textId="509D4C73" w:rsidR="006B5B5B" w:rsidRPr="008E66D5" w:rsidRDefault="006B5B5B" w:rsidP="00D73116">
      <w:pPr>
        <w:spacing w:before="160" w:line="276" w:lineRule="auto"/>
        <w:rPr>
          <w:rFonts w:ascii="Arial" w:hAnsi="Arial" w:cs="Arial"/>
          <w:sz w:val="24"/>
          <w:szCs w:val="24"/>
        </w:rPr>
      </w:pPr>
      <w:r w:rsidRPr="008E66D5">
        <w:rPr>
          <w:rFonts w:ascii="Arial" w:hAnsi="Arial" w:cs="Arial"/>
          <w:sz w:val="24"/>
          <w:szCs w:val="24"/>
        </w:rPr>
        <w:t xml:space="preserve">Figure 1. Summary of mapping </w:t>
      </w:r>
    </w:p>
    <w:p w14:paraId="0C0655E3" w14:textId="77777777" w:rsidR="00953D55" w:rsidRPr="008E66D5" w:rsidRDefault="00953D55" w:rsidP="00D73116">
      <w:pPr>
        <w:spacing w:before="160" w:line="276" w:lineRule="auto"/>
        <w:rPr>
          <w:rFonts w:ascii="Arial" w:eastAsia="Aptos" w:hAnsi="Arial" w:cs="Arial"/>
          <w:b/>
          <w:bCs/>
          <w:i/>
          <w:iCs/>
          <w:sz w:val="24"/>
          <w:szCs w:val="24"/>
        </w:rPr>
      </w:pPr>
    </w:p>
    <w:p w14:paraId="1D8892DB" w14:textId="19C3EA75" w:rsidR="00221B72" w:rsidRPr="008E66D5" w:rsidRDefault="00221B72" w:rsidP="00D73116">
      <w:pPr>
        <w:spacing w:before="160" w:line="276" w:lineRule="auto"/>
        <w:rPr>
          <w:rFonts w:ascii="Arial" w:eastAsia="Aptos" w:hAnsi="Arial" w:cs="Arial"/>
          <w:sz w:val="26"/>
          <w:szCs w:val="26"/>
        </w:rPr>
      </w:pPr>
      <w:r w:rsidRPr="008E66D5">
        <w:rPr>
          <w:rFonts w:ascii="Arial" w:eastAsia="Aptos" w:hAnsi="Arial" w:cs="Arial"/>
          <w:sz w:val="26"/>
          <w:szCs w:val="26"/>
        </w:rPr>
        <w:t>Organisational leadership, support, and constraints</w:t>
      </w:r>
    </w:p>
    <w:p w14:paraId="779881A9" w14:textId="6438FAB9" w:rsidR="00221B72" w:rsidRPr="008E66D5" w:rsidRDefault="007246B4" w:rsidP="00D73116">
      <w:pPr>
        <w:spacing w:before="160" w:line="276" w:lineRule="auto"/>
        <w:rPr>
          <w:rFonts w:ascii="Arial" w:eastAsia="Aptos" w:hAnsi="Arial" w:cs="Arial"/>
          <w:sz w:val="24"/>
          <w:szCs w:val="24"/>
        </w:rPr>
      </w:pPr>
      <w:r w:rsidRPr="008E66D5">
        <w:rPr>
          <w:rFonts w:ascii="Arial" w:eastAsia="Aptos" w:hAnsi="Arial" w:cs="Arial"/>
          <w:sz w:val="24"/>
          <w:szCs w:val="24"/>
        </w:rPr>
        <w:t>There was</w:t>
      </w:r>
      <w:r w:rsidR="004A0E8E" w:rsidRPr="008E66D5">
        <w:rPr>
          <w:rFonts w:ascii="Arial" w:eastAsia="Aptos" w:hAnsi="Arial" w:cs="Arial"/>
          <w:sz w:val="24"/>
          <w:szCs w:val="24"/>
        </w:rPr>
        <w:t xml:space="preserve"> agreement that l</w:t>
      </w:r>
      <w:r w:rsidR="543ADF96" w:rsidRPr="008E66D5">
        <w:rPr>
          <w:rFonts w:ascii="Arial" w:eastAsia="Aptos" w:hAnsi="Arial" w:cs="Arial"/>
          <w:sz w:val="24"/>
          <w:szCs w:val="24"/>
        </w:rPr>
        <w:t>eadership and c</w:t>
      </w:r>
      <w:r w:rsidR="4020AC87" w:rsidRPr="008E66D5">
        <w:rPr>
          <w:rFonts w:ascii="Arial" w:eastAsia="Aptos" w:hAnsi="Arial" w:cs="Arial"/>
          <w:sz w:val="24"/>
          <w:szCs w:val="24"/>
        </w:rPr>
        <w:t>ulture</w:t>
      </w:r>
      <w:r w:rsidR="371AFB6E" w:rsidRPr="008E66D5">
        <w:rPr>
          <w:rFonts w:ascii="Arial" w:eastAsia="Aptos" w:hAnsi="Arial" w:cs="Arial"/>
          <w:sz w:val="24"/>
          <w:szCs w:val="24"/>
        </w:rPr>
        <w:t xml:space="preserve"> </w:t>
      </w:r>
      <w:r w:rsidR="004A0E8E" w:rsidRPr="008E66D5">
        <w:rPr>
          <w:rFonts w:ascii="Arial" w:eastAsia="Aptos" w:hAnsi="Arial" w:cs="Arial"/>
          <w:sz w:val="24"/>
          <w:szCs w:val="24"/>
        </w:rPr>
        <w:t>align with</w:t>
      </w:r>
      <w:r w:rsidR="4C2915B7" w:rsidRPr="008E66D5">
        <w:rPr>
          <w:rFonts w:ascii="Arial" w:eastAsia="Aptos" w:hAnsi="Arial" w:cs="Arial"/>
          <w:sz w:val="24"/>
          <w:szCs w:val="24"/>
        </w:rPr>
        <w:t xml:space="preserve"> </w:t>
      </w:r>
      <w:r w:rsidR="543ADF96" w:rsidRPr="008E66D5">
        <w:rPr>
          <w:rFonts w:ascii="Arial" w:eastAsia="Aptos" w:hAnsi="Arial" w:cs="Arial"/>
          <w:i/>
          <w:iCs/>
          <w:sz w:val="24"/>
          <w:szCs w:val="24"/>
        </w:rPr>
        <w:t xml:space="preserve">‘Cognitive </w:t>
      </w:r>
      <w:r w:rsidR="4020AC87" w:rsidRPr="008E66D5">
        <w:rPr>
          <w:rFonts w:ascii="Arial" w:eastAsia="Aptos" w:hAnsi="Arial" w:cs="Arial"/>
          <w:i/>
          <w:iCs/>
          <w:sz w:val="24"/>
          <w:szCs w:val="24"/>
        </w:rPr>
        <w:t>participation</w:t>
      </w:r>
      <w:r w:rsidR="543ADF96" w:rsidRPr="008E66D5">
        <w:rPr>
          <w:rFonts w:ascii="Arial" w:eastAsia="Aptos" w:hAnsi="Arial" w:cs="Arial"/>
          <w:i/>
          <w:iCs/>
          <w:sz w:val="24"/>
          <w:szCs w:val="24"/>
        </w:rPr>
        <w:t>’</w:t>
      </w:r>
      <w:r w:rsidR="004A0E8E" w:rsidRPr="008E66D5">
        <w:rPr>
          <w:rFonts w:ascii="Arial" w:eastAsia="Aptos" w:hAnsi="Arial" w:cs="Arial"/>
          <w:i/>
          <w:iCs/>
          <w:sz w:val="24"/>
          <w:szCs w:val="24"/>
        </w:rPr>
        <w:t xml:space="preserve"> </w:t>
      </w:r>
      <w:r w:rsidR="543ADF96" w:rsidRPr="008E66D5">
        <w:rPr>
          <w:rFonts w:ascii="Arial" w:eastAsia="Aptos" w:hAnsi="Arial" w:cs="Arial"/>
          <w:sz w:val="24"/>
          <w:szCs w:val="24"/>
        </w:rPr>
        <w:t>(</w:t>
      </w:r>
      <w:r w:rsidR="4020AC87" w:rsidRPr="008E66D5">
        <w:rPr>
          <w:rFonts w:ascii="Arial" w:eastAsia="Aptos" w:hAnsi="Arial" w:cs="Arial"/>
          <w:sz w:val="24"/>
          <w:szCs w:val="24"/>
        </w:rPr>
        <w:t>7</w:t>
      </w:r>
      <w:r w:rsidR="543ADF96" w:rsidRPr="008E66D5">
        <w:rPr>
          <w:rFonts w:ascii="Arial" w:eastAsia="Aptos" w:hAnsi="Arial" w:cs="Arial"/>
          <w:sz w:val="24"/>
          <w:szCs w:val="24"/>
        </w:rPr>
        <w:t>0%)</w:t>
      </w:r>
      <w:r w:rsidR="4020AC87" w:rsidRPr="008E66D5">
        <w:rPr>
          <w:rFonts w:ascii="Arial" w:eastAsia="Aptos" w:hAnsi="Arial" w:cs="Arial"/>
          <w:sz w:val="24"/>
          <w:szCs w:val="24"/>
        </w:rPr>
        <w:t xml:space="preserve"> </w:t>
      </w:r>
      <w:r w:rsidR="004A0E8E" w:rsidRPr="008E66D5">
        <w:rPr>
          <w:rFonts w:ascii="Arial" w:eastAsia="Aptos" w:hAnsi="Arial" w:cs="Arial"/>
          <w:sz w:val="24"/>
          <w:szCs w:val="24"/>
        </w:rPr>
        <w:t xml:space="preserve">and </w:t>
      </w:r>
      <w:r w:rsidR="004A0E8E" w:rsidRPr="008E66D5">
        <w:rPr>
          <w:rFonts w:ascii="Arial" w:eastAsia="Aptos" w:hAnsi="Arial" w:cs="Arial"/>
          <w:i/>
          <w:iCs/>
          <w:sz w:val="24"/>
          <w:szCs w:val="24"/>
        </w:rPr>
        <w:t>‘Coherence’</w:t>
      </w:r>
      <w:r w:rsidR="004A0E8E" w:rsidRPr="008E66D5">
        <w:rPr>
          <w:rFonts w:ascii="Arial" w:eastAsia="Aptos" w:hAnsi="Arial" w:cs="Arial"/>
          <w:sz w:val="24"/>
          <w:szCs w:val="24"/>
        </w:rPr>
        <w:t xml:space="preserve"> (40%) in NPT, </w:t>
      </w:r>
      <w:r w:rsidR="35F0DF10" w:rsidRPr="008E66D5">
        <w:rPr>
          <w:rFonts w:ascii="Arial" w:eastAsia="Aptos" w:hAnsi="Arial" w:cs="Arial"/>
          <w:sz w:val="24"/>
          <w:szCs w:val="24"/>
        </w:rPr>
        <w:t>and</w:t>
      </w:r>
      <w:r w:rsidR="4C2915B7" w:rsidRPr="008E66D5">
        <w:rPr>
          <w:rFonts w:ascii="Arial" w:eastAsia="Aptos" w:hAnsi="Arial" w:cs="Arial"/>
          <w:sz w:val="24"/>
          <w:szCs w:val="24"/>
        </w:rPr>
        <w:t xml:space="preserve"> </w:t>
      </w:r>
      <w:r w:rsidR="004A0E8E" w:rsidRPr="008E66D5">
        <w:rPr>
          <w:rFonts w:ascii="Arial" w:eastAsia="Aptos" w:hAnsi="Arial" w:cs="Arial"/>
          <w:sz w:val="24"/>
          <w:szCs w:val="24"/>
        </w:rPr>
        <w:t xml:space="preserve">with </w:t>
      </w:r>
      <w:r w:rsidR="543ADF96" w:rsidRPr="008E66D5">
        <w:rPr>
          <w:rFonts w:ascii="Arial" w:eastAsia="Aptos" w:hAnsi="Arial" w:cs="Arial"/>
          <w:i/>
          <w:iCs/>
          <w:sz w:val="24"/>
          <w:szCs w:val="24"/>
        </w:rPr>
        <w:t>‘E</w:t>
      </w:r>
      <w:r w:rsidR="4020AC87" w:rsidRPr="008E66D5">
        <w:rPr>
          <w:rFonts w:ascii="Arial" w:eastAsia="Aptos" w:hAnsi="Arial" w:cs="Arial"/>
          <w:i/>
          <w:iCs/>
          <w:sz w:val="24"/>
          <w:szCs w:val="24"/>
        </w:rPr>
        <w:t>nvironmental context and resource</w:t>
      </w:r>
      <w:r w:rsidR="543ADF96" w:rsidRPr="008E66D5">
        <w:rPr>
          <w:rFonts w:ascii="Arial" w:eastAsia="Aptos" w:hAnsi="Arial" w:cs="Arial"/>
          <w:i/>
          <w:iCs/>
          <w:sz w:val="24"/>
          <w:szCs w:val="24"/>
        </w:rPr>
        <w:t>s’</w:t>
      </w:r>
      <w:r w:rsidR="4020AC87" w:rsidRPr="008E66D5">
        <w:rPr>
          <w:rFonts w:ascii="Arial" w:eastAsia="Aptos" w:hAnsi="Arial" w:cs="Arial"/>
          <w:sz w:val="24"/>
          <w:szCs w:val="24"/>
        </w:rPr>
        <w:t xml:space="preserve"> </w:t>
      </w:r>
      <w:r w:rsidR="543ADF96" w:rsidRPr="008E66D5">
        <w:rPr>
          <w:rFonts w:ascii="Arial" w:eastAsia="Aptos" w:hAnsi="Arial" w:cs="Arial"/>
          <w:sz w:val="24"/>
          <w:szCs w:val="24"/>
        </w:rPr>
        <w:t>(</w:t>
      </w:r>
      <w:r w:rsidR="322C7278" w:rsidRPr="008E66D5">
        <w:rPr>
          <w:rFonts w:ascii="Arial" w:eastAsia="Aptos" w:hAnsi="Arial" w:cs="Arial"/>
          <w:sz w:val="24"/>
          <w:szCs w:val="24"/>
        </w:rPr>
        <w:t>80%</w:t>
      </w:r>
      <w:r w:rsidR="543ADF96" w:rsidRPr="008E66D5">
        <w:rPr>
          <w:rFonts w:ascii="Arial" w:eastAsia="Aptos" w:hAnsi="Arial" w:cs="Arial"/>
          <w:sz w:val="24"/>
          <w:szCs w:val="24"/>
        </w:rPr>
        <w:t>)</w:t>
      </w:r>
      <w:r w:rsidR="004A0E8E" w:rsidRPr="008E66D5">
        <w:rPr>
          <w:rFonts w:ascii="Arial" w:eastAsia="Aptos" w:hAnsi="Arial" w:cs="Arial"/>
          <w:sz w:val="24"/>
          <w:szCs w:val="24"/>
        </w:rPr>
        <w:t xml:space="preserve">, </w:t>
      </w:r>
      <w:r w:rsidR="004A0E8E" w:rsidRPr="008E66D5">
        <w:rPr>
          <w:rFonts w:ascii="Arial" w:eastAsia="Aptos" w:hAnsi="Arial" w:cs="Arial"/>
          <w:i/>
          <w:iCs/>
          <w:sz w:val="24"/>
          <w:szCs w:val="24"/>
        </w:rPr>
        <w:t>‘Social/professional role and identity’</w:t>
      </w:r>
      <w:r w:rsidR="004A0E8E" w:rsidRPr="008E66D5">
        <w:rPr>
          <w:rFonts w:ascii="Arial" w:eastAsia="Aptos" w:hAnsi="Arial" w:cs="Arial"/>
          <w:sz w:val="24"/>
          <w:szCs w:val="24"/>
        </w:rPr>
        <w:t xml:space="preserve"> (60%) and </w:t>
      </w:r>
      <w:r w:rsidR="004A0E8E" w:rsidRPr="008E66D5">
        <w:rPr>
          <w:rFonts w:ascii="Arial" w:eastAsia="Aptos" w:hAnsi="Arial" w:cs="Arial"/>
          <w:i/>
          <w:iCs/>
          <w:sz w:val="24"/>
          <w:szCs w:val="24"/>
        </w:rPr>
        <w:t>‘Social influences’</w:t>
      </w:r>
      <w:r w:rsidR="004A0E8E" w:rsidRPr="008E66D5">
        <w:rPr>
          <w:rFonts w:ascii="Arial" w:eastAsia="Aptos" w:hAnsi="Arial" w:cs="Arial"/>
          <w:sz w:val="24"/>
          <w:szCs w:val="24"/>
        </w:rPr>
        <w:t xml:space="preserve"> (40%)</w:t>
      </w:r>
      <w:r w:rsidR="35F0DF10" w:rsidRPr="008E66D5">
        <w:rPr>
          <w:rFonts w:ascii="Arial" w:eastAsia="Aptos" w:hAnsi="Arial" w:cs="Arial"/>
          <w:sz w:val="24"/>
          <w:szCs w:val="24"/>
        </w:rPr>
        <w:t xml:space="preserve"> </w:t>
      </w:r>
      <w:r w:rsidR="004A0E8E" w:rsidRPr="008E66D5">
        <w:rPr>
          <w:rFonts w:ascii="Arial" w:eastAsia="Aptos" w:hAnsi="Arial" w:cs="Arial"/>
          <w:sz w:val="24"/>
          <w:szCs w:val="24"/>
        </w:rPr>
        <w:t xml:space="preserve">in TDF </w:t>
      </w:r>
      <w:r w:rsidR="43368446" w:rsidRPr="008E66D5">
        <w:rPr>
          <w:rFonts w:ascii="Arial" w:eastAsia="Aptos" w:hAnsi="Arial" w:cs="Arial"/>
          <w:sz w:val="24"/>
          <w:szCs w:val="24"/>
        </w:rPr>
        <w:t>(</w:t>
      </w:r>
      <w:r w:rsidR="35F0DF10" w:rsidRPr="008E66D5">
        <w:rPr>
          <w:rFonts w:ascii="Arial" w:eastAsia="Aptos" w:hAnsi="Arial" w:cs="Arial"/>
          <w:sz w:val="24"/>
          <w:szCs w:val="24"/>
        </w:rPr>
        <w:t xml:space="preserve">Table </w:t>
      </w:r>
      <w:r w:rsidR="00844328">
        <w:rPr>
          <w:rFonts w:ascii="Arial" w:eastAsia="Aptos" w:hAnsi="Arial" w:cs="Arial"/>
          <w:sz w:val="24"/>
          <w:szCs w:val="24"/>
        </w:rPr>
        <w:t>1</w:t>
      </w:r>
      <w:r w:rsidR="35F0DF10" w:rsidRPr="008E66D5">
        <w:rPr>
          <w:rFonts w:ascii="Arial" w:eastAsia="Aptos" w:hAnsi="Arial" w:cs="Arial"/>
          <w:sz w:val="24"/>
          <w:szCs w:val="24"/>
        </w:rPr>
        <w:t xml:space="preserve">, </w:t>
      </w:r>
      <w:r w:rsidR="43368446" w:rsidRPr="008E66D5">
        <w:rPr>
          <w:rFonts w:ascii="Arial" w:eastAsia="Aptos" w:hAnsi="Arial" w:cs="Arial"/>
          <w:sz w:val="24"/>
          <w:szCs w:val="24"/>
        </w:rPr>
        <w:t>Figure 1)</w:t>
      </w:r>
      <w:r w:rsidR="4020AC87" w:rsidRPr="008E66D5">
        <w:rPr>
          <w:rFonts w:ascii="Arial" w:eastAsia="Aptos" w:hAnsi="Arial" w:cs="Arial"/>
          <w:sz w:val="24"/>
          <w:szCs w:val="24"/>
        </w:rPr>
        <w:t xml:space="preserve">. </w:t>
      </w:r>
      <w:r w:rsidR="004A0E8E" w:rsidRPr="008E66D5">
        <w:rPr>
          <w:rFonts w:ascii="Arial" w:eastAsia="Aptos" w:hAnsi="Arial" w:cs="Arial"/>
          <w:sz w:val="24"/>
          <w:szCs w:val="24"/>
        </w:rPr>
        <w:t>P</w:t>
      </w:r>
      <w:r w:rsidR="35F0DF10" w:rsidRPr="008E66D5">
        <w:rPr>
          <w:rFonts w:ascii="Arial" w:eastAsia="Aptos" w:hAnsi="Arial" w:cs="Arial"/>
          <w:sz w:val="24"/>
          <w:szCs w:val="24"/>
        </w:rPr>
        <w:t xml:space="preserve">ractice management, encompassing team coordination and logistical support, was also linked to </w:t>
      </w:r>
      <w:r w:rsidR="35F0DF10" w:rsidRPr="008E66D5">
        <w:rPr>
          <w:rFonts w:ascii="Arial" w:eastAsia="Aptos" w:hAnsi="Arial" w:cs="Arial"/>
          <w:i/>
          <w:iCs/>
          <w:sz w:val="24"/>
          <w:szCs w:val="24"/>
        </w:rPr>
        <w:t xml:space="preserve">‘Cognitive participation’ </w:t>
      </w:r>
      <w:r w:rsidR="35F0DF10" w:rsidRPr="008E66D5">
        <w:rPr>
          <w:rFonts w:ascii="Arial" w:eastAsia="Aptos" w:hAnsi="Arial" w:cs="Arial"/>
          <w:sz w:val="24"/>
          <w:szCs w:val="24"/>
        </w:rPr>
        <w:t xml:space="preserve">(80%) </w:t>
      </w:r>
      <w:r w:rsidR="004A0E8E" w:rsidRPr="008E66D5">
        <w:rPr>
          <w:rFonts w:ascii="Arial" w:eastAsia="Aptos" w:hAnsi="Arial" w:cs="Arial"/>
          <w:sz w:val="24"/>
          <w:szCs w:val="24"/>
        </w:rPr>
        <w:t xml:space="preserve">in NPT, </w:t>
      </w:r>
      <w:r w:rsidR="35F0DF10" w:rsidRPr="008E66D5">
        <w:rPr>
          <w:rFonts w:ascii="Arial" w:eastAsia="Aptos" w:hAnsi="Arial" w:cs="Arial"/>
          <w:sz w:val="24"/>
          <w:szCs w:val="24"/>
        </w:rPr>
        <w:t xml:space="preserve">and </w:t>
      </w:r>
      <w:r w:rsidR="004A0E8E" w:rsidRPr="008E66D5">
        <w:rPr>
          <w:rFonts w:ascii="Arial" w:eastAsia="Aptos" w:hAnsi="Arial" w:cs="Arial"/>
          <w:sz w:val="24"/>
          <w:szCs w:val="24"/>
        </w:rPr>
        <w:t xml:space="preserve">to </w:t>
      </w:r>
      <w:r w:rsidR="35F0DF10" w:rsidRPr="008E66D5">
        <w:rPr>
          <w:rFonts w:ascii="Arial" w:eastAsia="Aptos" w:hAnsi="Arial" w:cs="Arial"/>
          <w:i/>
          <w:iCs/>
          <w:sz w:val="24"/>
          <w:szCs w:val="24"/>
        </w:rPr>
        <w:t>‘Environmental context and resources’</w:t>
      </w:r>
      <w:r w:rsidR="35F0DF10" w:rsidRPr="008E66D5">
        <w:rPr>
          <w:rFonts w:ascii="Arial" w:eastAsia="Aptos" w:hAnsi="Arial" w:cs="Arial"/>
          <w:sz w:val="24"/>
          <w:szCs w:val="24"/>
        </w:rPr>
        <w:t xml:space="preserve"> (60%)</w:t>
      </w:r>
      <w:r w:rsidR="004A0E8E" w:rsidRPr="008E66D5">
        <w:rPr>
          <w:rFonts w:ascii="Arial" w:eastAsia="Aptos" w:hAnsi="Arial" w:cs="Arial"/>
          <w:sz w:val="24"/>
          <w:szCs w:val="24"/>
        </w:rPr>
        <w:t xml:space="preserve"> and </w:t>
      </w:r>
      <w:r w:rsidR="004A0E8E" w:rsidRPr="008E66D5">
        <w:rPr>
          <w:rFonts w:ascii="Arial" w:eastAsia="Aptos" w:hAnsi="Arial" w:cs="Arial"/>
          <w:i/>
          <w:iCs/>
          <w:sz w:val="24"/>
          <w:szCs w:val="24"/>
        </w:rPr>
        <w:t>‘Social/professional role and identity’</w:t>
      </w:r>
      <w:r w:rsidR="004A0E8E" w:rsidRPr="008E66D5">
        <w:rPr>
          <w:rFonts w:ascii="Arial" w:eastAsia="Aptos" w:hAnsi="Arial" w:cs="Arial"/>
          <w:sz w:val="24"/>
          <w:szCs w:val="24"/>
        </w:rPr>
        <w:t xml:space="preserve"> (50%) in TDF</w:t>
      </w:r>
      <w:r w:rsidR="35F0DF10" w:rsidRPr="008E66D5">
        <w:rPr>
          <w:rFonts w:ascii="Arial" w:eastAsia="Aptos" w:hAnsi="Arial" w:cs="Arial"/>
          <w:sz w:val="24"/>
          <w:szCs w:val="24"/>
        </w:rPr>
        <w:t xml:space="preserve">.  </w:t>
      </w:r>
      <w:r w:rsidR="004A0E8E" w:rsidRPr="008E66D5">
        <w:rPr>
          <w:rFonts w:ascii="Arial" w:eastAsia="Aptos" w:hAnsi="Arial" w:cs="Arial"/>
          <w:sz w:val="24"/>
          <w:szCs w:val="24"/>
        </w:rPr>
        <w:t xml:space="preserve">Resource constraints were </w:t>
      </w:r>
      <w:r w:rsidR="00D901F0" w:rsidRPr="008E66D5">
        <w:rPr>
          <w:rFonts w:ascii="Arial" w:eastAsia="Aptos" w:hAnsi="Arial" w:cs="Arial"/>
          <w:sz w:val="24"/>
          <w:szCs w:val="24"/>
        </w:rPr>
        <w:t xml:space="preserve">strongly </w:t>
      </w:r>
      <w:r w:rsidR="004A0E8E" w:rsidRPr="008E66D5">
        <w:rPr>
          <w:rFonts w:ascii="Arial" w:eastAsia="Aptos" w:hAnsi="Arial" w:cs="Arial"/>
          <w:sz w:val="24"/>
          <w:szCs w:val="24"/>
        </w:rPr>
        <w:t xml:space="preserve">mapped to </w:t>
      </w:r>
      <w:r w:rsidR="004A0E8E" w:rsidRPr="008E66D5">
        <w:rPr>
          <w:rFonts w:ascii="Arial" w:eastAsia="Aptos" w:hAnsi="Arial" w:cs="Arial"/>
          <w:i/>
          <w:iCs/>
          <w:sz w:val="24"/>
          <w:szCs w:val="24"/>
        </w:rPr>
        <w:t>‘Collective action’</w:t>
      </w:r>
      <w:r w:rsidR="004A0E8E" w:rsidRPr="008E66D5">
        <w:rPr>
          <w:rFonts w:ascii="Arial" w:eastAsia="Aptos" w:hAnsi="Arial" w:cs="Arial"/>
          <w:sz w:val="24"/>
          <w:szCs w:val="24"/>
        </w:rPr>
        <w:t xml:space="preserve"> (70%) in NPT, and to </w:t>
      </w:r>
      <w:r w:rsidR="004A0E8E" w:rsidRPr="008E66D5">
        <w:rPr>
          <w:rFonts w:ascii="Arial" w:eastAsia="Aptos" w:hAnsi="Arial" w:cs="Arial"/>
          <w:i/>
          <w:iCs/>
          <w:sz w:val="24"/>
          <w:szCs w:val="24"/>
        </w:rPr>
        <w:t>‘Environmental context and resources’</w:t>
      </w:r>
      <w:r w:rsidR="004A0E8E" w:rsidRPr="008E66D5">
        <w:rPr>
          <w:rFonts w:ascii="Arial" w:eastAsia="Aptos" w:hAnsi="Arial" w:cs="Arial"/>
          <w:sz w:val="24"/>
          <w:szCs w:val="24"/>
        </w:rPr>
        <w:t xml:space="preserve"> (100%) in TDF.</w:t>
      </w:r>
      <w:r w:rsidR="00D901F0" w:rsidRPr="008E66D5">
        <w:rPr>
          <w:rFonts w:ascii="Arial" w:eastAsia="Aptos" w:hAnsi="Arial" w:cs="Arial"/>
          <w:sz w:val="24"/>
          <w:szCs w:val="24"/>
        </w:rPr>
        <w:t xml:space="preserve"> </w:t>
      </w:r>
      <w:r w:rsidR="00BD2AE0" w:rsidRPr="008E66D5">
        <w:rPr>
          <w:rFonts w:ascii="Arial" w:eastAsia="Aptos" w:hAnsi="Arial" w:cs="Arial"/>
          <w:sz w:val="24"/>
          <w:szCs w:val="24"/>
        </w:rPr>
        <w:t xml:space="preserve">However, domains such as </w:t>
      </w:r>
      <w:r w:rsidR="00BD2AE0" w:rsidRPr="008E66D5">
        <w:rPr>
          <w:rFonts w:ascii="Arial" w:eastAsia="Aptos" w:hAnsi="Arial" w:cs="Arial"/>
          <w:i/>
          <w:iCs/>
          <w:sz w:val="24"/>
          <w:szCs w:val="24"/>
        </w:rPr>
        <w:t>‘Behaviour regulation’</w:t>
      </w:r>
      <w:r w:rsidR="00BD2AE0" w:rsidRPr="008E66D5">
        <w:rPr>
          <w:rFonts w:ascii="Arial" w:eastAsia="Aptos" w:hAnsi="Arial" w:cs="Arial"/>
          <w:sz w:val="24"/>
          <w:szCs w:val="24"/>
        </w:rPr>
        <w:t xml:space="preserve"> and </w:t>
      </w:r>
      <w:r w:rsidR="00BD2AE0" w:rsidRPr="008E66D5">
        <w:rPr>
          <w:rFonts w:ascii="Arial" w:eastAsia="Aptos" w:hAnsi="Arial" w:cs="Arial"/>
          <w:i/>
          <w:iCs/>
          <w:sz w:val="24"/>
          <w:szCs w:val="24"/>
        </w:rPr>
        <w:t>‘Beliefs about consequences’</w:t>
      </w:r>
      <w:r w:rsidR="00BD2AE0" w:rsidRPr="008E66D5">
        <w:rPr>
          <w:rFonts w:ascii="Arial" w:eastAsia="Aptos" w:hAnsi="Arial" w:cs="Arial"/>
          <w:sz w:val="24"/>
          <w:szCs w:val="24"/>
        </w:rPr>
        <w:t xml:space="preserve"> in TDF were absent in this category.</w:t>
      </w:r>
    </w:p>
    <w:p w14:paraId="4C36701D" w14:textId="27B1E967" w:rsidR="00221B72" w:rsidRPr="008E66D5" w:rsidRDefault="00221B72" w:rsidP="00D73116">
      <w:pPr>
        <w:spacing w:before="160" w:line="276" w:lineRule="auto"/>
        <w:rPr>
          <w:rFonts w:ascii="Arial" w:eastAsia="Aptos" w:hAnsi="Arial" w:cs="Arial"/>
          <w:sz w:val="26"/>
          <w:szCs w:val="26"/>
        </w:rPr>
      </w:pPr>
      <w:r w:rsidRPr="008E66D5">
        <w:rPr>
          <w:rFonts w:ascii="Arial" w:eastAsia="Aptos" w:hAnsi="Arial" w:cs="Arial"/>
          <w:sz w:val="26"/>
          <w:szCs w:val="26"/>
        </w:rPr>
        <w:t>Professional knowledge, awareness, and engagement</w:t>
      </w:r>
    </w:p>
    <w:p w14:paraId="62CCCCD0" w14:textId="4A5BBBF2" w:rsidR="00221B72" w:rsidRPr="008E66D5" w:rsidRDefault="00365BC6" w:rsidP="00D73116">
      <w:pPr>
        <w:spacing w:before="160" w:line="276" w:lineRule="auto"/>
        <w:rPr>
          <w:rFonts w:ascii="Arial" w:eastAsia="Aptos" w:hAnsi="Arial" w:cs="Arial"/>
          <w:sz w:val="24"/>
          <w:szCs w:val="24"/>
        </w:rPr>
      </w:pPr>
      <w:r w:rsidRPr="008E66D5">
        <w:rPr>
          <w:rFonts w:ascii="Arial" w:eastAsia="Aptos" w:hAnsi="Arial" w:cs="Arial"/>
          <w:sz w:val="24"/>
          <w:szCs w:val="24"/>
        </w:rPr>
        <w:lastRenderedPageBreak/>
        <w:t xml:space="preserve">Coders strongly agreed that </w:t>
      </w:r>
      <w:r w:rsidR="00C52F3C" w:rsidRPr="008E66D5">
        <w:rPr>
          <w:rFonts w:ascii="Arial" w:eastAsia="Aptos" w:hAnsi="Arial" w:cs="Arial"/>
          <w:sz w:val="24"/>
          <w:szCs w:val="24"/>
        </w:rPr>
        <w:t>k</w:t>
      </w:r>
      <w:r w:rsidR="00AC141F" w:rsidRPr="008E66D5">
        <w:rPr>
          <w:rFonts w:ascii="Arial" w:eastAsia="Aptos" w:hAnsi="Arial" w:cs="Arial"/>
          <w:sz w:val="24"/>
          <w:szCs w:val="24"/>
        </w:rPr>
        <w:t>nowledge and awareness</w:t>
      </w:r>
      <w:r w:rsidR="001E0CB4" w:rsidRPr="008E66D5">
        <w:rPr>
          <w:rFonts w:ascii="Arial" w:eastAsia="Aptos" w:hAnsi="Arial" w:cs="Arial"/>
          <w:sz w:val="24"/>
          <w:szCs w:val="24"/>
        </w:rPr>
        <w:t xml:space="preserve"> </w:t>
      </w:r>
      <w:r w:rsidR="00C52F3C" w:rsidRPr="008E66D5">
        <w:rPr>
          <w:rFonts w:ascii="Arial" w:eastAsia="Aptos" w:hAnsi="Arial" w:cs="Arial"/>
          <w:sz w:val="24"/>
          <w:szCs w:val="24"/>
        </w:rPr>
        <w:t>align with</w:t>
      </w:r>
      <w:r w:rsidR="005302DA" w:rsidRPr="008E66D5">
        <w:rPr>
          <w:rFonts w:ascii="Arial" w:eastAsia="Aptos" w:hAnsi="Arial" w:cs="Arial"/>
          <w:sz w:val="24"/>
          <w:szCs w:val="24"/>
        </w:rPr>
        <w:t xml:space="preserve"> </w:t>
      </w:r>
      <w:r w:rsidR="005302DA" w:rsidRPr="008E66D5">
        <w:rPr>
          <w:rFonts w:ascii="Arial" w:eastAsia="Aptos" w:hAnsi="Arial" w:cs="Arial"/>
          <w:i/>
          <w:iCs/>
          <w:sz w:val="24"/>
          <w:szCs w:val="24"/>
        </w:rPr>
        <w:t>‘Coherence’</w:t>
      </w:r>
      <w:r w:rsidR="006750F6" w:rsidRPr="008E66D5">
        <w:rPr>
          <w:rFonts w:ascii="Arial" w:eastAsia="Aptos" w:hAnsi="Arial" w:cs="Arial"/>
          <w:sz w:val="24"/>
          <w:szCs w:val="24"/>
        </w:rPr>
        <w:t xml:space="preserve"> </w:t>
      </w:r>
      <w:r w:rsidRPr="008E66D5">
        <w:rPr>
          <w:rFonts w:ascii="Arial" w:eastAsia="Aptos" w:hAnsi="Arial" w:cs="Arial"/>
          <w:sz w:val="24"/>
          <w:szCs w:val="24"/>
        </w:rPr>
        <w:t xml:space="preserve">(90%) </w:t>
      </w:r>
      <w:r w:rsidR="00AC141F" w:rsidRPr="008E66D5">
        <w:rPr>
          <w:rFonts w:ascii="Arial" w:eastAsia="Aptos" w:hAnsi="Arial" w:cs="Arial"/>
          <w:sz w:val="24"/>
          <w:szCs w:val="24"/>
        </w:rPr>
        <w:t>in NPT</w:t>
      </w:r>
      <w:r w:rsidRPr="008E66D5">
        <w:rPr>
          <w:rFonts w:ascii="Arial" w:eastAsia="Aptos" w:hAnsi="Arial" w:cs="Arial"/>
          <w:sz w:val="24"/>
          <w:szCs w:val="24"/>
        </w:rPr>
        <w:t>, and with</w:t>
      </w:r>
      <w:r w:rsidR="006750F6" w:rsidRPr="008E66D5">
        <w:rPr>
          <w:rFonts w:ascii="Arial" w:eastAsia="Aptos" w:hAnsi="Arial" w:cs="Arial"/>
          <w:sz w:val="24"/>
          <w:szCs w:val="24"/>
        </w:rPr>
        <w:t xml:space="preserve"> </w:t>
      </w:r>
      <w:r w:rsidR="005302DA" w:rsidRPr="008E66D5">
        <w:rPr>
          <w:rFonts w:ascii="Arial" w:eastAsia="Aptos" w:hAnsi="Arial" w:cs="Arial"/>
          <w:i/>
          <w:iCs/>
          <w:sz w:val="24"/>
          <w:szCs w:val="24"/>
        </w:rPr>
        <w:t>‘K</w:t>
      </w:r>
      <w:r w:rsidR="006750F6" w:rsidRPr="008E66D5">
        <w:rPr>
          <w:rFonts w:ascii="Arial" w:eastAsia="Aptos" w:hAnsi="Arial" w:cs="Arial"/>
          <w:i/>
          <w:iCs/>
          <w:sz w:val="24"/>
          <w:szCs w:val="24"/>
        </w:rPr>
        <w:t>nowledge</w:t>
      </w:r>
      <w:r w:rsidR="005302DA" w:rsidRPr="008E66D5">
        <w:rPr>
          <w:rFonts w:ascii="Arial" w:eastAsia="Aptos" w:hAnsi="Arial" w:cs="Arial"/>
          <w:i/>
          <w:iCs/>
          <w:sz w:val="24"/>
          <w:szCs w:val="24"/>
        </w:rPr>
        <w:t>’</w:t>
      </w:r>
      <w:r w:rsidR="006750F6" w:rsidRPr="008E66D5">
        <w:rPr>
          <w:rFonts w:ascii="Arial" w:eastAsia="Aptos" w:hAnsi="Arial" w:cs="Arial"/>
          <w:sz w:val="24"/>
          <w:szCs w:val="24"/>
        </w:rPr>
        <w:t xml:space="preserve"> </w:t>
      </w:r>
      <w:r w:rsidRPr="008E66D5">
        <w:rPr>
          <w:rFonts w:ascii="Arial" w:eastAsia="Aptos" w:hAnsi="Arial" w:cs="Arial"/>
          <w:sz w:val="24"/>
          <w:szCs w:val="24"/>
        </w:rPr>
        <w:t xml:space="preserve">(100%) and </w:t>
      </w:r>
      <w:r w:rsidRPr="008E66D5">
        <w:rPr>
          <w:rFonts w:ascii="Arial" w:eastAsia="Aptos" w:hAnsi="Arial" w:cs="Arial"/>
          <w:i/>
          <w:iCs/>
          <w:sz w:val="24"/>
          <w:szCs w:val="24"/>
        </w:rPr>
        <w:t>‘Beliefs about capabilities’</w:t>
      </w:r>
      <w:r w:rsidRPr="008E66D5">
        <w:rPr>
          <w:rFonts w:ascii="Arial" w:eastAsia="Aptos" w:hAnsi="Arial" w:cs="Arial"/>
          <w:sz w:val="24"/>
          <w:szCs w:val="24"/>
        </w:rPr>
        <w:t xml:space="preserve"> (50%) </w:t>
      </w:r>
      <w:r w:rsidR="00AC141F" w:rsidRPr="008E66D5">
        <w:rPr>
          <w:rFonts w:ascii="Arial" w:eastAsia="Aptos" w:hAnsi="Arial" w:cs="Arial"/>
          <w:sz w:val="24"/>
          <w:szCs w:val="24"/>
        </w:rPr>
        <w:t xml:space="preserve">in TDF </w:t>
      </w:r>
      <w:r w:rsidR="00961425" w:rsidRPr="008E66D5">
        <w:rPr>
          <w:rFonts w:ascii="Arial" w:eastAsia="Aptos" w:hAnsi="Arial" w:cs="Arial"/>
          <w:sz w:val="24"/>
          <w:szCs w:val="24"/>
        </w:rPr>
        <w:t>(</w:t>
      </w:r>
      <w:r w:rsidR="00C52F3C" w:rsidRPr="008E66D5">
        <w:rPr>
          <w:rFonts w:ascii="Arial" w:eastAsia="Aptos" w:hAnsi="Arial" w:cs="Arial"/>
          <w:sz w:val="24"/>
          <w:szCs w:val="24"/>
        </w:rPr>
        <w:t xml:space="preserve">Table </w:t>
      </w:r>
      <w:r w:rsidR="00844328">
        <w:rPr>
          <w:rFonts w:ascii="Arial" w:eastAsia="Aptos" w:hAnsi="Arial" w:cs="Arial"/>
          <w:sz w:val="24"/>
          <w:szCs w:val="24"/>
        </w:rPr>
        <w:t>1</w:t>
      </w:r>
      <w:r w:rsidR="00C52F3C" w:rsidRPr="008E66D5">
        <w:rPr>
          <w:rFonts w:ascii="Arial" w:eastAsia="Aptos" w:hAnsi="Arial" w:cs="Arial"/>
          <w:sz w:val="24"/>
          <w:szCs w:val="24"/>
        </w:rPr>
        <w:t xml:space="preserve">, </w:t>
      </w:r>
      <w:r w:rsidR="00961425" w:rsidRPr="008E66D5">
        <w:rPr>
          <w:rFonts w:ascii="Arial" w:eastAsia="Aptos" w:hAnsi="Arial" w:cs="Arial"/>
          <w:sz w:val="24"/>
          <w:szCs w:val="24"/>
        </w:rPr>
        <w:t>Figure 1)</w:t>
      </w:r>
      <w:r w:rsidR="005302DA" w:rsidRPr="008E66D5">
        <w:rPr>
          <w:rFonts w:ascii="Arial" w:eastAsia="Aptos" w:hAnsi="Arial" w:cs="Arial"/>
          <w:sz w:val="24"/>
          <w:szCs w:val="24"/>
        </w:rPr>
        <w:t>.</w:t>
      </w:r>
      <w:r w:rsidR="006750F6" w:rsidRPr="008E66D5">
        <w:rPr>
          <w:rFonts w:ascii="Arial" w:eastAsia="Aptos" w:hAnsi="Arial" w:cs="Arial"/>
          <w:sz w:val="24"/>
          <w:szCs w:val="24"/>
        </w:rPr>
        <w:t xml:space="preserve"> </w:t>
      </w:r>
      <w:r w:rsidRPr="008E66D5">
        <w:rPr>
          <w:rFonts w:ascii="Arial" w:eastAsia="Aptos" w:hAnsi="Arial" w:cs="Arial"/>
          <w:sz w:val="24"/>
          <w:szCs w:val="24"/>
        </w:rPr>
        <w:t xml:space="preserve">Education and training were associated with </w:t>
      </w:r>
      <w:r w:rsidRPr="008E66D5">
        <w:rPr>
          <w:rFonts w:ascii="Arial" w:eastAsia="Aptos" w:hAnsi="Arial" w:cs="Arial"/>
          <w:i/>
          <w:iCs/>
          <w:sz w:val="24"/>
          <w:szCs w:val="24"/>
        </w:rPr>
        <w:t>‘Coherence’</w:t>
      </w:r>
      <w:r w:rsidRPr="008E66D5">
        <w:rPr>
          <w:rFonts w:ascii="Arial" w:eastAsia="Aptos" w:hAnsi="Arial" w:cs="Arial"/>
          <w:sz w:val="24"/>
          <w:szCs w:val="24"/>
        </w:rPr>
        <w:t xml:space="preserve"> (80%) in NPT, and with ‘</w:t>
      </w:r>
      <w:r w:rsidRPr="008E66D5">
        <w:rPr>
          <w:rFonts w:ascii="Arial" w:eastAsia="Aptos" w:hAnsi="Arial" w:cs="Arial"/>
          <w:i/>
          <w:iCs/>
          <w:sz w:val="24"/>
          <w:szCs w:val="24"/>
        </w:rPr>
        <w:t>Skills’</w:t>
      </w:r>
      <w:r w:rsidRPr="008E66D5">
        <w:rPr>
          <w:rFonts w:ascii="Arial" w:eastAsia="Aptos" w:hAnsi="Arial" w:cs="Arial"/>
          <w:sz w:val="24"/>
          <w:szCs w:val="24"/>
        </w:rPr>
        <w:t xml:space="preserve"> (90%) and </w:t>
      </w:r>
      <w:r w:rsidRPr="008E66D5">
        <w:rPr>
          <w:rFonts w:ascii="Arial" w:eastAsia="Aptos" w:hAnsi="Arial" w:cs="Arial"/>
          <w:i/>
          <w:iCs/>
          <w:sz w:val="24"/>
          <w:szCs w:val="24"/>
        </w:rPr>
        <w:t>‘Beliefs about capabilities’</w:t>
      </w:r>
      <w:r w:rsidRPr="008E66D5">
        <w:rPr>
          <w:rFonts w:ascii="Arial" w:eastAsia="Aptos" w:hAnsi="Arial" w:cs="Arial"/>
          <w:sz w:val="24"/>
          <w:szCs w:val="24"/>
        </w:rPr>
        <w:t xml:space="preserve"> (40%) in TDF. P</w:t>
      </w:r>
      <w:r w:rsidR="006750F6" w:rsidRPr="008E66D5">
        <w:rPr>
          <w:rFonts w:ascii="Arial" w:eastAsia="Aptos" w:hAnsi="Arial" w:cs="Arial"/>
          <w:sz w:val="24"/>
          <w:szCs w:val="24"/>
        </w:rPr>
        <w:t>ersonal environmental consciousness</w:t>
      </w:r>
      <w:r w:rsidR="00C52F3C" w:rsidRPr="008E66D5">
        <w:rPr>
          <w:rFonts w:ascii="Arial" w:eastAsia="Aptos" w:hAnsi="Arial" w:cs="Arial"/>
          <w:sz w:val="24"/>
          <w:szCs w:val="24"/>
        </w:rPr>
        <w:t xml:space="preserve"> </w:t>
      </w:r>
      <w:r w:rsidRPr="008E66D5">
        <w:rPr>
          <w:rFonts w:ascii="Arial" w:eastAsia="Aptos" w:hAnsi="Arial" w:cs="Arial"/>
          <w:sz w:val="24"/>
          <w:szCs w:val="24"/>
        </w:rPr>
        <w:t>was linked to</w:t>
      </w:r>
      <w:r w:rsidR="00C52F3C" w:rsidRPr="008E66D5">
        <w:rPr>
          <w:rFonts w:ascii="Arial" w:eastAsia="Aptos" w:hAnsi="Arial" w:cs="Arial"/>
          <w:sz w:val="24"/>
          <w:szCs w:val="24"/>
        </w:rPr>
        <w:t xml:space="preserve"> </w:t>
      </w:r>
      <w:r w:rsidRPr="008E66D5">
        <w:rPr>
          <w:rFonts w:ascii="Arial" w:eastAsia="Aptos" w:hAnsi="Arial" w:cs="Arial"/>
          <w:i/>
          <w:iCs/>
          <w:sz w:val="24"/>
          <w:szCs w:val="24"/>
        </w:rPr>
        <w:t>‘Coherence’</w:t>
      </w:r>
      <w:r w:rsidRPr="008E66D5">
        <w:rPr>
          <w:rFonts w:ascii="Arial" w:eastAsia="Aptos" w:hAnsi="Arial" w:cs="Arial"/>
          <w:sz w:val="24"/>
          <w:szCs w:val="24"/>
        </w:rPr>
        <w:t xml:space="preserve"> (60%) and </w:t>
      </w:r>
      <w:r w:rsidR="00C52F3C" w:rsidRPr="008E66D5">
        <w:rPr>
          <w:rFonts w:ascii="Arial" w:eastAsia="Aptos" w:hAnsi="Arial" w:cs="Arial"/>
          <w:i/>
          <w:iCs/>
          <w:sz w:val="24"/>
          <w:szCs w:val="24"/>
        </w:rPr>
        <w:t>‘Cognitive participation’</w:t>
      </w:r>
      <w:r w:rsidR="00C52F3C" w:rsidRPr="008E66D5">
        <w:rPr>
          <w:rFonts w:ascii="Arial" w:eastAsia="Aptos" w:hAnsi="Arial" w:cs="Arial"/>
          <w:sz w:val="24"/>
          <w:szCs w:val="24"/>
        </w:rPr>
        <w:t xml:space="preserve"> in NPT (60%)</w:t>
      </w:r>
      <w:r w:rsidRPr="008E66D5">
        <w:rPr>
          <w:rFonts w:ascii="Arial" w:eastAsia="Aptos" w:hAnsi="Arial" w:cs="Arial"/>
          <w:sz w:val="24"/>
          <w:szCs w:val="24"/>
        </w:rPr>
        <w:t>,</w:t>
      </w:r>
      <w:r w:rsidR="00C52F3C" w:rsidRPr="008E66D5">
        <w:rPr>
          <w:rFonts w:ascii="Arial" w:eastAsia="Aptos" w:hAnsi="Arial" w:cs="Arial"/>
          <w:sz w:val="24"/>
          <w:szCs w:val="24"/>
        </w:rPr>
        <w:t xml:space="preserve"> and </w:t>
      </w:r>
      <w:r w:rsidRPr="008E66D5">
        <w:rPr>
          <w:rFonts w:ascii="Arial" w:eastAsia="Aptos" w:hAnsi="Arial" w:cs="Arial"/>
          <w:sz w:val="24"/>
          <w:szCs w:val="24"/>
        </w:rPr>
        <w:t xml:space="preserve">to </w:t>
      </w:r>
      <w:r w:rsidR="00C52F3C" w:rsidRPr="008E66D5">
        <w:rPr>
          <w:rFonts w:ascii="Arial" w:eastAsia="Aptos" w:hAnsi="Arial" w:cs="Arial"/>
          <w:i/>
          <w:iCs/>
          <w:sz w:val="24"/>
          <w:szCs w:val="24"/>
        </w:rPr>
        <w:t>‘Social/Professional role and identity’</w:t>
      </w:r>
      <w:r w:rsidR="00C52F3C" w:rsidRPr="008E66D5">
        <w:rPr>
          <w:rFonts w:ascii="Arial" w:eastAsia="Aptos" w:hAnsi="Arial" w:cs="Arial"/>
          <w:sz w:val="24"/>
          <w:szCs w:val="24"/>
        </w:rPr>
        <w:t xml:space="preserve"> (60%)</w:t>
      </w:r>
      <w:r w:rsidRPr="008E66D5">
        <w:rPr>
          <w:rFonts w:ascii="Arial" w:eastAsia="Aptos" w:hAnsi="Arial" w:cs="Arial"/>
          <w:sz w:val="24"/>
          <w:szCs w:val="24"/>
        </w:rPr>
        <w:t xml:space="preserve">, </w:t>
      </w:r>
      <w:r w:rsidRPr="008E66D5">
        <w:rPr>
          <w:rFonts w:ascii="Arial" w:eastAsia="Aptos" w:hAnsi="Arial" w:cs="Arial"/>
          <w:i/>
          <w:iCs/>
          <w:sz w:val="24"/>
          <w:szCs w:val="24"/>
        </w:rPr>
        <w:t>‘Beliefs about capabilities’</w:t>
      </w:r>
      <w:r w:rsidRPr="008E66D5">
        <w:rPr>
          <w:rFonts w:ascii="Arial" w:eastAsia="Aptos" w:hAnsi="Arial" w:cs="Arial"/>
          <w:sz w:val="24"/>
          <w:szCs w:val="24"/>
        </w:rPr>
        <w:t xml:space="preserve"> (50%), and </w:t>
      </w:r>
      <w:r w:rsidRPr="008E66D5">
        <w:rPr>
          <w:rFonts w:ascii="Arial" w:eastAsia="Aptos" w:hAnsi="Arial" w:cs="Arial"/>
          <w:i/>
          <w:iCs/>
          <w:sz w:val="24"/>
          <w:szCs w:val="24"/>
        </w:rPr>
        <w:t>‘Beliefs about consequences’</w:t>
      </w:r>
      <w:r w:rsidRPr="008E66D5">
        <w:rPr>
          <w:rFonts w:ascii="Arial" w:eastAsia="Aptos" w:hAnsi="Arial" w:cs="Arial"/>
          <w:sz w:val="24"/>
          <w:szCs w:val="24"/>
        </w:rPr>
        <w:t xml:space="preserve"> (40%) in TDF</w:t>
      </w:r>
      <w:r w:rsidR="00C52F3C" w:rsidRPr="008E66D5">
        <w:rPr>
          <w:rFonts w:ascii="Arial" w:eastAsia="Aptos" w:hAnsi="Arial" w:cs="Arial"/>
          <w:sz w:val="24"/>
          <w:szCs w:val="24"/>
        </w:rPr>
        <w:t xml:space="preserve">. </w:t>
      </w:r>
      <w:r w:rsidRPr="008E66D5">
        <w:rPr>
          <w:rFonts w:ascii="Arial" w:eastAsia="Aptos" w:hAnsi="Arial" w:cs="Arial"/>
          <w:sz w:val="24"/>
          <w:szCs w:val="24"/>
        </w:rPr>
        <w:t>V</w:t>
      </w:r>
      <w:r w:rsidR="00107122" w:rsidRPr="008E66D5">
        <w:rPr>
          <w:rFonts w:ascii="Arial" w:eastAsia="Aptos" w:hAnsi="Arial" w:cs="Arial"/>
          <w:sz w:val="24"/>
          <w:szCs w:val="24"/>
        </w:rPr>
        <w:t>ariation in awareness and engagement</w:t>
      </w:r>
      <w:r w:rsidR="006750F6" w:rsidRPr="008E66D5">
        <w:rPr>
          <w:rFonts w:ascii="Arial" w:eastAsia="Aptos" w:hAnsi="Arial" w:cs="Arial"/>
          <w:sz w:val="24"/>
          <w:szCs w:val="24"/>
        </w:rPr>
        <w:t xml:space="preserve"> </w:t>
      </w:r>
      <w:r w:rsidR="00C52F3C" w:rsidRPr="008E66D5">
        <w:rPr>
          <w:rFonts w:ascii="Arial" w:eastAsia="Aptos" w:hAnsi="Arial" w:cs="Arial"/>
          <w:sz w:val="24"/>
          <w:szCs w:val="24"/>
        </w:rPr>
        <w:t xml:space="preserve">was </w:t>
      </w:r>
      <w:r w:rsidRPr="008E66D5">
        <w:rPr>
          <w:rFonts w:ascii="Arial" w:eastAsia="Aptos" w:hAnsi="Arial" w:cs="Arial"/>
          <w:sz w:val="24"/>
          <w:szCs w:val="24"/>
        </w:rPr>
        <w:t>mapped</w:t>
      </w:r>
      <w:r w:rsidR="00C52F3C" w:rsidRPr="008E66D5">
        <w:rPr>
          <w:rFonts w:ascii="Arial" w:eastAsia="Aptos" w:hAnsi="Arial" w:cs="Arial"/>
          <w:sz w:val="24"/>
          <w:szCs w:val="24"/>
        </w:rPr>
        <w:t xml:space="preserve"> to </w:t>
      </w:r>
      <w:r w:rsidR="00C52F3C" w:rsidRPr="008E66D5">
        <w:rPr>
          <w:rFonts w:ascii="Arial" w:eastAsia="Aptos" w:hAnsi="Arial" w:cs="Arial"/>
          <w:i/>
          <w:iCs/>
          <w:sz w:val="24"/>
          <w:szCs w:val="24"/>
        </w:rPr>
        <w:t>‘Coherence’</w:t>
      </w:r>
      <w:r w:rsidR="00AA5CFD" w:rsidRPr="008E66D5">
        <w:rPr>
          <w:rFonts w:ascii="Arial" w:eastAsia="Aptos" w:hAnsi="Arial" w:cs="Arial"/>
          <w:sz w:val="24"/>
          <w:szCs w:val="24"/>
        </w:rPr>
        <w:t xml:space="preserve"> </w:t>
      </w:r>
      <w:r w:rsidR="00C52F3C" w:rsidRPr="008E66D5">
        <w:rPr>
          <w:rFonts w:ascii="Arial" w:eastAsia="Aptos" w:hAnsi="Arial" w:cs="Arial"/>
          <w:sz w:val="24"/>
          <w:szCs w:val="24"/>
        </w:rPr>
        <w:t>(50%</w:t>
      </w:r>
      <w:r w:rsidR="005302DA" w:rsidRPr="008E66D5">
        <w:rPr>
          <w:rFonts w:ascii="Arial" w:eastAsia="Aptos" w:hAnsi="Arial" w:cs="Arial"/>
          <w:sz w:val="24"/>
          <w:szCs w:val="24"/>
        </w:rPr>
        <w:t>)</w:t>
      </w:r>
      <w:r w:rsidR="00C52F3C" w:rsidRPr="008E66D5">
        <w:rPr>
          <w:rFonts w:ascii="Arial" w:eastAsia="Aptos" w:hAnsi="Arial" w:cs="Arial"/>
          <w:sz w:val="24"/>
          <w:szCs w:val="24"/>
        </w:rPr>
        <w:t xml:space="preserve"> </w:t>
      </w:r>
      <w:r w:rsidRPr="008E66D5">
        <w:rPr>
          <w:rFonts w:ascii="Arial" w:eastAsia="Aptos" w:hAnsi="Arial" w:cs="Arial"/>
          <w:sz w:val="24"/>
          <w:szCs w:val="24"/>
        </w:rPr>
        <w:t xml:space="preserve">and </w:t>
      </w:r>
      <w:r w:rsidRPr="008E66D5">
        <w:rPr>
          <w:rFonts w:ascii="Arial" w:eastAsia="Aptos" w:hAnsi="Arial" w:cs="Arial"/>
          <w:i/>
          <w:iCs/>
          <w:sz w:val="24"/>
          <w:szCs w:val="24"/>
        </w:rPr>
        <w:t>‘Cognitive participation’</w:t>
      </w:r>
      <w:r w:rsidRPr="008E66D5">
        <w:rPr>
          <w:rFonts w:ascii="Arial" w:eastAsia="Aptos" w:hAnsi="Arial" w:cs="Arial"/>
          <w:sz w:val="24"/>
          <w:szCs w:val="24"/>
        </w:rPr>
        <w:t xml:space="preserve"> (40%) in NPT, </w:t>
      </w:r>
      <w:r w:rsidR="00C52F3C" w:rsidRPr="008E66D5">
        <w:rPr>
          <w:rFonts w:ascii="Arial" w:eastAsia="Aptos" w:hAnsi="Arial" w:cs="Arial"/>
          <w:sz w:val="24"/>
          <w:szCs w:val="24"/>
        </w:rPr>
        <w:t>a</w:t>
      </w:r>
      <w:r w:rsidRPr="008E66D5">
        <w:rPr>
          <w:rFonts w:ascii="Arial" w:eastAsia="Aptos" w:hAnsi="Arial" w:cs="Arial"/>
          <w:sz w:val="24"/>
          <w:szCs w:val="24"/>
        </w:rPr>
        <w:t xml:space="preserve">s well as </w:t>
      </w:r>
      <w:r w:rsidRPr="008E66D5">
        <w:rPr>
          <w:rFonts w:ascii="Arial" w:eastAsia="Aptos" w:hAnsi="Arial" w:cs="Arial"/>
          <w:i/>
          <w:iCs/>
          <w:sz w:val="24"/>
          <w:szCs w:val="24"/>
        </w:rPr>
        <w:t>‘Social/professional role and identity’</w:t>
      </w:r>
      <w:r w:rsidRPr="008E66D5">
        <w:rPr>
          <w:rFonts w:ascii="Arial" w:eastAsia="Aptos" w:hAnsi="Arial" w:cs="Arial"/>
          <w:sz w:val="24"/>
          <w:szCs w:val="24"/>
        </w:rPr>
        <w:t xml:space="preserve"> (60%) and</w:t>
      </w:r>
      <w:r w:rsidR="00C52F3C" w:rsidRPr="008E66D5">
        <w:rPr>
          <w:rFonts w:ascii="Arial" w:eastAsia="Aptos" w:hAnsi="Arial" w:cs="Arial"/>
          <w:sz w:val="24"/>
          <w:szCs w:val="24"/>
        </w:rPr>
        <w:t xml:space="preserve"> </w:t>
      </w:r>
      <w:r w:rsidR="00C52F3C" w:rsidRPr="008E66D5">
        <w:rPr>
          <w:rFonts w:ascii="Arial" w:eastAsia="Aptos" w:hAnsi="Arial" w:cs="Arial"/>
          <w:i/>
          <w:iCs/>
          <w:sz w:val="24"/>
          <w:szCs w:val="24"/>
        </w:rPr>
        <w:t>‘Beliefs about capabilities’</w:t>
      </w:r>
      <w:r w:rsidR="00C52F3C" w:rsidRPr="008E66D5">
        <w:rPr>
          <w:rFonts w:ascii="Arial" w:eastAsia="Aptos" w:hAnsi="Arial" w:cs="Arial"/>
          <w:sz w:val="24"/>
          <w:szCs w:val="24"/>
        </w:rPr>
        <w:t xml:space="preserve"> in TDF (50%).</w:t>
      </w:r>
      <w:r w:rsidRPr="008E66D5">
        <w:rPr>
          <w:rFonts w:ascii="Arial" w:eastAsia="Aptos" w:hAnsi="Arial" w:cs="Arial"/>
          <w:sz w:val="24"/>
          <w:szCs w:val="24"/>
        </w:rPr>
        <w:t xml:space="preserve"> Preferences and acceptance were linked to </w:t>
      </w:r>
      <w:r w:rsidRPr="008E66D5">
        <w:rPr>
          <w:rFonts w:ascii="Arial" w:eastAsia="Aptos" w:hAnsi="Arial" w:cs="Arial"/>
          <w:i/>
          <w:iCs/>
          <w:sz w:val="24"/>
          <w:szCs w:val="24"/>
        </w:rPr>
        <w:t>‘Cognitive participation’</w:t>
      </w:r>
      <w:r w:rsidRPr="008E66D5">
        <w:rPr>
          <w:rFonts w:ascii="Arial" w:eastAsia="Aptos" w:hAnsi="Arial" w:cs="Arial"/>
          <w:sz w:val="24"/>
          <w:szCs w:val="24"/>
        </w:rPr>
        <w:t xml:space="preserve"> (70%) and </w:t>
      </w:r>
      <w:r w:rsidRPr="008E66D5">
        <w:rPr>
          <w:rFonts w:ascii="Arial" w:eastAsia="Aptos" w:hAnsi="Arial" w:cs="Arial"/>
          <w:i/>
          <w:iCs/>
          <w:sz w:val="24"/>
          <w:szCs w:val="24"/>
        </w:rPr>
        <w:t>‘Coherence’</w:t>
      </w:r>
      <w:r w:rsidRPr="008E66D5">
        <w:rPr>
          <w:rFonts w:ascii="Arial" w:eastAsia="Aptos" w:hAnsi="Arial" w:cs="Arial"/>
          <w:sz w:val="24"/>
          <w:szCs w:val="24"/>
        </w:rPr>
        <w:t xml:space="preserve"> (40%) in NPT, and to </w:t>
      </w:r>
      <w:r w:rsidRPr="008E66D5">
        <w:rPr>
          <w:rFonts w:ascii="Arial" w:eastAsia="Aptos" w:hAnsi="Arial" w:cs="Arial"/>
          <w:i/>
          <w:iCs/>
          <w:sz w:val="24"/>
          <w:szCs w:val="24"/>
        </w:rPr>
        <w:t>‘Knowledge’</w:t>
      </w:r>
      <w:r w:rsidRPr="008E66D5">
        <w:rPr>
          <w:rFonts w:ascii="Arial" w:eastAsia="Aptos" w:hAnsi="Arial" w:cs="Arial"/>
          <w:sz w:val="24"/>
          <w:szCs w:val="24"/>
        </w:rPr>
        <w:t xml:space="preserve"> (50%), </w:t>
      </w:r>
      <w:r w:rsidRPr="008E66D5">
        <w:rPr>
          <w:rFonts w:ascii="Arial" w:eastAsia="Aptos" w:hAnsi="Arial" w:cs="Arial"/>
          <w:i/>
          <w:iCs/>
          <w:sz w:val="24"/>
          <w:szCs w:val="24"/>
        </w:rPr>
        <w:t xml:space="preserve">‘Social/professional role and identity’ </w:t>
      </w:r>
      <w:r w:rsidRPr="008E66D5">
        <w:rPr>
          <w:rFonts w:ascii="Arial" w:eastAsia="Aptos" w:hAnsi="Arial" w:cs="Arial"/>
          <w:sz w:val="24"/>
          <w:szCs w:val="24"/>
        </w:rPr>
        <w:t xml:space="preserve">(50%), and </w:t>
      </w:r>
      <w:r w:rsidRPr="008E66D5">
        <w:rPr>
          <w:rFonts w:ascii="Arial" w:eastAsia="Aptos" w:hAnsi="Arial" w:cs="Arial"/>
          <w:i/>
          <w:iCs/>
          <w:sz w:val="24"/>
          <w:szCs w:val="24"/>
        </w:rPr>
        <w:t>‘Environmental context</w:t>
      </w:r>
      <w:r w:rsidR="00D35FEC" w:rsidRPr="008E66D5">
        <w:rPr>
          <w:rFonts w:ascii="Arial" w:eastAsia="Aptos" w:hAnsi="Arial" w:cs="Arial"/>
          <w:i/>
          <w:iCs/>
          <w:sz w:val="24"/>
          <w:szCs w:val="24"/>
        </w:rPr>
        <w:t xml:space="preserve"> and resources’</w:t>
      </w:r>
      <w:r w:rsidR="00D35FEC" w:rsidRPr="008E66D5">
        <w:rPr>
          <w:rFonts w:ascii="Arial" w:eastAsia="Aptos" w:hAnsi="Arial" w:cs="Arial"/>
          <w:sz w:val="24"/>
          <w:szCs w:val="24"/>
        </w:rPr>
        <w:t xml:space="preserve"> (50%) in TDF.</w:t>
      </w:r>
      <w:r w:rsidR="004A00EF" w:rsidRPr="008E66D5">
        <w:rPr>
          <w:rFonts w:ascii="Arial" w:eastAsia="Aptos" w:hAnsi="Arial" w:cs="Arial"/>
          <w:sz w:val="24"/>
          <w:szCs w:val="24"/>
        </w:rPr>
        <w:t xml:space="preserve"> However, there was limited alignment with domains</w:t>
      </w:r>
      <w:r w:rsidR="0068337E" w:rsidRPr="008E66D5">
        <w:rPr>
          <w:rFonts w:ascii="Arial" w:eastAsia="Aptos" w:hAnsi="Arial" w:cs="Arial"/>
          <w:sz w:val="24"/>
          <w:szCs w:val="24"/>
        </w:rPr>
        <w:t xml:space="preserve"> such as </w:t>
      </w:r>
      <w:r w:rsidR="0068337E" w:rsidRPr="008E66D5">
        <w:rPr>
          <w:rFonts w:ascii="Arial" w:eastAsia="Aptos" w:hAnsi="Arial" w:cs="Arial"/>
          <w:i/>
          <w:iCs/>
          <w:sz w:val="24"/>
          <w:szCs w:val="24"/>
        </w:rPr>
        <w:t>‘Emotion’, ‘Intentions’,</w:t>
      </w:r>
      <w:r w:rsidR="0068337E" w:rsidRPr="008E66D5">
        <w:rPr>
          <w:rFonts w:ascii="Arial" w:eastAsia="Aptos" w:hAnsi="Arial" w:cs="Arial"/>
          <w:sz w:val="24"/>
          <w:szCs w:val="24"/>
        </w:rPr>
        <w:t xml:space="preserve"> and </w:t>
      </w:r>
      <w:r w:rsidR="0068337E" w:rsidRPr="008E66D5">
        <w:rPr>
          <w:rFonts w:ascii="Arial" w:eastAsia="Aptos" w:hAnsi="Arial" w:cs="Arial"/>
          <w:i/>
          <w:iCs/>
          <w:sz w:val="24"/>
          <w:szCs w:val="24"/>
        </w:rPr>
        <w:t>‘Behaviour regulation’</w:t>
      </w:r>
      <w:r w:rsidR="0068337E" w:rsidRPr="008E66D5">
        <w:rPr>
          <w:rFonts w:ascii="Arial" w:eastAsia="Aptos" w:hAnsi="Arial" w:cs="Arial"/>
          <w:sz w:val="24"/>
          <w:szCs w:val="24"/>
        </w:rPr>
        <w:t>.</w:t>
      </w:r>
    </w:p>
    <w:p w14:paraId="46970D64" w14:textId="2FF2035E" w:rsidR="00221B72" w:rsidRPr="008E66D5" w:rsidRDefault="00221B72" w:rsidP="00D73116">
      <w:pPr>
        <w:spacing w:before="160" w:line="276" w:lineRule="auto"/>
        <w:rPr>
          <w:rFonts w:ascii="Arial" w:hAnsi="Arial" w:cs="Arial"/>
          <w:sz w:val="26"/>
          <w:szCs w:val="26"/>
        </w:rPr>
      </w:pPr>
      <w:r w:rsidRPr="008E66D5">
        <w:rPr>
          <w:rFonts w:ascii="Arial" w:eastAsia="Aptos" w:hAnsi="Arial" w:cs="Arial"/>
          <w:sz w:val="26"/>
          <w:szCs w:val="26"/>
        </w:rPr>
        <w:t>Patient and community engagement</w:t>
      </w:r>
    </w:p>
    <w:p w14:paraId="00D39F23" w14:textId="69496B50" w:rsidR="000D7777" w:rsidRPr="008E66D5" w:rsidRDefault="007246B4" w:rsidP="00D73116">
      <w:pPr>
        <w:spacing w:before="160" w:line="276" w:lineRule="auto"/>
        <w:rPr>
          <w:rFonts w:ascii="Arial" w:hAnsi="Arial" w:cs="Arial"/>
          <w:sz w:val="24"/>
          <w:szCs w:val="24"/>
        </w:rPr>
      </w:pPr>
      <w:r w:rsidRPr="008E66D5">
        <w:rPr>
          <w:rFonts w:ascii="Arial" w:hAnsi="Arial" w:cs="Arial"/>
          <w:sz w:val="24"/>
          <w:szCs w:val="24"/>
        </w:rPr>
        <w:t>There was</w:t>
      </w:r>
      <w:r w:rsidR="00AA59A5" w:rsidRPr="008E66D5">
        <w:rPr>
          <w:rFonts w:ascii="Arial" w:hAnsi="Arial" w:cs="Arial"/>
          <w:sz w:val="24"/>
          <w:szCs w:val="24"/>
        </w:rPr>
        <w:t xml:space="preserve"> agreement that p</w:t>
      </w:r>
      <w:r w:rsidR="00AC141F" w:rsidRPr="008E66D5">
        <w:rPr>
          <w:rFonts w:ascii="Arial" w:hAnsi="Arial" w:cs="Arial"/>
          <w:sz w:val="24"/>
          <w:szCs w:val="24"/>
        </w:rPr>
        <w:t xml:space="preserve">atient </w:t>
      </w:r>
      <w:r w:rsidR="001E0CB4" w:rsidRPr="008E66D5">
        <w:rPr>
          <w:rFonts w:ascii="Arial" w:hAnsi="Arial" w:cs="Arial"/>
          <w:sz w:val="24"/>
          <w:szCs w:val="24"/>
        </w:rPr>
        <w:t>discussions and barriers</w:t>
      </w:r>
      <w:r w:rsidR="00AC141F" w:rsidRPr="008E66D5">
        <w:rPr>
          <w:rFonts w:ascii="Arial" w:hAnsi="Arial" w:cs="Arial"/>
          <w:sz w:val="24"/>
          <w:szCs w:val="24"/>
        </w:rPr>
        <w:t xml:space="preserve"> </w:t>
      </w:r>
      <w:r w:rsidR="00AA59A5" w:rsidRPr="008E66D5">
        <w:rPr>
          <w:rFonts w:ascii="Arial" w:hAnsi="Arial" w:cs="Arial"/>
          <w:sz w:val="24"/>
          <w:szCs w:val="24"/>
        </w:rPr>
        <w:t>align with</w:t>
      </w:r>
      <w:r w:rsidR="001E0CB4" w:rsidRPr="008E66D5">
        <w:rPr>
          <w:rFonts w:ascii="Arial" w:hAnsi="Arial" w:cs="Arial"/>
          <w:sz w:val="24"/>
          <w:szCs w:val="24"/>
        </w:rPr>
        <w:t xml:space="preserve"> </w:t>
      </w:r>
      <w:r w:rsidR="00A2317B" w:rsidRPr="008E66D5">
        <w:rPr>
          <w:rFonts w:ascii="Arial" w:hAnsi="Arial" w:cs="Arial"/>
          <w:i/>
          <w:iCs/>
          <w:sz w:val="24"/>
          <w:szCs w:val="24"/>
        </w:rPr>
        <w:t>‘C</w:t>
      </w:r>
      <w:r w:rsidR="006750F6" w:rsidRPr="008E66D5">
        <w:rPr>
          <w:rFonts w:ascii="Arial" w:hAnsi="Arial" w:cs="Arial"/>
          <w:i/>
          <w:iCs/>
          <w:sz w:val="24"/>
          <w:szCs w:val="24"/>
        </w:rPr>
        <w:t>ollective action</w:t>
      </w:r>
      <w:r w:rsidR="00A2317B" w:rsidRPr="008E66D5">
        <w:rPr>
          <w:rFonts w:ascii="Arial" w:hAnsi="Arial" w:cs="Arial"/>
          <w:i/>
          <w:iCs/>
          <w:sz w:val="24"/>
          <w:szCs w:val="24"/>
        </w:rPr>
        <w:t>’</w:t>
      </w:r>
      <w:r w:rsidR="006750F6" w:rsidRPr="008E66D5">
        <w:rPr>
          <w:rFonts w:ascii="Arial" w:hAnsi="Arial" w:cs="Arial"/>
          <w:sz w:val="24"/>
          <w:szCs w:val="24"/>
        </w:rPr>
        <w:t xml:space="preserve"> </w:t>
      </w:r>
      <w:r w:rsidR="001E0CB4" w:rsidRPr="008E66D5">
        <w:rPr>
          <w:rFonts w:ascii="Arial" w:hAnsi="Arial" w:cs="Arial"/>
          <w:sz w:val="24"/>
          <w:szCs w:val="24"/>
        </w:rPr>
        <w:t xml:space="preserve">in NPT </w:t>
      </w:r>
      <w:r w:rsidR="00AC141F" w:rsidRPr="008E66D5">
        <w:rPr>
          <w:rFonts w:ascii="Arial" w:hAnsi="Arial" w:cs="Arial"/>
          <w:sz w:val="24"/>
          <w:szCs w:val="24"/>
        </w:rPr>
        <w:t>(70%)</w:t>
      </w:r>
      <w:r w:rsidR="00AA59A5" w:rsidRPr="008E66D5">
        <w:rPr>
          <w:rFonts w:ascii="Arial" w:hAnsi="Arial" w:cs="Arial"/>
          <w:sz w:val="24"/>
          <w:szCs w:val="24"/>
        </w:rPr>
        <w:t>,</w:t>
      </w:r>
      <w:r w:rsidR="00AC141F" w:rsidRPr="008E66D5">
        <w:rPr>
          <w:rFonts w:ascii="Arial" w:hAnsi="Arial" w:cs="Arial"/>
          <w:sz w:val="24"/>
          <w:szCs w:val="24"/>
        </w:rPr>
        <w:t xml:space="preserve"> </w:t>
      </w:r>
      <w:r w:rsidR="006750F6" w:rsidRPr="008E66D5">
        <w:rPr>
          <w:rFonts w:ascii="Arial" w:hAnsi="Arial" w:cs="Arial"/>
          <w:sz w:val="24"/>
          <w:szCs w:val="24"/>
        </w:rPr>
        <w:t>and</w:t>
      </w:r>
      <w:r w:rsidR="00AA59A5" w:rsidRPr="008E66D5">
        <w:rPr>
          <w:rFonts w:ascii="Arial" w:hAnsi="Arial" w:cs="Arial"/>
          <w:sz w:val="24"/>
          <w:szCs w:val="24"/>
        </w:rPr>
        <w:t xml:space="preserve"> with</w:t>
      </w:r>
      <w:r w:rsidR="006750F6" w:rsidRPr="008E66D5">
        <w:rPr>
          <w:rFonts w:ascii="Arial" w:hAnsi="Arial" w:cs="Arial"/>
          <w:sz w:val="24"/>
          <w:szCs w:val="24"/>
        </w:rPr>
        <w:t xml:space="preserve"> </w:t>
      </w:r>
      <w:r w:rsidR="00A2317B" w:rsidRPr="008E66D5">
        <w:rPr>
          <w:rFonts w:ascii="Arial" w:hAnsi="Arial" w:cs="Arial"/>
          <w:i/>
          <w:iCs/>
          <w:sz w:val="24"/>
          <w:szCs w:val="24"/>
        </w:rPr>
        <w:t>‘E</w:t>
      </w:r>
      <w:r w:rsidR="006750F6" w:rsidRPr="008E66D5">
        <w:rPr>
          <w:rFonts w:ascii="Arial" w:hAnsi="Arial" w:cs="Arial"/>
          <w:i/>
          <w:iCs/>
          <w:sz w:val="24"/>
          <w:szCs w:val="24"/>
        </w:rPr>
        <w:t>nvironmental context and resource</w:t>
      </w:r>
      <w:r w:rsidR="00A2317B" w:rsidRPr="008E66D5">
        <w:rPr>
          <w:rFonts w:ascii="Arial" w:hAnsi="Arial" w:cs="Arial"/>
          <w:i/>
          <w:iCs/>
          <w:sz w:val="24"/>
          <w:szCs w:val="24"/>
        </w:rPr>
        <w:t>s’</w:t>
      </w:r>
      <w:r w:rsidR="006750F6" w:rsidRPr="008E66D5">
        <w:rPr>
          <w:rFonts w:ascii="Arial" w:hAnsi="Arial" w:cs="Arial"/>
          <w:sz w:val="24"/>
          <w:szCs w:val="24"/>
        </w:rPr>
        <w:t xml:space="preserve"> </w:t>
      </w:r>
      <w:r w:rsidR="00AA59A5" w:rsidRPr="008E66D5">
        <w:rPr>
          <w:rFonts w:ascii="Arial" w:hAnsi="Arial" w:cs="Arial"/>
          <w:sz w:val="24"/>
          <w:szCs w:val="24"/>
        </w:rPr>
        <w:t xml:space="preserve">(90%) and </w:t>
      </w:r>
      <w:r w:rsidR="00AA59A5" w:rsidRPr="008E66D5">
        <w:rPr>
          <w:rFonts w:ascii="Arial" w:hAnsi="Arial" w:cs="Arial"/>
          <w:i/>
          <w:iCs/>
          <w:sz w:val="24"/>
          <w:szCs w:val="24"/>
        </w:rPr>
        <w:t>‘Beliefs about capabilities’</w:t>
      </w:r>
      <w:r w:rsidR="00AA59A5" w:rsidRPr="008E66D5">
        <w:rPr>
          <w:rFonts w:ascii="Arial" w:hAnsi="Arial" w:cs="Arial"/>
          <w:sz w:val="24"/>
          <w:szCs w:val="24"/>
        </w:rPr>
        <w:t xml:space="preserve"> (40%) </w:t>
      </w:r>
      <w:r w:rsidR="00AC141F" w:rsidRPr="008E66D5">
        <w:rPr>
          <w:rFonts w:ascii="Arial" w:hAnsi="Arial" w:cs="Arial"/>
          <w:sz w:val="24"/>
          <w:szCs w:val="24"/>
        </w:rPr>
        <w:t xml:space="preserve">in TDF </w:t>
      </w:r>
      <w:r w:rsidR="00961425" w:rsidRPr="008E66D5">
        <w:rPr>
          <w:rFonts w:ascii="Arial" w:eastAsia="Aptos" w:hAnsi="Arial" w:cs="Arial"/>
          <w:sz w:val="24"/>
          <w:szCs w:val="24"/>
        </w:rPr>
        <w:t>(</w:t>
      </w:r>
      <w:r w:rsidR="00854EC1" w:rsidRPr="008E66D5">
        <w:rPr>
          <w:rFonts w:ascii="Arial" w:eastAsia="Aptos" w:hAnsi="Arial" w:cs="Arial"/>
          <w:sz w:val="24"/>
          <w:szCs w:val="24"/>
        </w:rPr>
        <w:t xml:space="preserve">Table </w:t>
      </w:r>
      <w:r w:rsidR="00844328">
        <w:rPr>
          <w:rFonts w:ascii="Arial" w:eastAsia="Aptos" w:hAnsi="Arial" w:cs="Arial"/>
          <w:sz w:val="24"/>
          <w:szCs w:val="24"/>
        </w:rPr>
        <w:t>1</w:t>
      </w:r>
      <w:r w:rsidR="00854EC1" w:rsidRPr="008E66D5">
        <w:rPr>
          <w:rFonts w:ascii="Arial" w:eastAsia="Aptos" w:hAnsi="Arial" w:cs="Arial"/>
          <w:sz w:val="24"/>
          <w:szCs w:val="24"/>
        </w:rPr>
        <w:t xml:space="preserve">, </w:t>
      </w:r>
      <w:r w:rsidR="00961425" w:rsidRPr="008E66D5">
        <w:rPr>
          <w:rFonts w:ascii="Arial" w:eastAsia="Aptos" w:hAnsi="Arial" w:cs="Arial"/>
          <w:sz w:val="24"/>
          <w:szCs w:val="24"/>
        </w:rPr>
        <w:t>Figure 1)</w:t>
      </w:r>
      <w:r w:rsidR="00A2317B" w:rsidRPr="008E66D5">
        <w:rPr>
          <w:rFonts w:ascii="Arial" w:hAnsi="Arial" w:cs="Arial"/>
          <w:sz w:val="24"/>
          <w:szCs w:val="24"/>
        </w:rPr>
        <w:t>.</w:t>
      </w:r>
      <w:r w:rsidR="006750F6" w:rsidRPr="008E66D5">
        <w:rPr>
          <w:rFonts w:ascii="Arial" w:hAnsi="Arial" w:cs="Arial"/>
          <w:sz w:val="24"/>
          <w:szCs w:val="24"/>
        </w:rPr>
        <w:t xml:space="preserve"> </w:t>
      </w:r>
      <w:r w:rsidR="00AA59A5" w:rsidRPr="008E66D5">
        <w:rPr>
          <w:rFonts w:ascii="Arial" w:hAnsi="Arial" w:cs="Arial"/>
          <w:sz w:val="24"/>
          <w:szCs w:val="24"/>
        </w:rPr>
        <w:t xml:space="preserve">Patient perception and information sources were mapped to </w:t>
      </w:r>
      <w:r w:rsidR="00AA59A5" w:rsidRPr="008E66D5">
        <w:rPr>
          <w:rFonts w:ascii="Arial" w:hAnsi="Arial" w:cs="Arial"/>
          <w:i/>
          <w:iCs/>
          <w:sz w:val="24"/>
          <w:szCs w:val="24"/>
        </w:rPr>
        <w:t>‘Coherence’</w:t>
      </w:r>
      <w:r w:rsidR="00AA59A5" w:rsidRPr="008E66D5">
        <w:rPr>
          <w:rFonts w:ascii="Arial" w:hAnsi="Arial" w:cs="Arial"/>
          <w:sz w:val="24"/>
          <w:szCs w:val="24"/>
        </w:rPr>
        <w:t xml:space="preserve"> (90%) in NPT, and to </w:t>
      </w:r>
      <w:r w:rsidR="00AA59A5" w:rsidRPr="008E66D5">
        <w:rPr>
          <w:rFonts w:ascii="Arial" w:hAnsi="Arial" w:cs="Arial"/>
          <w:i/>
          <w:iCs/>
          <w:sz w:val="24"/>
          <w:szCs w:val="24"/>
        </w:rPr>
        <w:t>‘Knowledge’</w:t>
      </w:r>
      <w:r w:rsidR="00AA59A5" w:rsidRPr="008E66D5">
        <w:rPr>
          <w:rFonts w:ascii="Arial" w:hAnsi="Arial" w:cs="Arial"/>
          <w:sz w:val="24"/>
          <w:szCs w:val="24"/>
        </w:rPr>
        <w:t xml:space="preserve"> (60%) and </w:t>
      </w:r>
      <w:r w:rsidR="00AA59A5" w:rsidRPr="008E66D5">
        <w:rPr>
          <w:rFonts w:ascii="Arial" w:hAnsi="Arial" w:cs="Arial"/>
          <w:i/>
          <w:iCs/>
          <w:sz w:val="24"/>
          <w:szCs w:val="24"/>
        </w:rPr>
        <w:t>‘Social influences’</w:t>
      </w:r>
      <w:r w:rsidR="00AA59A5" w:rsidRPr="008E66D5">
        <w:rPr>
          <w:rFonts w:ascii="Arial" w:hAnsi="Arial" w:cs="Arial"/>
          <w:sz w:val="24"/>
          <w:szCs w:val="24"/>
        </w:rPr>
        <w:t xml:space="preserve"> (50%) in TDF.</w:t>
      </w:r>
      <w:r w:rsidR="005A05FD" w:rsidRPr="008E66D5">
        <w:rPr>
          <w:rFonts w:ascii="Arial" w:hAnsi="Arial" w:cs="Arial"/>
          <w:sz w:val="24"/>
          <w:szCs w:val="24"/>
        </w:rPr>
        <w:t xml:space="preserve"> </w:t>
      </w:r>
      <w:r w:rsidR="00854EC1" w:rsidRPr="008E66D5">
        <w:rPr>
          <w:rFonts w:ascii="Arial" w:hAnsi="Arial" w:cs="Arial"/>
          <w:sz w:val="24"/>
          <w:szCs w:val="24"/>
        </w:rPr>
        <w:t xml:space="preserve">Community engagement </w:t>
      </w:r>
      <w:r w:rsidR="005A05FD" w:rsidRPr="008E66D5">
        <w:rPr>
          <w:rFonts w:ascii="Arial" w:hAnsi="Arial" w:cs="Arial"/>
          <w:sz w:val="24"/>
          <w:szCs w:val="24"/>
        </w:rPr>
        <w:t xml:space="preserve">in </w:t>
      </w:r>
      <w:r w:rsidR="00854EC1" w:rsidRPr="008E66D5">
        <w:rPr>
          <w:rFonts w:ascii="Arial" w:hAnsi="Arial" w:cs="Arial"/>
          <w:sz w:val="24"/>
          <w:szCs w:val="24"/>
        </w:rPr>
        <w:t xml:space="preserve">activities </w:t>
      </w:r>
      <w:r w:rsidR="005A05FD" w:rsidRPr="008E66D5">
        <w:rPr>
          <w:rFonts w:ascii="Arial" w:hAnsi="Arial" w:cs="Arial"/>
          <w:sz w:val="24"/>
          <w:szCs w:val="24"/>
        </w:rPr>
        <w:t>was linked</w:t>
      </w:r>
      <w:r w:rsidR="00854EC1" w:rsidRPr="008E66D5">
        <w:rPr>
          <w:rFonts w:ascii="Arial" w:hAnsi="Arial" w:cs="Arial"/>
          <w:sz w:val="24"/>
          <w:szCs w:val="24"/>
        </w:rPr>
        <w:t xml:space="preserve"> to </w:t>
      </w:r>
      <w:r w:rsidR="00854EC1" w:rsidRPr="008E66D5">
        <w:rPr>
          <w:rFonts w:ascii="Arial" w:hAnsi="Arial" w:cs="Arial"/>
          <w:i/>
          <w:iCs/>
          <w:sz w:val="24"/>
          <w:szCs w:val="24"/>
        </w:rPr>
        <w:t>‘Coherence’</w:t>
      </w:r>
      <w:r w:rsidR="00854EC1" w:rsidRPr="008E66D5">
        <w:rPr>
          <w:rFonts w:ascii="Arial" w:hAnsi="Arial" w:cs="Arial"/>
          <w:sz w:val="24"/>
          <w:szCs w:val="24"/>
        </w:rPr>
        <w:t xml:space="preserve"> in NPT (50%) and</w:t>
      </w:r>
      <w:r w:rsidR="005A05FD" w:rsidRPr="008E66D5">
        <w:rPr>
          <w:rFonts w:ascii="Arial" w:hAnsi="Arial" w:cs="Arial"/>
          <w:sz w:val="24"/>
          <w:szCs w:val="24"/>
        </w:rPr>
        <w:t xml:space="preserve"> to</w:t>
      </w:r>
      <w:r w:rsidR="00854EC1" w:rsidRPr="008E66D5">
        <w:rPr>
          <w:rFonts w:ascii="Arial" w:hAnsi="Arial" w:cs="Arial"/>
          <w:sz w:val="24"/>
          <w:szCs w:val="24"/>
        </w:rPr>
        <w:t xml:space="preserve"> </w:t>
      </w:r>
      <w:r w:rsidR="00854EC1" w:rsidRPr="008E66D5">
        <w:rPr>
          <w:rFonts w:ascii="Arial" w:hAnsi="Arial" w:cs="Arial"/>
          <w:i/>
          <w:iCs/>
          <w:sz w:val="24"/>
          <w:szCs w:val="24"/>
        </w:rPr>
        <w:t>‘Knowledge’</w:t>
      </w:r>
      <w:r w:rsidR="00854EC1" w:rsidRPr="008E66D5">
        <w:rPr>
          <w:rFonts w:ascii="Arial" w:hAnsi="Arial" w:cs="Arial"/>
          <w:sz w:val="24"/>
          <w:szCs w:val="24"/>
        </w:rPr>
        <w:t xml:space="preserve"> (80%)</w:t>
      </w:r>
      <w:r w:rsidR="005A05FD" w:rsidRPr="008E66D5">
        <w:rPr>
          <w:rFonts w:ascii="Arial" w:hAnsi="Arial" w:cs="Arial"/>
          <w:sz w:val="24"/>
          <w:szCs w:val="24"/>
        </w:rPr>
        <w:t xml:space="preserve"> in TDF</w:t>
      </w:r>
      <w:r w:rsidR="00854EC1" w:rsidRPr="008E66D5">
        <w:rPr>
          <w:rFonts w:ascii="Arial" w:hAnsi="Arial" w:cs="Arial"/>
          <w:sz w:val="24"/>
          <w:szCs w:val="24"/>
        </w:rPr>
        <w:t>. The</w:t>
      </w:r>
      <w:r w:rsidR="00A2317B" w:rsidRPr="008E66D5">
        <w:rPr>
          <w:rFonts w:ascii="Arial" w:hAnsi="Arial" w:cs="Arial"/>
          <w:sz w:val="24"/>
          <w:szCs w:val="24"/>
        </w:rPr>
        <w:t xml:space="preserve"> </w:t>
      </w:r>
      <w:r w:rsidR="00270B8F" w:rsidRPr="008E66D5">
        <w:rPr>
          <w:rFonts w:ascii="Arial" w:hAnsi="Arial" w:cs="Arial"/>
          <w:sz w:val="24"/>
          <w:szCs w:val="24"/>
        </w:rPr>
        <w:t>information gap</w:t>
      </w:r>
      <w:r w:rsidR="00854EC1" w:rsidRPr="008E66D5">
        <w:rPr>
          <w:rFonts w:ascii="Arial" w:hAnsi="Arial" w:cs="Arial"/>
          <w:sz w:val="24"/>
          <w:szCs w:val="24"/>
        </w:rPr>
        <w:t>, reflecting patients’ reliance on non-medical sources</w:t>
      </w:r>
      <w:r w:rsidR="00B5700E" w:rsidRPr="008E66D5">
        <w:rPr>
          <w:rFonts w:ascii="Arial" w:hAnsi="Arial" w:cs="Arial"/>
          <w:sz w:val="24"/>
          <w:szCs w:val="24"/>
        </w:rPr>
        <w:t xml:space="preserve"> for environmental information</w:t>
      </w:r>
      <w:r w:rsidR="00854EC1" w:rsidRPr="008E66D5">
        <w:rPr>
          <w:rFonts w:ascii="Arial" w:hAnsi="Arial" w:cs="Arial"/>
          <w:sz w:val="24"/>
          <w:szCs w:val="24"/>
        </w:rPr>
        <w:t>,</w:t>
      </w:r>
      <w:r w:rsidR="001E0CB4" w:rsidRPr="008E66D5">
        <w:rPr>
          <w:rFonts w:ascii="Arial" w:hAnsi="Arial" w:cs="Arial"/>
          <w:sz w:val="24"/>
          <w:szCs w:val="24"/>
        </w:rPr>
        <w:t xml:space="preserve"> </w:t>
      </w:r>
      <w:r w:rsidR="005A05FD" w:rsidRPr="008E66D5">
        <w:rPr>
          <w:rFonts w:ascii="Arial" w:hAnsi="Arial" w:cs="Arial"/>
          <w:sz w:val="24"/>
          <w:szCs w:val="24"/>
        </w:rPr>
        <w:t>was a</w:t>
      </w:r>
      <w:r w:rsidR="00B31CBC" w:rsidRPr="008E66D5">
        <w:rPr>
          <w:rFonts w:ascii="Arial" w:hAnsi="Arial" w:cs="Arial"/>
          <w:sz w:val="24"/>
          <w:szCs w:val="24"/>
        </w:rPr>
        <w:t>ligned</w:t>
      </w:r>
      <w:r w:rsidR="00AC141F" w:rsidRPr="008E66D5">
        <w:rPr>
          <w:rFonts w:ascii="Arial" w:hAnsi="Arial" w:cs="Arial"/>
          <w:sz w:val="24"/>
          <w:szCs w:val="24"/>
        </w:rPr>
        <w:t xml:space="preserve"> with </w:t>
      </w:r>
      <w:r w:rsidR="00AC141F" w:rsidRPr="008E66D5">
        <w:rPr>
          <w:rFonts w:ascii="Arial" w:hAnsi="Arial" w:cs="Arial"/>
          <w:i/>
          <w:iCs/>
          <w:sz w:val="24"/>
          <w:szCs w:val="24"/>
        </w:rPr>
        <w:t>‘Coherence’</w:t>
      </w:r>
      <w:r w:rsidR="00AC141F" w:rsidRPr="008E66D5">
        <w:rPr>
          <w:rFonts w:ascii="Arial" w:hAnsi="Arial" w:cs="Arial"/>
          <w:sz w:val="24"/>
          <w:szCs w:val="24"/>
        </w:rPr>
        <w:t xml:space="preserve"> </w:t>
      </w:r>
      <w:r w:rsidR="00A2317B" w:rsidRPr="008E66D5">
        <w:rPr>
          <w:rFonts w:ascii="Arial" w:hAnsi="Arial" w:cs="Arial"/>
          <w:sz w:val="24"/>
          <w:szCs w:val="24"/>
        </w:rPr>
        <w:t>(</w:t>
      </w:r>
      <w:r w:rsidR="00270B8F" w:rsidRPr="008E66D5">
        <w:rPr>
          <w:rFonts w:ascii="Arial" w:hAnsi="Arial" w:cs="Arial"/>
          <w:sz w:val="24"/>
          <w:szCs w:val="24"/>
        </w:rPr>
        <w:t>4</w:t>
      </w:r>
      <w:r w:rsidR="006750F6" w:rsidRPr="008E66D5">
        <w:rPr>
          <w:rFonts w:ascii="Arial" w:hAnsi="Arial" w:cs="Arial"/>
          <w:sz w:val="24"/>
          <w:szCs w:val="24"/>
        </w:rPr>
        <w:t>0%</w:t>
      </w:r>
      <w:r w:rsidR="00A2317B" w:rsidRPr="008E66D5">
        <w:rPr>
          <w:rFonts w:ascii="Arial" w:hAnsi="Arial" w:cs="Arial"/>
          <w:sz w:val="24"/>
          <w:szCs w:val="24"/>
        </w:rPr>
        <w:t>)</w:t>
      </w:r>
      <w:r w:rsidR="006750F6" w:rsidRPr="008E66D5">
        <w:rPr>
          <w:rFonts w:ascii="Arial" w:hAnsi="Arial" w:cs="Arial"/>
          <w:sz w:val="24"/>
          <w:szCs w:val="24"/>
        </w:rPr>
        <w:t xml:space="preserve"> </w:t>
      </w:r>
      <w:r w:rsidR="005A05FD" w:rsidRPr="008E66D5">
        <w:rPr>
          <w:rFonts w:ascii="Arial" w:hAnsi="Arial" w:cs="Arial"/>
          <w:sz w:val="24"/>
          <w:szCs w:val="24"/>
        </w:rPr>
        <w:t xml:space="preserve">in NPT </w:t>
      </w:r>
      <w:r w:rsidR="006750F6" w:rsidRPr="008E66D5">
        <w:rPr>
          <w:rFonts w:ascii="Arial" w:hAnsi="Arial" w:cs="Arial"/>
          <w:sz w:val="24"/>
          <w:szCs w:val="24"/>
        </w:rPr>
        <w:t xml:space="preserve">and </w:t>
      </w:r>
      <w:r w:rsidR="005A05FD" w:rsidRPr="008E66D5">
        <w:rPr>
          <w:rFonts w:ascii="Arial" w:hAnsi="Arial" w:cs="Arial"/>
          <w:sz w:val="24"/>
          <w:szCs w:val="24"/>
        </w:rPr>
        <w:t xml:space="preserve">to </w:t>
      </w:r>
      <w:r w:rsidR="00A2317B" w:rsidRPr="008E66D5">
        <w:rPr>
          <w:rFonts w:ascii="Arial" w:hAnsi="Arial" w:cs="Arial"/>
          <w:i/>
          <w:iCs/>
          <w:sz w:val="24"/>
          <w:szCs w:val="24"/>
        </w:rPr>
        <w:t>‘K</w:t>
      </w:r>
      <w:r w:rsidR="006750F6" w:rsidRPr="008E66D5">
        <w:rPr>
          <w:rFonts w:ascii="Arial" w:hAnsi="Arial" w:cs="Arial"/>
          <w:i/>
          <w:iCs/>
          <w:sz w:val="24"/>
          <w:szCs w:val="24"/>
        </w:rPr>
        <w:t>nowledge</w:t>
      </w:r>
      <w:r w:rsidR="00A2317B" w:rsidRPr="008E66D5">
        <w:rPr>
          <w:rFonts w:ascii="Arial" w:hAnsi="Arial" w:cs="Arial"/>
          <w:i/>
          <w:iCs/>
          <w:sz w:val="24"/>
          <w:szCs w:val="24"/>
        </w:rPr>
        <w:t>’</w:t>
      </w:r>
      <w:r w:rsidR="006750F6" w:rsidRPr="008E66D5">
        <w:rPr>
          <w:rFonts w:ascii="Arial" w:hAnsi="Arial" w:cs="Arial"/>
          <w:sz w:val="24"/>
          <w:szCs w:val="24"/>
        </w:rPr>
        <w:t xml:space="preserve"> </w:t>
      </w:r>
      <w:r w:rsidR="001D05F2" w:rsidRPr="008E66D5">
        <w:rPr>
          <w:rFonts w:ascii="Arial" w:hAnsi="Arial" w:cs="Arial"/>
          <w:sz w:val="24"/>
          <w:szCs w:val="24"/>
        </w:rPr>
        <w:t>(60%)</w:t>
      </w:r>
      <w:r w:rsidR="005A05FD" w:rsidRPr="008E66D5">
        <w:rPr>
          <w:rFonts w:ascii="Arial" w:hAnsi="Arial" w:cs="Arial"/>
          <w:sz w:val="24"/>
          <w:szCs w:val="24"/>
        </w:rPr>
        <w:t xml:space="preserve">, </w:t>
      </w:r>
      <w:r w:rsidR="005A05FD" w:rsidRPr="008E66D5">
        <w:rPr>
          <w:rFonts w:ascii="Arial" w:hAnsi="Arial" w:cs="Arial"/>
          <w:i/>
          <w:iCs/>
          <w:sz w:val="24"/>
          <w:szCs w:val="24"/>
        </w:rPr>
        <w:t>‘Social/professional role and identity’</w:t>
      </w:r>
      <w:r w:rsidR="005A05FD" w:rsidRPr="008E66D5">
        <w:rPr>
          <w:rFonts w:ascii="Arial" w:hAnsi="Arial" w:cs="Arial"/>
          <w:sz w:val="24"/>
          <w:szCs w:val="24"/>
        </w:rPr>
        <w:t xml:space="preserve"> (50%), and </w:t>
      </w:r>
      <w:r w:rsidR="005A05FD" w:rsidRPr="008E66D5">
        <w:rPr>
          <w:rFonts w:ascii="Arial" w:hAnsi="Arial" w:cs="Arial"/>
          <w:i/>
          <w:iCs/>
          <w:sz w:val="24"/>
          <w:szCs w:val="24"/>
        </w:rPr>
        <w:t>‘Social influences’</w:t>
      </w:r>
      <w:r w:rsidR="005A05FD" w:rsidRPr="008E66D5">
        <w:rPr>
          <w:rFonts w:ascii="Arial" w:hAnsi="Arial" w:cs="Arial"/>
          <w:sz w:val="24"/>
          <w:szCs w:val="24"/>
        </w:rPr>
        <w:t xml:space="preserve"> (40%) in TDF.</w:t>
      </w:r>
      <w:r w:rsidR="00B31CBC" w:rsidRPr="008E66D5">
        <w:rPr>
          <w:rFonts w:ascii="Arial" w:hAnsi="Arial" w:cs="Arial"/>
          <w:sz w:val="24"/>
          <w:szCs w:val="24"/>
        </w:rPr>
        <w:t xml:space="preserve"> </w:t>
      </w:r>
      <w:r w:rsidR="007A1B82">
        <w:rPr>
          <w:rFonts w:ascii="Arial" w:hAnsi="Arial" w:cs="Arial"/>
          <w:sz w:val="24"/>
          <w:szCs w:val="24"/>
        </w:rPr>
        <w:t>There was no evidence from the review that mapped to c</w:t>
      </w:r>
      <w:r w:rsidR="00B31CBC" w:rsidRPr="008E66D5">
        <w:rPr>
          <w:rFonts w:ascii="Arial" w:hAnsi="Arial" w:cs="Arial"/>
          <w:sz w:val="24"/>
          <w:szCs w:val="24"/>
        </w:rPr>
        <w:t xml:space="preserve">onstructs such as </w:t>
      </w:r>
      <w:r w:rsidR="00B31CBC" w:rsidRPr="008E66D5">
        <w:rPr>
          <w:rFonts w:ascii="Arial" w:hAnsi="Arial" w:cs="Arial"/>
          <w:i/>
          <w:iCs/>
          <w:sz w:val="24"/>
          <w:szCs w:val="24"/>
        </w:rPr>
        <w:t>‘Re</w:t>
      </w:r>
      <w:r w:rsidR="002B6E2D" w:rsidRPr="008E66D5">
        <w:rPr>
          <w:rFonts w:ascii="Arial" w:hAnsi="Arial" w:cs="Arial"/>
          <w:i/>
          <w:iCs/>
          <w:sz w:val="24"/>
          <w:szCs w:val="24"/>
        </w:rPr>
        <w:t>flexive monitoring</w:t>
      </w:r>
      <w:r w:rsidR="00B31CBC" w:rsidRPr="008E66D5">
        <w:rPr>
          <w:rFonts w:ascii="Arial" w:hAnsi="Arial" w:cs="Arial"/>
          <w:i/>
          <w:iCs/>
          <w:sz w:val="24"/>
          <w:szCs w:val="24"/>
        </w:rPr>
        <w:t>’</w:t>
      </w:r>
      <w:r w:rsidR="00B31CBC" w:rsidRPr="008E66D5">
        <w:rPr>
          <w:rFonts w:ascii="Arial" w:hAnsi="Arial" w:cs="Arial"/>
          <w:sz w:val="24"/>
          <w:szCs w:val="24"/>
        </w:rPr>
        <w:t xml:space="preserve"> in NPT and domains such as </w:t>
      </w:r>
      <w:r w:rsidR="00B31CBC" w:rsidRPr="008E66D5">
        <w:rPr>
          <w:rFonts w:ascii="Arial" w:hAnsi="Arial" w:cs="Arial"/>
          <w:i/>
          <w:iCs/>
          <w:sz w:val="24"/>
          <w:szCs w:val="24"/>
        </w:rPr>
        <w:t>‘Intentions’</w:t>
      </w:r>
      <w:r w:rsidR="00B31CBC" w:rsidRPr="008E66D5">
        <w:rPr>
          <w:rFonts w:ascii="Arial" w:hAnsi="Arial" w:cs="Arial"/>
          <w:sz w:val="24"/>
          <w:szCs w:val="24"/>
        </w:rPr>
        <w:t xml:space="preserve"> and </w:t>
      </w:r>
      <w:r w:rsidR="00B31CBC" w:rsidRPr="008E66D5">
        <w:rPr>
          <w:rFonts w:ascii="Arial" w:hAnsi="Arial" w:cs="Arial"/>
          <w:i/>
          <w:iCs/>
          <w:sz w:val="24"/>
          <w:szCs w:val="24"/>
        </w:rPr>
        <w:t>‘Behaviour regulation’</w:t>
      </w:r>
      <w:r w:rsidR="00B31CBC" w:rsidRPr="008E66D5">
        <w:rPr>
          <w:rFonts w:ascii="Arial" w:hAnsi="Arial" w:cs="Arial"/>
          <w:sz w:val="24"/>
          <w:szCs w:val="24"/>
        </w:rPr>
        <w:t xml:space="preserve"> in TDF.</w:t>
      </w:r>
    </w:p>
    <w:p w14:paraId="0C6E9D5F" w14:textId="20ADEDE7" w:rsidR="00561684" w:rsidRPr="008E66D5" w:rsidRDefault="18DD0642" w:rsidP="00D73116">
      <w:pPr>
        <w:spacing w:before="160" w:line="276" w:lineRule="auto"/>
        <w:rPr>
          <w:rFonts w:ascii="Arial" w:hAnsi="Arial" w:cs="Arial"/>
          <w:sz w:val="26"/>
          <w:szCs w:val="26"/>
        </w:rPr>
      </w:pPr>
      <w:r w:rsidRPr="008E66D5">
        <w:rPr>
          <w:rFonts w:ascii="Arial" w:hAnsi="Arial" w:cs="Arial"/>
          <w:sz w:val="26"/>
          <w:szCs w:val="26"/>
        </w:rPr>
        <w:t>NPT core constructs</w:t>
      </w:r>
    </w:p>
    <w:p w14:paraId="0A980A39" w14:textId="7BD6DD5C" w:rsidR="00561684" w:rsidRPr="008E66D5" w:rsidRDefault="006D3980" w:rsidP="00D73116">
      <w:pPr>
        <w:spacing w:before="160" w:line="276" w:lineRule="auto"/>
        <w:rPr>
          <w:rFonts w:ascii="Arial" w:hAnsi="Arial" w:cs="Arial"/>
          <w:sz w:val="24"/>
          <w:szCs w:val="24"/>
        </w:rPr>
      </w:pPr>
      <w:r w:rsidRPr="008E66D5">
        <w:rPr>
          <w:rFonts w:ascii="Arial" w:hAnsi="Arial" w:cs="Arial"/>
          <w:sz w:val="24"/>
          <w:szCs w:val="24"/>
        </w:rPr>
        <w:t>T</w:t>
      </w:r>
      <w:r w:rsidR="00561684" w:rsidRPr="008E66D5">
        <w:rPr>
          <w:rFonts w:ascii="Arial" w:hAnsi="Arial" w:cs="Arial"/>
          <w:sz w:val="24"/>
          <w:szCs w:val="24"/>
        </w:rPr>
        <w:t>h</w:t>
      </w:r>
      <w:r w:rsidR="001D05F2" w:rsidRPr="008E66D5">
        <w:rPr>
          <w:rFonts w:ascii="Arial" w:hAnsi="Arial" w:cs="Arial"/>
          <w:sz w:val="24"/>
          <w:szCs w:val="24"/>
        </w:rPr>
        <w:t>e</w:t>
      </w:r>
      <w:r w:rsidR="00561684" w:rsidRPr="008E66D5">
        <w:rPr>
          <w:rFonts w:ascii="Arial" w:hAnsi="Arial" w:cs="Arial"/>
          <w:sz w:val="24"/>
          <w:szCs w:val="24"/>
        </w:rPr>
        <w:t xml:space="preserve"> </w:t>
      </w:r>
      <w:r w:rsidR="000525EB" w:rsidRPr="008E66D5">
        <w:rPr>
          <w:rFonts w:ascii="Arial" w:hAnsi="Arial" w:cs="Arial"/>
          <w:sz w:val="24"/>
          <w:szCs w:val="24"/>
        </w:rPr>
        <w:t xml:space="preserve">most frequently aligned </w:t>
      </w:r>
      <w:r w:rsidRPr="008E66D5">
        <w:rPr>
          <w:rFonts w:ascii="Arial" w:hAnsi="Arial" w:cs="Arial"/>
          <w:sz w:val="24"/>
          <w:szCs w:val="24"/>
        </w:rPr>
        <w:t xml:space="preserve">NPT </w:t>
      </w:r>
      <w:r w:rsidR="00561684" w:rsidRPr="008E66D5">
        <w:rPr>
          <w:rFonts w:ascii="Arial" w:hAnsi="Arial" w:cs="Arial"/>
          <w:sz w:val="24"/>
          <w:szCs w:val="24"/>
        </w:rPr>
        <w:t xml:space="preserve">constructs </w:t>
      </w:r>
      <w:r w:rsidR="001D05F2" w:rsidRPr="008E66D5">
        <w:rPr>
          <w:rFonts w:ascii="Arial" w:hAnsi="Arial" w:cs="Arial"/>
          <w:sz w:val="24"/>
          <w:szCs w:val="24"/>
        </w:rPr>
        <w:t xml:space="preserve">were </w:t>
      </w:r>
      <w:bookmarkStart w:id="4" w:name="_Hlk187951515"/>
      <w:r w:rsidR="00BB4CFA" w:rsidRPr="008E66D5">
        <w:rPr>
          <w:rFonts w:ascii="Arial" w:hAnsi="Arial" w:cs="Arial"/>
          <w:i/>
          <w:iCs/>
          <w:sz w:val="24"/>
          <w:szCs w:val="24"/>
        </w:rPr>
        <w:t>‘</w:t>
      </w:r>
      <w:r w:rsidR="00561684" w:rsidRPr="008E66D5">
        <w:rPr>
          <w:rFonts w:ascii="Arial" w:hAnsi="Arial" w:cs="Arial"/>
          <w:i/>
          <w:iCs/>
          <w:sz w:val="24"/>
          <w:szCs w:val="24"/>
        </w:rPr>
        <w:t>Coherence</w:t>
      </w:r>
      <w:r w:rsidR="00BB4CFA" w:rsidRPr="008E66D5">
        <w:rPr>
          <w:rFonts w:ascii="Arial" w:hAnsi="Arial" w:cs="Arial"/>
          <w:i/>
          <w:iCs/>
          <w:sz w:val="24"/>
          <w:szCs w:val="24"/>
        </w:rPr>
        <w:t>’</w:t>
      </w:r>
      <w:r w:rsidR="00561684" w:rsidRPr="008E66D5">
        <w:rPr>
          <w:rFonts w:ascii="Arial" w:hAnsi="Arial" w:cs="Arial"/>
          <w:sz w:val="24"/>
          <w:szCs w:val="24"/>
        </w:rPr>
        <w:t xml:space="preserve"> </w:t>
      </w:r>
      <w:r w:rsidR="001D05F2" w:rsidRPr="008E66D5">
        <w:rPr>
          <w:rFonts w:ascii="Arial" w:hAnsi="Arial" w:cs="Arial"/>
          <w:sz w:val="24"/>
          <w:szCs w:val="24"/>
        </w:rPr>
        <w:t>(</w:t>
      </w:r>
      <w:r w:rsidR="00B21021" w:rsidRPr="008E66D5">
        <w:rPr>
          <w:rFonts w:ascii="Arial" w:hAnsi="Arial" w:cs="Arial"/>
          <w:sz w:val="24"/>
          <w:szCs w:val="24"/>
        </w:rPr>
        <w:t>eleven</w:t>
      </w:r>
      <w:r w:rsidR="00561684" w:rsidRPr="008E66D5">
        <w:rPr>
          <w:rFonts w:ascii="Arial" w:hAnsi="Arial" w:cs="Arial"/>
          <w:sz w:val="24"/>
          <w:szCs w:val="24"/>
        </w:rPr>
        <w:t xml:space="preserve"> </w:t>
      </w:r>
      <w:r w:rsidR="001D05F2" w:rsidRPr="008E66D5">
        <w:rPr>
          <w:rFonts w:ascii="Arial" w:hAnsi="Arial" w:cs="Arial"/>
          <w:sz w:val="24"/>
          <w:szCs w:val="24"/>
        </w:rPr>
        <w:t xml:space="preserve">occurrences, </w:t>
      </w:r>
      <w:r w:rsidR="00F545F3" w:rsidRPr="008E66D5">
        <w:rPr>
          <w:rFonts w:ascii="Arial" w:hAnsi="Arial" w:cs="Arial"/>
          <w:sz w:val="24"/>
          <w:szCs w:val="24"/>
        </w:rPr>
        <w:t>4</w:t>
      </w:r>
      <w:r w:rsidR="001D05F2" w:rsidRPr="008E66D5">
        <w:rPr>
          <w:rFonts w:ascii="Arial" w:hAnsi="Arial" w:cs="Arial"/>
          <w:sz w:val="24"/>
          <w:szCs w:val="24"/>
        </w:rPr>
        <w:t>0% - 90%)</w:t>
      </w:r>
      <w:r w:rsidRPr="008E66D5">
        <w:rPr>
          <w:rFonts w:ascii="Arial" w:hAnsi="Arial" w:cs="Arial"/>
          <w:sz w:val="24"/>
          <w:szCs w:val="24"/>
        </w:rPr>
        <w:t xml:space="preserve">, </w:t>
      </w:r>
      <w:r w:rsidR="00A00878" w:rsidRPr="008E66D5">
        <w:rPr>
          <w:rFonts w:ascii="Arial" w:hAnsi="Arial" w:cs="Arial"/>
          <w:i/>
          <w:iCs/>
          <w:sz w:val="24"/>
          <w:szCs w:val="24"/>
        </w:rPr>
        <w:t>‘</w:t>
      </w:r>
      <w:r w:rsidR="00561684" w:rsidRPr="008E66D5">
        <w:rPr>
          <w:rFonts w:ascii="Arial" w:hAnsi="Arial" w:cs="Arial"/>
          <w:i/>
          <w:iCs/>
          <w:sz w:val="24"/>
          <w:szCs w:val="24"/>
        </w:rPr>
        <w:t>Collective Action</w:t>
      </w:r>
      <w:r w:rsidR="00A00878" w:rsidRPr="008E66D5">
        <w:rPr>
          <w:rFonts w:ascii="Arial" w:hAnsi="Arial" w:cs="Arial"/>
          <w:i/>
          <w:iCs/>
          <w:sz w:val="24"/>
          <w:szCs w:val="24"/>
        </w:rPr>
        <w:t>’</w:t>
      </w:r>
      <w:r w:rsidR="00561684" w:rsidRPr="008E66D5">
        <w:rPr>
          <w:rFonts w:ascii="Arial" w:hAnsi="Arial" w:cs="Arial"/>
          <w:sz w:val="24"/>
          <w:szCs w:val="24"/>
        </w:rPr>
        <w:t xml:space="preserve"> </w:t>
      </w:r>
      <w:r w:rsidR="001D05F2" w:rsidRPr="008E66D5">
        <w:rPr>
          <w:rFonts w:ascii="Arial" w:hAnsi="Arial" w:cs="Arial"/>
          <w:sz w:val="24"/>
          <w:szCs w:val="24"/>
        </w:rPr>
        <w:t>(f</w:t>
      </w:r>
      <w:r w:rsidR="00F545F3" w:rsidRPr="008E66D5">
        <w:rPr>
          <w:rFonts w:ascii="Arial" w:hAnsi="Arial" w:cs="Arial"/>
          <w:sz w:val="24"/>
          <w:szCs w:val="24"/>
        </w:rPr>
        <w:t>ive</w:t>
      </w:r>
      <w:r w:rsidR="001D05F2" w:rsidRPr="008E66D5">
        <w:rPr>
          <w:rFonts w:ascii="Arial" w:hAnsi="Arial" w:cs="Arial"/>
          <w:sz w:val="24"/>
          <w:szCs w:val="24"/>
        </w:rPr>
        <w:t xml:space="preserve"> occurrences, </w:t>
      </w:r>
      <w:r w:rsidR="00B21021" w:rsidRPr="008E66D5">
        <w:rPr>
          <w:rFonts w:ascii="Arial" w:hAnsi="Arial" w:cs="Arial"/>
          <w:sz w:val="24"/>
          <w:szCs w:val="24"/>
        </w:rPr>
        <w:t>4</w:t>
      </w:r>
      <w:r w:rsidR="001D05F2" w:rsidRPr="008E66D5">
        <w:rPr>
          <w:rFonts w:ascii="Arial" w:hAnsi="Arial" w:cs="Arial"/>
          <w:sz w:val="24"/>
          <w:szCs w:val="24"/>
        </w:rPr>
        <w:t xml:space="preserve">0% - 80%), </w:t>
      </w:r>
      <w:r w:rsidR="00561684" w:rsidRPr="008E66D5">
        <w:rPr>
          <w:rFonts w:ascii="Arial" w:hAnsi="Arial" w:cs="Arial"/>
          <w:sz w:val="24"/>
          <w:szCs w:val="24"/>
        </w:rPr>
        <w:t xml:space="preserve">and </w:t>
      </w:r>
      <w:r w:rsidR="00A00878" w:rsidRPr="008E66D5">
        <w:rPr>
          <w:rFonts w:ascii="Arial" w:hAnsi="Arial" w:cs="Arial"/>
          <w:i/>
          <w:iCs/>
          <w:sz w:val="24"/>
          <w:szCs w:val="24"/>
        </w:rPr>
        <w:t>‘</w:t>
      </w:r>
      <w:r w:rsidR="00561684" w:rsidRPr="008E66D5">
        <w:rPr>
          <w:rFonts w:ascii="Arial" w:hAnsi="Arial" w:cs="Arial"/>
          <w:i/>
          <w:iCs/>
          <w:sz w:val="24"/>
          <w:szCs w:val="24"/>
        </w:rPr>
        <w:t>Cognitive Participation</w:t>
      </w:r>
      <w:r w:rsidR="00A00878" w:rsidRPr="008E66D5">
        <w:rPr>
          <w:rFonts w:ascii="Arial" w:hAnsi="Arial" w:cs="Arial"/>
          <w:i/>
          <w:iCs/>
          <w:sz w:val="24"/>
          <w:szCs w:val="24"/>
        </w:rPr>
        <w:t>’</w:t>
      </w:r>
      <w:r w:rsidR="00561684" w:rsidRPr="008E66D5">
        <w:rPr>
          <w:rFonts w:ascii="Arial" w:hAnsi="Arial" w:cs="Arial"/>
          <w:sz w:val="24"/>
          <w:szCs w:val="24"/>
        </w:rPr>
        <w:t xml:space="preserve"> </w:t>
      </w:r>
      <w:bookmarkEnd w:id="4"/>
      <w:r w:rsidR="001D05F2" w:rsidRPr="008E66D5">
        <w:rPr>
          <w:rFonts w:ascii="Arial" w:hAnsi="Arial" w:cs="Arial"/>
          <w:sz w:val="24"/>
          <w:szCs w:val="24"/>
        </w:rPr>
        <w:t>(</w:t>
      </w:r>
      <w:r w:rsidR="00F545F3" w:rsidRPr="008E66D5">
        <w:rPr>
          <w:rFonts w:ascii="Arial" w:hAnsi="Arial" w:cs="Arial"/>
          <w:sz w:val="24"/>
          <w:szCs w:val="24"/>
        </w:rPr>
        <w:t>f</w:t>
      </w:r>
      <w:r w:rsidR="00B21021" w:rsidRPr="008E66D5">
        <w:rPr>
          <w:rFonts w:ascii="Arial" w:hAnsi="Arial" w:cs="Arial"/>
          <w:sz w:val="24"/>
          <w:szCs w:val="24"/>
        </w:rPr>
        <w:t>ive</w:t>
      </w:r>
      <w:r w:rsidR="001D05F2" w:rsidRPr="008E66D5">
        <w:rPr>
          <w:rFonts w:ascii="Arial" w:hAnsi="Arial" w:cs="Arial"/>
          <w:sz w:val="24"/>
          <w:szCs w:val="24"/>
        </w:rPr>
        <w:t xml:space="preserve"> occurrences, </w:t>
      </w:r>
      <w:r w:rsidR="00F545F3" w:rsidRPr="008E66D5">
        <w:rPr>
          <w:rFonts w:ascii="Arial" w:hAnsi="Arial" w:cs="Arial"/>
          <w:sz w:val="24"/>
          <w:szCs w:val="24"/>
        </w:rPr>
        <w:t>40% - 8</w:t>
      </w:r>
      <w:r w:rsidR="001D05F2" w:rsidRPr="008E66D5">
        <w:rPr>
          <w:rFonts w:ascii="Arial" w:hAnsi="Arial" w:cs="Arial"/>
          <w:sz w:val="24"/>
          <w:szCs w:val="24"/>
        </w:rPr>
        <w:t>0%)</w:t>
      </w:r>
      <w:r w:rsidR="000525EB" w:rsidRPr="008E66D5">
        <w:rPr>
          <w:rFonts w:ascii="Arial" w:hAnsi="Arial" w:cs="Arial"/>
          <w:sz w:val="24"/>
          <w:szCs w:val="24"/>
        </w:rPr>
        <w:t xml:space="preserve"> </w:t>
      </w:r>
      <w:r w:rsidR="001D05F2" w:rsidRPr="008E66D5">
        <w:rPr>
          <w:rFonts w:ascii="Arial" w:hAnsi="Arial" w:cs="Arial"/>
          <w:sz w:val="24"/>
          <w:szCs w:val="24"/>
        </w:rPr>
        <w:t xml:space="preserve">(Table </w:t>
      </w:r>
      <w:r w:rsidR="00844328">
        <w:rPr>
          <w:rFonts w:ascii="Arial" w:hAnsi="Arial" w:cs="Arial"/>
          <w:sz w:val="24"/>
          <w:szCs w:val="24"/>
        </w:rPr>
        <w:t>1</w:t>
      </w:r>
      <w:r w:rsidR="000525EB" w:rsidRPr="008E66D5">
        <w:rPr>
          <w:rFonts w:ascii="Arial" w:hAnsi="Arial" w:cs="Arial"/>
          <w:sz w:val="24"/>
          <w:szCs w:val="24"/>
        </w:rPr>
        <w:t>, Figure 1</w:t>
      </w:r>
      <w:r w:rsidR="001D05F2" w:rsidRPr="008E66D5">
        <w:rPr>
          <w:rFonts w:ascii="Arial" w:hAnsi="Arial" w:cs="Arial"/>
          <w:sz w:val="24"/>
          <w:szCs w:val="24"/>
        </w:rPr>
        <w:t>).</w:t>
      </w:r>
      <w:r w:rsidR="001B58A9" w:rsidRPr="008E66D5">
        <w:rPr>
          <w:rFonts w:ascii="Arial" w:hAnsi="Arial" w:cs="Arial"/>
          <w:sz w:val="24"/>
          <w:szCs w:val="24"/>
        </w:rPr>
        <w:t xml:space="preserve"> </w:t>
      </w:r>
      <w:r w:rsidR="001B58A9" w:rsidRPr="008E66D5">
        <w:rPr>
          <w:rFonts w:ascii="Arial" w:hAnsi="Arial" w:cs="Arial"/>
          <w:i/>
          <w:iCs/>
          <w:sz w:val="24"/>
          <w:szCs w:val="24"/>
        </w:rPr>
        <w:t>‘Reflexive monitoring’</w:t>
      </w:r>
      <w:r w:rsidR="001B58A9" w:rsidRPr="008E66D5">
        <w:rPr>
          <w:rFonts w:ascii="Arial" w:hAnsi="Arial" w:cs="Arial"/>
          <w:sz w:val="24"/>
          <w:szCs w:val="24"/>
        </w:rPr>
        <w:t xml:space="preserve"> </w:t>
      </w:r>
      <w:r w:rsidR="00304619" w:rsidRPr="008E66D5">
        <w:rPr>
          <w:rFonts w:ascii="Arial" w:hAnsi="Arial" w:cs="Arial"/>
          <w:sz w:val="24"/>
          <w:szCs w:val="24"/>
        </w:rPr>
        <w:t>was absent</w:t>
      </w:r>
      <w:r w:rsidR="001B58A9" w:rsidRPr="008E66D5">
        <w:rPr>
          <w:rFonts w:ascii="Arial" w:hAnsi="Arial" w:cs="Arial"/>
          <w:sz w:val="24"/>
          <w:szCs w:val="24"/>
        </w:rPr>
        <w:t>.</w:t>
      </w:r>
    </w:p>
    <w:p w14:paraId="22FFF75F" w14:textId="2DF3440F" w:rsidR="00561684" w:rsidRPr="008E66D5" w:rsidRDefault="18DD0642" w:rsidP="00D73116">
      <w:pPr>
        <w:spacing w:before="160" w:line="276" w:lineRule="auto"/>
        <w:rPr>
          <w:rFonts w:ascii="Arial" w:hAnsi="Arial" w:cs="Arial"/>
          <w:sz w:val="26"/>
          <w:szCs w:val="26"/>
        </w:rPr>
      </w:pPr>
      <w:r w:rsidRPr="008E66D5">
        <w:rPr>
          <w:rFonts w:ascii="Arial" w:hAnsi="Arial" w:cs="Arial"/>
          <w:sz w:val="26"/>
          <w:szCs w:val="26"/>
        </w:rPr>
        <w:t>TDF domains</w:t>
      </w:r>
    </w:p>
    <w:p w14:paraId="1FC9F161" w14:textId="48B866B7" w:rsidR="00941004" w:rsidRPr="008E66D5" w:rsidRDefault="00941004" w:rsidP="00D73116">
      <w:pPr>
        <w:spacing w:before="160" w:line="276" w:lineRule="auto"/>
        <w:rPr>
          <w:rFonts w:ascii="Arial" w:hAnsi="Arial" w:cs="Arial"/>
          <w:sz w:val="24"/>
          <w:szCs w:val="24"/>
        </w:rPr>
      </w:pPr>
      <w:bookmarkStart w:id="5" w:name="_Hlk187952194"/>
      <w:r w:rsidRPr="008E66D5">
        <w:rPr>
          <w:rFonts w:ascii="Arial" w:hAnsi="Arial" w:cs="Arial"/>
          <w:sz w:val="24"/>
          <w:szCs w:val="24"/>
        </w:rPr>
        <w:t xml:space="preserve">The </w:t>
      </w:r>
      <w:r w:rsidR="001B58A9" w:rsidRPr="008E66D5">
        <w:rPr>
          <w:rFonts w:ascii="Arial" w:hAnsi="Arial" w:cs="Arial"/>
          <w:sz w:val="24"/>
          <w:szCs w:val="24"/>
        </w:rPr>
        <w:t xml:space="preserve">most frequently aligned </w:t>
      </w:r>
      <w:r w:rsidRPr="008E66D5">
        <w:rPr>
          <w:rFonts w:ascii="Arial" w:hAnsi="Arial" w:cs="Arial"/>
          <w:sz w:val="24"/>
          <w:szCs w:val="24"/>
        </w:rPr>
        <w:t>TDF</w:t>
      </w:r>
      <w:r w:rsidRPr="008E66D5">
        <w:rPr>
          <w:rFonts w:ascii="Arial" w:hAnsi="Arial" w:cs="Arial"/>
          <w:i/>
          <w:iCs/>
          <w:sz w:val="24"/>
          <w:szCs w:val="24"/>
        </w:rPr>
        <w:t xml:space="preserve"> </w:t>
      </w:r>
      <w:r w:rsidRPr="008E66D5">
        <w:rPr>
          <w:rFonts w:ascii="Arial" w:hAnsi="Arial" w:cs="Arial"/>
          <w:sz w:val="24"/>
          <w:szCs w:val="24"/>
        </w:rPr>
        <w:t>domain</w:t>
      </w:r>
      <w:r w:rsidR="001B58A9" w:rsidRPr="008E66D5">
        <w:rPr>
          <w:rFonts w:ascii="Arial" w:hAnsi="Arial" w:cs="Arial"/>
          <w:sz w:val="24"/>
          <w:szCs w:val="24"/>
        </w:rPr>
        <w:t>s were</w:t>
      </w:r>
      <w:r w:rsidRPr="008E66D5">
        <w:rPr>
          <w:rFonts w:ascii="Arial" w:hAnsi="Arial" w:cs="Arial"/>
          <w:sz w:val="24"/>
          <w:szCs w:val="24"/>
        </w:rPr>
        <w:t xml:space="preserve"> </w:t>
      </w:r>
      <w:r w:rsidR="00A00878" w:rsidRPr="008E66D5">
        <w:rPr>
          <w:rFonts w:ascii="Arial" w:hAnsi="Arial" w:cs="Arial"/>
          <w:i/>
          <w:iCs/>
          <w:sz w:val="24"/>
          <w:szCs w:val="24"/>
        </w:rPr>
        <w:t>‘</w:t>
      </w:r>
      <w:r w:rsidR="00561684" w:rsidRPr="008E66D5">
        <w:rPr>
          <w:rFonts w:ascii="Arial" w:hAnsi="Arial" w:cs="Arial"/>
          <w:i/>
          <w:iCs/>
          <w:sz w:val="24"/>
          <w:szCs w:val="24"/>
        </w:rPr>
        <w:t>Environmental Context and Resources</w:t>
      </w:r>
      <w:r w:rsidR="00A00878" w:rsidRPr="008E66D5">
        <w:rPr>
          <w:rFonts w:ascii="Arial" w:hAnsi="Arial" w:cs="Arial"/>
          <w:i/>
          <w:iCs/>
          <w:sz w:val="24"/>
          <w:szCs w:val="24"/>
        </w:rPr>
        <w:t>’</w:t>
      </w:r>
      <w:r w:rsidR="001B58A9" w:rsidRPr="008E66D5">
        <w:rPr>
          <w:rFonts w:ascii="Arial" w:hAnsi="Arial" w:cs="Arial"/>
          <w:i/>
          <w:iCs/>
          <w:sz w:val="24"/>
          <w:szCs w:val="24"/>
        </w:rPr>
        <w:t xml:space="preserve"> </w:t>
      </w:r>
      <w:r w:rsidR="001B58A9" w:rsidRPr="008E66D5">
        <w:rPr>
          <w:rFonts w:ascii="Arial" w:hAnsi="Arial" w:cs="Arial"/>
          <w:sz w:val="24"/>
          <w:szCs w:val="24"/>
        </w:rPr>
        <w:t>(</w:t>
      </w:r>
      <w:r w:rsidR="00A13B1C" w:rsidRPr="008E66D5">
        <w:rPr>
          <w:rFonts w:ascii="Arial" w:hAnsi="Arial" w:cs="Arial"/>
          <w:sz w:val="24"/>
          <w:szCs w:val="24"/>
        </w:rPr>
        <w:t>eight</w:t>
      </w:r>
      <w:r w:rsidR="001B58A9" w:rsidRPr="008E66D5">
        <w:rPr>
          <w:rFonts w:ascii="Arial" w:hAnsi="Arial" w:cs="Arial"/>
          <w:sz w:val="24"/>
          <w:szCs w:val="24"/>
        </w:rPr>
        <w:t xml:space="preserve"> occurrences, 50% - 100%), ‘</w:t>
      </w:r>
      <w:r w:rsidR="001B58A9" w:rsidRPr="008E66D5">
        <w:rPr>
          <w:rFonts w:ascii="Arial" w:hAnsi="Arial" w:cs="Arial"/>
          <w:i/>
          <w:iCs/>
          <w:sz w:val="24"/>
          <w:szCs w:val="24"/>
        </w:rPr>
        <w:t>Knowledge’</w:t>
      </w:r>
      <w:r w:rsidR="001B58A9" w:rsidRPr="008E66D5">
        <w:rPr>
          <w:rFonts w:ascii="Arial" w:hAnsi="Arial" w:cs="Arial"/>
          <w:sz w:val="24"/>
          <w:szCs w:val="24"/>
        </w:rPr>
        <w:t xml:space="preserve"> (</w:t>
      </w:r>
      <w:r w:rsidR="00A13B1C" w:rsidRPr="008E66D5">
        <w:rPr>
          <w:rFonts w:ascii="Arial" w:hAnsi="Arial" w:cs="Arial"/>
          <w:sz w:val="24"/>
          <w:szCs w:val="24"/>
        </w:rPr>
        <w:t>seven</w:t>
      </w:r>
      <w:r w:rsidR="001B58A9" w:rsidRPr="008E66D5">
        <w:rPr>
          <w:rFonts w:ascii="Arial" w:hAnsi="Arial" w:cs="Arial"/>
          <w:sz w:val="24"/>
          <w:szCs w:val="24"/>
        </w:rPr>
        <w:t xml:space="preserve"> occurrences, 40% - 100%), and </w:t>
      </w:r>
      <w:r w:rsidR="001B58A9" w:rsidRPr="008E66D5">
        <w:rPr>
          <w:rFonts w:ascii="Arial" w:hAnsi="Arial" w:cs="Arial"/>
          <w:i/>
          <w:iCs/>
          <w:sz w:val="24"/>
          <w:szCs w:val="24"/>
        </w:rPr>
        <w:t>‘Social/professional role and identity’</w:t>
      </w:r>
      <w:r w:rsidR="001B58A9" w:rsidRPr="008E66D5">
        <w:rPr>
          <w:rFonts w:ascii="Arial" w:hAnsi="Arial" w:cs="Arial"/>
          <w:sz w:val="24"/>
          <w:szCs w:val="24"/>
        </w:rPr>
        <w:t xml:space="preserve"> (</w:t>
      </w:r>
      <w:r w:rsidR="00A13B1C" w:rsidRPr="008E66D5">
        <w:rPr>
          <w:rFonts w:ascii="Arial" w:hAnsi="Arial" w:cs="Arial"/>
          <w:sz w:val="24"/>
          <w:szCs w:val="24"/>
        </w:rPr>
        <w:t>seven</w:t>
      </w:r>
      <w:r w:rsidR="001B58A9" w:rsidRPr="008E66D5">
        <w:rPr>
          <w:rFonts w:ascii="Arial" w:hAnsi="Arial" w:cs="Arial"/>
          <w:sz w:val="24"/>
          <w:szCs w:val="24"/>
        </w:rPr>
        <w:t xml:space="preserve"> occurrences, 40% - 60%).</w:t>
      </w:r>
      <w:r w:rsidR="00561684" w:rsidRPr="008E66D5">
        <w:rPr>
          <w:rFonts w:ascii="Arial" w:hAnsi="Arial" w:cs="Arial"/>
          <w:sz w:val="24"/>
          <w:szCs w:val="24"/>
        </w:rPr>
        <w:t xml:space="preserve"> </w:t>
      </w:r>
      <w:r w:rsidRPr="008E66D5">
        <w:rPr>
          <w:rFonts w:ascii="Arial" w:hAnsi="Arial" w:cs="Arial"/>
          <w:i/>
          <w:iCs/>
          <w:sz w:val="24"/>
          <w:szCs w:val="24"/>
        </w:rPr>
        <w:t>‘Skills’</w:t>
      </w:r>
      <w:r w:rsidRPr="008E66D5">
        <w:rPr>
          <w:rFonts w:ascii="Arial" w:hAnsi="Arial" w:cs="Arial"/>
          <w:sz w:val="24"/>
          <w:szCs w:val="24"/>
        </w:rPr>
        <w:t xml:space="preserve"> (90%)</w:t>
      </w:r>
      <w:r w:rsidR="00A13B1C" w:rsidRPr="008E66D5">
        <w:rPr>
          <w:rFonts w:ascii="Arial" w:hAnsi="Arial" w:cs="Arial"/>
          <w:sz w:val="24"/>
          <w:szCs w:val="24"/>
        </w:rPr>
        <w:t xml:space="preserve"> </w:t>
      </w:r>
      <w:r w:rsidR="001D05F2" w:rsidRPr="008E66D5">
        <w:rPr>
          <w:rFonts w:ascii="Arial" w:hAnsi="Arial" w:cs="Arial"/>
          <w:sz w:val="24"/>
          <w:szCs w:val="24"/>
        </w:rPr>
        <w:t xml:space="preserve">(Table </w:t>
      </w:r>
      <w:r w:rsidR="00844328">
        <w:rPr>
          <w:rFonts w:ascii="Arial" w:hAnsi="Arial" w:cs="Arial"/>
          <w:sz w:val="24"/>
          <w:szCs w:val="24"/>
        </w:rPr>
        <w:t>1</w:t>
      </w:r>
      <w:r w:rsidRPr="008E66D5">
        <w:rPr>
          <w:rFonts w:ascii="Arial" w:hAnsi="Arial" w:cs="Arial"/>
          <w:sz w:val="24"/>
          <w:szCs w:val="24"/>
        </w:rPr>
        <w:t>, Figure 1</w:t>
      </w:r>
      <w:r w:rsidR="001D05F2" w:rsidRPr="008E66D5">
        <w:rPr>
          <w:rFonts w:ascii="Arial" w:hAnsi="Arial" w:cs="Arial"/>
          <w:sz w:val="24"/>
          <w:szCs w:val="24"/>
        </w:rPr>
        <w:t>).</w:t>
      </w:r>
      <w:r w:rsidR="001B58A9" w:rsidRPr="008E66D5">
        <w:rPr>
          <w:rFonts w:ascii="Arial" w:hAnsi="Arial" w:cs="Arial"/>
          <w:sz w:val="24"/>
          <w:szCs w:val="24"/>
        </w:rPr>
        <w:t xml:space="preserve"> Other domains with notable alignment included </w:t>
      </w:r>
      <w:r w:rsidR="00953B82" w:rsidRPr="008E66D5">
        <w:rPr>
          <w:rFonts w:ascii="Arial" w:hAnsi="Arial" w:cs="Arial"/>
          <w:i/>
          <w:iCs/>
          <w:sz w:val="24"/>
          <w:szCs w:val="24"/>
        </w:rPr>
        <w:t>‘Social influences’</w:t>
      </w:r>
      <w:r w:rsidR="00953B82" w:rsidRPr="008E66D5">
        <w:rPr>
          <w:rFonts w:ascii="Arial" w:hAnsi="Arial" w:cs="Arial"/>
          <w:sz w:val="24"/>
          <w:szCs w:val="24"/>
        </w:rPr>
        <w:t xml:space="preserve"> (four occurrences, 40% - 60%), </w:t>
      </w:r>
      <w:r w:rsidR="001B58A9" w:rsidRPr="008E66D5">
        <w:rPr>
          <w:rFonts w:ascii="Arial" w:hAnsi="Arial" w:cs="Arial"/>
          <w:i/>
          <w:iCs/>
          <w:sz w:val="24"/>
          <w:szCs w:val="24"/>
        </w:rPr>
        <w:t>‘Beliefs about capabilities’</w:t>
      </w:r>
      <w:r w:rsidR="001B58A9" w:rsidRPr="008E66D5">
        <w:rPr>
          <w:rFonts w:ascii="Arial" w:hAnsi="Arial" w:cs="Arial"/>
          <w:sz w:val="24"/>
          <w:szCs w:val="24"/>
        </w:rPr>
        <w:t xml:space="preserve"> (</w:t>
      </w:r>
      <w:r w:rsidR="00A13B1C" w:rsidRPr="008E66D5">
        <w:rPr>
          <w:rFonts w:ascii="Arial" w:hAnsi="Arial" w:cs="Arial"/>
          <w:sz w:val="24"/>
          <w:szCs w:val="24"/>
        </w:rPr>
        <w:t>three</w:t>
      </w:r>
      <w:r w:rsidR="001B58A9" w:rsidRPr="008E66D5">
        <w:rPr>
          <w:rFonts w:ascii="Arial" w:hAnsi="Arial" w:cs="Arial"/>
          <w:sz w:val="24"/>
          <w:szCs w:val="24"/>
        </w:rPr>
        <w:t xml:space="preserve"> occurrences, 40% - 50%), </w:t>
      </w:r>
      <w:r w:rsidR="00953B82" w:rsidRPr="008E66D5">
        <w:rPr>
          <w:rFonts w:ascii="Arial" w:hAnsi="Arial" w:cs="Arial"/>
          <w:i/>
          <w:iCs/>
          <w:sz w:val="24"/>
          <w:szCs w:val="24"/>
        </w:rPr>
        <w:t>‘Beliefs about consequences’</w:t>
      </w:r>
      <w:r w:rsidR="00953B82" w:rsidRPr="008E66D5">
        <w:rPr>
          <w:rFonts w:ascii="Arial" w:hAnsi="Arial" w:cs="Arial"/>
          <w:sz w:val="24"/>
          <w:szCs w:val="24"/>
        </w:rPr>
        <w:t xml:space="preserve"> (three occurrences, 40% - 60%), </w:t>
      </w:r>
      <w:r w:rsidR="001B58A9" w:rsidRPr="008E66D5">
        <w:rPr>
          <w:rFonts w:ascii="Arial" w:hAnsi="Arial" w:cs="Arial"/>
          <w:sz w:val="24"/>
          <w:szCs w:val="24"/>
        </w:rPr>
        <w:t>and ‘</w:t>
      </w:r>
      <w:r w:rsidR="001B58A9" w:rsidRPr="008E66D5">
        <w:rPr>
          <w:rFonts w:ascii="Arial" w:hAnsi="Arial" w:cs="Arial"/>
          <w:i/>
          <w:iCs/>
          <w:sz w:val="24"/>
          <w:szCs w:val="24"/>
        </w:rPr>
        <w:t>Skills’</w:t>
      </w:r>
      <w:r w:rsidR="001B58A9" w:rsidRPr="008E66D5">
        <w:rPr>
          <w:rFonts w:ascii="Arial" w:hAnsi="Arial" w:cs="Arial"/>
          <w:sz w:val="24"/>
          <w:szCs w:val="24"/>
        </w:rPr>
        <w:t xml:space="preserve"> (one occurrence, 90%). </w:t>
      </w:r>
      <w:r w:rsidRPr="008E66D5">
        <w:rPr>
          <w:rFonts w:ascii="Arial" w:hAnsi="Arial" w:cs="Arial"/>
          <w:i/>
          <w:iCs/>
          <w:sz w:val="24"/>
          <w:szCs w:val="24"/>
        </w:rPr>
        <w:t>‘Reinforcement’</w:t>
      </w:r>
      <w:r w:rsidRPr="008E66D5">
        <w:rPr>
          <w:rFonts w:ascii="Arial" w:hAnsi="Arial" w:cs="Arial"/>
          <w:sz w:val="24"/>
          <w:szCs w:val="24"/>
        </w:rPr>
        <w:t xml:space="preserve"> (</w:t>
      </w:r>
      <w:r w:rsidR="00953B82" w:rsidRPr="008E66D5">
        <w:rPr>
          <w:rFonts w:ascii="Arial" w:hAnsi="Arial" w:cs="Arial"/>
          <w:sz w:val="24"/>
          <w:szCs w:val="24"/>
        </w:rPr>
        <w:t xml:space="preserve">one occurrence, </w:t>
      </w:r>
      <w:r w:rsidRPr="008E66D5">
        <w:rPr>
          <w:rFonts w:ascii="Arial" w:hAnsi="Arial" w:cs="Arial"/>
          <w:sz w:val="24"/>
          <w:szCs w:val="24"/>
        </w:rPr>
        <w:t xml:space="preserve">50%) appeared less frequently. </w:t>
      </w:r>
      <w:r w:rsidR="004D0A48" w:rsidRPr="008E66D5">
        <w:rPr>
          <w:rFonts w:ascii="Arial" w:hAnsi="Arial" w:cs="Arial"/>
          <w:sz w:val="24"/>
          <w:szCs w:val="24"/>
        </w:rPr>
        <w:t>D</w:t>
      </w:r>
      <w:r w:rsidRPr="008E66D5">
        <w:rPr>
          <w:rFonts w:ascii="Arial" w:hAnsi="Arial" w:cs="Arial"/>
          <w:sz w:val="24"/>
          <w:szCs w:val="24"/>
        </w:rPr>
        <w:t xml:space="preserve">omains such as </w:t>
      </w:r>
      <w:r w:rsidR="00BE1B2F" w:rsidRPr="008E66D5">
        <w:rPr>
          <w:rFonts w:ascii="Arial" w:hAnsi="Arial" w:cs="Arial"/>
          <w:i/>
          <w:iCs/>
          <w:sz w:val="24"/>
          <w:szCs w:val="24"/>
        </w:rPr>
        <w:t>‘Optimism’, ‘Intentions’, ‘Goals’,</w:t>
      </w:r>
      <w:r w:rsidR="00BE1B2F" w:rsidRPr="008E66D5">
        <w:rPr>
          <w:rFonts w:ascii="Arial" w:hAnsi="Arial" w:cs="Arial"/>
          <w:sz w:val="24"/>
          <w:szCs w:val="24"/>
        </w:rPr>
        <w:t xml:space="preserve"> </w:t>
      </w:r>
      <w:r w:rsidR="00BE1B2F" w:rsidRPr="008E66D5">
        <w:rPr>
          <w:rFonts w:ascii="Arial" w:hAnsi="Arial" w:cs="Arial"/>
          <w:i/>
          <w:iCs/>
          <w:sz w:val="24"/>
          <w:szCs w:val="24"/>
        </w:rPr>
        <w:t>‘Memory, attention and decision processes’,</w:t>
      </w:r>
      <w:r w:rsidR="00BE1B2F" w:rsidRPr="008E66D5">
        <w:rPr>
          <w:rFonts w:ascii="Arial" w:hAnsi="Arial" w:cs="Arial"/>
          <w:b/>
          <w:bCs/>
          <w:i/>
          <w:iCs/>
          <w:sz w:val="24"/>
          <w:szCs w:val="24"/>
        </w:rPr>
        <w:t xml:space="preserve"> </w:t>
      </w:r>
      <w:r w:rsidR="00BE1B2F" w:rsidRPr="008E66D5">
        <w:rPr>
          <w:rFonts w:ascii="Arial" w:hAnsi="Arial" w:cs="Arial"/>
          <w:i/>
          <w:iCs/>
          <w:sz w:val="24"/>
          <w:szCs w:val="24"/>
        </w:rPr>
        <w:t xml:space="preserve">‘Emotion’, </w:t>
      </w:r>
      <w:r w:rsidRPr="008E66D5">
        <w:rPr>
          <w:rFonts w:ascii="Arial" w:hAnsi="Arial" w:cs="Arial"/>
          <w:sz w:val="24"/>
          <w:szCs w:val="24"/>
        </w:rPr>
        <w:t xml:space="preserve">and </w:t>
      </w:r>
      <w:r w:rsidRPr="008E66D5">
        <w:rPr>
          <w:rFonts w:ascii="Arial" w:hAnsi="Arial" w:cs="Arial"/>
          <w:i/>
          <w:iCs/>
          <w:sz w:val="24"/>
          <w:szCs w:val="24"/>
        </w:rPr>
        <w:t>‘Behaviour regulation’</w:t>
      </w:r>
      <w:r w:rsidR="004D0A48" w:rsidRPr="008E66D5">
        <w:rPr>
          <w:rFonts w:ascii="Arial" w:hAnsi="Arial" w:cs="Arial"/>
          <w:i/>
          <w:iCs/>
          <w:sz w:val="24"/>
          <w:szCs w:val="24"/>
        </w:rPr>
        <w:t xml:space="preserve"> </w:t>
      </w:r>
      <w:r w:rsidR="004D0A48" w:rsidRPr="008E66D5">
        <w:rPr>
          <w:rFonts w:ascii="Arial" w:hAnsi="Arial" w:cs="Arial"/>
          <w:sz w:val="24"/>
          <w:szCs w:val="24"/>
        </w:rPr>
        <w:t>were notably absent</w:t>
      </w:r>
      <w:r w:rsidRPr="008E66D5">
        <w:rPr>
          <w:rFonts w:ascii="Arial" w:hAnsi="Arial" w:cs="Arial"/>
          <w:sz w:val="24"/>
          <w:szCs w:val="24"/>
        </w:rPr>
        <w:t>.</w:t>
      </w:r>
    </w:p>
    <w:bookmarkEnd w:id="5"/>
    <w:p w14:paraId="303A4F75" w14:textId="77777777" w:rsidR="008E66D5" w:rsidRDefault="008E66D5" w:rsidP="00D73116">
      <w:pPr>
        <w:spacing w:before="160" w:line="276" w:lineRule="auto"/>
        <w:rPr>
          <w:rFonts w:ascii="Arial" w:hAnsi="Arial" w:cs="Arial"/>
          <w:b/>
          <w:bCs/>
          <w:sz w:val="28"/>
          <w:szCs w:val="28"/>
        </w:rPr>
      </w:pPr>
    </w:p>
    <w:p w14:paraId="2A2BA9ED" w14:textId="07AA6D93" w:rsidR="00F92BBA" w:rsidRPr="008E66D5" w:rsidRDefault="00F92BBA" w:rsidP="00D73116">
      <w:pPr>
        <w:spacing w:before="160" w:line="276" w:lineRule="auto"/>
        <w:rPr>
          <w:rFonts w:ascii="Arial" w:hAnsi="Arial" w:cs="Arial"/>
          <w:b/>
          <w:bCs/>
          <w:sz w:val="28"/>
          <w:szCs w:val="28"/>
        </w:rPr>
      </w:pPr>
      <w:r w:rsidRPr="008E66D5">
        <w:rPr>
          <w:rFonts w:ascii="Arial" w:hAnsi="Arial" w:cs="Arial"/>
          <w:b/>
          <w:bCs/>
          <w:sz w:val="28"/>
          <w:szCs w:val="28"/>
        </w:rPr>
        <w:lastRenderedPageBreak/>
        <w:t>Discussion</w:t>
      </w:r>
    </w:p>
    <w:p w14:paraId="6822AEDB" w14:textId="470DB3FC" w:rsidR="00F92BBA" w:rsidRPr="008E66D5" w:rsidRDefault="00F92BBA" w:rsidP="00D73116">
      <w:pPr>
        <w:spacing w:before="160" w:line="276" w:lineRule="auto"/>
        <w:rPr>
          <w:rFonts w:ascii="Arial" w:hAnsi="Arial" w:cs="Arial"/>
          <w:sz w:val="26"/>
          <w:szCs w:val="26"/>
        </w:rPr>
      </w:pPr>
      <w:r w:rsidRPr="008E66D5">
        <w:rPr>
          <w:rFonts w:ascii="Arial" w:hAnsi="Arial" w:cs="Arial"/>
          <w:sz w:val="26"/>
          <w:szCs w:val="26"/>
        </w:rPr>
        <w:t>Summary of findings</w:t>
      </w:r>
    </w:p>
    <w:p w14:paraId="162422E8" w14:textId="739EA361" w:rsidR="0074452C" w:rsidRPr="008E66D5" w:rsidRDefault="739C421B" w:rsidP="00DE191E">
      <w:pPr>
        <w:spacing w:before="160" w:line="276" w:lineRule="auto"/>
        <w:rPr>
          <w:rFonts w:ascii="Arial" w:hAnsi="Arial" w:cs="Arial"/>
          <w:sz w:val="24"/>
          <w:szCs w:val="24"/>
        </w:rPr>
      </w:pPr>
      <w:r w:rsidRPr="008E66D5">
        <w:rPr>
          <w:rFonts w:ascii="Arial" w:hAnsi="Arial" w:cs="Arial"/>
          <w:sz w:val="24"/>
          <w:szCs w:val="24"/>
        </w:rPr>
        <w:t xml:space="preserve">The </w:t>
      </w:r>
      <w:r w:rsidR="4D57D427" w:rsidRPr="008E66D5">
        <w:rPr>
          <w:rFonts w:ascii="Arial" w:hAnsi="Arial" w:cs="Arial"/>
          <w:sz w:val="24"/>
          <w:szCs w:val="24"/>
        </w:rPr>
        <w:t>findings suggest that</w:t>
      </w:r>
      <w:r w:rsidRPr="008E66D5">
        <w:rPr>
          <w:rFonts w:ascii="Arial" w:hAnsi="Arial" w:cs="Arial"/>
          <w:sz w:val="24"/>
          <w:szCs w:val="24"/>
        </w:rPr>
        <w:t xml:space="preserve"> the </w:t>
      </w:r>
      <w:r w:rsidR="0F1C1639" w:rsidRPr="008E66D5">
        <w:rPr>
          <w:rFonts w:ascii="Arial" w:hAnsi="Arial" w:cs="Arial"/>
          <w:sz w:val="24"/>
          <w:szCs w:val="24"/>
        </w:rPr>
        <w:t>NPT and TDF</w:t>
      </w:r>
      <w:r w:rsidRPr="008E66D5">
        <w:rPr>
          <w:rFonts w:ascii="Arial" w:hAnsi="Arial" w:cs="Arial"/>
          <w:sz w:val="24"/>
          <w:szCs w:val="24"/>
        </w:rPr>
        <w:t xml:space="preserve"> </w:t>
      </w:r>
      <w:r w:rsidR="4D57D427" w:rsidRPr="008E66D5">
        <w:rPr>
          <w:rFonts w:ascii="Arial" w:hAnsi="Arial" w:cs="Arial"/>
          <w:sz w:val="24"/>
          <w:szCs w:val="24"/>
        </w:rPr>
        <w:t xml:space="preserve">frameworks </w:t>
      </w:r>
      <w:r w:rsidR="003E79C5" w:rsidRPr="008E66D5">
        <w:rPr>
          <w:rFonts w:ascii="Arial" w:hAnsi="Arial" w:cs="Arial"/>
          <w:sz w:val="24"/>
          <w:szCs w:val="24"/>
        </w:rPr>
        <w:t xml:space="preserve">are broadly applicable for </w:t>
      </w:r>
      <w:r w:rsidR="009A6F9C" w:rsidRPr="008E66D5">
        <w:rPr>
          <w:rFonts w:ascii="Arial" w:hAnsi="Arial" w:cs="Arial"/>
          <w:sz w:val="24"/>
          <w:szCs w:val="24"/>
        </w:rPr>
        <w:t xml:space="preserve">understanding </w:t>
      </w:r>
      <w:r w:rsidR="4D57D427" w:rsidRPr="008E66D5">
        <w:rPr>
          <w:rFonts w:ascii="Arial" w:hAnsi="Arial" w:cs="Arial"/>
          <w:sz w:val="24"/>
          <w:szCs w:val="24"/>
        </w:rPr>
        <w:t xml:space="preserve">factors influencing </w:t>
      </w:r>
      <w:r w:rsidRPr="008E66D5">
        <w:rPr>
          <w:rFonts w:ascii="Arial" w:hAnsi="Arial" w:cs="Arial"/>
          <w:sz w:val="24"/>
          <w:szCs w:val="24"/>
        </w:rPr>
        <w:t>decarbonisation in general practice.</w:t>
      </w:r>
      <w:r w:rsidR="4D57D427" w:rsidRPr="008E66D5">
        <w:rPr>
          <w:rFonts w:ascii="Arial" w:hAnsi="Arial" w:cs="Arial"/>
          <w:sz w:val="24"/>
          <w:szCs w:val="24"/>
        </w:rPr>
        <w:t xml:space="preserve"> </w:t>
      </w:r>
      <w:r w:rsidR="00DE191E" w:rsidRPr="008E66D5">
        <w:rPr>
          <w:rFonts w:ascii="Arial" w:hAnsi="Arial" w:cs="Arial"/>
          <w:sz w:val="24"/>
          <w:szCs w:val="24"/>
        </w:rPr>
        <w:t>The coders’ interpretations of these frameworks aligned well with the key factors identified in the literature review, suggesting that the respective elements of NPT and TDF are relevant for this context. This reinforces the academic and practical value of using these frameworks to structure analysis of decarboni</w:t>
      </w:r>
      <w:r w:rsidR="00774D63" w:rsidRPr="008E66D5">
        <w:rPr>
          <w:rFonts w:ascii="Arial" w:hAnsi="Arial" w:cs="Arial"/>
          <w:sz w:val="24"/>
          <w:szCs w:val="24"/>
        </w:rPr>
        <w:t>s</w:t>
      </w:r>
      <w:r w:rsidR="00DE191E" w:rsidRPr="008E66D5">
        <w:rPr>
          <w:rFonts w:ascii="Arial" w:hAnsi="Arial" w:cs="Arial"/>
          <w:sz w:val="24"/>
          <w:szCs w:val="24"/>
        </w:rPr>
        <w:t>ation efforts rather than rejecting them as incomplete or unsuitable. Intercoder reliability rates (IRR = 73% for NPR and IRR = 84% for TDF) indicate substantial agreement, supporting the consistency of the mapping exercise and demonstrating the frameworks</w:t>
      </w:r>
      <w:r w:rsidR="00FF075B">
        <w:rPr>
          <w:rFonts w:ascii="Arial" w:hAnsi="Arial" w:cs="Arial"/>
          <w:sz w:val="24"/>
          <w:szCs w:val="24"/>
        </w:rPr>
        <w:t>’ r</w:t>
      </w:r>
      <w:r w:rsidR="00DE191E" w:rsidRPr="008E66D5">
        <w:rPr>
          <w:rFonts w:ascii="Arial" w:hAnsi="Arial" w:cs="Arial"/>
          <w:sz w:val="24"/>
          <w:szCs w:val="24"/>
        </w:rPr>
        <w:t>obustness in capturing the systemic, organisational, and individual level factors driving decarbonisation.</w:t>
      </w:r>
    </w:p>
    <w:p w14:paraId="17AEB0BF" w14:textId="3FF76B36" w:rsidR="00DE191E" w:rsidRPr="008E66D5" w:rsidRDefault="00DE191E" w:rsidP="00DE191E">
      <w:pPr>
        <w:spacing w:before="160" w:line="276" w:lineRule="auto"/>
        <w:rPr>
          <w:rFonts w:ascii="Arial" w:hAnsi="Arial" w:cs="Arial"/>
          <w:sz w:val="24"/>
          <w:szCs w:val="24"/>
        </w:rPr>
      </w:pPr>
      <w:r w:rsidRPr="008E66D5">
        <w:rPr>
          <w:rFonts w:ascii="Arial" w:hAnsi="Arial" w:cs="Arial"/>
          <w:sz w:val="24"/>
          <w:szCs w:val="24"/>
        </w:rPr>
        <w:t xml:space="preserve">Coders achieved strong agreement in their interpretation of systemic and external drivers such as financial incentives and policy support, which aligns with the NPT construct of </w:t>
      </w:r>
      <w:r w:rsidRPr="008E66D5">
        <w:rPr>
          <w:rFonts w:ascii="Arial" w:hAnsi="Arial" w:cs="Arial"/>
          <w:i/>
          <w:iCs/>
          <w:sz w:val="24"/>
          <w:szCs w:val="24"/>
        </w:rPr>
        <w:t>‘Collective action’</w:t>
      </w:r>
      <w:r w:rsidRPr="008E66D5">
        <w:rPr>
          <w:rFonts w:ascii="Arial" w:hAnsi="Arial" w:cs="Arial"/>
          <w:sz w:val="24"/>
          <w:szCs w:val="24"/>
        </w:rPr>
        <w:t xml:space="preserve"> and the TDF domain of </w:t>
      </w:r>
      <w:r w:rsidRPr="008E66D5">
        <w:rPr>
          <w:rFonts w:ascii="Arial" w:hAnsi="Arial" w:cs="Arial"/>
          <w:i/>
          <w:iCs/>
          <w:sz w:val="24"/>
          <w:szCs w:val="24"/>
        </w:rPr>
        <w:t>‘Environmental context and resources’</w:t>
      </w:r>
      <w:r w:rsidRPr="008E66D5">
        <w:rPr>
          <w:rFonts w:ascii="Arial" w:hAnsi="Arial" w:cs="Arial"/>
          <w:sz w:val="24"/>
          <w:szCs w:val="24"/>
        </w:rPr>
        <w:t xml:space="preserve">. Similarly, frameworks and declarations such as the WONCA guidelines were mapped to </w:t>
      </w:r>
      <w:r w:rsidRPr="008E66D5">
        <w:rPr>
          <w:rFonts w:ascii="Arial" w:hAnsi="Arial" w:cs="Arial"/>
          <w:i/>
          <w:iCs/>
          <w:sz w:val="24"/>
          <w:szCs w:val="24"/>
        </w:rPr>
        <w:t>‘Coherence’</w:t>
      </w:r>
      <w:r w:rsidRPr="008E66D5">
        <w:rPr>
          <w:rFonts w:ascii="Arial" w:hAnsi="Arial" w:cs="Arial"/>
          <w:sz w:val="24"/>
          <w:szCs w:val="24"/>
        </w:rPr>
        <w:t xml:space="preserve"> and </w:t>
      </w:r>
      <w:r w:rsidRPr="008E66D5">
        <w:rPr>
          <w:rFonts w:ascii="Arial" w:hAnsi="Arial" w:cs="Arial"/>
          <w:i/>
          <w:iCs/>
          <w:sz w:val="24"/>
          <w:szCs w:val="24"/>
        </w:rPr>
        <w:t>‘Collective action’</w:t>
      </w:r>
      <w:r w:rsidRPr="008E66D5">
        <w:rPr>
          <w:rFonts w:ascii="Arial" w:hAnsi="Arial" w:cs="Arial"/>
          <w:sz w:val="24"/>
          <w:szCs w:val="24"/>
        </w:rPr>
        <w:t xml:space="preserve"> in NPT, and to </w:t>
      </w:r>
      <w:r w:rsidRPr="008E66D5">
        <w:rPr>
          <w:rFonts w:ascii="Arial" w:hAnsi="Arial" w:cs="Arial"/>
          <w:i/>
          <w:iCs/>
          <w:sz w:val="24"/>
          <w:szCs w:val="24"/>
        </w:rPr>
        <w:t xml:space="preserve">‘Environmental context and </w:t>
      </w:r>
      <w:proofErr w:type="gramStart"/>
      <w:r w:rsidRPr="008E66D5">
        <w:rPr>
          <w:rFonts w:ascii="Arial" w:hAnsi="Arial" w:cs="Arial"/>
          <w:i/>
          <w:iCs/>
          <w:sz w:val="24"/>
          <w:szCs w:val="24"/>
        </w:rPr>
        <w:t>resources’</w:t>
      </w:r>
      <w:proofErr w:type="gramEnd"/>
      <w:r w:rsidRPr="008E66D5">
        <w:rPr>
          <w:rFonts w:ascii="Arial" w:hAnsi="Arial" w:cs="Arial"/>
          <w:sz w:val="24"/>
          <w:szCs w:val="24"/>
        </w:rPr>
        <w:t xml:space="preserve"> and </w:t>
      </w:r>
      <w:r w:rsidRPr="008E66D5">
        <w:rPr>
          <w:rFonts w:ascii="Arial" w:hAnsi="Arial" w:cs="Arial"/>
          <w:i/>
          <w:iCs/>
          <w:sz w:val="24"/>
          <w:szCs w:val="24"/>
        </w:rPr>
        <w:t>‘Knowledge’</w:t>
      </w:r>
      <w:r w:rsidRPr="008E66D5">
        <w:rPr>
          <w:rFonts w:ascii="Arial" w:hAnsi="Arial" w:cs="Arial"/>
          <w:sz w:val="24"/>
          <w:szCs w:val="24"/>
        </w:rPr>
        <w:t xml:space="preserve"> in TDF, further demonstrating consistency in how coders applied these constructs to practical examples.</w:t>
      </w:r>
    </w:p>
    <w:p w14:paraId="4806900D" w14:textId="36903A0B" w:rsidR="00DE191E" w:rsidRPr="008E66D5" w:rsidRDefault="003373C0" w:rsidP="00DE191E">
      <w:pPr>
        <w:spacing w:before="160" w:line="276" w:lineRule="auto"/>
        <w:rPr>
          <w:rFonts w:ascii="Arial" w:hAnsi="Arial" w:cs="Arial"/>
          <w:sz w:val="24"/>
          <w:szCs w:val="24"/>
        </w:rPr>
      </w:pPr>
      <w:r w:rsidRPr="008E66D5">
        <w:rPr>
          <w:rFonts w:ascii="Arial" w:hAnsi="Arial" w:cs="Arial"/>
          <w:sz w:val="24"/>
          <w:szCs w:val="24"/>
        </w:rPr>
        <w:t xml:space="preserve">However, greater variability emerged for factors with more subjective or contextual dimensions, such as personal environmental consciousness, which was mapped to </w:t>
      </w:r>
      <w:r w:rsidR="00D01B10" w:rsidRPr="008E66D5">
        <w:rPr>
          <w:rFonts w:ascii="Arial" w:hAnsi="Arial" w:cs="Arial"/>
          <w:i/>
          <w:iCs/>
          <w:sz w:val="24"/>
          <w:szCs w:val="24"/>
        </w:rPr>
        <w:t>‘S</w:t>
      </w:r>
      <w:r w:rsidRPr="008E66D5">
        <w:rPr>
          <w:rFonts w:ascii="Arial" w:hAnsi="Arial" w:cs="Arial"/>
          <w:i/>
          <w:iCs/>
          <w:sz w:val="24"/>
          <w:szCs w:val="24"/>
        </w:rPr>
        <w:t>ocial/ professional role and identity</w:t>
      </w:r>
      <w:r w:rsidR="00D01B10" w:rsidRPr="008E66D5">
        <w:rPr>
          <w:rFonts w:ascii="Arial" w:hAnsi="Arial" w:cs="Arial"/>
          <w:i/>
          <w:iCs/>
          <w:sz w:val="24"/>
          <w:szCs w:val="24"/>
        </w:rPr>
        <w:t>’</w:t>
      </w:r>
      <w:r w:rsidRPr="008E66D5">
        <w:rPr>
          <w:rFonts w:ascii="Arial" w:hAnsi="Arial" w:cs="Arial"/>
          <w:sz w:val="24"/>
          <w:szCs w:val="24"/>
        </w:rPr>
        <w:t xml:space="preserve"> in TDF. Similarly, individual and community engagement factors, such as variation in clinicians</w:t>
      </w:r>
      <w:r w:rsidR="00D01B10" w:rsidRPr="008E66D5">
        <w:rPr>
          <w:rFonts w:ascii="Arial" w:hAnsi="Arial" w:cs="Arial"/>
          <w:sz w:val="24"/>
          <w:szCs w:val="24"/>
        </w:rPr>
        <w:t>’</w:t>
      </w:r>
      <w:r w:rsidRPr="008E66D5">
        <w:rPr>
          <w:rFonts w:ascii="Arial" w:hAnsi="Arial" w:cs="Arial"/>
          <w:sz w:val="24"/>
          <w:szCs w:val="24"/>
        </w:rPr>
        <w:t xml:space="preserve"> awareness or patients</w:t>
      </w:r>
      <w:r w:rsidR="00D01B10" w:rsidRPr="008E66D5">
        <w:rPr>
          <w:rFonts w:ascii="Arial" w:hAnsi="Arial" w:cs="Arial"/>
          <w:sz w:val="24"/>
          <w:szCs w:val="24"/>
        </w:rPr>
        <w:t>’</w:t>
      </w:r>
      <w:r w:rsidRPr="008E66D5">
        <w:rPr>
          <w:rFonts w:ascii="Arial" w:hAnsi="Arial" w:cs="Arial"/>
          <w:sz w:val="24"/>
          <w:szCs w:val="24"/>
        </w:rPr>
        <w:t xml:space="preserve"> reliance on non</w:t>
      </w:r>
      <w:r w:rsidR="00D01B10" w:rsidRPr="008E66D5">
        <w:rPr>
          <w:rFonts w:ascii="Arial" w:hAnsi="Arial" w:cs="Arial"/>
          <w:sz w:val="24"/>
          <w:szCs w:val="24"/>
        </w:rPr>
        <w:t>-</w:t>
      </w:r>
      <w:r w:rsidRPr="008E66D5">
        <w:rPr>
          <w:rFonts w:ascii="Arial" w:hAnsi="Arial" w:cs="Arial"/>
          <w:sz w:val="24"/>
          <w:szCs w:val="24"/>
        </w:rPr>
        <w:t xml:space="preserve">medical information sources, showed inconsistent mappings to constructs such as </w:t>
      </w:r>
      <w:r w:rsidR="00D01B10" w:rsidRPr="008E66D5">
        <w:rPr>
          <w:rFonts w:ascii="Arial" w:hAnsi="Arial" w:cs="Arial"/>
          <w:i/>
          <w:iCs/>
          <w:sz w:val="24"/>
          <w:szCs w:val="24"/>
        </w:rPr>
        <w:t>‘C</w:t>
      </w:r>
      <w:r w:rsidRPr="008E66D5">
        <w:rPr>
          <w:rFonts w:ascii="Arial" w:hAnsi="Arial" w:cs="Arial"/>
          <w:i/>
          <w:iCs/>
          <w:sz w:val="24"/>
          <w:szCs w:val="24"/>
        </w:rPr>
        <w:t>oherence</w:t>
      </w:r>
      <w:r w:rsidR="00D01B10" w:rsidRPr="008E66D5">
        <w:rPr>
          <w:rFonts w:ascii="Arial" w:hAnsi="Arial" w:cs="Arial"/>
          <w:i/>
          <w:iCs/>
          <w:sz w:val="24"/>
          <w:szCs w:val="24"/>
        </w:rPr>
        <w:t>’</w:t>
      </w:r>
      <w:r w:rsidRPr="008E66D5">
        <w:rPr>
          <w:rFonts w:ascii="Arial" w:hAnsi="Arial" w:cs="Arial"/>
          <w:sz w:val="24"/>
          <w:szCs w:val="24"/>
        </w:rPr>
        <w:t xml:space="preserve"> and </w:t>
      </w:r>
      <w:r w:rsidR="00D01B10" w:rsidRPr="008E66D5">
        <w:rPr>
          <w:rFonts w:ascii="Arial" w:hAnsi="Arial" w:cs="Arial"/>
          <w:i/>
          <w:iCs/>
          <w:sz w:val="24"/>
          <w:szCs w:val="24"/>
        </w:rPr>
        <w:t>‘C</w:t>
      </w:r>
      <w:r w:rsidRPr="008E66D5">
        <w:rPr>
          <w:rFonts w:ascii="Arial" w:hAnsi="Arial" w:cs="Arial"/>
          <w:i/>
          <w:iCs/>
          <w:sz w:val="24"/>
          <w:szCs w:val="24"/>
        </w:rPr>
        <w:t>ognitive participation</w:t>
      </w:r>
      <w:r w:rsidR="00D01B10" w:rsidRPr="008E66D5">
        <w:rPr>
          <w:rFonts w:ascii="Arial" w:hAnsi="Arial" w:cs="Arial"/>
          <w:i/>
          <w:iCs/>
          <w:sz w:val="24"/>
          <w:szCs w:val="24"/>
        </w:rPr>
        <w:t>’</w:t>
      </w:r>
      <w:r w:rsidRPr="008E66D5">
        <w:rPr>
          <w:rFonts w:ascii="Arial" w:hAnsi="Arial" w:cs="Arial"/>
          <w:sz w:val="24"/>
          <w:szCs w:val="24"/>
        </w:rPr>
        <w:t xml:space="preserve"> in </w:t>
      </w:r>
      <w:r w:rsidR="00D01B10" w:rsidRPr="008E66D5">
        <w:rPr>
          <w:rFonts w:ascii="Arial" w:hAnsi="Arial" w:cs="Arial"/>
          <w:sz w:val="24"/>
          <w:szCs w:val="24"/>
        </w:rPr>
        <w:t>N</w:t>
      </w:r>
      <w:r w:rsidRPr="008E66D5">
        <w:rPr>
          <w:rFonts w:ascii="Arial" w:hAnsi="Arial" w:cs="Arial"/>
          <w:sz w:val="24"/>
          <w:szCs w:val="24"/>
        </w:rPr>
        <w:t xml:space="preserve">PT and related TDF domains. This variability </w:t>
      </w:r>
      <w:r w:rsidR="00D01B10" w:rsidRPr="008E66D5">
        <w:rPr>
          <w:rFonts w:ascii="Arial" w:hAnsi="Arial" w:cs="Arial"/>
          <w:sz w:val="24"/>
          <w:szCs w:val="24"/>
        </w:rPr>
        <w:t>under</w:t>
      </w:r>
      <w:r w:rsidRPr="008E66D5">
        <w:rPr>
          <w:rFonts w:ascii="Arial" w:hAnsi="Arial" w:cs="Arial"/>
          <w:sz w:val="24"/>
          <w:szCs w:val="24"/>
        </w:rPr>
        <w:t xml:space="preserve">scores the challenges of uniformly interpreting subjective elements and highlights areas where further refinement or clarification of the frameworks </w:t>
      </w:r>
      <w:r w:rsidR="00FF075B">
        <w:rPr>
          <w:rFonts w:ascii="Arial" w:hAnsi="Arial" w:cs="Arial"/>
          <w:sz w:val="24"/>
          <w:szCs w:val="24"/>
        </w:rPr>
        <w:t xml:space="preserve">within the context of decarbonisation actions </w:t>
      </w:r>
      <w:r w:rsidRPr="008E66D5">
        <w:rPr>
          <w:rFonts w:ascii="Arial" w:hAnsi="Arial" w:cs="Arial"/>
          <w:sz w:val="24"/>
          <w:szCs w:val="24"/>
        </w:rPr>
        <w:t>may be needed to ensure consistency.</w:t>
      </w:r>
    </w:p>
    <w:p w14:paraId="76CB5C5A" w14:textId="65D3A2B4" w:rsidR="00D01B10" w:rsidRPr="008E66D5" w:rsidRDefault="00D01B10" w:rsidP="00DE191E">
      <w:pPr>
        <w:spacing w:before="160" w:line="276" w:lineRule="auto"/>
        <w:rPr>
          <w:rFonts w:ascii="Arial" w:hAnsi="Arial" w:cs="Arial"/>
          <w:sz w:val="24"/>
          <w:szCs w:val="24"/>
        </w:rPr>
      </w:pPr>
      <w:r w:rsidRPr="008E66D5">
        <w:rPr>
          <w:rFonts w:ascii="Arial" w:hAnsi="Arial" w:cs="Arial"/>
          <w:sz w:val="24"/>
          <w:szCs w:val="24"/>
        </w:rPr>
        <w:t xml:space="preserve">Moreover, there was high agreement that some constructs and domains did not map against any evidence, pointing to gaps in the literature. For example, </w:t>
      </w:r>
      <w:r w:rsidRPr="008E66D5">
        <w:rPr>
          <w:rFonts w:ascii="Arial" w:hAnsi="Arial" w:cs="Arial"/>
          <w:i/>
          <w:iCs/>
          <w:sz w:val="24"/>
          <w:szCs w:val="24"/>
        </w:rPr>
        <w:t>‘Reflexive monitoring’</w:t>
      </w:r>
      <w:r w:rsidRPr="008E66D5">
        <w:rPr>
          <w:rFonts w:ascii="Arial" w:hAnsi="Arial" w:cs="Arial"/>
          <w:sz w:val="24"/>
          <w:szCs w:val="24"/>
        </w:rPr>
        <w:t xml:space="preserve"> in NPT, along with </w:t>
      </w:r>
      <w:r w:rsidRPr="008E66D5">
        <w:rPr>
          <w:rFonts w:ascii="Arial" w:hAnsi="Arial" w:cs="Arial"/>
          <w:i/>
          <w:iCs/>
          <w:sz w:val="24"/>
          <w:szCs w:val="24"/>
        </w:rPr>
        <w:t>‘Emotion’</w:t>
      </w:r>
      <w:r w:rsidRPr="008E66D5">
        <w:rPr>
          <w:rFonts w:ascii="Arial" w:hAnsi="Arial" w:cs="Arial"/>
          <w:sz w:val="24"/>
          <w:szCs w:val="24"/>
        </w:rPr>
        <w:t xml:space="preserve">, </w:t>
      </w:r>
      <w:r w:rsidRPr="008E66D5">
        <w:rPr>
          <w:rFonts w:ascii="Arial" w:hAnsi="Arial" w:cs="Arial"/>
          <w:i/>
          <w:iCs/>
          <w:sz w:val="24"/>
          <w:szCs w:val="24"/>
        </w:rPr>
        <w:t>‘Behaviour regulation’</w:t>
      </w:r>
      <w:r w:rsidRPr="008E66D5">
        <w:rPr>
          <w:rFonts w:ascii="Arial" w:hAnsi="Arial" w:cs="Arial"/>
          <w:sz w:val="24"/>
          <w:szCs w:val="24"/>
        </w:rPr>
        <w:t xml:space="preserve">, and </w:t>
      </w:r>
      <w:r w:rsidRPr="008E66D5">
        <w:rPr>
          <w:rFonts w:ascii="Arial" w:hAnsi="Arial" w:cs="Arial"/>
          <w:i/>
          <w:iCs/>
          <w:sz w:val="24"/>
          <w:szCs w:val="24"/>
        </w:rPr>
        <w:t>‘Intentions’</w:t>
      </w:r>
      <w:r w:rsidRPr="008E66D5">
        <w:rPr>
          <w:rFonts w:ascii="Arial" w:hAnsi="Arial" w:cs="Arial"/>
          <w:sz w:val="24"/>
          <w:szCs w:val="24"/>
        </w:rPr>
        <w:t xml:space="preserve"> in TDF, were not associated with any factors from the review. This suggests an under representation of </w:t>
      </w:r>
      <w:r w:rsidR="00FF075B">
        <w:rPr>
          <w:rFonts w:ascii="Arial" w:hAnsi="Arial" w:cs="Arial"/>
          <w:sz w:val="24"/>
          <w:szCs w:val="24"/>
        </w:rPr>
        <w:t xml:space="preserve">the relevance of </w:t>
      </w:r>
      <w:r w:rsidRPr="008E66D5">
        <w:rPr>
          <w:rFonts w:ascii="Arial" w:hAnsi="Arial" w:cs="Arial"/>
          <w:sz w:val="24"/>
          <w:szCs w:val="24"/>
        </w:rPr>
        <w:t xml:space="preserve">iterative evaluation process, emotional and motivational drivers, and behavioural mechanisms in the evidence space. Addressing these gaps through future research could reveal overlooked barriers or facilitators, such as how trust, reflection, and emotional engagement influence the sustained adoption of decarbonisation practices in healthcare. Identifying why these constructs and domains remain unaddressed </w:t>
      </w:r>
      <w:r w:rsidR="00FF075B">
        <w:rPr>
          <w:rFonts w:ascii="Arial" w:hAnsi="Arial" w:cs="Arial"/>
          <w:sz w:val="24"/>
          <w:szCs w:val="24"/>
        </w:rPr>
        <w:t>may also</w:t>
      </w:r>
      <w:r w:rsidRPr="008E66D5">
        <w:rPr>
          <w:rFonts w:ascii="Arial" w:hAnsi="Arial" w:cs="Arial"/>
          <w:sz w:val="24"/>
          <w:szCs w:val="24"/>
        </w:rPr>
        <w:t xml:space="preserve"> help </w:t>
      </w:r>
      <w:r w:rsidR="00FF075B">
        <w:rPr>
          <w:rFonts w:ascii="Arial" w:hAnsi="Arial" w:cs="Arial"/>
          <w:sz w:val="24"/>
          <w:szCs w:val="24"/>
        </w:rPr>
        <w:t xml:space="preserve">to </w:t>
      </w:r>
      <w:r w:rsidRPr="008E66D5">
        <w:rPr>
          <w:rFonts w:ascii="Arial" w:hAnsi="Arial" w:cs="Arial"/>
          <w:sz w:val="24"/>
          <w:szCs w:val="24"/>
        </w:rPr>
        <w:t>refine both theoretical frameworks and practical interventions, ensuring a more comprehensive approach to fostering sustainable healthcare practises.</w:t>
      </w:r>
    </w:p>
    <w:p w14:paraId="7263F09C" w14:textId="19C15595" w:rsidR="00F92BBA" w:rsidRPr="008E66D5" w:rsidRDefault="00F92BBA" w:rsidP="00D73116">
      <w:pPr>
        <w:spacing w:before="160" w:line="276" w:lineRule="auto"/>
        <w:rPr>
          <w:rFonts w:ascii="Arial" w:hAnsi="Arial" w:cs="Arial"/>
          <w:sz w:val="26"/>
          <w:szCs w:val="26"/>
        </w:rPr>
      </w:pPr>
      <w:r w:rsidRPr="008E66D5">
        <w:rPr>
          <w:rFonts w:ascii="Arial" w:hAnsi="Arial" w:cs="Arial"/>
          <w:sz w:val="26"/>
          <w:szCs w:val="26"/>
        </w:rPr>
        <w:t>Strengths</w:t>
      </w:r>
    </w:p>
    <w:p w14:paraId="7F1293F1" w14:textId="2D3E7CF6" w:rsidR="00F92BBA" w:rsidRPr="008E66D5" w:rsidRDefault="0A6952F6" w:rsidP="00D73116">
      <w:pPr>
        <w:spacing w:before="160" w:line="276" w:lineRule="auto"/>
        <w:rPr>
          <w:rFonts w:ascii="Arial" w:hAnsi="Arial" w:cs="Arial"/>
          <w:sz w:val="24"/>
          <w:szCs w:val="24"/>
        </w:rPr>
      </w:pPr>
      <w:r w:rsidRPr="008E66D5">
        <w:rPr>
          <w:rFonts w:ascii="Arial" w:hAnsi="Arial" w:cs="Arial"/>
          <w:sz w:val="24"/>
          <w:szCs w:val="24"/>
        </w:rPr>
        <w:lastRenderedPageBreak/>
        <w:t xml:space="preserve">This study </w:t>
      </w:r>
      <w:r w:rsidR="66D8B6F5" w:rsidRPr="008E66D5">
        <w:rPr>
          <w:rFonts w:ascii="Arial" w:hAnsi="Arial" w:cs="Arial"/>
          <w:sz w:val="24"/>
          <w:szCs w:val="24"/>
        </w:rPr>
        <w:t>appl</w:t>
      </w:r>
      <w:r w:rsidR="0013513A" w:rsidRPr="008E66D5">
        <w:rPr>
          <w:rFonts w:ascii="Arial" w:hAnsi="Arial" w:cs="Arial"/>
          <w:sz w:val="24"/>
          <w:szCs w:val="24"/>
        </w:rPr>
        <w:t>ies</w:t>
      </w:r>
      <w:r w:rsidRPr="008E66D5">
        <w:rPr>
          <w:rFonts w:ascii="Arial" w:hAnsi="Arial" w:cs="Arial"/>
          <w:sz w:val="24"/>
          <w:szCs w:val="24"/>
        </w:rPr>
        <w:t xml:space="preserve"> the </w:t>
      </w:r>
      <w:r w:rsidR="0F1C1639" w:rsidRPr="008E66D5">
        <w:rPr>
          <w:rFonts w:ascii="Arial" w:hAnsi="Arial" w:cs="Arial"/>
          <w:sz w:val="24"/>
          <w:szCs w:val="24"/>
        </w:rPr>
        <w:t>NPT and TDF</w:t>
      </w:r>
      <w:r w:rsidRPr="008E66D5">
        <w:rPr>
          <w:rFonts w:ascii="Arial" w:hAnsi="Arial" w:cs="Arial"/>
          <w:sz w:val="24"/>
          <w:szCs w:val="24"/>
        </w:rPr>
        <w:t xml:space="preserve"> frameworks to </w:t>
      </w:r>
      <w:r w:rsidR="3571ABF4" w:rsidRPr="008E66D5">
        <w:rPr>
          <w:rFonts w:ascii="Arial" w:hAnsi="Arial" w:cs="Arial"/>
          <w:sz w:val="24"/>
          <w:szCs w:val="24"/>
        </w:rPr>
        <w:t>the a</w:t>
      </w:r>
      <w:r w:rsidR="00FF075B">
        <w:rPr>
          <w:rFonts w:ascii="Arial" w:hAnsi="Arial" w:cs="Arial"/>
          <w:sz w:val="24"/>
          <w:szCs w:val="24"/>
        </w:rPr>
        <w:t>vailable evidence</w:t>
      </w:r>
      <w:r w:rsidR="3571ABF4" w:rsidRPr="008E66D5">
        <w:rPr>
          <w:rFonts w:ascii="Arial" w:hAnsi="Arial" w:cs="Arial"/>
          <w:sz w:val="24"/>
          <w:szCs w:val="24"/>
        </w:rPr>
        <w:t xml:space="preserve"> on </w:t>
      </w:r>
      <w:r w:rsidRPr="008E66D5">
        <w:rPr>
          <w:rFonts w:ascii="Arial" w:hAnsi="Arial" w:cs="Arial"/>
          <w:sz w:val="24"/>
          <w:szCs w:val="24"/>
        </w:rPr>
        <w:t xml:space="preserve">decarbonisation in general practice, </w:t>
      </w:r>
      <w:r w:rsidR="66D8B6F5" w:rsidRPr="008E66D5">
        <w:rPr>
          <w:rFonts w:ascii="Arial" w:hAnsi="Arial" w:cs="Arial"/>
          <w:sz w:val="24"/>
          <w:szCs w:val="24"/>
        </w:rPr>
        <w:t>providing a structured</w:t>
      </w:r>
      <w:r w:rsidRPr="008E66D5">
        <w:rPr>
          <w:rFonts w:ascii="Arial" w:hAnsi="Arial" w:cs="Arial"/>
          <w:sz w:val="24"/>
          <w:szCs w:val="24"/>
        </w:rPr>
        <w:t xml:space="preserve"> approach </w:t>
      </w:r>
      <w:r w:rsidR="41F2B15F" w:rsidRPr="008E66D5">
        <w:rPr>
          <w:rFonts w:ascii="Arial" w:hAnsi="Arial" w:cs="Arial"/>
          <w:sz w:val="24"/>
          <w:szCs w:val="24"/>
        </w:rPr>
        <w:t xml:space="preserve">and a behaviour change lens </w:t>
      </w:r>
      <w:r w:rsidRPr="008E66D5">
        <w:rPr>
          <w:rFonts w:ascii="Arial" w:hAnsi="Arial" w:cs="Arial"/>
          <w:sz w:val="24"/>
          <w:szCs w:val="24"/>
        </w:rPr>
        <w:t xml:space="preserve">to understanding </w:t>
      </w:r>
      <w:r w:rsidR="66D8B6F5" w:rsidRPr="008E66D5">
        <w:rPr>
          <w:rFonts w:ascii="Arial" w:hAnsi="Arial" w:cs="Arial"/>
          <w:sz w:val="24"/>
          <w:szCs w:val="24"/>
        </w:rPr>
        <w:t>the factors influencing</w:t>
      </w:r>
      <w:r w:rsidRPr="008E66D5">
        <w:rPr>
          <w:rFonts w:ascii="Arial" w:hAnsi="Arial" w:cs="Arial"/>
          <w:sz w:val="24"/>
          <w:szCs w:val="24"/>
        </w:rPr>
        <w:t xml:space="preserve"> </w:t>
      </w:r>
      <w:r w:rsidR="00FF075B">
        <w:rPr>
          <w:rFonts w:ascii="Arial" w:hAnsi="Arial" w:cs="Arial"/>
          <w:sz w:val="24"/>
          <w:szCs w:val="24"/>
        </w:rPr>
        <w:t xml:space="preserve">adoption and </w:t>
      </w:r>
      <w:r w:rsidR="66D8B6F5" w:rsidRPr="008E66D5">
        <w:rPr>
          <w:rFonts w:ascii="Arial" w:hAnsi="Arial" w:cs="Arial"/>
          <w:sz w:val="24"/>
          <w:szCs w:val="24"/>
        </w:rPr>
        <w:t>sustainability</w:t>
      </w:r>
      <w:r w:rsidRPr="008E66D5">
        <w:rPr>
          <w:rFonts w:ascii="Arial" w:hAnsi="Arial" w:cs="Arial"/>
          <w:sz w:val="24"/>
          <w:szCs w:val="24"/>
        </w:rPr>
        <w:t xml:space="preserve">. The </w:t>
      </w:r>
      <w:r w:rsidR="429C984E" w:rsidRPr="008E66D5">
        <w:rPr>
          <w:rFonts w:ascii="Arial" w:hAnsi="Arial" w:cs="Arial"/>
          <w:sz w:val="24"/>
          <w:szCs w:val="24"/>
        </w:rPr>
        <w:t xml:space="preserve">inclusion of a </w:t>
      </w:r>
      <w:r w:rsidRPr="008E66D5">
        <w:rPr>
          <w:rFonts w:ascii="Arial" w:hAnsi="Arial" w:cs="Arial"/>
          <w:sz w:val="24"/>
          <w:szCs w:val="24"/>
        </w:rPr>
        <w:t>multidisciplinary team</w:t>
      </w:r>
      <w:r w:rsidR="429C984E" w:rsidRPr="008E66D5">
        <w:rPr>
          <w:rFonts w:ascii="Arial" w:hAnsi="Arial" w:cs="Arial"/>
          <w:sz w:val="24"/>
          <w:szCs w:val="24"/>
        </w:rPr>
        <w:t xml:space="preserve"> of </w:t>
      </w:r>
      <w:r w:rsidRPr="008E66D5">
        <w:rPr>
          <w:rFonts w:ascii="Arial" w:hAnsi="Arial" w:cs="Arial"/>
          <w:sz w:val="24"/>
          <w:szCs w:val="24"/>
        </w:rPr>
        <w:t xml:space="preserve">academic GPs, researchers, and patient representatives </w:t>
      </w:r>
      <w:r w:rsidR="429C984E" w:rsidRPr="008E66D5">
        <w:rPr>
          <w:rFonts w:ascii="Arial" w:hAnsi="Arial" w:cs="Arial"/>
          <w:sz w:val="24"/>
          <w:szCs w:val="24"/>
        </w:rPr>
        <w:t>strengthened</w:t>
      </w:r>
      <w:r w:rsidRPr="008E66D5">
        <w:rPr>
          <w:rFonts w:ascii="Arial" w:hAnsi="Arial" w:cs="Arial"/>
          <w:sz w:val="24"/>
          <w:szCs w:val="24"/>
        </w:rPr>
        <w:t xml:space="preserve"> the analysis</w:t>
      </w:r>
      <w:r w:rsidR="429C984E" w:rsidRPr="008E66D5">
        <w:rPr>
          <w:rFonts w:ascii="Arial" w:hAnsi="Arial" w:cs="Arial"/>
          <w:sz w:val="24"/>
          <w:szCs w:val="24"/>
        </w:rPr>
        <w:t>,</w:t>
      </w:r>
      <w:r w:rsidRPr="008E66D5">
        <w:rPr>
          <w:rFonts w:ascii="Arial" w:hAnsi="Arial" w:cs="Arial"/>
          <w:sz w:val="24"/>
          <w:szCs w:val="24"/>
        </w:rPr>
        <w:t xml:space="preserve"> </w:t>
      </w:r>
      <w:r w:rsidR="429C984E" w:rsidRPr="008E66D5">
        <w:rPr>
          <w:rFonts w:ascii="Arial" w:hAnsi="Arial" w:cs="Arial"/>
          <w:sz w:val="24"/>
          <w:szCs w:val="24"/>
        </w:rPr>
        <w:t>ensuring</w:t>
      </w:r>
      <w:r w:rsidRPr="008E66D5">
        <w:rPr>
          <w:rFonts w:ascii="Arial" w:hAnsi="Arial" w:cs="Arial"/>
          <w:sz w:val="24"/>
          <w:szCs w:val="24"/>
        </w:rPr>
        <w:t xml:space="preserve"> </w:t>
      </w:r>
      <w:r w:rsidR="0D8F8F5B" w:rsidRPr="008E66D5">
        <w:rPr>
          <w:rFonts w:ascii="Arial" w:hAnsi="Arial" w:cs="Arial"/>
          <w:sz w:val="24"/>
          <w:szCs w:val="24"/>
        </w:rPr>
        <w:t xml:space="preserve">the inclusion of </w:t>
      </w:r>
      <w:r w:rsidRPr="008E66D5">
        <w:rPr>
          <w:rFonts w:ascii="Arial" w:hAnsi="Arial" w:cs="Arial"/>
          <w:sz w:val="24"/>
          <w:szCs w:val="24"/>
        </w:rPr>
        <w:t xml:space="preserve">diverse perspectives. The </w:t>
      </w:r>
      <w:r w:rsidR="429C984E" w:rsidRPr="008E66D5">
        <w:rPr>
          <w:rFonts w:ascii="Arial" w:hAnsi="Arial" w:cs="Arial"/>
          <w:sz w:val="24"/>
          <w:szCs w:val="24"/>
        </w:rPr>
        <w:t xml:space="preserve">systematic, protocol-driven methodology improved reliability and uncovered patterns in coder agreement, offering a foundation </w:t>
      </w:r>
      <w:r w:rsidRPr="008E66D5">
        <w:rPr>
          <w:rFonts w:ascii="Arial" w:hAnsi="Arial" w:cs="Arial"/>
          <w:sz w:val="24"/>
          <w:szCs w:val="24"/>
        </w:rPr>
        <w:t xml:space="preserve">for future </w:t>
      </w:r>
      <w:r w:rsidR="429C984E" w:rsidRPr="008E66D5">
        <w:rPr>
          <w:rFonts w:ascii="Arial" w:hAnsi="Arial" w:cs="Arial"/>
          <w:sz w:val="24"/>
          <w:szCs w:val="24"/>
        </w:rPr>
        <w:t xml:space="preserve">research and </w:t>
      </w:r>
      <w:r w:rsidRPr="008E66D5">
        <w:rPr>
          <w:rFonts w:ascii="Arial" w:hAnsi="Arial" w:cs="Arial"/>
          <w:sz w:val="24"/>
          <w:szCs w:val="24"/>
        </w:rPr>
        <w:t>interventions.</w:t>
      </w:r>
    </w:p>
    <w:p w14:paraId="06C28DC0" w14:textId="1C7120D3" w:rsidR="00F92BBA" w:rsidRPr="008E66D5" w:rsidRDefault="00F92BBA" w:rsidP="00D73116">
      <w:pPr>
        <w:spacing w:before="160" w:line="276" w:lineRule="auto"/>
        <w:rPr>
          <w:rFonts w:ascii="Arial" w:hAnsi="Arial" w:cs="Arial"/>
          <w:sz w:val="26"/>
          <w:szCs w:val="26"/>
        </w:rPr>
      </w:pPr>
      <w:r w:rsidRPr="008E66D5">
        <w:rPr>
          <w:rFonts w:ascii="Arial" w:hAnsi="Arial" w:cs="Arial"/>
          <w:sz w:val="26"/>
          <w:szCs w:val="26"/>
        </w:rPr>
        <w:t xml:space="preserve">Limitations </w:t>
      </w:r>
    </w:p>
    <w:p w14:paraId="4FE42FE3" w14:textId="77777777" w:rsidR="00953D55" w:rsidRPr="008E66D5" w:rsidRDefault="0A6952F6" w:rsidP="00D73116">
      <w:pPr>
        <w:spacing w:before="160" w:line="276" w:lineRule="auto"/>
        <w:rPr>
          <w:rFonts w:ascii="Arial" w:hAnsi="Arial" w:cs="Arial"/>
          <w:sz w:val="24"/>
          <w:szCs w:val="24"/>
        </w:rPr>
      </w:pPr>
      <w:r w:rsidRPr="008E66D5">
        <w:rPr>
          <w:rFonts w:ascii="Arial" w:hAnsi="Arial" w:cs="Arial"/>
          <w:sz w:val="24"/>
          <w:szCs w:val="24"/>
        </w:rPr>
        <w:t xml:space="preserve">Some </w:t>
      </w:r>
      <w:r w:rsidR="76AD5FB5" w:rsidRPr="008E66D5">
        <w:rPr>
          <w:rFonts w:ascii="Arial" w:hAnsi="Arial" w:cs="Arial"/>
          <w:sz w:val="24"/>
          <w:szCs w:val="24"/>
        </w:rPr>
        <w:t xml:space="preserve">degree of </w:t>
      </w:r>
      <w:r w:rsidR="0013513A" w:rsidRPr="008E66D5">
        <w:rPr>
          <w:rFonts w:ascii="Arial" w:hAnsi="Arial" w:cs="Arial"/>
          <w:sz w:val="24"/>
          <w:szCs w:val="24"/>
        </w:rPr>
        <w:t>variation</w:t>
      </w:r>
      <w:r w:rsidR="003A340C" w:rsidRPr="008E66D5">
        <w:rPr>
          <w:rFonts w:ascii="Arial" w:hAnsi="Arial" w:cs="Arial"/>
          <w:sz w:val="24"/>
          <w:szCs w:val="24"/>
        </w:rPr>
        <w:t xml:space="preserve"> and subjectivity</w:t>
      </w:r>
      <w:r w:rsidRPr="008E66D5">
        <w:rPr>
          <w:rFonts w:ascii="Arial" w:hAnsi="Arial" w:cs="Arial"/>
          <w:sz w:val="24"/>
          <w:szCs w:val="24"/>
        </w:rPr>
        <w:t xml:space="preserve"> </w:t>
      </w:r>
      <w:r w:rsidR="7E8C8F15" w:rsidRPr="008E66D5">
        <w:rPr>
          <w:rFonts w:ascii="Arial" w:hAnsi="Arial" w:cs="Arial"/>
          <w:sz w:val="24"/>
          <w:szCs w:val="24"/>
        </w:rPr>
        <w:t xml:space="preserve">is </w:t>
      </w:r>
      <w:r w:rsidR="76AD5FB5" w:rsidRPr="008E66D5">
        <w:rPr>
          <w:rFonts w:ascii="Arial" w:hAnsi="Arial" w:cs="Arial"/>
          <w:sz w:val="24"/>
          <w:szCs w:val="24"/>
        </w:rPr>
        <w:t>inherent in</w:t>
      </w:r>
      <w:r w:rsidR="7E8C8F15" w:rsidRPr="008E66D5">
        <w:rPr>
          <w:rFonts w:ascii="Arial" w:hAnsi="Arial" w:cs="Arial"/>
          <w:sz w:val="24"/>
          <w:szCs w:val="24"/>
        </w:rPr>
        <w:t xml:space="preserve"> this type of </w:t>
      </w:r>
      <w:r w:rsidR="18722FF3" w:rsidRPr="008E66D5">
        <w:rPr>
          <w:rFonts w:ascii="Arial" w:hAnsi="Arial" w:cs="Arial"/>
          <w:sz w:val="24"/>
          <w:szCs w:val="24"/>
        </w:rPr>
        <w:t>interpretive exercis</w:t>
      </w:r>
      <w:r w:rsidR="003A340C" w:rsidRPr="008E66D5">
        <w:rPr>
          <w:rFonts w:ascii="Arial" w:hAnsi="Arial" w:cs="Arial"/>
          <w:sz w:val="24"/>
          <w:szCs w:val="24"/>
        </w:rPr>
        <w:t>e</w:t>
      </w:r>
      <w:r w:rsidRPr="008E66D5">
        <w:rPr>
          <w:rFonts w:ascii="Arial" w:hAnsi="Arial" w:cs="Arial"/>
          <w:sz w:val="24"/>
          <w:szCs w:val="24"/>
        </w:rPr>
        <w:t xml:space="preserve">. The study’s reliance on </w:t>
      </w:r>
      <w:r w:rsidR="066E2CBD" w:rsidRPr="008E66D5">
        <w:rPr>
          <w:rFonts w:ascii="Arial" w:hAnsi="Arial" w:cs="Arial"/>
          <w:sz w:val="24"/>
          <w:szCs w:val="24"/>
        </w:rPr>
        <w:t xml:space="preserve">evidence from </w:t>
      </w:r>
      <w:r w:rsidRPr="008E66D5">
        <w:rPr>
          <w:rFonts w:ascii="Arial" w:hAnsi="Arial" w:cs="Arial"/>
          <w:sz w:val="24"/>
          <w:szCs w:val="24"/>
        </w:rPr>
        <w:t xml:space="preserve">a single systematic review </w:t>
      </w:r>
      <w:r w:rsidR="76AD5FB5" w:rsidRPr="008E66D5">
        <w:rPr>
          <w:rFonts w:ascii="Arial" w:hAnsi="Arial" w:cs="Arial"/>
          <w:sz w:val="24"/>
          <w:szCs w:val="24"/>
        </w:rPr>
        <w:t>as the data source</w:t>
      </w:r>
      <w:r w:rsidRPr="008E66D5">
        <w:rPr>
          <w:rFonts w:ascii="Arial" w:hAnsi="Arial" w:cs="Arial"/>
          <w:sz w:val="24"/>
          <w:szCs w:val="24"/>
        </w:rPr>
        <w:t xml:space="preserve"> </w:t>
      </w:r>
      <w:r w:rsidR="003A340C" w:rsidRPr="008E66D5">
        <w:rPr>
          <w:rFonts w:ascii="Arial" w:hAnsi="Arial" w:cs="Arial"/>
          <w:sz w:val="24"/>
          <w:szCs w:val="24"/>
        </w:rPr>
        <w:t xml:space="preserve">may also </w:t>
      </w:r>
      <w:r w:rsidRPr="008E66D5">
        <w:rPr>
          <w:rFonts w:ascii="Arial" w:hAnsi="Arial" w:cs="Arial"/>
          <w:sz w:val="24"/>
          <w:szCs w:val="24"/>
        </w:rPr>
        <w:t xml:space="preserve">limit the </w:t>
      </w:r>
      <w:r w:rsidR="76AD5FB5" w:rsidRPr="008E66D5">
        <w:rPr>
          <w:rFonts w:ascii="Arial" w:hAnsi="Arial" w:cs="Arial"/>
          <w:sz w:val="24"/>
          <w:szCs w:val="24"/>
        </w:rPr>
        <w:t>diversity of identified</w:t>
      </w:r>
      <w:r w:rsidRPr="008E66D5">
        <w:rPr>
          <w:rFonts w:ascii="Arial" w:hAnsi="Arial" w:cs="Arial"/>
          <w:sz w:val="24"/>
          <w:szCs w:val="24"/>
        </w:rPr>
        <w:t xml:space="preserve"> factors.</w:t>
      </w:r>
      <w:r w:rsidR="53495446" w:rsidRPr="008E66D5">
        <w:rPr>
          <w:rFonts w:ascii="Arial" w:hAnsi="Arial" w:cs="Arial"/>
          <w:sz w:val="24"/>
          <w:szCs w:val="24"/>
        </w:rPr>
        <w:t xml:space="preserve"> Furthermore, the limited breadth, depth, and quality of the included literature constrain</w:t>
      </w:r>
      <w:r w:rsidR="327FDEC6" w:rsidRPr="008E66D5">
        <w:rPr>
          <w:rFonts w:ascii="Arial" w:hAnsi="Arial" w:cs="Arial"/>
          <w:sz w:val="24"/>
          <w:szCs w:val="24"/>
        </w:rPr>
        <w:t>s</w:t>
      </w:r>
      <w:r w:rsidR="53495446" w:rsidRPr="008E66D5">
        <w:rPr>
          <w:rFonts w:ascii="Arial" w:hAnsi="Arial" w:cs="Arial"/>
          <w:sz w:val="24"/>
          <w:szCs w:val="24"/>
        </w:rPr>
        <w:t xml:space="preserve"> the comprehensiveness of the findings, potentially omitting key insights or nuances relevant to the topic.</w:t>
      </w:r>
      <w:bookmarkStart w:id="6" w:name="_Hlk187403929"/>
    </w:p>
    <w:p w14:paraId="4D10D4F3" w14:textId="7D2D5A0A" w:rsidR="00CD49D0" w:rsidRPr="008E66D5" w:rsidRDefault="00CD49D0" w:rsidP="00D73116">
      <w:pPr>
        <w:spacing w:before="160" w:line="276" w:lineRule="auto"/>
        <w:rPr>
          <w:rFonts w:ascii="Arial" w:hAnsi="Arial" w:cs="Arial"/>
          <w:sz w:val="26"/>
          <w:szCs w:val="26"/>
        </w:rPr>
      </w:pPr>
      <w:r w:rsidRPr="008E66D5">
        <w:rPr>
          <w:rFonts w:ascii="Arial" w:hAnsi="Arial" w:cs="Arial"/>
          <w:sz w:val="26"/>
          <w:szCs w:val="26"/>
        </w:rPr>
        <w:t>Implications for research</w:t>
      </w:r>
    </w:p>
    <w:p w14:paraId="1912CCB6" w14:textId="77777777" w:rsidR="00946EF1" w:rsidRPr="008E66D5" w:rsidRDefault="00946EF1" w:rsidP="00946EF1">
      <w:pPr>
        <w:spacing w:before="160" w:line="276" w:lineRule="auto"/>
        <w:rPr>
          <w:rFonts w:ascii="Arial" w:hAnsi="Arial" w:cs="Arial"/>
          <w:sz w:val="24"/>
          <w:szCs w:val="24"/>
        </w:rPr>
      </w:pPr>
      <w:r w:rsidRPr="008E66D5">
        <w:rPr>
          <w:rFonts w:ascii="Arial" w:hAnsi="Arial" w:cs="Arial"/>
          <w:sz w:val="24"/>
          <w:szCs w:val="24"/>
        </w:rPr>
        <w:t>To ensure methodological rigour, research should use collaborative approaches with multiple researchers engaging in iterative discussions. This layered scrutiny is essential to address the interpretative complexity of decarbonisation strategies.</w:t>
      </w:r>
    </w:p>
    <w:p w14:paraId="24DD8228" w14:textId="7764344A" w:rsidR="00741CB7" w:rsidRPr="008E66D5" w:rsidRDefault="294AE5AD" w:rsidP="00D73116">
      <w:pPr>
        <w:spacing w:before="160" w:line="276" w:lineRule="auto"/>
        <w:rPr>
          <w:rFonts w:ascii="Arial" w:hAnsi="Arial" w:cs="Arial"/>
          <w:sz w:val="24"/>
          <w:szCs w:val="24"/>
        </w:rPr>
      </w:pPr>
      <w:r w:rsidRPr="008E66D5">
        <w:rPr>
          <w:rFonts w:ascii="Arial" w:hAnsi="Arial" w:cs="Arial"/>
          <w:sz w:val="24"/>
          <w:szCs w:val="24"/>
        </w:rPr>
        <w:t xml:space="preserve">Future research should </w:t>
      </w:r>
      <w:r w:rsidR="00741CB7" w:rsidRPr="008E66D5">
        <w:rPr>
          <w:rFonts w:ascii="Arial" w:hAnsi="Arial" w:cs="Arial"/>
          <w:sz w:val="24"/>
          <w:szCs w:val="24"/>
        </w:rPr>
        <w:t xml:space="preserve">prioritise the collection of empirical data from general practitioners, patients, and other </w:t>
      </w:r>
      <w:r w:rsidR="00FF075B">
        <w:rPr>
          <w:rFonts w:ascii="Arial" w:hAnsi="Arial" w:cs="Arial"/>
          <w:sz w:val="24"/>
          <w:szCs w:val="24"/>
        </w:rPr>
        <w:t xml:space="preserve">key </w:t>
      </w:r>
      <w:r w:rsidR="00741CB7" w:rsidRPr="008E66D5">
        <w:rPr>
          <w:rFonts w:ascii="Arial" w:hAnsi="Arial" w:cs="Arial"/>
          <w:sz w:val="24"/>
          <w:szCs w:val="24"/>
        </w:rPr>
        <w:t>stakeholders to address gaps identified in this mapping exercise and to confirm emerging patterns</w:t>
      </w:r>
      <w:r w:rsidR="00946EF1">
        <w:rPr>
          <w:rFonts w:ascii="Arial" w:hAnsi="Arial" w:cs="Arial"/>
          <w:sz w:val="24"/>
          <w:szCs w:val="24"/>
        </w:rPr>
        <w:t xml:space="preserve"> </w:t>
      </w:r>
      <w:r w:rsidR="00946EF1">
        <w:rPr>
          <w:rFonts w:ascii="Arial" w:hAnsi="Arial" w:cs="Arial"/>
          <w:sz w:val="24"/>
          <w:szCs w:val="24"/>
          <w:vertAlign w:val="superscript"/>
        </w:rPr>
        <w:t>40-41</w:t>
      </w:r>
      <w:r w:rsidR="00741CB7" w:rsidRPr="008E66D5">
        <w:rPr>
          <w:rFonts w:ascii="Arial" w:hAnsi="Arial" w:cs="Arial"/>
          <w:sz w:val="24"/>
          <w:szCs w:val="24"/>
        </w:rPr>
        <w:t>. These efforts are critical to building a robust evidence base for driving decarbonisation in primary care</w:t>
      </w:r>
      <w:r w:rsidR="00946EF1">
        <w:rPr>
          <w:rFonts w:ascii="Arial" w:hAnsi="Arial" w:cs="Arial"/>
          <w:sz w:val="24"/>
          <w:szCs w:val="24"/>
        </w:rPr>
        <w:t xml:space="preserve"> </w:t>
      </w:r>
      <w:r w:rsidR="00946EF1">
        <w:rPr>
          <w:rFonts w:ascii="Arial" w:hAnsi="Arial" w:cs="Arial"/>
          <w:sz w:val="24"/>
          <w:szCs w:val="24"/>
          <w:vertAlign w:val="superscript"/>
        </w:rPr>
        <w:t>42,43</w:t>
      </w:r>
      <w:r w:rsidR="00741CB7" w:rsidRPr="008E66D5">
        <w:rPr>
          <w:rFonts w:ascii="Arial" w:hAnsi="Arial" w:cs="Arial"/>
          <w:sz w:val="24"/>
          <w:szCs w:val="24"/>
        </w:rPr>
        <w:t>. The variability on coder agreement on individual-level factors highlights the need to better understand the interplay between professional identity, personal values, and social influences in promoting engagement with decarbonisation actions</w:t>
      </w:r>
      <w:r w:rsidR="00946EF1">
        <w:rPr>
          <w:rFonts w:ascii="Arial" w:hAnsi="Arial" w:cs="Arial"/>
          <w:sz w:val="24"/>
          <w:szCs w:val="24"/>
        </w:rPr>
        <w:t xml:space="preserve"> </w:t>
      </w:r>
      <w:r w:rsidR="00946EF1">
        <w:rPr>
          <w:rFonts w:ascii="Arial" w:hAnsi="Arial" w:cs="Arial"/>
          <w:sz w:val="24"/>
          <w:szCs w:val="24"/>
          <w:vertAlign w:val="superscript"/>
        </w:rPr>
        <w:t>44-49</w:t>
      </w:r>
      <w:r w:rsidR="00741CB7" w:rsidRPr="008E66D5">
        <w:rPr>
          <w:rFonts w:ascii="Arial" w:hAnsi="Arial" w:cs="Arial"/>
          <w:sz w:val="24"/>
          <w:szCs w:val="24"/>
        </w:rPr>
        <w:t>. Future research should explore these dynamics to design effective interventions capable of fostering systemic change</w:t>
      </w:r>
      <w:r w:rsidR="00946EF1">
        <w:rPr>
          <w:rFonts w:ascii="Arial" w:hAnsi="Arial" w:cs="Arial"/>
          <w:sz w:val="24"/>
          <w:szCs w:val="24"/>
        </w:rPr>
        <w:t xml:space="preserve"> </w:t>
      </w:r>
      <w:r w:rsidR="00946EF1">
        <w:rPr>
          <w:rFonts w:ascii="Arial" w:hAnsi="Arial" w:cs="Arial"/>
          <w:sz w:val="24"/>
          <w:szCs w:val="24"/>
          <w:vertAlign w:val="superscript"/>
        </w:rPr>
        <w:t>25,50,51</w:t>
      </w:r>
      <w:r w:rsidR="00741CB7" w:rsidRPr="008E66D5">
        <w:rPr>
          <w:rFonts w:ascii="Arial" w:hAnsi="Arial" w:cs="Arial"/>
          <w:sz w:val="24"/>
          <w:szCs w:val="24"/>
        </w:rPr>
        <w:t>. Additionally, research should examine how policy designs and funding mechanisms shape the adoption and implementation of decarbonisation strategies</w:t>
      </w:r>
      <w:r w:rsidR="00946EF1">
        <w:rPr>
          <w:rFonts w:ascii="Arial" w:hAnsi="Arial" w:cs="Arial"/>
          <w:sz w:val="24"/>
          <w:szCs w:val="24"/>
        </w:rPr>
        <w:t xml:space="preserve"> </w:t>
      </w:r>
      <w:r w:rsidR="00946EF1">
        <w:rPr>
          <w:rFonts w:ascii="Arial" w:hAnsi="Arial" w:cs="Arial"/>
          <w:sz w:val="24"/>
          <w:szCs w:val="24"/>
          <w:vertAlign w:val="superscript"/>
        </w:rPr>
        <w:t>40</w:t>
      </w:r>
      <w:r w:rsidR="00741CB7" w:rsidRPr="008E66D5">
        <w:rPr>
          <w:rFonts w:ascii="Arial" w:hAnsi="Arial" w:cs="Arial"/>
          <w:sz w:val="24"/>
          <w:szCs w:val="24"/>
        </w:rPr>
        <w:t xml:space="preserve">. </w:t>
      </w:r>
    </w:p>
    <w:p w14:paraId="54FA4E39" w14:textId="774599F6" w:rsidR="00AC2D1E" w:rsidRPr="008E66D5" w:rsidRDefault="00F92BBA" w:rsidP="00D73116">
      <w:pPr>
        <w:spacing w:before="160" w:line="276" w:lineRule="auto"/>
        <w:rPr>
          <w:rFonts w:ascii="Arial" w:hAnsi="Arial" w:cs="Arial"/>
          <w:b/>
          <w:bCs/>
          <w:sz w:val="28"/>
          <w:szCs w:val="28"/>
        </w:rPr>
      </w:pPr>
      <w:r w:rsidRPr="008E66D5">
        <w:rPr>
          <w:rFonts w:ascii="Arial" w:hAnsi="Arial" w:cs="Arial"/>
          <w:b/>
          <w:bCs/>
          <w:sz w:val="28"/>
          <w:szCs w:val="28"/>
        </w:rPr>
        <w:t>Conclusion</w:t>
      </w:r>
      <w:r w:rsidR="009D0B71" w:rsidRPr="008E66D5">
        <w:rPr>
          <w:rFonts w:ascii="Arial" w:hAnsi="Arial" w:cs="Arial"/>
          <w:b/>
          <w:bCs/>
          <w:sz w:val="28"/>
          <w:szCs w:val="28"/>
        </w:rPr>
        <w:t>s</w:t>
      </w:r>
    </w:p>
    <w:p w14:paraId="4BF47463" w14:textId="77777777" w:rsidR="00953D55" w:rsidRPr="008E66D5" w:rsidRDefault="00722543" w:rsidP="00D73116">
      <w:pPr>
        <w:spacing w:before="160" w:line="276" w:lineRule="auto"/>
        <w:rPr>
          <w:rFonts w:ascii="Arial" w:hAnsi="Arial" w:cs="Arial"/>
          <w:sz w:val="24"/>
          <w:szCs w:val="24"/>
        </w:rPr>
      </w:pPr>
      <w:r w:rsidRPr="008E66D5">
        <w:rPr>
          <w:rFonts w:ascii="Arial" w:hAnsi="Arial" w:cs="Arial"/>
          <w:sz w:val="24"/>
          <w:szCs w:val="24"/>
        </w:rPr>
        <w:t xml:space="preserve">Adopting a systems perspective is essential to comprehensively address the interconnectedness of policies, organisational resources, and individual behaviours. </w:t>
      </w:r>
      <w:r w:rsidR="02755EC5" w:rsidRPr="008E66D5">
        <w:rPr>
          <w:rFonts w:ascii="Arial" w:hAnsi="Arial" w:cs="Arial"/>
          <w:sz w:val="24"/>
          <w:szCs w:val="24"/>
        </w:rPr>
        <w:t>By applying the NPT and TDF frameworks</w:t>
      </w:r>
      <w:r w:rsidR="243B33F7" w:rsidRPr="008E66D5">
        <w:rPr>
          <w:rFonts w:ascii="Arial" w:hAnsi="Arial" w:cs="Arial"/>
          <w:sz w:val="24"/>
          <w:szCs w:val="24"/>
        </w:rPr>
        <w:t xml:space="preserve"> to factors identified from the literature as </w:t>
      </w:r>
      <w:r w:rsidR="00744038" w:rsidRPr="008E66D5">
        <w:rPr>
          <w:rFonts w:ascii="Arial" w:hAnsi="Arial" w:cs="Arial"/>
          <w:sz w:val="24"/>
          <w:szCs w:val="24"/>
        </w:rPr>
        <w:t>influencing</w:t>
      </w:r>
      <w:r w:rsidR="243B33F7" w:rsidRPr="008E66D5">
        <w:rPr>
          <w:rFonts w:ascii="Arial" w:hAnsi="Arial" w:cs="Arial"/>
          <w:sz w:val="24"/>
          <w:szCs w:val="24"/>
        </w:rPr>
        <w:t xml:space="preserve"> decarbonisation </w:t>
      </w:r>
      <w:r w:rsidR="00744038" w:rsidRPr="008E66D5">
        <w:rPr>
          <w:rFonts w:ascii="Arial" w:hAnsi="Arial" w:cs="Arial"/>
          <w:sz w:val="24"/>
          <w:szCs w:val="24"/>
        </w:rPr>
        <w:t>in</w:t>
      </w:r>
      <w:r w:rsidR="243B33F7" w:rsidRPr="008E66D5">
        <w:rPr>
          <w:rFonts w:ascii="Arial" w:hAnsi="Arial" w:cs="Arial"/>
          <w:sz w:val="24"/>
          <w:szCs w:val="24"/>
        </w:rPr>
        <w:t xml:space="preserve"> primary care</w:t>
      </w:r>
      <w:r w:rsidR="02755EC5" w:rsidRPr="008E66D5">
        <w:rPr>
          <w:rFonts w:ascii="Arial" w:hAnsi="Arial" w:cs="Arial"/>
          <w:sz w:val="24"/>
          <w:szCs w:val="24"/>
        </w:rPr>
        <w:t>, t</w:t>
      </w:r>
      <w:r w:rsidR="1E3E439D" w:rsidRPr="008E66D5">
        <w:rPr>
          <w:rFonts w:ascii="Arial" w:hAnsi="Arial" w:cs="Arial"/>
          <w:sz w:val="24"/>
          <w:szCs w:val="24"/>
        </w:rPr>
        <w:t xml:space="preserve">his </w:t>
      </w:r>
      <w:r w:rsidR="00744038" w:rsidRPr="008E66D5">
        <w:rPr>
          <w:rFonts w:ascii="Arial" w:hAnsi="Arial" w:cs="Arial"/>
          <w:sz w:val="24"/>
          <w:szCs w:val="24"/>
        </w:rPr>
        <w:t>study</w:t>
      </w:r>
      <w:r w:rsidR="1E3E439D" w:rsidRPr="008E66D5">
        <w:rPr>
          <w:rFonts w:ascii="Arial" w:hAnsi="Arial" w:cs="Arial"/>
          <w:sz w:val="24"/>
          <w:szCs w:val="24"/>
        </w:rPr>
        <w:t xml:space="preserve"> </w:t>
      </w:r>
      <w:r w:rsidR="00744038" w:rsidRPr="008E66D5">
        <w:rPr>
          <w:rFonts w:ascii="Arial" w:hAnsi="Arial" w:cs="Arial"/>
          <w:sz w:val="24"/>
          <w:szCs w:val="24"/>
        </w:rPr>
        <w:t>elucidates pathways</w:t>
      </w:r>
      <w:r w:rsidR="3EB8DA52" w:rsidRPr="008E66D5">
        <w:rPr>
          <w:rFonts w:ascii="Arial" w:hAnsi="Arial" w:cs="Arial"/>
          <w:sz w:val="24"/>
          <w:szCs w:val="24"/>
        </w:rPr>
        <w:t xml:space="preserve"> to achiev</w:t>
      </w:r>
      <w:r w:rsidR="00744038" w:rsidRPr="008E66D5">
        <w:rPr>
          <w:rFonts w:ascii="Arial" w:hAnsi="Arial" w:cs="Arial"/>
          <w:sz w:val="24"/>
          <w:szCs w:val="24"/>
        </w:rPr>
        <w:t>ing</w:t>
      </w:r>
      <w:r w:rsidR="3EB8DA52" w:rsidRPr="008E66D5">
        <w:rPr>
          <w:rFonts w:ascii="Arial" w:hAnsi="Arial" w:cs="Arial"/>
          <w:sz w:val="24"/>
          <w:szCs w:val="24"/>
        </w:rPr>
        <w:t xml:space="preserve"> </w:t>
      </w:r>
      <w:r w:rsidR="02755EC5" w:rsidRPr="008E66D5">
        <w:rPr>
          <w:rFonts w:ascii="Arial" w:hAnsi="Arial" w:cs="Arial"/>
          <w:sz w:val="24"/>
          <w:szCs w:val="24"/>
        </w:rPr>
        <w:t>the</w:t>
      </w:r>
      <w:r w:rsidR="1E3E439D" w:rsidRPr="008E66D5">
        <w:rPr>
          <w:rFonts w:ascii="Arial" w:hAnsi="Arial" w:cs="Arial"/>
          <w:sz w:val="24"/>
          <w:szCs w:val="24"/>
        </w:rPr>
        <w:t xml:space="preserve"> </w:t>
      </w:r>
      <w:r w:rsidR="00744038" w:rsidRPr="008E66D5">
        <w:rPr>
          <w:rFonts w:ascii="Arial" w:hAnsi="Arial" w:cs="Arial"/>
          <w:sz w:val="24"/>
          <w:szCs w:val="24"/>
        </w:rPr>
        <w:t xml:space="preserve">behaviour change </w:t>
      </w:r>
      <w:r w:rsidR="0DC2A27C" w:rsidRPr="008E66D5">
        <w:rPr>
          <w:rFonts w:ascii="Arial" w:hAnsi="Arial" w:cs="Arial"/>
          <w:sz w:val="24"/>
          <w:szCs w:val="24"/>
        </w:rPr>
        <w:t xml:space="preserve">necessary </w:t>
      </w:r>
      <w:r w:rsidR="4097AAFB" w:rsidRPr="008E66D5">
        <w:rPr>
          <w:rFonts w:ascii="Arial" w:hAnsi="Arial" w:cs="Arial"/>
          <w:sz w:val="24"/>
          <w:szCs w:val="24"/>
        </w:rPr>
        <w:t xml:space="preserve">for the </w:t>
      </w:r>
      <w:r w:rsidR="00744038" w:rsidRPr="008E66D5">
        <w:rPr>
          <w:rFonts w:ascii="Arial" w:hAnsi="Arial" w:cs="Arial"/>
          <w:sz w:val="24"/>
          <w:szCs w:val="24"/>
        </w:rPr>
        <w:t>sector</w:t>
      </w:r>
      <w:r w:rsidR="4097AAFB" w:rsidRPr="008E66D5">
        <w:rPr>
          <w:rFonts w:ascii="Arial" w:hAnsi="Arial" w:cs="Arial"/>
          <w:sz w:val="24"/>
          <w:szCs w:val="24"/>
        </w:rPr>
        <w:t xml:space="preserve"> to reach net zero</w:t>
      </w:r>
      <w:r w:rsidR="00744038" w:rsidRPr="008E66D5">
        <w:rPr>
          <w:rFonts w:ascii="Arial" w:hAnsi="Arial" w:cs="Arial"/>
          <w:sz w:val="24"/>
          <w:szCs w:val="24"/>
        </w:rPr>
        <w:t xml:space="preserve"> emissions</w:t>
      </w:r>
      <w:r w:rsidR="4097AAFB" w:rsidRPr="008E66D5">
        <w:rPr>
          <w:rFonts w:ascii="Arial" w:hAnsi="Arial" w:cs="Arial"/>
          <w:sz w:val="24"/>
          <w:szCs w:val="24"/>
        </w:rPr>
        <w:t>.</w:t>
      </w:r>
      <w:r w:rsidR="00744038" w:rsidRPr="008E66D5">
        <w:rPr>
          <w:rFonts w:ascii="Arial" w:hAnsi="Arial" w:cs="Arial"/>
          <w:sz w:val="24"/>
          <w:szCs w:val="24"/>
        </w:rPr>
        <w:t xml:space="preserve"> The findings highlight the critical roles of institutional support, professional engagement, and community involvement in driving sustainable practices</w:t>
      </w:r>
      <w:r w:rsidR="003A340C" w:rsidRPr="008E66D5">
        <w:rPr>
          <w:rFonts w:ascii="Arial" w:hAnsi="Arial" w:cs="Arial"/>
          <w:sz w:val="24"/>
          <w:szCs w:val="24"/>
        </w:rPr>
        <w:t>, and gaps in the evidence base that need further research</w:t>
      </w:r>
      <w:r w:rsidR="00744038" w:rsidRPr="008E66D5">
        <w:rPr>
          <w:rFonts w:ascii="Arial" w:hAnsi="Arial" w:cs="Arial"/>
          <w:sz w:val="24"/>
          <w:szCs w:val="24"/>
        </w:rPr>
        <w:t>.</w:t>
      </w:r>
      <w:r w:rsidR="4097AAFB" w:rsidRPr="008E66D5">
        <w:rPr>
          <w:rFonts w:ascii="Arial" w:hAnsi="Arial" w:cs="Arial"/>
          <w:sz w:val="24"/>
          <w:szCs w:val="24"/>
        </w:rPr>
        <w:t xml:space="preserve"> </w:t>
      </w:r>
    </w:p>
    <w:p w14:paraId="771EA640" w14:textId="30904382" w:rsidR="009D0B71" w:rsidRPr="008E66D5" w:rsidRDefault="009D0B71" w:rsidP="00D73116">
      <w:pPr>
        <w:spacing w:before="160" w:line="276" w:lineRule="auto"/>
        <w:rPr>
          <w:rFonts w:ascii="Arial" w:hAnsi="Arial" w:cs="Arial"/>
          <w:b/>
          <w:bCs/>
          <w:sz w:val="28"/>
          <w:szCs w:val="28"/>
        </w:rPr>
      </w:pPr>
      <w:r w:rsidRPr="008E66D5">
        <w:rPr>
          <w:rFonts w:ascii="Arial" w:hAnsi="Arial" w:cs="Arial"/>
          <w:b/>
          <w:bCs/>
          <w:sz w:val="28"/>
          <w:szCs w:val="28"/>
        </w:rPr>
        <w:t>Acknowledgements</w:t>
      </w:r>
    </w:p>
    <w:p w14:paraId="2C41B333" w14:textId="6456F6C4" w:rsidR="009D0B71" w:rsidRPr="008E66D5" w:rsidRDefault="009D0B71" w:rsidP="00D73116">
      <w:pPr>
        <w:spacing w:before="160" w:line="276" w:lineRule="auto"/>
        <w:rPr>
          <w:rFonts w:ascii="Arial" w:hAnsi="Arial" w:cs="Arial"/>
          <w:sz w:val="24"/>
          <w:szCs w:val="24"/>
        </w:rPr>
      </w:pPr>
      <w:r w:rsidRPr="008E66D5">
        <w:rPr>
          <w:rFonts w:ascii="Arial" w:hAnsi="Arial" w:cs="Arial"/>
          <w:sz w:val="24"/>
          <w:szCs w:val="24"/>
        </w:rPr>
        <w:t>We would like to thank Abi Bickerton for conducting the data extraction.</w:t>
      </w:r>
    </w:p>
    <w:p w14:paraId="57676855" w14:textId="4987BB06" w:rsidR="00984B46" w:rsidRPr="008E66D5" w:rsidRDefault="00984B46" w:rsidP="00D73116">
      <w:pPr>
        <w:spacing w:before="160" w:line="276" w:lineRule="auto"/>
        <w:rPr>
          <w:rFonts w:ascii="Arial" w:hAnsi="Arial" w:cs="Arial"/>
          <w:b/>
          <w:bCs/>
          <w:sz w:val="28"/>
          <w:szCs w:val="28"/>
        </w:rPr>
      </w:pPr>
      <w:r w:rsidRPr="008E66D5">
        <w:rPr>
          <w:rFonts w:ascii="Arial" w:hAnsi="Arial" w:cs="Arial"/>
          <w:b/>
          <w:bCs/>
          <w:sz w:val="28"/>
          <w:szCs w:val="28"/>
        </w:rPr>
        <w:t xml:space="preserve">Supplementary </w:t>
      </w:r>
      <w:r w:rsidR="00CC71F0" w:rsidRPr="008E66D5">
        <w:rPr>
          <w:rFonts w:ascii="Arial" w:hAnsi="Arial" w:cs="Arial"/>
          <w:b/>
          <w:bCs/>
          <w:sz w:val="28"/>
          <w:szCs w:val="28"/>
        </w:rPr>
        <w:t>material</w:t>
      </w:r>
    </w:p>
    <w:p w14:paraId="158C9559" w14:textId="2DEB7E20" w:rsidR="00CC71F0" w:rsidRPr="008E66D5" w:rsidRDefault="00CC71F0" w:rsidP="00D73116">
      <w:pPr>
        <w:spacing w:before="160" w:line="276" w:lineRule="auto"/>
        <w:rPr>
          <w:rFonts w:ascii="Arial" w:hAnsi="Arial" w:cs="Arial"/>
          <w:sz w:val="24"/>
          <w:szCs w:val="24"/>
        </w:rPr>
      </w:pPr>
      <w:r w:rsidRPr="008E66D5">
        <w:rPr>
          <w:rFonts w:ascii="Arial" w:hAnsi="Arial" w:cs="Arial"/>
          <w:sz w:val="24"/>
          <w:szCs w:val="24"/>
        </w:rPr>
        <w:lastRenderedPageBreak/>
        <w:t>Supplementary material is available online.</w:t>
      </w:r>
    </w:p>
    <w:p w14:paraId="791CFAFB" w14:textId="38A88F31" w:rsidR="00CC71F0" w:rsidRPr="008E66D5" w:rsidRDefault="00CC71F0" w:rsidP="00D73116">
      <w:pPr>
        <w:spacing w:before="160" w:line="276" w:lineRule="auto"/>
        <w:rPr>
          <w:rFonts w:ascii="Arial" w:hAnsi="Arial" w:cs="Arial"/>
          <w:b/>
          <w:bCs/>
          <w:sz w:val="28"/>
          <w:szCs w:val="28"/>
        </w:rPr>
      </w:pPr>
      <w:r w:rsidRPr="008E66D5">
        <w:rPr>
          <w:rFonts w:ascii="Arial" w:hAnsi="Arial" w:cs="Arial"/>
          <w:b/>
          <w:bCs/>
          <w:sz w:val="28"/>
          <w:szCs w:val="28"/>
        </w:rPr>
        <w:t>Conflicts of interest</w:t>
      </w:r>
    </w:p>
    <w:p w14:paraId="1036730C" w14:textId="03042360" w:rsidR="00CC71F0" w:rsidRPr="008E66D5" w:rsidRDefault="00CC71F0" w:rsidP="00D73116">
      <w:pPr>
        <w:spacing w:before="160" w:line="276" w:lineRule="auto"/>
        <w:rPr>
          <w:rFonts w:ascii="Arial" w:hAnsi="Arial" w:cs="Arial"/>
          <w:sz w:val="24"/>
          <w:szCs w:val="24"/>
        </w:rPr>
      </w:pPr>
      <w:r w:rsidRPr="008E66D5">
        <w:rPr>
          <w:rFonts w:ascii="Arial" w:hAnsi="Arial" w:cs="Arial"/>
          <w:sz w:val="24"/>
          <w:szCs w:val="24"/>
        </w:rPr>
        <w:t>None declared.</w:t>
      </w:r>
    </w:p>
    <w:p w14:paraId="5EFE6DEB" w14:textId="23075BCB" w:rsidR="00EF7EE0" w:rsidRPr="008E66D5" w:rsidRDefault="00EF7EE0" w:rsidP="00D73116">
      <w:pPr>
        <w:spacing w:before="160" w:line="276" w:lineRule="auto"/>
        <w:rPr>
          <w:rFonts w:ascii="Arial" w:hAnsi="Arial" w:cs="Arial"/>
          <w:b/>
          <w:bCs/>
          <w:sz w:val="28"/>
          <w:szCs w:val="28"/>
        </w:rPr>
      </w:pPr>
      <w:r w:rsidRPr="008E66D5">
        <w:rPr>
          <w:rFonts w:ascii="Arial" w:hAnsi="Arial" w:cs="Arial"/>
          <w:b/>
          <w:bCs/>
          <w:sz w:val="28"/>
          <w:szCs w:val="28"/>
        </w:rPr>
        <w:t>Patient and public involvement</w:t>
      </w:r>
    </w:p>
    <w:p w14:paraId="36969820" w14:textId="63EE5DFA" w:rsidR="00EF7EE0" w:rsidRPr="008E66D5" w:rsidRDefault="00EF7EE0" w:rsidP="00EF7EE0">
      <w:pPr>
        <w:spacing w:before="160" w:line="276" w:lineRule="auto"/>
        <w:rPr>
          <w:rFonts w:ascii="Arial" w:hAnsi="Arial" w:cs="Arial"/>
          <w:sz w:val="24"/>
          <w:szCs w:val="24"/>
        </w:rPr>
      </w:pPr>
      <w:r w:rsidRPr="008E66D5">
        <w:rPr>
          <w:rFonts w:ascii="Arial" w:hAnsi="Arial" w:cs="Arial"/>
          <w:sz w:val="24"/>
          <w:szCs w:val="24"/>
        </w:rPr>
        <w:t>Our study was developed with extensive patient and public involvement and has two lay representative co-</w:t>
      </w:r>
      <w:r w:rsidR="00581839" w:rsidRPr="008E66D5">
        <w:rPr>
          <w:rFonts w:ascii="Arial" w:hAnsi="Arial" w:cs="Arial"/>
          <w:sz w:val="24"/>
          <w:szCs w:val="24"/>
        </w:rPr>
        <w:t>investigators,</w:t>
      </w:r>
      <w:r w:rsidRPr="008E66D5">
        <w:rPr>
          <w:rFonts w:ascii="Arial" w:hAnsi="Arial" w:cs="Arial"/>
          <w:sz w:val="24"/>
          <w:szCs w:val="24"/>
        </w:rPr>
        <w:t xml:space="preserve"> and a patient and public panel made up of nine individuals who are providing advice and feedback on all aspects of the study.</w:t>
      </w:r>
      <w:r w:rsidR="00A910B0" w:rsidRPr="008E66D5">
        <w:rPr>
          <w:rFonts w:ascii="Arial" w:hAnsi="Arial" w:cs="Arial"/>
          <w:sz w:val="24"/>
          <w:szCs w:val="24"/>
        </w:rPr>
        <w:t xml:space="preserve"> One of the co-authors is a lay representative.</w:t>
      </w:r>
    </w:p>
    <w:p w14:paraId="014A5460" w14:textId="77777777" w:rsidR="00CC71F0" w:rsidRPr="008E66D5" w:rsidRDefault="00CC71F0" w:rsidP="00CC71F0">
      <w:pPr>
        <w:spacing w:before="160" w:line="276" w:lineRule="auto"/>
        <w:rPr>
          <w:rFonts w:ascii="Arial" w:hAnsi="Arial" w:cs="Arial"/>
          <w:b/>
          <w:bCs/>
          <w:sz w:val="28"/>
          <w:szCs w:val="28"/>
        </w:rPr>
      </w:pPr>
      <w:r w:rsidRPr="008E66D5">
        <w:rPr>
          <w:rFonts w:ascii="Arial" w:hAnsi="Arial" w:cs="Arial"/>
          <w:b/>
          <w:bCs/>
          <w:sz w:val="28"/>
          <w:szCs w:val="28"/>
        </w:rPr>
        <w:t>Funding</w:t>
      </w:r>
    </w:p>
    <w:p w14:paraId="12268026" w14:textId="0E9B9ED9" w:rsidR="00CC71F0" w:rsidRPr="008E66D5" w:rsidRDefault="00CC71F0" w:rsidP="00CC71F0">
      <w:pPr>
        <w:spacing w:before="160" w:line="276" w:lineRule="auto"/>
        <w:rPr>
          <w:rFonts w:ascii="Arial" w:hAnsi="Arial" w:cs="Arial"/>
          <w:iCs/>
          <w:sz w:val="24"/>
          <w:szCs w:val="24"/>
          <w:lang w:val="x-none"/>
        </w:rPr>
      </w:pPr>
      <w:r w:rsidRPr="008E66D5">
        <w:rPr>
          <w:rFonts w:ascii="Arial" w:hAnsi="Arial" w:cs="Arial"/>
          <w:sz w:val="24"/>
          <w:szCs w:val="24"/>
        </w:rPr>
        <w:t xml:space="preserve">This work was supported by the </w:t>
      </w:r>
      <w:r w:rsidRPr="008E66D5">
        <w:rPr>
          <w:rFonts w:ascii="Arial" w:hAnsi="Arial" w:cs="Arial"/>
          <w:sz w:val="24"/>
          <w:szCs w:val="24"/>
          <w:lang w:val="x-none"/>
        </w:rPr>
        <w:t>National Institute for Health and Care Research (NIHR) under its ‘Health and Social</w:t>
      </w:r>
      <w:r w:rsidR="00D46308" w:rsidRPr="008E66D5">
        <w:rPr>
          <w:rFonts w:ascii="Arial" w:hAnsi="Arial" w:cs="Arial"/>
          <w:sz w:val="24"/>
          <w:szCs w:val="24"/>
          <w:lang w:val="x-none"/>
        </w:rPr>
        <w:t xml:space="preserve"> </w:t>
      </w:r>
      <w:r w:rsidRPr="008E66D5">
        <w:rPr>
          <w:rFonts w:ascii="Arial" w:hAnsi="Arial" w:cs="Arial"/>
          <w:sz w:val="24"/>
          <w:szCs w:val="24"/>
          <w:lang w:val="x-none"/>
        </w:rPr>
        <w:t>Care Delivery Research (HSDR) Programme’ (Grant Reference</w:t>
      </w:r>
      <w:r w:rsidR="00D46308" w:rsidRPr="008E66D5">
        <w:rPr>
          <w:rFonts w:ascii="Arial" w:hAnsi="Arial" w:cs="Arial"/>
          <w:sz w:val="24"/>
          <w:szCs w:val="24"/>
          <w:lang w:val="x-none"/>
        </w:rPr>
        <w:t xml:space="preserve"> </w:t>
      </w:r>
      <w:r w:rsidRPr="008E66D5">
        <w:rPr>
          <w:rFonts w:ascii="Arial" w:hAnsi="Arial" w:cs="Arial"/>
          <w:sz w:val="24"/>
          <w:szCs w:val="24"/>
          <w:lang w:val="x-none"/>
        </w:rPr>
        <w:t>Number NIHR153231). The views expressed are those of the author(s) and</w:t>
      </w:r>
      <w:r w:rsidR="00D46308" w:rsidRPr="008E66D5">
        <w:rPr>
          <w:rFonts w:ascii="Arial" w:hAnsi="Arial" w:cs="Arial"/>
          <w:sz w:val="24"/>
          <w:szCs w:val="24"/>
          <w:lang w:val="x-none"/>
        </w:rPr>
        <w:t xml:space="preserve"> </w:t>
      </w:r>
      <w:r w:rsidRPr="008E66D5">
        <w:rPr>
          <w:rFonts w:ascii="Arial" w:hAnsi="Arial" w:cs="Arial"/>
          <w:sz w:val="24"/>
          <w:szCs w:val="24"/>
          <w:lang w:val="x-none"/>
        </w:rPr>
        <w:t>not necessarily</w:t>
      </w:r>
      <w:r w:rsidR="00D46308" w:rsidRPr="008E66D5">
        <w:rPr>
          <w:rFonts w:ascii="Arial" w:hAnsi="Arial" w:cs="Arial"/>
          <w:sz w:val="24"/>
          <w:szCs w:val="24"/>
          <w:lang w:val="x-none"/>
        </w:rPr>
        <w:t xml:space="preserve"> </w:t>
      </w:r>
      <w:r w:rsidRPr="008E66D5">
        <w:rPr>
          <w:rFonts w:ascii="Arial" w:hAnsi="Arial" w:cs="Arial"/>
          <w:sz w:val="24"/>
          <w:szCs w:val="24"/>
          <w:lang w:val="x-none"/>
        </w:rPr>
        <w:t>those of the NIHR or the Department of Health and Social Care.</w:t>
      </w:r>
      <w:r w:rsidR="00D46308" w:rsidRPr="008E66D5">
        <w:rPr>
          <w:rFonts w:ascii="Arial" w:hAnsi="Arial" w:cs="Arial"/>
          <w:sz w:val="24"/>
          <w:szCs w:val="24"/>
          <w:lang w:val="x-none"/>
        </w:rPr>
        <w:t xml:space="preserve"> </w:t>
      </w:r>
      <w:r w:rsidRPr="008E66D5">
        <w:rPr>
          <w:rFonts w:ascii="Arial" w:hAnsi="Arial" w:cs="Arial"/>
          <w:iCs/>
          <w:sz w:val="24"/>
          <w:szCs w:val="24"/>
          <w:lang w:val="x-none"/>
        </w:rPr>
        <w:t>The funders had no role in study design, data collection and analysis, decision to publish, or preparation of the manuscript.</w:t>
      </w:r>
    </w:p>
    <w:p w14:paraId="112E8719" w14:textId="7452EBC2" w:rsidR="00984B46" w:rsidRPr="008E66D5" w:rsidRDefault="00984B46" w:rsidP="00D73116">
      <w:pPr>
        <w:spacing w:before="160" w:line="276" w:lineRule="auto"/>
        <w:rPr>
          <w:rFonts w:ascii="Arial" w:hAnsi="Arial" w:cs="Arial"/>
          <w:b/>
          <w:bCs/>
          <w:sz w:val="28"/>
          <w:szCs w:val="28"/>
        </w:rPr>
      </w:pPr>
      <w:r w:rsidRPr="008E66D5">
        <w:rPr>
          <w:rFonts w:ascii="Arial" w:hAnsi="Arial" w:cs="Arial"/>
          <w:b/>
          <w:bCs/>
          <w:sz w:val="28"/>
          <w:szCs w:val="28"/>
        </w:rPr>
        <w:t>Ethic</w:t>
      </w:r>
      <w:r w:rsidR="00CC71F0" w:rsidRPr="008E66D5">
        <w:rPr>
          <w:rFonts w:ascii="Arial" w:hAnsi="Arial" w:cs="Arial"/>
          <w:b/>
          <w:bCs/>
          <w:sz w:val="28"/>
          <w:szCs w:val="28"/>
        </w:rPr>
        <w:t>al</w:t>
      </w:r>
      <w:r w:rsidRPr="008E66D5">
        <w:rPr>
          <w:rFonts w:ascii="Arial" w:hAnsi="Arial" w:cs="Arial"/>
          <w:b/>
          <w:bCs/>
          <w:sz w:val="28"/>
          <w:szCs w:val="28"/>
        </w:rPr>
        <w:t xml:space="preserve"> approval</w:t>
      </w:r>
    </w:p>
    <w:p w14:paraId="16D23346" w14:textId="623FE989" w:rsidR="00CC71F0" w:rsidRPr="008E66D5" w:rsidRDefault="00CC71F0" w:rsidP="00D73116">
      <w:pPr>
        <w:spacing w:before="160" w:line="276" w:lineRule="auto"/>
        <w:rPr>
          <w:rFonts w:ascii="Arial" w:hAnsi="Arial" w:cs="Arial"/>
          <w:sz w:val="24"/>
          <w:szCs w:val="24"/>
          <w:lang w:val="x-none"/>
        </w:rPr>
      </w:pPr>
      <w:r w:rsidRPr="008E66D5">
        <w:rPr>
          <w:rFonts w:ascii="Arial" w:hAnsi="Arial" w:cs="Arial"/>
          <w:sz w:val="24"/>
          <w:szCs w:val="24"/>
        </w:rPr>
        <w:t xml:space="preserve">This study had ethical approval from the </w:t>
      </w:r>
      <w:r w:rsidRPr="008E66D5">
        <w:rPr>
          <w:rFonts w:ascii="Arial" w:hAnsi="Arial" w:cs="Arial"/>
          <w:sz w:val="24"/>
          <w:szCs w:val="24"/>
          <w:lang w:val="x-none"/>
        </w:rPr>
        <w:t xml:space="preserve">HRA and Health and Care Research Wales (HCRW) (REC reference: 23/PR/1169). </w:t>
      </w:r>
    </w:p>
    <w:p w14:paraId="0ED405A4" w14:textId="637B8861" w:rsidR="00984B46" w:rsidRPr="008E66D5" w:rsidRDefault="00984B46" w:rsidP="00D73116">
      <w:pPr>
        <w:spacing w:before="160" w:line="276" w:lineRule="auto"/>
        <w:rPr>
          <w:rFonts w:ascii="Arial" w:hAnsi="Arial" w:cs="Arial"/>
          <w:b/>
          <w:bCs/>
          <w:sz w:val="28"/>
          <w:szCs w:val="28"/>
        </w:rPr>
      </w:pPr>
      <w:r w:rsidRPr="008E66D5">
        <w:rPr>
          <w:rFonts w:ascii="Arial" w:hAnsi="Arial" w:cs="Arial"/>
          <w:b/>
          <w:bCs/>
          <w:sz w:val="28"/>
          <w:szCs w:val="28"/>
        </w:rPr>
        <w:t>Data availability</w:t>
      </w:r>
    </w:p>
    <w:p w14:paraId="6EB0CE1C" w14:textId="5C2AAFA3" w:rsidR="00D46308" w:rsidRPr="008E66D5" w:rsidRDefault="00D46308" w:rsidP="00D73116">
      <w:pPr>
        <w:spacing w:before="160" w:line="276" w:lineRule="auto"/>
        <w:rPr>
          <w:rFonts w:ascii="Arial" w:hAnsi="Arial" w:cs="Arial"/>
          <w:sz w:val="24"/>
          <w:szCs w:val="24"/>
        </w:rPr>
      </w:pPr>
      <w:r w:rsidRPr="008E66D5">
        <w:rPr>
          <w:rFonts w:ascii="Arial" w:hAnsi="Arial" w:cs="Arial"/>
          <w:sz w:val="24"/>
          <w:szCs w:val="24"/>
        </w:rPr>
        <w:t>Data will be shared on reasonable request to the corresponding author.</w:t>
      </w:r>
    </w:p>
    <w:p w14:paraId="7D59F603" w14:textId="67000446" w:rsidR="006766F0" w:rsidRDefault="00953D55" w:rsidP="00D73116">
      <w:pPr>
        <w:spacing w:before="160" w:line="276" w:lineRule="auto"/>
        <w:rPr>
          <w:rFonts w:ascii="Arial" w:hAnsi="Arial" w:cs="Arial"/>
          <w:b/>
          <w:bCs/>
          <w:sz w:val="28"/>
          <w:szCs w:val="28"/>
        </w:rPr>
      </w:pPr>
      <w:r w:rsidRPr="008E66D5">
        <w:rPr>
          <w:rFonts w:ascii="Arial" w:hAnsi="Arial" w:cs="Arial"/>
          <w:b/>
          <w:bCs/>
          <w:sz w:val="28"/>
          <w:szCs w:val="28"/>
        </w:rPr>
        <w:t>References</w:t>
      </w:r>
      <w:bookmarkEnd w:id="6"/>
    </w:p>
    <w:p w14:paraId="50B014EB"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Romanello M, Napoli C di, Green C, </w:t>
      </w:r>
      <w:r w:rsidRPr="003742D4">
        <w:rPr>
          <w:rFonts w:ascii="Arial" w:hAnsi="Arial" w:cs="Arial"/>
          <w:i/>
          <w:sz w:val="24"/>
          <w:szCs w:val="24"/>
          <w:lang w:val="x-none"/>
        </w:rPr>
        <w:t xml:space="preserve">et al. </w:t>
      </w:r>
      <w:r w:rsidRPr="003742D4">
        <w:rPr>
          <w:rFonts w:ascii="Arial" w:hAnsi="Arial" w:cs="Arial"/>
          <w:sz w:val="24"/>
          <w:szCs w:val="24"/>
          <w:lang w:val="x-none"/>
        </w:rPr>
        <w:t xml:space="preserve">The 2023 report of the lancet Countdown on health and climate change: the imperative for a health- centred response in a world facing irreversible harms. </w:t>
      </w:r>
      <w:r w:rsidRPr="003742D4">
        <w:rPr>
          <w:rFonts w:ascii="Arial" w:hAnsi="Arial" w:cs="Arial"/>
          <w:i/>
          <w:sz w:val="24"/>
          <w:szCs w:val="24"/>
          <w:lang w:val="x-none"/>
        </w:rPr>
        <w:t>Lancet</w:t>
      </w:r>
      <w:r w:rsidRPr="003742D4">
        <w:rPr>
          <w:rFonts w:ascii="Arial" w:hAnsi="Arial" w:cs="Arial"/>
          <w:sz w:val="24"/>
          <w:szCs w:val="24"/>
          <w:lang w:val="x-none"/>
        </w:rPr>
        <w:t xml:space="preserve"> 2023;402:2346–94.</w:t>
      </w:r>
    </w:p>
    <w:p w14:paraId="0E1F5AE8"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Ebi KL, Vanos J, Baldwin JW, et al. Extreme weather and climate change: population health and health system implications. </w:t>
      </w:r>
      <w:r w:rsidRPr="003742D4">
        <w:rPr>
          <w:rFonts w:ascii="Arial" w:hAnsi="Arial" w:cs="Arial"/>
          <w:iCs/>
          <w:sz w:val="24"/>
          <w:szCs w:val="24"/>
        </w:rPr>
        <w:t>Annu Rev Public Health</w:t>
      </w:r>
      <w:r w:rsidRPr="003742D4">
        <w:rPr>
          <w:rFonts w:ascii="Arial" w:hAnsi="Arial" w:cs="Arial"/>
          <w:i/>
          <w:sz w:val="24"/>
          <w:szCs w:val="24"/>
        </w:rPr>
        <w:t xml:space="preserve"> </w:t>
      </w:r>
      <w:r w:rsidRPr="003742D4">
        <w:rPr>
          <w:rFonts w:ascii="Arial" w:hAnsi="Arial" w:cs="Arial"/>
          <w:sz w:val="24"/>
          <w:szCs w:val="24"/>
        </w:rPr>
        <w:t>2021; 42: 293–315.</w:t>
      </w:r>
    </w:p>
    <w:p w14:paraId="63EF4075"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Wang H, Horton R. Tackling climate change: the greatest opportunity for global health. Lancet 2015; 386:1798–9.</w:t>
      </w:r>
    </w:p>
    <w:p w14:paraId="6C88C1F6"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Intergovernmental Panel on Climate Change. In: Mukherji A, Thorne P, Cheung WWL, et al. IPCC sixth assessment report (AR6) synthesis report: climate change 2023. Intergovernmental Panel on Climate Change, 2023. </w:t>
      </w:r>
      <w:hyperlink r:id="rId10" w:history="1">
        <w:r w:rsidRPr="003742D4">
          <w:rPr>
            <w:rStyle w:val="Hyperlink"/>
            <w:rFonts w:ascii="Arial" w:hAnsi="Arial" w:cs="Arial"/>
            <w:sz w:val="24"/>
            <w:szCs w:val="24"/>
          </w:rPr>
          <w:t>https://report.ipcc.ch/ar6syr/pdf/IPCC_AR6_SYR_SPM.pdf</w:t>
        </w:r>
      </w:hyperlink>
      <w:r w:rsidRPr="003742D4">
        <w:rPr>
          <w:rFonts w:ascii="Arial" w:hAnsi="Arial" w:cs="Arial"/>
          <w:sz w:val="24"/>
          <w:szCs w:val="24"/>
        </w:rPr>
        <w:t xml:space="preserve"> (accessed 25/04/2023).</w:t>
      </w:r>
    </w:p>
    <w:p w14:paraId="5585E510"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Romanello M, Di Napoli C, Drummond P, et al. The 2022 report of the lancet countdown on health and climate change: health at the mercy of fossil fuels. Lancet 2022; 400:1619–54.</w:t>
      </w:r>
    </w:p>
    <w:p w14:paraId="0CB189D5"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lastRenderedPageBreak/>
        <w:t>Maibach EW, Nisbet M, Baldwin P, Akerlof K and Diao G. Reframing climate change as a public health issue: an exploratory study of public reactions. BMC Public Health, 2010; 10(1), 299.</w:t>
      </w:r>
    </w:p>
    <w:p w14:paraId="12015CE4"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Lenzen M, Malik A, Li M, </w:t>
      </w:r>
      <w:r w:rsidRPr="003742D4">
        <w:rPr>
          <w:rFonts w:ascii="Arial" w:hAnsi="Arial" w:cs="Arial"/>
          <w:i/>
          <w:sz w:val="24"/>
          <w:szCs w:val="24"/>
          <w:lang w:val="x-none"/>
        </w:rPr>
        <w:t xml:space="preserve">et al. </w:t>
      </w:r>
      <w:r w:rsidRPr="003742D4">
        <w:rPr>
          <w:rFonts w:ascii="Arial" w:hAnsi="Arial" w:cs="Arial"/>
          <w:sz w:val="24"/>
          <w:szCs w:val="24"/>
          <w:lang w:val="x-none"/>
        </w:rPr>
        <w:t xml:space="preserve">The environmental footprint of health care: a global assessment. </w:t>
      </w:r>
      <w:r w:rsidRPr="003742D4">
        <w:rPr>
          <w:rFonts w:ascii="Arial" w:hAnsi="Arial" w:cs="Arial"/>
          <w:i/>
          <w:sz w:val="24"/>
          <w:szCs w:val="24"/>
          <w:lang w:val="x-none"/>
        </w:rPr>
        <w:t xml:space="preserve">Lancet Planet Health </w:t>
      </w:r>
      <w:r w:rsidRPr="003742D4">
        <w:rPr>
          <w:rFonts w:ascii="Arial" w:hAnsi="Arial" w:cs="Arial"/>
          <w:sz w:val="24"/>
          <w:szCs w:val="24"/>
          <w:lang w:val="x-none"/>
        </w:rPr>
        <w:t>2020;4:e271–9.</w:t>
      </w:r>
    </w:p>
    <w:p w14:paraId="59554642"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Health Care Without Harm. Health care climate footprint report. 2019. Available: </w:t>
      </w:r>
      <w:hyperlink r:id="rId11" w:history="1">
        <w:r w:rsidRPr="003742D4">
          <w:rPr>
            <w:rStyle w:val="Hyperlink"/>
            <w:rFonts w:ascii="Arial" w:hAnsi="Arial" w:cs="Arial"/>
            <w:sz w:val="24"/>
            <w:szCs w:val="24"/>
            <w:lang w:val="x-none"/>
          </w:rPr>
          <w:t>https://noharm-europe.org/ClimateFootprintReport</w:t>
        </w:r>
      </w:hyperlink>
      <w:r w:rsidRPr="003742D4">
        <w:rPr>
          <w:rFonts w:ascii="Arial" w:hAnsi="Arial" w:cs="Arial"/>
          <w:sz w:val="24"/>
          <w:szCs w:val="24"/>
          <w:lang w:val="x-none"/>
        </w:rPr>
        <w:t xml:space="preserve"> </w:t>
      </w:r>
    </w:p>
    <w:p w14:paraId="37752AFE"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Eckelman MJ, Sherman J. Environmental impacts of the US health care system and effects on public health. </w:t>
      </w:r>
      <w:proofErr w:type="spellStart"/>
      <w:r w:rsidRPr="003742D4">
        <w:rPr>
          <w:rFonts w:ascii="Arial" w:hAnsi="Arial" w:cs="Arial"/>
          <w:i/>
          <w:sz w:val="24"/>
          <w:szCs w:val="24"/>
          <w:lang w:val="x-none"/>
        </w:rPr>
        <w:t>PLoS</w:t>
      </w:r>
      <w:proofErr w:type="spellEnd"/>
      <w:r w:rsidRPr="003742D4">
        <w:rPr>
          <w:rFonts w:ascii="Arial" w:hAnsi="Arial" w:cs="Arial"/>
          <w:i/>
          <w:sz w:val="24"/>
          <w:szCs w:val="24"/>
          <w:lang w:val="x-none"/>
        </w:rPr>
        <w:t xml:space="preserve"> One </w:t>
      </w:r>
      <w:r w:rsidRPr="003742D4">
        <w:rPr>
          <w:rFonts w:ascii="Arial" w:hAnsi="Arial" w:cs="Arial"/>
          <w:sz w:val="24"/>
          <w:szCs w:val="24"/>
          <w:lang w:val="x-none"/>
        </w:rPr>
        <w:t>2016;11:e0157014.</w:t>
      </w:r>
    </w:p>
    <w:p w14:paraId="24FF2406"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Eckelman MJ, Huang K, Lagasse R, </w:t>
      </w:r>
      <w:r w:rsidRPr="003742D4">
        <w:rPr>
          <w:rFonts w:ascii="Arial" w:hAnsi="Arial" w:cs="Arial"/>
          <w:i/>
          <w:sz w:val="24"/>
          <w:szCs w:val="24"/>
          <w:lang w:val="x-none"/>
        </w:rPr>
        <w:t xml:space="preserve">et al. </w:t>
      </w:r>
      <w:r w:rsidRPr="003742D4">
        <w:rPr>
          <w:rFonts w:ascii="Arial" w:hAnsi="Arial" w:cs="Arial"/>
          <w:sz w:val="24"/>
          <w:szCs w:val="24"/>
          <w:lang w:val="x-none"/>
        </w:rPr>
        <w:t xml:space="preserve">Health care pollution and public health damage in the United States: an update: study examines health care pollution and public health damage in the United States. </w:t>
      </w:r>
      <w:r w:rsidRPr="003742D4">
        <w:rPr>
          <w:rFonts w:ascii="Arial" w:hAnsi="Arial" w:cs="Arial"/>
          <w:i/>
          <w:sz w:val="24"/>
          <w:szCs w:val="24"/>
          <w:lang w:val="x-none"/>
        </w:rPr>
        <w:t xml:space="preserve">Health </w:t>
      </w:r>
      <w:proofErr w:type="spellStart"/>
      <w:r w:rsidRPr="003742D4">
        <w:rPr>
          <w:rFonts w:ascii="Arial" w:hAnsi="Arial" w:cs="Arial"/>
          <w:i/>
          <w:sz w:val="24"/>
          <w:szCs w:val="24"/>
          <w:lang w:val="x-none"/>
        </w:rPr>
        <w:t>Aff</w:t>
      </w:r>
      <w:proofErr w:type="spellEnd"/>
      <w:r w:rsidRPr="003742D4">
        <w:rPr>
          <w:rFonts w:ascii="Arial" w:hAnsi="Arial" w:cs="Arial"/>
          <w:sz w:val="24"/>
          <w:szCs w:val="24"/>
          <w:lang w:val="x-none"/>
        </w:rPr>
        <w:t xml:space="preserve"> </w:t>
      </w:r>
      <w:r w:rsidRPr="003742D4">
        <w:rPr>
          <w:rFonts w:ascii="Arial" w:hAnsi="Arial" w:cs="Arial"/>
          <w:i/>
          <w:sz w:val="24"/>
          <w:szCs w:val="24"/>
          <w:lang w:val="x-none"/>
        </w:rPr>
        <w:t xml:space="preserve">(Millwood) </w:t>
      </w:r>
      <w:r w:rsidRPr="003742D4">
        <w:rPr>
          <w:rFonts w:ascii="Arial" w:hAnsi="Arial" w:cs="Arial"/>
          <w:sz w:val="24"/>
          <w:szCs w:val="24"/>
          <w:lang w:val="x-none"/>
        </w:rPr>
        <w:t>2020;39:2071–9.</w:t>
      </w:r>
    </w:p>
    <w:p w14:paraId="6B15B42C"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Tennison I, </w:t>
      </w:r>
      <w:proofErr w:type="spellStart"/>
      <w:r w:rsidRPr="003742D4">
        <w:rPr>
          <w:rFonts w:ascii="Arial" w:hAnsi="Arial" w:cs="Arial"/>
          <w:sz w:val="24"/>
          <w:szCs w:val="24"/>
          <w:lang w:val="x-none"/>
        </w:rPr>
        <w:t>Roschnik</w:t>
      </w:r>
      <w:proofErr w:type="spellEnd"/>
      <w:r w:rsidRPr="003742D4">
        <w:rPr>
          <w:rFonts w:ascii="Arial" w:hAnsi="Arial" w:cs="Arial"/>
          <w:sz w:val="24"/>
          <w:szCs w:val="24"/>
          <w:lang w:val="x-none"/>
        </w:rPr>
        <w:t xml:space="preserve"> S, Ashby B, </w:t>
      </w:r>
      <w:r w:rsidRPr="003742D4">
        <w:rPr>
          <w:rFonts w:ascii="Arial" w:hAnsi="Arial" w:cs="Arial"/>
          <w:i/>
          <w:sz w:val="24"/>
          <w:szCs w:val="24"/>
          <w:lang w:val="x-none"/>
        </w:rPr>
        <w:t xml:space="preserve">et al. </w:t>
      </w:r>
      <w:r w:rsidRPr="003742D4">
        <w:rPr>
          <w:rFonts w:ascii="Arial" w:hAnsi="Arial" w:cs="Arial"/>
          <w:sz w:val="24"/>
          <w:szCs w:val="24"/>
          <w:lang w:val="x-none"/>
        </w:rPr>
        <w:t xml:space="preserve">Health care’s response to climate change: a carbon footprint assessment of the NHS in England. </w:t>
      </w:r>
      <w:r w:rsidRPr="003742D4">
        <w:rPr>
          <w:rFonts w:ascii="Arial" w:hAnsi="Arial" w:cs="Arial"/>
          <w:i/>
          <w:sz w:val="24"/>
          <w:szCs w:val="24"/>
          <w:lang w:val="x-none"/>
        </w:rPr>
        <w:t>Lancet</w:t>
      </w:r>
      <w:r w:rsidRPr="003742D4">
        <w:rPr>
          <w:rFonts w:ascii="Arial" w:hAnsi="Arial" w:cs="Arial"/>
          <w:sz w:val="24"/>
          <w:szCs w:val="24"/>
          <w:lang w:val="x-none"/>
        </w:rPr>
        <w:t xml:space="preserve"> </w:t>
      </w:r>
      <w:r w:rsidRPr="003742D4">
        <w:rPr>
          <w:rFonts w:ascii="Arial" w:hAnsi="Arial" w:cs="Arial"/>
          <w:i/>
          <w:sz w:val="24"/>
          <w:szCs w:val="24"/>
          <w:lang w:val="x-none"/>
        </w:rPr>
        <w:t xml:space="preserve">Planet Health </w:t>
      </w:r>
      <w:r w:rsidRPr="003742D4">
        <w:rPr>
          <w:rFonts w:ascii="Arial" w:hAnsi="Arial" w:cs="Arial"/>
          <w:sz w:val="24"/>
          <w:szCs w:val="24"/>
          <w:lang w:val="x-none"/>
        </w:rPr>
        <w:t>2021;5:e84–92.</w:t>
      </w:r>
    </w:p>
    <w:p w14:paraId="3AADEC7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Naylor C and Appleby J. Sustainable health and social care, connecting environmental and financial performance. The King's Fund; 2012.</w:t>
      </w:r>
    </w:p>
    <w:p w14:paraId="3D54EA58"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Naylor C, Appleby J. Environmentally sustainable health and social care: Scoping review and implications for the English NHS. </w:t>
      </w:r>
      <w:r w:rsidRPr="003742D4">
        <w:rPr>
          <w:rFonts w:ascii="Arial" w:hAnsi="Arial" w:cs="Arial"/>
          <w:i/>
          <w:sz w:val="24"/>
          <w:szCs w:val="24"/>
          <w:lang w:val="x-none"/>
        </w:rPr>
        <w:t xml:space="preserve">J Health </w:t>
      </w:r>
      <w:proofErr w:type="spellStart"/>
      <w:r w:rsidRPr="003742D4">
        <w:rPr>
          <w:rFonts w:ascii="Arial" w:hAnsi="Arial" w:cs="Arial"/>
          <w:i/>
          <w:sz w:val="24"/>
          <w:szCs w:val="24"/>
          <w:lang w:val="x-none"/>
        </w:rPr>
        <w:t>Serv</w:t>
      </w:r>
      <w:proofErr w:type="spellEnd"/>
      <w:r w:rsidRPr="003742D4">
        <w:rPr>
          <w:rFonts w:ascii="Arial" w:hAnsi="Arial" w:cs="Arial"/>
          <w:i/>
          <w:sz w:val="24"/>
          <w:szCs w:val="24"/>
          <w:lang w:val="x-none"/>
        </w:rPr>
        <w:t xml:space="preserve"> Res</w:t>
      </w:r>
      <w:r w:rsidRPr="003742D4">
        <w:rPr>
          <w:rFonts w:ascii="Arial" w:hAnsi="Arial" w:cs="Arial"/>
          <w:sz w:val="24"/>
          <w:szCs w:val="24"/>
          <w:lang w:val="x-none"/>
        </w:rPr>
        <w:t xml:space="preserve"> </w:t>
      </w:r>
      <w:r w:rsidRPr="003742D4">
        <w:rPr>
          <w:rFonts w:ascii="Arial" w:hAnsi="Arial" w:cs="Arial"/>
          <w:i/>
          <w:sz w:val="24"/>
          <w:szCs w:val="24"/>
          <w:lang w:val="x-none"/>
        </w:rPr>
        <w:t xml:space="preserve">Policy </w:t>
      </w:r>
      <w:r w:rsidRPr="003742D4">
        <w:rPr>
          <w:rFonts w:ascii="Arial" w:hAnsi="Arial" w:cs="Arial"/>
          <w:sz w:val="24"/>
          <w:szCs w:val="24"/>
          <w:lang w:val="x-none"/>
        </w:rPr>
        <w:t>2013;18:114–21.</w:t>
      </w:r>
    </w:p>
    <w:p w14:paraId="7DAF016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Sherman JD, MacNeill AJ, Biddinger PD, Ergun O, Salas RN and Eckelman MJ. Sustainable and Resilient Health Care in the Face of a Changing Climate. ANNUAL REVIEW OF PUBLIC HEALTH, Volume 44, 2023</w:t>
      </w:r>
    </w:p>
    <w:p w14:paraId="3DD547D9"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Bhopal A, Norheim OF. Fair pathways to net-zero healthcare. </w:t>
      </w:r>
      <w:r w:rsidRPr="003742D4">
        <w:rPr>
          <w:rFonts w:ascii="Arial" w:hAnsi="Arial" w:cs="Arial"/>
          <w:i/>
          <w:iCs/>
          <w:sz w:val="24"/>
          <w:szCs w:val="24"/>
        </w:rPr>
        <w:t>Nat Med</w:t>
      </w:r>
      <w:r w:rsidRPr="003742D4">
        <w:rPr>
          <w:rFonts w:ascii="Arial" w:hAnsi="Arial" w:cs="Arial"/>
          <w:sz w:val="24"/>
          <w:szCs w:val="24"/>
        </w:rPr>
        <w:t xml:space="preserve"> 29, 1078–1084 (2023). </w:t>
      </w:r>
      <w:hyperlink r:id="rId12" w:history="1">
        <w:r w:rsidRPr="003742D4">
          <w:rPr>
            <w:rStyle w:val="Hyperlink"/>
            <w:rFonts w:ascii="Arial" w:hAnsi="Arial" w:cs="Arial"/>
            <w:sz w:val="24"/>
            <w:szCs w:val="24"/>
          </w:rPr>
          <w:t>https://doi.org/10.1038/s41591-023-02351-2</w:t>
        </w:r>
      </w:hyperlink>
    </w:p>
    <w:p w14:paraId="3A3226AD" w14:textId="77777777" w:rsidR="003742D4" w:rsidRPr="003742D4" w:rsidRDefault="003742D4" w:rsidP="00D3612A">
      <w:pPr>
        <w:numPr>
          <w:ilvl w:val="0"/>
          <w:numId w:val="4"/>
        </w:numPr>
        <w:spacing w:before="160" w:line="276" w:lineRule="auto"/>
        <w:ind w:left="284" w:hanging="218"/>
        <w:rPr>
          <w:rStyle w:val="Hyperlink"/>
          <w:rFonts w:ascii="Arial" w:hAnsi="Arial" w:cs="Arial"/>
          <w:sz w:val="24"/>
          <w:szCs w:val="24"/>
        </w:rPr>
      </w:pPr>
      <w:r w:rsidRPr="003742D4">
        <w:rPr>
          <w:rFonts w:ascii="Arial" w:hAnsi="Arial" w:cs="Arial"/>
          <w:sz w:val="24"/>
          <w:szCs w:val="24"/>
        </w:rPr>
        <w:t xml:space="preserve">Hu H, Cohen G, Sharma B, Yin H, and McConnell R. Sustainability in Health Care.  ANNUAL REVIEW OF ENVIRONMENT AND RESOURCES, </w:t>
      </w:r>
      <w:r w:rsidRPr="003742D4">
        <w:rPr>
          <w:rFonts w:ascii="Arial" w:hAnsi="Arial" w:cs="Arial"/>
          <w:sz w:val="24"/>
          <w:szCs w:val="24"/>
        </w:rPr>
        <w:fldChar w:fldCharType="begin"/>
      </w:r>
      <w:r w:rsidRPr="003742D4">
        <w:rPr>
          <w:rFonts w:ascii="Arial" w:hAnsi="Arial" w:cs="Arial"/>
          <w:sz w:val="24"/>
          <w:szCs w:val="24"/>
        </w:rPr>
        <w:instrText>HYPERLINK "https://www.annualreviews.org/content/journals/energy/47/1" \o ""</w:instrText>
      </w:r>
      <w:r w:rsidRPr="003742D4">
        <w:rPr>
          <w:rFonts w:ascii="Arial" w:hAnsi="Arial" w:cs="Arial"/>
          <w:sz w:val="24"/>
          <w:szCs w:val="24"/>
        </w:rPr>
      </w:r>
      <w:r w:rsidRPr="003742D4">
        <w:rPr>
          <w:rFonts w:ascii="Arial" w:hAnsi="Arial" w:cs="Arial"/>
          <w:sz w:val="24"/>
          <w:szCs w:val="24"/>
        </w:rPr>
        <w:fldChar w:fldCharType="separate"/>
      </w:r>
      <w:r w:rsidRPr="003742D4">
        <w:rPr>
          <w:rStyle w:val="Hyperlink"/>
          <w:rFonts w:ascii="Arial" w:hAnsi="Arial" w:cs="Arial"/>
          <w:sz w:val="24"/>
          <w:szCs w:val="24"/>
        </w:rPr>
        <w:t>Volume 47, 2022</w:t>
      </w:r>
    </w:p>
    <w:p w14:paraId="31028255"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fldChar w:fldCharType="end"/>
      </w:r>
      <w:r w:rsidRPr="003742D4">
        <w:rPr>
          <w:rFonts w:ascii="Arial" w:hAnsi="Arial" w:cs="Arial"/>
          <w:sz w:val="24"/>
          <w:szCs w:val="24"/>
        </w:rPr>
        <w:t xml:space="preserve">Tennison I, </w:t>
      </w:r>
      <w:proofErr w:type="spellStart"/>
      <w:r w:rsidRPr="003742D4">
        <w:rPr>
          <w:rFonts w:ascii="Arial" w:hAnsi="Arial" w:cs="Arial"/>
          <w:sz w:val="24"/>
          <w:szCs w:val="24"/>
        </w:rPr>
        <w:t>Roschnik</w:t>
      </w:r>
      <w:proofErr w:type="spellEnd"/>
      <w:r w:rsidRPr="003742D4">
        <w:rPr>
          <w:rFonts w:ascii="Arial" w:hAnsi="Arial" w:cs="Arial"/>
          <w:sz w:val="24"/>
          <w:szCs w:val="24"/>
        </w:rPr>
        <w:t xml:space="preserve"> S, Ashby B, Boyd R, Hamilton I, </w:t>
      </w:r>
      <w:proofErr w:type="spellStart"/>
      <w:r w:rsidRPr="003742D4">
        <w:rPr>
          <w:rFonts w:ascii="Arial" w:hAnsi="Arial" w:cs="Arial"/>
          <w:sz w:val="24"/>
          <w:szCs w:val="24"/>
        </w:rPr>
        <w:t>Oreszczyn</w:t>
      </w:r>
      <w:proofErr w:type="spellEnd"/>
      <w:r w:rsidRPr="003742D4">
        <w:rPr>
          <w:rFonts w:ascii="Arial" w:hAnsi="Arial" w:cs="Arial"/>
          <w:sz w:val="24"/>
          <w:szCs w:val="24"/>
        </w:rPr>
        <w:t xml:space="preserve"> T, et al. Health care's response to climate change: a carbon footprint assessment of the NHS in England. Lancet Planet Health. 2021;5(2</w:t>
      </w:r>
      <w:proofErr w:type="gramStart"/>
      <w:r w:rsidRPr="003742D4">
        <w:rPr>
          <w:rFonts w:ascii="Arial" w:hAnsi="Arial" w:cs="Arial"/>
          <w:sz w:val="24"/>
          <w:szCs w:val="24"/>
        </w:rPr>
        <w:t>):e</w:t>
      </w:r>
      <w:proofErr w:type="gramEnd"/>
      <w:r w:rsidRPr="003742D4">
        <w:rPr>
          <w:rFonts w:ascii="Arial" w:hAnsi="Arial" w:cs="Arial"/>
          <w:sz w:val="24"/>
          <w:szCs w:val="24"/>
        </w:rPr>
        <w:t>84-e92.</w:t>
      </w:r>
    </w:p>
    <w:p w14:paraId="484EB54B"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NHS. Delivering a “Net Zero” National Health Service. NHS England website 2020.</w:t>
      </w:r>
    </w:p>
    <w:p w14:paraId="0E8DE3DA"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NHS. Primary care services NHS Website: NHS; 2023 [Available from: </w:t>
      </w:r>
      <w:hyperlink r:id="rId13" w:anchor=":~:text=Primary%20care%20services%20provide%20the,optometry%20(eye%20health)%20services" w:history="1">
        <w:r w:rsidRPr="003742D4">
          <w:rPr>
            <w:rStyle w:val="Hyperlink"/>
            <w:rFonts w:ascii="Arial" w:hAnsi="Arial" w:cs="Arial"/>
            <w:sz w:val="24"/>
            <w:szCs w:val="24"/>
          </w:rPr>
          <w:t>https://www.england.nhs.uk/get-involved/get-involved/how/primarycare/#:~:text=Primary%20care%20services%20provide%20the,optometry%20(eye%20health)%20services</w:t>
        </w:r>
      </w:hyperlink>
      <w:r w:rsidRPr="003742D4">
        <w:rPr>
          <w:rFonts w:ascii="Arial" w:hAnsi="Arial" w:cs="Arial"/>
          <w:sz w:val="24"/>
          <w:szCs w:val="24"/>
        </w:rPr>
        <w:t xml:space="preserve">Kemple T. Planetary health and primary care: what's the emergency? Br J Gen </w:t>
      </w:r>
      <w:proofErr w:type="spellStart"/>
      <w:r w:rsidRPr="003742D4">
        <w:rPr>
          <w:rFonts w:ascii="Arial" w:hAnsi="Arial" w:cs="Arial"/>
          <w:sz w:val="24"/>
          <w:szCs w:val="24"/>
        </w:rPr>
        <w:t>Pract</w:t>
      </w:r>
      <w:proofErr w:type="spellEnd"/>
      <w:r w:rsidRPr="003742D4">
        <w:rPr>
          <w:rFonts w:ascii="Arial" w:hAnsi="Arial" w:cs="Arial"/>
          <w:sz w:val="24"/>
          <w:szCs w:val="24"/>
        </w:rPr>
        <w:t>. 2019;69(688):536-7.</w:t>
      </w:r>
    </w:p>
    <w:p w14:paraId="746AE15B"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lastRenderedPageBreak/>
        <w:t xml:space="preserve">Sawyer M. Decarbonising general practice. Your guide to a net-zero action plan for non-clinical emissions. In: Partnership </w:t>
      </w:r>
      <w:proofErr w:type="spellStart"/>
      <w:r w:rsidRPr="003742D4">
        <w:rPr>
          <w:rFonts w:ascii="Arial" w:hAnsi="Arial" w:cs="Arial"/>
          <w:sz w:val="24"/>
          <w:szCs w:val="24"/>
        </w:rPr>
        <w:t>HaC</w:t>
      </w:r>
      <w:proofErr w:type="spellEnd"/>
      <w:r w:rsidRPr="003742D4">
        <w:rPr>
          <w:rFonts w:ascii="Arial" w:hAnsi="Arial" w:cs="Arial"/>
          <w:sz w:val="24"/>
          <w:szCs w:val="24"/>
        </w:rPr>
        <w:t>, editor.: Humber and North Yorkshire ICB; 2022.</w:t>
      </w:r>
    </w:p>
    <w:p w14:paraId="435464FB"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rPr>
        <w:t xml:space="preserve">British Medical Association. 2023. Available from: </w:t>
      </w:r>
      <w:hyperlink r:id="rId14" w:history="1">
        <w:r w:rsidRPr="003742D4">
          <w:rPr>
            <w:rStyle w:val="Hyperlink"/>
            <w:rFonts w:ascii="Arial" w:hAnsi="Arial" w:cs="Arial"/>
            <w:sz w:val="24"/>
            <w:szCs w:val="24"/>
          </w:rPr>
          <w:t>https://www.bma.org.uk/what-we-do/population-health/protecting-people-from-threats-to-health/more-support-needed-to-help-the-nhs-reach-net-zero</w:t>
        </w:r>
      </w:hyperlink>
    </w:p>
    <w:p w14:paraId="17B2D40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Legrand J, Aubin-Auger I, De Bary L, </w:t>
      </w:r>
      <w:proofErr w:type="spellStart"/>
      <w:r w:rsidRPr="003742D4">
        <w:rPr>
          <w:rFonts w:ascii="Arial" w:hAnsi="Arial" w:cs="Arial"/>
          <w:sz w:val="24"/>
          <w:szCs w:val="24"/>
        </w:rPr>
        <w:t>Fossembas</w:t>
      </w:r>
      <w:proofErr w:type="spellEnd"/>
      <w:r w:rsidRPr="003742D4">
        <w:rPr>
          <w:rFonts w:ascii="Arial" w:hAnsi="Arial" w:cs="Arial"/>
          <w:sz w:val="24"/>
          <w:szCs w:val="24"/>
        </w:rPr>
        <w:t xml:space="preserve"> E, Baruch D, and </w:t>
      </w:r>
      <w:proofErr w:type="spellStart"/>
      <w:r w:rsidRPr="003742D4">
        <w:rPr>
          <w:rFonts w:ascii="Arial" w:hAnsi="Arial" w:cs="Arial"/>
          <w:sz w:val="24"/>
          <w:szCs w:val="24"/>
        </w:rPr>
        <w:t>Malmartel</w:t>
      </w:r>
      <w:proofErr w:type="spellEnd"/>
      <w:r w:rsidRPr="003742D4">
        <w:rPr>
          <w:rFonts w:ascii="Arial" w:hAnsi="Arial" w:cs="Arial"/>
          <w:sz w:val="24"/>
          <w:szCs w:val="24"/>
        </w:rPr>
        <w:t xml:space="preserve"> A. Sustainable development in general practice. </w:t>
      </w:r>
      <w:r w:rsidRPr="003742D4">
        <w:rPr>
          <w:rFonts w:ascii="Arial" w:hAnsi="Arial" w:cs="Arial"/>
          <w:i/>
          <w:iCs/>
          <w:sz w:val="24"/>
          <w:szCs w:val="24"/>
        </w:rPr>
        <w:t>Family Practice</w:t>
      </w:r>
      <w:r w:rsidRPr="003742D4">
        <w:rPr>
          <w:rFonts w:ascii="Arial" w:hAnsi="Arial" w:cs="Arial"/>
          <w:sz w:val="24"/>
          <w:szCs w:val="24"/>
        </w:rPr>
        <w:t>, Volume 40, Issue 3, June 2023, Pages 511–518.</w:t>
      </w:r>
    </w:p>
    <w:p w14:paraId="427C6755"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Muller F, Skok J I, </w:t>
      </w:r>
      <w:proofErr w:type="spellStart"/>
      <w:r w:rsidRPr="003742D4">
        <w:rPr>
          <w:rFonts w:ascii="Arial" w:hAnsi="Arial" w:cs="Arial"/>
          <w:sz w:val="24"/>
          <w:szCs w:val="24"/>
        </w:rPr>
        <w:t>Arnetz</w:t>
      </w:r>
      <w:proofErr w:type="spellEnd"/>
      <w:r w:rsidRPr="003742D4">
        <w:rPr>
          <w:rFonts w:ascii="Arial" w:hAnsi="Arial" w:cs="Arial"/>
          <w:sz w:val="24"/>
          <w:szCs w:val="24"/>
        </w:rPr>
        <w:t xml:space="preserve"> J E, Bouthillier M J, and Holman H T. Primary Care Clinicians' Attitude, Knowledge, and Willingness to Address Climate Change in Shared Decision-Making. The Journal of the American Board of Family Medicine January 2024, 37 (1) 25-34.</w:t>
      </w:r>
    </w:p>
    <w:p w14:paraId="39950577"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rPr>
        <w:t>Nunes AR, Atherton H, Dahlmann F </w:t>
      </w:r>
      <w:r w:rsidRPr="003742D4">
        <w:rPr>
          <w:rFonts w:ascii="Arial" w:hAnsi="Arial" w:cs="Arial"/>
          <w:i/>
          <w:iCs/>
          <w:sz w:val="24"/>
          <w:szCs w:val="24"/>
        </w:rPr>
        <w:t>et al.</w:t>
      </w:r>
      <w:r w:rsidRPr="003742D4">
        <w:rPr>
          <w:rFonts w:ascii="Arial" w:hAnsi="Arial" w:cs="Arial"/>
          <w:sz w:val="24"/>
          <w:szCs w:val="24"/>
        </w:rPr>
        <w:t> Supporting the drive for net zero by decarbonising general practice – A longitudinal study protocol [version 1; peer review: awaiting peer review]. </w:t>
      </w:r>
      <w:r w:rsidRPr="003742D4">
        <w:rPr>
          <w:rFonts w:ascii="Arial" w:hAnsi="Arial" w:cs="Arial"/>
          <w:i/>
          <w:iCs/>
          <w:sz w:val="24"/>
          <w:szCs w:val="24"/>
        </w:rPr>
        <w:t>NIHR Open Res</w:t>
      </w:r>
      <w:r w:rsidRPr="003742D4">
        <w:rPr>
          <w:rFonts w:ascii="Arial" w:hAnsi="Arial" w:cs="Arial"/>
          <w:sz w:val="24"/>
          <w:szCs w:val="24"/>
        </w:rPr>
        <w:t> 2024, 4:82 (</w:t>
      </w:r>
      <w:hyperlink r:id="rId15" w:tgtFrame="_blank" w:history="1">
        <w:r w:rsidRPr="003742D4">
          <w:rPr>
            <w:rStyle w:val="Hyperlink"/>
            <w:rFonts w:ascii="Arial" w:hAnsi="Arial" w:cs="Arial"/>
            <w:sz w:val="24"/>
            <w:szCs w:val="24"/>
          </w:rPr>
          <w:t>https://doi.org/10.3310/nihropenres.13833.1</w:t>
        </w:r>
      </w:hyperlink>
      <w:r w:rsidRPr="003742D4">
        <w:rPr>
          <w:rFonts w:ascii="Arial" w:hAnsi="Arial" w:cs="Arial"/>
          <w:sz w:val="24"/>
          <w:szCs w:val="24"/>
        </w:rPr>
        <w:t>)</w:t>
      </w:r>
    </w:p>
    <w:p w14:paraId="24FF7B0D"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proofErr w:type="spellStart"/>
      <w:r w:rsidRPr="003742D4">
        <w:rPr>
          <w:rFonts w:ascii="Arial" w:hAnsi="Arial" w:cs="Arial"/>
          <w:sz w:val="24"/>
          <w:szCs w:val="24"/>
          <w:lang w:val="x-none"/>
        </w:rPr>
        <w:t>Batcup</w:t>
      </w:r>
      <w:proofErr w:type="spellEnd"/>
      <w:r w:rsidRPr="003742D4">
        <w:rPr>
          <w:rFonts w:ascii="Arial" w:hAnsi="Arial" w:cs="Arial"/>
          <w:sz w:val="24"/>
          <w:szCs w:val="24"/>
          <w:lang w:val="x-none"/>
        </w:rPr>
        <w:t xml:space="preserve"> C, Breth- Petersen M, Dakin T, </w:t>
      </w:r>
      <w:r w:rsidRPr="003742D4">
        <w:rPr>
          <w:rFonts w:ascii="Arial" w:hAnsi="Arial" w:cs="Arial"/>
          <w:i/>
          <w:sz w:val="24"/>
          <w:szCs w:val="24"/>
          <w:lang w:val="x-none"/>
        </w:rPr>
        <w:t xml:space="preserve">et al. </w:t>
      </w:r>
      <w:r w:rsidRPr="003742D4">
        <w:rPr>
          <w:rFonts w:ascii="Arial" w:hAnsi="Arial" w:cs="Arial"/>
          <w:sz w:val="24"/>
          <w:szCs w:val="24"/>
          <w:lang w:val="x-none"/>
        </w:rPr>
        <w:t xml:space="preserve">Behavioural change interventions encouraging Clinicians to reduce carbon emissions in clinical activity: a systematic review. </w:t>
      </w:r>
      <w:r w:rsidRPr="003742D4">
        <w:rPr>
          <w:rFonts w:ascii="Arial" w:hAnsi="Arial" w:cs="Arial"/>
          <w:i/>
          <w:sz w:val="24"/>
          <w:szCs w:val="24"/>
          <w:lang w:val="x-none"/>
        </w:rPr>
        <w:t xml:space="preserve">BMC Health </w:t>
      </w:r>
      <w:proofErr w:type="spellStart"/>
      <w:r w:rsidRPr="003742D4">
        <w:rPr>
          <w:rFonts w:ascii="Arial" w:hAnsi="Arial" w:cs="Arial"/>
          <w:i/>
          <w:sz w:val="24"/>
          <w:szCs w:val="24"/>
          <w:lang w:val="x-none"/>
        </w:rPr>
        <w:t>Serv</w:t>
      </w:r>
      <w:proofErr w:type="spellEnd"/>
      <w:r w:rsidRPr="003742D4">
        <w:rPr>
          <w:rFonts w:ascii="Arial" w:hAnsi="Arial" w:cs="Arial"/>
          <w:i/>
          <w:sz w:val="24"/>
          <w:szCs w:val="24"/>
          <w:lang w:val="x-none"/>
        </w:rPr>
        <w:t xml:space="preserve"> Res </w:t>
      </w:r>
      <w:r w:rsidRPr="003742D4">
        <w:rPr>
          <w:rFonts w:ascii="Arial" w:hAnsi="Arial" w:cs="Arial"/>
          <w:sz w:val="24"/>
          <w:szCs w:val="24"/>
          <w:lang w:val="x-none"/>
        </w:rPr>
        <w:t>2023;23:384.</w:t>
      </w:r>
    </w:p>
    <w:p w14:paraId="78206CDF"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Sawyer MT, H. Carbon Footprint of GP Practices Across Humber and North Yorkshire ICS. Humber and North Yorkshire; 2022.</w:t>
      </w:r>
    </w:p>
    <w:p w14:paraId="0EFDAE56"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Dobson J, Cook S, Frumkin H, Haines A, Abbasi K. Accelerating climate action: the role of health professionals </w:t>
      </w:r>
      <w:r w:rsidRPr="003742D4">
        <w:rPr>
          <w:rFonts w:ascii="Arial" w:hAnsi="Arial" w:cs="Arial"/>
          <w:i/>
          <w:iCs/>
          <w:sz w:val="24"/>
          <w:szCs w:val="24"/>
        </w:rPr>
        <w:t>BMJ </w:t>
      </w:r>
      <w:r w:rsidRPr="003742D4">
        <w:rPr>
          <w:rFonts w:ascii="Arial" w:hAnsi="Arial" w:cs="Arial"/>
          <w:sz w:val="24"/>
          <w:szCs w:val="24"/>
        </w:rPr>
        <w:t>2021; </w:t>
      </w:r>
      <w:proofErr w:type="gramStart"/>
      <w:r w:rsidRPr="003742D4">
        <w:rPr>
          <w:rFonts w:ascii="Arial" w:hAnsi="Arial" w:cs="Arial"/>
          <w:sz w:val="24"/>
          <w:szCs w:val="24"/>
        </w:rPr>
        <w:t>375 :n</w:t>
      </w:r>
      <w:proofErr w:type="gramEnd"/>
      <w:r w:rsidRPr="003742D4">
        <w:rPr>
          <w:rFonts w:ascii="Arial" w:hAnsi="Arial" w:cs="Arial"/>
          <w:sz w:val="24"/>
          <w:szCs w:val="24"/>
        </w:rPr>
        <w:t>2425 </w:t>
      </w:r>
    </w:p>
    <w:p w14:paraId="3515CE8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Nunes AR and Dale J. Primary care’s preparedness for extreme weather events. British Journal of General Practice 2024; 74 (743): 248-249. </w:t>
      </w:r>
    </w:p>
    <w:p w14:paraId="20A07D6A"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Griesel S, </w:t>
      </w:r>
      <w:proofErr w:type="spellStart"/>
      <w:r w:rsidRPr="003742D4">
        <w:rPr>
          <w:rFonts w:ascii="Arial" w:hAnsi="Arial" w:cs="Arial"/>
          <w:sz w:val="24"/>
          <w:szCs w:val="24"/>
        </w:rPr>
        <w:t>Schwerdtle</w:t>
      </w:r>
      <w:proofErr w:type="spellEnd"/>
      <w:r w:rsidRPr="003742D4">
        <w:rPr>
          <w:rFonts w:ascii="Arial" w:hAnsi="Arial" w:cs="Arial"/>
          <w:sz w:val="24"/>
          <w:szCs w:val="24"/>
        </w:rPr>
        <w:t xml:space="preserve"> P N, </w:t>
      </w:r>
      <w:proofErr w:type="spellStart"/>
      <w:r w:rsidRPr="003742D4">
        <w:rPr>
          <w:rFonts w:ascii="Arial" w:hAnsi="Arial" w:cs="Arial"/>
          <w:sz w:val="24"/>
          <w:szCs w:val="24"/>
        </w:rPr>
        <w:t>Quitmann</w:t>
      </w:r>
      <w:proofErr w:type="spellEnd"/>
      <w:r w:rsidRPr="003742D4">
        <w:rPr>
          <w:rFonts w:ascii="Arial" w:hAnsi="Arial" w:cs="Arial"/>
          <w:sz w:val="24"/>
          <w:szCs w:val="24"/>
        </w:rPr>
        <w:t xml:space="preserve"> C, Danquah I, and Herrmann A. Patients' perceptions of climate-sensitive health counselling in primary care: Qualitative results from Germany. European Journal of General Practice, 29(1). </w:t>
      </w:r>
    </w:p>
    <w:p w14:paraId="47F80EB8"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Andrews E, Pearson D, Kelly C, Stroud L, Rivas Perez M. Carbon footprint of patient journeys through primary care: a mixed methods approach. Br J Gen </w:t>
      </w:r>
      <w:proofErr w:type="spellStart"/>
      <w:r w:rsidRPr="003742D4">
        <w:rPr>
          <w:rFonts w:ascii="Arial" w:hAnsi="Arial" w:cs="Arial"/>
          <w:sz w:val="24"/>
          <w:szCs w:val="24"/>
          <w:lang w:val="x-none"/>
        </w:rPr>
        <w:t>Pract</w:t>
      </w:r>
      <w:proofErr w:type="spellEnd"/>
      <w:r w:rsidRPr="003742D4">
        <w:rPr>
          <w:rFonts w:ascii="Arial" w:hAnsi="Arial" w:cs="Arial"/>
          <w:sz w:val="24"/>
          <w:szCs w:val="24"/>
          <w:lang w:val="x-none"/>
        </w:rPr>
        <w:t>. 2013;63(614):e595-603.</w:t>
      </w:r>
    </w:p>
    <w:p w14:paraId="12598010"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Boland T M, and Temte J L. Family Medicine Patient and Physician Attitudes Toward Climate Change and Health in Wisconsin.</w:t>
      </w:r>
      <w:r w:rsidRPr="003742D4">
        <w:rPr>
          <w:rFonts w:ascii="Arial" w:hAnsi="Arial" w:cs="Arial"/>
          <w:i/>
          <w:iCs/>
          <w:sz w:val="24"/>
          <w:szCs w:val="24"/>
        </w:rPr>
        <w:t xml:space="preserve"> </w:t>
      </w:r>
      <w:r w:rsidRPr="003742D4">
        <w:rPr>
          <w:rFonts w:ascii="Arial" w:hAnsi="Arial" w:cs="Arial"/>
          <w:sz w:val="24"/>
          <w:szCs w:val="24"/>
        </w:rPr>
        <w:t>Wilderness &amp; Environmental Medicine. 2019;30(4):386-393.</w:t>
      </w:r>
    </w:p>
    <w:p w14:paraId="0E92A9C7"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Karaba F, Nunes AR, Geddes O</w:t>
      </w:r>
      <w:r w:rsidRPr="003742D4">
        <w:rPr>
          <w:rFonts w:ascii="Arial" w:hAnsi="Arial" w:cs="Arial"/>
          <w:i/>
          <w:iCs/>
          <w:sz w:val="24"/>
          <w:szCs w:val="24"/>
        </w:rPr>
        <w:t>, et al</w:t>
      </w:r>
      <w:r w:rsidRPr="003742D4">
        <w:rPr>
          <w:rFonts w:ascii="Arial" w:hAnsi="Arial" w:cs="Arial"/>
          <w:sz w:val="24"/>
          <w:szCs w:val="24"/>
        </w:rPr>
        <w:t xml:space="preserve">. Implementation of decarbonisation actions in general practice: a systematic review and narrative synthesis protocol. </w:t>
      </w:r>
      <w:r w:rsidRPr="003742D4">
        <w:rPr>
          <w:rFonts w:ascii="Arial" w:hAnsi="Arial" w:cs="Arial"/>
          <w:i/>
          <w:iCs/>
          <w:sz w:val="24"/>
          <w:szCs w:val="24"/>
        </w:rPr>
        <w:t>BMJ Open </w:t>
      </w:r>
      <w:r w:rsidRPr="003742D4">
        <w:rPr>
          <w:rFonts w:ascii="Arial" w:hAnsi="Arial" w:cs="Arial"/>
          <w:sz w:val="24"/>
          <w:szCs w:val="24"/>
        </w:rPr>
        <w:t>2024;</w:t>
      </w:r>
      <w:proofErr w:type="gramStart"/>
      <w:r w:rsidRPr="003742D4">
        <w:rPr>
          <w:rFonts w:ascii="Arial" w:hAnsi="Arial" w:cs="Arial"/>
          <w:sz w:val="24"/>
          <w:szCs w:val="24"/>
        </w:rPr>
        <w:t>14:e</w:t>
      </w:r>
      <w:proofErr w:type="gramEnd"/>
      <w:r w:rsidRPr="003742D4">
        <w:rPr>
          <w:rFonts w:ascii="Arial" w:hAnsi="Arial" w:cs="Arial"/>
          <w:sz w:val="24"/>
          <w:szCs w:val="24"/>
        </w:rPr>
        <w:t>087795. </w:t>
      </w:r>
      <w:proofErr w:type="spellStart"/>
      <w:r w:rsidRPr="003742D4">
        <w:rPr>
          <w:rFonts w:ascii="Arial" w:hAnsi="Arial" w:cs="Arial"/>
          <w:sz w:val="24"/>
          <w:szCs w:val="24"/>
        </w:rPr>
        <w:t>doi</w:t>
      </w:r>
      <w:proofErr w:type="spellEnd"/>
      <w:r w:rsidRPr="003742D4">
        <w:rPr>
          <w:rFonts w:ascii="Arial" w:hAnsi="Arial" w:cs="Arial"/>
          <w:sz w:val="24"/>
          <w:szCs w:val="24"/>
        </w:rPr>
        <w:t>: 10.1136/bmjopen-2024-087795</w:t>
      </w:r>
    </w:p>
    <w:p w14:paraId="2B87E11B"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bookmarkStart w:id="7" w:name="_Hlk171022560"/>
      <w:r w:rsidRPr="003742D4">
        <w:rPr>
          <w:rFonts w:ascii="Arial" w:hAnsi="Arial" w:cs="Arial"/>
          <w:sz w:val="24"/>
          <w:szCs w:val="24"/>
        </w:rPr>
        <w:lastRenderedPageBreak/>
        <w:t>Nunes AR, Karaba F, Geddes O</w:t>
      </w:r>
      <w:r w:rsidRPr="003742D4">
        <w:rPr>
          <w:rFonts w:ascii="Arial" w:hAnsi="Arial" w:cs="Arial"/>
          <w:i/>
          <w:iCs/>
          <w:sz w:val="24"/>
          <w:szCs w:val="24"/>
        </w:rPr>
        <w:t>, et al</w:t>
      </w:r>
      <w:r w:rsidRPr="003742D4">
        <w:rPr>
          <w:rFonts w:ascii="Arial" w:hAnsi="Arial" w:cs="Arial"/>
          <w:sz w:val="24"/>
          <w:szCs w:val="24"/>
        </w:rPr>
        <w:t xml:space="preserve">. Implementation of decarbonisation actions in general practice – a systematic review and narrative synthesis [accepted for publication]. </w:t>
      </w:r>
      <w:r w:rsidRPr="003742D4">
        <w:rPr>
          <w:rFonts w:ascii="Arial" w:hAnsi="Arial" w:cs="Arial"/>
          <w:i/>
          <w:iCs/>
          <w:sz w:val="24"/>
          <w:szCs w:val="24"/>
        </w:rPr>
        <w:t xml:space="preserve">BMJ Open </w:t>
      </w:r>
    </w:p>
    <w:bookmarkEnd w:id="7"/>
    <w:p w14:paraId="16D389ED"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en-US"/>
        </w:rPr>
      </w:pPr>
      <w:r w:rsidRPr="003742D4">
        <w:rPr>
          <w:rFonts w:ascii="Arial" w:hAnsi="Arial" w:cs="Arial"/>
          <w:sz w:val="24"/>
          <w:szCs w:val="24"/>
        </w:rPr>
        <w:t xml:space="preserve">Murray E, Treweek S, Pope C, MacFarlane A, </w:t>
      </w:r>
      <w:proofErr w:type="spellStart"/>
      <w:r w:rsidRPr="003742D4">
        <w:rPr>
          <w:rFonts w:ascii="Arial" w:hAnsi="Arial" w:cs="Arial"/>
          <w:sz w:val="24"/>
          <w:szCs w:val="24"/>
        </w:rPr>
        <w:t>Ballini</w:t>
      </w:r>
      <w:proofErr w:type="spellEnd"/>
      <w:r w:rsidRPr="003742D4">
        <w:rPr>
          <w:rFonts w:ascii="Arial" w:hAnsi="Arial" w:cs="Arial"/>
          <w:sz w:val="24"/>
          <w:szCs w:val="24"/>
        </w:rPr>
        <w:t xml:space="preserve"> L, Dowrick C, et al. Normalisation process theory: a framework for developing, evaluating and implementing complex interventions. BMC Medicine. 2010;8(1):63.</w:t>
      </w:r>
    </w:p>
    <w:p w14:paraId="4C5EF6A7"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en-US"/>
        </w:rPr>
      </w:pPr>
      <w:r w:rsidRPr="003742D4">
        <w:rPr>
          <w:rFonts w:ascii="Arial" w:hAnsi="Arial" w:cs="Arial"/>
          <w:sz w:val="24"/>
          <w:szCs w:val="24"/>
          <w:lang w:val="en-US"/>
        </w:rPr>
        <w:t>Finch TL, Rapley T, Girling M, Mair FS, Murray E, Treweek S, et al. Improving the normalization of complex interventions: measure development based on normalization process theory (</w:t>
      </w:r>
      <w:proofErr w:type="spellStart"/>
      <w:r w:rsidRPr="003742D4">
        <w:rPr>
          <w:rFonts w:ascii="Arial" w:hAnsi="Arial" w:cs="Arial"/>
          <w:sz w:val="24"/>
          <w:szCs w:val="24"/>
          <w:lang w:val="en-US"/>
        </w:rPr>
        <w:t>NoMAD</w:t>
      </w:r>
      <w:proofErr w:type="spellEnd"/>
      <w:r w:rsidRPr="003742D4">
        <w:rPr>
          <w:rFonts w:ascii="Arial" w:hAnsi="Arial" w:cs="Arial"/>
          <w:sz w:val="24"/>
          <w:szCs w:val="24"/>
          <w:lang w:val="en-US"/>
        </w:rPr>
        <w:t xml:space="preserve">): study protocol. Implement Sci. </w:t>
      </w:r>
      <w:proofErr w:type="gramStart"/>
      <w:r w:rsidRPr="003742D4">
        <w:rPr>
          <w:rFonts w:ascii="Arial" w:hAnsi="Arial" w:cs="Arial"/>
          <w:sz w:val="24"/>
          <w:szCs w:val="24"/>
          <w:lang w:val="en-US"/>
        </w:rPr>
        <w:t>2013;8:43</w:t>
      </w:r>
      <w:proofErr w:type="gramEnd"/>
      <w:r w:rsidRPr="003742D4">
        <w:rPr>
          <w:rFonts w:ascii="Arial" w:hAnsi="Arial" w:cs="Arial"/>
          <w:sz w:val="24"/>
          <w:szCs w:val="24"/>
          <w:lang w:val="en-US"/>
        </w:rPr>
        <w:t>.</w:t>
      </w:r>
    </w:p>
    <w:p w14:paraId="72294F4A"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May CR, Cummings A, Girling M, Bracher M, Mair FS, May CM, Murray E, Myall M, Rapley T, Finch T. Using Normalization Process Theory in feasibility studies and process evaluations of complex healthcare interventions: a systematic review. Implement Sci. 2018;13(1):80</w:t>
      </w:r>
    </w:p>
    <w:p w14:paraId="35D3B5EE"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en-US"/>
        </w:rPr>
      </w:pPr>
      <w:r w:rsidRPr="003742D4">
        <w:rPr>
          <w:rFonts w:ascii="Arial" w:hAnsi="Arial" w:cs="Arial"/>
          <w:sz w:val="24"/>
          <w:szCs w:val="24"/>
          <w:lang w:val="en-US"/>
        </w:rPr>
        <w:t xml:space="preserve">Atkins L, Francis J, Islam R, O'Connor D, Patey A, Ivers N, et al. A guide to using the Theoretical Domains Framework of </w:t>
      </w:r>
      <w:proofErr w:type="spellStart"/>
      <w:r w:rsidRPr="003742D4">
        <w:rPr>
          <w:rFonts w:ascii="Arial" w:hAnsi="Arial" w:cs="Arial"/>
          <w:sz w:val="24"/>
          <w:szCs w:val="24"/>
          <w:lang w:val="en-US"/>
        </w:rPr>
        <w:t>behaviour</w:t>
      </w:r>
      <w:proofErr w:type="spellEnd"/>
      <w:r w:rsidRPr="003742D4">
        <w:rPr>
          <w:rFonts w:ascii="Arial" w:hAnsi="Arial" w:cs="Arial"/>
          <w:sz w:val="24"/>
          <w:szCs w:val="24"/>
          <w:lang w:val="en-US"/>
        </w:rPr>
        <w:t xml:space="preserve"> change to investigate implementation problems. Implement Sci. 2017;12(1):77.</w:t>
      </w:r>
    </w:p>
    <w:p w14:paraId="15F7429B"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rPr>
        <w:t xml:space="preserve">Landis JR, Koch GG. The measurement of observer agreement for categorical data. Biometrics. </w:t>
      </w:r>
      <w:proofErr w:type="gramStart"/>
      <w:r w:rsidRPr="003742D4">
        <w:rPr>
          <w:rFonts w:ascii="Arial" w:hAnsi="Arial" w:cs="Arial"/>
          <w:sz w:val="24"/>
          <w:szCs w:val="24"/>
        </w:rPr>
        <w:t>1977;33:159</w:t>
      </w:r>
      <w:proofErr w:type="gramEnd"/>
      <w:r w:rsidRPr="003742D4">
        <w:rPr>
          <w:rFonts w:ascii="Arial" w:hAnsi="Arial" w:cs="Arial"/>
          <w:sz w:val="24"/>
          <w:szCs w:val="24"/>
        </w:rPr>
        <w:t>–174.</w:t>
      </w:r>
    </w:p>
    <w:p w14:paraId="49C2F14D"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(2008). Constructivism. In L. M. Given (Ed.) The SAGE </w:t>
      </w:r>
      <w:proofErr w:type="spellStart"/>
      <w:r w:rsidRPr="003742D4">
        <w:rPr>
          <w:rFonts w:ascii="Arial" w:hAnsi="Arial" w:cs="Arial"/>
          <w:sz w:val="24"/>
          <w:szCs w:val="24"/>
          <w:lang w:val="x-none"/>
        </w:rPr>
        <w:t>encyclopedia</w:t>
      </w:r>
      <w:proofErr w:type="spellEnd"/>
      <w:r w:rsidRPr="003742D4">
        <w:rPr>
          <w:rFonts w:ascii="Arial" w:hAnsi="Arial" w:cs="Arial"/>
          <w:sz w:val="24"/>
          <w:szCs w:val="24"/>
          <w:lang w:val="x-none"/>
        </w:rPr>
        <w:t xml:space="preserve"> of qualitative research methods (Vol. 0, pp. 116-120). SAGE Publications, Inc., </w:t>
      </w:r>
      <w:hyperlink r:id="rId16" w:history="1">
        <w:r w:rsidRPr="003742D4">
          <w:rPr>
            <w:rStyle w:val="Hyperlink"/>
            <w:rFonts w:ascii="Arial" w:hAnsi="Arial" w:cs="Arial"/>
            <w:sz w:val="24"/>
            <w:szCs w:val="24"/>
            <w:lang w:val="x-none"/>
          </w:rPr>
          <w:t>https://doi.org/10.4135/9781412963909</w:t>
        </w:r>
      </w:hyperlink>
    </w:p>
    <w:p w14:paraId="56AFEB4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Watts N, Adger WN, </w:t>
      </w:r>
      <w:proofErr w:type="spellStart"/>
      <w:r w:rsidRPr="003742D4">
        <w:rPr>
          <w:rFonts w:ascii="Arial" w:hAnsi="Arial" w:cs="Arial"/>
          <w:sz w:val="24"/>
          <w:szCs w:val="24"/>
        </w:rPr>
        <w:t>Agnolucci</w:t>
      </w:r>
      <w:proofErr w:type="spellEnd"/>
      <w:r w:rsidRPr="003742D4">
        <w:rPr>
          <w:rFonts w:ascii="Arial" w:hAnsi="Arial" w:cs="Arial"/>
          <w:sz w:val="24"/>
          <w:szCs w:val="24"/>
        </w:rPr>
        <w:t xml:space="preserve"> P, et al. Health and climate change: policy responses to protect public health. </w:t>
      </w:r>
      <w:r w:rsidRPr="003742D4">
        <w:rPr>
          <w:rFonts w:ascii="Arial" w:hAnsi="Arial" w:cs="Arial"/>
          <w:i/>
          <w:iCs/>
          <w:sz w:val="24"/>
          <w:szCs w:val="24"/>
        </w:rPr>
        <w:t>Lancet.</w:t>
      </w:r>
      <w:r w:rsidRPr="003742D4">
        <w:rPr>
          <w:rFonts w:ascii="Arial" w:hAnsi="Arial" w:cs="Arial"/>
          <w:sz w:val="24"/>
          <w:szCs w:val="24"/>
        </w:rPr>
        <w:t> 2015</w:t>
      </w:r>
    </w:p>
    <w:p w14:paraId="35E176CE"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MacNeill AJ, McGain F, Sherman JD. Planetary health care: a framework for sustainable health systems. VOLUME 5, ISSUE 2, E66-E68, FEBRUARY 2021</w:t>
      </w:r>
    </w:p>
    <w:p w14:paraId="25979447"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Pavli A, </w:t>
      </w:r>
      <w:proofErr w:type="spellStart"/>
      <w:r w:rsidRPr="003742D4">
        <w:rPr>
          <w:rFonts w:ascii="Arial" w:hAnsi="Arial" w:cs="Arial"/>
          <w:sz w:val="24"/>
          <w:szCs w:val="24"/>
          <w:lang w:val="x-none"/>
        </w:rPr>
        <w:t>Loblay</w:t>
      </w:r>
      <w:proofErr w:type="spellEnd"/>
      <w:r w:rsidRPr="003742D4">
        <w:rPr>
          <w:rFonts w:ascii="Arial" w:hAnsi="Arial" w:cs="Arial"/>
          <w:sz w:val="24"/>
          <w:szCs w:val="24"/>
          <w:lang w:val="x-none"/>
        </w:rPr>
        <w:t xml:space="preserve"> V, </w:t>
      </w:r>
      <w:proofErr w:type="spellStart"/>
      <w:r w:rsidRPr="003742D4">
        <w:rPr>
          <w:rFonts w:ascii="Arial" w:hAnsi="Arial" w:cs="Arial"/>
          <w:sz w:val="24"/>
          <w:szCs w:val="24"/>
          <w:lang w:val="x-none"/>
        </w:rPr>
        <w:t>Rychetnik</w:t>
      </w:r>
      <w:proofErr w:type="spellEnd"/>
      <w:r w:rsidRPr="003742D4">
        <w:rPr>
          <w:rFonts w:ascii="Arial" w:hAnsi="Arial" w:cs="Arial"/>
          <w:sz w:val="24"/>
          <w:szCs w:val="24"/>
          <w:lang w:val="x-none"/>
        </w:rPr>
        <w:t xml:space="preserve"> L, Usherwood T. What can we learn from Australian general practices taking steps to be more environmentally sustainable? A qualitative study. Fam </w:t>
      </w:r>
      <w:proofErr w:type="spellStart"/>
      <w:r w:rsidRPr="003742D4">
        <w:rPr>
          <w:rFonts w:ascii="Arial" w:hAnsi="Arial" w:cs="Arial"/>
          <w:sz w:val="24"/>
          <w:szCs w:val="24"/>
          <w:lang w:val="x-none"/>
        </w:rPr>
        <w:t>Pract</w:t>
      </w:r>
      <w:proofErr w:type="spellEnd"/>
      <w:r w:rsidRPr="003742D4">
        <w:rPr>
          <w:rFonts w:ascii="Arial" w:hAnsi="Arial" w:cs="Arial"/>
          <w:sz w:val="24"/>
          <w:szCs w:val="24"/>
          <w:lang w:val="x-none"/>
        </w:rPr>
        <w:t>. 2023;40(3):465-72.</w:t>
      </w:r>
    </w:p>
    <w:p w14:paraId="432040A8"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Fehrer V, </w:t>
      </w:r>
      <w:proofErr w:type="spellStart"/>
      <w:r w:rsidRPr="003742D4">
        <w:rPr>
          <w:rFonts w:ascii="Arial" w:hAnsi="Arial" w:cs="Arial"/>
          <w:sz w:val="24"/>
          <w:szCs w:val="24"/>
          <w:lang w:val="x-none"/>
        </w:rPr>
        <w:t>Poß</w:t>
      </w:r>
      <w:proofErr w:type="spellEnd"/>
      <w:r w:rsidRPr="003742D4">
        <w:rPr>
          <w:rFonts w:ascii="Arial" w:hAnsi="Arial" w:cs="Arial"/>
          <w:sz w:val="24"/>
          <w:szCs w:val="24"/>
          <w:lang w:val="x-none"/>
        </w:rPr>
        <w:t xml:space="preserve">-Doering R, Weis A, Wensing M, </w:t>
      </w:r>
      <w:proofErr w:type="spellStart"/>
      <w:r w:rsidRPr="003742D4">
        <w:rPr>
          <w:rFonts w:ascii="Arial" w:hAnsi="Arial" w:cs="Arial"/>
          <w:sz w:val="24"/>
          <w:szCs w:val="24"/>
          <w:lang w:val="x-none"/>
        </w:rPr>
        <w:t>Szecsenyi</w:t>
      </w:r>
      <w:proofErr w:type="spellEnd"/>
      <w:r w:rsidRPr="003742D4">
        <w:rPr>
          <w:rFonts w:ascii="Arial" w:hAnsi="Arial" w:cs="Arial"/>
          <w:sz w:val="24"/>
          <w:szCs w:val="24"/>
          <w:lang w:val="x-none"/>
        </w:rPr>
        <w:t xml:space="preserve"> J, Litke N. Climate change mitigation: Qualitative analysis of environmental impact-reducing strategies in German primary care. </w:t>
      </w:r>
      <w:proofErr w:type="spellStart"/>
      <w:r w:rsidRPr="003742D4">
        <w:rPr>
          <w:rFonts w:ascii="Arial" w:hAnsi="Arial" w:cs="Arial"/>
          <w:sz w:val="24"/>
          <w:szCs w:val="24"/>
          <w:lang w:val="x-none"/>
        </w:rPr>
        <w:t>Eur</w:t>
      </w:r>
      <w:proofErr w:type="spellEnd"/>
      <w:r w:rsidRPr="003742D4">
        <w:rPr>
          <w:rFonts w:ascii="Arial" w:hAnsi="Arial" w:cs="Arial"/>
          <w:sz w:val="24"/>
          <w:szCs w:val="24"/>
          <w:lang w:val="x-none"/>
        </w:rPr>
        <w:t xml:space="preserve"> J Gen 2023;29(1):2232946.</w:t>
      </w:r>
    </w:p>
    <w:p w14:paraId="475D5734"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André H, Gonzalez </w:t>
      </w:r>
      <w:proofErr w:type="spellStart"/>
      <w:r w:rsidRPr="003742D4">
        <w:rPr>
          <w:rFonts w:ascii="Arial" w:hAnsi="Arial" w:cs="Arial"/>
          <w:sz w:val="24"/>
          <w:szCs w:val="24"/>
        </w:rPr>
        <w:t>Holguera</w:t>
      </w:r>
      <w:proofErr w:type="spellEnd"/>
      <w:r w:rsidRPr="003742D4">
        <w:rPr>
          <w:rFonts w:ascii="Arial" w:hAnsi="Arial" w:cs="Arial"/>
          <w:sz w:val="24"/>
          <w:szCs w:val="24"/>
        </w:rPr>
        <w:t xml:space="preserve"> J, </w:t>
      </w:r>
      <w:proofErr w:type="spellStart"/>
      <w:r w:rsidRPr="003742D4">
        <w:rPr>
          <w:rFonts w:ascii="Arial" w:hAnsi="Arial" w:cs="Arial"/>
          <w:sz w:val="24"/>
          <w:szCs w:val="24"/>
        </w:rPr>
        <w:t>Depoux</w:t>
      </w:r>
      <w:proofErr w:type="spellEnd"/>
      <w:r w:rsidRPr="003742D4">
        <w:rPr>
          <w:rFonts w:ascii="Arial" w:hAnsi="Arial" w:cs="Arial"/>
          <w:sz w:val="24"/>
          <w:szCs w:val="24"/>
        </w:rPr>
        <w:t xml:space="preserve"> A, Pasquier J, Haller DM, </w:t>
      </w:r>
      <w:proofErr w:type="spellStart"/>
      <w:r w:rsidRPr="003742D4">
        <w:rPr>
          <w:rFonts w:ascii="Arial" w:hAnsi="Arial" w:cs="Arial"/>
          <w:sz w:val="24"/>
          <w:szCs w:val="24"/>
        </w:rPr>
        <w:t>Rodondi</w:t>
      </w:r>
      <w:proofErr w:type="spellEnd"/>
      <w:r w:rsidRPr="003742D4">
        <w:rPr>
          <w:rFonts w:ascii="Arial" w:hAnsi="Arial" w:cs="Arial"/>
          <w:sz w:val="24"/>
          <w:szCs w:val="24"/>
        </w:rPr>
        <w:t xml:space="preserve"> P-Y, Schwarz J, Senn N. Talking about Climate Change and Environmental Degradation with Patients in Primary Care: A Cross-Sectional Survey on Knowledge, Potential Domains of Action and Points of View of General Practitioners. International Journal of Environmental Research and Public Health. 2022; 19(8):4901.</w:t>
      </w:r>
    </w:p>
    <w:p w14:paraId="62E74E7D"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lastRenderedPageBreak/>
        <w:t>Robinson JM, Jorgensen A, Cameron R, Brindley P. Let Nature Be Thy Medicine: A Socioecological Exploration of Green Prescribing in the UK. International Journal of Environmental Research and Public Health. 2020; 17(10):3460.</w:t>
      </w:r>
    </w:p>
    <w:p w14:paraId="5EBB0120"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Guggenheim R. The health threat of climate change: working in partnership with patients. British Journal of General Practice 2016; 66 (644): 149. </w:t>
      </w:r>
    </w:p>
    <w:p w14:paraId="47272229"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bookmarkStart w:id="8" w:name="_Hlk165553628"/>
      <w:proofErr w:type="spellStart"/>
      <w:r w:rsidRPr="003742D4">
        <w:rPr>
          <w:rFonts w:ascii="Arial" w:hAnsi="Arial" w:cs="Arial"/>
          <w:sz w:val="24"/>
          <w:szCs w:val="24"/>
        </w:rPr>
        <w:t>Mominkhan</w:t>
      </w:r>
      <w:bookmarkEnd w:id="8"/>
      <w:proofErr w:type="spellEnd"/>
      <w:r w:rsidRPr="003742D4">
        <w:rPr>
          <w:rFonts w:ascii="Arial" w:hAnsi="Arial" w:cs="Arial"/>
          <w:sz w:val="24"/>
          <w:szCs w:val="24"/>
        </w:rPr>
        <w:t xml:space="preserve"> D, Alamri FA, </w:t>
      </w:r>
      <w:proofErr w:type="spellStart"/>
      <w:r w:rsidRPr="003742D4">
        <w:rPr>
          <w:rFonts w:ascii="Arial" w:hAnsi="Arial" w:cs="Arial"/>
          <w:sz w:val="24"/>
          <w:szCs w:val="24"/>
        </w:rPr>
        <w:t>Balharith</w:t>
      </w:r>
      <w:proofErr w:type="spellEnd"/>
      <w:r w:rsidRPr="003742D4">
        <w:rPr>
          <w:rFonts w:ascii="Arial" w:hAnsi="Arial" w:cs="Arial"/>
          <w:sz w:val="24"/>
          <w:szCs w:val="24"/>
        </w:rPr>
        <w:t> M et al. The current state and potential evolution of carbon emissions in the healthcare sector: a narrative review article.</w:t>
      </w:r>
      <w:r w:rsidRPr="003742D4">
        <w:rPr>
          <w:rFonts w:ascii="Arial" w:hAnsi="Arial" w:cs="Arial"/>
          <w:sz w:val="24"/>
          <w:szCs w:val="24"/>
          <w:vertAlign w:val="superscript"/>
        </w:rPr>
        <w:t xml:space="preserve"> </w:t>
      </w:r>
      <w:r w:rsidRPr="003742D4">
        <w:rPr>
          <w:rFonts w:ascii="Arial" w:hAnsi="Arial" w:cs="Arial"/>
          <w:sz w:val="24"/>
          <w:szCs w:val="24"/>
        </w:rPr>
        <w:t>Front. Sustain. Energy Policy, 15 December 2023. Sec. Policy and Environmental Impact. Volume 2 – 2023.</w:t>
      </w:r>
    </w:p>
    <w:p w14:paraId="43564A33"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Lee VS, Gerwig K, Hough E, Mate K, Biggio R and Kaplan RS. Decarbonizing Health Care: Engaging Leaders in Change. NEJM </w:t>
      </w:r>
      <w:proofErr w:type="spellStart"/>
      <w:r w:rsidRPr="003742D4">
        <w:rPr>
          <w:rFonts w:ascii="Arial" w:hAnsi="Arial" w:cs="Arial"/>
          <w:sz w:val="24"/>
          <w:szCs w:val="24"/>
        </w:rPr>
        <w:t>Catal</w:t>
      </w:r>
      <w:proofErr w:type="spellEnd"/>
      <w:r w:rsidRPr="003742D4">
        <w:rPr>
          <w:rFonts w:ascii="Arial" w:hAnsi="Arial" w:cs="Arial"/>
          <w:sz w:val="24"/>
          <w:szCs w:val="24"/>
        </w:rPr>
        <w:t xml:space="preserve"> </w:t>
      </w:r>
      <w:proofErr w:type="spellStart"/>
      <w:r w:rsidRPr="003742D4">
        <w:rPr>
          <w:rFonts w:ascii="Arial" w:hAnsi="Arial" w:cs="Arial"/>
          <w:sz w:val="24"/>
          <w:szCs w:val="24"/>
        </w:rPr>
        <w:t>Innov</w:t>
      </w:r>
      <w:proofErr w:type="spellEnd"/>
      <w:r w:rsidRPr="003742D4">
        <w:rPr>
          <w:rFonts w:ascii="Arial" w:hAnsi="Arial" w:cs="Arial"/>
          <w:sz w:val="24"/>
          <w:szCs w:val="24"/>
        </w:rPr>
        <w:t xml:space="preserve"> Care Deliv 2023;4(5).</w:t>
      </w:r>
    </w:p>
    <w:p w14:paraId="60694F0E"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Haines A and Ebi K. The imperative for climate action to protect health. </w:t>
      </w:r>
      <w:r w:rsidRPr="003742D4">
        <w:rPr>
          <w:rFonts w:ascii="Arial" w:hAnsi="Arial" w:cs="Arial"/>
          <w:i/>
          <w:iCs/>
          <w:sz w:val="24"/>
          <w:szCs w:val="24"/>
        </w:rPr>
        <w:t>The New England Journal of Medicine</w:t>
      </w:r>
      <w:r w:rsidRPr="003742D4">
        <w:rPr>
          <w:rFonts w:ascii="Arial" w:hAnsi="Arial" w:cs="Arial"/>
          <w:sz w:val="24"/>
          <w:szCs w:val="24"/>
        </w:rPr>
        <w:t>, 2019; 380(3), 263-273.</w:t>
      </w:r>
    </w:p>
    <w:p w14:paraId="430AC5B2" w14:textId="77777777" w:rsidR="003742D4" w:rsidRPr="003742D4" w:rsidRDefault="003742D4" w:rsidP="00D3612A">
      <w:pPr>
        <w:numPr>
          <w:ilvl w:val="0"/>
          <w:numId w:val="4"/>
        </w:numPr>
        <w:spacing w:before="160" w:line="276" w:lineRule="auto"/>
        <w:ind w:left="284" w:hanging="218"/>
        <w:rPr>
          <w:rFonts w:ascii="Arial" w:hAnsi="Arial" w:cs="Arial"/>
          <w:sz w:val="24"/>
          <w:szCs w:val="24"/>
        </w:rPr>
      </w:pPr>
      <w:r w:rsidRPr="003742D4">
        <w:rPr>
          <w:rFonts w:ascii="Arial" w:hAnsi="Arial" w:cs="Arial"/>
          <w:sz w:val="24"/>
          <w:szCs w:val="24"/>
        </w:rPr>
        <w:t xml:space="preserve">Howard C, MacNeill AJ, Hughes F, </w:t>
      </w:r>
      <w:proofErr w:type="spellStart"/>
      <w:r w:rsidRPr="003742D4">
        <w:rPr>
          <w:rFonts w:ascii="Arial" w:hAnsi="Arial" w:cs="Arial"/>
          <w:sz w:val="24"/>
          <w:szCs w:val="24"/>
        </w:rPr>
        <w:t>Alqodmani</w:t>
      </w:r>
      <w:proofErr w:type="spellEnd"/>
      <w:r w:rsidRPr="003742D4">
        <w:rPr>
          <w:rFonts w:ascii="Arial" w:hAnsi="Arial" w:cs="Arial"/>
          <w:sz w:val="24"/>
          <w:szCs w:val="24"/>
        </w:rPr>
        <w:t xml:space="preserve"> L, Charlesworth K, de Almeida R et al. Learning to treat the climate emergency together: social tipping interventions by the health community. VOLUME 7, ISSUE 3, E251-E264, MARCH 2023</w:t>
      </w:r>
    </w:p>
    <w:p w14:paraId="0F4F0FF0" w14:textId="77777777" w:rsidR="003742D4" w:rsidRPr="003742D4" w:rsidRDefault="003742D4" w:rsidP="00D3612A">
      <w:pPr>
        <w:numPr>
          <w:ilvl w:val="0"/>
          <w:numId w:val="4"/>
        </w:numPr>
        <w:spacing w:before="160" w:line="276" w:lineRule="auto"/>
        <w:ind w:left="284" w:hanging="218"/>
        <w:rPr>
          <w:rFonts w:ascii="Arial" w:hAnsi="Arial" w:cs="Arial"/>
          <w:sz w:val="24"/>
          <w:szCs w:val="24"/>
          <w:lang w:val="x-none"/>
        </w:rPr>
      </w:pPr>
      <w:r w:rsidRPr="003742D4">
        <w:rPr>
          <w:rFonts w:ascii="Arial" w:hAnsi="Arial" w:cs="Arial"/>
          <w:sz w:val="24"/>
          <w:szCs w:val="24"/>
          <w:lang w:val="x-none"/>
        </w:rPr>
        <w:t xml:space="preserve">Grimshaw J, Eccles M, </w:t>
      </w:r>
      <w:proofErr w:type="spellStart"/>
      <w:r w:rsidRPr="003742D4">
        <w:rPr>
          <w:rFonts w:ascii="Arial" w:hAnsi="Arial" w:cs="Arial"/>
          <w:sz w:val="24"/>
          <w:szCs w:val="24"/>
          <w:lang w:val="x-none"/>
        </w:rPr>
        <w:t>Tetroe</w:t>
      </w:r>
      <w:proofErr w:type="spellEnd"/>
      <w:r w:rsidRPr="003742D4">
        <w:rPr>
          <w:rFonts w:ascii="Arial" w:hAnsi="Arial" w:cs="Arial"/>
          <w:sz w:val="24"/>
          <w:szCs w:val="24"/>
          <w:lang w:val="x-none"/>
        </w:rPr>
        <w:t xml:space="preserve"> J. Implementing clinical guidelines: Current evidence and future implications. </w:t>
      </w:r>
      <w:r w:rsidRPr="003742D4">
        <w:rPr>
          <w:rFonts w:ascii="Arial" w:hAnsi="Arial" w:cs="Arial"/>
          <w:i/>
          <w:sz w:val="24"/>
          <w:szCs w:val="24"/>
          <w:lang w:val="x-none"/>
        </w:rPr>
        <w:t xml:space="preserve">J Contin </w:t>
      </w:r>
      <w:proofErr w:type="spellStart"/>
      <w:r w:rsidRPr="003742D4">
        <w:rPr>
          <w:rFonts w:ascii="Arial" w:hAnsi="Arial" w:cs="Arial"/>
          <w:i/>
          <w:sz w:val="24"/>
          <w:szCs w:val="24"/>
          <w:lang w:val="x-none"/>
        </w:rPr>
        <w:t>Educ</w:t>
      </w:r>
      <w:proofErr w:type="spellEnd"/>
      <w:r w:rsidRPr="003742D4">
        <w:rPr>
          <w:rFonts w:ascii="Arial" w:hAnsi="Arial" w:cs="Arial"/>
          <w:i/>
          <w:sz w:val="24"/>
          <w:szCs w:val="24"/>
          <w:lang w:val="x-none"/>
        </w:rPr>
        <w:t xml:space="preserve"> Health Prof</w:t>
      </w:r>
      <w:r w:rsidRPr="003742D4">
        <w:rPr>
          <w:rFonts w:ascii="Arial" w:hAnsi="Arial" w:cs="Arial"/>
          <w:sz w:val="24"/>
          <w:szCs w:val="24"/>
          <w:lang w:val="x-none"/>
        </w:rPr>
        <w:t xml:space="preserve"> 2004;24:S31–7.</w:t>
      </w:r>
    </w:p>
    <w:p w14:paraId="51D339B6" w14:textId="77777777" w:rsidR="003742D4" w:rsidRPr="00953D55" w:rsidRDefault="003742D4" w:rsidP="00D73116">
      <w:pPr>
        <w:spacing w:before="160" w:line="276" w:lineRule="auto"/>
        <w:rPr>
          <w:rFonts w:ascii="Arial" w:hAnsi="Arial" w:cs="Arial"/>
          <w:b/>
          <w:bCs/>
          <w:sz w:val="28"/>
          <w:szCs w:val="28"/>
        </w:rPr>
      </w:pPr>
    </w:p>
    <w:sectPr w:rsidR="003742D4" w:rsidRPr="00953D55" w:rsidSect="00091191">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2D9B"/>
    <w:multiLevelType w:val="hybridMultilevel"/>
    <w:tmpl w:val="25B4B7F8"/>
    <w:lvl w:ilvl="0" w:tplc="4802F7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8E10E2"/>
    <w:multiLevelType w:val="hybridMultilevel"/>
    <w:tmpl w:val="BCC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D7B5B"/>
    <w:multiLevelType w:val="multilevel"/>
    <w:tmpl w:val="3584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554932"/>
    <w:multiLevelType w:val="hybridMultilevel"/>
    <w:tmpl w:val="C5420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463227">
    <w:abstractNumId w:val="0"/>
  </w:num>
  <w:num w:numId="2" w16cid:durableId="1396660088">
    <w:abstractNumId w:val="2"/>
  </w:num>
  <w:num w:numId="3" w16cid:durableId="1970474766">
    <w:abstractNumId w:val="1"/>
  </w:num>
  <w:num w:numId="4" w16cid:durableId="97336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CE"/>
    <w:rsid w:val="00002DFC"/>
    <w:rsid w:val="00020120"/>
    <w:rsid w:val="00022FFE"/>
    <w:rsid w:val="0002485F"/>
    <w:rsid w:val="00030E9E"/>
    <w:rsid w:val="0003102D"/>
    <w:rsid w:val="000319A7"/>
    <w:rsid w:val="0003319D"/>
    <w:rsid w:val="00035E1B"/>
    <w:rsid w:val="00037E33"/>
    <w:rsid w:val="00045C91"/>
    <w:rsid w:val="00045E28"/>
    <w:rsid w:val="0004646C"/>
    <w:rsid w:val="00050713"/>
    <w:rsid w:val="000525EB"/>
    <w:rsid w:val="000607D3"/>
    <w:rsid w:val="0006375B"/>
    <w:rsid w:val="000669FB"/>
    <w:rsid w:val="00070F55"/>
    <w:rsid w:val="00072C2D"/>
    <w:rsid w:val="00073E41"/>
    <w:rsid w:val="00082DFF"/>
    <w:rsid w:val="00085257"/>
    <w:rsid w:val="00090EEA"/>
    <w:rsid w:val="00091191"/>
    <w:rsid w:val="000A1752"/>
    <w:rsid w:val="000A4445"/>
    <w:rsid w:val="000B5B96"/>
    <w:rsid w:val="000C6AF7"/>
    <w:rsid w:val="000D303D"/>
    <w:rsid w:val="000D3DCA"/>
    <w:rsid w:val="000D507D"/>
    <w:rsid w:val="000D7777"/>
    <w:rsid w:val="000E0A4B"/>
    <w:rsid w:val="000E3192"/>
    <w:rsid w:val="000F251A"/>
    <w:rsid w:val="000F40C1"/>
    <w:rsid w:val="000F605B"/>
    <w:rsid w:val="00106B69"/>
    <w:rsid w:val="00107122"/>
    <w:rsid w:val="001073D7"/>
    <w:rsid w:val="0011479A"/>
    <w:rsid w:val="00114B94"/>
    <w:rsid w:val="00117773"/>
    <w:rsid w:val="00120A41"/>
    <w:rsid w:val="0012460B"/>
    <w:rsid w:val="00126A22"/>
    <w:rsid w:val="0013513A"/>
    <w:rsid w:val="0013760C"/>
    <w:rsid w:val="001379BA"/>
    <w:rsid w:val="001532C3"/>
    <w:rsid w:val="00160500"/>
    <w:rsid w:val="00160A2D"/>
    <w:rsid w:val="00161070"/>
    <w:rsid w:val="00164F29"/>
    <w:rsid w:val="00172120"/>
    <w:rsid w:val="001742B2"/>
    <w:rsid w:val="00174D61"/>
    <w:rsid w:val="0017570F"/>
    <w:rsid w:val="00195B66"/>
    <w:rsid w:val="00196A28"/>
    <w:rsid w:val="00197BB3"/>
    <w:rsid w:val="001A456C"/>
    <w:rsid w:val="001A642E"/>
    <w:rsid w:val="001A6E8C"/>
    <w:rsid w:val="001B2BB9"/>
    <w:rsid w:val="001B58A9"/>
    <w:rsid w:val="001B5923"/>
    <w:rsid w:val="001C56D9"/>
    <w:rsid w:val="001D0124"/>
    <w:rsid w:val="001D05F2"/>
    <w:rsid w:val="001D38FB"/>
    <w:rsid w:val="001D413C"/>
    <w:rsid w:val="001E0CB4"/>
    <w:rsid w:val="001E38C1"/>
    <w:rsid w:val="001F51A2"/>
    <w:rsid w:val="00201972"/>
    <w:rsid w:val="00206EA5"/>
    <w:rsid w:val="002124CD"/>
    <w:rsid w:val="00220407"/>
    <w:rsid w:val="00221846"/>
    <w:rsid w:val="002218FE"/>
    <w:rsid w:val="00221B72"/>
    <w:rsid w:val="00222FB2"/>
    <w:rsid w:val="0023625C"/>
    <w:rsid w:val="00242CCE"/>
    <w:rsid w:val="00252A60"/>
    <w:rsid w:val="002644E7"/>
    <w:rsid w:val="002647AF"/>
    <w:rsid w:val="00267F03"/>
    <w:rsid w:val="00270B8F"/>
    <w:rsid w:val="00270BA7"/>
    <w:rsid w:val="00271AB3"/>
    <w:rsid w:val="00271D07"/>
    <w:rsid w:val="00274846"/>
    <w:rsid w:val="002765E7"/>
    <w:rsid w:val="002839D9"/>
    <w:rsid w:val="002A0BFA"/>
    <w:rsid w:val="002A0F0A"/>
    <w:rsid w:val="002A32F2"/>
    <w:rsid w:val="002B6E2D"/>
    <w:rsid w:val="002B75D0"/>
    <w:rsid w:val="002C164F"/>
    <w:rsid w:val="002C6419"/>
    <w:rsid w:val="002C654F"/>
    <w:rsid w:val="002C66A6"/>
    <w:rsid w:val="002D13DD"/>
    <w:rsid w:val="002E2852"/>
    <w:rsid w:val="002E61CD"/>
    <w:rsid w:val="002F422C"/>
    <w:rsid w:val="002F6204"/>
    <w:rsid w:val="003013D3"/>
    <w:rsid w:val="00304619"/>
    <w:rsid w:val="00310D95"/>
    <w:rsid w:val="00317BCE"/>
    <w:rsid w:val="00321442"/>
    <w:rsid w:val="00322DF3"/>
    <w:rsid w:val="003373C0"/>
    <w:rsid w:val="00337417"/>
    <w:rsid w:val="003456B8"/>
    <w:rsid w:val="00347AA9"/>
    <w:rsid w:val="00351DCB"/>
    <w:rsid w:val="0035351D"/>
    <w:rsid w:val="00355A4B"/>
    <w:rsid w:val="0035740D"/>
    <w:rsid w:val="00361C01"/>
    <w:rsid w:val="003647A5"/>
    <w:rsid w:val="00364F3C"/>
    <w:rsid w:val="00365BC6"/>
    <w:rsid w:val="00372085"/>
    <w:rsid w:val="003742D4"/>
    <w:rsid w:val="00376816"/>
    <w:rsid w:val="00376CE1"/>
    <w:rsid w:val="00384D80"/>
    <w:rsid w:val="003938FA"/>
    <w:rsid w:val="003976BB"/>
    <w:rsid w:val="00397B34"/>
    <w:rsid w:val="00397DD1"/>
    <w:rsid w:val="003A0729"/>
    <w:rsid w:val="003A2BC3"/>
    <w:rsid w:val="003A340C"/>
    <w:rsid w:val="003B32D5"/>
    <w:rsid w:val="003C00F8"/>
    <w:rsid w:val="003D14EA"/>
    <w:rsid w:val="003D195A"/>
    <w:rsid w:val="003D6D2E"/>
    <w:rsid w:val="003E2E93"/>
    <w:rsid w:val="003E79C5"/>
    <w:rsid w:val="003F4387"/>
    <w:rsid w:val="003F4E05"/>
    <w:rsid w:val="003F58C2"/>
    <w:rsid w:val="00402013"/>
    <w:rsid w:val="00407472"/>
    <w:rsid w:val="00412C17"/>
    <w:rsid w:val="00417771"/>
    <w:rsid w:val="00420363"/>
    <w:rsid w:val="00420374"/>
    <w:rsid w:val="00422184"/>
    <w:rsid w:val="00423B04"/>
    <w:rsid w:val="004271C1"/>
    <w:rsid w:val="00431BD2"/>
    <w:rsid w:val="00437C49"/>
    <w:rsid w:val="0044186E"/>
    <w:rsid w:val="004447D7"/>
    <w:rsid w:val="0046552C"/>
    <w:rsid w:val="0046760B"/>
    <w:rsid w:val="0047455E"/>
    <w:rsid w:val="00477922"/>
    <w:rsid w:val="0048088C"/>
    <w:rsid w:val="00482348"/>
    <w:rsid w:val="00483936"/>
    <w:rsid w:val="004902AA"/>
    <w:rsid w:val="004946B2"/>
    <w:rsid w:val="004A00EF"/>
    <w:rsid w:val="004A0E8E"/>
    <w:rsid w:val="004A0ECD"/>
    <w:rsid w:val="004A2C6C"/>
    <w:rsid w:val="004B5F4E"/>
    <w:rsid w:val="004B6BC6"/>
    <w:rsid w:val="004B7D3C"/>
    <w:rsid w:val="004B7D6A"/>
    <w:rsid w:val="004C3F47"/>
    <w:rsid w:val="004D0A48"/>
    <w:rsid w:val="004D531D"/>
    <w:rsid w:val="004D5A21"/>
    <w:rsid w:val="004D64AC"/>
    <w:rsid w:val="004D6758"/>
    <w:rsid w:val="004D6DB2"/>
    <w:rsid w:val="004D776D"/>
    <w:rsid w:val="004E1388"/>
    <w:rsid w:val="004E72F2"/>
    <w:rsid w:val="004F56AC"/>
    <w:rsid w:val="0050240D"/>
    <w:rsid w:val="00512EBD"/>
    <w:rsid w:val="00513AD2"/>
    <w:rsid w:val="00517D76"/>
    <w:rsid w:val="00526BFC"/>
    <w:rsid w:val="005302DA"/>
    <w:rsid w:val="00532653"/>
    <w:rsid w:val="00532BE3"/>
    <w:rsid w:val="00533E9D"/>
    <w:rsid w:val="005375EA"/>
    <w:rsid w:val="00541B32"/>
    <w:rsid w:val="00543C74"/>
    <w:rsid w:val="005442E7"/>
    <w:rsid w:val="00544603"/>
    <w:rsid w:val="005515B6"/>
    <w:rsid w:val="005528D5"/>
    <w:rsid w:val="00555819"/>
    <w:rsid w:val="00555E4A"/>
    <w:rsid w:val="00561684"/>
    <w:rsid w:val="00563FB7"/>
    <w:rsid w:val="00564047"/>
    <w:rsid w:val="00564BB3"/>
    <w:rsid w:val="00573172"/>
    <w:rsid w:val="00573D59"/>
    <w:rsid w:val="00576B67"/>
    <w:rsid w:val="00581839"/>
    <w:rsid w:val="005838E4"/>
    <w:rsid w:val="00583C1A"/>
    <w:rsid w:val="00585AC6"/>
    <w:rsid w:val="00585F25"/>
    <w:rsid w:val="005871FF"/>
    <w:rsid w:val="005873BF"/>
    <w:rsid w:val="00587A8B"/>
    <w:rsid w:val="0059086E"/>
    <w:rsid w:val="00597B51"/>
    <w:rsid w:val="005A05FD"/>
    <w:rsid w:val="005A3878"/>
    <w:rsid w:val="005A562D"/>
    <w:rsid w:val="005A7865"/>
    <w:rsid w:val="005A78E8"/>
    <w:rsid w:val="005C39FA"/>
    <w:rsid w:val="005D2F9A"/>
    <w:rsid w:val="005D5373"/>
    <w:rsid w:val="005E1900"/>
    <w:rsid w:val="005E1C8D"/>
    <w:rsid w:val="005E312E"/>
    <w:rsid w:val="005E3A15"/>
    <w:rsid w:val="005F23D9"/>
    <w:rsid w:val="005F69C0"/>
    <w:rsid w:val="00602AFA"/>
    <w:rsid w:val="006075E5"/>
    <w:rsid w:val="00610AFB"/>
    <w:rsid w:val="0061126D"/>
    <w:rsid w:val="006218F0"/>
    <w:rsid w:val="00623260"/>
    <w:rsid w:val="00631D14"/>
    <w:rsid w:val="00632D18"/>
    <w:rsid w:val="0063391F"/>
    <w:rsid w:val="00633F98"/>
    <w:rsid w:val="00636A6E"/>
    <w:rsid w:val="0064241F"/>
    <w:rsid w:val="00643AFD"/>
    <w:rsid w:val="00644906"/>
    <w:rsid w:val="00646E0D"/>
    <w:rsid w:val="00651742"/>
    <w:rsid w:val="006533DA"/>
    <w:rsid w:val="00657A49"/>
    <w:rsid w:val="0066236B"/>
    <w:rsid w:val="006635D8"/>
    <w:rsid w:val="006747F4"/>
    <w:rsid w:val="006750F6"/>
    <w:rsid w:val="006766F0"/>
    <w:rsid w:val="006776B9"/>
    <w:rsid w:val="00677F34"/>
    <w:rsid w:val="00681674"/>
    <w:rsid w:val="0068337E"/>
    <w:rsid w:val="00684BC8"/>
    <w:rsid w:val="006941DA"/>
    <w:rsid w:val="006953B6"/>
    <w:rsid w:val="00695C40"/>
    <w:rsid w:val="00696555"/>
    <w:rsid w:val="00696CA5"/>
    <w:rsid w:val="00697406"/>
    <w:rsid w:val="00697A22"/>
    <w:rsid w:val="006B0A4C"/>
    <w:rsid w:val="006B18C4"/>
    <w:rsid w:val="006B5B5B"/>
    <w:rsid w:val="006B5FC6"/>
    <w:rsid w:val="006C57CC"/>
    <w:rsid w:val="006D37BD"/>
    <w:rsid w:val="006D3980"/>
    <w:rsid w:val="006D5EAA"/>
    <w:rsid w:val="006D6EE2"/>
    <w:rsid w:val="006E4285"/>
    <w:rsid w:val="006E61A9"/>
    <w:rsid w:val="006F05EA"/>
    <w:rsid w:val="006F3F82"/>
    <w:rsid w:val="006F7BB9"/>
    <w:rsid w:val="007174D6"/>
    <w:rsid w:val="00722175"/>
    <w:rsid w:val="00722543"/>
    <w:rsid w:val="00723DCF"/>
    <w:rsid w:val="007246B4"/>
    <w:rsid w:val="00733700"/>
    <w:rsid w:val="007349B2"/>
    <w:rsid w:val="00735AC1"/>
    <w:rsid w:val="007412E4"/>
    <w:rsid w:val="00741CB7"/>
    <w:rsid w:val="00741F93"/>
    <w:rsid w:val="00744038"/>
    <w:rsid w:val="0074452C"/>
    <w:rsid w:val="00750884"/>
    <w:rsid w:val="0075092F"/>
    <w:rsid w:val="00753E95"/>
    <w:rsid w:val="00755FF7"/>
    <w:rsid w:val="00766568"/>
    <w:rsid w:val="0076763D"/>
    <w:rsid w:val="00774D63"/>
    <w:rsid w:val="0077FE38"/>
    <w:rsid w:val="00795D1D"/>
    <w:rsid w:val="007A1B82"/>
    <w:rsid w:val="007A24A7"/>
    <w:rsid w:val="007A5A36"/>
    <w:rsid w:val="007B09ED"/>
    <w:rsid w:val="007B16AF"/>
    <w:rsid w:val="007B7276"/>
    <w:rsid w:val="007C1AC4"/>
    <w:rsid w:val="007C5F25"/>
    <w:rsid w:val="007C7239"/>
    <w:rsid w:val="007E172C"/>
    <w:rsid w:val="007F15C6"/>
    <w:rsid w:val="007F2BBB"/>
    <w:rsid w:val="007F3D13"/>
    <w:rsid w:val="007F53D1"/>
    <w:rsid w:val="00800FD7"/>
    <w:rsid w:val="0080738A"/>
    <w:rsid w:val="008078FC"/>
    <w:rsid w:val="00812F37"/>
    <w:rsid w:val="008211C1"/>
    <w:rsid w:val="008218DC"/>
    <w:rsid w:val="0082488E"/>
    <w:rsid w:val="00825105"/>
    <w:rsid w:val="00826B67"/>
    <w:rsid w:val="00830128"/>
    <w:rsid w:val="008306E9"/>
    <w:rsid w:val="00830A62"/>
    <w:rsid w:val="00836151"/>
    <w:rsid w:val="00840D9C"/>
    <w:rsid w:val="00843747"/>
    <w:rsid w:val="00844328"/>
    <w:rsid w:val="00845BDB"/>
    <w:rsid w:val="008548EF"/>
    <w:rsid w:val="00854EC1"/>
    <w:rsid w:val="00857FF6"/>
    <w:rsid w:val="00875AB4"/>
    <w:rsid w:val="00883CB5"/>
    <w:rsid w:val="00885C47"/>
    <w:rsid w:val="0089061F"/>
    <w:rsid w:val="00891850"/>
    <w:rsid w:val="00891B76"/>
    <w:rsid w:val="0089455A"/>
    <w:rsid w:val="00894C4B"/>
    <w:rsid w:val="008A040D"/>
    <w:rsid w:val="008B30B9"/>
    <w:rsid w:val="008B579B"/>
    <w:rsid w:val="008B7DF4"/>
    <w:rsid w:val="008C0379"/>
    <w:rsid w:val="008D00AB"/>
    <w:rsid w:val="008D0ADD"/>
    <w:rsid w:val="008D5084"/>
    <w:rsid w:val="008E312F"/>
    <w:rsid w:val="008E545E"/>
    <w:rsid w:val="008E66D5"/>
    <w:rsid w:val="008F3CAC"/>
    <w:rsid w:val="008F7DFE"/>
    <w:rsid w:val="00904909"/>
    <w:rsid w:val="009061C8"/>
    <w:rsid w:val="0090630E"/>
    <w:rsid w:val="00912468"/>
    <w:rsid w:val="009259FC"/>
    <w:rsid w:val="00941004"/>
    <w:rsid w:val="00942668"/>
    <w:rsid w:val="00946EF1"/>
    <w:rsid w:val="0095064D"/>
    <w:rsid w:val="00953B82"/>
    <w:rsid w:val="00953D55"/>
    <w:rsid w:val="00957747"/>
    <w:rsid w:val="00961425"/>
    <w:rsid w:val="00961C43"/>
    <w:rsid w:val="00962483"/>
    <w:rsid w:val="00972A03"/>
    <w:rsid w:val="00977F2D"/>
    <w:rsid w:val="009800D9"/>
    <w:rsid w:val="00984B46"/>
    <w:rsid w:val="00984FAA"/>
    <w:rsid w:val="00984FF3"/>
    <w:rsid w:val="009A0C25"/>
    <w:rsid w:val="009A27C3"/>
    <w:rsid w:val="009A3B72"/>
    <w:rsid w:val="009A3DC3"/>
    <w:rsid w:val="009A6F9C"/>
    <w:rsid w:val="009B0688"/>
    <w:rsid w:val="009B4094"/>
    <w:rsid w:val="009B419F"/>
    <w:rsid w:val="009C0DB6"/>
    <w:rsid w:val="009C2B77"/>
    <w:rsid w:val="009C3829"/>
    <w:rsid w:val="009C7712"/>
    <w:rsid w:val="009D0B71"/>
    <w:rsid w:val="009D72C5"/>
    <w:rsid w:val="009E2878"/>
    <w:rsid w:val="009E52DB"/>
    <w:rsid w:val="009F2799"/>
    <w:rsid w:val="009F72AA"/>
    <w:rsid w:val="00A00878"/>
    <w:rsid w:val="00A0692F"/>
    <w:rsid w:val="00A10ECD"/>
    <w:rsid w:val="00A13B1C"/>
    <w:rsid w:val="00A15318"/>
    <w:rsid w:val="00A162EB"/>
    <w:rsid w:val="00A2317B"/>
    <w:rsid w:val="00A26B9B"/>
    <w:rsid w:val="00A36C68"/>
    <w:rsid w:val="00A43919"/>
    <w:rsid w:val="00A46755"/>
    <w:rsid w:val="00A62603"/>
    <w:rsid w:val="00A85F81"/>
    <w:rsid w:val="00A87DB2"/>
    <w:rsid w:val="00A910B0"/>
    <w:rsid w:val="00A9307F"/>
    <w:rsid w:val="00AA099C"/>
    <w:rsid w:val="00AA16E4"/>
    <w:rsid w:val="00AA59A5"/>
    <w:rsid w:val="00AA5CFD"/>
    <w:rsid w:val="00AB515C"/>
    <w:rsid w:val="00AC0AEA"/>
    <w:rsid w:val="00AC13DB"/>
    <w:rsid w:val="00AC141F"/>
    <w:rsid w:val="00AC20F9"/>
    <w:rsid w:val="00AC2D1E"/>
    <w:rsid w:val="00AD5DDD"/>
    <w:rsid w:val="00AE3089"/>
    <w:rsid w:val="00AE35AE"/>
    <w:rsid w:val="00AE4047"/>
    <w:rsid w:val="00AF1936"/>
    <w:rsid w:val="00AF1BC3"/>
    <w:rsid w:val="00AF2BF5"/>
    <w:rsid w:val="00AF676F"/>
    <w:rsid w:val="00B001EA"/>
    <w:rsid w:val="00B02811"/>
    <w:rsid w:val="00B14DCA"/>
    <w:rsid w:val="00B14DFB"/>
    <w:rsid w:val="00B1678C"/>
    <w:rsid w:val="00B1679E"/>
    <w:rsid w:val="00B17017"/>
    <w:rsid w:val="00B21021"/>
    <w:rsid w:val="00B27577"/>
    <w:rsid w:val="00B31CBC"/>
    <w:rsid w:val="00B359D6"/>
    <w:rsid w:val="00B362B1"/>
    <w:rsid w:val="00B36EC6"/>
    <w:rsid w:val="00B4298E"/>
    <w:rsid w:val="00B43E5F"/>
    <w:rsid w:val="00B44220"/>
    <w:rsid w:val="00B45477"/>
    <w:rsid w:val="00B473C6"/>
    <w:rsid w:val="00B47E41"/>
    <w:rsid w:val="00B5700E"/>
    <w:rsid w:val="00B753E8"/>
    <w:rsid w:val="00B76B10"/>
    <w:rsid w:val="00B77DD6"/>
    <w:rsid w:val="00B800F0"/>
    <w:rsid w:val="00B80B32"/>
    <w:rsid w:val="00B83F40"/>
    <w:rsid w:val="00B86797"/>
    <w:rsid w:val="00B86A12"/>
    <w:rsid w:val="00B94128"/>
    <w:rsid w:val="00B9676F"/>
    <w:rsid w:val="00BA202D"/>
    <w:rsid w:val="00BA2B3B"/>
    <w:rsid w:val="00BA54FF"/>
    <w:rsid w:val="00BB1F42"/>
    <w:rsid w:val="00BB4093"/>
    <w:rsid w:val="00BB4CFA"/>
    <w:rsid w:val="00BB69A6"/>
    <w:rsid w:val="00BC027D"/>
    <w:rsid w:val="00BC32C3"/>
    <w:rsid w:val="00BC6BA0"/>
    <w:rsid w:val="00BD11A9"/>
    <w:rsid w:val="00BD2AE0"/>
    <w:rsid w:val="00BD4113"/>
    <w:rsid w:val="00BE1B2F"/>
    <w:rsid w:val="00BE3DAB"/>
    <w:rsid w:val="00BE6FBE"/>
    <w:rsid w:val="00BE7B2E"/>
    <w:rsid w:val="00BF4F88"/>
    <w:rsid w:val="00C027E8"/>
    <w:rsid w:val="00C10307"/>
    <w:rsid w:val="00C130C3"/>
    <w:rsid w:val="00C1416A"/>
    <w:rsid w:val="00C276B0"/>
    <w:rsid w:val="00C52F3C"/>
    <w:rsid w:val="00C53110"/>
    <w:rsid w:val="00C573A6"/>
    <w:rsid w:val="00C57F9D"/>
    <w:rsid w:val="00C6018A"/>
    <w:rsid w:val="00C73E76"/>
    <w:rsid w:val="00C74FB9"/>
    <w:rsid w:val="00C75F33"/>
    <w:rsid w:val="00C770A0"/>
    <w:rsid w:val="00C9325D"/>
    <w:rsid w:val="00C95DDC"/>
    <w:rsid w:val="00CA5B4A"/>
    <w:rsid w:val="00CB2651"/>
    <w:rsid w:val="00CB67F8"/>
    <w:rsid w:val="00CB71D3"/>
    <w:rsid w:val="00CC098B"/>
    <w:rsid w:val="00CC2C09"/>
    <w:rsid w:val="00CC6028"/>
    <w:rsid w:val="00CC6AE9"/>
    <w:rsid w:val="00CC6DAB"/>
    <w:rsid w:val="00CC71F0"/>
    <w:rsid w:val="00CD1E90"/>
    <w:rsid w:val="00CD2419"/>
    <w:rsid w:val="00CD49D0"/>
    <w:rsid w:val="00CD6ED4"/>
    <w:rsid w:val="00CE0C70"/>
    <w:rsid w:val="00CE4DBA"/>
    <w:rsid w:val="00CE5EB0"/>
    <w:rsid w:val="00CE7B0C"/>
    <w:rsid w:val="00CF0816"/>
    <w:rsid w:val="00CF76C4"/>
    <w:rsid w:val="00D00487"/>
    <w:rsid w:val="00D019F0"/>
    <w:rsid w:val="00D01B10"/>
    <w:rsid w:val="00D0286D"/>
    <w:rsid w:val="00D10EC4"/>
    <w:rsid w:val="00D122BE"/>
    <w:rsid w:val="00D236CE"/>
    <w:rsid w:val="00D31B6B"/>
    <w:rsid w:val="00D34D58"/>
    <w:rsid w:val="00D35FEC"/>
    <w:rsid w:val="00D3612A"/>
    <w:rsid w:val="00D410DE"/>
    <w:rsid w:val="00D46308"/>
    <w:rsid w:val="00D47CEC"/>
    <w:rsid w:val="00D610E2"/>
    <w:rsid w:val="00D61ABA"/>
    <w:rsid w:val="00D707F7"/>
    <w:rsid w:val="00D70B8E"/>
    <w:rsid w:val="00D73116"/>
    <w:rsid w:val="00D74AF6"/>
    <w:rsid w:val="00D84963"/>
    <w:rsid w:val="00D8499C"/>
    <w:rsid w:val="00D85C23"/>
    <w:rsid w:val="00D901F0"/>
    <w:rsid w:val="00DA038C"/>
    <w:rsid w:val="00DA1EFD"/>
    <w:rsid w:val="00DB0FEE"/>
    <w:rsid w:val="00DB1BAB"/>
    <w:rsid w:val="00DB393C"/>
    <w:rsid w:val="00DC0440"/>
    <w:rsid w:val="00DC2EE9"/>
    <w:rsid w:val="00DC3686"/>
    <w:rsid w:val="00DD4955"/>
    <w:rsid w:val="00DE191E"/>
    <w:rsid w:val="00DE1A7B"/>
    <w:rsid w:val="00DE3C7A"/>
    <w:rsid w:val="00DE50A6"/>
    <w:rsid w:val="00DE5D6F"/>
    <w:rsid w:val="00DF3091"/>
    <w:rsid w:val="00E0633D"/>
    <w:rsid w:val="00E13286"/>
    <w:rsid w:val="00E249D9"/>
    <w:rsid w:val="00E24B99"/>
    <w:rsid w:val="00E25B62"/>
    <w:rsid w:val="00E3177D"/>
    <w:rsid w:val="00E33566"/>
    <w:rsid w:val="00E33C06"/>
    <w:rsid w:val="00E37394"/>
    <w:rsid w:val="00E50152"/>
    <w:rsid w:val="00E51B46"/>
    <w:rsid w:val="00E525F9"/>
    <w:rsid w:val="00E5476F"/>
    <w:rsid w:val="00E67EEF"/>
    <w:rsid w:val="00E70046"/>
    <w:rsid w:val="00E704F2"/>
    <w:rsid w:val="00E7160E"/>
    <w:rsid w:val="00E7238D"/>
    <w:rsid w:val="00E7339C"/>
    <w:rsid w:val="00E76543"/>
    <w:rsid w:val="00E8222A"/>
    <w:rsid w:val="00E84532"/>
    <w:rsid w:val="00E87518"/>
    <w:rsid w:val="00EA52EC"/>
    <w:rsid w:val="00EA656B"/>
    <w:rsid w:val="00EA6F39"/>
    <w:rsid w:val="00EB224D"/>
    <w:rsid w:val="00EB39FA"/>
    <w:rsid w:val="00EB3FE7"/>
    <w:rsid w:val="00EB76F5"/>
    <w:rsid w:val="00EC09DB"/>
    <w:rsid w:val="00EC1BB4"/>
    <w:rsid w:val="00EC35EC"/>
    <w:rsid w:val="00ED0DC9"/>
    <w:rsid w:val="00ED43C9"/>
    <w:rsid w:val="00ED4629"/>
    <w:rsid w:val="00ED7216"/>
    <w:rsid w:val="00ED74B0"/>
    <w:rsid w:val="00ED7C07"/>
    <w:rsid w:val="00ED860A"/>
    <w:rsid w:val="00EE1E90"/>
    <w:rsid w:val="00EE29BB"/>
    <w:rsid w:val="00EE3832"/>
    <w:rsid w:val="00EF2CE3"/>
    <w:rsid w:val="00EF58C9"/>
    <w:rsid w:val="00EF7EE0"/>
    <w:rsid w:val="00F0387A"/>
    <w:rsid w:val="00F04A7C"/>
    <w:rsid w:val="00F11B38"/>
    <w:rsid w:val="00F169D2"/>
    <w:rsid w:val="00F17198"/>
    <w:rsid w:val="00F20D1D"/>
    <w:rsid w:val="00F30356"/>
    <w:rsid w:val="00F378AF"/>
    <w:rsid w:val="00F415CB"/>
    <w:rsid w:val="00F5265C"/>
    <w:rsid w:val="00F545F3"/>
    <w:rsid w:val="00F6198C"/>
    <w:rsid w:val="00F64A48"/>
    <w:rsid w:val="00F66EA1"/>
    <w:rsid w:val="00F709A3"/>
    <w:rsid w:val="00F74D50"/>
    <w:rsid w:val="00F767DC"/>
    <w:rsid w:val="00F81639"/>
    <w:rsid w:val="00F81E22"/>
    <w:rsid w:val="00F90488"/>
    <w:rsid w:val="00F9100E"/>
    <w:rsid w:val="00F92BBA"/>
    <w:rsid w:val="00F93B2B"/>
    <w:rsid w:val="00F94F52"/>
    <w:rsid w:val="00F964B6"/>
    <w:rsid w:val="00FB2D1D"/>
    <w:rsid w:val="00FB4AFB"/>
    <w:rsid w:val="00FD6151"/>
    <w:rsid w:val="00FE1498"/>
    <w:rsid w:val="00FE1E28"/>
    <w:rsid w:val="00FE1FF5"/>
    <w:rsid w:val="00FF075B"/>
    <w:rsid w:val="00FF07C5"/>
    <w:rsid w:val="00FF1DB6"/>
    <w:rsid w:val="00FF4BAC"/>
    <w:rsid w:val="00FF5048"/>
    <w:rsid w:val="013B410E"/>
    <w:rsid w:val="014DE19F"/>
    <w:rsid w:val="01787328"/>
    <w:rsid w:val="01BD55D8"/>
    <w:rsid w:val="01D9E708"/>
    <w:rsid w:val="01DF86BB"/>
    <w:rsid w:val="021DBAA0"/>
    <w:rsid w:val="021F2C1E"/>
    <w:rsid w:val="026BE1DF"/>
    <w:rsid w:val="02755EC5"/>
    <w:rsid w:val="028C8A81"/>
    <w:rsid w:val="02CB02C1"/>
    <w:rsid w:val="02D6C2E7"/>
    <w:rsid w:val="02DF5272"/>
    <w:rsid w:val="033F9C35"/>
    <w:rsid w:val="0341DA04"/>
    <w:rsid w:val="036CE43A"/>
    <w:rsid w:val="0370DD48"/>
    <w:rsid w:val="03A710A1"/>
    <w:rsid w:val="03E4FE5F"/>
    <w:rsid w:val="03ED3B23"/>
    <w:rsid w:val="0412C032"/>
    <w:rsid w:val="04FCDFEA"/>
    <w:rsid w:val="051EB950"/>
    <w:rsid w:val="0589E2DB"/>
    <w:rsid w:val="05D5C3F4"/>
    <w:rsid w:val="061469AB"/>
    <w:rsid w:val="066E2CBD"/>
    <w:rsid w:val="069FF37E"/>
    <w:rsid w:val="06DD3FBC"/>
    <w:rsid w:val="073FE404"/>
    <w:rsid w:val="076DBF54"/>
    <w:rsid w:val="07C44F6E"/>
    <w:rsid w:val="084D4ADE"/>
    <w:rsid w:val="0872E482"/>
    <w:rsid w:val="08B970FF"/>
    <w:rsid w:val="091328CE"/>
    <w:rsid w:val="094F0D70"/>
    <w:rsid w:val="09A27E46"/>
    <w:rsid w:val="09D3CDB2"/>
    <w:rsid w:val="09E1C8F2"/>
    <w:rsid w:val="0A6952F6"/>
    <w:rsid w:val="0A737469"/>
    <w:rsid w:val="0A988AC7"/>
    <w:rsid w:val="0AA8A010"/>
    <w:rsid w:val="0AED235D"/>
    <w:rsid w:val="0C07E263"/>
    <w:rsid w:val="0C1E4279"/>
    <w:rsid w:val="0C2C60B1"/>
    <w:rsid w:val="0C3B0695"/>
    <w:rsid w:val="0C85BBE1"/>
    <w:rsid w:val="0CBC8A07"/>
    <w:rsid w:val="0CC85AEB"/>
    <w:rsid w:val="0CE9A4DE"/>
    <w:rsid w:val="0D124B22"/>
    <w:rsid w:val="0D8F8F5B"/>
    <w:rsid w:val="0DC2A27C"/>
    <w:rsid w:val="0DD5A512"/>
    <w:rsid w:val="0E067D02"/>
    <w:rsid w:val="0E14922B"/>
    <w:rsid w:val="0E1626D9"/>
    <w:rsid w:val="0E1666C0"/>
    <w:rsid w:val="0E8D217C"/>
    <w:rsid w:val="0EB119C2"/>
    <w:rsid w:val="0EE27E13"/>
    <w:rsid w:val="0F18FA45"/>
    <w:rsid w:val="0F1C1639"/>
    <w:rsid w:val="0F363272"/>
    <w:rsid w:val="0F696FBB"/>
    <w:rsid w:val="1077BFB3"/>
    <w:rsid w:val="10D2C1BA"/>
    <w:rsid w:val="1151DFC4"/>
    <w:rsid w:val="11804767"/>
    <w:rsid w:val="11C8242F"/>
    <w:rsid w:val="11CC3B96"/>
    <w:rsid w:val="124C0F1B"/>
    <w:rsid w:val="12711880"/>
    <w:rsid w:val="128E36EE"/>
    <w:rsid w:val="12AA732E"/>
    <w:rsid w:val="12AB21E5"/>
    <w:rsid w:val="12DFA04B"/>
    <w:rsid w:val="13267BE7"/>
    <w:rsid w:val="13B979C3"/>
    <w:rsid w:val="13DE3544"/>
    <w:rsid w:val="140CFDE4"/>
    <w:rsid w:val="142C5B72"/>
    <w:rsid w:val="146B5C80"/>
    <w:rsid w:val="146DAC64"/>
    <w:rsid w:val="149CA916"/>
    <w:rsid w:val="14A1ACBB"/>
    <w:rsid w:val="14E49D6F"/>
    <w:rsid w:val="151AB96A"/>
    <w:rsid w:val="154FEF32"/>
    <w:rsid w:val="15742A59"/>
    <w:rsid w:val="160B95BD"/>
    <w:rsid w:val="16821B2A"/>
    <w:rsid w:val="16A2CDFA"/>
    <w:rsid w:val="16AB9AE1"/>
    <w:rsid w:val="16F1BA84"/>
    <w:rsid w:val="16F4CC2C"/>
    <w:rsid w:val="179775E5"/>
    <w:rsid w:val="18289A53"/>
    <w:rsid w:val="18722FF3"/>
    <w:rsid w:val="18B311C0"/>
    <w:rsid w:val="18BDDA8D"/>
    <w:rsid w:val="18CB85F8"/>
    <w:rsid w:val="18DD0642"/>
    <w:rsid w:val="194B2B53"/>
    <w:rsid w:val="1989EE25"/>
    <w:rsid w:val="198A3EC0"/>
    <w:rsid w:val="19FD689A"/>
    <w:rsid w:val="1A1523AB"/>
    <w:rsid w:val="1A311571"/>
    <w:rsid w:val="1A8C5207"/>
    <w:rsid w:val="1AB28236"/>
    <w:rsid w:val="1AC4AC48"/>
    <w:rsid w:val="1AE20812"/>
    <w:rsid w:val="1B370A20"/>
    <w:rsid w:val="1B4F1B34"/>
    <w:rsid w:val="1BE84FF2"/>
    <w:rsid w:val="1C329137"/>
    <w:rsid w:val="1C408302"/>
    <w:rsid w:val="1CA2E55F"/>
    <w:rsid w:val="1CC303E4"/>
    <w:rsid w:val="1CD452BB"/>
    <w:rsid w:val="1D054BA2"/>
    <w:rsid w:val="1D23CF5E"/>
    <w:rsid w:val="1D2C250B"/>
    <w:rsid w:val="1DD19272"/>
    <w:rsid w:val="1E3E439D"/>
    <w:rsid w:val="1E640D09"/>
    <w:rsid w:val="1E748EE9"/>
    <w:rsid w:val="1E81E829"/>
    <w:rsid w:val="1F546866"/>
    <w:rsid w:val="1F650BED"/>
    <w:rsid w:val="1FA06CCD"/>
    <w:rsid w:val="1FA4A1B7"/>
    <w:rsid w:val="1FD154D1"/>
    <w:rsid w:val="1FE2804A"/>
    <w:rsid w:val="2034BE18"/>
    <w:rsid w:val="2080E961"/>
    <w:rsid w:val="20D0C0E8"/>
    <w:rsid w:val="20D5DD14"/>
    <w:rsid w:val="2117598D"/>
    <w:rsid w:val="21C749D0"/>
    <w:rsid w:val="21D4061C"/>
    <w:rsid w:val="21F53473"/>
    <w:rsid w:val="22780294"/>
    <w:rsid w:val="2391D53B"/>
    <w:rsid w:val="23CB6C4A"/>
    <w:rsid w:val="241CD553"/>
    <w:rsid w:val="243B33F7"/>
    <w:rsid w:val="2492C402"/>
    <w:rsid w:val="2499410A"/>
    <w:rsid w:val="25433FF5"/>
    <w:rsid w:val="25899397"/>
    <w:rsid w:val="2589DF5F"/>
    <w:rsid w:val="25C65E99"/>
    <w:rsid w:val="25D338F9"/>
    <w:rsid w:val="261F43E2"/>
    <w:rsid w:val="2640EDBB"/>
    <w:rsid w:val="2685B839"/>
    <w:rsid w:val="26C9F1DB"/>
    <w:rsid w:val="270654BB"/>
    <w:rsid w:val="27702C5A"/>
    <w:rsid w:val="27E0990C"/>
    <w:rsid w:val="280D7968"/>
    <w:rsid w:val="282F0ACB"/>
    <w:rsid w:val="284CAA37"/>
    <w:rsid w:val="2909162B"/>
    <w:rsid w:val="290FDF34"/>
    <w:rsid w:val="291D8789"/>
    <w:rsid w:val="294AE5AD"/>
    <w:rsid w:val="2A262709"/>
    <w:rsid w:val="2A786F30"/>
    <w:rsid w:val="2A79556A"/>
    <w:rsid w:val="2A7FFF97"/>
    <w:rsid w:val="2ACF0BDE"/>
    <w:rsid w:val="2B80AB44"/>
    <w:rsid w:val="2BB68955"/>
    <w:rsid w:val="2BEFA43D"/>
    <w:rsid w:val="2BF46045"/>
    <w:rsid w:val="2C1743B1"/>
    <w:rsid w:val="2C34A338"/>
    <w:rsid w:val="2C6B00F5"/>
    <w:rsid w:val="2C80893B"/>
    <w:rsid w:val="2C8AFA41"/>
    <w:rsid w:val="2C9A2A06"/>
    <w:rsid w:val="2CC08943"/>
    <w:rsid w:val="2CE8675D"/>
    <w:rsid w:val="2D16046F"/>
    <w:rsid w:val="2D4A97F6"/>
    <w:rsid w:val="2D73E6CD"/>
    <w:rsid w:val="2D7B9D19"/>
    <w:rsid w:val="2DB3612D"/>
    <w:rsid w:val="2E5FCDEC"/>
    <w:rsid w:val="2EC95D38"/>
    <w:rsid w:val="2F0D11AF"/>
    <w:rsid w:val="2F3ADE2A"/>
    <w:rsid w:val="30E6D467"/>
    <w:rsid w:val="3127D302"/>
    <w:rsid w:val="312E3617"/>
    <w:rsid w:val="3137ACBD"/>
    <w:rsid w:val="31631826"/>
    <w:rsid w:val="317790B2"/>
    <w:rsid w:val="31A32804"/>
    <w:rsid w:val="31C1E7E1"/>
    <w:rsid w:val="31F0FB0F"/>
    <w:rsid w:val="3212038F"/>
    <w:rsid w:val="322595AA"/>
    <w:rsid w:val="322C7278"/>
    <w:rsid w:val="3275EDAC"/>
    <w:rsid w:val="327FDEC6"/>
    <w:rsid w:val="32B4BB53"/>
    <w:rsid w:val="32C1FB88"/>
    <w:rsid w:val="33130107"/>
    <w:rsid w:val="3427FF0E"/>
    <w:rsid w:val="3452EB77"/>
    <w:rsid w:val="349C876E"/>
    <w:rsid w:val="3571ABF4"/>
    <w:rsid w:val="357D3B19"/>
    <w:rsid w:val="35915FBD"/>
    <w:rsid w:val="35AA9D6E"/>
    <w:rsid w:val="35EA44B8"/>
    <w:rsid w:val="35F0DF10"/>
    <w:rsid w:val="362E4D34"/>
    <w:rsid w:val="3638CA58"/>
    <w:rsid w:val="364369F8"/>
    <w:rsid w:val="36AE503C"/>
    <w:rsid w:val="36DC8324"/>
    <w:rsid w:val="3714CC72"/>
    <w:rsid w:val="371AFB6E"/>
    <w:rsid w:val="371D204C"/>
    <w:rsid w:val="3735BBD9"/>
    <w:rsid w:val="379B1BC7"/>
    <w:rsid w:val="37A5A9A9"/>
    <w:rsid w:val="38009E96"/>
    <w:rsid w:val="3800CDF7"/>
    <w:rsid w:val="382CD67B"/>
    <w:rsid w:val="38371F42"/>
    <w:rsid w:val="38807603"/>
    <w:rsid w:val="38949702"/>
    <w:rsid w:val="38A70AE2"/>
    <w:rsid w:val="38D63A47"/>
    <w:rsid w:val="38F93B35"/>
    <w:rsid w:val="398D6D80"/>
    <w:rsid w:val="39B2705F"/>
    <w:rsid w:val="39BB13E7"/>
    <w:rsid w:val="39CECF42"/>
    <w:rsid w:val="39FE02EE"/>
    <w:rsid w:val="3A349876"/>
    <w:rsid w:val="3A5DE17F"/>
    <w:rsid w:val="3B132472"/>
    <w:rsid w:val="3B1DBD19"/>
    <w:rsid w:val="3B9FB0DA"/>
    <w:rsid w:val="3BC664E0"/>
    <w:rsid w:val="3BE53055"/>
    <w:rsid w:val="3BF56EF1"/>
    <w:rsid w:val="3C046470"/>
    <w:rsid w:val="3C1FC3F9"/>
    <w:rsid w:val="3C6E61A5"/>
    <w:rsid w:val="3CD4E170"/>
    <w:rsid w:val="3D21D530"/>
    <w:rsid w:val="3D3EAAD7"/>
    <w:rsid w:val="3D710030"/>
    <w:rsid w:val="3E14165A"/>
    <w:rsid w:val="3E44C8E4"/>
    <w:rsid w:val="3E7937B1"/>
    <w:rsid w:val="3EA4DE36"/>
    <w:rsid w:val="3EB8DA52"/>
    <w:rsid w:val="3EE0F04A"/>
    <w:rsid w:val="3F6351A2"/>
    <w:rsid w:val="3FB394D8"/>
    <w:rsid w:val="3FDDC56F"/>
    <w:rsid w:val="3FDF1C1A"/>
    <w:rsid w:val="3FF6531B"/>
    <w:rsid w:val="40036F53"/>
    <w:rsid w:val="4007E8D3"/>
    <w:rsid w:val="40144FD0"/>
    <w:rsid w:val="4020AC87"/>
    <w:rsid w:val="402C0730"/>
    <w:rsid w:val="40395069"/>
    <w:rsid w:val="403E6DA3"/>
    <w:rsid w:val="405FE2E8"/>
    <w:rsid w:val="4097AAFB"/>
    <w:rsid w:val="40B9B205"/>
    <w:rsid w:val="40C71722"/>
    <w:rsid w:val="40D30975"/>
    <w:rsid w:val="40DAD8FA"/>
    <w:rsid w:val="40DDC916"/>
    <w:rsid w:val="40E61B44"/>
    <w:rsid w:val="41788DE9"/>
    <w:rsid w:val="418DE31D"/>
    <w:rsid w:val="41EE3E15"/>
    <w:rsid w:val="41F2B15F"/>
    <w:rsid w:val="4205D24E"/>
    <w:rsid w:val="4209DA5D"/>
    <w:rsid w:val="426CC702"/>
    <w:rsid w:val="4285D29A"/>
    <w:rsid w:val="429C984E"/>
    <w:rsid w:val="43368446"/>
    <w:rsid w:val="433C4DAA"/>
    <w:rsid w:val="436146F7"/>
    <w:rsid w:val="43F3DF73"/>
    <w:rsid w:val="4487E599"/>
    <w:rsid w:val="44AF0105"/>
    <w:rsid w:val="44E1A005"/>
    <w:rsid w:val="45546FD4"/>
    <w:rsid w:val="45AD4EE1"/>
    <w:rsid w:val="45B61A10"/>
    <w:rsid w:val="466386D0"/>
    <w:rsid w:val="466920A6"/>
    <w:rsid w:val="46896D27"/>
    <w:rsid w:val="46D2F1F0"/>
    <w:rsid w:val="46F8AF2F"/>
    <w:rsid w:val="4805BF68"/>
    <w:rsid w:val="487ACB63"/>
    <w:rsid w:val="48DBB48F"/>
    <w:rsid w:val="48F04DC6"/>
    <w:rsid w:val="48F91128"/>
    <w:rsid w:val="490DF19E"/>
    <w:rsid w:val="49786538"/>
    <w:rsid w:val="49AC70CC"/>
    <w:rsid w:val="49F13C58"/>
    <w:rsid w:val="4A0F45F1"/>
    <w:rsid w:val="4A200DBA"/>
    <w:rsid w:val="4A4806DD"/>
    <w:rsid w:val="4AC5D392"/>
    <w:rsid w:val="4AEFAE30"/>
    <w:rsid w:val="4B2FF491"/>
    <w:rsid w:val="4B45E2D6"/>
    <w:rsid w:val="4B46DFB9"/>
    <w:rsid w:val="4B83928E"/>
    <w:rsid w:val="4BC418C9"/>
    <w:rsid w:val="4C2915B7"/>
    <w:rsid w:val="4C4E1CFE"/>
    <w:rsid w:val="4C91F9A7"/>
    <w:rsid w:val="4C97FAFB"/>
    <w:rsid w:val="4D57D427"/>
    <w:rsid w:val="4D71F4D4"/>
    <w:rsid w:val="4DD736C6"/>
    <w:rsid w:val="4E618FCE"/>
    <w:rsid w:val="4E931E4A"/>
    <w:rsid w:val="4ED99277"/>
    <w:rsid w:val="4FBA9224"/>
    <w:rsid w:val="5026A367"/>
    <w:rsid w:val="51976976"/>
    <w:rsid w:val="51B5F5DB"/>
    <w:rsid w:val="52530B6C"/>
    <w:rsid w:val="52A8F7B5"/>
    <w:rsid w:val="52BB1FA4"/>
    <w:rsid w:val="52C66EBC"/>
    <w:rsid w:val="53495446"/>
    <w:rsid w:val="53566A34"/>
    <w:rsid w:val="538C4B50"/>
    <w:rsid w:val="53A8D86B"/>
    <w:rsid w:val="54001892"/>
    <w:rsid w:val="542A13D2"/>
    <w:rsid w:val="543ADF96"/>
    <w:rsid w:val="544B1290"/>
    <w:rsid w:val="544B2D69"/>
    <w:rsid w:val="546286E9"/>
    <w:rsid w:val="54CC9A94"/>
    <w:rsid w:val="54DD260F"/>
    <w:rsid w:val="55075F2B"/>
    <w:rsid w:val="55491623"/>
    <w:rsid w:val="555E0F44"/>
    <w:rsid w:val="560CA14B"/>
    <w:rsid w:val="5634AA39"/>
    <w:rsid w:val="566E4662"/>
    <w:rsid w:val="567345A8"/>
    <w:rsid w:val="570FBD55"/>
    <w:rsid w:val="573ED2E1"/>
    <w:rsid w:val="5759F7A9"/>
    <w:rsid w:val="5783785A"/>
    <w:rsid w:val="57C74A79"/>
    <w:rsid w:val="57E00764"/>
    <w:rsid w:val="57E68FDE"/>
    <w:rsid w:val="58AE918E"/>
    <w:rsid w:val="58EAA49D"/>
    <w:rsid w:val="591AC66D"/>
    <w:rsid w:val="595DD763"/>
    <w:rsid w:val="599B916A"/>
    <w:rsid w:val="59E78CDB"/>
    <w:rsid w:val="5A6D7A28"/>
    <w:rsid w:val="5A79BCDD"/>
    <w:rsid w:val="5AA1F82C"/>
    <w:rsid w:val="5AE6AFB3"/>
    <w:rsid w:val="5AF2FF79"/>
    <w:rsid w:val="5AF74D05"/>
    <w:rsid w:val="5B4C019C"/>
    <w:rsid w:val="5B5031F2"/>
    <w:rsid w:val="5B54D390"/>
    <w:rsid w:val="5C0930E7"/>
    <w:rsid w:val="5C2C75DF"/>
    <w:rsid w:val="5C3BCA45"/>
    <w:rsid w:val="5C4063C2"/>
    <w:rsid w:val="5C8B57BF"/>
    <w:rsid w:val="5CAE8DCD"/>
    <w:rsid w:val="5D07CA31"/>
    <w:rsid w:val="5D0E6FF0"/>
    <w:rsid w:val="5D4606AE"/>
    <w:rsid w:val="5D500AB6"/>
    <w:rsid w:val="5DE57727"/>
    <w:rsid w:val="5DED8D52"/>
    <w:rsid w:val="5DF03CF0"/>
    <w:rsid w:val="5E763413"/>
    <w:rsid w:val="5E848070"/>
    <w:rsid w:val="5EB58A88"/>
    <w:rsid w:val="5FABC2E3"/>
    <w:rsid w:val="602CDA45"/>
    <w:rsid w:val="60371CBA"/>
    <w:rsid w:val="61270A67"/>
    <w:rsid w:val="61307571"/>
    <w:rsid w:val="61CD4008"/>
    <w:rsid w:val="61CFC10B"/>
    <w:rsid w:val="6205083A"/>
    <w:rsid w:val="62775EE2"/>
    <w:rsid w:val="627D74BF"/>
    <w:rsid w:val="63115A9A"/>
    <w:rsid w:val="6369C872"/>
    <w:rsid w:val="637E4E40"/>
    <w:rsid w:val="63CEDC7E"/>
    <w:rsid w:val="6423D645"/>
    <w:rsid w:val="644679F1"/>
    <w:rsid w:val="644AFC30"/>
    <w:rsid w:val="64752F84"/>
    <w:rsid w:val="647958F5"/>
    <w:rsid w:val="64835673"/>
    <w:rsid w:val="64931050"/>
    <w:rsid w:val="649B142D"/>
    <w:rsid w:val="65294259"/>
    <w:rsid w:val="654C6C2E"/>
    <w:rsid w:val="6590394D"/>
    <w:rsid w:val="65B470D8"/>
    <w:rsid w:val="65D11BD0"/>
    <w:rsid w:val="65FF3190"/>
    <w:rsid w:val="660BB8E9"/>
    <w:rsid w:val="66538712"/>
    <w:rsid w:val="6654BCC5"/>
    <w:rsid w:val="6687EF4F"/>
    <w:rsid w:val="66934B4D"/>
    <w:rsid w:val="66A961B2"/>
    <w:rsid w:val="66D0E66A"/>
    <w:rsid w:val="66D8B6F5"/>
    <w:rsid w:val="66EAA168"/>
    <w:rsid w:val="67622CED"/>
    <w:rsid w:val="67CC4284"/>
    <w:rsid w:val="67E50D69"/>
    <w:rsid w:val="68657844"/>
    <w:rsid w:val="68685B84"/>
    <w:rsid w:val="68FA44D3"/>
    <w:rsid w:val="691A8C39"/>
    <w:rsid w:val="691CCDF9"/>
    <w:rsid w:val="696691AD"/>
    <w:rsid w:val="69E1AFD0"/>
    <w:rsid w:val="6A003582"/>
    <w:rsid w:val="6A7E4A18"/>
    <w:rsid w:val="6AE31F23"/>
    <w:rsid w:val="6B1F6FD4"/>
    <w:rsid w:val="6B2372E3"/>
    <w:rsid w:val="6BC6C375"/>
    <w:rsid w:val="6BF6AFD8"/>
    <w:rsid w:val="6C35A127"/>
    <w:rsid w:val="6C530A6B"/>
    <w:rsid w:val="6C948655"/>
    <w:rsid w:val="6C99B40F"/>
    <w:rsid w:val="6CB51465"/>
    <w:rsid w:val="6CCBFDD9"/>
    <w:rsid w:val="6CD2DEA2"/>
    <w:rsid w:val="6CF41E71"/>
    <w:rsid w:val="6D01247E"/>
    <w:rsid w:val="6D1B86EA"/>
    <w:rsid w:val="6D787515"/>
    <w:rsid w:val="6D9B81A6"/>
    <w:rsid w:val="6DEE2CAB"/>
    <w:rsid w:val="6ECDBD3D"/>
    <w:rsid w:val="6ED78362"/>
    <w:rsid w:val="6F38B302"/>
    <w:rsid w:val="6F39E01A"/>
    <w:rsid w:val="6F4595B3"/>
    <w:rsid w:val="6FB0CE95"/>
    <w:rsid w:val="7013D947"/>
    <w:rsid w:val="7043F023"/>
    <w:rsid w:val="709C4C03"/>
    <w:rsid w:val="70D43934"/>
    <w:rsid w:val="7115E09E"/>
    <w:rsid w:val="71337DB5"/>
    <w:rsid w:val="7173560F"/>
    <w:rsid w:val="71DD9F94"/>
    <w:rsid w:val="7210F7E0"/>
    <w:rsid w:val="7259B41C"/>
    <w:rsid w:val="727B4902"/>
    <w:rsid w:val="729AE3B3"/>
    <w:rsid w:val="72A244C7"/>
    <w:rsid w:val="72EC87C7"/>
    <w:rsid w:val="7308F8A8"/>
    <w:rsid w:val="7379342B"/>
    <w:rsid w:val="7380D9B0"/>
    <w:rsid w:val="739C421B"/>
    <w:rsid w:val="73DAE8BE"/>
    <w:rsid w:val="73F4B24F"/>
    <w:rsid w:val="743C9C58"/>
    <w:rsid w:val="7444134F"/>
    <w:rsid w:val="747A5738"/>
    <w:rsid w:val="74BADF8A"/>
    <w:rsid w:val="74C9ACC9"/>
    <w:rsid w:val="752D8590"/>
    <w:rsid w:val="7546C019"/>
    <w:rsid w:val="757EA87E"/>
    <w:rsid w:val="75C6C62C"/>
    <w:rsid w:val="75DB6D41"/>
    <w:rsid w:val="75E73E83"/>
    <w:rsid w:val="769E0A86"/>
    <w:rsid w:val="76AD5FB5"/>
    <w:rsid w:val="779F2511"/>
    <w:rsid w:val="77B437EE"/>
    <w:rsid w:val="78537774"/>
    <w:rsid w:val="785BA46D"/>
    <w:rsid w:val="78730286"/>
    <w:rsid w:val="78D727BE"/>
    <w:rsid w:val="78EDAF72"/>
    <w:rsid w:val="791D3D42"/>
    <w:rsid w:val="7964DAA0"/>
    <w:rsid w:val="798BA7F7"/>
    <w:rsid w:val="79D14AA4"/>
    <w:rsid w:val="79D60FBF"/>
    <w:rsid w:val="7A20DA25"/>
    <w:rsid w:val="7A94BF67"/>
    <w:rsid w:val="7AD2B37B"/>
    <w:rsid w:val="7B629290"/>
    <w:rsid w:val="7B7D4CC0"/>
    <w:rsid w:val="7C62C487"/>
    <w:rsid w:val="7C6395F4"/>
    <w:rsid w:val="7C787056"/>
    <w:rsid w:val="7C8A6C47"/>
    <w:rsid w:val="7CEFF276"/>
    <w:rsid w:val="7D284573"/>
    <w:rsid w:val="7D67C998"/>
    <w:rsid w:val="7DB932F9"/>
    <w:rsid w:val="7E390EAE"/>
    <w:rsid w:val="7E8C8F15"/>
    <w:rsid w:val="7EB82E1F"/>
    <w:rsid w:val="7EDD0BAD"/>
    <w:rsid w:val="7F201A64"/>
    <w:rsid w:val="7F28805B"/>
    <w:rsid w:val="7F5024C6"/>
    <w:rsid w:val="7FAAEBF1"/>
    <w:rsid w:val="7FAFBFBA"/>
    <w:rsid w:val="7FBE24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F588"/>
  <w15:chartTrackingRefBased/>
  <w15:docId w15:val="{15A99101-10F9-41EF-9877-6B52FBE9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8371F42"/>
  </w:style>
  <w:style w:type="paragraph" w:styleId="Heading1">
    <w:name w:val="heading 1"/>
    <w:basedOn w:val="Normal"/>
    <w:next w:val="Normal"/>
    <w:link w:val="Heading1Char"/>
    <w:uiPriority w:val="9"/>
    <w:qFormat/>
    <w:rsid w:val="38371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38371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8371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8371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8371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8371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8371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8371F4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8371F4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CE"/>
    <w:rPr>
      <w:rFonts w:eastAsiaTheme="majorEastAsia" w:cstheme="majorBidi"/>
      <w:color w:val="272727" w:themeColor="text1" w:themeTint="D8"/>
    </w:rPr>
  </w:style>
  <w:style w:type="paragraph" w:styleId="Title">
    <w:name w:val="Title"/>
    <w:basedOn w:val="Normal"/>
    <w:next w:val="Normal"/>
    <w:link w:val="TitleChar"/>
    <w:uiPriority w:val="10"/>
    <w:qFormat/>
    <w:rsid w:val="38371F42"/>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24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38371F42"/>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24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8371F42"/>
    <w:pPr>
      <w:spacing w:before="160"/>
      <w:jc w:val="center"/>
    </w:pPr>
    <w:rPr>
      <w:i/>
      <w:iCs/>
      <w:color w:val="404040" w:themeColor="text1" w:themeTint="BF"/>
    </w:rPr>
  </w:style>
  <w:style w:type="character" w:customStyle="1" w:styleId="QuoteChar">
    <w:name w:val="Quote Char"/>
    <w:basedOn w:val="DefaultParagraphFont"/>
    <w:link w:val="Quote"/>
    <w:uiPriority w:val="29"/>
    <w:rsid w:val="00242CCE"/>
    <w:rPr>
      <w:i/>
      <w:iCs/>
      <w:color w:val="404040" w:themeColor="text1" w:themeTint="BF"/>
    </w:rPr>
  </w:style>
  <w:style w:type="paragraph" w:styleId="ListParagraph">
    <w:name w:val="List Paragraph"/>
    <w:basedOn w:val="Normal"/>
    <w:uiPriority w:val="34"/>
    <w:qFormat/>
    <w:rsid w:val="38371F42"/>
    <w:pPr>
      <w:ind w:left="720"/>
      <w:contextualSpacing/>
    </w:pPr>
  </w:style>
  <w:style w:type="character" w:styleId="IntenseEmphasis">
    <w:name w:val="Intense Emphasis"/>
    <w:basedOn w:val="DefaultParagraphFont"/>
    <w:uiPriority w:val="21"/>
    <w:qFormat/>
    <w:rsid w:val="00242CCE"/>
    <w:rPr>
      <w:i/>
      <w:iCs/>
      <w:color w:val="0F4761" w:themeColor="accent1" w:themeShade="BF"/>
    </w:rPr>
  </w:style>
  <w:style w:type="paragraph" w:styleId="IntenseQuote">
    <w:name w:val="Intense Quote"/>
    <w:basedOn w:val="Normal"/>
    <w:next w:val="Normal"/>
    <w:link w:val="IntenseQuoteChar"/>
    <w:uiPriority w:val="30"/>
    <w:qFormat/>
    <w:rsid w:val="38371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CE"/>
    <w:rPr>
      <w:i/>
      <w:iCs/>
      <w:color w:val="0F4761" w:themeColor="accent1" w:themeShade="BF"/>
    </w:rPr>
  </w:style>
  <w:style w:type="character" w:styleId="IntenseReference">
    <w:name w:val="Intense Reference"/>
    <w:basedOn w:val="DefaultParagraphFont"/>
    <w:uiPriority w:val="32"/>
    <w:qFormat/>
    <w:rsid w:val="00242CCE"/>
    <w:rPr>
      <w:b/>
      <w:bCs/>
      <w:smallCaps/>
      <w:color w:val="0F4761" w:themeColor="accent1" w:themeShade="BF"/>
      <w:spacing w:val="5"/>
    </w:rPr>
  </w:style>
  <w:style w:type="table" w:styleId="TableGrid">
    <w:name w:val="Table Grid"/>
    <w:basedOn w:val="TableNormal"/>
    <w:uiPriority w:val="39"/>
    <w:rsid w:val="00AC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72C5"/>
    <w:rPr>
      <w:sz w:val="16"/>
      <w:szCs w:val="16"/>
    </w:rPr>
  </w:style>
  <w:style w:type="paragraph" w:styleId="CommentText">
    <w:name w:val="annotation text"/>
    <w:basedOn w:val="Normal"/>
    <w:link w:val="CommentTextChar"/>
    <w:uiPriority w:val="99"/>
    <w:unhideWhenUsed/>
    <w:rsid w:val="38371F42"/>
    <w:pPr>
      <w:spacing w:line="240" w:lineRule="auto"/>
    </w:pPr>
    <w:rPr>
      <w:sz w:val="20"/>
      <w:szCs w:val="20"/>
    </w:rPr>
  </w:style>
  <w:style w:type="character" w:customStyle="1" w:styleId="CommentTextChar">
    <w:name w:val="Comment Text Char"/>
    <w:basedOn w:val="DefaultParagraphFont"/>
    <w:link w:val="CommentText"/>
    <w:uiPriority w:val="99"/>
    <w:rsid w:val="009D72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72C5"/>
    <w:rPr>
      <w:b/>
      <w:bCs/>
    </w:rPr>
  </w:style>
  <w:style w:type="character" w:customStyle="1" w:styleId="CommentSubjectChar">
    <w:name w:val="Comment Subject Char"/>
    <w:basedOn w:val="CommentTextChar"/>
    <w:link w:val="CommentSubject"/>
    <w:uiPriority w:val="99"/>
    <w:semiHidden/>
    <w:rsid w:val="009D72C5"/>
    <w:rPr>
      <w:b/>
      <w:bCs/>
      <w:kern w:val="0"/>
      <w:sz w:val="20"/>
      <w:szCs w:val="20"/>
      <w14:ligatures w14:val="none"/>
    </w:rPr>
  </w:style>
  <w:style w:type="character" w:styleId="Hyperlink">
    <w:name w:val="Hyperlink"/>
    <w:basedOn w:val="DefaultParagraphFont"/>
    <w:uiPriority w:val="99"/>
    <w:unhideWhenUsed/>
    <w:rsid w:val="009D72C5"/>
    <w:rPr>
      <w:color w:val="467886" w:themeColor="hyperlink"/>
      <w:u w:val="single"/>
    </w:rPr>
  </w:style>
  <w:style w:type="character" w:styleId="UnresolvedMention">
    <w:name w:val="Unresolved Mention"/>
    <w:basedOn w:val="DefaultParagraphFont"/>
    <w:uiPriority w:val="99"/>
    <w:semiHidden/>
    <w:unhideWhenUsed/>
    <w:rsid w:val="009D72C5"/>
    <w:rPr>
      <w:color w:val="605E5C"/>
      <w:shd w:val="clear" w:color="auto" w:fill="E1DFDD"/>
    </w:rPr>
  </w:style>
  <w:style w:type="paragraph" w:styleId="Revision">
    <w:name w:val="Revision"/>
    <w:hidden/>
    <w:uiPriority w:val="99"/>
    <w:semiHidden/>
    <w:rsid w:val="005528D5"/>
    <w:pPr>
      <w:spacing w:after="0" w:line="240" w:lineRule="auto"/>
    </w:pPr>
    <w:rPr>
      <w:kern w:val="0"/>
      <w14:ligatures w14:val="none"/>
    </w:rPr>
  </w:style>
  <w:style w:type="paragraph" w:styleId="TOC1">
    <w:name w:val="toc 1"/>
    <w:basedOn w:val="Normal"/>
    <w:next w:val="Normal"/>
    <w:uiPriority w:val="39"/>
    <w:unhideWhenUsed/>
    <w:rsid w:val="38371F42"/>
    <w:pPr>
      <w:spacing w:after="100"/>
    </w:pPr>
  </w:style>
  <w:style w:type="paragraph" w:styleId="TOC2">
    <w:name w:val="toc 2"/>
    <w:basedOn w:val="Normal"/>
    <w:next w:val="Normal"/>
    <w:uiPriority w:val="39"/>
    <w:unhideWhenUsed/>
    <w:rsid w:val="38371F42"/>
    <w:pPr>
      <w:spacing w:after="100"/>
      <w:ind w:left="220"/>
    </w:pPr>
  </w:style>
  <w:style w:type="paragraph" w:styleId="TOC3">
    <w:name w:val="toc 3"/>
    <w:basedOn w:val="Normal"/>
    <w:next w:val="Normal"/>
    <w:uiPriority w:val="39"/>
    <w:unhideWhenUsed/>
    <w:rsid w:val="38371F42"/>
    <w:pPr>
      <w:spacing w:after="100"/>
      <w:ind w:left="440"/>
    </w:pPr>
  </w:style>
  <w:style w:type="paragraph" w:styleId="TOC4">
    <w:name w:val="toc 4"/>
    <w:basedOn w:val="Normal"/>
    <w:next w:val="Normal"/>
    <w:uiPriority w:val="39"/>
    <w:unhideWhenUsed/>
    <w:rsid w:val="38371F42"/>
    <w:pPr>
      <w:spacing w:after="100"/>
      <w:ind w:left="660"/>
    </w:pPr>
  </w:style>
  <w:style w:type="paragraph" w:styleId="TOC5">
    <w:name w:val="toc 5"/>
    <w:basedOn w:val="Normal"/>
    <w:next w:val="Normal"/>
    <w:uiPriority w:val="39"/>
    <w:unhideWhenUsed/>
    <w:rsid w:val="38371F42"/>
    <w:pPr>
      <w:spacing w:after="100"/>
      <w:ind w:left="880"/>
    </w:pPr>
  </w:style>
  <w:style w:type="paragraph" w:styleId="TOC6">
    <w:name w:val="toc 6"/>
    <w:basedOn w:val="Normal"/>
    <w:next w:val="Normal"/>
    <w:uiPriority w:val="39"/>
    <w:unhideWhenUsed/>
    <w:rsid w:val="38371F42"/>
    <w:pPr>
      <w:spacing w:after="100"/>
      <w:ind w:left="1100"/>
    </w:pPr>
  </w:style>
  <w:style w:type="paragraph" w:styleId="TOC7">
    <w:name w:val="toc 7"/>
    <w:basedOn w:val="Normal"/>
    <w:next w:val="Normal"/>
    <w:uiPriority w:val="39"/>
    <w:unhideWhenUsed/>
    <w:rsid w:val="38371F42"/>
    <w:pPr>
      <w:spacing w:after="100"/>
      <w:ind w:left="1320"/>
    </w:pPr>
  </w:style>
  <w:style w:type="paragraph" w:styleId="TOC8">
    <w:name w:val="toc 8"/>
    <w:basedOn w:val="Normal"/>
    <w:next w:val="Normal"/>
    <w:uiPriority w:val="39"/>
    <w:unhideWhenUsed/>
    <w:rsid w:val="38371F42"/>
    <w:pPr>
      <w:spacing w:after="100"/>
      <w:ind w:left="1540"/>
    </w:pPr>
  </w:style>
  <w:style w:type="paragraph" w:styleId="TOC9">
    <w:name w:val="toc 9"/>
    <w:basedOn w:val="Normal"/>
    <w:next w:val="Normal"/>
    <w:uiPriority w:val="39"/>
    <w:unhideWhenUsed/>
    <w:rsid w:val="38371F42"/>
    <w:pPr>
      <w:spacing w:after="100"/>
      <w:ind w:left="1760"/>
    </w:pPr>
  </w:style>
  <w:style w:type="paragraph" w:styleId="EndnoteText">
    <w:name w:val="endnote text"/>
    <w:basedOn w:val="Normal"/>
    <w:uiPriority w:val="99"/>
    <w:semiHidden/>
    <w:unhideWhenUsed/>
    <w:rsid w:val="38371F42"/>
    <w:pPr>
      <w:spacing w:after="0" w:line="240" w:lineRule="auto"/>
    </w:pPr>
    <w:rPr>
      <w:sz w:val="20"/>
      <w:szCs w:val="20"/>
    </w:rPr>
  </w:style>
  <w:style w:type="paragraph" w:styleId="Footer">
    <w:name w:val="footer"/>
    <w:basedOn w:val="Normal"/>
    <w:uiPriority w:val="99"/>
    <w:unhideWhenUsed/>
    <w:rsid w:val="38371F42"/>
    <w:pPr>
      <w:tabs>
        <w:tab w:val="center" w:pos="4680"/>
        <w:tab w:val="right" w:pos="9360"/>
      </w:tabs>
      <w:spacing w:after="0" w:line="240" w:lineRule="auto"/>
    </w:pPr>
  </w:style>
  <w:style w:type="paragraph" w:styleId="FootnoteText">
    <w:name w:val="footnote text"/>
    <w:basedOn w:val="Normal"/>
    <w:uiPriority w:val="99"/>
    <w:semiHidden/>
    <w:unhideWhenUsed/>
    <w:rsid w:val="38371F42"/>
    <w:pPr>
      <w:spacing w:after="0" w:line="240" w:lineRule="auto"/>
    </w:pPr>
    <w:rPr>
      <w:sz w:val="20"/>
      <w:szCs w:val="20"/>
    </w:rPr>
  </w:style>
  <w:style w:type="paragraph" w:styleId="Header">
    <w:name w:val="header"/>
    <w:basedOn w:val="Normal"/>
    <w:uiPriority w:val="99"/>
    <w:unhideWhenUsed/>
    <w:rsid w:val="38371F4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42103">
      <w:bodyDiv w:val="1"/>
      <w:marLeft w:val="0"/>
      <w:marRight w:val="0"/>
      <w:marTop w:val="0"/>
      <w:marBottom w:val="0"/>
      <w:divBdr>
        <w:top w:val="none" w:sz="0" w:space="0" w:color="auto"/>
        <w:left w:val="none" w:sz="0" w:space="0" w:color="auto"/>
        <w:bottom w:val="none" w:sz="0" w:space="0" w:color="auto"/>
        <w:right w:val="none" w:sz="0" w:space="0" w:color="auto"/>
      </w:divBdr>
    </w:div>
    <w:div w:id="682703880">
      <w:bodyDiv w:val="1"/>
      <w:marLeft w:val="0"/>
      <w:marRight w:val="0"/>
      <w:marTop w:val="0"/>
      <w:marBottom w:val="0"/>
      <w:divBdr>
        <w:top w:val="none" w:sz="0" w:space="0" w:color="auto"/>
        <w:left w:val="none" w:sz="0" w:space="0" w:color="auto"/>
        <w:bottom w:val="none" w:sz="0" w:space="0" w:color="auto"/>
        <w:right w:val="none" w:sz="0" w:space="0" w:color="auto"/>
      </w:divBdr>
    </w:div>
    <w:div w:id="774637940">
      <w:bodyDiv w:val="1"/>
      <w:marLeft w:val="0"/>
      <w:marRight w:val="0"/>
      <w:marTop w:val="0"/>
      <w:marBottom w:val="0"/>
      <w:divBdr>
        <w:top w:val="none" w:sz="0" w:space="0" w:color="auto"/>
        <w:left w:val="none" w:sz="0" w:space="0" w:color="auto"/>
        <w:bottom w:val="none" w:sz="0" w:space="0" w:color="auto"/>
        <w:right w:val="none" w:sz="0" w:space="0" w:color="auto"/>
      </w:divBdr>
    </w:div>
    <w:div w:id="1515995349">
      <w:bodyDiv w:val="1"/>
      <w:marLeft w:val="0"/>
      <w:marRight w:val="0"/>
      <w:marTop w:val="0"/>
      <w:marBottom w:val="0"/>
      <w:divBdr>
        <w:top w:val="none" w:sz="0" w:space="0" w:color="auto"/>
        <w:left w:val="none" w:sz="0" w:space="0" w:color="auto"/>
        <w:bottom w:val="none" w:sz="0" w:space="0" w:color="auto"/>
        <w:right w:val="none" w:sz="0" w:space="0" w:color="auto"/>
      </w:divBdr>
    </w:div>
    <w:div w:id="1555922135">
      <w:bodyDiv w:val="1"/>
      <w:marLeft w:val="0"/>
      <w:marRight w:val="0"/>
      <w:marTop w:val="0"/>
      <w:marBottom w:val="0"/>
      <w:divBdr>
        <w:top w:val="none" w:sz="0" w:space="0" w:color="auto"/>
        <w:left w:val="none" w:sz="0" w:space="0" w:color="auto"/>
        <w:bottom w:val="none" w:sz="0" w:space="0" w:color="auto"/>
        <w:right w:val="none" w:sz="0" w:space="0" w:color="auto"/>
      </w:divBdr>
    </w:div>
    <w:div w:id="1626887421">
      <w:bodyDiv w:val="1"/>
      <w:marLeft w:val="0"/>
      <w:marRight w:val="0"/>
      <w:marTop w:val="0"/>
      <w:marBottom w:val="0"/>
      <w:divBdr>
        <w:top w:val="none" w:sz="0" w:space="0" w:color="auto"/>
        <w:left w:val="none" w:sz="0" w:space="0" w:color="auto"/>
        <w:bottom w:val="none" w:sz="0" w:space="0" w:color="auto"/>
        <w:right w:val="none" w:sz="0" w:space="0" w:color="auto"/>
      </w:divBdr>
    </w:div>
    <w:div w:id="2074039344">
      <w:bodyDiv w:val="1"/>
      <w:marLeft w:val="0"/>
      <w:marRight w:val="0"/>
      <w:marTop w:val="0"/>
      <w:marBottom w:val="0"/>
      <w:divBdr>
        <w:top w:val="none" w:sz="0" w:space="0" w:color="auto"/>
        <w:left w:val="none" w:sz="0" w:space="0" w:color="auto"/>
        <w:bottom w:val="none" w:sz="0" w:space="0" w:color="auto"/>
        <w:right w:val="none" w:sz="0" w:space="0" w:color="auto"/>
      </w:divBdr>
      <w:divsChild>
        <w:div w:id="864320840">
          <w:marLeft w:val="0"/>
          <w:marRight w:val="0"/>
          <w:marTop w:val="0"/>
          <w:marBottom w:val="0"/>
          <w:divBdr>
            <w:top w:val="none" w:sz="0" w:space="0" w:color="auto"/>
            <w:left w:val="none" w:sz="0" w:space="0" w:color="auto"/>
            <w:bottom w:val="none" w:sz="0" w:space="0" w:color="auto"/>
            <w:right w:val="none" w:sz="0" w:space="0" w:color="auto"/>
          </w:divBdr>
        </w:div>
        <w:div w:id="1298997927">
          <w:marLeft w:val="0"/>
          <w:marRight w:val="0"/>
          <w:marTop w:val="0"/>
          <w:marBottom w:val="0"/>
          <w:divBdr>
            <w:top w:val="none" w:sz="0" w:space="0" w:color="auto"/>
            <w:left w:val="none" w:sz="0" w:space="0" w:color="auto"/>
            <w:bottom w:val="none" w:sz="0" w:space="0" w:color="auto"/>
            <w:right w:val="none" w:sz="0" w:space="0" w:color="auto"/>
          </w:divBdr>
        </w:div>
        <w:div w:id="1823233501">
          <w:marLeft w:val="0"/>
          <w:marRight w:val="0"/>
          <w:marTop w:val="0"/>
          <w:marBottom w:val="0"/>
          <w:divBdr>
            <w:top w:val="none" w:sz="0" w:space="0" w:color="auto"/>
            <w:left w:val="none" w:sz="0" w:space="0" w:color="auto"/>
            <w:bottom w:val="none" w:sz="0" w:space="0" w:color="auto"/>
            <w:right w:val="none" w:sz="0" w:space="0" w:color="auto"/>
          </w:divBdr>
          <w:divsChild>
            <w:div w:id="965818281">
              <w:marLeft w:val="0"/>
              <w:marRight w:val="0"/>
              <w:marTop w:val="0"/>
              <w:marBottom w:val="0"/>
              <w:divBdr>
                <w:top w:val="none" w:sz="0" w:space="0" w:color="auto"/>
                <w:left w:val="none" w:sz="0" w:space="0" w:color="auto"/>
                <w:bottom w:val="none" w:sz="0" w:space="0" w:color="auto"/>
                <w:right w:val="none" w:sz="0" w:space="0" w:color="auto"/>
              </w:divBdr>
            </w:div>
            <w:div w:id="13386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et-involved/get-involved/how/primaryc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38/s41591-023-0235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4135/97814129639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harm-europe.org/ClimateFootprintReport" TargetMode="External"/><Relationship Id="rId5" Type="http://schemas.openxmlformats.org/officeDocument/2006/relationships/numbering" Target="numbering.xml"/><Relationship Id="rId15" Type="http://schemas.openxmlformats.org/officeDocument/2006/relationships/hyperlink" Target="https://doi.org/10.3310/nihropenres.13833.1" TargetMode="External"/><Relationship Id="rId10" Type="http://schemas.openxmlformats.org/officeDocument/2006/relationships/hyperlink" Target="https://report.ipcc.ch/ar6syr/pdf/IPCC_AR6_SYR_SPM.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ma.org.uk/what-we-do/population-health/protecting-people-from-threats-to-health/more-support-needed-to-help-the-nhs-reach-net-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901a7-8d54-447f-81aa-ad051e51b7bb" xsi:nil="true"/>
    <lcf76f155ced4ddcb4097134ff3c332f xmlns="fb32e0cb-d627-41bb-9f47-2ab4acbde7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1B142C6607954393CB17C541157526" ma:contentTypeVersion="14" ma:contentTypeDescription="Create a new document." ma:contentTypeScope="" ma:versionID="ebbb5ffefede90e5020ef044c4bd940b">
  <xsd:schema xmlns:xsd="http://www.w3.org/2001/XMLSchema" xmlns:xs="http://www.w3.org/2001/XMLSchema" xmlns:p="http://schemas.microsoft.com/office/2006/metadata/properties" xmlns:ns2="fb32e0cb-d627-41bb-9f47-2ab4acbde753" xmlns:ns3="13a901a7-8d54-447f-81aa-ad051e51b7bb" targetNamespace="http://schemas.microsoft.com/office/2006/metadata/properties" ma:root="true" ma:fieldsID="32640b2d8d7fa41e2cd87c2827115980" ns2:_="" ns3:_="">
    <xsd:import namespace="fb32e0cb-d627-41bb-9f47-2ab4acbde753"/>
    <xsd:import namespace="13a901a7-8d54-447f-81aa-ad051e51b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e0cb-d627-41bb-9f47-2ab4acbd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5cd427-a42c-44c8-816a-2405638e27c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901a7-8d54-447f-81aa-ad051e51b7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bfc69d-ac49-4daa-8a1b-4702a2eae6fb}" ma:internalName="TaxCatchAll" ma:showField="CatchAllData" ma:web="13a901a7-8d54-447f-81aa-ad051e51b7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ABF1B-05ED-452C-847C-690EC9B3C175}">
  <ds:schemaRefs>
    <ds:schemaRef ds:uri="http://schemas.microsoft.com/office/2006/metadata/properties"/>
    <ds:schemaRef ds:uri="http://schemas.microsoft.com/office/infopath/2007/PartnerControls"/>
    <ds:schemaRef ds:uri="13a901a7-8d54-447f-81aa-ad051e51b7bb"/>
    <ds:schemaRef ds:uri="fb32e0cb-d627-41bb-9f47-2ab4acbde753"/>
  </ds:schemaRefs>
</ds:datastoreItem>
</file>

<file path=customXml/itemProps2.xml><?xml version="1.0" encoding="utf-8"?>
<ds:datastoreItem xmlns:ds="http://schemas.openxmlformats.org/officeDocument/2006/customXml" ds:itemID="{195643DA-11A0-4359-86BB-D33D24AA4EAD}">
  <ds:schemaRefs>
    <ds:schemaRef ds:uri="http://schemas.openxmlformats.org/officeDocument/2006/bibliography"/>
  </ds:schemaRefs>
</ds:datastoreItem>
</file>

<file path=customXml/itemProps3.xml><?xml version="1.0" encoding="utf-8"?>
<ds:datastoreItem xmlns:ds="http://schemas.openxmlformats.org/officeDocument/2006/customXml" ds:itemID="{738A2BC2-B59B-4756-815A-3E5711717AD4}">
  <ds:schemaRefs>
    <ds:schemaRef ds:uri="http://schemas.microsoft.com/sharepoint/v3/contenttype/forms"/>
  </ds:schemaRefs>
</ds:datastoreItem>
</file>

<file path=customXml/itemProps4.xml><?xml version="1.0" encoding="utf-8"?>
<ds:datastoreItem xmlns:ds="http://schemas.openxmlformats.org/officeDocument/2006/customXml" ds:itemID="{12BBD162-2B2B-41E5-8553-03EB6E9A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e0cb-d627-41bb-9f47-2ab4acbde753"/>
    <ds:schemaRef ds:uri="13a901a7-8d54-447f-81aa-ad051e51b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5598</Words>
  <Characters>31913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Nunes, Raquel</dc:creator>
  <cp:keywords/>
  <dc:description/>
  <cp:lastModifiedBy>Nunes, Raquel</cp:lastModifiedBy>
  <cp:revision>7</cp:revision>
  <cp:lastPrinted>2024-10-09T10:48:00Z</cp:lastPrinted>
  <dcterms:created xsi:type="dcterms:W3CDTF">2025-01-24T14:00:00Z</dcterms:created>
  <dcterms:modified xsi:type="dcterms:W3CDTF">2025-01-24T17:56:00Z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0x010100801B142C6607954393CB17C541157526</vt:lpwstr>
  </property>
  <property fmtid="{D5CDD505-2E9C-101B-9397-08002B2CF9AE}" pid="3" name="MediaServiceImageTags">
    <vt:lpwstr/>
  </property>
</Properties>
</file>