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D986" w14:textId="77777777" w:rsidR="00494D70" w:rsidRDefault="00494D70" w:rsidP="00494D70">
      <w:pPr>
        <w:tabs>
          <w:tab w:val="left" w:pos="1843"/>
        </w:tabs>
        <w:spacing w:after="0" w:line="480" w:lineRule="auto"/>
        <w:jc w:val="center"/>
        <w:rPr>
          <w:rFonts w:ascii="Times New Roman" w:eastAsia="Times New Roman" w:hAnsi="Times New Roman" w:cs="Times New Roman"/>
          <w:b/>
          <w:sz w:val="24"/>
          <w:szCs w:val="24"/>
          <w:lang w:eastAsia="en-CA"/>
        </w:rPr>
      </w:pPr>
      <w:bookmarkStart w:id="0" w:name="_Hlk118180410"/>
      <w:r w:rsidRPr="008726F8">
        <w:rPr>
          <w:rFonts w:ascii="Times New Roman" w:eastAsia="Times New Roman" w:hAnsi="Times New Roman" w:cs="Times New Roman"/>
          <w:b/>
          <w:sz w:val="24"/>
          <w:szCs w:val="24"/>
          <w:lang w:eastAsia="en-CA"/>
        </w:rPr>
        <w:t>Sexual Assertiveness Across Cultures</w:t>
      </w:r>
      <w:r w:rsidRPr="00231043">
        <w:rPr>
          <w:rFonts w:ascii="Times New Roman" w:eastAsia="Times New Roman" w:hAnsi="Times New Roman" w:cs="Times New Roman"/>
          <w:b/>
          <w:sz w:val="24"/>
          <w:szCs w:val="24"/>
          <w:lang w:eastAsia="en-CA"/>
        </w:rPr>
        <w:t>, Genders</w:t>
      </w:r>
      <w:r>
        <w:rPr>
          <w:rFonts w:ascii="Times New Roman" w:eastAsia="Times New Roman" w:hAnsi="Times New Roman" w:cs="Times New Roman"/>
          <w:b/>
          <w:sz w:val="24"/>
          <w:szCs w:val="24"/>
          <w:lang w:eastAsia="en-CA"/>
        </w:rPr>
        <w:t>,</w:t>
      </w:r>
      <w:r w:rsidRPr="00231043">
        <w:rPr>
          <w:rFonts w:ascii="Times New Roman" w:eastAsia="Times New Roman" w:hAnsi="Times New Roman" w:cs="Times New Roman"/>
          <w:b/>
          <w:sz w:val="24"/>
          <w:szCs w:val="24"/>
          <w:lang w:eastAsia="en-CA"/>
        </w:rPr>
        <w:t xml:space="preserve"> and Sexual </w:t>
      </w:r>
      <w:r w:rsidRPr="008726F8">
        <w:rPr>
          <w:rFonts w:ascii="Times New Roman" w:eastAsia="Times New Roman" w:hAnsi="Times New Roman" w:cs="Times New Roman"/>
          <w:b/>
          <w:sz w:val="24"/>
          <w:szCs w:val="24"/>
          <w:lang w:eastAsia="en-CA"/>
        </w:rPr>
        <w:t xml:space="preserve">Orientations: Validation of the Short Sexual Assertiveness Questionnaire (SAQ-9) </w:t>
      </w:r>
    </w:p>
    <w:p w14:paraId="12A1B68F" w14:textId="77777777" w:rsidR="00494D70" w:rsidRDefault="00494D70" w:rsidP="00494D70">
      <w:pPr>
        <w:tabs>
          <w:tab w:val="left" w:pos="1843"/>
        </w:tabs>
        <w:spacing w:after="0" w:line="480" w:lineRule="auto"/>
        <w:jc w:val="center"/>
        <w:rPr>
          <w:rFonts w:ascii="Times New Roman" w:eastAsia="Times New Roman" w:hAnsi="Times New Roman" w:cs="Times New Roman"/>
          <w:b/>
          <w:sz w:val="24"/>
          <w:szCs w:val="24"/>
          <w:lang w:eastAsia="en-CA"/>
        </w:rPr>
      </w:pPr>
    </w:p>
    <w:bookmarkEnd w:id="0"/>
    <w:p w14:paraId="60E54D5C" w14:textId="77777777" w:rsidR="00494D70" w:rsidRPr="00656AB3" w:rsidRDefault="00494D70" w:rsidP="00494D70">
      <w:pPr>
        <w:pStyle w:val="FirstParagraph"/>
        <w:spacing w:line="480" w:lineRule="auto"/>
        <w:jc w:val="center"/>
        <w:rPr>
          <w:rFonts w:ascii="Times New Roman" w:hAnsi="Times New Roman" w:cs="Times New Roman"/>
        </w:rPr>
      </w:pPr>
      <w:r w:rsidRPr="00ED3D1A">
        <w:rPr>
          <w:rFonts w:ascii="Times New Roman" w:hAnsi="Times New Roman" w:cs="Times New Roman"/>
        </w:rPr>
        <w:t>Léna Nagy</w:t>
      </w:r>
      <w:r w:rsidRPr="00ED3D1A">
        <w:rPr>
          <w:rFonts w:ascii="Times New Roman" w:hAnsi="Times New Roman" w:cs="Times New Roman"/>
          <w:vertAlign w:val="superscript"/>
        </w:rPr>
        <w:t>1,2†</w:t>
      </w:r>
      <w:r w:rsidRPr="00ED3D1A">
        <w:rPr>
          <w:rFonts w:ascii="Times New Roman" w:hAnsi="Times New Roman" w:cs="Times New Roman"/>
        </w:rPr>
        <w:t xml:space="preserve">, </w:t>
      </w:r>
      <w:r w:rsidRPr="00656AB3">
        <w:rPr>
          <w:rFonts w:ascii="Times New Roman" w:hAnsi="Times New Roman" w:cs="Times New Roman"/>
        </w:rPr>
        <w:t>Mónika Koós</w:t>
      </w:r>
      <w:r w:rsidRPr="00656AB3">
        <w:rPr>
          <w:rFonts w:ascii="Times New Roman" w:hAnsi="Times New Roman" w:cs="Times New Roman"/>
          <w:vertAlign w:val="superscript"/>
        </w:rPr>
        <w:t>1,2</w:t>
      </w:r>
      <w:r w:rsidRPr="00656AB3">
        <w:rPr>
          <w:rFonts w:ascii="Times New Roman" w:hAnsi="Times New Roman" w:cs="Times New Roman"/>
        </w:rPr>
        <w:t>, Shane W. Kraus</w:t>
      </w:r>
      <w:r w:rsidRPr="00656AB3">
        <w:rPr>
          <w:rFonts w:ascii="Times New Roman" w:hAnsi="Times New Roman" w:cs="Times New Roman"/>
          <w:vertAlign w:val="superscript"/>
        </w:rPr>
        <w:t>3</w:t>
      </w:r>
      <w:r w:rsidRPr="00656AB3">
        <w:rPr>
          <w:rFonts w:ascii="Times New Roman" w:hAnsi="Times New Roman" w:cs="Times New Roman"/>
        </w:rPr>
        <w:t>, Zsolt Demetrovics</w:t>
      </w:r>
      <w:r w:rsidRPr="00656AB3">
        <w:rPr>
          <w:rFonts w:ascii="Times New Roman" w:hAnsi="Times New Roman" w:cs="Times New Roman"/>
          <w:vertAlign w:val="superscript"/>
        </w:rPr>
        <w:t>2,4</w:t>
      </w:r>
      <w:r w:rsidRPr="00656AB3">
        <w:rPr>
          <w:rFonts w:ascii="Times New Roman" w:hAnsi="Times New Roman" w:cs="Times New Roman"/>
        </w:rPr>
        <w:t>, Marc N. Potenza</w:t>
      </w:r>
      <w:r w:rsidRPr="00656AB3">
        <w:rPr>
          <w:rFonts w:ascii="Times New Roman" w:hAnsi="Times New Roman" w:cs="Times New Roman"/>
          <w:vertAlign w:val="superscript"/>
        </w:rPr>
        <w:t>5,6</w:t>
      </w:r>
      <w:r w:rsidRPr="00656AB3">
        <w:rPr>
          <w:rFonts w:ascii="Times New Roman" w:hAnsi="Times New Roman" w:cs="Times New Roman"/>
        </w:rPr>
        <w:t>, Rafael Ballester-Arnal</w:t>
      </w:r>
      <w:r w:rsidRPr="00656AB3">
        <w:rPr>
          <w:rFonts w:ascii="Times New Roman" w:hAnsi="Times New Roman" w:cs="Times New Roman"/>
          <w:vertAlign w:val="superscript"/>
        </w:rPr>
        <w:t>7</w:t>
      </w:r>
      <w:r w:rsidRPr="00656AB3">
        <w:rPr>
          <w:rFonts w:ascii="Times New Roman" w:hAnsi="Times New Roman" w:cs="Times New Roman"/>
        </w:rPr>
        <w:t>, Dominik Batthyány</w:t>
      </w:r>
      <w:r w:rsidRPr="00656AB3">
        <w:rPr>
          <w:rFonts w:ascii="Times New Roman" w:hAnsi="Times New Roman" w:cs="Times New Roman"/>
          <w:vertAlign w:val="superscript"/>
        </w:rPr>
        <w:t>8</w:t>
      </w:r>
      <w:r w:rsidRPr="00656AB3">
        <w:rPr>
          <w:rFonts w:ascii="Times New Roman" w:hAnsi="Times New Roman" w:cs="Times New Roman"/>
        </w:rPr>
        <w:t>, Sophie Bergeron</w:t>
      </w:r>
      <w:r w:rsidRPr="00656AB3">
        <w:rPr>
          <w:rFonts w:ascii="Times New Roman" w:hAnsi="Times New Roman" w:cs="Times New Roman"/>
          <w:vertAlign w:val="superscript"/>
        </w:rPr>
        <w:t>9</w:t>
      </w:r>
      <w:r w:rsidRPr="00656AB3">
        <w:rPr>
          <w:rFonts w:ascii="Times New Roman" w:hAnsi="Times New Roman" w:cs="Times New Roman"/>
        </w:rPr>
        <w:t>, Joël Billieux</w:t>
      </w:r>
      <w:r w:rsidRPr="00656AB3">
        <w:rPr>
          <w:rFonts w:ascii="Times New Roman" w:hAnsi="Times New Roman" w:cs="Times New Roman"/>
          <w:vertAlign w:val="superscript"/>
        </w:rPr>
        <w:t>10,11</w:t>
      </w:r>
      <w:r w:rsidRPr="00656AB3">
        <w:rPr>
          <w:rFonts w:ascii="Times New Roman" w:hAnsi="Times New Roman" w:cs="Times New Roman"/>
        </w:rPr>
        <w:t>, Peer Briken</w:t>
      </w:r>
      <w:r w:rsidRPr="00656AB3">
        <w:rPr>
          <w:rFonts w:ascii="Times New Roman" w:hAnsi="Times New Roman" w:cs="Times New Roman"/>
          <w:vertAlign w:val="superscript"/>
        </w:rPr>
        <w:t>12</w:t>
      </w:r>
      <w:r w:rsidRPr="00656AB3">
        <w:rPr>
          <w:rFonts w:ascii="Times New Roman" w:hAnsi="Times New Roman" w:cs="Times New Roman"/>
        </w:rPr>
        <w:t>, Julius Burkauskas</w:t>
      </w:r>
      <w:r w:rsidRPr="00656AB3">
        <w:rPr>
          <w:rFonts w:ascii="Times New Roman" w:hAnsi="Times New Roman" w:cs="Times New Roman"/>
          <w:vertAlign w:val="superscript"/>
        </w:rPr>
        <w:t>13</w:t>
      </w:r>
      <w:r w:rsidRPr="00656AB3">
        <w:rPr>
          <w:rFonts w:ascii="Times New Roman" w:hAnsi="Times New Roman" w:cs="Times New Roman"/>
        </w:rPr>
        <w:t>, Georgina Cárdenas-López</w:t>
      </w:r>
      <w:r w:rsidRPr="00656AB3">
        <w:rPr>
          <w:rFonts w:ascii="Times New Roman" w:hAnsi="Times New Roman" w:cs="Times New Roman"/>
          <w:vertAlign w:val="superscript"/>
        </w:rPr>
        <w:t>14</w:t>
      </w:r>
      <w:r w:rsidRPr="00656AB3">
        <w:rPr>
          <w:rFonts w:ascii="Times New Roman" w:hAnsi="Times New Roman" w:cs="Times New Roman"/>
        </w:rPr>
        <w:t>, Joana Carvalho</w:t>
      </w:r>
      <w:r w:rsidRPr="00656AB3">
        <w:rPr>
          <w:rFonts w:ascii="Times New Roman" w:hAnsi="Times New Roman" w:cs="Times New Roman"/>
          <w:vertAlign w:val="superscript"/>
        </w:rPr>
        <w:t>15</w:t>
      </w:r>
      <w:r w:rsidRPr="00656AB3">
        <w:rPr>
          <w:rFonts w:ascii="Times New Roman" w:hAnsi="Times New Roman" w:cs="Times New Roman"/>
        </w:rPr>
        <w:t>, Jesús Castro-Calvo</w:t>
      </w:r>
      <w:r w:rsidRPr="00656AB3">
        <w:rPr>
          <w:rFonts w:ascii="Times New Roman" w:hAnsi="Times New Roman" w:cs="Times New Roman"/>
          <w:vertAlign w:val="superscript"/>
        </w:rPr>
        <w:t>16</w:t>
      </w:r>
      <w:r w:rsidRPr="00656AB3">
        <w:rPr>
          <w:rFonts w:ascii="Times New Roman" w:hAnsi="Times New Roman" w:cs="Times New Roman"/>
        </w:rPr>
        <w:t>, Lijun Chen</w:t>
      </w:r>
      <w:r w:rsidRPr="00656AB3">
        <w:rPr>
          <w:rFonts w:ascii="Times New Roman" w:hAnsi="Times New Roman" w:cs="Times New Roman"/>
          <w:vertAlign w:val="superscript"/>
        </w:rPr>
        <w:t>17</w:t>
      </w:r>
      <w:r w:rsidRPr="00656AB3">
        <w:rPr>
          <w:rFonts w:ascii="Times New Roman" w:hAnsi="Times New Roman" w:cs="Times New Roman"/>
        </w:rPr>
        <w:t>, Ji-Kang Chen</w:t>
      </w:r>
      <w:r w:rsidRPr="00656AB3">
        <w:rPr>
          <w:rFonts w:ascii="Times New Roman" w:hAnsi="Times New Roman" w:cs="Times New Roman"/>
          <w:vertAlign w:val="superscript"/>
        </w:rPr>
        <w:t>18</w:t>
      </w:r>
      <w:r w:rsidRPr="00656AB3">
        <w:rPr>
          <w:rFonts w:ascii="Times New Roman" w:hAnsi="Times New Roman" w:cs="Times New Roman"/>
        </w:rPr>
        <w:t>, Giacomo Ciocca</w:t>
      </w:r>
      <w:r w:rsidRPr="00656AB3">
        <w:rPr>
          <w:rFonts w:ascii="Times New Roman" w:hAnsi="Times New Roman" w:cs="Times New Roman"/>
          <w:vertAlign w:val="superscript"/>
        </w:rPr>
        <w:t>19</w:t>
      </w:r>
      <w:r w:rsidRPr="00656AB3">
        <w:rPr>
          <w:rFonts w:ascii="Times New Roman" w:hAnsi="Times New Roman" w:cs="Times New Roman"/>
        </w:rPr>
        <w:t>, Ornella Corazza</w:t>
      </w:r>
      <w:r w:rsidRPr="00656AB3">
        <w:rPr>
          <w:rFonts w:ascii="Times New Roman" w:hAnsi="Times New Roman" w:cs="Times New Roman"/>
          <w:vertAlign w:val="superscript"/>
        </w:rPr>
        <w:t>20,21</w:t>
      </w:r>
      <w:r w:rsidRPr="00656AB3">
        <w:rPr>
          <w:rFonts w:ascii="Times New Roman" w:hAnsi="Times New Roman" w:cs="Times New Roman"/>
        </w:rPr>
        <w:t>, Rita Csako</w:t>
      </w:r>
      <w:r w:rsidRPr="00656AB3">
        <w:rPr>
          <w:rFonts w:ascii="Times New Roman" w:hAnsi="Times New Roman" w:cs="Times New Roman"/>
          <w:vertAlign w:val="superscript"/>
        </w:rPr>
        <w:t>22</w:t>
      </w:r>
      <w:r w:rsidRPr="00656AB3">
        <w:rPr>
          <w:rFonts w:ascii="Times New Roman" w:hAnsi="Times New Roman" w:cs="Times New Roman"/>
        </w:rPr>
        <w:t>, David P. Fernandez</w:t>
      </w:r>
      <w:r w:rsidRPr="00656AB3">
        <w:rPr>
          <w:rFonts w:ascii="Times New Roman" w:hAnsi="Times New Roman" w:cs="Times New Roman"/>
          <w:vertAlign w:val="superscript"/>
        </w:rPr>
        <w:t>23</w:t>
      </w:r>
      <w:r w:rsidRPr="00656AB3">
        <w:rPr>
          <w:rFonts w:ascii="Times New Roman" w:hAnsi="Times New Roman" w:cs="Times New Roman"/>
        </w:rPr>
        <w:t>, Hironobu Fujiwara</w:t>
      </w:r>
      <w:r w:rsidRPr="00656AB3">
        <w:rPr>
          <w:rFonts w:ascii="Times New Roman" w:hAnsi="Times New Roman" w:cs="Times New Roman"/>
          <w:vertAlign w:val="superscript"/>
        </w:rPr>
        <w:t>24</w:t>
      </w:r>
      <w:r w:rsidRPr="00656AB3">
        <w:rPr>
          <w:rFonts w:ascii="Times New Roman" w:hAnsi="Times New Roman" w:cs="Times New Roman"/>
        </w:rPr>
        <w:t>, Elaine F. Fernandez</w:t>
      </w:r>
      <w:r w:rsidRPr="00656AB3">
        <w:rPr>
          <w:rFonts w:ascii="Times New Roman" w:hAnsi="Times New Roman" w:cs="Times New Roman"/>
          <w:vertAlign w:val="superscript"/>
        </w:rPr>
        <w:t>25</w:t>
      </w:r>
      <w:r w:rsidRPr="00656AB3">
        <w:rPr>
          <w:rFonts w:ascii="Times New Roman" w:hAnsi="Times New Roman" w:cs="Times New Roman"/>
        </w:rPr>
        <w:t>, Johannes Fuss</w:t>
      </w:r>
      <w:r w:rsidRPr="00656AB3">
        <w:rPr>
          <w:rFonts w:ascii="Times New Roman" w:hAnsi="Times New Roman" w:cs="Times New Roman"/>
          <w:vertAlign w:val="superscript"/>
        </w:rPr>
        <w:t>26</w:t>
      </w:r>
      <w:r w:rsidRPr="00656AB3">
        <w:rPr>
          <w:rFonts w:ascii="Times New Roman" w:hAnsi="Times New Roman" w:cs="Times New Roman"/>
        </w:rPr>
        <w:t>, Roman Gabrhelík</w:t>
      </w:r>
      <w:r w:rsidRPr="00656AB3">
        <w:rPr>
          <w:rFonts w:ascii="Times New Roman" w:hAnsi="Times New Roman" w:cs="Times New Roman"/>
          <w:vertAlign w:val="superscript"/>
        </w:rPr>
        <w:t>27,28</w:t>
      </w:r>
      <w:r w:rsidRPr="00656AB3">
        <w:rPr>
          <w:rFonts w:ascii="Times New Roman" w:hAnsi="Times New Roman" w:cs="Times New Roman"/>
        </w:rPr>
        <w:t>, Ateret Gewirtz-Meydan</w:t>
      </w:r>
      <w:r w:rsidRPr="00656AB3">
        <w:rPr>
          <w:rFonts w:ascii="Times New Roman" w:hAnsi="Times New Roman" w:cs="Times New Roman"/>
          <w:vertAlign w:val="superscript"/>
        </w:rPr>
        <w:t>29</w:t>
      </w:r>
      <w:r w:rsidRPr="00656AB3">
        <w:rPr>
          <w:rFonts w:ascii="Times New Roman" w:hAnsi="Times New Roman" w:cs="Times New Roman"/>
        </w:rPr>
        <w:t>, Biljana Gjoneska</w:t>
      </w:r>
      <w:r w:rsidRPr="00656AB3">
        <w:rPr>
          <w:rFonts w:ascii="Times New Roman" w:hAnsi="Times New Roman" w:cs="Times New Roman"/>
          <w:vertAlign w:val="superscript"/>
        </w:rPr>
        <w:t>30</w:t>
      </w:r>
      <w:r w:rsidRPr="00656AB3">
        <w:rPr>
          <w:rFonts w:ascii="Times New Roman" w:hAnsi="Times New Roman" w:cs="Times New Roman"/>
        </w:rPr>
        <w:t>, Mateusz Gola</w:t>
      </w:r>
      <w:r w:rsidRPr="00656AB3">
        <w:rPr>
          <w:rFonts w:ascii="Times New Roman" w:hAnsi="Times New Roman" w:cs="Times New Roman"/>
          <w:vertAlign w:val="superscript"/>
        </w:rPr>
        <w:t>31,32</w:t>
      </w:r>
      <w:r w:rsidRPr="00656AB3">
        <w:rPr>
          <w:rFonts w:ascii="Times New Roman" w:hAnsi="Times New Roman" w:cs="Times New Roman"/>
        </w:rPr>
        <w:t>, Joshua B. Grubbs</w:t>
      </w:r>
      <w:r w:rsidRPr="00656AB3">
        <w:rPr>
          <w:rFonts w:ascii="Times New Roman" w:hAnsi="Times New Roman" w:cs="Times New Roman"/>
          <w:vertAlign w:val="superscript"/>
        </w:rPr>
        <w:t>33,34</w:t>
      </w:r>
      <w:r w:rsidRPr="00656AB3">
        <w:rPr>
          <w:rFonts w:ascii="Times New Roman" w:hAnsi="Times New Roman" w:cs="Times New Roman"/>
        </w:rPr>
        <w:t>, Hashim T. Hashim</w:t>
      </w:r>
      <w:r w:rsidRPr="00656AB3">
        <w:rPr>
          <w:rFonts w:ascii="Times New Roman" w:hAnsi="Times New Roman" w:cs="Times New Roman"/>
          <w:vertAlign w:val="superscript"/>
        </w:rPr>
        <w:t>35</w:t>
      </w:r>
      <w:r w:rsidRPr="00656AB3">
        <w:rPr>
          <w:rFonts w:ascii="Times New Roman" w:hAnsi="Times New Roman" w:cs="Times New Roman"/>
        </w:rPr>
        <w:t>, Md. Saiful Islam</w:t>
      </w:r>
      <w:r w:rsidRPr="00656AB3">
        <w:rPr>
          <w:rFonts w:ascii="Times New Roman" w:hAnsi="Times New Roman" w:cs="Times New Roman"/>
          <w:vertAlign w:val="superscript"/>
        </w:rPr>
        <w:t>36,37</w:t>
      </w:r>
      <w:r w:rsidRPr="00656AB3">
        <w:rPr>
          <w:rFonts w:ascii="Times New Roman" w:hAnsi="Times New Roman" w:cs="Times New Roman"/>
        </w:rPr>
        <w:t>, Mustafa Ismail</w:t>
      </w:r>
      <w:r w:rsidRPr="00656AB3">
        <w:rPr>
          <w:rFonts w:ascii="Times New Roman" w:hAnsi="Times New Roman" w:cs="Times New Roman"/>
          <w:vertAlign w:val="superscript"/>
        </w:rPr>
        <w:t>35</w:t>
      </w:r>
      <w:r w:rsidRPr="00656AB3">
        <w:rPr>
          <w:rFonts w:ascii="Times New Roman" w:hAnsi="Times New Roman" w:cs="Times New Roman"/>
        </w:rPr>
        <w:t>, Martha C. Jiménez-Martínez</w:t>
      </w:r>
      <w:r w:rsidRPr="00656AB3">
        <w:rPr>
          <w:rFonts w:ascii="Times New Roman" w:hAnsi="Times New Roman" w:cs="Times New Roman"/>
          <w:vertAlign w:val="superscript"/>
        </w:rPr>
        <w:t>38,39</w:t>
      </w:r>
      <w:r w:rsidRPr="00656AB3">
        <w:rPr>
          <w:rFonts w:ascii="Times New Roman" w:hAnsi="Times New Roman" w:cs="Times New Roman"/>
        </w:rPr>
        <w:t>, Tanja Jurin</w:t>
      </w:r>
      <w:r w:rsidRPr="00656AB3">
        <w:rPr>
          <w:rFonts w:ascii="Times New Roman" w:hAnsi="Times New Roman" w:cs="Times New Roman"/>
          <w:vertAlign w:val="superscript"/>
        </w:rPr>
        <w:t>40</w:t>
      </w:r>
      <w:r w:rsidRPr="00656AB3">
        <w:rPr>
          <w:rFonts w:ascii="Times New Roman" w:hAnsi="Times New Roman" w:cs="Times New Roman"/>
        </w:rPr>
        <w:t>, Ondrej Kalina</w:t>
      </w:r>
      <w:r w:rsidRPr="00656AB3">
        <w:rPr>
          <w:rFonts w:ascii="Times New Roman" w:hAnsi="Times New Roman" w:cs="Times New Roman"/>
          <w:vertAlign w:val="superscript"/>
        </w:rPr>
        <w:t>41</w:t>
      </w:r>
      <w:r w:rsidRPr="00656AB3">
        <w:rPr>
          <w:rFonts w:ascii="Times New Roman" w:hAnsi="Times New Roman" w:cs="Times New Roman"/>
        </w:rPr>
        <w:t>, Verena Klein</w:t>
      </w:r>
      <w:r w:rsidRPr="00656AB3">
        <w:rPr>
          <w:rFonts w:ascii="Times New Roman" w:hAnsi="Times New Roman" w:cs="Times New Roman"/>
          <w:vertAlign w:val="superscript"/>
        </w:rPr>
        <w:t>42</w:t>
      </w:r>
      <w:r w:rsidRPr="00656AB3">
        <w:rPr>
          <w:rFonts w:ascii="Times New Roman" w:hAnsi="Times New Roman" w:cs="Times New Roman"/>
        </w:rPr>
        <w:t>, András Költő</w:t>
      </w:r>
      <w:r w:rsidRPr="00656AB3">
        <w:rPr>
          <w:rFonts w:ascii="Times New Roman" w:hAnsi="Times New Roman" w:cs="Times New Roman"/>
          <w:vertAlign w:val="superscript"/>
        </w:rPr>
        <w:t>43</w:t>
      </w:r>
      <w:r w:rsidRPr="00656AB3">
        <w:rPr>
          <w:rFonts w:ascii="Times New Roman" w:hAnsi="Times New Roman" w:cs="Times New Roman"/>
        </w:rPr>
        <w:t>, Sang-Kyu Lee</w:t>
      </w:r>
      <w:r w:rsidRPr="00656AB3">
        <w:rPr>
          <w:rFonts w:ascii="Times New Roman" w:hAnsi="Times New Roman" w:cs="Times New Roman"/>
          <w:vertAlign w:val="superscript"/>
        </w:rPr>
        <w:t>44,45</w:t>
      </w:r>
      <w:r w:rsidRPr="00656AB3">
        <w:rPr>
          <w:rFonts w:ascii="Times New Roman" w:hAnsi="Times New Roman" w:cs="Times New Roman"/>
        </w:rPr>
        <w:t>, Karol Lewczuk</w:t>
      </w:r>
      <w:r w:rsidRPr="00656AB3">
        <w:rPr>
          <w:rFonts w:ascii="Times New Roman" w:hAnsi="Times New Roman" w:cs="Times New Roman"/>
          <w:vertAlign w:val="superscript"/>
        </w:rPr>
        <w:t>46</w:t>
      </w:r>
      <w:r w:rsidRPr="00656AB3">
        <w:rPr>
          <w:rFonts w:ascii="Times New Roman" w:hAnsi="Times New Roman" w:cs="Times New Roman"/>
        </w:rPr>
        <w:t>, Chung-Ying Lin</w:t>
      </w:r>
      <w:r w:rsidRPr="00656AB3">
        <w:rPr>
          <w:rFonts w:ascii="Times New Roman" w:hAnsi="Times New Roman" w:cs="Times New Roman"/>
          <w:vertAlign w:val="superscript"/>
        </w:rPr>
        <w:t>47,48</w:t>
      </w:r>
      <w:r w:rsidRPr="00656AB3">
        <w:rPr>
          <w:rFonts w:ascii="Times New Roman" w:hAnsi="Times New Roman" w:cs="Times New Roman"/>
        </w:rPr>
        <w:t>, Christine Lochner</w:t>
      </w:r>
      <w:r w:rsidRPr="00656AB3">
        <w:rPr>
          <w:rFonts w:ascii="Times New Roman" w:hAnsi="Times New Roman" w:cs="Times New Roman"/>
          <w:vertAlign w:val="superscript"/>
        </w:rPr>
        <w:t>49</w:t>
      </w:r>
      <w:r w:rsidRPr="00656AB3">
        <w:rPr>
          <w:rFonts w:ascii="Times New Roman" w:hAnsi="Times New Roman" w:cs="Times New Roman"/>
        </w:rPr>
        <w:t>, Silvia López-Alvarado</w:t>
      </w:r>
      <w:r w:rsidRPr="00656AB3">
        <w:rPr>
          <w:rFonts w:ascii="Times New Roman" w:hAnsi="Times New Roman" w:cs="Times New Roman"/>
          <w:vertAlign w:val="superscript"/>
        </w:rPr>
        <w:t>50</w:t>
      </w:r>
      <w:r w:rsidRPr="00656AB3">
        <w:rPr>
          <w:rFonts w:ascii="Times New Roman" w:hAnsi="Times New Roman" w:cs="Times New Roman"/>
        </w:rPr>
        <w:t>, Kateřina Lukavská</w:t>
      </w:r>
      <w:r w:rsidRPr="00656AB3">
        <w:rPr>
          <w:rFonts w:ascii="Times New Roman" w:hAnsi="Times New Roman" w:cs="Times New Roman"/>
          <w:vertAlign w:val="superscript"/>
        </w:rPr>
        <w:t>27,51</w:t>
      </w:r>
      <w:r w:rsidRPr="00656AB3">
        <w:rPr>
          <w:rFonts w:ascii="Times New Roman" w:hAnsi="Times New Roman" w:cs="Times New Roman"/>
        </w:rPr>
        <w:t>, Percy Mayta-Tristán</w:t>
      </w:r>
      <w:r w:rsidRPr="00656AB3">
        <w:rPr>
          <w:rFonts w:ascii="Times New Roman" w:hAnsi="Times New Roman" w:cs="Times New Roman"/>
          <w:vertAlign w:val="superscript"/>
        </w:rPr>
        <w:t>52</w:t>
      </w:r>
      <w:r w:rsidRPr="00656AB3">
        <w:rPr>
          <w:rFonts w:ascii="Times New Roman" w:hAnsi="Times New Roman" w:cs="Times New Roman"/>
        </w:rPr>
        <w:t>, Dan J. Miller</w:t>
      </w:r>
      <w:r w:rsidRPr="00656AB3">
        <w:rPr>
          <w:rFonts w:ascii="Times New Roman" w:hAnsi="Times New Roman" w:cs="Times New Roman"/>
          <w:vertAlign w:val="superscript"/>
        </w:rPr>
        <w:t>53</w:t>
      </w:r>
      <w:r w:rsidRPr="00656AB3">
        <w:rPr>
          <w:rFonts w:ascii="Times New Roman" w:hAnsi="Times New Roman" w:cs="Times New Roman"/>
        </w:rPr>
        <w:t>, Oľga Orosová</w:t>
      </w:r>
      <w:r w:rsidRPr="00656AB3">
        <w:rPr>
          <w:rFonts w:ascii="Times New Roman" w:hAnsi="Times New Roman" w:cs="Times New Roman"/>
          <w:vertAlign w:val="superscript"/>
        </w:rPr>
        <w:t>54</w:t>
      </w:r>
      <w:r w:rsidRPr="00656AB3">
        <w:rPr>
          <w:rFonts w:ascii="Times New Roman" w:hAnsi="Times New Roman" w:cs="Times New Roman"/>
        </w:rPr>
        <w:t xml:space="preserve">, </w:t>
      </w:r>
      <w:dir w:val="ltr">
        <w:r w:rsidRPr="00656AB3">
          <w:rPr>
            <w:rFonts w:ascii="Times New Roman" w:hAnsi="Times New Roman" w:cs="Times New Roman"/>
          </w:rPr>
          <w:t>Gábor Orosz</w:t>
        </w:r>
        <w:r w:rsidRPr="00656AB3">
          <w:rPr>
            <w:rFonts w:ascii="Times New Roman" w:hAnsi="Times New Roman" w:cs="Times New Roman"/>
            <w:vertAlign w:val="superscript"/>
          </w:rPr>
          <w:t>55</w:t>
        </w:r>
        <w:r w:rsidRPr="00656AB3">
          <w:rPr>
            <w:rFonts w:ascii="Times New Roman" w:hAnsi="Times New Roman" w:cs="Times New Roman"/>
          </w:rPr>
          <w:t>, Sungkyunkwan University’s research team</w:t>
        </w:r>
        <w:r w:rsidRPr="00656AB3">
          <w:rPr>
            <w:rFonts w:ascii="Times New Roman" w:hAnsi="Times New Roman" w:cs="Times New Roman"/>
            <w:vertAlign w:val="superscript"/>
          </w:rPr>
          <w:t>56</w:t>
        </w:r>
        <w:r w:rsidRPr="00656AB3">
          <w:rPr>
            <w:rFonts w:ascii="Times New Roman" w:hAnsi="Times New Roman" w:cs="Times New Roman"/>
          </w:rPr>
          <w:t>, Fernando P. Ponce</w:t>
        </w:r>
        <w:r w:rsidRPr="00656AB3">
          <w:rPr>
            <w:rFonts w:ascii="Times New Roman" w:hAnsi="Times New Roman" w:cs="Times New Roman"/>
            <w:vertAlign w:val="superscript"/>
          </w:rPr>
          <w:t>57</w:t>
        </w:r>
        <w:r w:rsidRPr="00656AB3">
          <w:rPr>
            <w:rFonts w:ascii="Times New Roman" w:hAnsi="Times New Roman" w:cs="Times New Roman"/>
          </w:rPr>
          <w:t>, Gonzalo R. Quintana</w:t>
        </w:r>
        <w:r w:rsidRPr="00656AB3">
          <w:rPr>
            <w:rFonts w:ascii="Times New Roman" w:hAnsi="Times New Roman" w:cs="Times New Roman"/>
            <w:vertAlign w:val="superscript"/>
          </w:rPr>
          <w:t>58</w:t>
        </w:r>
        <w:r w:rsidRPr="00656AB3">
          <w:rPr>
            <w:rFonts w:ascii="Times New Roman" w:hAnsi="Times New Roman" w:cs="Times New Roman"/>
          </w:rPr>
          <w:t>, Gabriel C. Quintero Garzola</w:t>
        </w:r>
        <w:r w:rsidRPr="00656AB3">
          <w:rPr>
            <w:rFonts w:ascii="Times New Roman" w:hAnsi="Times New Roman" w:cs="Times New Roman"/>
            <w:vertAlign w:val="superscript"/>
          </w:rPr>
          <w:t>59,60</w:t>
        </w:r>
        <w:r w:rsidRPr="00656AB3">
          <w:rPr>
            <w:rFonts w:ascii="Times New Roman" w:hAnsi="Times New Roman" w:cs="Times New Roman"/>
          </w:rPr>
          <w:t>, Jano Ramos-Diaz</w:t>
        </w:r>
        <w:r w:rsidRPr="00656AB3">
          <w:rPr>
            <w:rFonts w:ascii="Times New Roman" w:hAnsi="Times New Roman" w:cs="Times New Roman"/>
            <w:vertAlign w:val="superscript"/>
          </w:rPr>
          <w:t>61</w:t>
        </w:r>
        <w:r w:rsidRPr="00656AB3">
          <w:rPr>
            <w:rFonts w:ascii="Times New Roman" w:hAnsi="Times New Roman" w:cs="Times New Roman"/>
          </w:rPr>
          <w:t>, Kévin Rigaud</w:t>
        </w:r>
        <w:r w:rsidRPr="00656AB3">
          <w:rPr>
            <w:rFonts w:ascii="Times New Roman" w:hAnsi="Times New Roman" w:cs="Times New Roman"/>
            <w:vertAlign w:val="superscript"/>
          </w:rPr>
          <w:t>55</w:t>
        </w:r>
        <w:r w:rsidRPr="00656AB3">
          <w:rPr>
            <w:rFonts w:ascii="Times New Roman" w:hAnsi="Times New Roman" w:cs="Times New Roman"/>
          </w:rPr>
          <w:t>, Ann Rousseau</w:t>
        </w:r>
        <w:r w:rsidRPr="00656AB3">
          <w:rPr>
            <w:rFonts w:ascii="Times New Roman" w:hAnsi="Times New Roman" w:cs="Times New Roman"/>
            <w:vertAlign w:val="superscript"/>
          </w:rPr>
          <w:t>62</w:t>
        </w:r>
        <w:r w:rsidRPr="00656AB3">
          <w:rPr>
            <w:rFonts w:ascii="Times New Roman" w:hAnsi="Times New Roman" w:cs="Times New Roman"/>
          </w:rPr>
          <w:t>, Marco De Tubino Scanavino</w:t>
        </w:r>
        <w:r w:rsidRPr="00656AB3">
          <w:rPr>
            <w:rFonts w:ascii="Times New Roman" w:hAnsi="Times New Roman" w:cs="Times New Roman"/>
            <w:vertAlign w:val="superscript"/>
          </w:rPr>
          <w:t>63</w:t>
        </w:r>
        <w:r w:rsidRPr="00656AB3">
          <w:rPr>
            <w:rFonts w:ascii="Times New Roman" w:hAnsi="Times New Roman" w:cs="Times New Roman"/>
          </w:rPr>
          <w:t>, Marion K. Schulmeyer</w:t>
        </w:r>
        <w:r w:rsidRPr="00656AB3">
          <w:rPr>
            <w:rFonts w:ascii="Times New Roman" w:hAnsi="Times New Roman" w:cs="Times New Roman"/>
            <w:vertAlign w:val="superscript"/>
          </w:rPr>
          <w:t>64</w:t>
        </w:r>
        <w:r w:rsidRPr="00656AB3">
          <w:rPr>
            <w:rFonts w:ascii="Times New Roman" w:hAnsi="Times New Roman" w:cs="Times New Roman"/>
          </w:rPr>
          <w:t>, Pratap Sharan</w:t>
        </w:r>
        <w:r w:rsidRPr="00656AB3">
          <w:rPr>
            <w:rFonts w:ascii="Times New Roman" w:hAnsi="Times New Roman" w:cs="Times New Roman"/>
            <w:vertAlign w:val="superscript"/>
          </w:rPr>
          <w:t>65</w:t>
        </w:r>
        <w:r w:rsidRPr="00656AB3">
          <w:rPr>
            <w:rFonts w:ascii="Times New Roman" w:hAnsi="Times New Roman" w:cs="Times New Roman"/>
          </w:rPr>
          <w:t>, Mami Shibata</w:t>
        </w:r>
        <w:r w:rsidRPr="00656AB3">
          <w:rPr>
            <w:rFonts w:ascii="Times New Roman" w:hAnsi="Times New Roman" w:cs="Times New Roman"/>
            <w:vertAlign w:val="superscript"/>
          </w:rPr>
          <w:t>66</w:t>
        </w:r>
        <w:r w:rsidRPr="00656AB3">
          <w:rPr>
            <w:rFonts w:ascii="Times New Roman" w:hAnsi="Times New Roman" w:cs="Times New Roman"/>
          </w:rPr>
          <w:t>, Sheikh Shoib</w:t>
        </w:r>
        <w:r w:rsidRPr="00656AB3">
          <w:rPr>
            <w:rFonts w:ascii="Times New Roman" w:hAnsi="Times New Roman" w:cs="Times New Roman"/>
            <w:vertAlign w:val="superscript"/>
          </w:rPr>
          <w:t>67</w:t>
        </w:r>
        <w:r w:rsidRPr="00656AB3">
          <w:rPr>
            <w:rFonts w:ascii="Times New Roman" w:hAnsi="Times New Roman" w:cs="Times New Roman"/>
          </w:rPr>
          <w:t>, Vera Sigre-Leirós</w:t>
        </w:r>
        <w:r w:rsidRPr="00656AB3">
          <w:rPr>
            <w:rFonts w:ascii="Times New Roman" w:hAnsi="Times New Roman" w:cs="Times New Roman"/>
            <w:vertAlign w:val="superscript"/>
          </w:rPr>
          <w:t>10,68</w:t>
        </w:r>
        <w:r w:rsidRPr="00656AB3">
          <w:rPr>
            <w:rFonts w:ascii="Times New Roman" w:hAnsi="Times New Roman" w:cs="Times New Roman"/>
          </w:rPr>
          <w:t>, Luke Sniewski</w:t>
        </w:r>
        <w:r w:rsidRPr="00656AB3">
          <w:rPr>
            <w:rFonts w:ascii="Times New Roman" w:hAnsi="Times New Roman" w:cs="Times New Roman"/>
            <w:vertAlign w:val="superscript"/>
          </w:rPr>
          <w:t>69</w:t>
        </w:r>
        <w:r w:rsidRPr="00656AB3">
          <w:rPr>
            <w:rFonts w:ascii="Times New Roman" w:hAnsi="Times New Roman" w:cs="Times New Roman"/>
          </w:rPr>
          <w:t>, Ognen Spasovski</w:t>
        </w:r>
        <w:r w:rsidRPr="00656AB3">
          <w:rPr>
            <w:rFonts w:ascii="Times New Roman" w:hAnsi="Times New Roman" w:cs="Times New Roman"/>
            <w:vertAlign w:val="superscript"/>
          </w:rPr>
          <w:t>70</w:t>
        </w:r>
        <w:r w:rsidRPr="00656AB3">
          <w:rPr>
            <w:rFonts w:ascii="Times New Roman" w:hAnsi="Times New Roman" w:cs="Times New Roman"/>
          </w:rPr>
          <w:t>, Vesta Steibliene</w:t>
        </w:r>
        <w:r w:rsidRPr="00656AB3">
          <w:rPr>
            <w:rFonts w:ascii="Times New Roman" w:hAnsi="Times New Roman" w:cs="Times New Roman"/>
            <w:vertAlign w:val="superscript"/>
          </w:rPr>
          <w:t>71</w:t>
        </w:r>
        <w:r w:rsidRPr="00656AB3">
          <w:rPr>
            <w:rFonts w:ascii="Times New Roman" w:hAnsi="Times New Roman" w:cs="Times New Roman"/>
          </w:rPr>
          <w:t>, Dan J. Stein</w:t>
        </w:r>
        <w:r w:rsidRPr="00656AB3">
          <w:rPr>
            <w:rFonts w:ascii="Times New Roman" w:hAnsi="Times New Roman" w:cs="Times New Roman"/>
            <w:vertAlign w:val="superscript"/>
          </w:rPr>
          <w:t>72</w:t>
        </w:r>
        <w:r w:rsidRPr="00656AB3">
          <w:rPr>
            <w:rFonts w:ascii="Times New Roman" w:hAnsi="Times New Roman" w:cs="Times New Roman"/>
          </w:rPr>
          <w:t>, Julian Strizek</w:t>
        </w:r>
        <w:r w:rsidRPr="00656AB3">
          <w:rPr>
            <w:rFonts w:ascii="Times New Roman" w:hAnsi="Times New Roman" w:cs="Times New Roman"/>
            <w:vertAlign w:val="superscript"/>
          </w:rPr>
          <w:t>73</w:t>
        </w:r>
        <w:r w:rsidRPr="00656AB3">
          <w:rPr>
            <w:rFonts w:ascii="Times New Roman" w:hAnsi="Times New Roman" w:cs="Times New Roman"/>
          </w:rPr>
          <w:t>, Aleksandar Štulhofer</w:t>
        </w:r>
        <w:r w:rsidRPr="00656AB3">
          <w:rPr>
            <w:rFonts w:ascii="Times New Roman" w:hAnsi="Times New Roman" w:cs="Times New Roman"/>
            <w:vertAlign w:val="superscript"/>
          </w:rPr>
          <w:t>74</w:t>
        </w:r>
        <w:r w:rsidRPr="00656AB3">
          <w:rPr>
            <w:rFonts w:ascii="Times New Roman" w:hAnsi="Times New Roman" w:cs="Times New Roman"/>
          </w:rPr>
          <w:t>, Berk C. Ünsal</w:t>
        </w:r>
        <w:r w:rsidRPr="00656AB3">
          <w:rPr>
            <w:rFonts w:ascii="Times New Roman" w:hAnsi="Times New Roman" w:cs="Times New Roman"/>
            <w:vertAlign w:val="superscript"/>
          </w:rPr>
          <w:t>1,2</w:t>
        </w:r>
        <w:r w:rsidRPr="00656AB3">
          <w:rPr>
            <w:rFonts w:ascii="Times New Roman" w:hAnsi="Times New Roman" w:cs="Times New Roman"/>
          </w:rPr>
          <w:t>, Marie-Pier Vaillancourt-Morel</w:t>
        </w:r>
        <w:r w:rsidRPr="00656AB3">
          <w:rPr>
            <w:rFonts w:ascii="Times New Roman" w:hAnsi="Times New Roman" w:cs="Times New Roman"/>
            <w:vertAlign w:val="superscript"/>
          </w:rPr>
          <w:t>75</w:t>
        </w:r>
        <w:r w:rsidRPr="00656AB3">
          <w:rPr>
            <w:rFonts w:ascii="Times New Roman" w:hAnsi="Times New Roman" w:cs="Times New Roman"/>
          </w:rPr>
          <w:t>, Marie Claire Van Hout</w:t>
        </w:r>
        <w:r w:rsidRPr="00656AB3">
          <w:rPr>
            <w:rFonts w:ascii="Times New Roman" w:hAnsi="Times New Roman" w:cs="Times New Roman"/>
            <w:vertAlign w:val="superscript"/>
          </w:rPr>
          <w:t>76</w:t>
        </w:r>
        <w:r w:rsidRPr="00656AB3">
          <w:rPr>
            <w:rFonts w:ascii="Times New Roman" w:hAnsi="Times New Roman" w:cs="Times New Roman"/>
          </w:rPr>
          <w:t>, Beáta Bőthe</w:t>
        </w:r>
        <w:r w:rsidRPr="00656AB3">
          <w:rPr>
            <w:rFonts w:ascii="Times New Roman" w:hAnsi="Times New Roman" w:cs="Times New Roman"/>
            <w:vertAlign w:val="superscript"/>
          </w:rPr>
          <w:t>77</w:t>
        </w:r>
        <w:r>
          <w:t>‬</w:t>
        </w:r>
        <w:r>
          <w:t>‬</w:t>
        </w:r>
        <w:r>
          <w:t>‬</w:t>
        </w:r>
        <w:r>
          <w:t>‬</w:t>
        </w:r>
      </w:dir>
    </w:p>
    <w:p w14:paraId="57D5B237" w14:textId="77777777" w:rsidR="00494D70" w:rsidRPr="008726F8" w:rsidRDefault="00494D70" w:rsidP="00494D70">
      <w:pPr>
        <w:pStyle w:val="FirstParagraph"/>
        <w:spacing w:line="276" w:lineRule="auto"/>
        <w:jc w:val="center"/>
        <w:rPr>
          <w:rFonts w:ascii="Times New Roman" w:eastAsia="Times New Roman" w:hAnsi="Times New Roman" w:cs="Times New Roman"/>
          <w:bCs/>
          <w:color w:val="000000"/>
          <w:lang w:eastAsia="en-CA"/>
        </w:rPr>
      </w:pPr>
      <w:r w:rsidRPr="00656AB3">
        <w:rPr>
          <w:rFonts w:ascii="Times New Roman" w:hAnsi="Times New Roman" w:cs="Times New Roman"/>
          <w:vertAlign w:val="superscript"/>
        </w:rPr>
        <w:t>1</w:t>
      </w:r>
      <w:r w:rsidRPr="00656AB3">
        <w:rPr>
          <w:rFonts w:ascii="Times New Roman" w:hAnsi="Times New Roman" w:cs="Times New Roman"/>
        </w:rPr>
        <w:t xml:space="preserve">Doctoral School of Psychology, ELTE Eötvös Loránd University, Budapest, Hungary, </w:t>
      </w:r>
      <w:r w:rsidRPr="00656AB3">
        <w:rPr>
          <w:rFonts w:ascii="Times New Roman" w:hAnsi="Times New Roman" w:cs="Times New Roman"/>
          <w:vertAlign w:val="superscript"/>
        </w:rPr>
        <w:t>2</w:t>
      </w:r>
      <w:r w:rsidRPr="00656AB3">
        <w:rPr>
          <w:rFonts w:ascii="Times New Roman" w:hAnsi="Times New Roman" w:cs="Times New Roman"/>
        </w:rPr>
        <w:t xml:space="preserve">Institute of Psychology, ELTE Eötvös Loránd University, Budapest, Hungary, </w:t>
      </w:r>
      <w:r w:rsidRPr="00656AB3">
        <w:rPr>
          <w:rFonts w:ascii="Times New Roman" w:hAnsi="Times New Roman" w:cs="Times New Roman"/>
          <w:vertAlign w:val="superscript"/>
        </w:rPr>
        <w:t>3</w:t>
      </w:r>
      <w:r w:rsidRPr="00656AB3">
        <w:rPr>
          <w:rFonts w:ascii="Times New Roman" w:hAnsi="Times New Roman" w:cs="Times New Roman"/>
        </w:rPr>
        <w:t xml:space="preserve">Department of Psychology, University of Nevada, Las Vegas, Las Vegas, NV, USA, </w:t>
      </w:r>
      <w:r w:rsidRPr="00656AB3">
        <w:rPr>
          <w:rFonts w:ascii="Times New Roman" w:hAnsi="Times New Roman" w:cs="Times New Roman"/>
          <w:vertAlign w:val="superscript"/>
        </w:rPr>
        <w:t>4</w:t>
      </w:r>
      <w:r w:rsidRPr="00656AB3">
        <w:rPr>
          <w:rFonts w:ascii="Times New Roman" w:hAnsi="Times New Roman" w:cs="Times New Roman"/>
        </w:rPr>
        <w:t xml:space="preserve">Centre of Excellence in Responsible Gaming, University of Gibraltar, Gibraltar, Gibraltar, </w:t>
      </w:r>
      <w:r w:rsidRPr="00656AB3">
        <w:rPr>
          <w:rFonts w:ascii="Times New Roman" w:hAnsi="Times New Roman" w:cs="Times New Roman"/>
          <w:vertAlign w:val="superscript"/>
        </w:rPr>
        <w:t>5</w:t>
      </w:r>
      <w:r w:rsidRPr="00656AB3">
        <w:rPr>
          <w:rFonts w:ascii="Times New Roman" w:hAnsi="Times New Roman" w:cs="Times New Roman"/>
        </w:rPr>
        <w:t xml:space="preserve">Yale University School of Medicine, New Haven, CT, USA, </w:t>
      </w:r>
      <w:r w:rsidRPr="00656AB3">
        <w:rPr>
          <w:rFonts w:ascii="Times New Roman" w:hAnsi="Times New Roman" w:cs="Times New Roman"/>
          <w:vertAlign w:val="superscript"/>
        </w:rPr>
        <w:t>6</w:t>
      </w:r>
      <w:r w:rsidRPr="00656AB3">
        <w:rPr>
          <w:rFonts w:ascii="Times New Roman" w:hAnsi="Times New Roman" w:cs="Times New Roman"/>
        </w:rPr>
        <w:t xml:space="preserve">Connecticut Council on Problem Gambling, Wethersfield, CT, USA; Connecticut Mental Health Center, New Haven, CT, USA, </w:t>
      </w:r>
      <w:r w:rsidRPr="00656AB3">
        <w:rPr>
          <w:rFonts w:ascii="Times New Roman" w:hAnsi="Times New Roman" w:cs="Times New Roman"/>
          <w:vertAlign w:val="superscript"/>
        </w:rPr>
        <w:t>7</w:t>
      </w:r>
      <w:r w:rsidRPr="00656AB3">
        <w:rPr>
          <w:rFonts w:ascii="Times New Roman" w:hAnsi="Times New Roman" w:cs="Times New Roman"/>
        </w:rPr>
        <w:t xml:space="preserve">Departmento de </w:t>
      </w:r>
      <w:proofErr w:type="spellStart"/>
      <w:r w:rsidRPr="00656AB3">
        <w:rPr>
          <w:rFonts w:ascii="Times New Roman" w:hAnsi="Times New Roman" w:cs="Times New Roman"/>
        </w:rPr>
        <w:t>Psicología</w:t>
      </w:r>
      <w:proofErr w:type="spellEnd"/>
      <w:r w:rsidRPr="00656AB3">
        <w:rPr>
          <w:rFonts w:ascii="Times New Roman" w:hAnsi="Times New Roman" w:cs="Times New Roman"/>
        </w:rPr>
        <w:t xml:space="preserve"> </w:t>
      </w:r>
      <w:proofErr w:type="spellStart"/>
      <w:r w:rsidRPr="00656AB3">
        <w:rPr>
          <w:rFonts w:ascii="Times New Roman" w:hAnsi="Times New Roman" w:cs="Times New Roman"/>
        </w:rPr>
        <w:t>Básica</w:t>
      </w:r>
      <w:proofErr w:type="spellEnd"/>
      <w:r w:rsidRPr="00656AB3">
        <w:rPr>
          <w:rFonts w:ascii="Times New Roman" w:hAnsi="Times New Roman" w:cs="Times New Roman"/>
        </w:rPr>
        <w:t xml:space="preserve">, </w:t>
      </w:r>
      <w:proofErr w:type="spellStart"/>
      <w:r w:rsidRPr="00656AB3">
        <w:rPr>
          <w:rFonts w:ascii="Times New Roman" w:hAnsi="Times New Roman" w:cs="Times New Roman"/>
        </w:rPr>
        <w:t>Clínica</w:t>
      </w:r>
      <w:proofErr w:type="spellEnd"/>
      <w:r w:rsidRPr="00656AB3">
        <w:rPr>
          <w:rFonts w:ascii="Times New Roman" w:hAnsi="Times New Roman" w:cs="Times New Roman"/>
        </w:rPr>
        <w:t xml:space="preserve"> y </w:t>
      </w:r>
      <w:proofErr w:type="spellStart"/>
      <w:r w:rsidRPr="00656AB3">
        <w:rPr>
          <w:rFonts w:ascii="Times New Roman" w:hAnsi="Times New Roman" w:cs="Times New Roman"/>
        </w:rPr>
        <w:t>Psicobiología</w:t>
      </w:r>
      <w:proofErr w:type="spellEnd"/>
      <w:r w:rsidRPr="00656AB3">
        <w:rPr>
          <w:rFonts w:ascii="Times New Roman" w:hAnsi="Times New Roman" w:cs="Times New Roman"/>
        </w:rPr>
        <w:t xml:space="preserve">, University Jaume I of Castellón, Spain, </w:t>
      </w:r>
      <w:r w:rsidRPr="00656AB3">
        <w:rPr>
          <w:rFonts w:ascii="Times New Roman" w:hAnsi="Times New Roman" w:cs="Times New Roman"/>
          <w:vertAlign w:val="superscript"/>
        </w:rPr>
        <w:t>8</w:t>
      </w:r>
      <w:r w:rsidRPr="00656AB3">
        <w:rPr>
          <w:rFonts w:ascii="Times New Roman" w:hAnsi="Times New Roman" w:cs="Times New Roman"/>
        </w:rPr>
        <w:t xml:space="preserve">Institute for </w:t>
      </w:r>
      <w:proofErr w:type="spellStart"/>
      <w:r w:rsidRPr="00656AB3">
        <w:rPr>
          <w:rFonts w:ascii="Times New Roman" w:hAnsi="Times New Roman" w:cs="Times New Roman"/>
        </w:rPr>
        <w:t>Behavioural</w:t>
      </w:r>
      <w:proofErr w:type="spellEnd"/>
      <w:r w:rsidRPr="00656AB3">
        <w:rPr>
          <w:rFonts w:ascii="Times New Roman" w:hAnsi="Times New Roman" w:cs="Times New Roman"/>
        </w:rPr>
        <w:t xml:space="preserve"> Addictions, Sigmund Freud University Vienna, Austria, </w:t>
      </w:r>
      <w:r w:rsidRPr="00656AB3">
        <w:rPr>
          <w:rFonts w:ascii="Times New Roman" w:hAnsi="Times New Roman" w:cs="Times New Roman"/>
          <w:vertAlign w:val="superscript"/>
        </w:rPr>
        <w:t>9</w:t>
      </w:r>
      <w:r w:rsidRPr="00656AB3">
        <w:rPr>
          <w:rFonts w:ascii="Times New Roman" w:hAnsi="Times New Roman" w:cs="Times New Roman"/>
        </w:rPr>
        <w:t xml:space="preserve">Département de </w:t>
      </w:r>
      <w:proofErr w:type="spellStart"/>
      <w:r>
        <w:rPr>
          <w:rFonts w:ascii="Times New Roman" w:hAnsi="Times New Roman" w:cs="Times New Roman"/>
        </w:rPr>
        <w:t>P</w:t>
      </w:r>
      <w:r w:rsidRPr="00656AB3">
        <w:rPr>
          <w:rFonts w:ascii="Times New Roman" w:hAnsi="Times New Roman" w:cs="Times New Roman"/>
        </w:rPr>
        <w:t>sychologie</w:t>
      </w:r>
      <w:proofErr w:type="spellEnd"/>
      <w:r w:rsidRPr="00656AB3">
        <w:rPr>
          <w:rFonts w:ascii="Times New Roman" w:hAnsi="Times New Roman" w:cs="Times New Roman"/>
        </w:rPr>
        <w:t xml:space="preserve">, Université de Montréal, Montréal, Canada, </w:t>
      </w:r>
      <w:r w:rsidRPr="00656AB3">
        <w:rPr>
          <w:rFonts w:ascii="Times New Roman" w:hAnsi="Times New Roman" w:cs="Times New Roman"/>
          <w:vertAlign w:val="superscript"/>
        </w:rPr>
        <w:t>10</w:t>
      </w:r>
      <w:r w:rsidRPr="00656AB3">
        <w:rPr>
          <w:rFonts w:ascii="Times New Roman" w:hAnsi="Times New Roman" w:cs="Times New Roman"/>
        </w:rPr>
        <w:t xml:space="preserve">Institute of Psychology, University of Lausanne, Lausanne, Switzerland, </w:t>
      </w:r>
      <w:r w:rsidRPr="00656AB3">
        <w:rPr>
          <w:rFonts w:ascii="Times New Roman" w:hAnsi="Times New Roman" w:cs="Times New Roman"/>
          <w:vertAlign w:val="superscript"/>
        </w:rPr>
        <w:t>11</w:t>
      </w:r>
      <w:r w:rsidRPr="00656AB3">
        <w:rPr>
          <w:rFonts w:ascii="Times New Roman" w:hAnsi="Times New Roman" w:cs="Times New Roman"/>
        </w:rPr>
        <w:t xml:space="preserve">Center for Excessive Gambling, Addiction Medicine, </w:t>
      </w:r>
      <w:r w:rsidRPr="00656AB3">
        <w:rPr>
          <w:rFonts w:ascii="Times New Roman" w:hAnsi="Times New Roman" w:cs="Times New Roman"/>
        </w:rPr>
        <w:lastRenderedPageBreak/>
        <w:t xml:space="preserve">Lausanne University Hospitals (CHUV), Lausanne, Switzerland, </w:t>
      </w:r>
      <w:r w:rsidRPr="00656AB3">
        <w:rPr>
          <w:rFonts w:ascii="Times New Roman" w:hAnsi="Times New Roman" w:cs="Times New Roman"/>
          <w:vertAlign w:val="superscript"/>
        </w:rPr>
        <w:t>12</w:t>
      </w:r>
      <w:r w:rsidRPr="00656AB3">
        <w:rPr>
          <w:rFonts w:ascii="Times New Roman" w:hAnsi="Times New Roman" w:cs="Times New Roman"/>
        </w:rPr>
        <w:t xml:space="preserve">Institute for Sex Research, Sexual Medicine, and Forensic Psychiatry; University Medical Centre Hamburg-Eppendorf; Hamburg, Germany, </w:t>
      </w:r>
      <w:r w:rsidRPr="00656AB3">
        <w:rPr>
          <w:rFonts w:ascii="Times New Roman" w:hAnsi="Times New Roman" w:cs="Times New Roman"/>
          <w:vertAlign w:val="superscript"/>
        </w:rPr>
        <w:t>13</w:t>
      </w:r>
      <w:r w:rsidRPr="00656AB3">
        <w:rPr>
          <w:rFonts w:ascii="Times New Roman" w:hAnsi="Times New Roman" w:cs="Times New Roman"/>
        </w:rPr>
        <w:t xml:space="preserve">Laboratory of Behavioral Medicine, Neuroscience Institute, Lithuanian University of Health Sciences, Lithuania, </w:t>
      </w:r>
      <w:r w:rsidRPr="00656AB3">
        <w:rPr>
          <w:rFonts w:ascii="Times New Roman" w:hAnsi="Times New Roman" w:cs="Times New Roman"/>
          <w:vertAlign w:val="superscript"/>
        </w:rPr>
        <w:t>14</w:t>
      </w:r>
      <w:r w:rsidRPr="00656AB3">
        <w:rPr>
          <w:rFonts w:ascii="Times New Roman" w:hAnsi="Times New Roman" w:cs="Times New Roman"/>
        </w:rPr>
        <w:t xml:space="preserve">Virtual Teaching and Cyberpsychology Laboratory, School of Psychology, National Autonomous University of Mexico, Mexico, </w:t>
      </w:r>
      <w:r w:rsidRPr="00656AB3">
        <w:rPr>
          <w:rFonts w:ascii="Times New Roman" w:hAnsi="Times New Roman" w:cs="Times New Roman"/>
          <w:vertAlign w:val="superscript"/>
        </w:rPr>
        <w:t>15</w:t>
      </w:r>
      <w:r w:rsidRPr="00656AB3">
        <w:rPr>
          <w:rFonts w:ascii="Times New Roman" w:hAnsi="Times New Roman" w:cs="Times New Roman"/>
        </w:rPr>
        <w:t xml:space="preserve">William James Center for Research, Departamento de </w:t>
      </w:r>
      <w:proofErr w:type="spellStart"/>
      <w:r w:rsidRPr="00656AB3">
        <w:rPr>
          <w:rFonts w:ascii="Times New Roman" w:hAnsi="Times New Roman" w:cs="Times New Roman"/>
        </w:rPr>
        <w:t>Educação</w:t>
      </w:r>
      <w:proofErr w:type="spellEnd"/>
      <w:r w:rsidRPr="00656AB3">
        <w:rPr>
          <w:rFonts w:ascii="Times New Roman" w:hAnsi="Times New Roman" w:cs="Times New Roman"/>
        </w:rPr>
        <w:t xml:space="preserve"> e </w:t>
      </w:r>
      <w:proofErr w:type="spellStart"/>
      <w:r w:rsidRPr="00656AB3">
        <w:rPr>
          <w:rFonts w:ascii="Times New Roman" w:hAnsi="Times New Roman" w:cs="Times New Roman"/>
        </w:rPr>
        <w:t>Psicologia</w:t>
      </w:r>
      <w:proofErr w:type="spellEnd"/>
      <w:r w:rsidRPr="00656AB3">
        <w:rPr>
          <w:rFonts w:ascii="Times New Roman" w:hAnsi="Times New Roman" w:cs="Times New Roman"/>
        </w:rPr>
        <w:t xml:space="preserve">, </w:t>
      </w:r>
      <w:proofErr w:type="spellStart"/>
      <w:r w:rsidRPr="00656AB3">
        <w:rPr>
          <w:rFonts w:ascii="Times New Roman" w:hAnsi="Times New Roman" w:cs="Times New Roman"/>
        </w:rPr>
        <w:t>Universidade</w:t>
      </w:r>
      <w:proofErr w:type="spellEnd"/>
      <w:r w:rsidRPr="00656AB3">
        <w:rPr>
          <w:rFonts w:ascii="Times New Roman" w:hAnsi="Times New Roman" w:cs="Times New Roman"/>
        </w:rPr>
        <w:t xml:space="preserve"> de Aveiro, Aveiro, Portugal, </w:t>
      </w:r>
      <w:r w:rsidRPr="00656AB3">
        <w:rPr>
          <w:rFonts w:ascii="Times New Roman" w:hAnsi="Times New Roman" w:cs="Times New Roman"/>
          <w:vertAlign w:val="superscript"/>
        </w:rPr>
        <w:t>16</w:t>
      </w:r>
      <w:r w:rsidRPr="00656AB3">
        <w:rPr>
          <w:rFonts w:ascii="Times New Roman" w:hAnsi="Times New Roman" w:cs="Times New Roman"/>
        </w:rPr>
        <w:t xml:space="preserve">Department of Personality, Assessment, and Psychological Treatments, University of Valencia, Spain, </w:t>
      </w:r>
      <w:r w:rsidRPr="00656AB3">
        <w:rPr>
          <w:rFonts w:ascii="Times New Roman" w:hAnsi="Times New Roman" w:cs="Times New Roman"/>
          <w:vertAlign w:val="superscript"/>
        </w:rPr>
        <w:t>17</w:t>
      </w:r>
      <w:r w:rsidRPr="00656AB3">
        <w:rPr>
          <w:rFonts w:ascii="Times New Roman" w:hAnsi="Times New Roman" w:cs="Times New Roman"/>
        </w:rPr>
        <w:t xml:space="preserve">Department of Psychology, College of Humanity and Social Science, Fuzhou University, China, </w:t>
      </w:r>
      <w:r w:rsidRPr="00656AB3">
        <w:rPr>
          <w:rFonts w:ascii="Times New Roman" w:hAnsi="Times New Roman" w:cs="Times New Roman"/>
          <w:vertAlign w:val="superscript"/>
        </w:rPr>
        <w:t>18</w:t>
      </w:r>
      <w:r w:rsidRPr="00656AB3">
        <w:rPr>
          <w:rFonts w:ascii="Times New Roman" w:hAnsi="Times New Roman" w:cs="Times New Roman"/>
        </w:rPr>
        <w:t xml:space="preserve">Department of Social Work, Chinese University of Hong Kong, </w:t>
      </w:r>
      <w:r w:rsidRPr="00656AB3">
        <w:rPr>
          <w:rFonts w:ascii="Times New Roman" w:hAnsi="Times New Roman" w:cs="Times New Roman"/>
          <w:vertAlign w:val="superscript"/>
        </w:rPr>
        <w:t>19</w:t>
      </w:r>
      <w:r w:rsidRPr="00656AB3">
        <w:rPr>
          <w:rFonts w:ascii="Times New Roman" w:hAnsi="Times New Roman" w:cs="Times New Roman"/>
        </w:rPr>
        <w:t xml:space="preserve">Section of Sexual Psychopathology, Department of Dynamic and Clinical Psychology, and Health Studies, Sapienza University of Rome, Rome, Italy, </w:t>
      </w:r>
      <w:r w:rsidRPr="00656AB3">
        <w:rPr>
          <w:rFonts w:ascii="Times New Roman" w:hAnsi="Times New Roman" w:cs="Times New Roman"/>
          <w:vertAlign w:val="superscript"/>
        </w:rPr>
        <w:t>20</w:t>
      </w:r>
      <w:r w:rsidRPr="00656AB3">
        <w:rPr>
          <w:rFonts w:ascii="Times New Roman" w:hAnsi="Times New Roman" w:cs="Times New Roman"/>
        </w:rPr>
        <w:t xml:space="preserve">Department of Clinical, Pharmaceutical and Biological Sciences, University of Hertfordshire, United Kingdom, </w:t>
      </w:r>
      <w:r w:rsidRPr="00656AB3">
        <w:rPr>
          <w:rFonts w:ascii="Times New Roman" w:hAnsi="Times New Roman" w:cs="Times New Roman"/>
          <w:vertAlign w:val="superscript"/>
        </w:rPr>
        <w:t>21</w:t>
      </w:r>
      <w:r w:rsidRPr="00656AB3">
        <w:rPr>
          <w:rFonts w:ascii="Times New Roman" w:hAnsi="Times New Roman" w:cs="Times New Roman"/>
        </w:rPr>
        <w:t xml:space="preserve">Department of Psychology and Cognitive Science, University of Trento, Italy, </w:t>
      </w:r>
      <w:r w:rsidRPr="00656AB3">
        <w:rPr>
          <w:rFonts w:ascii="Times New Roman" w:hAnsi="Times New Roman" w:cs="Times New Roman"/>
          <w:vertAlign w:val="superscript"/>
        </w:rPr>
        <w:t>22</w:t>
      </w:r>
      <w:r w:rsidRPr="00656AB3">
        <w:rPr>
          <w:rFonts w:ascii="Times New Roman" w:hAnsi="Times New Roman" w:cs="Times New Roman"/>
        </w:rPr>
        <w:t xml:space="preserve">Department of Psychology and Neuroscience, Auckland University of Technology, Auckland, New Zealand, </w:t>
      </w:r>
      <w:r w:rsidRPr="00656AB3">
        <w:rPr>
          <w:rFonts w:ascii="Times New Roman" w:hAnsi="Times New Roman" w:cs="Times New Roman"/>
          <w:vertAlign w:val="superscript"/>
        </w:rPr>
        <w:t>23</w:t>
      </w:r>
      <w:r w:rsidRPr="00656AB3">
        <w:rPr>
          <w:rFonts w:ascii="Times New Roman" w:hAnsi="Times New Roman" w:cs="Times New Roman"/>
        </w:rPr>
        <w:t xml:space="preserve">Nottingham Trent University, United Kingdom, </w:t>
      </w:r>
      <w:r w:rsidRPr="00656AB3">
        <w:rPr>
          <w:rFonts w:ascii="Times New Roman" w:hAnsi="Times New Roman" w:cs="Times New Roman"/>
          <w:vertAlign w:val="superscript"/>
        </w:rPr>
        <w:t>24</w:t>
      </w:r>
      <w:r w:rsidRPr="00656AB3">
        <w:rPr>
          <w:rFonts w:ascii="Times New Roman" w:hAnsi="Times New Roman" w:cs="Times New Roman"/>
        </w:rPr>
        <w:t xml:space="preserve">Department of Neuropsychiatry, Graduate School of Medicine, Kyoto University, Kyoto, Japan; Decentralized Big Data Team, RIKEN Center for Advanced Intelligence Project, Tokyo, Japan; The General Research Division, Osaka University Research Center on Ethical, Legal and Social Issues, Osaka, Japan, </w:t>
      </w:r>
      <w:r w:rsidRPr="00656AB3">
        <w:rPr>
          <w:rFonts w:ascii="Times New Roman" w:hAnsi="Times New Roman" w:cs="Times New Roman"/>
          <w:vertAlign w:val="superscript"/>
        </w:rPr>
        <w:t>25</w:t>
      </w:r>
      <w:r w:rsidRPr="00656AB3">
        <w:rPr>
          <w:rFonts w:ascii="Times New Roman" w:hAnsi="Times New Roman" w:cs="Times New Roman"/>
        </w:rPr>
        <w:t xml:space="preserve">HELP University, Malaysia, </w:t>
      </w:r>
      <w:r w:rsidRPr="00656AB3">
        <w:rPr>
          <w:rFonts w:ascii="Times New Roman" w:hAnsi="Times New Roman" w:cs="Times New Roman"/>
          <w:vertAlign w:val="superscript"/>
        </w:rPr>
        <w:t>26</w:t>
      </w:r>
      <w:r w:rsidRPr="00656AB3">
        <w:rPr>
          <w:rFonts w:ascii="Times New Roman" w:hAnsi="Times New Roman" w:cs="Times New Roman"/>
        </w:rPr>
        <w:t xml:space="preserve">Institute of Forensic Psychiatry and Sex Research, Center for Translational Neuro- and Behavioral Sciences, University of Duisburg-Essen, Essen, Germany, </w:t>
      </w:r>
      <w:r w:rsidRPr="00656AB3">
        <w:rPr>
          <w:rFonts w:ascii="Times New Roman" w:hAnsi="Times New Roman" w:cs="Times New Roman"/>
          <w:vertAlign w:val="superscript"/>
        </w:rPr>
        <w:t>27</w:t>
      </w:r>
      <w:r w:rsidRPr="00656AB3">
        <w:rPr>
          <w:rFonts w:ascii="Times New Roman" w:hAnsi="Times New Roman" w:cs="Times New Roman"/>
        </w:rPr>
        <w:t xml:space="preserve">Charles University, First Faculty of Medicine, Department of Addictology, Prague, Czech Republic, </w:t>
      </w:r>
      <w:r w:rsidRPr="00656AB3">
        <w:rPr>
          <w:rFonts w:ascii="Times New Roman" w:hAnsi="Times New Roman" w:cs="Times New Roman"/>
          <w:vertAlign w:val="superscript"/>
        </w:rPr>
        <w:t>28</w:t>
      </w:r>
      <w:r w:rsidRPr="00656AB3">
        <w:rPr>
          <w:rFonts w:ascii="Times New Roman" w:hAnsi="Times New Roman" w:cs="Times New Roman"/>
        </w:rPr>
        <w:t xml:space="preserve">General University Hospital in Prague, Department of Addictology, Czech Republic, </w:t>
      </w:r>
      <w:r w:rsidRPr="00656AB3">
        <w:rPr>
          <w:rFonts w:ascii="Times New Roman" w:hAnsi="Times New Roman" w:cs="Times New Roman"/>
          <w:vertAlign w:val="superscript"/>
        </w:rPr>
        <w:t>29</w:t>
      </w:r>
      <w:r w:rsidRPr="00656AB3">
        <w:rPr>
          <w:rFonts w:ascii="Times New Roman" w:hAnsi="Times New Roman" w:cs="Times New Roman"/>
        </w:rPr>
        <w:t xml:space="preserve">School of Social Work, Faculty of Social Welfare and Health Sciences, University of Haifa, Israel, </w:t>
      </w:r>
      <w:r w:rsidRPr="00656AB3">
        <w:rPr>
          <w:rFonts w:ascii="Times New Roman" w:hAnsi="Times New Roman" w:cs="Times New Roman"/>
          <w:vertAlign w:val="superscript"/>
        </w:rPr>
        <w:t>30</w:t>
      </w:r>
      <w:r w:rsidRPr="00656AB3">
        <w:rPr>
          <w:rFonts w:ascii="Times New Roman" w:hAnsi="Times New Roman" w:cs="Times New Roman"/>
        </w:rPr>
        <w:t xml:space="preserve">Macedonian Academy of Sciences and Arts, Republic of North Macedonia, </w:t>
      </w:r>
      <w:r w:rsidRPr="00656AB3">
        <w:rPr>
          <w:rFonts w:ascii="Times New Roman" w:hAnsi="Times New Roman" w:cs="Times New Roman"/>
          <w:vertAlign w:val="superscript"/>
        </w:rPr>
        <w:t>31</w:t>
      </w:r>
      <w:r w:rsidRPr="00656AB3">
        <w:rPr>
          <w:rFonts w:ascii="Times New Roman" w:hAnsi="Times New Roman" w:cs="Times New Roman"/>
        </w:rPr>
        <w:t>Institute of Psych</w:t>
      </w:r>
      <w:r>
        <w:rPr>
          <w:rFonts w:ascii="Times New Roman" w:hAnsi="Times New Roman" w:cs="Times New Roman"/>
        </w:rPr>
        <w:t>o</w:t>
      </w:r>
      <w:r w:rsidRPr="00656AB3">
        <w:rPr>
          <w:rFonts w:ascii="Times New Roman" w:hAnsi="Times New Roman" w:cs="Times New Roman"/>
        </w:rPr>
        <w:t xml:space="preserve">logy, Polish Academy of Sciences, Poland, </w:t>
      </w:r>
      <w:r w:rsidRPr="00656AB3">
        <w:rPr>
          <w:rFonts w:ascii="Times New Roman" w:hAnsi="Times New Roman" w:cs="Times New Roman"/>
          <w:vertAlign w:val="superscript"/>
        </w:rPr>
        <w:t>32</w:t>
      </w:r>
      <w:r w:rsidRPr="00656AB3">
        <w:rPr>
          <w:rFonts w:ascii="Times New Roman" w:hAnsi="Times New Roman" w:cs="Times New Roman"/>
        </w:rPr>
        <w:t xml:space="preserve">Institute for Neural Computations, University of California San Diego, USA, </w:t>
      </w:r>
      <w:r w:rsidRPr="00656AB3">
        <w:rPr>
          <w:rFonts w:ascii="Times New Roman" w:hAnsi="Times New Roman" w:cs="Times New Roman"/>
          <w:vertAlign w:val="superscript"/>
        </w:rPr>
        <w:t>33</w:t>
      </w:r>
      <w:r w:rsidRPr="00656AB3">
        <w:rPr>
          <w:rFonts w:ascii="Times New Roman" w:hAnsi="Times New Roman" w:cs="Times New Roman"/>
        </w:rPr>
        <w:t xml:space="preserve">University of New Mexico, Albuquerque, United States, </w:t>
      </w:r>
      <w:r w:rsidRPr="00656AB3">
        <w:rPr>
          <w:rFonts w:ascii="Times New Roman" w:hAnsi="Times New Roman" w:cs="Times New Roman"/>
          <w:vertAlign w:val="superscript"/>
        </w:rPr>
        <w:t>34</w:t>
      </w:r>
      <w:r w:rsidRPr="00656AB3">
        <w:rPr>
          <w:rFonts w:ascii="Times New Roman" w:hAnsi="Times New Roman" w:cs="Times New Roman"/>
        </w:rPr>
        <w:t xml:space="preserve">Center for Alcohol, Substance use, And Addiction (CASAA), University of New Mexico, Albuquerque, United States, </w:t>
      </w:r>
      <w:r w:rsidRPr="00656AB3">
        <w:rPr>
          <w:rFonts w:ascii="Times New Roman" w:hAnsi="Times New Roman" w:cs="Times New Roman"/>
          <w:vertAlign w:val="superscript"/>
        </w:rPr>
        <w:t>35</w:t>
      </w:r>
      <w:r w:rsidRPr="00656AB3">
        <w:rPr>
          <w:rFonts w:ascii="Times New Roman" w:hAnsi="Times New Roman" w:cs="Times New Roman"/>
        </w:rPr>
        <w:t xml:space="preserve">University of Baghdad, College of Medicine, Iraq, </w:t>
      </w:r>
      <w:r w:rsidRPr="00656AB3">
        <w:rPr>
          <w:rFonts w:ascii="Times New Roman" w:hAnsi="Times New Roman" w:cs="Times New Roman"/>
          <w:vertAlign w:val="superscript"/>
        </w:rPr>
        <w:t>36</w:t>
      </w:r>
      <w:r w:rsidRPr="00656AB3">
        <w:rPr>
          <w:rFonts w:ascii="Times New Roman" w:hAnsi="Times New Roman" w:cs="Times New Roman"/>
        </w:rPr>
        <w:t xml:space="preserve">Department of Public Health and Informatics, Jahangirnagar University, Savar, Dhaka-1342, Bangladesh, </w:t>
      </w:r>
      <w:r w:rsidRPr="00656AB3">
        <w:rPr>
          <w:rFonts w:ascii="Times New Roman" w:hAnsi="Times New Roman" w:cs="Times New Roman"/>
          <w:vertAlign w:val="superscript"/>
        </w:rPr>
        <w:t>37</w:t>
      </w:r>
      <w:r w:rsidRPr="00656AB3">
        <w:rPr>
          <w:rFonts w:ascii="Times New Roman" w:hAnsi="Times New Roman" w:cs="Times New Roman"/>
        </w:rPr>
        <w:t xml:space="preserve">Centre for Advanced Research Excellence in Public Health, Dhaka-1342, Bangladesh, </w:t>
      </w:r>
      <w:r w:rsidRPr="00656AB3">
        <w:rPr>
          <w:rFonts w:ascii="Times New Roman" w:hAnsi="Times New Roman" w:cs="Times New Roman"/>
          <w:vertAlign w:val="superscript"/>
        </w:rPr>
        <w:t>38</w:t>
      </w:r>
      <w:r w:rsidRPr="00656AB3">
        <w:rPr>
          <w:rFonts w:ascii="Times New Roman" w:hAnsi="Times New Roman" w:cs="Times New Roman"/>
        </w:rPr>
        <w:t xml:space="preserve">Universidad </w:t>
      </w:r>
      <w:proofErr w:type="spellStart"/>
      <w:r w:rsidRPr="00656AB3">
        <w:rPr>
          <w:rFonts w:ascii="Times New Roman" w:hAnsi="Times New Roman" w:cs="Times New Roman"/>
        </w:rPr>
        <w:t>Pedagógca</w:t>
      </w:r>
      <w:proofErr w:type="spellEnd"/>
      <w:r w:rsidRPr="00656AB3">
        <w:rPr>
          <w:rFonts w:ascii="Times New Roman" w:hAnsi="Times New Roman" w:cs="Times New Roman"/>
        </w:rPr>
        <w:t xml:space="preserve"> y </w:t>
      </w:r>
      <w:proofErr w:type="spellStart"/>
      <w:r w:rsidRPr="00656AB3">
        <w:rPr>
          <w:rFonts w:ascii="Times New Roman" w:hAnsi="Times New Roman" w:cs="Times New Roman"/>
        </w:rPr>
        <w:t>Tecnológica</w:t>
      </w:r>
      <w:proofErr w:type="spellEnd"/>
      <w:r w:rsidRPr="00656AB3">
        <w:rPr>
          <w:rFonts w:ascii="Times New Roman" w:hAnsi="Times New Roman" w:cs="Times New Roman"/>
        </w:rPr>
        <w:t xml:space="preserve"> de Colombia, Colombia, </w:t>
      </w:r>
      <w:r w:rsidRPr="00656AB3">
        <w:rPr>
          <w:rFonts w:ascii="Times New Roman" w:hAnsi="Times New Roman" w:cs="Times New Roman"/>
          <w:vertAlign w:val="superscript"/>
        </w:rPr>
        <w:t>39</w:t>
      </w:r>
      <w:r w:rsidRPr="00656AB3">
        <w:rPr>
          <w:rFonts w:ascii="Times New Roman" w:hAnsi="Times New Roman" w:cs="Times New Roman"/>
        </w:rPr>
        <w:t xml:space="preserve">Grupo de </w:t>
      </w:r>
      <w:proofErr w:type="spellStart"/>
      <w:r w:rsidRPr="00656AB3">
        <w:rPr>
          <w:rFonts w:ascii="Times New Roman" w:hAnsi="Times New Roman" w:cs="Times New Roman"/>
        </w:rPr>
        <w:t>Investigación</w:t>
      </w:r>
      <w:proofErr w:type="spellEnd"/>
      <w:r w:rsidRPr="00656AB3">
        <w:rPr>
          <w:rFonts w:ascii="Times New Roman" w:hAnsi="Times New Roman" w:cs="Times New Roman"/>
        </w:rPr>
        <w:t xml:space="preserve"> </w:t>
      </w:r>
      <w:proofErr w:type="spellStart"/>
      <w:r w:rsidRPr="00656AB3">
        <w:rPr>
          <w:rFonts w:ascii="Times New Roman" w:hAnsi="Times New Roman" w:cs="Times New Roman"/>
        </w:rPr>
        <w:t>Biomédica</w:t>
      </w:r>
      <w:proofErr w:type="spellEnd"/>
      <w:r w:rsidRPr="00656AB3">
        <w:rPr>
          <w:rFonts w:ascii="Times New Roman" w:hAnsi="Times New Roman" w:cs="Times New Roman"/>
        </w:rPr>
        <w:t xml:space="preserve"> y de </w:t>
      </w:r>
      <w:proofErr w:type="spellStart"/>
      <w:r w:rsidRPr="00656AB3">
        <w:rPr>
          <w:rFonts w:ascii="Times New Roman" w:hAnsi="Times New Roman" w:cs="Times New Roman"/>
        </w:rPr>
        <w:t>Patología</w:t>
      </w:r>
      <w:proofErr w:type="spellEnd"/>
      <w:r w:rsidRPr="00656AB3">
        <w:rPr>
          <w:rFonts w:ascii="Times New Roman" w:hAnsi="Times New Roman" w:cs="Times New Roman"/>
        </w:rPr>
        <w:t xml:space="preserve">, Colombia, </w:t>
      </w:r>
      <w:r w:rsidRPr="00656AB3">
        <w:rPr>
          <w:rFonts w:ascii="Times New Roman" w:hAnsi="Times New Roman" w:cs="Times New Roman"/>
          <w:vertAlign w:val="superscript"/>
        </w:rPr>
        <w:t>40</w:t>
      </w:r>
      <w:r w:rsidRPr="00656AB3">
        <w:rPr>
          <w:rFonts w:ascii="Times New Roman" w:hAnsi="Times New Roman" w:cs="Times New Roman"/>
        </w:rPr>
        <w:t xml:space="preserve">Department of Psychology, Humanities and Social Sciences, University of Zagreb, Croatia, </w:t>
      </w:r>
      <w:r w:rsidRPr="00656AB3">
        <w:rPr>
          <w:rFonts w:ascii="Times New Roman" w:hAnsi="Times New Roman" w:cs="Times New Roman"/>
          <w:vertAlign w:val="superscript"/>
        </w:rPr>
        <w:t>41</w:t>
      </w:r>
      <w:r w:rsidRPr="00656AB3">
        <w:rPr>
          <w:rFonts w:ascii="Times New Roman" w:hAnsi="Times New Roman" w:cs="Times New Roman"/>
        </w:rPr>
        <w:t xml:space="preserve">Department of Educational Psychology and Psychology of Health, Pavol Jozef Safarik University in Kosice, Slovakia, </w:t>
      </w:r>
      <w:r w:rsidRPr="00656AB3">
        <w:rPr>
          <w:rFonts w:ascii="Times New Roman" w:hAnsi="Times New Roman" w:cs="Times New Roman"/>
          <w:vertAlign w:val="superscript"/>
        </w:rPr>
        <w:t>42</w:t>
      </w:r>
      <w:r w:rsidRPr="00656AB3">
        <w:rPr>
          <w:rFonts w:ascii="Times New Roman" w:hAnsi="Times New Roman" w:cs="Times New Roman"/>
        </w:rPr>
        <w:t xml:space="preserve">School of Psychology, University of Southampton, United Kingdom, </w:t>
      </w:r>
      <w:r w:rsidRPr="00656AB3">
        <w:rPr>
          <w:rFonts w:ascii="Times New Roman" w:hAnsi="Times New Roman" w:cs="Times New Roman"/>
          <w:vertAlign w:val="superscript"/>
        </w:rPr>
        <w:t>43</w:t>
      </w:r>
      <w:r w:rsidRPr="00656AB3">
        <w:rPr>
          <w:rFonts w:ascii="Times New Roman" w:hAnsi="Times New Roman" w:cs="Times New Roman"/>
        </w:rPr>
        <w:t xml:space="preserve">Health Promotion Research Centre, University of Galway, Ireland, </w:t>
      </w:r>
      <w:r w:rsidRPr="00656AB3">
        <w:rPr>
          <w:rFonts w:ascii="Times New Roman" w:hAnsi="Times New Roman" w:cs="Times New Roman"/>
          <w:vertAlign w:val="superscript"/>
        </w:rPr>
        <w:t>44</w:t>
      </w:r>
      <w:r w:rsidRPr="00656AB3">
        <w:rPr>
          <w:rFonts w:ascii="Times New Roman" w:hAnsi="Times New Roman" w:cs="Times New Roman"/>
        </w:rPr>
        <w:t xml:space="preserve">Department of Psychiatry, </w:t>
      </w:r>
      <w:proofErr w:type="spellStart"/>
      <w:r w:rsidRPr="00656AB3">
        <w:rPr>
          <w:rFonts w:ascii="Times New Roman" w:hAnsi="Times New Roman" w:cs="Times New Roman"/>
        </w:rPr>
        <w:t>Hallym</w:t>
      </w:r>
      <w:proofErr w:type="spellEnd"/>
      <w:r w:rsidRPr="00656AB3">
        <w:rPr>
          <w:rFonts w:ascii="Times New Roman" w:hAnsi="Times New Roman" w:cs="Times New Roman"/>
        </w:rPr>
        <w:t xml:space="preserve"> University </w:t>
      </w:r>
      <w:proofErr w:type="spellStart"/>
      <w:r w:rsidRPr="00656AB3">
        <w:rPr>
          <w:rFonts w:ascii="Times New Roman" w:hAnsi="Times New Roman" w:cs="Times New Roman"/>
        </w:rPr>
        <w:t>Chuncheon</w:t>
      </w:r>
      <w:proofErr w:type="spellEnd"/>
      <w:r w:rsidRPr="00656AB3">
        <w:rPr>
          <w:rFonts w:ascii="Times New Roman" w:hAnsi="Times New Roman" w:cs="Times New Roman"/>
        </w:rPr>
        <w:t xml:space="preserve"> Sacred Heart Hospital, South Korea, </w:t>
      </w:r>
      <w:r w:rsidRPr="00656AB3">
        <w:rPr>
          <w:rFonts w:ascii="Times New Roman" w:hAnsi="Times New Roman" w:cs="Times New Roman"/>
          <w:vertAlign w:val="superscript"/>
        </w:rPr>
        <w:t>45</w:t>
      </w:r>
      <w:r w:rsidRPr="00656AB3">
        <w:rPr>
          <w:rFonts w:ascii="Times New Roman" w:hAnsi="Times New Roman" w:cs="Times New Roman"/>
        </w:rPr>
        <w:t xml:space="preserve">Chuncheon Addiction Management Center, South Korea, </w:t>
      </w:r>
      <w:r w:rsidRPr="00656AB3">
        <w:rPr>
          <w:rFonts w:ascii="Times New Roman" w:hAnsi="Times New Roman" w:cs="Times New Roman"/>
          <w:vertAlign w:val="superscript"/>
        </w:rPr>
        <w:t>46</w:t>
      </w:r>
      <w:r w:rsidRPr="00656AB3">
        <w:rPr>
          <w:rFonts w:ascii="Times New Roman" w:hAnsi="Times New Roman" w:cs="Times New Roman"/>
        </w:rPr>
        <w:t xml:space="preserve">Institute of Psychology, Cardinal Stefan Wyszynski University, Warsaw, Poland, </w:t>
      </w:r>
      <w:r w:rsidRPr="00656AB3">
        <w:rPr>
          <w:rFonts w:ascii="Times New Roman" w:hAnsi="Times New Roman" w:cs="Times New Roman"/>
          <w:vertAlign w:val="superscript"/>
        </w:rPr>
        <w:t>47</w:t>
      </w:r>
      <w:r w:rsidRPr="00656AB3">
        <w:rPr>
          <w:rFonts w:ascii="Times New Roman" w:hAnsi="Times New Roman" w:cs="Times New Roman"/>
        </w:rPr>
        <w:t xml:space="preserve">Institute of Allied Health Sciences, College of Medicine, National Cheng Kung University, Tainan, Taiwan, </w:t>
      </w:r>
      <w:r w:rsidRPr="00656AB3">
        <w:rPr>
          <w:rFonts w:ascii="Times New Roman" w:hAnsi="Times New Roman" w:cs="Times New Roman"/>
          <w:vertAlign w:val="superscript"/>
        </w:rPr>
        <w:t>48</w:t>
      </w:r>
      <w:r w:rsidRPr="00656AB3">
        <w:rPr>
          <w:rFonts w:ascii="Times New Roman" w:hAnsi="Times New Roman" w:cs="Times New Roman"/>
        </w:rPr>
        <w:t xml:space="preserve">Biostatistics Consulting Center, National Cheng Kung University Hospital, College of Medicine, National Cheng Kung University, Tainan, Taiwan, </w:t>
      </w:r>
      <w:r w:rsidRPr="00656AB3">
        <w:rPr>
          <w:rFonts w:ascii="Times New Roman" w:hAnsi="Times New Roman" w:cs="Times New Roman"/>
          <w:vertAlign w:val="superscript"/>
        </w:rPr>
        <w:t>49</w:t>
      </w:r>
      <w:r w:rsidRPr="00656AB3">
        <w:rPr>
          <w:rFonts w:ascii="Times New Roman" w:hAnsi="Times New Roman" w:cs="Times New Roman"/>
        </w:rPr>
        <w:t xml:space="preserve">SAMRC Unit on Risk &amp; Resilience in Mental Disorders, Stellenbosch University, South Africa, </w:t>
      </w:r>
      <w:r w:rsidRPr="00656AB3">
        <w:rPr>
          <w:rFonts w:ascii="Times New Roman" w:hAnsi="Times New Roman" w:cs="Times New Roman"/>
          <w:vertAlign w:val="superscript"/>
        </w:rPr>
        <w:t>50</w:t>
      </w:r>
      <w:r w:rsidRPr="00656AB3">
        <w:rPr>
          <w:rFonts w:ascii="Times New Roman" w:hAnsi="Times New Roman" w:cs="Times New Roman"/>
        </w:rPr>
        <w:t xml:space="preserve">University of Cuenca, Ecuador, </w:t>
      </w:r>
      <w:r w:rsidRPr="00656AB3">
        <w:rPr>
          <w:rFonts w:ascii="Times New Roman" w:hAnsi="Times New Roman" w:cs="Times New Roman"/>
          <w:vertAlign w:val="superscript"/>
        </w:rPr>
        <w:t>51</w:t>
      </w:r>
      <w:r w:rsidRPr="00656AB3">
        <w:rPr>
          <w:rFonts w:ascii="Times New Roman" w:hAnsi="Times New Roman" w:cs="Times New Roman"/>
        </w:rPr>
        <w:t xml:space="preserve">Charles University, Faculty of Education, Department of Psychology, Prague, Czech Republic, </w:t>
      </w:r>
      <w:r w:rsidRPr="00656AB3">
        <w:rPr>
          <w:rFonts w:ascii="Times New Roman" w:hAnsi="Times New Roman" w:cs="Times New Roman"/>
          <w:vertAlign w:val="superscript"/>
        </w:rPr>
        <w:t>52</w:t>
      </w:r>
      <w:r w:rsidRPr="00656AB3">
        <w:rPr>
          <w:rFonts w:ascii="Times New Roman" w:hAnsi="Times New Roman" w:cs="Times New Roman"/>
        </w:rPr>
        <w:t xml:space="preserve">Facultad de Medicina, </w:t>
      </w:r>
      <w:r w:rsidRPr="00656AB3">
        <w:rPr>
          <w:rFonts w:ascii="Times New Roman" w:hAnsi="Times New Roman" w:cs="Times New Roman"/>
        </w:rPr>
        <w:lastRenderedPageBreak/>
        <w:t xml:space="preserve">Universidad </w:t>
      </w:r>
      <w:proofErr w:type="spellStart"/>
      <w:r w:rsidRPr="00656AB3">
        <w:rPr>
          <w:rFonts w:ascii="Times New Roman" w:hAnsi="Times New Roman" w:cs="Times New Roman"/>
        </w:rPr>
        <w:t>Científica</w:t>
      </w:r>
      <w:proofErr w:type="spellEnd"/>
      <w:r w:rsidRPr="00656AB3">
        <w:rPr>
          <w:rFonts w:ascii="Times New Roman" w:hAnsi="Times New Roman" w:cs="Times New Roman"/>
        </w:rPr>
        <w:t xml:space="preserve"> del Sur, Lima, Perú, </w:t>
      </w:r>
      <w:r w:rsidRPr="00656AB3">
        <w:rPr>
          <w:rFonts w:ascii="Times New Roman" w:hAnsi="Times New Roman" w:cs="Times New Roman"/>
          <w:vertAlign w:val="superscript"/>
        </w:rPr>
        <w:t>53</w:t>
      </w:r>
      <w:r w:rsidRPr="00656AB3">
        <w:rPr>
          <w:rFonts w:ascii="Times New Roman" w:hAnsi="Times New Roman" w:cs="Times New Roman"/>
        </w:rPr>
        <w:t xml:space="preserve">College of Healthcare Sciences, James Cook University, Australia, </w:t>
      </w:r>
      <w:r w:rsidRPr="00656AB3">
        <w:rPr>
          <w:rFonts w:ascii="Times New Roman" w:hAnsi="Times New Roman" w:cs="Times New Roman"/>
          <w:vertAlign w:val="superscript"/>
        </w:rPr>
        <w:t>54</w:t>
      </w:r>
      <w:r w:rsidRPr="00656AB3">
        <w:rPr>
          <w:rFonts w:ascii="Times New Roman" w:hAnsi="Times New Roman" w:cs="Times New Roman"/>
        </w:rPr>
        <w:t xml:space="preserve">Pavol Jozef Safarik University in Kosice, Department of Educational Psychology and Psychology of Health, Slovakia, </w:t>
      </w:r>
      <w:r w:rsidRPr="00656AB3">
        <w:rPr>
          <w:rFonts w:ascii="Times New Roman" w:hAnsi="Times New Roman" w:cs="Times New Roman"/>
          <w:vertAlign w:val="superscript"/>
        </w:rPr>
        <w:t>55</w:t>
      </w:r>
      <w:r w:rsidRPr="00656AB3">
        <w:rPr>
          <w:rFonts w:ascii="Times New Roman" w:hAnsi="Times New Roman" w:cs="Times New Roman"/>
        </w:rPr>
        <w:t xml:space="preserve">Artois University, France, </w:t>
      </w:r>
      <w:r w:rsidRPr="00656AB3">
        <w:rPr>
          <w:rFonts w:ascii="Times New Roman" w:hAnsi="Times New Roman" w:cs="Times New Roman"/>
          <w:vertAlign w:val="superscript"/>
        </w:rPr>
        <w:t>56</w:t>
      </w:r>
      <w:r w:rsidRPr="00656AB3">
        <w:rPr>
          <w:rFonts w:ascii="Times New Roman" w:hAnsi="Times New Roman" w:cs="Times New Roman"/>
        </w:rPr>
        <w:t xml:space="preserve">Department of Psychology, Sungkyunkwan University, South Korea, </w:t>
      </w:r>
      <w:r w:rsidRPr="00656AB3">
        <w:rPr>
          <w:rFonts w:ascii="Times New Roman" w:hAnsi="Times New Roman" w:cs="Times New Roman"/>
          <w:vertAlign w:val="superscript"/>
        </w:rPr>
        <w:t>57</w:t>
      </w:r>
      <w:r w:rsidRPr="00656AB3">
        <w:rPr>
          <w:rFonts w:ascii="Times New Roman" w:hAnsi="Times New Roman" w:cs="Times New Roman"/>
        </w:rPr>
        <w:t xml:space="preserve">Facultad de </w:t>
      </w:r>
      <w:proofErr w:type="spellStart"/>
      <w:r w:rsidRPr="00656AB3">
        <w:rPr>
          <w:rFonts w:ascii="Times New Roman" w:hAnsi="Times New Roman" w:cs="Times New Roman"/>
        </w:rPr>
        <w:t>Psicología</w:t>
      </w:r>
      <w:proofErr w:type="spellEnd"/>
      <w:r w:rsidRPr="00656AB3">
        <w:rPr>
          <w:rFonts w:ascii="Times New Roman" w:hAnsi="Times New Roman" w:cs="Times New Roman"/>
        </w:rPr>
        <w:t xml:space="preserve">, Universidad de Talca, Chile, </w:t>
      </w:r>
      <w:r w:rsidRPr="00656AB3">
        <w:rPr>
          <w:rFonts w:ascii="Times New Roman" w:hAnsi="Times New Roman" w:cs="Times New Roman"/>
          <w:vertAlign w:val="superscript"/>
        </w:rPr>
        <w:t>58</w:t>
      </w:r>
      <w:r w:rsidRPr="00656AB3">
        <w:rPr>
          <w:rFonts w:ascii="Times New Roman" w:hAnsi="Times New Roman" w:cs="Times New Roman"/>
        </w:rPr>
        <w:t xml:space="preserve">Departamento de </w:t>
      </w:r>
      <w:proofErr w:type="spellStart"/>
      <w:r w:rsidRPr="00656AB3">
        <w:rPr>
          <w:rFonts w:ascii="Times New Roman" w:hAnsi="Times New Roman" w:cs="Times New Roman"/>
        </w:rPr>
        <w:t>Psicología</w:t>
      </w:r>
      <w:proofErr w:type="spellEnd"/>
      <w:r w:rsidRPr="00656AB3">
        <w:rPr>
          <w:rFonts w:ascii="Times New Roman" w:hAnsi="Times New Roman" w:cs="Times New Roman"/>
        </w:rPr>
        <w:t xml:space="preserve"> y </w:t>
      </w:r>
      <w:proofErr w:type="spellStart"/>
      <w:r w:rsidRPr="00656AB3">
        <w:rPr>
          <w:rFonts w:ascii="Times New Roman" w:hAnsi="Times New Roman" w:cs="Times New Roman"/>
        </w:rPr>
        <w:t>Filosofía</w:t>
      </w:r>
      <w:proofErr w:type="spellEnd"/>
      <w:r w:rsidRPr="00656AB3">
        <w:rPr>
          <w:rFonts w:ascii="Times New Roman" w:hAnsi="Times New Roman" w:cs="Times New Roman"/>
        </w:rPr>
        <w:t xml:space="preserve">, </w:t>
      </w:r>
      <w:proofErr w:type="spellStart"/>
      <w:r w:rsidRPr="00656AB3">
        <w:rPr>
          <w:rFonts w:ascii="Times New Roman" w:hAnsi="Times New Roman" w:cs="Times New Roman"/>
        </w:rPr>
        <w:t>Facultad</w:t>
      </w:r>
      <w:proofErr w:type="spellEnd"/>
      <w:r w:rsidRPr="00656AB3">
        <w:rPr>
          <w:rFonts w:ascii="Times New Roman" w:hAnsi="Times New Roman" w:cs="Times New Roman"/>
        </w:rPr>
        <w:t xml:space="preserve"> de </w:t>
      </w:r>
      <w:proofErr w:type="spellStart"/>
      <w:r w:rsidRPr="00656AB3">
        <w:rPr>
          <w:rFonts w:ascii="Times New Roman" w:hAnsi="Times New Roman" w:cs="Times New Roman"/>
        </w:rPr>
        <w:t>Ciencias</w:t>
      </w:r>
      <w:proofErr w:type="spellEnd"/>
      <w:r w:rsidRPr="00656AB3">
        <w:rPr>
          <w:rFonts w:ascii="Times New Roman" w:hAnsi="Times New Roman" w:cs="Times New Roman"/>
        </w:rPr>
        <w:t xml:space="preserve"> </w:t>
      </w:r>
      <w:proofErr w:type="spellStart"/>
      <w:r w:rsidRPr="00656AB3">
        <w:rPr>
          <w:rFonts w:ascii="Times New Roman" w:hAnsi="Times New Roman" w:cs="Times New Roman"/>
        </w:rPr>
        <w:t>Sociales</w:t>
      </w:r>
      <w:proofErr w:type="spellEnd"/>
      <w:r w:rsidRPr="00656AB3">
        <w:rPr>
          <w:rFonts w:ascii="Times New Roman" w:hAnsi="Times New Roman" w:cs="Times New Roman"/>
        </w:rPr>
        <w:t xml:space="preserve">, Universidad de Tarapacá, Arica, Arica y </w:t>
      </w:r>
      <w:proofErr w:type="spellStart"/>
      <w:r w:rsidRPr="00656AB3">
        <w:rPr>
          <w:rFonts w:ascii="Times New Roman" w:hAnsi="Times New Roman" w:cs="Times New Roman"/>
        </w:rPr>
        <w:t>Parinacota</w:t>
      </w:r>
      <w:proofErr w:type="spellEnd"/>
      <w:r w:rsidRPr="00656AB3">
        <w:rPr>
          <w:rFonts w:ascii="Times New Roman" w:hAnsi="Times New Roman" w:cs="Times New Roman"/>
        </w:rPr>
        <w:t xml:space="preserve">, Chile, </w:t>
      </w:r>
      <w:r w:rsidRPr="00656AB3">
        <w:rPr>
          <w:rFonts w:ascii="Times New Roman" w:hAnsi="Times New Roman" w:cs="Times New Roman"/>
          <w:vertAlign w:val="superscript"/>
        </w:rPr>
        <w:t>59</w:t>
      </w:r>
      <w:r w:rsidRPr="00656AB3">
        <w:rPr>
          <w:rFonts w:ascii="Times New Roman" w:hAnsi="Times New Roman" w:cs="Times New Roman"/>
        </w:rPr>
        <w:t xml:space="preserve">Florida State University, Republic of Panama, </w:t>
      </w:r>
      <w:r w:rsidRPr="00656AB3">
        <w:rPr>
          <w:rFonts w:ascii="Times New Roman" w:hAnsi="Times New Roman" w:cs="Times New Roman"/>
          <w:vertAlign w:val="superscript"/>
        </w:rPr>
        <w:t>60</w:t>
      </w:r>
      <w:r w:rsidRPr="00656AB3">
        <w:rPr>
          <w:rFonts w:ascii="Times New Roman" w:hAnsi="Times New Roman" w:cs="Times New Roman"/>
        </w:rPr>
        <w:t xml:space="preserve">Sistema Nacional de </w:t>
      </w:r>
      <w:proofErr w:type="spellStart"/>
      <w:r w:rsidRPr="00656AB3">
        <w:rPr>
          <w:rFonts w:ascii="Times New Roman" w:hAnsi="Times New Roman" w:cs="Times New Roman"/>
        </w:rPr>
        <w:t>Investigación</w:t>
      </w:r>
      <w:proofErr w:type="spellEnd"/>
      <w:r w:rsidRPr="00656AB3">
        <w:rPr>
          <w:rFonts w:ascii="Times New Roman" w:hAnsi="Times New Roman" w:cs="Times New Roman"/>
        </w:rPr>
        <w:t xml:space="preserve"> (SNI), SENACYT, Panama, </w:t>
      </w:r>
      <w:r w:rsidRPr="00656AB3">
        <w:rPr>
          <w:rFonts w:ascii="Times New Roman" w:hAnsi="Times New Roman" w:cs="Times New Roman"/>
          <w:vertAlign w:val="superscript"/>
        </w:rPr>
        <w:t>61</w:t>
      </w:r>
      <w:r w:rsidRPr="00656AB3">
        <w:rPr>
          <w:rFonts w:ascii="Times New Roman" w:hAnsi="Times New Roman" w:cs="Times New Roman"/>
        </w:rPr>
        <w:t xml:space="preserve">Facultad de </w:t>
      </w:r>
      <w:proofErr w:type="spellStart"/>
      <w:r w:rsidRPr="00656AB3">
        <w:rPr>
          <w:rFonts w:ascii="Times New Roman" w:hAnsi="Times New Roman" w:cs="Times New Roman"/>
        </w:rPr>
        <w:t>Ciencias</w:t>
      </w:r>
      <w:proofErr w:type="spellEnd"/>
      <w:r w:rsidRPr="00656AB3">
        <w:rPr>
          <w:rFonts w:ascii="Times New Roman" w:hAnsi="Times New Roman" w:cs="Times New Roman"/>
        </w:rPr>
        <w:t xml:space="preserve"> de la Salud, Universidad </w:t>
      </w:r>
      <w:proofErr w:type="spellStart"/>
      <w:r w:rsidRPr="00656AB3">
        <w:rPr>
          <w:rFonts w:ascii="Times New Roman" w:hAnsi="Times New Roman" w:cs="Times New Roman"/>
        </w:rPr>
        <w:t>Privada</w:t>
      </w:r>
      <w:proofErr w:type="spellEnd"/>
      <w:r w:rsidRPr="00656AB3">
        <w:rPr>
          <w:rFonts w:ascii="Times New Roman" w:hAnsi="Times New Roman" w:cs="Times New Roman"/>
        </w:rPr>
        <w:t xml:space="preserve"> del Norte, Lima, Perú, </w:t>
      </w:r>
      <w:r w:rsidRPr="00656AB3">
        <w:rPr>
          <w:rFonts w:ascii="Times New Roman" w:hAnsi="Times New Roman" w:cs="Times New Roman"/>
          <w:vertAlign w:val="superscript"/>
        </w:rPr>
        <w:t>62</w:t>
      </w:r>
      <w:r w:rsidRPr="00656AB3">
        <w:rPr>
          <w:rFonts w:ascii="Times New Roman" w:hAnsi="Times New Roman" w:cs="Times New Roman"/>
        </w:rPr>
        <w:t xml:space="preserve">Leuven School For Mass Communication, KU Leuven, Leuven, Belgium, </w:t>
      </w:r>
      <w:r w:rsidRPr="00656AB3">
        <w:rPr>
          <w:rFonts w:ascii="Times New Roman" w:hAnsi="Times New Roman" w:cs="Times New Roman"/>
          <w:vertAlign w:val="superscript"/>
        </w:rPr>
        <w:t>63</w:t>
      </w:r>
      <w:r w:rsidRPr="00656AB3">
        <w:rPr>
          <w:rFonts w:ascii="Times New Roman" w:hAnsi="Times New Roman" w:cs="Times New Roman"/>
        </w:rPr>
        <w:t xml:space="preserve">Department of Psychiatry, Schulich School of Medicine &amp; Dentistry, Western University, St. Joseph’s Health Care London and London Health Sciences Centre. London, Canada; Lawson Health Research Institute, London, Canada; </w:t>
      </w:r>
      <w:proofErr w:type="spellStart"/>
      <w:r w:rsidRPr="00656AB3">
        <w:rPr>
          <w:rFonts w:ascii="Times New Roman" w:hAnsi="Times New Roman" w:cs="Times New Roman"/>
        </w:rPr>
        <w:t>Departmento</w:t>
      </w:r>
      <w:proofErr w:type="spellEnd"/>
      <w:r w:rsidRPr="00656AB3">
        <w:rPr>
          <w:rFonts w:ascii="Times New Roman" w:hAnsi="Times New Roman" w:cs="Times New Roman"/>
        </w:rPr>
        <w:t xml:space="preserve"> e Instituto de </w:t>
      </w:r>
      <w:proofErr w:type="spellStart"/>
      <w:r w:rsidRPr="00656AB3">
        <w:rPr>
          <w:rFonts w:ascii="Times New Roman" w:hAnsi="Times New Roman" w:cs="Times New Roman"/>
        </w:rPr>
        <w:t>Psiquiatria</w:t>
      </w:r>
      <w:proofErr w:type="spellEnd"/>
      <w:r w:rsidRPr="00656AB3">
        <w:rPr>
          <w:rFonts w:ascii="Times New Roman" w:hAnsi="Times New Roman" w:cs="Times New Roman"/>
        </w:rPr>
        <w:t xml:space="preserve">, Hospital das Clinicas; and Experimental Pathophysiology Post Graduation Program, </w:t>
      </w:r>
      <w:proofErr w:type="spellStart"/>
      <w:r w:rsidRPr="00656AB3">
        <w:rPr>
          <w:rFonts w:ascii="Times New Roman" w:hAnsi="Times New Roman" w:cs="Times New Roman"/>
        </w:rPr>
        <w:t>Faculdade</w:t>
      </w:r>
      <w:proofErr w:type="spellEnd"/>
      <w:r w:rsidRPr="00656AB3">
        <w:rPr>
          <w:rFonts w:ascii="Times New Roman" w:hAnsi="Times New Roman" w:cs="Times New Roman"/>
        </w:rPr>
        <w:t xml:space="preserve"> de Medicina, </w:t>
      </w:r>
      <w:proofErr w:type="spellStart"/>
      <w:r w:rsidRPr="00656AB3">
        <w:rPr>
          <w:rFonts w:ascii="Times New Roman" w:hAnsi="Times New Roman" w:cs="Times New Roman"/>
        </w:rPr>
        <w:t>Universidade</w:t>
      </w:r>
      <w:proofErr w:type="spellEnd"/>
      <w:r w:rsidRPr="00656AB3">
        <w:rPr>
          <w:rFonts w:ascii="Times New Roman" w:hAnsi="Times New Roman" w:cs="Times New Roman"/>
        </w:rPr>
        <w:t xml:space="preserve"> de São Paulo, Brazil, </w:t>
      </w:r>
      <w:r w:rsidRPr="00656AB3">
        <w:rPr>
          <w:rFonts w:ascii="Times New Roman" w:hAnsi="Times New Roman" w:cs="Times New Roman"/>
          <w:vertAlign w:val="superscript"/>
        </w:rPr>
        <w:t>64</w:t>
      </w:r>
      <w:r w:rsidRPr="00656AB3">
        <w:rPr>
          <w:rFonts w:ascii="Times New Roman" w:hAnsi="Times New Roman" w:cs="Times New Roman"/>
        </w:rPr>
        <w:t xml:space="preserve">Universidad </w:t>
      </w:r>
      <w:proofErr w:type="spellStart"/>
      <w:r w:rsidRPr="00656AB3">
        <w:rPr>
          <w:rFonts w:ascii="Times New Roman" w:hAnsi="Times New Roman" w:cs="Times New Roman"/>
        </w:rPr>
        <w:t>Privada</w:t>
      </w:r>
      <w:proofErr w:type="spellEnd"/>
      <w:r w:rsidRPr="00656AB3">
        <w:rPr>
          <w:rFonts w:ascii="Times New Roman" w:hAnsi="Times New Roman" w:cs="Times New Roman"/>
        </w:rPr>
        <w:t xml:space="preserve"> de Santa Cruz de la Sierra, Bolivia, </w:t>
      </w:r>
      <w:r w:rsidRPr="00656AB3">
        <w:rPr>
          <w:rFonts w:ascii="Times New Roman" w:hAnsi="Times New Roman" w:cs="Times New Roman"/>
          <w:vertAlign w:val="superscript"/>
        </w:rPr>
        <w:t>65</w:t>
      </w:r>
      <w:r w:rsidRPr="00656AB3">
        <w:rPr>
          <w:rFonts w:ascii="Times New Roman" w:hAnsi="Times New Roman" w:cs="Times New Roman"/>
        </w:rPr>
        <w:t xml:space="preserve">Department of Psychiatry, All India Institute of Medical Sciences, New Delhi -110029, India, </w:t>
      </w:r>
      <w:r w:rsidRPr="00656AB3">
        <w:rPr>
          <w:rFonts w:ascii="Times New Roman" w:hAnsi="Times New Roman" w:cs="Times New Roman"/>
          <w:vertAlign w:val="superscript"/>
        </w:rPr>
        <w:t>66</w:t>
      </w:r>
      <w:r w:rsidRPr="00656AB3">
        <w:rPr>
          <w:rFonts w:ascii="Times New Roman" w:hAnsi="Times New Roman" w:cs="Times New Roman"/>
        </w:rPr>
        <w:t xml:space="preserve">Department of Neuropsychiatry, Graduate School of Medicine, Kyoto University, Kyoto, Japan, </w:t>
      </w:r>
      <w:r w:rsidRPr="00656AB3">
        <w:rPr>
          <w:rFonts w:ascii="Times New Roman" w:hAnsi="Times New Roman" w:cs="Times New Roman"/>
          <w:vertAlign w:val="superscript"/>
        </w:rPr>
        <w:t>67</w:t>
      </w:r>
      <w:r w:rsidRPr="00656AB3">
        <w:rPr>
          <w:rFonts w:ascii="Times New Roman" w:hAnsi="Times New Roman" w:cs="Times New Roman"/>
        </w:rPr>
        <w:t xml:space="preserve">Department of Psychology, Shardha University, India, </w:t>
      </w:r>
      <w:r w:rsidRPr="00656AB3">
        <w:rPr>
          <w:rFonts w:ascii="Times New Roman" w:hAnsi="Times New Roman" w:cs="Times New Roman"/>
          <w:vertAlign w:val="superscript"/>
        </w:rPr>
        <w:t>68</w:t>
      </w:r>
      <w:r w:rsidRPr="00656AB3">
        <w:rPr>
          <w:rFonts w:ascii="Times New Roman" w:hAnsi="Times New Roman" w:cs="Times New Roman"/>
        </w:rPr>
        <w:t xml:space="preserve">Institute of Legal Psychiatry, Lausanne University Hospitals (CHUV), Lausanne, Switzerland, </w:t>
      </w:r>
      <w:r w:rsidRPr="00656AB3">
        <w:rPr>
          <w:rFonts w:ascii="Times New Roman" w:hAnsi="Times New Roman" w:cs="Times New Roman"/>
          <w:vertAlign w:val="superscript"/>
        </w:rPr>
        <w:t>69</w:t>
      </w:r>
      <w:r w:rsidRPr="00656AB3">
        <w:rPr>
          <w:rFonts w:ascii="Times New Roman" w:hAnsi="Times New Roman" w:cs="Times New Roman"/>
        </w:rPr>
        <w:t xml:space="preserve">Auckland University of Technology, New Zealand, </w:t>
      </w:r>
      <w:r w:rsidRPr="00656AB3">
        <w:rPr>
          <w:rFonts w:ascii="Times New Roman" w:hAnsi="Times New Roman" w:cs="Times New Roman"/>
          <w:vertAlign w:val="superscript"/>
        </w:rPr>
        <w:t>70</w:t>
      </w:r>
      <w:r w:rsidRPr="00656AB3">
        <w:rPr>
          <w:rFonts w:ascii="Times New Roman" w:hAnsi="Times New Roman" w:cs="Times New Roman"/>
        </w:rPr>
        <w:t xml:space="preserve">Faculty of Philosophy, Ss. Cyril and Methodius University, </w:t>
      </w:r>
      <w:r w:rsidRPr="00656AB3">
        <w:rPr>
          <w:rFonts w:ascii="Times New Roman" w:hAnsi="Times New Roman" w:cs="Times New Roman"/>
          <w:vertAlign w:val="superscript"/>
        </w:rPr>
        <w:t>71</w:t>
      </w:r>
      <w:r w:rsidRPr="00656AB3">
        <w:rPr>
          <w:rFonts w:ascii="Times New Roman" w:hAnsi="Times New Roman" w:cs="Times New Roman"/>
        </w:rPr>
        <w:t xml:space="preserve">Laboratory of Behavioral Medicine, Neuroscience Institute, Lithuanian University of Health sciences, Lithuania, </w:t>
      </w:r>
      <w:r w:rsidRPr="00656AB3">
        <w:rPr>
          <w:rFonts w:ascii="Times New Roman" w:hAnsi="Times New Roman" w:cs="Times New Roman"/>
          <w:vertAlign w:val="superscript"/>
        </w:rPr>
        <w:t>72</w:t>
      </w:r>
      <w:r w:rsidRPr="00656AB3">
        <w:rPr>
          <w:rFonts w:ascii="Times New Roman" w:hAnsi="Times New Roman" w:cs="Times New Roman"/>
        </w:rPr>
        <w:t xml:space="preserve">SAMRC Unit on Risk &amp; Resilience in Mental Disorders, Dept of Psychiatry &amp; Neuroscience Institute, University of Cape Town, </w:t>
      </w:r>
      <w:r w:rsidRPr="00656AB3">
        <w:rPr>
          <w:rFonts w:ascii="Times New Roman" w:hAnsi="Times New Roman" w:cs="Times New Roman"/>
          <w:vertAlign w:val="superscript"/>
        </w:rPr>
        <w:t>73</w:t>
      </w:r>
      <w:r w:rsidRPr="00656AB3">
        <w:rPr>
          <w:rFonts w:ascii="Times New Roman" w:hAnsi="Times New Roman" w:cs="Times New Roman"/>
        </w:rPr>
        <w:t xml:space="preserve">Austrian Public Health Institute, Austria, </w:t>
      </w:r>
      <w:r w:rsidRPr="00656AB3">
        <w:rPr>
          <w:rFonts w:ascii="Times New Roman" w:hAnsi="Times New Roman" w:cs="Times New Roman"/>
          <w:vertAlign w:val="superscript"/>
        </w:rPr>
        <w:t>74</w:t>
      </w:r>
      <w:r w:rsidRPr="00656AB3">
        <w:rPr>
          <w:rFonts w:ascii="Times New Roman" w:hAnsi="Times New Roman" w:cs="Times New Roman"/>
        </w:rPr>
        <w:t xml:space="preserve">Department of Sociology, Faculty of Humanities and Social Sciences, University of Zagreb, Zagreb, Croatia, </w:t>
      </w:r>
      <w:r w:rsidRPr="00656AB3">
        <w:rPr>
          <w:rFonts w:ascii="Times New Roman" w:hAnsi="Times New Roman" w:cs="Times New Roman"/>
          <w:vertAlign w:val="superscript"/>
        </w:rPr>
        <w:t>75</w:t>
      </w:r>
      <w:r w:rsidRPr="00656AB3">
        <w:rPr>
          <w:rFonts w:ascii="Times New Roman" w:hAnsi="Times New Roman" w:cs="Times New Roman"/>
        </w:rPr>
        <w:t xml:space="preserve">Département de </w:t>
      </w:r>
      <w:proofErr w:type="spellStart"/>
      <w:r w:rsidRPr="00656AB3">
        <w:rPr>
          <w:rFonts w:ascii="Times New Roman" w:hAnsi="Times New Roman" w:cs="Times New Roman"/>
        </w:rPr>
        <w:t>Psychologie</w:t>
      </w:r>
      <w:proofErr w:type="spellEnd"/>
      <w:r w:rsidRPr="00656AB3">
        <w:rPr>
          <w:rFonts w:ascii="Times New Roman" w:hAnsi="Times New Roman" w:cs="Times New Roman"/>
        </w:rPr>
        <w:t xml:space="preserve">, Université du Québec à Trois-Rivières, Trois-Rivières, Canada, </w:t>
      </w:r>
      <w:r w:rsidRPr="00656AB3">
        <w:rPr>
          <w:rFonts w:ascii="Times New Roman" w:hAnsi="Times New Roman" w:cs="Times New Roman"/>
          <w:vertAlign w:val="superscript"/>
        </w:rPr>
        <w:t>76</w:t>
      </w:r>
      <w:r w:rsidRPr="00656AB3">
        <w:rPr>
          <w:rFonts w:ascii="Times New Roman" w:hAnsi="Times New Roman" w:cs="Times New Roman"/>
        </w:rPr>
        <w:t xml:space="preserve">Public Health Institute, Faculty of Health, Liverpool John </w:t>
      </w:r>
      <w:proofErr w:type="spellStart"/>
      <w:r w:rsidRPr="00656AB3">
        <w:rPr>
          <w:rFonts w:ascii="Times New Roman" w:hAnsi="Times New Roman" w:cs="Times New Roman"/>
        </w:rPr>
        <w:t>Moores</w:t>
      </w:r>
      <w:proofErr w:type="spellEnd"/>
      <w:r w:rsidRPr="00656AB3">
        <w:rPr>
          <w:rFonts w:ascii="Times New Roman" w:hAnsi="Times New Roman" w:cs="Times New Roman"/>
        </w:rPr>
        <w:t xml:space="preserve"> University, United Kingdom, </w:t>
      </w:r>
      <w:r w:rsidRPr="00656AB3">
        <w:rPr>
          <w:rFonts w:ascii="Times New Roman" w:hAnsi="Times New Roman" w:cs="Times New Roman"/>
          <w:vertAlign w:val="superscript"/>
        </w:rPr>
        <w:t>77</w:t>
      </w:r>
      <w:r w:rsidRPr="00656AB3">
        <w:rPr>
          <w:rFonts w:ascii="Times New Roman" w:hAnsi="Times New Roman" w:cs="Times New Roman"/>
        </w:rPr>
        <w:t xml:space="preserve">Département de </w:t>
      </w:r>
      <w:proofErr w:type="spellStart"/>
      <w:r w:rsidRPr="00656AB3">
        <w:rPr>
          <w:rFonts w:ascii="Times New Roman" w:hAnsi="Times New Roman" w:cs="Times New Roman"/>
        </w:rPr>
        <w:t>Psychologie</w:t>
      </w:r>
      <w:proofErr w:type="spellEnd"/>
      <w:r w:rsidRPr="00656AB3">
        <w:rPr>
          <w:rFonts w:ascii="Times New Roman" w:hAnsi="Times New Roman" w:cs="Times New Roman"/>
        </w:rPr>
        <w:t>, Université de Montréal, Montréal, Canada</w:t>
      </w:r>
    </w:p>
    <w:p w14:paraId="3C22C21F" w14:textId="77777777" w:rsidR="00494D70" w:rsidRPr="008726F8" w:rsidRDefault="00494D70" w:rsidP="00494D70">
      <w:pPr>
        <w:spacing w:after="0" w:line="480" w:lineRule="auto"/>
        <w:jc w:val="both"/>
        <w:rPr>
          <w:rFonts w:ascii="Times New Roman" w:eastAsia="Times New Roman" w:hAnsi="Times New Roman" w:cs="Times New Roman"/>
          <w:bCs/>
          <w:color w:val="000000"/>
          <w:sz w:val="24"/>
          <w:szCs w:val="24"/>
          <w:lang w:eastAsia="en-CA"/>
        </w:rPr>
      </w:pPr>
      <w:r w:rsidRPr="00ED3D1A">
        <w:rPr>
          <w:rFonts w:ascii="Times New Roman" w:hAnsi="Times New Roman" w:cs="Times New Roman"/>
          <w:vertAlign w:val="superscript"/>
        </w:rPr>
        <w:t>†</w:t>
      </w:r>
      <w:r w:rsidRPr="008726F8">
        <w:rPr>
          <w:rFonts w:ascii="Times New Roman" w:eastAsia="Times New Roman" w:hAnsi="Times New Roman" w:cs="Times New Roman"/>
          <w:bCs/>
          <w:color w:val="000000"/>
          <w:sz w:val="24"/>
          <w:szCs w:val="24"/>
          <w:lang w:eastAsia="en-CA"/>
        </w:rPr>
        <w:t xml:space="preserve">Corresponding author </w:t>
      </w:r>
    </w:p>
    <w:p w14:paraId="1C7DE672" w14:textId="77777777" w:rsidR="00494D70" w:rsidRPr="008726F8" w:rsidRDefault="00494D70" w:rsidP="00494D70">
      <w:pPr>
        <w:spacing w:after="0" w:line="480" w:lineRule="auto"/>
        <w:rPr>
          <w:rFonts w:ascii="Times New Roman" w:eastAsia="Times New Roman" w:hAnsi="Times New Roman" w:cs="Times New Roman"/>
          <w:bCs/>
          <w:color w:val="000000"/>
          <w:sz w:val="24"/>
          <w:szCs w:val="24"/>
          <w:lang w:eastAsia="en-CA"/>
        </w:rPr>
      </w:pPr>
      <w:r w:rsidRPr="008726F8">
        <w:rPr>
          <w:rFonts w:ascii="Times New Roman" w:eastAsia="Times New Roman" w:hAnsi="Times New Roman" w:cs="Times New Roman"/>
          <w:bCs/>
          <w:color w:val="000000"/>
          <w:sz w:val="24"/>
          <w:szCs w:val="24"/>
          <w:lang w:eastAsia="en-CA"/>
        </w:rPr>
        <w:t xml:space="preserve">Léna Nagy, M.A., </w:t>
      </w:r>
    </w:p>
    <w:p w14:paraId="24FE6C52" w14:textId="77777777" w:rsidR="00494D70" w:rsidRPr="008726F8" w:rsidRDefault="00494D70" w:rsidP="00494D70">
      <w:pPr>
        <w:spacing w:after="0" w:line="480" w:lineRule="auto"/>
        <w:rPr>
          <w:rFonts w:ascii="Times New Roman" w:eastAsia="Times New Roman" w:hAnsi="Times New Roman" w:cs="Times New Roman"/>
          <w:bCs/>
          <w:color w:val="000000"/>
          <w:sz w:val="24"/>
          <w:szCs w:val="24"/>
          <w:lang w:eastAsia="en-CA"/>
        </w:rPr>
      </w:pPr>
      <w:r w:rsidRPr="008726F8">
        <w:rPr>
          <w:rFonts w:ascii="Times New Roman" w:eastAsia="Times New Roman" w:hAnsi="Times New Roman" w:cs="Times New Roman"/>
          <w:bCs/>
          <w:color w:val="000000"/>
          <w:sz w:val="24"/>
          <w:szCs w:val="24"/>
          <w:lang w:eastAsia="en-CA"/>
        </w:rPr>
        <w:t>Doctoral School of Psychology, Department of Clinical Psychology and Addiction, ELTE Eötvös Loránd University, Izabella u. 46., 1064 Budapest, Hungary</w:t>
      </w:r>
    </w:p>
    <w:p w14:paraId="4F8E5583" w14:textId="77777777" w:rsidR="00494D70" w:rsidRPr="008726F8" w:rsidRDefault="00494D70" w:rsidP="00494D70">
      <w:pPr>
        <w:spacing w:after="0" w:line="480" w:lineRule="auto"/>
        <w:rPr>
          <w:rFonts w:ascii="Times New Roman" w:eastAsia="Times New Roman" w:hAnsi="Times New Roman" w:cs="Times New Roman"/>
          <w:bCs/>
          <w:color w:val="000000"/>
          <w:sz w:val="24"/>
          <w:szCs w:val="24"/>
          <w:lang w:eastAsia="en-CA"/>
        </w:rPr>
      </w:pPr>
      <w:r w:rsidRPr="008726F8">
        <w:rPr>
          <w:rFonts w:ascii="Times New Roman" w:eastAsia="Times New Roman" w:hAnsi="Times New Roman" w:cs="Times New Roman"/>
          <w:bCs/>
          <w:color w:val="000000"/>
          <w:sz w:val="24"/>
          <w:szCs w:val="24"/>
          <w:lang w:eastAsia="en-CA"/>
        </w:rPr>
        <w:t xml:space="preserve">E-mail: </w:t>
      </w:r>
      <w:hyperlink r:id="rId8" w:history="1">
        <w:r w:rsidRPr="008726F8">
          <w:rPr>
            <w:rStyle w:val="Hiperhivatkozs"/>
            <w:rFonts w:ascii="Times New Roman" w:eastAsia="Times New Roman" w:hAnsi="Times New Roman" w:cs="Times New Roman"/>
            <w:bCs/>
            <w:sz w:val="24"/>
            <w:szCs w:val="24"/>
            <w:lang w:eastAsia="en-CA"/>
          </w:rPr>
          <w:t>nagy.lena@ppk.elte.hu</w:t>
        </w:r>
      </w:hyperlink>
      <w:r w:rsidRPr="008726F8">
        <w:rPr>
          <w:rFonts w:ascii="Times New Roman" w:eastAsia="Times New Roman" w:hAnsi="Times New Roman" w:cs="Times New Roman"/>
          <w:bCs/>
          <w:color w:val="000000"/>
          <w:sz w:val="24"/>
          <w:szCs w:val="24"/>
          <w:lang w:eastAsia="en-CA"/>
        </w:rPr>
        <w:t xml:space="preserve">  </w:t>
      </w:r>
    </w:p>
    <w:p w14:paraId="2273669F" w14:textId="77777777" w:rsidR="00494D70" w:rsidRPr="008726F8" w:rsidRDefault="00494D70" w:rsidP="00494D70">
      <w:pPr>
        <w:spacing w:after="0" w:line="480" w:lineRule="auto"/>
        <w:rPr>
          <w:rFonts w:ascii="Times New Roman" w:eastAsia="Times New Roman" w:hAnsi="Times New Roman" w:cs="Times New Roman"/>
          <w:bCs/>
          <w:color w:val="000000"/>
          <w:sz w:val="24"/>
          <w:szCs w:val="24"/>
          <w:lang w:eastAsia="en-CA"/>
        </w:rPr>
      </w:pPr>
    </w:p>
    <w:p w14:paraId="4034A80B" w14:textId="77777777" w:rsidR="00494D70" w:rsidRPr="008726F8" w:rsidRDefault="00494D70" w:rsidP="00494D70">
      <w:pPr>
        <w:spacing w:after="0" w:line="480" w:lineRule="auto"/>
        <w:rPr>
          <w:rFonts w:ascii="Times New Roman" w:eastAsia="Times New Roman" w:hAnsi="Times New Roman" w:cs="Times New Roman"/>
          <w:bCs/>
          <w:color w:val="000000"/>
          <w:sz w:val="24"/>
          <w:szCs w:val="24"/>
          <w:lang w:eastAsia="en-CA"/>
        </w:rPr>
      </w:pPr>
      <w:r w:rsidRPr="008726F8">
        <w:rPr>
          <w:rFonts w:ascii="Times New Roman" w:eastAsia="Times New Roman" w:hAnsi="Times New Roman" w:cs="Times New Roman"/>
          <w:bCs/>
          <w:i/>
          <w:color w:val="000000"/>
          <w:sz w:val="24"/>
          <w:szCs w:val="24"/>
          <w:lang w:eastAsia="en-CA"/>
        </w:rPr>
        <w:t>Funding</w:t>
      </w:r>
      <w:r w:rsidRPr="008726F8">
        <w:rPr>
          <w:rFonts w:ascii="Times New Roman" w:eastAsia="Times New Roman" w:hAnsi="Times New Roman" w:cs="Times New Roman"/>
          <w:bCs/>
          <w:color w:val="000000"/>
          <w:sz w:val="24"/>
          <w:szCs w:val="24"/>
          <w:lang w:eastAsia="en-CA"/>
        </w:rPr>
        <w:t xml:space="preserve">: The research was supported by the Hungarian National Research, Development, and Innovation Office (Grant numbers: KKP126835). </w:t>
      </w:r>
      <w:r w:rsidRPr="00681245">
        <w:rPr>
          <w:rFonts w:ascii="Times New Roman" w:eastAsia="Times New Roman" w:hAnsi="Times New Roman" w:cs="Times New Roman"/>
          <w:bCs/>
          <w:color w:val="000000"/>
          <w:sz w:val="24"/>
          <w:szCs w:val="24"/>
          <w:lang w:eastAsia="en-CA"/>
        </w:rPr>
        <w:t xml:space="preserve">L.N. </w:t>
      </w:r>
      <w:r>
        <w:rPr>
          <w:rFonts w:ascii="Times New Roman" w:eastAsia="Times New Roman" w:hAnsi="Times New Roman" w:cs="Times New Roman"/>
          <w:bCs/>
          <w:color w:val="000000"/>
          <w:sz w:val="24"/>
          <w:szCs w:val="24"/>
          <w:lang w:eastAsia="en-CA"/>
        </w:rPr>
        <w:t>and M.K. were</w:t>
      </w:r>
      <w:r w:rsidRPr="00681245">
        <w:rPr>
          <w:rFonts w:ascii="Times New Roman" w:eastAsia="Times New Roman" w:hAnsi="Times New Roman" w:cs="Times New Roman"/>
          <w:bCs/>
          <w:color w:val="000000"/>
          <w:sz w:val="24"/>
          <w:szCs w:val="24"/>
          <w:lang w:eastAsia="en-CA"/>
        </w:rPr>
        <w:t xml:space="preserve"> supported by the ÚNKP-22-3 New National Excellence Program of the Ministry for Culture and Innovation from the source of the National Research, Development and Innovation Fund.;</w:t>
      </w:r>
      <w:r>
        <w:rPr>
          <w:rFonts w:ascii="Times New Roman" w:eastAsia="Times New Roman" w:hAnsi="Times New Roman" w:cs="Times New Roman"/>
          <w:bCs/>
          <w:color w:val="000000"/>
          <w:sz w:val="24"/>
          <w:szCs w:val="24"/>
          <w:lang w:eastAsia="en-CA"/>
        </w:rPr>
        <w:t xml:space="preserve"> </w:t>
      </w:r>
      <w:r w:rsidRPr="00681245">
        <w:rPr>
          <w:rFonts w:ascii="Times New Roman" w:eastAsia="Times New Roman" w:hAnsi="Times New Roman" w:cs="Times New Roman"/>
          <w:bCs/>
          <w:color w:val="000000"/>
          <w:sz w:val="24"/>
          <w:szCs w:val="24"/>
          <w:lang w:eastAsia="en-CA"/>
        </w:rPr>
        <w:t xml:space="preserve">S.W.K. was supported by </w:t>
      </w:r>
      <w:r w:rsidRPr="00681245">
        <w:rPr>
          <w:rFonts w:ascii="Times New Roman" w:eastAsia="Times New Roman" w:hAnsi="Times New Roman" w:cs="Times New Roman"/>
          <w:bCs/>
          <w:color w:val="000000"/>
          <w:sz w:val="24"/>
          <w:szCs w:val="24"/>
          <w:lang w:eastAsia="en-CA"/>
        </w:rPr>
        <w:lastRenderedPageBreak/>
        <w:t xml:space="preserve">SWK was supported by the </w:t>
      </w:r>
      <w:proofErr w:type="spellStart"/>
      <w:r w:rsidRPr="00681245">
        <w:rPr>
          <w:rFonts w:ascii="Times New Roman" w:eastAsia="Times New Roman" w:hAnsi="Times New Roman" w:cs="Times New Roman"/>
          <w:bCs/>
          <w:color w:val="000000"/>
          <w:sz w:val="24"/>
          <w:szCs w:val="24"/>
          <w:lang w:eastAsia="en-CA"/>
        </w:rPr>
        <w:t>Kindbridge</w:t>
      </w:r>
      <w:proofErr w:type="spellEnd"/>
      <w:r w:rsidRPr="00681245">
        <w:rPr>
          <w:rFonts w:ascii="Times New Roman" w:eastAsia="Times New Roman" w:hAnsi="Times New Roman" w:cs="Times New Roman"/>
          <w:bCs/>
          <w:color w:val="000000"/>
          <w:sz w:val="24"/>
          <w:szCs w:val="24"/>
          <w:lang w:eastAsia="en-CA"/>
        </w:rPr>
        <w:t xml:space="preserve"> Research Institute.; Z.D. was supported by ZD was supported by the Hungarian National Research, Development, and Innovation Office (Grant numbers: KKP126835)</w:t>
      </w:r>
      <w:r>
        <w:rPr>
          <w:rFonts w:ascii="Times New Roman" w:eastAsia="Times New Roman" w:hAnsi="Times New Roman" w:cs="Times New Roman"/>
          <w:bCs/>
          <w:color w:val="000000"/>
          <w:sz w:val="24"/>
          <w:szCs w:val="24"/>
          <w:lang w:eastAsia="en-CA"/>
        </w:rPr>
        <w:t>;</w:t>
      </w:r>
      <w:r w:rsidRPr="008761FE">
        <w:rPr>
          <w:rFonts w:ascii="Times New Roman" w:eastAsia="Times New Roman" w:hAnsi="Times New Roman" w:cs="Times New Roman"/>
          <w:bCs/>
          <w:color w:val="000000"/>
          <w:sz w:val="24"/>
          <w:szCs w:val="24"/>
          <w:lang w:eastAsia="en-CA"/>
        </w:rPr>
        <w:t xml:space="preserve"> </w:t>
      </w:r>
      <w:r>
        <w:rPr>
          <w:rFonts w:ascii="Times New Roman" w:eastAsia="Times New Roman" w:hAnsi="Times New Roman" w:cs="Times New Roman"/>
          <w:bCs/>
          <w:color w:val="000000"/>
          <w:sz w:val="24"/>
          <w:szCs w:val="24"/>
          <w:lang w:eastAsia="en-CA"/>
        </w:rPr>
        <w:t xml:space="preserve">MNP was supported by the Connecticut Council on Problem Gambling; </w:t>
      </w:r>
      <w:r w:rsidRPr="00681245">
        <w:rPr>
          <w:rFonts w:ascii="Times New Roman" w:eastAsia="Times New Roman" w:hAnsi="Times New Roman" w:cs="Times New Roman"/>
          <w:bCs/>
          <w:color w:val="000000"/>
          <w:sz w:val="24"/>
          <w:szCs w:val="24"/>
          <w:lang w:eastAsia="en-CA"/>
        </w:rPr>
        <w:t>C.-Y.L. was supported by the WUN Research Development Fund (RDF) 2021 and the Higher Education Sprout Project, the Ministry of Education at the Headquarters of University Advancement at the National Cheng Kung University (NCKU); C.L.</w:t>
      </w:r>
      <w:r>
        <w:rPr>
          <w:rFonts w:ascii="Times New Roman" w:eastAsia="Times New Roman" w:hAnsi="Times New Roman" w:cs="Times New Roman"/>
          <w:bCs/>
          <w:color w:val="000000"/>
          <w:sz w:val="24"/>
          <w:szCs w:val="24"/>
          <w:lang w:eastAsia="en-CA"/>
        </w:rPr>
        <w:t>, J. Billieux and D.J.S.</w:t>
      </w:r>
      <w:r w:rsidRPr="00681245">
        <w:rPr>
          <w:rFonts w:ascii="Times New Roman" w:eastAsia="Times New Roman" w:hAnsi="Times New Roman" w:cs="Times New Roman"/>
          <w:bCs/>
          <w:color w:val="000000"/>
          <w:sz w:val="24"/>
          <w:szCs w:val="24"/>
          <w:lang w:eastAsia="en-CA"/>
        </w:rPr>
        <w:t xml:space="preserve"> received support from the WUN Research Development Fund (RDF) 2021; G.O. was supported by the ANR grant of the </w:t>
      </w:r>
      <w:proofErr w:type="spellStart"/>
      <w:r w:rsidRPr="00681245">
        <w:rPr>
          <w:rFonts w:ascii="Times New Roman" w:eastAsia="Times New Roman" w:hAnsi="Times New Roman" w:cs="Times New Roman"/>
          <w:bCs/>
          <w:color w:val="000000"/>
          <w:sz w:val="24"/>
          <w:szCs w:val="24"/>
          <w:lang w:eastAsia="en-CA"/>
        </w:rPr>
        <w:t>Chaire</w:t>
      </w:r>
      <w:proofErr w:type="spellEnd"/>
      <w:r w:rsidRPr="00681245">
        <w:rPr>
          <w:rFonts w:ascii="Times New Roman" w:eastAsia="Times New Roman" w:hAnsi="Times New Roman" w:cs="Times New Roman"/>
          <w:bCs/>
          <w:color w:val="000000"/>
          <w:sz w:val="24"/>
          <w:szCs w:val="24"/>
          <w:lang w:eastAsia="en-CA"/>
        </w:rPr>
        <w:t xml:space="preserve"> </w:t>
      </w:r>
      <w:proofErr w:type="spellStart"/>
      <w:r w:rsidRPr="00681245">
        <w:rPr>
          <w:rFonts w:ascii="Times New Roman" w:eastAsia="Times New Roman" w:hAnsi="Times New Roman" w:cs="Times New Roman"/>
          <w:bCs/>
          <w:color w:val="000000"/>
          <w:sz w:val="24"/>
          <w:szCs w:val="24"/>
          <w:lang w:eastAsia="en-CA"/>
        </w:rPr>
        <w:t>Professeur</w:t>
      </w:r>
      <w:proofErr w:type="spellEnd"/>
      <w:r w:rsidRPr="00681245">
        <w:rPr>
          <w:rFonts w:ascii="Times New Roman" w:eastAsia="Times New Roman" w:hAnsi="Times New Roman" w:cs="Times New Roman"/>
          <w:bCs/>
          <w:color w:val="000000"/>
          <w:sz w:val="24"/>
          <w:szCs w:val="24"/>
          <w:lang w:eastAsia="en-CA"/>
        </w:rPr>
        <w:t xml:space="preserve"> Junior of Artois University and by the Strategic Dialogue and Management Scholarship (Phase 1 and 2); G.C.Q.G. was supported by the SNI #073–2022 (SENACYT, Rep</w:t>
      </w:r>
      <w:r>
        <w:rPr>
          <w:rFonts w:ascii="Times New Roman" w:eastAsia="Times New Roman" w:hAnsi="Times New Roman" w:cs="Times New Roman"/>
          <w:bCs/>
          <w:color w:val="000000"/>
          <w:sz w:val="24"/>
          <w:szCs w:val="24"/>
          <w:lang w:eastAsia="en-CA"/>
        </w:rPr>
        <w:t>ublic</w:t>
      </w:r>
      <w:r w:rsidRPr="00681245">
        <w:rPr>
          <w:rFonts w:ascii="Times New Roman" w:eastAsia="Times New Roman" w:hAnsi="Times New Roman" w:cs="Times New Roman"/>
          <w:bCs/>
          <w:color w:val="000000"/>
          <w:sz w:val="24"/>
          <w:szCs w:val="24"/>
          <w:lang w:eastAsia="en-CA"/>
        </w:rPr>
        <w:t xml:space="preserve"> of Panama); H.F. was supported by </w:t>
      </w:r>
      <w:r>
        <w:rPr>
          <w:rFonts w:ascii="Times New Roman" w:eastAsia="Times New Roman" w:hAnsi="Times New Roman" w:cs="Times New Roman"/>
          <w:bCs/>
          <w:color w:val="000000"/>
          <w:sz w:val="24"/>
          <w:szCs w:val="24"/>
          <w:lang w:eastAsia="en-CA"/>
        </w:rPr>
        <w:t xml:space="preserve">the </w:t>
      </w:r>
      <w:r w:rsidRPr="00681245">
        <w:rPr>
          <w:rFonts w:ascii="Times New Roman" w:eastAsia="Times New Roman" w:hAnsi="Times New Roman" w:cs="Times New Roman"/>
          <w:bCs/>
          <w:color w:val="000000"/>
          <w:sz w:val="24"/>
          <w:szCs w:val="24"/>
          <w:lang w:eastAsia="en-CA"/>
        </w:rPr>
        <w:t xml:space="preserve">Grant-in-Aid for Transformative Research Areas (A) (Japan Society for The Promotion of Science, JP21H05173), Grant-in-Aid for Scientific Research (B) (Japan Society for The Promotion of Science, 21H02849), and the </w:t>
      </w:r>
      <w:r>
        <w:rPr>
          <w:rFonts w:ascii="Times New Roman" w:eastAsia="Times New Roman" w:hAnsi="Times New Roman" w:cs="Times New Roman"/>
          <w:bCs/>
          <w:color w:val="000000"/>
          <w:sz w:val="24"/>
          <w:szCs w:val="24"/>
          <w:lang w:eastAsia="en-CA"/>
        </w:rPr>
        <w:t>S</w:t>
      </w:r>
      <w:r w:rsidRPr="00681245">
        <w:rPr>
          <w:rFonts w:ascii="Times New Roman" w:eastAsia="Times New Roman" w:hAnsi="Times New Roman" w:cs="Times New Roman"/>
          <w:bCs/>
          <w:color w:val="000000"/>
          <w:sz w:val="24"/>
          <w:szCs w:val="24"/>
          <w:lang w:eastAsia="en-CA"/>
        </w:rPr>
        <w:t xml:space="preserve">moking </w:t>
      </w:r>
      <w:r>
        <w:rPr>
          <w:rFonts w:ascii="Times New Roman" w:eastAsia="Times New Roman" w:hAnsi="Times New Roman" w:cs="Times New Roman"/>
          <w:bCs/>
          <w:color w:val="000000"/>
          <w:sz w:val="24"/>
          <w:szCs w:val="24"/>
          <w:lang w:eastAsia="en-CA"/>
        </w:rPr>
        <w:t>R</w:t>
      </w:r>
      <w:r w:rsidRPr="00681245">
        <w:rPr>
          <w:rFonts w:ascii="Times New Roman" w:eastAsia="Times New Roman" w:hAnsi="Times New Roman" w:cs="Times New Roman"/>
          <w:bCs/>
          <w:color w:val="000000"/>
          <w:sz w:val="24"/>
          <w:szCs w:val="24"/>
          <w:lang w:eastAsia="en-CA"/>
        </w:rPr>
        <w:t xml:space="preserve">esearch </w:t>
      </w:r>
      <w:r>
        <w:rPr>
          <w:rFonts w:ascii="Times New Roman" w:eastAsia="Times New Roman" w:hAnsi="Times New Roman" w:cs="Times New Roman"/>
          <w:bCs/>
          <w:color w:val="000000"/>
          <w:sz w:val="24"/>
          <w:szCs w:val="24"/>
          <w:lang w:eastAsia="en-CA"/>
        </w:rPr>
        <w:t>F</w:t>
      </w:r>
      <w:r w:rsidRPr="00681245">
        <w:rPr>
          <w:rFonts w:ascii="Times New Roman" w:eastAsia="Times New Roman" w:hAnsi="Times New Roman" w:cs="Times New Roman"/>
          <w:bCs/>
          <w:color w:val="000000"/>
          <w:sz w:val="24"/>
          <w:szCs w:val="24"/>
          <w:lang w:eastAsia="en-CA"/>
        </w:rPr>
        <w:t xml:space="preserve">oundation; J.B.G. was supported by grants from the International Center for Responsible Gaming and the </w:t>
      </w:r>
      <w:proofErr w:type="spellStart"/>
      <w:r w:rsidRPr="00681245">
        <w:rPr>
          <w:rFonts w:ascii="Times New Roman" w:eastAsia="Times New Roman" w:hAnsi="Times New Roman" w:cs="Times New Roman"/>
          <w:bCs/>
          <w:color w:val="000000"/>
          <w:sz w:val="24"/>
          <w:szCs w:val="24"/>
          <w:lang w:eastAsia="en-CA"/>
        </w:rPr>
        <w:t>Kindbridge</w:t>
      </w:r>
      <w:proofErr w:type="spellEnd"/>
      <w:r w:rsidRPr="00681245">
        <w:rPr>
          <w:rFonts w:ascii="Times New Roman" w:eastAsia="Times New Roman" w:hAnsi="Times New Roman" w:cs="Times New Roman"/>
          <w:bCs/>
          <w:color w:val="000000"/>
          <w:sz w:val="24"/>
          <w:szCs w:val="24"/>
          <w:lang w:eastAsia="en-CA"/>
        </w:rPr>
        <w:t xml:space="preserve"> Research Institute; K. </w:t>
      </w:r>
      <w:proofErr w:type="spellStart"/>
      <w:r w:rsidRPr="00681245">
        <w:rPr>
          <w:rFonts w:ascii="Times New Roman" w:eastAsia="Times New Roman" w:hAnsi="Times New Roman" w:cs="Times New Roman"/>
          <w:bCs/>
          <w:color w:val="000000"/>
          <w:sz w:val="24"/>
          <w:szCs w:val="24"/>
          <w:lang w:eastAsia="en-CA"/>
        </w:rPr>
        <w:t>Lukavská</w:t>
      </w:r>
      <w:proofErr w:type="spellEnd"/>
      <w:r w:rsidRPr="00681245">
        <w:rPr>
          <w:rFonts w:ascii="Times New Roman" w:eastAsia="Times New Roman" w:hAnsi="Times New Roman" w:cs="Times New Roman"/>
          <w:bCs/>
          <w:color w:val="000000"/>
          <w:sz w:val="24"/>
          <w:szCs w:val="24"/>
          <w:lang w:eastAsia="en-CA"/>
        </w:rPr>
        <w:t xml:space="preserve"> was supported by </w:t>
      </w:r>
      <w:r>
        <w:rPr>
          <w:rFonts w:ascii="Times New Roman" w:eastAsia="Times New Roman" w:hAnsi="Times New Roman" w:cs="Times New Roman"/>
          <w:bCs/>
          <w:color w:val="000000"/>
          <w:sz w:val="24"/>
          <w:szCs w:val="24"/>
          <w:lang w:eastAsia="en-CA"/>
        </w:rPr>
        <w:t xml:space="preserve">the </w:t>
      </w:r>
      <w:r w:rsidRPr="00681245">
        <w:rPr>
          <w:rFonts w:ascii="Times New Roman" w:eastAsia="Times New Roman" w:hAnsi="Times New Roman" w:cs="Times New Roman"/>
          <w:bCs/>
          <w:color w:val="000000"/>
          <w:sz w:val="24"/>
          <w:szCs w:val="24"/>
          <w:lang w:eastAsia="en-CA"/>
        </w:rPr>
        <w:t xml:space="preserve">Charles University institutional support </w:t>
      </w:r>
      <w:proofErr w:type="spellStart"/>
      <w:r w:rsidRPr="00681245">
        <w:rPr>
          <w:rFonts w:ascii="Times New Roman" w:eastAsia="Times New Roman" w:hAnsi="Times New Roman" w:cs="Times New Roman"/>
          <w:bCs/>
          <w:color w:val="000000"/>
          <w:sz w:val="24"/>
          <w:szCs w:val="24"/>
          <w:lang w:eastAsia="en-CA"/>
        </w:rPr>
        <w:t>programme</w:t>
      </w:r>
      <w:proofErr w:type="spellEnd"/>
      <w:r w:rsidRPr="00681245">
        <w:rPr>
          <w:rFonts w:ascii="Times New Roman" w:eastAsia="Times New Roman" w:hAnsi="Times New Roman" w:cs="Times New Roman"/>
          <w:bCs/>
          <w:color w:val="000000"/>
          <w:sz w:val="24"/>
          <w:szCs w:val="24"/>
          <w:lang w:eastAsia="en-CA"/>
        </w:rPr>
        <w:t xml:space="preserve"> </w:t>
      </w:r>
      <w:proofErr w:type="spellStart"/>
      <w:r w:rsidRPr="00681245">
        <w:rPr>
          <w:rFonts w:ascii="Times New Roman" w:eastAsia="Times New Roman" w:hAnsi="Times New Roman" w:cs="Times New Roman"/>
          <w:bCs/>
          <w:color w:val="000000"/>
          <w:sz w:val="24"/>
          <w:szCs w:val="24"/>
          <w:lang w:eastAsia="en-CA"/>
        </w:rPr>
        <w:t>Cooperatio</w:t>
      </w:r>
      <w:proofErr w:type="spellEnd"/>
      <w:r w:rsidRPr="00681245">
        <w:rPr>
          <w:rFonts w:ascii="Times New Roman" w:eastAsia="Times New Roman" w:hAnsi="Times New Roman" w:cs="Times New Roman"/>
          <w:bCs/>
          <w:color w:val="000000"/>
          <w:sz w:val="24"/>
          <w:szCs w:val="24"/>
          <w:lang w:eastAsia="en-CA"/>
        </w:rPr>
        <w:t>-Health Sciences; K. Lewczuk was supported by Sonatina grant awarded by National Science Centre, Poland</w:t>
      </w:r>
      <w:r>
        <w:rPr>
          <w:rFonts w:ascii="Times New Roman" w:eastAsia="Times New Roman" w:hAnsi="Times New Roman" w:cs="Times New Roman"/>
          <w:bCs/>
          <w:color w:val="000000"/>
          <w:sz w:val="24"/>
          <w:szCs w:val="24"/>
          <w:lang w:eastAsia="en-CA"/>
        </w:rPr>
        <w:t>, (</w:t>
      </w:r>
      <w:r w:rsidRPr="00681245">
        <w:rPr>
          <w:rFonts w:ascii="Times New Roman" w:eastAsia="Times New Roman" w:hAnsi="Times New Roman" w:cs="Times New Roman"/>
          <w:bCs/>
          <w:color w:val="000000"/>
          <w:sz w:val="24"/>
          <w:szCs w:val="24"/>
          <w:lang w:eastAsia="en-CA"/>
        </w:rPr>
        <w:t>2020/36/C/HS6/00005</w:t>
      </w:r>
      <w:r>
        <w:rPr>
          <w:rFonts w:ascii="Times New Roman" w:eastAsia="Times New Roman" w:hAnsi="Times New Roman" w:cs="Times New Roman"/>
          <w:bCs/>
          <w:color w:val="000000"/>
          <w:sz w:val="24"/>
          <w:szCs w:val="24"/>
          <w:lang w:eastAsia="en-CA"/>
        </w:rPr>
        <w:t>)</w:t>
      </w:r>
      <w:r w:rsidRPr="00681245">
        <w:rPr>
          <w:rFonts w:ascii="Times New Roman" w:eastAsia="Times New Roman" w:hAnsi="Times New Roman" w:cs="Times New Roman"/>
          <w:bCs/>
          <w:color w:val="000000"/>
          <w:sz w:val="24"/>
          <w:szCs w:val="24"/>
          <w:lang w:eastAsia="en-CA"/>
        </w:rPr>
        <w:t xml:space="preserve">; K.R. was supported by a funding from the Hauts-de-France region (France) called "Dialogue </w:t>
      </w:r>
      <w:proofErr w:type="spellStart"/>
      <w:r w:rsidRPr="00681245">
        <w:rPr>
          <w:rFonts w:ascii="Times New Roman" w:eastAsia="Times New Roman" w:hAnsi="Times New Roman" w:cs="Times New Roman"/>
          <w:bCs/>
          <w:color w:val="000000"/>
          <w:sz w:val="24"/>
          <w:szCs w:val="24"/>
          <w:lang w:eastAsia="en-CA"/>
        </w:rPr>
        <w:t>Stratégique</w:t>
      </w:r>
      <w:proofErr w:type="spellEnd"/>
      <w:r w:rsidRPr="00681245">
        <w:rPr>
          <w:rFonts w:ascii="Times New Roman" w:eastAsia="Times New Roman" w:hAnsi="Times New Roman" w:cs="Times New Roman"/>
          <w:bCs/>
          <w:color w:val="000000"/>
          <w:sz w:val="24"/>
          <w:szCs w:val="24"/>
          <w:lang w:eastAsia="en-CA"/>
        </w:rPr>
        <w:t xml:space="preserve"> de Gestion 2 (DSG2)"; L.C. was supported by the National Social Science Foundation of China (19BSH117); M.G. was supported by National Science Centre of Polan</w:t>
      </w:r>
      <w:r>
        <w:rPr>
          <w:rFonts w:ascii="Times New Roman" w:eastAsia="Times New Roman" w:hAnsi="Times New Roman" w:cs="Times New Roman"/>
          <w:bCs/>
          <w:color w:val="000000"/>
          <w:sz w:val="24"/>
          <w:szCs w:val="24"/>
          <w:lang w:eastAsia="en-CA"/>
        </w:rPr>
        <w:t>d</w:t>
      </w:r>
      <w:r w:rsidRPr="00681245">
        <w:rPr>
          <w:rFonts w:ascii="Times New Roman" w:eastAsia="Times New Roman" w:hAnsi="Times New Roman" w:cs="Times New Roman"/>
          <w:bCs/>
          <w:color w:val="000000"/>
          <w:sz w:val="24"/>
          <w:szCs w:val="24"/>
          <w:lang w:eastAsia="en-CA"/>
        </w:rPr>
        <w:t xml:space="preserve"> </w:t>
      </w:r>
      <w:r>
        <w:rPr>
          <w:rFonts w:ascii="Times New Roman" w:eastAsia="Times New Roman" w:hAnsi="Times New Roman" w:cs="Times New Roman"/>
          <w:bCs/>
          <w:color w:val="000000"/>
          <w:sz w:val="24"/>
          <w:szCs w:val="24"/>
          <w:lang w:eastAsia="en-CA"/>
        </w:rPr>
        <w:t>(</w:t>
      </w:r>
      <w:r w:rsidRPr="00681245">
        <w:rPr>
          <w:rFonts w:ascii="Times New Roman" w:eastAsia="Times New Roman" w:hAnsi="Times New Roman" w:cs="Times New Roman"/>
          <w:bCs/>
          <w:color w:val="000000"/>
          <w:sz w:val="24"/>
          <w:szCs w:val="24"/>
          <w:lang w:eastAsia="en-CA"/>
        </w:rPr>
        <w:t>2021/40/Q/HS6/00219</w:t>
      </w:r>
      <w:r>
        <w:rPr>
          <w:rFonts w:ascii="Times New Roman" w:eastAsia="Times New Roman" w:hAnsi="Times New Roman" w:cs="Times New Roman"/>
          <w:bCs/>
          <w:color w:val="000000"/>
          <w:sz w:val="24"/>
          <w:szCs w:val="24"/>
          <w:lang w:eastAsia="en-CA"/>
        </w:rPr>
        <w:t>)</w:t>
      </w:r>
      <w:r w:rsidRPr="00681245">
        <w:rPr>
          <w:rFonts w:ascii="Times New Roman" w:eastAsia="Times New Roman" w:hAnsi="Times New Roman" w:cs="Times New Roman"/>
          <w:bCs/>
          <w:color w:val="000000"/>
          <w:sz w:val="24"/>
          <w:szCs w:val="24"/>
          <w:lang w:eastAsia="en-CA"/>
        </w:rPr>
        <w:t>; R.C. was supported by Auckland University of technology, 2021 Faculty Research Development Fund; R.G. was supported by Charles University</w:t>
      </w:r>
      <w:r>
        <w:rPr>
          <w:rFonts w:ascii="Times New Roman" w:eastAsia="Times New Roman" w:hAnsi="Times New Roman" w:cs="Times New Roman"/>
          <w:bCs/>
          <w:color w:val="000000"/>
          <w:sz w:val="24"/>
          <w:szCs w:val="24"/>
          <w:lang w:eastAsia="en-CA"/>
        </w:rPr>
        <w:t>’s</w:t>
      </w:r>
      <w:r w:rsidRPr="00681245">
        <w:rPr>
          <w:rFonts w:ascii="Times New Roman" w:eastAsia="Times New Roman" w:hAnsi="Times New Roman" w:cs="Times New Roman"/>
          <w:bCs/>
          <w:color w:val="000000"/>
          <w:sz w:val="24"/>
          <w:szCs w:val="24"/>
          <w:lang w:eastAsia="en-CA"/>
        </w:rPr>
        <w:t xml:space="preserve"> institutional support </w:t>
      </w:r>
      <w:proofErr w:type="spellStart"/>
      <w:r w:rsidRPr="00681245">
        <w:rPr>
          <w:rFonts w:ascii="Times New Roman" w:eastAsia="Times New Roman" w:hAnsi="Times New Roman" w:cs="Times New Roman"/>
          <w:bCs/>
          <w:color w:val="000000"/>
          <w:sz w:val="24"/>
          <w:szCs w:val="24"/>
          <w:lang w:eastAsia="en-CA"/>
        </w:rPr>
        <w:t>programme</w:t>
      </w:r>
      <w:proofErr w:type="spellEnd"/>
      <w:r w:rsidRPr="00681245">
        <w:rPr>
          <w:rFonts w:ascii="Times New Roman" w:eastAsia="Times New Roman" w:hAnsi="Times New Roman" w:cs="Times New Roman"/>
          <w:bCs/>
          <w:color w:val="000000"/>
          <w:sz w:val="24"/>
          <w:szCs w:val="24"/>
          <w:lang w:eastAsia="en-CA"/>
        </w:rPr>
        <w:t xml:space="preserve"> </w:t>
      </w:r>
      <w:proofErr w:type="spellStart"/>
      <w:r w:rsidRPr="00681245">
        <w:rPr>
          <w:rFonts w:ascii="Times New Roman" w:eastAsia="Times New Roman" w:hAnsi="Times New Roman" w:cs="Times New Roman"/>
          <w:bCs/>
          <w:color w:val="000000"/>
          <w:sz w:val="24"/>
          <w:szCs w:val="24"/>
          <w:lang w:eastAsia="en-CA"/>
        </w:rPr>
        <w:t>Cooperatio</w:t>
      </w:r>
      <w:proofErr w:type="spellEnd"/>
      <w:r w:rsidRPr="00681245">
        <w:rPr>
          <w:rFonts w:ascii="Times New Roman" w:eastAsia="Times New Roman" w:hAnsi="Times New Roman" w:cs="Times New Roman"/>
          <w:bCs/>
          <w:color w:val="000000"/>
          <w:sz w:val="24"/>
          <w:szCs w:val="24"/>
          <w:lang w:eastAsia="en-CA"/>
        </w:rPr>
        <w:t xml:space="preserve">-Health Sciences; S.B. was supported by a Tier 1 Canada Research Chair; </w:t>
      </w:r>
      <w:r w:rsidRPr="008761FE">
        <w:rPr>
          <w:rFonts w:ascii="Times New Roman" w:eastAsia="Times New Roman" w:hAnsi="Times New Roman" w:cs="Times New Roman"/>
          <w:bCs/>
          <w:color w:val="000000"/>
          <w:sz w:val="24"/>
          <w:szCs w:val="24"/>
          <w:lang w:eastAsia="en-CA"/>
        </w:rPr>
        <w:t>Sungkyunkwan University’s research team</w:t>
      </w:r>
      <w:r w:rsidRPr="00681245">
        <w:rPr>
          <w:rFonts w:ascii="Times New Roman" w:eastAsia="Times New Roman" w:hAnsi="Times New Roman" w:cs="Times New Roman"/>
          <w:bCs/>
          <w:color w:val="000000"/>
          <w:sz w:val="24"/>
          <w:szCs w:val="24"/>
          <w:lang w:eastAsia="en-CA"/>
        </w:rPr>
        <w:t xml:space="preserve"> was supported by Brain Korea 21 (BK21) program of National Research Foundation of Korea</w:t>
      </w:r>
      <w:r>
        <w:rPr>
          <w:rFonts w:ascii="Times New Roman" w:eastAsia="Times New Roman" w:hAnsi="Times New Roman" w:cs="Times New Roman"/>
          <w:bCs/>
          <w:color w:val="000000"/>
          <w:sz w:val="24"/>
          <w:szCs w:val="24"/>
          <w:lang w:eastAsia="en-CA"/>
        </w:rPr>
        <w:t xml:space="preserve">. </w:t>
      </w:r>
    </w:p>
    <w:p w14:paraId="3F1F965F" w14:textId="77777777" w:rsidR="00494D70" w:rsidRPr="008726F8" w:rsidRDefault="00494D70" w:rsidP="00494D70">
      <w:pPr>
        <w:spacing w:after="0" w:line="480" w:lineRule="auto"/>
        <w:rPr>
          <w:rFonts w:ascii="Times New Roman" w:eastAsia="Times New Roman" w:hAnsi="Times New Roman" w:cs="Times New Roman"/>
          <w:bCs/>
          <w:color w:val="000000"/>
          <w:sz w:val="24"/>
          <w:szCs w:val="24"/>
          <w:lang w:eastAsia="en-CA"/>
        </w:rPr>
      </w:pPr>
    </w:p>
    <w:p w14:paraId="39D89553" w14:textId="77777777" w:rsidR="00494D70" w:rsidRPr="008726F8" w:rsidRDefault="00494D70" w:rsidP="00494D70">
      <w:pPr>
        <w:spacing w:after="0" w:line="480" w:lineRule="auto"/>
        <w:rPr>
          <w:rFonts w:ascii="Times New Roman" w:eastAsia="Times New Roman" w:hAnsi="Times New Roman" w:cs="Times New Roman"/>
          <w:bCs/>
          <w:color w:val="000000"/>
          <w:sz w:val="24"/>
          <w:szCs w:val="24"/>
          <w:lang w:eastAsia="en-CA"/>
        </w:rPr>
      </w:pPr>
      <w:r w:rsidRPr="008726F8">
        <w:rPr>
          <w:rFonts w:ascii="Times New Roman" w:eastAsia="Times New Roman" w:hAnsi="Times New Roman" w:cs="Times New Roman"/>
          <w:bCs/>
          <w:i/>
          <w:color w:val="000000"/>
          <w:sz w:val="24"/>
          <w:szCs w:val="24"/>
          <w:lang w:eastAsia="en-CA"/>
        </w:rPr>
        <w:t>Author contributions:</w:t>
      </w:r>
      <w:r w:rsidRPr="008726F8">
        <w:rPr>
          <w:rFonts w:ascii="Times New Roman" w:eastAsia="Times New Roman" w:hAnsi="Times New Roman" w:cs="Times New Roman"/>
          <w:bCs/>
          <w:color w:val="000000"/>
          <w:sz w:val="24"/>
          <w:szCs w:val="24"/>
          <w:lang w:eastAsia="en-CA"/>
        </w:rPr>
        <w:t xml:space="preserve"> Study concept and design</w:t>
      </w:r>
      <w:r w:rsidRPr="00595AAA">
        <w:rPr>
          <w:rFonts w:ascii="Times New Roman" w:eastAsia="Times New Roman" w:hAnsi="Times New Roman" w:cs="Times New Roman"/>
          <w:bCs/>
          <w:color w:val="000000"/>
          <w:sz w:val="24"/>
          <w:szCs w:val="24"/>
          <w:lang w:eastAsia="en-CA"/>
        </w:rPr>
        <w:t>: L.N., M.K., S.W.K., Z.D., M.N.P., and B.B.</w:t>
      </w:r>
      <w:r>
        <w:rPr>
          <w:rFonts w:ascii="Times New Roman" w:eastAsia="Times New Roman" w:hAnsi="Times New Roman" w:cs="Times New Roman"/>
          <w:bCs/>
          <w:color w:val="000000"/>
          <w:sz w:val="24"/>
          <w:szCs w:val="24"/>
          <w:lang w:eastAsia="en-CA"/>
        </w:rPr>
        <w:t>;</w:t>
      </w:r>
      <w:r w:rsidRPr="00595AAA">
        <w:rPr>
          <w:rFonts w:ascii="Times New Roman" w:eastAsia="Times New Roman" w:hAnsi="Times New Roman" w:cs="Times New Roman"/>
          <w:bCs/>
          <w:color w:val="000000"/>
          <w:sz w:val="24"/>
          <w:szCs w:val="24"/>
          <w:lang w:eastAsia="en-CA"/>
        </w:rPr>
        <w:t xml:space="preserve"> </w:t>
      </w:r>
      <w:r>
        <w:rPr>
          <w:rFonts w:ascii="Times New Roman" w:eastAsia="Times New Roman" w:hAnsi="Times New Roman" w:cs="Times New Roman"/>
          <w:bCs/>
          <w:color w:val="000000"/>
          <w:sz w:val="24"/>
          <w:szCs w:val="24"/>
          <w:lang w:eastAsia="en-CA"/>
        </w:rPr>
        <w:t>Investigation and d</w:t>
      </w:r>
      <w:r w:rsidRPr="00595AAA">
        <w:rPr>
          <w:rFonts w:ascii="Times New Roman" w:eastAsia="Times New Roman" w:hAnsi="Times New Roman" w:cs="Times New Roman"/>
          <w:bCs/>
          <w:color w:val="000000"/>
          <w:sz w:val="24"/>
          <w:szCs w:val="24"/>
          <w:lang w:eastAsia="en-CA"/>
        </w:rPr>
        <w:t xml:space="preserve">ata </w:t>
      </w:r>
      <w:r>
        <w:rPr>
          <w:rFonts w:ascii="Times New Roman" w:eastAsia="Times New Roman" w:hAnsi="Times New Roman" w:cs="Times New Roman"/>
          <w:bCs/>
          <w:color w:val="000000"/>
          <w:sz w:val="24"/>
          <w:szCs w:val="24"/>
          <w:lang w:eastAsia="en-CA"/>
        </w:rPr>
        <w:t>collection</w:t>
      </w:r>
      <w:r w:rsidRPr="00595AAA">
        <w:rPr>
          <w:rFonts w:ascii="Times New Roman" w:eastAsia="Times New Roman" w:hAnsi="Times New Roman" w:cs="Times New Roman"/>
          <w:bCs/>
          <w:color w:val="000000"/>
          <w:sz w:val="24"/>
          <w:szCs w:val="24"/>
          <w:lang w:eastAsia="en-CA"/>
        </w:rPr>
        <w:t xml:space="preserve">: </w:t>
      </w:r>
      <w:r>
        <w:rPr>
          <w:rFonts w:ascii="Times New Roman" w:eastAsia="Times New Roman" w:hAnsi="Times New Roman" w:cs="Times New Roman"/>
          <w:bCs/>
          <w:color w:val="000000"/>
          <w:sz w:val="24"/>
          <w:szCs w:val="24"/>
          <w:lang w:eastAsia="en-CA"/>
        </w:rPr>
        <w:t>all authors;</w:t>
      </w:r>
      <w:r w:rsidRPr="00595AAA">
        <w:rPr>
          <w:rFonts w:ascii="Times New Roman" w:eastAsia="Times New Roman" w:hAnsi="Times New Roman" w:cs="Times New Roman"/>
          <w:bCs/>
          <w:color w:val="000000"/>
          <w:sz w:val="24"/>
          <w:szCs w:val="24"/>
          <w:lang w:eastAsia="en-CA"/>
        </w:rPr>
        <w:t xml:space="preserve"> Formal analysis: L.N. and B.B.</w:t>
      </w:r>
      <w:r>
        <w:rPr>
          <w:rFonts w:ascii="Times New Roman" w:eastAsia="Times New Roman" w:hAnsi="Times New Roman" w:cs="Times New Roman"/>
          <w:bCs/>
          <w:color w:val="000000"/>
          <w:sz w:val="24"/>
          <w:szCs w:val="24"/>
          <w:lang w:eastAsia="en-CA"/>
        </w:rPr>
        <w:t>;</w:t>
      </w:r>
      <w:r w:rsidRPr="00595AAA">
        <w:rPr>
          <w:rFonts w:ascii="Times New Roman" w:eastAsia="Times New Roman" w:hAnsi="Times New Roman" w:cs="Times New Roman"/>
          <w:bCs/>
          <w:color w:val="000000"/>
          <w:sz w:val="24"/>
          <w:szCs w:val="24"/>
          <w:lang w:eastAsia="en-CA"/>
        </w:rPr>
        <w:t xml:space="preserve"> Funding acquisition: L.N., M.K., S.W.K., Z.D., H.F., K. Lewczuk, and B.B.</w:t>
      </w:r>
      <w:r>
        <w:rPr>
          <w:rFonts w:ascii="Times New Roman" w:eastAsia="Times New Roman" w:hAnsi="Times New Roman" w:cs="Times New Roman"/>
          <w:bCs/>
          <w:color w:val="000000"/>
          <w:sz w:val="24"/>
          <w:szCs w:val="24"/>
          <w:lang w:eastAsia="en-CA"/>
        </w:rPr>
        <w:t>;</w:t>
      </w:r>
      <w:r w:rsidRPr="00595AAA">
        <w:rPr>
          <w:rFonts w:ascii="Times New Roman" w:eastAsia="Times New Roman" w:hAnsi="Times New Roman" w:cs="Times New Roman"/>
          <w:bCs/>
          <w:color w:val="000000"/>
          <w:sz w:val="24"/>
          <w:szCs w:val="24"/>
          <w:lang w:eastAsia="en-CA"/>
        </w:rPr>
        <w:t xml:space="preserve"> Methodology: L.N., M.K., S.W.K., Z.D., M.N.P., and B.B.</w:t>
      </w:r>
      <w:r>
        <w:rPr>
          <w:rFonts w:ascii="Times New Roman" w:eastAsia="Times New Roman" w:hAnsi="Times New Roman" w:cs="Times New Roman"/>
          <w:bCs/>
          <w:color w:val="000000"/>
          <w:sz w:val="24"/>
          <w:szCs w:val="24"/>
          <w:lang w:eastAsia="en-CA"/>
        </w:rPr>
        <w:t>;</w:t>
      </w:r>
      <w:r w:rsidRPr="00595AAA">
        <w:rPr>
          <w:rFonts w:ascii="Times New Roman" w:eastAsia="Times New Roman" w:hAnsi="Times New Roman" w:cs="Times New Roman"/>
          <w:bCs/>
          <w:color w:val="000000"/>
          <w:sz w:val="24"/>
          <w:szCs w:val="24"/>
          <w:lang w:eastAsia="en-CA"/>
        </w:rPr>
        <w:t xml:space="preserve"> Project administration: L.N., M.K., and B.B.</w:t>
      </w:r>
      <w:r>
        <w:rPr>
          <w:rFonts w:ascii="Times New Roman" w:eastAsia="Times New Roman" w:hAnsi="Times New Roman" w:cs="Times New Roman"/>
          <w:bCs/>
          <w:color w:val="000000"/>
          <w:sz w:val="24"/>
          <w:szCs w:val="24"/>
          <w:lang w:eastAsia="en-CA"/>
        </w:rPr>
        <w:t>;</w:t>
      </w:r>
      <w:r w:rsidRPr="00595AAA">
        <w:rPr>
          <w:rFonts w:ascii="Times New Roman" w:eastAsia="Times New Roman" w:hAnsi="Times New Roman" w:cs="Times New Roman"/>
          <w:bCs/>
          <w:color w:val="000000"/>
          <w:sz w:val="24"/>
          <w:szCs w:val="24"/>
          <w:lang w:eastAsia="en-CA"/>
        </w:rPr>
        <w:t xml:space="preserve"> Software: L.N., M.K., and B.B.</w:t>
      </w:r>
      <w:r>
        <w:rPr>
          <w:rFonts w:ascii="Times New Roman" w:eastAsia="Times New Roman" w:hAnsi="Times New Roman" w:cs="Times New Roman"/>
          <w:bCs/>
          <w:color w:val="000000"/>
          <w:sz w:val="24"/>
          <w:szCs w:val="24"/>
          <w:lang w:eastAsia="en-CA"/>
        </w:rPr>
        <w:t>;</w:t>
      </w:r>
      <w:r w:rsidRPr="00595AAA">
        <w:rPr>
          <w:rFonts w:ascii="Times New Roman" w:eastAsia="Times New Roman" w:hAnsi="Times New Roman" w:cs="Times New Roman"/>
          <w:bCs/>
          <w:color w:val="000000"/>
          <w:sz w:val="24"/>
          <w:szCs w:val="24"/>
          <w:lang w:eastAsia="en-CA"/>
        </w:rPr>
        <w:t xml:space="preserve"> Supervision: B.B.</w:t>
      </w:r>
      <w:r>
        <w:rPr>
          <w:rFonts w:ascii="Times New Roman" w:eastAsia="Times New Roman" w:hAnsi="Times New Roman" w:cs="Times New Roman"/>
          <w:bCs/>
          <w:color w:val="000000"/>
          <w:sz w:val="24"/>
          <w:szCs w:val="24"/>
          <w:lang w:eastAsia="en-CA"/>
        </w:rPr>
        <w:t>;</w:t>
      </w:r>
      <w:r w:rsidRPr="00595AAA">
        <w:rPr>
          <w:rFonts w:ascii="Times New Roman" w:eastAsia="Times New Roman" w:hAnsi="Times New Roman" w:cs="Times New Roman"/>
          <w:bCs/>
          <w:color w:val="000000"/>
          <w:sz w:val="24"/>
          <w:szCs w:val="24"/>
          <w:lang w:eastAsia="en-CA"/>
        </w:rPr>
        <w:t xml:space="preserve"> Validation: L.N., M.K., S.W.K., Z.D., M.N.P., and B.B.</w:t>
      </w:r>
      <w:r>
        <w:rPr>
          <w:rFonts w:ascii="Times New Roman" w:eastAsia="Times New Roman" w:hAnsi="Times New Roman" w:cs="Times New Roman"/>
          <w:bCs/>
          <w:color w:val="000000"/>
          <w:sz w:val="24"/>
          <w:szCs w:val="24"/>
          <w:lang w:eastAsia="en-CA"/>
        </w:rPr>
        <w:t>;</w:t>
      </w:r>
      <w:r w:rsidRPr="00595AAA">
        <w:rPr>
          <w:rFonts w:ascii="Times New Roman" w:eastAsia="Times New Roman" w:hAnsi="Times New Roman" w:cs="Times New Roman"/>
          <w:bCs/>
          <w:color w:val="000000"/>
          <w:sz w:val="24"/>
          <w:szCs w:val="24"/>
          <w:lang w:eastAsia="en-CA"/>
        </w:rPr>
        <w:t xml:space="preserve"> Visualization: L.N. Writing - original draft: L.N.</w:t>
      </w:r>
      <w:r>
        <w:rPr>
          <w:rFonts w:ascii="Times New Roman" w:eastAsia="Times New Roman" w:hAnsi="Times New Roman" w:cs="Times New Roman"/>
          <w:bCs/>
          <w:color w:val="000000"/>
          <w:sz w:val="24"/>
          <w:szCs w:val="24"/>
          <w:lang w:eastAsia="en-CA"/>
        </w:rPr>
        <w:t>;</w:t>
      </w:r>
      <w:r w:rsidRPr="00595AAA">
        <w:rPr>
          <w:rFonts w:ascii="Times New Roman" w:eastAsia="Times New Roman" w:hAnsi="Times New Roman" w:cs="Times New Roman"/>
          <w:bCs/>
          <w:color w:val="000000"/>
          <w:sz w:val="24"/>
          <w:szCs w:val="24"/>
          <w:lang w:eastAsia="en-CA"/>
        </w:rPr>
        <w:t xml:space="preserve"> </w:t>
      </w:r>
      <w:r w:rsidRPr="008726F8">
        <w:rPr>
          <w:rFonts w:ascii="Times New Roman" w:eastAsia="Times New Roman" w:hAnsi="Times New Roman" w:cs="Times New Roman"/>
          <w:bCs/>
          <w:color w:val="000000"/>
          <w:sz w:val="24"/>
          <w:szCs w:val="24"/>
          <w:lang w:eastAsia="en-CA"/>
        </w:rPr>
        <w:t>Revising it critically for important intellectual content: all authors</w:t>
      </w:r>
      <w:r>
        <w:rPr>
          <w:rFonts w:ascii="Times New Roman" w:eastAsia="Times New Roman" w:hAnsi="Times New Roman" w:cs="Times New Roman"/>
          <w:bCs/>
          <w:color w:val="000000"/>
          <w:sz w:val="24"/>
          <w:szCs w:val="24"/>
          <w:lang w:eastAsia="en-CA"/>
        </w:rPr>
        <w:t>;</w:t>
      </w:r>
      <w:r w:rsidRPr="008726F8">
        <w:rPr>
          <w:rFonts w:ascii="Times New Roman" w:eastAsia="Times New Roman" w:hAnsi="Times New Roman" w:cs="Times New Roman"/>
          <w:bCs/>
          <w:color w:val="000000"/>
          <w:sz w:val="24"/>
          <w:szCs w:val="24"/>
          <w:lang w:eastAsia="en-CA"/>
        </w:rPr>
        <w:t xml:space="preserve"> Final approval of the version to be published: all authors</w:t>
      </w:r>
    </w:p>
    <w:p w14:paraId="44E570B0" w14:textId="77777777" w:rsidR="00494D70" w:rsidRPr="008726F8" w:rsidRDefault="00494D70" w:rsidP="00494D70">
      <w:pPr>
        <w:spacing w:after="0" w:line="480" w:lineRule="auto"/>
        <w:rPr>
          <w:rFonts w:ascii="Times New Roman" w:eastAsia="Times New Roman" w:hAnsi="Times New Roman" w:cs="Times New Roman"/>
          <w:bCs/>
          <w:color w:val="000000"/>
          <w:sz w:val="24"/>
          <w:szCs w:val="24"/>
          <w:lang w:eastAsia="en-CA"/>
        </w:rPr>
      </w:pPr>
    </w:p>
    <w:p w14:paraId="3120DA1E" w14:textId="77777777" w:rsidR="00494D70" w:rsidRPr="008726F8" w:rsidRDefault="00494D70" w:rsidP="00494D70">
      <w:pPr>
        <w:spacing w:after="0" w:line="480" w:lineRule="auto"/>
        <w:jc w:val="both"/>
        <w:rPr>
          <w:rFonts w:ascii="Times New Roman" w:eastAsia="Times New Roman" w:hAnsi="Times New Roman" w:cs="Times New Roman"/>
          <w:bCs/>
          <w:color w:val="000000"/>
          <w:sz w:val="24"/>
          <w:szCs w:val="24"/>
          <w:lang w:eastAsia="en-CA"/>
        </w:rPr>
      </w:pPr>
      <w:r w:rsidRPr="008726F8">
        <w:rPr>
          <w:rFonts w:ascii="Times New Roman" w:eastAsia="Times New Roman" w:hAnsi="Times New Roman" w:cs="Times New Roman"/>
          <w:bCs/>
          <w:i/>
          <w:color w:val="000000"/>
          <w:sz w:val="24"/>
          <w:szCs w:val="24"/>
          <w:lang w:eastAsia="en-CA"/>
        </w:rPr>
        <w:t xml:space="preserve">Conflict of interest: </w:t>
      </w:r>
      <w:r w:rsidRPr="008726F8">
        <w:rPr>
          <w:rFonts w:ascii="Times New Roman" w:eastAsia="Times New Roman" w:hAnsi="Times New Roman" w:cs="Times New Roman"/>
          <w:bCs/>
          <w:color w:val="000000"/>
          <w:sz w:val="24"/>
          <w:szCs w:val="24"/>
          <w:lang w:eastAsia="en-CA"/>
        </w:rPr>
        <w:t xml:space="preserve">The authors declare no conflict of interest with the content of this manuscript. SWK discloses that he has received funding from the International Center for Responsible Gaming, MGM Resorts International, Center for the Application of Substance Abuse Technologies, Taylor Francis, Springer Nature, The Nevada Problem Gambling Project, Sports Betting Alliance, and </w:t>
      </w:r>
      <w:proofErr w:type="spellStart"/>
      <w:r w:rsidRPr="008726F8">
        <w:rPr>
          <w:rFonts w:ascii="Times New Roman" w:eastAsia="Times New Roman" w:hAnsi="Times New Roman" w:cs="Times New Roman"/>
          <w:bCs/>
          <w:color w:val="000000"/>
          <w:sz w:val="24"/>
          <w:szCs w:val="24"/>
          <w:lang w:eastAsia="en-CA"/>
        </w:rPr>
        <w:t>Kindbridge</w:t>
      </w:r>
      <w:proofErr w:type="spellEnd"/>
      <w:r w:rsidRPr="008726F8">
        <w:rPr>
          <w:rFonts w:ascii="Times New Roman" w:eastAsia="Times New Roman" w:hAnsi="Times New Roman" w:cs="Times New Roman"/>
          <w:bCs/>
          <w:color w:val="000000"/>
          <w:sz w:val="24"/>
          <w:szCs w:val="24"/>
          <w:lang w:eastAsia="en-CA"/>
        </w:rPr>
        <w:t xml:space="preserve"> Research Institute. MNP discloses that he has consulted for and advised Game Day Data, Addiction Policy Forum, AXA, Idorsia, Baria-Tek, and </w:t>
      </w:r>
      <w:proofErr w:type="spellStart"/>
      <w:r w:rsidRPr="008726F8">
        <w:rPr>
          <w:rFonts w:ascii="Times New Roman" w:eastAsia="Times New Roman" w:hAnsi="Times New Roman" w:cs="Times New Roman"/>
          <w:bCs/>
          <w:color w:val="000000"/>
          <w:sz w:val="24"/>
          <w:szCs w:val="24"/>
          <w:lang w:eastAsia="en-CA"/>
        </w:rPr>
        <w:t>Opiant</w:t>
      </w:r>
      <w:proofErr w:type="spellEnd"/>
      <w:r w:rsidRPr="008726F8">
        <w:rPr>
          <w:rFonts w:ascii="Times New Roman" w:eastAsia="Times New Roman" w:hAnsi="Times New Roman" w:cs="Times New Roman"/>
          <w:bCs/>
          <w:color w:val="000000"/>
          <w:sz w:val="24"/>
          <w:szCs w:val="24"/>
          <w:lang w:eastAsia="en-CA"/>
        </w:rPr>
        <w:t xml:space="preserve"> Therapeutics; been involved in a patent application involving Novartis and Yale; received research support from the Mohegan Sun Casino</w:t>
      </w:r>
      <w:r>
        <w:rPr>
          <w:rFonts w:ascii="Times New Roman" w:eastAsia="Times New Roman" w:hAnsi="Times New Roman" w:cs="Times New Roman"/>
          <w:bCs/>
          <w:color w:val="000000"/>
          <w:sz w:val="24"/>
          <w:szCs w:val="24"/>
          <w:lang w:eastAsia="en-CA"/>
        </w:rPr>
        <w:t>, Children and Screens</w:t>
      </w:r>
      <w:r w:rsidRPr="008726F8">
        <w:rPr>
          <w:rFonts w:ascii="Times New Roman" w:eastAsia="Times New Roman" w:hAnsi="Times New Roman" w:cs="Times New Roman"/>
          <w:bCs/>
          <w:color w:val="000000"/>
          <w:sz w:val="24"/>
          <w:szCs w:val="24"/>
          <w:lang w:eastAsia="en-CA"/>
        </w:rPr>
        <w:t xml:space="preserve"> and the Connecticut Council on Problem Gambling; consulted for or advised legal and gambling entities on issues related to impulse control</w:t>
      </w:r>
      <w:r>
        <w:rPr>
          <w:rFonts w:ascii="Times New Roman" w:eastAsia="Times New Roman" w:hAnsi="Times New Roman" w:cs="Times New Roman"/>
          <w:bCs/>
          <w:color w:val="000000"/>
          <w:sz w:val="24"/>
          <w:szCs w:val="24"/>
          <w:lang w:eastAsia="en-CA"/>
        </w:rPr>
        <w:t>, internet use</w:t>
      </w:r>
      <w:r w:rsidRPr="008726F8">
        <w:rPr>
          <w:rFonts w:ascii="Times New Roman" w:eastAsia="Times New Roman" w:hAnsi="Times New Roman" w:cs="Times New Roman"/>
          <w:bCs/>
          <w:color w:val="000000"/>
          <w:sz w:val="24"/>
          <w:szCs w:val="24"/>
          <w:lang w:eastAsia="en-CA"/>
        </w:rPr>
        <w:t xml:space="preserve"> and addictive behaviors; provided clinical care related to impulse-control and addictive behaviors; performed grant reviews; edited journals/journal sections; given academic lectures in grand rounds, CME events and other clinical/scientific venues; and generated books or chapters for publishers of mental health texts. The University of Gibraltar receives funding from the Gibraltar Gambling Care Foundation, an independent, not-for-profit charity. ELTE Eötvös Loránd University receives funding from </w:t>
      </w:r>
      <w:proofErr w:type="spellStart"/>
      <w:r w:rsidRPr="008726F8">
        <w:rPr>
          <w:rFonts w:ascii="Times New Roman" w:eastAsia="Times New Roman" w:hAnsi="Times New Roman" w:cs="Times New Roman"/>
          <w:bCs/>
          <w:color w:val="000000"/>
          <w:sz w:val="24"/>
          <w:szCs w:val="24"/>
          <w:lang w:eastAsia="en-CA"/>
        </w:rPr>
        <w:t>Szerencsejáték</w:t>
      </w:r>
      <w:proofErr w:type="spellEnd"/>
      <w:r w:rsidRPr="008726F8">
        <w:rPr>
          <w:rFonts w:ascii="Times New Roman" w:eastAsia="Times New Roman" w:hAnsi="Times New Roman" w:cs="Times New Roman"/>
          <w:bCs/>
          <w:color w:val="000000"/>
          <w:sz w:val="24"/>
          <w:szCs w:val="24"/>
          <w:lang w:eastAsia="en-CA"/>
        </w:rPr>
        <w:t xml:space="preserve"> Ltd. (the gambling operator of the Hungarian government) to maintain a telephone helpline service </w:t>
      </w:r>
      <w:r w:rsidRPr="008726F8">
        <w:rPr>
          <w:rFonts w:ascii="Times New Roman" w:eastAsia="Times New Roman" w:hAnsi="Times New Roman" w:cs="Times New Roman"/>
          <w:bCs/>
          <w:color w:val="000000"/>
          <w:sz w:val="24"/>
          <w:szCs w:val="24"/>
          <w:lang w:eastAsia="en-CA"/>
        </w:rPr>
        <w:lastRenderedPageBreak/>
        <w:t>for problematic gambling. However, these funding sources are not related to this study, and the funding institution had no role in the study design or the collection, analysis, and interpretation of the data, the writing of the manuscript, or the decision to submit the paper for publication.</w:t>
      </w:r>
      <w:r>
        <w:rPr>
          <w:rFonts w:ascii="Times New Roman" w:eastAsia="Times New Roman" w:hAnsi="Times New Roman" w:cs="Times New Roman"/>
          <w:bCs/>
          <w:color w:val="000000"/>
          <w:sz w:val="24"/>
          <w:szCs w:val="24"/>
          <w:lang w:eastAsia="en-CA"/>
        </w:rPr>
        <w:t xml:space="preserve"> J. Burkauskas</w:t>
      </w:r>
      <w:r w:rsidRPr="00035D9E">
        <w:rPr>
          <w:rFonts w:ascii="Times New Roman" w:eastAsia="Times New Roman" w:hAnsi="Times New Roman" w:cs="Times New Roman"/>
          <w:bCs/>
          <w:color w:val="000000"/>
          <w:sz w:val="24"/>
          <w:szCs w:val="24"/>
          <w:lang w:eastAsia="en-CA"/>
        </w:rPr>
        <w:t xml:space="preserve"> </w:t>
      </w:r>
      <w:r>
        <w:rPr>
          <w:rFonts w:ascii="Times New Roman" w:eastAsia="Times New Roman" w:hAnsi="Times New Roman" w:cs="Times New Roman"/>
          <w:bCs/>
          <w:color w:val="000000"/>
          <w:sz w:val="24"/>
          <w:szCs w:val="24"/>
          <w:lang w:eastAsia="en-CA"/>
        </w:rPr>
        <w:t>works</w:t>
      </w:r>
      <w:r w:rsidRPr="00035D9E">
        <w:rPr>
          <w:rFonts w:ascii="Times New Roman" w:eastAsia="Times New Roman" w:hAnsi="Times New Roman" w:cs="Times New Roman"/>
          <w:bCs/>
          <w:color w:val="000000"/>
          <w:sz w:val="24"/>
          <w:szCs w:val="24"/>
          <w:lang w:eastAsia="en-CA"/>
        </w:rPr>
        <w:t xml:space="preserve"> as a consultant </w:t>
      </w:r>
      <w:r>
        <w:rPr>
          <w:rFonts w:ascii="Times New Roman" w:eastAsia="Times New Roman" w:hAnsi="Times New Roman" w:cs="Times New Roman"/>
          <w:bCs/>
          <w:color w:val="000000"/>
          <w:sz w:val="24"/>
          <w:szCs w:val="24"/>
          <w:lang w:eastAsia="en-CA"/>
        </w:rPr>
        <w:t>at</w:t>
      </w:r>
      <w:r w:rsidRPr="00035D9E">
        <w:rPr>
          <w:rFonts w:ascii="Times New Roman" w:eastAsia="Times New Roman" w:hAnsi="Times New Roman" w:cs="Times New Roman"/>
          <w:bCs/>
          <w:color w:val="000000"/>
          <w:sz w:val="24"/>
          <w:szCs w:val="24"/>
          <w:lang w:eastAsia="en-CA"/>
        </w:rPr>
        <w:t xml:space="preserve"> Cronos</w:t>
      </w:r>
      <w:r>
        <w:rPr>
          <w:rFonts w:ascii="Times New Roman" w:eastAsia="Times New Roman" w:hAnsi="Times New Roman" w:cs="Times New Roman"/>
          <w:bCs/>
          <w:color w:val="000000"/>
          <w:sz w:val="24"/>
          <w:szCs w:val="24"/>
          <w:lang w:eastAsia="en-CA"/>
        </w:rPr>
        <w:t xml:space="preserve">. </w:t>
      </w:r>
    </w:p>
    <w:p w14:paraId="545C83FE" w14:textId="77777777" w:rsidR="00494D70" w:rsidRPr="008726F8" w:rsidRDefault="00494D70" w:rsidP="00494D70">
      <w:pPr>
        <w:spacing w:after="0" w:line="480" w:lineRule="auto"/>
        <w:jc w:val="both"/>
        <w:rPr>
          <w:rFonts w:ascii="Times New Roman" w:eastAsia="Times New Roman" w:hAnsi="Times New Roman" w:cs="Times New Roman"/>
          <w:bCs/>
          <w:color w:val="000000"/>
          <w:sz w:val="24"/>
          <w:szCs w:val="24"/>
          <w:lang w:eastAsia="en-CA"/>
        </w:rPr>
      </w:pPr>
    </w:p>
    <w:p w14:paraId="7C4091F8" w14:textId="77777777" w:rsidR="00494D70" w:rsidRPr="008726F8" w:rsidRDefault="00494D70" w:rsidP="00494D70">
      <w:pPr>
        <w:spacing w:after="0" w:line="480" w:lineRule="auto"/>
        <w:rPr>
          <w:rFonts w:ascii="Times New Roman" w:eastAsia="Times New Roman" w:hAnsi="Times New Roman" w:cs="Times New Roman"/>
          <w:bCs/>
          <w:color w:val="000000"/>
          <w:sz w:val="24"/>
          <w:szCs w:val="24"/>
          <w:lang w:eastAsia="en-CA"/>
        </w:rPr>
      </w:pPr>
      <w:r w:rsidRPr="008726F8">
        <w:rPr>
          <w:rFonts w:ascii="Times New Roman" w:eastAsia="Times New Roman" w:hAnsi="Times New Roman" w:cs="Times New Roman"/>
          <w:bCs/>
          <w:i/>
          <w:iCs/>
          <w:color w:val="000000"/>
          <w:sz w:val="24"/>
          <w:szCs w:val="24"/>
          <w:lang w:eastAsia="en-CA"/>
        </w:rPr>
        <w:t>Acknowledgments</w:t>
      </w:r>
      <w:r w:rsidRPr="008726F8">
        <w:rPr>
          <w:rFonts w:ascii="Times New Roman" w:eastAsia="Times New Roman" w:hAnsi="Times New Roman" w:cs="Times New Roman"/>
          <w:bCs/>
          <w:color w:val="000000"/>
          <w:sz w:val="24"/>
          <w:szCs w:val="24"/>
          <w:lang w:eastAsia="en-CA"/>
        </w:rPr>
        <w:t xml:space="preserve">: </w:t>
      </w:r>
      <w:r w:rsidRPr="00133FF3">
        <w:rPr>
          <w:rFonts w:ascii="Times New Roman" w:eastAsia="Times New Roman" w:hAnsi="Times New Roman" w:cs="Times New Roman"/>
          <w:bCs/>
          <w:color w:val="000000"/>
          <w:sz w:val="24"/>
          <w:szCs w:val="24"/>
          <w:lang w:eastAsia="en-CA"/>
        </w:rPr>
        <w:t xml:space="preserve">The authors would like to thank Anastasia Lucic and Natasha Zippan for their help with project administration and data collection, and Abu Bakkar Siddique, Anne-Marie Menard, Clara </w:t>
      </w:r>
      <w:proofErr w:type="spellStart"/>
      <w:r w:rsidRPr="00133FF3">
        <w:rPr>
          <w:rFonts w:ascii="Times New Roman" w:eastAsia="Times New Roman" w:hAnsi="Times New Roman" w:cs="Times New Roman"/>
          <w:bCs/>
          <w:color w:val="000000"/>
          <w:sz w:val="24"/>
          <w:szCs w:val="24"/>
          <w:lang w:eastAsia="en-CA"/>
        </w:rPr>
        <w:t>Marincowitz</w:t>
      </w:r>
      <w:proofErr w:type="spellEnd"/>
      <w:r w:rsidRPr="00133FF3">
        <w:rPr>
          <w:rFonts w:ascii="Times New Roman" w:eastAsia="Times New Roman" w:hAnsi="Times New Roman" w:cs="Times New Roman"/>
          <w:bCs/>
          <w:color w:val="000000"/>
          <w:sz w:val="24"/>
          <w:szCs w:val="24"/>
          <w:lang w:eastAsia="en-CA"/>
        </w:rPr>
        <w:t xml:space="preserve">, Club </w:t>
      </w:r>
      <w:proofErr w:type="spellStart"/>
      <w:r w:rsidRPr="00133FF3">
        <w:rPr>
          <w:rFonts w:ascii="Times New Roman" w:eastAsia="Times New Roman" w:hAnsi="Times New Roman" w:cs="Times New Roman"/>
          <w:bCs/>
          <w:color w:val="000000"/>
          <w:sz w:val="24"/>
          <w:szCs w:val="24"/>
          <w:lang w:eastAsia="en-CA"/>
        </w:rPr>
        <w:t>Sexu</w:t>
      </w:r>
      <w:proofErr w:type="spellEnd"/>
      <w:r w:rsidRPr="00133FF3">
        <w:rPr>
          <w:rFonts w:ascii="Times New Roman" w:eastAsia="Times New Roman" w:hAnsi="Times New Roman" w:cs="Times New Roman"/>
          <w:bCs/>
          <w:color w:val="000000"/>
          <w:sz w:val="24"/>
          <w:szCs w:val="24"/>
          <w:lang w:eastAsia="en-CA"/>
        </w:rPr>
        <w:t xml:space="preserve">, </w:t>
      </w:r>
      <w:proofErr w:type="spellStart"/>
      <w:r w:rsidRPr="00133FF3">
        <w:rPr>
          <w:rFonts w:ascii="Times New Roman" w:eastAsia="Times New Roman" w:hAnsi="Times New Roman" w:cs="Times New Roman"/>
          <w:bCs/>
          <w:color w:val="000000"/>
          <w:sz w:val="24"/>
          <w:szCs w:val="24"/>
          <w:lang w:eastAsia="en-CA"/>
        </w:rPr>
        <w:t>Critica</w:t>
      </w:r>
      <w:proofErr w:type="spellEnd"/>
      <w:r w:rsidRPr="00133FF3">
        <w:rPr>
          <w:rFonts w:ascii="Times New Roman" w:eastAsia="Times New Roman" w:hAnsi="Times New Roman" w:cs="Times New Roman"/>
          <w:bCs/>
          <w:color w:val="000000"/>
          <w:sz w:val="24"/>
          <w:szCs w:val="24"/>
          <w:lang w:eastAsia="en-CA"/>
        </w:rPr>
        <w:t>, Digital Ethics Center (</w:t>
      </w:r>
      <w:proofErr w:type="spellStart"/>
      <w:r w:rsidRPr="00133FF3">
        <w:rPr>
          <w:rFonts w:ascii="Times New Roman" w:eastAsia="Times New Roman" w:hAnsi="Times New Roman" w:cs="Times New Roman"/>
          <w:bCs/>
          <w:color w:val="000000"/>
          <w:sz w:val="24"/>
          <w:szCs w:val="24"/>
          <w:lang w:eastAsia="en-CA"/>
        </w:rPr>
        <w:t>Skaitmeninės</w:t>
      </w:r>
      <w:proofErr w:type="spellEnd"/>
      <w:r w:rsidRPr="00133FF3">
        <w:rPr>
          <w:rFonts w:ascii="Times New Roman" w:eastAsia="Times New Roman" w:hAnsi="Times New Roman" w:cs="Times New Roman"/>
          <w:bCs/>
          <w:color w:val="000000"/>
          <w:sz w:val="24"/>
          <w:szCs w:val="24"/>
          <w:lang w:eastAsia="en-CA"/>
        </w:rPr>
        <w:t xml:space="preserve"> </w:t>
      </w:r>
      <w:proofErr w:type="spellStart"/>
      <w:r w:rsidRPr="00133FF3">
        <w:rPr>
          <w:rFonts w:ascii="Times New Roman" w:eastAsia="Times New Roman" w:hAnsi="Times New Roman" w:cs="Times New Roman"/>
          <w:bCs/>
          <w:color w:val="000000"/>
          <w:sz w:val="24"/>
          <w:szCs w:val="24"/>
          <w:lang w:eastAsia="en-CA"/>
        </w:rPr>
        <w:t>etikos</w:t>
      </w:r>
      <w:proofErr w:type="spellEnd"/>
      <w:r w:rsidRPr="00133FF3">
        <w:rPr>
          <w:rFonts w:ascii="Times New Roman" w:eastAsia="Times New Roman" w:hAnsi="Times New Roman" w:cs="Times New Roman"/>
          <w:bCs/>
          <w:color w:val="000000"/>
          <w:sz w:val="24"/>
          <w:szCs w:val="24"/>
          <w:lang w:eastAsia="en-CA"/>
        </w:rPr>
        <w:t xml:space="preserve"> </w:t>
      </w:r>
      <w:proofErr w:type="spellStart"/>
      <w:r w:rsidRPr="00133FF3">
        <w:rPr>
          <w:rFonts w:ascii="Times New Roman" w:eastAsia="Times New Roman" w:hAnsi="Times New Roman" w:cs="Times New Roman"/>
          <w:bCs/>
          <w:color w:val="000000"/>
          <w:sz w:val="24"/>
          <w:szCs w:val="24"/>
          <w:lang w:eastAsia="en-CA"/>
        </w:rPr>
        <w:t>centras</w:t>
      </w:r>
      <w:proofErr w:type="spellEnd"/>
      <w:r w:rsidRPr="00133FF3">
        <w:rPr>
          <w:rFonts w:ascii="Times New Roman" w:eastAsia="Times New Roman" w:hAnsi="Times New Roman" w:cs="Times New Roman"/>
          <w:bCs/>
          <w:color w:val="000000"/>
          <w:sz w:val="24"/>
          <w:szCs w:val="24"/>
          <w:lang w:eastAsia="en-CA"/>
        </w:rPr>
        <w:t xml:space="preserve">), Día a Día, Ed Carty, El Siglo, Jakia Akter, Jayma Jannat Juma, Kamrun Nahar Momo, Kevin Zavaleta, Laraine Murray, </w:t>
      </w:r>
      <w:proofErr w:type="spellStart"/>
      <w:r w:rsidRPr="00133FF3">
        <w:rPr>
          <w:rFonts w:ascii="Times New Roman" w:eastAsia="Times New Roman" w:hAnsi="Times New Roman" w:cs="Times New Roman"/>
          <w:bCs/>
          <w:color w:val="000000"/>
          <w:sz w:val="24"/>
          <w:szCs w:val="24"/>
          <w:lang w:eastAsia="en-CA"/>
        </w:rPr>
        <w:t>L’Avenir</w:t>
      </w:r>
      <w:proofErr w:type="spellEnd"/>
      <w:r w:rsidRPr="00133FF3">
        <w:rPr>
          <w:rFonts w:ascii="Times New Roman" w:eastAsia="Times New Roman" w:hAnsi="Times New Roman" w:cs="Times New Roman"/>
          <w:bCs/>
          <w:color w:val="000000"/>
          <w:sz w:val="24"/>
          <w:szCs w:val="24"/>
          <w:lang w:eastAsia="en-CA"/>
        </w:rPr>
        <w:t xml:space="preserve"> de </w:t>
      </w:r>
      <w:proofErr w:type="spellStart"/>
      <w:r w:rsidRPr="00133FF3">
        <w:rPr>
          <w:rFonts w:ascii="Times New Roman" w:eastAsia="Times New Roman" w:hAnsi="Times New Roman" w:cs="Times New Roman"/>
          <w:bCs/>
          <w:color w:val="000000"/>
          <w:sz w:val="24"/>
          <w:szCs w:val="24"/>
          <w:lang w:eastAsia="en-CA"/>
        </w:rPr>
        <w:t>l’Artois</w:t>
      </w:r>
      <w:proofErr w:type="spellEnd"/>
      <w:r w:rsidRPr="00133FF3">
        <w:rPr>
          <w:rFonts w:ascii="Times New Roman" w:eastAsia="Times New Roman" w:hAnsi="Times New Roman" w:cs="Times New Roman"/>
          <w:bCs/>
          <w:color w:val="000000"/>
          <w:sz w:val="24"/>
          <w:szCs w:val="24"/>
          <w:lang w:eastAsia="en-CA"/>
        </w:rPr>
        <w:t xml:space="preserve">, La Estrella de Panamá, La Voix du Nord, Le Parisien, Lithuanian National Radio and Television (Lietuvos </w:t>
      </w:r>
      <w:proofErr w:type="spellStart"/>
      <w:r w:rsidRPr="00133FF3">
        <w:rPr>
          <w:rFonts w:ascii="Times New Roman" w:eastAsia="Times New Roman" w:hAnsi="Times New Roman" w:cs="Times New Roman"/>
          <w:bCs/>
          <w:color w:val="000000"/>
          <w:sz w:val="24"/>
          <w:szCs w:val="24"/>
          <w:lang w:eastAsia="en-CA"/>
        </w:rPr>
        <w:t>nacionalinis</w:t>
      </w:r>
      <w:proofErr w:type="spellEnd"/>
      <w:r w:rsidRPr="00133FF3">
        <w:rPr>
          <w:rFonts w:ascii="Times New Roman" w:eastAsia="Times New Roman" w:hAnsi="Times New Roman" w:cs="Times New Roman"/>
          <w:bCs/>
          <w:color w:val="000000"/>
          <w:sz w:val="24"/>
          <w:szCs w:val="24"/>
          <w:lang w:eastAsia="en-CA"/>
        </w:rPr>
        <w:t xml:space="preserve"> </w:t>
      </w:r>
      <w:proofErr w:type="spellStart"/>
      <w:r w:rsidRPr="00133FF3">
        <w:rPr>
          <w:rFonts w:ascii="Times New Roman" w:eastAsia="Times New Roman" w:hAnsi="Times New Roman" w:cs="Times New Roman"/>
          <w:bCs/>
          <w:color w:val="000000"/>
          <w:sz w:val="24"/>
          <w:szCs w:val="24"/>
          <w:lang w:eastAsia="en-CA"/>
        </w:rPr>
        <w:t>radijas</w:t>
      </w:r>
      <w:proofErr w:type="spellEnd"/>
      <w:r w:rsidRPr="00133FF3">
        <w:rPr>
          <w:rFonts w:ascii="Times New Roman" w:eastAsia="Times New Roman" w:hAnsi="Times New Roman" w:cs="Times New Roman"/>
          <w:bCs/>
          <w:color w:val="000000"/>
          <w:sz w:val="24"/>
          <w:szCs w:val="24"/>
          <w:lang w:eastAsia="en-CA"/>
        </w:rPr>
        <w:t xml:space="preserve"> </w:t>
      </w:r>
      <w:proofErr w:type="spellStart"/>
      <w:r w:rsidRPr="00133FF3">
        <w:rPr>
          <w:rFonts w:ascii="Times New Roman" w:eastAsia="Times New Roman" w:hAnsi="Times New Roman" w:cs="Times New Roman"/>
          <w:bCs/>
          <w:color w:val="000000"/>
          <w:sz w:val="24"/>
          <w:szCs w:val="24"/>
          <w:lang w:eastAsia="en-CA"/>
        </w:rPr>
        <w:t>ir</w:t>
      </w:r>
      <w:proofErr w:type="spellEnd"/>
      <w:r w:rsidRPr="00133FF3">
        <w:rPr>
          <w:rFonts w:ascii="Times New Roman" w:eastAsia="Times New Roman" w:hAnsi="Times New Roman" w:cs="Times New Roman"/>
          <w:bCs/>
          <w:color w:val="000000"/>
          <w:sz w:val="24"/>
          <w:szCs w:val="24"/>
          <w:lang w:eastAsia="en-CA"/>
        </w:rPr>
        <w:t xml:space="preserve"> </w:t>
      </w:r>
      <w:proofErr w:type="spellStart"/>
      <w:r w:rsidRPr="00133FF3">
        <w:rPr>
          <w:rFonts w:ascii="Times New Roman" w:eastAsia="Times New Roman" w:hAnsi="Times New Roman" w:cs="Times New Roman"/>
          <w:bCs/>
          <w:color w:val="000000"/>
          <w:sz w:val="24"/>
          <w:szCs w:val="24"/>
          <w:lang w:eastAsia="en-CA"/>
        </w:rPr>
        <w:t>televizija</w:t>
      </w:r>
      <w:proofErr w:type="spellEnd"/>
      <w:r w:rsidRPr="00133FF3">
        <w:rPr>
          <w:rFonts w:ascii="Times New Roman" w:eastAsia="Times New Roman" w:hAnsi="Times New Roman" w:cs="Times New Roman"/>
          <w:bCs/>
          <w:color w:val="000000"/>
          <w:sz w:val="24"/>
          <w:szCs w:val="24"/>
          <w:lang w:eastAsia="en-CA"/>
        </w:rPr>
        <w:t xml:space="preserve">), </w:t>
      </w:r>
      <w:proofErr w:type="spellStart"/>
      <w:r w:rsidRPr="00133FF3">
        <w:rPr>
          <w:rFonts w:ascii="Times New Roman" w:eastAsia="Times New Roman" w:hAnsi="Times New Roman" w:cs="Times New Roman"/>
          <w:bCs/>
          <w:color w:val="000000"/>
          <w:sz w:val="24"/>
          <w:szCs w:val="24"/>
          <w:lang w:eastAsia="en-CA"/>
        </w:rPr>
        <w:t>Mahfuzul</w:t>
      </w:r>
      <w:proofErr w:type="spellEnd"/>
      <w:r w:rsidRPr="00133FF3">
        <w:rPr>
          <w:rFonts w:ascii="Times New Roman" w:eastAsia="Times New Roman" w:hAnsi="Times New Roman" w:cs="Times New Roman"/>
          <w:bCs/>
          <w:color w:val="000000"/>
          <w:sz w:val="24"/>
          <w:szCs w:val="24"/>
          <w:lang w:eastAsia="en-CA"/>
        </w:rPr>
        <w:t xml:space="preserve"> Islam, Marjia Khan Trisha, Md. Rabiul Islam, Md. Shahariar Emon, Miriam Goodridge, Most. Mariam Jamila, Nahida </w:t>
      </w:r>
      <w:proofErr w:type="spellStart"/>
      <w:r w:rsidRPr="00133FF3">
        <w:rPr>
          <w:rFonts w:ascii="Times New Roman" w:eastAsia="Times New Roman" w:hAnsi="Times New Roman" w:cs="Times New Roman"/>
          <w:bCs/>
          <w:color w:val="000000"/>
          <w:sz w:val="24"/>
          <w:szCs w:val="24"/>
          <w:lang w:eastAsia="en-CA"/>
        </w:rPr>
        <w:t>Bintee</w:t>
      </w:r>
      <w:proofErr w:type="spellEnd"/>
      <w:r w:rsidRPr="00133FF3">
        <w:rPr>
          <w:rFonts w:ascii="Times New Roman" w:eastAsia="Times New Roman" w:hAnsi="Times New Roman" w:cs="Times New Roman"/>
          <w:bCs/>
          <w:color w:val="000000"/>
          <w:sz w:val="24"/>
          <w:szCs w:val="24"/>
          <w:lang w:eastAsia="en-CA"/>
        </w:rPr>
        <w:t xml:space="preserve"> </w:t>
      </w:r>
      <w:proofErr w:type="spellStart"/>
      <w:r w:rsidRPr="00133FF3">
        <w:rPr>
          <w:rFonts w:ascii="Times New Roman" w:eastAsia="Times New Roman" w:hAnsi="Times New Roman" w:cs="Times New Roman"/>
          <w:bCs/>
          <w:color w:val="000000"/>
          <w:sz w:val="24"/>
          <w:szCs w:val="24"/>
          <w:lang w:eastAsia="en-CA"/>
        </w:rPr>
        <w:t>Mostofa</w:t>
      </w:r>
      <w:proofErr w:type="spellEnd"/>
      <w:r w:rsidRPr="00133FF3">
        <w:rPr>
          <w:rFonts w:ascii="Times New Roman" w:eastAsia="Times New Roman" w:hAnsi="Times New Roman" w:cs="Times New Roman"/>
          <w:bCs/>
          <w:color w:val="000000"/>
          <w:sz w:val="24"/>
          <w:szCs w:val="24"/>
          <w:lang w:eastAsia="en-CA"/>
        </w:rPr>
        <w:t xml:space="preserve">, </w:t>
      </w:r>
      <w:proofErr w:type="spellStart"/>
      <w:r w:rsidRPr="00133FF3">
        <w:rPr>
          <w:rFonts w:ascii="Times New Roman" w:eastAsia="Times New Roman" w:hAnsi="Times New Roman" w:cs="Times New Roman"/>
          <w:bCs/>
          <w:color w:val="000000"/>
          <w:sz w:val="24"/>
          <w:szCs w:val="24"/>
          <w:lang w:eastAsia="en-CA"/>
        </w:rPr>
        <w:t>Nargees</w:t>
      </w:r>
      <w:proofErr w:type="spellEnd"/>
      <w:r w:rsidRPr="00133FF3">
        <w:rPr>
          <w:rFonts w:ascii="Times New Roman" w:eastAsia="Times New Roman" w:hAnsi="Times New Roman" w:cs="Times New Roman"/>
          <w:bCs/>
          <w:color w:val="000000"/>
          <w:sz w:val="24"/>
          <w:szCs w:val="24"/>
          <w:lang w:eastAsia="en-CA"/>
        </w:rPr>
        <w:t xml:space="preserve"> Akter, Niamh Connolly, Rafael </w:t>
      </w:r>
      <w:proofErr w:type="spellStart"/>
      <w:r w:rsidRPr="00133FF3">
        <w:rPr>
          <w:rFonts w:ascii="Times New Roman" w:eastAsia="Times New Roman" w:hAnsi="Times New Roman" w:cs="Times New Roman"/>
          <w:bCs/>
          <w:color w:val="000000"/>
          <w:sz w:val="24"/>
          <w:szCs w:val="24"/>
          <w:lang w:eastAsia="en-CA"/>
        </w:rPr>
        <w:t>Goyoneche</w:t>
      </w:r>
      <w:proofErr w:type="spellEnd"/>
      <w:r w:rsidRPr="00133FF3">
        <w:rPr>
          <w:rFonts w:ascii="Times New Roman" w:eastAsia="Times New Roman" w:hAnsi="Times New Roman" w:cs="Times New Roman"/>
          <w:bCs/>
          <w:color w:val="000000"/>
          <w:sz w:val="24"/>
          <w:szCs w:val="24"/>
          <w:lang w:eastAsia="en-CA"/>
        </w:rPr>
        <w:t xml:space="preserve">, Raiyaan Tabassum </w:t>
      </w:r>
      <w:proofErr w:type="spellStart"/>
      <w:r w:rsidRPr="00133FF3">
        <w:rPr>
          <w:rFonts w:ascii="Times New Roman" w:eastAsia="Times New Roman" w:hAnsi="Times New Roman" w:cs="Times New Roman"/>
          <w:bCs/>
          <w:color w:val="000000"/>
          <w:sz w:val="24"/>
          <w:szCs w:val="24"/>
          <w:lang w:eastAsia="en-CA"/>
        </w:rPr>
        <w:t>Imita</w:t>
      </w:r>
      <w:proofErr w:type="spellEnd"/>
      <w:r w:rsidRPr="00133FF3">
        <w:rPr>
          <w:rFonts w:ascii="Times New Roman" w:eastAsia="Times New Roman" w:hAnsi="Times New Roman" w:cs="Times New Roman"/>
          <w:bCs/>
          <w:color w:val="000000"/>
          <w:sz w:val="24"/>
          <w:szCs w:val="24"/>
          <w:lang w:eastAsia="en-CA"/>
        </w:rPr>
        <w:t xml:space="preserve">, Raquel Savage, Ricardo Mendoza, Saima Fariha, SOS Orienta and Colegio de </w:t>
      </w:r>
      <w:proofErr w:type="spellStart"/>
      <w:r w:rsidRPr="00133FF3">
        <w:rPr>
          <w:rFonts w:ascii="Times New Roman" w:eastAsia="Times New Roman" w:hAnsi="Times New Roman" w:cs="Times New Roman"/>
          <w:bCs/>
          <w:color w:val="000000"/>
          <w:sz w:val="24"/>
          <w:szCs w:val="24"/>
          <w:lang w:eastAsia="en-CA"/>
        </w:rPr>
        <w:t>Psicólogos</w:t>
      </w:r>
      <w:proofErr w:type="spellEnd"/>
      <w:r w:rsidRPr="00133FF3">
        <w:rPr>
          <w:rFonts w:ascii="Times New Roman" w:eastAsia="Times New Roman" w:hAnsi="Times New Roman" w:cs="Times New Roman"/>
          <w:bCs/>
          <w:color w:val="000000"/>
          <w:sz w:val="24"/>
          <w:szCs w:val="24"/>
          <w:lang w:eastAsia="en-CA"/>
        </w:rPr>
        <w:t xml:space="preserve"> del Perú, Stephanie Kewley, Sumaiya Hassan, Susanne Bründl, Tamim Ikram, Telex.hu, Trisha Mallick, Tushar Ahmed Emon, </w:t>
      </w:r>
      <w:proofErr w:type="spellStart"/>
      <w:r w:rsidRPr="00133FF3">
        <w:rPr>
          <w:rFonts w:ascii="Times New Roman" w:eastAsia="Times New Roman" w:hAnsi="Times New Roman" w:cs="Times New Roman"/>
          <w:bCs/>
          <w:color w:val="000000"/>
          <w:sz w:val="24"/>
          <w:szCs w:val="24"/>
          <w:lang w:eastAsia="en-CA"/>
        </w:rPr>
        <w:t>Wéo</w:t>
      </w:r>
      <w:proofErr w:type="spellEnd"/>
      <w:r w:rsidRPr="00133FF3">
        <w:rPr>
          <w:rFonts w:ascii="Times New Roman" w:eastAsia="Times New Roman" w:hAnsi="Times New Roman" w:cs="Times New Roman"/>
          <w:bCs/>
          <w:color w:val="000000"/>
          <w:sz w:val="24"/>
          <w:szCs w:val="24"/>
          <w:lang w:eastAsia="en-CA"/>
        </w:rPr>
        <w:t>, and Yasmin Benoit for their help with recruitment and data collection.</w:t>
      </w:r>
    </w:p>
    <w:p w14:paraId="542CCA1C" w14:textId="77777777" w:rsidR="00494D70" w:rsidRPr="008726F8" w:rsidRDefault="00494D70" w:rsidP="00494D70">
      <w:pPr>
        <w:spacing w:after="0" w:line="480" w:lineRule="auto"/>
        <w:rPr>
          <w:rFonts w:ascii="Times New Roman" w:eastAsia="Times New Roman" w:hAnsi="Times New Roman" w:cs="Times New Roman"/>
          <w:bCs/>
          <w:color w:val="000000"/>
          <w:sz w:val="24"/>
          <w:szCs w:val="24"/>
          <w:lang w:eastAsia="en-CA"/>
        </w:rPr>
      </w:pPr>
    </w:p>
    <w:p w14:paraId="5552671E" w14:textId="77777777" w:rsidR="00494D70" w:rsidRPr="008726F8" w:rsidRDefault="00494D70" w:rsidP="00494D70">
      <w:pPr>
        <w:spacing w:after="0" w:line="480" w:lineRule="auto"/>
        <w:rPr>
          <w:rFonts w:ascii="Times New Roman" w:eastAsia="Times New Roman" w:hAnsi="Times New Roman" w:cs="Times New Roman"/>
          <w:bCs/>
          <w:color w:val="000000"/>
          <w:sz w:val="24"/>
          <w:szCs w:val="24"/>
          <w:lang w:eastAsia="en-CA"/>
        </w:rPr>
      </w:pPr>
      <w:r w:rsidRPr="008726F8">
        <w:rPr>
          <w:rFonts w:ascii="Times New Roman" w:eastAsia="Times New Roman" w:hAnsi="Times New Roman" w:cs="Times New Roman"/>
          <w:bCs/>
          <w:i/>
          <w:color w:val="000000"/>
          <w:sz w:val="24"/>
          <w:szCs w:val="24"/>
          <w:lang w:eastAsia="en-CA"/>
        </w:rPr>
        <w:t xml:space="preserve">Ethics: </w:t>
      </w:r>
      <w:r w:rsidRPr="008726F8">
        <w:rPr>
          <w:rFonts w:ascii="Times New Roman" w:eastAsia="Times New Roman" w:hAnsi="Times New Roman" w:cs="Times New Roman"/>
          <w:bCs/>
          <w:sz w:val="24"/>
          <w:szCs w:val="24"/>
          <w:lang w:eastAsia="en-CA"/>
        </w:rPr>
        <w:t xml:space="preserve">The authors assert that all procedures contributing to this work comply with the relevant national and institutional committees' ethical standards on human experimentation and the Helsinki Declaration. </w:t>
      </w:r>
      <w:r w:rsidRPr="008726F8">
        <w:rPr>
          <w:rFonts w:ascii="Times New Roman" w:eastAsia="Times New Roman" w:hAnsi="Times New Roman" w:cs="Times New Roman"/>
          <w:bCs/>
          <w:color w:val="000000"/>
          <w:sz w:val="24"/>
          <w:szCs w:val="24"/>
          <w:lang w:eastAsia="en-CA"/>
        </w:rPr>
        <w:t xml:space="preserve">The study was approved by all collaborating countries' national/institutional ethics review boards: </w:t>
      </w:r>
      <w:hyperlink r:id="rId9" w:history="1">
        <w:r w:rsidRPr="008726F8">
          <w:rPr>
            <w:rStyle w:val="Hiperhivatkozs"/>
            <w:rFonts w:ascii="Times New Roman" w:eastAsia="Times New Roman" w:hAnsi="Times New Roman" w:cs="Times New Roman"/>
            <w:bCs/>
            <w:sz w:val="24"/>
            <w:szCs w:val="24"/>
            <w:lang w:eastAsia="en-CA"/>
          </w:rPr>
          <w:t>https://osf.io/e93kf</w:t>
        </w:r>
      </w:hyperlink>
      <w:r w:rsidRPr="008726F8">
        <w:rPr>
          <w:rFonts w:ascii="Times New Roman" w:eastAsia="Times New Roman" w:hAnsi="Times New Roman" w:cs="Times New Roman"/>
          <w:bCs/>
          <w:color w:val="000000"/>
          <w:sz w:val="24"/>
          <w:szCs w:val="24"/>
          <w:lang w:eastAsia="en-CA"/>
        </w:rPr>
        <w:t xml:space="preserve"> </w:t>
      </w:r>
    </w:p>
    <w:p w14:paraId="2F7A1340" w14:textId="77777777" w:rsidR="00494D70" w:rsidRDefault="00494D70" w:rsidP="008B5416">
      <w:pPr>
        <w:spacing w:after="0" w:line="480" w:lineRule="auto"/>
        <w:rPr>
          <w:rFonts w:ascii="Times New Roman" w:eastAsia="Calibri" w:hAnsi="Times New Roman" w:cs="Times New Roman"/>
          <w:bCs/>
          <w:sz w:val="24"/>
          <w:szCs w:val="24"/>
        </w:rPr>
      </w:pPr>
    </w:p>
    <w:p w14:paraId="7B1824BE" w14:textId="77777777" w:rsidR="00494D70" w:rsidRDefault="00494D70" w:rsidP="008B5416">
      <w:pPr>
        <w:spacing w:after="0" w:line="480" w:lineRule="auto"/>
        <w:rPr>
          <w:rFonts w:ascii="Times New Roman" w:eastAsia="Times New Roman" w:hAnsi="Times New Roman" w:cs="Times New Roman"/>
          <w:b/>
          <w:color w:val="000000"/>
          <w:sz w:val="24"/>
          <w:szCs w:val="24"/>
          <w:lang w:eastAsia="en-CA"/>
        </w:rPr>
      </w:pPr>
    </w:p>
    <w:p w14:paraId="59AC89BC" w14:textId="77777777" w:rsidR="00494D70" w:rsidRDefault="00494D70" w:rsidP="008B5416">
      <w:pPr>
        <w:spacing w:after="0" w:line="480" w:lineRule="auto"/>
        <w:rPr>
          <w:rFonts w:ascii="Times New Roman" w:eastAsia="Times New Roman" w:hAnsi="Times New Roman" w:cs="Times New Roman"/>
          <w:b/>
          <w:color w:val="000000"/>
          <w:sz w:val="24"/>
          <w:szCs w:val="24"/>
          <w:lang w:eastAsia="en-CA"/>
        </w:rPr>
      </w:pPr>
    </w:p>
    <w:p w14:paraId="71E8A123" w14:textId="79415025" w:rsidR="008B5416" w:rsidRPr="00494D70" w:rsidRDefault="008B5416" w:rsidP="008B5416">
      <w:pPr>
        <w:spacing w:after="0" w:line="480" w:lineRule="auto"/>
        <w:rPr>
          <w:rFonts w:ascii="Times New Roman" w:eastAsia="Calibri" w:hAnsi="Times New Roman" w:cs="Times New Roman"/>
          <w:b/>
          <w:sz w:val="24"/>
          <w:szCs w:val="24"/>
        </w:rPr>
      </w:pPr>
      <w:r w:rsidRPr="00494D70">
        <w:rPr>
          <w:rFonts w:ascii="Times New Roman" w:eastAsia="Times New Roman" w:hAnsi="Times New Roman" w:cs="Times New Roman"/>
          <w:b/>
          <w:color w:val="000000"/>
          <w:sz w:val="24"/>
          <w:szCs w:val="24"/>
          <w:lang w:eastAsia="en-CA"/>
        </w:rPr>
        <w:lastRenderedPageBreak/>
        <w:t>Abstract</w:t>
      </w:r>
    </w:p>
    <w:p w14:paraId="047AB2DB" w14:textId="7535952A" w:rsidR="008B5416" w:rsidRPr="00494D70" w:rsidRDefault="008B5416" w:rsidP="008B5416">
      <w:pPr>
        <w:spacing w:after="0" w:line="480" w:lineRule="auto"/>
        <w:rPr>
          <w:rFonts w:ascii="Times New Roman" w:eastAsia="Calibri" w:hAnsi="Times New Roman" w:cs="Times New Roman"/>
          <w:bCs/>
          <w:sz w:val="24"/>
          <w:szCs w:val="24"/>
        </w:rPr>
      </w:pPr>
      <w:r w:rsidRPr="00494D70">
        <w:rPr>
          <w:rFonts w:ascii="Times New Roman" w:eastAsia="Calibri" w:hAnsi="Times New Roman" w:cs="Times New Roman"/>
          <w:bCs/>
          <w:sz w:val="24"/>
          <w:szCs w:val="24"/>
        </w:rPr>
        <w:t>Sexual assertiveness (SA)</w:t>
      </w:r>
      <w:r w:rsidR="00D74002" w:rsidRPr="00494D70">
        <w:rPr>
          <w:rFonts w:ascii="Times New Roman" w:eastAsia="Calibri" w:hAnsi="Times New Roman" w:cs="Times New Roman"/>
          <w:bCs/>
          <w:sz w:val="24"/>
          <w:szCs w:val="24"/>
        </w:rPr>
        <w:t xml:space="preserve"> </w:t>
      </w:r>
      <w:r w:rsidRPr="00494D70">
        <w:rPr>
          <w:rFonts w:ascii="Times New Roman" w:eastAsia="Calibri" w:hAnsi="Times New Roman" w:cs="Times New Roman"/>
          <w:bCs/>
          <w:sz w:val="24"/>
          <w:szCs w:val="24"/>
        </w:rPr>
        <w:t>is a</w:t>
      </w:r>
      <w:r w:rsidR="00163BAB" w:rsidRPr="00494D70">
        <w:rPr>
          <w:rFonts w:ascii="Times New Roman" w:eastAsia="Calibri" w:hAnsi="Times New Roman" w:cs="Times New Roman"/>
          <w:bCs/>
          <w:sz w:val="24"/>
          <w:szCs w:val="24"/>
        </w:rPr>
        <w:t>n</w:t>
      </w:r>
      <w:r w:rsidRPr="00494D70">
        <w:rPr>
          <w:rFonts w:ascii="Times New Roman" w:eastAsia="Calibri" w:hAnsi="Times New Roman" w:cs="Times New Roman"/>
          <w:bCs/>
          <w:sz w:val="24"/>
          <w:szCs w:val="24"/>
        </w:rPr>
        <w:t xml:space="preserve"> </w:t>
      </w:r>
      <w:r w:rsidR="00717E21" w:rsidRPr="00494D70">
        <w:rPr>
          <w:rFonts w:ascii="Times New Roman" w:eastAsia="Calibri" w:hAnsi="Times New Roman" w:cs="Times New Roman"/>
          <w:bCs/>
          <w:sz w:val="24"/>
          <w:szCs w:val="24"/>
        </w:rPr>
        <w:t>important</w:t>
      </w:r>
      <w:r w:rsidRPr="00494D70">
        <w:rPr>
          <w:rFonts w:ascii="Times New Roman" w:eastAsia="Calibri" w:hAnsi="Times New Roman" w:cs="Times New Roman"/>
          <w:bCs/>
          <w:sz w:val="24"/>
          <w:szCs w:val="24"/>
        </w:rPr>
        <w:t xml:space="preserve"> </w:t>
      </w:r>
      <w:r w:rsidR="00F501FE" w:rsidRPr="00494D70">
        <w:rPr>
          <w:rFonts w:ascii="Times New Roman" w:eastAsia="Calibri" w:hAnsi="Times New Roman" w:cs="Times New Roman"/>
          <w:bCs/>
          <w:sz w:val="24"/>
          <w:szCs w:val="24"/>
        </w:rPr>
        <w:t>concept</w:t>
      </w:r>
      <w:r w:rsidR="00163BAB" w:rsidRPr="00494D70">
        <w:rPr>
          <w:rFonts w:ascii="Times New Roman" w:eastAsia="Calibri" w:hAnsi="Times New Roman" w:cs="Times New Roman"/>
          <w:bCs/>
          <w:sz w:val="24"/>
          <w:szCs w:val="24"/>
        </w:rPr>
        <w:t xml:space="preserve"> in understanding </w:t>
      </w:r>
      <w:r w:rsidRPr="00494D70">
        <w:rPr>
          <w:rFonts w:ascii="Times New Roman" w:eastAsia="Calibri" w:hAnsi="Times New Roman" w:cs="Times New Roman"/>
          <w:bCs/>
          <w:sz w:val="24"/>
          <w:szCs w:val="24"/>
        </w:rPr>
        <w:t>sexual well-being and decision</w:t>
      </w:r>
      <w:r w:rsidR="004338E7" w:rsidRPr="00494D70">
        <w:rPr>
          <w:rFonts w:ascii="Times New Roman" w:eastAsia="Calibri" w:hAnsi="Times New Roman" w:cs="Times New Roman"/>
          <w:bCs/>
          <w:sz w:val="24"/>
          <w:szCs w:val="24"/>
        </w:rPr>
        <w:t>-</w:t>
      </w:r>
      <w:r w:rsidRPr="00494D70">
        <w:rPr>
          <w:rFonts w:ascii="Times New Roman" w:eastAsia="Calibri" w:hAnsi="Times New Roman" w:cs="Times New Roman"/>
          <w:bCs/>
          <w:sz w:val="24"/>
          <w:szCs w:val="24"/>
        </w:rPr>
        <w:t>making</w:t>
      </w:r>
      <w:r w:rsidR="005A51A6" w:rsidRPr="00494D70">
        <w:rPr>
          <w:rFonts w:ascii="Times New Roman" w:eastAsia="Calibri" w:hAnsi="Times New Roman" w:cs="Times New Roman"/>
          <w:bCs/>
          <w:sz w:val="24"/>
          <w:szCs w:val="24"/>
        </w:rPr>
        <w:t>.</w:t>
      </w:r>
      <w:r w:rsidR="00F501FE" w:rsidRPr="00494D70">
        <w:rPr>
          <w:rFonts w:ascii="Times New Roman" w:eastAsia="Calibri" w:hAnsi="Times New Roman" w:cs="Times New Roman"/>
          <w:bCs/>
          <w:sz w:val="24"/>
          <w:szCs w:val="24"/>
        </w:rPr>
        <w:t xml:space="preserve"> </w:t>
      </w:r>
      <w:r w:rsidR="005A51A6" w:rsidRPr="00494D70">
        <w:rPr>
          <w:rFonts w:ascii="Times New Roman" w:eastAsia="Calibri" w:hAnsi="Times New Roman" w:cs="Times New Roman"/>
          <w:bCs/>
          <w:sz w:val="24"/>
          <w:szCs w:val="24"/>
        </w:rPr>
        <w:t>H</w:t>
      </w:r>
      <w:r w:rsidR="00F501FE" w:rsidRPr="00494D70">
        <w:rPr>
          <w:rFonts w:ascii="Times New Roman" w:eastAsia="Calibri" w:hAnsi="Times New Roman" w:cs="Times New Roman"/>
          <w:bCs/>
          <w:sz w:val="24"/>
          <w:szCs w:val="24"/>
        </w:rPr>
        <w:t xml:space="preserve">owever, </w:t>
      </w:r>
      <w:r w:rsidRPr="00494D70">
        <w:rPr>
          <w:rFonts w:ascii="Times New Roman" w:eastAsia="Calibri" w:hAnsi="Times New Roman" w:cs="Times New Roman"/>
          <w:bCs/>
          <w:sz w:val="24"/>
          <w:szCs w:val="24"/>
        </w:rPr>
        <w:t xml:space="preserve">psychometric </w:t>
      </w:r>
      <w:r w:rsidR="00B16A88" w:rsidRPr="00494D70">
        <w:rPr>
          <w:rFonts w:ascii="Times New Roman" w:eastAsia="Calibri" w:hAnsi="Times New Roman" w:cs="Times New Roman"/>
          <w:bCs/>
          <w:sz w:val="24"/>
          <w:szCs w:val="24"/>
        </w:rPr>
        <w:t xml:space="preserve">evaluation </w:t>
      </w:r>
      <w:r w:rsidRPr="00494D70">
        <w:rPr>
          <w:rFonts w:ascii="Times New Roman" w:eastAsia="Calibri" w:hAnsi="Times New Roman" w:cs="Times New Roman"/>
          <w:bCs/>
          <w:sz w:val="24"/>
          <w:szCs w:val="24"/>
        </w:rPr>
        <w:t xml:space="preserve">of existing measures </w:t>
      </w:r>
      <w:r w:rsidR="002A6FB0" w:rsidRPr="00494D70">
        <w:rPr>
          <w:rFonts w:ascii="Times New Roman" w:eastAsia="Calibri" w:hAnsi="Times New Roman" w:cs="Times New Roman"/>
          <w:bCs/>
          <w:sz w:val="24"/>
          <w:szCs w:val="24"/>
        </w:rPr>
        <w:t xml:space="preserve">of SA </w:t>
      </w:r>
      <w:r w:rsidRPr="00494D70">
        <w:rPr>
          <w:rFonts w:ascii="Times New Roman" w:eastAsia="Calibri" w:hAnsi="Times New Roman" w:cs="Times New Roman"/>
          <w:bCs/>
          <w:sz w:val="24"/>
          <w:szCs w:val="24"/>
        </w:rPr>
        <w:t>in diverse populations</w:t>
      </w:r>
      <w:r w:rsidR="005703BF" w:rsidRPr="00494D70">
        <w:rPr>
          <w:rFonts w:ascii="Times New Roman" w:eastAsia="Calibri" w:hAnsi="Times New Roman" w:cs="Times New Roman"/>
          <w:bCs/>
          <w:sz w:val="24"/>
          <w:szCs w:val="24"/>
        </w:rPr>
        <w:t xml:space="preserve"> is largely lacking</w:t>
      </w:r>
      <w:r w:rsidRPr="00494D70">
        <w:rPr>
          <w:rFonts w:ascii="Times New Roman" w:eastAsia="Calibri" w:hAnsi="Times New Roman" w:cs="Times New Roman"/>
          <w:bCs/>
          <w:sz w:val="24"/>
          <w:szCs w:val="24"/>
        </w:rPr>
        <w:t>, hindering cross-cultural and comparative studies. This study validate</w:t>
      </w:r>
      <w:r w:rsidR="005A51A6" w:rsidRPr="00494D70">
        <w:rPr>
          <w:rFonts w:ascii="Times New Roman" w:eastAsia="Calibri" w:hAnsi="Times New Roman" w:cs="Times New Roman"/>
          <w:bCs/>
          <w:sz w:val="24"/>
          <w:szCs w:val="24"/>
        </w:rPr>
        <w:t>d</w:t>
      </w:r>
      <w:r w:rsidRPr="00494D70">
        <w:rPr>
          <w:rFonts w:ascii="Times New Roman" w:eastAsia="Calibri" w:hAnsi="Times New Roman" w:cs="Times New Roman"/>
          <w:bCs/>
          <w:sz w:val="24"/>
          <w:szCs w:val="24"/>
        </w:rPr>
        <w:t xml:space="preserve"> the short version of the Sexual Assertiveness Questionnaire (SAQ-9) and examine</w:t>
      </w:r>
      <w:r w:rsidR="005A51A6" w:rsidRPr="00494D70">
        <w:rPr>
          <w:rFonts w:ascii="Times New Roman" w:eastAsia="Calibri" w:hAnsi="Times New Roman" w:cs="Times New Roman"/>
          <w:bCs/>
          <w:sz w:val="24"/>
          <w:szCs w:val="24"/>
        </w:rPr>
        <w:t>d</w:t>
      </w:r>
      <w:r w:rsidRPr="00494D70">
        <w:rPr>
          <w:rFonts w:ascii="Times New Roman" w:eastAsia="Calibri" w:hAnsi="Times New Roman" w:cs="Times New Roman"/>
          <w:bCs/>
          <w:sz w:val="24"/>
          <w:szCs w:val="24"/>
        </w:rPr>
        <w:t xml:space="preserve"> its measurement invariance across </w:t>
      </w:r>
      <w:r w:rsidR="00D53D17" w:rsidRPr="00494D70">
        <w:rPr>
          <w:rFonts w:ascii="Times New Roman" w:eastAsia="Calibri" w:hAnsi="Times New Roman" w:cs="Times New Roman"/>
          <w:bCs/>
          <w:sz w:val="24"/>
          <w:szCs w:val="24"/>
        </w:rPr>
        <w:t>several</w:t>
      </w:r>
      <w:r w:rsidRPr="00494D70">
        <w:rPr>
          <w:rFonts w:ascii="Times New Roman" w:eastAsia="Calibri" w:hAnsi="Times New Roman" w:cs="Times New Roman"/>
          <w:bCs/>
          <w:sz w:val="24"/>
          <w:szCs w:val="24"/>
        </w:rPr>
        <w:t xml:space="preserve"> languages, countries, gender</w:t>
      </w:r>
      <w:r w:rsidR="00770C02" w:rsidRPr="00494D70">
        <w:rPr>
          <w:rFonts w:ascii="Times New Roman" w:eastAsia="Calibri" w:hAnsi="Times New Roman" w:cs="Times New Roman"/>
          <w:bCs/>
          <w:sz w:val="24"/>
          <w:szCs w:val="24"/>
        </w:rPr>
        <w:t>s</w:t>
      </w:r>
      <w:r w:rsidRPr="00494D70">
        <w:rPr>
          <w:rFonts w:ascii="Times New Roman" w:eastAsia="Calibri" w:hAnsi="Times New Roman" w:cs="Times New Roman"/>
          <w:bCs/>
          <w:sz w:val="24"/>
          <w:szCs w:val="24"/>
        </w:rPr>
        <w:t>, sexual orientation</w:t>
      </w:r>
      <w:r w:rsidR="00770C02" w:rsidRPr="00494D70">
        <w:rPr>
          <w:rFonts w:ascii="Times New Roman" w:eastAsia="Calibri" w:hAnsi="Times New Roman" w:cs="Times New Roman"/>
          <w:bCs/>
          <w:sz w:val="24"/>
          <w:szCs w:val="24"/>
        </w:rPr>
        <w:t>s</w:t>
      </w:r>
      <w:r w:rsidRPr="00494D70">
        <w:rPr>
          <w:rFonts w:ascii="Times New Roman" w:eastAsia="Calibri" w:hAnsi="Times New Roman" w:cs="Times New Roman"/>
          <w:bCs/>
          <w:sz w:val="24"/>
          <w:szCs w:val="24"/>
        </w:rPr>
        <w:t>, and relationship status</w:t>
      </w:r>
      <w:r w:rsidR="00770C02" w:rsidRPr="00494D70">
        <w:rPr>
          <w:rFonts w:ascii="Times New Roman" w:eastAsia="Calibri" w:hAnsi="Times New Roman" w:cs="Times New Roman"/>
          <w:bCs/>
          <w:sz w:val="24"/>
          <w:szCs w:val="24"/>
        </w:rPr>
        <w:t>es</w:t>
      </w:r>
      <w:r w:rsidRPr="00494D70">
        <w:rPr>
          <w:rFonts w:ascii="Times New Roman" w:eastAsia="Calibri" w:hAnsi="Times New Roman" w:cs="Times New Roman"/>
          <w:bCs/>
          <w:sz w:val="24"/>
          <w:szCs w:val="24"/>
        </w:rPr>
        <w:t xml:space="preserve"> </w:t>
      </w:r>
      <w:r w:rsidR="009161B4" w:rsidRPr="00494D70">
        <w:rPr>
          <w:rFonts w:ascii="Times New Roman" w:eastAsia="Calibri" w:hAnsi="Times New Roman" w:cs="Times New Roman"/>
          <w:bCs/>
          <w:sz w:val="24"/>
          <w:szCs w:val="24"/>
        </w:rPr>
        <w:t>among</w:t>
      </w:r>
      <w:r w:rsidRPr="00494D70">
        <w:rPr>
          <w:rFonts w:ascii="Times New Roman" w:eastAsia="Calibri" w:hAnsi="Times New Roman" w:cs="Times New Roman"/>
          <w:bCs/>
          <w:sz w:val="24"/>
          <w:szCs w:val="24"/>
        </w:rPr>
        <w:t xml:space="preserve"> </w:t>
      </w:r>
      <w:r w:rsidRPr="00494D70">
        <w:rPr>
          <w:rFonts w:ascii="Times New Roman" w:eastAsia="Times New Roman" w:hAnsi="Times New Roman" w:cs="Times New Roman"/>
          <w:color w:val="000000" w:themeColor="text1"/>
          <w:sz w:val="24"/>
          <w:szCs w:val="24"/>
        </w:rPr>
        <w:t xml:space="preserve">65,448 </w:t>
      </w:r>
      <w:proofErr w:type="gramStart"/>
      <w:r w:rsidR="005A51A6" w:rsidRPr="00494D70">
        <w:rPr>
          <w:rFonts w:ascii="Times New Roman" w:eastAsia="Times New Roman" w:hAnsi="Times New Roman" w:cs="Times New Roman"/>
          <w:color w:val="000000" w:themeColor="text1"/>
          <w:sz w:val="24"/>
          <w:szCs w:val="24"/>
        </w:rPr>
        <w:t>sexually-active</w:t>
      </w:r>
      <w:proofErr w:type="gramEnd"/>
      <w:r w:rsidR="005A51A6" w:rsidRPr="00494D70">
        <w:rPr>
          <w:rFonts w:ascii="Times New Roman" w:eastAsia="Times New Roman" w:hAnsi="Times New Roman" w:cs="Times New Roman"/>
          <w:color w:val="000000" w:themeColor="text1"/>
          <w:sz w:val="24"/>
          <w:szCs w:val="24"/>
        </w:rPr>
        <w:t xml:space="preserve"> </w:t>
      </w:r>
      <w:r w:rsidR="0016194A" w:rsidRPr="00494D70">
        <w:rPr>
          <w:rFonts w:ascii="Times New Roman" w:eastAsia="Times New Roman" w:hAnsi="Times New Roman" w:cs="Times New Roman"/>
          <w:color w:val="000000" w:themeColor="text1"/>
          <w:sz w:val="24"/>
          <w:szCs w:val="24"/>
        </w:rPr>
        <w:t>adults</w:t>
      </w:r>
      <w:r w:rsidRPr="00494D70">
        <w:rPr>
          <w:rFonts w:ascii="Times New Roman" w:eastAsia="Times New Roman" w:hAnsi="Times New Roman" w:cs="Times New Roman"/>
          <w:color w:val="000000" w:themeColor="text1"/>
          <w:sz w:val="24"/>
          <w:szCs w:val="24"/>
        </w:rPr>
        <w:t xml:space="preserve"> (</w:t>
      </w:r>
      <w:r w:rsidRPr="00494D70">
        <w:rPr>
          <w:rFonts w:ascii="Times New Roman" w:eastAsia="Times New Roman" w:hAnsi="Times New Roman" w:cs="Times New Roman"/>
          <w:i/>
          <w:iCs/>
          <w:color w:val="000000" w:themeColor="text1"/>
          <w:sz w:val="24"/>
          <w:szCs w:val="24"/>
        </w:rPr>
        <w:t>M</w:t>
      </w:r>
      <w:r w:rsidRPr="00494D70">
        <w:rPr>
          <w:rFonts w:ascii="Times New Roman" w:eastAsia="Times New Roman" w:hAnsi="Times New Roman" w:cs="Times New Roman"/>
          <w:i/>
          <w:iCs/>
          <w:color w:val="000000" w:themeColor="text1"/>
          <w:sz w:val="24"/>
          <w:szCs w:val="24"/>
          <w:vertAlign w:val="subscript"/>
        </w:rPr>
        <w:t>age</w:t>
      </w:r>
      <w:r w:rsidRPr="00494D70">
        <w:rPr>
          <w:rFonts w:ascii="Times New Roman" w:eastAsia="Times New Roman" w:hAnsi="Times New Roman" w:cs="Times New Roman"/>
          <w:i/>
          <w:iCs/>
          <w:color w:val="000000" w:themeColor="text1"/>
          <w:sz w:val="24"/>
          <w:szCs w:val="24"/>
        </w:rPr>
        <w:t>=</w:t>
      </w:r>
      <w:r w:rsidRPr="00494D70">
        <w:rPr>
          <w:rFonts w:ascii="Times New Roman" w:eastAsia="Times New Roman" w:hAnsi="Times New Roman" w:cs="Times New Roman"/>
          <w:color w:val="000000" w:themeColor="text1"/>
          <w:sz w:val="24"/>
          <w:szCs w:val="24"/>
        </w:rPr>
        <w:t xml:space="preserve">32.98 years, </w:t>
      </w:r>
      <w:r w:rsidRPr="00494D70">
        <w:rPr>
          <w:rFonts w:ascii="Times New Roman" w:eastAsia="Times New Roman" w:hAnsi="Times New Roman" w:cs="Times New Roman"/>
          <w:i/>
          <w:iCs/>
          <w:color w:val="000000" w:themeColor="text1"/>
          <w:sz w:val="24"/>
          <w:szCs w:val="24"/>
        </w:rPr>
        <w:t>SD=</w:t>
      </w:r>
      <w:r w:rsidRPr="00494D70">
        <w:rPr>
          <w:rFonts w:ascii="Times New Roman" w:eastAsia="Times New Roman" w:hAnsi="Times New Roman" w:cs="Times New Roman"/>
          <w:color w:val="000000" w:themeColor="text1"/>
          <w:sz w:val="24"/>
          <w:szCs w:val="24"/>
        </w:rPr>
        <w:t xml:space="preserve">12.08, 58% women, 2.74% gender-diverse individuals) </w:t>
      </w:r>
      <w:r w:rsidR="00076B49" w:rsidRPr="00494D70">
        <w:rPr>
          <w:rFonts w:ascii="Times New Roman" w:eastAsia="Times New Roman" w:hAnsi="Times New Roman" w:cs="Times New Roman"/>
          <w:color w:val="000000" w:themeColor="text1"/>
          <w:sz w:val="24"/>
          <w:szCs w:val="24"/>
        </w:rPr>
        <w:t>taking part in</w:t>
      </w:r>
      <w:r w:rsidRPr="00494D70">
        <w:rPr>
          <w:rFonts w:ascii="Times New Roman" w:eastAsia="Times New Roman" w:hAnsi="Times New Roman" w:cs="Times New Roman"/>
          <w:color w:val="000000" w:themeColor="text1"/>
          <w:sz w:val="24"/>
          <w:szCs w:val="24"/>
        </w:rPr>
        <w:t xml:space="preserve"> the International Sex Survey</w:t>
      </w:r>
      <w:r w:rsidRPr="00494D70">
        <w:rPr>
          <w:rFonts w:ascii="Times New Roman" w:eastAsia="Calibri" w:hAnsi="Times New Roman" w:cs="Times New Roman"/>
          <w:bCs/>
          <w:sz w:val="24"/>
          <w:szCs w:val="24"/>
        </w:rPr>
        <w:t>. The scale demonstrated adequate</w:t>
      </w:r>
      <w:r w:rsidR="00A028C6" w:rsidRPr="00494D70">
        <w:rPr>
          <w:rFonts w:ascii="Times New Roman" w:eastAsia="Calibri" w:hAnsi="Times New Roman" w:cs="Times New Roman"/>
          <w:bCs/>
          <w:sz w:val="24"/>
          <w:szCs w:val="24"/>
        </w:rPr>
        <w:t xml:space="preserve"> </w:t>
      </w:r>
      <w:r w:rsidR="005A51A6" w:rsidRPr="00494D70">
        <w:rPr>
          <w:rFonts w:ascii="Times New Roman" w:eastAsia="Calibri" w:hAnsi="Times New Roman" w:cs="Times New Roman"/>
          <w:bCs/>
          <w:sz w:val="24"/>
          <w:szCs w:val="24"/>
        </w:rPr>
        <w:t>psychometric properties</w:t>
      </w:r>
      <w:r w:rsidRPr="00494D70">
        <w:rPr>
          <w:rFonts w:ascii="Times New Roman" w:eastAsia="Calibri" w:hAnsi="Times New Roman" w:cs="Times New Roman"/>
          <w:bCs/>
          <w:sz w:val="24"/>
          <w:szCs w:val="24"/>
        </w:rPr>
        <w:t xml:space="preserve">. </w:t>
      </w:r>
      <w:r w:rsidR="00952D6A" w:rsidRPr="00494D70">
        <w:rPr>
          <w:rFonts w:ascii="Times New Roman" w:eastAsia="Calibri" w:hAnsi="Times New Roman" w:cs="Times New Roman"/>
          <w:bCs/>
          <w:sz w:val="24"/>
          <w:szCs w:val="24"/>
        </w:rPr>
        <w:t>M</w:t>
      </w:r>
      <w:r w:rsidRPr="00494D70">
        <w:rPr>
          <w:rFonts w:ascii="Times New Roman" w:eastAsia="Calibri" w:hAnsi="Times New Roman" w:cs="Times New Roman"/>
          <w:bCs/>
          <w:sz w:val="24"/>
          <w:szCs w:val="24"/>
        </w:rPr>
        <w:t>easurement invariance</w:t>
      </w:r>
      <w:r w:rsidR="005A51A6" w:rsidRPr="00494D70">
        <w:rPr>
          <w:rFonts w:ascii="Times New Roman" w:eastAsia="Calibri" w:hAnsi="Times New Roman" w:cs="Times New Roman"/>
          <w:bCs/>
          <w:sz w:val="24"/>
          <w:szCs w:val="24"/>
        </w:rPr>
        <w:t xml:space="preserve"> tests</w:t>
      </w:r>
      <w:r w:rsidRPr="00494D70">
        <w:rPr>
          <w:rFonts w:ascii="Times New Roman" w:eastAsia="Calibri" w:hAnsi="Times New Roman" w:cs="Times New Roman"/>
          <w:bCs/>
          <w:sz w:val="24"/>
          <w:szCs w:val="24"/>
        </w:rPr>
        <w:t xml:space="preserve"> </w:t>
      </w:r>
      <w:r w:rsidR="00581063" w:rsidRPr="00494D70">
        <w:rPr>
          <w:rFonts w:ascii="Times New Roman" w:eastAsia="Calibri" w:hAnsi="Times New Roman" w:cs="Times New Roman"/>
          <w:bCs/>
          <w:sz w:val="24"/>
          <w:szCs w:val="24"/>
        </w:rPr>
        <w:t xml:space="preserve">indicated </w:t>
      </w:r>
      <w:r w:rsidRPr="00494D70">
        <w:rPr>
          <w:rFonts w:ascii="Times New Roman" w:eastAsia="Calibri" w:hAnsi="Times New Roman" w:cs="Times New Roman"/>
          <w:bCs/>
          <w:sz w:val="24"/>
          <w:szCs w:val="24"/>
        </w:rPr>
        <w:t>that the SAQ-9 is suitable for comparing individuals from different cultures, genders, sexual orientations, and relationship statuses</w:t>
      </w:r>
      <w:r w:rsidR="005A51A6" w:rsidRPr="00494D70">
        <w:rPr>
          <w:rFonts w:ascii="Times New Roman" w:eastAsia="Calibri" w:hAnsi="Times New Roman" w:cs="Times New Roman"/>
          <w:bCs/>
          <w:sz w:val="24"/>
          <w:szCs w:val="24"/>
        </w:rPr>
        <w:t xml:space="preserve">, and significant </w:t>
      </w:r>
      <w:r w:rsidR="00911B58" w:rsidRPr="00494D70">
        <w:rPr>
          <w:rFonts w:ascii="Times New Roman" w:eastAsia="Calibri" w:hAnsi="Times New Roman" w:cs="Times New Roman"/>
          <w:bCs/>
          <w:sz w:val="24"/>
          <w:szCs w:val="24"/>
        </w:rPr>
        <w:t xml:space="preserve">group </w:t>
      </w:r>
      <w:r w:rsidR="005A51A6" w:rsidRPr="00494D70">
        <w:rPr>
          <w:rFonts w:ascii="Times New Roman" w:eastAsia="Calibri" w:hAnsi="Times New Roman" w:cs="Times New Roman"/>
          <w:bCs/>
          <w:sz w:val="24"/>
          <w:szCs w:val="24"/>
        </w:rPr>
        <w:t xml:space="preserve">differences were </w:t>
      </w:r>
      <w:r w:rsidR="00581063" w:rsidRPr="00494D70">
        <w:rPr>
          <w:rFonts w:ascii="Times New Roman" w:eastAsia="Calibri" w:hAnsi="Times New Roman" w:cs="Times New Roman"/>
          <w:bCs/>
          <w:sz w:val="24"/>
          <w:szCs w:val="24"/>
        </w:rPr>
        <w:t>also noted</w:t>
      </w:r>
      <w:r w:rsidR="005A51A6" w:rsidRPr="00494D70">
        <w:rPr>
          <w:rFonts w:ascii="Times New Roman" w:eastAsia="Calibri" w:hAnsi="Times New Roman" w:cs="Times New Roman"/>
          <w:bCs/>
          <w:sz w:val="24"/>
          <w:szCs w:val="24"/>
        </w:rPr>
        <w:t xml:space="preserve"> (e.g., </w:t>
      </w:r>
      <w:r w:rsidR="003501BD" w:rsidRPr="00494D70">
        <w:rPr>
          <w:rFonts w:ascii="Times New Roman" w:eastAsia="Calibri" w:hAnsi="Times New Roman" w:cs="Times New Roman"/>
          <w:bCs/>
          <w:sz w:val="24"/>
          <w:szCs w:val="24"/>
        </w:rPr>
        <w:t>gender-diverse individuals</w:t>
      </w:r>
      <w:r w:rsidR="005A51A6" w:rsidRPr="00494D70">
        <w:rPr>
          <w:rFonts w:ascii="Times New Roman" w:eastAsia="Calibri" w:hAnsi="Times New Roman" w:cs="Times New Roman"/>
          <w:bCs/>
          <w:sz w:val="24"/>
          <w:szCs w:val="24"/>
        </w:rPr>
        <w:t xml:space="preserve"> reported the highest levels of SA)</w:t>
      </w:r>
      <w:r w:rsidRPr="00494D70">
        <w:rPr>
          <w:rFonts w:ascii="Times New Roman" w:eastAsia="Calibri" w:hAnsi="Times New Roman" w:cs="Times New Roman"/>
          <w:bCs/>
          <w:sz w:val="24"/>
          <w:szCs w:val="24"/>
        </w:rPr>
        <w:t xml:space="preserve">. </w:t>
      </w:r>
      <w:r w:rsidR="004E16C9" w:rsidRPr="00494D70">
        <w:rPr>
          <w:rFonts w:ascii="Times New Roman" w:eastAsia="Calibri" w:hAnsi="Times New Roman" w:cs="Times New Roman"/>
          <w:bCs/>
          <w:sz w:val="24"/>
          <w:szCs w:val="24"/>
        </w:rPr>
        <w:t>F</w:t>
      </w:r>
      <w:r w:rsidRPr="00494D70">
        <w:rPr>
          <w:rFonts w:ascii="Times New Roman" w:eastAsia="Calibri" w:hAnsi="Times New Roman" w:cs="Times New Roman"/>
          <w:bCs/>
          <w:sz w:val="24"/>
          <w:szCs w:val="24"/>
        </w:rPr>
        <w:t xml:space="preserve">indings suggest that the SAQ-9 is a reliable and valid measure of </w:t>
      </w:r>
      <w:r w:rsidR="00B16A88" w:rsidRPr="00494D70">
        <w:rPr>
          <w:rFonts w:ascii="Times New Roman" w:eastAsia="Calibri" w:hAnsi="Times New Roman" w:cs="Times New Roman"/>
          <w:bCs/>
          <w:sz w:val="24"/>
          <w:szCs w:val="24"/>
        </w:rPr>
        <w:t>SA</w:t>
      </w:r>
      <w:r w:rsidRPr="00494D70">
        <w:rPr>
          <w:rFonts w:ascii="Times New Roman" w:eastAsia="Calibri" w:hAnsi="Times New Roman" w:cs="Times New Roman"/>
          <w:bCs/>
          <w:sz w:val="24"/>
          <w:szCs w:val="24"/>
        </w:rPr>
        <w:t xml:space="preserve"> </w:t>
      </w:r>
      <w:r w:rsidR="00B16A88" w:rsidRPr="00494D70">
        <w:rPr>
          <w:rFonts w:ascii="Times New Roman" w:eastAsia="Calibri" w:hAnsi="Times New Roman" w:cs="Times New Roman"/>
          <w:bCs/>
          <w:sz w:val="24"/>
          <w:szCs w:val="24"/>
        </w:rPr>
        <w:t xml:space="preserve">and </w:t>
      </w:r>
      <w:r w:rsidRPr="00494D70">
        <w:rPr>
          <w:rFonts w:ascii="Times New Roman" w:eastAsia="Calibri" w:hAnsi="Times New Roman" w:cs="Times New Roman"/>
          <w:bCs/>
          <w:sz w:val="24"/>
          <w:szCs w:val="24"/>
        </w:rPr>
        <w:t xml:space="preserve">appropriate for </w:t>
      </w:r>
      <w:r w:rsidR="00B16A88" w:rsidRPr="00494D70">
        <w:rPr>
          <w:rFonts w:ascii="Times New Roman" w:eastAsia="Calibri" w:hAnsi="Times New Roman" w:cs="Times New Roman"/>
          <w:bCs/>
          <w:sz w:val="24"/>
          <w:szCs w:val="24"/>
        </w:rPr>
        <w:t>use in</w:t>
      </w:r>
      <w:r w:rsidRPr="00494D70">
        <w:rPr>
          <w:rFonts w:ascii="Times New Roman" w:eastAsia="Calibri" w:hAnsi="Times New Roman" w:cs="Times New Roman"/>
          <w:bCs/>
          <w:sz w:val="24"/>
          <w:szCs w:val="24"/>
        </w:rPr>
        <w:t xml:space="preserve"> diverse populations</w:t>
      </w:r>
      <w:r w:rsidR="005703BF" w:rsidRPr="00494D70">
        <w:rPr>
          <w:rFonts w:ascii="Times New Roman" w:eastAsia="Calibri" w:hAnsi="Times New Roman" w:cs="Times New Roman"/>
          <w:bCs/>
          <w:sz w:val="24"/>
          <w:szCs w:val="24"/>
        </w:rPr>
        <w:t xml:space="preserve">, with specific populations exhibiting </w:t>
      </w:r>
      <w:r w:rsidR="00895164" w:rsidRPr="00494D70">
        <w:rPr>
          <w:rFonts w:ascii="Times New Roman" w:eastAsia="Calibri" w:hAnsi="Times New Roman" w:cs="Times New Roman"/>
          <w:bCs/>
          <w:sz w:val="24"/>
          <w:szCs w:val="24"/>
        </w:rPr>
        <w:t>varying levels of SA</w:t>
      </w:r>
      <w:r w:rsidRPr="00494D70">
        <w:rPr>
          <w:rFonts w:ascii="Times New Roman" w:eastAsia="Calibri" w:hAnsi="Times New Roman" w:cs="Times New Roman"/>
          <w:bCs/>
          <w:sz w:val="24"/>
          <w:szCs w:val="24"/>
        </w:rPr>
        <w:t xml:space="preserve">. </w:t>
      </w:r>
    </w:p>
    <w:p w14:paraId="722C27D7" w14:textId="77777777" w:rsidR="008B5416" w:rsidRPr="00494D70" w:rsidRDefault="008B5416" w:rsidP="008B5416">
      <w:pPr>
        <w:spacing w:after="0" w:line="480" w:lineRule="auto"/>
        <w:rPr>
          <w:rFonts w:ascii="Times New Roman" w:eastAsia="Calibri" w:hAnsi="Times New Roman" w:cs="Times New Roman"/>
          <w:bCs/>
          <w:sz w:val="24"/>
          <w:szCs w:val="24"/>
        </w:rPr>
      </w:pPr>
    </w:p>
    <w:p w14:paraId="1F9E2C8D" w14:textId="0047A88C" w:rsidR="00CE7291" w:rsidRPr="00494D70" w:rsidRDefault="008B5416" w:rsidP="008B5416">
      <w:pPr>
        <w:spacing w:after="0" w:line="480" w:lineRule="auto"/>
        <w:rPr>
          <w:rFonts w:ascii="Times New Roman" w:eastAsia="Calibri" w:hAnsi="Times New Roman" w:cs="Times New Roman"/>
          <w:bCs/>
          <w:sz w:val="24"/>
          <w:szCs w:val="24"/>
        </w:rPr>
      </w:pPr>
      <w:r w:rsidRPr="00494D70">
        <w:rPr>
          <w:rFonts w:ascii="Times New Roman" w:eastAsia="Calibri" w:hAnsi="Times New Roman" w:cs="Times New Roman"/>
          <w:bCs/>
          <w:i/>
          <w:iCs/>
          <w:sz w:val="24"/>
          <w:szCs w:val="24"/>
        </w:rPr>
        <w:t>Keywords</w:t>
      </w:r>
      <w:r w:rsidRPr="00494D70">
        <w:rPr>
          <w:rFonts w:ascii="Times New Roman" w:eastAsia="Calibri" w:hAnsi="Times New Roman" w:cs="Times New Roman"/>
          <w:bCs/>
          <w:sz w:val="24"/>
          <w:szCs w:val="24"/>
        </w:rPr>
        <w:t>: sexual assertiveness, cross-cultural, gender difference, sexual and gender minorities, International Sex Survey (ISS), validation</w:t>
      </w:r>
      <w:r w:rsidR="007E50C3" w:rsidRPr="00494D70">
        <w:rPr>
          <w:rFonts w:ascii="Times New Roman" w:eastAsia="Calibri" w:hAnsi="Times New Roman" w:cs="Times New Roman"/>
          <w:bCs/>
          <w:sz w:val="24"/>
          <w:szCs w:val="24"/>
        </w:rPr>
        <w:t>, SAQ-9</w:t>
      </w:r>
      <w:r w:rsidR="00CE7291" w:rsidRPr="00494D70">
        <w:rPr>
          <w:rFonts w:ascii="Times New Roman" w:eastAsia="Calibri" w:hAnsi="Times New Roman" w:cs="Times New Roman"/>
          <w:bCs/>
          <w:sz w:val="24"/>
          <w:szCs w:val="24"/>
        </w:rPr>
        <w:br w:type="page"/>
      </w:r>
    </w:p>
    <w:p w14:paraId="0099EE91" w14:textId="51036AAF" w:rsidR="005D1220" w:rsidRPr="00494D70" w:rsidRDefault="00AD2E19" w:rsidP="00581063">
      <w:pPr>
        <w:spacing w:after="0" w:line="480" w:lineRule="auto"/>
        <w:jc w:val="center"/>
        <w:rPr>
          <w:rFonts w:ascii="Times New Roman" w:eastAsia="Calibri" w:hAnsi="Times New Roman" w:cs="Times New Roman"/>
          <w:b/>
          <w:bCs/>
          <w:sz w:val="24"/>
          <w:szCs w:val="24"/>
        </w:rPr>
      </w:pPr>
      <w:r w:rsidRPr="00494D70">
        <w:rPr>
          <w:rFonts w:ascii="Times New Roman" w:eastAsia="Calibri" w:hAnsi="Times New Roman" w:cs="Times New Roman"/>
          <w:b/>
          <w:bCs/>
          <w:sz w:val="24"/>
          <w:szCs w:val="24"/>
        </w:rPr>
        <w:lastRenderedPageBreak/>
        <w:t>Introduction</w:t>
      </w:r>
    </w:p>
    <w:p w14:paraId="2A4B5E2B" w14:textId="2CFBFE78" w:rsidR="00954790" w:rsidRPr="00494D70" w:rsidRDefault="00B633BC" w:rsidP="009A291A">
      <w:pPr>
        <w:spacing w:after="0" w:line="480" w:lineRule="auto"/>
        <w:ind w:firstLine="567"/>
        <w:rPr>
          <w:rFonts w:ascii="Times New Roman" w:eastAsia="Calibri" w:hAnsi="Times New Roman" w:cs="Times New Roman"/>
          <w:sz w:val="24"/>
          <w:szCs w:val="24"/>
        </w:rPr>
      </w:pPr>
      <w:r w:rsidRPr="00494D70">
        <w:rPr>
          <w:rFonts w:ascii="Times New Roman" w:eastAsia="Calibri" w:hAnsi="Times New Roman" w:cs="Times New Roman"/>
          <w:sz w:val="24"/>
          <w:szCs w:val="24"/>
        </w:rPr>
        <w:t>Sexual assertiveness</w:t>
      </w:r>
      <w:r w:rsidR="00DF0DE3" w:rsidRPr="00494D70">
        <w:rPr>
          <w:rFonts w:ascii="Times New Roman" w:eastAsia="Calibri" w:hAnsi="Times New Roman" w:cs="Times New Roman"/>
          <w:sz w:val="24"/>
          <w:szCs w:val="24"/>
        </w:rPr>
        <w:t xml:space="preserve"> (SA)</w:t>
      </w:r>
      <w:r w:rsidRPr="00494D70">
        <w:rPr>
          <w:rFonts w:ascii="Times New Roman" w:eastAsia="Calibri" w:hAnsi="Times New Roman" w:cs="Times New Roman"/>
          <w:sz w:val="24"/>
          <w:szCs w:val="24"/>
        </w:rPr>
        <w:t xml:space="preserve"> </w:t>
      </w:r>
      <w:r w:rsidR="009C6CAA" w:rsidRPr="00494D70">
        <w:rPr>
          <w:rFonts w:ascii="Times New Roman" w:eastAsia="Calibri" w:hAnsi="Times New Roman" w:cs="Times New Roman"/>
          <w:sz w:val="24"/>
          <w:szCs w:val="24"/>
        </w:rPr>
        <w:t xml:space="preserve">is </w:t>
      </w:r>
      <w:r w:rsidRPr="00494D70">
        <w:rPr>
          <w:rFonts w:ascii="Times New Roman" w:eastAsia="Calibri" w:hAnsi="Times New Roman" w:cs="Times New Roman"/>
          <w:sz w:val="24"/>
          <w:szCs w:val="24"/>
        </w:rPr>
        <w:t xml:space="preserve">defined as an individual’s </w:t>
      </w:r>
      <w:r w:rsidR="007825CF" w:rsidRPr="00494D70">
        <w:rPr>
          <w:rFonts w:ascii="Times New Roman" w:eastAsia="Calibri" w:hAnsi="Times New Roman" w:cs="Times New Roman"/>
          <w:sz w:val="24"/>
          <w:szCs w:val="24"/>
        </w:rPr>
        <w:t>ability</w:t>
      </w:r>
      <w:r w:rsidR="004338E7" w:rsidRPr="00494D70">
        <w:rPr>
          <w:rFonts w:ascii="Times New Roman" w:eastAsia="Calibri" w:hAnsi="Times New Roman" w:cs="Times New Roman"/>
          <w:sz w:val="24"/>
          <w:szCs w:val="24"/>
        </w:rPr>
        <w:t xml:space="preserve"> or tendenc</w:t>
      </w:r>
      <w:r w:rsidR="007825CF" w:rsidRPr="00494D70">
        <w:rPr>
          <w:rFonts w:ascii="Times New Roman" w:eastAsia="Calibri" w:hAnsi="Times New Roman" w:cs="Times New Roman"/>
          <w:sz w:val="24"/>
          <w:szCs w:val="24"/>
        </w:rPr>
        <w:t>y</w:t>
      </w:r>
      <w:r w:rsidRPr="00494D70">
        <w:rPr>
          <w:rFonts w:ascii="Times New Roman" w:eastAsia="Calibri" w:hAnsi="Times New Roman" w:cs="Times New Roman"/>
          <w:sz w:val="24"/>
          <w:szCs w:val="24"/>
        </w:rPr>
        <w:t xml:space="preserve"> to recognize, prioritize, and effectively communicate one’s own limits, needs</w:t>
      </w:r>
      <w:r w:rsidR="008C400D" w:rsidRPr="00494D70">
        <w:rPr>
          <w:rFonts w:ascii="Times New Roman" w:eastAsia="Calibri" w:hAnsi="Times New Roman" w:cs="Times New Roman"/>
          <w:sz w:val="24"/>
          <w:szCs w:val="24"/>
        </w:rPr>
        <w:t>,</w:t>
      </w:r>
      <w:r w:rsidRPr="00494D70">
        <w:rPr>
          <w:rFonts w:ascii="Times New Roman" w:eastAsia="Calibri" w:hAnsi="Times New Roman" w:cs="Times New Roman"/>
          <w:sz w:val="24"/>
          <w:szCs w:val="24"/>
        </w:rPr>
        <w:t xml:space="preserve"> and desires in sexual interactions</w:t>
      </w:r>
      <w:r w:rsidR="003F1DA4" w:rsidRPr="00494D70">
        <w:rPr>
          <w:rFonts w:ascii="Times New Roman" w:eastAsia="Calibri" w:hAnsi="Times New Roman" w:cs="Times New Roman"/>
          <w:sz w:val="24"/>
          <w:szCs w:val="24"/>
        </w:rPr>
        <w:t>,</w:t>
      </w:r>
      <w:r w:rsidR="00501C05" w:rsidRPr="00494D70">
        <w:rPr>
          <w:rFonts w:ascii="Times New Roman" w:eastAsia="Calibri" w:hAnsi="Times New Roman" w:cs="Times New Roman"/>
          <w:sz w:val="24"/>
          <w:szCs w:val="24"/>
        </w:rPr>
        <w:t xml:space="preserve"> </w:t>
      </w:r>
      <w:r w:rsidRPr="00494D70">
        <w:rPr>
          <w:rFonts w:ascii="Times New Roman" w:eastAsia="Calibri" w:hAnsi="Times New Roman" w:cs="Times New Roman"/>
          <w:sz w:val="24"/>
          <w:szCs w:val="24"/>
        </w:rPr>
        <w:t xml:space="preserve"> and is often linked with</w:t>
      </w:r>
      <w:r w:rsidR="006A7CE8" w:rsidRPr="00494D70">
        <w:rPr>
          <w:rFonts w:ascii="Times New Roman" w:eastAsia="Calibri" w:hAnsi="Times New Roman" w:cs="Times New Roman"/>
          <w:sz w:val="24"/>
          <w:szCs w:val="24"/>
        </w:rPr>
        <w:t xml:space="preserve"> </w:t>
      </w:r>
      <w:r w:rsidR="002427DE" w:rsidRPr="00494D70">
        <w:rPr>
          <w:rFonts w:ascii="Times New Roman" w:eastAsia="Calibri" w:hAnsi="Times New Roman" w:cs="Times New Roman"/>
          <w:sz w:val="24"/>
          <w:szCs w:val="24"/>
        </w:rPr>
        <w:t xml:space="preserve">safer and </w:t>
      </w:r>
      <w:r w:rsidRPr="00494D70">
        <w:rPr>
          <w:rFonts w:ascii="Times New Roman" w:eastAsia="Calibri" w:hAnsi="Times New Roman" w:cs="Times New Roman"/>
          <w:sz w:val="24"/>
          <w:szCs w:val="24"/>
        </w:rPr>
        <w:t xml:space="preserve">more </w:t>
      </w:r>
      <w:r w:rsidR="002427DE" w:rsidRPr="00494D70">
        <w:rPr>
          <w:rFonts w:ascii="Times New Roman" w:eastAsia="Calibri" w:hAnsi="Times New Roman" w:cs="Times New Roman"/>
          <w:sz w:val="24"/>
          <w:szCs w:val="24"/>
        </w:rPr>
        <w:t>satisfying</w:t>
      </w:r>
      <w:r w:rsidRPr="00494D70">
        <w:rPr>
          <w:rFonts w:ascii="Times New Roman" w:eastAsia="Calibri" w:hAnsi="Times New Roman" w:cs="Times New Roman"/>
          <w:sz w:val="24"/>
          <w:szCs w:val="24"/>
        </w:rPr>
        <w:t xml:space="preserve"> sexual experiences, healthier and more equal relationships</w:t>
      </w:r>
      <w:r w:rsidR="00EE05AA" w:rsidRPr="00494D70">
        <w:rPr>
          <w:rFonts w:ascii="Times New Roman" w:eastAsia="Calibri" w:hAnsi="Times New Roman" w:cs="Times New Roman"/>
          <w:sz w:val="24"/>
          <w:szCs w:val="24"/>
        </w:rPr>
        <w:t xml:space="preserve">, </w:t>
      </w:r>
      <w:r w:rsidR="004338E7" w:rsidRPr="00494D70">
        <w:rPr>
          <w:rFonts w:ascii="Times New Roman" w:eastAsia="Calibri" w:hAnsi="Times New Roman" w:cs="Times New Roman"/>
          <w:sz w:val="24"/>
          <w:szCs w:val="24"/>
        </w:rPr>
        <w:t>and</w:t>
      </w:r>
      <w:r w:rsidR="00EE05AA" w:rsidRPr="00494D70">
        <w:rPr>
          <w:rFonts w:ascii="Times New Roman" w:eastAsia="Calibri" w:hAnsi="Times New Roman" w:cs="Times New Roman"/>
          <w:sz w:val="24"/>
          <w:szCs w:val="24"/>
        </w:rPr>
        <w:t xml:space="preserve"> </w:t>
      </w:r>
      <w:r w:rsidRPr="00494D70">
        <w:rPr>
          <w:rFonts w:ascii="Times New Roman" w:eastAsia="Calibri" w:hAnsi="Times New Roman" w:cs="Times New Roman"/>
          <w:sz w:val="24"/>
          <w:szCs w:val="24"/>
        </w:rPr>
        <w:t>prevention of harm</w:t>
      </w:r>
      <w:r w:rsidR="009C6CAA" w:rsidRPr="00494D70">
        <w:rPr>
          <w:rFonts w:ascii="Times New Roman" w:eastAsia="Calibri" w:hAnsi="Times New Roman" w:cs="Times New Roman"/>
          <w:sz w:val="24"/>
          <w:szCs w:val="24"/>
        </w:rPr>
        <w:t xml:space="preserve"> </w:t>
      </w:r>
      <w:r w:rsidR="002427DE" w:rsidRPr="00494D70">
        <w:rPr>
          <w:rFonts w:ascii="Times New Roman" w:eastAsia="Calibri" w:hAnsi="Times New Roman" w:cs="Times New Roman"/>
          <w:sz w:val="24"/>
          <w:szCs w:val="24"/>
        </w:rPr>
        <w:t xml:space="preserve">such as </w:t>
      </w:r>
      <w:r w:rsidR="000B0705" w:rsidRPr="00494D70">
        <w:rPr>
          <w:rFonts w:ascii="Times New Roman" w:eastAsia="Calibri" w:hAnsi="Times New Roman" w:cs="Times New Roman"/>
          <w:sz w:val="24"/>
          <w:szCs w:val="24"/>
        </w:rPr>
        <w:t>sexually transmitted infections</w:t>
      </w:r>
      <w:r w:rsidR="00997E83" w:rsidRPr="00494D70">
        <w:rPr>
          <w:rFonts w:ascii="Times New Roman" w:eastAsia="Calibri" w:hAnsi="Times New Roman" w:cs="Times New Roman"/>
          <w:sz w:val="24"/>
          <w:szCs w:val="24"/>
        </w:rPr>
        <w:t xml:space="preserve"> (STIs)</w:t>
      </w:r>
      <w:r w:rsidR="000B0705" w:rsidRPr="00494D70">
        <w:rPr>
          <w:rFonts w:ascii="Times New Roman" w:eastAsia="Calibri" w:hAnsi="Times New Roman" w:cs="Times New Roman"/>
          <w:sz w:val="24"/>
          <w:szCs w:val="24"/>
        </w:rPr>
        <w:t xml:space="preserve"> </w:t>
      </w:r>
      <w:r w:rsidR="009C6CAA"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{"citationID":"v1qWub6h","properties":{"formattedCitation":"(Zerubavel &amp; Messman-Moore, 2013)","plainCitation":"(Zerubavel &amp; Messman-Moore, 2013)","noteIndex":0},"citationItems":[{"id":3146,"uris":["http://zotero.org/users/7402913/items/JVKMYRLW"],"itemData":{"id":3146,"type":"article-journal","abstract":"The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victimization.","container-title":"Violence Against Women","DOI":"10.1177/1077801213517566","ISSN":"1552-8448","issue":"12","journalAbbreviation":"Violence Against Women","language":"eng","note":"PMID: 24379216","page":"1518-1537","source":"PubMed","title":"Sexual victimization, fear of sexual powerlessness, and cognitive emotion dysregulation as barriers to sexual assertiveness in college women","volume":"19","author":[{"family":"Zerubavel","given":"Noga"},{"family":"Messman-Moore","given":"Terri L."}],"issued":{"date-parts":[["2013"]]}}}],"schema":"https://github.com/citation-style-language/schema/raw/master/csl-citation.json"} </w:instrText>
      </w:r>
      <w:r w:rsidR="009C6CAA" w:rsidRPr="00494D70">
        <w:rPr>
          <w:rFonts w:ascii="Times New Roman" w:eastAsia="Calibri" w:hAnsi="Times New Roman" w:cs="Times New Roman"/>
          <w:sz w:val="24"/>
          <w:szCs w:val="24"/>
        </w:rPr>
        <w:fldChar w:fldCharType="separate"/>
      </w:r>
      <w:r w:rsidR="009C6CAA" w:rsidRPr="00494D70">
        <w:rPr>
          <w:rFonts w:ascii="Times New Roman" w:hAnsi="Times New Roman" w:cs="Times New Roman"/>
          <w:sz w:val="24"/>
        </w:rPr>
        <w:t>(Zerubavel &amp; Messman-Moore, 2013)</w:t>
      </w:r>
      <w:r w:rsidR="009C6CAA"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w:t>
      </w:r>
      <w:r w:rsidR="00674F62" w:rsidRPr="00494D70">
        <w:rPr>
          <w:rFonts w:ascii="Times New Roman" w:eastAsia="Calibri" w:hAnsi="Times New Roman" w:cs="Times New Roman"/>
          <w:sz w:val="24"/>
          <w:szCs w:val="24"/>
        </w:rPr>
        <w:t xml:space="preserve"> U</w:t>
      </w:r>
      <w:r w:rsidRPr="00494D70">
        <w:rPr>
          <w:rFonts w:ascii="Times New Roman" w:eastAsia="Calibri" w:hAnsi="Times New Roman" w:cs="Times New Roman"/>
          <w:sz w:val="24"/>
          <w:szCs w:val="24"/>
        </w:rPr>
        <w:t xml:space="preserve">nderstanding SA is </w:t>
      </w:r>
      <w:r w:rsidR="00BB1E64" w:rsidRPr="00494D70">
        <w:rPr>
          <w:rFonts w:ascii="Times New Roman" w:eastAsia="Calibri" w:hAnsi="Times New Roman" w:cs="Times New Roman"/>
          <w:sz w:val="24"/>
          <w:szCs w:val="24"/>
        </w:rPr>
        <w:t>important for</w:t>
      </w:r>
      <w:r w:rsidRPr="00494D70">
        <w:rPr>
          <w:rFonts w:ascii="Times New Roman" w:eastAsia="Calibri" w:hAnsi="Times New Roman" w:cs="Times New Roman"/>
          <w:sz w:val="24"/>
          <w:szCs w:val="24"/>
        </w:rPr>
        <w:t xml:space="preserve"> expand</w:t>
      </w:r>
      <w:r w:rsidR="00BB1E64" w:rsidRPr="00494D70">
        <w:rPr>
          <w:rFonts w:ascii="Times New Roman" w:eastAsia="Calibri" w:hAnsi="Times New Roman" w:cs="Times New Roman"/>
          <w:sz w:val="24"/>
          <w:szCs w:val="24"/>
        </w:rPr>
        <w:t>ing</w:t>
      </w:r>
      <w:r w:rsidRPr="00494D70">
        <w:rPr>
          <w:rFonts w:ascii="Times New Roman" w:eastAsia="Calibri" w:hAnsi="Times New Roman" w:cs="Times New Roman"/>
          <w:sz w:val="24"/>
          <w:szCs w:val="24"/>
        </w:rPr>
        <w:t xml:space="preserve"> and organiz</w:t>
      </w:r>
      <w:r w:rsidR="00BB1E64" w:rsidRPr="00494D70">
        <w:rPr>
          <w:rFonts w:ascii="Times New Roman" w:eastAsia="Calibri" w:hAnsi="Times New Roman" w:cs="Times New Roman"/>
          <w:sz w:val="24"/>
          <w:szCs w:val="24"/>
        </w:rPr>
        <w:t>ing</w:t>
      </w:r>
      <w:r w:rsidRPr="00494D70">
        <w:rPr>
          <w:rFonts w:ascii="Times New Roman" w:eastAsia="Calibri" w:hAnsi="Times New Roman" w:cs="Times New Roman"/>
          <w:sz w:val="24"/>
          <w:szCs w:val="24"/>
        </w:rPr>
        <w:t xml:space="preserve"> our knowledge </w:t>
      </w:r>
      <w:r w:rsidR="00D65249" w:rsidRPr="00494D70">
        <w:rPr>
          <w:rFonts w:ascii="Times New Roman" w:eastAsia="Calibri" w:hAnsi="Times New Roman" w:cs="Times New Roman"/>
          <w:sz w:val="24"/>
          <w:szCs w:val="24"/>
        </w:rPr>
        <w:t>about</w:t>
      </w:r>
      <w:r w:rsidRPr="00494D70">
        <w:rPr>
          <w:rFonts w:ascii="Times New Roman" w:eastAsia="Calibri" w:hAnsi="Times New Roman" w:cs="Times New Roman"/>
          <w:sz w:val="24"/>
          <w:szCs w:val="24"/>
        </w:rPr>
        <w:t xml:space="preserve"> sexual </w:t>
      </w:r>
      <w:r w:rsidR="002A156E" w:rsidRPr="00494D70">
        <w:rPr>
          <w:rFonts w:ascii="Times New Roman" w:eastAsia="Calibri" w:hAnsi="Times New Roman" w:cs="Times New Roman"/>
          <w:sz w:val="24"/>
          <w:szCs w:val="24"/>
        </w:rPr>
        <w:t>decision-making</w:t>
      </w:r>
      <w:r w:rsidRPr="00494D70">
        <w:rPr>
          <w:rFonts w:ascii="Times New Roman" w:eastAsia="Calibri" w:hAnsi="Times New Roman" w:cs="Times New Roman"/>
          <w:sz w:val="24"/>
          <w:szCs w:val="24"/>
        </w:rPr>
        <w:t xml:space="preserve"> and the strategies people use to accomplish goals of sexual autonomy</w:t>
      </w:r>
      <w:r w:rsidR="00674F62" w:rsidRPr="00494D70">
        <w:rPr>
          <w:rFonts w:ascii="Times New Roman" w:eastAsia="Calibri" w:hAnsi="Times New Roman" w:cs="Times New Roman"/>
          <w:sz w:val="24"/>
          <w:szCs w:val="24"/>
        </w:rPr>
        <w:t xml:space="preserve"> </w:t>
      </w:r>
      <w:r w:rsidR="001F7EAD"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{"citationID":"buC87S7f","properties":{"formattedCitation":"(Darden et al., 2018; Morokoff et al., 1997)","plainCitation":"(Darden et al., 2018; Morokoff et al., 1997)","noteIndex":0},"citationItems":[{"id":3175,"uris":["http://zotero.org/users/7402913/items/DG3U89QY"],"itemData":{"id":3175,"type":"article-journal","abstract":"Unwanted sexual encounters include a broad spectrum of behaviors that may include everything from regretted or coerced sex to sexual assault and rape. Sadly, experience with unwanted sex is all too common among college aged women. A number of factors have been examined in the context of sexual interactions in this population including relationship status, sexual want, sexual assertiveness, and sexual consent. However, research to date lacks analyses which consider the potentially interactive nature of the aforementioned variables in sexual decision making. To that end, the present study examined the role of relationship status, sexual want, and sexual assertiveness on self-report consent in a sexual encounter. Female undergraduate students (N = 319) self-reported on their relationship status, as well as their sexual want (desire to engage in sexual activity), sexual assertiveness, and sexual consent behaviors within the context of their most recent sexual experience. A moderated multiple regression was conducted to determine whether sexual assertiveness moderated self-reported sexual want and consent. Relationship status was included as the primary predictor in the aforementioned model. The overall model was significant, indicating an interaction model of sexual decision-making. Generally, women displayed increased sexual consent behavior as sexual want increased across levels of sexual assertiveness, regardless of relationship status. Importantly, women low in sexual assertiveness were high in sexual compliance (i.e. consenting to/engaging in sexual activity even when self-reported sexual want was low).","container-title":"Sexuality &amp; Culture","DOI":"10.1007/S12119-018-9551-1","source":"Semantic Scholar","title":"Sexual Compliance: Examining the Relationships Among Sexual Want, Sexual Consent, and Sexual Assertiveness","title-short":"Sexual Compliance","author":[{"family":"Darden","given":"Marie C."},{"family":"Ehman","given":"Anandi C."},{"family":"Lair","given":"Elicia C."},{"family":"Gross","given":"A."}],"issued":{"date-parts":[["2018"]]}}},{"id":3131,"uris":["http://zotero.org/users/7402913/items/XKGV3393"],"itemData":{"id":3131,"type":"article-journal","abstract":"Four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 (PsycINFO Database Record (c) 2019 APA, all rights reserved)","container-title":"Journal of Personality and Social Psychology","DOI":"10.1037/0022-3514.73.4.790","ISSN":"1939-1315","issue":"4","note":"publisher-place: US\npublisher: American Psychological Association","page":"790-804","source":"APA PsycNet","title":"Sexual Assertiveness Scale (SAS) for women: Development and validation","title-short":"Sexual Assertiveness Scale (SAS) for women","volume":"73","author":[{"family":"Morokoff","given":"Patricia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1F7EAD"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(Darden et al., 2018; Morokoff et al., 1997)</w:t>
      </w:r>
      <w:r w:rsidR="001F7EAD"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w:t>
      </w:r>
      <w:r w:rsidR="00C52F91" w:rsidRPr="00494D70">
        <w:rPr>
          <w:rFonts w:ascii="Times New Roman" w:eastAsia="Calibri" w:hAnsi="Times New Roman" w:cs="Times New Roman"/>
          <w:sz w:val="24"/>
          <w:szCs w:val="24"/>
        </w:rPr>
        <w:t xml:space="preserve"> </w:t>
      </w:r>
      <w:r w:rsidRPr="00494D70">
        <w:rPr>
          <w:rFonts w:ascii="Times New Roman" w:eastAsia="Calibri" w:hAnsi="Times New Roman" w:cs="Times New Roman"/>
          <w:sz w:val="24"/>
          <w:szCs w:val="24"/>
        </w:rPr>
        <w:t xml:space="preserve">Research interest </w:t>
      </w:r>
      <w:r w:rsidR="008B467D" w:rsidRPr="00494D70">
        <w:rPr>
          <w:rFonts w:ascii="Times New Roman" w:eastAsia="Calibri" w:hAnsi="Times New Roman" w:cs="Times New Roman"/>
          <w:sz w:val="24"/>
          <w:szCs w:val="24"/>
        </w:rPr>
        <w:t>in</w:t>
      </w:r>
      <w:r w:rsidRPr="00494D70">
        <w:rPr>
          <w:rFonts w:ascii="Times New Roman" w:eastAsia="Calibri" w:hAnsi="Times New Roman" w:cs="Times New Roman"/>
          <w:sz w:val="24"/>
          <w:szCs w:val="24"/>
        </w:rPr>
        <w:t xml:space="preserve"> SA </w:t>
      </w:r>
      <w:r w:rsidR="003B1A46" w:rsidRPr="00494D70">
        <w:rPr>
          <w:rFonts w:ascii="Times New Roman" w:eastAsia="Calibri" w:hAnsi="Times New Roman" w:cs="Times New Roman"/>
          <w:sz w:val="24"/>
          <w:szCs w:val="24"/>
        </w:rPr>
        <w:t>has been growing</w:t>
      </w:r>
      <w:r w:rsidRPr="00494D70">
        <w:rPr>
          <w:rFonts w:ascii="Times New Roman" w:eastAsia="Calibri" w:hAnsi="Times New Roman" w:cs="Times New Roman"/>
          <w:sz w:val="24"/>
          <w:szCs w:val="24"/>
        </w:rPr>
        <w:t xml:space="preserve"> </w:t>
      </w:r>
      <w:r w:rsidR="005703BF" w:rsidRPr="00494D70">
        <w:rPr>
          <w:rFonts w:ascii="Times New Roman" w:eastAsia="Calibri" w:hAnsi="Times New Roman" w:cs="Times New Roman"/>
          <w:sz w:val="24"/>
          <w:szCs w:val="24"/>
        </w:rPr>
        <w:t xml:space="preserve">over </w:t>
      </w:r>
      <w:r w:rsidRPr="00494D70">
        <w:rPr>
          <w:rFonts w:ascii="Times New Roman" w:eastAsia="Calibri" w:hAnsi="Times New Roman" w:cs="Times New Roman"/>
          <w:sz w:val="24"/>
          <w:szCs w:val="24"/>
        </w:rPr>
        <w:t>the last three decades</w:t>
      </w:r>
      <w:r w:rsidR="00581063" w:rsidRPr="00494D70">
        <w:rPr>
          <w:rFonts w:ascii="Times New Roman" w:eastAsia="Calibri" w:hAnsi="Times New Roman" w:cs="Times New Roman"/>
          <w:sz w:val="24"/>
          <w:szCs w:val="24"/>
        </w:rPr>
        <w:t>;</w:t>
      </w:r>
      <w:r w:rsidRPr="00494D70">
        <w:rPr>
          <w:rFonts w:ascii="Times New Roman" w:eastAsia="Calibri" w:hAnsi="Times New Roman" w:cs="Times New Roman"/>
          <w:sz w:val="24"/>
          <w:szCs w:val="24"/>
        </w:rPr>
        <w:t xml:space="preserve"> </w:t>
      </w:r>
      <w:r w:rsidR="00672B58" w:rsidRPr="00494D70">
        <w:rPr>
          <w:rFonts w:ascii="Times New Roman" w:eastAsia="Calibri" w:hAnsi="Times New Roman" w:cs="Times New Roman"/>
          <w:sz w:val="24"/>
          <w:szCs w:val="24"/>
        </w:rPr>
        <w:t>yet</w:t>
      </w:r>
      <w:r w:rsidR="00F54965" w:rsidRPr="00494D70">
        <w:rPr>
          <w:rFonts w:ascii="Times New Roman" w:eastAsia="Calibri" w:hAnsi="Times New Roman" w:cs="Times New Roman"/>
          <w:sz w:val="24"/>
          <w:szCs w:val="24"/>
        </w:rPr>
        <w:t xml:space="preserve"> </w:t>
      </w:r>
      <w:r w:rsidR="00AD481F" w:rsidRPr="00494D70">
        <w:rPr>
          <w:rFonts w:ascii="Times New Roman" w:eastAsia="Calibri" w:hAnsi="Times New Roman" w:cs="Times New Roman"/>
          <w:sz w:val="24"/>
          <w:szCs w:val="24"/>
        </w:rPr>
        <w:t xml:space="preserve">important </w:t>
      </w:r>
      <w:r w:rsidR="005173A0" w:rsidRPr="00494D70">
        <w:rPr>
          <w:rFonts w:ascii="Times New Roman" w:eastAsia="Calibri" w:hAnsi="Times New Roman" w:cs="Times New Roman"/>
          <w:sz w:val="24"/>
          <w:szCs w:val="24"/>
        </w:rPr>
        <w:t>gaps</w:t>
      </w:r>
      <w:r w:rsidR="00AD481F" w:rsidRPr="00494D70">
        <w:rPr>
          <w:rFonts w:ascii="Times New Roman" w:eastAsia="Calibri" w:hAnsi="Times New Roman" w:cs="Times New Roman"/>
          <w:sz w:val="24"/>
          <w:szCs w:val="24"/>
        </w:rPr>
        <w:t xml:space="preserve"> </w:t>
      </w:r>
      <w:r w:rsidR="00FF7617" w:rsidRPr="00494D70">
        <w:rPr>
          <w:rFonts w:ascii="Times New Roman" w:eastAsia="Calibri" w:hAnsi="Times New Roman" w:cs="Times New Roman"/>
          <w:sz w:val="24"/>
          <w:szCs w:val="24"/>
        </w:rPr>
        <w:t xml:space="preserve">have </w:t>
      </w:r>
      <w:r w:rsidR="00AD481F" w:rsidRPr="00494D70">
        <w:rPr>
          <w:rFonts w:ascii="Times New Roman" w:eastAsia="Calibri" w:hAnsi="Times New Roman" w:cs="Times New Roman"/>
          <w:sz w:val="24"/>
          <w:szCs w:val="24"/>
        </w:rPr>
        <w:t>remain</w:t>
      </w:r>
      <w:r w:rsidR="00FF7617" w:rsidRPr="00494D70">
        <w:rPr>
          <w:rFonts w:ascii="Times New Roman" w:eastAsia="Calibri" w:hAnsi="Times New Roman" w:cs="Times New Roman"/>
          <w:sz w:val="24"/>
          <w:szCs w:val="24"/>
        </w:rPr>
        <w:t>ed</w:t>
      </w:r>
      <w:r w:rsidR="00AD481F" w:rsidRPr="00494D70">
        <w:rPr>
          <w:rFonts w:ascii="Times New Roman" w:eastAsia="Calibri" w:hAnsi="Times New Roman" w:cs="Times New Roman"/>
          <w:sz w:val="24"/>
          <w:szCs w:val="24"/>
        </w:rPr>
        <w:t xml:space="preserve"> </w:t>
      </w:r>
      <w:r w:rsidR="005173A0" w:rsidRPr="00494D70">
        <w:rPr>
          <w:rFonts w:ascii="Times New Roman" w:eastAsia="Calibri" w:hAnsi="Times New Roman" w:cs="Times New Roman"/>
          <w:sz w:val="24"/>
          <w:szCs w:val="24"/>
        </w:rPr>
        <w:t xml:space="preserve">in </w:t>
      </w:r>
      <w:proofErr w:type="gramStart"/>
      <w:r w:rsidR="005173A0" w:rsidRPr="00494D70">
        <w:rPr>
          <w:rFonts w:ascii="Times New Roman" w:eastAsia="Calibri" w:hAnsi="Times New Roman" w:cs="Times New Roman"/>
          <w:sz w:val="24"/>
          <w:szCs w:val="24"/>
        </w:rPr>
        <w:t>the literature</w:t>
      </w:r>
      <w:proofErr w:type="gramEnd"/>
      <w:r w:rsidR="00AD481F" w:rsidRPr="00494D70">
        <w:rPr>
          <w:rFonts w:ascii="Times New Roman" w:eastAsia="Calibri" w:hAnsi="Times New Roman" w:cs="Times New Roman"/>
          <w:sz w:val="24"/>
          <w:szCs w:val="24"/>
        </w:rPr>
        <w:t>. T</w:t>
      </w:r>
      <w:r w:rsidR="002C00FC" w:rsidRPr="00494D70">
        <w:rPr>
          <w:rFonts w:ascii="Times New Roman" w:eastAsia="Calibri" w:hAnsi="Times New Roman" w:cs="Times New Roman"/>
          <w:sz w:val="24"/>
          <w:szCs w:val="24"/>
        </w:rPr>
        <w:t xml:space="preserve">o date, no studies </w:t>
      </w:r>
      <w:r w:rsidR="00BB1E64" w:rsidRPr="00494D70">
        <w:rPr>
          <w:rFonts w:ascii="Times New Roman" w:eastAsia="Calibri" w:hAnsi="Times New Roman" w:cs="Times New Roman"/>
          <w:sz w:val="24"/>
          <w:szCs w:val="24"/>
        </w:rPr>
        <w:t xml:space="preserve">have </w:t>
      </w:r>
      <w:r w:rsidR="005703BF" w:rsidRPr="00494D70">
        <w:rPr>
          <w:rFonts w:ascii="Times New Roman" w:eastAsia="Calibri" w:hAnsi="Times New Roman" w:cs="Times New Roman"/>
          <w:sz w:val="24"/>
          <w:szCs w:val="24"/>
        </w:rPr>
        <w:t xml:space="preserve">directly </w:t>
      </w:r>
      <w:r w:rsidR="002C00FC" w:rsidRPr="00494D70">
        <w:rPr>
          <w:rFonts w:ascii="Times New Roman" w:eastAsia="Calibri" w:hAnsi="Times New Roman" w:cs="Times New Roman"/>
          <w:sz w:val="24"/>
          <w:szCs w:val="24"/>
        </w:rPr>
        <w:t xml:space="preserve">examined cross-cultural </w:t>
      </w:r>
      <w:r w:rsidR="00540233" w:rsidRPr="00494D70">
        <w:rPr>
          <w:rFonts w:ascii="Times New Roman" w:eastAsia="Calibri" w:hAnsi="Times New Roman" w:cs="Times New Roman"/>
          <w:sz w:val="24"/>
          <w:szCs w:val="24"/>
        </w:rPr>
        <w:t>comparisons</w:t>
      </w:r>
      <w:r w:rsidR="002F4A60" w:rsidRPr="00494D70">
        <w:rPr>
          <w:rFonts w:ascii="Times New Roman" w:eastAsia="Calibri" w:hAnsi="Times New Roman" w:cs="Times New Roman"/>
          <w:sz w:val="24"/>
          <w:szCs w:val="24"/>
        </w:rPr>
        <w:t>, and r</w:t>
      </w:r>
      <w:r w:rsidR="007904F5" w:rsidRPr="00494D70">
        <w:rPr>
          <w:rFonts w:ascii="Times New Roman" w:eastAsia="Calibri" w:hAnsi="Times New Roman" w:cs="Times New Roman"/>
          <w:sz w:val="24"/>
          <w:szCs w:val="24"/>
        </w:rPr>
        <w:t>esults on gender</w:t>
      </w:r>
      <w:r w:rsidR="00BB1E64" w:rsidRPr="00494D70">
        <w:rPr>
          <w:rFonts w:ascii="Times New Roman" w:eastAsia="Calibri" w:hAnsi="Times New Roman" w:cs="Times New Roman"/>
          <w:sz w:val="24"/>
          <w:szCs w:val="24"/>
        </w:rPr>
        <w:t>-related</w:t>
      </w:r>
      <w:r w:rsidR="007904F5" w:rsidRPr="00494D70">
        <w:rPr>
          <w:rFonts w:ascii="Times New Roman" w:eastAsia="Calibri" w:hAnsi="Times New Roman" w:cs="Times New Roman"/>
          <w:sz w:val="24"/>
          <w:szCs w:val="24"/>
        </w:rPr>
        <w:t xml:space="preserve"> differences </w:t>
      </w:r>
      <w:r w:rsidR="005703BF" w:rsidRPr="00494D70">
        <w:rPr>
          <w:rFonts w:ascii="Times New Roman" w:eastAsia="Calibri" w:hAnsi="Times New Roman" w:cs="Times New Roman"/>
          <w:sz w:val="24"/>
          <w:szCs w:val="24"/>
        </w:rPr>
        <w:t xml:space="preserve">appear </w:t>
      </w:r>
      <w:r w:rsidR="007904F5" w:rsidRPr="00494D70">
        <w:rPr>
          <w:rFonts w:ascii="Times New Roman" w:eastAsia="Calibri" w:hAnsi="Times New Roman" w:cs="Times New Roman"/>
          <w:sz w:val="24"/>
          <w:szCs w:val="24"/>
        </w:rPr>
        <w:t>inconsistent</w:t>
      </w:r>
      <w:r w:rsidR="002F4A60" w:rsidRPr="00494D70">
        <w:rPr>
          <w:rFonts w:ascii="Times New Roman" w:eastAsia="Calibri" w:hAnsi="Times New Roman" w:cs="Times New Roman"/>
          <w:sz w:val="24"/>
          <w:szCs w:val="24"/>
        </w:rPr>
        <w:t xml:space="preserve">. Moreover, </w:t>
      </w:r>
      <w:r w:rsidR="00AE2D9E" w:rsidRPr="00494D70">
        <w:rPr>
          <w:rFonts w:ascii="Times New Roman" w:eastAsia="Calibri" w:hAnsi="Times New Roman" w:cs="Times New Roman"/>
          <w:sz w:val="24"/>
          <w:szCs w:val="24"/>
        </w:rPr>
        <w:t xml:space="preserve">little knowledge </w:t>
      </w:r>
      <w:r w:rsidR="00FF7617" w:rsidRPr="00494D70">
        <w:rPr>
          <w:rFonts w:ascii="Times New Roman" w:eastAsia="Calibri" w:hAnsi="Times New Roman" w:cs="Times New Roman"/>
          <w:sz w:val="24"/>
          <w:szCs w:val="24"/>
        </w:rPr>
        <w:t xml:space="preserve">is available </w:t>
      </w:r>
      <w:r w:rsidR="00AE2D9E" w:rsidRPr="00494D70">
        <w:rPr>
          <w:rFonts w:ascii="Times New Roman" w:eastAsia="Calibri" w:hAnsi="Times New Roman" w:cs="Times New Roman"/>
          <w:sz w:val="24"/>
          <w:szCs w:val="24"/>
        </w:rPr>
        <w:t xml:space="preserve">about SA </w:t>
      </w:r>
      <w:r w:rsidR="00581063" w:rsidRPr="00494D70">
        <w:rPr>
          <w:rFonts w:ascii="Times New Roman" w:eastAsia="Calibri" w:hAnsi="Times New Roman" w:cs="Times New Roman"/>
          <w:sz w:val="24"/>
          <w:szCs w:val="24"/>
        </w:rPr>
        <w:t xml:space="preserve">among </w:t>
      </w:r>
      <w:r w:rsidR="00AE2D9E" w:rsidRPr="00494D70">
        <w:rPr>
          <w:rFonts w:ascii="Times New Roman" w:eastAsia="Calibri" w:hAnsi="Times New Roman" w:cs="Times New Roman"/>
          <w:sz w:val="24"/>
          <w:szCs w:val="24"/>
        </w:rPr>
        <w:t>sexual and gender minorit</w:t>
      </w:r>
      <w:r w:rsidR="00FF7617" w:rsidRPr="00494D70">
        <w:rPr>
          <w:rFonts w:ascii="Times New Roman" w:eastAsia="Calibri" w:hAnsi="Times New Roman" w:cs="Times New Roman"/>
          <w:sz w:val="24"/>
          <w:szCs w:val="24"/>
        </w:rPr>
        <w:t xml:space="preserve">y </w:t>
      </w:r>
      <w:r w:rsidR="00581063" w:rsidRPr="00494D70">
        <w:rPr>
          <w:rFonts w:ascii="Times New Roman" w:eastAsia="Calibri" w:hAnsi="Times New Roman" w:cs="Times New Roman"/>
          <w:sz w:val="24"/>
          <w:szCs w:val="24"/>
        </w:rPr>
        <w:t>groups</w:t>
      </w:r>
      <w:r w:rsidR="00583E11" w:rsidRPr="00494D70">
        <w:rPr>
          <w:rFonts w:ascii="Times New Roman" w:eastAsia="Calibri" w:hAnsi="Times New Roman" w:cs="Times New Roman"/>
          <w:sz w:val="24"/>
          <w:szCs w:val="24"/>
        </w:rPr>
        <w:t xml:space="preserve">, potentially perpetuating stereotypes and </w:t>
      </w:r>
      <w:r w:rsidR="007817FA" w:rsidRPr="00494D70">
        <w:rPr>
          <w:rFonts w:ascii="Times New Roman" w:eastAsia="Calibri" w:hAnsi="Times New Roman" w:cs="Times New Roman"/>
          <w:sz w:val="24"/>
          <w:szCs w:val="24"/>
        </w:rPr>
        <w:t xml:space="preserve">hindering </w:t>
      </w:r>
      <w:r w:rsidR="006D3E4A" w:rsidRPr="00494D70">
        <w:rPr>
          <w:rFonts w:ascii="Times New Roman" w:eastAsia="Calibri" w:hAnsi="Times New Roman" w:cs="Times New Roman"/>
          <w:sz w:val="24"/>
          <w:szCs w:val="24"/>
        </w:rPr>
        <w:t xml:space="preserve">effective interventions </w:t>
      </w:r>
      <w:r w:rsidR="0000061C" w:rsidRPr="00494D70">
        <w:rPr>
          <w:rFonts w:ascii="Times New Roman" w:eastAsia="Calibri" w:hAnsi="Times New Roman" w:cs="Times New Roman"/>
          <w:sz w:val="24"/>
          <w:szCs w:val="24"/>
        </w:rPr>
        <w:t>that</w:t>
      </w:r>
      <w:r w:rsidR="001C5502" w:rsidRPr="00494D70">
        <w:rPr>
          <w:rFonts w:ascii="Times New Roman" w:eastAsia="Calibri" w:hAnsi="Times New Roman" w:cs="Times New Roman"/>
          <w:sz w:val="24"/>
          <w:szCs w:val="24"/>
        </w:rPr>
        <w:t xml:space="preserve"> cater</w:t>
      </w:r>
      <w:r w:rsidR="00225801" w:rsidRPr="00494D70">
        <w:rPr>
          <w:rFonts w:ascii="Times New Roman" w:eastAsia="Calibri" w:hAnsi="Times New Roman" w:cs="Times New Roman"/>
          <w:sz w:val="24"/>
          <w:szCs w:val="24"/>
        </w:rPr>
        <w:t xml:space="preserve"> to these </w:t>
      </w:r>
      <w:r w:rsidR="001C5502" w:rsidRPr="00494D70">
        <w:rPr>
          <w:rFonts w:ascii="Times New Roman" w:eastAsia="Calibri" w:hAnsi="Times New Roman" w:cs="Times New Roman"/>
          <w:sz w:val="24"/>
          <w:szCs w:val="24"/>
        </w:rPr>
        <w:t>individuals</w:t>
      </w:r>
      <w:r w:rsidR="00AE2D9E" w:rsidRPr="00494D70">
        <w:rPr>
          <w:rFonts w:ascii="Times New Roman" w:eastAsia="Calibri" w:hAnsi="Times New Roman" w:cs="Times New Roman"/>
          <w:sz w:val="24"/>
          <w:szCs w:val="24"/>
        </w:rPr>
        <w:t>.</w:t>
      </w:r>
      <w:r w:rsidR="0050315A" w:rsidRPr="00494D70">
        <w:rPr>
          <w:rFonts w:ascii="Times New Roman" w:eastAsia="Calibri" w:hAnsi="Times New Roman" w:cs="Times New Roman"/>
          <w:sz w:val="24"/>
          <w:szCs w:val="24"/>
        </w:rPr>
        <w:t xml:space="preserve"> To address these research gaps, we aimed to psychometrically test a short, valid, and reliable measure across many languages and demographic groups. </w:t>
      </w:r>
    </w:p>
    <w:p w14:paraId="6C9FE32D" w14:textId="4136B252" w:rsidR="00B633BC" w:rsidRPr="00494D70" w:rsidRDefault="007805C0" w:rsidP="000B124E">
      <w:pPr>
        <w:spacing w:after="0" w:line="480" w:lineRule="auto"/>
        <w:ind w:firstLine="567"/>
        <w:rPr>
          <w:rFonts w:ascii="Times New Roman" w:eastAsia="Calibri" w:hAnsi="Times New Roman" w:cs="Times New Roman"/>
          <w:sz w:val="24"/>
          <w:szCs w:val="24"/>
        </w:rPr>
      </w:pPr>
      <w:r w:rsidRPr="00494D70">
        <w:rPr>
          <w:rFonts w:ascii="Times New Roman" w:eastAsia="Calibri" w:hAnsi="Times New Roman" w:cs="Times New Roman"/>
          <w:sz w:val="24"/>
          <w:szCs w:val="24"/>
        </w:rPr>
        <w:t xml:space="preserve">SA encompasses </w:t>
      </w:r>
      <w:r w:rsidR="00B5109E" w:rsidRPr="00494D70">
        <w:rPr>
          <w:rFonts w:ascii="Times New Roman" w:eastAsia="Calibri" w:hAnsi="Times New Roman" w:cs="Times New Roman"/>
          <w:sz w:val="24"/>
          <w:szCs w:val="24"/>
        </w:rPr>
        <w:t>various</w:t>
      </w:r>
      <w:r w:rsidR="00D65D69" w:rsidRPr="00494D70">
        <w:rPr>
          <w:rFonts w:ascii="Times New Roman" w:eastAsia="Calibri" w:hAnsi="Times New Roman" w:cs="Times New Roman"/>
          <w:sz w:val="24"/>
          <w:szCs w:val="24"/>
        </w:rPr>
        <w:t xml:space="preserve"> behavioral and at</w:t>
      </w:r>
      <w:r w:rsidR="005174A1" w:rsidRPr="00494D70">
        <w:rPr>
          <w:rFonts w:ascii="Times New Roman" w:eastAsia="Calibri" w:hAnsi="Times New Roman" w:cs="Times New Roman"/>
          <w:sz w:val="24"/>
          <w:szCs w:val="24"/>
        </w:rPr>
        <w:t>t</w:t>
      </w:r>
      <w:r w:rsidR="00D65D69" w:rsidRPr="00494D70">
        <w:rPr>
          <w:rFonts w:ascii="Times New Roman" w:eastAsia="Calibri" w:hAnsi="Times New Roman" w:cs="Times New Roman"/>
          <w:sz w:val="24"/>
          <w:szCs w:val="24"/>
        </w:rPr>
        <w:t xml:space="preserve">itudinal </w:t>
      </w:r>
      <w:r w:rsidR="006435A7" w:rsidRPr="00494D70">
        <w:rPr>
          <w:rFonts w:ascii="Times New Roman" w:eastAsia="Calibri" w:hAnsi="Times New Roman" w:cs="Times New Roman"/>
          <w:sz w:val="24"/>
          <w:szCs w:val="24"/>
        </w:rPr>
        <w:t>domains</w:t>
      </w:r>
      <w:r w:rsidR="00D65D69" w:rsidRPr="00494D70">
        <w:rPr>
          <w:rFonts w:ascii="Times New Roman" w:eastAsia="Calibri" w:hAnsi="Times New Roman" w:cs="Times New Roman"/>
          <w:sz w:val="24"/>
          <w:szCs w:val="24"/>
        </w:rPr>
        <w:t>.</w:t>
      </w:r>
      <w:r w:rsidR="00B633BC" w:rsidRPr="00494D70">
        <w:rPr>
          <w:rFonts w:ascii="Times New Roman" w:eastAsia="Calibri" w:hAnsi="Times New Roman" w:cs="Times New Roman"/>
          <w:sz w:val="24"/>
          <w:szCs w:val="24"/>
        </w:rPr>
        <w:t xml:space="preserve"> </w:t>
      </w:r>
      <w:r w:rsidR="00D65D69" w:rsidRPr="00494D70">
        <w:rPr>
          <w:rFonts w:ascii="Times New Roman" w:eastAsia="Calibri" w:hAnsi="Times New Roman" w:cs="Times New Roman"/>
          <w:sz w:val="24"/>
          <w:szCs w:val="24"/>
        </w:rPr>
        <w:t>A</w:t>
      </w:r>
      <w:r w:rsidR="00B633BC" w:rsidRPr="00494D70">
        <w:rPr>
          <w:rFonts w:ascii="Times New Roman" w:eastAsia="Calibri" w:hAnsi="Times New Roman" w:cs="Times New Roman"/>
          <w:sz w:val="24"/>
          <w:szCs w:val="24"/>
        </w:rPr>
        <w:t xml:space="preserve">uthors </w:t>
      </w:r>
      <w:r w:rsidR="00103545" w:rsidRPr="00494D70">
        <w:rPr>
          <w:rFonts w:ascii="Times New Roman" w:eastAsia="Calibri" w:hAnsi="Times New Roman" w:cs="Times New Roman"/>
          <w:sz w:val="24"/>
          <w:szCs w:val="24"/>
        </w:rPr>
        <w:t xml:space="preserve">generally </w:t>
      </w:r>
      <w:r w:rsidR="00B633BC" w:rsidRPr="00494D70">
        <w:rPr>
          <w:rFonts w:ascii="Times New Roman" w:eastAsia="Calibri" w:hAnsi="Times New Roman" w:cs="Times New Roman"/>
          <w:sz w:val="24"/>
          <w:szCs w:val="24"/>
        </w:rPr>
        <w:t>emphasize social competence to initiate sexual activity, reject</w:t>
      </w:r>
      <w:r w:rsidR="00E33C45" w:rsidRPr="00494D70">
        <w:rPr>
          <w:rFonts w:ascii="Times New Roman" w:eastAsia="Calibri" w:hAnsi="Times New Roman" w:cs="Times New Roman"/>
          <w:sz w:val="24"/>
          <w:szCs w:val="24"/>
        </w:rPr>
        <w:t xml:space="preserve"> participation in</w:t>
      </w:r>
      <w:r w:rsidR="00B633BC" w:rsidRPr="00494D70">
        <w:rPr>
          <w:rFonts w:ascii="Times New Roman" w:eastAsia="Calibri" w:hAnsi="Times New Roman" w:cs="Times New Roman"/>
          <w:sz w:val="24"/>
          <w:szCs w:val="24"/>
        </w:rPr>
        <w:t xml:space="preserve"> unwanted sexual activity, negotiate protection and contraceptive use, communicate about risk, and express </w:t>
      </w:r>
      <w:r w:rsidR="0058213F" w:rsidRPr="00494D70">
        <w:rPr>
          <w:rFonts w:ascii="Times New Roman" w:eastAsia="Calibri" w:hAnsi="Times New Roman" w:cs="Times New Roman"/>
          <w:sz w:val="24"/>
          <w:szCs w:val="24"/>
        </w:rPr>
        <w:t xml:space="preserve">sexual </w:t>
      </w:r>
      <w:r w:rsidR="00B633BC" w:rsidRPr="00494D70">
        <w:rPr>
          <w:rFonts w:ascii="Times New Roman" w:eastAsia="Calibri" w:hAnsi="Times New Roman" w:cs="Times New Roman"/>
          <w:sz w:val="24"/>
          <w:szCs w:val="24"/>
        </w:rPr>
        <w:t>desires</w:t>
      </w:r>
      <w:r w:rsidR="00064BC4" w:rsidRPr="00494D70">
        <w:rPr>
          <w:rFonts w:ascii="Times New Roman" w:eastAsia="Calibri" w:hAnsi="Times New Roman" w:cs="Times New Roman"/>
          <w:sz w:val="24"/>
          <w:szCs w:val="24"/>
        </w:rPr>
        <w:t xml:space="preserve"> and preferences</w:t>
      </w:r>
      <w:r w:rsidR="00B633BC" w:rsidRPr="00494D70">
        <w:rPr>
          <w:rFonts w:ascii="Times New Roman" w:eastAsia="Calibri" w:hAnsi="Times New Roman" w:cs="Times New Roman"/>
          <w:sz w:val="24"/>
          <w:szCs w:val="24"/>
        </w:rPr>
        <w:t xml:space="preserve"> </w:t>
      </w:r>
      <w:r w:rsidR="00B633BC"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{"citationID":"wZ0tpVqR","properties":{"formattedCitation":"(Loshek &amp; Terrell, 2015; Morokoff et al., 1997; Quina et al., 2000)","plainCitation":"(Loshek &amp; Terrell, 2015; Morokoff et al., 1997; Quina et al., 2000)","noteIndex":0},"citationItems":[{"id":3118,"uris":["http://zotero.org/users/7402913/items/CJJXYKMQ"],"itemData":{"id":3118,"type":"article-journal","abstract":"Sexual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discussed.","container-title":"Journal of Sex Research","DOI":"10.1080/00224499.2014.944970","ISSN":"1559-8519","issue":"9","journalAbbreviation":"J Sex Res","language":"eng","note":"PMID: 25211014","page":"1017-1027","source":"PubMed","title":"The Development of the Sexual Assertiveness Questionnaire (SAQ): A Comprehensive Measure of Sexual Assertiveness for Women","title-short":"The Development of the Sexual Assertiveness Questionnaire (SAQ)","volume":"52","author":[{"family":"Loshek","given":"Eevett"},{"family":"Terrell","given":"Heather K."}],"issued":{"date-parts":[["2015"]]}}},{"id":3131,"uris":["http://zotero.org/users/7402913/items/XKGV3393"],"itemData":{"id":3131,"type":"article-journal","abstract":"Four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 (PsycINFO Database Record (c) 2019 APA, all rights reserved)","container-title":"Journal of Personality and Social Psychology","DOI":"10.1037/0022-3514.73.4.790","ISSN":"1939-1315","issue":"4","note":"publisher-place: US\npublisher: American Psychological Association","page":"790-804","source":"APA PsycNet","title":"Sexual Assertiveness Scale (SAS) for women: Development and validation","title-short":"Sexual Assertiveness Scale (SAS) for women","volume":"73","author":[{"family":"Morokoff","given":"Patricia J."},{"family":"Quina","given":"Kathryn"},{"family":"Harlow","given":"Lisa L."},{"family":"Whitmire","given":"Laura"},{"family":"Grimley","given":"Diane M."},{"family":"Gibson","given":"Pamela R."},{"family":"Burkholder","given":"Gary J."}],"issued":{"date-parts":[["1997"]]}}},{"id":3133,"uris":["http://zotero.org/users/7402913/items/P9YP6WL4"],"itemData":{"id":3133,"type":"article-journal","abstract":"Examined sexual communication as it relates to HIV risk reduction in interpersonal relationships among females with heterosexual HIV risk factors. 816 females (mean age 30.4 yrs) who had 2 or more sex partners, an injection drug-using sex partner, or a sex partner who had other sex partners completed questionnaires assessing assertive communication with a sex partner, HIV risk, demographic information, sexual history, negative interpersonal experiences, and cognitions and attitudes. Results show that Ss with a known partner HIV risk responded more negatively on most measures. Communication was found to be part of an overall cognitive–attitudinal approach to HIV risk, although specific predictors differed by type of communication and partner risk level. (PsycINFO Database Record (c) 2019 APA, all rights reserved)","container-title":"Sex Roles: A Journal of Research","DOI":"10.1023/A:1007043205155","ISSN":"1573-2762","issue":"7-8","note":"publisher-place: Germany\npublisher: Springer","page":"523-549","source":"APA PsycNet","title":"Sexual communication in relationships: When words speak louder than actions","title-short":"Sexual communication in relationships","volume":"42","author":[{"family":"Quina","given":"Kathryn"},{"family":"Harlow","given":"Lisa L."},{"family":"Morokoff","given":"Patricia J."},{"family":"Burkholder","given":"Gary"},{"family":"Deiter","given":"Pamela J."}],"issued":{"date-parts":[["2000"]]}}}],"schema":"https://github.com/citation-style-language/schema/raw/master/csl-citation.json"} </w:instrText>
      </w:r>
      <w:r w:rsidR="00B633BC"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(Loshek &amp; Terrell, 2015; Morokoff et al., 1997; Quina et al., 2000)</w:t>
      </w:r>
      <w:r w:rsidR="00B633BC" w:rsidRPr="00494D70">
        <w:rPr>
          <w:rFonts w:ascii="Times New Roman" w:eastAsia="Calibri" w:hAnsi="Times New Roman" w:cs="Times New Roman"/>
          <w:sz w:val="24"/>
          <w:szCs w:val="24"/>
        </w:rPr>
        <w:fldChar w:fldCharType="end"/>
      </w:r>
      <w:r w:rsidR="00B633BC" w:rsidRPr="00494D70">
        <w:rPr>
          <w:rFonts w:ascii="Times New Roman" w:eastAsia="Calibri" w:hAnsi="Times New Roman" w:cs="Times New Roman"/>
          <w:sz w:val="24"/>
          <w:szCs w:val="24"/>
        </w:rPr>
        <w:t xml:space="preserve">. </w:t>
      </w:r>
      <w:r w:rsidR="00244EE4" w:rsidRPr="00494D70">
        <w:rPr>
          <w:rFonts w:ascii="Times New Roman" w:eastAsia="Calibri" w:hAnsi="Times New Roman" w:cs="Times New Roman"/>
          <w:sz w:val="24"/>
          <w:szCs w:val="24"/>
        </w:rPr>
        <w:t xml:space="preserve">SA </w:t>
      </w:r>
      <w:r w:rsidR="00B633BC" w:rsidRPr="00494D70">
        <w:rPr>
          <w:rFonts w:ascii="Times New Roman" w:eastAsia="Calibri" w:hAnsi="Times New Roman" w:cs="Times New Roman"/>
          <w:sz w:val="24"/>
          <w:szCs w:val="24"/>
        </w:rPr>
        <w:t xml:space="preserve">relies on an awareness of oneself as a sexual being </w:t>
      </w:r>
      <w:r w:rsidR="00BB1E64" w:rsidRPr="00494D70">
        <w:rPr>
          <w:rFonts w:ascii="Times New Roman" w:eastAsia="Calibri" w:hAnsi="Times New Roman" w:cs="Times New Roman"/>
          <w:sz w:val="24"/>
          <w:szCs w:val="24"/>
        </w:rPr>
        <w:t>and</w:t>
      </w:r>
      <w:r w:rsidR="00B633BC" w:rsidRPr="00494D70">
        <w:rPr>
          <w:rFonts w:ascii="Times New Roman" w:eastAsia="Calibri" w:hAnsi="Times New Roman" w:cs="Times New Roman"/>
          <w:sz w:val="24"/>
          <w:szCs w:val="24"/>
        </w:rPr>
        <w:t xml:space="preserve"> knowledge of sexual and assertive </w:t>
      </w:r>
      <w:r w:rsidR="00672B58" w:rsidRPr="00494D70">
        <w:rPr>
          <w:rFonts w:ascii="Times New Roman" w:eastAsia="Calibri" w:hAnsi="Times New Roman" w:cs="Times New Roman"/>
          <w:sz w:val="24"/>
          <w:szCs w:val="24"/>
        </w:rPr>
        <w:t>rights and</w:t>
      </w:r>
      <w:r w:rsidR="00B633BC" w:rsidRPr="00494D70">
        <w:rPr>
          <w:rFonts w:ascii="Times New Roman" w:eastAsia="Calibri" w:hAnsi="Times New Roman" w:cs="Times New Roman"/>
          <w:sz w:val="24"/>
          <w:szCs w:val="24"/>
        </w:rPr>
        <w:t xml:space="preserve"> </w:t>
      </w:r>
      <w:r w:rsidR="00581063" w:rsidRPr="00494D70">
        <w:rPr>
          <w:rFonts w:ascii="Times New Roman" w:eastAsia="Calibri" w:hAnsi="Times New Roman" w:cs="Times New Roman"/>
          <w:sz w:val="24"/>
          <w:szCs w:val="24"/>
        </w:rPr>
        <w:t xml:space="preserve">reflects </w:t>
      </w:r>
      <w:r w:rsidR="00B633BC" w:rsidRPr="00494D70">
        <w:rPr>
          <w:rFonts w:ascii="Times New Roman" w:eastAsia="Calibri" w:hAnsi="Times New Roman" w:cs="Times New Roman"/>
          <w:sz w:val="24"/>
          <w:szCs w:val="24"/>
        </w:rPr>
        <w:t xml:space="preserve">an attitude that one </w:t>
      </w:r>
      <w:proofErr w:type="gramStart"/>
      <w:r w:rsidR="00B633BC" w:rsidRPr="00494D70">
        <w:rPr>
          <w:rFonts w:ascii="Times New Roman" w:eastAsia="Calibri" w:hAnsi="Times New Roman" w:cs="Times New Roman"/>
          <w:sz w:val="24"/>
          <w:szCs w:val="24"/>
        </w:rPr>
        <w:t>is deserving of</w:t>
      </w:r>
      <w:proofErr w:type="gramEnd"/>
      <w:r w:rsidR="00B633BC" w:rsidRPr="00494D70">
        <w:rPr>
          <w:rFonts w:ascii="Times New Roman" w:eastAsia="Calibri" w:hAnsi="Times New Roman" w:cs="Times New Roman"/>
          <w:sz w:val="24"/>
          <w:szCs w:val="24"/>
        </w:rPr>
        <w:t xml:space="preserve"> bodily integrity and pleasure. The framework inherently implies that people have the right to make independent decisions about their sexual experiences and that consensual, safe, and mutually pleasurable sexual activity is an essential </w:t>
      </w:r>
      <w:r w:rsidR="00581063" w:rsidRPr="00494D70">
        <w:rPr>
          <w:rFonts w:ascii="Times New Roman" w:eastAsia="Calibri" w:hAnsi="Times New Roman" w:cs="Times New Roman"/>
          <w:sz w:val="24"/>
          <w:szCs w:val="24"/>
        </w:rPr>
        <w:t xml:space="preserve">element of </w:t>
      </w:r>
      <w:r w:rsidR="00B633BC" w:rsidRPr="00494D70">
        <w:rPr>
          <w:rFonts w:ascii="Times New Roman" w:eastAsia="Calibri" w:hAnsi="Times New Roman" w:cs="Times New Roman"/>
          <w:sz w:val="24"/>
          <w:szCs w:val="24"/>
        </w:rPr>
        <w:t>sexual health and well-being</w:t>
      </w:r>
      <w:r w:rsidR="006F36CD" w:rsidRPr="00494D70">
        <w:rPr>
          <w:rFonts w:ascii="Times New Roman" w:eastAsia="Calibri" w:hAnsi="Times New Roman" w:cs="Times New Roman"/>
          <w:sz w:val="24"/>
          <w:szCs w:val="24"/>
        </w:rPr>
        <w:t xml:space="preserve"> </w:t>
      </w:r>
      <w:r w:rsidR="00435747"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{"citationID":"i22qR7v6","properties":{"formattedCitation":"(Dunn et al., 1979; Morokoff et al., 1997)","plainCitation":"(Dunn et al., 1979; Morokoff et al., 1997)","noteIndex":0},"citationItems":[{"id":4862,"uris":["http://zotero.org/users/7402913/items/3RXHSJQD"],"itemData":{"id":4862,"type":"article-journal","archive_location":"WOS:A1979HZ16900005","container-title":"Sexuality and disability","DOI":"10.1007/BF01101395","ISSN":"0146-1044","issue":"4","language":"English","page":"293-300","title":"Sexual Assertiveness in Spinal Cord Injury","volume":"2","author":[{"family":"Dunn","given":"M"},{"family":"Lloyd","given":"EE"},{"family":"Phelps","given":"GH"}],"issued":{"date-parts":[["1979"]]}}},{"id":3131,"uris":["http://zotero.org/users/7402913/items/XKGV3393"],"itemData":{"id":3131,"type":"article-journal","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 (PsycINFO Database Record (c) 2019 APA, all rights reserved)","container-title":"Journal of Personality and Social Psychology","DOI":"10.1037/0022-3514.73.4.790","ISSN":"1939-1315","issue":"4","note":"publisher-place: US\npublisher: American Psychological Association","page":"790-804","source":"APA PsycNet","title":"Sexual Assertiveness Scale (SAS) for women: Development and validation","title-short":"Sexual Assertiveness Scale (SAS) for women","volume":"73","author":[{"family":"Morokoff","given":"Patricia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435747" w:rsidRPr="00494D70">
        <w:rPr>
          <w:rFonts w:ascii="Times New Roman" w:eastAsia="Calibri" w:hAnsi="Times New Roman" w:cs="Times New Roman"/>
          <w:sz w:val="24"/>
          <w:szCs w:val="24"/>
        </w:rPr>
        <w:fldChar w:fldCharType="separate"/>
      </w:r>
      <w:r w:rsidR="00435747" w:rsidRPr="00494D70">
        <w:rPr>
          <w:rFonts w:ascii="Times New Roman" w:hAnsi="Times New Roman" w:cs="Times New Roman"/>
          <w:sz w:val="24"/>
        </w:rPr>
        <w:t>(Dunn et al., 1979; Morokoff et al., 1997)</w:t>
      </w:r>
      <w:r w:rsidR="00435747" w:rsidRPr="00494D70">
        <w:rPr>
          <w:rFonts w:ascii="Times New Roman" w:eastAsia="Calibri" w:hAnsi="Times New Roman" w:cs="Times New Roman"/>
          <w:sz w:val="24"/>
          <w:szCs w:val="24"/>
        </w:rPr>
        <w:fldChar w:fldCharType="end"/>
      </w:r>
      <w:r w:rsidR="00B633BC" w:rsidRPr="00494D70">
        <w:rPr>
          <w:rFonts w:ascii="Times New Roman" w:eastAsia="Calibri" w:hAnsi="Times New Roman" w:cs="Times New Roman"/>
          <w:sz w:val="24"/>
          <w:szCs w:val="24"/>
        </w:rPr>
        <w:t>.</w:t>
      </w:r>
      <w:r w:rsidR="00A30EA1" w:rsidRPr="00494D70">
        <w:rPr>
          <w:rFonts w:ascii="Times New Roman" w:eastAsia="Calibri" w:hAnsi="Times New Roman" w:cs="Times New Roman"/>
          <w:sz w:val="24"/>
          <w:szCs w:val="24"/>
        </w:rPr>
        <w:t xml:space="preserve"> </w:t>
      </w:r>
      <w:r w:rsidR="002B7218" w:rsidRPr="00494D70">
        <w:rPr>
          <w:rFonts w:ascii="Times New Roman" w:eastAsia="Calibri" w:hAnsi="Times New Roman" w:cs="Times New Roman"/>
          <w:sz w:val="24"/>
          <w:szCs w:val="24"/>
        </w:rPr>
        <w:t>SA</w:t>
      </w:r>
      <w:r w:rsidR="0014788F" w:rsidRPr="00494D70">
        <w:rPr>
          <w:rFonts w:ascii="Times New Roman" w:eastAsia="Calibri" w:hAnsi="Times New Roman" w:cs="Times New Roman"/>
          <w:sz w:val="24"/>
          <w:szCs w:val="24"/>
        </w:rPr>
        <w:t xml:space="preserve">, as a </w:t>
      </w:r>
      <w:proofErr w:type="gramStart"/>
      <w:r w:rsidR="0014788F" w:rsidRPr="00494D70">
        <w:rPr>
          <w:rFonts w:ascii="Times New Roman" w:eastAsia="Calibri" w:hAnsi="Times New Roman" w:cs="Times New Roman"/>
          <w:sz w:val="24"/>
          <w:szCs w:val="24"/>
        </w:rPr>
        <w:t>construct</w:t>
      </w:r>
      <w:proofErr w:type="gramEnd"/>
      <w:r w:rsidR="0014788F" w:rsidRPr="00494D70">
        <w:rPr>
          <w:rFonts w:ascii="Times New Roman" w:eastAsia="Calibri" w:hAnsi="Times New Roman" w:cs="Times New Roman"/>
          <w:sz w:val="24"/>
          <w:szCs w:val="24"/>
        </w:rPr>
        <w:t>,</w:t>
      </w:r>
      <w:r w:rsidR="00F97CBC" w:rsidRPr="00494D70">
        <w:rPr>
          <w:rFonts w:ascii="Times New Roman" w:eastAsia="Calibri" w:hAnsi="Times New Roman" w:cs="Times New Roman"/>
          <w:sz w:val="24"/>
          <w:szCs w:val="24"/>
        </w:rPr>
        <w:t xml:space="preserve"> is </w:t>
      </w:r>
      <w:r w:rsidR="00886D45" w:rsidRPr="00494D70">
        <w:rPr>
          <w:rFonts w:ascii="Times New Roman" w:eastAsia="Calibri" w:hAnsi="Times New Roman" w:cs="Times New Roman"/>
          <w:sz w:val="24"/>
          <w:szCs w:val="24"/>
        </w:rPr>
        <w:t xml:space="preserve">closely </w:t>
      </w:r>
      <w:r w:rsidR="0014788F" w:rsidRPr="00494D70">
        <w:rPr>
          <w:rFonts w:ascii="Times New Roman" w:eastAsia="Calibri" w:hAnsi="Times New Roman" w:cs="Times New Roman"/>
          <w:sz w:val="24"/>
          <w:szCs w:val="24"/>
        </w:rPr>
        <w:t>related to</w:t>
      </w:r>
      <w:r w:rsidR="00F97CBC" w:rsidRPr="00494D70">
        <w:rPr>
          <w:rFonts w:ascii="Times New Roman" w:eastAsia="Calibri" w:hAnsi="Times New Roman" w:cs="Times New Roman"/>
          <w:sz w:val="24"/>
          <w:szCs w:val="24"/>
        </w:rPr>
        <w:t xml:space="preserve"> sexual self-esteem </w:t>
      </w:r>
      <w:r w:rsidR="000941EA" w:rsidRPr="00494D70">
        <w:rPr>
          <w:rFonts w:ascii="Times New Roman" w:eastAsia="Calibri" w:hAnsi="Times New Roman" w:cs="Times New Roman"/>
          <w:sz w:val="24"/>
          <w:szCs w:val="24"/>
        </w:rPr>
        <w:t xml:space="preserve">but is conceptually </w:t>
      </w:r>
      <w:r w:rsidR="000941EA" w:rsidRPr="00494D70">
        <w:rPr>
          <w:rFonts w:ascii="Times New Roman" w:eastAsia="Calibri" w:hAnsi="Times New Roman" w:cs="Times New Roman"/>
          <w:sz w:val="24"/>
          <w:szCs w:val="24"/>
        </w:rPr>
        <w:lastRenderedPageBreak/>
        <w:t xml:space="preserve">different from </w:t>
      </w:r>
      <w:r w:rsidR="00886D45" w:rsidRPr="00494D70">
        <w:rPr>
          <w:rFonts w:ascii="Times New Roman" w:eastAsia="Calibri" w:hAnsi="Times New Roman" w:cs="Times New Roman"/>
          <w:sz w:val="24"/>
          <w:szCs w:val="24"/>
        </w:rPr>
        <w:t>it</w:t>
      </w:r>
      <w:r w:rsidR="000941EA" w:rsidRPr="00494D70">
        <w:rPr>
          <w:rFonts w:ascii="Times New Roman" w:eastAsia="Calibri" w:hAnsi="Times New Roman" w:cs="Times New Roman"/>
          <w:sz w:val="24"/>
          <w:szCs w:val="24"/>
        </w:rPr>
        <w:t xml:space="preserve">. While sexual self-esteem </w:t>
      </w:r>
      <w:r w:rsidR="00BC643F" w:rsidRPr="00494D70">
        <w:rPr>
          <w:rFonts w:ascii="Times New Roman" w:eastAsia="Calibri" w:hAnsi="Times New Roman" w:cs="Times New Roman"/>
          <w:sz w:val="24"/>
          <w:szCs w:val="24"/>
        </w:rPr>
        <w:t>reflects an individual's internal perception of their sexual worth and competence, sexual assertiveness pertains to their external behavior in advocating for their sexual needs and boundaries within interpersonal interactions</w:t>
      </w:r>
      <w:r w:rsidR="0082583D" w:rsidRPr="00494D70">
        <w:rPr>
          <w:rFonts w:ascii="Times New Roman" w:eastAsia="Calibri" w:hAnsi="Times New Roman" w:cs="Times New Roman"/>
          <w:sz w:val="24"/>
          <w:szCs w:val="24"/>
        </w:rPr>
        <w:t xml:space="preserve"> </w:t>
      </w:r>
      <w:r w:rsidR="0082583D" w:rsidRPr="00494D70">
        <w:rPr>
          <w:rFonts w:ascii="Times New Roman" w:eastAsia="Calibri" w:hAnsi="Times New Roman" w:cs="Times New Roman"/>
          <w:sz w:val="24"/>
          <w:szCs w:val="24"/>
        </w:rPr>
        <w:fldChar w:fldCharType="begin"/>
      </w:r>
      <w:r w:rsidR="0082583D" w:rsidRPr="00494D70">
        <w:rPr>
          <w:rFonts w:ascii="Times New Roman" w:eastAsia="Calibri" w:hAnsi="Times New Roman" w:cs="Times New Roman"/>
          <w:sz w:val="24"/>
          <w:szCs w:val="24"/>
        </w:rPr>
        <w:instrText xml:space="preserve"> ADDIN ZOTERO_ITEM CSL_CITATION {"citationID":"58Kb8eOG","properties":{"formattedCitation":"(M\\uc0\\u233{}nard &amp; Offman, 2009)","plainCitation":"(Ménard &amp; Offman, 2009)","noteIndex":0},"citationItems":[{"id":3136,"uris":["http://zotero.org/users/7402913/items/S4BVKDL8"],"itemData":{"id":3136,"type":"article-journal","abstract":"This study investigated the relationships between sexual self-esteem, sexual assertiveness and sexual satisfaction. It was hypothesized that higher levels of sexual self-esteem would be associated with greater sexual satisfaction and that sexual assertiveness would act as a partial mediator. The participants were 25 men and 46 women, aged 19-56 years, recruited from the community. Participants completed questionnaires measuring sexual self-esteem, sexual assertiveness and sexual satisfaction. The results showed strong correlations between all three variables and confirmed sexual assertiveness as a partial mediator of the relationship between sexual self-esteem and sexual satisfaction. The implications of the findings for clinical practice are considered.","container-title":"Canadian Journal of Human Sexuality","ISSN":"11884517","issue":"1/2","note":"publisher: University of Toronto Press","page":"35-45","source":"EBSCOhost","title":"The interrelationships between sexual self-esteem, sexual assertiveness and sexual satisfaction","volume":"18","author":[{"family":"Ménard","given":"A. Dana"},{"family":"Offman","given":"Alia"}],"issued":{"date-parts":[["2009",7]]}},"label":"page"}],"schema":"https://github.com/citation-style-language/schema/raw/master/csl-citation.json"} </w:instrText>
      </w:r>
      <w:r w:rsidR="0082583D" w:rsidRPr="00494D70">
        <w:rPr>
          <w:rFonts w:ascii="Times New Roman" w:eastAsia="Calibri" w:hAnsi="Times New Roman" w:cs="Times New Roman"/>
          <w:sz w:val="24"/>
          <w:szCs w:val="24"/>
        </w:rPr>
        <w:fldChar w:fldCharType="separate"/>
      </w:r>
      <w:r w:rsidR="0082583D" w:rsidRPr="00494D70">
        <w:rPr>
          <w:rFonts w:ascii="Times New Roman" w:hAnsi="Times New Roman" w:cs="Times New Roman"/>
          <w:sz w:val="24"/>
        </w:rPr>
        <w:t>(Ménard &amp; Offman, 2009)</w:t>
      </w:r>
      <w:r w:rsidR="0082583D" w:rsidRPr="00494D70">
        <w:rPr>
          <w:rFonts w:ascii="Times New Roman" w:eastAsia="Calibri" w:hAnsi="Times New Roman" w:cs="Times New Roman"/>
          <w:sz w:val="24"/>
          <w:szCs w:val="24"/>
        </w:rPr>
        <w:fldChar w:fldCharType="end"/>
      </w:r>
      <w:r w:rsidR="00BC643F" w:rsidRPr="00494D70">
        <w:rPr>
          <w:rFonts w:ascii="Times New Roman" w:eastAsia="Calibri" w:hAnsi="Times New Roman" w:cs="Times New Roman"/>
          <w:sz w:val="24"/>
          <w:szCs w:val="24"/>
        </w:rPr>
        <w:t>.</w:t>
      </w:r>
      <w:r w:rsidR="00F97CBC" w:rsidRPr="00494D70">
        <w:rPr>
          <w:rFonts w:ascii="Times New Roman" w:eastAsia="Calibri" w:hAnsi="Times New Roman" w:cs="Times New Roman"/>
          <w:sz w:val="24"/>
          <w:szCs w:val="24"/>
        </w:rPr>
        <w:t xml:space="preserve"> </w:t>
      </w:r>
      <w:r w:rsidR="00B633BC" w:rsidRPr="00494D70">
        <w:rPr>
          <w:rFonts w:ascii="Times New Roman" w:eastAsia="Calibri" w:hAnsi="Times New Roman" w:cs="Times New Roman"/>
          <w:sz w:val="24"/>
          <w:szCs w:val="24"/>
        </w:rPr>
        <w:t xml:space="preserve">Although an individual’s level of SA is recognized to vary across different sexual situations and partners, it is usually conceptualized as a relatively stable </w:t>
      </w:r>
      <w:r w:rsidR="00BB1E64" w:rsidRPr="00494D70">
        <w:rPr>
          <w:rFonts w:ascii="Times New Roman" w:eastAsia="Calibri" w:hAnsi="Times New Roman" w:cs="Times New Roman"/>
          <w:sz w:val="24"/>
          <w:szCs w:val="24"/>
        </w:rPr>
        <w:t xml:space="preserve">individual feature </w:t>
      </w:r>
      <w:r w:rsidR="00B633BC"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{"citationID":"GdgG9NR0","properties":{"formattedCitation":"(Morokoff et al., 1997; Pierce &amp; Hurlbert, 1999)","plainCitation":"(Morokoff et al., 1997; Pierce &amp; Hurlbert, 1999)","noteIndex":0},"citationItems":[{"id":3131,"uris":["http://zotero.org/users/7402913/items/XKGV3393"],"itemData":{"id":3131,"type":"article-journal","abstract":"Four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 (PsycINFO Database Record (c) 2019 APA, all rights reserved)","container-title":"Journal of Personality and Social Psychology","DOI":"10.1037/0022-3514.73.4.790","ISSN":"1939-1315","issue":"4","note":"publisher-place: US\npublisher: American Psychological Association","page":"790-804","source":"APA PsycNet","title":"Sexual Assertiveness Scale (SAS) for women: Development and validation","title-short":"Sexual Assertiveness Scale (SAS) for women","volume":"73","author":[{"family":"Morokoff","given":"Patricia J."},{"family":"Quina","given":"Kathryn"},{"family":"Harlow","given":"Lisa L."},{"family":"Whitmire","given":"Laura"},{"family":"Grimley","given":"Diane M."},{"family":"Gibson","given":"Pamela R."},{"family":"Burkholder","given":"Gary J."}],"issued":{"date-parts":[["1997"]]}}},{"id":5013,"uris":["http://zotero.org/users/7402913/items/9BAVBKUN"],"itemData":{"id":5013,"type":"article-journal","abstract":"This study investigated the test-retest stability of the Hurlbert Index of Sexual Assertiveness. 54 nonclinical and 46 clinical subjects were administered the Index on two occasions 4 wk. apart. Test-retest correlation coefficients were calculated separately and together. The results evidenced high test-retest reliability. Correlation coefficients were .88 for nonclinical subjects and .83 for clinical subjects with an over-all test-retest reliability of .85 for all 100 subjects.","container-title":"Perceptual and Motor Skills","DOI":"10.2466/pms.1999.88.1.31","ISSN":"0031-5125","issue":"1","journalAbbreviation":"Percept Mot Skills","language":"eng","note":"PMID: 10214631","page":"31-34","source":"PubMed","title":"Test-retest reliability of the Hurlbert Index of Sexual Assertiveness","volume":"88","author":[{"family":"Pierce","given":"A. P."},{"family":"Hurlbert","given":"M. K."}],"issued":{"date-parts":[["1999",2]]}}}],"schema":"https://github.com/citation-style-language/schema/raw/master/csl-citation.json"} </w:instrText>
      </w:r>
      <w:r w:rsidR="00B633BC"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(Morokoff et al., 1997; Pierce &amp; Hurlbert, 1999)</w:t>
      </w:r>
      <w:r w:rsidR="00B633BC" w:rsidRPr="00494D70">
        <w:rPr>
          <w:rFonts w:ascii="Times New Roman" w:eastAsia="Calibri" w:hAnsi="Times New Roman" w:cs="Times New Roman"/>
          <w:sz w:val="24"/>
          <w:szCs w:val="24"/>
        </w:rPr>
        <w:fldChar w:fldCharType="end"/>
      </w:r>
      <w:r w:rsidR="00B633BC" w:rsidRPr="00494D70">
        <w:rPr>
          <w:rFonts w:ascii="Times New Roman" w:eastAsia="Calibri" w:hAnsi="Times New Roman" w:cs="Times New Roman"/>
          <w:sz w:val="24"/>
          <w:szCs w:val="24"/>
        </w:rPr>
        <w:t xml:space="preserve">. </w:t>
      </w:r>
    </w:p>
    <w:p w14:paraId="74FD53D5" w14:textId="26A05AC6" w:rsidR="0054103A" w:rsidRPr="00494D70" w:rsidRDefault="00330F25" w:rsidP="00625BBD">
      <w:pPr>
        <w:spacing w:after="0" w:line="480" w:lineRule="auto"/>
        <w:ind w:firstLine="567"/>
        <w:rPr>
          <w:rFonts w:ascii="Times New Roman" w:eastAsia="Calibri" w:hAnsi="Times New Roman" w:cs="Times New Roman"/>
          <w:sz w:val="24"/>
          <w:szCs w:val="24"/>
        </w:rPr>
      </w:pPr>
      <w:r w:rsidRPr="00494D70">
        <w:rPr>
          <w:rFonts w:ascii="Times New Roman" w:eastAsia="Calibri" w:hAnsi="Times New Roman" w:cs="Times New Roman"/>
          <w:sz w:val="24"/>
          <w:szCs w:val="24"/>
        </w:rPr>
        <w:t>Empirical research has fo</w:t>
      </w:r>
      <w:r w:rsidR="00640980" w:rsidRPr="00494D70">
        <w:rPr>
          <w:rFonts w:ascii="Times New Roman" w:eastAsia="Calibri" w:hAnsi="Times New Roman" w:cs="Times New Roman"/>
          <w:sz w:val="24"/>
          <w:szCs w:val="24"/>
        </w:rPr>
        <w:t xml:space="preserve">und </w:t>
      </w:r>
      <w:r w:rsidR="00B633BC" w:rsidRPr="00494D70">
        <w:rPr>
          <w:rFonts w:ascii="Times New Roman" w:eastAsia="Calibri" w:hAnsi="Times New Roman" w:cs="Times New Roman"/>
          <w:sz w:val="24"/>
          <w:szCs w:val="24"/>
        </w:rPr>
        <w:t xml:space="preserve">SA </w:t>
      </w:r>
      <w:r w:rsidR="00640980" w:rsidRPr="00494D70">
        <w:rPr>
          <w:rFonts w:ascii="Times New Roman" w:eastAsia="Calibri" w:hAnsi="Times New Roman" w:cs="Times New Roman"/>
          <w:sz w:val="24"/>
          <w:szCs w:val="24"/>
        </w:rPr>
        <w:t xml:space="preserve">to be </w:t>
      </w:r>
      <w:r w:rsidR="00B633BC" w:rsidRPr="00494D70">
        <w:rPr>
          <w:rFonts w:ascii="Times New Roman" w:eastAsia="Calibri" w:hAnsi="Times New Roman" w:cs="Times New Roman"/>
          <w:sz w:val="24"/>
          <w:szCs w:val="24"/>
        </w:rPr>
        <w:t>associated with higher sexual self-esteem, sexual and relationship satisfaction</w:t>
      </w:r>
      <w:r w:rsidR="00B633BC"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{"citationID":"lRL27reO","properties":{"formattedCitation":"(M\\uc0\\u233{}nard &amp; Offman, 2009)","plainCitation":"(Ménard &amp; Offman, 2009)","dontUpdate":true,"noteIndex":0},"citationItems":[{"id":3136,"uris":["http://zotero.org/users/7402913/items/S4BVKDL8"],"itemData":{"id":3136,"type":"article-journal","abstract":"This study investigated the relationships between sexual self-esteem, sexual assertiveness and sexual satisfaction. It was hypothesized that higher levels of sexual self-esteem would be associated with greater sexual satisfaction and that sexual assertiveness would act as a partial mediator. The participants were 25 men and 46 women, aged 19-56 years, recruited from the community. Participants completed questionnaires measuring sexual self-esteem, sexual assertiveness and sexual satisfaction. The results showed strong correlations between all three variables and confirmed sexual assertiveness as a partial mediator of the relationship between sexual self-esteem and sexual satisfaction. The implications of the findings for clinical practice are considered.","container-title":"Canadian Journal of Human Sexuality","ISSN":"11884517","issue":"1/2","note":"publisher: University of Toronto Press","page":"35-45","source":"EBSCOhost","title":"The interrelationships between sexual self-esteem, sexual assertiveness and sexual satisfaction","volume":"18","author":[{"family":"Ménard","given":"A. Dana"},{"family":"Offman","given":"Alia"}],"issued":{"date-parts":[["2009",7]]}}}],"schema":"https://github.com/citation-style-language/schema/raw/master/csl-citation.json"} </w:instrText>
      </w:r>
      <w:r w:rsidR="00B633BC" w:rsidRPr="00494D70">
        <w:rPr>
          <w:rFonts w:ascii="Times New Roman" w:eastAsia="Calibri" w:hAnsi="Times New Roman" w:cs="Times New Roman"/>
          <w:sz w:val="24"/>
          <w:szCs w:val="24"/>
        </w:rPr>
        <w:fldChar w:fldCharType="separate"/>
      </w:r>
      <w:r w:rsidR="00B633BC" w:rsidRPr="00494D70">
        <w:rPr>
          <w:rFonts w:ascii="Times New Roman" w:eastAsia="Calibri" w:hAnsi="Times New Roman" w:cs="Times New Roman"/>
          <w:sz w:val="24"/>
          <w:szCs w:val="24"/>
        </w:rPr>
        <w:fldChar w:fldCharType="end"/>
      </w:r>
      <w:r w:rsidR="00B633BC" w:rsidRPr="00494D70">
        <w:rPr>
          <w:rFonts w:ascii="Times New Roman" w:eastAsia="Calibri" w:hAnsi="Times New Roman" w:cs="Times New Roman"/>
          <w:sz w:val="24"/>
          <w:szCs w:val="24"/>
        </w:rPr>
        <w:t xml:space="preserve">, and </w:t>
      </w:r>
      <w:r w:rsidR="005C5720" w:rsidRPr="00494D70">
        <w:rPr>
          <w:rFonts w:ascii="Times New Roman" w:eastAsia="Calibri" w:hAnsi="Times New Roman" w:cs="Times New Roman"/>
          <w:sz w:val="24"/>
          <w:szCs w:val="24"/>
        </w:rPr>
        <w:t xml:space="preserve">better </w:t>
      </w:r>
      <w:r w:rsidR="00B633BC" w:rsidRPr="00494D70">
        <w:rPr>
          <w:rFonts w:ascii="Times New Roman" w:eastAsia="Calibri" w:hAnsi="Times New Roman" w:cs="Times New Roman"/>
          <w:sz w:val="24"/>
          <w:szCs w:val="24"/>
        </w:rPr>
        <w:t xml:space="preserve">sexual functioning </w:t>
      </w:r>
      <w:r w:rsidR="00B633BC"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{"citationID":"ptsbv9Y3","properties":{"formattedCitation":"(Leclerc et al., 2015; McNicoll et al., 2017; M\\uc0\\u233{}nard &amp; Offman, 2009; Santos-Iglesias et al., 2013)","plainCitation":"(Leclerc et al., 2015; McNicoll et al., 2017; Ménard &amp; Offman, 2009; Santos-Iglesias et al., 2013)","noteIndex":0},"citationItems":[{"id":4970,"uris":["http://zotero.org/users/7402913/items/TE7KDSZF"],"itemData":{"id":4970,"type":"article-journal","abstract":"Provoked vestibulodynia (PVD) is a prevalent women's sexual pain disorder, which is associated with sexual function difficulties. Attachment theory has been used to understand adult sexual outcomes, providing a useful framework for examining sexual adaptation in couples confronted with PVD. Research to date indicates that anxious and avoidant attachment dimensions correlate with worse sexual outcomes in community and clinical samples. The present study examined the association between attachment, pain, sexual function, and sexual satisfaction in a sample of 101 couples in which the women presented with PVD. The actor-partner interdependence model was used in order to investigate both actor and partner effects. This study also examined the role of sexual assertiveness as a mediator of these associations via structural equation modeling. Women completed measures of pain intensity and both members of the couple completed measures of romantic attachment, sexual assertiveness, sexual function, and satisfaction. Results indicated that attachment dimensions did not predict pain intensity. Both anxious and avoidant attachment were associated with lower sexual satisfaction. Only attachment avoidance predicted lower sexual function in women. Partner effects indicated that higher sexual assertiveness in women predicted higher sexual satisfaction in men. Finally, women's sexual assertiveness was found to be a significant mediator of the relationship between their attachment dimensions, sexual function, and satisfaction. Findings highlight the importance of examining how anxious and avoidant attachment may lead to difficulties in sexual assertiveness and to less satisfying sexual interactions in couples where women suffer from PVD.","archive_location":"WOS:000358137500005","container-title":"Archives of Sexual Behavior","DOI":"10.1007/s10508-014-0295-1","ISSN":"0004-0002","issue":"6","language":"English","page":"1561-1572","title":"Attachment, Sexual Assertiveness, and Sexual Outcomes in Women with Provoked Vestibulodynia and Their Partners: A Mediation Model","volume":"44","author":[{"family":"Leclerc","given":"B"},{"family":"Bergeron","given":"S"},{"family":"Brassard","given":"A"},{"family":"Belanger","given":"C"},{"family":"Steben","given":"M"},{"family":"Lambert","given":"B"}],"issued":{"date-parts":[["2015",8]]}}},{"id":4972,"uris":["http://zotero.org/users/7402913/items/CVCFXLNH"],"itemData":{"id":4972,"type":"article-journal","abstract":"Provoked vestibulodynia (PVD) is a recurrent idiopathic vulvo-vaginal pain associated with negative sexual and psychological consequences. Facilitative partner responses to pain are currently receiving empirical attention because they are positively associated with women's sexual outcomes. However, the mechanisms through which facilitative responses to pain are associated with these outcomes have not been examined. One potential mechanism is sexual assertiveness, which has been found to be associated with better sexual function and satisfaction in women with PVD. The present study examined whether women's sexual assertiveness mediated the association between women's perception of facilitative partner responses and women's sexual function and satisfaction. Women (N = 140) with PVD symptomatology completed self-reported questionnaires evaluating their perception of their partners' facilitative responses, and their own sexual assertiveness, sexual function, and sexual satisfaction. Dependent measures were sexual function measured by the Female Sexual Function Index and sexual satisfaction assessed by the Global Measure of Sexual Satisfaction Scale. Results indicated that women's higher sexual assertiveness mediated the association between their greater perceived facilitative partner responses and their improved sexual function and satisfaction. Findings suggest a potential mechanism through which partner responses may be associated with women's sexual outcomes.","archive_location":"WOS:000410799100005","container-title":"Journal of Sex &amp; Marital Therapy","DOI":"10.1080/0092623X.2016.1230806","ISSN":"0092-623X","issue":"7","language":"English","page":"663-677","title":"Sexual Assertiveness Mediates the Associations Between Partner Facilitative Responses and Sexual Outcomes in Women With Provoked Vestibulodynia","volume":"43","author":[{"family":"McNicoll","given":"G"},{"family":"Corsini-Munt","given":"S"},{"family":"Rosen","given":"NO"},{"family":"McDuff","given":"P"},{"family":"Bergeron","given":"S"}],"issued":{"date-parts":[["2017"]]}},"label":"page"},{"id":3136,"uris":["http://zotero.org/users/7402913/items/S4BVKDL8"],"itemData":{"id":3136,"type":"article-journal","abstract":"This study investigated the relationships between sexual self-esteem, sexual assertiveness and sexual satisfaction. It was hypothesized that higher levels of sexual self-esteem would be associated with greater sexual satisfaction and that sexual assertiveness would act as a partial mediator. The participants were 25 men and 46 women, aged 19-56 years, recruited from the community. Participants completed questionnaires measuring sexual self-esteem, sexual assertiveness and sexual satisfaction. The results showed strong correlations between all three variables and confirmed sexual assertiveness as a partial mediator of the relationship between sexual self-esteem and sexual satisfaction. The implications of the findings for clinical practice are considered.","container-title":"Canadian Journal of Human Sexuality","ISSN":"11884517","issue":"1/2","note":"publisher: University of Toronto Press","page":"35-45","source":"EBSCOhost","title":"The interrelationships between sexual self-esteem, sexual assertiveness and sexual satisfaction","volume":"18","author":[{"family":"Ménard","given":"A. Dana"},{"family":"Offman","given":"Alia"}],"issued":{"date-parts":[["2009",7]]}},"label":"page"},{"id":3134,"uris":["http://zotero.org/users/7402913/items/UGP5IUFY"],"itemData":{"id":3134,"type":"article-journal","abstract":"This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skills.","container-title":"Archives of Sexual Behavior","DOI":"10.1007/s10508-012-9998-3","ISSN":"1573-2800","issue":"6","journalAbbreviation":"Arch Sex Behav","language":"en","page":"1043-1052","source":"Springer Link","title":"Predictors of Sexual Assertiveness: The Role of Sexual Desire, Arousal, Attitudes, and Partner Abuse","title-short":"Predictors of Sexual Assertiveness","volume":"42","author":[{"family":"Santos-Iglesias","given":"Pablo"},{"family":"Sierra","given":"Juan Carlos"},{"family":"Vallejo-Medina","given":"Pablo"}],"issued":{"date-parts":[["2013",8,1]]}},"label":"page"}],"schema":"https://github.com/citation-style-language/schema/raw/master/csl-citation.json"} </w:instrText>
      </w:r>
      <w:r w:rsidR="00B633BC" w:rsidRPr="00494D70">
        <w:rPr>
          <w:rFonts w:ascii="Times New Roman" w:eastAsia="Calibri" w:hAnsi="Times New Roman" w:cs="Times New Roman"/>
          <w:sz w:val="24"/>
          <w:szCs w:val="24"/>
        </w:rPr>
        <w:fldChar w:fldCharType="separate"/>
      </w:r>
      <w:r w:rsidR="000B7012" w:rsidRPr="00494D70">
        <w:rPr>
          <w:rFonts w:ascii="Times New Roman" w:hAnsi="Times New Roman" w:cs="Times New Roman"/>
          <w:sz w:val="24"/>
        </w:rPr>
        <w:t>(Leclerc et al., 2015; McNicoll et al., 2017; Ménard &amp; Offman, 2009; Santos-Iglesias et al., 2013)</w:t>
      </w:r>
      <w:r w:rsidR="00B633BC" w:rsidRPr="00494D70">
        <w:rPr>
          <w:rFonts w:ascii="Times New Roman" w:eastAsia="Calibri" w:hAnsi="Times New Roman" w:cs="Times New Roman"/>
          <w:sz w:val="24"/>
          <w:szCs w:val="24"/>
        </w:rPr>
        <w:fldChar w:fldCharType="end"/>
      </w:r>
      <w:r w:rsidR="00B633BC" w:rsidRPr="00494D70">
        <w:rPr>
          <w:rFonts w:ascii="Times New Roman" w:eastAsia="Calibri" w:hAnsi="Times New Roman" w:cs="Times New Roman"/>
          <w:sz w:val="24"/>
          <w:szCs w:val="24"/>
        </w:rPr>
        <w:t xml:space="preserve">. It is </w:t>
      </w:r>
      <w:r w:rsidR="002D243C" w:rsidRPr="00494D70">
        <w:rPr>
          <w:rFonts w:ascii="Times New Roman" w:eastAsia="Calibri" w:hAnsi="Times New Roman" w:cs="Times New Roman"/>
          <w:sz w:val="24"/>
          <w:szCs w:val="24"/>
        </w:rPr>
        <w:t xml:space="preserve">also </w:t>
      </w:r>
      <w:r w:rsidR="00B633BC" w:rsidRPr="00494D70">
        <w:rPr>
          <w:rFonts w:ascii="Times New Roman" w:eastAsia="Calibri" w:hAnsi="Times New Roman" w:cs="Times New Roman"/>
          <w:sz w:val="24"/>
          <w:szCs w:val="24"/>
        </w:rPr>
        <w:t xml:space="preserve">linked to safer sexual practices </w:t>
      </w:r>
      <w:r w:rsidR="00B633BC"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{"citationID":"XFjBSvbf","properties":{"formattedCitation":"(Noar et al., 2002)","plainCitation":"(Noar et al., 2002)","noteIndex":0},"citationItems":[{"id":3159,"uris":["http://zotero.org/users/7402913/items/JR25D39V"],"itemData":{"id":3159,"type":"article-journal","abstract":"The ability to negotiate condom use with a partner is a skill that sexually active men and women must have in order to avoid sexually transmitted diseases including HIV. Despite this fact, there is no psychometrically valid instrument in the literature to measure condom influence strategies. This investigation reports on the development and initial validation of the condom influence strategy questionnaire (CISQ). Exploratory and confirmatory analyses revealed and confirmed six influence strategies used by heterosexually active men and women to negotiate condom use. These CISQ subscales accounted for variance in safer sexual variables including sexual assertiveness, self-efficacy, and partner communication. Further, those who endorsed CISQ subscales were more likely to have intentions to use condoms consistently and to use condoms. Gender differences in subscales favoring women as the ones most likely to use influence strategies also emerged. Implications of these results as well as future directions for research are discussed.","container-title":"Psychology &amp; Health","DOI":"10.1080/0887044021000030580","ISSN":"0887-0446","issue":"6","note":"publisher: Routledge\n_eprint: https://doi.org/10.1080/0887044021000030580","page":"711-735","source":"Taylor and Francis+NEJM","title":"Condom Negotiation in Heterosexually Active Men and Women: Development and Validation of a Condom Influence Strategy Questionnaire","title-short":"Condom Negotiation in Heterosexually Active Men and Women","volume":"17","author":[{"family":"Noar","given":"Seth M."},{"family":"Morokoff","given":"Patricia J."},{"family":"Harlow","given":"Lisa L."}],"issued":{"date-parts":[["2002",1,1]]}}}],"schema":"https://github.com/citation-style-language/schema/raw/master/csl-citation.json"} </w:instrText>
      </w:r>
      <w:r w:rsidR="00B633BC"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(Noar et al., 2002)</w:t>
      </w:r>
      <w:r w:rsidR="00B633BC" w:rsidRPr="00494D70">
        <w:rPr>
          <w:rFonts w:ascii="Times New Roman" w:eastAsia="Calibri" w:hAnsi="Times New Roman" w:cs="Times New Roman"/>
          <w:sz w:val="24"/>
          <w:szCs w:val="24"/>
        </w:rPr>
        <w:fldChar w:fldCharType="end"/>
      </w:r>
      <w:r w:rsidR="00B633BC" w:rsidRPr="00494D70">
        <w:rPr>
          <w:rFonts w:ascii="Times New Roman" w:eastAsia="Calibri" w:hAnsi="Times New Roman" w:cs="Times New Roman"/>
          <w:sz w:val="24"/>
          <w:szCs w:val="24"/>
        </w:rPr>
        <w:t xml:space="preserve"> and </w:t>
      </w:r>
      <w:r w:rsidR="00244EE4" w:rsidRPr="00494D70">
        <w:rPr>
          <w:rFonts w:ascii="Times New Roman" w:eastAsia="Calibri" w:hAnsi="Times New Roman" w:cs="Times New Roman"/>
          <w:sz w:val="24"/>
          <w:szCs w:val="24"/>
        </w:rPr>
        <w:t xml:space="preserve">the </w:t>
      </w:r>
      <w:r w:rsidR="00B633BC" w:rsidRPr="00494D70">
        <w:rPr>
          <w:rFonts w:ascii="Times New Roman" w:eastAsia="Calibri" w:hAnsi="Times New Roman" w:cs="Times New Roman"/>
          <w:sz w:val="24"/>
          <w:szCs w:val="24"/>
        </w:rPr>
        <w:t>avoid</w:t>
      </w:r>
      <w:r w:rsidR="00244EE4" w:rsidRPr="00494D70">
        <w:rPr>
          <w:rFonts w:ascii="Times New Roman" w:eastAsia="Calibri" w:hAnsi="Times New Roman" w:cs="Times New Roman"/>
          <w:sz w:val="24"/>
          <w:szCs w:val="24"/>
        </w:rPr>
        <w:t>ance of</w:t>
      </w:r>
      <w:r w:rsidR="00B633BC" w:rsidRPr="00494D70">
        <w:rPr>
          <w:rFonts w:ascii="Times New Roman" w:eastAsia="Calibri" w:hAnsi="Times New Roman" w:cs="Times New Roman"/>
          <w:sz w:val="24"/>
          <w:szCs w:val="24"/>
        </w:rPr>
        <w:t xml:space="preserve"> harm</w:t>
      </w:r>
      <w:r w:rsidR="00244EE4" w:rsidRPr="00494D70">
        <w:rPr>
          <w:rFonts w:ascii="Times New Roman" w:eastAsia="Calibri" w:hAnsi="Times New Roman" w:cs="Times New Roman"/>
          <w:sz w:val="24"/>
          <w:szCs w:val="24"/>
        </w:rPr>
        <w:t>,</w:t>
      </w:r>
      <w:r w:rsidR="00B633BC" w:rsidRPr="00494D70">
        <w:rPr>
          <w:rFonts w:ascii="Times New Roman" w:eastAsia="Calibri" w:hAnsi="Times New Roman" w:cs="Times New Roman"/>
          <w:sz w:val="24"/>
          <w:szCs w:val="24"/>
        </w:rPr>
        <w:t xml:space="preserve"> such as HIV and other sexually transmitted infections </w:t>
      </w:r>
      <w:r w:rsidR="00B633BC"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{"citationID":"JJ9H4oSU","properties":{"formattedCitation":"(Morokoff et al., 2009; Onuoha &amp; Munakata, 2005; Stulhofer et al., 2009)","plainCitation":"(Morokoff et al., 2009; Onuoha &amp; Munakata, 2005; Stulhofer et al., 2009)","noteIndex":0},"citationItems":[{"id":3161,"uris":["http://zotero.org/users/7402913/items/KR2XI28V"],"itemData":{"id":3161,"type":"article-journal","abstract":"This study examined whether the Multifaceted Model of HIV Risk (MMOHR) would predict unprotected sex based on predictors including gender, childhood sexual abuse (CSA), sexual victimization (SV), depression, and sexual assertiveness for condom use. A community-based sample of 473 heterosexually active men and women, aged 18–46 years completed survey measures of model variables. Gender predicted several variables significantly. A separate model for women demonstrated excellent fit, while the model for men demonstrated reasonable fit. Multiple sample model testing supported the use of MMOHR in both men and women, while simultaneously highlighting areas of gender difference. Prevention interventions should focus on sexual assertiveness, especially for CSA and SV survivors, as well as targeting depression, especially among men.","container-title":"Journal of Applied Biobehavioral Research","DOI":"10.1111/j.1751-9861.2009.00039.x","ISSN":"1751-9861","issue":"1","language":"en","note":"_eprint: https://onlinelibrary.wiley.com/doi/pdf/10.1111/j.1751-9861.2009.00039.x","page":"30-54","source":"Wiley Online Library","title":"Associations of Sexual Victimization, Depression, and Sexual Assertiveness with Unprotected Sex: A Test of the Multifaceted Model of HIV Risk Across Gender","title-short":"Associations of Sexual Victimization, Depression, and Sexual Assertiveness with Unprotected Sex","volume":"14","author":[{"family":"Morokoff","given":"Patricia J."},{"family":"Redding","given":"Colleen A."},{"family":"Harlow","given":"Lisa L."},{"family":"Cho","given":"Sookhyun"},{"family":"Rossi","given":"Joseph S."},{"family":"Meier","given":"Kathryn S."},{"family":"Mayer","given":"Kenneth H."},{"family":"Koblin","given":"Beryl"},{"family":"Brown-Peterside","given":"Pamela"}],"issued":{"date-parts":[["2009"]]}}},{"id":3157,"uris":["http://zotero.org/users/7402913/items/YE242PJU"],"itemData":{"id":3157,"type":"article-journal","abstract":"This cross-national study examines social and sexual assertiveness in four-country adolescent samples of Nigerian, Thai, Chinese, and Japanese college students and reveals that sexual rather than social assertiveness was the sine qua non against risk, cross-culturally. Adolescents are frequently admonished to be socially assertive in order to confront negative interpersonal peer influences. Since the advent of HIV/AIDS in human social chemistry, the admonition has become more critical than ever. But the warning is often proffered in the misguided presumption that social assertiveness is the all-required psycho-structure against risk. The present cross-national study examines social and sexual assertiveness in four-country adolescent samples of Nigerian, Thai, Chinese, and Japanese college students. The findings reveal that sexual rather than social assertiveness was the sine qua non against risk, cross-culturally.","container-title":"Adolescence","source":"Semantic Scholar","title":"Correlates of adolescent assertiveness with HIV avoidance in a four-nation sample.","author":[{"family":"Onuoha","given":"F. N."},{"family":"Munakata","given":"T."}],"issued":{"date-parts":[["2005"]]}},"label":"page"},{"id":3306,"uris":["http://zotero.org/users/7402913/items/PBBZITQI"],"itemData":{"id":3306,"type":"article-journal","abstract":"Despite the recent increase in the number of HIV infections in Central and Eastern Europe, patterns of sexual behavior have not been extensively researched, particularly among young people. The aim of the present study was to provide a comprehensive assessment of HIV/AIDS-related vulnerability and sexual risk-taking among young adults in Croatia. Data were collected in 2005 using a nationally representative, multi-stage stratified probability sample (n = 1,093) of women and men aged 18-24 years. The focus in this article was on predictors of sexual risk-taking measured by a composite risky sexual behaviors scale. Using hierarchical regression models, we analyzed gendered effects of community, family, peer group, and individual level factors. For both men and women, peer pressure, sensation seeking, personal risk-assessment, behavioral intention, condom use at first sexual intercourse, and sexual victimization were significant predictors of sexual risk-taking behaviors. A number of predictors were gender-specific: sexual assertiveness and condom self-efficacy for women and parental monitoring, traditional morality, HIV knowledge, and talking about sex with partner for men. Documenting substantial prevalence of potentially risky sexual behaviors among young people in Croatia, the findings call for prevention and intervention efforts that should focus on individual capacity building for responsible sexual behavior.","container-title":"Archives of Sexual Behavior","DOI":"10.1007/s10508-007-9234-8","ISSN":"0004-0002","issue":"2","language":"English","page":"209-225","title":"An Assessment of HIV/STI Vulnerability and Related Sexual Risk-Taking in a Nationally Representative Sample of Young Croatian Adults","volume":"38","author":[{"family":"Stulhofer","given":"Aleksandar"},{"family":"Graham","given":"Cynthia"},{"family":"Bozicevic","given":"Ivana"},{"family":"Kufrin","given":"Kresimir"},{"family":"Ajdukovic","given":"Dean"}],"issued":{"date-parts":[["2009"]]}},"label":"page"}],"schema":"https://github.com/citation-style-language/schema/raw/master/csl-citation.json"} </w:instrText>
      </w:r>
      <w:r w:rsidR="00B633BC" w:rsidRPr="00494D70">
        <w:rPr>
          <w:rFonts w:ascii="Times New Roman" w:eastAsia="Calibri" w:hAnsi="Times New Roman" w:cs="Times New Roman"/>
          <w:sz w:val="24"/>
          <w:szCs w:val="24"/>
        </w:rPr>
        <w:fldChar w:fldCharType="separate"/>
      </w:r>
      <w:r w:rsidR="00476389" w:rsidRPr="00494D70">
        <w:rPr>
          <w:rFonts w:ascii="Times New Roman" w:hAnsi="Times New Roman" w:cs="Times New Roman"/>
          <w:sz w:val="24"/>
        </w:rPr>
        <w:t>(Morokoff et al., 2009; Onuoha &amp; Munakata, 2005; Stulhofer et al., 2009)</w:t>
      </w:r>
      <w:r w:rsidR="00B633BC" w:rsidRPr="00494D70">
        <w:rPr>
          <w:rFonts w:ascii="Times New Roman" w:eastAsia="Calibri" w:hAnsi="Times New Roman" w:cs="Times New Roman"/>
          <w:sz w:val="24"/>
          <w:szCs w:val="24"/>
        </w:rPr>
        <w:fldChar w:fldCharType="end"/>
      </w:r>
      <w:r w:rsidR="00DF50BA" w:rsidRPr="00494D70">
        <w:rPr>
          <w:rFonts w:ascii="Times New Roman" w:eastAsia="Calibri" w:hAnsi="Times New Roman" w:cs="Times New Roman"/>
          <w:sz w:val="24"/>
          <w:szCs w:val="24"/>
        </w:rPr>
        <w:t>.</w:t>
      </w:r>
      <w:r w:rsidR="00B633BC" w:rsidRPr="00494D70">
        <w:rPr>
          <w:rFonts w:ascii="Times New Roman" w:eastAsia="Calibri" w:hAnsi="Times New Roman" w:cs="Times New Roman"/>
          <w:sz w:val="24"/>
          <w:szCs w:val="24"/>
        </w:rPr>
        <w:t xml:space="preserve"> </w:t>
      </w:r>
      <w:r w:rsidR="00DF50BA" w:rsidRPr="00494D70">
        <w:rPr>
          <w:rFonts w:ascii="Times New Roman" w:eastAsia="Calibri" w:hAnsi="Times New Roman" w:cs="Times New Roman"/>
          <w:sz w:val="24"/>
          <w:szCs w:val="24"/>
        </w:rPr>
        <w:t>I</w:t>
      </w:r>
      <w:r w:rsidR="00B633BC" w:rsidRPr="00494D70">
        <w:rPr>
          <w:rFonts w:ascii="Times New Roman" w:eastAsia="Calibri" w:hAnsi="Times New Roman" w:cs="Times New Roman"/>
          <w:sz w:val="24"/>
          <w:szCs w:val="24"/>
        </w:rPr>
        <w:t xml:space="preserve">t has both a correlational and a predictive relationship with sexual victimization </w:t>
      </w:r>
      <w:r w:rsidR="00B633BC"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{"citationID":"priHNBLd","properties":{"formattedCitation":"(Livingston et al., 2007; Rickert et al., 2002; Schry &amp; White, 2013; Walker et al., 2011; Zerubavel &amp; Messman-Moore, 2013)","plainCitation":"(Livingston et al., 2007; Rickert et al., 2002; Schry &amp; White, 2013; Walker et al., 2011; Zerubavel &amp; Messman-Moore, 2013)","noteIndex":0},"citationItems":[{"id":3138,"uris":["http://zotero.org/users/7402913/items/83TCMA54"],"itemData":{"id":3138,"type":"article-journal","abstract":"Low sexual assertiveness has been proposed as a possible mechanism through which sexual revictimization occurs, yet evidence for this has been mixed. In this study, prospective path analysis was used to examine the relationship between sexual refusal assertiveness and sexual victimization over time among a community sample of women. Results provide support for a reciprocal relationship, with historical victimization predicting low sexual assertiveness and low sexual assertiveness predicting subsequent victimization. The effect of recent sexual victimization on subsequent sexual assertiveness also was replicated prospectively. These findings suggest that strengthening sexual assertiveness may help reduce vulnerability to future victimization.","container-title":"Violence Against Women","DOI":"10.1177/1077801206297339","ISSN":"1077-8012","issue":"3","journalAbbreviation":"Violence Against Women","language":"en","note":"publisher: SAGE Publications Inc","page":"298-313","source":"SAGE Journals","title":"The Reciprocal Relationship Between Sexual Victimization and Sexual Assertiveness","volume":"13","author":[{"family":"Livingston","given":"Jennifer A."},{"family":"Testa","given":"Maria"},{"family":"VanZile-Tamsen","given":"Carol"}],"issued":{"date-parts":[["2007",3,1]]}}},{"id":3149,"uris":["http://zotero.org/users/7402913/items/9GV6HLU3"],"itemData":{"id":3149,"type":"article-journal","abstract":"CONTEXT: Understanding young women's sexual assertiveness is critical to developing effective interventions to promote sexual health and reduce sexual risk-taking and violence. Young women's perception of their sexual rights may vary according to demographic characteristics, sexual health behaviors and victimization history.\nMETHODS: Data were collected from 904 sexually active 14-26-year-old clients of two family planning clinics in Texas, reflecting their perceptions of their right to communicate expectations about or control aspects of their sexual encounters. Logistic regression analysis was used to assess which characteristics were independently associated with believing that one never has each specified sexual right.\nRESULTS: Almost 2096 of women believed that they never have the right to make their own decisions about contraception, regardless of their partner's wishes; to tell their partner that they do not want to have intercourse without birth control, that they want to make love differently or that their partner is being too rough; and to stop foreplay at any time, including at the point of intercourse. Poor grades in school, sexual inexperience, inconsistent contraceptive use and minority ethnicity were independently associated with lacking sexual assertiveness.\nCONCLUSIONS: Many sexually active young women perceive that they do not have the right to communicate about or control aspects of their sexual behavior. Interventions to prevent sexually transmitted diseases, unwanted pregnancy and coercive sexual behaviors should include strategies to evaluate and address these perceptions.","container-title":"Perspectives on Sexual and Reproductive Health","ISSN":"1538-6341","issue":"4","journalAbbreviation":"Perspect Sex Reprod Health","language":"eng","note":"PMID: 12214907","page":"178-183","source":"PubMed","title":"Is lack of sexual assertiveness among adolescent and young adult women a cause for concern?","volume":"34","author":[{"family":"Rickert","given":"Vaughn I."},{"family":"Sanghvi","given":"Rupal"},{"family":"Wiemann","given":"Constance M."}],"issued":{"date-parts":[["2002",8]]}}},{"id":3155,"uris":["http://zotero.org/users/7402913/items/FPMSFFAW"],"itemData":{"id":3155,"type":"article-journal","abstract":"Sexual victimization is prevalent among college women and is associated with adverse psychological consequences. Social anxiety, particularly related to interpersonal interaction, may increase risk of sexual victimization among college women by decreasing sexual assertiveness and decreasing the likelihood of using assertive resistance techniques. This study examined social interaction anxiety as a risk factor for sexual victimization. College women (n=672) completed online measures of social interaction anxiety, sexual assertiveness, and sexual victimization experiences. Social interaction anxiety was significantly positively related to likelihood of experiencing coerced sexual intercourse, and significant indirect effects, via decreased sexual refusal assertiveness, were found for both coerced sexual intercourse and rape. Social anxiety may be an important psychological barrier to assertive resistance during risky sexual situations, and developers of risk reduction programs for college women should consider including methods to help women overcome their social anxiety in order to successfully use assertive resistance techniques.","container-title":"Behavior Therapy","DOI":"10.1016/j.beth.2012.09.001","ISSN":"0005-7894","issue":"1","journalAbbreviation":"Behavior Therapy","language":"en","page":"125-136","source":"ScienceDirect","title":"Sexual Assertiveness Mediates the Effect of Social Interaction Anxiety on Sexual Victimization Risk Among College Women","volume":"44","author":[{"family":"Schry","given":"Amie R."},{"family":"White","given":"Susan W."}],"issued":{"date-parts":[["2013",3,1]]}},"label":"page"},{"id":3238,"uris":["http://zotero.org/users/7402913/items/GX42JJLC"],"itemData":{"id":3238,"type":"article-journal","abstract":"&lt;p&gt;In previous studies, number of sexual partners and sexual assertiveness were examined as independent risk factors for sexual victimization among college women. Using a sample of 335 college women, this study examined the interaction of number of sexual partners and sexual assertiveness on verbal sexual coercion and rape. Approximately 32% of the sample reported unwanted sexual intercourse, 6.9% &lt;bold&gt;(&lt;/bold&gt;&lt;italic&gt;n&lt;/italic&gt; = 23) experienced verbal sexual coercion, 17.9% (&lt;italic&gt;n&lt;/italic&gt; = 60) experienced rape, and 7.2% (&lt;italic&gt;n&lt;/italic&gt; = 24) experienced both. As number of sexual partners increased, instances of verbal sexual coercion increased for women low in relational sexual assertiveness but not for women high in relational sexual assertiveness. A similar relationship was not found for rape. Among women who experienced both verbal sexual coercion and rape, increases in number of partners in the context of low refusal and relational assertiveness were associated with increases in verbal sexual coercion and rape. Findings suggest sexual assertiveness is related to fewer experiences of sexual coercion.&lt;/p&gt;","container-title":"Violence and Victims","DOI":"10.1891/0886-6708.26.6.774","ISSN":"0886-6708, 1945-7073","issue":"6","language":"en","note":"publisher: Springer\nsection: Articles","page":"774-787","source":"connect.springerpub.com","title":"Number of Sexual Partners and Sexual Assertiveness Predict Sexual Victimization: Do More Partners Equal More Risk?","title-short":"Number of Sexual Partners and Sexual Assertiveness Predict Sexual Victimization","volume":"26","author":[{"family":"Walker","given":"Dave P."},{"family":"Messman-Moore","given":"Terri L."},{"family":"Ward","given":"Rose Marie"}],"issued":{"date-parts":[["2011",1,1]]}}},{"id":3146,"uris":["http://zotero.org/users/7402913/items/JVKMYRLW"],"itemData":{"id":3146,"type":"article-journal","abstract":"The current study examined sexual victimization and two barriers to young women's sexual assertiveness: fear of sexual powerlessness and cognitive emotion dysregulation. College women (N = 499) responded to surveys and indicated that fear of sexual powerlessness and, to a lesser extent, cognitive emotion dysregulation were barriers to sexual assertiveness. Compared with nonvictims, sexually victimized women had greater problems with sexual assertiveness, fear of sexual powerlessness, and cognitive emotion dysregulation. Among victims, fear of sexual powerlessness and emotion dysregulation interacted to impede sexual assertiveness. Findings support targeting identified barriers in interventions to improve sexual assertiveness and reduce risk for unwanted sexual experiences and sexual victimization.","container-title":"Violence Against Women","DOI":"10.1177/1077801213517566","ISSN":"1552-8448","issue":"12","journalAbbreviation":"Violence Against Women","language":"eng","note":"PMID: 24379216","page":"1518-1537","source":"PubMed","title":"Sexual victimization, fear of sexual powerlessness, and cognitive emotion dysregulation as barriers to sexual assertiveness in college women","volume":"19","author":[{"family":"Zerubavel","given":"Noga"},{"family":"Messman-Moore","given":"Terri L."}],"issued":{"date-parts":[["2013"]]}}}],"schema":"https://github.com/citation-style-language/schema/raw/master/csl-citation.json"} </w:instrText>
      </w:r>
      <w:r w:rsidR="00B633BC"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(Livingston et al., 2007; Rickert et al., 2002; Schry &amp; White, 2013; Walker et al., 2011; Zerubavel &amp; Messman-Moore, 2013)</w:t>
      </w:r>
      <w:r w:rsidR="00B633BC" w:rsidRPr="00494D70">
        <w:rPr>
          <w:rFonts w:ascii="Times New Roman" w:eastAsia="Calibri" w:hAnsi="Times New Roman" w:cs="Times New Roman"/>
          <w:sz w:val="24"/>
          <w:szCs w:val="24"/>
        </w:rPr>
        <w:fldChar w:fldCharType="end"/>
      </w:r>
      <w:r w:rsidR="00B633BC" w:rsidRPr="00494D70">
        <w:rPr>
          <w:rFonts w:ascii="Times New Roman" w:eastAsia="Calibri" w:hAnsi="Times New Roman" w:cs="Times New Roman"/>
          <w:sz w:val="24"/>
          <w:szCs w:val="24"/>
        </w:rPr>
        <w:t xml:space="preserve"> </w:t>
      </w:r>
      <w:r w:rsidR="00BB1E64" w:rsidRPr="00494D70">
        <w:rPr>
          <w:rFonts w:ascii="Times New Roman" w:eastAsia="Calibri" w:hAnsi="Times New Roman" w:cs="Times New Roman"/>
          <w:sz w:val="24"/>
          <w:szCs w:val="24"/>
        </w:rPr>
        <w:t>and</w:t>
      </w:r>
      <w:r w:rsidR="002D243C" w:rsidRPr="00494D70">
        <w:rPr>
          <w:rFonts w:ascii="Times New Roman" w:eastAsia="Calibri" w:hAnsi="Times New Roman" w:cs="Times New Roman"/>
          <w:sz w:val="24"/>
          <w:szCs w:val="24"/>
        </w:rPr>
        <w:t xml:space="preserve"> </w:t>
      </w:r>
      <w:r w:rsidR="00B633BC" w:rsidRPr="00494D70">
        <w:rPr>
          <w:rFonts w:ascii="Times New Roman" w:eastAsia="Calibri" w:hAnsi="Times New Roman" w:cs="Times New Roman"/>
          <w:sz w:val="24"/>
          <w:szCs w:val="24"/>
        </w:rPr>
        <w:t xml:space="preserve">revictimization </w:t>
      </w:r>
      <w:r w:rsidR="00B633BC"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{"citationID":"5mmktyza","properties":{"formattedCitation":"(Katz et al., 2010; Kelley et al., 2016)","plainCitation":"(Katz et al., 2010; Kelley et al., 2016)","noteIndex":0},"citationItems":[{"id":5050,"uris":["http://zotero.org/users/7402913/items/ZMGQDJZG"],"itemData":{"id":5050,"type":"article-journal","abstract":"Although sexual victimization during adolescence increases risk for later revictimization, mechanisms for increased risk among new college students have not been identified. Female undergraduates (N = 87) were assessed at the start and end of their first academic year. Those who reported initial sexual victimization at Time 1 were more likely than other women to report later college victimization at Time 2. Path analyses showed that self-blame and decreased sexual refusal assertiveness (SRA) explained this effect. Specifically, initial victimization was associated with increased self-blame; in turn, self-blame indirectly predicted later college victimization via decreased sexual refusal assertiveness. Prevention efforts focused on self-blame and other barriers to SRA may reduce risk for revictimization during women?s transition to college.","container-title":"Journal of Interpersonal Violence","DOI":"10.1177/0886260509354515","ISSN":"0886-2605","issue":"11","journalAbbreviation":"J Interpers Violence","note":"publisher: SAGE Publications Inc","page":"2113-2126","source":"SAGE Journals","title":"Sexual Revictimization During Women’s First Year of College: Self-Blame and Sexual Refusal Assertiveness as Possible Mechanisms","title-short":"Sexual Revictimization During Women’s First Year of College","volume":"25","author":[{"family":"Katz","given":"Jennifer"},{"family":"May","given":"Pamela"},{"family":"Sörensen","given":"Silvia"},{"family":"DelTosta","given":"Jill"}],"issued":{"date-parts":[["2010",11,1]]}}},{"id":3168,"uris":["http://zotero.org/users/7402913/items/B8XHAS6P"],"itemData":{"id":3168,"type":"article-journal","abstract":"OBJECTIVE: College women are at high risk for sexual assault, especially women with a history of sexual victimization. The present study uses a longitudinal design to explore the role of sexual assertiveness, psychological barriers to resistance, and resistance self-efficacy as putative mediators between prior sexual victimization and sexual revictimization among a sample of 296 college women. METHOD: Women completed assessments of sexual victimization since the age of 14, as well as putative mediator variables at a baseline assessment. Sexual revictimization was assessed over a 7-month interim. RESULTS: Results of structural equation modeling indicated that the relationship between baseline and follow-up sexual assault was mediated by the study variables. Follow-up analyses suggested that sexual assertiveness served as a particularly salient mediator. CONCLUSIONS: These findings suggest that increasing women's sexual assertiveness skills may be a particularly important component of reducing risk for sexual revictimization among women with a history of assault. ©2016 American Psychological Association Language: en","container-title":"Psychology of Violence","DOI":"10.1037/A0039407","issue":"2","page":"243-252","source":"Semantic Scholar","title":"Sexual victimization among college women: role of sexual assertiveness and resistance variables","title-short":"Sexual victimization among college women","volume":"6","author":[{"family":"Kelley","given":"Erika L."},{"family":"Orchowski","given":"Lindsay M."},{"family":"Gidycz","given":"C."}],"issued":{"date-parts":[["2016"]]}}}],"schema":"https://github.com/citation-style-language/schema/raw/master/csl-citation.json"} </w:instrText>
      </w:r>
      <w:r w:rsidR="00B633BC"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(Katz et al., 2010; Kelley et al., 2016)</w:t>
      </w:r>
      <w:r w:rsidR="00B633BC" w:rsidRPr="00494D70">
        <w:rPr>
          <w:rFonts w:ascii="Times New Roman" w:eastAsia="Calibri" w:hAnsi="Times New Roman" w:cs="Times New Roman"/>
          <w:sz w:val="24"/>
          <w:szCs w:val="24"/>
        </w:rPr>
        <w:fldChar w:fldCharType="end"/>
      </w:r>
      <w:r w:rsidR="00B633BC" w:rsidRPr="00494D70">
        <w:rPr>
          <w:rFonts w:ascii="Times New Roman" w:eastAsia="Calibri" w:hAnsi="Times New Roman" w:cs="Times New Roman"/>
          <w:sz w:val="24"/>
          <w:szCs w:val="24"/>
        </w:rPr>
        <w:t xml:space="preserve">. Furthermore, higher SA is not only </w:t>
      </w:r>
      <w:r w:rsidR="00244EE4" w:rsidRPr="00494D70">
        <w:rPr>
          <w:rFonts w:ascii="Times New Roman" w:eastAsia="Calibri" w:hAnsi="Times New Roman" w:cs="Times New Roman"/>
          <w:sz w:val="24"/>
          <w:szCs w:val="24"/>
        </w:rPr>
        <w:t xml:space="preserve">negatively </w:t>
      </w:r>
      <w:r w:rsidR="00B633BC" w:rsidRPr="00494D70">
        <w:rPr>
          <w:rFonts w:ascii="Times New Roman" w:eastAsia="Calibri" w:hAnsi="Times New Roman" w:cs="Times New Roman"/>
          <w:sz w:val="24"/>
          <w:szCs w:val="24"/>
        </w:rPr>
        <w:t xml:space="preserve">associated with sexual victimization but </w:t>
      </w:r>
      <w:r w:rsidR="00244EE4" w:rsidRPr="00494D70">
        <w:rPr>
          <w:rFonts w:ascii="Times New Roman" w:eastAsia="Calibri" w:hAnsi="Times New Roman" w:cs="Times New Roman"/>
          <w:sz w:val="24"/>
          <w:szCs w:val="24"/>
        </w:rPr>
        <w:t xml:space="preserve">also </w:t>
      </w:r>
      <w:r w:rsidR="00AE0851" w:rsidRPr="00494D70">
        <w:rPr>
          <w:rFonts w:ascii="Times New Roman" w:eastAsia="Calibri" w:hAnsi="Times New Roman" w:cs="Times New Roman"/>
          <w:sz w:val="24"/>
          <w:szCs w:val="24"/>
        </w:rPr>
        <w:t xml:space="preserve">with </w:t>
      </w:r>
      <w:r w:rsidR="00B633BC" w:rsidRPr="00494D70">
        <w:rPr>
          <w:rFonts w:ascii="Times New Roman" w:eastAsia="Calibri" w:hAnsi="Times New Roman" w:cs="Times New Roman"/>
          <w:sz w:val="24"/>
          <w:szCs w:val="24"/>
        </w:rPr>
        <w:t xml:space="preserve">sexual </w:t>
      </w:r>
      <w:r w:rsidR="00A96B43" w:rsidRPr="00494D70">
        <w:rPr>
          <w:rFonts w:ascii="Times New Roman" w:eastAsia="Calibri" w:hAnsi="Times New Roman" w:cs="Times New Roman"/>
          <w:sz w:val="24"/>
          <w:szCs w:val="24"/>
        </w:rPr>
        <w:t>aggressiveness and abuse</w:t>
      </w:r>
      <w:r w:rsidR="00AE0851" w:rsidRPr="00494D70">
        <w:rPr>
          <w:rFonts w:ascii="Times New Roman" w:eastAsia="Calibri" w:hAnsi="Times New Roman" w:cs="Times New Roman"/>
          <w:sz w:val="24"/>
          <w:szCs w:val="24"/>
        </w:rPr>
        <w:t>,</w:t>
      </w:r>
      <w:r w:rsidR="00B633BC" w:rsidRPr="00494D70">
        <w:rPr>
          <w:rFonts w:ascii="Times New Roman" w:eastAsia="Calibri" w:hAnsi="Times New Roman" w:cs="Times New Roman"/>
          <w:sz w:val="24"/>
          <w:szCs w:val="24"/>
        </w:rPr>
        <w:t xml:space="preserve"> </w:t>
      </w:r>
      <w:r w:rsidR="00AE0851" w:rsidRPr="00494D70">
        <w:rPr>
          <w:rFonts w:ascii="Times New Roman" w:eastAsia="Calibri" w:hAnsi="Times New Roman" w:cs="Times New Roman"/>
          <w:sz w:val="24"/>
          <w:szCs w:val="24"/>
        </w:rPr>
        <w:t>among</w:t>
      </w:r>
      <w:r w:rsidR="00BB1E64" w:rsidRPr="00494D70">
        <w:rPr>
          <w:rFonts w:ascii="Times New Roman" w:eastAsia="Calibri" w:hAnsi="Times New Roman" w:cs="Times New Roman"/>
          <w:sz w:val="24"/>
          <w:szCs w:val="24"/>
        </w:rPr>
        <w:t xml:space="preserve"> both</w:t>
      </w:r>
      <w:r w:rsidR="00B633BC" w:rsidRPr="00494D70">
        <w:rPr>
          <w:rFonts w:ascii="Times New Roman" w:eastAsia="Calibri" w:hAnsi="Times New Roman" w:cs="Times New Roman"/>
          <w:sz w:val="24"/>
          <w:szCs w:val="24"/>
        </w:rPr>
        <w:t xml:space="preserve"> men and women</w:t>
      </w:r>
      <w:r w:rsidR="00244EE4" w:rsidRPr="00494D70">
        <w:rPr>
          <w:rFonts w:ascii="Times New Roman" w:eastAsia="Calibri" w:hAnsi="Times New Roman" w:cs="Times New Roman"/>
          <w:sz w:val="24"/>
          <w:szCs w:val="24"/>
        </w:rPr>
        <w:t xml:space="preserve"> </w:t>
      </w:r>
      <w:r w:rsidR="00B633BC"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{"citationID":"AxtD336l","properties":{"formattedCitation":"(Ho et al., 2021; Lyons et al., 2022; Struckman-Johnson et al., 2020)","plainCitation":"(Ho et al., 2021; Lyons et al., 2022; Struckman-Johnson et al., 2020)","noteIndex":0},"citationItems":[{"id":3220,"uris":["http://zotero.org/users/7402913/items/YFUE6G55"],"itemData":{"id":3220,"type":"article-journal","abstract":"The present study examined relationships among sexual victimization, gender roles, and sexual assertiveness in an LGBTQ sample. Recruited via Mechanical Turk, 455 LGBTQ adults completed measures of sexual assertiveness, gender roles, and sexual assault victimization and perpetration. Some form of sexual victimization in the past year was reported by 31% of participants, and 66% reported some type of sexual victimization since the age of 14. Perpetration of sexual violence in the past year was reported by 17% of the sample, and 27% reported sexual violence perpetration since the age of 14. Logistic regressions revealed that gender roles predicted sexual victimization and sexual perpetration status. Additionally, sexual assertiveness was negatively correlated with both sexual victimization and perpetration status. Contrary to expectations, the interaction between gender roles and sexual assertiveness was not predictive of sexual victimization or perpetration. The implications of the findings are discussed.","container-title":"Sexuality &amp; Culture","DOI":"10.1007/s12119-021-09819-8","ISSN":"10955143","issue":"4","page":"1469-1489","source":"EBSCOhost","title":"Gender Roles, Sexual Assertiveness, and Sexual Victimization in LGBTQ Individuals","volume":"25","author":[{"family":"Ho","given":"Lavina Y."},{"family":"Ehman","given":"Anandi C."},{"family":"Gross","given":"Alan M."}],"issued":{"date-parts":[["2021",8]]}}},{"id":3269,"uris":["http://zotero.org/users/7402913/items/AMDG9C8M"],"itemData":{"id":3269,"type":"article-journal","abstract":"Sexual coercion is a global problem that has been studied widely with regard to various characteristics of the perpetrators. The Dark Triad of personality (i.e., narcissism, Machiavellianism, and primary and secondary psychopathy) has been indicated as an important predictor of coercive cognitions and behaviors. In this study, we report findings of an online study (N = 208), exploring the relationship between sexual coercion, the Dark Triad, and sexual assertiveness (i.e., strategies for achieving sexual autonomy). We found that the Dark Triad was a stronger predictor of sexual coercion in men than in women. In men, all the Dark Triad components were significantly, positively correlated with sexual coercion, and narcissism and Machiavellianism had significant, negative correlations with sexual assertiveness. In women, only narcissism had a significant, positive correlation with sexual coercion, and the Dark Triad traits were not correlated with sexual assertiveness. In regression analyses, controlling for shared variance between the predictor variables, high secondary psychopathy, and low sexual assertiveness emerged as significant predictors of coercion in men. Only narcissism was a significant positive predictor in women. We discuss the results with a reference to evolutionary Life History theory.","container-title":"Journal of Interpersonal Violence","DOI":"10.1177/0886260520922346","ISSN":"0886-2605","issue":"7-8","language":"English","page":"NP4889-NP4904","title":"The Dark Triad and Sexual Assertiveness Predict Sexual Coercion Differently in Men and Women","volume":"37","author":[{"family":"Lyons","given":"Minna"},{"family":"Houghton","given":"Emma"},{"family":"Brewer","given":"Gayle"},{"family":"O'Brien","given":"Freya"}],"issued":{"date-parts":[["2022"]]}}},{"id":4966,"uris":["http://zotero.org/users/7402913/items/VGHC4JAJ"],"itemData":{"id":4966,"type":"article-journal","abstract":"We studied predictors of female sexual aggression (FSA) among a U.S. Mechanical Turk sample (from Amazon's online crowdsourcing platform) of 634 adult women (medianage = 32). A logistic regression analysis revealed that five measures contributed significantly to a model predicting past use of a tactic of post-refusal sexual persistence (PRSP), accounting for 19% of variance. Women's use of a PRSP tactic was associated with lower scores on two sexual assertiveness measures (the ability to refuse sex and the ability to ask questions about a partner's sexual health history) and higher scores on measures of acceptance of heterosexual male rape myths, early courtship rehearsal (number of others called, texted, tweeted, sexted due to attraction before the age of 18), and sexual sensation seeking. Based on our results, we suggest that sexual assertiveness training may be a useful addition to anti-sexual assault programming. For better prediction and potential prevention of FSA, we recommend continued research on the variables in this study and additional factors related to maladaptive personality (e.g., psychopathy, narcissism, and antisocial values) and the use of alcohol and drugs.","archive_location":"WOS:000544041300001","container-title":"Journal of Contemporary Criminal Justice","DOI":"10.1177/1043986220936100","ISSN":"1043-9862","issue":"4","language":"English","page":"499-519","title":"Predictors of Female Sexual Aggression Among a US MTurk Sample: The Protective Role of Sexual Assertiveness","volume":"36","author":[{"family":"Struckman-Johnson","given":"C"},{"family":"Anderson","given":"PB"},{"family":"Smeaton","given":"G"}],"issued":{"date-parts":[["2020",11]]}}}],"schema":"https://github.com/citation-style-language/schema/raw/master/csl-citation.json"} </w:instrText>
      </w:r>
      <w:r w:rsidR="00B633BC"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(Ho et al., 2021; Lyons et al., 2022; Struckman-Johnson et al., 2020)</w:t>
      </w:r>
      <w:r w:rsidR="00B633BC" w:rsidRPr="00494D70">
        <w:rPr>
          <w:rFonts w:ascii="Times New Roman" w:eastAsia="Calibri" w:hAnsi="Times New Roman" w:cs="Times New Roman"/>
          <w:sz w:val="24"/>
          <w:szCs w:val="24"/>
        </w:rPr>
        <w:fldChar w:fldCharType="end"/>
      </w:r>
      <w:r w:rsidR="00B633BC" w:rsidRPr="00494D70">
        <w:rPr>
          <w:rFonts w:ascii="Times New Roman" w:eastAsia="Calibri" w:hAnsi="Times New Roman" w:cs="Times New Roman"/>
          <w:sz w:val="24"/>
          <w:szCs w:val="24"/>
        </w:rPr>
        <w:t>.</w:t>
      </w:r>
      <w:r w:rsidR="000D49A9" w:rsidRPr="00494D70">
        <w:rPr>
          <w:rFonts w:ascii="Times New Roman" w:eastAsia="Calibri" w:hAnsi="Times New Roman" w:cs="Times New Roman"/>
          <w:sz w:val="24"/>
          <w:szCs w:val="24"/>
        </w:rPr>
        <w:t xml:space="preserve"> </w:t>
      </w:r>
      <w:r w:rsidR="000D49A9" w:rsidRPr="00494D70">
        <w:rPr>
          <w:rFonts w:ascii="Times New Roman" w:eastAsia="Calibri" w:hAnsi="Times New Roman" w:cs="Times New Roman"/>
          <w:sz w:val="24"/>
          <w:szCs w:val="24"/>
          <w:lang w:val="en-IE"/>
        </w:rPr>
        <w:t>These findings highlight the central role SA has in sexual health.</w:t>
      </w:r>
    </w:p>
    <w:p w14:paraId="2BF839B5" w14:textId="3F993E71" w:rsidR="00FD1639" w:rsidRPr="00494D70" w:rsidRDefault="00FD1639" w:rsidP="000B124E">
      <w:pPr>
        <w:spacing w:after="0" w:line="480" w:lineRule="auto"/>
        <w:rPr>
          <w:rFonts w:ascii="Times New Roman" w:eastAsia="Calibri" w:hAnsi="Times New Roman" w:cs="Times New Roman"/>
          <w:i/>
          <w:iCs/>
          <w:sz w:val="24"/>
          <w:szCs w:val="24"/>
        </w:rPr>
      </w:pPr>
      <w:r w:rsidRPr="00494D70">
        <w:rPr>
          <w:rFonts w:ascii="Times New Roman" w:eastAsia="Calibri" w:hAnsi="Times New Roman" w:cs="Times New Roman"/>
          <w:i/>
          <w:iCs/>
          <w:sz w:val="24"/>
          <w:szCs w:val="24"/>
        </w:rPr>
        <w:t xml:space="preserve">Gender and cultural differences </w:t>
      </w:r>
      <w:r w:rsidR="00480BF8" w:rsidRPr="00494D70">
        <w:rPr>
          <w:rFonts w:ascii="Times New Roman" w:eastAsia="Calibri" w:hAnsi="Times New Roman" w:cs="Times New Roman"/>
          <w:i/>
          <w:iCs/>
          <w:sz w:val="24"/>
          <w:szCs w:val="24"/>
        </w:rPr>
        <w:t>in sexual assertiveness</w:t>
      </w:r>
    </w:p>
    <w:p w14:paraId="5C8AA14D" w14:textId="57120367" w:rsidR="00FD1639" w:rsidRPr="00494D70" w:rsidRDefault="009C36C5" w:rsidP="00DF2434">
      <w:pPr>
        <w:spacing w:after="0" w:line="480" w:lineRule="auto"/>
        <w:ind w:firstLine="567"/>
        <w:rPr>
          <w:rFonts w:ascii="Times New Roman" w:eastAsia="Calibri" w:hAnsi="Times New Roman" w:cs="Times New Roman"/>
          <w:sz w:val="24"/>
          <w:szCs w:val="24"/>
        </w:rPr>
      </w:pPr>
      <w:r w:rsidRPr="00494D70">
        <w:rPr>
          <w:rFonts w:ascii="Times New Roman" w:eastAsia="Calibri" w:hAnsi="Times New Roman" w:cs="Times New Roman"/>
          <w:sz w:val="24"/>
          <w:szCs w:val="24"/>
        </w:rPr>
        <w:t>M</w:t>
      </w:r>
      <w:r w:rsidR="00FD1639" w:rsidRPr="00494D70">
        <w:rPr>
          <w:rFonts w:ascii="Times New Roman" w:eastAsia="Calibri" w:hAnsi="Times New Roman" w:cs="Times New Roman"/>
          <w:sz w:val="24"/>
          <w:szCs w:val="24"/>
        </w:rPr>
        <w:t xml:space="preserve">en </w:t>
      </w:r>
      <w:r w:rsidRPr="00494D70">
        <w:rPr>
          <w:rFonts w:ascii="Times New Roman" w:eastAsia="Calibri" w:hAnsi="Times New Roman" w:cs="Times New Roman"/>
          <w:sz w:val="24"/>
          <w:szCs w:val="24"/>
        </w:rPr>
        <w:t xml:space="preserve">have typically </w:t>
      </w:r>
      <w:r w:rsidR="00FD1639" w:rsidRPr="00494D70">
        <w:rPr>
          <w:rFonts w:ascii="Times New Roman" w:eastAsia="Calibri" w:hAnsi="Times New Roman" w:cs="Times New Roman"/>
          <w:sz w:val="24"/>
          <w:szCs w:val="24"/>
        </w:rPr>
        <w:t>exhibit</w:t>
      </w:r>
      <w:r w:rsidRPr="00494D70">
        <w:rPr>
          <w:rFonts w:ascii="Times New Roman" w:eastAsia="Calibri" w:hAnsi="Times New Roman" w:cs="Times New Roman"/>
          <w:sz w:val="24"/>
          <w:szCs w:val="24"/>
        </w:rPr>
        <w:t>ed</w:t>
      </w:r>
      <w:r w:rsidR="00FD1639" w:rsidRPr="00494D70">
        <w:rPr>
          <w:rFonts w:ascii="Times New Roman" w:eastAsia="Calibri" w:hAnsi="Times New Roman" w:cs="Times New Roman"/>
          <w:sz w:val="24"/>
          <w:szCs w:val="24"/>
        </w:rPr>
        <w:t xml:space="preserve"> higher levels of SA than women </w:t>
      </w:r>
      <w:r w:rsidR="00FD1639"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{"citationID":"V2hQnyiS","properties":{"formattedCitation":"(Haavio-Mannila &amp; Kontula, 1997; Pierce &amp; Hurlbert, 1999; Snell et al., 1991)","plainCitation":"(Haavio-Mannila &amp; Kontula, 1997; Pierce &amp; Hurlbert, 1999; Snell et al., 1991)","noteIndex":0},"citationItems":[{"id":3301,"uris":["http://zotero.org/users/7402913/items/E2SW83CY"],"itemData":{"id":3301,"type":"article-journal","abstract":"Comparisons of nationally representative survey data of the population ages 18-54 years in 1971 (N = 2252) and 1992 (N = 1718) from Finland show that sexual satisfaction has greatly increased particularly among women. Some predictors of sexual satisfaction of men and women are examined on the basis of the 1992 survey data on people ages 18-74 years (N = 2250). Correlations between social background factors, sexual ideas and assertiveness, optional relationships, sexual practices, orgasm, and satisfaction with sexual intercourse were calculated. To cona-ol the simultaneous effect of the variables explaining satisfaction, path analyses were conducted. Results show that young age, a sexually unreserved and a nonreligious childhood home, early start of sexual life, high education, sexual assertiveness, considering sexuality important in life, reciprocal feeling of love, use of sex materials, frequent intercourse, many-sided (versatile) sexual techniques, and frequent orgasm correlate with finding sexual intercourse pleasurable. There were some gender differences in the connections between the independent factors and satisfaction with coitus. The importance of sexuality in life, love, and the use of sexual materials were connected directly to physical sexual satisfaction among men bur only indirectly among women. For women, but not for men, young age and early start of sexual life correlated with enjoyment of intercourse. The greater sexual dissatisfaction of women compared to men, which still prevails, may be due to their late start of sexual life, conservative sexual attitudes, unimportance of sexuality in life, lack of sexual assertiveness, and use of restricted sexual techniques. The emancipation of women may change these ideas and practices of women. This might lessen the gender gap in physical sexual satisfaction.","container-title":"Archives of Sexual Behavior","DOI":"10.1023/A:1024591318836","ISSN":"0004-0002","issue":"4","language":"English","note":"publisher-place: 233 SPRING ST, NEW YORK, NY 10013 USA\npublisher: SPRINGER/PLENUM PUBLISHERS\ntype: Article","page":"399-419","title":"Correlates of increased sexual satisfaction","volume":"26","author":[{"family":"Haavio-Mannila","given":"E"},{"family":"Kontula","given":"O"}],"issued":{"date-parts":[["1997"]]}}},{"id":5013,"uris":["http://zotero.org/users/7402913/items/9BAVBKUN"],"itemData":{"id":5013,"type":"article-journal","abstract":"This study investigated the test-retest stability of the Hurlbert Index of Sexual Assertiveness. 54 nonclinical and 46 clinical subjects were administered the Index on two occasions 4 wk. apart. Test-retest correlation coefficients were calculated separately and together. The results evidenced high test-retest reliability. Correlation coefficients were .88 for nonclinical subjects and .83 for clinical subjects with an over-all test-retest reliability of .85 for all 100 subjects.","container-title":"Perceptual and Motor Skills","DOI":"10.2466/pms.1999.88.1.31","ISSN":"0031-5125","issue":"1","journalAbbreviation":"Percept Mot Skills","language":"eng","note":"PMID: 10214631","page":"31-34","source":"PubMed","title":"Test-retest reliability of the Hurlbert Index of Sexual Assertiveness","volume":"88","author":[{"family":"Pierce","given":"A. P."},{"family":"Hurlbert","given":"M. K."}],"issued":{"date-parts":[["1999",2]]}}},{"id":5024,"uris":["http://zotero.org/users/7402913/items/NW7UJW4X"],"itemData":{"id":5024,"type":"article-journal","abstract":"Two separate investigations were conducted to develop an objective self-report instrument, the Sexual Awareness Questionnaire (SAQ), designed to measure four personality tendencies associated with sexual awareness and sexual assertiveness: sexual-consciousness (attention to internal private sexual cues), sexual-monitoring (sensitivity to others' evaluation of one's sexuality), sexual-assertiveness (self-reliance in sexual decision making), and sex appeal-consciousness (awareness of one's own public sexiness). Factor and reliability analyses from both studies confirmed the factorial validity and reliability of the Sexual Awareness Questionnaire. Other results provided evidence supporting the convergent and discriminant validity of the SAQ. All four SAQ subscales tended to be negatively related to measures of sex-anxiety and sex-guilt for both males and females, and sexual-consciousness was directly related to erotophilic feelings. Other findings indicated that men's and women's responses to the four SAQ subscales were related in a predictable fashion to their sexual attitudes, dispositions, and behaviors. Research and clinical applications are discussed.","container-title":"Annals of Sex Research","DOI":"10.1177/107906329100400104","ISSN":"0843-4611","issue":"1","language":"en","note":"publisher: SAGE Publications","page":"65-92","source":"SAGE Journals","title":"Development of the Sexual Awareness Questionnaire: Components, Reliability, and Validity","title-short":"Development of the Sexual Awareness Questionnaire","volume":"4","author":[{"family":"Snell","given":"William E."},{"family":"Fisher","given":"Terri D."},{"family":"Miller","given":"Rowland S."}],"issued":{"date-parts":[["1991",1,1]]}}}],"schema":"https://github.com/citation-style-language/schema/raw/master/csl-citation.json"} </w:instrText>
      </w:r>
      <w:r w:rsidR="00FD1639" w:rsidRPr="00494D70">
        <w:rPr>
          <w:rFonts w:ascii="Times New Roman" w:eastAsia="Calibri" w:hAnsi="Times New Roman" w:cs="Times New Roman"/>
          <w:sz w:val="24"/>
          <w:szCs w:val="24"/>
        </w:rPr>
        <w:fldChar w:fldCharType="separate"/>
      </w:r>
      <w:r w:rsidR="00290E4F" w:rsidRPr="00494D70">
        <w:rPr>
          <w:rFonts w:ascii="Times New Roman" w:hAnsi="Times New Roman" w:cs="Times New Roman"/>
          <w:sz w:val="24"/>
        </w:rPr>
        <w:t>(Haavio-Mannila &amp; Kontula, 1997; Pierce &amp; Hurlbert, 1999; Snell et al., 1991)</w:t>
      </w:r>
      <w:r w:rsidR="00FD1639" w:rsidRPr="00494D70">
        <w:rPr>
          <w:rFonts w:ascii="Times New Roman" w:eastAsia="Calibri" w:hAnsi="Times New Roman" w:cs="Times New Roman"/>
          <w:sz w:val="24"/>
          <w:szCs w:val="24"/>
        </w:rPr>
        <w:fldChar w:fldCharType="end"/>
      </w:r>
      <w:r w:rsidR="00322CBC" w:rsidRPr="00494D70">
        <w:rPr>
          <w:rFonts w:ascii="Times New Roman" w:eastAsia="Calibri" w:hAnsi="Times New Roman" w:cs="Times New Roman"/>
          <w:sz w:val="24"/>
          <w:szCs w:val="24"/>
        </w:rPr>
        <w:t>,</w:t>
      </w:r>
      <w:r w:rsidR="00FD1639" w:rsidRPr="00494D70">
        <w:rPr>
          <w:rFonts w:ascii="Times New Roman" w:eastAsia="Calibri" w:hAnsi="Times New Roman" w:cs="Times New Roman"/>
          <w:sz w:val="24"/>
          <w:szCs w:val="24"/>
        </w:rPr>
        <w:t xml:space="preserve"> however, more recent results are </w:t>
      </w:r>
      <w:r w:rsidR="001631B2" w:rsidRPr="00494D70">
        <w:rPr>
          <w:rFonts w:ascii="Times New Roman" w:eastAsia="Calibri" w:hAnsi="Times New Roman" w:cs="Times New Roman"/>
          <w:sz w:val="24"/>
          <w:szCs w:val="24"/>
        </w:rPr>
        <w:t xml:space="preserve">mixed </w:t>
      </w:r>
      <w:r w:rsidR="00FD1639"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{"citationID":"bccZGkdj","properties":{"formattedCitation":"(Gil-Llario et al., 2021; Lammers &amp; Stoker, 2019; Lopez-Alvarado et al., 2022; Stulhofer et al., 2009)","plainCitation":"(Gil-Llario et al., 2021; Lammers &amp; Stoker, 2019; Lopez-Alvarado et al., 2022; Stulhofer et al., 2009)","noteIndex":0},"citationItems":[{"id":3179,"uris":["http://zotero.org/users/7402913/items/W99U3RIN"],"itemData":{"id":3179,"type":"article-journal","abstract":"The potential consequences of being assertive or non-assertive for people’s sexual health and sexual well-being highlight the importance of assessing sexual assertiveness (SA). The currently available measures have limitations because they do not take recent social changes into account, they are designed to only assess women, and/or they ignore several components of SA. This study tests the psychometric properties of the Assertiveness in Sexual Relations Questionnaire (ASRQ).","container-title":"Sexuality Research and Social Policy","DOI":"10.1007/s13178-021-00630-6","ISSN":"1553-6610","journalAbbreviation":"Sex Res Soc Policy","language":"en","source":"Springer Link","title":"Development and Psychometric Properties of an Instrument for the Assessment of Assertiveness in Sexual Relations","URL":"https://doi.org/10.1007/s13178-021-00630-6","author":[{"family":"Gil-Llario","given":"María Dolores"},{"family":"Fernández-García","given":"Olga"},{"family":"Gil-Juliá","given":"Beatriz"},{"family":"Estruch-García","given":"Verónica"},{"family":"Ballester-Arnal","given":"Rafael"}],"accessed":{"date-parts":[["2022",3,30]]},"issued":{"date-parts":[["2021",8,3]]}}},{"id":3272,"uris":["http://zotero.org/users/7402913/items/DDVL5KVJ"],"itemData":{"id":3272,"type":"article-journal","abstract":"Common stereotypes hold that men and women differ strongly in their attitudes toward sex and that such differences are amplified by social power. In contrast, an emerging literature suggests that social power affects both sexes similarly, thus potentially attenuating differences between the sexes. Four samples obtained in the Netherlands, the U.S., Britain, and South-East Asia (total N=1985) test the effect of social power (operationalized as self-reported amount of power over others at the work place) on validated self-report measures of sexual assertiveness and sexual esteem. Across all samples, power was associated with greater sexual assertiveness and sexual esteemequally for men and women. Furthermore, effects of power were larger and more consistent than differences between men and women. These findings add to an emerging literature, suggesting that often-observed differences between male and female sexuality actually reflect power differences. This suggests that such differences decrease with greater social equality.","container-title":"Archives of Sexual Behavior","DOI":"10.1007/s10508-018-1285-5","ISSN":"0004-0002","issue":"2","language":"English","page":"645-652","title":"Power Affects Sexual Assertiveness and Sexual Esteem Equally in Women and Men","volume":"48","author":[{"family":"Lammers","given":"Joris"},{"family":"Stoker","given":"Janka I."}],"issued":{"date-parts":[["2019"]]}}},{"id":4926,"uris":["http://zotero.org/users/7402913/items/H37XNI6U"],"itemData":{"id":4926,"type":"article-journal","abstract":"Objective: Sexual assertiveness (SA), i.e., the ability to communicate thoughts and desires that may be translated into satisfying sexual activity within an intimate relationship, is important for safe and satisfying sexual behavior. In an attempt to unravel which cultural, relational, and individual variables are related to the development of SA in emerging adults, an exploratory study was conducted in Cuenca, Ecuador. Methods: Five hundred and thirty-eight participants completed scales that measured their levels of SA, endorsement of the sexual double standard, relationship satisfaction, and mental well-being. Results: This study showed a negative effect of the sexual double standard on SA in both men and women and this effect was slightly tempered by the level of education. Women reported higher levels of SA than men. In women, SA was associated with general mental well-being and relationship satisfaction; but not in men. For both women and men, no association was found with relationship status or duration. Conclusions: These findings corroborate evidence highlighting the importance of SA for healthy sexual relationships and emphasize the importance of (sex) education for SA for lower educated women and men. The results are discussed in relation to findings on SA in other contexts.","archive_location":"WOS:000834908700001","container-title":"International Journal of Sexual Health","DOI":"10.1080/19317611.2022.2106527","ISSN":"1931-7611","issue":"4","language":"English","page":"679-690","title":"Sexual Assertiveness and Its Correlates in Emerging Adults: An Exploratory Study in Cuenca (Ecuador)","volume":"34","author":[{"family":"Lopez-Alvarado","given":"S"},{"family":"Prekatsounaki","given":"S"},{"family":"Van Parys","given":"H"},{"family":"Enzlin","given":"P"}],"issued":{"date-parts":[["2022",10,2]]}}},{"id":3306,"uris":["http://zotero.org/users/7402913/items/PBBZITQI"],"itemData":{"id":3306,"type":"article-journal","abstract":"Despite the recent increase in the number of HIV infections in Central and Eastern Europe, patterns of sexual behavior have not been extensively researched, particularly among young people. The aim of the present study was to provide a comprehensive assessment of HIV/AIDS-related vulnerability and sexual risk-taking among young adults in Croatia. Data were collected in 2005 using a nationally representative, multi-stage stratified probability sample (n = 1,093) of women and men aged 18-24 years. The focus in this article was on predictors of sexual risk-taking measured by a composite risky sexual behaviors scale. Using hierarchical regression models, we analyzed gendered effects of community, family, peer group, and individual level factors. For both men and women, peer pressure, sensation seeking, personal risk-assessment, behavioral intention, condom use at first sexual intercourse, and sexual victimization were significant predictors of sexual risk-taking behaviors. A number of predictors were gender-specific: sexual assertiveness and condom self-efficacy for women and parental monitoring, traditional morality, HIV knowledge, and talking about sex with partner for men. Documenting substantial prevalence of potentially risky sexual behaviors among young people in Croatia, the findings call for prevention and intervention efforts that should focus on individual capacity building for responsible sexual behavior.","container-title":"Archives of Sexual Behavior","DOI":"10.1007/s10508-007-9234-8","ISSN":"0004-0002","issue":"2","language":"English","page":"209-225","title":"An Assessment of HIV/STI Vulnerability and Related Sexual Risk-Taking in a Nationally Representative Sample of Young Croatian Adults","volume":"38","author":[{"family":"Stulhofer","given":"Aleksandar"},{"family":"Graham","given":"Cynthia"},{"family":"Bozicevic","given":"Ivana"},{"family":"Kufrin","given":"Kresimir"},{"family":"Ajdukovic","given":"Dean"}],"issued":{"date-parts":[["2009"]]}}}],"schema":"https://github.com/citation-style-language/schema/raw/master/csl-citation.json"} </w:instrText>
      </w:r>
      <w:r w:rsidR="00FD1639" w:rsidRPr="00494D70">
        <w:rPr>
          <w:rFonts w:ascii="Times New Roman" w:eastAsia="Calibri" w:hAnsi="Times New Roman" w:cs="Times New Roman"/>
          <w:sz w:val="24"/>
          <w:szCs w:val="24"/>
        </w:rPr>
        <w:fldChar w:fldCharType="separate"/>
      </w:r>
      <w:r w:rsidR="00F60C6F" w:rsidRPr="00494D70">
        <w:rPr>
          <w:rFonts w:ascii="Times New Roman" w:hAnsi="Times New Roman" w:cs="Times New Roman"/>
          <w:sz w:val="24"/>
        </w:rPr>
        <w:t>(Gil-Llario et al., 2021; Lammers &amp; Stoker, 2019; Lopez-Alvarado et al., 2022; Stulhofer et al., 2009)</w:t>
      </w:r>
      <w:r w:rsidR="00FD1639" w:rsidRPr="00494D70">
        <w:rPr>
          <w:rFonts w:ascii="Times New Roman" w:eastAsia="Calibri" w:hAnsi="Times New Roman" w:cs="Times New Roman"/>
          <w:sz w:val="24"/>
          <w:szCs w:val="24"/>
        </w:rPr>
        <w:fldChar w:fldCharType="end"/>
      </w:r>
      <w:r w:rsidR="00FD1639" w:rsidRPr="00494D70">
        <w:rPr>
          <w:rFonts w:ascii="Times New Roman" w:eastAsia="Calibri" w:hAnsi="Times New Roman" w:cs="Times New Roman"/>
          <w:sz w:val="24"/>
          <w:szCs w:val="24"/>
        </w:rPr>
        <w:t xml:space="preserve">. Theories </w:t>
      </w:r>
      <w:r w:rsidR="00176CCF" w:rsidRPr="00494D70">
        <w:rPr>
          <w:rFonts w:ascii="Times New Roman" w:eastAsia="Calibri" w:hAnsi="Times New Roman" w:cs="Times New Roman"/>
          <w:sz w:val="24"/>
          <w:szCs w:val="24"/>
        </w:rPr>
        <w:t>explaining</w:t>
      </w:r>
      <w:r w:rsidR="00FD1639" w:rsidRPr="00494D70">
        <w:rPr>
          <w:rFonts w:ascii="Times New Roman" w:eastAsia="Calibri" w:hAnsi="Times New Roman" w:cs="Times New Roman"/>
          <w:sz w:val="24"/>
          <w:szCs w:val="24"/>
        </w:rPr>
        <w:t xml:space="preserve"> gender</w:t>
      </w:r>
      <w:r w:rsidR="00BB1E64" w:rsidRPr="00494D70">
        <w:rPr>
          <w:rFonts w:ascii="Times New Roman" w:eastAsia="Calibri" w:hAnsi="Times New Roman" w:cs="Times New Roman"/>
          <w:sz w:val="24"/>
          <w:szCs w:val="24"/>
        </w:rPr>
        <w:t>-related</w:t>
      </w:r>
      <w:r w:rsidR="00FD1639" w:rsidRPr="00494D70">
        <w:rPr>
          <w:rFonts w:ascii="Times New Roman" w:eastAsia="Calibri" w:hAnsi="Times New Roman" w:cs="Times New Roman"/>
          <w:sz w:val="24"/>
          <w:szCs w:val="24"/>
        </w:rPr>
        <w:t xml:space="preserve"> differences usually rely on </w:t>
      </w:r>
      <w:proofErr w:type="gramStart"/>
      <w:r w:rsidR="00FD1639" w:rsidRPr="00494D70">
        <w:rPr>
          <w:rFonts w:ascii="Times New Roman" w:eastAsia="Calibri" w:hAnsi="Times New Roman" w:cs="Times New Roman"/>
          <w:sz w:val="24"/>
          <w:szCs w:val="24"/>
        </w:rPr>
        <w:t>gendered</w:t>
      </w:r>
      <w:proofErr w:type="gramEnd"/>
      <w:r w:rsidR="00FD1639" w:rsidRPr="00494D70">
        <w:rPr>
          <w:rFonts w:ascii="Times New Roman" w:eastAsia="Calibri" w:hAnsi="Times New Roman" w:cs="Times New Roman"/>
          <w:sz w:val="24"/>
          <w:szCs w:val="24"/>
        </w:rPr>
        <w:t xml:space="preserve"> socialization and scripts in intimate relationships. In more traditional cultures</w:t>
      </w:r>
      <w:r w:rsidR="001631B2" w:rsidRPr="00494D70">
        <w:rPr>
          <w:rFonts w:ascii="Times New Roman" w:eastAsia="Calibri" w:hAnsi="Times New Roman" w:cs="Times New Roman"/>
          <w:sz w:val="24"/>
          <w:szCs w:val="24"/>
        </w:rPr>
        <w:t>,</w:t>
      </w:r>
      <w:r w:rsidR="00FD1639" w:rsidRPr="00494D70">
        <w:rPr>
          <w:rFonts w:ascii="Times New Roman" w:eastAsia="Calibri" w:hAnsi="Times New Roman" w:cs="Times New Roman"/>
          <w:sz w:val="24"/>
          <w:szCs w:val="24"/>
        </w:rPr>
        <w:t xml:space="preserve"> men are encouraged to seek sexual pleasure and</w:t>
      </w:r>
      <w:r w:rsidR="00F367FC" w:rsidRPr="00494D70">
        <w:rPr>
          <w:rFonts w:ascii="Times New Roman" w:eastAsia="Calibri" w:hAnsi="Times New Roman" w:cs="Times New Roman"/>
          <w:sz w:val="24"/>
          <w:szCs w:val="24"/>
        </w:rPr>
        <w:t xml:space="preserve"> to</w:t>
      </w:r>
      <w:r w:rsidR="00FD1639" w:rsidRPr="00494D70">
        <w:rPr>
          <w:rFonts w:ascii="Times New Roman" w:eastAsia="Calibri" w:hAnsi="Times New Roman" w:cs="Times New Roman"/>
          <w:sz w:val="24"/>
          <w:szCs w:val="24"/>
        </w:rPr>
        <w:t xml:space="preserve"> take </w:t>
      </w:r>
      <w:r w:rsidR="00F367FC" w:rsidRPr="00494D70">
        <w:rPr>
          <w:rFonts w:ascii="Times New Roman" w:eastAsia="Calibri" w:hAnsi="Times New Roman" w:cs="Times New Roman"/>
          <w:sz w:val="24"/>
          <w:szCs w:val="24"/>
        </w:rPr>
        <w:t xml:space="preserve">the </w:t>
      </w:r>
      <w:r w:rsidR="00FD1639" w:rsidRPr="00494D70">
        <w:rPr>
          <w:rFonts w:ascii="Times New Roman" w:eastAsia="Calibri" w:hAnsi="Times New Roman" w:cs="Times New Roman"/>
          <w:sz w:val="24"/>
          <w:szCs w:val="24"/>
        </w:rPr>
        <w:t>initiative</w:t>
      </w:r>
      <w:r w:rsidR="002D243C" w:rsidRPr="00494D70">
        <w:rPr>
          <w:rFonts w:ascii="Times New Roman" w:eastAsia="Calibri" w:hAnsi="Times New Roman" w:cs="Times New Roman"/>
          <w:sz w:val="24"/>
          <w:szCs w:val="24"/>
        </w:rPr>
        <w:t>,</w:t>
      </w:r>
      <w:r w:rsidR="00FD1639" w:rsidRPr="00494D70">
        <w:rPr>
          <w:rFonts w:ascii="Times New Roman" w:eastAsia="Calibri" w:hAnsi="Times New Roman" w:cs="Times New Roman"/>
          <w:sz w:val="24"/>
          <w:szCs w:val="24"/>
        </w:rPr>
        <w:t xml:space="preserve"> while women</w:t>
      </w:r>
      <w:r w:rsidR="002D243C" w:rsidRPr="00494D70">
        <w:rPr>
          <w:rFonts w:ascii="Times New Roman" w:eastAsia="Calibri" w:hAnsi="Times New Roman" w:cs="Times New Roman"/>
          <w:sz w:val="24"/>
          <w:szCs w:val="24"/>
        </w:rPr>
        <w:t xml:space="preserve"> </w:t>
      </w:r>
      <w:r w:rsidR="00FD1639" w:rsidRPr="00494D70">
        <w:rPr>
          <w:rFonts w:ascii="Times New Roman" w:eastAsia="Calibri" w:hAnsi="Times New Roman" w:cs="Times New Roman"/>
          <w:sz w:val="24"/>
          <w:szCs w:val="24"/>
        </w:rPr>
        <w:t xml:space="preserve">are expected to be </w:t>
      </w:r>
      <w:r w:rsidR="00FD1639" w:rsidRPr="00494D70">
        <w:rPr>
          <w:rFonts w:ascii="Times New Roman" w:eastAsia="Calibri" w:hAnsi="Times New Roman" w:cs="Times New Roman"/>
          <w:sz w:val="24"/>
          <w:szCs w:val="24"/>
        </w:rPr>
        <w:lastRenderedPageBreak/>
        <w:t xml:space="preserve">more passive and prioritize </w:t>
      </w:r>
      <w:r w:rsidR="00D350FC" w:rsidRPr="00494D70">
        <w:rPr>
          <w:rFonts w:ascii="Times New Roman" w:eastAsia="Calibri" w:hAnsi="Times New Roman" w:cs="Times New Roman"/>
          <w:sz w:val="24"/>
          <w:szCs w:val="24"/>
        </w:rPr>
        <w:t>the partner’s</w:t>
      </w:r>
      <w:r w:rsidR="00FD1639" w:rsidRPr="00494D70">
        <w:rPr>
          <w:rFonts w:ascii="Times New Roman" w:eastAsia="Calibri" w:hAnsi="Times New Roman" w:cs="Times New Roman"/>
          <w:sz w:val="24"/>
          <w:szCs w:val="24"/>
        </w:rPr>
        <w:t xml:space="preserve"> pleasure </w:t>
      </w:r>
      <w:r w:rsidR="00FD1639"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{"citationID":"AF6Bj56a","properties":{"formattedCitation":"(Sanchez et al., 2012; Tolman et al., 2016; Vannier &amp; O\\uc0\\u8217{}Sullivan, 2011; Zhang &amp; Yip, 2018)","plainCitation":"(Sanchez et al., 2012; Tolman et al., 2016; Vannier &amp; O’Sullivan, 2011; Zhang &amp; Yip, 2018)","noteIndex":0},"citationItems":[{"id":5043,"uris":["http://zotero.org/users/7402913/items/587JEUSR"],"itemData":{"id":5043,"type":"article-journal","abstract":"Previous findings suggest that women are more likely than men to take on the submissive role during sexual activities (e.g., waiting for their partner to initiate and orchestrate sexual activities), often to the detriment of their sexual satisfaction. Extending previous research on gender role motivation, the authors recruited 181 heterosexual couples to examine scripted sexual behavior, motivation for such behavior, and relationship outcomes (sexual satisfaction, perceptions of closeness, and relationship satisfaction) for both women and their partners. Using the actor?partner interdependence model, path analyses revealed that women?s submissive behavior had negative links to personal sexual satisfaction and their partner?s sexual satisfaction but only when their submission was inconsistent with their sexual preferences. Moreover, the authors show there are negative downstream consequences of diminished sexual satisfaction on perceptions of closeness and overall relationship satisfaction for both partners in the relationship.","container-title":"Personality and Social Psychology Bulletin","DOI":"10.1177/0146167211430088","ISSN":"0146-1672","issue":"4","journalAbbreviation":"Pers Soc Psychol Bull","language":"en","note":"publisher: SAGE Publications Inc","page":"528-539","source":"SAGE Journals","title":"The Gender Role Motivation Model of Women’s Sexually Submissive Behavior and Satisfaction in Heterosexual Couples","volume":"38","author":[{"family":"Sanchez","given":"Diana T."},{"family":"Phelan","given":"Julie E."},{"family":"Moss-Racusin","given":"Corinne A."},{"family":"Good","given":"Jessica J."}],"issued":{"date-parts":[["2012",4,1]]}}},{"id":5027,"uris":["http://zotero.org/users/7402913/items/CB95LYV6"],"itemData":{"id":5027,"type":"article-journal","abstract":"In this mixed-methods study, we adopted a feminist theoretical lens in conceptualizing gender as hierarchical and complementary ideologies—femininity and masculinity—that are fundamental constituents of institutionalized heterosexuality as a way to understand the persistence of gender inequity in adolescents’ heterosexual relationships. In Study 1, we conducted separate analyses for girls and boys to evaluate whether masculinity ideology for boys and femininity ideology for girls account for boys’ endorsement of male coercion and for girls’ endorsement of feminine conventions in heterosexual relationships with a sample of 250 tenth-grade students (n = 144 girls). Masculinity ideology proved to be as strong or stronger than femininity ideology in predicting these respective outcomes. In Study 2, we sought to understand this pattern through a thematically informed narrative analysis of interviews with 53 of the Study 1 participants (n = 35 girls) on their beliefs about and experiences with sexual expression and heterosexual relationships. Girls described the dual task of managing boys’ masculinity as well as their own femininity. Boys, by contrast, described girls’ femininity in instrumental terms for the management of their own masculinity. Integration of these results provides greater insight into how institutionalized heterosexuality is reproduced through the functioning of these hierarchical complementary gender ideologies. (PsycINFO Database Record (c) 2018 APA, all rights reserved)","container-title":"Journal of Adolescent Research","DOI":"10.1177/0743558415587325","ISSN":"1552-6895","note":"publisher-place: US\npublisher: Sage Publications","page":"3-31","source":"APA PsycNet","title":"“That’s just how it is”: A gendered analysis of masculinity and femininity ideologies in adolescent girls’ and boys’ heterosexual relationships","title-short":"“That’s just how it is”","volume":"31","author":[{"family":"Tolman","given":"Deborah L."},{"family":"Davis","given":"Brian R."},{"family":"Bowman","given":"Christin P."}],"issued":{"date-parts":[["2016"]]}}},{"id":3151,"uris":["http://zotero.org/users/7402913/items/PGBMARS6"],"itemData":{"id":3151,"type":"article-journal","abstract":"Relatively little is known about the day-to-day initiation of sexual activity between young adults in committed relationships, notably the ways in which young people communicate interest in sexual activity. Sexual script theory (Simon and Gagnon, Society 22:53–60, 1984) posits that men are traditionally the initiators and women the restrictors of sexual activity early in relationships. However, research suggests that these patterns may be different for individuals in committed relationships. The current study used a diary method to examine verbal/nonverbal and indirect/direct initiation strategies, responses to initiations, and patterns between initiations and responses. Participants included 31 men and 32 women between the ages of 18 and 24 years who were involved in committed heterosexual relationships. Men initiated more frequently than did women and most initiations were nonverbal initiation (91%) rather than verbal (65%). Responses to initiations tended to match the initiators’ choice of strategies, suggesting that synchrony plays an important role in initiation patterns. The findings have implications for understanding sexual communication as well as relationship and sexual satisfaction among young adults.","container-title":"Archives of Sexual Behavior","DOI":"10.1007/s10508-010-9663-7","ISSN":"1573-2800","issue":"5","journalAbbreviation":"Arch Sex Behav","language":"en","page":"961-969","source":"Springer Link","title":"Communicating Interest in Sex: Verbal and Nonverbal Initiation of Sexual Activity in Young Adults’ Romantic Dating Relationships","title-short":"Communicating Interest in Sex","volume":"40","author":[{"family":"Vannier","given":"Sarah A."},{"family":"O’Sullivan","given":"Lucia F."}],"issued":{"date-parts":[["2011",10,1]]}}},{"id":3278,"uris":["http://zotero.org/users/7402913/items/Y58CJ75Y"],"itemData":{"id":3278,"type":"article-journal","abstract":"Studies in female sexual assertiveness have generally focused on individuals rather than couples, and little research has been conducted in the Chinese context. This study examined perceived and actual female sexual assertiveness at the couple level, and also explored its impact on marital and sexual satisfaction with a representative sample of 770 couples in Hong Kong. The results showed that husbands reported a higher level of acceptance of female sexual assertiveness in both perception and actual behavior; furthermore, couples reported greater congruence in their perception of female sexual initiation than actual behavior. Multiple logistic regressions showed that actual female sexual assertiveness, not the perception of it, affects both spouses' marital and sexual satisfaction. Compared with couples in which neither accepted female sexual initiation in practice, husbands where both spouses accepted this were more likely to be satisfied with the marriage. Husbands who accepted female sexual refusal whilst their wives did not were also more likely to be satisfied with both the marital and sexual relationship. Similarly, wives who did accept female sexual assertiveness but whose husbands did not were more likely to be satisfied with both the marital and sexual relationship.","container-title":"Journal of Sex &amp; Marital Therapy","DOI":"Hurlbert Index of Sexual Assertiveness: A Study of Psychometric Properties in a Spanish Sam","ISSN":"0092-623X","issue":"1","language":"English","page":"87-95","title":"Perceived and Actual Behavior in Female Sexual Assertiveness: A Within-Couple Analysis in Hong Kong","volume":"44","author":[{"family":"Zhang","given":"Huiping"},{"family":"Yip","given":"Paul S. F."}],"issued":{"date-parts":[["2018"]]}}}],"schema":"https://github.com/citation-style-language/schema/raw/master/csl-citation.json"} </w:instrText>
      </w:r>
      <w:r w:rsidR="00FD1639"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szCs w:val="24"/>
        </w:rPr>
        <w:t>(Sanchez et al., 2012; Tolman et al., 2016; Vannier &amp; O’Sullivan, 2011; Zhang &amp; Yip, 2018)</w:t>
      </w:r>
      <w:r w:rsidR="00FD1639" w:rsidRPr="00494D70">
        <w:rPr>
          <w:rFonts w:ascii="Times New Roman" w:eastAsia="Calibri" w:hAnsi="Times New Roman" w:cs="Times New Roman"/>
          <w:sz w:val="24"/>
          <w:szCs w:val="24"/>
        </w:rPr>
        <w:fldChar w:fldCharType="end"/>
      </w:r>
      <w:r w:rsidR="00FD1639" w:rsidRPr="00494D70">
        <w:rPr>
          <w:rFonts w:ascii="Times New Roman" w:eastAsia="Calibri" w:hAnsi="Times New Roman" w:cs="Times New Roman"/>
          <w:sz w:val="24"/>
          <w:szCs w:val="24"/>
        </w:rPr>
        <w:t>. Women are also expected to act as a gatekeeper to sexuality</w:t>
      </w:r>
      <w:r w:rsidR="00660446" w:rsidRPr="00494D70">
        <w:rPr>
          <w:rFonts w:ascii="Times New Roman" w:eastAsia="Calibri" w:hAnsi="Times New Roman" w:cs="Times New Roman"/>
          <w:sz w:val="24"/>
          <w:szCs w:val="24"/>
        </w:rPr>
        <w:t>,</w:t>
      </w:r>
      <w:r w:rsidR="00FD1639" w:rsidRPr="00494D70">
        <w:rPr>
          <w:rFonts w:ascii="Times New Roman" w:eastAsia="Calibri" w:hAnsi="Times New Roman" w:cs="Times New Roman"/>
          <w:sz w:val="24"/>
          <w:szCs w:val="24"/>
        </w:rPr>
        <w:t xml:space="preserve"> which </w:t>
      </w:r>
      <w:r w:rsidR="00651B34" w:rsidRPr="00494D70">
        <w:rPr>
          <w:rFonts w:ascii="Times New Roman" w:eastAsia="Calibri" w:hAnsi="Times New Roman" w:cs="Times New Roman"/>
          <w:sz w:val="24"/>
          <w:szCs w:val="24"/>
        </w:rPr>
        <w:t>potentially contributes to ambivalence in initiation and facilitates refusal</w:t>
      </w:r>
      <w:r w:rsidR="00FD1639" w:rsidRPr="00494D70">
        <w:rPr>
          <w:rFonts w:ascii="Times New Roman" w:eastAsia="Calibri" w:hAnsi="Times New Roman" w:cs="Times New Roman"/>
          <w:sz w:val="24"/>
          <w:szCs w:val="24"/>
        </w:rPr>
        <w:t xml:space="preserve"> </w:t>
      </w:r>
      <w:r w:rsidR="006C1777" w:rsidRPr="00494D70">
        <w:rPr>
          <w:rFonts w:ascii="Times New Roman" w:eastAsia="Calibri" w:hAnsi="Times New Roman" w:cs="Times New Roman"/>
          <w:sz w:val="24"/>
          <w:szCs w:val="24"/>
        </w:rPr>
        <w:t>in some situations</w:t>
      </w:r>
      <w:r w:rsidR="00FD1639" w:rsidRPr="00494D70">
        <w:rPr>
          <w:rFonts w:ascii="Times New Roman" w:eastAsia="Calibri" w:hAnsi="Times New Roman" w:cs="Times New Roman"/>
          <w:sz w:val="24"/>
          <w:szCs w:val="24"/>
        </w:rPr>
        <w:t xml:space="preserve"> </w:t>
      </w:r>
      <w:r w:rsidR="00FD1639"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{"citationID":"W4vodVdU","properties":{"formattedCitation":"(Gagnon &amp; Simon, 2005; Goodcase et al., 2021)","plainCitation":"(Gagnon &amp; Simon, 2005; Goodcase et al., 2021)","noteIndex":0},"citationItems":[{"id":5036,"uris":["http://zotero.org/users/7402913/items/H36ZM2AB"],"itemData":{"id":5036,"type":"book","abstract":"Traditional views of human sexuality posit models of man and woman in which biological arrangements are translated into sociocultural imperatives. This is best summarized in the phrase \"anatomy is destiny.\" Consequently, the almost exclusive concern has been with the power of biology and nature in sexual conduct as opposed to understanding the significance and impact of social life. In this book, the authors lucidly argue that sexual activities, of all kinds, may be understood as the outcome of a complex psychosocial process of development. Using the social script theory, the authors trace the ways in which sexuality is learned and fitted into particular moments in the lifestyle and in different modes of behavior. This book is a major attempt to consider sexuality within a non-biological, social-psychological framework. It is a valuable addition to the study of human sexuality, and will be of interest to students of sociology, psychology, psychiatry, social work, and medicine. (PsycINFO Database Record (c) 2016 APA, all rights reserved)","collection-title":"Sexual conduct: The social sources of human sexuality, 2nd ed","event-place":"New Brunswick, NJ, US","ISBN":"978-0-202-30663-6","publisher":"Aldine Transaction","publisher-place":"New Brunswick, NJ, US","source":"APA PsycNet","title":"Sexual conduct: The social sources of human sexuality, 2nd ed","title-short":"Sexual conduct","author":[{"family":"Gagnon","given":"John H."},{"family":"Simon","given":"William"}],"issued":{"date-parts":[["2005"]]}}},{"id":5029,"uris":["http://zotero.org/users/7402913/items/L4K3TEFW"],"itemData":{"id":5029,"type":"article-journal","abstract":"Sexual assault occurs at high rates on college campuses today. This problem persists despite the many educational programs that seek to educate college students about sexual assault and consent. The current study used latent profile analysis on a survey of 717 college students at a Midwestern university to determine if different people have varying behavioral intentions about consent during four different sexual situations. Results show that there are four distinct profiles of intentions related to consent: the respecting explicit, affirmative, and ongoing consent profile (76.55% of the sample); only respecting explicit consent profile (9.89%); unsure about nonexplicit consent profile (9.04%); and the does-not-ask for verbal consent in relationships profile (4.55%). Regression analysis also revealed that males were more likely to be classified in the only respecting explicit consent profile compared with the three other profiles, but there were no significant differences among the other profiles.","container-title":"Journal of Interpersonal Violence","DOI":"10.1177/0886260519836786","ISSN":"0886-2605","issue":"15-16","journalAbbreviation":"J Interpers Violence","note":"publisher: SAGE Publications Inc","page":"7495-7504","source":"SAGE Journals","title":"Who Understands Consent? A Latent Profile Analysis of College Students’ Attitudes Toward Consent","title-short":"Who Understands Consent?","volume":"36","author":[{"family":"Goodcase","given":"Eric T."},{"family":"Spencer","given":"Chelsea M."},{"family":"Toews","given":"Michelle L."}],"issued":{"date-parts":[["2021",8,1]]}}}],"schema":"https://github.com/citation-style-language/schema/raw/master/csl-citation.json"} </w:instrText>
      </w:r>
      <w:r w:rsidR="00FD1639"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(Gagnon &amp; Simon, 2005; Goodcase et al., 2021)</w:t>
      </w:r>
      <w:r w:rsidR="00FD1639" w:rsidRPr="00494D70">
        <w:rPr>
          <w:rFonts w:ascii="Times New Roman" w:eastAsia="Calibri" w:hAnsi="Times New Roman" w:cs="Times New Roman"/>
          <w:sz w:val="24"/>
          <w:szCs w:val="24"/>
        </w:rPr>
        <w:fldChar w:fldCharType="end"/>
      </w:r>
      <w:r w:rsidR="00FD1639" w:rsidRPr="00494D70">
        <w:rPr>
          <w:rFonts w:ascii="Times New Roman" w:eastAsia="Calibri" w:hAnsi="Times New Roman" w:cs="Times New Roman"/>
          <w:sz w:val="24"/>
          <w:szCs w:val="24"/>
        </w:rPr>
        <w:t xml:space="preserve">. However, gradually changing gender roles </w:t>
      </w:r>
      <w:r w:rsidR="006C1777" w:rsidRPr="00494D70">
        <w:rPr>
          <w:rFonts w:ascii="Times New Roman" w:eastAsia="Calibri" w:hAnsi="Times New Roman" w:cs="Times New Roman"/>
          <w:sz w:val="24"/>
          <w:szCs w:val="24"/>
        </w:rPr>
        <w:t>may</w:t>
      </w:r>
      <w:r w:rsidR="00FD1639" w:rsidRPr="00494D70">
        <w:rPr>
          <w:rFonts w:ascii="Times New Roman" w:eastAsia="Calibri" w:hAnsi="Times New Roman" w:cs="Times New Roman"/>
          <w:sz w:val="24"/>
          <w:szCs w:val="24"/>
        </w:rPr>
        <w:t xml:space="preserve"> </w:t>
      </w:r>
      <w:r w:rsidR="00BB1E64" w:rsidRPr="00494D70">
        <w:rPr>
          <w:rFonts w:ascii="Times New Roman" w:eastAsia="Calibri" w:hAnsi="Times New Roman" w:cs="Times New Roman"/>
          <w:sz w:val="24"/>
          <w:szCs w:val="24"/>
        </w:rPr>
        <w:t>generate</w:t>
      </w:r>
      <w:r w:rsidR="009B7E99" w:rsidRPr="00494D70">
        <w:rPr>
          <w:rFonts w:ascii="Times New Roman" w:eastAsia="Calibri" w:hAnsi="Times New Roman" w:cs="Times New Roman"/>
          <w:sz w:val="24"/>
          <w:szCs w:val="24"/>
        </w:rPr>
        <w:t xml:space="preserve"> </w:t>
      </w:r>
      <w:r w:rsidR="00FD1639" w:rsidRPr="00494D70">
        <w:rPr>
          <w:rFonts w:ascii="Times New Roman" w:eastAsia="Calibri" w:hAnsi="Times New Roman" w:cs="Times New Roman"/>
          <w:sz w:val="24"/>
          <w:szCs w:val="24"/>
        </w:rPr>
        <w:t>chang</w:t>
      </w:r>
      <w:r w:rsidR="009B7E99" w:rsidRPr="00494D70">
        <w:rPr>
          <w:rFonts w:ascii="Times New Roman" w:eastAsia="Calibri" w:hAnsi="Times New Roman" w:cs="Times New Roman"/>
          <w:sz w:val="24"/>
          <w:szCs w:val="24"/>
        </w:rPr>
        <w:t>e</w:t>
      </w:r>
      <w:r w:rsidR="00BB1E64" w:rsidRPr="00494D70">
        <w:rPr>
          <w:rFonts w:ascii="Times New Roman" w:eastAsia="Calibri" w:hAnsi="Times New Roman" w:cs="Times New Roman"/>
          <w:sz w:val="24"/>
          <w:szCs w:val="24"/>
        </w:rPr>
        <w:t>s</w:t>
      </w:r>
      <w:r w:rsidR="00FD1639" w:rsidRPr="00494D70">
        <w:rPr>
          <w:rFonts w:ascii="Times New Roman" w:eastAsia="Calibri" w:hAnsi="Times New Roman" w:cs="Times New Roman"/>
          <w:sz w:val="24"/>
          <w:szCs w:val="24"/>
        </w:rPr>
        <w:t xml:space="preserve"> </w:t>
      </w:r>
      <w:r w:rsidR="009B7E99" w:rsidRPr="00494D70">
        <w:rPr>
          <w:rFonts w:ascii="Times New Roman" w:eastAsia="Calibri" w:hAnsi="Times New Roman" w:cs="Times New Roman"/>
          <w:sz w:val="24"/>
          <w:szCs w:val="24"/>
        </w:rPr>
        <w:t xml:space="preserve">in SA </w:t>
      </w:r>
      <w:r w:rsidR="00FD1639" w:rsidRPr="00494D70">
        <w:rPr>
          <w:rFonts w:ascii="Times New Roman" w:eastAsia="Calibri" w:hAnsi="Times New Roman" w:cs="Times New Roman"/>
          <w:sz w:val="24"/>
          <w:szCs w:val="24"/>
        </w:rPr>
        <w:t>tendencies</w:t>
      </w:r>
      <w:r w:rsidR="008169F1" w:rsidRPr="00494D70">
        <w:rPr>
          <w:rFonts w:ascii="Times New Roman" w:eastAsia="Calibri" w:hAnsi="Times New Roman" w:cs="Times New Roman"/>
          <w:sz w:val="24"/>
          <w:szCs w:val="24"/>
        </w:rPr>
        <w:t xml:space="preserve">. </w:t>
      </w:r>
      <w:r w:rsidR="00820621" w:rsidRPr="00494D70">
        <w:rPr>
          <w:rFonts w:ascii="Times New Roman" w:eastAsia="Calibri" w:hAnsi="Times New Roman" w:cs="Times New Roman"/>
          <w:sz w:val="24"/>
          <w:szCs w:val="24"/>
        </w:rPr>
        <w:t>Besides</w:t>
      </w:r>
      <w:r w:rsidR="008169F1" w:rsidRPr="00494D70">
        <w:rPr>
          <w:rFonts w:ascii="Times New Roman" w:eastAsia="Calibri" w:hAnsi="Times New Roman" w:cs="Times New Roman"/>
          <w:sz w:val="24"/>
          <w:szCs w:val="24"/>
        </w:rPr>
        <w:t xml:space="preserve"> differences </w:t>
      </w:r>
      <w:r w:rsidR="00BB1E64" w:rsidRPr="00494D70">
        <w:rPr>
          <w:rFonts w:ascii="Times New Roman" w:eastAsia="Calibri" w:hAnsi="Times New Roman" w:cs="Times New Roman"/>
          <w:sz w:val="24"/>
          <w:szCs w:val="24"/>
        </w:rPr>
        <w:t xml:space="preserve">often observed </w:t>
      </w:r>
      <w:r w:rsidR="000E1FB9" w:rsidRPr="00494D70">
        <w:rPr>
          <w:rFonts w:ascii="Times New Roman" w:eastAsia="Calibri" w:hAnsi="Times New Roman" w:cs="Times New Roman"/>
          <w:sz w:val="24"/>
          <w:szCs w:val="24"/>
        </w:rPr>
        <w:t xml:space="preserve">between cisgender and heterosexual men </w:t>
      </w:r>
      <w:r w:rsidR="00B83D3A" w:rsidRPr="00494D70">
        <w:rPr>
          <w:rFonts w:ascii="Times New Roman" w:eastAsia="Calibri" w:hAnsi="Times New Roman" w:cs="Times New Roman"/>
          <w:sz w:val="24"/>
          <w:szCs w:val="24"/>
        </w:rPr>
        <w:t>and</w:t>
      </w:r>
      <w:r w:rsidR="000E1FB9" w:rsidRPr="00494D70">
        <w:rPr>
          <w:rFonts w:ascii="Times New Roman" w:eastAsia="Calibri" w:hAnsi="Times New Roman" w:cs="Times New Roman"/>
          <w:sz w:val="24"/>
          <w:szCs w:val="24"/>
        </w:rPr>
        <w:t xml:space="preserve"> women,</w:t>
      </w:r>
      <w:r w:rsidR="008169F1" w:rsidRPr="00494D70">
        <w:rPr>
          <w:rFonts w:ascii="Times New Roman" w:eastAsia="Calibri" w:hAnsi="Times New Roman" w:cs="Times New Roman"/>
          <w:sz w:val="24"/>
          <w:szCs w:val="24"/>
        </w:rPr>
        <w:t xml:space="preserve"> </w:t>
      </w:r>
      <w:r w:rsidR="00FD1639" w:rsidRPr="00494D70">
        <w:rPr>
          <w:rFonts w:ascii="Times New Roman" w:eastAsia="Calibri" w:hAnsi="Times New Roman" w:cs="Times New Roman"/>
          <w:sz w:val="24"/>
          <w:szCs w:val="24"/>
        </w:rPr>
        <w:t>the SA of gender and sexual minority individual</w:t>
      </w:r>
      <w:r w:rsidR="00B83D3A" w:rsidRPr="00494D70">
        <w:rPr>
          <w:rFonts w:ascii="Times New Roman" w:eastAsia="Calibri" w:hAnsi="Times New Roman" w:cs="Times New Roman"/>
          <w:sz w:val="24"/>
          <w:szCs w:val="24"/>
        </w:rPr>
        <w:t>s</w:t>
      </w:r>
      <w:r w:rsidR="00FD1639" w:rsidRPr="00494D70">
        <w:rPr>
          <w:rFonts w:ascii="Times New Roman" w:eastAsia="Calibri" w:hAnsi="Times New Roman" w:cs="Times New Roman"/>
          <w:sz w:val="24"/>
          <w:szCs w:val="24"/>
        </w:rPr>
        <w:t xml:space="preserve"> remains </w:t>
      </w:r>
      <w:r w:rsidR="00BB1E64" w:rsidRPr="00494D70">
        <w:rPr>
          <w:rFonts w:ascii="Times New Roman" w:eastAsia="Calibri" w:hAnsi="Times New Roman" w:cs="Times New Roman"/>
          <w:sz w:val="24"/>
          <w:szCs w:val="24"/>
        </w:rPr>
        <w:t xml:space="preserve">largely </w:t>
      </w:r>
      <w:r w:rsidR="00FD1639" w:rsidRPr="00494D70">
        <w:rPr>
          <w:rFonts w:ascii="Times New Roman" w:eastAsia="Calibri" w:hAnsi="Times New Roman" w:cs="Times New Roman"/>
          <w:sz w:val="24"/>
          <w:szCs w:val="24"/>
        </w:rPr>
        <w:t xml:space="preserve">unexplored </w:t>
      </w:r>
      <w:r w:rsidR="00A53D5E" w:rsidRPr="00494D70">
        <w:rPr>
          <w:rFonts w:ascii="Times New Roman" w:eastAsia="Calibri" w:hAnsi="Times New Roman" w:cs="Times New Roman"/>
          <w:sz w:val="24"/>
          <w:szCs w:val="24"/>
        </w:rPr>
        <w:t xml:space="preserve">to date </w:t>
      </w:r>
      <w:r w:rsidR="00FD1639"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{"citationID":"HsIkxrk4","properties":{"formattedCitation":"(Ho et al., 2021)","plainCitation":"(Ho et al., 2021)","noteIndex":0},"citationItems":[{"id":3220,"uris":["http://zotero.org/users/7402913/items/YFUE6G55"],"itemData":{"id":3220,"type":"article-journal","abstract":"The present study examined relationships among sexual victimization, gender roles, and sexual assertiveness in an LGBTQ sample. Recruited via Mechanical Turk, 455 LGBTQ adults completed measures of sexual assertiveness, gender roles, and sexual assault victimization and perpetration. Some form of sexual victimization in the past year was reported by 31% of participants, and 66% reported some type of sexual victimization since the age of 14. Perpetration of sexual violence in the past year was reported by 17% of the sample, and 27% reported sexual violence perpetration since the age of 14. Logistic regressions revealed that gender roles predicted sexual victimization and sexual perpetration status. Additionally, sexual assertiveness was negatively correlated with both sexual victimization and perpetration status. Contrary to expectations, the interaction between gender roles and sexual assertiveness was not predictive of sexual victimization or perpetration. The implications of the findings are discussed.","container-title":"Sexuality &amp; Culture","DOI":"10.1007/s12119-021-09819-8","ISSN":"10955143","issue":"4","page":"1469-1489","source":"EBSCOhost","title":"Gender Roles, Sexual Assertiveness, and Sexual Victimization in LGBTQ Individuals","volume":"25","author":[{"family":"Ho","given":"Lavina Y."},{"family":"Ehman","given":"Anandi C."},{"family":"Gross","given":"Alan M."}],"issued":{"date-parts":[["2021",8]]}}}],"schema":"https://github.com/citation-style-language/schema/raw/master/csl-citation.json"} </w:instrText>
      </w:r>
      <w:r w:rsidR="00FD1639"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(Ho et al., 2021)</w:t>
      </w:r>
      <w:r w:rsidR="00FD1639" w:rsidRPr="00494D70">
        <w:rPr>
          <w:rFonts w:ascii="Times New Roman" w:eastAsia="Calibri" w:hAnsi="Times New Roman" w:cs="Times New Roman"/>
          <w:sz w:val="24"/>
          <w:szCs w:val="24"/>
        </w:rPr>
        <w:fldChar w:fldCharType="end"/>
      </w:r>
      <w:r w:rsidR="00FD1639" w:rsidRPr="00494D70">
        <w:rPr>
          <w:rFonts w:ascii="Times New Roman" w:eastAsia="Calibri" w:hAnsi="Times New Roman" w:cs="Times New Roman"/>
          <w:sz w:val="24"/>
          <w:szCs w:val="24"/>
        </w:rPr>
        <w:t>.</w:t>
      </w:r>
    </w:p>
    <w:p w14:paraId="4043C6E7" w14:textId="1A946E00" w:rsidR="00AA6F93" w:rsidRPr="00494D70" w:rsidRDefault="00FD1639" w:rsidP="00AD5E8B">
      <w:pPr>
        <w:spacing w:after="0" w:line="480" w:lineRule="auto"/>
        <w:ind w:firstLine="567"/>
        <w:rPr>
          <w:rFonts w:ascii="Times New Roman" w:eastAsia="Calibri" w:hAnsi="Times New Roman" w:cs="Times New Roman"/>
          <w:i/>
          <w:iCs/>
          <w:sz w:val="24"/>
          <w:szCs w:val="24"/>
        </w:rPr>
      </w:pPr>
      <w:r w:rsidRPr="00494D70">
        <w:rPr>
          <w:rFonts w:ascii="Times New Roman" w:eastAsia="Calibri" w:hAnsi="Times New Roman" w:cs="Times New Roman"/>
          <w:sz w:val="24"/>
          <w:szCs w:val="24"/>
        </w:rPr>
        <w:t>SA is embedded in cultural context</w:t>
      </w:r>
      <w:r w:rsidR="0006163F" w:rsidRPr="00494D70">
        <w:rPr>
          <w:rFonts w:ascii="Times New Roman" w:eastAsia="Calibri" w:hAnsi="Times New Roman" w:cs="Times New Roman"/>
          <w:sz w:val="24"/>
          <w:szCs w:val="24"/>
        </w:rPr>
        <w:t>s</w:t>
      </w:r>
      <w:r w:rsidRPr="00494D70">
        <w:rPr>
          <w:rFonts w:ascii="Times New Roman" w:eastAsia="Calibri" w:hAnsi="Times New Roman" w:cs="Times New Roman"/>
          <w:sz w:val="24"/>
          <w:szCs w:val="24"/>
        </w:rPr>
        <w:t xml:space="preserve"> through norms, values</w:t>
      </w:r>
      <w:r w:rsidR="003B1A46" w:rsidRPr="00494D70">
        <w:rPr>
          <w:rFonts w:ascii="Times New Roman" w:eastAsia="Calibri" w:hAnsi="Times New Roman" w:cs="Times New Roman"/>
          <w:sz w:val="24"/>
          <w:szCs w:val="24"/>
        </w:rPr>
        <w:t>,</w:t>
      </w:r>
      <w:r w:rsidRPr="00494D70">
        <w:rPr>
          <w:rFonts w:ascii="Times New Roman" w:eastAsia="Calibri" w:hAnsi="Times New Roman" w:cs="Times New Roman"/>
          <w:sz w:val="24"/>
          <w:szCs w:val="24"/>
        </w:rPr>
        <w:t xml:space="preserve"> and culturally influenced gendered scripts. </w:t>
      </w:r>
      <w:r w:rsidR="0006163F" w:rsidRPr="00494D70">
        <w:rPr>
          <w:rFonts w:ascii="Times New Roman" w:eastAsia="Calibri" w:hAnsi="Times New Roman" w:cs="Times New Roman"/>
          <w:sz w:val="24"/>
          <w:szCs w:val="24"/>
        </w:rPr>
        <w:t>S</w:t>
      </w:r>
      <w:r w:rsidRPr="00494D70">
        <w:rPr>
          <w:rFonts w:ascii="Times New Roman" w:eastAsia="Calibri" w:hAnsi="Times New Roman" w:cs="Times New Roman"/>
          <w:sz w:val="24"/>
          <w:szCs w:val="24"/>
        </w:rPr>
        <w:t xml:space="preserve">tudies </w:t>
      </w:r>
      <w:r w:rsidR="00AD5E8B" w:rsidRPr="00494D70">
        <w:rPr>
          <w:rFonts w:ascii="Times New Roman" w:eastAsia="Calibri" w:hAnsi="Times New Roman" w:cs="Times New Roman"/>
          <w:sz w:val="24"/>
          <w:szCs w:val="24"/>
        </w:rPr>
        <w:t xml:space="preserve">have been </w:t>
      </w:r>
      <w:r w:rsidRPr="00494D70">
        <w:rPr>
          <w:rFonts w:ascii="Times New Roman" w:eastAsia="Calibri" w:hAnsi="Times New Roman" w:cs="Times New Roman"/>
          <w:sz w:val="24"/>
          <w:szCs w:val="24"/>
        </w:rPr>
        <w:t xml:space="preserve">conducted outside of North America in the past decade, </w:t>
      </w:r>
      <w:r w:rsidR="00AD5E8B" w:rsidRPr="00494D70">
        <w:rPr>
          <w:rFonts w:ascii="Times New Roman" w:eastAsia="Calibri" w:hAnsi="Times New Roman" w:cs="Times New Roman"/>
          <w:sz w:val="24"/>
          <w:szCs w:val="24"/>
        </w:rPr>
        <w:t xml:space="preserve">including </w:t>
      </w:r>
      <w:r w:rsidR="0006163F" w:rsidRPr="00494D70">
        <w:rPr>
          <w:rFonts w:ascii="Times New Roman" w:eastAsia="Calibri" w:hAnsi="Times New Roman" w:cs="Times New Roman"/>
          <w:sz w:val="24"/>
          <w:szCs w:val="24"/>
        </w:rPr>
        <w:t xml:space="preserve">in </w:t>
      </w:r>
      <w:r w:rsidRPr="00494D70">
        <w:rPr>
          <w:rFonts w:ascii="Times New Roman" w:eastAsia="Calibri" w:hAnsi="Times New Roman" w:cs="Times New Roman"/>
          <w:sz w:val="24"/>
          <w:szCs w:val="24"/>
        </w:rPr>
        <w:t xml:space="preserve">China </w:t>
      </w:r>
      <w:r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{"citationID":"OzpPoshX","properties":{"formattedCitation":"(Dai et al., 2021)","plainCitation":"(Dai et al., 2021)","noteIndex":0},"citationItems":[{"id":4918,"uris":["http://zotero.org/users/7402913/items/9YS6J5A2"],"itemData":{"id":4918,"type":"article-journal","abstract":"Sexual assertiveness can facilitate sexual autonomy and satisfaction and protect individuals against unsafe sexual relations. However, when a person lacks sexual assertiveness, they tend to use less powerful strategies in response to unwanted sex, and they are more likely to engage in unsafe sexual behaviors. This cross-sectional study aimed to identify the factors predicting sexual assertiveness among Chinese female college students. An anonymous online survey was conducted among a convenience sample of 304 female college students in three colleges in China. Data were collected using a demographic data form, the Sexual Assertiveness Scale, the Body Appreciation Scale-2, the Alcohol Use Disorders Identification Test, the Scale of Sexual Communication with Parents and Peers, the Anticipated Negative Partner Reaction Scale, the Sexual Double Standard Scale, and the adapted Media and Technology Usage and Atitudes Scale. Data were analyzed using descriptive statistics, Pearson's correlation test, and multiple regression analysis.\nResults revealed that anticipated negative partner reaction, sexual double standard, sexual communication with parents, alcohol use, and body appreciation could together predict sexual assertiveness, accounting for 21% of the variance with anticipated negative partner reaction is the strongest. These findings help determine approaches for health providers, including nurses, to promote sexual health interventions that include enhancing sexual assertiveness, coping with anticipated negative partner reactions, sexual double standards, and alcohol use. It is essential to encourage self-body appreciation and communication with parents on sexual issues among female college students.","archive_location":"WOS:000695290200010","container-title":"Pacific Rim International Journal of Nursing Research","ISSN":"1906-8107","issue":"4","language":"English","page":"626-638","title":"Predictors of the Sexual Assertiveness Among Chinese Female College Students: A Cross-sectional Study","volume":"25","author":[{"family":"Dai","given":"FL"},{"family":"Fongkaew","given":"W"},{"family":"Lirtmunlikaporn","given":"S"},{"family":"Viseskul","given":"N"},{"family":"Chaloumsuk","given":"N"}],"issued":{"date-parts":[["2021",10]]}}}],"schema":"https://github.com/citation-style-language/schema/raw/master/csl-citation.json"} </w:instrText>
      </w:r>
      <w:r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(Dai et al., 2021)</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xml:space="preserve">, South Korea </w:t>
      </w:r>
      <w:r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{"citationID":"mDCuio72","properties":{"formattedCitation":"(Kim et al., 2019)","plainCitation":"(Kim et al., 2019)","noteIndex":0},"citationItems":[{"id":3277,"uris":["http://zotero.org/users/7402913/items/LWMLNQ5G"],"itemData":{"id":3277,"type":"article-journal","abstract":"Purpose: This study aimed to examine the association among sexual double standard, dating violence recognition, and sexual assertiveness among Korean university students. Methods: Using a cross-sectional survey study in January 2018, Korean university students (N = 322, years; 54.3% female) completed structured questionnaires with the double standard scale, dating violence recognition index, and sexual assertiveness index. The relationship among the variables was analyzed with Pearson's correlations and multiple regression analyses. Results: There were significant correlations among sexual double standard, dating violence recognition, and sexual assertiveness. Sexual double standard (beta = .12, p = .043) was determined to influence dating violence recognition. In addition, gender (beta = .63, p &lt; .001) and sexual double standard (beta = .11, p = .015) were determined to influence dating violence recognition; the explanatory power was 43%. Conclusion: These findings will serve as a basis for the development of education programs that help university students to establish appropriate sexual values and enjoy a healthy sex life. (C) 2019 Korean Society of Nursing Science, Published by Elsevier Korea LLC.","container-title":"Asian Nursing Research","DOI":"10.1016/j.anr.2019.01.003","ISSN":"1976-1317","issue":"1","language":"English","page":"47-52","title":"Sexual Double Standard, Dating Violence Recognition, and Sexual Assertiveness among University Students in South Korea","volume":"13","author":[{"family":"Kim","given":"Yujeong"},{"family":"Lee","given":"Eunmi"},{"family":"Lee","given":"Haeyoung"}],"issued":{"date-parts":[["2019"]]}}}],"schema":"https://github.com/citation-style-language/schema/raw/master/csl-citation.json"} </w:instrText>
      </w:r>
      <w:r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(Kim et al., 2019)</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xml:space="preserve">, Hong Kong </w:t>
      </w:r>
      <w:r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{"citationID":"g6BMT3D4","properties":{"formattedCitation":"(Zhang et al., 2022; Zhang &amp; Yip, 2018)","plainCitation":"(Zhang et al., 2022; Zhang &amp; Yip, 2018)","noteIndex":0},"citationItems":[{"id":4950,"uris":["http://zotero.org/users/7402913/items/9DWBMZ3Y"],"itemData":{"id":4950,"type":"article-journal","abstract":"Western studies have demonstrated that female sexual assertiveness is positively associated with sexual satisfaction in a committed heterosexual relationship. Furthermore, the ability of women to refuse sex has been shown to protect them from unwanted sexual contact and to lead to fewer sexual victimization experiences and less risky sexual behavior. However, there is little research on female sexual assertiveness that included both the own (actor effect) and partner (partner effect) impact of female sexual assertiveness on sexual satisfaction from a dyadic approach, involving both members of a couple. The data for the present study came from a representative sample of Chinese couples collected by the Hong Kong Family Planning Association in 2017. Using the actor-partner interdependence model, the results indicated that female sexual initiation was positively associated with both their own and their partner's sexual satisfaction. However, female sexual refusal was not associated with the sexual satisfaction of either party. These findings suggest the importance of adopting a dyadic approach in sex research to capture the mutual influences between partners. Couples should be encouraged to express their sexual desires and refuse unwanted sex requests honestly to improve their and their partner's sexual satisfaction.","archive_location":"WOS:000614164900001","container-title":"Journal of Sex Research","DOI":"10.1080/00224499.2021.1875187","ISSN":"0022-4499","issue":"2","language":"English","page":"203-211","title":"Female Sexual Assertiveness and Sexual Satisfaction Among Chinese Couples in Hong Kong: A Dyadic Approach","volume":"59","author":[{"family":"Zhang","given":"HP"},{"family":"Xie","given":"LL"},{"family":"Lo","given":"SST"},{"family":"Fan","given":"SS"},{"family":"Yip","given":"P"}],"issued":{"date-parts":[["2022",2,12]]}}},{"id":3278,"uris":["http://zotero.org/users/7402913/items/Y58CJ75Y"],"itemData":{"id":3278,"type":"article-journal","abstract":"Studies in female sexual assertiveness have generally focused on individuals rather than couples, and little research has been conducted in the Chinese context. This study examined perceived and actual female sexual assertiveness at the couple level, and also explored its impact on marital and sexual satisfaction with a representative sample of 770 couples in Hong Kong. The results showed that husbands reported a higher level of acceptance of female sexual assertiveness in both perception and actual behavior; furthermore, couples reported greater congruence in their perception of female sexual initiation than actual behavior. Multiple logistic regressions showed that actual female sexual assertiveness, not the perception of it, affects both spouses' marital and sexual satisfaction. Compared with couples in which neither accepted female sexual initiation in practice, husbands where both spouses accepted this were more likely to be satisfied with the marriage. Husbands who accepted female sexual refusal whilst their wives did not were also more likely to be satisfied with both the marital and sexual relationship. Similarly, wives who did accept female sexual assertiveness but whose husbands did not were more likely to be satisfied with both the marital and sexual relationship.","container-title":"Journal of Sex &amp; Marital Therapy","DOI":"Hurlbert Index of Sexual Assertiveness: A Study of Psychometric Properties in a Spanish Sam","ISSN":"0092-623X","issue":"1","language":"English","page":"87-95","title":"Perceived and Actual Behavior in Female Sexual Assertiveness: A Within-Couple Analysis in Hong Kong","volume":"44","author":[{"family":"Zhang","given":"Huiping"},{"family":"Yip","given":"Paul S. F."}],"issued":{"date-parts":[["2018"]]}}}],"schema":"https://github.com/citation-style-language/schema/raw/master/csl-citation.json"} </w:instrText>
      </w:r>
      <w:r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(Zhang et al., 2022; Zhang &amp; Yip, 2018)</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xml:space="preserve">, Ecuador </w:t>
      </w:r>
      <w:r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{"citationID":"dtZaOYrJ","properties":{"formattedCitation":"(Lopez-Alvarado et al., 2020, 2022)","plainCitation":"(Lopez-Alvarado et al., 2020, 2022)","noteIndex":0},"citationItems":[{"id":4988,"uris":["http://zotero.org/users/7402913/items/NVWD75YK"],"itemData":{"id":4988,"type":"article-journal","abstract":"In an attempt to extend our understanding of how social contexts co-create female sexuality in Latin America, the aim of the current study was to explore the beliefs, views, and ideas about sexual assertiveness in Latino emerging adult women. Seventeen women between 22 and 30 years old living in Cuenca, Ecuador, participated in focus groups. A constructivist grounded theory approach was used to analyze the data. Findings suggest that the overall views about sexual assertiveness in emerging adult women can be grouped into five categories: (1) gender role schemata; (2) concerns about the partner's thoughts and reactions; (3) gendered attitudes towards the use of specific methods of contraception; (4) talking about sexual histories as a challenging task; and (5) replication of family patterns. The findings of this study are discussed within existing literature that highlights the influence of gender role schemata on sexual assertiveness. Finally, a plea for more culturally sensitive research is formulated as well as some educational - the need to reinforce sex education programs - and clinical - highlighting the ability to be sexually assertive from the start of a relationship - implications are mentioned.","archive_location":"WOS:000471535200001","container-title":"Journal of Sex Research","DOI":"10.1080/00224499.2019.1615031","ISSN":"0022-4499","issue":"3","language":"English","page":"307-321","title":"Latin American Women ' s Beliefs, Views and Ideas About Sexual Assertiveness: A Focus Group Study in Cuenca (Ecuador)","volume":"57","author":[{"family":"Lopez-Alvarado","given":"S"},{"family":"Van Parys","given":"H"},{"family":"Cevallos-Neira","given":"A"},{"family":"Enzlin","given":"P"}],"issued":{"date-parts":[["2020",3,23]]}}},{"id":4926,"uris":["http://zotero.org/users/7402913/items/H37XNI6U"],"itemData":{"id":4926,"type":"article-journal","abstract":"Objective: Sexual assertiveness (SA), i.e., the ability to communicate thoughts and desires that may be translated into satisfying sexual activity within an intimate relationship, is important for safe and satisfying sexual behavior. In an attempt to unravel which cultural, relational, and individual variables are related to the development of SA in emerging adults, an exploratory study was conducted in Cuenca, Ecuador. Methods: Five hundred and thirty-eight participants completed scales that measured their levels of SA, endorsement of the sexual double standard, relationship satisfaction, and mental well-being. Results: This study showed a negative effect of the sexual double standard on SA in both men and women and this effect was slightly tempered by the level of education. Women reported higher levels of SA than men. In women, SA was associated with general mental well-being and relationship satisfaction; but not in men. For both women and men, no association was found with relationship status or duration. Conclusions: These findings corroborate evidence highlighting the importance of SA for healthy sexual relationships and emphasize the importance of (sex) education for SA for lower educated women and men. The results are discussed in relation to findings on SA in other contexts.","archive_location":"WOS:000834908700001","container-title":"International Journal of Sexual Health","DOI":"10.1080/19317611.2022.2106527","ISSN":"1931-7611","issue":"4","language":"English","page":"679-690","title":"Sexual Assertiveness and Its Correlates in Emerging Adults: An Exploratory Study in Cuenca (Ecuador)","volume":"34","author":[{"family":"Lopez-Alvarado","given":"S"},{"family":"Prekatsounaki","given":"S"},{"family":"Van Parys","given":"H"},{"family":"Enzlin","given":"P"}],"issued":{"date-parts":[["2022",10,2]]}}}],"schema":"https://github.com/citation-style-language/schema/raw/master/csl-citation.json"} </w:instrText>
      </w:r>
      <w:r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(Lopez-Alvarado et al., 2020, 2022)</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xml:space="preserve">, Iran </w:t>
      </w:r>
      <w:r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{"citationID":"aZQQR9R5","properties":{"formattedCitation":"(Azmoude et al., 2016; NasrollahiMola et al., 2020)","plainCitation":"(Azmoude et al., 2016; NasrollahiMola et al., 2020)","noteIndex":0},"citationItems":[{"id":5084,"uris":["http://zotero.org/users/7402913/items/LRVBJL6Q"],"itemData":{"id":5084,"type":"article-journal","abstract":"Background:\nEvidence indicates that sexual assertiveness is one of the important factors affecting sexual satisfaction. According to some studies, traditional gender norms conflict with women’s capability in expressing sexual desires. This study examined the relationship between gender roles and sexual assertiveness in married women in Mashhad, Iran.\n\n\nMethods: \nThis cross-sectional study was conducted on 120 women who referred to Mashhad health centers through convenient sampling in 2014-15. Data were collected using Bem Sex Role Inventory (BSRI) and Hulbert index of sexual assertiveness. Data were analyzed using SPSS 16 by Pearson and Spearman’s correlation tests and linear Regression Analysis.\n\n\nResults:\nThe mean scores of sexual assertiveness was 54.93±13.20. According to the findings, there was non-significant correlation between Femininity and masculinity score with sexual assertiveness (P=0.069 and P=0.080 respectively). Linear regression analysis indicated that among the predictor variables, only Sexual function satisfaction was identified as the sexual assertiveness summary predictor variables (P=0.001).\n\n\nConclusion: \nBased on the results, sexual assertiveness in married women does not comply with gender role, but it is related to Sexual function satisfaction. So, counseling psychologists need to consider this variable when designing intervention programs for modifying sexual assertiveness and find other variables that affect sexual assertiveness.","container-title":"International Journal of Community Based Nursing and Midwifery","ISSN":"2322-2476","issue":"4","journalAbbreviation":"Int J Community Based Nurs Midwifery","note":"PMID: 27713899\nPMCID: PMC5045980","page":"363-373","source":"PubMed Central","title":"Relationship between Gender Roles and Sexual Assertiveness in Married Women","volume":"4","author":[{"family":"Azmoude","given":"Elham"},{"family":"Firoozi","given":"Mahbobe"},{"family":"Sadeghi Sahebzad","given":"Elahe"},{"family":"Asgharipour","given":"Neghar"}],"issued":{"date-parts":[["2016",10]]}}},{"id":4920,"uris":["http://zotero.org/users/7402913/items/LY5LUQNS"],"itemData":{"id":4920,"type":"article-journal","abstract":"Sexual assertiveness and explicit conversations about sex between couples are influenced by variety of individual, cultural, and social factors. The purpose of this study was to investigate the predictors of sexual assertiveness in a sample of Iranian married women of reproductive age. In this cross-sectional study, 276 married women of reproductive age participated from October 2018 to March 2019. Sampling was done in two stages. Data were collected using demographic questionnaires, Hulbert sexual assertiveness scale, and Spanier dyadic adjustment scale. Univariate and multivariate linear regression models via ENTER method through SPSS (version 25) software were performed. The mean age of participants was 31.44 years old with the mean marriage duration of 119.59 months. The mean score of participants' sexual assertiveness was 57.31. The results of the multivariate regression model showed that marital adjustment (B = 0.46, SE = 0.06, beta = 0.5, 95% CI = 0.35, 0.57) was the only significant predictors of sexual assertiveness explaining 30% of the variance, in married women of reproductive age. Due to important predictive role of marital adjustment, more attention should be given to couples adjustment to improve sexual assertiveness. In addition, this model explained only 30% of the variance in the concept of sexual assertiveness, so it is necessary to identify other factors affecting women's sexual assertiveness.","archive_location":"WOS:000524608800001","container-title":"Sexual and Relationship Therapy","DOI":"10.1080/14681994.2020.1740672","ISSN":"1468-1994","language":"English","title":"Predictors of sexual assertiveness in a sample of Iranian married women of reproductive age","author":[{"family":"NasrollahiMola","given":"N"},{"family":"Bahrami","given":"N"},{"family":"Ranjbaran","given":"M"},{"family":"Alimoradi","given":"Z"}],"issued":{"date-parts":[["2020"]]}},"label":"page"}],"schema":"https://github.com/citation-style-language/schema/raw/master/csl-citation.json"} </w:instrText>
      </w:r>
      <w:r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(Azmoude et al., 2016; NasrollahiMola et al., 2020)</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xml:space="preserve">, and Spain </w:t>
      </w:r>
      <w:r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{"citationID":"ZNUsa5Zf","properties":{"formattedCitation":"(Santos-Iglesias et al., 2014; Sierra et al., 2021)","plainCitation":"(Santos-Iglesias et al., 2014; Sierra et al., 2021)","dontUpdate":true,"noteIndex":0},"citationItems":[{"id":3265,"uris":["http://zotero.org/users/7402913/items/L7WJ5462"],"itemData":{"id":3265,"type":"article-journal","abstract":"The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only showed weak invariance for men and women.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item 2, resulting in a final version with 18 items clustered into two dimensions with good reliability values for men and women. Standard scores for both Initiation and No Shyness/Refusal reflected traditional sexual scripts for men and women.","container-title":"Anales de Psicologia","DOI":"10.6018/analesps.30.1.143321","ISSN":"0212-9728","issue":"1","language":"English","note":"publisher-place: SOC ESPANOLA HISTORIA AGRARIA, CAMPUS ESPINARDO, MURCIA, 30100, SPAIN\npublisher: UNIV MURCIA\ntype: Article","page":"233-238","title":"Equivalence and Standard Scores of the Hurlbert Index of Sexual Assertiveness Across Spanish Men and Women","volume":"30","author":[{"family":"Santos-Iglesias","given":"Pablo"},{"family":"Vallejo-Medina","given":"Pablo"},{"family":"Sierra","given":"Juan C."}],"issued":{"date-parts":[["2014"]]}}},{"id":4984,"uris":["http://zotero.org/users/7402913/items/2RKF6ZLI"],"itemData":{"id":4984,"type":"article-journal","abstract":"Background: Intimate Partner Violence (IPV) causes physical, sexual, or psychological harm. The association between psychosexual (sexual assertiveness, erotophilia, and attitude towards sexual fantasies) and sexual function (sexual desire, sexual excitation, erection, orgasm capacity, and sexual satisfaction), and the experience of physical and non-physical IPV was assessed. Methods: Data from 3394 (1766 women, 1628 men) heterosexual adults completed the Spanish version of the Index of Spouse Abuse, scales measuring psychosexual and sexual function, and demographic characteristics were collected. Results: For men, poorer sexual health was associated with an experience of physical abuse (F = 4.41, p &lt; 0.001) and non-physical abuse (F = 4.35, p &lt; 0.001). For women, poorer sexual health was associated with physical abuse (F = 13.38, p &lt; 0.001) and non-physical abuse (F = 7.83, p &lt; 0.001). Conclusion: The experience of physical or non-physical abuse has a negative association with psychosexual and sexual functioning in both men and women.","archive_location":"WOS:000611244000001","container-title":"International Journal of Environmental Research and Public Health","DOI":"10.3390/ijerph18020594","ISSN":"1660-4601","issue":"2","language":"English","title":"The Impact of Intimate Partner Violence on Sexual Attitudes, Sexual Assertiveness, and Sexual Functioning in Men and Women","volume":"18","author":[{"family":"Sierra","given":"JC"},{"family":"Arcos-Romero","given":"AI"},{"family":"Alvarez-Muelas","given":"A"},{"family":"Cervilla","given":"O"}],"issued":{"date-parts":[["2021",1]]}}}],"schema":"https://github.com/citation-style-language/schema/raw/master/csl-citation.json"} </w:instrText>
      </w:r>
      <w:r w:rsidRPr="00494D70">
        <w:rPr>
          <w:rFonts w:ascii="Times New Roman" w:eastAsia="Calibri" w:hAnsi="Times New Roman" w:cs="Times New Roman"/>
          <w:sz w:val="24"/>
          <w:szCs w:val="24"/>
        </w:rPr>
        <w:fldChar w:fldCharType="separate"/>
      </w:r>
      <w:r w:rsidRPr="00494D70">
        <w:rPr>
          <w:rFonts w:ascii="Times New Roman" w:eastAsia="Calibri" w:hAnsi="Times New Roman" w:cs="Times New Roman"/>
          <w:sz w:val="24"/>
          <w:szCs w:val="24"/>
        </w:rPr>
        <w:t>(e.g., Santos-Iglesias et al., 2014; Sierra et al., 2021)</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xml:space="preserve">. </w:t>
      </w:r>
      <w:r w:rsidR="0064097E" w:rsidRPr="00494D70">
        <w:rPr>
          <w:rFonts w:ascii="Times New Roman" w:eastAsia="Calibri" w:hAnsi="Times New Roman" w:cs="Times New Roman"/>
          <w:sz w:val="24"/>
          <w:szCs w:val="24"/>
        </w:rPr>
        <w:t xml:space="preserve">However, </w:t>
      </w:r>
      <w:r w:rsidRPr="00494D70">
        <w:rPr>
          <w:rFonts w:ascii="Times New Roman" w:eastAsia="Calibri" w:hAnsi="Times New Roman" w:cs="Times New Roman"/>
          <w:sz w:val="24"/>
          <w:szCs w:val="24"/>
        </w:rPr>
        <w:t xml:space="preserve">no comparative cross-cultural </w:t>
      </w:r>
      <w:r w:rsidR="003B1A46" w:rsidRPr="00494D70">
        <w:rPr>
          <w:rFonts w:ascii="Times New Roman" w:eastAsia="Calibri" w:hAnsi="Times New Roman" w:cs="Times New Roman"/>
          <w:sz w:val="24"/>
          <w:szCs w:val="24"/>
        </w:rPr>
        <w:t xml:space="preserve">studies </w:t>
      </w:r>
      <w:r w:rsidRPr="00494D70">
        <w:rPr>
          <w:rFonts w:ascii="Times New Roman" w:eastAsia="Calibri" w:hAnsi="Times New Roman" w:cs="Times New Roman"/>
          <w:sz w:val="24"/>
          <w:szCs w:val="24"/>
        </w:rPr>
        <w:t xml:space="preserve">have been published </w:t>
      </w:r>
      <w:r w:rsidR="00140176" w:rsidRPr="00494D70">
        <w:rPr>
          <w:rFonts w:ascii="Times New Roman" w:eastAsia="Calibri" w:hAnsi="Times New Roman" w:cs="Times New Roman"/>
          <w:sz w:val="24"/>
          <w:szCs w:val="24"/>
        </w:rPr>
        <w:t>to date</w:t>
      </w:r>
      <w:r w:rsidR="009C36C5" w:rsidRPr="00494D70">
        <w:rPr>
          <w:rFonts w:ascii="Times New Roman" w:eastAsia="Calibri" w:hAnsi="Times New Roman" w:cs="Times New Roman"/>
          <w:sz w:val="24"/>
          <w:szCs w:val="24"/>
        </w:rPr>
        <w:t>,</w:t>
      </w:r>
      <w:r w:rsidR="0064097E" w:rsidRPr="00494D70">
        <w:rPr>
          <w:rFonts w:ascii="Times New Roman" w:eastAsia="Calibri" w:hAnsi="Times New Roman" w:cs="Times New Roman"/>
          <w:sz w:val="24"/>
          <w:szCs w:val="24"/>
        </w:rPr>
        <w:t xml:space="preserve"> </w:t>
      </w:r>
      <w:r w:rsidR="009C36C5" w:rsidRPr="00494D70">
        <w:rPr>
          <w:rFonts w:ascii="Times New Roman" w:eastAsia="Calibri" w:hAnsi="Times New Roman" w:cs="Times New Roman"/>
          <w:sz w:val="24"/>
          <w:szCs w:val="24"/>
        </w:rPr>
        <w:t>and</w:t>
      </w:r>
      <w:r w:rsidR="00AD5E8B" w:rsidRPr="00494D70">
        <w:rPr>
          <w:rFonts w:ascii="Times New Roman" w:eastAsia="Calibri" w:hAnsi="Times New Roman" w:cs="Times New Roman"/>
          <w:sz w:val="24"/>
          <w:szCs w:val="24"/>
        </w:rPr>
        <w:t xml:space="preserve"> </w:t>
      </w:r>
      <w:r w:rsidR="006D7E1F" w:rsidRPr="00494D70">
        <w:rPr>
          <w:rFonts w:ascii="Times New Roman" w:eastAsia="Calibri" w:hAnsi="Times New Roman" w:cs="Times New Roman"/>
          <w:sz w:val="24"/>
          <w:szCs w:val="24"/>
        </w:rPr>
        <w:t xml:space="preserve">comparing results </w:t>
      </w:r>
      <w:r w:rsidR="00FC50E3" w:rsidRPr="00494D70">
        <w:rPr>
          <w:rFonts w:ascii="Times New Roman" w:eastAsia="Calibri" w:hAnsi="Times New Roman" w:cs="Times New Roman"/>
          <w:sz w:val="24"/>
          <w:szCs w:val="24"/>
        </w:rPr>
        <w:t xml:space="preserve">reported in </w:t>
      </w:r>
      <w:r w:rsidR="006D7E1F" w:rsidRPr="00494D70">
        <w:rPr>
          <w:rFonts w:ascii="Times New Roman" w:eastAsia="Calibri" w:hAnsi="Times New Roman" w:cs="Times New Roman"/>
          <w:sz w:val="24"/>
          <w:szCs w:val="24"/>
        </w:rPr>
        <w:t xml:space="preserve">separate studies </w:t>
      </w:r>
      <w:r w:rsidR="00AE6F31" w:rsidRPr="00494D70">
        <w:rPr>
          <w:rFonts w:ascii="Times New Roman" w:eastAsia="Calibri" w:hAnsi="Times New Roman" w:cs="Times New Roman"/>
          <w:sz w:val="24"/>
          <w:szCs w:val="24"/>
        </w:rPr>
        <w:t>is</w:t>
      </w:r>
      <w:r w:rsidR="006D7E1F" w:rsidRPr="00494D70">
        <w:rPr>
          <w:rFonts w:ascii="Times New Roman" w:eastAsia="Calibri" w:hAnsi="Times New Roman" w:cs="Times New Roman"/>
          <w:sz w:val="24"/>
          <w:szCs w:val="24"/>
        </w:rPr>
        <w:t xml:space="preserve"> </w:t>
      </w:r>
      <w:r w:rsidR="00F92BA2" w:rsidRPr="00494D70">
        <w:rPr>
          <w:rFonts w:ascii="Times New Roman" w:eastAsia="Calibri" w:hAnsi="Times New Roman" w:cs="Times New Roman"/>
          <w:sz w:val="24"/>
          <w:szCs w:val="24"/>
        </w:rPr>
        <w:t>challenging</w:t>
      </w:r>
      <w:r w:rsidR="006D7E1F" w:rsidRPr="00494D70">
        <w:rPr>
          <w:rFonts w:ascii="Times New Roman" w:eastAsia="Calibri" w:hAnsi="Times New Roman" w:cs="Times New Roman"/>
          <w:sz w:val="24"/>
          <w:szCs w:val="24"/>
        </w:rPr>
        <w:t xml:space="preserve"> due to methodological </w:t>
      </w:r>
      <w:r w:rsidR="0006163F" w:rsidRPr="00494D70">
        <w:rPr>
          <w:rFonts w:ascii="Times New Roman" w:eastAsia="Calibri" w:hAnsi="Times New Roman" w:cs="Times New Roman"/>
          <w:sz w:val="24"/>
          <w:szCs w:val="24"/>
        </w:rPr>
        <w:t xml:space="preserve">differences </w:t>
      </w:r>
      <w:r w:rsidR="00FC50E3" w:rsidRPr="00494D70">
        <w:rPr>
          <w:rFonts w:ascii="Times New Roman" w:eastAsia="Calibri" w:hAnsi="Times New Roman" w:cs="Times New Roman"/>
          <w:sz w:val="24"/>
          <w:szCs w:val="24"/>
        </w:rPr>
        <w:t xml:space="preserve">and </w:t>
      </w:r>
      <w:r w:rsidR="0006163F" w:rsidRPr="00494D70">
        <w:rPr>
          <w:rFonts w:ascii="Times New Roman" w:eastAsia="Calibri" w:hAnsi="Times New Roman" w:cs="Times New Roman"/>
          <w:sz w:val="24"/>
          <w:szCs w:val="24"/>
        </w:rPr>
        <w:t>varying</w:t>
      </w:r>
      <w:r w:rsidR="00FC50E3" w:rsidRPr="00494D70">
        <w:rPr>
          <w:rFonts w:ascii="Times New Roman" w:eastAsia="Calibri" w:hAnsi="Times New Roman" w:cs="Times New Roman"/>
          <w:sz w:val="24"/>
          <w:szCs w:val="24"/>
        </w:rPr>
        <w:t xml:space="preserve"> </w:t>
      </w:r>
      <w:r w:rsidR="00055303" w:rsidRPr="00494D70">
        <w:rPr>
          <w:rFonts w:ascii="Times New Roman" w:eastAsia="Calibri" w:hAnsi="Times New Roman" w:cs="Times New Roman"/>
          <w:sz w:val="24"/>
          <w:szCs w:val="24"/>
        </w:rPr>
        <w:t>measurement tools</w:t>
      </w:r>
      <w:r w:rsidR="00AD5E8B" w:rsidRPr="00494D70">
        <w:rPr>
          <w:rFonts w:ascii="Times New Roman" w:eastAsia="Calibri" w:hAnsi="Times New Roman" w:cs="Times New Roman"/>
          <w:sz w:val="24"/>
          <w:szCs w:val="24"/>
        </w:rPr>
        <w:t xml:space="preserve"> </w:t>
      </w:r>
      <w:r w:rsidR="00FC50E3" w:rsidRPr="00494D70">
        <w:rPr>
          <w:rFonts w:ascii="Times New Roman" w:eastAsia="Calibri" w:hAnsi="Times New Roman" w:cs="Times New Roman"/>
          <w:sz w:val="24"/>
          <w:szCs w:val="24"/>
        </w:rPr>
        <w:t>used</w:t>
      </w:r>
      <w:r w:rsidR="00AD5E8B" w:rsidRPr="00494D70">
        <w:rPr>
          <w:rFonts w:ascii="Times New Roman" w:eastAsia="Calibri" w:hAnsi="Times New Roman" w:cs="Times New Roman"/>
          <w:sz w:val="24"/>
          <w:szCs w:val="24"/>
        </w:rPr>
        <w:t xml:space="preserve"> to operationalize SA</w:t>
      </w:r>
      <w:r w:rsidRPr="00494D70">
        <w:rPr>
          <w:rFonts w:ascii="Times New Roman" w:eastAsia="Calibri" w:hAnsi="Times New Roman" w:cs="Times New Roman"/>
          <w:sz w:val="24"/>
          <w:szCs w:val="24"/>
        </w:rPr>
        <w:t>.</w:t>
      </w:r>
      <w:r w:rsidR="00B728A1" w:rsidRPr="00494D70">
        <w:rPr>
          <w:rFonts w:ascii="Times New Roman" w:eastAsia="Calibri" w:hAnsi="Times New Roman" w:cs="Times New Roman"/>
          <w:sz w:val="24"/>
          <w:szCs w:val="24"/>
        </w:rPr>
        <w:t xml:space="preserve"> K</w:t>
      </w:r>
      <w:r w:rsidR="007B64C0" w:rsidRPr="00494D70">
        <w:rPr>
          <w:rFonts w:ascii="Times New Roman" w:eastAsia="Calibri" w:hAnsi="Times New Roman" w:cs="Times New Roman"/>
          <w:sz w:val="24"/>
          <w:szCs w:val="24"/>
        </w:rPr>
        <w:t>nowledge gaps and inconsisten</w:t>
      </w:r>
      <w:r w:rsidR="00483B87" w:rsidRPr="00494D70">
        <w:rPr>
          <w:rFonts w:ascii="Times New Roman" w:eastAsia="Calibri" w:hAnsi="Times New Roman" w:cs="Times New Roman"/>
          <w:sz w:val="24"/>
          <w:szCs w:val="24"/>
        </w:rPr>
        <w:t>t results</w:t>
      </w:r>
      <w:r w:rsidR="007B64C0" w:rsidRPr="00494D70">
        <w:rPr>
          <w:rFonts w:ascii="Times New Roman" w:eastAsia="Calibri" w:hAnsi="Times New Roman" w:cs="Times New Roman"/>
          <w:sz w:val="24"/>
          <w:szCs w:val="24"/>
        </w:rPr>
        <w:t xml:space="preserve"> </w:t>
      </w:r>
      <w:r w:rsidR="00AE6F31" w:rsidRPr="00494D70">
        <w:rPr>
          <w:rFonts w:ascii="Times New Roman" w:eastAsia="Calibri" w:hAnsi="Times New Roman" w:cs="Times New Roman"/>
          <w:sz w:val="24"/>
          <w:szCs w:val="24"/>
        </w:rPr>
        <w:t>may</w:t>
      </w:r>
      <w:r w:rsidR="0002219C" w:rsidRPr="00494D70">
        <w:rPr>
          <w:rFonts w:ascii="Times New Roman" w:eastAsia="Calibri" w:hAnsi="Times New Roman" w:cs="Times New Roman"/>
          <w:sz w:val="24"/>
          <w:szCs w:val="24"/>
        </w:rPr>
        <w:t xml:space="preserve"> </w:t>
      </w:r>
      <w:r w:rsidR="00AD5E8B" w:rsidRPr="00494D70">
        <w:rPr>
          <w:rFonts w:ascii="Times New Roman" w:eastAsia="Calibri" w:hAnsi="Times New Roman" w:cs="Times New Roman"/>
          <w:sz w:val="24"/>
          <w:szCs w:val="24"/>
        </w:rPr>
        <w:t xml:space="preserve">also </w:t>
      </w:r>
      <w:r w:rsidR="00AC7B63" w:rsidRPr="00494D70">
        <w:rPr>
          <w:rFonts w:ascii="Times New Roman" w:eastAsia="Calibri" w:hAnsi="Times New Roman" w:cs="Times New Roman"/>
          <w:sz w:val="24"/>
          <w:szCs w:val="24"/>
        </w:rPr>
        <w:t xml:space="preserve">stem from </w:t>
      </w:r>
      <w:r w:rsidR="00E6378F" w:rsidRPr="00494D70">
        <w:rPr>
          <w:rFonts w:ascii="Times New Roman" w:eastAsia="Calibri" w:hAnsi="Times New Roman" w:cs="Times New Roman"/>
          <w:sz w:val="24"/>
          <w:szCs w:val="24"/>
        </w:rPr>
        <w:t>non-</w:t>
      </w:r>
      <w:r w:rsidR="00D865AB" w:rsidRPr="00494D70">
        <w:rPr>
          <w:rFonts w:ascii="Times New Roman" w:eastAsia="Calibri" w:hAnsi="Times New Roman" w:cs="Times New Roman"/>
          <w:sz w:val="24"/>
          <w:szCs w:val="24"/>
        </w:rPr>
        <w:t>invariance of the available scales</w:t>
      </w:r>
      <w:r w:rsidR="00FA41BF" w:rsidRPr="00494D70">
        <w:rPr>
          <w:rFonts w:ascii="Times New Roman" w:eastAsia="Calibri" w:hAnsi="Times New Roman" w:cs="Times New Roman"/>
          <w:sz w:val="24"/>
          <w:szCs w:val="24"/>
        </w:rPr>
        <w:t xml:space="preserve"> (i.e., invalid cross-population comparisons </w:t>
      </w:r>
      <w:r w:rsidR="00C86EC2" w:rsidRPr="00494D70">
        <w:rPr>
          <w:rFonts w:ascii="Times New Roman" w:eastAsia="Calibri" w:hAnsi="Times New Roman" w:cs="Times New Roman"/>
          <w:sz w:val="24"/>
          <w:szCs w:val="24"/>
        </w:rPr>
        <w:t>affected by</w:t>
      </w:r>
      <w:r w:rsidR="00FA41BF" w:rsidRPr="00494D70">
        <w:rPr>
          <w:rFonts w:ascii="Times New Roman" w:eastAsia="Calibri" w:hAnsi="Times New Roman" w:cs="Times New Roman"/>
          <w:sz w:val="24"/>
          <w:szCs w:val="24"/>
        </w:rPr>
        <w:t xml:space="preserve"> measurement bias)</w:t>
      </w:r>
      <w:r w:rsidR="0064629E" w:rsidRPr="00494D70">
        <w:rPr>
          <w:rFonts w:ascii="Times New Roman" w:eastAsia="Calibri" w:hAnsi="Times New Roman" w:cs="Times New Roman"/>
          <w:sz w:val="24"/>
          <w:szCs w:val="24"/>
        </w:rPr>
        <w:t xml:space="preserve">. </w:t>
      </w:r>
      <w:r w:rsidRPr="00494D70">
        <w:rPr>
          <w:rFonts w:ascii="Times New Roman" w:eastAsia="Calibri" w:hAnsi="Times New Roman" w:cs="Times New Roman"/>
          <w:sz w:val="24"/>
          <w:szCs w:val="24"/>
        </w:rPr>
        <w:t xml:space="preserve"> </w:t>
      </w:r>
    </w:p>
    <w:p w14:paraId="50D7A936" w14:textId="0248DC9B" w:rsidR="00B633BC" w:rsidRPr="00494D70" w:rsidRDefault="00F16F62" w:rsidP="000B124E">
      <w:pPr>
        <w:spacing w:after="0" w:line="480" w:lineRule="auto"/>
        <w:rPr>
          <w:rFonts w:ascii="Times New Roman" w:eastAsia="Calibri" w:hAnsi="Times New Roman" w:cs="Times New Roman"/>
          <w:i/>
          <w:iCs/>
          <w:sz w:val="24"/>
          <w:szCs w:val="24"/>
        </w:rPr>
      </w:pPr>
      <w:r w:rsidRPr="00494D70">
        <w:rPr>
          <w:rFonts w:ascii="Times New Roman" w:eastAsia="Calibri" w:hAnsi="Times New Roman" w:cs="Times New Roman"/>
          <w:i/>
          <w:iCs/>
          <w:sz w:val="24"/>
          <w:szCs w:val="24"/>
        </w:rPr>
        <w:t>Domains and measurement</w:t>
      </w:r>
      <w:r w:rsidR="000C2BBF" w:rsidRPr="00494D70">
        <w:rPr>
          <w:rFonts w:ascii="Times New Roman" w:eastAsia="Calibri" w:hAnsi="Times New Roman" w:cs="Times New Roman"/>
          <w:i/>
          <w:iCs/>
          <w:sz w:val="24"/>
          <w:szCs w:val="24"/>
        </w:rPr>
        <w:t xml:space="preserve"> of sexual assertiveness</w:t>
      </w:r>
    </w:p>
    <w:p w14:paraId="7C835A6D" w14:textId="4834E036" w:rsidR="00B633BC" w:rsidRPr="00494D70" w:rsidRDefault="005B1DB1" w:rsidP="000B124E">
      <w:pPr>
        <w:spacing w:after="0" w:line="480" w:lineRule="auto"/>
        <w:ind w:firstLine="567"/>
        <w:rPr>
          <w:rFonts w:ascii="Times New Roman" w:eastAsia="Calibri" w:hAnsi="Times New Roman" w:cs="Times New Roman"/>
          <w:sz w:val="24"/>
          <w:szCs w:val="24"/>
        </w:rPr>
      </w:pPr>
      <w:r w:rsidRPr="00494D70">
        <w:rPr>
          <w:rFonts w:ascii="Times New Roman" w:eastAsia="Calibri" w:hAnsi="Times New Roman" w:cs="Times New Roman"/>
          <w:sz w:val="24"/>
          <w:szCs w:val="24"/>
        </w:rPr>
        <w:t xml:space="preserve">In most measures of </w:t>
      </w:r>
      <w:r w:rsidR="00B633BC" w:rsidRPr="00494D70">
        <w:rPr>
          <w:rFonts w:ascii="Times New Roman" w:eastAsia="Calibri" w:hAnsi="Times New Roman" w:cs="Times New Roman"/>
          <w:sz w:val="24"/>
          <w:szCs w:val="24"/>
        </w:rPr>
        <w:t>SA</w:t>
      </w:r>
      <w:r w:rsidRPr="00494D70">
        <w:rPr>
          <w:rFonts w:ascii="Times New Roman" w:eastAsia="Calibri" w:hAnsi="Times New Roman" w:cs="Times New Roman"/>
          <w:sz w:val="24"/>
          <w:szCs w:val="24"/>
        </w:rPr>
        <w:t>,</w:t>
      </w:r>
      <w:r w:rsidR="00B633BC" w:rsidRPr="00494D70">
        <w:rPr>
          <w:rFonts w:ascii="Times New Roman" w:eastAsia="Calibri" w:hAnsi="Times New Roman" w:cs="Times New Roman"/>
          <w:sz w:val="24"/>
          <w:szCs w:val="24"/>
        </w:rPr>
        <w:t xml:space="preserve"> </w:t>
      </w:r>
      <w:r w:rsidR="0006163F" w:rsidRPr="00494D70">
        <w:rPr>
          <w:rFonts w:ascii="Times New Roman" w:eastAsia="Calibri" w:hAnsi="Times New Roman" w:cs="Times New Roman"/>
          <w:sz w:val="24"/>
          <w:szCs w:val="24"/>
        </w:rPr>
        <w:t xml:space="preserve">domains have been </w:t>
      </w:r>
      <w:r w:rsidR="00B633BC" w:rsidRPr="00494D70">
        <w:rPr>
          <w:rFonts w:ascii="Times New Roman" w:eastAsia="Calibri" w:hAnsi="Times New Roman" w:cs="Times New Roman"/>
          <w:sz w:val="24"/>
          <w:szCs w:val="24"/>
        </w:rPr>
        <w:t xml:space="preserve">derived theoretically </w:t>
      </w:r>
      <w:r w:rsidR="00632E5C" w:rsidRPr="00494D70">
        <w:rPr>
          <w:rFonts w:ascii="Times New Roman" w:eastAsia="Calibri" w:hAnsi="Times New Roman" w:cs="Times New Roman"/>
          <w:sz w:val="24"/>
          <w:szCs w:val="24"/>
        </w:rPr>
        <w:t>and</w:t>
      </w:r>
      <w:r w:rsidR="00B633BC" w:rsidRPr="00494D70">
        <w:rPr>
          <w:rFonts w:ascii="Times New Roman" w:eastAsia="Calibri" w:hAnsi="Times New Roman" w:cs="Times New Roman"/>
          <w:sz w:val="24"/>
          <w:szCs w:val="24"/>
        </w:rPr>
        <w:t xml:space="preserve"> from </w:t>
      </w:r>
      <w:proofErr w:type="gramStart"/>
      <w:r w:rsidR="00B633BC" w:rsidRPr="00494D70">
        <w:rPr>
          <w:rFonts w:ascii="Times New Roman" w:eastAsia="Calibri" w:hAnsi="Times New Roman" w:cs="Times New Roman"/>
          <w:sz w:val="24"/>
          <w:szCs w:val="24"/>
        </w:rPr>
        <w:t>exploratory</w:t>
      </w:r>
      <w:proofErr w:type="gramEnd"/>
      <w:r w:rsidR="00B633BC" w:rsidRPr="00494D70">
        <w:rPr>
          <w:rFonts w:ascii="Times New Roman" w:eastAsia="Calibri" w:hAnsi="Times New Roman" w:cs="Times New Roman"/>
          <w:sz w:val="24"/>
          <w:szCs w:val="24"/>
        </w:rPr>
        <w:t xml:space="preserve"> factor analyses of survey measures. Initially</w:t>
      </w:r>
      <w:r w:rsidR="003B1A46" w:rsidRPr="00494D70">
        <w:rPr>
          <w:rFonts w:ascii="Times New Roman" w:eastAsia="Calibri" w:hAnsi="Times New Roman" w:cs="Times New Roman"/>
          <w:sz w:val="24"/>
          <w:szCs w:val="24"/>
        </w:rPr>
        <w:t>,</w:t>
      </w:r>
      <w:r w:rsidR="00B633BC" w:rsidRPr="00494D70">
        <w:rPr>
          <w:rFonts w:ascii="Times New Roman" w:eastAsia="Calibri" w:hAnsi="Times New Roman" w:cs="Times New Roman"/>
          <w:sz w:val="24"/>
          <w:szCs w:val="24"/>
        </w:rPr>
        <w:t xml:space="preserve"> </w:t>
      </w:r>
      <w:r w:rsidR="00F4760E" w:rsidRPr="00494D70">
        <w:rPr>
          <w:rFonts w:ascii="Times New Roman" w:eastAsia="Calibri" w:hAnsi="Times New Roman" w:cs="Times New Roman"/>
          <w:sz w:val="24"/>
          <w:szCs w:val="24"/>
        </w:rPr>
        <w:t>SA was thought to be best represented by only one</w:t>
      </w:r>
      <w:r w:rsidR="00B633BC" w:rsidRPr="00494D70">
        <w:rPr>
          <w:rFonts w:ascii="Times New Roman" w:eastAsia="Calibri" w:hAnsi="Times New Roman" w:cs="Times New Roman"/>
          <w:sz w:val="24"/>
          <w:szCs w:val="24"/>
        </w:rPr>
        <w:t xml:space="preserve"> latent </w:t>
      </w:r>
      <w:r w:rsidR="00F01CCC" w:rsidRPr="00494D70">
        <w:rPr>
          <w:rFonts w:ascii="Times New Roman" w:eastAsia="Calibri" w:hAnsi="Times New Roman" w:cs="Times New Roman"/>
          <w:sz w:val="24"/>
          <w:szCs w:val="24"/>
        </w:rPr>
        <w:t>factor</w:t>
      </w:r>
      <w:r w:rsidR="009D531C" w:rsidRPr="00494D70">
        <w:rPr>
          <w:rFonts w:ascii="Times New Roman" w:eastAsia="Calibri" w:hAnsi="Times New Roman" w:cs="Times New Roman"/>
          <w:sz w:val="24"/>
          <w:szCs w:val="24"/>
        </w:rPr>
        <w:t xml:space="preserve"> </w:t>
      </w:r>
      <w:r w:rsidR="00AE0851"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{"citationID":"R2hZ5Qk3","properties":{"formattedCitation":"(Hurlbert, 1991)","plainCitation":"(Hurlbert, 1991)","noteIndex":0},"citationItems":[{"id":3129,"uris":["http://zotero.org/users/7402913/items/ZKPGQM5M"],"itemData":{"id":3129,"type":"article-journal","abstract":"To examine the role of assertiveness in female sexuality, a nonclinical population of married women (ages 18–31 years) were stratified as above or below the median score (73) on sexual assertiveness, as measured by the Hurlbert Index of Sexual Assertiveness (HISA), and matched accordingly for demographics, resulting in two samples: sexually assertive and sexually nonassertive, each group consisting of 50 women. Comparative assessments were made between the two matched samples on frequency of sexual activity, number of orgasms, subjective sexual desire, and both marital and sexual satisfaction. The l-tesl was used to test the equality of means between samples. Pearson's π was used for correlational data. ANOVA methods were employed to examine race, religion, and employment status. Using t-test, significant differences between the two groups appeared on all five measures. Sexually assertive women reported higher frequencies of sexual activity and orgasms, rated themselves as having greater subjective sexual desire, and reported greater marital and sexual satisfaction.","container-title":"Journal of Sex &amp; Marital Therapy","DOI":"10.1080/00926239108404342","ISSN":"0092-623X","issue":"3","note":"publisher: Routledge\n_eprint: https://doi.org/10.1080/00926239108404342\nPMID: 1758001","page":"183-190","source":"Taylor and Francis+NEJM","title":"The role of assertiveness in female sexuality: A comparative study between sexually assertive and sexually nonassertive women","title-short":"The role of assertiveness in female sexuality","volume":"17","author":[{"family":"Hurlbert","given":"David   Farley"}],"issued":{"date-parts":[["1991",9,1]]}}}],"schema":"https://github.com/citation-style-language/schema/raw/master/csl-citation.json"} </w:instrText>
      </w:r>
      <w:r w:rsidR="00AE0851"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(Hurlbert, 1991)</w:t>
      </w:r>
      <w:r w:rsidR="00AE0851" w:rsidRPr="00494D70">
        <w:rPr>
          <w:rFonts w:ascii="Times New Roman" w:eastAsia="Calibri" w:hAnsi="Times New Roman" w:cs="Times New Roman"/>
          <w:sz w:val="24"/>
          <w:szCs w:val="24"/>
        </w:rPr>
        <w:fldChar w:fldCharType="end"/>
      </w:r>
      <w:r w:rsidR="00B633BC" w:rsidRPr="00494D70">
        <w:rPr>
          <w:rFonts w:ascii="Times New Roman" w:eastAsia="Calibri" w:hAnsi="Times New Roman" w:cs="Times New Roman"/>
          <w:sz w:val="24"/>
          <w:szCs w:val="24"/>
        </w:rPr>
        <w:t xml:space="preserve">, but </w:t>
      </w:r>
      <w:r w:rsidR="0006163F" w:rsidRPr="00494D70">
        <w:rPr>
          <w:rFonts w:ascii="Times New Roman" w:eastAsia="Calibri" w:hAnsi="Times New Roman" w:cs="Times New Roman"/>
          <w:sz w:val="24"/>
          <w:szCs w:val="24"/>
        </w:rPr>
        <w:t xml:space="preserve">over time </w:t>
      </w:r>
      <w:r w:rsidR="000A20DF" w:rsidRPr="00494D70">
        <w:rPr>
          <w:rFonts w:ascii="Times New Roman" w:eastAsia="Calibri" w:hAnsi="Times New Roman" w:cs="Times New Roman"/>
          <w:sz w:val="24"/>
          <w:szCs w:val="24"/>
        </w:rPr>
        <w:t>separate domains emerged</w:t>
      </w:r>
      <w:r w:rsidR="003B1A46" w:rsidRPr="00494D70">
        <w:rPr>
          <w:rFonts w:ascii="Times New Roman" w:eastAsia="Calibri" w:hAnsi="Times New Roman" w:cs="Times New Roman"/>
          <w:sz w:val="24"/>
          <w:szCs w:val="24"/>
        </w:rPr>
        <w:t xml:space="preserve"> (e.g.,</w:t>
      </w:r>
      <w:r w:rsidR="00F01E82" w:rsidRPr="00494D70">
        <w:rPr>
          <w:rFonts w:ascii="Times New Roman" w:eastAsia="Calibri" w:hAnsi="Times New Roman" w:cs="Times New Roman"/>
          <w:sz w:val="24"/>
          <w:szCs w:val="24"/>
        </w:rPr>
        <w:t xml:space="preserve"> </w:t>
      </w:r>
      <w:r w:rsidR="00CC60EF" w:rsidRPr="00494D70">
        <w:rPr>
          <w:rFonts w:ascii="Times New Roman" w:eastAsia="Calibri" w:hAnsi="Times New Roman" w:cs="Times New Roman"/>
          <w:sz w:val="24"/>
          <w:szCs w:val="24"/>
        </w:rPr>
        <w:t>initiation of sexual contact, refusal of unwanted sexual contact</w:t>
      </w:r>
      <w:r w:rsidR="003B1A46" w:rsidRPr="00494D70">
        <w:rPr>
          <w:rFonts w:ascii="Times New Roman" w:eastAsia="Calibri" w:hAnsi="Times New Roman" w:cs="Times New Roman"/>
          <w:sz w:val="24"/>
          <w:szCs w:val="24"/>
        </w:rPr>
        <w:t>)</w:t>
      </w:r>
      <w:r w:rsidR="00B633BC" w:rsidRPr="00494D70">
        <w:rPr>
          <w:rFonts w:ascii="Times New Roman" w:eastAsia="Calibri" w:hAnsi="Times New Roman" w:cs="Times New Roman"/>
          <w:sz w:val="24"/>
          <w:szCs w:val="24"/>
        </w:rPr>
        <w:t>.</w:t>
      </w:r>
      <w:r w:rsidR="00AF752D" w:rsidRPr="00494D70">
        <w:rPr>
          <w:rFonts w:ascii="Times New Roman" w:eastAsia="Calibri" w:hAnsi="Times New Roman" w:cs="Times New Roman"/>
          <w:sz w:val="24"/>
          <w:szCs w:val="24"/>
        </w:rPr>
        <w:t xml:space="preserve"> </w:t>
      </w:r>
      <w:r w:rsidR="009A4766" w:rsidRPr="00494D70">
        <w:rPr>
          <w:rFonts w:ascii="Times New Roman" w:eastAsia="Calibri" w:hAnsi="Times New Roman" w:cs="Times New Roman"/>
          <w:sz w:val="24"/>
          <w:szCs w:val="24"/>
        </w:rPr>
        <w:t>To date,</w:t>
      </w:r>
      <w:r w:rsidR="000207DC" w:rsidRPr="00494D70">
        <w:rPr>
          <w:rFonts w:ascii="Times New Roman" w:eastAsia="Calibri" w:hAnsi="Times New Roman" w:cs="Times New Roman"/>
          <w:sz w:val="24"/>
          <w:szCs w:val="24"/>
        </w:rPr>
        <w:t xml:space="preserve"> there is no unified theory on SA and the </w:t>
      </w:r>
      <w:r w:rsidR="009A4766" w:rsidRPr="00494D70">
        <w:rPr>
          <w:rFonts w:ascii="Times New Roman" w:eastAsia="Calibri" w:hAnsi="Times New Roman" w:cs="Times New Roman"/>
          <w:sz w:val="24"/>
          <w:szCs w:val="24"/>
        </w:rPr>
        <w:t>presumed</w:t>
      </w:r>
      <w:r w:rsidR="0078563B" w:rsidRPr="00494D70">
        <w:rPr>
          <w:rFonts w:ascii="Times New Roman" w:eastAsia="Calibri" w:hAnsi="Times New Roman" w:cs="Times New Roman"/>
          <w:sz w:val="24"/>
          <w:szCs w:val="24"/>
        </w:rPr>
        <w:t xml:space="preserve"> attitudinal and behavioral domains </w:t>
      </w:r>
      <w:r w:rsidR="00A121C1" w:rsidRPr="00494D70">
        <w:rPr>
          <w:rFonts w:ascii="Times New Roman" w:eastAsia="Calibri" w:hAnsi="Times New Roman" w:cs="Times New Roman"/>
          <w:sz w:val="24"/>
          <w:szCs w:val="24"/>
        </w:rPr>
        <w:t xml:space="preserve">included in the construct </w:t>
      </w:r>
      <w:r w:rsidR="0078563B" w:rsidRPr="00494D70">
        <w:rPr>
          <w:rFonts w:ascii="Times New Roman" w:eastAsia="Calibri" w:hAnsi="Times New Roman" w:cs="Times New Roman"/>
          <w:sz w:val="24"/>
          <w:szCs w:val="24"/>
        </w:rPr>
        <w:t xml:space="preserve">vary across </w:t>
      </w:r>
      <w:r w:rsidR="00AA0F8B" w:rsidRPr="00494D70">
        <w:rPr>
          <w:rFonts w:ascii="Times New Roman" w:eastAsia="Calibri" w:hAnsi="Times New Roman" w:cs="Times New Roman"/>
          <w:sz w:val="24"/>
          <w:szCs w:val="24"/>
        </w:rPr>
        <w:t>studies and measurements</w:t>
      </w:r>
      <w:r w:rsidR="00975F0C" w:rsidRPr="00494D70">
        <w:rPr>
          <w:rFonts w:ascii="Times New Roman" w:eastAsia="Calibri" w:hAnsi="Times New Roman" w:cs="Times New Roman"/>
          <w:sz w:val="24"/>
          <w:szCs w:val="24"/>
        </w:rPr>
        <w:t xml:space="preserve">, although </w:t>
      </w:r>
      <w:r w:rsidR="00A571CB" w:rsidRPr="00494D70">
        <w:rPr>
          <w:rFonts w:ascii="Times New Roman" w:eastAsia="Calibri" w:hAnsi="Times New Roman" w:cs="Times New Roman"/>
          <w:sz w:val="24"/>
          <w:szCs w:val="24"/>
        </w:rPr>
        <w:t>sexual initiation, refusal</w:t>
      </w:r>
      <w:r w:rsidR="00AA6F93" w:rsidRPr="00494D70">
        <w:rPr>
          <w:rFonts w:ascii="Times New Roman" w:eastAsia="Calibri" w:hAnsi="Times New Roman" w:cs="Times New Roman"/>
          <w:sz w:val="24"/>
          <w:szCs w:val="24"/>
        </w:rPr>
        <w:t>,</w:t>
      </w:r>
      <w:r w:rsidR="00A571CB" w:rsidRPr="00494D70">
        <w:rPr>
          <w:rFonts w:ascii="Times New Roman" w:eastAsia="Calibri" w:hAnsi="Times New Roman" w:cs="Times New Roman"/>
          <w:sz w:val="24"/>
          <w:szCs w:val="24"/>
        </w:rPr>
        <w:t xml:space="preserve"> and safer sex negotiation </w:t>
      </w:r>
      <w:r w:rsidR="003D6E33" w:rsidRPr="00494D70">
        <w:rPr>
          <w:rFonts w:ascii="Times New Roman" w:eastAsia="Calibri" w:hAnsi="Times New Roman" w:cs="Times New Roman"/>
          <w:sz w:val="24"/>
          <w:szCs w:val="24"/>
        </w:rPr>
        <w:t xml:space="preserve">can be considered </w:t>
      </w:r>
      <w:r w:rsidR="002A6F47" w:rsidRPr="00494D70">
        <w:rPr>
          <w:rFonts w:ascii="Times New Roman" w:eastAsia="Calibri" w:hAnsi="Times New Roman" w:cs="Times New Roman"/>
          <w:sz w:val="24"/>
          <w:szCs w:val="24"/>
        </w:rPr>
        <w:t xml:space="preserve">recurring </w:t>
      </w:r>
      <w:r w:rsidR="003D6E33" w:rsidRPr="00494D70">
        <w:rPr>
          <w:rFonts w:ascii="Times New Roman" w:eastAsia="Calibri" w:hAnsi="Times New Roman" w:cs="Times New Roman"/>
          <w:sz w:val="24"/>
          <w:szCs w:val="24"/>
        </w:rPr>
        <w:t>key elements</w:t>
      </w:r>
      <w:r w:rsidR="00841A67" w:rsidRPr="00494D70">
        <w:rPr>
          <w:rFonts w:ascii="Times New Roman" w:eastAsia="Calibri" w:hAnsi="Times New Roman" w:cs="Times New Roman"/>
          <w:sz w:val="24"/>
          <w:szCs w:val="24"/>
        </w:rPr>
        <w:t xml:space="preserve"> </w:t>
      </w:r>
      <w:r w:rsidR="00841A67"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{"citationID":"CvojqoLy","properties":{"formattedCitation":"(Couture et al., 2022; Loshek &amp; Terrell, 2015; Morokoff et al., 1997; Quina et al., 2000; Santos-Iglesias &amp; Carlos Sierra, 2010)","plainCitation":"(Couture et al., 2022; Loshek &amp; Terrell, 2015; Morokoff et al., 1997; Quina et al., 2000; Santos-Iglesias &amp; Carlos Sierra, 2010)","noteIndex":0},"citationItems":[{"id":4942,"uris":["http://zotero.org/users/7402913/items/FXN44I6D"],"itemData":{"id":4942,"type":"article-journal","abstract":"Lay summary This study presents the validation of a questionnaire measuring sexual assertiveness - the ability to recognize, prioritize, and express one's own sexual limits, needs, and desires. Findings support the validity of the questionnaire to measure sexual assertiveness with adolescents in research settings and in the evaluation of sex education interventions.\nSexual assertiveness is a key variable in the development of satisfying and violence-free intimate relationships, yet no specific measure has been validated to assess sexual assertiveness in adolescents. This study aimed to validate the Hurlbert Index of Sexual Assertiveness in a sample of French-speaking adolescents. Analyses were conducted on self-reported questionnaires from two subsamples comprising a total of 1,292 girls aged 14-19 years (M-age = 16.76 years, SD = 1.42). Exploratory structural equation modeling revealed that a five-factor structure was optimal for capturing the following underlying constructs of sexual assertiveness: 1) Sexual needs and desires communication, 2) Refusal of unwanted sex, 3) Sexual intimacy initiation, 4) Comfort talking about sex, and 5) Taking charge of one's own sexual pleasure. After item reduction, factors showed moderate to high reliability (alpha = 0.59-0.87). Confirmatory factor analyses were conducted to cross-validate the five-factor structure among the second subsample (alpha = 0.63-0.87). Results support evidence of convergent validity with related measures. Validation of this adaptation of the Hurlbert Index of Sexual Assertiveness will help scholars further study sexual assertiveness in adolescents. In addition, the measure could serve as an indicator of change in the evaluation of evidence-based interventions.","archive_location":"WOS:000794263200001","container-title":"Sexual and Relationship Therapy","DOI":"10.1080/14681994.2022.2067981","ISSN":"1468-1994","language":"English","title":"Validation of a French-Canadian adaptation of the Hurlbert Index of Sexual Assertiveness for adolescents","author":[{"family":"Couture","given":"S"},{"family":"Hebert","given":"M"},{"family":"Fernet","given":"M"}],"issued":{"date-parts":[["2022"]]}}},{"id":3118,"uris":["http://zotero.org/users/7402913/items/CJJXYKMQ"],"itemData":{"id":3118,"type":"article-journal","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discussed.","container-title":"Journal of Sex Research","DOI":"10.1080/00224499.2014.944970","ISSN":"1559-8519","issue":"9","journalAbbreviation":"J Sex Res","language":"eng","note":"PMID: 25211014","page":"1017-1027","source":"PubMed","title":"The Development of the Sexual Assertiveness Questionnaire (SAQ): A Comprehensive Measure of Sexual Assertiveness for Women","title-short":"The Development of the Sexual Assertiveness Questionnaire (SAQ)","volume":"52","author":[{"family":"Loshek","given":"Eevett"},{"family":"Terrell","given":"Heather K."}],"issued":{"date-parts":[["2015"]]}}},{"id":3131,"uris":["http://zotero.org/users/7402913/items/XKGV3393"],"itemData":{"id":3131,"type":"article-journal","abstract":"Four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 (PsycINFO Database Record (c) 2019 APA, all rights reserved)","container-title":"Journal of Personality and Social Psychology","DOI":"10.1037/0022-3514.73.4.790","ISSN":"1939-1315","issue":"4","note":"publisher-place: US\npublisher: American Psychological Association","page":"790-804","source":"APA PsycNet","title":"Sexual Assertiveness Scale (SAS) for women: Development and validation","title-short":"Sexual Assertiveness Scale (SAS) for women","volume":"73","author":[{"family":"Morokoff","given":"Patricia J."},{"family":"Quina","given":"Kathryn"},{"family":"Harlow","given":"Lisa L."},{"family":"Whitmire","given":"Laura"},{"family":"Grimley","given":"Diane M."},{"family":"Gibson","given":"Pamela R."},{"family":"Burkholder","given":"Gary J."}],"issued":{"date-parts":[["1997"]]}}},{"id":3133,"uris":["http://zotero.org/users/7402913/items/P9YP6WL4"],"itemData":{"id":3133,"type":"article-journal","abstract":"Examined sexual communication as it relates to HIV risk reduction in interpersonal relationships among females with heterosexual HIV risk factors. 816 females (mean age 30.4 yrs) who had 2 or more sex partners, an injection drug-using sex partner, or a sex partner who had other sex partners completed questionnaires assessing assertive communication with a sex partner, HIV risk, demographic information, sexual history, negative interpersonal experiences, and cognitions and attitudes. Results show that Ss with a known partner HIV risk responded more negatively on most measures. Communication was found to be part of an overall cognitive–attitudinal approach to HIV risk, although specific predictors differed by type of communication and partner risk level. (PsycINFO Database Record (c) 2019 APA, all rights reserved)","container-title":"Sex Roles: A Journal of Research","DOI":"10.1023/A:1007043205155","ISSN":"1573-2762","issue":"7-8","note":"publisher-place: Germany\npublisher: Springer","page":"523-549","source":"APA PsycNet","title":"Sexual communication in relationships: When words speak louder than actions","title-short":"Sexual communication in relationships","volume":"42","author":[{"family":"Quina","given":"Kathryn"},{"family":"Harlow","given":"Lisa L."},{"family":"Morokoff","given":"Patricia J."},{"family":"Burkholder","given":"Gary"},{"family":"Deiter","given":"Pamela J."}],"issued":{"date-parts":[["2000"]]}}},{"id":3282,"uris":["http://zotero.org/users/7402913/items/P7SIQ2MB"],"itemData":{"id":3282,"type":"article-journal","abstract":"The study analyzed psychometric properties of a Spanish version of the Hurlbert Index of Sexual Assertiveness in a Spanish sample of 400 men and 453 women who had had a partner for the last 6 mo. or longer at the time of the study. Exploratory and confirmatory factor analyses suggested a two-factor solution with the factors Initiation and No shyness/Refusal. Internal consistency values for total scores were .87 and .83 for the factors, respectively. Convergent validity tests were also satisfactory. It is therefore reasonable to conclude that the Spanish version of the scale has appropriate psychometric properties.","container-title":"Psychological Reports","DOI":"10.2466/02.03.07.17.21.PR0.107.4.39-57","ISSN":"0033-2941","issue":"1","language":"English","page":"39-57","title":"Hurlbert Index of Sexual Assertiveness: A Study of Psychometric Properties in a Spanish Sample","volume":"107","author":[{"family":"Santos-Iglesias","given":"Pablo"},{"family":"Carlos Sierra","given":"Juan"}],"issued":{"date-parts":[["2010"]]}}}],"schema":"https://github.com/citation-style-language/schema/raw/master/csl-citation.json"} </w:instrText>
      </w:r>
      <w:r w:rsidR="00841A67" w:rsidRPr="00494D70">
        <w:rPr>
          <w:rFonts w:ascii="Times New Roman" w:eastAsia="Calibri" w:hAnsi="Times New Roman" w:cs="Times New Roman"/>
          <w:sz w:val="24"/>
          <w:szCs w:val="24"/>
        </w:rPr>
        <w:fldChar w:fldCharType="separate"/>
      </w:r>
      <w:r w:rsidR="00841A67" w:rsidRPr="00494D70">
        <w:rPr>
          <w:rFonts w:ascii="Times New Roman" w:hAnsi="Times New Roman" w:cs="Times New Roman"/>
          <w:sz w:val="24"/>
        </w:rPr>
        <w:t xml:space="preserve">(Couture et al., 2022; Loshek &amp; Terrell, 2015; Morokoff et </w:t>
      </w:r>
      <w:r w:rsidR="00841A67" w:rsidRPr="00494D70">
        <w:rPr>
          <w:rFonts w:ascii="Times New Roman" w:hAnsi="Times New Roman" w:cs="Times New Roman"/>
          <w:sz w:val="24"/>
        </w:rPr>
        <w:lastRenderedPageBreak/>
        <w:t>al., 1997; Quina et al., 2000; Santos-Iglesias &amp; Carlos Sierra, 2010)</w:t>
      </w:r>
      <w:r w:rsidR="00841A67" w:rsidRPr="00494D70">
        <w:rPr>
          <w:rFonts w:ascii="Times New Roman" w:eastAsia="Calibri" w:hAnsi="Times New Roman" w:cs="Times New Roman"/>
          <w:sz w:val="24"/>
          <w:szCs w:val="24"/>
        </w:rPr>
        <w:fldChar w:fldCharType="end"/>
      </w:r>
      <w:r w:rsidR="00235FF9" w:rsidRPr="00494D70">
        <w:rPr>
          <w:rFonts w:ascii="Times New Roman" w:eastAsia="Calibri" w:hAnsi="Times New Roman" w:cs="Times New Roman"/>
          <w:sz w:val="24"/>
          <w:szCs w:val="24"/>
        </w:rPr>
        <w:t xml:space="preserve">. </w:t>
      </w:r>
      <w:r w:rsidR="00B633BC" w:rsidRPr="00494D70">
        <w:rPr>
          <w:rFonts w:ascii="Times New Roman" w:eastAsia="Calibri" w:hAnsi="Times New Roman" w:cs="Times New Roman"/>
          <w:sz w:val="24"/>
          <w:szCs w:val="24"/>
        </w:rPr>
        <w:t xml:space="preserve">The correlations between </w:t>
      </w:r>
      <w:r w:rsidR="003B1A46" w:rsidRPr="00494D70">
        <w:rPr>
          <w:rFonts w:ascii="Times New Roman" w:eastAsia="Calibri" w:hAnsi="Times New Roman" w:cs="Times New Roman"/>
          <w:sz w:val="24"/>
          <w:szCs w:val="24"/>
        </w:rPr>
        <w:t>the</w:t>
      </w:r>
      <w:r w:rsidR="002A6F47" w:rsidRPr="00494D70">
        <w:rPr>
          <w:rFonts w:ascii="Times New Roman" w:eastAsia="Calibri" w:hAnsi="Times New Roman" w:cs="Times New Roman"/>
          <w:sz w:val="24"/>
          <w:szCs w:val="24"/>
        </w:rPr>
        <w:t>se</w:t>
      </w:r>
      <w:r w:rsidR="003B1A46" w:rsidRPr="00494D70">
        <w:rPr>
          <w:rFonts w:ascii="Times New Roman" w:eastAsia="Calibri" w:hAnsi="Times New Roman" w:cs="Times New Roman"/>
          <w:sz w:val="24"/>
          <w:szCs w:val="24"/>
        </w:rPr>
        <w:t xml:space="preserve"> </w:t>
      </w:r>
      <w:r w:rsidR="00B633BC" w:rsidRPr="00494D70">
        <w:rPr>
          <w:rFonts w:ascii="Times New Roman" w:eastAsia="Calibri" w:hAnsi="Times New Roman" w:cs="Times New Roman"/>
          <w:sz w:val="24"/>
          <w:szCs w:val="24"/>
        </w:rPr>
        <w:t xml:space="preserve">domains </w:t>
      </w:r>
      <w:r w:rsidR="003B1A46" w:rsidRPr="00494D70">
        <w:rPr>
          <w:rFonts w:ascii="Times New Roman" w:eastAsia="Calibri" w:hAnsi="Times New Roman" w:cs="Times New Roman"/>
          <w:sz w:val="24"/>
          <w:szCs w:val="24"/>
        </w:rPr>
        <w:t>vary in effect size, suggesting that although the domains of SA are associated with each other, they assess different aspect</w:t>
      </w:r>
      <w:r w:rsidR="005D44F3" w:rsidRPr="00494D70">
        <w:rPr>
          <w:rFonts w:ascii="Times New Roman" w:eastAsia="Calibri" w:hAnsi="Times New Roman" w:cs="Times New Roman"/>
          <w:sz w:val="24"/>
          <w:szCs w:val="24"/>
        </w:rPr>
        <w:t>s</w:t>
      </w:r>
      <w:r w:rsidR="003B1A46" w:rsidRPr="00494D70">
        <w:rPr>
          <w:rFonts w:ascii="Times New Roman" w:eastAsia="Calibri" w:hAnsi="Times New Roman" w:cs="Times New Roman"/>
          <w:sz w:val="24"/>
          <w:szCs w:val="24"/>
        </w:rPr>
        <w:t xml:space="preserve"> of SA</w:t>
      </w:r>
      <w:r w:rsidR="0006163F" w:rsidRPr="00494D70">
        <w:rPr>
          <w:rFonts w:ascii="Times New Roman" w:eastAsia="Calibri" w:hAnsi="Times New Roman" w:cs="Times New Roman"/>
          <w:sz w:val="24"/>
          <w:szCs w:val="24"/>
        </w:rPr>
        <w:t>,</w:t>
      </w:r>
      <w:r w:rsidR="003B1A46" w:rsidRPr="00494D70">
        <w:rPr>
          <w:rFonts w:ascii="Times New Roman" w:eastAsia="Calibri" w:hAnsi="Times New Roman" w:cs="Times New Roman"/>
          <w:sz w:val="24"/>
          <w:szCs w:val="24"/>
        </w:rPr>
        <w:t xml:space="preserve"> and individuals may report </w:t>
      </w:r>
      <w:r w:rsidR="00A05468" w:rsidRPr="00494D70">
        <w:rPr>
          <w:rFonts w:ascii="Times New Roman" w:eastAsia="Calibri" w:hAnsi="Times New Roman" w:cs="Times New Roman"/>
          <w:sz w:val="24"/>
          <w:szCs w:val="24"/>
        </w:rPr>
        <w:t xml:space="preserve">varying </w:t>
      </w:r>
      <w:r w:rsidR="003B1A46" w:rsidRPr="00494D70">
        <w:rPr>
          <w:rFonts w:ascii="Times New Roman" w:eastAsia="Calibri" w:hAnsi="Times New Roman" w:cs="Times New Roman"/>
          <w:sz w:val="24"/>
          <w:szCs w:val="24"/>
        </w:rPr>
        <w:t>levels o</w:t>
      </w:r>
      <w:r w:rsidR="00E52C45" w:rsidRPr="00494D70">
        <w:rPr>
          <w:rFonts w:ascii="Times New Roman" w:eastAsia="Calibri" w:hAnsi="Times New Roman" w:cs="Times New Roman"/>
          <w:sz w:val="24"/>
          <w:szCs w:val="24"/>
        </w:rPr>
        <w:t>n</w:t>
      </w:r>
      <w:r w:rsidR="003B1A46" w:rsidRPr="00494D70">
        <w:rPr>
          <w:rFonts w:ascii="Times New Roman" w:eastAsia="Calibri" w:hAnsi="Times New Roman" w:cs="Times New Roman"/>
          <w:sz w:val="24"/>
          <w:szCs w:val="24"/>
        </w:rPr>
        <w:t xml:space="preserve"> </w:t>
      </w:r>
      <w:r w:rsidR="0058435B" w:rsidRPr="00494D70">
        <w:rPr>
          <w:rFonts w:ascii="Times New Roman" w:eastAsia="Calibri" w:hAnsi="Times New Roman" w:cs="Times New Roman"/>
          <w:sz w:val="24"/>
          <w:szCs w:val="24"/>
        </w:rPr>
        <w:t xml:space="preserve">each </w:t>
      </w:r>
      <w:r w:rsidR="00A05468" w:rsidRPr="00494D70">
        <w:rPr>
          <w:rFonts w:ascii="Times New Roman" w:eastAsia="Calibri" w:hAnsi="Times New Roman" w:cs="Times New Roman"/>
          <w:sz w:val="24"/>
          <w:szCs w:val="24"/>
        </w:rPr>
        <w:t>domain</w:t>
      </w:r>
      <w:r w:rsidR="0012157E" w:rsidRPr="00494D70">
        <w:rPr>
          <w:rFonts w:ascii="Times New Roman" w:eastAsia="Calibri" w:hAnsi="Times New Roman" w:cs="Times New Roman"/>
          <w:sz w:val="24"/>
          <w:szCs w:val="24"/>
        </w:rPr>
        <w:t xml:space="preserve"> </w:t>
      </w:r>
      <w:r w:rsidR="00B633BC"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{"citationID":"lRrJao8j","properties":{"formattedCitation":"(Santos-Iglesias et al., 2013)","plainCitation":"(Santos-Iglesias et al., 2013)","noteIndex":0},"citationItems":[{"id":3134,"uris":["http://zotero.org/users/7402913/items/UGP5IUFY"],"itemData":{"id":3134,"type":"article-journal","abstract":"This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skills.","container-title":"Archives of Sexual Behavior","DOI":"10.1007/s10508-012-9998-3","ISSN":"1573-2800","issue":"6","journalAbbreviation":"Arch Sex Behav","language":"en","page":"1043-1052","source":"Springer Link","title":"Predictors of Sexual Assertiveness: The Role of Sexual Desire, Arousal, Attitudes, and Partner Abuse","title-short":"Predictors of Sexual Assertiveness","volume":"42","author":[{"family":"Santos-Iglesias","given":"Pablo"},{"family":"Sierra","given":"Juan Carlos"},{"family":"Vallejo-Medina","given":"Pablo"}],"issued":{"date-parts":[["2013",8,1]]}}}],"schema":"https://github.com/citation-style-language/schema/raw/master/csl-citation.json"} </w:instrText>
      </w:r>
      <w:r w:rsidR="00B633BC"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(Santos-Iglesias et al., 2013)</w:t>
      </w:r>
      <w:r w:rsidR="00B633BC" w:rsidRPr="00494D70">
        <w:rPr>
          <w:rFonts w:ascii="Times New Roman" w:eastAsia="Calibri" w:hAnsi="Times New Roman" w:cs="Times New Roman"/>
          <w:sz w:val="24"/>
          <w:szCs w:val="24"/>
        </w:rPr>
        <w:fldChar w:fldCharType="end"/>
      </w:r>
      <w:r w:rsidR="00B633BC" w:rsidRPr="00494D70">
        <w:rPr>
          <w:rFonts w:ascii="Times New Roman" w:eastAsia="Calibri" w:hAnsi="Times New Roman" w:cs="Times New Roman"/>
          <w:sz w:val="24"/>
          <w:szCs w:val="24"/>
        </w:rPr>
        <w:t>.</w:t>
      </w:r>
    </w:p>
    <w:p w14:paraId="61C86853" w14:textId="3ED0449F" w:rsidR="00984E46" w:rsidRPr="00494D70" w:rsidRDefault="001537AE" w:rsidP="005572B4">
      <w:pPr>
        <w:spacing w:after="0" w:line="480" w:lineRule="auto"/>
        <w:ind w:firstLine="567"/>
        <w:rPr>
          <w:rFonts w:ascii="Times New Roman" w:eastAsia="Calibri" w:hAnsi="Times New Roman" w:cs="Times New Roman"/>
          <w:sz w:val="24"/>
          <w:szCs w:val="24"/>
        </w:rPr>
      </w:pPr>
      <w:r w:rsidRPr="00494D70">
        <w:rPr>
          <w:rFonts w:ascii="Times New Roman" w:eastAsia="Calibri" w:hAnsi="Times New Roman" w:cs="Times New Roman"/>
          <w:sz w:val="24"/>
          <w:szCs w:val="24"/>
        </w:rPr>
        <w:t>M</w:t>
      </w:r>
      <w:r w:rsidR="00B633BC" w:rsidRPr="00494D70">
        <w:rPr>
          <w:rFonts w:ascii="Times New Roman" w:eastAsia="Calibri" w:hAnsi="Times New Roman" w:cs="Times New Roman"/>
          <w:sz w:val="24"/>
          <w:szCs w:val="24"/>
        </w:rPr>
        <w:t xml:space="preserve">ultiple questionnaires </w:t>
      </w:r>
      <w:r w:rsidR="009C36C5" w:rsidRPr="00494D70">
        <w:rPr>
          <w:rFonts w:ascii="Times New Roman" w:eastAsia="Calibri" w:hAnsi="Times New Roman" w:cs="Times New Roman"/>
          <w:sz w:val="24"/>
          <w:szCs w:val="24"/>
        </w:rPr>
        <w:t>hav</w:t>
      </w:r>
      <w:r w:rsidRPr="00494D70">
        <w:rPr>
          <w:rFonts w:ascii="Times New Roman" w:eastAsia="Calibri" w:hAnsi="Times New Roman" w:cs="Times New Roman"/>
          <w:sz w:val="24"/>
          <w:szCs w:val="24"/>
        </w:rPr>
        <w:t>e</w:t>
      </w:r>
      <w:r w:rsidR="009C36C5" w:rsidRPr="00494D70">
        <w:rPr>
          <w:rFonts w:ascii="Times New Roman" w:eastAsia="Calibri" w:hAnsi="Times New Roman" w:cs="Times New Roman"/>
          <w:sz w:val="24"/>
          <w:szCs w:val="24"/>
        </w:rPr>
        <w:t xml:space="preserve"> been </w:t>
      </w:r>
      <w:r w:rsidR="00A21B45" w:rsidRPr="00494D70">
        <w:rPr>
          <w:rFonts w:ascii="Times New Roman" w:eastAsia="Calibri" w:hAnsi="Times New Roman" w:cs="Times New Roman"/>
          <w:sz w:val="24"/>
          <w:szCs w:val="24"/>
        </w:rPr>
        <w:t xml:space="preserve">developed </w:t>
      </w:r>
      <w:r w:rsidR="009C36C5" w:rsidRPr="00494D70">
        <w:rPr>
          <w:rFonts w:ascii="Times New Roman" w:eastAsia="Calibri" w:hAnsi="Times New Roman" w:cs="Times New Roman"/>
          <w:sz w:val="24"/>
          <w:szCs w:val="24"/>
        </w:rPr>
        <w:t>to assess SA</w:t>
      </w:r>
      <w:r w:rsidR="009644E6" w:rsidRPr="00494D70">
        <w:rPr>
          <w:rFonts w:ascii="Times New Roman" w:eastAsia="Calibri" w:hAnsi="Times New Roman" w:cs="Times New Roman"/>
          <w:sz w:val="24"/>
          <w:szCs w:val="24"/>
        </w:rPr>
        <w:t xml:space="preserve">, although </w:t>
      </w:r>
      <w:r w:rsidRPr="00494D70">
        <w:rPr>
          <w:rFonts w:ascii="Times New Roman" w:eastAsia="Calibri" w:hAnsi="Times New Roman" w:cs="Times New Roman"/>
          <w:sz w:val="24"/>
          <w:szCs w:val="24"/>
        </w:rPr>
        <w:t xml:space="preserve">important questions remain regarding their validity with </w:t>
      </w:r>
      <w:r w:rsidR="008C3098" w:rsidRPr="00494D70">
        <w:rPr>
          <w:rFonts w:ascii="Times New Roman" w:eastAsia="Calibri" w:hAnsi="Times New Roman" w:cs="Times New Roman"/>
          <w:sz w:val="24"/>
          <w:szCs w:val="24"/>
        </w:rPr>
        <w:t>diverse groups</w:t>
      </w:r>
      <w:r w:rsidR="00B633BC" w:rsidRPr="00494D70">
        <w:rPr>
          <w:rFonts w:ascii="Times New Roman" w:eastAsia="Calibri" w:hAnsi="Times New Roman" w:cs="Times New Roman"/>
          <w:sz w:val="24"/>
          <w:szCs w:val="24"/>
        </w:rPr>
        <w:t xml:space="preserve">. </w:t>
      </w:r>
      <w:r w:rsidR="0006071B" w:rsidRPr="00494D70">
        <w:rPr>
          <w:rFonts w:ascii="Times New Roman" w:eastAsia="Calibri" w:hAnsi="Times New Roman" w:cs="Times New Roman"/>
          <w:sz w:val="24"/>
          <w:szCs w:val="24"/>
        </w:rPr>
        <w:t>The psychometric properties of s</w:t>
      </w:r>
      <w:r w:rsidR="003437AC" w:rsidRPr="00494D70">
        <w:rPr>
          <w:rFonts w:ascii="Times New Roman" w:eastAsia="Calibri" w:hAnsi="Times New Roman" w:cs="Times New Roman"/>
          <w:sz w:val="24"/>
          <w:szCs w:val="24"/>
        </w:rPr>
        <w:t>ome questionnaires</w:t>
      </w:r>
      <w:r w:rsidR="005700A1" w:rsidRPr="00494D70">
        <w:rPr>
          <w:rFonts w:ascii="Times New Roman" w:eastAsia="Calibri" w:hAnsi="Times New Roman" w:cs="Times New Roman"/>
          <w:sz w:val="24"/>
          <w:szCs w:val="24"/>
        </w:rPr>
        <w:t xml:space="preserve">, like the </w:t>
      </w:r>
      <w:r w:rsidR="005700A1" w:rsidRPr="00494D70">
        <w:rPr>
          <w:rFonts w:ascii="Times New Roman" w:eastAsia="Calibri" w:hAnsi="Times New Roman" w:cs="Times New Roman"/>
          <w:i/>
          <w:iCs/>
          <w:sz w:val="24"/>
          <w:szCs w:val="24"/>
        </w:rPr>
        <w:t>Hurlbert Index of Sexual Assertiveness</w:t>
      </w:r>
      <w:r w:rsidR="00AA6F93" w:rsidRPr="00494D70">
        <w:rPr>
          <w:rFonts w:ascii="Times New Roman" w:eastAsia="Calibri" w:hAnsi="Times New Roman" w:cs="Times New Roman"/>
          <w:i/>
          <w:iCs/>
          <w:sz w:val="24"/>
          <w:szCs w:val="24"/>
        </w:rPr>
        <w:t xml:space="preserve"> (HISA)</w:t>
      </w:r>
      <w:r w:rsidR="005700A1" w:rsidRPr="00494D70">
        <w:rPr>
          <w:rFonts w:ascii="Times New Roman" w:eastAsia="Calibri" w:hAnsi="Times New Roman" w:cs="Times New Roman"/>
          <w:sz w:val="24"/>
          <w:szCs w:val="24"/>
        </w:rPr>
        <w:t xml:space="preserve"> </w:t>
      </w:r>
      <w:r w:rsidR="005700A1"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{"citationID":"a84YJM7w","properties":{"formattedCitation":"(Hurlbert, 1991)","plainCitation":"(Hurlbert, 1991)","noteIndex":0},"citationItems":[{"id":3129,"uris":["http://zotero.org/users/7402913/items/ZKPGQM5M"],"itemData":{"id":3129,"type":"article-journal","abstract":"To examine the role of assertiveness in female sexuality, a nonclinical population of married women (ages 18–31 years) were stratified as above or below the median score (73) on sexual assertiveness, as measured by the Hurlbert Index of Sexual Assertiveness (HISA), and matched accordingly for demographics, resulting in two samples: sexually assertive and sexually nonassertive, each group consisting of 50 women. Comparative assessments were made between the two matched samples on frequency of sexual activity, number of orgasms, subjective sexual desire, and both marital and sexual satisfaction. The l-tesl was used to test the equality of means between samples. Pearson's π was used for correlational data. ANOVA methods were employed to examine race, religion, and employment status. Using t-test, significant differences between the two groups appeared on all five measures. Sexually assertive women reported higher frequencies of sexual activity and orgasms, rated themselves as having greater subjective sexual desire, and reported greater marital and sexual satisfaction.","container-title":"Journal of Sex &amp; Marital Therapy","DOI":"10.1080/00926239108404342","ISSN":"0092-623X","issue":"3","note":"publisher: Routledge\n_eprint: https://doi.org/10.1080/00926239108404342\nPMID: 1758001","page":"183-190","source":"Taylor and Francis+NEJM","title":"The role of assertiveness in female sexuality: A comparative study between sexually assertive and sexually nonassertive women","title-short":"The role of assertiveness in female sexuality","volume":"17","author":[{"family":"Hurlbert","given":"David   Farley"}],"issued":{"date-parts":[["1991",9,1]]}}}],"schema":"https://github.com/citation-style-language/schema/raw/master/csl-citation.json"} </w:instrText>
      </w:r>
      <w:r w:rsidR="005700A1"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(Hurlbert, 1991)</w:t>
      </w:r>
      <w:r w:rsidR="005700A1" w:rsidRPr="00494D70">
        <w:rPr>
          <w:rFonts w:ascii="Times New Roman" w:eastAsia="Calibri" w:hAnsi="Times New Roman" w:cs="Times New Roman"/>
          <w:sz w:val="24"/>
          <w:szCs w:val="24"/>
        </w:rPr>
        <w:fldChar w:fldCharType="end"/>
      </w:r>
      <w:r w:rsidR="005700A1" w:rsidRPr="00494D70">
        <w:rPr>
          <w:rFonts w:ascii="Times New Roman" w:eastAsia="Calibri" w:hAnsi="Times New Roman" w:cs="Times New Roman"/>
          <w:sz w:val="24"/>
          <w:szCs w:val="24"/>
        </w:rPr>
        <w:t xml:space="preserve"> or the </w:t>
      </w:r>
      <w:r w:rsidR="005700A1" w:rsidRPr="00494D70">
        <w:rPr>
          <w:rFonts w:ascii="Times New Roman" w:eastAsia="Calibri" w:hAnsi="Times New Roman" w:cs="Times New Roman"/>
          <w:i/>
          <w:iCs/>
          <w:sz w:val="24"/>
          <w:szCs w:val="24"/>
        </w:rPr>
        <w:t>Sexual Assertiveness Scale</w:t>
      </w:r>
      <w:r w:rsidR="00AA6F93" w:rsidRPr="00494D70">
        <w:rPr>
          <w:rFonts w:ascii="Times New Roman" w:eastAsia="Calibri" w:hAnsi="Times New Roman" w:cs="Times New Roman"/>
          <w:i/>
          <w:iCs/>
          <w:sz w:val="24"/>
          <w:szCs w:val="24"/>
        </w:rPr>
        <w:t xml:space="preserve"> (SAS)</w:t>
      </w:r>
      <w:r w:rsidR="005700A1" w:rsidRPr="00494D70">
        <w:rPr>
          <w:rFonts w:ascii="Times New Roman" w:eastAsia="Calibri" w:hAnsi="Times New Roman" w:cs="Times New Roman"/>
          <w:sz w:val="24"/>
          <w:szCs w:val="24"/>
        </w:rPr>
        <w:t xml:space="preserve"> </w:t>
      </w:r>
      <w:r w:rsidR="005700A1" w:rsidRPr="00494D70">
        <w:rPr>
          <w:rFonts w:ascii="Times New Roman" w:eastAsia="Calibri" w:hAnsi="Times New Roman" w:cs="Times New Roman"/>
          <w:sz w:val="24"/>
          <w:szCs w:val="24"/>
        </w:rPr>
        <w:fldChar w:fldCharType="begin"/>
      </w:r>
      <w:r w:rsidR="005700A1" w:rsidRPr="00494D70">
        <w:rPr>
          <w:rFonts w:ascii="Times New Roman" w:eastAsia="Calibri" w:hAnsi="Times New Roman" w:cs="Times New Roman"/>
          <w:sz w:val="24"/>
          <w:szCs w:val="24"/>
        </w:rPr>
        <w:instrText xml:space="preserve"> ADDIN ZOTERO_ITEM CSL_CITATION {"citationID":"VBNK4znV","properties":{"formattedCitation":"(Morokoff et al., 1997)","plainCitation":"(Morokoff et al., 1997)","noteIndex":0},"citationItems":[{"id":3131,"uris":["http://zotero.org/users/7402913/items/XKGV3393"],"itemData":{"id":3131,"type":"article-journal","abstract":"Four studies were conducted to develop and validate the Sexual Assertiveness Scale (SAS), a measure of sexual assertiveness in women that consists of factors measuring initiation, refusal, and pregnancy-sexually transmitted disease prevention assertiveness. A total of 1,613 women from both university and community populations were studied. Confirmatory factor analyses demonstrated that the 3 factors remained stable across samples of university and community women. A structural model was tested in 2 samples, indicating that sexual experience, anticipated negative partner response, and self-efficacy are consistent predictors of sexual assertiveness. Sexual assertiveness was found to be somewhat related to relationship satisfaction, power, and length. The community sample was retested after 6 months and 1 year to establish test-retest reliability. The SAS provides a reliable instrument for assessing and understanding women's sexual assertiveness. (PsycINFO Database Record (c) 2019 APA, all rights reserved)","container-title":"Journal of Personality and Social Psychology","DOI":"10.1037/0022-3514.73.4.790","ISSN":"1939-1315","issue":"4","note":"publisher-place: US\npublisher: American Psychological Association","page":"790-804","source":"APA PsycNet","title":"Sexual Assertiveness Scale (SAS) for women: Development and validation","title-short":"Sexual Assertiveness Scale (SAS) for women","volume":"73","author":[{"family":"Morokoff","given":"Patricia J."},{"family":"Quina","given":"Kathryn"},{"family":"Harlow","given":"Lisa L."},{"family":"Whitmire","given":"Laura"},{"family":"Grimley","given":"Diane M."},{"family":"Gibson","given":"Pamela R."},{"family":"Burkholder","given":"Gary J."}],"issued":{"date-parts":[["1997"]]}}}],"schema":"https://github.com/citation-style-language/schema/raw/master/csl-citation.json"} </w:instrText>
      </w:r>
      <w:r w:rsidR="005700A1"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(Morokoff et al., 1997)</w:t>
      </w:r>
      <w:r w:rsidR="005700A1" w:rsidRPr="00494D70">
        <w:rPr>
          <w:rFonts w:ascii="Times New Roman" w:eastAsia="Calibri" w:hAnsi="Times New Roman" w:cs="Times New Roman"/>
          <w:sz w:val="24"/>
          <w:szCs w:val="24"/>
        </w:rPr>
        <w:fldChar w:fldCharType="end"/>
      </w:r>
      <w:r w:rsidR="005700A1" w:rsidRPr="00494D70">
        <w:rPr>
          <w:rFonts w:ascii="Times New Roman" w:eastAsia="Calibri" w:hAnsi="Times New Roman" w:cs="Times New Roman"/>
          <w:sz w:val="24"/>
          <w:szCs w:val="24"/>
        </w:rPr>
        <w:t xml:space="preserve"> </w:t>
      </w:r>
      <w:r w:rsidR="009C36C5" w:rsidRPr="00494D70">
        <w:rPr>
          <w:rFonts w:ascii="Times New Roman" w:eastAsia="Calibri" w:hAnsi="Times New Roman" w:cs="Times New Roman"/>
          <w:sz w:val="24"/>
          <w:szCs w:val="24"/>
        </w:rPr>
        <w:t xml:space="preserve">have arguably </w:t>
      </w:r>
      <w:r w:rsidR="0006071B" w:rsidRPr="00494D70">
        <w:rPr>
          <w:rFonts w:ascii="Times New Roman" w:eastAsia="Calibri" w:hAnsi="Times New Roman" w:cs="Times New Roman"/>
          <w:sz w:val="24"/>
          <w:szCs w:val="24"/>
        </w:rPr>
        <w:t>received more attention</w:t>
      </w:r>
      <w:r w:rsidR="005A02CC" w:rsidRPr="00494D70">
        <w:rPr>
          <w:rFonts w:ascii="Times New Roman" w:eastAsia="Calibri" w:hAnsi="Times New Roman" w:cs="Times New Roman"/>
          <w:sz w:val="24"/>
          <w:szCs w:val="24"/>
        </w:rPr>
        <w:t xml:space="preserve">, </w:t>
      </w:r>
      <w:r w:rsidR="00350B0C" w:rsidRPr="00494D70">
        <w:rPr>
          <w:rFonts w:ascii="Times New Roman" w:eastAsia="Calibri" w:hAnsi="Times New Roman" w:cs="Times New Roman"/>
          <w:sz w:val="24"/>
          <w:szCs w:val="24"/>
        </w:rPr>
        <w:t>although</w:t>
      </w:r>
      <w:r w:rsidR="005A02CC" w:rsidRPr="00494D70">
        <w:rPr>
          <w:rFonts w:ascii="Times New Roman" w:eastAsia="Calibri" w:hAnsi="Times New Roman" w:cs="Times New Roman"/>
          <w:sz w:val="24"/>
          <w:szCs w:val="24"/>
        </w:rPr>
        <w:t xml:space="preserve"> </w:t>
      </w:r>
      <w:r w:rsidR="00C04D2E" w:rsidRPr="00494D70">
        <w:rPr>
          <w:rFonts w:ascii="Times New Roman" w:eastAsia="Calibri" w:hAnsi="Times New Roman" w:cs="Times New Roman"/>
          <w:sz w:val="24"/>
          <w:szCs w:val="24"/>
        </w:rPr>
        <w:t xml:space="preserve">none of the existing </w:t>
      </w:r>
      <w:r w:rsidR="00195F8E" w:rsidRPr="00494D70">
        <w:rPr>
          <w:rFonts w:ascii="Times New Roman" w:eastAsia="Calibri" w:hAnsi="Times New Roman" w:cs="Times New Roman"/>
          <w:sz w:val="24"/>
          <w:szCs w:val="24"/>
        </w:rPr>
        <w:t xml:space="preserve">measures </w:t>
      </w:r>
      <w:r w:rsidR="00C04D2E" w:rsidRPr="00494D70">
        <w:rPr>
          <w:rFonts w:ascii="Times New Roman" w:eastAsia="Calibri" w:hAnsi="Times New Roman" w:cs="Times New Roman"/>
          <w:sz w:val="24"/>
          <w:szCs w:val="24"/>
        </w:rPr>
        <w:t xml:space="preserve">are widely used currently. The </w:t>
      </w:r>
      <w:r w:rsidR="002B2C44" w:rsidRPr="00494D70">
        <w:rPr>
          <w:rFonts w:ascii="Times New Roman" w:eastAsia="Calibri" w:hAnsi="Times New Roman" w:cs="Times New Roman"/>
          <w:sz w:val="24"/>
          <w:szCs w:val="24"/>
        </w:rPr>
        <w:t xml:space="preserve">examination of the </w:t>
      </w:r>
      <w:r w:rsidR="00C04D2E" w:rsidRPr="00494D70">
        <w:rPr>
          <w:rFonts w:ascii="Times New Roman" w:eastAsia="Calibri" w:hAnsi="Times New Roman" w:cs="Times New Roman"/>
          <w:sz w:val="24"/>
          <w:szCs w:val="24"/>
        </w:rPr>
        <w:t xml:space="preserve">psychometric properties </w:t>
      </w:r>
      <w:r w:rsidR="009C36C5" w:rsidRPr="00494D70">
        <w:rPr>
          <w:rFonts w:ascii="Times New Roman" w:eastAsia="Calibri" w:hAnsi="Times New Roman" w:cs="Times New Roman"/>
          <w:sz w:val="24"/>
          <w:szCs w:val="24"/>
        </w:rPr>
        <w:t>ha</w:t>
      </w:r>
      <w:r w:rsidR="006F7AA7" w:rsidRPr="00494D70">
        <w:rPr>
          <w:rFonts w:ascii="Times New Roman" w:eastAsia="Calibri" w:hAnsi="Times New Roman" w:cs="Times New Roman"/>
          <w:sz w:val="24"/>
          <w:szCs w:val="24"/>
        </w:rPr>
        <w:t>s</w:t>
      </w:r>
      <w:r w:rsidR="009C36C5" w:rsidRPr="00494D70">
        <w:rPr>
          <w:rFonts w:ascii="Times New Roman" w:eastAsia="Calibri" w:hAnsi="Times New Roman" w:cs="Times New Roman"/>
          <w:sz w:val="24"/>
          <w:szCs w:val="24"/>
        </w:rPr>
        <w:t xml:space="preserve"> </w:t>
      </w:r>
      <w:r w:rsidR="00C04D2E" w:rsidRPr="00494D70">
        <w:rPr>
          <w:rFonts w:ascii="Times New Roman" w:eastAsia="Calibri" w:hAnsi="Times New Roman" w:cs="Times New Roman"/>
          <w:sz w:val="24"/>
          <w:szCs w:val="24"/>
        </w:rPr>
        <w:t xml:space="preserve">often </w:t>
      </w:r>
      <w:r w:rsidR="009C36C5" w:rsidRPr="00494D70">
        <w:rPr>
          <w:rFonts w:ascii="Times New Roman" w:eastAsia="Calibri" w:hAnsi="Times New Roman" w:cs="Times New Roman"/>
          <w:sz w:val="24"/>
          <w:szCs w:val="24"/>
        </w:rPr>
        <w:t>not utilized current</w:t>
      </w:r>
      <w:r w:rsidR="00C04D2E" w:rsidRPr="00494D70">
        <w:rPr>
          <w:rFonts w:ascii="Times New Roman" w:eastAsia="Calibri" w:hAnsi="Times New Roman" w:cs="Times New Roman"/>
          <w:sz w:val="24"/>
          <w:szCs w:val="24"/>
        </w:rPr>
        <w:t xml:space="preserve"> analytic method</w:t>
      </w:r>
      <w:r w:rsidR="009C36C5" w:rsidRPr="00494D70">
        <w:rPr>
          <w:rFonts w:ascii="Times New Roman" w:eastAsia="Calibri" w:hAnsi="Times New Roman" w:cs="Times New Roman"/>
          <w:sz w:val="24"/>
          <w:szCs w:val="24"/>
        </w:rPr>
        <w:t xml:space="preserve">s or </w:t>
      </w:r>
      <w:r w:rsidR="00C04D2E" w:rsidRPr="00494D70">
        <w:rPr>
          <w:rFonts w:ascii="Times New Roman" w:eastAsia="Calibri" w:hAnsi="Times New Roman" w:cs="Times New Roman"/>
          <w:sz w:val="24"/>
          <w:szCs w:val="24"/>
        </w:rPr>
        <w:t xml:space="preserve">standards or </w:t>
      </w:r>
      <w:r w:rsidR="00672B58" w:rsidRPr="00494D70">
        <w:rPr>
          <w:rFonts w:ascii="Times New Roman" w:eastAsia="Calibri" w:hAnsi="Times New Roman" w:cs="Times New Roman"/>
          <w:sz w:val="24"/>
          <w:szCs w:val="24"/>
        </w:rPr>
        <w:t>has</w:t>
      </w:r>
      <w:r w:rsidR="009C36C5" w:rsidRPr="00494D70">
        <w:rPr>
          <w:rFonts w:ascii="Times New Roman" w:eastAsia="Calibri" w:hAnsi="Times New Roman" w:cs="Times New Roman"/>
          <w:sz w:val="24"/>
          <w:szCs w:val="24"/>
        </w:rPr>
        <w:t xml:space="preserve"> </w:t>
      </w:r>
      <w:r w:rsidR="00423D58" w:rsidRPr="00494D70">
        <w:rPr>
          <w:rFonts w:ascii="Times New Roman" w:eastAsia="Calibri" w:hAnsi="Times New Roman" w:cs="Times New Roman"/>
          <w:sz w:val="24"/>
          <w:szCs w:val="24"/>
        </w:rPr>
        <w:t>yielded</w:t>
      </w:r>
      <w:r w:rsidR="009C36C5" w:rsidRPr="00494D70">
        <w:rPr>
          <w:rFonts w:ascii="Times New Roman" w:eastAsia="Calibri" w:hAnsi="Times New Roman" w:cs="Times New Roman"/>
          <w:sz w:val="24"/>
          <w:szCs w:val="24"/>
        </w:rPr>
        <w:t xml:space="preserve"> seeming</w:t>
      </w:r>
      <w:r w:rsidR="00C04D2E" w:rsidRPr="00494D70">
        <w:rPr>
          <w:rFonts w:ascii="Times New Roman" w:eastAsia="Calibri" w:hAnsi="Times New Roman" w:cs="Times New Roman"/>
          <w:sz w:val="24"/>
          <w:szCs w:val="24"/>
        </w:rPr>
        <w:t xml:space="preserve"> contradictions regarding their factor structure. The </w:t>
      </w:r>
      <w:r w:rsidR="009C36C5" w:rsidRPr="00494D70">
        <w:rPr>
          <w:rFonts w:ascii="Times New Roman" w:eastAsia="Calibri" w:hAnsi="Times New Roman" w:cs="Times New Roman"/>
          <w:sz w:val="24"/>
          <w:szCs w:val="24"/>
        </w:rPr>
        <w:t xml:space="preserve">scales have at times been </w:t>
      </w:r>
      <w:r w:rsidR="00C04D2E" w:rsidRPr="00494D70">
        <w:rPr>
          <w:rFonts w:ascii="Times New Roman" w:eastAsia="Calibri" w:hAnsi="Times New Roman" w:cs="Times New Roman"/>
          <w:sz w:val="24"/>
          <w:szCs w:val="24"/>
        </w:rPr>
        <w:t>criticized for not being generalizable to various populations due to their wording (e.g., condom-specific wording that might not be applicable for individuals in monogamous relationship</w:t>
      </w:r>
      <w:r w:rsidR="009C36C5" w:rsidRPr="00494D70">
        <w:rPr>
          <w:rFonts w:ascii="Times New Roman" w:eastAsia="Calibri" w:hAnsi="Times New Roman" w:cs="Times New Roman"/>
          <w:sz w:val="24"/>
          <w:szCs w:val="24"/>
        </w:rPr>
        <w:t>s</w:t>
      </w:r>
      <w:r w:rsidR="00C04D2E" w:rsidRPr="00494D70">
        <w:rPr>
          <w:rFonts w:ascii="Times New Roman" w:eastAsia="Calibri" w:hAnsi="Times New Roman" w:cs="Times New Roman"/>
          <w:sz w:val="24"/>
          <w:szCs w:val="24"/>
        </w:rPr>
        <w:t>)</w:t>
      </w:r>
      <w:r w:rsidR="00D3305A" w:rsidRPr="00494D70">
        <w:rPr>
          <w:rFonts w:ascii="Times New Roman" w:eastAsia="Calibri" w:hAnsi="Times New Roman" w:cs="Times New Roman"/>
          <w:sz w:val="24"/>
          <w:szCs w:val="24"/>
        </w:rPr>
        <w:t xml:space="preserve"> </w:t>
      </w:r>
      <w:r w:rsidR="00D3305A"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{"citationID":"uMq11KVw","properties":{"formattedCitation":"(Loshek &amp; Terrell, 2015; Quina et al., 2000)","plainCitation":"(Loshek &amp; Terrell, 2015; Quina et al., 2000)","noteIndex":0},"citationItems":[{"id":3118,"uris":["http://zotero.org/users/7402913/items/CJJXYKMQ"],"itemData":{"id":3118,"type":"article-journal","abstract":"Sexual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discussed.","container-title":"Journal of Sex Research","DOI":"10.1080/00224499.2014.944970","ISSN":"1559-8519","issue":"9","journalAbbreviation":"J Sex Res","language":"eng","note":"PMID: 25211014","page":"1017-1027","source":"PubMed","title":"The Development of the Sexual Assertiveness Questionnaire (SAQ): A Comprehensive Measure of Sexual Assertiveness for Women","title-short":"The Development of the Sexual Assertiveness Questionnaire (SAQ)","volume":"52","author":[{"family":"Loshek","given":"Eevett"},{"family":"Terrell","given":"Heather K."}],"issued":{"date-parts":[["2015"]]}}},{"id":3133,"uris":["http://zotero.org/users/7402913/items/P9YP6WL4"],"itemData":{"id":3133,"type":"article-journal","abstract":"Examined sexual communication as it relates to HIV risk reduction in interpersonal relationships among females with heterosexual HIV risk factors. 816 females (mean age 30.4 yrs) who had 2 or more sex partners, an injection drug-using sex partner, or a sex partner who had other sex partners completed questionnaires assessing assertive communication with a sex partner, HIV risk, demographic information, sexual history, negative interpersonal experiences, and cognitions and attitudes. Results show that Ss with a known partner HIV risk responded more negatively on most measures. Communication was found to be part of an overall cognitive–attitudinal approach to HIV risk, although specific predictors differed by type of communication and partner risk level. (PsycINFO Database Record (c) 2019 APA, all rights reserved)","container-title":"Sex Roles: A Journal of Research","DOI":"10.1023/A:1007043205155","ISSN":"1573-2762","issue":"7-8","note":"publisher-place: Germany\npublisher: Springer","page":"523-549","source":"APA PsycNet","title":"Sexual communication in relationships: When words speak louder than actions","title-short":"Sexual communication in relationships","volume":"42","author":[{"family":"Quina","given":"Kathryn"},{"family":"Harlow","given":"Lisa L."},{"family":"Morokoff","given":"Patricia J."},{"family":"Burkholder","given":"Gary"},{"family":"Deiter","given":"Pamela J."}],"issued":{"date-parts":[["2000"]]}}}],"schema":"https://github.com/citation-style-language/schema/raw/master/csl-citation.json"} </w:instrText>
      </w:r>
      <w:r w:rsidR="00D3305A" w:rsidRPr="00494D70">
        <w:rPr>
          <w:rFonts w:ascii="Times New Roman" w:eastAsia="Calibri" w:hAnsi="Times New Roman" w:cs="Times New Roman"/>
          <w:sz w:val="24"/>
          <w:szCs w:val="24"/>
        </w:rPr>
        <w:fldChar w:fldCharType="separate"/>
      </w:r>
      <w:r w:rsidR="00D3305A" w:rsidRPr="00494D70">
        <w:rPr>
          <w:rFonts w:ascii="Times New Roman" w:hAnsi="Times New Roman" w:cs="Times New Roman"/>
          <w:sz w:val="24"/>
        </w:rPr>
        <w:t>(Loshek &amp; Terrell, 2015; Quina et al., 2000)</w:t>
      </w:r>
      <w:r w:rsidR="00D3305A" w:rsidRPr="00494D70">
        <w:rPr>
          <w:rFonts w:ascii="Times New Roman" w:eastAsia="Calibri" w:hAnsi="Times New Roman" w:cs="Times New Roman"/>
          <w:sz w:val="24"/>
          <w:szCs w:val="24"/>
        </w:rPr>
        <w:fldChar w:fldCharType="end"/>
      </w:r>
      <w:r w:rsidR="00C04D2E" w:rsidRPr="00494D70">
        <w:rPr>
          <w:rFonts w:ascii="Times New Roman" w:eastAsia="Calibri" w:hAnsi="Times New Roman" w:cs="Times New Roman"/>
          <w:sz w:val="24"/>
          <w:szCs w:val="24"/>
        </w:rPr>
        <w:t xml:space="preserve">. In addition, the measurement invariance of SA scales has not been thoroughly investigated yet (except for </w:t>
      </w:r>
      <w:r w:rsidR="00C04D2E"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{"citationID":"t4G4wykT","properties":{"formattedCitation":"(Santos-Iglesias et al., 2014; Sierra et al., 2012)","plainCitation":"(Santos-Iglesias et al., 2014; Sierra et al., 2012)","dontUpdate":true,"noteIndex":0},"citationItems":[{"id":3265,"uris":["http://zotero.org/users/7402913/items/L7WJ5462"],"itemData":{"id":3265,"type":"article-journal","abstract":"The purpose of the present study was to analyze the measurement invariance and differential item functioning of the Spanish version of the Hurlbert Index of Sexual Assertiveness across gender. The sample was composed of 1,600 women and 1,598 men from Spain, with ages ranging from 18 to 84 years old. The Hurlbert Index of Sexual Assertiveness only showed weak invariance for men and women. The differential item functioning analysis showed that only item 2 (”I feel that I am shy when it comes to sex”) flagged moderate uniform differential item functioning. More specifically, women tended to respond “Always” to this item more frequently than did men. Results strongly suggested eliminating item 2, resulting in a final version with 18 items clustered into two dimensions with good reliability values for men and women. Standard scores for both Initiation and No Shyness/Refusal reflected traditional sexual scripts for men and women.","container-title":"Anales de Psicologia","DOI":"10.6018/analesps.30.1.143321","ISSN":"0212-9728","issue":"1","language":"English","note":"publisher-place: SOC ESPANOLA HISTORIA AGRARIA, CAMPUS ESPINARDO, MURCIA, 30100, SPAIN\npublisher: UNIV MURCIA\ntype: Article","page":"233-238","title":"Equivalence and Standard Scores of the Hurlbert Index of Sexual Assertiveness Across Spanish Men and Women","volume":"30","author":[{"family":"Santos-Iglesias","given":"Pablo"},{"family":"Vallejo-Medina","given":"Pablo"},{"family":"Sierra","given":"Juan C."}],"issued":{"date-parts":[["2014"]]}}},{"id":4938,"uris":["http://zotero.org/users/7402913/items/WE3TN8MD"],"itemData":{"id":4938,"type":"article-journal","abstract":"Evaluation of the factorial and metric equivalence of the Sexual Assertiveness Scale (SAS) by sex. Sexual assertiveness refers to the ability to initiate sexual activity, refuse unwanted sexual activity, and use contraceptive methods to avoid sexually transmitted diseases, developing healthy sexual behaviors. The Sexual Assertiveness Scale (SAS) assesses these three dimensions. The purpose of this study is to evaluate, using structural equation modeling and differential item functioning, the equivalence of the scale between men and women. Standard scores are also provided. A total of 4,034 participants from 21 Spanish provinces took part in the study. Quota sampling method was used. Results indicate a strict equivalent dimensionality of the Sexual Assertiveness Scale across sexes. One item was flagged by differential item functioning, although it does not affect the scale. Therefore, there is no significant bias in the scale when comparing across sexes. Standard scores show similar Initiation assertiveness scores for men and women, and higher scores on Refusal and Sexually Transmitted Disease Prevention for women. This scale can be used on men and women with sufficient psychometric guarantees.","archive_location":"WOS:000301817000022","container-title":"Psicothema","ISSN":"0214-9915","issue":"2","language":"Spanish","page":"316-322","title":"Evaluation of the factorial and metric equivalence of the Sexual Assertiveness Scale (SAS) by sex","volume":"24","author":[{"family":"Sierra","given":"JC"},{"family":"Santos-Iglesias","given":"P"},{"family":"Vallejo-Medina","given":"P"}],"issued":{"date-parts":[["2012",5]]}}}],"schema":"https://github.com/citation-style-language/schema/raw/master/csl-citation.json"} </w:instrText>
      </w:r>
      <w:r w:rsidR="00C04D2E" w:rsidRPr="00494D70">
        <w:rPr>
          <w:rFonts w:ascii="Times New Roman" w:eastAsia="Calibri" w:hAnsi="Times New Roman" w:cs="Times New Roman"/>
          <w:sz w:val="24"/>
          <w:szCs w:val="24"/>
        </w:rPr>
        <w:fldChar w:fldCharType="separate"/>
      </w:r>
      <w:r w:rsidR="00C04D2E" w:rsidRPr="00494D70">
        <w:rPr>
          <w:rFonts w:ascii="Times New Roman" w:hAnsi="Times New Roman" w:cs="Times New Roman"/>
          <w:sz w:val="24"/>
        </w:rPr>
        <w:t xml:space="preserve">Santos-Iglesias et al. </w:t>
      </w:r>
      <w:r w:rsidR="00CA32A9" w:rsidRPr="00494D70">
        <w:rPr>
          <w:rFonts w:ascii="Times New Roman" w:hAnsi="Times New Roman" w:cs="Times New Roman"/>
          <w:sz w:val="24"/>
        </w:rPr>
        <w:t>(</w:t>
      </w:r>
      <w:r w:rsidR="00C04D2E" w:rsidRPr="00494D70">
        <w:rPr>
          <w:rFonts w:ascii="Times New Roman" w:hAnsi="Times New Roman" w:cs="Times New Roman"/>
          <w:sz w:val="24"/>
        </w:rPr>
        <w:t>2014</w:t>
      </w:r>
      <w:r w:rsidR="000A4342" w:rsidRPr="00494D70">
        <w:rPr>
          <w:rFonts w:ascii="Times New Roman" w:hAnsi="Times New Roman" w:cs="Times New Roman"/>
          <w:sz w:val="24"/>
        </w:rPr>
        <w:t>)</w:t>
      </w:r>
      <w:r w:rsidR="00C04D2E" w:rsidRPr="00494D70">
        <w:rPr>
          <w:rFonts w:ascii="Times New Roman" w:hAnsi="Times New Roman" w:cs="Times New Roman"/>
          <w:sz w:val="24"/>
        </w:rPr>
        <w:t xml:space="preserve"> </w:t>
      </w:r>
      <w:r w:rsidR="000A4342" w:rsidRPr="00494D70">
        <w:rPr>
          <w:rFonts w:ascii="Times New Roman" w:hAnsi="Times New Roman" w:cs="Times New Roman"/>
          <w:sz w:val="24"/>
        </w:rPr>
        <w:t>and</w:t>
      </w:r>
      <w:r w:rsidR="00C04D2E" w:rsidRPr="00494D70">
        <w:rPr>
          <w:rFonts w:ascii="Times New Roman" w:hAnsi="Times New Roman" w:cs="Times New Roman"/>
          <w:sz w:val="24"/>
        </w:rPr>
        <w:t xml:space="preserve"> Sierra et al.</w:t>
      </w:r>
      <w:r w:rsidR="000A4342" w:rsidRPr="00494D70">
        <w:rPr>
          <w:rFonts w:ascii="Times New Roman" w:hAnsi="Times New Roman" w:cs="Times New Roman"/>
          <w:sz w:val="24"/>
        </w:rPr>
        <w:t xml:space="preserve"> (</w:t>
      </w:r>
      <w:r w:rsidR="00C04D2E" w:rsidRPr="00494D70">
        <w:rPr>
          <w:rFonts w:ascii="Times New Roman" w:hAnsi="Times New Roman" w:cs="Times New Roman"/>
          <w:sz w:val="24"/>
        </w:rPr>
        <w:t>2012)</w:t>
      </w:r>
      <w:r w:rsidR="00C04D2E" w:rsidRPr="00494D70">
        <w:rPr>
          <w:rFonts w:ascii="Times New Roman" w:eastAsia="Calibri" w:hAnsi="Times New Roman" w:cs="Times New Roman"/>
          <w:sz w:val="24"/>
          <w:szCs w:val="24"/>
        </w:rPr>
        <w:fldChar w:fldCharType="end"/>
      </w:r>
      <w:r w:rsidR="000A4342" w:rsidRPr="00494D70">
        <w:rPr>
          <w:rFonts w:ascii="Times New Roman" w:eastAsia="Calibri" w:hAnsi="Times New Roman" w:cs="Times New Roman"/>
          <w:sz w:val="24"/>
          <w:szCs w:val="24"/>
        </w:rPr>
        <w:t xml:space="preserve"> examining </w:t>
      </w:r>
      <w:r w:rsidR="003C3FA6" w:rsidRPr="00494D70">
        <w:rPr>
          <w:rFonts w:ascii="Times New Roman" w:eastAsia="Calibri" w:hAnsi="Times New Roman" w:cs="Times New Roman"/>
          <w:sz w:val="24"/>
          <w:szCs w:val="24"/>
        </w:rPr>
        <w:t xml:space="preserve">the invariance of the </w:t>
      </w:r>
      <w:r w:rsidR="00D96495" w:rsidRPr="00494D70">
        <w:rPr>
          <w:rFonts w:ascii="Times New Roman" w:eastAsia="Calibri" w:hAnsi="Times New Roman" w:cs="Times New Roman"/>
          <w:i/>
          <w:sz w:val="24"/>
          <w:szCs w:val="24"/>
        </w:rPr>
        <w:t>SAS</w:t>
      </w:r>
      <w:r w:rsidR="00D96495" w:rsidRPr="00494D70">
        <w:rPr>
          <w:rFonts w:ascii="Times New Roman" w:eastAsia="Calibri" w:hAnsi="Times New Roman" w:cs="Times New Roman"/>
          <w:sz w:val="24"/>
          <w:szCs w:val="24"/>
        </w:rPr>
        <w:t xml:space="preserve"> and the </w:t>
      </w:r>
      <w:r w:rsidR="00D96495" w:rsidRPr="00494D70">
        <w:rPr>
          <w:rFonts w:ascii="Times New Roman" w:eastAsia="Calibri" w:hAnsi="Times New Roman" w:cs="Times New Roman"/>
          <w:i/>
          <w:iCs/>
          <w:sz w:val="24"/>
          <w:szCs w:val="24"/>
        </w:rPr>
        <w:t>HISA</w:t>
      </w:r>
      <w:r w:rsidR="00D96495" w:rsidRPr="00494D70">
        <w:rPr>
          <w:rFonts w:ascii="Times New Roman" w:eastAsia="Calibri" w:hAnsi="Times New Roman" w:cs="Times New Roman"/>
          <w:sz w:val="24"/>
          <w:szCs w:val="24"/>
        </w:rPr>
        <w:t xml:space="preserve"> across sexes)</w:t>
      </w:r>
      <w:r w:rsidR="00C04D2E" w:rsidRPr="00494D70">
        <w:rPr>
          <w:rFonts w:ascii="Times New Roman" w:eastAsia="Calibri" w:hAnsi="Times New Roman" w:cs="Times New Roman"/>
          <w:sz w:val="24"/>
          <w:szCs w:val="24"/>
        </w:rPr>
        <w:t xml:space="preserve">, thereby limiting the generalizability and comparability of findings across diverse populations and contexts (i.e., genders, sexual orientations, cultures, </w:t>
      </w:r>
      <w:r w:rsidR="003D4025" w:rsidRPr="00494D70">
        <w:rPr>
          <w:rFonts w:ascii="Times New Roman" w:eastAsia="Calibri" w:hAnsi="Times New Roman" w:cs="Times New Roman"/>
          <w:sz w:val="24"/>
          <w:szCs w:val="24"/>
        </w:rPr>
        <w:t xml:space="preserve">languages and </w:t>
      </w:r>
      <w:r w:rsidR="00944D4C" w:rsidRPr="00494D70">
        <w:rPr>
          <w:rFonts w:ascii="Times New Roman" w:eastAsia="Calibri" w:hAnsi="Times New Roman" w:cs="Times New Roman"/>
          <w:sz w:val="24"/>
          <w:szCs w:val="24"/>
        </w:rPr>
        <w:t xml:space="preserve">different </w:t>
      </w:r>
      <w:r w:rsidR="00C04D2E" w:rsidRPr="00494D70">
        <w:rPr>
          <w:rFonts w:ascii="Times New Roman" w:eastAsia="Calibri" w:hAnsi="Times New Roman" w:cs="Times New Roman"/>
          <w:sz w:val="24"/>
          <w:szCs w:val="24"/>
        </w:rPr>
        <w:t xml:space="preserve">relationship statuses). </w:t>
      </w:r>
      <w:r w:rsidR="009B2FD4" w:rsidRPr="00494D70">
        <w:rPr>
          <w:rFonts w:ascii="Times New Roman" w:eastAsia="Calibri" w:hAnsi="Times New Roman" w:cs="Times New Roman"/>
          <w:sz w:val="24"/>
          <w:szCs w:val="24"/>
        </w:rPr>
        <w:t xml:space="preserve">Moreover, existing questionnaires </w:t>
      </w:r>
      <w:r w:rsidR="00984E46" w:rsidRPr="00494D70">
        <w:rPr>
          <w:rFonts w:ascii="Times New Roman" w:eastAsia="Calibri" w:hAnsi="Times New Roman" w:cs="Times New Roman"/>
          <w:sz w:val="24"/>
          <w:szCs w:val="24"/>
        </w:rPr>
        <w:t xml:space="preserve">may be </w:t>
      </w:r>
      <w:r w:rsidR="009B2FD4" w:rsidRPr="00494D70">
        <w:rPr>
          <w:rFonts w:ascii="Times New Roman" w:eastAsia="Calibri" w:hAnsi="Times New Roman" w:cs="Times New Roman"/>
          <w:sz w:val="24"/>
          <w:szCs w:val="24"/>
        </w:rPr>
        <w:t xml:space="preserve">too long </w:t>
      </w:r>
      <w:r w:rsidR="00AE6062" w:rsidRPr="00494D70">
        <w:rPr>
          <w:rFonts w:ascii="Times New Roman" w:eastAsia="Calibri" w:hAnsi="Times New Roman" w:cs="Times New Roman"/>
          <w:sz w:val="24"/>
          <w:szCs w:val="24"/>
        </w:rPr>
        <w:t xml:space="preserve">(i.e., 18-25 items) </w:t>
      </w:r>
      <w:r w:rsidR="009B2FD4" w:rsidRPr="00494D70">
        <w:rPr>
          <w:rFonts w:ascii="Times New Roman" w:eastAsia="Calibri" w:hAnsi="Times New Roman" w:cs="Times New Roman"/>
          <w:sz w:val="24"/>
          <w:szCs w:val="24"/>
        </w:rPr>
        <w:t xml:space="preserve">to be included in large-scale survey studies, and </w:t>
      </w:r>
      <w:r w:rsidR="00AA6F93" w:rsidRPr="00494D70">
        <w:rPr>
          <w:rFonts w:ascii="Times New Roman" w:eastAsia="Calibri" w:hAnsi="Times New Roman" w:cs="Times New Roman"/>
          <w:sz w:val="24"/>
          <w:szCs w:val="24"/>
        </w:rPr>
        <w:t xml:space="preserve">thus </w:t>
      </w:r>
      <w:r w:rsidR="009B2FD4" w:rsidRPr="00494D70">
        <w:rPr>
          <w:rFonts w:ascii="Times New Roman" w:eastAsia="Calibri" w:hAnsi="Times New Roman" w:cs="Times New Roman"/>
          <w:sz w:val="24"/>
          <w:szCs w:val="24"/>
        </w:rPr>
        <w:t>short</w:t>
      </w:r>
      <w:r w:rsidR="00984E46" w:rsidRPr="00494D70">
        <w:rPr>
          <w:rFonts w:ascii="Times New Roman" w:eastAsia="Calibri" w:hAnsi="Times New Roman" w:cs="Times New Roman"/>
          <w:sz w:val="24"/>
          <w:szCs w:val="24"/>
        </w:rPr>
        <w:t>er</w:t>
      </w:r>
      <w:r w:rsidR="009B2FD4" w:rsidRPr="00494D70">
        <w:rPr>
          <w:rFonts w:ascii="Times New Roman" w:eastAsia="Calibri" w:hAnsi="Times New Roman" w:cs="Times New Roman"/>
          <w:sz w:val="24"/>
          <w:szCs w:val="24"/>
        </w:rPr>
        <w:t xml:space="preserve"> version</w:t>
      </w:r>
      <w:r w:rsidR="00984E46" w:rsidRPr="00494D70">
        <w:rPr>
          <w:rFonts w:ascii="Times New Roman" w:eastAsia="Calibri" w:hAnsi="Times New Roman" w:cs="Times New Roman"/>
          <w:sz w:val="24"/>
          <w:szCs w:val="24"/>
        </w:rPr>
        <w:t>s</w:t>
      </w:r>
      <w:r w:rsidR="009B2FD4" w:rsidRPr="00494D70">
        <w:rPr>
          <w:rFonts w:ascii="Times New Roman" w:eastAsia="Calibri" w:hAnsi="Times New Roman" w:cs="Times New Roman"/>
          <w:sz w:val="24"/>
          <w:szCs w:val="24"/>
        </w:rPr>
        <w:t xml:space="preserve"> </w:t>
      </w:r>
      <w:r w:rsidR="00984E46" w:rsidRPr="00494D70">
        <w:rPr>
          <w:rFonts w:ascii="Times New Roman" w:eastAsia="Calibri" w:hAnsi="Times New Roman" w:cs="Times New Roman"/>
          <w:sz w:val="24"/>
          <w:szCs w:val="24"/>
        </w:rPr>
        <w:t>should be developed</w:t>
      </w:r>
      <w:r w:rsidR="009B2FD4" w:rsidRPr="00494D70">
        <w:rPr>
          <w:rFonts w:ascii="Times New Roman" w:eastAsia="Calibri" w:hAnsi="Times New Roman" w:cs="Times New Roman"/>
          <w:sz w:val="24"/>
          <w:szCs w:val="24"/>
        </w:rPr>
        <w:t xml:space="preserve">. </w:t>
      </w:r>
      <w:r w:rsidR="00820621" w:rsidRPr="00494D70">
        <w:rPr>
          <w:rFonts w:ascii="Times New Roman" w:eastAsia="Calibri" w:hAnsi="Times New Roman" w:cs="Times New Roman"/>
          <w:sz w:val="24"/>
          <w:szCs w:val="24"/>
        </w:rPr>
        <w:t>In response to this gap</w:t>
      </w:r>
      <w:r w:rsidR="00AD5E8B" w:rsidRPr="00494D70">
        <w:rPr>
          <w:rFonts w:ascii="Times New Roman" w:eastAsia="Calibri" w:hAnsi="Times New Roman" w:cs="Times New Roman"/>
          <w:sz w:val="24"/>
          <w:szCs w:val="24"/>
        </w:rPr>
        <w:t xml:space="preserve">, the current study </w:t>
      </w:r>
      <w:r w:rsidR="00984E46" w:rsidRPr="00494D70">
        <w:rPr>
          <w:rFonts w:ascii="Times New Roman" w:eastAsia="Calibri" w:hAnsi="Times New Roman" w:cs="Times New Roman"/>
          <w:sz w:val="24"/>
          <w:szCs w:val="24"/>
        </w:rPr>
        <w:t xml:space="preserve">aimed to </w:t>
      </w:r>
      <w:r w:rsidR="00522E50" w:rsidRPr="00494D70">
        <w:rPr>
          <w:rFonts w:ascii="Times New Roman" w:eastAsia="Calibri" w:hAnsi="Times New Roman" w:cs="Times New Roman"/>
          <w:sz w:val="24"/>
          <w:szCs w:val="24"/>
        </w:rPr>
        <w:t>validate</w:t>
      </w:r>
      <w:r w:rsidR="009B2FD4" w:rsidRPr="00494D70">
        <w:rPr>
          <w:rFonts w:ascii="Times New Roman" w:eastAsia="Calibri" w:hAnsi="Times New Roman" w:cs="Times New Roman"/>
          <w:sz w:val="24"/>
          <w:szCs w:val="24"/>
        </w:rPr>
        <w:t xml:space="preserve"> a short scale </w:t>
      </w:r>
      <w:r w:rsidR="00984E46" w:rsidRPr="00494D70">
        <w:rPr>
          <w:rFonts w:ascii="Times New Roman" w:eastAsia="Calibri" w:hAnsi="Times New Roman" w:cs="Times New Roman"/>
          <w:sz w:val="24"/>
          <w:szCs w:val="24"/>
        </w:rPr>
        <w:t>to assess</w:t>
      </w:r>
      <w:r w:rsidR="00AD5E8B" w:rsidRPr="00494D70">
        <w:rPr>
          <w:rFonts w:ascii="Times New Roman" w:eastAsia="Calibri" w:hAnsi="Times New Roman" w:cs="Times New Roman"/>
          <w:sz w:val="24"/>
          <w:szCs w:val="24"/>
        </w:rPr>
        <w:t xml:space="preserve"> SA </w:t>
      </w:r>
      <w:r w:rsidR="00984E46" w:rsidRPr="00494D70">
        <w:rPr>
          <w:rFonts w:ascii="Times New Roman" w:eastAsia="Calibri" w:hAnsi="Times New Roman" w:cs="Times New Roman"/>
          <w:sz w:val="24"/>
          <w:szCs w:val="24"/>
        </w:rPr>
        <w:t>and</w:t>
      </w:r>
      <w:r w:rsidR="009B2FD4" w:rsidRPr="00494D70">
        <w:rPr>
          <w:rFonts w:ascii="Times New Roman" w:eastAsia="Calibri" w:hAnsi="Times New Roman" w:cs="Times New Roman"/>
          <w:sz w:val="24"/>
          <w:szCs w:val="24"/>
        </w:rPr>
        <w:t xml:space="preserve"> previously </w:t>
      </w:r>
      <w:r w:rsidR="00984E46" w:rsidRPr="00494D70">
        <w:rPr>
          <w:rFonts w:ascii="Times New Roman" w:eastAsia="Calibri" w:hAnsi="Times New Roman" w:cs="Times New Roman"/>
          <w:sz w:val="24"/>
          <w:szCs w:val="24"/>
        </w:rPr>
        <w:t xml:space="preserve">described SA </w:t>
      </w:r>
      <w:r w:rsidR="009B2FD4" w:rsidRPr="00494D70">
        <w:rPr>
          <w:rFonts w:ascii="Times New Roman" w:eastAsia="Calibri" w:hAnsi="Times New Roman" w:cs="Times New Roman"/>
          <w:sz w:val="24"/>
          <w:szCs w:val="24"/>
        </w:rPr>
        <w:t>domains,</w:t>
      </w:r>
      <w:r w:rsidR="00984E46" w:rsidRPr="00494D70">
        <w:rPr>
          <w:rFonts w:ascii="Times New Roman" w:eastAsia="Calibri" w:hAnsi="Times New Roman" w:cs="Times New Roman"/>
          <w:sz w:val="24"/>
          <w:szCs w:val="24"/>
        </w:rPr>
        <w:t xml:space="preserve"> with a goal of demonstrating that it would be</w:t>
      </w:r>
      <w:r w:rsidR="009B2FD4" w:rsidRPr="00494D70">
        <w:rPr>
          <w:rFonts w:ascii="Times New Roman" w:eastAsia="Calibri" w:hAnsi="Times New Roman" w:cs="Times New Roman"/>
          <w:sz w:val="24"/>
          <w:szCs w:val="24"/>
        </w:rPr>
        <w:t xml:space="preserve"> appropriate for diverse groups of individuals, </w:t>
      </w:r>
      <w:r w:rsidR="009C1EC9" w:rsidRPr="00494D70">
        <w:rPr>
          <w:rFonts w:ascii="Times New Roman" w:eastAsia="Calibri" w:hAnsi="Times New Roman" w:cs="Times New Roman"/>
          <w:sz w:val="24"/>
          <w:szCs w:val="24"/>
        </w:rPr>
        <w:t xml:space="preserve">to make it </w:t>
      </w:r>
      <w:r w:rsidR="009B2FD4" w:rsidRPr="00494D70">
        <w:rPr>
          <w:rFonts w:ascii="Times New Roman" w:eastAsia="Calibri" w:hAnsi="Times New Roman" w:cs="Times New Roman"/>
          <w:sz w:val="24"/>
          <w:szCs w:val="24"/>
        </w:rPr>
        <w:t xml:space="preserve">available in many languages, and </w:t>
      </w:r>
      <w:r w:rsidR="00984E46" w:rsidRPr="00494D70">
        <w:rPr>
          <w:rFonts w:ascii="Times New Roman" w:eastAsia="Calibri" w:hAnsi="Times New Roman" w:cs="Times New Roman"/>
          <w:sz w:val="24"/>
          <w:szCs w:val="24"/>
        </w:rPr>
        <w:t xml:space="preserve">have </w:t>
      </w:r>
      <w:r w:rsidR="009B2FD4" w:rsidRPr="00494D70">
        <w:rPr>
          <w:rFonts w:ascii="Times New Roman" w:eastAsia="Calibri" w:hAnsi="Times New Roman" w:cs="Times New Roman"/>
          <w:sz w:val="24"/>
          <w:szCs w:val="24"/>
        </w:rPr>
        <w:t xml:space="preserve">robust psychometric evidence </w:t>
      </w:r>
      <w:r w:rsidR="00AD5E8B" w:rsidRPr="00494D70">
        <w:rPr>
          <w:rFonts w:ascii="Times New Roman" w:eastAsia="Calibri" w:hAnsi="Times New Roman" w:cs="Times New Roman"/>
          <w:sz w:val="24"/>
          <w:szCs w:val="24"/>
        </w:rPr>
        <w:t xml:space="preserve">to support </w:t>
      </w:r>
      <w:r w:rsidR="009B2FD4" w:rsidRPr="00494D70">
        <w:rPr>
          <w:rFonts w:ascii="Times New Roman" w:eastAsia="Calibri" w:hAnsi="Times New Roman" w:cs="Times New Roman"/>
          <w:sz w:val="24"/>
          <w:szCs w:val="24"/>
        </w:rPr>
        <w:t>it</w:t>
      </w:r>
      <w:r w:rsidR="00984E46" w:rsidRPr="00494D70">
        <w:rPr>
          <w:rFonts w:ascii="Times New Roman" w:eastAsia="Calibri" w:hAnsi="Times New Roman" w:cs="Times New Roman"/>
          <w:sz w:val="24"/>
          <w:szCs w:val="24"/>
        </w:rPr>
        <w:t>s use</w:t>
      </w:r>
      <w:r w:rsidR="009B2FD4" w:rsidRPr="00494D70">
        <w:rPr>
          <w:rFonts w:ascii="Times New Roman" w:eastAsia="Calibri" w:hAnsi="Times New Roman" w:cs="Times New Roman"/>
          <w:sz w:val="24"/>
          <w:szCs w:val="24"/>
        </w:rPr>
        <w:t xml:space="preserve">. </w:t>
      </w:r>
    </w:p>
    <w:p w14:paraId="5114C660" w14:textId="555D7D63" w:rsidR="00984E46" w:rsidRPr="00494D70" w:rsidRDefault="00984E46" w:rsidP="00984E46">
      <w:pPr>
        <w:spacing w:after="0" w:line="480" w:lineRule="auto"/>
        <w:rPr>
          <w:rFonts w:ascii="Times New Roman" w:eastAsia="Calibri" w:hAnsi="Times New Roman" w:cs="Times New Roman"/>
          <w:i/>
          <w:iCs/>
          <w:sz w:val="24"/>
          <w:szCs w:val="24"/>
        </w:rPr>
      </w:pPr>
      <w:r w:rsidRPr="00494D70">
        <w:rPr>
          <w:rFonts w:ascii="Times New Roman" w:eastAsia="Calibri" w:hAnsi="Times New Roman" w:cs="Times New Roman"/>
          <w:i/>
          <w:iCs/>
          <w:sz w:val="24"/>
          <w:szCs w:val="24"/>
        </w:rPr>
        <w:t>The Sexual Assertiveness Questionnaire</w:t>
      </w:r>
    </w:p>
    <w:p w14:paraId="16610366" w14:textId="284BE742" w:rsidR="00B633BC" w:rsidRPr="00494D70" w:rsidRDefault="00B633BC" w:rsidP="000B124E">
      <w:pPr>
        <w:spacing w:after="0" w:line="480" w:lineRule="auto"/>
        <w:ind w:firstLine="567"/>
        <w:rPr>
          <w:rFonts w:ascii="Times New Roman" w:eastAsia="Calibri" w:hAnsi="Times New Roman" w:cs="Times New Roman"/>
          <w:sz w:val="24"/>
          <w:szCs w:val="24"/>
        </w:rPr>
      </w:pPr>
      <w:r w:rsidRPr="00494D70">
        <w:rPr>
          <w:rFonts w:ascii="Times New Roman" w:eastAsia="Calibri" w:hAnsi="Times New Roman" w:cs="Times New Roman"/>
          <w:sz w:val="24"/>
          <w:szCs w:val="24"/>
        </w:rPr>
        <w:lastRenderedPageBreak/>
        <w:t xml:space="preserve">The 18-item </w:t>
      </w:r>
      <w:r w:rsidR="009B2FD4" w:rsidRPr="00494D70">
        <w:rPr>
          <w:rFonts w:ascii="Times New Roman" w:eastAsia="Calibri" w:hAnsi="Times New Roman" w:cs="Times New Roman"/>
          <w:i/>
          <w:iCs/>
          <w:sz w:val="24"/>
          <w:szCs w:val="24"/>
        </w:rPr>
        <w:t>Sexual Assertiveness Questionnaire</w:t>
      </w:r>
      <w:r w:rsidR="009B2FD4" w:rsidRPr="00494D70">
        <w:rPr>
          <w:rFonts w:ascii="Times New Roman" w:eastAsia="Calibri" w:hAnsi="Times New Roman" w:cs="Times New Roman"/>
          <w:sz w:val="24"/>
          <w:szCs w:val="24"/>
        </w:rPr>
        <w:t xml:space="preserve"> </w:t>
      </w:r>
      <w:r w:rsidR="009B2FD4"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{"citationID":"m3Gze7tE","properties":{"formattedCitation":"(Loshek &amp; Terrell, 2015)","plainCitation":"(Loshek &amp; Terrell, 2015)","dontUpdate":true,"noteIndex":0},"citationItems":[{"id":3118,"uris":["http://zotero.org/users/7402913/items/CJJXYKMQ"],"itemData":{"id":3118,"type":"article-journal","abstract":"Sexual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discussed.","container-title":"Journal of Sex Research","DOI":"10.1080/00224499.2014.944970","ISSN":"1559-8519","issue":"9","journalAbbreviation":"J Sex Res","language":"eng","note":"PMID: 25211014","page":"1017-1027","source":"PubMed","title":"The Development of the Sexual Assertiveness Questionnaire (SAQ): A Comprehensive Measure of Sexual Assertiveness for Women","title-short":"The Development of the Sexual Assertiveness Questionnaire (SAQ)","volume":"52","author":[{"family":"Loshek","given":"Eevett"},{"family":"Terrell","given":"Heather K."}],"issued":{"date-parts":[["2015"]]}}}],"schema":"https://github.com/citation-style-language/schema/raw/master/csl-citation.json"} </w:instrText>
      </w:r>
      <w:r w:rsidR="009B2FD4" w:rsidRPr="00494D70">
        <w:rPr>
          <w:rFonts w:ascii="Times New Roman" w:eastAsia="Calibri" w:hAnsi="Times New Roman" w:cs="Times New Roman"/>
          <w:sz w:val="24"/>
          <w:szCs w:val="24"/>
        </w:rPr>
        <w:fldChar w:fldCharType="separate"/>
      </w:r>
      <w:r w:rsidR="009B2FD4" w:rsidRPr="00494D70">
        <w:rPr>
          <w:rFonts w:ascii="Times New Roman" w:hAnsi="Times New Roman" w:cs="Times New Roman"/>
          <w:sz w:val="24"/>
        </w:rPr>
        <w:t>(SAQ; Loshek &amp; Terrell, 2015)</w:t>
      </w:r>
      <w:r w:rsidR="009B2FD4" w:rsidRPr="00494D70">
        <w:rPr>
          <w:rFonts w:ascii="Times New Roman" w:eastAsia="Calibri" w:hAnsi="Times New Roman" w:cs="Times New Roman"/>
          <w:sz w:val="24"/>
          <w:szCs w:val="24"/>
        </w:rPr>
        <w:fldChar w:fldCharType="end"/>
      </w:r>
      <w:r w:rsidR="009B2FD4" w:rsidRPr="00494D70">
        <w:rPr>
          <w:rFonts w:ascii="Times New Roman" w:eastAsia="Calibri" w:hAnsi="Times New Roman" w:cs="Times New Roman"/>
          <w:sz w:val="24"/>
          <w:szCs w:val="24"/>
        </w:rPr>
        <w:t xml:space="preserve"> </w:t>
      </w:r>
      <w:r w:rsidRPr="00494D70">
        <w:rPr>
          <w:rFonts w:ascii="Times New Roman" w:eastAsia="Calibri" w:hAnsi="Times New Roman" w:cs="Times New Roman"/>
          <w:sz w:val="24"/>
          <w:szCs w:val="24"/>
        </w:rPr>
        <w:t xml:space="preserve">was developed as a composite questionnaire of the HISA, SAS, and </w:t>
      </w:r>
      <w:r w:rsidR="00C04D2E" w:rsidRPr="00494D70">
        <w:rPr>
          <w:rFonts w:ascii="Times New Roman" w:eastAsia="Calibri" w:hAnsi="Times New Roman" w:cs="Times New Roman"/>
          <w:i/>
          <w:iCs/>
          <w:sz w:val="24"/>
          <w:szCs w:val="24"/>
        </w:rPr>
        <w:t>Assertive Sexual Communication Scale</w:t>
      </w:r>
      <w:r w:rsidR="00C04D2E" w:rsidRPr="00494D70">
        <w:rPr>
          <w:rFonts w:ascii="Times New Roman" w:eastAsia="Calibri" w:hAnsi="Times New Roman" w:cs="Times New Roman"/>
          <w:sz w:val="24"/>
          <w:szCs w:val="24"/>
        </w:rPr>
        <w:t xml:space="preserve"> (ASCS; Quina et al., 2000)</w:t>
      </w:r>
      <w:r w:rsidR="00984E46" w:rsidRPr="00494D70">
        <w:rPr>
          <w:rFonts w:ascii="Times New Roman" w:eastAsia="Calibri" w:hAnsi="Times New Roman" w:cs="Times New Roman"/>
          <w:sz w:val="24"/>
          <w:szCs w:val="24"/>
        </w:rPr>
        <w:t xml:space="preserve">. </w:t>
      </w:r>
      <w:r w:rsidR="00F70E0F" w:rsidRPr="00494D70">
        <w:rPr>
          <w:rFonts w:ascii="Times New Roman" w:eastAsia="Calibri" w:hAnsi="Times New Roman" w:cs="Times New Roman"/>
          <w:sz w:val="24"/>
          <w:szCs w:val="24"/>
        </w:rPr>
        <w:t>The SAQ</w:t>
      </w:r>
      <w:r w:rsidRPr="00494D70">
        <w:rPr>
          <w:rFonts w:ascii="Times New Roman" w:eastAsia="Calibri" w:hAnsi="Times New Roman" w:cs="Times New Roman"/>
          <w:sz w:val="24"/>
          <w:szCs w:val="24"/>
        </w:rPr>
        <w:t xml:space="preserve"> aim</w:t>
      </w:r>
      <w:r w:rsidR="00984E46" w:rsidRPr="00494D70">
        <w:rPr>
          <w:rFonts w:ascii="Times New Roman" w:eastAsia="Calibri" w:hAnsi="Times New Roman" w:cs="Times New Roman"/>
          <w:sz w:val="24"/>
          <w:szCs w:val="24"/>
        </w:rPr>
        <w:t>ed</w:t>
      </w:r>
      <w:r w:rsidRPr="00494D70">
        <w:rPr>
          <w:rFonts w:ascii="Times New Roman" w:eastAsia="Calibri" w:hAnsi="Times New Roman" w:cs="Times New Roman"/>
          <w:sz w:val="24"/>
          <w:szCs w:val="24"/>
        </w:rPr>
        <w:t xml:space="preserve"> to assess </w:t>
      </w:r>
      <w:r w:rsidR="00A4521C" w:rsidRPr="00494D70">
        <w:rPr>
          <w:rFonts w:ascii="Times New Roman" w:eastAsia="Calibri" w:hAnsi="Times New Roman" w:cs="Times New Roman"/>
          <w:sz w:val="24"/>
          <w:szCs w:val="24"/>
        </w:rPr>
        <w:t xml:space="preserve">previously </w:t>
      </w:r>
      <w:r w:rsidR="00984E46" w:rsidRPr="00494D70">
        <w:rPr>
          <w:rFonts w:ascii="Times New Roman" w:eastAsia="Calibri" w:hAnsi="Times New Roman" w:cs="Times New Roman"/>
          <w:sz w:val="24"/>
          <w:szCs w:val="24"/>
        </w:rPr>
        <w:t>described</w:t>
      </w:r>
      <w:r w:rsidR="00BB4906" w:rsidRPr="00494D70">
        <w:rPr>
          <w:rFonts w:ascii="Times New Roman" w:eastAsia="Calibri" w:hAnsi="Times New Roman" w:cs="Times New Roman"/>
          <w:sz w:val="24"/>
          <w:szCs w:val="24"/>
        </w:rPr>
        <w:t xml:space="preserve"> </w:t>
      </w:r>
      <w:r w:rsidRPr="00494D70">
        <w:rPr>
          <w:rFonts w:ascii="Times New Roman" w:eastAsia="Calibri" w:hAnsi="Times New Roman" w:cs="Times New Roman"/>
          <w:sz w:val="24"/>
          <w:szCs w:val="24"/>
        </w:rPr>
        <w:t>dimension</w:t>
      </w:r>
      <w:r w:rsidR="00BB4906" w:rsidRPr="00494D70">
        <w:rPr>
          <w:rFonts w:ascii="Times New Roman" w:eastAsia="Calibri" w:hAnsi="Times New Roman" w:cs="Times New Roman"/>
          <w:sz w:val="24"/>
          <w:szCs w:val="24"/>
        </w:rPr>
        <w:t>s</w:t>
      </w:r>
      <w:r w:rsidRPr="00494D70">
        <w:rPr>
          <w:rFonts w:ascii="Times New Roman" w:eastAsia="Calibri" w:hAnsi="Times New Roman" w:cs="Times New Roman"/>
          <w:sz w:val="24"/>
          <w:szCs w:val="24"/>
        </w:rPr>
        <w:t xml:space="preserve"> of SA (</w:t>
      </w:r>
      <w:r w:rsidR="00BB4906" w:rsidRPr="00494D70">
        <w:rPr>
          <w:rFonts w:ascii="Times New Roman" w:eastAsia="Calibri" w:hAnsi="Times New Roman" w:cs="Times New Roman"/>
          <w:sz w:val="24"/>
          <w:szCs w:val="24"/>
        </w:rPr>
        <w:t xml:space="preserve">i.e., </w:t>
      </w:r>
      <w:r w:rsidRPr="00494D70">
        <w:rPr>
          <w:rFonts w:ascii="Times New Roman" w:eastAsia="Calibri" w:hAnsi="Times New Roman" w:cs="Times New Roman"/>
          <w:sz w:val="24"/>
          <w:szCs w:val="24"/>
        </w:rPr>
        <w:t>initiation of desired sex</w:t>
      </w:r>
      <w:r w:rsidR="00BA1E9C" w:rsidRPr="00494D70">
        <w:rPr>
          <w:rFonts w:ascii="Times New Roman" w:eastAsia="Calibri" w:hAnsi="Times New Roman" w:cs="Times New Roman"/>
          <w:sz w:val="24"/>
          <w:szCs w:val="24"/>
        </w:rPr>
        <w:t xml:space="preserve"> and communication about sexual satisfaction, </w:t>
      </w:r>
      <w:r w:rsidRPr="00494D70">
        <w:rPr>
          <w:rFonts w:ascii="Times New Roman" w:eastAsia="Calibri" w:hAnsi="Times New Roman" w:cs="Times New Roman"/>
          <w:sz w:val="24"/>
          <w:szCs w:val="24"/>
        </w:rPr>
        <w:t xml:space="preserve">refusal of unwanted sex, and sexual </w:t>
      </w:r>
      <w:r w:rsidR="00F84389" w:rsidRPr="00494D70">
        <w:rPr>
          <w:rFonts w:ascii="Times New Roman" w:eastAsia="Calibri" w:hAnsi="Times New Roman" w:cs="Times New Roman"/>
          <w:sz w:val="24"/>
          <w:szCs w:val="24"/>
        </w:rPr>
        <w:t>risk</w:t>
      </w:r>
      <w:r w:rsidRPr="00494D70">
        <w:rPr>
          <w:rFonts w:ascii="Times New Roman" w:eastAsia="Calibri" w:hAnsi="Times New Roman" w:cs="Times New Roman"/>
          <w:sz w:val="24"/>
          <w:szCs w:val="24"/>
        </w:rPr>
        <w:t xml:space="preserve"> communication).</w:t>
      </w:r>
      <w:r w:rsidR="00D208D6" w:rsidRPr="00494D70">
        <w:rPr>
          <w:rFonts w:ascii="Times New Roman" w:eastAsia="Calibri" w:hAnsi="Times New Roman" w:cs="Times New Roman"/>
          <w:sz w:val="24"/>
          <w:szCs w:val="24"/>
        </w:rPr>
        <w:t xml:space="preserve"> </w:t>
      </w:r>
      <w:r w:rsidRPr="00494D70">
        <w:rPr>
          <w:rFonts w:ascii="Times New Roman" w:eastAsia="Calibri" w:hAnsi="Times New Roman" w:cs="Times New Roman"/>
          <w:sz w:val="24"/>
          <w:szCs w:val="24"/>
        </w:rPr>
        <w:t xml:space="preserve">Condom-specific items were omitted </w:t>
      </w:r>
      <w:r w:rsidR="003B6556" w:rsidRPr="00494D70">
        <w:rPr>
          <w:rFonts w:ascii="Times New Roman" w:eastAsia="Calibri" w:hAnsi="Times New Roman" w:cs="Times New Roman"/>
          <w:sz w:val="24"/>
          <w:szCs w:val="24"/>
        </w:rPr>
        <w:t xml:space="preserve">based on the </w:t>
      </w:r>
      <w:r w:rsidR="00E55FFA" w:rsidRPr="00494D70">
        <w:rPr>
          <w:rFonts w:ascii="Times New Roman" w:eastAsia="Calibri" w:hAnsi="Times New Roman" w:cs="Times New Roman"/>
          <w:sz w:val="24"/>
          <w:szCs w:val="24"/>
        </w:rPr>
        <w:t>suggestion</w:t>
      </w:r>
      <w:r w:rsidR="003B6556" w:rsidRPr="00494D70">
        <w:rPr>
          <w:rFonts w:ascii="Times New Roman" w:eastAsia="Calibri" w:hAnsi="Times New Roman" w:cs="Times New Roman"/>
          <w:sz w:val="24"/>
          <w:szCs w:val="24"/>
        </w:rPr>
        <w:t xml:space="preserve"> that </w:t>
      </w:r>
      <w:r w:rsidRPr="00494D70">
        <w:rPr>
          <w:rFonts w:ascii="Times New Roman" w:eastAsia="Calibri" w:hAnsi="Times New Roman" w:cs="Times New Roman"/>
          <w:sz w:val="24"/>
          <w:szCs w:val="24"/>
        </w:rPr>
        <w:t xml:space="preserve">insistence </w:t>
      </w:r>
      <w:r w:rsidR="005714D1" w:rsidRPr="00494D70">
        <w:rPr>
          <w:rFonts w:ascii="Times New Roman" w:eastAsia="Calibri" w:hAnsi="Times New Roman" w:cs="Times New Roman"/>
          <w:sz w:val="24"/>
          <w:szCs w:val="24"/>
        </w:rPr>
        <w:t xml:space="preserve">on using contraception </w:t>
      </w:r>
      <w:r w:rsidR="003B6556" w:rsidRPr="00494D70">
        <w:rPr>
          <w:rFonts w:ascii="Times New Roman" w:eastAsia="Calibri" w:hAnsi="Times New Roman" w:cs="Times New Roman"/>
          <w:sz w:val="24"/>
          <w:szCs w:val="24"/>
        </w:rPr>
        <w:t>is</w:t>
      </w:r>
      <w:r w:rsidRPr="00494D70">
        <w:rPr>
          <w:rFonts w:ascii="Times New Roman" w:eastAsia="Calibri" w:hAnsi="Times New Roman" w:cs="Times New Roman"/>
          <w:sz w:val="24"/>
          <w:szCs w:val="24"/>
        </w:rPr>
        <w:t xml:space="preserve"> not </w:t>
      </w:r>
      <w:r w:rsidR="00984E46" w:rsidRPr="00494D70">
        <w:rPr>
          <w:rFonts w:ascii="Times New Roman" w:eastAsia="Calibri" w:hAnsi="Times New Roman" w:cs="Times New Roman"/>
          <w:sz w:val="24"/>
          <w:szCs w:val="24"/>
        </w:rPr>
        <w:t>applicable across</w:t>
      </w:r>
      <w:r w:rsidRPr="00494D70">
        <w:rPr>
          <w:rFonts w:ascii="Times New Roman" w:eastAsia="Calibri" w:hAnsi="Times New Roman" w:cs="Times New Roman"/>
          <w:sz w:val="24"/>
          <w:szCs w:val="24"/>
        </w:rPr>
        <w:t xml:space="preserve"> life stages and relationships </w:t>
      </w:r>
      <w:r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{"citationID":"0TYjbwsV","properties":{"formattedCitation":"(Loshek &amp; Terrell, 2015; Quina et al., 2000)","plainCitation":"(Loshek &amp; Terrell, 2015; Quina et al., 2000)","noteIndex":0},"citationItems":[{"id":3118,"uris":["http://zotero.org/users/7402913/items/CJJXYKMQ"],"itemData":{"id":3118,"type":"article-journal","abstract":"Sexual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discussed.","container-title":"Journal of Sex Research","DOI":"10.1080/00224499.2014.944970","ISSN":"1559-8519","issue":"9","journalAbbreviation":"J Sex Res","language":"eng","note":"PMID: 25211014","page":"1017-1027","source":"PubMed","title":"The Development of the Sexual Assertiveness Questionnaire (SAQ): A Comprehensive Measure of Sexual Assertiveness for Women","title-short":"The Development of the Sexual Assertiveness Questionnaire (SAQ)","volume":"52","author":[{"family":"Loshek","given":"Eevett"},{"family":"Terrell","given":"Heather K."}],"issued":{"date-parts":[["2015"]]}}},{"id":3133,"uris":["http://zotero.org/users/7402913/items/P9YP6WL4"],"itemData":{"id":3133,"type":"article-journal","abstract":"Examined sexual communication as it relates to HIV risk reduction in interpersonal relationships among females with heterosexual HIV risk factors. 816 females (mean age 30.4 yrs) who had 2 or more sex partners, an injection drug-using sex partner, or a sex partner who had other sex partners completed questionnaires assessing assertive communication with a sex partner, HIV risk, demographic information, sexual history, negative interpersonal experiences, and cognitions and attitudes. Results show that Ss with a known partner HIV risk responded more negatively on most measures. Communication was found to be part of an overall cognitive–attitudinal approach to HIV risk, although specific predictors differed by type of communication and partner risk level. (PsycINFO Database Record (c) 2019 APA, all rights reserved)","container-title":"Sex Roles: A Journal of Research","DOI":"10.1023/A:1007043205155","ISSN":"1573-2762","issue":"7-8","note":"publisher-place: Germany\npublisher: Springer","page":"523-549","source":"APA PsycNet","title":"Sexual communication in relationships: When words speak louder than actions","title-short":"Sexual communication in relationships","volume":"42","author":[{"family":"Quina","given":"Kathryn"},{"family":"Harlow","given":"Lisa L."},{"family":"Morokoff","given":"Patricia J."},{"family":"Burkholder","given":"Gary"},{"family":"Deiter","given":"Pamela J."}],"issued":{"date-parts":[["2000"]]}}}],"schema":"https://github.com/citation-style-language/schema/raw/master/csl-citation.json"} </w:instrText>
      </w:r>
      <w:r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(Loshek &amp; Terrell, 2015; Quina et al., 2000)</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xml:space="preserve">. </w:t>
      </w:r>
      <w:r w:rsidR="00012545" w:rsidRPr="00494D70">
        <w:rPr>
          <w:rFonts w:ascii="Times New Roman" w:eastAsia="Calibri" w:hAnsi="Times New Roman" w:cs="Times New Roman"/>
          <w:sz w:val="24"/>
          <w:szCs w:val="24"/>
        </w:rPr>
        <w:t xml:space="preserve">Additionally, </w:t>
      </w:r>
      <w:r w:rsidR="00BB4906" w:rsidRPr="00494D70">
        <w:rPr>
          <w:rFonts w:ascii="Times New Roman" w:eastAsia="Calibri" w:hAnsi="Times New Roman" w:cs="Times New Roman"/>
          <w:sz w:val="24"/>
          <w:szCs w:val="24"/>
        </w:rPr>
        <w:t xml:space="preserve">it </w:t>
      </w:r>
      <w:r w:rsidR="0099233F" w:rsidRPr="00494D70">
        <w:rPr>
          <w:rFonts w:ascii="Times New Roman" w:eastAsia="Calibri" w:hAnsi="Times New Roman" w:cs="Times New Roman"/>
          <w:sz w:val="24"/>
          <w:szCs w:val="24"/>
        </w:rPr>
        <w:t>has been suggested that in sexual</w:t>
      </w:r>
      <w:r w:rsidR="0010164C" w:rsidRPr="00494D70">
        <w:rPr>
          <w:rFonts w:ascii="Times New Roman" w:eastAsia="Calibri" w:hAnsi="Times New Roman" w:cs="Times New Roman"/>
          <w:sz w:val="24"/>
          <w:szCs w:val="24"/>
        </w:rPr>
        <w:t xml:space="preserve"> minority </w:t>
      </w:r>
      <w:r w:rsidR="0099233F" w:rsidRPr="00494D70">
        <w:rPr>
          <w:rFonts w:ascii="Times New Roman" w:eastAsia="Calibri" w:hAnsi="Times New Roman" w:cs="Times New Roman"/>
          <w:sz w:val="24"/>
          <w:szCs w:val="24"/>
        </w:rPr>
        <w:t xml:space="preserve">individuals, </w:t>
      </w:r>
      <w:r w:rsidRPr="00494D70">
        <w:rPr>
          <w:rFonts w:ascii="Times New Roman" w:eastAsia="Calibri" w:hAnsi="Times New Roman" w:cs="Times New Roman"/>
          <w:sz w:val="24"/>
          <w:szCs w:val="24"/>
        </w:rPr>
        <w:t xml:space="preserve">sexual history communication </w:t>
      </w:r>
      <w:r w:rsidR="00C219B6" w:rsidRPr="00494D70">
        <w:rPr>
          <w:rFonts w:ascii="Times New Roman" w:eastAsia="Calibri" w:hAnsi="Times New Roman" w:cs="Times New Roman"/>
          <w:sz w:val="24"/>
          <w:szCs w:val="24"/>
        </w:rPr>
        <w:t xml:space="preserve">may </w:t>
      </w:r>
      <w:r w:rsidRPr="00494D70">
        <w:rPr>
          <w:rFonts w:ascii="Times New Roman" w:eastAsia="Calibri" w:hAnsi="Times New Roman" w:cs="Times New Roman"/>
          <w:sz w:val="24"/>
          <w:szCs w:val="24"/>
        </w:rPr>
        <w:t xml:space="preserve">capture SA’s risk reduction domain better than contraception behavior. Although Loshek </w:t>
      </w:r>
      <w:r w:rsidR="00E75E46" w:rsidRPr="00494D70">
        <w:rPr>
          <w:rFonts w:ascii="Times New Roman" w:eastAsia="Calibri" w:hAnsi="Times New Roman" w:cs="Times New Roman"/>
          <w:sz w:val="24"/>
          <w:szCs w:val="24"/>
        </w:rPr>
        <w:t>and</w:t>
      </w:r>
      <w:r w:rsidRPr="00494D70">
        <w:rPr>
          <w:rFonts w:ascii="Times New Roman" w:eastAsia="Calibri" w:hAnsi="Times New Roman" w:cs="Times New Roman"/>
          <w:sz w:val="24"/>
          <w:szCs w:val="24"/>
        </w:rPr>
        <w:t xml:space="preserve"> Te</w:t>
      </w:r>
      <w:r w:rsidR="00DE3AC6" w:rsidRPr="00494D70">
        <w:rPr>
          <w:rFonts w:ascii="Times New Roman" w:eastAsia="Calibri" w:hAnsi="Times New Roman" w:cs="Times New Roman"/>
          <w:sz w:val="24"/>
          <w:szCs w:val="24"/>
        </w:rPr>
        <w:t>r</w:t>
      </w:r>
      <w:r w:rsidRPr="00494D70">
        <w:rPr>
          <w:rFonts w:ascii="Times New Roman" w:eastAsia="Calibri" w:hAnsi="Times New Roman" w:cs="Times New Roman"/>
          <w:sz w:val="24"/>
          <w:szCs w:val="24"/>
        </w:rPr>
        <w:t xml:space="preserve">rell (2015) focused on female participants in their validation study, they </w:t>
      </w:r>
      <w:r w:rsidR="00C219B6" w:rsidRPr="00494D70">
        <w:rPr>
          <w:rFonts w:ascii="Times New Roman" w:eastAsia="Calibri" w:hAnsi="Times New Roman" w:cs="Times New Roman"/>
          <w:sz w:val="24"/>
          <w:szCs w:val="24"/>
        </w:rPr>
        <w:t>noted</w:t>
      </w:r>
      <w:r w:rsidRPr="00494D70">
        <w:rPr>
          <w:rFonts w:ascii="Times New Roman" w:eastAsia="Calibri" w:hAnsi="Times New Roman" w:cs="Times New Roman"/>
          <w:sz w:val="24"/>
          <w:szCs w:val="24"/>
        </w:rPr>
        <w:t xml:space="preserve"> that SA is likely an important construct across genders. All items were formulated in a gender-neutral way</w:t>
      </w:r>
      <w:r w:rsidR="00C219B6" w:rsidRPr="00494D70">
        <w:rPr>
          <w:rFonts w:ascii="Times New Roman" w:eastAsia="Calibri" w:hAnsi="Times New Roman" w:cs="Times New Roman"/>
          <w:sz w:val="24"/>
          <w:szCs w:val="24"/>
        </w:rPr>
        <w:t>,</w:t>
      </w:r>
      <w:r w:rsidRPr="00494D70">
        <w:rPr>
          <w:rFonts w:ascii="Times New Roman" w:eastAsia="Calibri" w:hAnsi="Times New Roman" w:cs="Times New Roman"/>
          <w:sz w:val="24"/>
          <w:szCs w:val="24"/>
        </w:rPr>
        <w:t xml:space="preserve"> and items referring to sexual activity did not specify any sex acts to allow diverse groups of individuals </w:t>
      </w:r>
      <w:r w:rsidR="00C219B6" w:rsidRPr="00494D70">
        <w:rPr>
          <w:rFonts w:ascii="Times New Roman" w:eastAsia="Calibri" w:hAnsi="Times New Roman" w:cs="Times New Roman"/>
          <w:sz w:val="24"/>
          <w:szCs w:val="24"/>
        </w:rPr>
        <w:t xml:space="preserve">to </w:t>
      </w:r>
      <w:r w:rsidRPr="00494D70">
        <w:rPr>
          <w:rFonts w:ascii="Times New Roman" w:eastAsia="Calibri" w:hAnsi="Times New Roman" w:cs="Times New Roman"/>
          <w:sz w:val="24"/>
          <w:szCs w:val="24"/>
        </w:rPr>
        <w:t>respond meaningfully</w:t>
      </w:r>
      <w:r w:rsidR="001F3F6D" w:rsidRPr="00494D70">
        <w:rPr>
          <w:rFonts w:ascii="Times New Roman" w:eastAsia="Calibri" w:hAnsi="Times New Roman" w:cs="Times New Roman"/>
          <w:sz w:val="24"/>
          <w:szCs w:val="24"/>
        </w:rPr>
        <w:t xml:space="preserve">. </w:t>
      </w:r>
    </w:p>
    <w:p w14:paraId="29F7F68A" w14:textId="44793F5C" w:rsidR="00D2143E" w:rsidRPr="00494D70" w:rsidRDefault="00FF1BA7" w:rsidP="00F716C7">
      <w:pPr>
        <w:spacing w:after="0" w:line="480" w:lineRule="auto"/>
        <w:ind w:firstLine="567"/>
        <w:rPr>
          <w:rFonts w:ascii="Times New Roman" w:eastAsia="Calibri" w:hAnsi="Times New Roman" w:cs="Times New Roman"/>
          <w:b/>
          <w:bCs/>
          <w:sz w:val="24"/>
          <w:szCs w:val="24"/>
        </w:rPr>
      </w:pPr>
      <w:r w:rsidRPr="00494D70">
        <w:rPr>
          <w:rFonts w:ascii="Times New Roman" w:eastAsia="Calibri" w:hAnsi="Times New Roman" w:cs="Times New Roman"/>
          <w:sz w:val="24"/>
          <w:szCs w:val="24"/>
        </w:rPr>
        <w:t xml:space="preserve">The </w:t>
      </w:r>
      <w:r w:rsidR="001F3F6D" w:rsidRPr="00494D70">
        <w:rPr>
          <w:rFonts w:ascii="Times New Roman" w:eastAsia="Calibri" w:hAnsi="Times New Roman" w:cs="Times New Roman"/>
          <w:sz w:val="24"/>
          <w:szCs w:val="24"/>
        </w:rPr>
        <w:t xml:space="preserve">primary </w:t>
      </w:r>
      <w:r w:rsidR="00F434CB" w:rsidRPr="00494D70">
        <w:rPr>
          <w:rFonts w:ascii="Times New Roman" w:eastAsia="Calibri" w:hAnsi="Times New Roman" w:cs="Times New Roman"/>
          <w:sz w:val="24"/>
          <w:szCs w:val="24"/>
        </w:rPr>
        <w:t xml:space="preserve">aim of the </w:t>
      </w:r>
      <w:r w:rsidRPr="00494D70">
        <w:rPr>
          <w:rFonts w:ascii="Times New Roman" w:eastAsia="Calibri" w:hAnsi="Times New Roman" w:cs="Times New Roman"/>
          <w:sz w:val="24"/>
          <w:szCs w:val="24"/>
        </w:rPr>
        <w:t xml:space="preserve">present study </w:t>
      </w:r>
      <w:r w:rsidR="00F434CB" w:rsidRPr="00494D70">
        <w:rPr>
          <w:rFonts w:ascii="Times New Roman" w:eastAsia="Calibri" w:hAnsi="Times New Roman" w:cs="Times New Roman"/>
          <w:sz w:val="24"/>
          <w:szCs w:val="24"/>
        </w:rPr>
        <w:t xml:space="preserve">was to </w:t>
      </w:r>
      <w:r w:rsidR="00FE7E63" w:rsidRPr="00494D70">
        <w:rPr>
          <w:rFonts w:ascii="Times New Roman" w:eastAsia="Calibri" w:hAnsi="Times New Roman" w:cs="Times New Roman"/>
          <w:sz w:val="24"/>
          <w:szCs w:val="24"/>
        </w:rPr>
        <w:t xml:space="preserve">translate </w:t>
      </w:r>
      <w:r w:rsidR="00E6136B" w:rsidRPr="00494D70">
        <w:rPr>
          <w:rFonts w:ascii="Times New Roman" w:eastAsia="Calibri" w:hAnsi="Times New Roman" w:cs="Times New Roman"/>
          <w:sz w:val="24"/>
          <w:szCs w:val="24"/>
        </w:rPr>
        <w:t xml:space="preserve">and </w:t>
      </w:r>
      <w:r w:rsidR="00FE7E63" w:rsidRPr="00494D70">
        <w:rPr>
          <w:rFonts w:ascii="Times New Roman" w:eastAsia="Calibri" w:hAnsi="Times New Roman" w:cs="Times New Roman"/>
          <w:sz w:val="24"/>
          <w:szCs w:val="24"/>
        </w:rPr>
        <w:t xml:space="preserve">validate </w:t>
      </w:r>
      <w:r w:rsidR="00694079" w:rsidRPr="00494D70">
        <w:rPr>
          <w:rFonts w:ascii="Times New Roman" w:eastAsia="Calibri" w:hAnsi="Times New Roman" w:cs="Times New Roman"/>
          <w:sz w:val="24"/>
          <w:szCs w:val="24"/>
        </w:rPr>
        <w:t>a</w:t>
      </w:r>
      <w:r w:rsidR="00FE7E63" w:rsidRPr="00494D70">
        <w:rPr>
          <w:rFonts w:ascii="Times New Roman" w:eastAsia="Calibri" w:hAnsi="Times New Roman" w:cs="Times New Roman"/>
          <w:sz w:val="24"/>
          <w:szCs w:val="24"/>
        </w:rPr>
        <w:t xml:space="preserve"> </w:t>
      </w:r>
      <w:r w:rsidR="003775F3" w:rsidRPr="00494D70">
        <w:rPr>
          <w:rFonts w:ascii="Times New Roman" w:eastAsia="Calibri" w:hAnsi="Times New Roman" w:cs="Times New Roman"/>
          <w:sz w:val="24"/>
          <w:szCs w:val="24"/>
        </w:rPr>
        <w:t xml:space="preserve">short version of the </w:t>
      </w:r>
      <w:r w:rsidR="00FE7E63" w:rsidRPr="00494D70">
        <w:rPr>
          <w:rFonts w:ascii="Times New Roman" w:eastAsia="Calibri" w:hAnsi="Times New Roman" w:cs="Times New Roman"/>
          <w:sz w:val="24"/>
          <w:szCs w:val="24"/>
        </w:rPr>
        <w:t>Sexual Assertiveness Questionnaire</w:t>
      </w:r>
      <w:r w:rsidR="00C607D0" w:rsidRPr="00494D70">
        <w:rPr>
          <w:rFonts w:ascii="Times New Roman" w:eastAsia="Calibri" w:hAnsi="Times New Roman" w:cs="Times New Roman"/>
          <w:sz w:val="24"/>
          <w:szCs w:val="24"/>
        </w:rPr>
        <w:t xml:space="preserve"> (SAQ-9)</w:t>
      </w:r>
      <w:r w:rsidR="00FE7E63" w:rsidRPr="00494D70">
        <w:rPr>
          <w:rFonts w:ascii="Times New Roman" w:eastAsia="Calibri" w:hAnsi="Times New Roman" w:cs="Times New Roman"/>
          <w:sz w:val="24"/>
          <w:szCs w:val="24"/>
        </w:rPr>
        <w:t xml:space="preserve"> </w:t>
      </w:r>
      <w:r w:rsidR="00FE7E63"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{"citationID":"5rxPF4BM","properties":{"formattedCitation":"(Loshek &amp; Terrell, 2015)","plainCitation":"(Loshek &amp; Terrell, 2015)","noteIndex":0},"citationItems":[{"id":3118,"uris":["http://zotero.org/users/7402913/items/CJJXYKMQ"],"itemData":{"id":3118,"type":"article-journal","abstract":"Sexual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discussed.","container-title":"Journal of Sex Research","DOI":"10.1080/00224499.2014.944970","ISSN":"1559-8519","issue":"9","journalAbbreviation":"J Sex Res","language":"eng","note":"PMID: 25211014","page":"1017-1027","source":"PubMed","title":"The Development of the Sexual Assertiveness Questionnaire (SAQ): A Comprehensive Measure of Sexual Assertiveness for Women","title-short":"The Development of the Sexual Assertiveness Questionnaire (SAQ)","volume":"52","author":[{"family":"Loshek","given":"Eevett"},{"family":"Terrell","given":"Heather K."}],"issued":{"date-parts":[["2015"]]}}}],"schema":"https://github.com/citation-style-language/schema/raw/master/csl-citation.json"} </w:instrText>
      </w:r>
      <w:r w:rsidR="00FE7E63" w:rsidRPr="00494D70">
        <w:rPr>
          <w:rFonts w:ascii="Times New Roman" w:eastAsia="Calibri" w:hAnsi="Times New Roman" w:cs="Times New Roman"/>
          <w:sz w:val="24"/>
          <w:szCs w:val="24"/>
        </w:rPr>
        <w:fldChar w:fldCharType="separate"/>
      </w:r>
      <w:r w:rsidR="00242995" w:rsidRPr="00494D70">
        <w:rPr>
          <w:rFonts w:ascii="Times New Roman" w:hAnsi="Times New Roman" w:cs="Times New Roman"/>
          <w:sz w:val="24"/>
        </w:rPr>
        <w:t>(Loshek &amp; Terrell, 2015)</w:t>
      </w:r>
      <w:r w:rsidR="00FE7E63" w:rsidRPr="00494D70">
        <w:rPr>
          <w:rFonts w:ascii="Times New Roman" w:eastAsia="Calibri" w:hAnsi="Times New Roman" w:cs="Times New Roman"/>
          <w:sz w:val="24"/>
          <w:szCs w:val="24"/>
        </w:rPr>
        <w:fldChar w:fldCharType="end"/>
      </w:r>
      <w:r w:rsidR="00FE7E63" w:rsidRPr="00494D70">
        <w:rPr>
          <w:rFonts w:ascii="Times New Roman" w:eastAsia="Calibri" w:hAnsi="Times New Roman" w:cs="Times New Roman"/>
          <w:sz w:val="24"/>
          <w:szCs w:val="24"/>
        </w:rPr>
        <w:t xml:space="preserve"> </w:t>
      </w:r>
      <w:r w:rsidR="00E6136B" w:rsidRPr="00494D70">
        <w:rPr>
          <w:rFonts w:ascii="Times New Roman" w:eastAsia="Calibri" w:hAnsi="Times New Roman" w:cs="Times New Roman"/>
          <w:sz w:val="24"/>
          <w:szCs w:val="24"/>
        </w:rPr>
        <w:t>in 2</w:t>
      </w:r>
      <w:r w:rsidR="00D12A6D" w:rsidRPr="00494D70">
        <w:rPr>
          <w:rFonts w:ascii="Times New Roman" w:eastAsia="Calibri" w:hAnsi="Times New Roman" w:cs="Times New Roman"/>
          <w:sz w:val="24"/>
          <w:szCs w:val="24"/>
        </w:rPr>
        <w:t>6</w:t>
      </w:r>
      <w:r w:rsidR="00E6136B" w:rsidRPr="00494D70">
        <w:rPr>
          <w:rFonts w:ascii="Times New Roman" w:eastAsia="Calibri" w:hAnsi="Times New Roman" w:cs="Times New Roman"/>
          <w:sz w:val="24"/>
          <w:szCs w:val="24"/>
        </w:rPr>
        <w:t xml:space="preserve"> languages </w:t>
      </w:r>
      <w:r w:rsidR="00FE7E63" w:rsidRPr="00494D70">
        <w:rPr>
          <w:rFonts w:ascii="Times New Roman" w:eastAsia="Calibri" w:hAnsi="Times New Roman" w:cs="Times New Roman"/>
          <w:sz w:val="24"/>
          <w:szCs w:val="24"/>
        </w:rPr>
        <w:t xml:space="preserve">and to </w:t>
      </w:r>
      <w:r w:rsidR="00F434CB" w:rsidRPr="00494D70">
        <w:rPr>
          <w:rFonts w:ascii="Times New Roman" w:eastAsia="Calibri" w:hAnsi="Times New Roman" w:cs="Times New Roman"/>
          <w:sz w:val="24"/>
          <w:szCs w:val="24"/>
        </w:rPr>
        <w:t xml:space="preserve">provide a comprehensive examination of its psychometric properties. </w:t>
      </w:r>
      <w:r w:rsidR="00A12FEA" w:rsidRPr="00494D70">
        <w:rPr>
          <w:rFonts w:ascii="Times New Roman" w:eastAsia="Calibri" w:hAnsi="Times New Roman" w:cs="Times New Roman"/>
          <w:sz w:val="24"/>
          <w:szCs w:val="24"/>
        </w:rPr>
        <w:t xml:space="preserve">First, we </w:t>
      </w:r>
      <w:r w:rsidR="00FA51BD" w:rsidRPr="00494D70">
        <w:rPr>
          <w:rFonts w:ascii="Times New Roman" w:eastAsia="Calibri" w:hAnsi="Times New Roman" w:cs="Times New Roman"/>
          <w:sz w:val="24"/>
          <w:szCs w:val="24"/>
        </w:rPr>
        <w:t>examine</w:t>
      </w:r>
      <w:r w:rsidR="001F3F6D" w:rsidRPr="00494D70">
        <w:rPr>
          <w:rFonts w:ascii="Times New Roman" w:eastAsia="Calibri" w:hAnsi="Times New Roman" w:cs="Times New Roman"/>
          <w:sz w:val="24"/>
          <w:szCs w:val="24"/>
        </w:rPr>
        <w:t>d</w:t>
      </w:r>
      <w:r w:rsidR="00FA51BD" w:rsidRPr="00494D70">
        <w:rPr>
          <w:rFonts w:ascii="Times New Roman" w:eastAsia="Calibri" w:hAnsi="Times New Roman" w:cs="Times New Roman"/>
          <w:sz w:val="24"/>
          <w:szCs w:val="24"/>
        </w:rPr>
        <w:t xml:space="preserve"> </w:t>
      </w:r>
      <w:r w:rsidR="00A12FEA" w:rsidRPr="00494D70">
        <w:rPr>
          <w:rFonts w:ascii="Times New Roman" w:eastAsia="Calibri" w:hAnsi="Times New Roman" w:cs="Times New Roman"/>
          <w:sz w:val="24"/>
          <w:szCs w:val="24"/>
        </w:rPr>
        <w:t xml:space="preserve">the factor structure of the </w:t>
      </w:r>
      <w:r w:rsidR="009B3A0E" w:rsidRPr="00494D70">
        <w:rPr>
          <w:rFonts w:ascii="Times New Roman" w:eastAsia="Calibri" w:hAnsi="Times New Roman" w:cs="Times New Roman"/>
          <w:sz w:val="24"/>
          <w:szCs w:val="24"/>
        </w:rPr>
        <w:t>scale</w:t>
      </w:r>
      <w:r w:rsidR="00A12FEA" w:rsidRPr="00494D70">
        <w:rPr>
          <w:rFonts w:ascii="Times New Roman" w:eastAsia="Calibri" w:hAnsi="Times New Roman" w:cs="Times New Roman"/>
          <w:sz w:val="24"/>
          <w:szCs w:val="24"/>
        </w:rPr>
        <w:t>. Second, we examine</w:t>
      </w:r>
      <w:r w:rsidR="001F3F6D" w:rsidRPr="00494D70">
        <w:rPr>
          <w:rFonts w:ascii="Times New Roman" w:eastAsia="Calibri" w:hAnsi="Times New Roman" w:cs="Times New Roman"/>
          <w:sz w:val="24"/>
          <w:szCs w:val="24"/>
        </w:rPr>
        <w:t>d</w:t>
      </w:r>
      <w:r w:rsidR="009B3A0E" w:rsidRPr="00494D70">
        <w:rPr>
          <w:rFonts w:ascii="Times New Roman" w:eastAsia="Calibri" w:hAnsi="Times New Roman" w:cs="Times New Roman"/>
          <w:sz w:val="24"/>
          <w:szCs w:val="24"/>
        </w:rPr>
        <w:t xml:space="preserve"> its</w:t>
      </w:r>
      <w:r w:rsidR="00A12FEA" w:rsidRPr="00494D70">
        <w:rPr>
          <w:rFonts w:ascii="Times New Roman" w:eastAsia="Calibri" w:hAnsi="Times New Roman" w:cs="Times New Roman"/>
          <w:sz w:val="24"/>
          <w:szCs w:val="24"/>
        </w:rPr>
        <w:t xml:space="preserve"> measurement invariance across different </w:t>
      </w:r>
      <w:r w:rsidR="00393109" w:rsidRPr="00494D70">
        <w:rPr>
          <w:rFonts w:ascii="Times New Roman" w:eastAsia="Calibri" w:hAnsi="Times New Roman" w:cs="Times New Roman"/>
          <w:sz w:val="24"/>
          <w:szCs w:val="24"/>
        </w:rPr>
        <w:t>language versions</w:t>
      </w:r>
      <w:r w:rsidR="00E452FA" w:rsidRPr="00494D70">
        <w:rPr>
          <w:rFonts w:ascii="Times New Roman" w:eastAsia="Calibri" w:hAnsi="Times New Roman" w:cs="Times New Roman"/>
          <w:sz w:val="24"/>
          <w:szCs w:val="24"/>
        </w:rPr>
        <w:t xml:space="preserve">, </w:t>
      </w:r>
      <w:r w:rsidR="00A12FEA" w:rsidRPr="00494D70">
        <w:rPr>
          <w:rFonts w:ascii="Times New Roman" w:eastAsia="Calibri" w:hAnsi="Times New Roman" w:cs="Times New Roman"/>
          <w:sz w:val="24"/>
          <w:szCs w:val="24"/>
        </w:rPr>
        <w:t xml:space="preserve">countries, genders, sexual orientations, and relationship statuses to ensure that meaningful comparisons </w:t>
      </w:r>
      <w:r w:rsidR="00C219B6" w:rsidRPr="00494D70">
        <w:rPr>
          <w:rFonts w:ascii="Times New Roman" w:eastAsia="Calibri" w:hAnsi="Times New Roman" w:cs="Times New Roman"/>
          <w:sz w:val="24"/>
          <w:szCs w:val="24"/>
        </w:rPr>
        <w:t xml:space="preserve">could </w:t>
      </w:r>
      <w:r w:rsidR="00A12FEA" w:rsidRPr="00494D70">
        <w:rPr>
          <w:rFonts w:ascii="Times New Roman" w:eastAsia="Calibri" w:hAnsi="Times New Roman" w:cs="Times New Roman"/>
          <w:sz w:val="24"/>
          <w:szCs w:val="24"/>
        </w:rPr>
        <w:t xml:space="preserve">be made across these groups. </w:t>
      </w:r>
      <w:r w:rsidR="00DC3BB5" w:rsidRPr="00494D70">
        <w:rPr>
          <w:rFonts w:ascii="Times New Roman" w:eastAsia="Calibri" w:hAnsi="Times New Roman" w:cs="Times New Roman"/>
          <w:sz w:val="24"/>
          <w:szCs w:val="24"/>
        </w:rPr>
        <w:t>Then</w:t>
      </w:r>
      <w:r w:rsidR="00A12FEA" w:rsidRPr="00494D70">
        <w:rPr>
          <w:rFonts w:ascii="Times New Roman" w:eastAsia="Calibri" w:hAnsi="Times New Roman" w:cs="Times New Roman"/>
          <w:sz w:val="24"/>
          <w:szCs w:val="24"/>
        </w:rPr>
        <w:t>, we assess</w:t>
      </w:r>
      <w:r w:rsidR="00591D27" w:rsidRPr="00494D70">
        <w:rPr>
          <w:rFonts w:ascii="Times New Roman" w:eastAsia="Calibri" w:hAnsi="Times New Roman" w:cs="Times New Roman"/>
          <w:sz w:val="24"/>
          <w:szCs w:val="24"/>
        </w:rPr>
        <w:t>ed</w:t>
      </w:r>
      <w:r w:rsidR="00A12FEA" w:rsidRPr="00494D70">
        <w:rPr>
          <w:rFonts w:ascii="Times New Roman" w:eastAsia="Calibri" w:hAnsi="Times New Roman" w:cs="Times New Roman"/>
          <w:sz w:val="24"/>
          <w:szCs w:val="24"/>
        </w:rPr>
        <w:t xml:space="preserve"> </w:t>
      </w:r>
      <w:r w:rsidR="001C4F77" w:rsidRPr="00494D70">
        <w:rPr>
          <w:rFonts w:ascii="Times New Roman" w:eastAsia="Calibri" w:hAnsi="Times New Roman" w:cs="Times New Roman"/>
          <w:sz w:val="24"/>
          <w:szCs w:val="24"/>
        </w:rPr>
        <w:t>its</w:t>
      </w:r>
      <w:r w:rsidR="00A12FEA" w:rsidRPr="00494D70">
        <w:rPr>
          <w:rFonts w:ascii="Times New Roman" w:eastAsia="Calibri" w:hAnsi="Times New Roman" w:cs="Times New Roman"/>
          <w:sz w:val="24"/>
          <w:szCs w:val="24"/>
        </w:rPr>
        <w:t xml:space="preserve"> reliability,</w:t>
      </w:r>
      <w:r w:rsidR="00DC3BB5" w:rsidRPr="00494D70">
        <w:rPr>
          <w:rFonts w:ascii="Times New Roman" w:eastAsia="Calibri" w:hAnsi="Times New Roman" w:cs="Times New Roman"/>
          <w:sz w:val="24"/>
          <w:szCs w:val="24"/>
        </w:rPr>
        <w:t xml:space="preserve"> and</w:t>
      </w:r>
      <w:r w:rsidR="00A12FEA" w:rsidRPr="00494D70">
        <w:rPr>
          <w:rFonts w:ascii="Times New Roman" w:eastAsia="Calibri" w:hAnsi="Times New Roman" w:cs="Times New Roman"/>
          <w:sz w:val="24"/>
          <w:szCs w:val="24"/>
        </w:rPr>
        <w:t xml:space="preserve"> compare</w:t>
      </w:r>
      <w:r w:rsidR="003D1A5D" w:rsidRPr="00494D70">
        <w:rPr>
          <w:rFonts w:ascii="Times New Roman" w:eastAsia="Calibri" w:hAnsi="Times New Roman" w:cs="Times New Roman"/>
          <w:sz w:val="24"/>
          <w:szCs w:val="24"/>
        </w:rPr>
        <w:t>d</w:t>
      </w:r>
      <w:r w:rsidR="00A12FEA" w:rsidRPr="00494D70">
        <w:rPr>
          <w:rFonts w:ascii="Times New Roman" w:eastAsia="Calibri" w:hAnsi="Times New Roman" w:cs="Times New Roman"/>
          <w:sz w:val="24"/>
          <w:szCs w:val="24"/>
        </w:rPr>
        <w:t xml:space="preserve"> </w:t>
      </w:r>
      <w:r w:rsidR="00275C30" w:rsidRPr="00494D70">
        <w:rPr>
          <w:rFonts w:ascii="Times New Roman" w:eastAsia="Calibri" w:hAnsi="Times New Roman" w:cs="Times New Roman"/>
          <w:sz w:val="24"/>
          <w:szCs w:val="24"/>
        </w:rPr>
        <w:t>country-, gender-</w:t>
      </w:r>
      <w:r w:rsidR="000A4552" w:rsidRPr="00494D70">
        <w:rPr>
          <w:rFonts w:ascii="Times New Roman" w:eastAsia="Calibri" w:hAnsi="Times New Roman" w:cs="Times New Roman"/>
          <w:sz w:val="24"/>
          <w:szCs w:val="24"/>
        </w:rPr>
        <w:t>identity-</w:t>
      </w:r>
      <w:r w:rsidR="00275C30" w:rsidRPr="00494D70">
        <w:rPr>
          <w:rFonts w:ascii="Times New Roman" w:eastAsia="Calibri" w:hAnsi="Times New Roman" w:cs="Times New Roman"/>
          <w:sz w:val="24"/>
          <w:szCs w:val="24"/>
        </w:rPr>
        <w:t>, sexual</w:t>
      </w:r>
      <w:r w:rsidR="00C219B6" w:rsidRPr="00494D70">
        <w:rPr>
          <w:rFonts w:ascii="Times New Roman" w:eastAsia="Calibri" w:hAnsi="Times New Roman" w:cs="Times New Roman"/>
          <w:sz w:val="24"/>
          <w:szCs w:val="24"/>
        </w:rPr>
        <w:t>-</w:t>
      </w:r>
      <w:r w:rsidR="00275C30" w:rsidRPr="00494D70">
        <w:rPr>
          <w:rFonts w:ascii="Times New Roman" w:eastAsia="Calibri" w:hAnsi="Times New Roman" w:cs="Times New Roman"/>
          <w:sz w:val="24"/>
          <w:szCs w:val="24"/>
        </w:rPr>
        <w:t>orientation- and relationship</w:t>
      </w:r>
      <w:r w:rsidR="00C219B6" w:rsidRPr="00494D70">
        <w:rPr>
          <w:rFonts w:ascii="Times New Roman" w:eastAsia="Calibri" w:hAnsi="Times New Roman" w:cs="Times New Roman"/>
          <w:sz w:val="24"/>
          <w:szCs w:val="24"/>
        </w:rPr>
        <w:t>-</w:t>
      </w:r>
      <w:r w:rsidR="00275C30" w:rsidRPr="00494D70">
        <w:rPr>
          <w:rFonts w:ascii="Times New Roman" w:eastAsia="Calibri" w:hAnsi="Times New Roman" w:cs="Times New Roman"/>
          <w:sz w:val="24"/>
          <w:szCs w:val="24"/>
        </w:rPr>
        <w:t xml:space="preserve">status-based groups </w:t>
      </w:r>
      <w:r w:rsidR="00A12FEA" w:rsidRPr="00494D70">
        <w:rPr>
          <w:rFonts w:ascii="Times New Roman" w:eastAsia="Calibri" w:hAnsi="Times New Roman" w:cs="Times New Roman"/>
          <w:sz w:val="24"/>
          <w:szCs w:val="24"/>
        </w:rPr>
        <w:t xml:space="preserve">along </w:t>
      </w:r>
      <w:r w:rsidR="00F25047" w:rsidRPr="00494D70">
        <w:rPr>
          <w:rFonts w:ascii="Times New Roman" w:eastAsia="Calibri" w:hAnsi="Times New Roman" w:cs="Times New Roman"/>
          <w:sz w:val="24"/>
          <w:szCs w:val="24"/>
        </w:rPr>
        <w:t>SA</w:t>
      </w:r>
      <w:r w:rsidR="00A12FEA" w:rsidRPr="00494D70">
        <w:rPr>
          <w:rFonts w:ascii="Times New Roman" w:eastAsia="Calibri" w:hAnsi="Times New Roman" w:cs="Times New Roman"/>
          <w:sz w:val="24"/>
          <w:szCs w:val="24"/>
        </w:rPr>
        <w:t xml:space="preserve"> and its domains, </w:t>
      </w:r>
      <w:r w:rsidR="00B1441E" w:rsidRPr="00494D70">
        <w:rPr>
          <w:rFonts w:ascii="Times New Roman" w:eastAsia="Calibri" w:hAnsi="Times New Roman" w:cs="Times New Roman"/>
          <w:sz w:val="24"/>
          <w:szCs w:val="24"/>
        </w:rPr>
        <w:t>to</w:t>
      </w:r>
      <w:r w:rsidR="00A12FEA" w:rsidRPr="00494D70">
        <w:rPr>
          <w:rFonts w:ascii="Times New Roman" w:eastAsia="Calibri" w:hAnsi="Times New Roman" w:cs="Times New Roman"/>
          <w:sz w:val="24"/>
          <w:szCs w:val="24"/>
        </w:rPr>
        <w:t xml:space="preserve"> provide </w:t>
      </w:r>
      <w:r w:rsidR="00F25047" w:rsidRPr="00494D70">
        <w:rPr>
          <w:rFonts w:ascii="Times New Roman" w:eastAsia="Calibri" w:hAnsi="Times New Roman" w:cs="Times New Roman"/>
          <w:sz w:val="24"/>
          <w:szCs w:val="24"/>
        </w:rPr>
        <w:t xml:space="preserve">further </w:t>
      </w:r>
      <w:r w:rsidR="00A12FEA" w:rsidRPr="00494D70">
        <w:rPr>
          <w:rFonts w:ascii="Times New Roman" w:eastAsia="Calibri" w:hAnsi="Times New Roman" w:cs="Times New Roman"/>
          <w:sz w:val="24"/>
          <w:szCs w:val="24"/>
        </w:rPr>
        <w:t xml:space="preserve">insight into </w:t>
      </w:r>
      <w:r w:rsidR="00E12B6E" w:rsidRPr="00494D70">
        <w:rPr>
          <w:rFonts w:ascii="Times New Roman" w:eastAsia="Calibri" w:hAnsi="Times New Roman" w:cs="Times New Roman"/>
          <w:sz w:val="24"/>
          <w:szCs w:val="24"/>
        </w:rPr>
        <w:t xml:space="preserve">potential </w:t>
      </w:r>
      <w:r w:rsidR="00A12FEA" w:rsidRPr="00494D70">
        <w:rPr>
          <w:rFonts w:ascii="Times New Roman" w:eastAsia="Calibri" w:hAnsi="Times New Roman" w:cs="Times New Roman"/>
          <w:sz w:val="24"/>
          <w:szCs w:val="24"/>
        </w:rPr>
        <w:t>differences across different demographic groups.</w:t>
      </w:r>
      <w:r w:rsidR="001D00DB" w:rsidRPr="00494D70">
        <w:rPr>
          <w:rFonts w:ascii="Times New Roman" w:eastAsia="Calibri" w:hAnsi="Times New Roman" w:cs="Times New Roman"/>
          <w:sz w:val="24"/>
          <w:szCs w:val="24"/>
        </w:rPr>
        <w:t xml:space="preserve"> </w:t>
      </w:r>
      <w:r w:rsidR="00801296" w:rsidRPr="00494D70">
        <w:rPr>
          <w:rFonts w:ascii="Times New Roman" w:eastAsia="Calibri" w:hAnsi="Times New Roman" w:cs="Times New Roman"/>
          <w:sz w:val="24"/>
          <w:szCs w:val="24"/>
        </w:rPr>
        <w:t>To our knowledge, n</w:t>
      </w:r>
      <w:r w:rsidR="006B5625" w:rsidRPr="00494D70">
        <w:rPr>
          <w:rFonts w:ascii="Times New Roman" w:eastAsia="Calibri" w:hAnsi="Times New Roman" w:cs="Times New Roman"/>
          <w:sz w:val="24"/>
          <w:szCs w:val="24"/>
        </w:rPr>
        <w:t xml:space="preserve">o prior studies </w:t>
      </w:r>
      <w:r w:rsidR="005472DE" w:rsidRPr="00494D70">
        <w:rPr>
          <w:rFonts w:ascii="Times New Roman" w:eastAsia="Calibri" w:hAnsi="Times New Roman" w:cs="Times New Roman"/>
          <w:sz w:val="24"/>
          <w:szCs w:val="24"/>
        </w:rPr>
        <w:t xml:space="preserve">have </w:t>
      </w:r>
      <w:r w:rsidR="006B5625" w:rsidRPr="00494D70">
        <w:rPr>
          <w:rFonts w:ascii="Times New Roman" w:eastAsia="Calibri" w:hAnsi="Times New Roman" w:cs="Times New Roman"/>
          <w:sz w:val="24"/>
          <w:szCs w:val="24"/>
        </w:rPr>
        <w:t xml:space="preserve">compared individuals’ SA across </w:t>
      </w:r>
      <w:r w:rsidR="002F312C" w:rsidRPr="00494D70">
        <w:rPr>
          <w:rFonts w:ascii="Times New Roman" w:eastAsia="Calibri" w:hAnsi="Times New Roman" w:cs="Times New Roman"/>
          <w:sz w:val="24"/>
          <w:szCs w:val="24"/>
        </w:rPr>
        <w:t>countries</w:t>
      </w:r>
      <w:r w:rsidR="007C0E2D" w:rsidRPr="00494D70">
        <w:rPr>
          <w:rFonts w:ascii="Times New Roman" w:eastAsia="Calibri" w:hAnsi="Times New Roman" w:cs="Times New Roman"/>
          <w:sz w:val="24"/>
          <w:szCs w:val="24"/>
        </w:rPr>
        <w:t xml:space="preserve"> or</w:t>
      </w:r>
      <w:r w:rsidR="002F312C" w:rsidRPr="00494D70">
        <w:rPr>
          <w:rFonts w:ascii="Times New Roman" w:eastAsia="Calibri" w:hAnsi="Times New Roman" w:cs="Times New Roman"/>
          <w:sz w:val="24"/>
          <w:szCs w:val="24"/>
        </w:rPr>
        <w:t xml:space="preserve"> </w:t>
      </w:r>
      <w:r w:rsidR="006B5625" w:rsidRPr="00494D70">
        <w:rPr>
          <w:rFonts w:ascii="Times New Roman" w:eastAsia="Calibri" w:hAnsi="Times New Roman" w:cs="Times New Roman"/>
          <w:sz w:val="24"/>
          <w:szCs w:val="24"/>
        </w:rPr>
        <w:t>sexual orientations</w:t>
      </w:r>
      <w:r w:rsidR="00C219B6" w:rsidRPr="00494D70">
        <w:rPr>
          <w:rFonts w:ascii="Times New Roman" w:eastAsia="Calibri" w:hAnsi="Times New Roman" w:cs="Times New Roman"/>
          <w:sz w:val="24"/>
          <w:szCs w:val="24"/>
        </w:rPr>
        <w:t>,</w:t>
      </w:r>
      <w:r w:rsidR="001D00DB" w:rsidRPr="00494D70">
        <w:rPr>
          <w:rFonts w:ascii="Times New Roman" w:eastAsia="Calibri" w:hAnsi="Times New Roman" w:cs="Times New Roman"/>
          <w:sz w:val="24"/>
          <w:szCs w:val="24"/>
        </w:rPr>
        <w:t xml:space="preserve"> and e</w:t>
      </w:r>
      <w:r w:rsidR="00BA499E" w:rsidRPr="00494D70">
        <w:rPr>
          <w:rFonts w:ascii="Times New Roman" w:eastAsia="Calibri" w:hAnsi="Times New Roman" w:cs="Times New Roman"/>
          <w:sz w:val="24"/>
          <w:szCs w:val="24"/>
        </w:rPr>
        <w:t xml:space="preserve">vidence </w:t>
      </w:r>
      <w:r w:rsidR="0094361A" w:rsidRPr="00494D70">
        <w:rPr>
          <w:rFonts w:ascii="Times New Roman" w:eastAsia="Calibri" w:hAnsi="Times New Roman" w:cs="Times New Roman"/>
          <w:sz w:val="24"/>
          <w:szCs w:val="24"/>
        </w:rPr>
        <w:t>regarding</w:t>
      </w:r>
      <w:r w:rsidR="00BA499E" w:rsidRPr="00494D70">
        <w:rPr>
          <w:rFonts w:ascii="Times New Roman" w:eastAsia="Calibri" w:hAnsi="Times New Roman" w:cs="Times New Roman"/>
          <w:sz w:val="24"/>
          <w:szCs w:val="24"/>
        </w:rPr>
        <w:t xml:space="preserve"> gender differe</w:t>
      </w:r>
      <w:r w:rsidR="00F517B6" w:rsidRPr="00494D70">
        <w:rPr>
          <w:rFonts w:ascii="Times New Roman" w:eastAsia="Calibri" w:hAnsi="Times New Roman" w:cs="Times New Roman"/>
          <w:sz w:val="24"/>
          <w:szCs w:val="24"/>
        </w:rPr>
        <w:t xml:space="preserve">nces </w:t>
      </w:r>
      <w:r w:rsidR="00C219B6" w:rsidRPr="00494D70">
        <w:rPr>
          <w:rFonts w:ascii="Times New Roman" w:eastAsia="Calibri" w:hAnsi="Times New Roman" w:cs="Times New Roman"/>
          <w:sz w:val="24"/>
          <w:szCs w:val="24"/>
        </w:rPr>
        <w:t xml:space="preserve">has been arguably </w:t>
      </w:r>
      <w:r w:rsidR="00F517B6" w:rsidRPr="00494D70">
        <w:rPr>
          <w:rFonts w:ascii="Times New Roman" w:eastAsia="Calibri" w:hAnsi="Times New Roman" w:cs="Times New Roman"/>
          <w:sz w:val="24"/>
          <w:szCs w:val="24"/>
        </w:rPr>
        <w:t>inconsistent and</w:t>
      </w:r>
      <w:r w:rsidR="00C219B6" w:rsidRPr="00494D70">
        <w:rPr>
          <w:rFonts w:ascii="Times New Roman" w:eastAsia="Calibri" w:hAnsi="Times New Roman" w:cs="Times New Roman"/>
          <w:sz w:val="24"/>
          <w:szCs w:val="24"/>
        </w:rPr>
        <w:t>/or</w:t>
      </w:r>
      <w:r w:rsidR="00F517B6" w:rsidRPr="00494D70">
        <w:rPr>
          <w:rFonts w:ascii="Times New Roman" w:eastAsia="Calibri" w:hAnsi="Times New Roman" w:cs="Times New Roman"/>
          <w:sz w:val="24"/>
          <w:szCs w:val="24"/>
        </w:rPr>
        <w:t xml:space="preserve"> not applicable for </w:t>
      </w:r>
      <w:r w:rsidR="00702E4F" w:rsidRPr="00494D70">
        <w:rPr>
          <w:rFonts w:ascii="Times New Roman" w:eastAsia="Calibri" w:hAnsi="Times New Roman" w:cs="Times New Roman"/>
          <w:sz w:val="24"/>
          <w:szCs w:val="24"/>
        </w:rPr>
        <w:t xml:space="preserve">individuals outside of the gender binary. </w:t>
      </w:r>
      <w:r w:rsidR="00A10C59" w:rsidRPr="00494D70">
        <w:rPr>
          <w:rFonts w:ascii="Times New Roman" w:eastAsia="Calibri" w:hAnsi="Times New Roman" w:cs="Times New Roman"/>
          <w:sz w:val="24"/>
          <w:szCs w:val="24"/>
        </w:rPr>
        <w:t xml:space="preserve">To our knowledge, only one recent paper examined relationship status </w:t>
      </w:r>
      <w:r w:rsidR="0076256A" w:rsidRPr="00494D70">
        <w:rPr>
          <w:rFonts w:ascii="Times New Roman" w:eastAsia="Calibri" w:hAnsi="Times New Roman" w:cs="Times New Roman"/>
          <w:sz w:val="24"/>
          <w:szCs w:val="24"/>
        </w:rPr>
        <w:t xml:space="preserve">in </w:t>
      </w:r>
      <w:r w:rsidR="0076256A" w:rsidRPr="00494D70">
        <w:rPr>
          <w:rFonts w:ascii="Times New Roman" w:eastAsia="Calibri" w:hAnsi="Times New Roman" w:cs="Times New Roman"/>
          <w:sz w:val="24"/>
          <w:szCs w:val="24"/>
        </w:rPr>
        <w:lastRenderedPageBreak/>
        <w:t xml:space="preserve">relation to SA, which found no association </w:t>
      </w:r>
      <w:r w:rsidR="00EB2943" w:rsidRPr="00494D70">
        <w:rPr>
          <w:rFonts w:ascii="Times New Roman" w:eastAsia="Calibri" w:hAnsi="Times New Roman" w:cs="Times New Roman"/>
          <w:sz w:val="24"/>
          <w:szCs w:val="24"/>
        </w:rPr>
        <w:t xml:space="preserve">between the </w:t>
      </w:r>
      <w:r w:rsidR="00B46127" w:rsidRPr="00494D70">
        <w:rPr>
          <w:rFonts w:ascii="Times New Roman" w:eastAsia="Calibri" w:hAnsi="Times New Roman" w:cs="Times New Roman"/>
          <w:sz w:val="24"/>
          <w:szCs w:val="24"/>
        </w:rPr>
        <w:t>constructs</w:t>
      </w:r>
      <w:r w:rsidR="00EB2943" w:rsidRPr="00494D70">
        <w:rPr>
          <w:rFonts w:ascii="Times New Roman" w:eastAsia="Calibri" w:hAnsi="Times New Roman" w:cs="Times New Roman"/>
          <w:sz w:val="24"/>
          <w:szCs w:val="24"/>
        </w:rPr>
        <w:t xml:space="preserve"> </w:t>
      </w:r>
      <w:r w:rsidR="00EB2943"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{"citationID":"Gk67laJu","properties":{"formattedCitation":"(Lopez-Alvarado et al., 2022)","plainCitation":"(Lopez-Alvarado et al., 2022)","noteIndex":0},"citationItems":[{"id":4926,"uris":["http://zotero.org/users/7402913/items/H37XNI6U"],"itemData":{"id":4926,"type":"article-journal","abstract":"Objective: Sexual assertiveness (SA), i.e., the ability to communicate thoughts and desires that may be translated into satisfying sexual activity within an intimate relationship, is important for safe and satisfying sexual behavior. In an attempt to unravel which cultural, relational, and individual variables are related to the development of SA in emerging adults, an exploratory study was conducted in Cuenca, Ecuador. Methods: Five hundred and thirty-eight participants completed scales that measured their levels of SA, endorsement of the sexual double standard, relationship satisfaction, and mental well-being. Results: This study showed a negative effect of the sexual double standard on SA in both men and women and this effect was slightly tempered by the level of education. Women reported higher levels of SA than men. In women, SA was associated with general mental well-being and relationship satisfaction; but not in men. For both women and men, no association was found with relationship status or duration. Conclusions: These findings corroborate evidence highlighting the importance of SA for healthy sexual relationships and emphasize the importance of (sex) education for SA for lower educated women and men. The results are discussed in relation to findings on SA in other contexts.","archive_location":"WOS:000834908700001","container-title":"International Journal of Sexual Health","DOI":"10.1080/19317611.2022.2106527","ISSN":"1931-7611","issue":"4","language":"English","page":"679-690","title":"Sexual Assertiveness and Its Correlates in Emerging Adults: An Exploratory Study in Cuenca (Ecuador)","volume":"34","author":[{"family":"Lopez-Alvarado","given":"S"},{"family":"Prekatsounaki","given":"S"},{"family":"Van Parys","given":"H"},{"family":"Enzlin","given":"P"}],"issued":{"date-parts":[["2022",10,2]]}}}],"schema":"https://github.com/citation-style-language/schema/raw/master/csl-citation.json"} </w:instrText>
      </w:r>
      <w:r w:rsidR="00EB2943" w:rsidRPr="00494D70">
        <w:rPr>
          <w:rFonts w:ascii="Times New Roman" w:eastAsia="Calibri" w:hAnsi="Times New Roman" w:cs="Times New Roman"/>
          <w:sz w:val="24"/>
          <w:szCs w:val="24"/>
        </w:rPr>
        <w:fldChar w:fldCharType="separate"/>
      </w:r>
      <w:r w:rsidR="00EB2943" w:rsidRPr="00494D70">
        <w:rPr>
          <w:rFonts w:ascii="Times New Roman" w:hAnsi="Times New Roman" w:cs="Times New Roman"/>
          <w:sz w:val="24"/>
        </w:rPr>
        <w:t>(Lopez-Alvarado et al., 2022)</w:t>
      </w:r>
      <w:r w:rsidR="00EB2943" w:rsidRPr="00494D70">
        <w:rPr>
          <w:rFonts w:ascii="Times New Roman" w:eastAsia="Calibri" w:hAnsi="Times New Roman" w:cs="Times New Roman"/>
          <w:sz w:val="24"/>
          <w:szCs w:val="24"/>
        </w:rPr>
        <w:fldChar w:fldCharType="end"/>
      </w:r>
      <w:r w:rsidR="00EB2943" w:rsidRPr="00494D70">
        <w:rPr>
          <w:rFonts w:ascii="Times New Roman" w:eastAsia="Calibri" w:hAnsi="Times New Roman" w:cs="Times New Roman"/>
          <w:sz w:val="24"/>
          <w:szCs w:val="24"/>
        </w:rPr>
        <w:t xml:space="preserve">. </w:t>
      </w:r>
      <w:r w:rsidR="00702E4F" w:rsidRPr="00494D70">
        <w:rPr>
          <w:rFonts w:ascii="Times New Roman" w:eastAsia="Calibri" w:hAnsi="Times New Roman" w:cs="Times New Roman"/>
          <w:sz w:val="24"/>
          <w:szCs w:val="24"/>
        </w:rPr>
        <w:t>There</w:t>
      </w:r>
      <w:r w:rsidR="00015B24" w:rsidRPr="00494D70">
        <w:rPr>
          <w:rFonts w:ascii="Times New Roman" w:eastAsia="Calibri" w:hAnsi="Times New Roman" w:cs="Times New Roman"/>
          <w:sz w:val="24"/>
          <w:szCs w:val="24"/>
        </w:rPr>
        <w:t>fore</w:t>
      </w:r>
      <w:r w:rsidR="00702E4F" w:rsidRPr="00494D70">
        <w:rPr>
          <w:rFonts w:ascii="Times New Roman" w:eastAsia="Calibri" w:hAnsi="Times New Roman" w:cs="Times New Roman"/>
          <w:sz w:val="24"/>
          <w:szCs w:val="24"/>
        </w:rPr>
        <w:t>,</w:t>
      </w:r>
      <w:r w:rsidR="00015B24" w:rsidRPr="00494D70">
        <w:rPr>
          <w:rFonts w:ascii="Times New Roman" w:eastAsia="Calibri" w:hAnsi="Times New Roman" w:cs="Times New Roman"/>
          <w:sz w:val="24"/>
          <w:szCs w:val="24"/>
        </w:rPr>
        <w:t xml:space="preserve"> we </w:t>
      </w:r>
      <w:r w:rsidR="00753F10" w:rsidRPr="00494D70">
        <w:rPr>
          <w:rFonts w:ascii="Times New Roman" w:eastAsia="Calibri" w:hAnsi="Times New Roman" w:cs="Times New Roman"/>
          <w:sz w:val="24"/>
          <w:szCs w:val="24"/>
        </w:rPr>
        <w:t xml:space="preserve">examined these differences in an exploratory manner. </w:t>
      </w:r>
    </w:p>
    <w:p w14:paraId="6E37C3EF" w14:textId="1D3A7446" w:rsidR="002F2F2B" w:rsidRPr="00494D70" w:rsidRDefault="00603EF5" w:rsidP="00CE0BBF">
      <w:pPr>
        <w:spacing w:after="0" w:line="480" w:lineRule="auto"/>
        <w:ind w:firstLine="567"/>
        <w:jc w:val="center"/>
        <w:rPr>
          <w:rFonts w:ascii="Times New Roman" w:eastAsia="Calibri" w:hAnsi="Times New Roman" w:cs="Times New Roman"/>
          <w:b/>
          <w:bCs/>
          <w:sz w:val="24"/>
          <w:szCs w:val="24"/>
        </w:rPr>
      </w:pPr>
      <w:r w:rsidRPr="00494D70">
        <w:rPr>
          <w:rFonts w:ascii="Times New Roman" w:eastAsia="Calibri" w:hAnsi="Times New Roman" w:cs="Times New Roman"/>
          <w:b/>
          <w:bCs/>
          <w:sz w:val="24"/>
          <w:szCs w:val="24"/>
        </w:rPr>
        <w:t>Method</w:t>
      </w:r>
    </w:p>
    <w:p w14:paraId="1EB53154" w14:textId="77777777" w:rsidR="00603EF5" w:rsidRPr="00494D70" w:rsidRDefault="00603EF5" w:rsidP="000B124E">
      <w:pPr>
        <w:spacing w:after="0" w:line="480" w:lineRule="auto"/>
        <w:rPr>
          <w:rFonts w:ascii="Times New Roman" w:eastAsia="Calibri" w:hAnsi="Times New Roman" w:cs="Times New Roman"/>
          <w:b/>
          <w:bCs/>
          <w:sz w:val="24"/>
          <w:szCs w:val="24"/>
        </w:rPr>
      </w:pPr>
      <w:r w:rsidRPr="00494D70">
        <w:rPr>
          <w:rFonts w:ascii="Times New Roman" w:eastAsia="Calibri" w:hAnsi="Times New Roman" w:cs="Times New Roman"/>
          <w:b/>
          <w:bCs/>
          <w:sz w:val="24"/>
          <w:szCs w:val="24"/>
        </w:rPr>
        <w:t>Procedure and participants</w:t>
      </w:r>
    </w:p>
    <w:p w14:paraId="28322FF2" w14:textId="45AB4469" w:rsidR="00603EF5" w:rsidRPr="00494D70" w:rsidRDefault="00603EF5" w:rsidP="000B124E">
      <w:pPr>
        <w:spacing w:after="0" w:line="480" w:lineRule="auto"/>
        <w:ind w:firstLine="567"/>
        <w:rPr>
          <w:rFonts w:ascii="Times New Roman" w:eastAsia="Times New Roman" w:hAnsi="Times New Roman" w:cs="Times New Roman"/>
          <w:color w:val="0563C1"/>
          <w:sz w:val="24"/>
          <w:szCs w:val="24"/>
          <w:u w:val="single"/>
        </w:rPr>
      </w:pPr>
      <w:r w:rsidRPr="00494D70">
        <w:rPr>
          <w:rFonts w:ascii="Times New Roman" w:eastAsia="Calibri" w:hAnsi="Times New Roman" w:cs="Times New Roman"/>
          <w:sz w:val="24"/>
          <w:szCs w:val="24"/>
        </w:rPr>
        <w:t xml:space="preserve">Data were drawn from the International Sex Survey (ISS, </w:t>
      </w:r>
      <w:hyperlink r:id="rId10" w:history="1">
        <w:r w:rsidR="009A0B12" w:rsidRPr="00494D70">
          <w:rPr>
            <w:rStyle w:val="Hiperhivatkozs"/>
            <w:rFonts w:ascii="Times New Roman" w:eastAsia="Calibri" w:hAnsi="Times New Roman" w:cs="Times New Roman"/>
            <w:sz w:val="24"/>
            <w:szCs w:val="24"/>
          </w:rPr>
          <w:t>http://internationalsexsurvey.org/</w:t>
        </w:r>
      </w:hyperlink>
      <w:r w:rsidRPr="00494D70">
        <w:rPr>
          <w:rFonts w:ascii="Times New Roman" w:eastAsia="Calibri" w:hAnsi="Times New Roman" w:cs="Times New Roman"/>
          <w:sz w:val="24"/>
          <w:szCs w:val="24"/>
        </w:rPr>
        <w:t>), a 4</w:t>
      </w:r>
      <w:r w:rsidR="00AA6F93" w:rsidRPr="00494D70">
        <w:rPr>
          <w:rFonts w:ascii="Times New Roman" w:eastAsia="Calibri" w:hAnsi="Times New Roman" w:cs="Times New Roman"/>
          <w:sz w:val="24"/>
          <w:szCs w:val="24"/>
        </w:rPr>
        <w:t>2</w:t>
      </w:r>
      <w:r w:rsidRPr="00494D70">
        <w:rPr>
          <w:rFonts w:ascii="Times New Roman" w:eastAsia="Calibri" w:hAnsi="Times New Roman" w:cs="Times New Roman"/>
          <w:sz w:val="24"/>
          <w:szCs w:val="24"/>
        </w:rPr>
        <w:t>-</w:t>
      </w:r>
      <w:r w:rsidR="00831926" w:rsidRPr="00494D70">
        <w:rPr>
          <w:rFonts w:ascii="Times New Roman" w:eastAsia="Calibri" w:hAnsi="Times New Roman" w:cs="Times New Roman"/>
          <w:sz w:val="24"/>
          <w:szCs w:val="24"/>
        </w:rPr>
        <w:t>country</w:t>
      </w:r>
      <w:r w:rsidRPr="00494D70">
        <w:rPr>
          <w:rFonts w:ascii="Times New Roman" w:eastAsia="Calibri" w:hAnsi="Times New Roman" w:cs="Times New Roman"/>
          <w:sz w:val="24"/>
          <w:szCs w:val="24"/>
        </w:rPr>
        <w:t xml:space="preserve">, multi-language study using cross-sectional, self-report survey methods </w:t>
      </w:r>
      <w:r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{"citationID":"Ol2RqiTZ","properties":{"formattedCitation":"(B\\uc0\\u337{}the et al., 2021)","plainCitation":"(Bőthe et al., 2021)","dontUpdate":true,"noteIndex":0},"citationItems":[{"id":3103,"uris":["http://zotero.org/users/7402913/items/KMQJKL5D"],"itemData":{"id":3103,"type":"article-journal","abstract":"Background and aims: Limitations of research into sexuality and compulsive sexual behavior disorder (CSBD) include the use of simplistic methodological designs and the absence of quality and unified measurements, empirically supported theoretical models, and large, collaborative studies between laboratories. We aim to fill these gaps with the International Sex Survey (ISS, http://internationalsexsurvey.org/).\nMethods: The ISS is a large-scale, international, multi-lab, multi-language study using cross-sectional survey methods, involving more than 40 countries. Participants responding to advertisements complete a self-report, anonymous survey on a secure online platform. Collaborators from each country collect a community sample of adults with a minimum sample size of 2,000 participants with a gender ratio of approximately 50-50% men and women, including diverse individuals with respect to sexuality and gender. The ISS includes a wide range of sociodemographic questions and scales assessing a diverse set of sexual behaviors, pornography use, psychological characteristics, and potential comorbid disorders. Analyses are conducted within a structural equation modeling framework, including variable (e.g., measurement invariance tests) and person-centered approaches (e.g., latent profile analysis).\nDiscussion and conclusions: The ISS will provide well-validated, publicly available screening tools, helping to eliminate significant measurement issues in the field of sexuality research and health care. It will provide important insights to improve the theoretical understanding of CSBD as well as help to identify empirically supported treatment targets for prevention and intervention programs. Following open-science practices and making study materials open-access, the ISS may serve as a blueprint for future large-scale research in addiction and sexuality research.","container-title":"Journal of Behavioral Addictions","DOI":"10.1556/2006.2021.00063","ISSN":"2063-5303","issue":"3","journalAbbreviation":"J Behav Addict","language":"eng","note":"PMID: 34534102","page":"632-645","source":"PubMed","title":"International Sex Survey: Study protocol of a large, cross-cultural collaborative study in 45 countries","title-short":"International Sex Survey","volume":"10","author":[{"family":"Bőthe","given":"Beáta"},{"family":"Koós","given":"Mónika"},{"family":"Nagy","given":"Léna"},{"family":"Kraus","given":"Shane W."},{"family":"Potenza","given":"Marc N."},{"family":"Demetrovics","given":"Zsolt"}],"issued":{"date-parts":[["2021",9,16]]}}}],"schema":"https://github.com/citation-style-language/schema/raw/master/csl-citation.json"} </w:instrText>
      </w:r>
      <w:r w:rsidRPr="00494D70">
        <w:rPr>
          <w:rFonts w:ascii="Times New Roman" w:eastAsia="Calibri" w:hAnsi="Times New Roman" w:cs="Times New Roman"/>
          <w:sz w:val="24"/>
          <w:szCs w:val="24"/>
        </w:rPr>
        <w:fldChar w:fldCharType="separate"/>
      </w:r>
      <w:r w:rsidRPr="00494D70">
        <w:rPr>
          <w:rFonts w:ascii="Times New Roman" w:eastAsia="Calibri" w:hAnsi="Times New Roman" w:cs="Times New Roman"/>
          <w:sz w:val="24"/>
          <w:szCs w:val="24"/>
        </w:rPr>
        <w:t>(</w:t>
      </w:r>
      <w:r w:rsidR="0054549F" w:rsidRPr="00494D70">
        <w:rPr>
          <w:rFonts w:ascii="Times New Roman" w:eastAsia="Calibri" w:hAnsi="Times New Roman" w:cs="Times New Roman"/>
          <w:sz w:val="24"/>
          <w:szCs w:val="24"/>
        </w:rPr>
        <w:t xml:space="preserve">for </w:t>
      </w:r>
      <w:r w:rsidR="00FB49A8" w:rsidRPr="00494D70">
        <w:rPr>
          <w:rFonts w:ascii="Times New Roman" w:eastAsia="Calibri" w:hAnsi="Times New Roman" w:cs="Times New Roman"/>
          <w:sz w:val="24"/>
          <w:szCs w:val="24"/>
        </w:rPr>
        <w:t xml:space="preserve">detailed study protocol see </w:t>
      </w:r>
      <w:r w:rsidRPr="00494D70">
        <w:rPr>
          <w:rFonts w:ascii="Times New Roman" w:eastAsia="Calibri" w:hAnsi="Times New Roman" w:cs="Times New Roman"/>
          <w:sz w:val="24"/>
          <w:szCs w:val="24"/>
        </w:rPr>
        <w:t xml:space="preserve">Bőthe et al., 2021, preregistered study design: </w:t>
      </w:r>
      <w:hyperlink r:id="rId11" w:history="1">
        <w:r w:rsidRPr="00494D70">
          <w:rPr>
            <w:rFonts w:ascii="Times New Roman" w:eastAsia="Times New Roman" w:hAnsi="Times New Roman" w:cs="Times New Roman"/>
            <w:color w:val="0563C1"/>
            <w:sz w:val="24"/>
            <w:szCs w:val="24"/>
            <w:u w:val="single"/>
          </w:rPr>
          <w:t>https://osf.io/uyfra</w:t>
        </w:r>
      </w:hyperlink>
      <w:r w:rsidRPr="00494D70">
        <w:rPr>
          <w:rFonts w:ascii="Times New Roman" w:eastAsia="Calibri" w:hAnsi="Times New Roman" w:cs="Times New Roman"/>
          <w:sz w:val="24"/>
          <w:szCs w:val="24"/>
        </w:rPr>
        <w:fldChar w:fldCharType="end"/>
      </w:r>
      <w:r w:rsidR="00E208EF" w:rsidRPr="00494D70">
        <w:rPr>
          <w:rFonts w:ascii="Times New Roman" w:eastAsia="Calibri" w:hAnsi="Times New Roman" w:cs="Times New Roman"/>
          <w:sz w:val="24"/>
          <w:szCs w:val="24"/>
        </w:rPr>
        <w:t xml:space="preserve">, list of publications: </w:t>
      </w:r>
      <w:hyperlink r:id="rId12" w:history="1">
        <w:r w:rsidR="00C84D4C" w:rsidRPr="00494D70">
          <w:rPr>
            <w:rStyle w:val="Hiperhivatkozs"/>
            <w:rFonts w:ascii="Times New Roman" w:eastAsia="Calibri" w:hAnsi="Times New Roman" w:cs="Times New Roman"/>
            <w:sz w:val="24"/>
            <w:szCs w:val="24"/>
          </w:rPr>
          <w:t>https://osf.io/jb6ey</w:t>
        </w:r>
      </w:hyperlink>
      <w:r w:rsidR="00E208EF" w:rsidRPr="00494D70">
        <w:rPr>
          <w:rFonts w:ascii="Times New Roman" w:eastAsia="Calibri" w:hAnsi="Times New Roman" w:cs="Times New Roman"/>
          <w:sz w:val="24"/>
          <w:szCs w:val="24"/>
        </w:rPr>
        <w:t>)</w:t>
      </w:r>
      <w:r w:rsidR="008C489B" w:rsidRPr="00494D70">
        <w:rPr>
          <w:rStyle w:val="Lbjegyzet-hivatkozs"/>
        </w:rPr>
        <w:footnoteReference w:id="2"/>
      </w:r>
      <w:r w:rsidRPr="00494D70">
        <w:rPr>
          <w:rFonts w:ascii="Times New Roman" w:eastAsia="Calibri" w:hAnsi="Times New Roman" w:cs="Times New Roman"/>
          <w:sz w:val="24"/>
          <w:szCs w:val="24"/>
        </w:rPr>
        <w:t xml:space="preserve">. The survey battery was translated </w:t>
      </w:r>
      <w:r w:rsidR="00FB49A8" w:rsidRPr="00494D70">
        <w:rPr>
          <w:rFonts w:ascii="Times New Roman" w:eastAsia="Calibri" w:hAnsi="Times New Roman" w:cs="Times New Roman"/>
          <w:sz w:val="24"/>
          <w:szCs w:val="24"/>
        </w:rPr>
        <w:t>into</w:t>
      </w:r>
      <w:r w:rsidRPr="00494D70">
        <w:rPr>
          <w:rFonts w:ascii="Times New Roman" w:eastAsia="Calibri" w:hAnsi="Times New Roman" w:cs="Times New Roman"/>
          <w:sz w:val="24"/>
          <w:szCs w:val="24"/>
        </w:rPr>
        <w:t xml:space="preserve"> 26 languages following the translation protocol of </w:t>
      </w:r>
      <w:r w:rsidR="0086538A"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{"citationID":"5wneBn3g","properties":{"formattedCitation":"(Beaton et al., 2000)","plainCitation":"(Beaton et al., 2000)","dontUpdate":true,"noteIndex":0},"citationItems":[{"id":3218,"uris":["http://zotero.org/users/7402913/items/Y527SMFI"],"itemData":{"id":3218,"type":"article-journal","container-title":"Spine","DOI":"10.1097/00007632-200012150-00014","ISSN":"0362-2436","issue":"24","journalAbbreviation":"Spine (Phila Pa 1976)","language":"eng","note":"PMID: 11124735","page":"3186-3191","source":"PubMed","title":"Guidelines for the process of cross-cultural adaptation of self-report measures","volume":"25","author":[{"family":"Beaton","given":"D. E."},{"family":"Bombardier","given":"C."},{"family":"Guillemin","given":"F."},{"family":"Ferraz","given":"M. B."}],"issued":{"date-parts":[["2000"]]}}}],"schema":"https://github.com/citation-style-language/schema/raw/master/csl-citation.json"} </w:instrText>
      </w:r>
      <w:r w:rsidR="0086538A" w:rsidRPr="00494D70">
        <w:rPr>
          <w:rFonts w:ascii="Times New Roman" w:eastAsia="Calibri" w:hAnsi="Times New Roman" w:cs="Times New Roman"/>
          <w:sz w:val="24"/>
          <w:szCs w:val="24"/>
        </w:rPr>
        <w:fldChar w:fldCharType="separate"/>
      </w:r>
      <w:r w:rsidR="0086538A" w:rsidRPr="00494D70">
        <w:rPr>
          <w:rFonts w:ascii="Times New Roman" w:hAnsi="Times New Roman" w:cs="Times New Roman"/>
          <w:sz w:val="24"/>
        </w:rPr>
        <w:t>Beaton et al. (2000)</w:t>
      </w:r>
      <w:r w:rsidR="0086538A" w:rsidRPr="00494D70">
        <w:rPr>
          <w:rFonts w:ascii="Times New Roman" w:eastAsia="Calibri" w:hAnsi="Times New Roman" w:cs="Times New Roman"/>
          <w:sz w:val="24"/>
          <w:szCs w:val="24"/>
        </w:rPr>
        <w:fldChar w:fldCharType="end"/>
      </w:r>
      <w:r w:rsidR="008871A6" w:rsidRPr="00494D70">
        <w:rPr>
          <w:rFonts w:ascii="Times New Roman" w:eastAsia="Calibri" w:hAnsi="Times New Roman" w:cs="Times New Roman"/>
          <w:sz w:val="24"/>
          <w:szCs w:val="24"/>
        </w:rPr>
        <w:t>,</w:t>
      </w:r>
      <w:r w:rsidR="00AE70A1" w:rsidRPr="00494D70">
        <w:rPr>
          <w:rFonts w:ascii="Times New Roman" w:eastAsia="Calibri" w:hAnsi="Times New Roman" w:cs="Times New Roman"/>
          <w:sz w:val="24"/>
          <w:szCs w:val="24"/>
        </w:rPr>
        <w:t xml:space="preserve"> (</w:t>
      </w:r>
      <w:r w:rsidR="008871A6" w:rsidRPr="00494D70">
        <w:rPr>
          <w:rFonts w:ascii="Times New Roman" w:eastAsia="Calibri" w:hAnsi="Times New Roman" w:cs="Times New Roman"/>
          <w:sz w:val="24"/>
          <w:szCs w:val="24"/>
        </w:rPr>
        <w:t xml:space="preserve">list of translations: </w:t>
      </w:r>
      <w:hyperlink r:id="rId13" w:history="1">
        <w:r w:rsidR="008871A6" w:rsidRPr="00494D70">
          <w:rPr>
            <w:rStyle w:val="Hiperhivatkozs"/>
            <w:rFonts w:ascii="Times New Roman" w:eastAsia="Calibri" w:hAnsi="Times New Roman" w:cs="Times New Roman"/>
            <w:sz w:val="24"/>
            <w:szCs w:val="24"/>
          </w:rPr>
          <w:t>https://osf.io/jcz96/</w:t>
        </w:r>
      </w:hyperlink>
      <w:r w:rsidR="008871A6" w:rsidRPr="00494D70">
        <w:rPr>
          <w:rFonts w:ascii="Times New Roman" w:eastAsia="Calibri" w:hAnsi="Times New Roman" w:cs="Times New Roman"/>
          <w:sz w:val="24"/>
          <w:szCs w:val="24"/>
        </w:rPr>
        <w:t>)</w:t>
      </w:r>
      <w:r w:rsidRPr="00494D70">
        <w:rPr>
          <w:rFonts w:ascii="Times New Roman" w:eastAsia="Calibri" w:hAnsi="Times New Roman" w:cs="Times New Roman"/>
          <w:sz w:val="24"/>
          <w:szCs w:val="24"/>
        </w:rPr>
        <w:t xml:space="preserve">. </w:t>
      </w:r>
    </w:p>
    <w:p w14:paraId="286614E2" w14:textId="671B55D7" w:rsidR="00603EF5" w:rsidRPr="00494D70" w:rsidRDefault="00603EF5" w:rsidP="000B124E">
      <w:pPr>
        <w:spacing w:after="0" w:line="480" w:lineRule="auto"/>
        <w:ind w:firstLine="567"/>
        <w:rPr>
          <w:rFonts w:ascii="Times New Roman" w:eastAsia="Calibri" w:hAnsi="Times New Roman" w:cs="Times New Roman"/>
          <w:sz w:val="24"/>
          <w:szCs w:val="24"/>
        </w:rPr>
      </w:pPr>
      <w:r w:rsidRPr="00494D70">
        <w:rPr>
          <w:rFonts w:ascii="Times New Roman" w:eastAsia="Calibri" w:hAnsi="Times New Roman" w:cs="Times New Roman"/>
          <w:sz w:val="24"/>
          <w:szCs w:val="24"/>
        </w:rPr>
        <w:t>The study was conducted in accordance with the</w:t>
      </w:r>
      <w:r w:rsidR="003C7638" w:rsidRPr="00494D70">
        <w:rPr>
          <w:rFonts w:ascii="Times New Roman" w:eastAsia="Calibri" w:hAnsi="Times New Roman" w:cs="Times New Roman"/>
          <w:sz w:val="24"/>
          <w:szCs w:val="24"/>
        </w:rPr>
        <w:t xml:space="preserve"> Helsinki</w:t>
      </w:r>
      <w:r w:rsidRPr="00494D70">
        <w:rPr>
          <w:rFonts w:ascii="Times New Roman" w:eastAsia="Calibri" w:hAnsi="Times New Roman" w:cs="Times New Roman"/>
          <w:sz w:val="24"/>
          <w:szCs w:val="24"/>
        </w:rPr>
        <w:t xml:space="preserve"> Declaration. Ethical approval was obtained from all participating </w:t>
      </w:r>
      <w:proofErr w:type="gramStart"/>
      <w:r w:rsidRPr="00494D70">
        <w:rPr>
          <w:rFonts w:ascii="Times New Roman" w:eastAsia="Calibri" w:hAnsi="Times New Roman" w:cs="Times New Roman"/>
          <w:sz w:val="24"/>
          <w:szCs w:val="24"/>
        </w:rPr>
        <w:t>country’s</w:t>
      </w:r>
      <w:proofErr w:type="gramEnd"/>
      <w:r w:rsidRPr="00494D70">
        <w:rPr>
          <w:rFonts w:ascii="Times New Roman" w:eastAsia="Calibri" w:hAnsi="Times New Roman" w:cs="Times New Roman"/>
          <w:sz w:val="24"/>
          <w:szCs w:val="24"/>
        </w:rPr>
        <w:t xml:space="preserve"> respective </w:t>
      </w:r>
      <w:r w:rsidR="007530BE" w:rsidRPr="00494D70">
        <w:rPr>
          <w:rFonts w:ascii="Times New Roman" w:eastAsia="Calibri" w:hAnsi="Times New Roman" w:cs="Times New Roman"/>
          <w:sz w:val="24"/>
          <w:szCs w:val="24"/>
        </w:rPr>
        <w:t>authorities</w:t>
      </w:r>
      <w:r w:rsidR="00831926" w:rsidRPr="00494D70">
        <w:rPr>
          <w:rFonts w:ascii="Times New Roman" w:eastAsia="Calibri" w:hAnsi="Times New Roman" w:cs="Times New Roman"/>
          <w:sz w:val="24"/>
          <w:szCs w:val="24"/>
        </w:rPr>
        <w:t>,</w:t>
      </w:r>
      <w:r w:rsidRPr="00494D70">
        <w:rPr>
          <w:rFonts w:ascii="Times New Roman" w:eastAsia="Calibri" w:hAnsi="Times New Roman" w:cs="Times New Roman"/>
          <w:sz w:val="24"/>
          <w:szCs w:val="24"/>
        </w:rPr>
        <w:t xml:space="preserve"> and respondents completed informed consent in accordance with their country’s Institutional Review Board before participating. A community sample was collected between October 2021 and May 2022 via news media appearances, research panels and social media ads</w:t>
      </w:r>
      <w:r w:rsidR="00DB1DB5" w:rsidRPr="00494D70">
        <w:rPr>
          <w:rFonts w:ascii="Times New Roman" w:eastAsia="Calibri" w:hAnsi="Times New Roman" w:cs="Times New Roman"/>
          <w:sz w:val="24"/>
          <w:szCs w:val="24"/>
        </w:rPr>
        <w:t>.</w:t>
      </w:r>
      <w:r w:rsidR="00491528" w:rsidRPr="00494D70">
        <w:rPr>
          <w:rFonts w:ascii="Times New Roman" w:eastAsia="Calibri" w:hAnsi="Times New Roman" w:cs="Times New Roman"/>
          <w:sz w:val="24"/>
          <w:szCs w:val="24"/>
        </w:rPr>
        <w:t xml:space="preserve"> The online survey took 25 to 45 minutes to complete</w:t>
      </w:r>
      <w:r w:rsidR="00AA6F93" w:rsidRPr="00494D70">
        <w:rPr>
          <w:rFonts w:ascii="Times New Roman" w:eastAsia="Calibri" w:hAnsi="Times New Roman" w:cs="Times New Roman"/>
          <w:sz w:val="24"/>
          <w:szCs w:val="24"/>
        </w:rPr>
        <w:t>,</w:t>
      </w:r>
      <w:r w:rsidR="00491528" w:rsidRPr="00494D70">
        <w:rPr>
          <w:rFonts w:ascii="Times New Roman" w:eastAsia="Calibri" w:hAnsi="Times New Roman" w:cs="Times New Roman"/>
          <w:sz w:val="24"/>
          <w:szCs w:val="24"/>
        </w:rPr>
        <w:t xml:space="preserve"> and participation was anonymous</w:t>
      </w:r>
      <w:r w:rsidRPr="00494D70">
        <w:rPr>
          <w:rFonts w:ascii="Times New Roman" w:eastAsia="Calibri" w:hAnsi="Times New Roman" w:cs="Times New Roman"/>
          <w:sz w:val="24"/>
          <w:szCs w:val="24"/>
        </w:rPr>
        <w:t>. Participants who completed the survey could choose a global sexual health organization</w:t>
      </w:r>
      <w:r w:rsidR="00591D27" w:rsidRPr="00494D70">
        <w:rPr>
          <w:rFonts w:ascii="Times New Roman" w:eastAsia="Calibri" w:hAnsi="Times New Roman" w:cs="Times New Roman"/>
          <w:sz w:val="24"/>
          <w:szCs w:val="24"/>
        </w:rPr>
        <w:t xml:space="preserve"> </w:t>
      </w:r>
      <w:r w:rsidR="00831926" w:rsidRPr="00494D70">
        <w:rPr>
          <w:rFonts w:ascii="Times New Roman" w:eastAsia="Calibri" w:hAnsi="Times New Roman" w:cs="Times New Roman"/>
          <w:sz w:val="24"/>
          <w:szCs w:val="24"/>
        </w:rPr>
        <w:t xml:space="preserve">to which a donation of 50 US cents would be made </w:t>
      </w:r>
      <w:r w:rsidR="00591D27" w:rsidRPr="00494D70">
        <w:rPr>
          <w:rFonts w:ascii="Times New Roman" w:eastAsia="Calibri" w:hAnsi="Times New Roman" w:cs="Times New Roman"/>
          <w:sz w:val="24"/>
          <w:szCs w:val="24"/>
        </w:rPr>
        <w:t xml:space="preserve">(up to </w:t>
      </w:r>
      <w:r w:rsidR="00FF7753" w:rsidRPr="00494D70">
        <w:rPr>
          <w:rFonts w:ascii="Times New Roman" w:eastAsia="Calibri" w:hAnsi="Times New Roman" w:cs="Times New Roman"/>
          <w:sz w:val="24"/>
          <w:szCs w:val="24"/>
        </w:rPr>
        <w:t>1</w:t>
      </w:r>
      <w:r w:rsidR="00591D27" w:rsidRPr="00494D70">
        <w:rPr>
          <w:rFonts w:ascii="Times New Roman" w:eastAsia="Calibri" w:hAnsi="Times New Roman" w:cs="Times New Roman"/>
          <w:sz w:val="24"/>
          <w:szCs w:val="24"/>
        </w:rPr>
        <w:t>000 USD of donation)</w:t>
      </w:r>
      <w:r w:rsidR="009A2853" w:rsidRPr="00494D70">
        <w:rPr>
          <w:rFonts w:ascii="Times New Roman" w:eastAsia="Calibri" w:hAnsi="Times New Roman" w:cs="Times New Roman"/>
          <w:sz w:val="24"/>
          <w:szCs w:val="24"/>
        </w:rPr>
        <w:t xml:space="preserve"> </w:t>
      </w:r>
      <w:r w:rsidR="009A2853" w:rsidRPr="00494D70">
        <w:rPr>
          <w:rFonts w:ascii="Times New Roman" w:eastAsia="Calibri" w:hAnsi="Times New Roman" w:cs="Times New Roman"/>
          <w:sz w:val="24"/>
          <w:szCs w:val="24"/>
        </w:rPr>
        <w:fldChar w:fldCharType="begin"/>
      </w:r>
      <w:r w:rsidR="00ED3068" w:rsidRPr="00494D70">
        <w:rPr>
          <w:rFonts w:ascii="Times New Roman" w:eastAsia="Calibri" w:hAnsi="Times New Roman" w:cs="Times New Roman"/>
          <w:sz w:val="24"/>
          <w:szCs w:val="24"/>
        </w:rPr>
        <w:instrText xml:space="preserve"> ADDIN ZOTERO_ITEM CSL_CITATION {"citationID":"2EQ0MB6z","properties":{"formattedCitation":"(B\\uc0\\u337{}the et al., 2021)","plainCitation":"(Bőthe et al., 2021)","dontUpdate":true,"noteIndex":0},"citationItems":[{"id":3103,"uris":["http://zotero.org/users/7402913/items/KMQJKL5D"],"itemData":{"id":3103,"type":"article-journal","abstract":"Background and aims: Limitations of research into sexuality and compulsive sexual behavior disorder (CSBD) include the use of simplistic methodological designs and the absence of quality and unified measurements, empirically supported theoretical models, and large, collaborative studies between laboratories. We aim to fill these gaps with the International Sex Survey (ISS, http://internationalsexsurvey.org/).\nMethods: The ISS is a large-scale, international, multi-lab, multi-language study using cross-sectional survey methods, involving more than 40 countries. Participants responding to advertisements complete a self-report, anonymous survey on a secure online platform. Collaborators from each country collect a community sample of adults with a minimum sample size of 2,000 participants with a gender ratio of approximately 50-50% men and women, including diverse individuals with respect to sexuality and gender. The ISS includes a wide range of sociodemographic questions and scales assessing a diverse set of sexual behaviors, pornography use, psychological characteristics, and potential comorbid disorders. Analyses are conducted within a structural equation modeling framework, including variable (e.g., measurement invariance tests) and person-centered approaches (e.g., latent profile analysis).\nDiscussion and conclusions: The ISS will provide well-validated, publicly available screening tools, helping to eliminate significant measurement issues in the field of sexuality research and health care. It will provide important insights to improve the theoretical understanding of CSBD as well as help to identify empirically supported treatment targets for prevention and intervention programs. Following open-science practices and making study materials open-access, the ISS may serve as a blueprint for future large-scale research in addiction and sexuality research.","container-title":"Journal of Behavioral Addictions","DOI":"10.1556/2006.2021.00063","ISSN":"2063-5303","issue":"3","journalAbbreviation":"J Behav Addict","language":"eng","note":"PMID: 34534102","page":"632-645","source":"PubMed","title":"International Sex Survey: Study protocol of a large, cross-cultural collaborative study in 45 countries","title-short":"International Sex Survey","volume":"10","author":[{"family":"Bőthe","given":"Beáta"},{"family":"Koós","given":"Mónika"},{"family":"Nagy","given":"Léna"},{"family":"Kraus","given":"Shane W."},{"family":"Potenza","given":"Marc N."},{"family":"Demetrovics","given":"Zsolt"}],"issued":{"date-parts":[["2021",9,16]]}}}],"schema":"https://github.com/citation-style-language/schema/raw/master/csl-citation.json"} </w:instrText>
      </w:r>
      <w:r w:rsidR="009A2853" w:rsidRPr="00494D70">
        <w:rPr>
          <w:rFonts w:ascii="Times New Roman" w:eastAsia="Calibri" w:hAnsi="Times New Roman" w:cs="Times New Roman"/>
          <w:sz w:val="24"/>
          <w:szCs w:val="24"/>
        </w:rPr>
        <w:fldChar w:fldCharType="separate"/>
      </w:r>
      <w:r w:rsidR="009A2853" w:rsidRPr="00494D70">
        <w:rPr>
          <w:rFonts w:ascii="Times New Roman" w:hAnsi="Times New Roman" w:cs="Times New Roman"/>
          <w:sz w:val="24"/>
        </w:rPr>
        <w:t>(</w:t>
      </w:r>
      <w:r w:rsidR="00BD2A3B" w:rsidRPr="00494D70">
        <w:rPr>
          <w:rFonts w:ascii="Times New Roman" w:hAnsi="Times New Roman" w:cs="Times New Roman"/>
          <w:sz w:val="24"/>
        </w:rPr>
        <w:t xml:space="preserve">see protocol </w:t>
      </w:r>
      <w:r w:rsidR="009A2853" w:rsidRPr="00494D70">
        <w:rPr>
          <w:rFonts w:ascii="Times New Roman" w:hAnsi="Times New Roman" w:cs="Times New Roman"/>
          <w:sz w:val="24"/>
        </w:rPr>
        <w:t>Bőthe et al., 2021)</w:t>
      </w:r>
      <w:r w:rsidR="009A2853"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xml:space="preserve">. </w:t>
      </w:r>
    </w:p>
    <w:p w14:paraId="5B7A592E" w14:textId="7C530962" w:rsidR="0093556A" w:rsidRPr="00494D70" w:rsidRDefault="00603EF5" w:rsidP="000B124E">
      <w:pPr>
        <w:spacing w:after="0" w:line="480" w:lineRule="auto"/>
        <w:ind w:firstLine="567"/>
        <w:rPr>
          <w:rFonts w:ascii="Times New Roman" w:eastAsia="Calibri" w:hAnsi="Times New Roman" w:cs="Times New Roman"/>
          <w:sz w:val="24"/>
          <w:szCs w:val="24"/>
        </w:rPr>
      </w:pPr>
      <w:r w:rsidRPr="00494D70">
        <w:rPr>
          <w:rFonts w:ascii="Times New Roman" w:eastAsia="Calibri" w:hAnsi="Times New Roman" w:cs="Times New Roman"/>
          <w:sz w:val="24"/>
          <w:szCs w:val="24"/>
        </w:rPr>
        <w:t xml:space="preserve">To be eligible, participants had to be at least 18 years old (or the legal age to provide informed consent) and understand any of the languages in which the survey </w:t>
      </w:r>
      <w:r w:rsidR="00831926" w:rsidRPr="00494D70">
        <w:rPr>
          <w:rFonts w:ascii="Times New Roman" w:eastAsia="Calibri" w:hAnsi="Times New Roman" w:cs="Times New Roman"/>
          <w:sz w:val="24"/>
          <w:szCs w:val="24"/>
        </w:rPr>
        <w:t>wa</w:t>
      </w:r>
      <w:r w:rsidRPr="00494D70">
        <w:rPr>
          <w:rFonts w:ascii="Times New Roman" w:eastAsia="Calibri" w:hAnsi="Times New Roman" w:cs="Times New Roman"/>
          <w:sz w:val="24"/>
          <w:szCs w:val="24"/>
        </w:rPr>
        <w:t>s available.</w:t>
      </w:r>
      <w:r w:rsidR="0096072C" w:rsidRPr="00494D70">
        <w:rPr>
          <w:rFonts w:ascii="Times New Roman" w:eastAsia="Calibri" w:hAnsi="Times New Roman" w:cs="Times New Roman"/>
          <w:sz w:val="24"/>
          <w:szCs w:val="24"/>
        </w:rPr>
        <w:t xml:space="preserve"> The test battery included three questions to test sustained attention. </w:t>
      </w:r>
      <w:r w:rsidRPr="00494D70">
        <w:rPr>
          <w:rFonts w:ascii="Times New Roman" w:eastAsia="Calibri" w:hAnsi="Times New Roman" w:cs="Times New Roman"/>
          <w:sz w:val="24"/>
          <w:szCs w:val="24"/>
        </w:rPr>
        <w:t>Participants who failed at least two out of the</w:t>
      </w:r>
      <w:r w:rsidR="0096072C" w:rsidRPr="00494D70">
        <w:rPr>
          <w:rFonts w:ascii="Times New Roman" w:eastAsia="Calibri" w:hAnsi="Times New Roman" w:cs="Times New Roman"/>
          <w:sz w:val="24"/>
          <w:szCs w:val="24"/>
        </w:rPr>
        <w:t>se</w:t>
      </w:r>
      <w:r w:rsidRPr="00494D70">
        <w:rPr>
          <w:rFonts w:ascii="Times New Roman" w:eastAsia="Calibri" w:hAnsi="Times New Roman" w:cs="Times New Roman"/>
          <w:sz w:val="24"/>
          <w:szCs w:val="24"/>
        </w:rPr>
        <w:t xml:space="preserve"> three </w:t>
      </w:r>
      <w:r w:rsidR="00CF7A3F" w:rsidRPr="00494D70">
        <w:rPr>
          <w:rFonts w:ascii="Times New Roman" w:eastAsia="Calibri" w:hAnsi="Times New Roman" w:cs="Times New Roman"/>
          <w:sz w:val="24"/>
          <w:szCs w:val="24"/>
        </w:rPr>
        <w:t>questions or</w:t>
      </w:r>
      <w:r w:rsidRPr="00494D70">
        <w:rPr>
          <w:rFonts w:ascii="Times New Roman" w:eastAsia="Calibri" w:hAnsi="Times New Roman" w:cs="Times New Roman"/>
          <w:sz w:val="24"/>
          <w:szCs w:val="24"/>
        </w:rPr>
        <w:t xml:space="preserve"> produced </w:t>
      </w:r>
      <w:r w:rsidR="00260478" w:rsidRPr="00494D70">
        <w:rPr>
          <w:rFonts w:ascii="Times New Roman" w:eastAsia="Calibri" w:hAnsi="Times New Roman" w:cs="Times New Roman"/>
          <w:sz w:val="24"/>
          <w:szCs w:val="24"/>
        </w:rPr>
        <w:t xml:space="preserve">otherwise </w:t>
      </w:r>
      <w:r w:rsidRPr="00494D70">
        <w:rPr>
          <w:rFonts w:ascii="Times New Roman" w:eastAsia="Calibri" w:hAnsi="Times New Roman" w:cs="Times New Roman"/>
          <w:sz w:val="24"/>
          <w:szCs w:val="24"/>
        </w:rPr>
        <w:t xml:space="preserve">unengaged response patterns were </w:t>
      </w:r>
      <w:r w:rsidRPr="00494D70">
        <w:rPr>
          <w:rFonts w:ascii="Times New Roman" w:eastAsia="Calibri" w:hAnsi="Times New Roman" w:cs="Times New Roman"/>
          <w:sz w:val="24"/>
          <w:szCs w:val="24"/>
        </w:rPr>
        <w:lastRenderedPageBreak/>
        <w:t xml:space="preserve">excluded from </w:t>
      </w:r>
      <w:r w:rsidR="00831926" w:rsidRPr="00494D70">
        <w:rPr>
          <w:rFonts w:ascii="Times New Roman" w:eastAsia="Calibri" w:hAnsi="Times New Roman" w:cs="Times New Roman"/>
          <w:sz w:val="24"/>
          <w:szCs w:val="24"/>
        </w:rPr>
        <w:t>analyses</w:t>
      </w:r>
      <w:r w:rsidRPr="00494D70">
        <w:rPr>
          <w:rFonts w:ascii="Times New Roman" w:eastAsia="Calibri" w:hAnsi="Times New Roman" w:cs="Times New Roman"/>
          <w:sz w:val="24"/>
          <w:szCs w:val="24"/>
        </w:rPr>
        <w:t>. The detailed data-cleaning procedure is described at</w:t>
      </w:r>
      <w:r w:rsidR="00385B19" w:rsidRPr="00494D70">
        <w:rPr>
          <w:rFonts w:ascii="Times New Roman" w:eastAsia="Calibri" w:hAnsi="Times New Roman" w:cs="Times New Roman"/>
          <w:sz w:val="24"/>
          <w:szCs w:val="24"/>
        </w:rPr>
        <w:t xml:space="preserve"> https://osf.io/8kdzv/?view_only=dadcfc82666140a6ab5a1c3f63b679be</w:t>
      </w:r>
      <w:r w:rsidRPr="00494D70">
        <w:rPr>
          <w:rFonts w:ascii="Times New Roman" w:eastAsia="Calibri" w:hAnsi="Times New Roman" w:cs="Times New Roman"/>
          <w:sz w:val="24"/>
          <w:szCs w:val="24"/>
        </w:rPr>
        <w:t xml:space="preserve">. </w:t>
      </w:r>
      <w:r w:rsidR="00831926" w:rsidRPr="00494D70">
        <w:rPr>
          <w:rFonts w:ascii="Times New Roman" w:eastAsia="Calibri" w:hAnsi="Times New Roman" w:cs="Times New Roman"/>
          <w:sz w:val="24"/>
          <w:szCs w:val="24"/>
        </w:rPr>
        <w:t>P</w:t>
      </w:r>
      <w:r w:rsidRPr="00494D70">
        <w:rPr>
          <w:rFonts w:ascii="Times New Roman" w:eastAsia="Calibri" w:hAnsi="Times New Roman" w:cs="Times New Roman"/>
          <w:sz w:val="24"/>
          <w:szCs w:val="24"/>
        </w:rPr>
        <w:t xml:space="preserve">articipants who reported that they did not have sex with a partner in the past 12 months </w:t>
      </w:r>
      <w:r w:rsidR="00591D27" w:rsidRPr="00494D70">
        <w:rPr>
          <w:rFonts w:ascii="Times New Roman" w:eastAsia="Calibri" w:hAnsi="Times New Roman" w:cs="Times New Roman"/>
          <w:sz w:val="24"/>
          <w:szCs w:val="24"/>
        </w:rPr>
        <w:t>did not receive</w:t>
      </w:r>
      <w:r w:rsidRPr="00494D70">
        <w:rPr>
          <w:rFonts w:ascii="Times New Roman" w:eastAsia="Calibri" w:hAnsi="Times New Roman" w:cs="Times New Roman"/>
          <w:sz w:val="24"/>
          <w:szCs w:val="24"/>
        </w:rPr>
        <w:t xml:space="preserve"> the SAQ-9 and therefore were not included in this study</w:t>
      </w:r>
      <w:r w:rsidR="00653D94" w:rsidRPr="00494D70">
        <w:rPr>
          <w:rFonts w:ascii="Times New Roman" w:eastAsia="Calibri" w:hAnsi="Times New Roman" w:cs="Times New Roman"/>
          <w:sz w:val="24"/>
          <w:szCs w:val="24"/>
        </w:rPr>
        <w:t xml:space="preserve"> (</w:t>
      </w:r>
      <w:r w:rsidR="00212026" w:rsidRPr="00494D70">
        <w:rPr>
          <w:rFonts w:ascii="Times New Roman" w:eastAsia="Calibri" w:hAnsi="Times New Roman" w:cs="Times New Roman"/>
          <w:i/>
          <w:iCs/>
          <w:sz w:val="24"/>
          <w:szCs w:val="24"/>
        </w:rPr>
        <w:t>n</w:t>
      </w:r>
      <w:r w:rsidR="00212026" w:rsidRPr="00494D70">
        <w:rPr>
          <w:rFonts w:ascii="Times New Roman" w:eastAsia="Calibri" w:hAnsi="Times New Roman" w:cs="Times New Roman"/>
          <w:sz w:val="24"/>
          <w:szCs w:val="24"/>
        </w:rPr>
        <w:t xml:space="preserve"> = 16,795)</w:t>
      </w:r>
      <w:r w:rsidRPr="00494D70">
        <w:rPr>
          <w:rFonts w:ascii="Times New Roman" w:eastAsia="Calibri" w:hAnsi="Times New Roman" w:cs="Times New Roman"/>
          <w:sz w:val="24"/>
          <w:szCs w:val="24"/>
        </w:rPr>
        <w:t>.</w:t>
      </w:r>
      <w:r w:rsidR="00A91778" w:rsidRPr="00494D70">
        <w:rPr>
          <w:rFonts w:ascii="Times New Roman" w:eastAsia="Calibri" w:hAnsi="Times New Roman" w:cs="Times New Roman"/>
          <w:sz w:val="24"/>
          <w:szCs w:val="24"/>
        </w:rPr>
        <w:t xml:space="preserve"> </w:t>
      </w:r>
      <w:r w:rsidR="00C4313A" w:rsidRPr="00494D70">
        <w:rPr>
          <w:rFonts w:ascii="Times New Roman" w:eastAsia="Calibri" w:hAnsi="Times New Roman" w:cs="Times New Roman"/>
          <w:sz w:val="24"/>
          <w:szCs w:val="24"/>
        </w:rPr>
        <w:t>The reason for this was to adapt to the 12</w:t>
      </w:r>
      <w:r w:rsidR="00554781" w:rsidRPr="00494D70">
        <w:rPr>
          <w:rFonts w:ascii="Times New Roman" w:eastAsia="Calibri" w:hAnsi="Times New Roman" w:cs="Times New Roman"/>
          <w:sz w:val="24"/>
          <w:szCs w:val="24"/>
        </w:rPr>
        <w:t>-</w:t>
      </w:r>
      <w:r w:rsidR="00C4313A" w:rsidRPr="00494D70">
        <w:rPr>
          <w:rFonts w:ascii="Times New Roman" w:eastAsia="Calibri" w:hAnsi="Times New Roman" w:cs="Times New Roman"/>
          <w:sz w:val="24"/>
          <w:szCs w:val="24"/>
        </w:rPr>
        <w:t xml:space="preserve">month time frame </w:t>
      </w:r>
      <w:r w:rsidR="009D4BA6" w:rsidRPr="00494D70">
        <w:rPr>
          <w:rFonts w:ascii="Times New Roman" w:eastAsia="Calibri" w:hAnsi="Times New Roman" w:cs="Times New Roman"/>
          <w:sz w:val="24"/>
          <w:szCs w:val="24"/>
        </w:rPr>
        <w:t xml:space="preserve">included in the SAQ-9’s instructions and to avoid recall bias. </w:t>
      </w:r>
    </w:p>
    <w:p w14:paraId="3A25F6F2" w14:textId="7113E12F" w:rsidR="00AE7A39" w:rsidRPr="00494D70" w:rsidRDefault="0093556A" w:rsidP="00CA34A2">
      <w:pPr>
        <w:spacing w:after="0" w:line="480" w:lineRule="auto"/>
        <w:ind w:firstLine="567"/>
        <w:rPr>
          <w:rFonts w:ascii="Times New Roman" w:eastAsia="Times New Roman" w:hAnsi="Times New Roman" w:cs="Times New Roman"/>
          <w:color w:val="000000" w:themeColor="text1"/>
          <w:sz w:val="24"/>
          <w:szCs w:val="24"/>
        </w:rPr>
      </w:pPr>
      <w:r w:rsidRPr="00494D70">
        <w:rPr>
          <w:rFonts w:ascii="Times New Roman" w:eastAsia="Times New Roman" w:hAnsi="Times New Roman" w:cs="Times New Roman"/>
          <w:color w:val="000000" w:themeColor="text1"/>
          <w:sz w:val="24"/>
          <w:szCs w:val="24"/>
        </w:rPr>
        <w:t xml:space="preserve">The original dataset contained 82,243 </w:t>
      </w:r>
      <w:r w:rsidR="0027084A" w:rsidRPr="00494D70">
        <w:rPr>
          <w:rFonts w:ascii="Times New Roman" w:eastAsia="Times New Roman" w:hAnsi="Times New Roman" w:cs="Times New Roman"/>
          <w:color w:val="000000" w:themeColor="text1"/>
          <w:sz w:val="24"/>
          <w:szCs w:val="24"/>
        </w:rPr>
        <w:t>participants</w:t>
      </w:r>
      <w:r w:rsidRPr="00494D70">
        <w:rPr>
          <w:rFonts w:ascii="Times New Roman" w:eastAsia="Times New Roman" w:hAnsi="Times New Roman" w:cs="Times New Roman"/>
          <w:color w:val="000000" w:themeColor="text1"/>
          <w:sz w:val="24"/>
          <w:szCs w:val="24"/>
        </w:rPr>
        <w:t xml:space="preserve"> (</w:t>
      </w:r>
      <w:r w:rsidRPr="00494D70">
        <w:rPr>
          <w:rFonts w:ascii="Times New Roman" w:eastAsia="Times New Roman" w:hAnsi="Times New Roman" w:cs="Times New Roman"/>
          <w:i/>
          <w:iCs/>
          <w:color w:val="000000" w:themeColor="text1"/>
          <w:sz w:val="24"/>
          <w:szCs w:val="24"/>
        </w:rPr>
        <w:t>M</w:t>
      </w:r>
      <w:r w:rsidRPr="00494D70">
        <w:rPr>
          <w:rFonts w:ascii="Times New Roman" w:eastAsia="Times New Roman" w:hAnsi="Times New Roman" w:cs="Times New Roman"/>
          <w:i/>
          <w:iCs/>
          <w:color w:val="000000" w:themeColor="text1"/>
          <w:sz w:val="24"/>
          <w:szCs w:val="24"/>
          <w:vertAlign w:val="subscript"/>
        </w:rPr>
        <w:t xml:space="preserve">age = </w:t>
      </w:r>
      <w:r w:rsidRPr="00494D70">
        <w:rPr>
          <w:rFonts w:ascii="Times New Roman" w:eastAsia="Times New Roman" w:hAnsi="Times New Roman" w:cs="Times New Roman"/>
          <w:color w:val="000000" w:themeColor="text1"/>
          <w:sz w:val="24"/>
          <w:szCs w:val="24"/>
        </w:rPr>
        <w:t xml:space="preserve">32.39 years, </w:t>
      </w:r>
      <w:r w:rsidRPr="00494D70">
        <w:rPr>
          <w:rFonts w:ascii="Times New Roman" w:eastAsia="Times New Roman" w:hAnsi="Times New Roman" w:cs="Times New Roman"/>
          <w:i/>
          <w:iCs/>
          <w:color w:val="000000" w:themeColor="text1"/>
          <w:sz w:val="24"/>
          <w:szCs w:val="24"/>
        </w:rPr>
        <w:t xml:space="preserve">SD = </w:t>
      </w:r>
      <w:r w:rsidRPr="00494D70">
        <w:rPr>
          <w:rFonts w:ascii="Times New Roman" w:eastAsia="Times New Roman" w:hAnsi="Times New Roman" w:cs="Times New Roman"/>
          <w:color w:val="000000" w:themeColor="text1"/>
          <w:sz w:val="24"/>
          <w:szCs w:val="24"/>
        </w:rPr>
        <w:t xml:space="preserve">12.52), out of which 65,448 </w:t>
      </w:r>
      <w:r w:rsidR="00404458" w:rsidRPr="00494D70">
        <w:rPr>
          <w:rFonts w:ascii="Times New Roman" w:eastAsia="Times New Roman" w:hAnsi="Times New Roman" w:cs="Times New Roman"/>
          <w:color w:val="000000" w:themeColor="text1"/>
          <w:sz w:val="24"/>
          <w:szCs w:val="24"/>
        </w:rPr>
        <w:t>partic</w:t>
      </w:r>
      <w:r w:rsidR="00484B88" w:rsidRPr="00494D70">
        <w:rPr>
          <w:rFonts w:ascii="Times New Roman" w:eastAsia="Times New Roman" w:hAnsi="Times New Roman" w:cs="Times New Roman"/>
          <w:color w:val="000000" w:themeColor="text1"/>
          <w:sz w:val="24"/>
          <w:szCs w:val="24"/>
        </w:rPr>
        <w:t>i</w:t>
      </w:r>
      <w:r w:rsidR="00404458" w:rsidRPr="00494D70">
        <w:rPr>
          <w:rFonts w:ascii="Times New Roman" w:eastAsia="Times New Roman" w:hAnsi="Times New Roman" w:cs="Times New Roman"/>
          <w:color w:val="000000" w:themeColor="text1"/>
          <w:sz w:val="24"/>
          <w:szCs w:val="24"/>
        </w:rPr>
        <w:t>pants were sexually active and completed</w:t>
      </w:r>
      <w:r w:rsidRPr="00494D70">
        <w:rPr>
          <w:rFonts w:ascii="Times New Roman" w:eastAsia="Times New Roman" w:hAnsi="Times New Roman" w:cs="Times New Roman"/>
          <w:color w:val="000000" w:themeColor="text1"/>
          <w:sz w:val="24"/>
          <w:szCs w:val="24"/>
        </w:rPr>
        <w:t xml:space="preserve"> the SAQ-9 (</w:t>
      </w:r>
      <w:r w:rsidR="006866FF" w:rsidRPr="00494D70">
        <w:rPr>
          <w:rFonts w:ascii="Times New Roman" w:eastAsia="Times New Roman" w:hAnsi="Times New Roman" w:cs="Times New Roman"/>
          <w:color w:val="000000" w:themeColor="text1"/>
          <w:sz w:val="24"/>
          <w:szCs w:val="24"/>
        </w:rPr>
        <w:t>analytic</w:t>
      </w:r>
      <w:r w:rsidR="00CA34A2" w:rsidRPr="00494D70">
        <w:rPr>
          <w:rFonts w:ascii="Times New Roman" w:eastAsia="Times New Roman" w:hAnsi="Times New Roman" w:cs="Times New Roman"/>
          <w:color w:val="000000" w:themeColor="text1"/>
          <w:sz w:val="24"/>
          <w:szCs w:val="24"/>
        </w:rPr>
        <w:t xml:space="preserve"> </w:t>
      </w:r>
      <w:r w:rsidR="006866FF" w:rsidRPr="00494D70">
        <w:rPr>
          <w:rFonts w:ascii="Times New Roman" w:eastAsia="Times New Roman" w:hAnsi="Times New Roman" w:cs="Times New Roman"/>
          <w:color w:val="000000" w:themeColor="text1"/>
          <w:sz w:val="24"/>
          <w:szCs w:val="24"/>
        </w:rPr>
        <w:t>sample;</w:t>
      </w:r>
      <w:r w:rsidR="008B341D" w:rsidRPr="00494D70">
        <w:rPr>
          <w:rFonts w:ascii="Times New Roman" w:eastAsia="Times New Roman" w:hAnsi="Times New Roman" w:cs="Times New Roman"/>
          <w:color w:val="000000" w:themeColor="text1"/>
          <w:sz w:val="24"/>
          <w:szCs w:val="24"/>
        </w:rPr>
        <w:t xml:space="preserve"> </w:t>
      </w:r>
      <w:r w:rsidRPr="00494D70">
        <w:rPr>
          <w:rFonts w:ascii="Times New Roman" w:eastAsia="Times New Roman" w:hAnsi="Times New Roman" w:cs="Times New Roman"/>
          <w:i/>
          <w:iCs/>
          <w:color w:val="000000" w:themeColor="text1"/>
          <w:sz w:val="24"/>
          <w:szCs w:val="24"/>
        </w:rPr>
        <w:t>M</w:t>
      </w:r>
      <w:r w:rsidRPr="00494D70">
        <w:rPr>
          <w:rFonts w:ascii="Times New Roman" w:eastAsia="Times New Roman" w:hAnsi="Times New Roman" w:cs="Times New Roman"/>
          <w:i/>
          <w:iCs/>
          <w:color w:val="000000" w:themeColor="text1"/>
          <w:sz w:val="24"/>
          <w:szCs w:val="24"/>
          <w:vertAlign w:val="subscript"/>
        </w:rPr>
        <w:t xml:space="preserve">age = </w:t>
      </w:r>
      <w:r w:rsidRPr="00494D70">
        <w:rPr>
          <w:rFonts w:ascii="Times New Roman" w:eastAsia="Times New Roman" w:hAnsi="Times New Roman" w:cs="Times New Roman"/>
          <w:color w:val="000000" w:themeColor="text1"/>
          <w:sz w:val="24"/>
          <w:szCs w:val="24"/>
        </w:rPr>
        <w:t xml:space="preserve">32.98 years, </w:t>
      </w:r>
      <w:r w:rsidRPr="00494D70">
        <w:rPr>
          <w:rFonts w:ascii="Times New Roman" w:eastAsia="Times New Roman" w:hAnsi="Times New Roman" w:cs="Times New Roman"/>
          <w:i/>
          <w:iCs/>
          <w:color w:val="000000" w:themeColor="text1"/>
          <w:sz w:val="24"/>
          <w:szCs w:val="24"/>
        </w:rPr>
        <w:t xml:space="preserve">SD = </w:t>
      </w:r>
      <w:r w:rsidRPr="00494D70">
        <w:rPr>
          <w:rFonts w:ascii="Times New Roman" w:eastAsia="Times New Roman" w:hAnsi="Times New Roman" w:cs="Times New Roman"/>
          <w:color w:val="000000" w:themeColor="text1"/>
          <w:sz w:val="24"/>
          <w:szCs w:val="24"/>
        </w:rPr>
        <w:t xml:space="preserve">12.08). </w:t>
      </w:r>
      <w:r w:rsidR="00AA6F93" w:rsidRPr="00494D70">
        <w:rPr>
          <w:rFonts w:ascii="Times New Roman" w:eastAsia="Times New Roman" w:hAnsi="Times New Roman" w:cs="Times New Roman"/>
          <w:color w:val="000000" w:themeColor="text1"/>
          <w:sz w:val="24"/>
          <w:szCs w:val="24"/>
        </w:rPr>
        <w:t xml:space="preserve">A total of </w:t>
      </w:r>
      <w:r w:rsidR="005B6A26" w:rsidRPr="00494D70">
        <w:rPr>
          <w:rFonts w:ascii="Times New Roman" w:eastAsia="Times New Roman" w:hAnsi="Times New Roman" w:cs="Times New Roman"/>
          <w:color w:val="000000" w:themeColor="text1"/>
          <w:sz w:val="24"/>
          <w:szCs w:val="24"/>
        </w:rPr>
        <w:t xml:space="preserve">58.08% of the </w:t>
      </w:r>
      <w:r w:rsidR="00BD2170" w:rsidRPr="00494D70">
        <w:rPr>
          <w:rFonts w:ascii="Times New Roman" w:eastAsia="Times New Roman" w:hAnsi="Times New Roman" w:cs="Times New Roman"/>
          <w:color w:val="000000" w:themeColor="text1"/>
          <w:sz w:val="24"/>
          <w:szCs w:val="24"/>
        </w:rPr>
        <w:t xml:space="preserve">analytic </w:t>
      </w:r>
      <w:r w:rsidR="005B6A26" w:rsidRPr="00494D70">
        <w:rPr>
          <w:rFonts w:ascii="Times New Roman" w:eastAsia="Times New Roman" w:hAnsi="Times New Roman" w:cs="Times New Roman"/>
          <w:color w:val="000000" w:themeColor="text1"/>
          <w:sz w:val="24"/>
          <w:szCs w:val="24"/>
        </w:rPr>
        <w:t xml:space="preserve">sample identified as women, </w:t>
      </w:r>
      <w:r w:rsidR="001E4B39" w:rsidRPr="00494D70">
        <w:rPr>
          <w:rFonts w:ascii="Times New Roman" w:eastAsia="Times New Roman" w:hAnsi="Times New Roman" w:cs="Times New Roman"/>
          <w:color w:val="000000" w:themeColor="text1"/>
          <w:sz w:val="24"/>
          <w:szCs w:val="24"/>
        </w:rPr>
        <w:t xml:space="preserve">39.14% as men, </w:t>
      </w:r>
      <w:r w:rsidR="00875DA5" w:rsidRPr="00494D70">
        <w:rPr>
          <w:rFonts w:ascii="Times New Roman" w:eastAsia="Times New Roman" w:hAnsi="Times New Roman" w:cs="Times New Roman"/>
          <w:color w:val="000000" w:themeColor="text1"/>
          <w:sz w:val="24"/>
          <w:szCs w:val="24"/>
        </w:rPr>
        <w:t xml:space="preserve">and </w:t>
      </w:r>
      <w:r w:rsidR="00F21979" w:rsidRPr="00494D70">
        <w:rPr>
          <w:rFonts w:ascii="Times New Roman" w:eastAsia="Times New Roman" w:hAnsi="Times New Roman" w:cs="Times New Roman"/>
          <w:color w:val="000000" w:themeColor="text1"/>
          <w:sz w:val="24"/>
          <w:szCs w:val="24"/>
        </w:rPr>
        <w:t>2.28% as gender-diverse individual (e.g., non-binary, genderfluid)</w:t>
      </w:r>
      <w:r w:rsidR="00EB6D31" w:rsidRPr="00494D70">
        <w:rPr>
          <w:rStyle w:val="Lbjegyzet-hivatkozs"/>
        </w:rPr>
        <w:footnoteReference w:id="3"/>
      </w:r>
      <w:r w:rsidR="004D0404" w:rsidRPr="00494D70">
        <w:rPr>
          <w:rFonts w:ascii="Times New Roman" w:eastAsia="Times New Roman" w:hAnsi="Times New Roman" w:cs="Times New Roman"/>
          <w:color w:val="000000" w:themeColor="text1"/>
          <w:sz w:val="24"/>
          <w:szCs w:val="24"/>
        </w:rPr>
        <w:t>;</w:t>
      </w:r>
      <w:r w:rsidR="00F21979" w:rsidRPr="00494D70">
        <w:rPr>
          <w:rFonts w:ascii="Times New Roman" w:eastAsia="Times New Roman" w:hAnsi="Times New Roman" w:cs="Times New Roman"/>
          <w:color w:val="000000" w:themeColor="text1"/>
          <w:sz w:val="24"/>
          <w:szCs w:val="24"/>
        </w:rPr>
        <w:t xml:space="preserve"> </w:t>
      </w:r>
      <w:r w:rsidR="00582FFE" w:rsidRPr="00494D70">
        <w:rPr>
          <w:rFonts w:ascii="Times New Roman" w:eastAsia="Times New Roman" w:hAnsi="Times New Roman" w:cs="Times New Roman"/>
          <w:color w:val="000000" w:themeColor="text1"/>
          <w:sz w:val="24"/>
          <w:szCs w:val="24"/>
        </w:rPr>
        <w:t>69</w:t>
      </w:r>
      <w:r w:rsidR="00F62926" w:rsidRPr="00494D70">
        <w:rPr>
          <w:rFonts w:ascii="Times New Roman" w:eastAsia="Times New Roman" w:hAnsi="Times New Roman" w:cs="Times New Roman"/>
          <w:color w:val="000000" w:themeColor="text1"/>
          <w:sz w:val="24"/>
          <w:szCs w:val="24"/>
        </w:rPr>
        <w:t>.65% reported heterosexual, 5.53% gay</w:t>
      </w:r>
      <w:r w:rsidR="00484745" w:rsidRPr="00494D70">
        <w:rPr>
          <w:rFonts w:ascii="Times New Roman" w:eastAsia="Times New Roman" w:hAnsi="Times New Roman" w:cs="Times New Roman"/>
          <w:color w:val="000000" w:themeColor="text1"/>
          <w:sz w:val="24"/>
          <w:szCs w:val="24"/>
        </w:rPr>
        <w:t xml:space="preserve"> or </w:t>
      </w:r>
      <w:r w:rsidR="00F62926" w:rsidRPr="00494D70">
        <w:rPr>
          <w:rFonts w:ascii="Times New Roman" w:eastAsia="Times New Roman" w:hAnsi="Times New Roman" w:cs="Times New Roman"/>
          <w:color w:val="000000" w:themeColor="text1"/>
          <w:sz w:val="24"/>
          <w:szCs w:val="24"/>
        </w:rPr>
        <w:t>lesbian</w:t>
      </w:r>
      <w:r w:rsidR="00484745" w:rsidRPr="00494D70">
        <w:rPr>
          <w:rFonts w:ascii="Times New Roman" w:eastAsia="Times New Roman" w:hAnsi="Times New Roman" w:cs="Times New Roman"/>
          <w:color w:val="000000" w:themeColor="text1"/>
          <w:sz w:val="24"/>
          <w:szCs w:val="24"/>
        </w:rPr>
        <w:t xml:space="preserve">, </w:t>
      </w:r>
      <w:r w:rsidR="00F20BEC" w:rsidRPr="00494D70">
        <w:rPr>
          <w:rFonts w:ascii="Times New Roman" w:eastAsia="Times New Roman" w:hAnsi="Times New Roman" w:cs="Times New Roman"/>
          <w:color w:val="000000" w:themeColor="text1"/>
          <w:sz w:val="24"/>
          <w:szCs w:val="24"/>
        </w:rPr>
        <w:t xml:space="preserve">9.53% bisexual, </w:t>
      </w:r>
      <w:r w:rsidR="00CE15A9" w:rsidRPr="00494D70">
        <w:rPr>
          <w:rFonts w:ascii="Times New Roman" w:eastAsia="Times New Roman" w:hAnsi="Times New Roman" w:cs="Times New Roman"/>
          <w:color w:val="000000" w:themeColor="text1"/>
          <w:sz w:val="24"/>
          <w:szCs w:val="24"/>
        </w:rPr>
        <w:t xml:space="preserve">3.46% queer or pansexual, 8.67% homo- or heteroflexible, </w:t>
      </w:r>
      <w:r w:rsidR="005719CF" w:rsidRPr="00494D70">
        <w:rPr>
          <w:rFonts w:ascii="Times New Roman" w:eastAsia="Times New Roman" w:hAnsi="Times New Roman" w:cs="Times New Roman"/>
          <w:color w:val="000000" w:themeColor="text1"/>
          <w:sz w:val="24"/>
          <w:szCs w:val="24"/>
        </w:rPr>
        <w:t xml:space="preserve">0.46% asexual, </w:t>
      </w:r>
      <w:r w:rsidR="00831926" w:rsidRPr="00494D70">
        <w:rPr>
          <w:rFonts w:ascii="Times New Roman" w:eastAsia="Times New Roman" w:hAnsi="Times New Roman" w:cs="Times New Roman"/>
          <w:color w:val="000000" w:themeColor="text1"/>
          <w:sz w:val="24"/>
          <w:szCs w:val="24"/>
        </w:rPr>
        <w:t xml:space="preserve">or </w:t>
      </w:r>
      <w:r w:rsidR="005719CF" w:rsidRPr="00494D70">
        <w:rPr>
          <w:rFonts w:ascii="Times New Roman" w:eastAsia="Times New Roman" w:hAnsi="Times New Roman" w:cs="Times New Roman"/>
          <w:color w:val="000000" w:themeColor="text1"/>
          <w:sz w:val="24"/>
          <w:szCs w:val="24"/>
        </w:rPr>
        <w:t>0.79</w:t>
      </w:r>
      <w:r w:rsidR="008F2A52" w:rsidRPr="00494D70">
        <w:rPr>
          <w:rFonts w:ascii="Times New Roman" w:eastAsia="Times New Roman" w:hAnsi="Times New Roman" w:cs="Times New Roman"/>
          <w:color w:val="000000" w:themeColor="text1"/>
          <w:sz w:val="24"/>
          <w:szCs w:val="24"/>
        </w:rPr>
        <w:t>% other sexual orientation</w:t>
      </w:r>
      <w:r w:rsidR="00AA6F93" w:rsidRPr="00494D70">
        <w:rPr>
          <w:rFonts w:ascii="Times New Roman" w:eastAsia="Times New Roman" w:hAnsi="Times New Roman" w:cs="Times New Roman"/>
          <w:color w:val="000000" w:themeColor="text1"/>
          <w:sz w:val="24"/>
          <w:szCs w:val="24"/>
        </w:rPr>
        <w:t>, and</w:t>
      </w:r>
      <w:r w:rsidR="008F2A52" w:rsidRPr="00494D70">
        <w:rPr>
          <w:rFonts w:ascii="Times New Roman" w:eastAsia="Times New Roman" w:hAnsi="Times New Roman" w:cs="Times New Roman"/>
          <w:color w:val="000000" w:themeColor="text1"/>
          <w:sz w:val="24"/>
          <w:szCs w:val="24"/>
        </w:rPr>
        <w:t xml:space="preserve"> 1.63% of respondents reported that they </w:t>
      </w:r>
      <w:r w:rsidR="00831926" w:rsidRPr="00494D70">
        <w:rPr>
          <w:rFonts w:ascii="Times New Roman" w:eastAsia="Times New Roman" w:hAnsi="Times New Roman" w:cs="Times New Roman"/>
          <w:color w:val="000000" w:themeColor="text1"/>
          <w:sz w:val="24"/>
          <w:szCs w:val="24"/>
        </w:rPr>
        <w:t>we</w:t>
      </w:r>
      <w:r w:rsidR="008F2A52" w:rsidRPr="00494D70">
        <w:rPr>
          <w:rFonts w:ascii="Times New Roman" w:eastAsia="Times New Roman" w:hAnsi="Times New Roman" w:cs="Times New Roman"/>
          <w:color w:val="000000" w:themeColor="text1"/>
          <w:sz w:val="24"/>
          <w:szCs w:val="24"/>
        </w:rPr>
        <w:t xml:space="preserve">re </w:t>
      </w:r>
      <w:r w:rsidR="002441EB" w:rsidRPr="00494D70">
        <w:rPr>
          <w:rFonts w:ascii="Times New Roman" w:eastAsia="Times New Roman" w:hAnsi="Times New Roman" w:cs="Times New Roman"/>
          <w:color w:val="000000" w:themeColor="text1"/>
          <w:sz w:val="24"/>
          <w:szCs w:val="24"/>
        </w:rPr>
        <w:t>unsure about or questioning their sexual orientation.</w:t>
      </w:r>
      <w:r w:rsidR="00F62926" w:rsidRPr="00494D70">
        <w:rPr>
          <w:rFonts w:ascii="Times New Roman" w:eastAsia="Times New Roman" w:hAnsi="Times New Roman" w:cs="Times New Roman"/>
          <w:color w:val="000000" w:themeColor="text1"/>
          <w:sz w:val="24"/>
          <w:szCs w:val="24"/>
        </w:rPr>
        <w:t xml:space="preserve"> </w:t>
      </w:r>
      <w:r w:rsidRPr="00494D70">
        <w:rPr>
          <w:rFonts w:ascii="Times New Roman" w:hAnsi="Times New Roman" w:cs="Times New Roman"/>
          <w:sz w:val="24"/>
          <w:szCs w:val="24"/>
        </w:rPr>
        <w:t xml:space="preserve">A detailed description of the </w:t>
      </w:r>
      <w:r w:rsidR="002C7B1A" w:rsidRPr="00494D70">
        <w:rPr>
          <w:rFonts w:ascii="Times New Roman" w:hAnsi="Times New Roman" w:cs="Times New Roman"/>
          <w:sz w:val="24"/>
          <w:szCs w:val="24"/>
        </w:rPr>
        <w:t xml:space="preserve">analytic </w:t>
      </w:r>
      <w:r w:rsidRPr="00494D70">
        <w:rPr>
          <w:rFonts w:ascii="Times New Roman" w:hAnsi="Times New Roman" w:cs="Times New Roman"/>
          <w:sz w:val="24"/>
          <w:szCs w:val="24"/>
        </w:rPr>
        <w:t xml:space="preserve">sample is presented in Table 1. </w:t>
      </w:r>
    </w:p>
    <w:p w14:paraId="66716C03" w14:textId="3D211B6D" w:rsidR="00603EF5" w:rsidRPr="00494D70" w:rsidRDefault="00603EF5" w:rsidP="00CE0BBF">
      <w:pPr>
        <w:spacing w:after="0" w:line="480" w:lineRule="auto"/>
        <w:rPr>
          <w:rFonts w:ascii="Times New Roman" w:eastAsia="Calibri" w:hAnsi="Times New Roman" w:cs="Times New Roman"/>
          <w:b/>
          <w:bCs/>
          <w:sz w:val="24"/>
          <w:szCs w:val="24"/>
        </w:rPr>
      </w:pPr>
      <w:r w:rsidRPr="00494D70">
        <w:rPr>
          <w:rFonts w:ascii="Times New Roman" w:eastAsia="Calibri" w:hAnsi="Times New Roman" w:cs="Times New Roman"/>
          <w:b/>
          <w:bCs/>
          <w:sz w:val="24"/>
          <w:szCs w:val="24"/>
        </w:rPr>
        <w:t>Measures</w:t>
      </w:r>
    </w:p>
    <w:p w14:paraId="2849ADDF" w14:textId="77777777" w:rsidR="00603EF5" w:rsidRPr="00494D70" w:rsidRDefault="00603EF5" w:rsidP="000B124E">
      <w:pPr>
        <w:spacing w:after="0" w:line="480" w:lineRule="auto"/>
        <w:rPr>
          <w:rFonts w:ascii="Times New Roman" w:eastAsia="Calibri" w:hAnsi="Times New Roman" w:cs="Times New Roman"/>
          <w:i/>
          <w:iCs/>
          <w:sz w:val="24"/>
          <w:szCs w:val="24"/>
        </w:rPr>
      </w:pPr>
      <w:r w:rsidRPr="00494D70">
        <w:rPr>
          <w:rFonts w:ascii="Times New Roman" w:eastAsia="Calibri" w:hAnsi="Times New Roman" w:cs="Times New Roman"/>
          <w:i/>
          <w:iCs/>
          <w:sz w:val="24"/>
          <w:szCs w:val="24"/>
        </w:rPr>
        <w:t>Participant characteristics</w:t>
      </w:r>
    </w:p>
    <w:p w14:paraId="2EE51029" w14:textId="2E4081BE" w:rsidR="00592321" w:rsidRPr="00494D70" w:rsidRDefault="00603EF5" w:rsidP="00916D25">
      <w:pPr>
        <w:spacing w:after="0" w:line="480" w:lineRule="auto"/>
        <w:ind w:firstLine="567"/>
        <w:rPr>
          <w:rFonts w:ascii="Times New Roman" w:eastAsia="Calibri" w:hAnsi="Times New Roman" w:cs="Times New Roman"/>
          <w:i/>
          <w:iCs/>
          <w:sz w:val="24"/>
          <w:szCs w:val="24"/>
        </w:rPr>
      </w:pPr>
      <w:r w:rsidRPr="00494D70">
        <w:rPr>
          <w:rFonts w:ascii="Times New Roman" w:eastAsia="Calibri" w:hAnsi="Times New Roman" w:cs="Times New Roman"/>
          <w:sz w:val="24"/>
          <w:szCs w:val="24"/>
        </w:rPr>
        <w:t xml:space="preserve">Participants were asked to </w:t>
      </w:r>
      <w:r w:rsidR="00AA6F93" w:rsidRPr="00494D70">
        <w:rPr>
          <w:rFonts w:ascii="Times New Roman" w:eastAsia="Calibri" w:hAnsi="Times New Roman" w:cs="Times New Roman"/>
          <w:sz w:val="24"/>
          <w:szCs w:val="24"/>
        </w:rPr>
        <w:t xml:space="preserve">complete a sociodemographic questionnaire </w:t>
      </w:r>
      <w:r w:rsidR="00831926" w:rsidRPr="00494D70">
        <w:rPr>
          <w:rFonts w:ascii="Times New Roman" w:eastAsia="Calibri" w:hAnsi="Times New Roman" w:cs="Times New Roman"/>
          <w:sz w:val="24"/>
          <w:szCs w:val="24"/>
        </w:rPr>
        <w:t xml:space="preserve">assessing </w:t>
      </w:r>
      <w:r w:rsidRPr="00494D70">
        <w:rPr>
          <w:rFonts w:ascii="Times New Roman" w:eastAsia="Calibri" w:hAnsi="Times New Roman" w:cs="Times New Roman"/>
          <w:sz w:val="24"/>
          <w:szCs w:val="24"/>
        </w:rPr>
        <w:t xml:space="preserve">age, gender, sexual orientation, relationship status, </w:t>
      </w:r>
      <w:r w:rsidR="001F3F6D" w:rsidRPr="00494D70">
        <w:rPr>
          <w:rFonts w:ascii="Times New Roman" w:eastAsia="Calibri" w:hAnsi="Times New Roman" w:cs="Times New Roman"/>
          <w:sz w:val="24"/>
          <w:szCs w:val="24"/>
        </w:rPr>
        <w:t>education,</w:t>
      </w:r>
      <w:r w:rsidRPr="00494D70">
        <w:rPr>
          <w:rFonts w:ascii="Times New Roman" w:eastAsia="Calibri" w:hAnsi="Times New Roman" w:cs="Times New Roman"/>
          <w:sz w:val="24"/>
          <w:szCs w:val="24"/>
        </w:rPr>
        <w:t xml:space="preserve"> and work status. </w:t>
      </w:r>
      <w:r w:rsidR="00831926" w:rsidRPr="00494D70">
        <w:rPr>
          <w:rFonts w:ascii="Times New Roman" w:eastAsia="Calibri" w:hAnsi="Times New Roman" w:cs="Times New Roman"/>
          <w:sz w:val="24"/>
          <w:szCs w:val="24"/>
        </w:rPr>
        <w:t xml:space="preserve">A </w:t>
      </w:r>
      <w:r w:rsidRPr="00494D70">
        <w:rPr>
          <w:rFonts w:ascii="Times New Roman" w:eastAsia="Calibri" w:hAnsi="Times New Roman" w:cs="Times New Roman"/>
          <w:sz w:val="24"/>
          <w:szCs w:val="24"/>
        </w:rPr>
        <w:t xml:space="preserve">complete list of </w:t>
      </w:r>
      <w:r w:rsidR="00831926" w:rsidRPr="00494D70">
        <w:rPr>
          <w:rFonts w:ascii="Times New Roman" w:eastAsia="Calibri" w:hAnsi="Times New Roman" w:cs="Times New Roman"/>
          <w:sz w:val="24"/>
          <w:szCs w:val="24"/>
        </w:rPr>
        <w:t xml:space="preserve">survey </w:t>
      </w:r>
      <w:r w:rsidRPr="00494D70">
        <w:rPr>
          <w:rFonts w:ascii="Times New Roman" w:eastAsia="Calibri" w:hAnsi="Times New Roman" w:cs="Times New Roman"/>
          <w:sz w:val="24"/>
          <w:szCs w:val="24"/>
        </w:rPr>
        <w:t xml:space="preserve">measures </w:t>
      </w:r>
      <w:r w:rsidR="00831926" w:rsidRPr="00494D70">
        <w:rPr>
          <w:rFonts w:ascii="Times New Roman" w:eastAsia="Calibri" w:hAnsi="Times New Roman" w:cs="Times New Roman"/>
          <w:sz w:val="24"/>
          <w:szCs w:val="24"/>
        </w:rPr>
        <w:t>is described in</w:t>
      </w:r>
      <w:r w:rsidRPr="00494D70">
        <w:rPr>
          <w:rFonts w:ascii="Times New Roman" w:eastAsia="Calibri" w:hAnsi="Times New Roman" w:cs="Times New Roman"/>
          <w:sz w:val="24"/>
          <w:szCs w:val="24"/>
        </w:rPr>
        <w:t xml:space="preserve"> the study protocol (</w:t>
      </w:r>
      <w:r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{"citationID":"IapRK4hn","properties":{"formattedCitation":"(B\\uc0\\u337{}the et al., 2021)","plainCitation":"(Bőthe et al., 2021)","dontUpdate":true,"noteIndex":0},"citationItems":[{"id":3103,"uris":["http://zotero.org/users/7402913/items/KMQJKL5D"],"itemData":{"id":3103,"type":"article-journal","abstract":"Background and aims: Limitations of research into sexuality and compulsive sexual behavior disorder (CSBD) include the use of simplistic methodological designs and the absence of quality and unified measurements, empirically supported theoretical models, and large, collaborative studies between laboratories. We aim to fill these gaps with the International Sex Survey (ISS, http://internationalsexsurvey.org/).\nMethods: The ISS is a large-scale, international, multi-lab, multi-language study using cross-sectional survey methods, involving more than 40 countries. Participants responding to advertisements complete a self-report, anonymous survey on a secure online platform. Collaborators from each country collect a community sample of adults with a minimum sample size of 2,000 participants with a gender ratio of approximately 50-50% men and women, including diverse individuals with respect to sexuality and gender. The ISS includes a wide range of sociodemographic questions and scales assessing a diverse set of sexual behaviors, pornography use, psychological characteristics, and potential comorbid disorders. Analyses are conducted within a structural equation modeling framework, including variable (e.g., measurement invariance tests) and person-centered approaches (e.g., latent profile analysis).\nDiscussion and conclusions: The ISS will provide well-validated, publicly available screening tools, helping to eliminate significant measurement issues in the field of sexuality research and health care. It will provide important insights to improve the theoretical understanding of CSBD as well as help to identify empirically supported treatment targets for prevention and intervention programs. Following open-science practices and making study materials open-access, the ISS may serve as a blueprint for future large-scale research in addiction and sexuality research.","container-title":"Journal of Behavioral Addictions","DOI":"10.1556/2006.2021.00063","ISSN":"2063-5303","issue":"3","journalAbbreviation":"J Behav Addict","language":"eng","note":"PMID: 34534102","page":"632-645","source":"PubMed","title":"International Sex Survey: Study protocol of a large, cross-cultural collaborative study in 45 countries","title-short":"International Sex Survey","volume":"10","author":[{"family":"Bőthe","given":"Beáta"},{"family":"Koós","given":"Mónika"},{"family":"Nagy","given":"Léna"},{"family":"Kraus","given":"Shane W."},{"family":"Potenza","given":"Marc N."},{"family":"Demetrovics","given":"Zsolt"}],"issued":{"date-parts":[["2021",9,16]]}}}],"schema":"https://github.com/citation-style-language/schema/raw/master/csl-citation.json"} </w:instrText>
      </w:r>
      <w:r w:rsidRPr="00494D70">
        <w:rPr>
          <w:rFonts w:ascii="Times New Roman" w:eastAsia="Calibri" w:hAnsi="Times New Roman" w:cs="Times New Roman"/>
          <w:sz w:val="24"/>
          <w:szCs w:val="24"/>
        </w:rPr>
        <w:fldChar w:fldCharType="separate"/>
      </w:r>
      <w:r w:rsidRPr="00494D70">
        <w:rPr>
          <w:rFonts w:ascii="Times New Roman" w:eastAsia="Calibri" w:hAnsi="Times New Roman" w:cs="Times New Roman"/>
          <w:sz w:val="24"/>
          <w:szCs w:val="24"/>
        </w:rPr>
        <w:t>Bőthe et al., 2021)</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xml:space="preserve">. </w:t>
      </w:r>
    </w:p>
    <w:p w14:paraId="6ED4B1D6" w14:textId="3B25A984" w:rsidR="00603EF5" w:rsidRPr="00494D70" w:rsidRDefault="00603EF5" w:rsidP="000B124E">
      <w:pPr>
        <w:spacing w:after="0" w:line="480" w:lineRule="auto"/>
        <w:rPr>
          <w:rFonts w:ascii="Times New Roman" w:eastAsia="Calibri" w:hAnsi="Times New Roman" w:cs="Times New Roman"/>
          <w:i/>
          <w:iCs/>
          <w:sz w:val="24"/>
          <w:szCs w:val="24"/>
        </w:rPr>
      </w:pPr>
      <w:r w:rsidRPr="00494D70">
        <w:rPr>
          <w:rFonts w:ascii="Times New Roman" w:eastAsia="Calibri" w:hAnsi="Times New Roman" w:cs="Times New Roman"/>
          <w:i/>
          <w:iCs/>
          <w:sz w:val="24"/>
          <w:szCs w:val="24"/>
        </w:rPr>
        <w:t xml:space="preserve">Sexual assertiveness </w:t>
      </w:r>
    </w:p>
    <w:p w14:paraId="7E1A6301" w14:textId="35FC3F33" w:rsidR="00AE7A39" w:rsidRPr="00494D70" w:rsidRDefault="00603EF5" w:rsidP="00C977AA">
      <w:pPr>
        <w:tabs>
          <w:tab w:val="left" w:pos="6379"/>
        </w:tabs>
        <w:spacing w:after="0" w:line="480" w:lineRule="auto"/>
        <w:ind w:firstLine="567"/>
        <w:rPr>
          <w:rFonts w:ascii="Times New Roman" w:eastAsia="Calibri" w:hAnsi="Times New Roman" w:cs="Times New Roman"/>
          <w:sz w:val="24"/>
          <w:szCs w:val="24"/>
        </w:rPr>
      </w:pPr>
      <w:r w:rsidRPr="00494D70">
        <w:rPr>
          <w:rFonts w:ascii="Times New Roman" w:eastAsia="Calibri" w:hAnsi="Times New Roman" w:cs="Times New Roman"/>
          <w:sz w:val="24"/>
          <w:szCs w:val="24"/>
        </w:rPr>
        <w:t>The</w:t>
      </w:r>
      <w:r w:rsidRPr="00494D70">
        <w:rPr>
          <w:rFonts w:ascii="Times New Roman" w:eastAsia="Calibri" w:hAnsi="Times New Roman" w:cs="Times New Roman"/>
          <w:i/>
          <w:iCs/>
          <w:sz w:val="24"/>
          <w:szCs w:val="24"/>
        </w:rPr>
        <w:t xml:space="preserve"> Sexual Assertiveness Questionnaire </w:t>
      </w:r>
      <w:r w:rsidRPr="00494D70">
        <w:rPr>
          <w:rFonts w:ascii="Times New Roman" w:eastAsia="Calibri" w:hAnsi="Times New Roman" w:cs="Times New Roman"/>
          <w:sz w:val="24"/>
          <w:szCs w:val="24"/>
        </w:rPr>
        <w:t xml:space="preserve">(SAQ, </w:t>
      </w:r>
      <w:r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{"citationID":"jzu7LGL7","properties":{"formattedCitation":"(Loshek &amp; Terrell, 2015)","plainCitation":"(Loshek &amp; Terrell, 2015)","dontUpdate":true,"noteIndex":0},"citationItems":[{"id":3118,"uris":["http://zotero.org/users/7402913/items/CJJXYKMQ"],"itemData":{"id":3118,"type":"article-journal","abstract":"Sexual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discussed.","container-title":"Journal of Sex Research","DOI":"10.1080/00224499.2014.944970","ISSN":"1559-8519","issue":"9","journalAbbreviation":"J Sex Res","language":"eng","note":"PMID: 25211014","page":"1017-1027","source":"PubMed","title":"The Development of the Sexual Assertiveness Questionnaire (SAQ): A Comprehensive Measure of Sexual Assertiveness for Women","title-short":"The Development of the Sexual Assertiveness Questionnaire (SAQ)","volume":"52","author":[{"family":"Loshek","given":"Eevett"},{"family":"Terrell","given":"Heather K."}],"issued":{"date-parts":[["2015"]]}}}],"schema":"https://github.com/citation-style-language/schema/raw/master/csl-citation.json"} </w:instrText>
      </w:r>
      <w:r w:rsidRPr="00494D70">
        <w:rPr>
          <w:rFonts w:ascii="Times New Roman" w:eastAsia="Calibri" w:hAnsi="Times New Roman" w:cs="Times New Roman"/>
          <w:sz w:val="24"/>
          <w:szCs w:val="24"/>
        </w:rPr>
        <w:fldChar w:fldCharType="separate"/>
      </w:r>
      <w:r w:rsidRPr="00494D70">
        <w:rPr>
          <w:rFonts w:ascii="Times New Roman" w:eastAsia="Calibri" w:hAnsi="Times New Roman" w:cs="Times New Roman"/>
          <w:sz w:val="24"/>
        </w:rPr>
        <w:t>Loshek &amp; Terrell, 2015)</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xml:space="preserve"> consist</w:t>
      </w:r>
      <w:r w:rsidR="00AA6F93" w:rsidRPr="00494D70">
        <w:rPr>
          <w:rFonts w:ascii="Times New Roman" w:eastAsia="Calibri" w:hAnsi="Times New Roman" w:cs="Times New Roman"/>
          <w:sz w:val="24"/>
          <w:szCs w:val="24"/>
        </w:rPr>
        <w:t>s</w:t>
      </w:r>
      <w:r w:rsidRPr="00494D70">
        <w:rPr>
          <w:rFonts w:ascii="Times New Roman" w:eastAsia="Calibri" w:hAnsi="Times New Roman" w:cs="Times New Roman"/>
          <w:sz w:val="24"/>
          <w:szCs w:val="24"/>
        </w:rPr>
        <w:t xml:space="preserve"> of 18 items </w:t>
      </w:r>
      <w:r w:rsidR="00AA6F93" w:rsidRPr="00494D70">
        <w:rPr>
          <w:rFonts w:ascii="Times New Roman" w:eastAsia="Calibri" w:hAnsi="Times New Roman" w:cs="Times New Roman"/>
          <w:sz w:val="24"/>
          <w:szCs w:val="24"/>
        </w:rPr>
        <w:t>with</w:t>
      </w:r>
      <w:r w:rsidRPr="00494D70">
        <w:rPr>
          <w:rFonts w:ascii="Times New Roman" w:eastAsia="Calibri" w:hAnsi="Times New Roman" w:cs="Times New Roman"/>
          <w:sz w:val="24"/>
          <w:szCs w:val="24"/>
        </w:rPr>
        <w:t xml:space="preserve"> </w:t>
      </w:r>
      <w:r w:rsidR="00AA6F93" w:rsidRPr="00494D70">
        <w:rPr>
          <w:rFonts w:ascii="Times New Roman" w:eastAsia="Calibri" w:hAnsi="Times New Roman" w:cs="Times New Roman"/>
          <w:sz w:val="24"/>
          <w:szCs w:val="24"/>
        </w:rPr>
        <w:t xml:space="preserve">strong </w:t>
      </w:r>
      <w:r w:rsidRPr="00494D70">
        <w:rPr>
          <w:rFonts w:ascii="Times New Roman" w:eastAsia="Calibri" w:hAnsi="Times New Roman" w:cs="Times New Roman"/>
          <w:sz w:val="24"/>
          <w:szCs w:val="24"/>
        </w:rPr>
        <w:t xml:space="preserve">psychometric </w:t>
      </w:r>
      <w:r w:rsidR="00AA6F93" w:rsidRPr="00494D70">
        <w:rPr>
          <w:rFonts w:ascii="Times New Roman" w:eastAsia="Calibri" w:hAnsi="Times New Roman" w:cs="Times New Roman"/>
          <w:sz w:val="24"/>
          <w:szCs w:val="24"/>
        </w:rPr>
        <w:t xml:space="preserve">properties </w:t>
      </w:r>
      <w:r w:rsidRPr="00494D70">
        <w:rPr>
          <w:rFonts w:ascii="Times New Roman" w:eastAsia="Calibri" w:hAnsi="Times New Roman" w:cs="Times New Roman"/>
          <w:sz w:val="24"/>
          <w:szCs w:val="24"/>
        </w:rPr>
        <w:t xml:space="preserve">and meaningfulness for </w:t>
      </w:r>
      <w:r w:rsidR="00831926" w:rsidRPr="00494D70">
        <w:rPr>
          <w:rFonts w:ascii="Times New Roman" w:eastAsia="Calibri" w:hAnsi="Times New Roman" w:cs="Times New Roman"/>
          <w:sz w:val="24"/>
          <w:szCs w:val="24"/>
        </w:rPr>
        <w:t>multiple</w:t>
      </w:r>
      <w:r w:rsidRPr="00494D70">
        <w:rPr>
          <w:rFonts w:ascii="Times New Roman" w:eastAsia="Calibri" w:hAnsi="Times New Roman" w:cs="Times New Roman"/>
          <w:sz w:val="24"/>
          <w:szCs w:val="24"/>
        </w:rPr>
        <w:t xml:space="preserve"> population</w:t>
      </w:r>
      <w:r w:rsidR="00831926" w:rsidRPr="00494D70">
        <w:rPr>
          <w:rFonts w:ascii="Times New Roman" w:eastAsia="Calibri" w:hAnsi="Times New Roman" w:cs="Times New Roman"/>
          <w:sz w:val="24"/>
          <w:szCs w:val="24"/>
        </w:rPr>
        <w:t>s</w:t>
      </w:r>
      <w:r w:rsidRPr="00494D70">
        <w:rPr>
          <w:rFonts w:ascii="Times New Roman" w:eastAsia="Calibri" w:hAnsi="Times New Roman" w:cs="Times New Roman"/>
          <w:sz w:val="24"/>
          <w:szCs w:val="24"/>
        </w:rPr>
        <w:t xml:space="preserve"> (i</w:t>
      </w:r>
      <w:r w:rsidR="00591D27" w:rsidRPr="00494D70">
        <w:rPr>
          <w:rFonts w:ascii="Times New Roman" w:eastAsia="Calibri" w:hAnsi="Times New Roman" w:cs="Times New Roman"/>
          <w:sz w:val="24"/>
          <w:szCs w:val="24"/>
        </w:rPr>
        <w:t>.</w:t>
      </w:r>
      <w:r w:rsidRPr="00494D70">
        <w:rPr>
          <w:rFonts w:ascii="Times New Roman" w:eastAsia="Calibri" w:hAnsi="Times New Roman" w:cs="Times New Roman"/>
          <w:sz w:val="24"/>
          <w:szCs w:val="24"/>
        </w:rPr>
        <w:t>e.</w:t>
      </w:r>
      <w:r w:rsidR="00591D27" w:rsidRPr="00494D70">
        <w:rPr>
          <w:rFonts w:ascii="Times New Roman" w:eastAsia="Calibri" w:hAnsi="Times New Roman" w:cs="Times New Roman"/>
          <w:sz w:val="24"/>
          <w:szCs w:val="24"/>
        </w:rPr>
        <w:t>,</w:t>
      </w:r>
      <w:r w:rsidRPr="00494D70">
        <w:rPr>
          <w:rFonts w:ascii="Times New Roman" w:eastAsia="Calibri" w:hAnsi="Times New Roman" w:cs="Times New Roman"/>
          <w:sz w:val="24"/>
          <w:szCs w:val="24"/>
        </w:rPr>
        <w:t xml:space="preserve"> items related to condom insistence were rephrased or omitted as they were </w:t>
      </w:r>
      <w:r w:rsidR="00831926" w:rsidRPr="00494D70">
        <w:rPr>
          <w:rFonts w:ascii="Times New Roman" w:eastAsia="Calibri" w:hAnsi="Times New Roman" w:cs="Times New Roman"/>
          <w:sz w:val="24"/>
          <w:szCs w:val="24"/>
        </w:rPr>
        <w:t xml:space="preserve">deemed </w:t>
      </w:r>
      <w:r w:rsidRPr="00494D70">
        <w:rPr>
          <w:rFonts w:ascii="Times New Roman" w:eastAsia="Calibri" w:hAnsi="Times New Roman" w:cs="Times New Roman"/>
          <w:sz w:val="24"/>
          <w:szCs w:val="24"/>
        </w:rPr>
        <w:t xml:space="preserve">not </w:t>
      </w:r>
      <w:r w:rsidRPr="00494D70">
        <w:rPr>
          <w:rFonts w:ascii="Times New Roman" w:eastAsia="Calibri" w:hAnsi="Times New Roman" w:cs="Times New Roman"/>
          <w:sz w:val="24"/>
          <w:szCs w:val="24"/>
        </w:rPr>
        <w:lastRenderedPageBreak/>
        <w:t xml:space="preserve">appropriate for individuals </w:t>
      </w:r>
      <w:r w:rsidR="00831926" w:rsidRPr="00494D70">
        <w:rPr>
          <w:rFonts w:ascii="Times New Roman" w:eastAsia="Calibri" w:hAnsi="Times New Roman" w:cs="Times New Roman"/>
          <w:sz w:val="24"/>
          <w:szCs w:val="24"/>
        </w:rPr>
        <w:t>using other</w:t>
      </w:r>
      <w:r w:rsidRPr="00494D70">
        <w:rPr>
          <w:rFonts w:ascii="Times New Roman" w:eastAsia="Calibri" w:hAnsi="Times New Roman" w:cs="Times New Roman"/>
          <w:sz w:val="24"/>
          <w:szCs w:val="24"/>
        </w:rPr>
        <w:t xml:space="preserve"> type</w:t>
      </w:r>
      <w:r w:rsidR="00831926" w:rsidRPr="00494D70">
        <w:rPr>
          <w:rFonts w:ascii="Times New Roman" w:eastAsia="Calibri" w:hAnsi="Times New Roman" w:cs="Times New Roman"/>
          <w:sz w:val="24"/>
          <w:szCs w:val="24"/>
        </w:rPr>
        <w:t>s</w:t>
      </w:r>
      <w:r w:rsidRPr="00494D70">
        <w:rPr>
          <w:rFonts w:ascii="Times New Roman" w:eastAsia="Calibri" w:hAnsi="Times New Roman" w:cs="Times New Roman"/>
          <w:sz w:val="24"/>
          <w:szCs w:val="24"/>
        </w:rPr>
        <w:t xml:space="preserve"> of contraception in monogamous relationship</w:t>
      </w:r>
      <w:r w:rsidR="00831926" w:rsidRPr="00494D70">
        <w:rPr>
          <w:rFonts w:ascii="Times New Roman" w:eastAsia="Calibri" w:hAnsi="Times New Roman" w:cs="Times New Roman"/>
          <w:sz w:val="24"/>
          <w:szCs w:val="24"/>
        </w:rPr>
        <w:t>s</w:t>
      </w:r>
      <w:r w:rsidRPr="00494D70">
        <w:rPr>
          <w:rFonts w:ascii="Times New Roman" w:eastAsia="Calibri" w:hAnsi="Times New Roman" w:cs="Times New Roman"/>
          <w:sz w:val="24"/>
          <w:szCs w:val="24"/>
        </w:rPr>
        <w:t xml:space="preserve">, in </w:t>
      </w:r>
      <w:r w:rsidR="00831926" w:rsidRPr="00494D70">
        <w:rPr>
          <w:rFonts w:ascii="Times New Roman" w:eastAsia="Calibri" w:hAnsi="Times New Roman" w:cs="Times New Roman"/>
          <w:sz w:val="24"/>
          <w:szCs w:val="24"/>
        </w:rPr>
        <w:t xml:space="preserve">some </w:t>
      </w:r>
      <w:r w:rsidRPr="00494D70">
        <w:rPr>
          <w:rFonts w:ascii="Times New Roman" w:eastAsia="Calibri" w:hAnsi="Times New Roman" w:cs="Times New Roman"/>
          <w:sz w:val="24"/>
          <w:szCs w:val="24"/>
        </w:rPr>
        <w:t xml:space="preserve">same-sex monogamous relationships or </w:t>
      </w:r>
      <w:r w:rsidR="00831926" w:rsidRPr="00494D70">
        <w:rPr>
          <w:rFonts w:ascii="Times New Roman" w:eastAsia="Calibri" w:hAnsi="Times New Roman" w:cs="Times New Roman"/>
          <w:sz w:val="24"/>
          <w:szCs w:val="24"/>
        </w:rPr>
        <w:t>desiring to become</w:t>
      </w:r>
      <w:r w:rsidRPr="00494D70">
        <w:rPr>
          <w:rFonts w:ascii="Times New Roman" w:eastAsia="Calibri" w:hAnsi="Times New Roman" w:cs="Times New Roman"/>
          <w:sz w:val="24"/>
          <w:szCs w:val="24"/>
        </w:rPr>
        <w:t xml:space="preserve"> pregnant). In the present study</w:t>
      </w:r>
      <w:r w:rsidR="00831926" w:rsidRPr="00494D70">
        <w:rPr>
          <w:rFonts w:ascii="Times New Roman" w:eastAsia="Calibri" w:hAnsi="Times New Roman" w:cs="Times New Roman"/>
          <w:sz w:val="24"/>
          <w:szCs w:val="24"/>
        </w:rPr>
        <w:t>,</w:t>
      </w:r>
      <w:r w:rsidRPr="00494D70">
        <w:rPr>
          <w:rFonts w:ascii="Times New Roman" w:eastAsia="Calibri" w:hAnsi="Times New Roman" w:cs="Times New Roman"/>
          <w:sz w:val="24"/>
          <w:szCs w:val="24"/>
        </w:rPr>
        <w:t xml:space="preserve"> a short version of the </w:t>
      </w:r>
      <w:r w:rsidRPr="00494D70">
        <w:rPr>
          <w:rFonts w:ascii="Times New Roman" w:eastAsia="Calibri" w:hAnsi="Times New Roman" w:cs="Times New Roman"/>
          <w:i/>
          <w:iCs/>
          <w:sz w:val="24"/>
          <w:szCs w:val="24"/>
        </w:rPr>
        <w:t>Sexual Assertiveness Questionnaire</w:t>
      </w:r>
      <w:r w:rsidRPr="00494D70">
        <w:rPr>
          <w:rFonts w:ascii="Times New Roman" w:eastAsia="Calibri" w:hAnsi="Times New Roman" w:cs="Times New Roman"/>
          <w:sz w:val="24"/>
          <w:szCs w:val="24"/>
        </w:rPr>
        <w:t xml:space="preserve"> (SAQ-</w:t>
      </w:r>
      <w:r w:rsidR="002D001A" w:rsidRPr="00494D70">
        <w:rPr>
          <w:rFonts w:ascii="Times New Roman" w:eastAsia="Calibri" w:hAnsi="Times New Roman" w:cs="Times New Roman"/>
          <w:sz w:val="24"/>
          <w:szCs w:val="24"/>
        </w:rPr>
        <w:t>9</w:t>
      </w:r>
      <w:r w:rsidRPr="00494D70">
        <w:rPr>
          <w:rFonts w:ascii="Times New Roman" w:eastAsia="Calibri" w:hAnsi="Times New Roman" w:cs="Times New Roman"/>
          <w:sz w:val="24"/>
          <w:szCs w:val="24"/>
        </w:rPr>
        <w:t xml:space="preserve">) was used that consisted of </w:t>
      </w:r>
      <w:r w:rsidR="004513A2" w:rsidRPr="00494D70">
        <w:rPr>
          <w:rFonts w:ascii="Times New Roman" w:eastAsia="Calibri" w:hAnsi="Times New Roman" w:cs="Times New Roman"/>
          <w:sz w:val="24"/>
          <w:szCs w:val="24"/>
        </w:rPr>
        <w:t xml:space="preserve">nine items (three items from each factor) </w:t>
      </w:r>
      <w:r w:rsidR="002D001A" w:rsidRPr="00494D70">
        <w:rPr>
          <w:rFonts w:ascii="Times New Roman" w:eastAsia="Calibri" w:hAnsi="Times New Roman" w:cs="Times New Roman"/>
          <w:sz w:val="24"/>
          <w:szCs w:val="24"/>
        </w:rPr>
        <w:t>that demonstrated</w:t>
      </w:r>
      <w:r w:rsidRPr="00494D70">
        <w:rPr>
          <w:rFonts w:ascii="Times New Roman" w:eastAsia="Calibri" w:hAnsi="Times New Roman" w:cs="Times New Roman"/>
          <w:sz w:val="24"/>
          <w:szCs w:val="24"/>
        </w:rPr>
        <w:t xml:space="preserve"> the strongest factor loadings </w:t>
      </w:r>
      <w:r w:rsidR="00406A66" w:rsidRPr="00494D70">
        <w:rPr>
          <w:rFonts w:ascii="Times New Roman" w:eastAsia="Calibri" w:hAnsi="Times New Roman" w:cs="Times New Roman"/>
          <w:sz w:val="24"/>
          <w:szCs w:val="24"/>
        </w:rPr>
        <w:t>on</w:t>
      </w:r>
      <w:r w:rsidRPr="00494D70">
        <w:rPr>
          <w:rFonts w:ascii="Times New Roman" w:eastAsia="Calibri" w:hAnsi="Times New Roman" w:cs="Times New Roman"/>
          <w:sz w:val="24"/>
          <w:szCs w:val="24"/>
        </w:rPr>
        <w:t xml:space="preserve"> </w:t>
      </w:r>
      <w:r w:rsidR="004513A2" w:rsidRPr="00494D70">
        <w:rPr>
          <w:rFonts w:ascii="Times New Roman" w:eastAsia="Calibri" w:hAnsi="Times New Roman" w:cs="Times New Roman"/>
          <w:sz w:val="24"/>
          <w:szCs w:val="24"/>
        </w:rPr>
        <w:t xml:space="preserve">their respective factors and </w:t>
      </w:r>
      <w:r w:rsidR="006666C3" w:rsidRPr="00494D70">
        <w:rPr>
          <w:rFonts w:ascii="Times New Roman" w:eastAsia="Calibri" w:hAnsi="Times New Roman" w:cs="Times New Roman"/>
          <w:sz w:val="24"/>
          <w:szCs w:val="24"/>
        </w:rPr>
        <w:t>most strongly represented their factors</w:t>
      </w:r>
      <w:r w:rsidR="004513A2" w:rsidRPr="00494D70">
        <w:rPr>
          <w:rFonts w:ascii="Times New Roman" w:eastAsia="Calibri" w:hAnsi="Times New Roman" w:cs="Times New Roman"/>
          <w:sz w:val="24"/>
          <w:szCs w:val="24"/>
        </w:rPr>
        <w:t xml:space="preserve"> </w:t>
      </w:r>
      <w:r w:rsidRPr="00494D70">
        <w:rPr>
          <w:rFonts w:ascii="Times New Roman" w:eastAsia="Calibri" w:hAnsi="Times New Roman" w:cs="Times New Roman"/>
          <w:sz w:val="24"/>
          <w:szCs w:val="24"/>
        </w:rPr>
        <w:t>in</w:t>
      </w:r>
      <w:r w:rsidR="007847D8" w:rsidRPr="00494D70">
        <w:rPr>
          <w:rFonts w:ascii="Times New Roman" w:eastAsia="Calibri" w:hAnsi="Times New Roman" w:cs="Times New Roman"/>
          <w:sz w:val="24"/>
          <w:szCs w:val="24"/>
        </w:rPr>
        <w:t xml:space="preserve"> the original validation study </w:t>
      </w:r>
      <w:r w:rsidR="007847D8" w:rsidRPr="00494D70">
        <w:rPr>
          <w:rFonts w:ascii="Times New Roman" w:eastAsia="Calibri" w:hAnsi="Times New Roman" w:cs="Times New Roman"/>
          <w:sz w:val="24"/>
          <w:szCs w:val="24"/>
        </w:rPr>
        <w:fldChar w:fldCharType="begin"/>
      </w:r>
      <w:r w:rsidR="000B7012" w:rsidRPr="00494D70">
        <w:rPr>
          <w:rFonts w:ascii="Times New Roman" w:eastAsia="Calibri" w:hAnsi="Times New Roman" w:cs="Times New Roman"/>
          <w:sz w:val="24"/>
          <w:szCs w:val="24"/>
        </w:rPr>
        <w:instrText xml:space="preserve"> ADDIN ZOTERO_ITEM CSL_CITATION {"citationID":"BesjhObk","properties":{"formattedCitation":"(Loshek &amp; Terrell, 2015)","plainCitation":"(Loshek &amp; Terrell, 2015)","noteIndex":0},"citationItems":[{"id":3118,"uris":["http://zotero.org/users/7402913/items/CJJXYKMQ"],"itemData":{"id":3118,"type":"article-journal","abstract":"Sexual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discussed.","container-title":"Journal of Sex Research","DOI":"10.1080/00224499.2014.944970","ISSN":"1559-8519","issue":"9","journalAbbreviation":"J Sex Res","language":"eng","note":"PMID: 25211014","page":"1017-1027","source":"PubMed","title":"The Development of the Sexual Assertiveness Questionnaire (SAQ): A Comprehensive Measure of Sexual Assertiveness for Women","title-short":"The Development of the Sexual Assertiveness Questionnaire (SAQ)","volume":"52","author":[{"family":"Loshek","given":"Eevett"},{"family":"Terrell","given":"Heather K."}],"issued":{"date-parts":[["2015"]]}}}],"schema":"https://github.com/citation-style-language/schema/raw/master/csl-citation.json"} </w:instrText>
      </w:r>
      <w:r w:rsidR="007847D8" w:rsidRPr="00494D70">
        <w:rPr>
          <w:rFonts w:ascii="Times New Roman" w:eastAsia="Calibri" w:hAnsi="Times New Roman" w:cs="Times New Roman"/>
          <w:sz w:val="24"/>
          <w:szCs w:val="24"/>
        </w:rPr>
        <w:fldChar w:fldCharType="separate"/>
      </w:r>
      <w:r w:rsidR="007847D8" w:rsidRPr="00494D70">
        <w:rPr>
          <w:rFonts w:ascii="Times New Roman" w:hAnsi="Times New Roman" w:cs="Times New Roman"/>
          <w:sz w:val="24"/>
        </w:rPr>
        <w:t>(Loshek &amp; Terrell, 2015)</w:t>
      </w:r>
      <w:r w:rsidR="007847D8"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w:t>
      </w:r>
      <w:r w:rsidR="006E7F0A" w:rsidRPr="00494D70">
        <w:rPr>
          <w:rFonts w:ascii="Times New Roman" w:eastAsia="Calibri" w:hAnsi="Times New Roman" w:cs="Times New Roman"/>
          <w:sz w:val="24"/>
          <w:szCs w:val="24"/>
        </w:rPr>
        <w:t xml:space="preserve"> </w:t>
      </w:r>
      <w:r w:rsidR="00EB3D66" w:rsidRPr="00494D70">
        <w:rPr>
          <w:rFonts w:ascii="Times New Roman" w:eastAsia="Calibri" w:hAnsi="Times New Roman" w:cs="Times New Roman"/>
          <w:sz w:val="24"/>
          <w:szCs w:val="24"/>
        </w:rPr>
        <w:t>The three factors describe communication about sexual initiation and satisfaction (</w:t>
      </w:r>
      <w:r w:rsidR="00EB3D66" w:rsidRPr="00494D70">
        <w:rPr>
          <w:rFonts w:ascii="Times New Roman" w:eastAsia="Calibri" w:hAnsi="Times New Roman" w:cs="Times New Roman"/>
          <w:i/>
          <w:iCs/>
          <w:sz w:val="24"/>
          <w:szCs w:val="24"/>
        </w:rPr>
        <w:t>Initiation</w:t>
      </w:r>
      <w:r w:rsidR="00EB3D66" w:rsidRPr="00494D70">
        <w:rPr>
          <w:rFonts w:ascii="Times New Roman" w:eastAsia="Calibri" w:hAnsi="Times New Roman" w:cs="Times New Roman"/>
          <w:sz w:val="24"/>
          <w:szCs w:val="24"/>
        </w:rPr>
        <w:t xml:space="preserve"> factor, three items, e.g. “</w:t>
      </w:r>
      <w:r w:rsidR="00EB3D66" w:rsidRPr="00494D70">
        <w:rPr>
          <w:rFonts w:ascii="Times New Roman" w:eastAsia="Calibri" w:hAnsi="Times New Roman" w:cs="Times New Roman"/>
          <w:i/>
          <w:iCs/>
          <w:sz w:val="24"/>
          <w:szCs w:val="24"/>
        </w:rPr>
        <w:t>It is easy for me to discuss sex with my partner”</w:t>
      </w:r>
      <w:r w:rsidR="00EB3D66" w:rsidRPr="00494D70">
        <w:rPr>
          <w:rFonts w:ascii="Times New Roman" w:eastAsia="Calibri" w:hAnsi="Times New Roman" w:cs="Times New Roman"/>
          <w:sz w:val="24"/>
          <w:szCs w:val="24"/>
        </w:rPr>
        <w:t xml:space="preserve">), </w:t>
      </w:r>
      <w:r w:rsidR="00831926" w:rsidRPr="00494D70">
        <w:rPr>
          <w:rFonts w:ascii="Times New Roman" w:eastAsia="Calibri" w:hAnsi="Times New Roman" w:cs="Times New Roman"/>
          <w:sz w:val="24"/>
          <w:szCs w:val="24"/>
        </w:rPr>
        <w:t>tendencies</w:t>
      </w:r>
      <w:r w:rsidR="00EB3D66" w:rsidRPr="00494D70">
        <w:rPr>
          <w:rFonts w:ascii="Times New Roman" w:eastAsia="Calibri" w:hAnsi="Times New Roman" w:cs="Times New Roman"/>
          <w:sz w:val="24"/>
          <w:szCs w:val="24"/>
        </w:rPr>
        <w:t xml:space="preserve"> to refuse unwanted sexual acts (</w:t>
      </w:r>
      <w:r w:rsidR="00EB3D66" w:rsidRPr="00494D70">
        <w:rPr>
          <w:rFonts w:ascii="Times New Roman" w:eastAsia="Calibri" w:hAnsi="Times New Roman" w:cs="Times New Roman"/>
          <w:i/>
          <w:iCs/>
          <w:sz w:val="24"/>
          <w:szCs w:val="24"/>
        </w:rPr>
        <w:t>Refusal</w:t>
      </w:r>
      <w:r w:rsidR="00EB3D66" w:rsidRPr="00494D70">
        <w:rPr>
          <w:rFonts w:ascii="Times New Roman" w:eastAsia="Calibri" w:hAnsi="Times New Roman" w:cs="Times New Roman"/>
          <w:sz w:val="24"/>
          <w:szCs w:val="24"/>
        </w:rPr>
        <w:t xml:space="preserve"> factor, three items, e.g.,</w:t>
      </w:r>
      <w:r w:rsidR="00EB3D66" w:rsidRPr="00494D70">
        <w:rPr>
          <w:rFonts w:ascii="Times New Roman" w:eastAsia="Calibri" w:hAnsi="Times New Roman" w:cs="Times New Roman"/>
          <w:i/>
          <w:iCs/>
          <w:sz w:val="24"/>
          <w:szCs w:val="24"/>
        </w:rPr>
        <w:t xml:space="preserve"> “I refuse to have sex if I don’t want to”</w:t>
      </w:r>
      <w:r w:rsidR="00EB3D66" w:rsidRPr="00494D70">
        <w:rPr>
          <w:rFonts w:ascii="Times New Roman" w:eastAsia="Calibri" w:hAnsi="Times New Roman" w:cs="Times New Roman"/>
          <w:sz w:val="24"/>
          <w:szCs w:val="24"/>
        </w:rPr>
        <w:t xml:space="preserve">), and </w:t>
      </w:r>
      <w:r w:rsidR="00831926" w:rsidRPr="00494D70">
        <w:rPr>
          <w:rFonts w:ascii="Times New Roman" w:eastAsia="Calibri" w:hAnsi="Times New Roman" w:cs="Times New Roman"/>
          <w:sz w:val="24"/>
          <w:szCs w:val="24"/>
        </w:rPr>
        <w:t>tendencies</w:t>
      </w:r>
      <w:r w:rsidR="00EB3D66" w:rsidRPr="00494D70">
        <w:rPr>
          <w:rFonts w:ascii="Times New Roman" w:eastAsia="Calibri" w:hAnsi="Times New Roman" w:cs="Times New Roman"/>
          <w:sz w:val="24"/>
          <w:szCs w:val="24"/>
        </w:rPr>
        <w:t xml:space="preserve"> to communicate about sexual risk (</w:t>
      </w:r>
      <w:r w:rsidR="00EB3D66" w:rsidRPr="00494D70">
        <w:rPr>
          <w:rFonts w:ascii="Times New Roman" w:eastAsia="Calibri" w:hAnsi="Times New Roman" w:cs="Times New Roman"/>
          <w:i/>
          <w:iCs/>
          <w:sz w:val="24"/>
          <w:szCs w:val="24"/>
        </w:rPr>
        <w:t>Risk communication</w:t>
      </w:r>
      <w:r w:rsidR="00EB3D66" w:rsidRPr="00494D70">
        <w:rPr>
          <w:rFonts w:ascii="Times New Roman" w:eastAsia="Calibri" w:hAnsi="Times New Roman" w:cs="Times New Roman"/>
          <w:sz w:val="24"/>
          <w:szCs w:val="24"/>
        </w:rPr>
        <w:t xml:space="preserve"> factor, three items, e.g., “</w:t>
      </w:r>
      <w:r w:rsidR="00EB3D66" w:rsidRPr="00494D70">
        <w:rPr>
          <w:rFonts w:ascii="Times New Roman" w:eastAsia="Calibri" w:hAnsi="Times New Roman" w:cs="Times New Roman"/>
          <w:i/>
          <w:iCs/>
          <w:sz w:val="24"/>
          <w:szCs w:val="24"/>
        </w:rPr>
        <w:t>I ask my partner if he or she has practiced safe sex with other partners”</w:t>
      </w:r>
      <w:r w:rsidR="00EB3D66" w:rsidRPr="00494D70">
        <w:rPr>
          <w:rFonts w:ascii="Times New Roman" w:eastAsia="Calibri" w:hAnsi="Times New Roman" w:cs="Times New Roman"/>
          <w:sz w:val="24"/>
          <w:szCs w:val="24"/>
        </w:rPr>
        <w:t xml:space="preserve">). </w:t>
      </w:r>
      <w:r w:rsidR="006E7F0A" w:rsidRPr="00494D70">
        <w:rPr>
          <w:rFonts w:ascii="Times New Roman" w:eastAsia="Calibri" w:hAnsi="Times New Roman" w:cs="Times New Roman"/>
          <w:sz w:val="24"/>
          <w:szCs w:val="24"/>
        </w:rPr>
        <w:t>Items were rated on a seven-p</w:t>
      </w:r>
      <w:r w:rsidR="00831926" w:rsidRPr="00494D70">
        <w:rPr>
          <w:rFonts w:ascii="Times New Roman" w:eastAsia="Calibri" w:hAnsi="Times New Roman" w:cs="Times New Roman"/>
          <w:sz w:val="24"/>
          <w:szCs w:val="24"/>
        </w:rPr>
        <w:t>o</w:t>
      </w:r>
      <w:r w:rsidR="006E7F0A" w:rsidRPr="00494D70">
        <w:rPr>
          <w:rFonts w:ascii="Times New Roman" w:eastAsia="Calibri" w:hAnsi="Times New Roman" w:cs="Times New Roman"/>
          <w:sz w:val="24"/>
          <w:szCs w:val="24"/>
        </w:rPr>
        <w:t>int Likert scale (</w:t>
      </w:r>
      <w:r w:rsidR="006E7F0A" w:rsidRPr="00494D70">
        <w:rPr>
          <w:rFonts w:ascii="Times New Roman" w:eastAsia="Calibri" w:hAnsi="Times New Roman" w:cs="Times New Roman"/>
          <w:i/>
          <w:iCs/>
          <w:sz w:val="24"/>
          <w:szCs w:val="24"/>
        </w:rPr>
        <w:t>1 = strongly disagree, 7 = strongly agree</w:t>
      </w:r>
      <w:r w:rsidR="006E7F0A" w:rsidRPr="00494D70">
        <w:rPr>
          <w:rFonts w:ascii="Times New Roman" w:eastAsia="Calibri" w:hAnsi="Times New Roman" w:cs="Times New Roman"/>
          <w:sz w:val="24"/>
          <w:szCs w:val="24"/>
        </w:rPr>
        <w:t>).</w:t>
      </w:r>
      <w:r w:rsidRPr="00494D70">
        <w:rPr>
          <w:rFonts w:ascii="Times New Roman" w:eastAsia="Calibri" w:hAnsi="Times New Roman" w:cs="Times New Roman"/>
          <w:sz w:val="24"/>
          <w:szCs w:val="24"/>
        </w:rPr>
        <w:t xml:space="preserve"> </w:t>
      </w:r>
      <w:r w:rsidR="00993C20" w:rsidRPr="00494D70">
        <w:rPr>
          <w:rFonts w:ascii="Times New Roman" w:eastAsia="Calibri" w:hAnsi="Times New Roman" w:cs="Times New Roman"/>
          <w:sz w:val="24"/>
          <w:szCs w:val="24"/>
        </w:rPr>
        <w:t>The translation</w:t>
      </w:r>
      <w:r w:rsidR="00282F39" w:rsidRPr="00494D70">
        <w:rPr>
          <w:rFonts w:ascii="Times New Roman" w:eastAsia="Calibri" w:hAnsi="Times New Roman" w:cs="Times New Roman"/>
          <w:sz w:val="24"/>
          <w:szCs w:val="24"/>
        </w:rPr>
        <w:t>s</w:t>
      </w:r>
      <w:r w:rsidR="00993C20" w:rsidRPr="00494D70">
        <w:rPr>
          <w:rFonts w:ascii="Times New Roman" w:eastAsia="Calibri" w:hAnsi="Times New Roman" w:cs="Times New Roman"/>
          <w:sz w:val="24"/>
          <w:szCs w:val="24"/>
        </w:rPr>
        <w:t xml:space="preserve"> of the SAQ-9 in all </w:t>
      </w:r>
      <w:r w:rsidR="00282F39" w:rsidRPr="00494D70">
        <w:rPr>
          <w:rFonts w:ascii="Times New Roman" w:eastAsia="Calibri" w:hAnsi="Times New Roman" w:cs="Times New Roman"/>
          <w:sz w:val="24"/>
          <w:szCs w:val="24"/>
        </w:rPr>
        <w:t>26</w:t>
      </w:r>
      <w:r w:rsidR="00993C20" w:rsidRPr="00494D70">
        <w:rPr>
          <w:rFonts w:ascii="Times New Roman" w:eastAsia="Calibri" w:hAnsi="Times New Roman" w:cs="Times New Roman"/>
          <w:sz w:val="24"/>
          <w:szCs w:val="24"/>
        </w:rPr>
        <w:t xml:space="preserve"> languages can be found at </w:t>
      </w:r>
      <w:hyperlink r:id="rId14" w:history="1">
        <w:r w:rsidR="005436F1" w:rsidRPr="00494D70">
          <w:rPr>
            <w:rStyle w:val="Hiperhivatkozs"/>
            <w:rFonts w:ascii="Times New Roman" w:eastAsia="Calibri" w:hAnsi="Times New Roman" w:cs="Times New Roman"/>
            <w:sz w:val="24"/>
            <w:szCs w:val="24"/>
          </w:rPr>
          <w:t>https://osf.io/jcz96</w:t>
        </w:r>
      </w:hyperlink>
      <w:r w:rsidR="00993C20" w:rsidRPr="00494D70">
        <w:rPr>
          <w:rFonts w:ascii="Times New Roman" w:eastAsia="Calibri" w:hAnsi="Times New Roman" w:cs="Times New Roman"/>
          <w:sz w:val="24"/>
          <w:szCs w:val="24"/>
        </w:rPr>
        <w:t>.</w:t>
      </w:r>
    </w:p>
    <w:p w14:paraId="2C1F0110" w14:textId="77777777" w:rsidR="001E3D02" w:rsidRPr="00494D70" w:rsidRDefault="001E3D02" w:rsidP="001E3D02">
      <w:pPr>
        <w:spacing w:after="0" w:line="480" w:lineRule="auto"/>
        <w:rPr>
          <w:rFonts w:ascii="Times New Roman" w:eastAsia="Calibri" w:hAnsi="Times New Roman" w:cs="Times New Roman"/>
          <w:b/>
          <w:bCs/>
          <w:sz w:val="24"/>
          <w:szCs w:val="24"/>
        </w:rPr>
      </w:pPr>
      <w:r w:rsidRPr="00494D70">
        <w:rPr>
          <w:rFonts w:ascii="Times New Roman" w:eastAsia="Calibri" w:hAnsi="Times New Roman" w:cs="Times New Roman"/>
          <w:b/>
          <w:bCs/>
          <w:sz w:val="24"/>
          <w:szCs w:val="24"/>
        </w:rPr>
        <w:t>Statistical Analysis</w:t>
      </w:r>
    </w:p>
    <w:p w14:paraId="3C7894C9" w14:textId="77777777" w:rsidR="001E3D02" w:rsidRPr="00494D70" w:rsidRDefault="001E3D02" w:rsidP="001E3D02">
      <w:pPr>
        <w:spacing w:after="0" w:line="480" w:lineRule="auto"/>
        <w:ind w:firstLine="567"/>
        <w:rPr>
          <w:rFonts w:ascii="Times New Roman" w:eastAsia="Times New Roman" w:hAnsi="Times New Roman" w:cs="Times New Roman"/>
          <w:sz w:val="24"/>
          <w:szCs w:val="24"/>
        </w:rPr>
      </w:pPr>
      <w:r w:rsidRPr="00494D70">
        <w:rPr>
          <w:rFonts w:ascii="Times New Roman" w:eastAsia="Calibri" w:hAnsi="Times New Roman" w:cs="Times New Roman"/>
          <w:sz w:val="24"/>
          <w:szCs w:val="24"/>
        </w:rPr>
        <w:t>This study followed a preregistered analysis plan that can be found at https://osf.io/8kdzv/?view_only=dadcfc82666140a6ab5a1c3f63b679be</w:t>
      </w:r>
      <w:hyperlink w:history="1"/>
      <w:r w:rsidRPr="00494D70">
        <w:rPr>
          <w:rFonts w:ascii="Times New Roman" w:eastAsia="Times New Roman" w:hAnsi="Times New Roman" w:cs="Times New Roman"/>
          <w:sz w:val="24"/>
          <w:szCs w:val="24"/>
        </w:rPr>
        <w:t xml:space="preserve">. Data were analyzed using statistical software tools SPSS v28.0 </w:t>
      </w:r>
      <w:r w:rsidRPr="00494D70">
        <w:rPr>
          <w:rFonts w:ascii="Times New Roman" w:eastAsia="Times New Roman" w:hAnsi="Times New Roman" w:cs="Times New Roman"/>
          <w:sz w:val="24"/>
          <w:szCs w:val="24"/>
        </w:rPr>
        <w:fldChar w:fldCharType="begin"/>
      </w:r>
      <w:r w:rsidRPr="00494D70">
        <w:rPr>
          <w:rFonts w:ascii="Times New Roman" w:eastAsia="Times New Roman" w:hAnsi="Times New Roman" w:cs="Times New Roman"/>
          <w:sz w:val="24"/>
          <w:szCs w:val="24"/>
        </w:rPr>
        <w:instrText xml:space="preserve"> ADDIN ZOTERO_ITEM CSL_CITATION {"citationID":"x12xVGe6","properties":{"formattedCitation":"(IBM, 2021)","plainCitation":"(IBM, 2021)","noteIndex":0},"citationItems":[{"id":5065,"uris":["http://zotero.org/users/7402913/items/C4BZ42EE"],"itemData":{"id":5065,"type":"software","event-place":"Armonk, NY","publisher":"IBM","publisher-place":"Armonk, NY","title":"IBM SPSS Statistics for Windows","version":"28","author":[{"literal":"IBM"}],"issued":{"date-parts":[["2021"]]}}}],"schema":"https://github.com/citation-style-language/schema/raw/master/csl-citation.json"} </w:instrText>
      </w:r>
      <w:r w:rsidRPr="00494D70">
        <w:rPr>
          <w:rFonts w:ascii="Times New Roman" w:eastAsia="Times New Roman" w:hAnsi="Times New Roman" w:cs="Times New Roman"/>
          <w:sz w:val="24"/>
          <w:szCs w:val="24"/>
        </w:rPr>
        <w:fldChar w:fldCharType="separate"/>
      </w:r>
      <w:r w:rsidRPr="00494D70">
        <w:rPr>
          <w:rFonts w:ascii="Times New Roman" w:hAnsi="Times New Roman" w:cs="Times New Roman"/>
          <w:sz w:val="24"/>
          <w:szCs w:val="24"/>
        </w:rPr>
        <w:t>(IBM, 2021)</w:t>
      </w:r>
      <w:r w:rsidRPr="00494D70">
        <w:rPr>
          <w:rFonts w:ascii="Times New Roman" w:eastAsia="Times New Roman" w:hAnsi="Times New Roman" w:cs="Times New Roman"/>
          <w:sz w:val="24"/>
          <w:szCs w:val="24"/>
        </w:rPr>
        <w:fldChar w:fldCharType="end"/>
      </w:r>
      <w:r w:rsidRPr="00494D70">
        <w:rPr>
          <w:rFonts w:ascii="Times New Roman" w:eastAsia="Times New Roman" w:hAnsi="Times New Roman" w:cs="Times New Roman"/>
          <w:sz w:val="24"/>
          <w:szCs w:val="24"/>
        </w:rPr>
        <w:t xml:space="preserve"> and R v4.1.3 </w:t>
      </w:r>
      <w:r w:rsidRPr="00494D70">
        <w:rPr>
          <w:rFonts w:ascii="Times New Roman" w:eastAsia="Times New Roman" w:hAnsi="Times New Roman" w:cs="Times New Roman"/>
          <w:sz w:val="24"/>
          <w:szCs w:val="24"/>
        </w:rPr>
        <w:fldChar w:fldCharType="begin"/>
      </w:r>
      <w:r w:rsidRPr="00494D70">
        <w:rPr>
          <w:rFonts w:ascii="Times New Roman" w:eastAsia="Times New Roman" w:hAnsi="Times New Roman" w:cs="Times New Roman"/>
          <w:sz w:val="24"/>
          <w:szCs w:val="24"/>
        </w:rPr>
        <w:instrText xml:space="preserve"> ADDIN ZOTERO_ITEM CSL_CITATION {"citationID":"qazyqXcK","properties":{"formattedCitation":"(R Core Team, 2021)","plainCitation":"(R Core Team, 2021)","noteIndex":0},"citationItems":[{"id":5174,"uris":["http://zotero.org/users/7402913/items/ZE6MKVWA"],"itemData":{"id":5174,"type":"software","event-place":"Vienna, Austria","publisher":"R Foundation for Statistical Computing","publisher-place":"Vienna, Austria","title":"R: A language and environment for statistical computing.","URL":"https://www.R-project.org/","author":[{"literal":"R Core Team"}],"issued":{"date-parts":[["2021"]]}}}],"schema":"https://github.com/citation-style-language/schema/raw/master/csl-citation.json"} </w:instrText>
      </w:r>
      <w:r w:rsidRPr="00494D70">
        <w:rPr>
          <w:rFonts w:ascii="Times New Roman" w:eastAsia="Times New Roman" w:hAnsi="Times New Roman" w:cs="Times New Roman"/>
          <w:sz w:val="24"/>
          <w:szCs w:val="24"/>
        </w:rPr>
        <w:fldChar w:fldCharType="separate"/>
      </w:r>
      <w:r w:rsidRPr="00494D70">
        <w:rPr>
          <w:rFonts w:ascii="Times New Roman" w:hAnsi="Times New Roman" w:cs="Times New Roman"/>
          <w:sz w:val="24"/>
          <w:szCs w:val="24"/>
        </w:rPr>
        <w:t>(R Core Team, 2021)</w:t>
      </w:r>
      <w:r w:rsidRPr="00494D70">
        <w:rPr>
          <w:rFonts w:ascii="Times New Roman" w:eastAsia="Times New Roman" w:hAnsi="Times New Roman" w:cs="Times New Roman"/>
          <w:sz w:val="24"/>
          <w:szCs w:val="24"/>
        </w:rPr>
        <w:fldChar w:fldCharType="end"/>
      </w:r>
      <w:r w:rsidRPr="00494D70">
        <w:rPr>
          <w:rFonts w:ascii="Times New Roman" w:eastAsia="Times New Roman" w:hAnsi="Times New Roman" w:cs="Times New Roman"/>
          <w:sz w:val="24"/>
          <w:szCs w:val="24"/>
        </w:rPr>
        <w:t xml:space="preserve">, specifically the </w:t>
      </w:r>
      <w:proofErr w:type="spellStart"/>
      <w:r w:rsidRPr="00494D70">
        <w:rPr>
          <w:rFonts w:ascii="Times New Roman" w:eastAsia="Times New Roman" w:hAnsi="Times New Roman" w:cs="Times New Roman"/>
          <w:i/>
          <w:iCs/>
          <w:sz w:val="24"/>
          <w:szCs w:val="24"/>
        </w:rPr>
        <w:t>lavaan</w:t>
      </w:r>
      <w:proofErr w:type="spellEnd"/>
      <w:r w:rsidRPr="00494D70">
        <w:rPr>
          <w:rFonts w:ascii="Times New Roman" w:eastAsia="Times New Roman" w:hAnsi="Times New Roman" w:cs="Times New Roman"/>
          <w:sz w:val="24"/>
          <w:szCs w:val="24"/>
        </w:rPr>
        <w:t xml:space="preserve"> package </w:t>
      </w:r>
      <w:r w:rsidRPr="00494D70">
        <w:rPr>
          <w:rFonts w:ascii="Times New Roman" w:eastAsia="Times New Roman" w:hAnsi="Times New Roman" w:cs="Times New Roman"/>
          <w:sz w:val="24"/>
          <w:szCs w:val="24"/>
        </w:rPr>
        <w:fldChar w:fldCharType="begin"/>
      </w:r>
      <w:r w:rsidRPr="00494D70">
        <w:rPr>
          <w:rFonts w:ascii="Times New Roman" w:eastAsia="Times New Roman" w:hAnsi="Times New Roman" w:cs="Times New Roman"/>
          <w:sz w:val="24"/>
          <w:szCs w:val="24"/>
        </w:rPr>
        <w:instrText xml:space="preserve"> ADDIN ZOTERO_ITEM CSL_CITATION {"citationID":"m5FWfCvt","properties":{"formattedCitation":"(Rosseel, 2012)","plainCitation":"(Rosseel, 2012)","noteIndex":0},"citationItems":[{"id":5182,"uris":["http://zotero.org/users/7402913/items/ME8UB27U"],"itemData":{"id":5182,"type":"article-journal","abstract":"Structural equation modeling (SEM) is a vast field and widely used by many applied researchers in the social and behavioral sciences. Over the years, many software packages for structural equation modeling have been developed, both free and commercial. However, perhaps the best state-of-the-art software packages in this field are still closed-source and/or commercial. The R package lavaan has been developed to provide applied researchers, teachers, and statisticians, a free, fully open-source, but commercial-quality package for latent variable modeling. This paper explains the aims behind the development of the package, gives an overview of its most important features, and provides some examples to illustrate how lavaan works in practice.","container-title":"Journal of Statistical Software","DOI":"10.18637/jss.v048.i02","ISSN":"1548-7660","language":"en","license":"Copyright (c) 2011 Yves Rosseel","page":"1-36","source":"www.jstatsoft.org","title":"lavaan: An R Package for Structural Equation Modeling","title-short":"lavaan","volume":"48","author":[{"family":"Rosseel","given":"Yves"}],"issued":{"date-parts":[["2012",5,24]]}}}],"schema":"https://github.com/citation-style-language/schema/raw/master/csl-citation.json"} </w:instrText>
      </w:r>
      <w:r w:rsidRPr="00494D70">
        <w:rPr>
          <w:rFonts w:ascii="Times New Roman" w:eastAsia="Times New Roman" w:hAnsi="Times New Roman" w:cs="Times New Roman"/>
          <w:sz w:val="24"/>
          <w:szCs w:val="24"/>
        </w:rPr>
        <w:fldChar w:fldCharType="separate"/>
      </w:r>
      <w:r w:rsidRPr="00494D70">
        <w:rPr>
          <w:rFonts w:ascii="Times New Roman" w:hAnsi="Times New Roman" w:cs="Times New Roman"/>
          <w:sz w:val="24"/>
          <w:szCs w:val="24"/>
        </w:rPr>
        <w:t>(Rosseel, 2012)</w:t>
      </w:r>
      <w:r w:rsidRPr="00494D70">
        <w:rPr>
          <w:rFonts w:ascii="Times New Roman" w:eastAsia="Times New Roman" w:hAnsi="Times New Roman" w:cs="Times New Roman"/>
          <w:sz w:val="24"/>
          <w:szCs w:val="24"/>
        </w:rPr>
        <w:fldChar w:fldCharType="end"/>
      </w:r>
      <w:r w:rsidRPr="00494D70">
        <w:rPr>
          <w:rFonts w:ascii="Times New Roman" w:eastAsia="Times New Roman" w:hAnsi="Times New Roman" w:cs="Times New Roman"/>
          <w:sz w:val="24"/>
          <w:szCs w:val="24"/>
        </w:rPr>
        <w:t>.</w:t>
      </w:r>
      <w:r w:rsidRPr="00494D70">
        <w:rPr>
          <w:rFonts w:ascii="Times New Roman" w:hAnsi="Times New Roman" w:cs="Times New Roman"/>
          <w:sz w:val="24"/>
          <w:szCs w:val="24"/>
        </w:rPr>
        <w:t xml:space="preserve"> </w:t>
      </w:r>
    </w:p>
    <w:p w14:paraId="78F0C8EB" w14:textId="77777777" w:rsidR="001E3D02" w:rsidRPr="00494D70" w:rsidRDefault="001E3D02" w:rsidP="001E3D02">
      <w:pPr>
        <w:spacing w:after="0" w:line="480" w:lineRule="auto"/>
        <w:rPr>
          <w:rFonts w:ascii="Times New Roman" w:eastAsia="Calibri" w:hAnsi="Times New Roman" w:cs="Times New Roman"/>
          <w:i/>
          <w:iCs/>
          <w:sz w:val="24"/>
          <w:szCs w:val="24"/>
        </w:rPr>
      </w:pPr>
      <w:r w:rsidRPr="00494D70">
        <w:rPr>
          <w:rFonts w:ascii="Times New Roman" w:eastAsia="Calibri" w:hAnsi="Times New Roman" w:cs="Times New Roman"/>
          <w:i/>
          <w:iCs/>
          <w:sz w:val="24"/>
          <w:szCs w:val="24"/>
        </w:rPr>
        <w:t xml:space="preserve">Structural validity </w:t>
      </w:r>
    </w:p>
    <w:p w14:paraId="4858E0C6" w14:textId="36C5ADBD" w:rsidR="001E3D02" w:rsidRPr="00494D70" w:rsidRDefault="001E3D02" w:rsidP="001E3D02">
      <w:pPr>
        <w:spacing w:after="0" w:line="480" w:lineRule="auto"/>
        <w:ind w:firstLine="567"/>
        <w:rPr>
          <w:rFonts w:ascii="Times New Roman" w:eastAsia="Calibri" w:hAnsi="Times New Roman" w:cs="Times New Roman"/>
          <w:i/>
          <w:iCs/>
          <w:sz w:val="24"/>
          <w:szCs w:val="24"/>
        </w:rPr>
      </w:pPr>
      <w:r w:rsidRPr="00494D70">
        <w:rPr>
          <w:rFonts w:ascii="Times New Roman" w:eastAsia="Calibri" w:hAnsi="Times New Roman" w:cs="Times New Roman"/>
          <w:sz w:val="24"/>
          <w:szCs w:val="24"/>
        </w:rPr>
        <w:t xml:space="preserve">The original </w:t>
      </w:r>
      <w:r w:rsidRPr="00494D70">
        <w:rPr>
          <w:rFonts w:ascii="Times New Roman" w:eastAsia="Calibri" w:hAnsi="Times New Roman" w:cs="Times New Roman"/>
          <w:i/>
          <w:iCs/>
          <w:sz w:val="24"/>
          <w:szCs w:val="24"/>
        </w:rPr>
        <w:t>Sexual Assertiveness Questionnaire</w:t>
      </w:r>
      <w:r w:rsidRPr="00494D70">
        <w:rPr>
          <w:rFonts w:ascii="Times New Roman" w:eastAsia="Calibri" w:hAnsi="Times New Roman" w:cs="Times New Roman"/>
          <w:sz w:val="24"/>
          <w:szCs w:val="24"/>
        </w:rPr>
        <w:t xml:space="preserve"> demonstrated a three-factor structure </w:t>
      </w:r>
      <w:r w:rsidRPr="00494D70">
        <w:rPr>
          <w:rFonts w:ascii="Times New Roman" w:eastAsia="Calibri" w:hAnsi="Times New Roman" w:cs="Times New Roman"/>
          <w:sz w:val="24"/>
          <w:szCs w:val="24"/>
        </w:rPr>
        <w:fldChar w:fldCharType="begin"/>
      </w:r>
      <w:r w:rsidRPr="00494D70">
        <w:rPr>
          <w:rFonts w:ascii="Times New Roman" w:eastAsia="Calibri" w:hAnsi="Times New Roman" w:cs="Times New Roman"/>
          <w:sz w:val="24"/>
          <w:szCs w:val="24"/>
        </w:rPr>
        <w:instrText xml:space="preserve"> ADDIN ZOTERO_ITEM CSL_CITATION {"citationID":"8tLhuVwt","properties":{"formattedCitation":"(Loshek &amp; Terrell, 2015)","plainCitation":"(Loshek &amp; Terrell, 2015)","noteIndex":0},"citationItems":[{"id":3118,"uris":["http://zotero.org/users/7402913/items/CJJXYKMQ"],"itemData":{"id":3118,"type":"article-journal","abstract":"Sexual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discussed.","container-title":"Journal of Sex Research","DOI":"10.1080/00224499.2014.944970","ISSN":"1559-8519","issue":"9","journalAbbreviation":"J Sex Res","language":"eng","note":"PMID: 25211014","page":"1017-1027","source":"PubMed","title":"The Development of the Sexual Assertiveness Questionnaire (SAQ): A Comprehensive Measure of Sexual Assertiveness for Women","title-short":"The Development of the Sexual Assertiveness Questionnaire (SAQ)","volume":"52","author":[{"family":"Loshek","given":"Eevett"},{"family":"Terrell","given":"Heather K."}],"issued":{"date-parts":[["2015"]]}}}],"schema":"https://github.com/citation-style-language/schema/raw/master/csl-citation.json"} </w:instrText>
      </w:r>
      <w:r w:rsidRPr="00494D70">
        <w:rPr>
          <w:rFonts w:ascii="Times New Roman" w:eastAsia="Calibri" w:hAnsi="Times New Roman" w:cs="Times New Roman"/>
          <w:sz w:val="24"/>
          <w:szCs w:val="24"/>
        </w:rPr>
        <w:fldChar w:fldCharType="separate"/>
      </w:r>
      <w:r w:rsidRPr="00494D70">
        <w:rPr>
          <w:rFonts w:ascii="Times New Roman" w:hAnsi="Times New Roman" w:cs="Times New Roman"/>
          <w:sz w:val="24"/>
          <w:szCs w:val="24"/>
        </w:rPr>
        <w:t>(Loshek &amp; Terrell, 2015)</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xml:space="preserve">, and the short version was developed in accordance with that structure (see Measures). Confirmatory factor analysis (CFA) was performed on the total sample to examine whether the factor structure could be replicated. The model fit was established using common goodness-of-fit indices: </w:t>
      </w:r>
      <w:r w:rsidRPr="00494D70">
        <w:rPr>
          <w:rFonts w:ascii="Times New Roman" w:eastAsia="Yu Mincho" w:hAnsi="Times New Roman" w:cs="Times New Roman"/>
          <w:color w:val="000000"/>
          <w:sz w:val="24"/>
          <w:szCs w:val="24"/>
          <w:lang w:eastAsia="nl-NL"/>
        </w:rPr>
        <w:t>Comparative Fit Index (CFI; ≥ .90 adequate; ≥ .95 good), Tucker-Lewis Index (TLI; ≥ .90 adequate; ≥ .95 good), and Root-Mean-</w:t>
      </w:r>
      <w:r w:rsidRPr="00494D70">
        <w:rPr>
          <w:rFonts w:ascii="Times New Roman" w:eastAsia="Yu Mincho" w:hAnsi="Times New Roman" w:cs="Times New Roman"/>
          <w:color w:val="000000"/>
          <w:sz w:val="24"/>
          <w:szCs w:val="24"/>
          <w:lang w:eastAsia="nl-NL"/>
        </w:rPr>
        <w:lastRenderedPageBreak/>
        <w:t xml:space="preserve">Square Error of Approximation with a 90% confidence interval (RMSEA;.10 ≤ acceptable. ≤ .08 adequate, and ≤ .05 good) </w:t>
      </w:r>
      <w:r w:rsidRPr="00494D70">
        <w:rPr>
          <w:rFonts w:ascii="Times New Roman" w:eastAsia="Yu Mincho" w:hAnsi="Times New Roman" w:cs="Times New Roman"/>
          <w:color w:val="000000"/>
          <w:sz w:val="24"/>
          <w:szCs w:val="24"/>
          <w:lang w:eastAsia="nl-NL"/>
        </w:rPr>
        <w:fldChar w:fldCharType="begin"/>
      </w:r>
      <w:r w:rsidR="00ED3068" w:rsidRPr="00494D70">
        <w:rPr>
          <w:rFonts w:ascii="Times New Roman" w:eastAsia="Yu Mincho" w:hAnsi="Times New Roman" w:cs="Times New Roman"/>
          <w:color w:val="000000"/>
          <w:sz w:val="24"/>
          <w:szCs w:val="24"/>
          <w:lang w:eastAsia="nl-NL"/>
        </w:rPr>
        <w:instrText xml:space="preserve"> ADDIN ZOTERO_ITEM CSL_CITATION {"citationID":"SaPj7Dsd","properties":{"formattedCitation":"(T. A. Brown, 2015)","plainCitation":"(T. A. Brown, 2015)","noteIndex":0},"citationItems":[{"id":5255,"uris":["http://zotero.org/users/7402913/items/IXU9YRM2"],"itemData":{"id":5255,"type":"book","abstract":"With its emphasis on practical and conceptual aspects, rather than mathematics or formulas, This accessible book has established itself as the go-to resource on confirmatory factor analysis (CFA). Detailed, worked-through examples drawn from psychology, management, and sociology studies illustrate the procedures, pitfalls, and extensions of CFA methodology. The text shows how to formulate, program, and interpret CFA models using popular latent variable software packages (LISREL, Mplus, EQS, SAS/CALIS); understand the similarities and differences between CFA and exploratory factor analysis (EFA); and report results from a CFA study. It is filled with useful advice and tables that outline the procedures. The companion website (www.guilford.com/brown3-materials) offers data and program syntax files for most of the research examples, as well as links to CFA-related resources. (PsycINFO Database Record (c) 2019 APA, all rights reserved)","collection-title":"Confirmatory factor analysis for applied research","edition":"2nd ed.","event-place":"New York, NY, US","ISBN":"978-1-4625-1779-4","publisher":"The Guilford Press","publisher-place":"New York, NY, US","source":"APA PsycNet","title":"Confirmatory factor analysis for applied research","author":[{"family":"Brown","given":"Timothy A."}],"issued":{"date-parts":[["2015"]]}}}],"schema":"https://github.com/citation-style-language/schema/raw/master/csl-citation.json"} </w:instrText>
      </w:r>
      <w:r w:rsidRPr="00494D70">
        <w:rPr>
          <w:rFonts w:ascii="Times New Roman" w:eastAsia="Yu Mincho" w:hAnsi="Times New Roman" w:cs="Times New Roman"/>
          <w:color w:val="000000"/>
          <w:sz w:val="24"/>
          <w:szCs w:val="24"/>
          <w:lang w:eastAsia="nl-NL"/>
        </w:rPr>
        <w:fldChar w:fldCharType="separate"/>
      </w:r>
      <w:r w:rsidR="00ED3068" w:rsidRPr="00494D70">
        <w:rPr>
          <w:rFonts w:ascii="Times New Roman" w:hAnsi="Times New Roman" w:cs="Times New Roman"/>
          <w:sz w:val="24"/>
        </w:rPr>
        <w:t>(T. A. Brown, 2015)</w:t>
      </w:r>
      <w:r w:rsidRPr="00494D70">
        <w:rPr>
          <w:rFonts w:ascii="Times New Roman" w:eastAsia="Yu Mincho" w:hAnsi="Times New Roman" w:cs="Times New Roman"/>
          <w:color w:val="000000"/>
          <w:sz w:val="24"/>
          <w:szCs w:val="24"/>
          <w:lang w:eastAsia="nl-NL"/>
        </w:rPr>
        <w:fldChar w:fldCharType="end"/>
      </w:r>
      <w:r w:rsidRPr="00494D70">
        <w:rPr>
          <w:rFonts w:ascii="Times New Roman" w:eastAsia="Times New Roman" w:hAnsi="Times New Roman" w:cs="Times New Roman"/>
          <w:sz w:val="24"/>
          <w:szCs w:val="24"/>
        </w:rPr>
        <w:t xml:space="preserve">. </w:t>
      </w:r>
      <w:r w:rsidRPr="00494D70">
        <w:rPr>
          <w:rFonts w:ascii="Times New Roman" w:eastAsia="Calibri" w:hAnsi="Times New Roman" w:cs="Times New Roman"/>
          <w:sz w:val="24"/>
          <w:szCs w:val="24"/>
        </w:rPr>
        <w:t xml:space="preserve">To establish the structural validity of the scale, we expected an acceptable model fit and standardized factor loadings </w:t>
      </w:r>
      <w:r w:rsidRPr="00494D70">
        <w:rPr>
          <w:rFonts w:ascii="Times New Roman" w:eastAsia="Yu Mincho" w:hAnsi="Times New Roman" w:cs="Times New Roman"/>
          <w:color w:val="000000"/>
          <w:sz w:val="24"/>
          <w:szCs w:val="24"/>
          <w:lang w:eastAsia="nl-NL"/>
        </w:rPr>
        <w:t xml:space="preserve">≥ .45 for each item </w:t>
      </w:r>
      <w:r w:rsidRPr="00494D70">
        <w:rPr>
          <w:rFonts w:ascii="Times New Roman" w:eastAsia="Yu Mincho" w:hAnsi="Times New Roman" w:cs="Times New Roman"/>
          <w:color w:val="000000"/>
          <w:sz w:val="24"/>
          <w:szCs w:val="24"/>
          <w:lang w:eastAsia="nl-NL"/>
        </w:rPr>
        <w:fldChar w:fldCharType="begin"/>
      </w:r>
      <w:r w:rsidRPr="00494D70">
        <w:rPr>
          <w:rFonts w:ascii="Times New Roman" w:eastAsia="Yu Mincho" w:hAnsi="Times New Roman" w:cs="Times New Roman"/>
          <w:color w:val="000000"/>
          <w:sz w:val="24"/>
          <w:szCs w:val="24"/>
          <w:lang w:eastAsia="nl-NL"/>
        </w:rPr>
        <w:instrText xml:space="preserve"> ADDIN ZOTERO_ITEM CSL_CITATION {"citationID":"xE5p9m2U","properties":{"formattedCitation":"(Comrey &amp; Lee, 1992)","plainCitation":"(Comrey &amp; Lee, 1992)","noteIndex":0},"citationItems":[{"id":5183,"uris":["http://zotero.org/users/7402913/items/5DT46LAN"],"itemData":{"id":5183,"type":"book","abstract":"The goal of this book is to foster a basic understanding of factor analytic techniques so that readers can use them in their own research and critically evaluate their use by other researchers. Both the underlying theory and correct application are emphasized. The theory is presented through the mathematical basis of the most common factor analytic models and several methods used in factor analysis. On the application side, considerable attention is given to the extraction problem, the rotation problem, and the interpretation of factor analytic results. Hence, readers are given a background of understanding in the the theory underlying factor analysis and then taken through the steps in executing a proper analysis -- from the initial problem of design through choice of correlation coefficient, factor extraction, factor rotation, factor interpretation, and writing up results.   This revised edition includes introductions to newer methods -- such as confirmatory factor analysis and structural equation modeling -- that have revolutionized factor analysis in recent years. To help remove some of the mystery underlying these newer, more complex methods, the introductory examples utilize EQS and LISREL. Updated material relating to the validation of the Comrey Personality Scales also has been added. Finally, program disks for running factor analyses on either an IBM-compatible PC or a mainframe with FORTRAN capabilities are available. The intended audience for this volume includes talented but mathematically unsophisticated advanced undergraduates, graduate students, and research workers seeking to acquire a basic understanding of the principles supporting factor analysis.   Disks are available in 5.25\" and 3.5\" formats for both mainframe programs written in Fortran and IBM PCs and compatibles running a math co-processor.","edition":"2","event-place":"New York","ISBN":"978-1-315-82750-6","note":"DOI: 10.4324/9781315827506","number-of-pages":"442","publisher":"Psychology Press","publisher-place":"New York","title":"A First Course in Factor Analysis","author":[{"family":"Comrey","given":"Andrew L."},{"family":"Lee","given":"Howard B."}],"issued":{"date-parts":[["1992"]]}}}],"schema":"https://github.com/citation-style-language/schema/raw/master/csl-citation.json"} </w:instrText>
      </w:r>
      <w:r w:rsidRPr="00494D70">
        <w:rPr>
          <w:rFonts w:ascii="Times New Roman" w:eastAsia="Yu Mincho" w:hAnsi="Times New Roman" w:cs="Times New Roman"/>
          <w:color w:val="000000"/>
          <w:sz w:val="24"/>
          <w:szCs w:val="24"/>
          <w:lang w:eastAsia="nl-NL"/>
        </w:rPr>
        <w:fldChar w:fldCharType="separate"/>
      </w:r>
      <w:r w:rsidRPr="00494D70">
        <w:rPr>
          <w:rFonts w:ascii="Times New Roman" w:hAnsi="Times New Roman" w:cs="Times New Roman"/>
          <w:sz w:val="24"/>
          <w:szCs w:val="24"/>
        </w:rPr>
        <w:t>(Comrey &amp; Lee, 1992)</w:t>
      </w:r>
      <w:r w:rsidRPr="00494D70">
        <w:rPr>
          <w:rFonts w:ascii="Times New Roman" w:eastAsia="Yu Mincho" w:hAnsi="Times New Roman" w:cs="Times New Roman"/>
          <w:color w:val="000000"/>
          <w:sz w:val="24"/>
          <w:szCs w:val="24"/>
          <w:lang w:eastAsia="nl-NL"/>
        </w:rPr>
        <w:fldChar w:fldCharType="end"/>
      </w:r>
      <w:r w:rsidRPr="00494D70">
        <w:rPr>
          <w:rFonts w:ascii="Times New Roman" w:eastAsia="Yu Mincho" w:hAnsi="Times New Roman" w:cs="Times New Roman"/>
          <w:color w:val="000000"/>
          <w:sz w:val="24"/>
          <w:szCs w:val="24"/>
          <w:lang w:eastAsia="nl-NL"/>
        </w:rPr>
        <w:t xml:space="preserve">. </w:t>
      </w:r>
      <w:r w:rsidRPr="00494D70">
        <w:rPr>
          <w:rFonts w:ascii="Times New Roman" w:eastAsia="Calibri" w:hAnsi="Times New Roman" w:cs="Times New Roman"/>
          <w:sz w:val="24"/>
          <w:szCs w:val="24"/>
        </w:rPr>
        <w:t xml:space="preserve">We used </w:t>
      </w:r>
      <w:proofErr w:type="gramStart"/>
      <w:r w:rsidRPr="00494D70">
        <w:rPr>
          <w:rFonts w:ascii="Times New Roman" w:eastAsia="SimSun" w:hAnsi="Times New Roman" w:cs="Times New Roman"/>
          <w:sz w:val="24"/>
          <w:szCs w:val="24"/>
          <w:lang w:eastAsia="nl-NL"/>
        </w:rPr>
        <w:t>weighted</w:t>
      </w:r>
      <w:proofErr w:type="gramEnd"/>
      <w:r w:rsidRPr="00494D70">
        <w:rPr>
          <w:rFonts w:ascii="Times New Roman" w:eastAsia="SimSun" w:hAnsi="Times New Roman" w:cs="Times New Roman"/>
          <w:sz w:val="24"/>
          <w:szCs w:val="24"/>
          <w:lang w:eastAsia="nl-NL"/>
        </w:rPr>
        <w:t xml:space="preserve"> least square mean and variance adjusted (WLSMV) estimator for the CFA tests due to the non-normal distribution of the data. </w:t>
      </w:r>
    </w:p>
    <w:p w14:paraId="14B3DA15" w14:textId="77777777" w:rsidR="001E3D02" w:rsidRPr="00494D70" w:rsidRDefault="001E3D02" w:rsidP="001E3D02">
      <w:pPr>
        <w:spacing w:after="0" w:line="480" w:lineRule="auto"/>
        <w:rPr>
          <w:rFonts w:ascii="Times New Roman" w:hAnsi="Times New Roman" w:cs="Times New Roman"/>
          <w:i/>
          <w:iCs/>
          <w:sz w:val="24"/>
          <w:szCs w:val="24"/>
        </w:rPr>
      </w:pPr>
      <w:r w:rsidRPr="00494D70">
        <w:rPr>
          <w:rFonts w:ascii="Times New Roman" w:hAnsi="Times New Roman" w:cs="Times New Roman"/>
          <w:i/>
          <w:iCs/>
          <w:sz w:val="24"/>
          <w:szCs w:val="24"/>
        </w:rPr>
        <w:t>Measurement invariance analysis across languages, countries, genders, sexual orientations, and relationship statuses</w:t>
      </w:r>
    </w:p>
    <w:p w14:paraId="52C21C6A" w14:textId="77777777" w:rsidR="001E3D02" w:rsidRPr="00494D70" w:rsidRDefault="001E3D02" w:rsidP="001E3D02">
      <w:pPr>
        <w:spacing w:after="0" w:line="480" w:lineRule="auto"/>
        <w:ind w:firstLine="567"/>
        <w:rPr>
          <w:rFonts w:ascii="Times New Roman" w:eastAsia="Calibri" w:hAnsi="Times New Roman" w:cs="Times New Roman"/>
          <w:sz w:val="24"/>
          <w:szCs w:val="24"/>
        </w:rPr>
      </w:pPr>
      <w:r w:rsidRPr="00494D70">
        <w:rPr>
          <w:rFonts w:ascii="Times New Roman" w:eastAsia="Calibri" w:hAnsi="Times New Roman" w:cs="Times New Roman"/>
          <w:sz w:val="24"/>
          <w:szCs w:val="24"/>
        </w:rPr>
        <w:t xml:space="preserve">To ensure that comparisons of SA levels were meaningful across subpopulations, we tested measurement invariance across languages, countries, genders, sexual orientations, and relationship statuses. Measurement invariance analysis can be considered an omnibus test in the context of structural equation modeling (SEM) and CFA, in which cross-group equality constraints are incrementally added to the initial unconstrained model’s parameters. It evaluates whether the constraints imposed at each level significantly degrade the model fit compared to the less constrained model. If a more constrained model does not significantly worsen the model fit compared to the previous, less constrained model, it suggests that the assumption of measurement invariance holds across given subpopulations </w:t>
      </w:r>
      <w:r w:rsidRPr="00494D70">
        <w:rPr>
          <w:rFonts w:ascii="Times New Roman" w:eastAsia="Calibri" w:hAnsi="Times New Roman" w:cs="Times New Roman"/>
          <w:sz w:val="24"/>
          <w:szCs w:val="24"/>
        </w:rPr>
        <w:fldChar w:fldCharType="begin"/>
      </w:r>
      <w:r w:rsidRPr="00494D70">
        <w:rPr>
          <w:rFonts w:ascii="Times New Roman" w:eastAsia="Calibri" w:hAnsi="Times New Roman" w:cs="Times New Roman"/>
          <w:sz w:val="24"/>
          <w:szCs w:val="24"/>
        </w:rPr>
        <w:instrText xml:space="preserve"> ADDIN ZOTERO_ITEM CSL_CITATION {"citationID":"oeyO7sFl","properties":{"formattedCitation":"(Milfont &amp; Fischer, 2010)","plainCitation":"(Milfont &amp; Fischer, 2010)","noteIndex":0},"citationItems":[{"id":5054,"uris":["http://zotero.org/users/7402913/items/S2JSG5S9"],"itemData":{"id":5054,"type":"article-journal","abstract":"Researchers often compare groups of individuals on psychological variables. When comparing groups an assumption is made that the instrument measures the same psychological construct in all groups. If this assumption holds, the comparisons are valid and differences/similarities between groups can be meaningfully interpreted. If this assumption does not hold, comparisons and interpretations are not fully meaningful. The establishment of measurement invariance is a prerequisite for meaningful comparisons across groups. This paper first reviews the importance of equivalence in psychological research, and then the main theoretical and methodological issues regarding measurement invariance within the framework of confirmatory factor analysis. A step-by-step empirical example of measurement invariance testing is provided along with syntax examples for fitting such models in LISREL.","container-title":"International Journal of Psychological Research","DOI":"10.21500/20112084.857","ISSN":"2011-7922","issue":"1","language":"en","license":"Copyright (c) 2010 International Journal of Psychological Research","note":"number: 1","page":"111-130","source":"revistas.usb.edu.co","title":"Testing measurement invariance across groups: applications in cross-cultural research.","title-short":"Testing measurement invariance across groups","volume":"3","author":[{"family":"Milfont","given":"Taciano L."},{"family":"Fischer","given":"Ronald"}],"issued":{"date-parts":[["2010",6,30]]}}}],"schema":"https://github.com/citation-style-language/schema/raw/master/csl-citation.json"} </w:instrText>
      </w:r>
      <w:r w:rsidRPr="00494D70">
        <w:rPr>
          <w:rFonts w:ascii="Times New Roman" w:eastAsia="Calibri" w:hAnsi="Times New Roman" w:cs="Times New Roman"/>
          <w:sz w:val="24"/>
          <w:szCs w:val="24"/>
        </w:rPr>
        <w:fldChar w:fldCharType="separate"/>
      </w:r>
      <w:r w:rsidRPr="00494D70">
        <w:rPr>
          <w:rFonts w:ascii="Times New Roman" w:hAnsi="Times New Roman" w:cs="Times New Roman"/>
          <w:sz w:val="24"/>
          <w:szCs w:val="24"/>
        </w:rPr>
        <w:t>(Milfont &amp; Fischer, 2010)</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xml:space="preserve">. Six increasingly constrained models were tested: configural (i.e., invariance of the factor structure across groups), metric (i.e., invariance of the factor loadings across groups), scalar (i.e., invariance of the item intercepts across groups), residual (i.e., invariance of the error variance across groups), latent variance and covariance (i.e., invariance of the factor variance and covariance across groups), and latent mean (i.e., invariance of the factor mean across groups). The first four steps examine the presence of potential measurement biases and differences (i.e., measurement invariance in a narrower sense), while the last two steps examine the presence of group-based differences on the level of variance, covariance, and means (i.e., structural invariance). </w:t>
      </w:r>
    </w:p>
    <w:p w14:paraId="7BC8DE9A" w14:textId="12EF9416" w:rsidR="001E3D02" w:rsidRPr="00494D70" w:rsidRDefault="001E3D02" w:rsidP="001E3D02">
      <w:pPr>
        <w:spacing w:after="0" w:line="480" w:lineRule="auto"/>
        <w:ind w:firstLine="567"/>
        <w:rPr>
          <w:rFonts w:ascii="Times New Roman" w:eastAsia="Calibri" w:hAnsi="Times New Roman" w:cs="Times New Roman"/>
          <w:sz w:val="24"/>
          <w:szCs w:val="24"/>
        </w:rPr>
      </w:pPr>
      <w:r w:rsidRPr="00494D70">
        <w:rPr>
          <w:rFonts w:ascii="Times New Roman" w:eastAsia="Calibri" w:hAnsi="Times New Roman" w:cs="Times New Roman"/>
          <w:sz w:val="24"/>
          <w:szCs w:val="24"/>
        </w:rPr>
        <w:lastRenderedPageBreak/>
        <w:t xml:space="preserve">Model fit is reported for each test of invariance. Substantial decreases in CFI (ΔCFI ≤ .010) and increases in RMSEA (ΔRMSEA ≤ .015) indicate a significant decrease in the model fit across subgroups, meaning that measurement invariance is not established on that level </w:t>
      </w:r>
      <w:r w:rsidRPr="00494D70">
        <w:rPr>
          <w:rFonts w:ascii="Times New Roman" w:eastAsia="Calibri" w:hAnsi="Times New Roman" w:cs="Times New Roman"/>
          <w:sz w:val="24"/>
          <w:szCs w:val="24"/>
        </w:rPr>
        <w:fldChar w:fldCharType="begin"/>
      </w:r>
      <w:r w:rsidRPr="00494D70">
        <w:rPr>
          <w:rFonts w:ascii="Times New Roman" w:eastAsia="Calibri" w:hAnsi="Times New Roman" w:cs="Times New Roman"/>
          <w:sz w:val="24"/>
          <w:szCs w:val="24"/>
        </w:rPr>
        <w:instrText xml:space="preserve"> ADDIN ZOTERO_ITEM CSL_CITATION {"citationID":"ZcV5aMwQ","properties":{"formattedCitation":"(Chen, 2007)","plainCitation":"(Chen, 2007)","noteIndex":0},"citationItems":[{"id":5257,"uris":["http://zotero.org/users/7402913/items/IJV7HWBE"],"itemData":{"id":5257,"type":"article-journal","abstract":"Two Monte Carlo studies were conducted to examine the sensitivity of goodness of fit indexes to lack of measurement invariance at 3 commonly tested levels: factor loadings, intercepts, and residual variances. Standardized root mean square residual (SRMR) appears to be more sensitive to lack of invariance in factor loadings than in intercepts or residual variances. Comparative fit index (CFI) and root mean square error of approximation (RMSEA) appear to be equally sensitive to all 3 types of lack of invariance. The most intriguing finding is that changes in fit statistics are affected by the interaction between the pattern of invariance and the proportion of invariant items: when the pattern of lack of invariance is uniform, the relation is nonmonotonic, whereas when the pattern of lack of invariance is mixed, the relation is monotonic. Unequal sample sizes affect changes across all 3 levels of invariance: Changes are bigger when sample sizes are equal rather than when they are unequal. Cutoff points for testing invariance at different levels are recommended.","container-title":"Structural Equation Modeling: A Multidisciplinary Journal","DOI":"10.1080/10705510701301834","ISSN":"1070-5511","issue":"3","note":"publisher: Routledge\n_eprint: https://doi.org/10.1080/10705510701301834","page":"464-504","source":"Taylor and Francis+NEJM","title":"Sensitivity of Goodness of Fit Indexes to Lack of Measurement Invariance","volume":"14","author":[{"family":"Chen","given":"Fang   Fang"}],"issued":{"date-parts":[["2007",7,31]]}}}],"schema":"https://github.com/citation-style-language/schema/raw/master/csl-citation.json"} </w:instrText>
      </w:r>
      <w:r w:rsidRPr="00494D70">
        <w:rPr>
          <w:rFonts w:ascii="Times New Roman" w:eastAsia="Calibri" w:hAnsi="Times New Roman" w:cs="Times New Roman"/>
          <w:sz w:val="24"/>
          <w:szCs w:val="24"/>
        </w:rPr>
        <w:fldChar w:fldCharType="separate"/>
      </w:r>
      <w:r w:rsidRPr="00494D70">
        <w:rPr>
          <w:rFonts w:ascii="Times New Roman" w:hAnsi="Times New Roman" w:cs="Times New Roman"/>
          <w:sz w:val="24"/>
          <w:szCs w:val="24"/>
        </w:rPr>
        <w:t>(Chen, 2007)</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xml:space="preserve">. Changes in TLI were also reported to account for parsimony with a higher value representing a better fit </w:t>
      </w:r>
      <w:r w:rsidRPr="00494D70">
        <w:rPr>
          <w:rFonts w:ascii="Times New Roman" w:eastAsia="Calibri" w:hAnsi="Times New Roman" w:cs="Times New Roman"/>
          <w:sz w:val="24"/>
          <w:szCs w:val="24"/>
        </w:rPr>
        <w:fldChar w:fldCharType="begin"/>
      </w:r>
      <w:r w:rsidRPr="00494D70">
        <w:rPr>
          <w:rFonts w:ascii="Times New Roman" w:eastAsia="Calibri" w:hAnsi="Times New Roman" w:cs="Times New Roman"/>
          <w:sz w:val="24"/>
          <w:szCs w:val="24"/>
        </w:rPr>
        <w:instrText xml:space="preserve"> ADDIN ZOTERO_ITEM CSL_CITATION {"citationID":"8KaWpgsg","properties":{"formattedCitation":"(Marsh et al., 2005; Williams &amp; Holahan, 1994)","plainCitation":"(Marsh et al., 2005; Williams &amp; Holahan, 1994)","noteIndex":0},"citationItems":[{"id":5060,"uris":["http://zotero.org/users/7402913/items/XQEPZ3LJ"],"itemData":{"id":5060,"type":"article-journal","container-title":"Psychometrics: A festschrift to Roderick P. McDonald","journalAbbreviation":"Psychometrics: A festschrift to Roderick P. McDonald","page":"225-340","source":"ResearchGate","title":"Goodness of fit evaluation in structural equation modeling","author":[{"family":"Marsh","given":"Herbert W."},{"family":"Hau","given":"Kit-Tai"},{"family":"Grayson","given":"D."}],"issued":{"date-parts":[["2005",1,1]]}}},{"id":3323,"uris":["http://zotero.org/users/7402913/items/2AWQ2HMP"],"itemData":{"id":3323,"type":"article-journal","abstract":"A frequently used type of model in applications of covariance structure analysis is one referred to as a multiple‐indicator regression model. This study takes a simulation approach to investigate seven parsimony‐based indices used to evaluate this type of model. Four representative theoretical models were examined, and the number of indicators used to represent latent variables was varied with two of the models. Both correctly and incorrectly specified models were fit to the data. The results show that the Akaike information criteria, the root mean square index, and the Tucker‐Lewis index were the most effective indices. The implications of the findings for the model selection process are discussed.","container-title":"Structural Equation Modeling: A Multidisciplinary Journal","DOI":"10.1080/10705519409539970","ISSN":"1070-5511","issue":"2","note":"publisher: Routledge\n_eprint: https://doi.org/10.1080/10705519409539970","page":"161-189","source":"Taylor and Francis+NEJM","title":"Parsimony‐based fit indices for multiple‐indicator models: Do they work?","title-short":"Parsimony‐based fit indices for multiple‐indicator models","volume":"1","author":[{"family":"Williams","given":"Larry J."},{"family":"Holahan","given":"Patricia J."}],"issued":{"date-parts":[["1994",1,1]]}}}],"schema":"https://github.com/citation-style-language/schema/raw/master/csl-citation.json"} </w:instrText>
      </w:r>
      <w:r w:rsidRPr="00494D70">
        <w:rPr>
          <w:rFonts w:ascii="Times New Roman" w:eastAsia="Calibri" w:hAnsi="Times New Roman" w:cs="Times New Roman"/>
          <w:sz w:val="24"/>
          <w:szCs w:val="24"/>
        </w:rPr>
        <w:fldChar w:fldCharType="separate"/>
      </w:r>
      <w:r w:rsidRPr="00494D70">
        <w:rPr>
          <w:rFonts w:ascii="Times New Roman" w:hAnsi="Times New Roman" w:cs="Times New Roman"/>
          <w:sz w:val="24"/>
        </w:rPr>
        <w:t>(Marsh et al., 2005; Williams &amp; Holahan, 1994)</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xml:space="preserve">. When testing measurement invariance with large samples and/or large number of groups, a more liberal ΔRMSEA (i.e., .030) and ΔCFI (i.e., .020) might be acceptable when evaluating metric invariance </w:t>
      </w:r>
      <w:r w:rsidRPr="00494D70">
        <w:rPr>
          <w:rFonts w:ascii="Times New Roman" w:eastAsia="Calibri" w:hAnsi="Times New Roman" w:cs="Times New Roman"/>
          <w:sz w:val="24"/>
          <w:szCs w:val="24"/>
        </w:rPr>
        <w:fldChar w:fldCharType="begin"/>
      </w:r>
      <w:r w:rsidRPr="00494D70">
        <w:rPr>
          <w:rFonts w:ascii="Times New Roman" w:eastAsia="Calibri" w:hAnsi="Times New Roman" w:cs="Times New Roman"/>
          <w:sz w:val="24"/>
          <w:szCs w:val="24"/>
        </w:rPr>
        <w:instrText xml:space="preserve"> ADDIN ZOTERO_ITEM CSL_CITATION {"citationID":"k66wlaOb","properties":{"formattedCitation":"(Rutkowski &amp; Svetina, 2014)","plainCitation":"(Rutkowski &amp; Svetina, 2014)","noteIndex":0},"citationItems":[{"id":13644,"uris":["http://zotero.org/users/7402913/items/5Y8WLW8P"],"itemData":{"id":13644,"type":"article-journal","abstract":"In the field of international educational surveys, equivalence of achievement scale scores across countries has received substantial attention in the academic literature; however, only a relatively recent emphasis on scale score equivalence in nonachievement education surveys has emerged. Given the current state of research in multiple-group models, findings regarding these recent measurement invariance investigations were supported with research that was limited in scope to few groups and relatively small sample sizes. To that end, this study uses data from one large-scale survey as a basis for examining the extent to which typical fit measures used in multiple-group confirmatory factor analysis are suitable for detecting measurement invariance in a large-scale survey context. Using measures validated in a smaller scale context and an empirically grounded simulation study, our findings indicate that many typical measures and associated criteria are either unsuitable in a large group and varied sample-size context or should be adjusted, particularly when the number of groups is large. We provide specific recommendations and discuss further areas for research. (PsycInfo Database Record (c) 2022 APA, all rights reserved)","container-title":"Educational and Psychological Measurement","DOI":"10.1177/0013164413498257","ISSN":"1552-3888","issue":"1","note":"publisher-place: US\npublisher: Sage Publications","page":"31-57","source":"APA PsycNet","title":"Assessing the hypothesis of measurement invariance in the context of large-scale international surveys","volume":"74","author":[{"family":"Rutkowski","given":"Leslie"},{"family":"Svetina","given":"Dubravka"}],"issued":{"date-parts":[["2014"]]}}}],"schema":"https://github.com/citation-style-language/schema/raw/master/csl-citation.json"} </w:instrText>
      </w:r>
      <w:r w:rsidRPr="00494D70">
        <w:rPr>
          <w:rFonts w:ascii="Times New Roman" w:eastAsia="Calibri" w:hAnsi="Times New Roman" w:cs="Times New Roman"/>
          <w:sz w:val="24"/>
          <w:szCs w:val="24"/>
        </w:rPr>
        <w:fldChar w:fldCharType="separate"/>
      </w:r>
      <w:r w:rsidRPr="00494D70">
        <w:rPr>
          <w:rFonts w:ascii="Times New Roman" w:hAnsi="Times New Roman" w:cs="Times New Roman"/>
          <w:sz w:val="24"/>
        </w:rPr>
        <w:t>(Rutkowski &amp; Svetina, 2014)</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xml:space="preserve">.We did not use the Chi-square differences to evaluate the changes of the model fit,  as it is not recommended when testing measurement invariance under these conditions </w:t>
      </w:r>
      <w:r w:rsidRPr="00494D70">
        <w:rPr>
          <w:rFonts w:ascii="Times New Roman" w:eastAsia="Calibri" w:hAnsi="Times New Roman" w:cs="Times New Roman"/>
          <w:sz w:val="24"/>
          <w:szCs w:val="24"/>
        </w:rPr>
        <w:fldChar w:fldCharType="begin"/>
      </w:r>
      <w:r w:rsidRPr="00494D70">
        <w:rPr>
          <w:rFonts w:ascii="Times New Roman" w:eastAsia="Calibri" w:hAnsi="Times New Roman" w:cs="Times New Roman"/>
          <w:sz w:val="24"/>
          <w:szCs w:val="24"/>
        </w:rPr>
        <w:instrText xml:space="preserve"> ADDIN ZOTERO_ITEM CSL_CITATION {"citationID":"7cIPDJ3y","properties":{"formattedCitation":"(Marsh et al., 2004; Rutkowski &amp; Svetina, 2014)","plainCitation":"(Marsh et al., 2004; Rutkowski &amp; Svetina, 2014)","noteIndex":0},"citationItems":[{"id":13696,"uris":["http://zotero.org/users/7402913/items/DIZ2RNG3"],"itemData":{"id":13696,"type":"article-journal","container-title":"Structural Equation Modeling: A Multidisciplinary Journal","DOI":"10.1207/s15328007sem1103_2","ISSN":"1070-5511, 1532-8007","issue":"3","journalAbbreviation":"Structural Equation Modeling: A Multidisciplinary Journal","language":"en","page":"320-341","source":"DOI.org (Crossref)","title":"In Search of Golden Rules: Comment on Hypothesis-Testing Approaches to Setting Cutoff Values for Fit Indexes and Dangers in Overgeneralizing Hu and Bentler's (1999) Findings","title-short":"In Search of Golden Rules","volume":"11","author":[{"family":"Marsh","given":"Herbert W."},{"family":"Hau","given":"Kit-Tai"},{"family":"Wen","given":"Zhonglin"}],"issued":{"date-parts":[["2004",7]]}}},{"id":13644,"uris":["http://zotero.org/users/7402913/items/5Y8WLW8P"],"itemData":{"id":13644,"type":"article-journal","abstract":"In the field of international educational surveys, equivalence of achievement scale scores across countries has received substantial attention in the academic literature; however, only a relatively recent emphasis on scale score equivalence in nonachievement education surveys has emerged. Given the current state of research in multiple-group models, findings regarding these recent measurement invariance investigations were supported with research that was limited in scope to few groups and relatively small sample sizes. To that end, this study uses data from one large-scale survey as a basis for examining the extent to which typical fit measures used in multiple-group confirmatory factor analysis are suitable for detecting measurement invariance in a large-scale survey context. Using measures validated in a smaller scale context and an empirically grounded simulation study, our findings indicate that many typical measures and associated criteria are either unsuitable in a large group and varied sample-size context or should be adjusted, particularly when the number of groups is large. We provide specific recommendations and discuss further areas for research. (PsycInfo Database Record (c) 2022 APA, all rights reserved)","container-title":"Educational and Psychological Measurement","DOI":"10.1177/0013164413498257","ISSN":"1552-3888","issue":"1","note":"publisher-place: US\npublisher: Sage Publications","page":"31-57","source":"APA PsycNet","title":"Assessing the hypothesis of measurement invariance in the context of large-scale international surveys","volume":"74","author":[{"family":"Rutkowski","given":"Leslie"},{"family":"Svetina","given":"Dubravka"}],"issued":{"date-parts":[["2014"]]}}}],"schema":"https://github.com/citation-style-language/schema/raw/master/csl-citation.json"} </w:instrText>
      </w:r>
      <w:r w:rsidRPr="00494D70">
        <w:rPr>
          <w:rFonts w:ascii="Times New Roman" w:eastAsia="Calibri" w:hAnsi="Times New Roman" w:cs="Times New Roman"/>
          <w:sz w:val="24"/>
          <w:szCs w:val="24"/>
        </w:rPr>
        <w:fldChar w:fldCharType="separate"/>
      </w:r>
      <w:r w:rsidRPr="00494D70">
        <w:rPr>
          <w:rFonts w:ascii="Times New Roman" w:hAnsi="Times New Roman" w:cs="Times New Roman"/>
          <w:sz w:val="24"/>
        </w:rPr>
        <w:t>(Marsh et al., 2004; Rutkowski &amp; Svetina, 2014)</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A</w:t>
      </w:r>
      <w:r w:rsidRPr="00494D70">
        <w:rPr>
          <w:rFonts w:ascii="Times New Roman" w:hAnsi="Times New Roman" w:cs="Times New Roman"/>
          <w:sz w:val="24"/>
          <w:szCs w:val="24"/>
        </w:rPr>
        <w:t>ccepted models in the invariance analyses (i.e., residual model) did not only have below-threshold changes-of-fit-indices (∆CFI and ∆RMSEA), but adequate or good CFI, TLI, and RMSEA model fit indices as well.</w:t>
      </w:r>
    </w:p>
    <w:p w14:paraId="6410C0D0" w14:textId="5718FF9B" w:rsidR="001E3D02" w:rsidRPr="00494D70" w:rsidRDefault="001E3D02" w:rsidP="001E3D02">
      <w:pPr>
        <w:spacing w:after="0" w:line="480" w:lineRule="auto"/>
        <w:ind w:firstLine="567"/>
        <w:rPr>
          <w:rFonts w:ascii="Times New Roman" w:eastAsia="Calibri" w:hAnsi="Times New Roman" w:cs="Times New Roman"/>
          <w:sz w:val="24"/>
          <w:szCs w:val="24"/>
        </w:rPr>
      </w:pPr>
      <w:r w:rsidRPr="00494D70">
        <w:rPr>
          <w:rFonts w:ascii="Times New Roman" w:eastAsia="Calibri" w:hAnsi="Times New Roman" w:cs="Times New Roman"/>
          <w:sz w:val="24"/>
          <w:szCs w:val="24"/>
        </w:rPr>
        <w:t xml:space="preserve">If measurement invariance could not be established, partial invariance was tested </w:t>
      </w:r>
      <w:r w:rsidRPr="00494D70">
        <w:rPr>
          <w:rFonts w:ascii="Times New Roman" w:hAnsi="Times New Roman" w:cs="Times New Roman"/>
          <w:sz w:val="24"/>
          <w:szCs w:val="24"/>
        </w:rPr>
        <w:t xml:space="preserve"> (i.e., models in which a subset of parameters was allowed to vary across groups)</w:t>
      </w:r>
      <w:r w:rsidRPr="00494D70">
        <w:rPr>
          <w:rFonts w:ascii="Times New Roman" w:eastAsia="Calibri" w:hAnsi="Times New Roman" w:cs="Times New Roman"/>
          <w:sz w:val="24"/>
          <w:szCs w:val="24"/>
        </w:rPr>
        <w:t xml:space="preserve"> </w:t>
      </w:r>
      <w:r w:rsidRPr="00494D70">
        <w:rPr>
          <w:rFonts w:ascii="Times New Roman" w:eastAsia="Calibri" w:hAnsi="Times New Roman" w:cs="Times New Roman"/>
          <w:sz w:val="24"/>
          <w:szCs w:val="24"/>
        </w:rPr>
        <w:fldChar w:fldCharType="begin"/>
      </w:r>
      <w:r w:rsidRPr="00494D70">
        <w:rPr>
          <w:rFonts w:ascii="Times New Roman" w:eastAsia="Calibri" w:hAnsi="Times New Roman" w:cs="Times New Roman"/>
          <w:sz w:val="24"/>
          <w:szCs w:val="24"/>
        </w:rPr>
        <w:instrText xml:space="preserve"> ADDIN ZOTERO_ITEM CSL_CITATION {"citationID":"m6zYBRhN","properties":{"formattedCitation":"(Milfont &amp; Fischer, 2010)","plainCitation":"(Milfont &amp; Fischer, 2010)","noteIndex":0},"citationItems":[{"id":5054,"uris":["http://zotero.org/users/7402913/items/S2JSG5S9"],"itemData":{"id":5054,"type":"article-journal","abstract":"Researchers often compare groups of individuals on psychological variables. When comparing groups an assumption is made that the instrument measures the same psychological construct in all groups. If this assumption holds, the comparisons are valid and differences/similarities between groups can be meaningfully interpreted. If this assumption does not hold, comparisons and interpretations are not fully meaningful. The establishment of measurement invariance is a prerequisite for meaningful comparisons across groups. This paper first reviews the importance of equivalence in psychological research, and then the main theoretical and methodological issues regarding measurement invariance within the framework of confirmatory factor analysis. A step-by-step empirical example of measurement invariance testing is provided along with syntax examples for fitting such models in LISREL.","container-title":"International Journal of Psychological Research","DOI":"10.21500/20112084.857","ISSN":"2011-7922","issue":"1","language":"en","license":"Copyright (c) 2010 International Journal of Psychological Research","note":"number: 1","page":"111-130","source":"revistas.usb.edu.co","title":"Testing measurement invariance across groups: applications in cross-cultural research.","title-short":"Testing measurement invariance across groups","volume":"3","author":[{"family":"Milfont","given":"Taciano L."},{"family":"Fischer","given":"Ronald"}],"issued":{"date-parts":[["2010",6,30]]}}}],"schema":"https://github.com/citation-style-language/schema/raw/master/csl-citation.json"} </w:instrText>
      </w:r>
      <w:r w:rsidRPr="00494D70">
        <w:rPr>
          <w:rFonts w:ascii="Times New Roman" w:eastAsia="Calibri" w:hAnsi="Times New Roman" w:cs="Times New Roman"/>
          <w:sz w:val="24"/>
          <w:szCs w:val="24"/>
        </w:rPr>
        <w:fldChar w:fldCharType="separate"/>
      </w:r>
      <w:r w:rsidRPr="00494D70">
        <w:rPr>
          <w:rFonts w:ascii="Times New Roman" w:hAnsi="Times New Roman" w:cs="Times New Roman"/>
          <w:sz w:val="24"/>
          <w:szCs w:val="24"/>
        </w:rPr>
        <w:t>(Milfont &amp; Fischer, 2010)</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For example, if the changes in fit indices were greater than the recommended cut-off values on the residual level, we examined the modification indices (MIs) and relaxed equality constraints on the residuals of the specific item and population that generated the misfit (i.e., had the highest modification index value), until it resulted in a partial residual invariant model. Then, we used this model for further steps of the analysis</w:t>
      </w:r>
      <w:r w:rsidR="00AA2E6D" w:rsidRPr="00494D70">
        <w:rPr>
          <w:rFonts w:ascii="Times New Roman" w:eastAsia="Calibri" w:hAnsi="Times New Roman" w:cs="Times New Roman"/>
          <w:sz w:val="24"/>
          <w:szCs w:val="24"/>
        </w:rPr>
        <w:t xml:space="preserve">. </w:t>
      </w:r>
      <w:r w:rsidR="00880A53" w:rsidRPr="00494D70">
        <w:rPr>
          <w:rFonts w:ascii="Times New Roman" w:eastAsia="Calibri" w:hAnsi="Times New Roman" w:cs="Times New Roman"/>
          <w:sz w:val="24"/>
          <w:szCs w:val="24"/>
        </w:rPr>
        <w:t>Additionally, when full measurement invariance could not be established, we calculated measurement invariance effect size</w:t>
      </w:r>
      <w:r w:rsidR="00CB41AD" w:rsidRPr="00494D70">
        <w:rPr>
          <w:rFonts w:ascii="Times New Roman" w:eastAsia="Calibri" w:hAnsi="Times New Roman" w:cs="Times New Roman"/>
          <w:sz w:val="24"/>
          <w:szCs w:val="24"/>
        </w:rPr>
        <w:t>s</w:t>
      </w:r>
      <w:r w:rsidR="00880A53" w:rsidRPr="00494D70">
        <w:rPr>
          <w:rFonts w:ascii="Times New Roman" w:eastAsia="Calibri" w:hAnsi="Times New Roman" w:cs="Times New Roman"/>
          <w:sz w:val="24"/>
          <w:szCs w:val="24"/>
        </w:rPr>
        <w:t xml:space="preserve"> </w:t>
      </w:r>
      <w:r w:rsidR="00A52649" w:rsidRPr="00494D70">
        <w:rPr>
          <w:rFonts w:ascii="Times New Roman" w:eastAsia="Calibri" w:hAnsi="Times New Roman" w:cs="Times New Roman"/>
          <w:sz w:val="24"/>
          <w:szCs w:val="24"/>
        </w:rPr>
        <w:t xml:space="preserve">for each group </w:t>
      </w:r>
      <w:r w:rsidR="00880A53" w:rsidRPr="00494D70">
        <w:rPr>
          <w:rFonts w:ascii="Times New Roman" w:eastAsia="Calibri" w:hAnsi="Times New Roman" w:cs="Times New Roman"/>
          <w:sz w:val="24"/>
          <w:szCs w:val="24"/>
        </w:rPr>
        <w:t xml:space="preserve">to quantify the </w:t>
      </w:r>
      <w:r w:rsidR="00AF5944" w:rsidRPr="00494D70">
        <w:rPr>
          <w:rFonts w:ascii="Times New Roman" w:eastAsia="Calibri" w:hAnsi="Times New Roman" w:cs="Times New Roman"/>
          <w:sz w:val="24"/>
          <w:szCs w:val="24"/>
        </w:rPr>
        <w:t>practical consequences of</w:t>
      </w:r>
      <w:r w:rsidR="00A52649" w:rsidRPr="00494D70">
        <w:rPr>
          <w:rFonts w:ascii="Times New Roman" w:eastAsia="Calibri" w:hAnsi="Times New Roman" w:cs="Times New Roman"/>
          <w:sz w:val="24"/>
          <w:szCs w:val="24"/>
        </w:rPr>
        <w:t xml:space="preserve"> the</w:t>
      </w:r>
      <w:r w:rsidR="00CB41AD" w:rsidRPr="00494D70">
        <w:rPr>
          <w:rFonts w:ascii="Times New Roman" w:eastAsia="Calibri" w:hAnsi="Times New Roman" w:cs="Times New Roman"/>
          <w:sz w:val="24"/>
          <w:szCs w:val="24"/>
        </w:rPr>
        <w:t xml:space="preserve"> </w:t>
      </w:r>
      <w:r w:rsidR="00CB6AF8" w:rsidRPr="00494D70">
        <w:rPr>
          <w:rFonts w:ascii="Times New Roman" w:eastAsia="Calibri" w:hAnsi="Times New Roman" w:cs="Times New Roman"/>
          <w:sz w:val="24"/>
          <w:szCs w:val="24"/>
        </w:rPr>
        <w:t>deviation</w:t>
      </w:r>
      <w:r w:rsidR="00880A53" w:rsidRPr="00494D70">
        <w:rPr>
          <w:rFonts w:ascii="Times New Roman" w:eastAsia="Calibri" w:hAnsi="Times New Roman" w:cs="Times New Roman"/>
          <w:sz w:val="24"/>
          <w:szCs w:val="24"/>
        </w:rPr>
        <w:t xml:space="preserve"> </w:t>
      </w:r>
      <w:r w:rsidR="00A52649" w:rsidRPr="00494D70">
        <w:rPr>
          <w:rFonts w:ascii="Times New Roman" w:eastAsia="Calibri" w:hAnsi="Times New Roman" w:cs="Times New Roman"/>
          <w:sz w:val="24"/>
          <w:szCs w:val="24"/>
        </w:rPr>
        <w:t xml:space="preserve">from the </w:t>
      </w:r>
      <w:r w:rsidR="00880A53" w:rsidRPr="00494D70">
        <w:rPr>
          <w:rFonts w:ascii="Times New Roman" w:eastAsia="Calibri" w:hAnsi="Times New Roman" w:cs="Times New Roman"/>
          <w:sz w:val="24"/>
          <w:szCs w:val="24"/>
        </w:rPr>
        <w:t>fully invariant model</w:t>
      </w:r>
      <w:r w:rsidR="00731B9C" w:rsidRPr="00494D70">
        <w:rPr>
          <w:rFonts w:ascii="Times New Roman" w:eastAsia="Calibri" w:hAnsi="Times New Roman" w:cs="Times New Roman"/>
          <w:sz w:val="24"/>
          <w:szCs w:val="24"/>
        </w:rPr>
        <w:t xml:space="preserve"> (see Table S7)</w:t>
      </w:r>
      <w:r w:rsidR="00880A53" w:rsidRPr="00494D70">
        <w:rPr>
          <w:rFonts w:ascii="Times New Roman" w:eastAsia="Calibri" w:hAnsi="Times New Roman" w:cs="Times New Roman"/>
          <w:sz w:val="24"/>
          <w:szCs w:val="24"/>
        </w:rPr>
        <w:t>.</w:t>
      </w:r>
      <w:r w:rsidR="00E0033A" w:rsidRPr="00494D70">
        <w:rPr>
          <w:rFonts w:ascii="Times New Roman" w:eastAsia="Calibri" w:hAnsi="Times New Roman" w:cs="Times New Roman"/>
          <w:sz w:val="24"/>
          <w:szCs w:val="24"/>
        </w:rPr>
        <w:t xml:space="preserve"> </w:t>
      </w:r>
      <w:r w:rsidR="00283E54" w:rsidRPr="00494D70">
        <w:rPr>
          <w:rFonts w:ascii="Times New Roman" w:eastAsia="Calibri" w:hAnsi="Times New Roman" w:cs="Times New Roman"/>
          <w:sz w:val="24"/>
          <w:szCs w:val="24"/>
        </w:rPr>
        <w:t xml:space="preserve">Measurement invariance effect size is represented by the correlations between the latent variable estimates of the best-fitting model (e.g., residual) and the fully invariant (latent mean) model in </w:t>
      </w:r>
      <w:r w:rsidR="00FC2D9B" w:rsidRPr="00494D70">
        <w:rPr>
          <w:rFonts w:ascii="Times New Roman" w:eastAsia="Calibri" w:hAnsi="Times New Roman" w:cs="Times New Roman"/>
          <w:sz w:val="24"/>
          <w:szCs w:val="24"/>
        </w:rPr>
        <w:t xml:space="preserve">each group-based </w:t>
      </w:r>
      <w:r w:rsidR="00283E54" w:rsidRPr="00494D70">
        <w:rPr>
          <w:rFonts w:ascii="Times New Roman" w:eastAsia="Calibri" w:hAnsi="Times New Roman" w:cs="Times New Roman"/>
          <w:sz w:val="24"/>
          <w:szCs w:val="24"/>
        </w:rPr>
        <w:t xml:space="preserve">measurement invariance analysis. Consistently high (r </w:t>
      </w:r>
      <w:r w:rsidR="00283E54" w:rsidRPr="00494D70">
        <w:rPr>
          <w:rFonts w:ascii="Times New Roman" w:eastAsia="Calibri" w:hAnsi="Times New Roman" w:cs="Times New Roman"/>
          <w:sz w:val="24"/>
          <w:szCs w:val="24"/>
        </w:rPr>
        <w:lastRenderedPageBreak/>
        <w:t xml:space="preserve">&gt; .90) correlations indicate that deviation from the fully invariant model </w:t>
      </w:r>
      <w:proofErr w:type="gramStart"/>
      <w:r w:rsidR="00283E54" w:rsidRPr="00494D70">
        <w:rPr>
          <w:rFonts w:ascii="Times New Roman" w:eastAsia="Calibri" w:hAnsi="Times New Roman" w:cs="Times New Roman"/>
          <w:sz w:val="24"/>
          <w:szCs w:val="24"/>
        </w:rPr>
        <w:t>have</w:t>
      </w:r>
      <w:proofErr w:type="gramEnd"/>
      <w:r w:rsidR="00283E54" w:rsidRPr="00494D70">
        <w:rPr>
          <w:rFonts w:ascii="Times New Roman" w:eastAsia="Calibri" w:hAnsi="Times New Roman" w:cs="Times New Roman"/>
          <w:sz w:val="24"/>
          <w:szCs w:val="24"/>
        </w:rPr>
        <w:t xml:space="preserve"> minimal practical consequences on the latent scores.</w:t>
      </w:r>
    </w:p>
    <w:p w14:paraId="71C1E9F7" w14:textId="77777777" w:rsidR="001E3D02" w:rsidRPr="00494D70" w:rsidRDefault="001E3D02" w:rsidP="001E3D02">
      <w:pPr>
        <w:spacing w:after="0" w:line="480" w:lineRule="auto"/>
        <w:ind w:firstLine="567"/>
        <w:rPr>
          <w:rFonts w:ascii="Times New Roman" w:eastAsia="Yu Mincho" w:hAnsi="Times New Roman" w:cs="Times New Roman"/>
          <w:sz w:val="24"/>
          <w:szCs w:val="24"/>
        </w:rPr>
      </w:pPr>
      <w:r w:rsidRPr="00494D70">
        <w:rPr>
          <w:rFonts w:ascii="Times New Roman" w:eastAsia="Yu Mincho" w:hAnsi="Times New Roman" w:cs="Times New Roman"/>
          <w:sz w:val="24"/>
          <w:szCs w:val="24"/>
        </w:rPr>
        <w:t>Monte Carlo simulation was conducted to establish the minimum sample sizes for groups involved in the CFA and the measurement invariance analysis, and to ensure adequate power (of .80 or higher). The previously described three-factor, nine-indicator model was specified. Sample sizes ranging from 10 to 500 were considered, with the number of replications set at 50. Results indicated that groups needed to reach a minimum sample size of 460 to be included in the analyses (for further details, see: https://osf.io/8kdzv/?view_only=dadcfc82666140a6ab5a1c3f63b679be)</w:t>
      </w:r>
      <w:hyperlink w:history="1"/>
      <w:r w:rsidRPr="00494D70">
        <w:rPr>
          <w:rFonts w:ascii="Times New Roman" w:eastAsia="Yu Mincho" w:hAnsi="Times New Roman" w:cs="Times New Roman"/>
          <w:sz w:val="24"/>
          <w:szCs w:val="24"/>
        </w:rPr>
        <w:t>.</w:t>
      </w:r>
    </w:p>
    <w:p w14:paraId="373992FB" w14:textId="77777777" w:rsidR="001E3D02" w:rsidRPr="00494D70" w:rsidRDefault="001E3D02" w:rsidP="001E3D02">
      <w:pPr>
        <w:spacing w:after="0" w:line="480" w:lineRule="auto"/>
        <w:ind w:firstLine="567"/>
        <w:rPr>
          <w:rFonts w:ascii="Times New Roman" w:eastAsia="Calibri" w:hAnsi="Times New Roman" w:cs="Times New Roman"/>
          <w:sz w:val="24"/>
          <w:szCs w:val="24"/>
        </w:rPr>
      </w:pPr>
      <w:r w:rsidRPr="00494D70">
        <w:rPr>
          <w:rFonts w:ascii="Times New Roman" w:eastAsia="Yu Mincho" w:hAnsi="Times New Roman" w:cs="Times New Roman"/>
          <w:sz w:val="24"/>
          <w:szCs w:val="24"/>
        </w:rPr>
        <w:t>First, we tested measurement invariance across 20 languages out of the 26 (see Table S1), and 33 countries out of the 42, as these groups reached the minimum sample size for the measurement invariance tests (see Table S2). Next, gender-identity-based invariance was tested across three subgroups of men, women, and gender-diverse individuals. The gender-diverse subgroup was created for individuals indicating (a) non-binary, gender-fluid, or genderqueer identity, (b) an indigenous or other cultural gender minority identity (e.g., two-spirit), or (c) other gender identity not fitting the previous categories as some of these gender minority groups did not amount to the required minimum sample size.</w:t>
      </w:r>
      <w:r w:rsidRPr="00494D70">
        <w:rPr>
          <w:rStyle w:val="Lbjegyzet-hivatkozs"/>
        </w:rPr>
        <w:footnoteReference w:id="4"/>
      </w:r>
      <w:r w:rsidRPr="00494D70">
        <w:rPr>
          <w:rFonts w:ascii="Times New Roman" w:eastAsia="Yu Mincho" w:hAnsi="Times New Roman" w:cs="Times New Roman"/>
          <w:sz w:val="24"/>
          <w:szCs w:val="24"/>
        </w:rPr>
        <w:t xml:space="preserve"> As the fourth step, eight subgroups (</w:t>
      </w:r>
      <w:r w:rsidRPr="00494D70">
        <w:rPr>
          <w:rFonts w:ascii="Times New Roman" w:eastAsia="Times New Roman" w:hAnsi="Times New Roman" w:cs="Times New Roman"/>
          <w:color w:val="000000"/>
          <w:sz w:val="24"/>
          <w:szCs w:val="24"/>
        </w:rPr>
        <w:t xml:space="preserve">i.e., heterosexual, gay and lesbian, bisexual, queer and pansexual, homo- and heteroflexible identities, asexual, and questioning and other) were tested for measurement invariance across sexual orientations as more current literature indicates that grouping sexually diverse identities into one sexually diverse group might not be appropriate </w:t>
      </w:r>
      <w:r w:rsidRPr="00494D70">
        <w:rPr>
          <w:rFonts w:ascii="Times New Roman" w:eastAsia="Times New Roman" w:hAnsi="Times New Roman" w:cs="Times New Roman"/>
          <w:color w:val="000000"/>
          <w:sz w:val="24"/>
          <w:szCs w:val="24"/>
        </w:rPr>
        <w:fldChar w:fldCharType="begin"/>
      </w:r>
      <w:r w:rsidRPr="00494D70">
        <w:rPr>
          <w:rFonts w:ascii="Times New Roman" w:eastAsia="Times New Roman" w:hAnsi="Times New Roman" w:cs="Times New Roman"/>
          <w:color w:val="000000"/>
          <w:sz w:val="24"/>
          <w:szCs w:val="24"/>
        </w:rPr>
        <w:instrText xml:space="preserve"> ADDIN ZOTERO_ITEM CSL_CITATION {"citationID":"sKvZISWP","properties":{"formattedCitation":"(Borgogna et al., 2019; Feinstein et al., 2021)","plainCitation":"(Borgogna et al., 2019; Feinstein et al., 2021)","noteIndex":0},"citationItems":[{"id":5208,"uris":["http://zotero.org/users/7402913/items/UHGE8ZRS"],"itemData":{"id":5208,"type":"article-journal","abstract":"Empirical findings indicate that sexual and gender minorities report notably poorer outcomes on measures of mental health when compared with cisgender/heterosexual individuals. Although several studies have examined these issues, few have taken the time to examine differences between cisgender/heterosexual and specific lesbian, gay, bisexual, transgender, and queer identities. This is especially important as an increasing number of new gender and sexual identities emerge, yet limitations in statistical power often preclude such analyses. Thus, the following study addressed this gap by examining data from a large sample of college students from the national Health Minds Study (n = 43,632). Results indicated that college students with transgender and gender nonconforming identities reported significantly higher rates of depression and anxiety symptoms compared with students with cisgender identities, with large effect sizes. Disparities were also significant across sexual minority participants, with the smallest effect sizes being between heterosexual and gay/lesbian individuals, and the largest effect sizes between heterosexual and pansexual participants for depression, and heterosexual and demisexual participants for anxiety. We also found evidence of an interaction of gender and sexual identity impacting mental health such that those with minority statuses in both identity groups had significantly worse outcomes compared to those with only one minority identity. Our results indicate that individuals in the emerging sexual and gender minority categories (pansexual, demisexual, asexual, queer, questioning, and transgender/gender nonconforming) report significantly higher rates of depression and anxiety when compared with cisgender/heterosexual individuals, and even significantly more than those who identify as gay/lesbian. Implications for mental health providers and researchers are discussed. (PsycINFO Database Record (c) 2019 APA, all rights reserved)","container-title":"Psychology of Sexual Orientation and Gender Diversity","DOI":"10.1037/sgd0000306","ISSN":"2329-0390","note":"publisher-place: US\npublisher: Educational Publishing Foundation","page":"54-63","source":"APA PsycNet","title":"Anxiety and depression across gender and sexual minorities: Implications for transgender, gender nonconforming, pansexual, demisexual, asexual, queer, and questioning individuals","title-short":"Anxiety and depression across gender and sexual minorities","volume":"6","author":[{"family":"Borgogna","given":"Nicholas C."},{"family":"McDermott","given":"Ryon C."},{"family":"Aita","given":"Stephen L."},{"family":"Kridel","given":"Matthew M."}],"issued":{"date-parts":[["2019"]]}}},{"id":5207,"uris":["http://zotero.org/users/7402913/items/DCPUFIR8"],"itemData":{"id":5207,"type":"article-journal","abstract":"Bisexual people are at increased risk for anxiety and depression compared with heterosexual and gay/lesbian people, but little is known about people who use other labels to describe attractions to more than one gender (e.g., pansexual, queer; collectively bi +). In addition, some people use more than one label to describe their sexual orientation, but research has yet to examine whether using one versus multiple labels is associated with identity-related experiences or mental health. To address these gaps, we explored potential differences in disclosure, minority stress, and mental health among bi + adults based on primary sexual identity and multiple label use. As part of a larger project, 669 bi + adults completed an online survey. Primary sexual identities included bisexual (53.2%), pansexual (26.3%), and queer (20.5%), and 55.2% used multiple labels. Compared with bisexual participants, pansexual participants reported higher disclosure, discrimination from heterosexual people, and depression. Pansexual participants also reported higher anxiety and lower internalized binegativity, but these associations became nonsignificant after adjusting for demographics. Queer participants reported higher disclosure, discrimination from heterosexual people, and anxiety, but only the difference in disclosure remained significant in adjusted analyses. Finally, participants who used multiple labels reported higher disclosure and discrimination from heterosexual and gay/lesbian people, but only the difference in discrimination from gay/lesbian people remained significant in adjusted analyses. Findings highlight the heterogeneity of bi + individuals and the importance of considering bisexual, pansexual, and queer individuals as unique groups as well as considering whether bi + individuals use one or multiple sexual identity labels. (PsycInfo Database Record (c) 2021 APA, all rights reserved)","container-title":"Psychology of Sexual Orientation and Gender Diversity","DOI":"10.1037/sgd0000532","ISSN":"2329-0390","note":"publisher-place: US\npublisher: Educational Publishing Foundation","source":"APA PsycNet","title":"Disclosure, minority stress, and mental health among bisexual, pansexual, and queer (Bi+) adults: The roles of primary sexual identity and multiple sexual identity label use","title-short":"Disclosure, minority stress, and mental health among bisexual, pansexual, and queer (Bi+) adults","author":[{"family":"Feinstein","given":"Brian A."},{"family":"Hurtado Jr.","given":"Manuel"},{"family":"Dyar","given":"Christina"},{"family":"Davila","given":"Joanne"}],"issued":{"date-parts":[["2021"]]}}}],"schema":"https://github.com/citation-style-language/schema/raw/master/csl-citation.json"} </w:instrText>
      </w:r>
      <w:r w:rsidRPr="00494D70">
        <w:rPr>
          <w:rFonts w:ascii="Times New Roman" w:eastAsia="Times New Roman" w:hAnsi="Times New Roman" w:cs="Times New Roman"/>
          <w:color w:val="000000"/>
          <w:sz w:val="24"/>
          <w:szCs w:val="24"/>
        </w:rPr>
        <w:fldChar w:fldCharType="separate"/>
      </w:r>
      <w:r w:rsidRPr="00494D70">
        <w:rPr>
          <w:rFonts w:ascii="Times New Roman" w:hAnsi="Times New Roman" w:cs="Times New Roman"/>
          <w:sz w:val="24"/>
          <w:szCs w:val="24"/>
        </w:rPr>
        <w:t>(Borgogna et al., 2019; Feinstein et al., 2021)</w:t>
      </w:r>
      <w:r w:rsidRPr="00494D70">
        <w:rPr>
          <w:rFonts w:ascii="Times New Roman" w:eastAsia="Times New Roman" w:hAnsi="Times New Roman" w:cs="Times New Roman"/>
          <w:color w:val="000000"/>
          <w:sz w:val="24"/>
          <w:szCs w:val="24"/>
        </w:rPr>
        <w:fldChar w:fldCharType="end"/>
      </w:r>
      <w:r w:rsidRPr="00494D70">
        <w:rPr>
          <w:rFonts w:ascii="Times New Roman" w:eastAsia="Times New Roman" w:hAnsi="Times New Roman" w:cs="Times New Roman"/>
          <w:color w:val="000000"/>
          <w:sz w:val="24"/>
          <w:szCs w:val="24"/>
        </w:rPr>
        <w:t>.</w:t>
      </w:r>
      <w:r w:rsidRPr="00494D70">
        <w:rPr>
          <w:rFonts w:ascii="Times New Roman" w:eastAsia="Times New Roman" w:hAnsi="Times New Roman" w:cs="Times New Roman"/>
          <w:sz w:val="24"/>
          <w:szCs w:val="24"/>
        </w:rPr>
        <w:t xml:space="preserve"> </w:t>
      </w:r>
      <w:r w:rsidRPr="00494D70">
        <w:rPr>
          <w:rFonts w:ascii="Times New Roman" w:eastAsia="Yu Mincho" w:hAnsi="Times New Roman" w:cs="Times New Roman"/>
          <w:sz w:val="24"/>
          <w:szCs w:val="24"/>
        </w:rPr>
        <w:t xml:space="preserve">For the details and the rationale of creating the gender-identity- </w:t>
      </w:r>
      <w:r w:rsidRPr="00494D70">
        <w:rPr>
          <w:rFonts w:ascii="Times New Roman" w:eastAsia="Yu Mincho" w:hAnsi="Times New Roman" w:cs="Times New Roman"/>
          <w:sz w:val="24"/>
          <w:szCs w:val="24"/>
        </w:rPr>
        <w:lastRenderedPageBreak/>
        <w:t>and sexual-orientation-based subgroups, see https://osf.io/8kdzv/?view_only=dadcfc82666140a6ab5a1c3f63b679be</w:t>
      </w:r>
      <w:r w:rsidRPr="00494D70">
        <w:rPr>
          <w:rFonts w:ascii="Times New Roman" w:eastAsia="Calibri" w:hAnsi="Times New Roman" w:cs="Times New Roman"/>
          <w:sz w:val="24"/>
          <w:szCs w:val="24"/>
        </w:rPr>
        <w:t xml:space="preserve">. As an additional last step of the invariance testing, we examined two subgroups of respondents across different relationship statuses as relationship status might relate to an individual’s SA. </w:t>
      </w:r>
      <w:r w:rsidRPr="00494D70">
        <w:rPr>
          <w:rFonts w:ascii="Times New Roman" w:eastAsia="Times New Roman" w:hAnsi="Times New Roman" w:cs="Times New Roman"/>
          <w:sz w:val="24"/>
          <w:szCs w:val="24"/>
        </w:rPr>
        <w:t>Self-identified single, divorced, and widowed participants were categorized as single, while married and common-law partners, and people reporting being in a relationship were categorized as partnered individuals.</w:t>
      </w:r>
      <w:r w:rsidRPr="00494D70">
        <w:rPr>
          <w:rStyle w:val="Lbjegyzet-hivatkozs"/>
        </w:rPr>
        <w:footnoteReference w:id="5"/>
      </w:r>
    </w:p>
    <w:p w14:paraId="36C8708A" w14:textId="77777777" w:rsidR="001E3D02" w:rsidRPr="00494D70" w:rsidRDefault="001E3D02" w:rsidP="001E3D02">
      <w:pPr>
        <w:spacing w:after="0" w:line="480" w:lineRule="auto"/>
        <w:rPr>
          <w:rFonts w:ascii="Times New Roman" w:eastAsia="Calibri" w:hAnsi="Times New Roman" w:cs="Times New Roman"/>
          <w:i/>
          <w:iCs/>
          <w:sz w:val="24"/>
          <w:szCs w:val="24"/>
        </w:rPr>
      </w:pPr>
      <w:r w:rsidRPr="00494D70">
        <w:rPr>
          <w:rFonts w:ascii="Times New Roman" w:eastAsia="Calibri" w:hAnsi="Times New Roman" w:cs="Times New Roman"/>
          <w:i/>
          <w:iCs/>
          <w:sz w:val="24"/>
          <w:szCs w:val="24"/>
        </w:rPr>
        <w:t>Reliability and validity</w:t>
      </w:r>
    </w:p>
    <w:p w14:paraId="4292314E" w14:textId="77777777" w:rsidR="001E3D02" w:rsidRPr="00494D70" w:rsidRDefault="001E3D02" w:rsidP="001E3D02">
      <w:pPr>
        <w:spacing w:after="0" w:line="480" w:lineRule="auto"/>
        <w:ind w:firstLine="567"/>
        <w:rPr>
          <w:rFonts w:ascii="Times New Roman" w:eastAsia="Times New Roman" w:hAnsi="Times New Roman" w:cs="Times New Roman"/>
          <w:i/>
          <w:iCs/>
          <w:sz w:val="24"/>
          <w:szCs w:val="24"/>
        </w:rPr>
      </w:pPr>
      <w:r w:rsidRPr="00494D70">
        <w:rPr>
          <w:rFonts w:ascii="Times New Roman" w:eastAsia="Calibri" w:hAnsi="Times New Roman" w:cs="Times New Roman"/>
          <w:sz w:val="24"/>
          <w:szCs w:val="24"/>
        </w:rPr>
        <w:t xml:space="preserve">Cronbach’s alpha and McDonald’s omega were used to test the questionnaire’s reliability. Values between 0.7 and 0.8 were considered acceptable, and values </w:t>
      </w:r>
      <w:r w:rsidRPr="00494D70">
        <w:rPr>
          <w:rFonts w:ascii="Times New Roman" w:eastAsia="Calibri" w:hAnsi="Times New Roman" w:cs="Times New Roman"/>
          <w:sz w:val="24"/>
          <w:szCs w:val="24"/>
          <w:u w:val="single"/>
        </w:rPr>
        <w:t>&gt;</w:t>
      </w:r>
      <w:r w:rsidRPr="00494D70">
        <w:rPr>
          <w:rFonts w:ascii="Times New Roman" w:eastAsia="Calibri" w:hAnsi="Times New Roman" w:cs="Times New Roman"/>
          <w:sz w:val="24"/>
          <w:szCs w:val="24"/>
        </w:rPr>
        <w:t xml:space="preserve">0.8 were considered good or better </w:t>
      </w:r>
      <w:r w:rsidRPr="00494D70">
        <w:rPr>
          <w:rFonts w:ascii="Times New Roman" w:eastAsia="Calibri" w:hAnsi="Times New Roman" w:cs="Times New Roman"/>
          <w:sz w:val="24"/>
          <w:szCs w:val="24"/>
        </w:rPr>
        <w:fldChar w:fldCharType="begin"/>
      </w:r>
      <w:r w:rsidRPr="00494D70">
        <w:rPr>
          <w:rFonts w:ascii="Times New Roman" w:eastAsia="Calibri" w:hAnsi="Times New Roman" w:cs="Times New Roman"/>
          <w:sz w:val="24"/>
          <w:szCs w:val="24"/>
        </w:rPr>
        <w:instrText xml:space="preserve"> ADDIN ZOTERO_ITEM CSL_CITATION {"citationID":"C8GDYZAq","properties":{"formattedCitation":"(Goodboy &amp; Martin, 2020; Nunnally, 1978)","plainCitation":"(Goodboy &amp; Martin, 2020; Nunnally, 1978)","noteIndex":0},"citationItems":[{"id":5212,"uris":["http://zotero.org/users/7402913/items/NV5G994V"],"itemData":{"id":5212,"type":"article-journal","abstract":"Cronbach’s alpha (coefficient α) is the conventional statistic communication scholars use to estimate the reliability of multi-item measurement instruments. For many, if not most communication measures, α should not be calculated for reliability estimation. Instead, coefficient omega (ω) should be reported as it aligns with the definition of reliability itself. In this primer, we review α and ω, and explain why ω should be the new ‘gold standard’ in reliability estimation. Using Mplus, we demonstrate how ω is calculated on an available data set and show how preliminary scales can be revised with ‘ω if item deleted.’ We also list several easy-to-use resources to calculate ω in other software programs. Communication researchers should routinely report ω instead of α.","container-title":"Annals of the International Communication Association","DOI":"10.1080/23808985.2020.1846135","ISSN":"2380-8985","issue":"4","note":"publisher: Routledge\n_eprint: https://doi.org/10.1080/23808985.2020.1846135","page":"422-439","source":"Taylor and Francis+NEJM","title":"Omega over alpha for reliability estimation of unidimensional communication measures","volume":"44","author":[{"family":"Goodboy","given":"Alan K."},{"family":"Martin","given":"Matthew M."}],"issued":{"date-parts":[["2020",10,1]]}}},{"id":5211,"uris":["http://zotero.org/users/7402913/items/3YR8YJP9"],"itemData":{"id":5211,"type":"book","event-place":"New York","publisher":"McGraw","publisher-place":"New York","title":"Psychometric Theory 2nd edition","author":[{"family":"Nunnally","given":"J. C."}],"issued":{"date-parts":[["1978"]]}}}],"schema":"https://github.com/citation-style-language/schema/raw/master/csl-citation.json"} </w:instrText>
      </w:r>
      <w:r w:rsidRPr="00494D70">
        <w:rPr>
          <w:rFonts w:ascii="Times New Roman" w:eastAsia="Calibri" w:hAnsi="Times New Roman" w:cs="Times New Roman"/>
          <w:sz w:val="24"/>
          <w:szCs w:val="24"/>
        </w:rPr>
        <w:fldChar w:fldCharType="separate"/>
      </w:r>
      <w:r w:rsidRPr="00494D70">
        <w:rPr>
          <w:rFonts w:ascii="Times New Roman" w:hAnsi="Times New Roman" w:cs="Times New Roman"/>
          <w:sz w:val="24"/>
          <w:szCs w:val="24"/>
        </w:rPr>
        <w:t>(Goodboy &amp; Martin, 2020; Nunnally, 1978)</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 xml:space="preserve">. </w:t>
      </w:r>
    </w:p>
    <w:p w14:paraId="7D7A48A3" w14:textId="77777777" w:rsidR="001E3D02" w:rsidRPr="00494D70" w:rsidRDefault="001E3D02" w:rsidP="001E3D02">
      <w:pPr>
        <w:spacing w:after="0" w:line="480" w:lineRule="auto"/>
        <w:rPr>
          <w:rFonts w:ascii="Times New Roman" w:eastAsia="Times New Roman" w:hAnsi="Times New Roman" w:cs="Times New Roman"/>
          <w:i/>
          <w:iCs/>
          <w:sz w:val="24"/>
          <w:szCs w:val="24"/>
        </w:rPr>
      </w:pPr>
      <w:r w:rsidRPr="00494D70">
        <w:rPr>
          <w:rFonts w:ascii="Times New Roman" w:eastAsia="Times New Roman" w:hAnsi="Times New Roman" w:cs="Times New Roman"/>
          <w:i/>
          <w:iCs/>
          <w:sz w:val="24"/>
          <w:szCs w:val="24"/>
        </w:rPr>
        <w:t>Country-, gender-identity-, sexual-orientation-, and relationship-status-based group comparisons</w:t>
      </w:r>
    </w:p>
    <w:p w14:paraId="4E68EBB7" w14:textId="5741841C" w:rsidR="00603EF5" w:rsidRPr="00494D70" w:rsidRDefault="001E3D02" w:rsidP="001E3D02">
      <w:pPr>
        <w:spacing w:after="0" w:line="480" w:lineRule="auto"/>
        <w:ind w:firstLine="567"/>
        <w:rPr>
          <w:rFonts w:ascii="Times New Roman" w:eastAsia="Calibri" w:hAnsi="Times New Roman" w:cs="Times New Roman"/>
          <w:sz w:val="24"/>
          <w:szCs w:val="24"/>
        </w:rPr>
      </w:pPr>
      <w:r w:rsidRPr="00494D70">
        <w:rPr>
          <w:rFonts w:ascii="Times New Roman" w:eastAsia="Times New Roman" w:hAnsi="Times New Roman" w:cs="Times New Roman"/>
          <w:sz w:val="24"/>
          <w:szCs w:val="24"/>
        </w:rPr>
        <w:t>Lastly, we compared SA data across 33 countries, three categories of gender, eight categories of sexual orientation and two categories of relationship status. Due to deviation from the normal distribution, we used nonparametric tests (Kruskal-</w:t>
      </w:r>
      <w:proofErr w:type="gramStart"/>
      <w:r w:rsidRPr="00494D70">
        <w:rPr>
          <w:rFonts w:ascii="Times New Roman" w:eastAsia="Times New Roman" w:hAnsi="Times New Roman" w:cs="Times New Roman"/>
          <w:sz w:val="24"/>
          <w:szCs w:val="24"/>
        </w:rPr>
        <w:t>Wallis</w:t>
      </w:r>
      <w:proofErr w:type="gramEnd"/>
      <w:r w:rsidRPr="00494D70">
        <w:rPr>
          <w:rFonts w:ascii="Times New Roman" w:eastAsia="Times New Roman" w:hAnsi="Times New Roman" w:cs="Times New Roman"/>
          <w:sz w:val="24"/>
          <w:szCs w:val="24"/>
        </w:rPr>
        <w:t xml:space="preserve"> test and Mann-Whitney U-test) to compare means of the total scale, as well as the three subscales. Eta-squared effect sizes were calculated for each group comparisons, </w:t>
      </w:r>
      <w:r w:rsidRPr="00494D70">
        <w:rPr>
          <w:rFonts w:ascii="Times New Roman" w:eastAsia="Calibri" w:hAnsi="Times New Roman" w:cs="Times New Roman"/>
          <w:sz w:val="24"/>
          <w:szCs w:val="24"/>
        </w:rPr>
        <w:t>using benchmarks defined as small (</w:t>
      </w:r>
      <w:r w:rsidRPr="00494D70">
        <w:rPr>
          <w:rFonts w:ascii="Times New Roman" w:eastAsia="Calibri" w:hAnsi="Times New Roman" w:cs="Times New Roman"/>
          <w:i/>
          <w:iCs/>
          <w:sz w:val="24"/>
          <w:szCs w:val="24"/>
        </w:rPr>
        <w:t>η</w:t>
      </w:r>
      <w:r w:rsidRPr="00494D70">
        <w:rPr>
          <w:rFonts w:ascii="Times New Roman" w:eastAsia="Calibri" w:hAnsi="Times New Roman" w:cs="Times New Roman"/>
          <w:i/>
          <w:iCs/>
          <w:sz w:val="24"/>
          <w:szCs w:val="24"/>
          <w:vertAlign w:val="superscript"/>
        </w:rPr>
        <w:t>2</w:t>
      </w:r>
      <w:r w:rsidRPr="00494D70">
        <w:rPr>
          <w:rFonts w:ascii="Times New Roman" w:eastAsia="Calibri" w:hAnsi="Times New Roman" w:cs="Times New Roman"/>
          <w:sz w:val="24"/>
          <w:szCs w:val="24"/>
        </w:rPr>
        <w:t> = .01), medium (</w:t>
      </w:r>
      <w:r w:rsidRPr="00494D70">
        <w:rPr>
          <w:rFonts w:ascii="Times New Roman" w:eastAsia="Calibri" w:hAnsi="Times New Roman" w:cs="Times New Roman"/>
          <w:i/>
          <w:iCs/>
          <w:sz w:val="24"/>
          <w:szCs w:val="24"/>
        </w:rPr>
        <w:t>η</w:t>
      </w:r>
      <w:r w:rsidRPr="00494D70">
        <w:rPr>
          <w:rFonts w:ascii="Times New Roman" w:eastAsia="Calibri" w:hAnsi="Times New Roman" w:cs="Times New Roman"/>
          <w:i/>
          <w:iCs/>
          <w:sz w:val="24"/>
          <w:szCs w:val="24"/>
          <w:vertAlign w:val="superscript"/>
        </w:rPr>
        <w:t>2</w:t>
      </w:r>
      <w:r w:rsidRPr="00494D70">
        <w:rPr>
          <w:rFonts w:ascii="Times New Roman" w:eastAsia="Calibri" w:hAnsi="Times New Roman" w:cs="Times New Roman"/>
          <w:sz w:val="24"/>
          <w:szCs w:val="24"/>
        </w:rPr>
        <w:t> = .06), and large (</w:t>
      </w:r>
      <w:r w:rsidRPr="00494D70">
        <w:rPr>
          <w:rFonts w:ascii="Times New Roman" w:eastAsia="Calibri" w:hAnsi="Times New Roman" w:cs="Times New Roman"/>
          <w:i/>
          <w:iCs/>
          <w:sz w:val="24"/>
          <w:szCs w:val="24"/>
        </w:rPr>
        <w:t>η</w:t>
      </w:r>
      <w:r w:rsidRPr="00494D70">
        <w:rPr>
          <w:rFonts w:ascii="Times New Roman" w:eastAsia="Calibri" w:hAnsi="Times New Roman" w:cs="Times New Roman"/>
          <w:i/>
          <w:iCs/>
          <w:sz w:val="24"/>
          <w:szCs w:val="24"/>
          <w:vertAlign w:val="superscript"/>
        </w:rPr>
        <w:t>2</w:t>
      </w:r>
      <w:r w:rsidRPr="00494D70">
        <w:rPr>
          <w:rFonts w:ascii="Times New Roman" w:eastAsia="Calibri" w:hAnsi="Times New Roman" w:cs="Times New Roman"/>
          <w:sz w:val="24"/>
          <w:szCs w:val="24"/>
        </w:rPr>
        <w:t xml:space="preserve"> = .14) by </w:t>
      </w:r>
      <w:r w:rsidRPr="00494D70">
        <w:rPr>
          <w:rFonts w:ascii="Times New Roman" w:eastAsia="Calibri" w:hAnsi="Times New Roman" w:cs="Times New Roman"/>
          <w:sz w:val="24"/>
          <w:szCs w:val="24"/>
        </w:rPr>
        <w:fldChar w:fldCharType="begin"/>
      </w:r>
      <w:r w:rsidRPr="00494D70">
        <w:rPr>
          <w:rFonts w:ascii="Times New Roman" w:eastAsia="Calibri" w:hAnsi="Times New Roman" w:cs="Times New Roman"/>
          <w:sz w:val="24"/>
          <w:szCs w:val="24"/>
        </w:rPr>
        <w:instrText xml:space="preserve"> ADDIN ZOTERO_ITEM CSL_CITATION {"citationID":"dkf90X47","properties":{"formattedCitation":"(Cohen, 1988)","plainCitation":"(Cohen, 1988)","dontUpdate":true,"noteIndex":0},"citationItems":[{"id":4299,"uris":["http://zotero.org/users/7402913/items/ARRD34TS"],"itemData":{"id":4299,"type":"book","edition":"2","event-place":"Hillsdale, NJ","ISBN":"978-0-8058-0283-2","publisher":"Erlbaum Associates","publisher-place":"Hillsdale, NJ","title":"Statistical power analysis for the behavioral sciences","author":[{"family":"Cohen","given":"Jacob"}],"issued":{"date-parts":[["1988"]]}}}],"schema":"https://github.com/citation-style-language/schema/raw/master/csl-citation.json"} </w:instrText>
      </w:r>
      <w:r w:rsidRPr="00494D70">
        <w:rPr>
          <w:rFonts w:ascii="Times New Roman" w:eastAsia="Calibri" w:hAnsi="Times New Roman" w:cs="Times New Roman"/>
          <w:sz w:val="24"/>
          <w:szCs w:val="24"/>
        </w:rPr>
        <w:fldChar w:fldCharType="separate"/>
      </w:r>
      <w:r w:rsidRPr="00494D70">
        <w:rPr>
          <w:rFonts w:ascii="Times New Roman" w:hAnsi="Times New Roman" w:cs="Times New Roman"/>
          <w:sz w:val="24"/>
          <w:szCs w:val="24"/>
        </w:rPr>
        <w:t>Cohen (1988)</w:t>
      </w:r>
      <w:r w:rsidRPr="00494D70">
        <w:rPr>
          <w:rFonts w:ascii="Times New Roman" w:eastAsia="Calibri" w:hAnsi="Times New Roman" w:cs="Times New Roman"/>
          <w:sz w:val="24"/>
          <w:szCs w:val="24"/>
        </w:rPr>
        <w:fldChar w:fldCharType="end"/>
      </w:r>
      <w:r w:rsidRPr="00494D70">
        <w:rPr>
          <w:rFonts w:ascii="Times New Roman" w:eastAsia="Calibri" w:hAnsi="Times New Roman" w:cs="Times New Roman"/>
          <w:sz w:val="24"/>
          <w:szCs w:val="24"/>
        </w:rPr>
        <w:t>.</w:t>
      </w:r>
      <w:r w:rsidR="00A662F2" w:rsidRPr="00494D70">
        <w:rPr>
          <w:rFonts w:ascii="Times New Roman" w:eastAsia="Calibri" w:hAnsi="Times New Roman" w:cs="Times New Roman"/>
          <w:sz w:val="24"/>
          <w:szCs w:val="24"/>
        </w:rPr>
        <w:t xml:space="preserve"> </w:t>
      </w:r>
    </w:p>
    <w:p w14:paraId="4369AECE" w14:textId="1980D303" w:rsidR="00EB7283" w:rsidRPr="00494D70" w:rsidRDefault="00EB7283" w:rsidP="000B124E">
      <w:pPr>
        <w:spacing w:after="0" w:line="480" w:lineRule="auto"/>
        <w:ind w:firstLine="567"/>
        <w:jc w:val="center"/>
        <w:rPr>
          <w:rFonts w:ascii="Times New Roman" w:hAnsi="Times New Roman" w:cs="Times New Roman"/>
          <w:sz w:val="24"/>
          <w:szCs w:val="24"/>
        </w:rPr>
      </w:pPr>
      <w:r w:rsidRPr="00494D70">
        <w:rPr>
          <w:rFonts w:ascii="Times New Roman" w:hAnsi="Times New Roman" w:cs="Times New Roman"/>
          <w:b/>
          <w:sz w:val="24"/>
          <w:szCs w:val="24"/>
        </w:rPr>
        <w:t>Results</w:t>
      </w:r>
    </w:p>
    <w:p w14:paraId="75030542" w14:textId="05ABE207" w:rsidR="00EB7283" w:rsidRPr="00494D70" w:rsidRDefault="00EB7283" w:rsidP="000B124E">
      <w:pPr>
        <w:spacing w:after="0" w:line="480" w:lineRule="auto"/>
        <w:rPr>
          <w:rFonts w:ascii="Times New Roman" w:hAnsi="Times New Roman" w:cs="Times New Roman"/>
          <w:i/>
          <w:iCs/>
          <w:sz w:val="24"/>
          <w:szCs w:val="24"/>
        </w:rPr>
      </w:pPr>
      <w:r w:rsidRPr="00494D70">
        <w:rPr>
          <w:rFonts w:ascii="Times New Roman" w:hAnsi="Times New Roman" w:cs="Times New Roman"/>
          <w:i/>
          <w:iCs/>
          <w:sz w:val="24"/>
          <w:szCs w:val="24"/>
        </w:rPr>
        <w:t xml:space="preserve">Descriptive analysis and </w:t>
      </w:r>
      <w:r w:rsidR="00EB438A" w:rsidRPr="00494D70">
        <w:rPr>
          <w:rFonts w:ascii="Times New Roman" w:hAnsi="Times New Roman" w:cs="Times New Roman"/>
          <w:i/>
          <w:iCs/>
          <w:sz w:val="24"/>
          <w:szCs w:val="24"/>
        </w:rPr>
        <w:t xml:space="preserve">handling of </w:t>
      </w:r>
      <w:r w:rsidRPr="00494D70">
        <w:rPr>
          <w:rFonts w:ascii="Times New Roman" w:hAnsi="Times New Roman" w:cs="Times New Roman"/>
          <w:i/>
          <w:iCs/>
          <w:sz w:val="24"/>
          <w:szCs w:val="24"/>
        </w:rPr>
        <w:t xml:space="preserve">missing data </w:t>
      </w:r>
    </w:p>
    <w:p w14:paraId="3610C58E" w14:textId="382C6796" w:rsidR="00A41B8E" w:rsidRPr="00494D70" w:rsidRDefault="00EB7283" w:rsidP="00E00725">
      <w:pPr>
        <w:spacing w:after="0" w:line="480" w:lineRule="auto"/>
        <w:ind w:firstLine="567"/>
        <w:rPr>
          <w:rFonts w:ascii="Times New Roman" w:hAnsi="Times New Roman" w:cs="Times New Roman"/>
          <w:i/>
          <w:iCs/>
          <w:sz w:val="24"/>
          <w:szCs w:val="24"/>
        </w:rPr>
      </w:pPr>
      <w:r w:rsidRPr="00494D70">
        <w:rPr>
          <w:rFonts w:ascii="Times New Roman" w:hAnsi="Times New Roman" w:cs="Times New Roman"/>
          <w:sz w:val="24"/>
          <w:szCs w:val="24"/>
        </w:rPr>
        <w:lastRenderedPageBreak/>
        <w:t>Descriptive information (ranges, means, standard deviations, skewness, and kurtosis) on the items and factors of the SAQ-9 is presented in Table 2. Missing values were present in the analyzed domains</w:t>
      </w:r>
      <w:r w:rsidR="00EB3D66" w:rsidRPr="00494D70">
        <w:rPr>
          <w:rFonts w:ascii="Times New Roman" w:hAnsi="Times New Roman" w:cs="Times New Roman"/>
          <w:sz w:val="24"/>
          <w:szCs w:val="24"/>
        </w:rPr>
        <w:t>,</w:t>
      </w:r>
      <w:r w:rsidRPr="00494D70">
        <w:rPr>
          <w:rFonts w:ascii="Times New Roman" w:hAnsi="Times New Roman" w:cs="Times New Roman"/>
          <w:sz w:val="24"/>
          <w:szCs w:val="24"/>
        </w:rPr>
        <w:t xml:space="preserve"> and</w:t>
      </w:r>
      <w:r w:rsidR="00895EB2" w:rsidRPr="00494D70">
        <w:rPr>
          <w:rFonts w:ascii="Times New Roman" w:hAnsi="Times New Roman" w:cs="Times New Roman"/>
          <w:sz w:val="24"/>
          <w:szCs w:val="24"/>
        </w:rPr>
        <w:t xml:space="preserve">, based on Little’s Missing Completely at Random Test, </w:t>
      </w:r>
      <w:r w:rsidR="00997D57" w:rsidRPr="00494D70">
        <w:rPr>
          <w:rFonts w:ascii="Times New Roman" w:hAnsi="Times New Roman" w:cs="Times New Roman"/>
          <w:sz w:val="24"/>
          <w:szCs w:val="24"/>
        </w:rPr>
        <w:t xml:space="preserve">they </w:t>
      </w:r>
      <w:r w:rsidRPr="00494D70">
        <w:rPr>
          <w:rFonts w:ascii="Times New Roman" w:hAnsi="Times New Roman" w:cs="Times New Roman"/>
          <w:sz w:val="24"/>
          <w:szCs w:val="24"/>
        </w:rPr>
        <w:t xml:space="preserve">were not missing completely </w:t>
      </w:r>
      <w:r w:rsidR="00EB3D66" w:rsidRPr="00494D70">
        <w:rPr>
          <w:rFonts w:ascii="Times New Roman" w:hAnsi="Times New Roman" w:cs="Times New Roman"/>
          <w:sz w:val="24"/>
          <w:szCs w:val="24"/>
        </w:rPr>
        <w:t xml:space="preserve">at </w:t>
      </w:r>
      <w:r w:rsidRPr="00494D70">
        <w:rPr>
          <w:rFonts w:ascii="Times New Roman" w:hAnsi="Times New Roman" w:cs="Times New Roman"/>
          <w:sz w:val="24"/>
          <w:szCs w:val="24"/>
        </w:rPr>
        <w:t xml:space="preserve">random </w:t>
      </w:r>
      <w:r w:rsidR="00603A41" w:rsidRPr="00494D70">
        <w:rPr>
          <w:rFonts w:ascii="Times New Roman" w:hAnsi="Times New Roman" w:cs="Times New Roman"/>
          <w:sz w:val="24"/>
          <w:szCs w:val="24"/>
        </w:rPr>
        <w:t>(</w:t>
      </w:r>
      <w:r w:rsidRPr="00494D70">
        <w:rPr>
          <w:rFonts w:ascii="Times New Roman" w:hAnsi="Times New Roman" w:cs="Times New Roman"/>
          <w:sz w:val="24"/>
          <w:szCs w:val="24"/>
        </w:rPr>
        <w:t>MCAR, χ</w:t>
      </w:r>
      <w:r w:rsidRPr="00494D70">
        <w:rPr>
          <w:rFonts w:ascii="Times New Roman" w:hAnsi="Times New Roman" w:cs="Times New Roman"/>
          <w:sz w:val="24"/>
          <w:szCs w:val="24"/>
          <w:vertAlign w:val="superscript"/>
        </w:rPr>
        <w:t>2</w:t>
      </w:r>
      <w:r w:rsidRPr="00494D70">
        <w:rPr>
          <w:rFonts w:ascii="Times New Roman" w:hAnsi="Times New Roman" w:cs="Times New Roman"/>
          <w:sz w:val="24"/>
          <w:szCs w:val="24"/>
        </w:rPr>
        <w:t xml:space="preserve"> = 391</w:t>
      </w:r>
      <w:r w:rsidR="005A5945" w:rsidRPr="00494D70">
        <w:rPr>
          <w:rFonts w:ascii="Times New Roman" w:hAnsi="Times New Roman" w:cs="Times New Roman"/>
          <w:sz w:val="24"/>
          <w:szCs w:val="24"/>
        </w:rPr>
        <w:t>.</w:t>
      </w:r>
      <w:r w:rsidRPr="00494D70">
        <w:rPr>
          <w:rFonts w:ascii="Times New Roman" w:hAnsi="Times New Roman" w:cs="Times New Roman"/>
          <w:sz w:val="24"/>
          <w:szCs w:val="24"/>
        </w:rPr>
        <w:t xml:space="preserve">409, </w:t>
      </w:r>
      <w:proofErr w:type="spellStart"/>
      <w:r w:rsidRPr="00494D70">
        <w:rPr>
          <w:rFonts w:ascii="Times New Roman" w:hAnsi="Times New Roman" w:cs="Times New Roman"/>
          <w:sz w:val="24"/>
          <w:szCs w:val="24"/>
        </w:rPr>
        <w:t>df</w:t>
      </w:r>
      <w:proofErr w:type="spellEnd"/>
      <w:r w:rsidRPr="00494D70">
        <w:rPr>
          <w:rFonts w:ascii="Times New Roman" w:hAnsi="Times New Roman" w:cs="Times New Roman"/>
          <w:sz w:val="24"/>
          <w:szCs w:val="24"/>
        </w:rPr>
        <w:t xml:space="preserve"> = 312, </w:t>
      </w:r>
      <w:r w:rsidRPr="00494D70">
        <w:rPr>
          <w:rFonts w:ascii="Times New Roman" w:hAnsi="Times New Roman" w:cs="Times New Roman"/>
          <w:i/>
          <w:iCs/>
          <w:sz w:val="24"/>
          <w:szCs w:val="24"/>
        </w:rPr>
        <w:t>p</w:t>
      </w:r>
      <w:r w:rsidRPr="00494D70">
        <w:rPr>
          <w:rFonts w:ascii="Times New Roman" w:hAnsi="Times New Roman" w:cs="Times New Roman"/>
          <w:sz w:val="24"/>
          <w:szCs w:val="24"/>
        </w:rPr>
        <w:t xml:space="preserve"> &lt; .001). </w:t>
      </w:r>
      <w:r w:rsidR="00786265" w:rsidRPr="00494D70">
        <w:rPr>
          <w:rFonts w:ascii="Times New Roman" w:hAnsi="Times New Roman" w:cs="Times New Roman"/>
          <w:sz w:val="24"/>
          <w:szCs w:val="24"/>
        </w:rPr>
        <w:t xml:space="preserve">Although the preregistered analytic plan called for the Full Information Maximum Likelihood (FIML) method to handle missing values, this was not available in </w:t>
      </w:r>
      <w:proofErr w:type="spellStart"/>
      <w:r w:rsidR="00786265" w:rsidRPr="00494D70">
        <w:rPr>
          <w:rFonts w:ascii="Times New Roman" w:hAnsi="Times New Roman" w:cs="Times New Roman"/>
          <w:i/>
          <w:iCs/>
          <w:sz w:val="24"/>
          <w:szCs w:val="24"/>
        </w:rPr>
        <w:t>lavaan</w:t>
      </w:r>
      <w:r w:rsidR="00520414" w:rsidRPr="00494D70">
        <w:rPr>
          <w:rFonts w:ascii="Times New Roman" w:hAnsi="Times New Roman" w:cs="Times New Roman"/>
          <w:sz w:val="24"/>
          <w:szCs w:val="24"/>
        </w:rPr>
        <w:t>’s</w:t>
      </w:r>
      <w:proofErr w:type="spellEnd"/>
      <w:r w:rsidR="00786265" w:rsidRPr="00494D70">
        <w:rPr>
          <w:rFonts w:ascii="Times New Roman" w:hAnsi="Times New Roman" w:cs="Times New Roman"/>
          <w:sz w:val="24"/>
          <w:szCs w:val="24"/>
        </w:rPr>
        <w:t xml:space="preserve"> CFA function </w:t>
      </w:r>
      <w:r w:rsidR="00C85986" w:rsidRPr="00494D70">
        <w:rPr>
          <w:rFonts w:ascii="Times New Roman" w:hAnsi="Times New Roman" w:cs="Times New Roman"/>
          <w:sz w:val="24"/>
          <w:szCs w:val="24"/>
        </w:rPr>
        <w:t>with</w:t>
      </w:r>
      <w:r w:rsidR="00C01287" w:rsidRPr="00494D70">
        <w:rPr>
          <w:rFonts w:ascii="Times New Roman" w:hAnsi="Times New Roman" w:cs="Times New Roman"/>
          <w:sz w:val="24"/>
          <w:szCs w:val="24"/>
        </w:rPr>
        <w:t xml:space="preserve"> the appropriate </w:t>
      </w:r>
      <w:r w:rsidR="00B43BAC" w:rsidRPr="00494D70">
        <w:rPr>
          <w:rFonts w:ascii="Times New Roman" w:hAnsi="Times New Roman" w:cs="Times New Roman"/>
          <w:sz w:val="24"/>
          <w:szCs w:val="24"/>
        </w:rPr>
        <w:t>WLSMV</w:t>
      </w:r>
      <w:r w:rsidR="00786265" w:rsidRPr="00494D70">
        <w:rPr>
          <w:rFonts w:ascii="Times New Roman" w:hAnsi="Times New Roman" w:cs="Times New Roman"/>
          <w:sz w:val="24"/>
          <w:szCs w:val="24"/>
        </w:rPr>
        <w:t xml:space="preserve"> estimator. </w:t>
      </w:r>
      <w:r w:rsidR="004368D4" w:rsidRPr="00494D70">
        <w:rPr>
          <w:rFonts w:ascii="Times New Roman" w:hAnsi="Times New Roman" w:cs="Times New Roman"/>
          <w:sz w:val="24"/>
          <w:szCs w:val="24"/>
        </w:rPr>
        <w:t xml:space="preserve">Instead, we used </w:t>
      </w:r>
      <w:proofErr w:type="spellStart"/>
      <w:r w:rsidR="00363843" w:rsidRPr="00494D70">
        <w:rPr>
          <w:rFonts w:ascii="Times New Roman" w:hAnsi="Times New Roman" w:cs="Times New Roman"/>
          <w:i/>
          <w:iCs/>
          <w:sz w:val="24"/>
          <w:szCs w:val="24"/>
        </w:rPr>
        <w:t>lavaan’s</w:t>
      </w:r>
      <w:proofErr w:type="spellEnd"/>
      <w:r w:rsidR="004368D4" w:rsidRPr="00494D70">
        <w:rPr>
          <w:rFonts w:ascii="Times New Roman" w:hAnsi="Times New Roman" w:cs="Times New Roman"/>
          <w:sz w:val="24"/>
          <w:szCs w:val="24"/>
        </w:rPr>
        <w:t xml:space="preserve"> default listwise deletion method,</w:t>
      </w:r>
      <w:r w:rsidRPr="00494D70">
        <w:rPr>
          <w:rFonts w:ascii="Times New Roman" w:hAnsi="Times New Roman" w:cs="Times New Roman"/>
          <w:sz w:val="24"/>
          <w:szCs w:val="24"/>
        </w:rPr>
        <w:t xml:space="preserve"> </w:t>
      </w:r>
      <w:r w:rsidR="004368D4" w:rsidRPr="00494D70">
        <w:rPr>
          <w:rFonts w:ascii="Times New Roman" w:hAnsi="Times New Roman" w:cs="Times New Roman"/>
          <w:sz w:val="24"/>
          <w:szCs w:val="24"/>
        </w:rPr>
        <w:t xml:space="preserve">as </w:t>
      </w:r>
      <w:r w:rsidRPr="00494D70">
        <w:rPr>
          <w:rFonts w:ascii="Times New Roman" w:hAnsi="Times New Roman" w:cs="Times New Roman"/>
          <w:sz w:val="24"/>
          <w:szCs w:val="24"/>
        </w:rPr>
        <w:t>the rate of missing data was negligible (0-1%)</w:t>
      </w:r>
      <w:r w:rsidR="00E16EE4" w:rsidRPr="00494D70">
        <w:rPr>
          <w:rFonts w:ascii="Times New Roman" w:hAnsi="Times New Roman" w:cs="Times New Roman"/>
          <w:sz w:val="24"/>
          <w:szCs w:val="24"/>
        </w:rPr>
        <w:t>.</w:t>
      </w:r>
      <w:r w:rsidR="00DA0959" w:rsidRPr="00494D70">
        <w:rPr>
          <w:rFonts w:ascii="Times New Roman" w:hAnsi="Times New Roman" w:cs="Times New Roman"/>
          <w:sz w:val="24"/>
          <w:szCs w:val="24"/>
        </w:rPr>
        <w:t xml:space="preserve"> All </w:t>
      </w:r>
      <w:r w:rsidR="007C1787" w:rsidRPr="00494D70">
        <w:rPr>
          <w:rFonts w:ascii="Times New Roman" w:hAnsi="Times New Roman" w:cs="Times New Roman"/>
          <w:sz w:val="24"/>
          <w:szCs w:val="24"/>
        </w:rPr>
        <w:t xml:space="preserve">possible response levels were endorsed on all nine items of the SAQ-9. </w:t>
      </w:r>
    </w:p>
    <w:p w14:paraId="2A8F1704" w14:textId="4AD3AFEC" w:rsidR="00EB7283" w:rsidRPr="00494D70" w:rsidRDefault="00EB7283" w:rsidP="000B124E">
      <w:pPr>
        <w:spacing w:after="0" w:line="480" w:lineRule="auto"/>
        <w:rPr>
          <w:rFonts w:ascii="Times New Roman" w:hAnsi="Times New Roman" w:cs="Times New Roman"/>
          <w:i/>
          <w:iCs/>
          <w:sz w:val="24"/>
          <w:szCs w:val="24"/>
        </w:rPr>
      </w:pPr>
      <w:r w:rsidRPr="00494D70">
        <w:rPr>
          <w:rFonts w:ascii="Times New Roman" w:hAnsi="Times New Roman" w:cs="Times New Roman"/>
          <w:i/>
          <w:iCs/>
          <w:sz w:val="24"/>
          <w:szCs w:val="24"/>
        </w:rPr>
        <w:t>Structural validity</w:t>
      </w:r>
    </w:p>
    <w:p w14:paraId="1C718A4F" w14:textId="5E27B2D8" w:rsidR="00A41B8E" w:rsidRPr="00494D70" w:rsidRDefault="00EB7283" w:rsidP="00E00725">
      <w:pPr>
        <w:spacing w:after="0" w:line="480" w:lineRule="auto"/>
        <w:ind w:firstLine="567"/>
        <w:rPr>
          <w:rFonts w:ascii="Times New Roman" w:hAnsi="Times New Roman" w:cs="Times New Roman"/>
          <w:i/>
          <w:iCs/>
          <w:sz w:val="24"/>
          <w:szCs w:val="24"/>
        </w:rPr>
      </w:pPr>
      <w:bookmarkStart w:id="1" w:name="_Hlk119492688"/>
      <w:r w:rsidRPr="00494D70">
        <w:rPr>
          <w:rFonts w:ascii="Times New Roman" w:hAnsi="Times New Roman" w:cs="Times New Roman"/>
          <w:sz w:val="24"/>
          <w:szCs w:val="24"/>
        </w:rPr>
        <w:t xml:space="preserve">The SAQ was </w:t>
      </w:r>
      <w:r w:rsidR="002E4EF6" w:rsidRPr="00494D70">
        <w:rPr>
          <w:rFonts w:ascii="Times New Roman" w:hAnsi="Times New Roman" w:cs="Times New Roman"/>
          <w:sz w:val="24"/>
          <w:szCs w:val="24"/>
        </w:rPr>
        <w:t>originally found</w:t>
      </w:r>
      <w:r w:rsidRPr="00494D70">
        <w:rPr>
          <w:rFonts w:ascii="Times New Roman" w:hAnsi="Times New Roman" w:cs="Times New Roman"/>
          <w:sz w:val="24"/>
          <w:szCs w:val="24"/>
        </w:rPr>
        <w:t xml:space="preserve"> to be a three-factor scale </w:t>
      </w:r>
      <w:r w:rsidRPr="00494D70">
        <w:rPr>
          <w:rFonts w:ascii="Times New Roman" w:hAnsi="Times New Roman" w:cs="Times New Roman"/>
          <w:sz w:val="24"/>
          <w:szCs w:val="24"/>
        </w:rPr>
        <w:fldChar w:fldCharType="begin"/>
      </w:r>
      <w:r w:rsidR="000B7012" w:rsidRPr="00494D70">
        <w:rPr>
          <w:rFonts w:ascii="Times New Roman" w:hAnsi="Times New Roman" w:cs="Times New Roman"/>
          <w:sz w:val="24"/>
          <w:szCs w:val="24"/>
        </w:rPr>
        <w:instrText xml:space="preserve"> ADDIN ZOTERO_ITEM CSL_CITATION {"citationID":"6hdvWC10","properties":{"formattedCitation":"(Loshek &amp; Terrell, 2015)","plainCitation":"(Loshek &amp; Terrell, 2015)","noteIndex":0},"citationItems":[{"id":3118,"uris":["http://zotero.org/users/7402913/items/CJJXYKMQ"],"itemData":{"id":3118,"type":"article-journal","abstract":"Sexual assertiveness has been defined in a number of ways by many researchers, with different aspects of sexual assertiveness emphasized in different measures. Most previous measures have included condom insistence as an important aspect of sexual assertiveness, but this may not translate well to women at all life stages or in varied types of relationships. The goal of the current study was to develop a comprehensive measure of sexual assertiveness that encompasses the aspects of sexual assertiveness that have been emphasized by previous researchers, with the exception of condom insistence. Items were generated based on previous measures and definitions, and an exploratory factor analysis was conducted (Study 1) to better understand the dimensions of sexual assertiveness. The proposed scale was revised and further refined using both exploratory factor analysis and confirmatory factor analysis in Study 2. The final scale consisted of 18 items that seem to capture three dimensions of sexual assertiveness: the ability to initiate and communicate about desired sex, the ability to refuse unwanted sex, and the ability to communicate about sexual history and risk. Model fit indices indicate that this three-factor solution fits the data well. Implications and suggestions for future research are discussed.","container-title":"Journal of Sex Research","DOI":"10.1080/00224499.2014.944970","ISSN":"1559-8519","issue":"9","journalAbbreviation":"J Sex Res","language":"eng","note":"PMID: 25211014","page":"1017-1027","source":"PubMed","title":"The Development of the Sexual Assertiveness Questionnaire (SAQ): A Comprehensive Measure of Sexual Assertiveness for Women","title-short":"The Development of the Sexual Assertiveness Questionnaire (SAQ)","volume":"52","author":[{"family":"Loshek","given":"Eevett"},{"family":"Terrell","given":"Heather K."}],"issued":{"date-parts":[["2015"]]}}}],"schema":"https://github.com/citation-style-language/schema/raw/master/csl-citation.json"} </w:instrText>
      </w:r>
      <w:r w:rsidRPr="00494D70">
        <w:rPr>
          <w:rFonts w:ascii="Times New Roman" w:hAnsi="Times New Roman" w:cs="Times New Roman"/>
          <w:sz w:val="24"/>
          <w:szCs w:val="24"/>
        </w:rPr>
        <w:fldChar w:fldCharType="separate"/>
      </w:r>
      <w:r w:rsidR="00242995" w:rsidRPr="00494D70">
        <w:rPr>
          <w:rFonts w:ascii="Times New Roman" w:hAnsi="Times New Roman" w:cs="Times New Roman"/>
          <w:sz w:val="24"/>
        </w:rPr>
        <w:t>(Loshek &amp; Terrell, 2015)</w:t>
      </w:r>
      <w:r w:rsidRPr="00494D70">
        <w:rPr>
          <w:rFonts w:ascii="Times New Roman" w:hAnsi="Times New Roman" w:cs="Times New Roman"/>
          <w:sz w:val="24"/>
          <w:szCs w:val="24"/>
        </w:rPr>
        <w:fldChar w:fldCharType="end"/>
      </w:r>
      <w:bookmarkEnd w:id="1"/>
      <w:r w:rsidRPr="00494D70">
        <w:rPr>
          <w:rFonts w:ascii="Times New Roman" w:hAnsi="Times New Roman" w:cs="Times New Roman"/>
          <w:sz w:val="24"/>
          <w:szCs w:val="24"/>
        </w:rPr>
        <w:t xml:space="preserve">, and the shortened version was expected to keep </w:t>
      </w:r>
      <w:r w:rsidR="002E4EF6" w:rsidRPr="00494D70">
        <w:rPr>
          <w:rFonts w:ascii="Times New Roman" w:hAnsi="Times New Roman" w:cs="Times New Roman"/>
          <w:sz w:val="24"/>
          <w:szCs w:val="24"/>
        </w:rPr>
        <w:t xml:space="preserve">this </w:t>
      </w:r>
      <w:r w:rsidRPr="00494D70">
        <w:rPr>
          <w:rFonts w:ascii="Times New Roman" w:hAnsi="Times New Roman" w:cs="Times New Roman"/>
          <w:sz w:val="24"/>
          <w:szCs w:val="24"/>
        </w:rPr>
        <w:t>structure</w:t>
      </w:r>
      <w:r w:rsidR="004F4891" w:rsidRPr="00494D70">
        <w:rPr>
          <w:rFonts w:ascii="Times New Roman" w:hAnsi="Times New Roman" w:cs="Times New Roman"/>
          <w:sz w:val="24"/>
          <w:szCs w:val="24"/>
        </w:rPr>
        <w:t>.</w:t>
      </w:r>
      <w:r w:rsidRPr="00494D70">
        <w:rPr>
          <w:rFonts w:ascii="Times New Roman" w:hAnsi="Times New Roman" w:cs="Times New Roman"/>
          <w:sz w:val="24"/>
          <w:szCs w:val="24"/>
        </w:rPr>
        <w:t xml:space="preserve"> </w:t>
      </w:r>
      <w:r w:rsidR="00384407" w:rsidRPr="00494D70">
        <w:rPr>
          <w:rFonts w:ascii="Times New Roman" w:hAnsi="Times New Roman" w:cs="Times New Roman"/>
          <w:sz w:val="24"/>
          <w:szCs w:val="24"/>
        </w:rPr>
        <w:t>Therefore,</w:t>
      </w:r>
      <w:r w:rsidRPr="00494D70">
        <w:rPr>
          <w:rFonts w:ascii="Times New Roman" w:hAnsi="Times New Roman" w:cs="Times New Roman"/>
          <w:sz w:val="24"/>
          <w:szCs w:val="24"/>
        </w:rPr>
        <w:t xml:space="preserve"> a first-order, three-factor model was tested on the total sample. The CFA </w:t>
      </w:r>
      <w:r w:rsidR="0021101D" w:rsidRPr="00494D70">
        <w:rPr>
          <w:rFonts w:ascii="Times New Roman" w:hAnsi="Times New Roman" w:cs="Times New Roman"/>
          <w:sz w:val="24"/>
          <w:szCs w:val="24"/>
        </w:rPr>
        <w:t>demonstrated</w:t>
      </w:r>
      <w:r w:rsidRPr="00494D70">
        <w:rPr>
          <w:rFonts w:ascii="Times New Roman" w:hAnsi="Times New Roman" w:cs="Times New Roman"/>
          <w:sz w:val="24"/>
          <w:szCs w:val="24"/>
        </w:rPr>
        <w:t xml:space="preserve"> an excellent model fit (CFI</w:t>
      </w:r>
      <w:r w:rsidR="00D46DFF" w:rsidRPr="00494D70">
        <w:rPr>
          <w:rFonts w:ascii="Times New Roman" w:hAnsi="Times New Roman" w:cs="Times New Roman"/>
          <w:sz w:val="24"/>
          <w:szCs w:val="24"/>
        </w:rPr>
        <w:t xml:space="preserve"> </w:t>
      </w:r>
      <w:r w:rsidRPr="00494D70">
        <w:rPr>
          <w:rFonts w:ascii="Times New Roman" w:hAnsi="Times New Roman" w:cs="Times New Roman"/>
          <w:sz w:val="24"/>
          <w:szCs w:val="24"/>
        </w:rPr>
        <w:t>=</w:t>
      </w:r>
      <w:r w:rsidR="00D46DFF" w:rsidRPr="00494D70">
        <w:rPr>
          <w:rFonts w:ascii="Times New Roman" w:hAnsi="Times New Roman" w:cs="Times New Roman"/>
          <w:sz w:val="24"/>
          <w:szCs w:val="24"/>
        </w:rPr>
        <w:t xml:space="preserve"> </w:t>
      </w:r>
      <w:r w:rsidRPr="00494D70">
        <w:rPr>
          <w:rFonts w:ascii="Times New Roman" w:hAnsi="Times New Roman" w:cs="Times New Roman"/>
          <w:sz w:val="24"/>
          <w:szCs w:val="24"/>
        </w:rPr>
        <w:t>.996, TLI</w:t>
      </w:r>
      <w:r w:rsidR="00D04BFA" w:rsidRPr="00494D70">
        <w:rPr>
          <w:rFonts w:ascii="Times New Roman" w:hAnsi="Times New Roman" w:cs="Times New Roman"/>
          <w:sz w:val="24"/>
          <w:szCs w:val="24"/>
        </w:rPr>
        <w:t xml:space="preserve"> </w:t>
      </w:r>
      <w:r w:rsidRPr="00494D70">
        <w:rPr>
          <w:rFonts w:ascii="Times New Roman" w:hAnsi="Times New Roman" w:cs="Times New Roman"/>
          <w:sz w:val="24"/>
          <w:szCs w:val="24"/>
        </w:rPr>
        <w:t>=</w:t>
      </w:r>
      <w:r w:rsidR="00D04BFA" w:rsidRPr="00494D70">
        <w:rPr>
          <w:rFonts w:ascii="Times New Roman" w:hAnsi="Times New Roman" w:cs="Times New Roman"/>
          <w:sz w:val="24"/>
          <w:szCs w:val="24"/>
        </w:rPr>
        <w:t xml:space="preserve"> </w:t>
      </w:r>
      <w:r w:rsidRPr="00494D70">
        <w:rPr>
          <w:rFonts w:ascii="Times New Roman" w:hAnsi="Times New Roman" w:cs="Times New Roman"/>
          <w:sz w:val="24"/>
          <w:szCs w:val="24"/>
        </w:rPr>
        <w:t>.994, RMSEA</w:t>
      </w:r>
      <w:r w:rsidR="00D46DFF" w:rsidRPr="00494D70">
        <w:rPr>
          <w:rFonts w:ascii="Times New Roman" w:hAnsi="Times New Roman" w:cs="Times New Roman"/>
          <w:sz w:val="24"/>
          <w:szCs w:val="24"/>
        </w:rPr>
        <w:t xml:space="preserve"> </w:t>
      </w:r>
      <w:r w:rsidRPr="00494D70">
        <w:rPr>
          <w:rFonts w:ascii="Times New Roman" w:hAnsi="Times New Roman" w:cs="Times New Roman"/>
          <w:sz w:val="24"/>
          <w:szCs w:val="24"/>
        </w:rPr>
        <w:t>=</w:t>
      </w:r>
      <w:r w:rsidR="00D46DFF" w:rsidRPr="00494D70">
        <w:rPr>
          <w:rFonts w:ascii="Times New Roman" w:hAnsi="Times New Roman" w:cs="Times New Roman"/>
          <w:sz w:val="24"/>
          <w:szCs w:val="24"/>
        </w:rPr>
        <w:t xml:space="preserve"> </w:t>
      </w:r>
      <w:r w:rsidRPr="00494D70">
        <w:rPr>
          <w:rFonts w:ascii="Times New Roman" w:hAnsi="Times New Roman" w:cs="Times New Roman"/>
          <w:sz w:val="24"/>
          <w:szCs w:val="24"/>
        </w:rPr>
        <w:t xml:space="preserve">.025 </w:t>
      </w:r>
      <w:r w:rsidRPr="00494D70">
        <w:rPr>
          <w:rFonts w:ascii="Times New Roman" w:eastAsia="Times New Roman" w:hAnsi="Times New Roman" w:cs="Times New Roman"/>
          <w:sz w:val="24"/>
          <w:szCs w:val="24"/>
        </w:rPr>
        <w:t xml:space="preserve">[90 % CI = .023 to .067]). Factor loadings </w:t>
      </w:r>
      <w:r w:rsidR="004F4891" w:rsidRPr="00494D70">
        <w:rPr>
          <w:rFonts w:ascii="Times New Roman" w:eastAsia="Times New Roman" w:hAnsi="Times New Roman" w:cs="Times New Roman"/>
          <w:sz w:val="24"/>
          <w:szCs w:val="24"/>
        </w:rPr>
        <w:t xml:space="preserve">ranged </w:t>
      </w:r>
      <w:r w:rsidRPr="00494D70">
        <w:rPr>
          <w:rFonts w:ascii="Times New Roman" w:eastAsia="Times New Roman" w:hAnsi="Times New Roman" w:cs="Times New Roman"/>
          <w:sz w:val="24"/>
          <w:szCs w:val="24"/>
        </w:rPr>
        <w:t xml:space="preserve">between .75 and .85, except for one item in the </w:t>
      </w:r>
      <w:r w:rsidRPr="00494D70">
        <w:rPr>
          <w:rFonts w:ascii="Times New Roman" w:eastAsia="Times New Roman" w:hAnsi="Times New Roman" w:cs="Times New Roman"/>
          <w:i/>
          <w:iCs/>
          <w:sz w:val="24"/>
          <w:szCs w:val="24"/>
        </w:rPr>
        <w:t>Refusal</w:t>
      </w:r>
      <w:r w:rsidRPr="00494D70">
        <w:rPr>
          <w:rFonts w:ascii="Times New Roman" w:eastAsia="Times New Roman" w:hAnsi="Times New Roman" w:cs="Times New Roman"/>
          <w:sz w:val="24"/>
          <w:szCs w:val="24"/>
        </w:rPr>
        <w:t xml:space="preserve"> dimension (i.e.</w:t>
      </w:r>
      <w:r w:rsidR="004F4891" w:rsidRPr="00494D70">
        <w:rPr>
          <w:rFonts w:ascii="Times New Roman" w:eastAsia="Times New Roman" w:hAnsi="Times New Roman" w:cs="Times New Roman"/>
          <w:sz w:val="24"/>
          <w:szCs w:val="24"/>
        </w:rPr>
        <w:t>,</w:t>
      </w:r>
      <w:r w:rsidRPr="00494D70">
        <w:rPr>
          <w:rFonts w:ascii="Times New Roman" w:eastAsia="Times New Roman" w:hAnsi="Times New Roman" w:cs="Times New Roman"/>
          <w:sz w:val="24"/>
          <w:szCs w:val="24"/>
        </w:rPr>
        <w:t xml:space="preserve"> </w:t>
      </w:r>
      <w:r w:rsidRPr="00494D70">
        <w:rPr>
          <w:rFonts w:ascii="Times New Roman" w:eastAsia="Times New Roman" w:hAnsi="Times New Roman" w:cs="Times New Roman"/>
          <w:i/>
          <w:iCs/>
          <w:sz w:val="24"/>
          <w:szCs w:val="24"/>
        </w:rPr>
        <w:t>I find myself having sex when I do not really want it.</w:t>
      </w:r>
      <w:r w:rsidRPr="00494D70">
        <w:rPr>
          <w:rFonts w:ascii="Times New Roman" w:eastAsia="Times New Roman" w:hAnsi="Times New Roman" w:cs="Times New Roman"/>
          <w:sz w:val="24"/>
          <w:szCs w:val="24"/>
        </w:rPr>
        <w:t>) which had a factor loading of .45,</w:t>
      </w:r>
      <w:r w:rsidR="009B1945" w:rsidRPr="00494D70">
        <w:rPr>
          <w:rFonts w:ascii="Times New Roman" w:eastAsia="Times New Roman" w:hAnsi="Times New Roman" w:cs="Times New Roman"/>
          <w:sz w:val="24"/>
          <w:szCs w:val="24"/>
        </w:rPr>
        <w:t xml:space="preserve"> </w:t>
      </w:r>
      <w:r w:rsidR="002E7BD2" w:rsidRPr="00494D70">
        <w:rPr>
          <w:rFonts w:ascii="Times New Roman" w:eastAsia="Times New Roman" w:hAnsi="Times New Roman" w:cs="Times New Roman"/>
          <w:sz w:val="24"/>
          <w:szCs w:val="24"/>
        </w:rPr>
        <w:t>the lower threshold of acceptable factor loading</w:t>
      </w:r>
      <w:r w:rsidR="007A59B2" w:rsidRPr="00494D70">
        <w:rPr>
          <w:rFonts w:ascii="Times New Roman" w:eastAsia="Times New Roman" w:hAnsi="Times New Roman" w:cs="Times New Roman"/>
          <w:sz w:val="24"/>
          <w:szCs w:val="24"/>
        </w:rPr>
        <w:t xml:space="preserve">s based on </w:t>
      </w:r>
      <w:r w:rsidR="00E91406"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{"citationID":"xNC69xSZ","properties":{"formattedCitation":"(Comrey &amp; Lee, 1992)","plainCitation":"(Comrey &amp; Lee, 1992)","dontUpdate":true,"noteIndex":0},"citationItems":[{"id":5183,"uris":["http://zotero.org/users/7402913/items/5DT46LAN"],"itemData":{"id":5183,"type":"book","abstract":"The goal of this book is to foster a basic understanding of factor analytic techniques so that readers can use them in their own research and critically evaluate their use by other researchers. Both the underlying theory and correct application are emphasized. The theory is presented through the mathematical basis of the most common factor analytic models and several methods used in factor analysis. On the application side, considerable attention is given to the extraction problem, the rotation problem, and the interpretation of factor analytic results. Hence, readers are given a background of understanding in the the theory underlying factor analysis and then taken through the steps in executing a proper analysis -- from the initial problem of design through choice of correlation coefficient, factor extraction, factor rotation, factor interpretation, and writing up results.   This revised edition includes introductions to newer methods -- such as confirmatory factor analysis and structural equation modeling -- that have revolutionized factor analysis in recent years. To help remove some of the mystery underlying these newer, more complex methods, the introductory examples utilize EQS and LISREL. Updated material relating to the validation of the Comrey Personality Scales also has been added. Finally, program disks for running factor analyses on either an IBM-compatible PC or a mainframe with FORTRAN capabilities are available. The intended audience for this volume includes talented but mathematically unsophisticated advanced undergraduates, graduate students, and research workers seeking to acquire a basic understanding of the principles supporting factor analysis.   Disks are available in 5.25\" and 3.5\" formats for both mainframe programs written in Fortran and IBM PCs and compatibles running a math co-processor.","edition":"2","event-place":"New York","ISBN":"978-1-315-82750-6","note":"DOI: 10.4324/9781315827506","number-of-pages":"442","publisher":"Psychology Press","publisher-place":"New York","title":"A First Course in Factor Analysis","author":[{"family":"Comrey","given":"Andrew L."},{"family":"Lee","given":"Howard B."}],"issued":{"date-parts":[["1992"]]}}}],"schema":"https://github.com/citation-style-language/schema/raw/master/csl-citation.json"} </w:instrText>
      </w:r>
      <w:r w:rsidR="00E91406" w:rsidRPr="00494D70">
        <w:rPr>
          <w:rFonts w:ascii="Times New Roman" w:eastAsia="Times New Roman" w:hAnsi="Times New Roman" w:cs="Times New Roman"/>
          <w:sz w:val="24"/>
          <w:szCs w:val="24"/>
        </w:rPr>
        <w:fldChar w:fldCharType="separate"/>
      </w:r>
      <w:r w:rsidR="00E91406" w:rsidRPr="00494D70">
        <w:rPr>
          <w:rFonts w:ascii="Times New Roman" w:hAnsi="Times New Roman" w:cs="Times New Roman"/>
          <w:sz w:val="24"/>
        </w:rPr>
        <w:t xml:space="preserve">Comrey </w:t>
      </w:r>
      <w:r w:rsidR="00D45EE4" w:rsidRPr="00494D70">
        <w:rPr>
          <w:rFonts w:ascii="Times New Roman" w:hAnsi="Times New Roman" w:cs="Times New Roman"/>
          <w:sz w:val="24"/>
        </w:rPr>
        <w:t>and</w:t>
      </w:r>
      <w:r w:rsidR="00E91406" w:rsidRPr="00494D70">
        <w:rPr>
          <w:rFonts w:ascii="Times New Roman" w:hAnsi="Times New Roman" w:cs="Times New Roman"/>
          <w:sz w:val="24"/>
        </w:rPr>
        <w:t xml:space="preserve"> Lee</w:t>
      </w:r>
      <w:r w:rsidR="00653138" w:rsidRPr="00494D70">
        <w:rPr>
          <w:rFonts w:ascii="Times New Roman" w:hAnsi="Times New Roman" w:cs="Times New Roman"/>
          <w:sz w:val="24"/>
        </w:rPr>
        <w:t xml:space="preserve"> (</w:t>
      </w:r>
      <w:r w:rsidR="00E91406" w:rsidRPr="00494D70">
        <w:rPr>
          <w:rFonts w:ascii="Times New Roman" w:hAnsi="Times New Roman" w:cs="Times New Roman"/>
          <w:sz w:val="24"/>
        </w:rPr>
        <w:t>1992)</w:t>
      </w:r>
      <w:r w:rsidR="00E91406" w:rsidRPr="00494D70">
        <w:rPr>
          <w:rFonts w:ascii="Times New Roman" w:eastAsia="Times New Roman" w:hAnsi="Times New Roman" w:cs="Times New Roman"/>
          <w:sz w:val="24"/>
          <w:szCs w:val="24"/>
        </w:rPr>
        <w:fldChar w:fldCharType="end"/>
      </w:r>
      <w:r w:rsidRPr="00494D70">
        <w:rPr>
          <w:rFonts w:ascii="Times New Roman" w:eastAsia="Times New Roman" w:hAnsi="Times New Roman" w:cs="Times New Roman"/>
          <w:sz w:val="24"/>
          <w:szCs w:val="24"/>
        </w:rPr>
        <w:t xml:space="preserve">. Descriptive data of the items, standardized factor loadings, and inter-factor correlations are reported in Table 3. </w:t>
      </w:r>
    </w:p>
    <w:p w14:paraId="21D1ADEB" w14:textId="7B6357C2" w:rsidR="00EB7283" w:rsidRPr="00494D70" w:rsidRDefault="00EB7283" w:rsidP="000B124E">
      <w:pPr>
        <w:spacing w:after="0" w:line="480" w:lineRule="auto"/>
        <w:rPr>
          <w:rFonts w:ascii="Times New Roman" w:hAnsi="Times New Roman" w:cs="Times New Roman"/>
          <w:i/>
          <w:iCs/>
          <w:sz w:val="24"/>
          <w:szCs w:val="24"/>
        </w:rPr>
      </w:pPr>
      <w:r w:rsidRPr="00494D70">
        <w:rPr>
          <w:rFonts w:ascii="Times New Roman" w:hAnsi="Times New Roman" w:cs="Times New Roman"/>
          <w:i/>
          <w:iCs/>
          <w:sz w:val="24"/>
          <w:szCs w:val="24"/>
        </w:rPr>
        <w:t xml:space="preserve">Measurement invariance </w:t>
      </w:r>
      <w:r w:rsidR="00EB3D66" w:rsidRPr="00494D70">
        <w:rPr>
          <w:rFonts w:ascii="Times New Roman" w:hAnsi="Times New Roman" w:cs="Times New Roman"/>
          <w:i/>
          <w:iCs/>
          <w:sz w:val="24"/>
          <w:szCs w:val="24"/>
        </w:rPr>
        <w:t xml:space="preserve">tests </w:t>
      </w:r>
      <w:r w:rsidRPr="00494D70">
        <w:rPr>
          <w:rFonts w:ascii="Times New Roman" w:hAnsi="Times New Roman" w:cs="Times New Roman"/>
          <w:i/>
          <w:iCs/>
          <w:sz w:val="24"/>
          <w:szCs w:val="24"/>
        </w:rPr>
        <w:t xml:space="preserve">across languages, countries, genders, sexual </w:t>
      </w:r>
      <w:r w:rsidR="00066106" w:rsidRPr="00494D70">
        <w:rPr>
          <w:rFonts w:ascii="Times New Roman" w:hAnsi="Times New Roman" w:cs="Times New Roman"/>
          <w:i/>
          <w:iCs/>
          <w:sz w:val="24"/>
          <w:szCs w:val="24"/>
        </w:rPr>
        <w:t>orientations,</w:t>
      </w:r>
      <w:r w:rsidRPr="00494D70">
        <w:rPr>
          <w:rFonts w:ascii="Times New Roman" w:hAnsi="Times New Roman" w:cs="Times New Roman"/>
          <w:i/>
          <w:iCs/>
          <w:sz w:val="24"/>
          <w:szCs w:val="24"/>
        </w:rPr>
        <w:t xml:space="preserve"> and </w:t>
      </w:r>
      <w:r w:rsidR="00343CF9" w:rsidRPr="00494D70">
        <w:rPr>
          <w:rFonts w:ascii="Times New Roman" w:hAnsi="Times New Roman" w:cs="Times New Roman"/>
          <w:i/>
          <w:iCs/>
          <w:sz w:val="24"/>
          <w:szCs w:val="24"/>
        </w:rPr>
        <w:t>relationship statuses</w:t>
      </w:r>
    </w:p>
    <w:p w14:paraId="0409C56D" w14:textId="59BE4D0E" w:rsidR="00EB7283" w:rsidRPr="00494D70" w:rsidRDefault="00EB7283" w:rsidP="000B124E">
      <w:pPr>
        <w:spacing w:after="0" w:line="480" w:lineRule="auto"/>
        <w:ind w:firstLine="567"/>
        <w:rPr>
          <w:rFonts w:ascii="Times New Roman" w:hAnsi="Times New Roman" w:cs="Times New Roman"/>
          <w:sz w:val="24"/>
          <w:szCs w:val="24"/>
        </w:rPr>
      </w:pPr>
      <w:r w:rsidRPr="00494D70">
        <w:rPr>
          <w:rFonts w:ascii="Times New Roman" w:hAnsi="Times New Roman" w:cs="Times New Roman"/>
          <w:sz w:val="24"/>
          <w:szCs w:val="24"/>
        </w:rPr>
        <w:t xml:space="preserve">As a first step, </w:t>
      </w:r>
      <w:r w:rsidR="009220FC" w:rsidRPr="00494D70">
        <w:rPr>
          <w:rFonts w:ascii="Times New Roman" w:hAnsi="Times New Roman" w:cs="Times New Roman"/>
          <w:sz w:val="24"/>
          <w:szCs w:val="24"/>
        </w:rPr>
        <w:t>we teste</w:t>
      </w:r>
      <w:r w:rsidR="004F4891" w:rsidRPr="00494D70">
        <w:rPr>
          <w:rFonts w:ascii="Times New Roman" w:hAnsi="Times New Roman" w:cs="Times New Roman"/>
          <w:sz w:val="24"/>
          <w:szCs w:val="24"/>
        </w:rPr>
        <w:t>d</w:t>
      </w:r>
      <w:r w:rsidR="009220FC" w:rsidRPr="00494D70">
        <w:rPr>
          <w:rFonts w:ascii="Times New Roman" w:hAnsi="Times New Roman" w:cs="Times New Roman"/>
          <w:sz w:val="24"/>
          <w:szCs w:val="24"/>
        </w:rPr>
        <w:t xml:space="preserve"> measurement invariance across languages</w:t>
      </w:r>
      <w:r w:rsidR="00A927FE" w:rsidRPr="00494D70">
        <w:rPr>
          <w:rFonts w:ascii="Times New Roman" w:hAnsi="Times New Roman" w:cs="Times New Roman"/>
          <w:sz w:val="24"/>
          <w:szCs w:val="24"/>
        </w:rPr>
        <w:t xml:space="preserve"> (Table S1)</w:t>
      </w:r>
      <w:r w:rsidR="009220FC" w:rsidRPr="00494D70">
        <w:rPr>
          <w:rFonts w:ascii="Times New Roman" w:hAnsi="Times New Roman" w:cs="Times New Roman"/>
          <w:sz w:val="24"/>
          <w:szCs w:val="24"/>
        </w:rPr>
        <w:t xml:space="preserve">. </w:t>
      </w:r>
      <w:r w:rsidR="00987329" w:rsidRPr="00494D70">
        <w:rPr>
          <w:rFonts w:ascii="Times New Roman" w:hAnsi="Times New Roman" w:cs="Times New Roman"/>
          <w:sz w:val="24"/>
          <w:szCs w:val="24"/>
        </w:rPr>
        <w:t xml:space="preserve">Examining the </w:t>
      </w:r>
      <w:r w:rsidRPr="00494D70">
        <w:rPr>
          <w:rFonts w:ascii="Times New Roman" w:hAnsi="Times New Roman" w:cs="Times New Roman"/>
          <w:sz w:val="24"/>
          <w:szCs w:val="24"/>
        </w:rPr>
        <w:t>changes in goodness-of-fit indices</w:t>
      </w:r>
      <w:r w:rsidR="00A279C9" w:rsidRPr="00494D70">
        <w:rPr>
          <w:rFonts w:ascii="Times New Roman" w:hAnsi="Times New Roman" w:cs="Times New Roman"/>
          <w:sz w:val="24"/>
          <w:szCs w:val="24"/>
        </w:rPr>
        <w:t>,</w:t>
      </w:r>
      <w:r w:rsidRPr="00494D70">
        <w:rPr>
          <w:rFonts w:ascii="Times New Roman" w:hAnsi="Times New Roman" w:cs="Times New Roman"/>
          <w:sz w:val="24"/>
          <w:szCs w:val="24"/>
        </w:rPr>
        <w:t xml:space="preserve"> a metric-level invariance</w:t>
      </w:r>
      <w:r w:rsidR="00A279C9" w:rsidRPr="00494D70">
        <w:rPr>
          <w:rFonts w:ascii="Times New Roman" w:hAnsi="Times New Roman" w:cs="Times New Roman"/>
          <w:sz w:val="24"/>
          <w:szCs w:val="24"/>
        </w:rPr>
        <w:t xml:space="preserve"> was achieved</w:t>
      </w:r>
      <w:r w:rsidRPr="00494D70">
        <w:rPr>
          <w:rFonts w:ascii="Times New Roman" w:hAnsi="Times New Roman" w:cs="Times New Roman"/>
          <w:sz w:val="24"/>
          <w:szCs w:val="24"/>
        </w:rPr>
        <w:t xml:space="preserve">. </w:t>
      </w:r>
      <w:r w:rsidR="00526BDE" w:rsidRPr="00494D70">
        <w:rPr>
          <w:rFonts w:ascii="Times New Roman" w:hAnsi="Times New Roman" w:cs="Times New Roman"/>
          <w:sz w:val="24"/>
          <w:szCs w:val="24"/>
        </w:rPr>
        <w:t>Following the preregistered analysis plan, we tested partial scalar invariance.</w:t>
      </w:r>
      <w:r w:rsidR="00396AF1" w:rsidRPr="00494D70">
        <w:rPr>
          <w:rFonts w:ascii="Times New Roman" w:hAnsi="Times New Roman" w:cs="Times New Roman"/>
          <w:sz w:val="24"/>
          <w:szCs w:val="24"/>
        </w:rPr>
        <w:t xml:space="preserve"> Based on the modification indices, we relaxed</w:t>
      </w:r>
      <w:r w:rsidR="00FC176A" w:rsidRPr="00494D70">
        <w:rPr>
          <w:rFonts w:ascii="Times New Roman" w:hAnsi="Times New Roman" w:cs="Times New Roman"/>
          <w:sz w:val="24"/>
          <w:szCs w:val="24"/>
        </w:rPr>
        <w:t xml:space="preserve"> constraints</w:t>
      </w:r>
      <w:r w:rsidR="000F2B08" w:rsidRPr="00494D70">
        <w:rPr>
          <w:rFonts w:ascii="Times New Roman" w:hAnsi="Times New Roman" w:cs="Times New Roman"/>
          <w:sz w:val="24"/>
          <w:szCs w:val="24"/>
        </w:rPr>
        <w:t xml:space="preserve"> of scalar </w:t>
      </w:r>
      <w:r w:rsidR="00444C50" w:rsidRPr="00494D70">
        <w:rPr>
          <w:rFonts w:ascii="Times New Roman" w:hAnsi="Times New Roman" w:cs="Times New Roman"/>
          <w:sz w:val="24"/>
          <w:szCs w:val="24"/>
        </w:rPr>
        <w:t xml:space="preserve">(intercept) </w:t>
      </w:r>
      <w:r w:rsidR="000F2B08" w:rsidRPr="00494D70">
        <w:rPr>
          <w:rFonts w:ascii="Times New Roman" w:hAnsi="Times New Roman" w:cs="Times New Roman"/>
          <w:sz w:val="24"/>
          <w:szCs w:val="24"/>
        </w:rPr>
        <w:t>equivalence</w:t>
      </w:r>
      <w:r w:rsidR="00060FF9" w:rsidRPr="00494D70">
        <w:rPr>
          <w:rFonts w:ascii="Times New Roman" w:hAnsi="Times New Roman" w:cs="Times New Roman"/>
          <w:sz w:val="24"/>
          <w:szCs w:val="24"/>
        </w:rPr>
        <w:t xml:space="preserve"> for item 5</w:t>
      </w:r>
      <w:r w:rsidR="00483485" w:rsidRPr="00494D70">
        <w:rPr>
          <w:rFonts w:ascii="Times New Roman" w:hAnsi="Times New Roman" w:cs="Times New Roman"/>
          <w:sz w:val="24"/>
          <w:szCs w:val="24"/>
        </w:rPr>
        <w:t xml:space="preserve"> </w:t>
      </w:r>
      <w:r w:rsidR="00483485" w:rsidRPr="00494D70">
        <w:rPr>
          <w:rFonts w:ascii="Times New Roman" w:hAnsi="Times New Roman" w:cs="Times New Roman"/>
          <w:sz w:val="24"/>
          <w:szCs w:val="24"/>
        </w:rPr>
        <w:lastRenderedPageBreak/>
        <w:t>(</w:t>
      </w:r>
      <w:r w:rsidR="00483485" w:rsidRPr="00494D70">
        <w:rPr>
          <w:rFonts w:ascii="Times New Roman" w:hAnsi="Times New Roman" w:cs="Times New Roman"/>
          <w:i/>
          <w:iCs/>
          <w:sz w:val="24"/>
          <w:szCs w:val="24"/>
        </w:rPr>
        <w:t>Refusal</w:t>
      </w:r>
      <w:r w:rsidR="00483485" w:rsidRPr="00494D70">
        <w:rPr>
          <w:rFonts w:ascii="Times New Roman" w:hAnsi="Times New Roman" w:cs="Times New Roman"/>
          <w:sz w:val="24"/>
          <w:szCs w:val="24"/>
        </w:rPr>
        <w:t xml:space="preserve"> subscale, </w:t>
      </w:r>
      <w:r w:rsidR="00483485" w:rsidRPr="00494D70">
        <w:rPr>
          <w:rFonts w:ascii="Times New Roman" w:hAnsi="Times New Roman" w:cs="Times New Roman"/>
          <w:i/>
          <w:iCs/>
          <w:sz w:val="24"/>
          <w:szCs w:val="24"/>
        </w:rPr>
        <w:t>I find myself having sex when I do not really want it</w:t>
      </w:r>
      <w:r w:rsidR="00483485" w:rsidRPr="00494D70">
        <w:rPr>
          <w:rFonts w:ascii="Times New Roman" w:hAnsi="Times New Roman" w:cs="Times New Roman"/>
          <w:sz w:val="24"/>
          <w:szCs w:val="24"/>
        </w:rPr>
        <w:t xml:space="preserve">) </w:t>
      </w:r>
      <w:r w:rsidR="002258CD" w:rsidRPr="00494D70">
        <w:rPr>
          <w:rFonts w:ascii="Times New Roman" w:hAnsi="Times New Roman" w:cs="Times New Roman"/>
          <w:sz w:val="24"/>
          <w:szCs w:val="24"/>
        </w:rPr>
        <w:t>in</w:t>
      </w:r>
      <w:r w:rsidR="00060FF9" w:rsidRPr="00494D70">
        <w:rPr>
          <w:rFonts w:ascii="Times New Roman" w:hAnsi="Times New Roman" w:cs="Times New Roman"/>
          <w:sz w:val="24"/>
          <w:szCs w:val="24"/>
        </w:rPr>
        <w:t xml:space="preserve"> the Czech translation</w:t>
      </w:r>
      <w:r w:rsidR="00DF250C" w:rsidRPr="00494D70">
        <w:rPr>
          <w:rFonts w:ascii="Times New Roman" w:hAnsi="Times New Roman" w:cs="Times New Roman"/>
          <w:sz w:val="24"/>
          <w:szCs w:val="24"/>
        </w:rPr>
        <w:t xml:space="preserve"> (MI = </w:t>
      </w:r>
      <w:r w:rsidR="00877684" w:rsidRPr="00494D70">
        <w:rPr>
          <w:rFonts w:ascii="Times New Roman" w:hAnsi="Times New Roman" w:cs="Times New Roman"/>
          <w:sz w:val="24"/>
          <w:szCs w:val="24"/>
        </w:rPr>
        <w:t>1333.983)</w:t>
      </w:r>
      <w:r w:rsidR="002258CD" w:rsidRPr="00494D70">
        <w:rPr>
          <w:rFonts w:ascii="Times New Roman" w:hAnsi="Times New Roman" w:cs="Times New Roman"/>
          <w:sz w:val="24"/>
          <w:szCs w:val="24"/>
        </w:rPr>
        <w:t>.</w:t>
      </w:r>
      <w:r w:rsidR="00581B66" w:rsidRPr="00494D70">
        <w:rPr>
          <w:rFonts w:ascii="Times New Roman" w:hAnsi="Times New Roman" w:cs="Times New Roman"/>
          <w:sz w:val="24"/>
          <w:szCs w:val="24"/>
        </w:rPr>
        <w:t xml:space="preserve"> With the partial scalar invariance, we </w:t>
      </w:r>
      <w:r w:rsidR="001A44EE" w:rsidRPr="00494D70">
        <w:rPr>
          <w:rFonts w:ascii="Times New Roman" w:hAnsi="Times New Roman" w:cs="Times New Roman"/>
          <w:sz w:val="24"/>
          <w:szCs w:val="24"/>
        </w:rPr>
        <w:t xml:space="preserve">achieved residual-level </w:t>
      </w:r>
      <w:r w:rsidR="009F7911" w:rsidRPr="00494D70">
        <w:rPr>
          <w:rFonts w:ascii="Times New Roman" w:hAnsi="Times New Roman" w:cs="Times New Roman"/>
          <w:sz w:val="24"/>
          <w:szCs w:val="24"/>
        </w:rPr>
        <w:t xml:space="preserve">invariance. </w:t>
      </w:r>
    </w:p>
    <w:p w14:paraId="05E78ACB" w14:textId="2B6F93A1" w:rsidR="00EB7283" w:rsidRPr="00494D70" w:rsidRDefault="00EB7283" w:rsidP="000B124E">
      <w:pPr>
        <w:spacing w:after="0" w:line="480" w:lineRule="auto"/>
        <w:ind w:firstLine="567"/>
        <w:rPr>
          <w:rFonts w:ascii="Times New Roman" w:hAnsi="Times New Roman" w:cs="Times New Roman"/>
          <w:sz w:val="24"/>
          <w:szCs w:val="24"/>
        </w:rPr>
      </w:pPr>
      <w:r w:rsidRPr="00494D70">
        <w:rPr>
          <w:rFonts w:ascii="Times New Roman" w:hAnsi="Times New Roman" w:cs="Times New Roman"/>
          <w:sz w:val="24"/>
          <w:szCs w:val="24"/>
        </w:rPr>
        <w:t xml:space="preserve">Second, we examined </w:t>
      </w:r>
      <w:proofErr w:type="gramStart"/>
      <w:r w:rsidRPr="00494D70">
        <w:rPr>
          <w:rFonts w:ascii="Times New Roman" w:hAnsi="Times New Roman" w:cs="Times New Roman"/>
          <w:sz w:val="24"/>
          <w:szCs w:val="24"/>
        </w:rPr>
        <w:t>invariance</w:t>
      </w:r>
      <w:proofErr w:type="gramEnd"/>
      <w:r w:rsidRPr="00494D70">
        <w:rPr>
          <w:rFonts w:ascii="Times New Roman" w:hAnsi="Times New Roman" w:cs="Times New Roman"/>
          <w:sz w:val="24"/>
          <w:szCs w:val="24"/>
        </w:rPr>
        <w:t xml:space="preserve"> </w:t>
      </w:r>
      <w:r w:rsidR="00FB6E6D" w:rsidRPr="00494D70">
        <w:rPr>
          <w:rFonts w:ascii="Times New Roman" w:hAnsi="Times New Roman" w:cs="Times New Roman"/>
          <w:sz w:val="24"/>
          <w:szCs w:val="24"/>
        </w:rPr>
        <w:t>across</w:t>
      </w:r>
      <w:r w:rsidR="00FB1647" w:rsidRPr="00494D70">
        <w:rPr>
          <w:rFonts w:ascii="Times New Roman" w:hAnsi="Times New Roman" w:cs="Times New Roman"/>
          <w:sz w:val="24"/>
          <w:szCs w:val="24"/>
        </w:rPr>
        <w:t xml:space="preserve"> </w:t>
      </w:r>
      <w:r w:rsidRPr="00494D70">
        <w:rPr>
          <w:rFonts w:ascii="Times New Roman" w:hAnsi="Times New Roman" w:cs="Times New Roman"/>
          <w:sz w:val="24"/>
          <w:szCs w:val="24"/>
        </w:rPr>
        <w:t>country-based subgroups</w:t>
      </w:r>
      <w:r w:rsidR="00A927FE" w:rsidRPr="00494D70">
        <w:rPr>
          <w:rFonts w:ascii="Times New Roman" w:hAnsi="Times New Roman" w:cs="Times New Roman"/>
          <w:sz w:val="24"/>
          <w:szCs w:val="24"/>
        </w:rPr>
        <w:t xml:space="preserve"> (Table S2)</w:t>
      </w:r>
      <w:r w:rsidR="00427377" w:rsidRPr="00494D70">
        <w:rPr>
          <w:rFonts w:ascii="Times New Roman" w:hAnsi="Times New Roman" w:cs="Times New Roman"/>
          <w:sz w:val="24"/>
          <w:szCs w:val="24"/>
        </w:rPr>
        <w:t xml:space="preserve">. </w:t>
      </w:r>
      <w:r w:rsidR="001F3F6D" w:rsidRPr="00494D70">
        <w:rPr>
          <w:rFonts w:ascii="Times New Roman" w:hAnsi="Times New Roman" w:cs="Times New Roman"/>
          <w:sz w:val="24"/>
          <w:szCs w:val="24"/>
        </w:rPr>
        <w:t xml:space="preserve">Because </w:t>
      </w:r>
      <w:r w:rsidR="00E21486" w:rsidRPr="00494D70">
        <w:rPr>
          <w:rFonts w:ascii="Times New Roman" w:hAnsi="Times New Roman" w:cs="Times New Roman"/>
          <w:sz w:val="24"/>
          <w:szCs w:val="24"/>
        </w:rPr>
        <w:t xml:space="preserve">we had too many groups to be </w:t>
      </w:r>
      <w:r w:rsidR="004E1E17" w:rsidRPr="00494D70">
        <w:rPr>
          <w:rFonts w:ascii="Times New Roman" w:hAnsi="Times New Roman" w:cs="Times New Roman"/>
          <w:sz w:val="24"/>
          <w:szCs w:val="24"/>
        </w:rPr>
        <w:t xml:space="preserve">included in </w:t>
      </w:r>
      <w:r w:rsidR="00A279C9" w:rsidRPr="00494D70">
        <w:rPr>
          <w:rFonts w:ascii="Times New Roman" w:hAnsi="Times New Roman" w:cs="Times New Roman"/>
          <w:sz w:val="24"/>
          <w:szCs w:val="24"/>
        </w:rPr>
        <w:t xml:space="preserve">one </w:t>
      </w:r>
      <w:r w:rsidR="004E1E17" w:rsidRPr="00494D70">
        <w:rPr>
          <w:rFonts w:ascii="Times New Roman" w:hAnsi="Times New Roman" w:cs="Times New Roman"/>
          <w:sz w:val="24"/>
          <w:szCs w:val="24"/>
        </w:rPr>
        <w:t xml:space="preserve">measurement invariance analysis, </w:t>
      </w:r>
      <w:r w:rsidR="00FB1647" w:rsidRPr="00494D70">
        <w:rPr>
          <w:rFonts w:ascii="Times New Roman" w:hAnsi="Times New Roman" w:cs="Times New Roman"/>
          <w:sz w:val="24"/>
          <w:szCs w:val="24"/>
        </w:rPr>
        <w:t>we</w:t>
      </w:r>
      <w:r w:rsidRPr="00494D70">
        <w:rPr>
          <w:rFonts w:ascii="Times New Roman" w:hAnsi="Times New Roman" w:cs="Times New Roman"/>
          <w:sz w:val="24"/>
          <w:szCs w:val="24"/>
        </w:rPr>
        <w:t xml:space="preserve"> </w:t>
      </w:r>
      <w:r w:rsidR="001F3F6D" w:rsidRPr="00494D70">
        <w:rPr>
          <w:rFonts w:ascii="Times New Roman" w:hAnsi="Times New Roman" w:cs="Times New Roman"/>
          <w:sz w:val="24"/>
          <w:szCs w:val="24"/>
        </w:rPr>
        <w:t>then s</w:t>
      </w:r>
      <w:r w:rsidRPr="00494D70">
        <w:rPr>
          <w:rFonts w:ascii="Times New Roman" w:hAnsi="Times New Roman" w:cs="Times New Roman"/>
          <w:sz w:val="24"/>
          <w:szCs w:val="24"/>
        </w:rPr>
        <w:t xml:space="preserve">plit </w:t>
      </w:r>
      <w:r w:rsidR="00FB1647" w:rsidRPr="00494D70">
        <w:rPr>
          <w:rFonts w:ascii="Times New Roman" w:hAnsi="Times New Roman" w:cs="Times New Roman"/>
          <w:sz w:val="24"/>
          <w:szCs w:val="24"/>
        </w:rPr>
        <w:t xml:space="preserve">them </w:t>
      </w:r>
      <w:r w:rsidRPr="00494D70">
        <w:rPr>
          <w:rFonts w:ascii="Times New Roman" w:hAnsi="Times New Roman" w:cs="Times New Roman"/>
          <w:sz w:val="24"/>
          <w:szCs w:val="24"/>
        </w:rPr>
        <w:t xml:space="preserve">into two random </w:t>
      </w:r>
      <w:r w:rsidR="004E1E17" w:rsidRPr="00494D70">
        <w:rPr>
          <w:rFonts w:ascii="Times New Roman" w:hAnsi="Times New Roman" w:cs="Times New Roman"/>
          <w:sz w:val="24"/>
          <w:szCs w:val="24"/>
        </w:rPr>
        <w:t>sets</w:t>
      </w:r>
      <w:r w:rsidRPr="00494D70">
        <w:rPr>
          <w:rFonts w:ascii="Times New Roman" w:hAnsi="Times New Roman" w:cs="Times New Roman"/>
          <w:sz w:val="24"/>
          <w:szCs w:val="24"/>
        </w:rPr>
        <w:t xml:space="preserve"> based on </w:t>
      </w:r>
      <w:r w:rsidR="00427377" w:rsidRPr="00494D70">
        <w:rPr>
          <w:rFonts w:ascii="Times New Roman" w:hAnsi="Times New Roman" w:cs="Times New Roman"/>
          <w:sz w:val="24"/>
          <w:szCs w:val="24"/>
        </w:rPr>
        <w:t xml:space="preserve">their </w:t>
      </w:r>
      <w:r w:rsidRPr="00494D70">
        <w:rPr>
          <w:rFonts w:ascii="Times New Roman" w:hAnsi="Times New Roman" w:cs="Times New Roman"/>
          <w:sz w:val="24"/>
          <w:szCs w:val="24"/>
        </w:rPr>
        <w:t>alphabetical order</w:t>
      </w:r>
      <w:r w:rsidR="00DE003D" w:rsidRPr="00494D70">
        <w:rPr>
          <w:rFonts w:ascii="Times New Roman" w:hAnsi="Times New Roman" w:cs="Times New Roman"/>
          <w:sz w:val="24"/>
          <w:szCs w:val="24"/>
        </w:rPr>
        <w:t xml:space="preserve"> and we </w:t>
      </w:r>
      <w:r w:rsidR="00A279C9" w:rsidRPr="00494D70">
        <w:rPr>
          <w:rFonts w:ascii="Times New Roman" w:hAnsi="Times New Roman" w:cs="Times New Roman"/>
          <w:sz w:val="24"/>
          <w:szCs w:val="24"/>
        </w:rPr>
        <w:t xml:space="preserve">conducted </w:t>
      </w:r>
      <w:r w:rsidR="00E80F25" w:rsidRPr="00494D70">
        <w:rPr>
          <w:rFonts w:ascii="Times New Roman" w:hAnsi="Times New Roman" w:cs="Times New Roman"/>
          <w:sz w:val="24"/>
          <w:szCs w:val="24"/>
        </w:rPr>
        <w:t xml:space="preserve">two separate </w:t>
      </w:r>
      <w:r w:rsidR="00A279C9" w:rsidRPr="00494D70">
        <w:rPr>
          <w:rFonts w:ascii="Times New Roman" w:hAnsi="Times New Roman" w:cs="Times New Roman"/>
          <w:sz w:val="24"/>
          <w:szCs w:val="24"/>
        </w:rPr>
        <w:t xml:space="preserve">measurement invariance </w:t>
      </w:r>
      <w:r w:rsidR="00540311" w:rsidRPr="00494D70">
        <w:rPr>
          <w:rFonts w:ascii="Times New Roman" w:hAnsi="Times New Roman" w:cs="Times New Roman"/>
          <w:sz w:val="24"/>
          <w:szCs w:val="24"/>
        </w:rPr>
        <w:t>tests</w:t>
      </w:r>
      <w:r w:rsidR="00E80F25" w:rsidRPr="00494D70">
        <w:rPr>
          <w:rFonts w:ascii="Times New Roman" w:hAnsi="Times New Roman" w:cs="Times New Roman"/>
          <w:sz w:val="24"/>
          <w:szCs w:val="24"/>
        </w:rPr>
        <w:t>. A</w:t>
      </w:r>
      <w:r w:rsidRPr="00494D70">
        <w:rPr>
          <w:rFonts w:ascii="Times New Roman" w:hAnsi="Times New Roman" w:cs="Times New Roman"/>
          <w:sz w:val="24"/>
          <w:szCs w:val="24"/>
        </w:rPr>
        <w:t>s a result</w:t>
      </w:r>
      <w:r w:rsidR="00E80F25" w:rsidRPr="00494D70">
        <w:rPr>
          <w:rFonts w:ascii="Times New Roman" w:hAnsi="Times New Roman" w:cs="Times New Roman"/>
          <w:sz w:val="24"/>
          <w:szCs w:val="24"/>
        </w:rPr>
        <w:t>,</w:t>
      </w:r>
      <w:r w:rsidRPr="00494D70">
        <w:rPr>
          <w:rFonts w:ascii="Times New Roman" w:hAnsi="Times New Roman" w:cs="Times New Roman"/>
          <w:sz w:val="24"/>
          <w:szCs w:val="24"/>
        </w:rPr>
        <w:t xml:space="preserve"> metric invariance was established in both </w:t>
      </w:r>
      <w:r w:rsidR="00540311" w:rsidRPr="00494D70">
        <w:rPr>
          <w:rFonts w:ascii="Times New Roman" w:hAnsi="Times New Roman" w:cs="Times New Roman"/>
          <w:sz w:val="24"/>
          <w:szCs w:val="24"/>
        </w:rPr>
        <w:t>sets</w:t>
      </w:r>
      <w:r w:rsidRPr="00494D70">
        <w:rPr>
          <w:rFonts w:ascii="Times New Roman" w:hAnsi="Times New Roman" w:cs="Times New Roman"/>
          <w:sz w:val="24"/>
          <w:szCs w:val="24"/>
        </w:rPr>
        <w:t xml:space="preserve">. </w:t>
      </w:r>
      <w:r w:rsidR="00693D60" w:rsidRPr="00494D70">
        <w:rPr>
          <w:rFonts w:ascii="Times New Roman" w:hAnsi="Times New Roman" w:cs="Times New Roman"/>
          <w:sz w:val="24"/>
          <w:szCs w:val="24"/>
        </w:rPr>
        <w:t xml:space="preserve">Again, based on the modification indices </w:t>
      </w:r>
      <w:r w:rsidR="00D77D59" w:rsidRPr="00494D70">
        <w:rPr>
          <w:rFonts w:ascii="Times New Roman" w:hAnsi="Times New Roman" w:cs="Times New Roman"/>
          <w:sz w:val="24"/>
          <w:szCs w:val="24"/>
        </w:rPr>
        <w:t xml:space="preserve">calculated for each set, we relaxed scalar constraints </w:t>
      </w:r>
      <w:r w:rsidR="00D80032" w:rsidRPr="00494D70">
        <w:rPr>
          <w:rFonts w:ascii="Times New Roman" w:hAnsi="Times New Roman" w:cs="Times New Roman"/>
          <w:sz w:val="24"/>
          <w:szCs w:val="24"/>
        </w:rPr>
        <w:t>for item 5</w:t>
      </w:r>
      <w:r w:rsidR="00444C50" w:rsidRPr="00494D70">
        <w:rPr>
          <w:rFonts w:ascii="Times New Roman" w:hAnsi="Times New Roman" w:cs="Times New Roman"/>
          <w:sz w:val="24"/>
          <w:szCs w:val="24"/>
        </w:rPr>
        <w:t xml:space="preserve"> </w:t>
      </w:r>
      <w:r w:rsidR="00D80032" w:rsidRPr="00494D70">
        <w:rPr>
          <w:rFonts w:ascii="Times New Roman" w:hAnsi="Times New Roman" w:cs="Times New Roman"/>
          <w:sz w:val="24"/>
          <w:szCs w:val="24"/>
        </w:rPr>
        <w:t xml:space="preserve">in the Israeli </w:t>
      </w:r>
      <w:r w:rsidR="00835E22" w:rsidRPr="00494D70">
        <w:rPr>
          <w:rFonts w:ascii="Times New Roman" w:hAnsi="Times New Roman" w:cs="Times New Roman"/>
          <w:sz w:val="24"/>
          <w:szCs w:val="24"/>
        </w:rPr>
        <w:t>(MI</w:t>
      </w:r>
      <w:r w:rsidR="00766071" w:rsidRPr="00494D70">
        <w:rPr>
          <w:rFonts w:ascii="Times New Roman" w:hAnsi="Times New Roman" w:cs="Times New Roman"/>
          <w:sz w:val="24"/>
          <w:szCs w:val="24"/>
        </w:rPr>
        <w:t xml:space="preserve"> = 599.542) </w:t>
      </w:r>
      <w:r w:rsidR="00D80032" w:rsidRPr="00494D70">
        <w:rPr>
          <w:rFonts w:ascii="Times New Roman" w:hAnsi="Times New Roman" w:cs="Times New Roman"/>
          <w:sz w:val="24"/>
          <w:szCs w:val="24"/>
        </w:rPr>
        <w:t>and the Mexican s</w:t>
      </w:r>
      <w:r w:rsidR="00D4553D" w:rsidRPr="00494D70">
        <w:rPr>
          <w:rFonts w:ascii="Times New Roman" w:hAnsi="Times New Roman" w:cs="Times New Roman"/>
          <w:sz w:val="24"/>
          <w:szCs w:val="24"/>
        </w:rPr>
        <w:t>ample</w:t>
      </w:r>
      <w:r w:rsidR="00766071" w:rsidRPr="00494D70">
        <w:rPr>
          <w:rFonts w:ascii="Times New Roman" w:hAnsi="Times New Roman" w:cs="Times New Roman"/>
          <w:sz w:val="24"/>
          <w:szCs w:val="24"/>
        </w:rPr>
        <w:t xml:space="preserve"> (MI = </w:t>
      </w:r>
      <w:r w:rsidR="00B340F9" w:rsidRPr="00494D70">
        <w:rPr>
          <w:rFonts w:ascii="Times New Roman" w:hAnsi="Times New Roman" w:cs="Times New Roman"/>
          <w:sz w:val="24"/>
          <w:szCs w:val="24"/>
        </w:rPr>
        <w:t>757.04)</w:t>
      </w:r>
      <w:r w:rsidR="00820678" w:rsidRPr="00494D70">
        <w:rPr>
          <w:rFonts w:ascii="Times New Roman" w:hAnsi="Times New Roman" w:cs="Times New Roman"/>
          <w:sz w:val="24"/>
          <w:szCs w:val="24"/>
        </w:rPr>
        <w:t xml:space="preserve">. </w:t>
      </w:r>
      <w:r w:rsidR="00526D6E" w:rsidRPr="00494D70">
        <w:rPr>
          <w:rFonts w:ascii="Times New Roman" w:hAnsi="Times New Roman" w:cs="Times New Roman"/>
          <w:sz w:val="24"/>
          <w:szCs w:val="24"/>
        </w:rPr>
        <w:t>Changes in the fit indices were adequate for the partial scalar model</w:t>
      </w:r>
      <w:r w:rsidR="00FB6E6D" w:rsidRPr="00494D70">
        <w:rPr>
          <w:rFonts w:ascii="Times New Roman" w:hAnsi="Times New Roman" w:cs="Times New Roman"/>
          <w:sz w:val="24"/>
          <w:szCs w:val="24"/>
        </w:rPr>
        <w:t>,</w:t>
      </w:r>
      <w:r w:rsidR="0083533B" w:rsidRPr="00494D70">
        <w:rPr>
          <w:rFonts w:ascii="Times New Roman" w:hAnsi="Times New Roman" w:cs="Times New Roman"/>
          <w:sz w:val="24"/>
          <w:szCs w:val="24"/>
        </w:rPr>
        <w:t xml:space="preserve"> and </w:t>
      </w:r>
      <w:r w:rsidR="00B4127D" w:rsidRPr="00494D70">
        <w:rPr>
          <w:rFonts w:ascii="Times New Roman" w:hAnsi="Times New Roman" w:cs="Times New Roman"/>
          <w:sz w:val="24"/>
          <w:szCs w:val="24"/>
        </w:rPr>
        <w:t>we established residual-level invariance in both sets</w:t>
      </w:r>
      <w:r w:rsidR="00A279C9" w:rsidRPr="00494D70">
        <w:rPr>
          <w:rFonts w:ascii="Times New Roman" w:hAnsi="Times New Roman" w:cs="Times New Roman"/>
          <w:sz w:val="24"/>
          <w:szCs w:val="24"/>
        </w:rPr>
        <w:t xml:space="preserve"> of countries</w:t>
      </w:r>
      <w:r w:rsidR="00B4127D" w:rsidRPr="00494D70">
        <w:rPr>
          <w:rFonts w:ascii="Times New Roman" w:hAnsi="Times New Roman" w:cs="Times New Roman"/>
          <w:sz w:val="24"/>
          <w:szCs w:val="24"/>
        </w:rPr>
        <w:t xml:space="preserve">. </w:t>
      </w:r>
    </w:p>
    <w:p w14:paraId="1EC436F6" w14:textId="6C928482" w:rsidR="00EB7283" w:rsidRPr="00494D70" w:rsidRDefault="00EB7283" w:rsidP="000B124E">
      <w:pPr>
        <w:spacing w:after="0" w:line="480" w:lineRule="auto"/>
        <w:ind w:firstLine="567"/>
        <w:rPr>
          <w:rFonts w:ascii="Times New Roman" w:hAnsi="Times New Roman" w:cs="Times New Roman"/>
          <w:sz w:val="24"/>
          <w:szCs w:val="24"/>
        </w:rPr>
      </w:pPr>
      <w:r w:rsidRPr="00494D70">
        <w:rPr>
          <w:rFonts w:ascii="Times New Roman" w:hAnsi="Times New Roman" w:cs="Times New Roman"/>
          <w:sz w:val="24"/>
          <w:szCs w:val="24"/>
        </w:rPr>
        <w:t>As a third step, gender-</w:t>
      </w:r>
      <w:r w:rsidR="00616FA0" w:rsidRPr="00494D70">
        <w:rPr>
          <w:rFonts w:ascii="Times New Roman" w:hAnsi="Times New Roman" w:cs="Times New Roman"/>
          <w:sz w:val="24"/>
          <w:szCs w:val="24"/>
        </w:rPr>
        <w:t>identity-</w:t>
      </w:r>
      <w:r w:rsidRPr="00494D70">
        <w:rPr>
          <w:rFonts w:ascii="Times New Roman" w:hAnsi="Times New Roman" w:cs="Times New Roman"/>
          <w:sz w:val="24"/>
          <w:szCs w:val="24"/>
        </w:rPr>
        <w:t>based subgroups (i.e.</w:t>
      </w:r>
      <w:r w:rsidR="002E4EF6" w:rsidRPr="00494D70">
        <w:rPr>
          <w:rFonts w:ascii="Times New Roman" w:hAnsi="Times New Roman" w:cs="Times New Roman"/>
          <w:sz w:val="24"/>
          <w:szCs w:val="24"/>
        </w:rPr>
        <w:t>,</w:t>
      </w:r>
      <w:r w:rsidRPr="00494D70">
        <w:rPr>
          <w:rFonts w:ascii="Times New Roman" w:hAnsi="Times New Roman" w:cs="Times New Roman"/>
          <w:sz w:val="24"/>
          <w:szCs w:val="24"/>
        </w:rPr>
        <w:t xml:space="preserve"> men, women, and gender-diverse individuals) were tested for measurement invariance</w:t>
      </w:r>
      <w:r w:rsidR="00225624" w:rsidRPr="00494D70">
        <w:rPr>
          <w:rFonts w:ascii="Times New Roman" w:hAnsi="Times New Roman" w:cs="Times New Roman"/>
          <w:sz w:val="24"/>
          <w:szCs w:val="24"/>
        </w:rPr>
        <w:t xml:space="preserve"> (Table S3)</w:t>
      </w:r>
      <w:r w:rsidRPr="00494D70">
        <w:rPr>
          <w:rFonts w:ascii="Times New Roman" w:hAnsi="Times New Roman" w:cs="Times New Roman"/>
          <w:sz w:val="24"/>
          <w:szCs w:val="24"/>
        </w:rPr>
        <w:t xml:space="preserve">. Based on the changes in the </w:t>
      </w:r>
      <w:proofErr w:type="gramStart"/>
      <w:r w:rsidRPr="00494D70">
        <w:rPr>
          <w:rFonts w:ascii="Times New Roman" w:hAnsi="Times New Roman" w:cs="Times New Roman"/>
          <w:sz w:val="24"/>
          <w:szCs w:val="24"/>
        </w:rPr>
        <w:t>fit</w:t>
      </w:r>
      <w:proofErr w:type="gramEnd"/>
      <w:r w:rsidRPr="00494D70">
        <w:rPr>
          <w:rFonts w:ascii="Times New Roman" w:hAnsi="Times New Roman" w:cs="Times New Roman"/>
          <w:sz w:val="24"/>
          <w:szCs w:val="24"/>
        </w:rPr>
        <w:t xml:space="preserve"> indices, metric </w:t>
      </w:r>
      <w:r w:rsidR="0055348F" w:rsidRPr="00494D70">
        <w:rPr>
          <w:rFonts w:ascii="Times New Roman" w:hAnsi="Times New Roman" w:cs="Times New Roman"/>
          <w:sz w:val="24"/>
          <w:szCs w:val="24"/>
        </w:rPr>
        <w:t xml:space="preserve">but not scalar </w:t>
      </w:r>
      <w:r w:rsidRPr="00494D70">
        <w:rPr>
          <w:rFonts w:ascii="Times New Roman" w:hAnsi="Times New Roman" w:cs="Times New Roman"/>
          <w:sz w:val="24"/>
          <w:szCs w:val="24"/>
        </w:rPr>
        <w:t>invariance was achieved.</w:t>
      </w:r>
      <w:r w:rsidR="00C00569" w:rsidRPr="00494D70">
        <w:rPr>
          <w:rFonts w:ascii="Times New Roman" w:hAnsi="Times New Roman" w:cs="Times New Roman"/>
          <w:sz w:val="24"/>
          <w:szCs w:val="24"/>
        </w:rPr>
        <w:t xml:space="preserve"> </w:t>
      </w:r>
      <w:r w:rsidR="003864B2" w:rsidRPr="00494D70">
        <w:rPr>
          <w:rFonts w:ascii="Times New Roman" w:hAnsi="Times New Roman" w:cs="Times New Roman"/>
          <w:sz w:val="24"/>
          <w:szCs w:val="24"/>
        </w:rPr>
        <w:t>B</w:t>
      </w:r>
      <w:r w:rsidR="00971A82" w:rsidRPr="00494D70">
        <w:rPr>
          <w:rFonts w:ascii="Times New Roman" w:hAnsi="Times New Roman" w:cs="Times New Roman"/>
          <w:sz w:val="24"/>
          <w:szCs w:val="24"/>
        </w:rPr>
        <w:t>ased on the modification indices</w:t>
      </w:r>
      <w:r w:rsidR="00A279C9" w:rsidRPr="00494D70">
        <w:rPr>
          <w:rFonts w:ascii="Times New Roman" w:hAnsi="Times New Roman" w:cs="Times New Roman"/>
          <w:sz w:val="24"/>
          <w:szCs w:val="24"/>
        </w:rPr>
        <w:t>,</w:t>
      </w:r>
      <w:r w:rsidR="00971A82" w:rsidRPr="00494D70">
        <w:rPr>
          <w:rFonts w:ascii="Times New Roman" w:hAnsi="Times New Roman" w:cs="Times New Roman"/>
          <w:sz w:val="24"/>
          <w:szCs w:val="24"/>
        </w:rPr>
        <w:t xml:space="preserve"> </w:t>
      </w:r>
      <w:r w:rsidR="003864B2" w:rsidRPr="00494D70">
        <w:rPr>
          <w:rFonts w:ascii="Times New Roman" w:hAnsi="Times New Roman" w:cs="Times New Roman"/>
          <w:sz w:val="24"/>
          <w:szCs w:val="24"/>
        </w:rPr>
        <w:t>w</w:t>
      </w:r>
      <w:r w:rsidR="00BE26F2" w:rsidRPr="00494D70">
        <w:rPr>
          <w:rFonts w:ascii="Times New Roman" w:hAnsi="Times New Roman" w:cs="Times New Roman"/>
          <w:sz w:val="24"/>
          <w:szCs w:val="24"/>
        </w:rPr>
        <w:t>e relaxed</w:t>
      </w:r>
      <w:r w:rsidR="00C00569" w:rsidRPr="00494D70">
        <w:rPr>
          <w:rFonts w:ascii="Times New Roman" w:hAnsi="Times New Roman" w:cs="Times New Roman"/>
          <w:sz w:val="24"/>
          <w:szCs w:val="24"/>
        </w:rPr>
        <w:t xml:space="preserve"> the </w:t>
      </w:r>
      <w:r w:rsidR="005500CA" w:rsidRPr="00494D70">
        <w:rPr>
          <w:rFonts w:ascii="Times New Roman" w:hAnsi="Times New Roman" w:cs="Times New Roman"/>
          <w:sz w:val="24"/>
          <w:szCs w:val="24"/>
        </w:rPr>
        <w:t>constraints</w:t>
      </w:r>
      <w:r w:rsidR="0017148B" w:rsidRPr="00494D70">
        <w:rPr>
          <w:rFonts w:ascii="Times New Roman" w:hAnsi="Times New Roman" w:cs="Times New Roman"/>
          <w:sz w:val="24"/>
          <w:szCs w:val="24"/>
        </w:rPr>
        <w:t xml:space="preserve"> of </w:t>
      </w:r>
      <w:r w:rsidR="00444C50" w:rsidRPr="00494D70">
        <w:rPr>
          <w:rFonts w:ascii="Times New Roman" w:hAnsi="Times New Roman" w:cs="Times New Roman"/>
          <w:sz w:val="24"/>
          <w:szCs w:val="24"/>
        </w:rPr>
        <w:t>scalar</w:t>
      </w:r>
      <w:r w:rsidR="00721494" w:rsidRPr="00494D70">
        <w:rPr>
          <w:rFonts w:ascii="Times New Roman" w:hAnsi="Times New Roman" w:cs="Times New Roman"/>
          <w:sz w:val="24"/>
          <w:szCs w:val="24"/>
        </w:rPr>
        <w:t xml:space="preserve"> equivalence for item 5</w:t>
      </w:r>
      <w:r w:rsidR="003F0798" w:rsidRPr="00494D70">
        <w:rPr>
          <w:rFonts w:ascii="Times New Roman" w:hAnsi="Times New Roman" w:cs="Times New Roman"/>
          <w:sz w:val="24"/>
          <w:szCs w:val="24"/>
        </w:rPr>
        <w:t xml:space="preserve"> </w:t>
      </w:r>
      <w:r w:rsidR="00624D2A" w:rsidRPr="00494D70">
        <w:rPr>
          <w:rFonts w:ascii="Times New Roman" w:hAnsi="Times New Roman" w:cs="Times New Roman"/>
          <w:sz w:val="24"/>
          <w:szCs w:val="24"/>
        </w:rPr>
        <w:t>in the ‘</w:t>
      </w:r>
      <w:r w:rsidR="00971A82" w:rsidRPr="00494D70">
        <w:rPr>
          <w:rFonts w:ascii="Times New Roman" w:hAnsi="Times New Roman" w:cs="Times New Roman"/>
          <w:sz w:val="24"/>
          <w:szCs w:val="24"/>
        </w:rPr>
        <w:t>wo</w:t>
      </w:r>
      <w:r w:rsidR="00624D2A" w:rsidRPr="00494D70">
        <w:rPr>
          <w:rFonts w:ascii="Times New Roman" w:hAnsi="Times New Roman" w:cs="Times New Roman"/>
          <w:sz w:val="24"/>
          <w:szCs w:val="24"/>
        </w:rPr>
        <w:t xml:space="preserve">men’ </w:t>
      </w:r>
      <w:r w:rsidR="000A5925" w:rsidRPr="00494D70">
        <w:rPr>
          <w:rFonts w:ascii="Times New Roman" w:hAnsi="Times New Roman" w:cs="Times New Roman"/>
          <w:sz w:val="24"/>
          <w:szCs w:val="24"/>
        </w:rPr>
        <w:t>sub</w:t>
      </w:r>
      <w:r w:rsidR="00624D2A" w:rsidRPr="00494D70">
        <w:rPr>
          <w:rFonts w:ascii="Times New Roman" w:hAnsi="Times New Roman" w:cs="Times New Roman"/>
          <w:sz w:val="24"/>
          <w:szCs w:val="24"/>
        </w:rPr>
        <w:t>group</w:t>
      </w:r>
      <w:r w:rsidR="00AE42EB" w:rsidRPr="00494D70">
        <w:rPr>
          <w:rFonts w:ascii="Times New Roman" w:hAnsi="Times New Roman" w:cs="Times New Roman"/>
          <w:sz w:val="24"/>
          <w:szCs w:val="24"/>
        </w:rPr>
        <w:t xml:space="preserve"> (MI = </w:t>
      </w:r>
      <w:r w:rsidR="00AC32B2" w:rsidRPr="00494D70">
        <w:rPr>
          <w:rFonts w:ascii="Times New Roman" w:hAnsi="Times New Roman" w:cs="Times New Roman"/>
          <w:sz w:val="24"/>
          <w:szCs w:val="24"/>
        </w:rPr>
        <w:t>1955.819)</w:t>
      </w:r>
      <w:r w:rsidR="00AE195C" w:rsidRPr="00494D70">
        <w:rPr>
          <w:rFonts w:ascii="Times New Roman" w:hAnsi="Times New Roman" w:cs="Times New Roman"/>
          <w:sz w:val="24"/>
          <w:szCs w:val="24"/>
        </w:rPr>
        <w:t>,</w:t>
      </w:r>
      <w:r w:rsidR="003F0798" w:rsidRPr="00494D70">
        <w:rPr>
          <w:rFonts w:ascii="Times New Roman" w:hAnsi="Times New Roman" w:cs="Times New Roman"/>
          <w:sz w:val="24"/>
          <w:szCs w:val="24"/>
        </w:rPr>
        <w:t xml:space="preserve"> </w:t>
      </w:r>
      <w:r w:rsidR="00396C8B" w:rsidRPr="00494D70">
        <w:rPr>
          <w:rFonts w:ascii="Times New Roman" w:hAnsi="Times New Roman" w:cs="Times New Roman"/>
          <w:sz w:val="24"/>
          <w:szCs w:val="24"/>
        </w:rPr>
        <w:t>resulting in</w:t>
      </w:r>
      <w:r w:rsidR="0051789B" w:rsidRPr="00494D70">
        <w:rPr>
          <w:rFonts w:ascii="Times New Roman" w:hAnsi="Times New Roman" w:cs="Times New Roman"/>
          <w:sz w:val="24"/>
          <w:szCs w:val="24"/>
        </w:rPr>
        <w:t xml:space="preserve"> </w:t>
      </w:r>
      <w:r w:rsidR="00BB5D8E" w:rsidRPr="00494D70">
        <w:rPr>
          <w:rFonts w:ascii="Times New Roman" w:hAnsi="Times New Roman" w:cs="Times New Roman"/>
          <w:sz w:val="24"/>
          <w:szCs w:val="24"/>
        </w:rPr>
        <w:t xml:space="preserve">latent variance-covariance </w:t>
      </w:r>
      <w:r w:rsidR="0051789B" w:rsidRPr="00494D70">
        <w:rPr>
          <w:rFonts w:ascii="Times New Roman" w:hAnsi="Times New Roman" w:cs="Times New Roman"/>
          <w:sz w:val="24"/>
          <w:szCs w:val="24"/>
        </w:rPr>
        <w:t>invariance</w:t>
      </w:r>
      <w:r w:rsidR="00396C8B" w:rsidRPr="00494D70">
        <w:rPr>
          <w:rFonts w:ascii="Times New Roman" w:hAnsi="Times New Roman" w:cs="Times New Roman"/>
          <w:sz w:val="24"/>
          <w:szCs w:val="24"/>
        </w:rPr>
        <w:t xml:space="preserve"> across groups</w:t>
      </w:r>
      <w:r w:rsidR="00DA0674" w:rsidRPr="00494D70">
        <w:rPr>
          <w:rFonts w:ascii="Times New Roman" w:hAnsi="Times New Roman" w:cs="Times New Roman"/>
          <w:sz w:val="24"/>
          <w:szCs w:val="24"/>
        </w:rPr>
        <w:t>.</w:t>
      </w:r>
    </w:p>
    <w:p w14:paraId="687D2B18" w14:textId="5B1F1BCF" w:rsidR="00EB7283" w:rsidRPr="00494D70" w:rsidRDefault="00EB7283" w:rsidP="000B124E">
      <w:pPr>
        <w:spacing w:after="0" w:line="480" w:lineRule="auto"/>
        <w:ind w:firstLine="567"/>
        <w:rPr>
          <w:rFonts w:ascii="Times New Roman" w:hAnsi="Times New Roman" w:cs="Times New Roman"/>
          <w:sz w:val="24"/>
          <w:szCs w:val="24"/>
        </w:rPr>
      </w:pPr>
      <w:r w:rsidRPr="00494D70">
        <w:rPr>
          <w:rFonts w:ascii="Times New Roman" w:hAnsi="Times New Roman" w:cs="Times New Roman"/>
          <w:sz w:val="24"/>
          <w:szCs w:val="24"/>
        </w:rPr>
        <w:t>Next, subgroups of sexual orientations (i.e.</w:t>
      </w:r>
      <w:r w:rsidR="00A279C9" w:rsidRPr="00494D70">
        <w:rPr>
          <w:rFonts w:ascii="Times New Roman" w:hAnsi="Times New Roman" w:cs="Times New Roman"/>
          <w:sz w:val="24"/>
          <w:szCs w:val="24"/>
        </w:rPr>
        <w:t>,</w:t>
      </w:r>
      <w:r w:rsidRPr="00494D70">
        <w:rPr>
          <w:rFonts w:ascii="Times New Roman" w:hAnsi="Times New Roman" w:cs="Times New Roman"/>
          <w:sz w:val="24"/>
          <w:szCs w:val="24"/>
        </w:rPr>
        <w:t xml:space="preserve"> heterosexual, </w:t>
      </w:r>
      <w:r w:rsidR="00A279C9" w:rsidRPr="00494D70">
        <w:rPr>
          <w:rFonts w:ascii="Times New Roman" w:hAnsi="Times New Roman" w:cs="Times New Roman"/>
          <w:sz w:val="24"/>
          <w:szCs w:val="24"/>
        </w:rPr>
        <w:t>gay and lesbian</w:t>
      </w:r>
      <w:r w:rsidRPr="00494D70">
        <w:rPr>
          <w:rFonts w:ascii="Times New Roman" w:hAnsi="Times New Roman" w:cs="Times New Roman"/>
          <w:sz w:val="24"/>
          <w:szCs w:val="24"/>
        </w:rPr>
        <w:t xml:space="preserve">, bisexual, queer and pansexual, homo- and heteroflexible identities, asexual, </w:t>
      </w:r>
      <w:r w:rsidR="001F3F6D" w:rsidRPr="00494D70">
        <w:rPr>
          <w:rFonts w:ascii="Times New Roman" w:hAnsi="Times New Roman" w:cs="Times New Roman"/>
          <w:sz w:val="24"/>
          <w:szCs w:val="24"/>
        </w:rPr>
        <w:t>questioning,</w:t>
      </w:r>
      <w:r w:rsidRPr="00494D70">
        <w:rPr>
          <w:rFonts w:ascii="Times New Roman" w:hAnsi="Times New Roman" w:cs="Times New Roman"/>
          <w:sz w:val="24"/>
          <w:szCs w:val="24"/>
        </w:rPr>
        <w:t xml:space="preserve"> and other) were tested for measurement invariance</w:t>
      </w:r>
      <w:r w:rsidR="00225624" w:rsidRPr="00494D70">
        <w:rPr>
          <w:rFonts w:ascii="Times New Roman" w:hAnsi="Times New Roman" w:cs="Times New Roman"/>
          <w:sz w:val="24"/>
          <w:szCs w:val="24"/>
        </w:rPr>
        <w:t xml:space="preserve"> (Table S4)</w:t>
      </w:r>
      <w:r w:rsidRPr="00494D70">
        <w:rPr>
          <w:rFonts w:ascii="Times New Roman" w:hAnsi="Times New Roman" w:cs="Times New Roman"/>
          <w:sz w:val="24"/>
          <w:szCs w:val="24"/>
        </w:rPr>
        <w:t xml:space="preserve">. </w:t>
      </w:r>
      <w:r w:rsidR="009417A7" w:rsidRPr="00494D70">
        <w:rPr>
          <w:rFonts w:ascii="Times New Roman" w:hAnsi="Times New Roman" w:cs="Times New Roman"/>
          <w:sz w:val="24"/>
          <w:szCs w:val="24"/>
        </w:rPr>
        <w:t>Examining the</w:t>
      </w:r>
      <w:r w:rsidR="009417A7" w:rsidRPr="00494D70">
        <w:rPr>
          <w:rFonts w:ascii="Times New Roman" w:hAnsi="Times New Roman" w:cs="Times New Roman"/>
          <w:b/>
          <w:bCs/>
          <w:sz w:val="24"/>
          <w:szCs w:val="24"/>
        </w:rPr>
        <w:t xml:space="preserve"> </w:t>
      </w:r>
      <w:r w:rsidRPr="00494D70">
        <w:rPr>
          <w:rFonts w:ascii="Times New Roman" w:hAnsi="Times New Roman" w:cs="Times New Roman"/>
          <w:sz w:val="24"/>
          <w:szCs w:val="24"/>
        </w:rPr>
        <w:t>changes</w:t>
      </w:r>
      <w:r w:rsidR="00EE27C4" w:rsidRPr="00494D70">
        <w:rPr>
          <w:rFonts w:ascii="Times New Roman" w:hAnsi="Times New Roman" w:cs="Times New Roman"/>
          <w:sz w:val="24"/>
          <w:szCs w:val="24"/>
        </w:rPr>
        <w:t xml:space="preserve"> in the fit indices,</w:t>
      </w:r>
      <w:r w:rsidRPr="00494D70">
        <w:rPr>
          <w:rFonts w:ascii="Times New Roman" w:hAnsi="Times New Roman" w:cs="Times New Roman"/>
          <w:sz w:val="24"/>
          <w:szCs w:val="24"/>
        </w:rPr>
        <w:t xml:space="preserve"> latent variance-covariance invariance</w:t>
      </w:r>
      <w:r w:rsidR="00A279C9" w:rsidRPr="00494D70">
        <w:rPr>
          <w:rFonts w:ascii="Times New Roman" w:hAnsi="Times New Roman" w:cs="Times New Roman"/>
          <w:sz w:val="24"/>
          <w:szCs w:val="24"/>
        </w:rPr>
        <w:t xml:space="preserve"> was achieved</w:t>
      </w:r>
      <w:r w:rsidRPr="00494D70">
        <w:rPr>
          <w:rFonts w:ascii="Times New Roman" w:hAnsi="Times New Roman" w:cs="Times New Roman"/>
          <w:sz w:val="24"/>
          <w:szCs w:val="24"/>
        </w:rPr>
        <w:t xml:space="preserve">. </w:t>
      </w:r>
    </w:p>
    <w:p w14:paraId="60B978AC" w14:textId="523E7BA8" w:rsidR="00A41B8E" w:rsidRPr="00494D70" w:rsidRDefault="00EB7283" w:rsidP="00642578">
      <w:pPr>
        <w:spacing w:after="0" w:line="480" w:lineRule="auto"/>
        <w:ind w:firstLine="567"/>
        <w:rPr>
          <w:rFonts w:ascii="Times New Roman" w:hAnsi="Times New Roman" w:cs="Times New Roman"/>
          <w:i/>
          <w:iCs/>
          <w:sz w:val="24"/>
          <w:szCs w:val="24"/>
        </w:rPr>
      </w:pPr>
      <w:r w:rsidRPr="00494D70">
        <w:rPr>
          <w:rFonts w:ascii="Times New Roman" w:hAnsi="Times New Roman" w:cs="Times New Roman"/>
          <w:sz w:val="24"/>
          <w:szCs w:val="24"/>
        </w:rPr>
        <w:t xml:space="preserve">In the last step of invariance testing, subgroups </w:t>
      </w:r>
      <w:r w:rsidR="00A279C9" w:rsidRPr="00494D70">
        <w:rPr>
          <w:rFonts w:ascii="Times New Roman" w:hAnsi="Times New Roman" w:cs="Times New Roman"/>
          <w:sz w:val="24"/>
          <w:szCs w:val="24"/>
        </w:rPr>
        <w:t xml:space="preserve">based on </w:t>
      </w:r>
      <w:r w:rsidRPr="00494D70">
        <w:rPr>
          <w:rFonts w:ascii="Times New Roman" w:hAnsi="Times New Roman" w:cs="Times New Roman"/>
          <w:sz w:val="24"/>
          <w:szCs w:val="24"/>
        </w:rPr>
        <w:t>relationship statuses (i.e.</w:t>
      </w:r>
      <w:r w:rsidR="00A279C9" w:rsidRPr="00494D70">
        <w:rPr>
          <w:rFonts w:ascii="Times New Roman" w:hAnsi="Times New Roman" w:cs="Times New Roman"/>
          <w:sz w:val="24"/>
          <w:szCs w:val="24"/>
        </w:rPr>
        <w:t>,</w:t>
      </w:r>
      <w:r w:rsidRPr="00494D70">
        <w:rPr>
          <w:rFonts w:ascii="Times New Roman" w:hAnsi="Times New Roman" w:cs="Times New Roman"/>
          <w:sz w:val="24"/>
          <w:szCs w:val="24"/>
        </w:rPr>
        <w:t xml:space="preserve"> single or in a relationship) were </w:t>
      </w:r>
      <w:r w:rsidR="00AE195C" w:rsidRPr="00494D70">
        <w:rPr>
          <w:rFonts w:ascii="Times New Roman" w:hAnsi="Times New Roman" w:cs="Times New Roman"/>
          <w:sz w:val="24"/>
          <w:szCs w:val="24"/>
        </w:rPr>
        <w:t>analyzed</w:t>
      </w:r>
      <w:r w:rsidR="00225624" w:rsidRPr="00494D70">
        <w:rPr>
          <w:rFonts w:ascii="Times New Roman" w:hAnsi="Times New Roman" w:cs="Times New Roman"/>
          <w:sz w:val="24"/>
          <w:szCs w:val="24"/>
        </w:rPr>
        <w:t xml:space="preserve"> (Table S5)</w:t>
      </w:r>
      <w:r w:rsidRPr="00494D70">
        <w:rPr>
          <w:rFonts w:ascii="Times New Roman" w:hAnsi="Times New Roman" w:cs="Times New Roman"/>
          <w:sz w:val="24"/>
          <w:szCs w:val="24"/>
        </w:rPr>
        <w:t xml:space="preserve">. Latent mean invariance was achieved across subgroups, indicating that there are no latent mean differences between </w:t>
      </w:r>
      <w:r w:rsidR="00A279C9" w:rsidRPr="00494D70">
        <w:rPr>
          <w:rFonts w:ascii="Times New Roman" w:hAnsi="Times New Roman" w:cs="Times New Roman"/>
          <w:sz w:val="24"/>
          <w:szCs w:val="24"/>
        </w:rPr>
        <w:t>partnered and single individuals</w:t>
      </w:r>
      <w:r w:rsidRPr="00494D70">
        <w:rPr>
          <w:rFonts w:ascii="Times New Roman" w:hAnsi="Times New Roman" w:cs="Times New Roman"/>
          <w:sz w:val="24"/>
          <w:szCs w:val="24"/>
        </w:rPr>
        <w:t>.</w:t>
      </w:r>
      <w:r w:rsidR="00DD557D" w:rsidRPr="00494D70">
        <w:rPr>
          <w:rStyle w:val="Lbjegyzet-hivatkozs"/>
          <w:rFonts w:ascii="Times New Roman" w:hAnsi="Times New Roman" w:cs="Times New Roman"/>
          <w:sz w:val="24"/>
          <w:szCs w:val="24"/>
        </w:rPr>
        <w:footnoteReference w:id="6"/>
      </w:r>
      <w:r w:rsidRPr="00494D70">
        <w:rPr>
          <w:rFonts w:ascii="Times New Roman" w:hAnsi="Times New Roman" w:cs="Times New Roman"/>
          <w:sz w:val="24"/>
          <w:szCs w:val="24"/>
        </w:rPr>
        <w:t xml:space="preserve"> </w:t>
      </w:r>
      <w:r w:rsidR="0038182A" w:rsidRPr="00494D70">
        <w:rPr>
          <w:rFonts w:ascii="Times New Roman" w:hAnsi="Times New Roman" w:cs="Times New Roman"/>
          <w:sz w:val="24"/>
          <w:szCs w:val="24"/>
        </w:rPr>
        <w:t xml:space="preserve">Measurement invariance effect sizes were </w:t>
      </w:r>
      <w:r w:rsidR="0038182A" w:rsidRPr="00494D70">
        <w:rPr>
          <w:rFonts w:ascii="Times New Roman" w:hAnsi="Times New Roman" w:cs="Times New Roman"/>
          <w:i/>
          <w:iCs/>
          <w:sz w:val="24"/>
          <w:szCs w:val="24"/>
        </w:rPr>
        <w:t>r</w:t>
      </w:r>
      <w:r w:rsidR="0038182A" w:rsidRPr="00494D70">
        <w:rPr>
          <w:rFonts w:ascii="Times New Roman" w:hAnsi="Times New Roman" w:cs="Times New Roman"/>
          <w:sz w:val="24"/>
          <w:szCs w:val="24"/>
        </w:rPr>
        <w:t xml:space="preserve"> ≥ .996 across language-, country-, </w:t>
      </w:r>
      <w:r w:rsidR="0038182A" w:rsidRPr="00494D70">
        <w:rPr>
          <w:rFonts w:ascii="Times New Roman" w:hAnsi="Times New Roman" w:cs="Times New Roman"/>
          <w:sz w:val="24"/>
          <w:szCs w:val="24"/>
        </w:rPr>
        <w:lastRenderedPageBreak/>
        <w:t xml:space="preserve">gender-identity-, and sexual-orientation-based groups, indicating that </w:t>
      </w:r>
      <w:r w:rsidR="008655E0" w:rsidRPr="00494D70">
        <w:rPr>
          <w:rFonts w:ascii="Times New Roman" w:hAnsi="Times New Roman" w:cs="Times New Roman"/>
          <w:sz w:val="24"/>
          <w:szCs w:val="24"/>
        </w:rPr>
        <w:t>discrepancies</w:t>
      </w:r>
      <w:r w:rsidR="0038182A" w:rsidRPr="00494D70">
        <w:rPr>
          <w:rFonts w:ascii="Times New Roman" w:hAnsi="Times New Roman" w:cs="Times New Roman"/>
          <w:sz w:val="24"/>
          <w:szCs w:val="24"/>
        </w:rPr>
        <w:t xml:space="preserve"> between the best-fitting model and the latent mean model have negligible practical impact on the latent scores</w:t>
      </w:r>
      <w:r w:rsidR="00F31B3D" w:rsidRPr="00494D70">
        <w:rPr>
          <w:rFonts w:ascii="Times New Roman" w:hAnsi="Times New Roman" w:cs="Times New Roman"/>
          <w:sz w:val="24"/>
          <w:szCs w:val="24"/>
        </w:rPr>
        <w:t xml:space="preserve"> (Table S7)</w:t>
      </w:r>
      <w:r w:rsidR="0038182A" w:rsidRPr="00494D70">
        <w:rPr>
          <w:rFonts w:ascii="Times New Roman" w:hAnsi="Times New Roman" w:cs="Times New Roman"/>
          <w:sz w:val="24"/>
          <w:szCs w:val="24"/>
        </w:rPr>
        <w:t>.</w:t>
      </w:r>
    </w:p>
    <w:p w14:paraId="6D1B1DEF" w14:textId="500B689F" w:rsidR="00EB7283" w:rsidRPr="00494D70" w:rsidRDefault="00EB7283" w:rsidP="000B124E">
      <w:pPr>
        <w:spacing w:after="0" w:line="480" w:lineRule="auto"/>
        <w:rPr>
          <w:rFonts w:ascii="Times New Roman" w:hAnsi="Times New Roman" w:cs="Times New Roman"/>
          <w:i/>
          <w:iCs/>
          <w:sz w:val="24"/>
          <w:szCs w:val="24"/>
        </w:rPr>
      </w:pPr>
      <w:r w:rsidRPr="00494D70">
        <w:rPr>
          <w:rFonts w:ascii="Times New Roman" w:hAnsi="Times New Roman" w:cs="Times New Roman"/>
          <w:i/>
          <w:iCs/>
          <w:sz w:val="24"/>
          <w:szCs w:val="24"/>
        </w:rPr>
        <w:t>Reliability analysis</w:t>
      </w:r>
    </w:p>
    <w:p w14:paraId="11AA4B87" w14:textId="5988637E" w:rsidR="00A41B8E" w:rsidRPr="00494D70" w:rsidRDefault="00EB7283" w:rsidP="00642578">
      <w:pPr>
        <w:spacing w:after="0" w:line="480" w:lineRule="auto"/>
        <w:ind w:firstLine="567"/>
        <w:rPr>
          <w:rFonts w:ascii="Times New Roman" w:eastAsia="Times New Roman" w:hAnsi="Times New Roman" w:cs="Times New Roman"/>
          <w:i/>
          <w:iCs/>
          <w:sz w:val="24"/>
          <w:szCs w:val="24"/>
        </w:rPr>
      </w:pPr>
      <w:r w:rsidRPr="00494D70">
        <w:rPr>
          <w:rFonts w:ascii="Times New Roman" w:hAnsi="Times New Roman" w:cs="Times New Roman"/>
          <w:sz w:val="24"/>
          <w:szCs w:val="24"/>
        </w:rPr>
        <w:t xml:space="preserve">Cronbach alpha </w:t>
      </w:r>
      <w:r w:rsidR="00E905A0" w:rsidRPr="00494D70">
        <w:rPr>
          <w:rFonts w:ascii="Times New Roman" w:hAnsi="Times New Roman" w:cs="Times New Roman"/>
          <w:sz w:val="24"/>
          <w:szCs w:val="24"/>
        </w:rPr>
        <w:t xml:space="preserve">and McDonald’s omega </w:t>
      </w:r>
      <w:r w:rsidRPr="00494D70">
        <w:rPr>
          <w:rFonts w:ascii="Times New Roman" w:hAnsi="Times New Roman" w:cs="Times New Roman"/>
          <w:sz w:val="24"/>
          <w:szCs w:val="24"/>
        </w:rPr>
        <w:t xml:space="preserve">coefficients and inter-factor correlations are presented in Table 3. The </w:t>
      </w:r>
      <w:r w:rsidRPr="00494D70">
        <w:rPr>
          <w:rFonts w:ascii="Times New Roman" w:hAnsi="Times New Roman" w:cs="Times New Roman"/>
          <w:i/>
          <w:iCs/>
          <w:sz w:val="24"/>
          <w:szCs w:val="24"/>
        </w:rPr>
        <w:t>Initiation</w:t>
      </w:r>
      <w:r w:rsidRPr="00494D70">
        <w:rPr>
          <w:rFonts w:ascii="Times New Roman" w:hAnsi="Times New Roman" w:cs="Times New Roman"/>
          <w:sz w:val="24"/>
          <w:szCs w:val="24"/>
        </w:rPr>
        <w:t xml:space="preserve">, </w:t>
      </w:r>
      <w:r w:rsidRPr="00494D70">
        <w:rPr>
          <w:rFonts w:ascii="Times New Roman" w:hAnsi="Times New Roman" w:cs="Times New Roman"/>
          <w:i/>
          <w:iCs/>
          <w:sz w:val="24"/>
          <w:szCs w:val="24"/>
        </w:rPr>
        <w:t>Refusal</w:t>
      </w:r>
      <w:r w:rsidRPr="00494D70">
        <w:rPr>
          <w:rFonts w:ascii="Times New Roman" w:hAnsi="Times New Roman" w:cs="Times New Roman"/>
          <w:sz w:val="24"/>
          <w:szCs w:val="24"/>
        </w:rPr>
        <w:t xml:space="preserve"> and </w:t>
      </w:r>
      <w:r w:rsidRPr="00494D70">
        <w:rPr>
          <w:rFonts w:ascii="Times New Roman" w:hAnsi="Times New Roman" w:cs="Times New Roman"/>
          <w:i/>
          <w:iCs/>
          <w:sz w:val="24"/>
          <w:szCs w:val="24"/>
        </w:rPr>
        <w:t>Risk</w:t>
      </w:r>
      <w:r w:rsidRPr="00494D70">
        <w:rPr>
          <w:rFonts w:ascii="Times New Roman" w:hAnsi="Times New Roman" w:cs="Times New Roman"/>
          <w:sz w:val="24"/>
          <w:szCs w:val="24"/>
        </w:rPr>
        <w:t xml:space="preserve"> </w:t>
      </w:r>
      <w:r w:rsidRPr="00494D70">
        <w:rPr>
          <w:rFonts w:ascii="Times New Roman" w:hAnsi="Times New Roman" w:cs="Times New Roman"/>
          <w:i/>
          <w:iCs/>
          <w:sz w:val="24"/>
          <w:szCs w:val="24"/>
        </w:rPr>
        <w:t>communication</w:t>
      </w:r>
      <w:r w:rsidRPr="00494D70">
        <w:rPr>
          <w:rFonts w:ascii="Times New Roman" w:hAnsi="Times New Roman" w:cs="Times New Roman"/>
          <w:sz w:val="24"/>
          <w:szCs w:val="24"/>
        </w:rPr>
        <w:t xml:space="preserve"> subscales demonstrated </w:t>
      </w:r>
      <w:r w:rsidR="001F19E9" w:rsidRPr="00494D70">
        <w:rPr>
          <w:rFonts w:ascii="Times New Roman" w:hAnsi="Times New Roman" w:cs="Times New Roman"/>
          <w:sz w:val="24"/>
          <w:szCs w:val="24"/>
        </w:rPr>
        <w:t xml:space="preserve">acceptable to </w:t>
      </w:r>
      <w:r w:rsidRPr="00494D70">
        <w:rPr>
          <w:rFonts w:ascii="Times New Roman" w:hAnsi="Times New Roman" w:cs="Times New Roman"/>
          <w:sz w:val="24"/>
          <w:szCs w:val="24"/>
        </w:rPr>
        <w:t>good internal consistency (total α = .78</w:t>
      </w:r>
      <w:r w:rsidR="00580111" w:rsidRPr="00494D70">
        <w:rPr>
          <w:rFonts w:ascii="Times New Roman" w:hAnsi="Times New Roman" w:cs="Times New Roman"/>
          <w:sz w:val="24"/>
          <w:szCs w:val="24"/>
        </w:rPr>
        <w:t xml:space="preserve">, </w:t>
      </w:r>
      <w:r w:rsidR="00E905A0" w:rsidRPr="00494D70">
        <w:rPr>
          <w:rFonts w:ascii="Times New Roman" w:hAnsi="Times New Roman" w:cs="Times New Roman"/>
          <w:sz w:val="24"/>
          <w:szCs w:val="24"/>
        </w:rPr>
        <w:t xml:space="preserve">total </w:t>
      </w:r>
      <w:r w:rsidR="00E905A0" w:rsidRPr="00494D70">
        <w:rPr>
          <w:rFonts w:ascii="Calibri" w:hAnsi="Calibri" w:cs="Calibri"/>
          <w:sz w:val="24"/>
          <w:szCs w:val="24"/>
        </w:rPr>
        <w:t>ω</w:t>
      </w:r>
      <w:r w:rsidR="0042254A" w:rsidRPr="00494D70">
        <w:rPr>
          <w:rFonts w:ascii="Times New Roman" w:hAnsi="Times New Roman" w:cs="Times New Roman"/>
          <w:sz w:val="24"/>
          <w:szCs w:val="24"/>
        </w:rPr>
        <w:t xml:space="preserve"> = </w:t>
      </w:r>
      <w:r w:rsidR="00701C16" w:rsidRPr="00494D70">
        <w:rPr>
          <w:rFonts w:ascii="Times New Roman" w:hAnsi="Times New Roman" w:cs="Times New Roman"/>
          <w:sz w:val="24"/>
          <w:szCs w:val="24"/>
        </w:rPr>
        <w:t>.</w:t>
      </w:r>
      <w:r w:rsidR="00531CEB" w:rsidRPr="00494D70">
        <w:rPr>
          <w:rFonts w:ascii="Times New Roman" w:hAnsi="Times New Roman" w:cs="Times New Roman"/>
          <w:sz w:val="24"/>
          <w:szCs w:val="24"/>
        </w:rPr>
        <w:t>75</w:t>
      </w:r>
      <w:r w:rsidRPr="00494D70">
        <w:rPr>
          <w:rFonts w:ascii="Times New Roman" w:hAnsi="Times New Roman" w:cs="Times New Roman"/>
          <w:sz w:val="24"/>
          <w:szCs w:val="24"/>
        </w:rPr>
        <w:t>) and moderate inter-factor correlations</w:t>
      </w:r>
      <w:r w:rsidR="008942D7" w:rsidRPr="00494D70">
        <w:rPr>
          <w:rFonts w:ascii="Times New Roman" w:hAnsi="Times New Roman" w:cs="Times New Roman"/>
          <w:sz w:val="24"/>
          <w:szCs w:val="24"/>
        </w:rPr>
        <w:t xml:space="preserve"> (</w:t>
      </w:r>
      <w:r w:rsidR="009D0878" w:rsidRPr="00494D70">
        <w:rPr>
          <w:rFonts w:ascii="Times New Roman" w:hAnsi="Times New Roman" w:cs="Times New Roman"/>
          <w:sz w:val="24"/>
          <w:szCs w:val="24"/>
        </w:rPr>
        <w:t>ρ</w:t>
      </w:r>
      <w:r w:rsidR="00104A5E" w:rsidRPr="00494D70">
        <w:rPr>
          <w:rFonts w:ascii="Times New Roman" w:hAnsi="Times New Roman" w:cs="Times New Roman"/>
          <w:sz w:val="24"/>
          <w:szCs w:val="24"/>
        </w:rPr>
        <w:t xml:space="preserve"> values</w:t>
      </w:r>
      <w:r w:rsidR="008942D7" w:rsidRPr="00494D70">
        <w:rPr>
          <w:rFonts w:ascii="Times New Roman" w:hAnsi="Times New Roman" w:cs="Times New Roman"/>
          <w:sz w:val="24"/>
          <w:szCs w:val="24"/>
        </w:rPr>
        <w:t xml:space="preserve"> </w:t>
      </w:r>
      <w:r w:rsidR="006873F8" w:rsidRPr="00494D70">
        <w:rPr>
          <w:rFonts w:ascii="Times New Roman" w:hAnsi="Times New Roman" w:cs="Times New Roman"/>
          <w:sz w:val="24"/>
          <w:szCs w:val="24"/>
        </w:rPr>
        <w:t>rang</w:t>
      </w:r>
      <w:r w:rsidR="00104A5E" w:rsidRPr="00494D70">
        <w:rPr>
          <w:rFonts w:ascii="Times New Roman" w:hAnsi="Times New Roman" w:cs="Times New Roman"/>
          <w:sz w:val="24"/>
          <w:szCs w:val="24"/>
        </w:rPr>
        <w:t>e</w:t>
      </w:r>
      <w:r w:rsidR="006873F8" w:rsidRPr="00494D70">
        <w:rPr>
          <w:rFonts w:ascii="Times New Roman" w:hAnsi="Times New Roman" w:cs="Times New Roman"/>
          <w:sz w:val="24"/>
          <w:szCs w:val="24"/>
        </w:rPr>
        <w:t xml:space="preserve"> between .29 and .3</w:t>
      </w:r>
      <w:r w:rsidR="00F34681" w:rsidRPr="00494D70">
        <w:rPr>
          <w:rFonts w:ascii="Times New Roman" w:hAnsi="Times New Roman" w:cs="Times New Roman"/>
          <w:sz w:val="24"/>
          <w:szCs w:val="24"/>
        </w:rPr>
        <w:t>7</w:t>
      </w:r>
      <w:r w:rsidR="00542E61" w:rsidRPr="00494D70">
        <w:rPr>
          <w:rFonts w:ascii="Times New Roman" w:hAnsi="Times New Roman" w:cs="Times New Roman"/>
          <w:sz w:val="24"/>
          <w:szCs w:val="24"/>
        </w:rPr>
        <w:t xml:space="preserve">, </w:t>
      </w:r>
      <w:r w:rsidR="00542E61" w:rsidRPr="00494D70">
        <w:rPr>
          <w:rFonts w:ascii="Times New Roman" w:hAnsi="Times New Roman" w:cs="Times New Roman"/>
          <w:i/>
          <w:iCs/>
          <w:sz w:val="24"/>
          <w:szCs w:val="24"/>
        </w:rPr>
        <w:t>p</w:t>
      </w:r>
      <w:r w:rsidR="00542E61" w:rsidRPr="00494D70">
        <w:rPr>
          <w:rFonts w:ascii="Times New Roman" w:hAnsi="Times New Roman" w:cs="Times New Roman"/>
          <w:sz w:val="24"/>
          <w:szCs w:val="24"/>
        </w:rPr>
        <w:t xml:space="preserve"> &lt; .001)</w:t>
      </w:r>
      <w:r w:rsidRPr="00494D70">
        <w:rPr>
          <w:rFonts w:ascii="Times New Roman" w:hAnsi="Times New Roman" w:cs="Times New Roman"/>
          <w:sz w:val="24"/>
          <w:szCs w:val="24"/>
        </w:rPr>
        <w:t>.</w:t>
      </w:r>
    </w:p>
    <w:p w14:paraId="1E67DCDF" w14:textId="12B9B467" w:rsidR="00057AA9" w:rsidRPr="00494D70" w:rsidRDefault="00082021" w:rsidP="000B124E">
      <w:pPr>
        <w:spacing w:after="0" w:line="480" w:lineRule="auto"/>
        <w:rPr>
          <w:rFonts w:ascii="Times New Roman" w:eastAsia="Times New Roman" w:hAnsi="Times New Roman" w:cs="Times New Roman"/>
          <w:i/>
          <w:iCs/>
          <w:sz w:val="24"/>
          <w:szCs w:val="24"/>
        </w:rPr>
      </w:pPr>
      <w:r w:rsidRPr="00494D70">
        <w:rPr>
          <w:rFonts w:ascii="Times New Roman" w:eastAsia="Times New Roman" w:hAnsi="Times New Roman" w:cs="Times New Roman"/>
          <w:i/>
          <w:iCs/>
          <w:sz w:val="24"/>
          <w:szCs w:val="24"/>
        </w:rPr>
        <w:t>Country-, g</w:t>
      </w:r>
      <w:r w:rsidR="00CC2BEF" w:rsidRPr="00494D70">
        <w:rPr>
          <w:rFonts w:ascii="Times New Roman" w:eastAsia="Times New Roman" w:hAnsi="Times New Roman" w:cs="Times New Roman"/>
          <w:i/>
          <w:iCs/>
          <w:sz w:val="24"/>
          <w:szCs w:val="24"/>
        </w:rPr>
        <w:t>ender-</w:t>
      </w:r>
      <w:r w:rsidR="000A4552" w:rsidRPr="00494D70">
        <w:rPr>
          <w:rFonts w:ascii="Times New Roman" w:eastAsia="Times New Roman" w:hAnsi="Times New Roman" w:cs="Times New Roman"/>
          <w:i/>
          <w:iCs/>
          <w:sz w:val="24"/>
          <w:szCs w:val="24"/>
        </w:rPr>
        <w:t>identity-</w:t>
      </w:r>
      <w:r w:rsidR="00CC2BEF" w:rsidRPr="00494D70">
        <w:rPr>
          <w:rFonts w:ascii="Times New Roman" w:eastAsia="Times New Roman" w:hAnsi="Times New Roman" w:cs="Times New Roman"/>
          <w:i/>
          <w:iCs/>
          <w:sz w:val="24"/>
          <w:szCs w:val="24"/>
        </w:rPr>
        <w:t>, sexual</w:t>
      </w:r>
      <w:r w:rsidR="00EB438A" w:rsidRPr="00494D70">
        <w:rPr>
          <w:rFonts w:ascii="Times New Roman" w:eastAsia="Times New Roman" w:hAnsi="Times New Roman" w:cs="Times New Roman"/>
          <w:i/>
          <w:iCs/>
          <w:sz w:val="24"/>
          <w:szCs w:val="24"/>
        </w:rPr>
        <w:t>-</w:t>
      </w:r>
      <w:r w:rsidR="00CC2BEF" w:rsidRPr="00494D70">
        <w:rPr>
          <w:rFonts w:ascii="Times New Roman" w:eastAsia="Times New Roman" w:hAnsi="Times New Roman" w:cs="Times New Roman"/>
          <w:i/>
          <w:iCs/>
          <w:sz w:val="24"/>
          <w:szCs w:val="24"/>
        </w:rPr>
        <w:t>orientatio</w:t>
      </w:r>
      <w:r w:rsidR="00CE2C70" w:rsidRPr="00494D70">
        <w:rPr>
          <w:rFonts w:ascii="Times New Roman" w:eastAsia="Times New Roman" w:hAnsi="Times New Roman" w:cs="Times New Roman"/>
          <w:i/>
          <w:iCs/>
          <w:sz w:val="24"/>
          <w:szCs w:val="24"/>
        </w:rPr>
        <w:t>n-, and relationship</w:t>
      </w:r>
      <w:r w:rsidR="00EB438A" w:rsidRPr="00494D70">
        <w:rPr>
          <w:rFonts w:ascii="Times New Roman" w:eastAsia="Times New Roman" w:hAnsi="Times New Roman" w:cs="Times New Roman"/>
          <w:i/>
          <w:iCs/>
          <w:sz w:val="24"/>
          <w:szCs w:val="24"/>
        </w:rPr>
        <w:t>-</w:t>
      </w:r>
      <w:r w:rsidR="00CE2C70" w:rsidRPr="00494D70">
        <w:rPr>
          <w:rFonts w:ascii="Times New Roman" w:eastAsia="Times New Roman" w:hAnsi="Times New Roman" w:cs="Times New Roman"/>
          <w:i/>
          <w:iCs/>
          <w:sz w:val="24"/>
          <w:szCs w:val="24"/>
        </w:rPr>
        <w:t>status-based g</w:t>
      </w:r>
      <w:r w:rsidR="00057AA9" w:rsidRPr="00494D70">
        <w:rPr>
          <w:rFonts w:ascii="Times New Roman" w:eastAsia="Times New Roman" w:hAnsi="Times New Roman" w:cs="Times New Roman"/>
          <w:i/>
          <w:iCs/>
          <w:sz w:val="24"/>
          <w:szCs w:val="24"/>
        </w:rPr>
        <w:t>roup com</w:t>
      </w:r>
      <w:r w:rsidR="00CC2BEF" w:rsidRPr="00494D70">
        <w:rPr>
          <w:rFonts w:ascii="Times New Roman" w:eastAsia="Times New Roman" w:hAnsi="Times New Roman" w:cs="Times New Roman"/>
          <w:i/>
          <w:iCs/>
          <w:sz w:val="24"/>
          <w:szCs w:val="24"/>
        </w:rPr>
        <w:t>parisons</w:t>
      </w:r>
    </w:p>
    <w:p w14:paraId="0AC51F19" w14:textId="69B2DC4C" w:rsidR="00E513EF" w:rsidRPr="00494D70" w:rsidRDefault="00843E5C" w:rsidP="000B124E">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t>S</w:t>
      </w:r>
      <w:r w:rsidR="00374E0A" w:rsidRPr="00494D70">
        <w:rPr>
          <w:rFonts w:ascii="Times New Roman" w:eastAsia="Times New Roman" w:hAnsi="Times New Roman" w:cs="Times New Roman"/>
          <w:sz w:val="24"/>
          <w:szCs w:val="24"/>
        </w:rPr>
        <w:t>ignificant difference</w:t>
      </w:r>
      <w:r w:rsidR="001C0200" w:rsidRPr="00494D70">
        <w:rPr>
          <w:rFonts w:ascii="Times New Roman" w:eastAsia="Times New Roman" w:hAnsi="Times New Roman" w:cs="Times New Roman"/>
          <w:sz w:val="24"/>
          <w:szCs w:val="24"/>
        </w:rPr>
        <w:t>s</w:t>
      </w:r>
      <w:r w:rsidR="00374E0A" w:rsidRPr="00494D70">
        <w:rPr>
          <w:rFonts w:ascii="Times New Roman" w:eastAsia="Times New Roman" w:hAnsi="Times New Roman" w:cs="Times New Roman"/>
          <w:sz w:val="24"/>
          <w:szCs w:val="24"/>
        </w:rPr>
        <w:t xml:space="preserve"> </w:t>
      </w:r>
      <w:r w:rsidRPr="00494D70">
        <w:rPr>
          <w:rFonts w:ascii="Times New Roman" w:eastAsia="Times New Roman" w:hAnsi="Times New Roman" w:cs="Times New Roman"/>
          <w:sz w:val="24"/>
          <w:szCs w:val="24"/>
        </w:rPr>
        <w:t xml:space="preserve">were observed </w:t>
      </w:r>
      <w:r w:rsidR="00374E0A" w:rsidRPr="00494D70">
        <w:rPr>
          <w:rFonts w:ascii="Times New Roman" w:eastAsia="Times New Roman" w:hAnsi="Times New Roman" w:cs="Times New Roman"/>
          <w:sz w:val="24"/>
          <w:szCs w:val="24"/>
        </w:rPr>
        <w:t>between</w:t>
      </w:r>
      <w:r w:rsidR="0002610E" w:rsidRPr="00494D70">
        <w:rPr>
          <w:rFonts w:ascii="Times New Roman" w:eastAsia="Times New Roman" w:hAnsi="Times New Roman" w:cs="Times New Roman"/>
          <w:sz w:val="24"/>
          <w:szCs w:val="24"/>
        </w:rPr>
        <w:t xml:space="preserve"> the </w:t>
      </w:r>
      <w:r w:rsidR="00374E0A" w:rsidRPr="00494D70">
        <w:rPr>
          <w:rFonts w:ascii="Times New Roman" w:eastAsia="Times New Roman" w:hAnsi="Times New Roman" w:cs="Times New Roman"/>
          <w:sz w:val="24"/>
          <w:szCs w:val="24"/>
        </w:rPr>
        <w:t>countries</w:t>
      </w:r>
      <w:r w:rsidRPr="00494D70">
        <w:rPr>
          <w:rFonts w:ascii="Times New Roman" w:eastAsia="Times New Roman" w:hAnsi="Times New Roman" w:cs="Times New Roman"/>
          <w:sz w:val="24"/>
          <w:szCs w:val="24"/>
        </w:rPr>
        <w:t xml:space="preserve"> that were included in the measurement invariance tests</w:t>
      </w:r>
      <w:r w:rsidR="00755003" w:rsidRPr="00494D70">
        <w:rPr>
          <w:rFonts w:ascii="Times New Roman" w:eastAsia="Times New Roman" w:hAnsi="Times New Roman" w:cs="Times New Roman"/>
          <w:sz w:val="24"/>
          <w:szCs w:val="24"/>
        </w:rPr>
        <w:t xml:space="preserve"> </w:t>
      </w:r>
      <w:r w:rsidR="00B245EB" w:rsidRPr="00494D70">
        <w:rPr>
          <w:rFonts w:ascii="Times New Roman" w:eastAsia="Times New Roman" w:hAnsi="Times New Roman" w:cs="Times New Roman"/>
          <w:sz w:val="24"/>
          <w:szCs w:val="24"/>
        </w:rPr>
        <w:t>(</w:t>
      </w:r>
      <w:proofErr w:type="gramStart"/>
      <w:r w:rsidR="00B245EB" w:rsidRPr="00494D70">
        <w:rPr>
          <w:rFonts w:ascii="Times New Roman" w:eastAsia="Times New Roman" w:hAnsi="Times New Roman" w:cs="Times New Roman"/>
          <w:i/>
          <w:iCs/>
          <w:sz w:val="24"/>
          <w:szCs w:val="24"/>
        </w:rPr>
        <w:t>H</w:t>
      </w:r>
      <w:r w:rsidR="00B245EB" w:rsidRPr="00494D70">
        <w:rPr>
          <w:rFonts w:ascii="Times New Roman" w:eastAsia="Times New Roman" w:hAnsi="Times New Roman" w:cs="Times New Roman"/>
          <w:sz w:val="24"/>
          <w:szCs w:val="24"/>
        </w:rPr>
        <w:t>(</w:t>
      </w:r>
      <w:proofErr w:type="gramEnd"/>
      <w:r w:rsidR="00B245EB" w:rsidRPr="00494D70">
        <w:rPr>
          <w:rFonts w:ascii="Times New Roman" w:eastAsia="Times New Roman" w:hAnsi="Times New Roman" w:cs="Times New Roman"/>
          <w:sz w:val="24"/>
          <w:szCs w:val="24"/>
        </w:rPr>
        <w:t xml:space="preserve">33) = </w:t>
      </w:r>
      <w:r w:rsidR="00D71411" w:rsidRPr="00494D70">
        <w:rPr>
          <w:rFonts w:ascii="Times New Roman" w:eastAsia="Times New Roman" w:hAnsi="Times New Roman" w:cs="Times New Roman"/>
          <w:sz w:val="24"/>
          <w:szCs w:val="24"/>
        </w:rPr>
        <w:t>2</w:t>
      </w:r>
      <w:r w:rsidR="007E5A28" w:rsidRPr="00494D70">
        <w:rPr>
          <w:rFonts w:ascii="Times New Roman" w:eastAsia="Times New Roman" w:hAnsi="Times New Roman" w:cs="Times New Roman"/>
          <w:sz w:val="24"/>
          <w:szCs w:val="24"/>
        </w:rPr>
        <w:t>,</w:t>
      </w:r>
      <w:r w:rsidR="00D71411" w:rsidRPr="00494D70">
        <w:rPr>
          <w:rFonts w:ascii="Times New Roman" w:eastAsia="Times New Roman" w:hAnsi="Times New Roman" w:cs="Times New Roman"/>
          <w:sz w:val="24"/>
          <w:szCs w:val="24"/>
        </w:rPr>
        <w:t>185</w:t>
      </w:r>
      <w:r w:rsidR="00645A3A" w:rsidRPr="00494D70">
        <w:rPr>
          <w:rFonts w:ascii="Times New Roman" w:eastAsia="Times New Roman" w:hAnsi="Times New Roman" w:cs="Times New Roman"/>
          <w:sz w:val="24"/>
          <w:szCs w:val="24"/>
        </w:rPr>
        <w:t>.03</w:t>
      </w:r>
      <w:r w:rsidR="00B245EB" w:rsidRPr="00494D70">
        <w:rPr>
          <w:rFonts w:ascii="Times New Roman" w:eastAsia="Times New Roman" w:hAnsi="Times New Roman" w:cs="Times New Roman"/>
          <w:sz w:val="24"/>
          <w:szCs w:val="24"/>
        </w:rPr>
        <w:t xml:space="preserve">, </w:t>
      </w:r>
      <w:r w:rsidR="00B245EB" w:rsidRPr="00494D70">
        <w:rPr>
          <w:rFonts w:ascii="Times New Roman" w:eastAsia="Times New Roman" w:hAnsi="Times New Roman" w:cs="Times New Roman"/>
          <w:i/>
          <w:iCs/>
          <w:sz w:val="24"/>
          <w:szCs w:val="24"/>
        </w:rPr>
        <w:t>p</w:t>
      </w:r>
      <w:r w:rsidR="00B245EB" w:rsidRPr="00494D70">
        <w:rPr>
          <w:rFonts w:ascii="Times New Roman" w:eastAsia="Times New Roman" w:hAnsi="Times New Roman" w:cs="Times New Roman"/>
          <w:sz w:val="24"/>
          <w:szCs w:val="24"/>
        </w:rPr>
        <w:t xml:space="preserve"> &lt; .001</w:t>
      </w:r>
      <w:r w:rsidR="00DE4819" w:rsidRPr="00494D70">
        <w:rPr>
          <w:rFonts w:ascii="Times New Roman" w:eastAsia="Times New Roman" w:hAnsi="Times New Roman" w:cs="Times New Roman"/>
          <w:sz w:val="24"/>
          <w:szCs w:val="24"/>
        </w:rPr>
        <w:t>,</w:t>
      </w:r>
      <w:r w:rsidR="005A7E0B" w:rsidRPr="00494D70">
        <w:rPr>
          <w:rFonts w:ascii="Times New Roman" w:eastAsia="Times New Roman" w:hAnsi="Times New Roman" w:cs="Times New Roman"/>
          <w:sz w:val="24"/>
          <w:szCs w:val="24"/>
        </w:rPr>
        <w:t xml:space="preserve"> </w:t>
      </w:r>
      <w:r w:rsidR="005A7E0B" w:rsidRPr="00494D70">
        <w:rPr>
          <w:rFonts w:ascii="Times New Roman" w:eastAsia="Times New Roman" w:hAnsi="Times New Roman" w:cs="Times New Roman"/>
          <w:i/>
          <w:iCs/>
          <w:sz w:val="24"/>
          <w:szCs w:val="24"/>
        </w:rPr>
        <w:t>η</w:t>
      </w:r>
      <w:r w:rsidR="005A7E0B" w:rsidRPr="00494D70">
        <w:rPr>
          <w:rFonts w:ascii="Times New Roman" w:eastAsia="Times New Roman" w:hAnsi="Times New Roman" w:cs="Times New Roman"/>
          <w:i/>
          <w:iCs/>
          <w:sz w:val="24"/>
          <w:szCs w:val="24"/>
          <w:vertAlign w:val="superscript"/>
        </w:rPr>
        <w:t>2</w:t>
      </w:r>
      <w:r w:rsidR="00DE4819" w:rsidRPr="00494D70">
        <w:rPr>
          <w:rFonts w:ascii="Times New Roman" w:eastAsia="Times New Roman" w:hAnsi="Times New Roman" w:cs="Times New Roman"/>
          <w:sz w:val="24"/>
          <w:szCs w:val="24"/>
        </w:rPr>
        <w:t xml:space="preserve"> =</w:t>
      </w:r>
      <w:r w:rsidR="00CF2178" w:rsidRPr="00494D70">
        <w:rPr>
          <w:rFonts w:ascii="Times New Roman" w:eastAsia="Times New Roman" w:hAnsi="Times New Roman" w:cs="Times New Roman"/>
          <w:sz w:val="24"/>
          <w:szCs w:val="24"/>
        </w:rPr>
        <w:t xml:space="preserve"> </w:t>
      </w:r>
      <w:r w:rsidR="00DE4819" w:rsidRPr="00494D70">
        <w:rPr>
          <w:rFonts w:ascii="Times New Roman" w:eastAsia="Times New Roman" w:hAnsi="Times New Roman" w:cs="Times New Roman"/>
          <w:sz w:val="24"/>
          <w:szCs w:val="24"/>
        </w:rPr>
        <w:t>.0</w:t>
      </w:r>
      <w:r w:rsidR="00645A3A" w:rsidRPr="00494D70">
        <w:rPr>
          <w:rFonts w:ascii="Times New Roman" w:eastAsia="Times New Roman" w:hAnsi="Times New Roman" w:cs="Times New Roman"/>
          <w:sz w:val="24"/>
          <w:szCs w:val="24"/>
        </w:rPr>
        <w:t>35</w:t>
      </w:r>
      <w:r w:rsidR="00B245EB" w:rsidRPr="00494D70">
        <w:rPr>
          <w:rFonts w:ascii="Times New Roman" w:eastAsia="Times New Roman" w:hAnsi="Times New Roman" w:cs="Times New Roman"/>
          <w:sz w:val="24"/>
          <w:szCs w:val="24"/>
        </w:rPr>
        <w:t>)</w:t>
      </w:r>
      <w:r w:rsidR="0002610E" w:rsidRPr="00494D70">
        <w:rPr>
          <w:rFonts w:ascii="Times New Roman" w:eastAsia="Times New Roman" w:hAnsi="Times New Roman" w:cs="Times New Roman"/>
          <w:sz w:val="24"/>
          <w:szCs w:val="24"/>
        </w:rPr>
        <w:t>.</w:t>
      </w:r>
      <w:r w:rsidR="00374E0A" w:rsidRPr="00494D70">
        <w:rPr>
          <w:rFonts w:ascii="Times New Roman" w:eastAsia="Times New Roman" w:hAnsi="Times New Roman" w:cs="Times New Roman"/>
          <w:sz w:val="24"/>
          <w:szCs w:val="24"/>
        </w:rPr>
        <w:t xml:space="preserve"> </w:t>
      </w:r>
      <w:r w:rsidR="00D11CBC" w:rsidRPr="00494D70">
        <w:rPr>
          <w:rFonts w:ascii="Times New Roman" w:eastAsia="Times New Roman" w:hAnsi="Times New Roman" w:cs="Times New Roman"/>
          <w:sz w:val="24"/>
          <w:szCs w:val="24"/>
        </w:rPr>
        <w:t>Croatia, Spain</w:t>
      </w:r>
      <w:r w:rsidRPr="00494D70">
        <w:rPr>
          <w:rFonts w:ascii="Times New Roman" w:eastAsia="Times New Roman" w:hAnsi="Times New Roman" w:cs="Times New Roman"/>
          <w:sz w:val="24"/>
          <w:szCs w:val="24"/>
        </w:rPr>
        <w:t>,</w:t>
      </w:r>
      <w:r w:rsidR="00D11CBC" w:rsidRPr="00494D70">
        <w:rPr>
          <w:rFonts w:ascii="Times New Roman" w:eastAsia="Times New Roman" w:hAnsi="Times New Roman" w:cs="Times New Roman"/>
          <w:sz w:val="24"/>
          <w:szCs w:val="24"/>
        </w:rPr>
        <w:t xml:space="preserve"> and North Macedonia had the </w:t>
      </w:r>
      <w:r w:rsidR="00662294" w:rsidRPr="00494D70">
        <w:rPr>
          <w:rFonts w:ascii="Times New Roman" w:eastAsia="Times New Roman" w:hAnsi="Times New Roman" w:cs="Times New Roman"/>
          <w:sz w:val="24"/>
          <w:szCs w:val="24"/>
        </w:rPr>
        <w:t xml:space="preserve">highest total </w:t>
      </w:r>
      <w:r w:rsidRPr="00494D70">
        <w:rPr>
          <w:rFonts w:ascii="Times New Roman" w:eastAsia="Times New Roman" w:hAnsi="Times New Roman" w:cs="Times New Roman"/>
          <w:sz w:val="24"/>
          <w:szCs w:val="24"/>
        </w:rPr>
        <w:t xml:space="preserve">scores on </w:t>
      </w:r>
      <w:r w:rsidR="0040373B" w:rsidRPr="00494D70">
        <w:rPr>
          <w:rFonts w:ascii="Times New Roman" w:eastAsia="Times New Roman" w:hAnsi="Times New Roman" w:cs="Times New Roman"/>
          <w:sz w:val="24"/>
          <w:szCs w:val="24"/>
        </w:rPr>
        <w:t xml:space="preserve">overall </w:t>
      </w:r>
      <w:r w:rsidRPr="00494D70">
        <w:rPr>
          <w:rFonts w:ascii="Times New Roman" w:eastAsia="Times New Roman" w:hAnsi="Times New Roman" w:cs="Times New Roman"/>
          <w:sz w:val="24"/>
          <w:szCs w:val="24"/>
        </w:rPr>
        <w:t>SA</w:t>
      </w:r>
      <w:r w:rsidR="00662294" w:rsidRPr="00494D70">
        <w:rPr>
          <w:rFonts w:ascii="Times New Roman" w:eastAsia="Times New Roman" w:hAnsi="Times New Roman" w:cs="Times New Roman"/>
          <w:sz w:val="24"/>
          <w:szCs w:val="24"/>
        </w:rPr>
        <w:t xml:space="preserve">, while </w:t>
      </w:r>
      <w:r w:rsidR="00904E69" w:rsidRPr="00494D70">
        <w:rPr>
          <w:rFonts w:ascii="Times New Roman" w:eastAsia="Times New Roman" w:hAnsi="Times New Roman" w:cs="Times New Roman"/>
          <w:sz w:val="24"/>
          <w:szCs w:val="24"/>
        </w:rPr>
        <w:t>Lithuania, South Korea</w:t>
      </w:r>
      <w:r w:rsidRPr="00494D70">
        <w:rPr>
          <w:rFonts w:ascii="Times New Roman" w:eastAsia="Times New Roman" w:hAnsi="Times New Roman" w:cs="Times New Roman"/>
          <w:sz w:val="24"/>
          <w:szCs w:val="24"/>
        </w:rPr>
        <w:t>,</w:t>
      </w:r>
      <w:r w:rsidR="00904E69" w:rsidRPr="00494D70">
        <w:rPr>
          <w:rFonts w:ascii="Times New Roman" w:eastAsia="Times New Roman" w:hAnsi="Times New Roman" w:cs="Times New Roman"/>
          <w:sz w:val="24"/>
          <w:szCs w:val="24"/>
        </w:rPr>
        <w:t xml:space="preserve"> and the </w:t>
      </w:r>
      <w:r w:rsidR="00135930" w:rsidRPr="00494D70">
        <w:rPr>
          <w:rFonts w:ascii="Times New Roman" w:eastAsia="Times New Roman" w:hAnsi="Times New Roman" w:cs="Times New Roman"/>
          <w:sz w:val="24"/>
          <w:szCs w:val="24"/>
        </w:rPr>
        <w:t>Czech Republi</w:t>
      </w:r>
      <w:r w:rsidR="00904E69" w:rsidRPr="00494D70">
        <w:rPr>
          <w:rFonts w:ascii="Times New Roman" w:eastAsia="Times New Roman" w:hAnsi="Times New Roman" w:cs="Times New Roman"/>
          <w:sz w:val="24"/>
          <w:szCs w:val="24"/>
        </w:rPr>
        <w:t>c had</w:t>
      </w:r>
      <w:r w:rsidR="00135930" w:rsidRPr="00494D70">
        <w:rPr>
          <w:rFonts w:ascii="Times New Roman" w:eastAsia="Times New Roman" w:hAnsi="Times New Roman" w:cs="Times New Roman"/>
          <w:sz w:val="24"/>
          <w:szCs w:val="24"/>
        </w:rPr>
        <w:t xml:space="preserve"> the lowest</w:t>
      </w:r>
      <w:r w:rsidRPr="00494D70">
        <w:rPr>
          <w:rFonts w:ascii="Times New Roman" w:eastAsia="Times New Roman" w:hAnsi="Times New Roman" w:cs="Times New Roman"/>
          <w:sz w:val="24"/>
          <w:szCs w:val="24"/>
        </w:rPr>
        <w:t xml:space="preserve"> ones</w:t>
      </w:r>
      <w:r w:rsidR="00135930" w:rsidRPr="00494D70">
        <w:rPr>
          <w:rFonts w:ascii="Times New Roman" w:eastAsia="Times New Roman" w:hAnsi="Times New Roman" w:cs="Times New Roman"/>
          <w:sz w:val="24"/>
          <w:szCs w:val="24"/>
        </w:rPr>
        <w:t>.</w:t>
      </w:r>
      <w:r w:rsidR="00FF343E" w:rsidRPr="00494D70">
        <w:rPr>
          <w:rFonts w:ascii="Times New Roman" w:eastAsia="Times New Roman" w:hAnsi="Times New Roman" w:cs="Times New Roman"/>
          <w:sz w:val="24"/>
          <w:szCs w:val="24"/>
        </w:rPr>
        <w:t xml:space="preserve"> </w:t>
      </w:r>
      <w:r w:rsidR="0090119A" w:rsidRPr="00494D70">
        <w:rPr>
          <w:rFonts w:ascii="Times New Roman" w:eastAsia="Times New Roman" w:hAnsi="Times New Roman" w:cs="Times New Roman"/>
          <w:sz w:val="24"/>
          <w:szCs w:val="24"/>
        </w:rPr>
        <w:t xml:space="preserve">The </w:t>
      </w:r>
      <w:r w:rsidR="00CA30D9" w:rsidRPr="00494D70">
        <w:rPr>
          <w:rFonts w:ascii="Times New Roman" w:eastAsia="Times New Roman" w:hAnsi="Times New Roman" w:cs="Times New Roman"/>
          <w:sz w:val="24"/>
          <w:szCs w:val="24"/>
        </w:rPr>
        <w:t>ranking of high</w:t>
      </w:r>
      <w:r w:rsidR="00EB438A" w:rsidRPr="00494D70">
        <w:rPr>
          <w:rFonts w:ascii="Times New Roman" w:eastAsia="Times New Roman" w:hAnsi="Times New Roman" w:cs="Times New Roman"/>
          <w:sz w:val="24"/>
          <w:szCs w:val="24"/>
        </w:rPr>
        <w:t>-</w:t>
      </w:r>
      <w:r w:rsidR="00CA30D9" w:rsidRPr="00494D70">
        <w:rPr>
          <w:rFonts w:ascii="Times New Roman" w:eastAsia="Times New Roman" w:hAnsi="Times New Roman" w:cs="Times New Roman"/>
          <w:sz w:val="24"/>
          <w:szCs w:val="24"/>
        </w:rPr>
        <w:t xml:space="preserve"> and low</w:t>
      </w:r>
      <w:r w:rsidR="00EB438A" w:rsidRPr="00494D70">
        <w:rPr>
          <w:rFonts w:ascii="Times New Roman" w:eastAsia="Times New Roman" w:hAnsi="Times New Roman" w:cs="Times New Roman"/>
          <w:sz w:val="24"/>
          <w:szCs w:val="24"/>
        </w:rPr>
        <w:t>-</w:t>
      </w:r>
      <w:r w:rsidR="0069659E" w:rsidRPr="00494D70">
        <w:rPr>
          <w:rFonts w:ascii="Times New Roman" w:eastAsia="Times New Roman" w:hAnsi="Times New Roman" w:cs="Times New Roman"/>
          <w:sz w:val="24"/>
          <w:szCs w:val="24"/>
        </w:rPr>
        <w:t>scoring countries</w:t>
      </w:r>
      <w:r w:rsidR="0090119A" w:rsidRPr="00494D70">
        <w:rPr>
          <w:rFonts w:ascii="Times New Roman" w:eastAsia="Times New Roman" w:hAnsi="Times New Roman" w:cs="Times New Roman"/>
          <w:sz w:val="24"/>
          <w:szCs w:val="24"/>
        </w:rPr>
        <w:t>, however, differed for each subscale</w:t>
      </w:r>
      <w:r w:rsidR="003A7B72" w:rsidRPr="00494D70">
        <w:rPr>
          <w:rFonts w:ascii="Times New Roman" w:eastAsia="Times New Roman" w:hAnsi="Times New Roman" w:cs="Times New Roman"/>
          <w:sz w:val="24"/>
          <w:szCs w:val="24"/>
        </w:rPr>
        <w:t xml:space="preserve">: North Macedonia, Italy and Bangladesh </w:t>
      </w:r>
      <w:r w:rsidR="004478BA" w:rsidRPr="00494D70">
        <w:rPr>
          <w:rFonts w:ascii="Times New Roman" w:eastAsia="Times New Roman" w:hAnsi="Times New Roman" w:cs="Times New Roman"/>
          <w:sz w:val="24"/>
          <w:szCs w:val="24"/>
        </w:rPr>
        <w:t xml:space="preserve">reached the highest mean scores on the </w:t>
      </w:r>
      <w:r w:rsidR="004478BA" w:rsidRPr="00494D70">
        <w:rPr>
          <w:rFonts w:ascii="Times New Roman" w:eastAsia="Times New Roman" w:hAnsi="Times New Roman" w:cs="Times New Roman"/>
          <w:i/>
          <w:iCs/>
          <w:sz w:val="24"/>
          <w:szCs w:val="24"/>
        </w:rPr>
        <w:t>Initiation</w:t>
      </w:r>
      <w:r w:rsidR="00EB438A" w:rsidRPr="00494D70">
        <w:rPr>
          <w:rFonts w:ascii="Times New Roman" w:eastAsia="Times New Roman" w:hAnsi="Times New Roman" w:cs="Times New Roman"/>
          <w:i/>
          <w:iCs/>
          <w:sz w:val="24"/>
          <w:szCs w:val="24"/>
        </w:rPr>
        <w:t xml:space="preserve"> </w:t>
      </w:r>
      <w:r w:rsidR="00EB438A" w:rsidRPr="00494D70">
        <w:rPr>
          <w:rFonts w:ascii="Times New Roman" w:eastAsia="Times New Roman" w:hAnsi="Times New Roman" w:cs="Times New Roman"/>
          <w:sz w:val="24"/>
          <w:szCs w:val="24"/>
        </w:rPr>
        <w:t>subscale</w:t>
      </w:r>
      <w:r w:rsidR="004478BA" w:rsidRPr="00494D70">
        <w:rPr>
          <w:rFonts w:ascii="Times New Roman" w:eastAsia="Times New Roman" w:hAnsi="Times New Roman" w:cs="Times New Roman"/>
          <w:sz w:val="24"/>
          <w:szCs w:val="24"/>
        </w:rPr>
        <w:t>, Spain, Portugal</w:t>
      </w:r>
      <w:r w:rsidR="001F3F6D" w:rsidRPr="00494D70">
        <w:rPr>
          <w:rFonts w:ascii="Times New Roman" w:eastAsia="Times New Roman" w:hAnsi="Times New Roman" w:cs="Times New Roman"/>
          <w:sz w:val="24"/>
          <w:szCs w:val="24"/>
        </w:rPr>
        <w:t>,</w:t>
      </w:r>
      <w:r w:rsidR="004478BA" w:rsidRPr="00494D70">
        <w:rPr>
          <w:rFonts w:ascii="Times New Roman" w:eastAsia="Times New Roman" w:hAnsi="Times New Roman" w:cs="Times New Roman"/>
          <w:sz w:val="24"/>
          <w:szCs w:val="24"/>
        </w:rPr>
        <w:t xml:space="preserve"> and </w:t>
      </w:r>
      <w:r w:rsidR="00213018" w:rsidRPr="00494D70">
        <w:rPr>
          <w:rFonts w:ascii="Times New Roman" w:eastAsia="Times New Roman" w:hAnsi="Times New Roman" w:cs="Times New Roman"/>
          <w:sz w:val="24"/>
          <w:szCs w:val="24"/>
        </w:rPr>
        <w:t xml:space="preserve">France </w:t>
      </w:r>
      <w:r w:rsidR="00EB438A" w:rsidRPr="00494D70">
        <w:rPr>
          <w:rFonts w:ascii="Times New Roman" w:eastAsia="Times New Roman" w:hAnsi="Times New Roman" w:cs="Times New Roman"/>
          <w:sz w:val="24"/>
          <w:szCs w:val="24"/>
        </w:rPr>
        <w:t xml:space="preserve">on </w:t>
      </w:r>
      <w:r w:rsidR="00213018" w:rsidRPr="00494D70">
        <w:rPr>
          <w:rFonts w:ascii="Times New Roman" w:eastAsia="Times New Roman" w:hAnsi="Times New Roman" w:cs="Times New Roman"/>
          <w:sz w:val="24"/>
          <w:szCs w:val="24"/>
        </w:rPr>
        <w:t xml:space="preserve">the </w:t>
      </w:r>
      <w:r w:rsidR="00213018" w:rsidRPr="00494D70">
        <w:rPr>
          <w:rFonts w:ascii="Times New Roman" w:eastAsia="Times New Roman" w:hAnsi="Times New Roman" w:cs="Times New Roman"/>
          <w:i/>
          <w:iCs/>
          <w:sz w:val="24"/>
          <w:szCs w:val="24"/>
        </w:rPr>
        <w:t>Refusal</w:t>
      </w:r>
      <w:r w:rsidR="00EB438A" w:rsidRPr="00494D70">
        <w:rPr>
          <w:rFonts w:ascii="Times New Roman" w:eastAsia="Times New Roman" w:hAnsi="Times New Roman" w:cs="Times New Roman"/>
          <w:i/>
          <w:iCs/>
          <w:sz w:val="24"/>
          <w:szCs w:val="24"/>
        </w:rPr>
        <w:t xml:space="preserve"> </w:t>
      </w:r>
      <w:r w:rsidR="00EB438A" w:rsidRPr="00494D70">
        <w:rPr>
          <w:rFonts w:ascii="Times New Roman" w:eastAsia="Times New Roman" w:hAnsi="Times New Roman" w:cs="Times New Roman"/>
          <w:sz w:val="24"/>
          <w:szCs w:val="24"/>
        </w:rPr>
        <w:t>subscale</w:t>
      </w:r>
      <w:r w:rsidR="00213018" w:rsidRPr="00494D70">
        <w:rPr>
          <w:rFonts w:ascii="Times New Roman" w:eastAsia="Times New Roman" w:hAnsi="Times New Roman" w:cs="Times New Roman"/>
          <w:sz w:val="24"/>
          <w:szCs w:val="24"/>
        </w:rPr>
        <w:t xml:space="preserve">, </w:t>
      </w:r>
      <w:r w:rsidR="00EB438A" w:rsidRPr="00494D70">
        <w:rPr>
          <w:rFonts w:ascii="Times New Roman" w:eastAsia="Times New Roman" w:hAnsi="Times New Roman" w:cs="Times New Roman"/>
          <w:sz w:val="24"/>
          <w:szCs w:val="24"/>
        </w:rPr>
        <w:t xml:space="preserve">and </w:t>
      </w:r>
      <w:r w:rsidR="00213018" w:rsidRPr="00494D70">
        <w:rPr>
          <w:rFonts w:ascii="Times New Roman" w:eastAsia="Times New Roman" w:hAnsi="Times New Roman" w:cs="Times New Roman"/>
          <w:sz w:val="24"/>
          <w:szCs w:val="24"/>
        </w:rPr>
        <w:t>Croati</w:t>
      </w:r>
      <w:r w:rsidR="008B1EE6" w:rsidRPr="00494D70">
        <w:rPr>
          <w:rFonts w:ascii="Times New Roman" w:eastAsia="Times New Roman" w:hAnsi="Times New Roman" w:cs="Times New Roman"/>
          <w:sz w:val="24"/>
          <w:szCs w:val="24"/>
        </w:rPr>
        <w:t>a, Colombia</w:t>
      </w:r>
      <w:r w:rsidR="001F3F6D" w:rsidRPr="00494D70">
        <w:rPr>
          <w:rFonts w:ascii="Times New Roman" w:eastAsia="Times New Roman" w:hAnsi="Times New Roman" w:cs="Times New Roman"/>
          <w:sz w:val="24"/>
          <w:szCs w:val="24"/>
        </w:rPr>
        <w:t>,</w:t>
      </w:r>
      <w:r w:rsidR="008B1EE6" w:rsidRPr="00494D70">
        <w:rPr>
          <w:rFonts w:ascii="Times New Roman" w:eastAsia="Times New Roman" w:hAnsi="Times New Roman" w:cs="Times New Roman"/>
          <w:sz w:val="24"/>
          <w:szCs w:val="24"/>
        </w:rPr>
        <w:t xml:space="preserve"> </w:t>
      </w:r>
      <w:r w:rsidR="00434F85" w:rsidRPr="00494D70">
        <w:rPr>
          <w:rFonts w:ascii="Times New Roman" w:eastAsia="Times New Roman" w:hAnsi="Times New Roman" w:cs="Times New Roman"/>
          <w:sz w:val="24"/>
          <w:szCs w:val="24"/>
        </w:rPr>
        <w:t xml:space="preserve">and Italy on the </w:t>
      </w:r>
      <w:r w:rsidR="00434F85" w:rsidRPr="00494D70">
        <w:rPr>
          <w:rFonts w:ascii="Times New Roman" w:eastAsia="Times New Roman" w:hAnsi="Times New Roman" w:cs="Times New Roman"/>
          <w:i/>
          <w:iCs/>
          <w:sz w:val="24"/>
          <w:szCs w:val="24"/>
        </w:rPr>
        <w:t>Risk communication</w:t>
      </w:r>
      <w:r w:rsidR="00434F85" w:rsidRPr="00494D70">
        <w:rPr>
          <w:rFonts w:ascii="Times New Roman" w:eastAsia="Times New Roman" w:hAnsi="Times New Roman" w:cs="Times New Roman"/>
          <w:sz w:val="24"/>
          <w:szCs w:val="24"/>
        </w:rPr>
        <w:t xml:space="preserve"> subscale</w:t>
      </w:r>
      <w:r w:rsidR="001F3F6D" w:rsidRPr="00494D70">
        <w:rPr>
          <w:rFonts w:ascii="Times New Roman" w:eastAsia="Times New Roman" w:hAnsi="Times New Roman" w:cs="Times New Roman"/>
          <w:sz w:val="24"/>
          <w:szCs w:val="24"/>
        </w:rPr>
        <w:t xml:space="preserve">. </w:t>
      </w:r>
      <w:r w:rsidR="00720AD3" w:rsidRPr="00494D70">
        <w:rPr>
          <w:rFonts w:ascii="Times New Roman" w:eastAsia="Times New Roman" w:hAnsi="Times New Roman" w:cs="Times New Roman"/>
          <w:sz w:val="24"/>
          <w:szCs w:val="24"/>
        </w:rPr>
        <w:t>Lithuania, Germany</w:t>
      </w:r>
      <w:r w:rsidR="001F3F6D" w:rsidRPr="00494D70">
        <w:rPr>
          <w:rFonts w:ascii="Times New Roman" w:eastAsia="Times New Roman" w:hAnsi="Times New Roman" w:cs="Times New Roman"/>
          <w:sz w:val="24"/>
          <w:szCs w:val="24"/>
        </w:rPr>
        <w:t>,</w:t>
      </w:r>
      <w:r w:rsidR="00720AD3" w:rsidRPr="00494D70">
        <w:rPr>
          <w:rFonts w:ascii="Times New Roman" w:eastAsia="Times New Roman" w:hAnsi="Times New Roman" w:cs="Times New Roman"/>
          <w:sz w:val="24"/>
          <w:szCs w:val="24"/>
        </w:rPr>
        <w:t xml:space="preserve"> and Taiwan were among the lowest-scoring countries on the </w:t>
      </w:r>
      <w:r w:rsidR="00720AD3" w:rsidRPr="00494D70">
        <w:rPr>
          <w:rFonts w:ascii="Times New Roman" w:eastAsia="Times New Roman" w:hAnsi="Times New Roman" w:cs="Times New Roman"/>
          <w:i/>
          <w:iCs/>
          <w:sz w:val="24"/>
          <w:szCs w:val="24"/>
        </w:rPr>
        <w:t>Initiation</w:t>
      </w:r>
      <w:r w:rsidR="00720AD3" w:rsidRPr="00494D70">
        <w:rPr>
          <w:rFonts w:ascii="Times New Roman" w:eastAsia="Times New Roman" w:hAnsi="Times New Roman" w:cs="Times New Roman"/>
          <w:sz w:val="24"/>
          <w:szCs w:val="24"/>
        </w:rPr>
        <w:t xml:space="preserve"> subscale, Hungary, China and Taiwan</w:t>
      </w:r>
      <w:r w:rsidR="00E01AC0" w:rsidRPr="00494D70">
        <w:rPr>
          <w:rFonts w:ascii="Times New Roman" w:eastAsia="Times New Roman" w:hAnsi="Times New Roman" w:cs="Times New Roman"/>
          <w:sz w:val="24"/>
          <w:szCs w:val="24"/>
        </w:rPr>
        <w:t xml:space="preserve"> on the </w:t>
      </w:r>
      <w:r w:rsidR="00E01AC0" w:rsidRPr="00494D70">
        <w:rPr>
          <w:rFonts w:ascii="Times New Roman" w:eastAsia="Times New Roman" w:hAnsi="Times New Roman" w:cs="Times New Roman"/>
          <w:i/>
          <w:iCs/>
          <w:sz w:val="24"/>
          <w:szCs w:val="24"/>
        </w:rPr>
        <w:t>Refusal</w:t>
      </w:r>
      <w:r w:rsidR="00E01AC0" w:rsidRPr="00494D70">
        <w:rPr>
          <w:rFonts w:ascii="Times New Roman" w:eastAsia="Times New Roman" w:hAnsi="Times New Roman" w:cs="Times New Roman"/>
          <w:sz w:val="24"/>
          <w:szCs w:val="24"/>
        </w:rPr>
        <w:t xml:space="preserve"> subscale, and Brazil, South Korea</w:t>
      </w:r>
      <w:r w:rsidR="001F3F6D" w:rsidRPr="00494D70">
        <w:rPr>
          <w:rFonts w:ascii="Times New Roman" w:eastAsia="Times New Roman" w:hAnsi="Times New Roman" w:cs="Times New Roman"/>
          <w:sz w:val="24"/>
          <w:szCs w:val="24"/>
        </w:rPr>
        <w:t>,</w:t>
      </w:r>
      <w:r w:rsidR="00E01AC0" w:rsidRPr="00494D70">
        <w:rPr>
          <w:rFonts w:ascii="Times New Roman" w:eastAsia="Times New Roman" w:hAnsi="Times New Roman" w:cs="Times New Roman"/>
          <w:sz w:val="24"/>
          <w:szCs w:val="24"/>
        </w:rPr>
        <w:t xml:space="preserve"> and the Czech Republic on the </w:t>
      </w:r>
      <w:r w:rsidR="005A2407" w:rsidRPr="00494D70">
        <w:rPr>
          <w:rFonts w:ascii="Times New Roman" w:eastAsia="Times New Roman" w:hAnsi="Times New Roman" w:cs="Times New Roman"/>
          <w:i/>
          <w:iCs/>
          <w:sz w:val="24"/>
          <w:szCs w:val="24"/>
        </w:rPr>
        <w:t>Risk communication</w:t>
      </w:r>
      <w:r w:rsidR="005A2407" w:rsidRPr="00494D70">
        <w:rPr>
          <w:rFonts w:ascii="Times New Roman" w:eastAsia="Times New Roman" w:hAnsi="Times New Roman" w:cs="Times New Roman"/>
          <w:sz w:val="24"/>
          <w:szCs w:val="24"/>
        </w:rPr>
        <w:t xml:space="preserve"> subscale.</w:t>
      </w:r>
      <w:r w:rsidR="00A7359B" w:rsidRPr="00494D70">
        <w:rPr>
          <w:rFonts w:ascii="Times New Roman" w:eastAsia="Times New Roman" w:hAnsi="Times New Roman" w:cs="Times New Roman"/>
          <w:sz w:val="24"/>
          <w:szCs w:val="24"/>
        </w:rPr>
        <w:t xml:space="preserve"> </w:t>
      </w:r>
      <w:r w:rsidR="0073796E" w:rsidRPr="00494D70">
        <w:rPr>
          <w:rFonts w:ascii="Times New Roman" w:eastAsia="Times New Roman" w:hAnsi="Times New Roman" w:cs="Times New Roman"/>
          <w:sz w:val="24"/>
          <w:szCs w:val="24"/>
        </w:rPr>
        <w:t xml:space="preserve">In each country, participants reached the highest mean scores on the </w:t>
      </w:r>
      <w:r w:rsidR="0073796E" w:rsidRPr="00494D70">
        <w:rPr>
          <w:rFonts w:ascii="Times New Roman" w:eastAsia="Times New Roman" w:hAnsi="Times New Roman" w:cs="Times New Roman"/>
          <w:i/>
          <w:iCs/>
          <w:sz w:val="24"/>
          <w:szCs w:val="24"/>
        </w:rPr>
        <w:t>Initiation</w:t>
      </w:r>
      <w:r w:rsidR="00EB438A" w:rsidRPr="00494D70">
        <w:rPr>
          <w:rFonts w:ascii="Times New Roman" w:eastAsia="Times New Roman" w:hAnsi="Times New Roman" w:cs="Times New Roman"/>
          <w:sz w:val="24"/>
          <w:szCs w:val="24"/>
        </w:rPr>
        <w:t xml:space="preserve"> </w:t>
      </w:r>
      <w:r w:rsidR="00672B58" w:rsidRPr="00494D70">
        <w:rPr>
          <w:rFonts w:ascii="Times New Roman" w:eastAsia="Times New Roman" w:hAnsi="Times New Roman" w:cs="Times New Roman"/>
          <w:sz w:val="24"/>
          <w:szCs w:val="24"/>
        </w:rPr>
        <w:t>subscale and</w:t>
      </w:r>
      <w:r w:rsidR="00F6656A" w:rsidRPr="00494D70">
        <w:rPr>
          <w:rFonts w:ascii="Times New Roman" w:eastAsia="Times New Roman" w:hAnsi="Times New Roman" w:cs="Times New Roman"/>
          <w:sz w:val="24"/>
          <w:szCs w:val="24"/>
        </w:rPr>
        <w:t xml:space="preserve"> scored the lowest on the </w:t>
      </w:r>
      <w:r w:rsidR="00F6656A" w:rsidRPr="00494D70">
        <w:rPr>
          <w:rFonts w:ascii="Times New Roman" w:eastAsia="Times New Roman" w:hAnsi="Times New Roman" w:cs="Times New Roman"/>
          <w:i/>
          <w:iCs/>
          <w:sz w:val="24"/>
          <w:szCs w:val="24"/>
        </w:rPr>
        <w:t>Risk</w:t>
      </w:r>
      <w:r w:rsidR="00F6656A" w:rsidRPr="00494D70">
        <w:rPr>
          <w:rFonts w:ascii="Times New Roman" w:eastAsia="Times New Roman" w:hAnsi="Times New Roman" w:cs="Times New Roman"/>
          <w:sz w:val="24"/>
          <w:szCs w:val="24"/>
        </w:rPr>
        <w:t xml:space="preserve"> </w:t>
      </w:r>
      <w:r w:rsidR="00F6656A" w:rsidRPr="00494D70">
        <w:rPr>
          <w:rFonts w:ascii="Times New Roman" w:eastAsia="Times New Roman" w:hAnsi="Times New Roman" w:cs="Times New Roman"/>
          <w:i/>
          <w:iCs/>
          <w:sz w:val="24"/>
          <w:szCs w:val="24"/>
        </w:rPr>
        <w:t>communication</w:t>
      </w:r>
      <w:r w:rsidR="00F6656A" w:rsidRPr="00494D70">
        <w:rPr>
          <w:rFonts w:ascii="Times New Roman" w:eastAsia="Times New Roman" w:hAnsi="Times New Roman" w:cs="Times New Roman"/>
          <w:sz w:val="24"/>
          <w:szCs w:val="24"/>
        </w:rPr>
        <w:t xml:space="preserve"> subscale. Taiwan was the only </w:t>
      </w:r>
      <w:r w:rsidR="00061B45" w:rsidRPr="00494D70">
        <w:rPr>
          <w:rFonts w:ascii="Times New Roman" w:eastAsia="Times New Roman" w:hAnsi="Times New Roman" w:cs="Times New Roman"/>
          <w:sz w:val="24"/>
          <w:szCs w:val="24"/>
        </w:rPr>
        <w:t xml:space="preserve">exception for this, where the mean score of the </w:t>
      </w:r>
      <w:r w:rsidR="00061B45" w:rsidRPr="00494D70">
        <w:rPr>
          <w:rFonts w:ascii="Times New Roman" w:eastAsia="Times New Roman" w:hAnsi="Times New Roman" w:cs="Times New Roman"/>
          <w:i/>
          <w:iCs/>
          <w:sz w:val="24"/>
          <w:szCs w:val="24"/>
        </w:rPr>
        <w:t>Refusal</w:t>
      </w:r>
      <w:r w:rsidR="00061B45" w:rsidRPr="00494D70">
        <w:rPr>
          <w:rFonts w:ascii="Times New Roman" w:eastAsia="Times New Roman" w:hAnsi="Times New Roman" w:cs="Times New Roman"/>
          <w:sz w:val="24"/>
          <w:szCs w:val="24"/>
        </w:rPr>
        <w:t xml:space="preserve"> subscale was </w:t>
      </w:r>
      <w:r w:rsidR="007B326E" w:rsidRPr="00494D70">
        <w:rPr>
          <w:rFonts w:ascii="Times New Roman" w:eastAsia="Times New Roman" w:hAnsi="Times New Roman" w:cs="Times New Roman"/>
          <w:sz w:val="24"/>
          <w:szCs w:val="24"/>
        </w:rPr>
        <w:t>the lowest.</w:t>
      </w:r>
      <w:r w:rsidR="00720AD3" w:rsidRPr="00494D70">
        <w:rPr>
          <w:rFonts w:ascii="Times New Roman" w:eastAsia="Times New Roman" w:hAnsi="Times New Roman" w:cs="Times New Roman"/>
          <w:sz w:val="24"/>
          <w:szCs w:val="24"/>
        </w:rPr>
        <w:t xml:space="preserve"> </w:t>
      </w:r>
    </w:p>
    <w:p w14:paraId="429B8C74" w14:textId="4FB3CA63" w:rsidR="008F27D3" w:rsidRPr="00494D70" w:rsidRDefault="00BA746A" w:rsidP="008F27D3">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lastRenderedPageBreak/>
        <w:t xml:space="preserve"> </w:t>
      </w:r>
      <w:r w:rsidR="00D6153D" w:rsidRPr="00494D70">
        <w:rPr>
          <w:rFonts w:ascii="Times New Roman" w:eastAsia="Times New Roman" w:hAnsi="Times New Roman" w:cs="Times New Roman"/>
          <w:sz w:val="24"/>
          <w:szCs w:val="24"/>
        </w:rPr>
        <w:t>Means</w:t>
      </w:r>
      <w:r w:rsidR="00FE6FA4" w:rsidRPr="00494D70">
        <w:rPr>
          <w:rFonts w:ascii="Times New Roman" w:eastAsia="Times New Roman" w:hAnsi="Times New Roman" w:cs="Times New Roman"/>
          <w:sz w:val="24"/>
          <w:szCs w:val="24"/>
        </w:rPr>
        <w:t xml:space="preserve"> of </w:t>
      </w:r>
      <w:r w:rsidR="00D6153D" w:rsidRPr="00494D70">
        <w:rPr>
          <w:rFonts w:ascii="Times New Roman" w:eastAsia="Times New Roman" w:hAnsi="Times New Roman" w:cs="Times New Roman"/>
          <w:sz w:val="24"/>
          <w:szCs w:val="24"/>
        </w:rPr>
        <w:t xml:space="preserve">the </w:t>
      </w:r>
      <w:r w:rsidR="00FE6FA4" w:rsidRPr="00494D70">
        <w:rPr>
          <w:rFonts w:ascii="Times New Roman" w:eastAsia="Times New Roman" w:hAnsi="Times New Roman" w:cs="Times New Roman"/>
          <w:sz w:val="24"/>
          <w:szCs w:val="24"/>
        </w:rPr>
        <w:t xml:space="preserve">overall </w:t>
      </w:r>
      <w:r w:rsidR="00D6153D" w:rsidRPr="00494D70">
        <w:rPr>
          <w:rFonts w:ascii="Times New Roman" w:eastAsia="Times New Roman" w:hAnsi="Times New Roman" w:cs="Times New Roman"/>
          <w:sz w:val="24"/>
          <w:szCs w:val="24"/>
        </w:rPr>
        <w:t>scale</w:t>
      </w:r>
      <w:r w:rsidR="002C7448" w:rsidRPr="00494D70">
        <w:rPr>
          <w:rFonts w:ascii="Times New Roman" w:eastAsia="Times New Roman" w:hAnsi="Times New Roman" w:cs="Times New Roman"/>
          <w:sz w:val="24"/>
          <w:szCs w:val="24"/>
        </w:rPr>
        <w:t xml:space="preserve"> </w:t>
      </w:r>
      <w:r w:rsidR="00D66313" w:rsidRPr="00494D70">
        <w:rPr>
          <w:rFonts w:ascii="Times New Roman" w:eastAsia="Times New Roman" w:hAnsi="Times New Roman" w:cs="Times New Roman"/>
          <w:sz w:val="24"/>
          <w:szCs w:val="24"/>
        </w:rPr>
        <w:t xml:space="preserve">differed significantly across </w:t>
      </w:r>
      <w:r w:rsidR="006238E8" w:rsidRPr="00494D70">
        <w:rPr>
          <w:rFonts w:ascii="Times New Roman" w:eastAsia="Times New Roman" w:hAnsi="Times New Roman" w:cs="Times New Roman"/>
          <w:sz w:val="24"/>
          <w:szCs w:val="24"/>
        </w:rPr>
        <w:t xml:space="preserve">the </w:t>
      </w:r>
      <w:r w:rsidR="00335E2F" w:rsidRPr="00494D70">
        <w:rPr>
          <w:rFonts w:ascii="Times New Roman" w:eastAsia="Times New Roman" w:hAnsi="Times New Roman" w:cs="Times New Roman"/>
          <w:sz w:val="24"/>
          <w:szCs w:val="24"/>
        </w:rPr>
        <w:t xml:space="preserve">three </w:t>
      </w:r>
      <w:r w:rsidR="00D66313" w:rsidRPr="00494D70">
        <w:rPr>
          <w:rFonts w:ascii="Times New Roman" w:eastAsia="Times New Roman" w:hAnsi="Times New Roman" w:cs="Times New Roman"/>
          <w:sz w:val="24"/>
          <w:szCs w:val="24"/>
        </w:rPr>
        <w:t>gender</w:t>
      </w:r>
      <w:r w:rsidR="00D66DB3" w:rsidRPr="00494D70">
        <w:rPr>
          <w:rFonts w:ascii="Times New Roman" w:eastAsia="Times New Roman" w:hAnsi="Times New Roman" w:cs="Times New Roman"/>
          <w:sz w:val="24"/>
          <w:szCs w:val="24"/>
        </w:rPr>
        <w:t>-</w:t>
      </w:r>
      <w:r w:rsidR="00616FA0" w:rsidRPr="00494D70">
        <w:rPr>
          <w:rFonts w:ascii="Times New Roman" w:eastAsia="Times New Roman" w:hAnsi="Times New Roman" w:cs="Times New Roman"/>
          <w:sz w:val="24"/>
          <w:szCs w:val="24"/>
        </w:rPr>
        <w:t>identity-</w:t>
      </w:r>
      <w:r w:rsidR="00D66DB3" w:rsidRPr="00494D70">
        <w:rPr>
          <w:rFonts w:ascii="Times New Roman" w:eastAsia="Times New Roman" w:hAnsi="Times New Roman" w:cs="Times New Roman"/>
          <w:sz w:val="24"/>
          <w:szCs w:val="24"/>
        </w:rPr>
        <w:t>based groups</w:t>
      </w:r>
      <w:r w:rsidR="00BD692B" w:rsidRPr="00494D70">
        <w:rPr>
          <w:rFonts w:ascii="Times New Roman" w:eastAsia="Times New Roman" w:hAnsi="Times New Roman" w:cs="Times New Roman"/>
          <w:sz w:val="24"/>
          <w:szCs w:val="24"/>
        </w:rPr>
        <w:t xml:space="preserve"> (</w:t>
      </w:r>
      <w:proofErr w:type="gramStart"/>
      <w:r w:rsidR="00BD692B" w:rsidRPr="00494D70">
        <w:rPr>
          <w:rFonts w:ascii="Times New Roman" w:eastAsia="Times New Roman" w:hAnsi="Times New Roman" w:cs="Times New Roman"/>
          <w:i/>
          <w:iCs/>
          <w:sz w:val="24"/>
          <w:szCs w:val="24"/>
        </w:rPr>
        <w:t>H</w:t>
      </w:r>
      <w:r w:rsidR="00BD692B" w:rsidRPr="00494D70">
        <w:rPr>
          <w:rFonts w:ascii="Times New Roman" w:eastAsia="Times New Roman" w:hAnsi="Times New Roman" w:cs="Times New Roman"/>
          <w:sz w:val="24"/>
          <w:szCs w:val="24"/>
        </w:rPr>
        <w:t>(</w:t>
      </w:r>
      <w:proofErr w:type="gramEnd"/>
      <w:r w:rsidR="00BD692B" w:rsidRPr="00494D70">
        <w:rPr>
          <w:rFonts w:ascii="Times New Roman" w:eastAsia="Times New Roman" w:hAnsi="Times New Roman" w:cs="Times New Roman"/>
          <w:sz w:val="24"/>
          <w:szCs w:val="24"/>
        </w:rPr>
        <w:t>3)</w:t>
      </w:r>
      <w:r w:rsidR="008B6929" w:rsidRPr="00494D70">
        <w:rPr>
          <w:rFonts w:ascii="Times New Roman" w:eastAsia="Times New Roman" w:hAnsi="Times New Roman" w:cs="Times New Roman"/>
          <w:sz w:val="24"/>
          <w:szCs w:val="24"/>
        </w:rPr>
        <w:t xml:space="preserve"> = </w:t>
      </w:r>
      <w:r w:rsidR="008E6602" w:rsidRPr="00494D70">
        <w:rPr>
          <w:rFonts w:ascii="Times New Roman" w:eastAsia="Times New Roman" w:hAnsi="Times New Roman" w:cs="Times New Roman"/>
          <w:sz w:val="24"/>
          <w:szCs w:val="24"/>
        </w:rPr>
        <w:t>1,764.80</w:t>
      </w:r>
      <w:r w:rsidR="005B29C7" w:rsidRPr="00494D70">
        <w:rPr>
          <w:rFonts w:ascii="Times New Roman" w:eastAsia="Times New Roman" w:hAnsi="Times New Roman" w:cs="Times New Roman"/>
          <w:sz w:val="24"/>
          <w:szCs w:val="24"/>
        </w:rPr>
        <w:t xml:space="preserve">, </w:t>
      </w:r>
      <w:r w:rsidR="005B29C7" w:rsidRPr="00494D70">
        <w:rPr>
          <w:rFonts w:ascii="Times New Roman" w:eastAsia="Times New Roman" w:hAnsi="Times New Roman" w:cs="Times New Roman"/>
          <w:i/>
          <w:iCs/>
          <w:sz w:val="24"/>
          <w:szCs w:val="24"/>
        </w:rPr>
        <w:t>p</w:t>
      </w:r>
      <w:r w:rsidR="005B29C7" w:rsidRPr="00494D70">
        <w:rPr>
          <w:rFonts w:ascii="Times New Roman" w:eastAsia="Times New Roman" w:hAnsi="Times New Roman" w:cs="Times New Roman"/>
          <w:sz w:val="24"/>
          <w:szCs w:val="24"/>
        </w:rPr>
        <w:t xml:space="preserve"> &lt; .001, </w:t>
      </w:r>
      <w:r w:rsidR="005B29C7" w:rsidRPr="00494D70">
        <w:rPr>
          <w:rFonts w:ascii="Times New Roman" w:eastAsia="Times New Roman" w:hAnsi="Times New Roman" w:cs="Times New Roman"/>
          <w:i/>
          <w:iCs/>
          <w:sz w:val="24"/>
          <w:szCs w:val="24"/>
        </w:rPr>
        <w:t>η</w:t>
      </w:r>
      <w:r w:rsidR="005B29C7" w:rsidRPr="00494D70">
        <w:rPr>
          <w:rFonts w:ascii="Times New Roman" w:eastAsia="Times New Roman" w:hAnsi="Times New Roman" w:cs="Times New Roman"/>
          <w:i/>
          <w:iCs/>
          <w:sz w:val="24"/>
          <w:szCs w:val="24"/>
          <w:vertAlign w:val="superscript"/>
        </w:rPr>
        <w:t>2</w:t>
      </w:r>
      <w:r w:rsidR="005B29C7" w:rsidRPr="00494D70">
        <w:rPr>
          <w:rFonts w:ascii="Times New Roman" w:eastAsia="Times New Roman" w:hAnsi="Times New Roman" w:cs="Times New Roman"/>
          <w:sz w:val="24"/>
          <w:szCs w:val="24"/>
        </w:rPr>
        <w:t xml:space="preserve"> = .027)</w:t>
      </w:r>
      <w:r w:rsidR="00DF6CFA" w:rsidRPr="00494D70">
        <w:rPr>
          <w:rFonts w:ascii="Times New Roman" w:eastAsia="Times New Roman" w:hAnsi="Times New Roman" w:cs="Times New Roman"/>
          <w:sz w:val="24"/>
          <w:szCs w:val="24"/>
        </w:rPr>
        <w:t xml:space="preserve"> and the eight sexual</w:t>
      </w:r>
      <w:r w:rsidR="00EB438A" w:rsidRPr="00494D70">
        <w:rPr>
          <w:rFonts w:ascii="Times New Roman" w:eastAsia="Times New Roman" w:hAnsi="Times New Roman" w:cs="Times New Roman"/>
          <w:sz w:val="24"/>
          <w:szCs w:val="24"/>
        </w:rPr>
        <w:t>-</w:t>
      </w:r>
      <w:r w:rsidR="00DF6CFA" w:rsidRPr="00494D70">
        <w:rPr>
          <w:rFonts w:ascii="Times New Roman" w:eastAsia="Times New Roman" w:hAnsi="Times New Roman" w:cs="Times New Roman"/>
          <w:sz w:val="24"/>
          <w:szCs w:val="24"/>
        </w:rPr>
        <w:t>orientation</w:t>
      </w:r>
      <w:r w:rsidR="00EB438A" w:rsidRPr="00494D70">
        <w:rPr>
          <w:rFonts w:ascii="Times New Roman" w:eastAsia="Times New Roman" w:hAnsi="Times New Roman" w:cs="Times New Roman"/>
          <w:sz w:val="24"/>
          <w:szCs w:val="24"/>
        </w:rPr>
        <w:t xml:space="preserve"> group</w:t>
      </w:r>
      <w:r w:rsidR="008A47DF" w:rsidRPr="00494D70">
        <w:rPr>
          <w:rFonts w:ascii="Times New Roman" w:eastAsia="Times New Roman" w:hAnsi="Times New Roman" w:cs="Times New Roman"/>
          <w:sz w:val="24"/>
          <w:szCs w:val="24"/>
        </w:rPr>
        <w:t>s (</w:t>
      </w:r>
      <w:proofErr w:type="gramStart"/>
      <w:r w:rsidR="008A47DF" w:rsidRPr="00494D70">
        <w:rPr>
          <w:rFonts w:ascii="Times New Roman" w:eastAsia="Times New Roman" w:hAnsi="Times New Roman" w:cs="Times New Roman"/>
          <w:i/>
          <w:iCs/>
          <w:sz w:val="24"/>
          <w:szCs w:val="24"/>
        </w:rPr>
        <w:t>H</w:t>
      </w:r>
      <w:r w:rsidR="008A47DF" w:rsidRPr="00494D70">
        <w:rPr>
          <w:rFonts w:ascii="Times New Roman" w:eastAsia="Times New Roman" w:hAnsi="Times New Roman" w:cs="Times New Roman"/>
          <w:sz w:val="24"/>
          <w:szCs w:val="24"/>
        </w:rPr>
        <w:t>(</w:t>
      </w:r>
      <w:proofErr w:type="gramEnd"/>
      <w:r w:rsidR="008A47DF" w:rsidRPr="00494D70">
        <w:rPr>
          <w:rFonts w:ascii="Times New Roman" w:eastAsia="Times New Roman" w:hAnsi="Times New Roman" w:cs="Times New Roman"/>
          <w:sz w:val="24"/>
          <w:szCs w:val="24"/>
        </w:rPr>
        <w:t xml:space="preserve">8) = </w:t>
      </w:r>
      <w:r w:rsidR="00AF3DCB" w:rsidRPr="00494D70">
        <w:rPr>
          <w:rFonts w:ascii="Times New Roman" w:eastAsia="Times New Roman" w:hAnsi="Times New Roman" w:cs="Times New Roman"/>
          <w:sz w:val="24"/>
          <w:szCs w:val="24"/>
        </w:rPr>
        <w:t>577.124</w:t>
      </w:r>
      <w:r w:rsidR="008A47DF" w:rsidRPr="00494D70">
        <w:rPr>
          <w:rFonts w:ascii="Times New Roman" w:eastAsia="Times New Roman" w:hAnsi="Times New Roman" w:cs="Times New Roman"/>
          <w:sz w:val="24"/>
          <w:szCs w:val="24"/>
        </w:rPr>
        <w:t xml:space="preserve">, </w:t>
      </w:r>
      <w:r w:rsidR="008A47DF" w:rsidRPr="00494D70">
        <w:rPr>
          <w:rFonts w:ascii="Times New Roman" w:eastAsia="Times New Roman" w:hAnsi="Times New Roman" w:cs="Times New Roman"/>
          <w:i/>
          <w:iCs/>
          <w:sz w:val="24"/>
          <w:szCs w:val="24"/>
        </w:rPr>
        <w:t>p</w:t>
      </w:r>
      <w:r w:rsidR="008A47DF" w:rsidRPr="00494D70">
        <w:rPr>
          <w:rFonts w:ascii="Times New Roman" w:eastAsia="Times New Roman" w:hAnsi="Times New Roman" w:cs="Times New Roman"/>
          <w:sz w:val="24"/>
          <w:szCs w:val="24"/>
        </w:rPr>
        <w:t xml:space="preserve"> &lt; .001, </w:t>
      </w:r>
      <w:r w:rsidR="008A47DF" w:rsidRPr="00494D70">
        <w:rPr>
          <w:rFonts w:ascii="Times New Roman" w:eastAsia="Times New Roman" w:hAnsi="Times New Roman" w:cs="Times New Roman"/>
          <w:i/>
          <w:iCs/>
          <w:sz w:val="24"/>
          <w:szCs w:val="24"/>
        </w:rPr>
        <w:t>η</w:t>
      </w:r>
      <w:r w:rsidR="008A47DF" w:rsidRPr="00494D70">
        <w:rPr>
          <w:rFonts w:ascii="Times New Roman" w:eastAsia="Times New Roman" w:hAnsi="Times New Roman" w:cs="Times New Roman"/>
          <w:i/>
          <w:iCs/>
          <w:sz w:val="24"/>
          <w:szCs w:val="24"/>
          <w:vertAlign w:val="superscript"/>
        </w:rPr>
        <w:t>2</w:t>
      </w:r>
      <w:r w:rsidR="008A47DF" w:rsidRPr="00494D70">
        <w:rPr>
          <w:rFonts w:ascii="Times New Roman" w:eastAsia="Times New Roman" w:hAnsi="Times New Roman" w:cs="Times New Roman"/>
          <w:sz w:val="24"/>
          <w:szCs w:val="24"/>
        </w:rPr>
        <w:t xml:space="preserve"> = .0</w:t>
      </w:r>
      <w:r w:rsidR="00E26C09" w:rsidRPr="00494D70">
        <w:rPr>
          <w:rFonts w:ascii="Times New Roman" w:eastAsia="Times New Roman" w:hAnsi="Times New Roman" w:cs="Times New Roman"/>
          <w:sz w:val="24"/>
          <w:szCs w:val="24"/>
        </w:rPr>
        <w:t>09</w:t>
      </w:r>
      <w:r w:rsidR="008A47DF" w:rsidRPr="00494D70">
        <w:rPr>
          <w:rFonts w:ascii="Times New Roman" w:eastAsia="Times New Roman" w:hAnsi="Times New Roman" w:cs="Times New Roman"/>
          <w:sz w:val="24"/>
          <w:szCs w:val="24"/>
        </w:rPr>
        <w:t>)</w:t>
      </w:r>
      <w:r w:rsidR="00C74AD9" w:rsidRPr="00494D70">
        <w:rPr>
          <w:rFonts w:ascii="Times New Roman" w:eastAsia="Times New Roman" w:hAnsi="Times New Roman" w:cs="Times New Roman"/>
          <w:sz w:val="24"/>
          <w:szCs w:val="24"/>
        </w:rPr>
        <w:t xml:space="preserve">. </w:t>
      </w:r>
      <w:r w:rsidR="00335E2F" w:rsidRPr="00494D70">
        <w:rPr>
          <w:rFonts w:ascii="Times New Roman" w:eastAsia="Times New Roman" w:hAnsi="Times New Roman" w:cs="Times New Roman"/>
          <w:sz w:val="24"/>
          <w:szCs w:val="24"/>
        </w:rPr>
        <w:t>Men scored the lowest, while gender-diverse ind</w:t>
      </w:r>
      <w:r w:rsidR="002C7448" w:rsidRPr="00494D70">
        <w:rPr>
          <w:rFonts w:ascii="Times New Roman" w:eastAsia="Times New Roman" w:hAnsi="Times New Roman" w:cs="Times New Roman"/>
          <w:sz w:val="24"/>
          <w:szCs w:val="24"/>
        </w:rPr>
        <w:t xml:space="preserve">ividuals scored the highest. </w:t>
      </w:r>
      <w:r w:rsidR="00243001" w:rsidRPr="00494D70">
        <w:rPr>
          <w:rFonts w:ascii="Times New Roman" w:eastAsia="Times New Roman" w:hAnsi="Times New Roman" w:cs="Times New Roman"/>
          <w:sz w:val="24"/>
          <w:szCs w:val="24"/>
        </w:rPr>
        <w:t>Men s</w:t>
      </w:r>
      <w:r w:rsidR="00E13B4F" w:rsidRPr="00494D70">
        <w:rPr>
          <w:rFonts w:ascii="Times New Roman" w:eastAsia="Times New Roman" w:hAnsi="Times New Roman" w:cs="Times New Roman"/>
          <w:sz w:val="24"/>
          <w:szCs w:val="24"/>
        </w:rPr>
        <w:t xml:space="preserve">cored significantly lower on the </w:t>
      </w:r>
      <w:r w:rsidR="00003BC5" w:rsidRPr="00494D70">
        <w:rPr>
          <w:rFonts w:ascii="Times New Roman" w:eastAsia="Times New Roman" w:hAnsi="Times New Roman" w:cs="Times New Roman"/>
          <w:i/>
          <w:iCs/>
          <w:sz w:val="24"/>
          <w:szCs w:val="24"/>
        </w:rPr>
        <w:t>Initiation</w:t>
      </w:r>
      <w:r w:rsidR="00FC2D30" w:rsidRPr="00494D70">
        <w:rPr>
          <w:rFonts w:ascii="Times New Roman" w:eastAsia="Times New Roman" w:hAnsi="Times New Roman" w:cs="Times New Roman"/>
          <w:i/>
          <w:iCs/>
          <w:sz w:val="24"/>
          <w:szCs w:val="24"/>
        </w:rPr>
        <w:t>,</w:t>
      </w:r>
      <w:r w:rsidR="00AE5FA8" w:rsidRPr="00494D70">
        <w:rPr>
          <w:rFonts w:ascii="Times New Roman" w:eastAsia="Times New Roman" w:hAnsi="Times New Roman" w:cs="Times New Roman"/>
          <w:i/>
          <w:iCs/>
          <w:sz w:val="24"/>
          <w:szCs w:val="24"/>
        </w:rPr>
        <w:t xml:space="preserve"> </w:t>
      </w:r>
      <w:r w:rsidR="00214898" w:rsidRPr="00494D70">
        <w:rPr>
          <w:rFonts w:ascii="Times New Roman" w:eastAsia="Times New Roman" w:hAnsi="Times New Roman" w:cs="Times New Roman"/>
          <w:sz w:val="24"/>
          <w:szCs w:val="24"/>
        </w:rPr>
        <w:t>the</w:t>
      </w:r>
      <w:r w:rsidR="00003BC5" w:rsidRPr="00494D70">
        <w:rPr>
          <w:rFonts w:ascii="Times New Roman" w:eastAsia="Times New Roman" w:hAnsi="Times New Roman" w:cs="Times New Roman"/>
          <w:i/>
          <w:iCs/>
          <w:sz w:val="24"/>
          <w:szCs w:val="24"/>
        </w:rPr>
        <w:t xml:space="preserve"> Refusal</w:t>
      </w:r>
      <w:r w:rsidR="00D66DB3" w:rsidRPr="00494D70">
        <w:rPr>
          <w:rFonts w:ascii="Times New Roman" w:eastAsia="Times New Roman" w:hAnsi="Times New Roman" w:cs="Times New Roman"/>
          <w:i/>
          <w:iCs/>
          <w:sz w:val="24"/>
          <w:szCs w:val="24"/>
        </w:rPr>
        <w:t>,</w:t>
      </w:r>
      <w:r w:rsidR="00214898" w:rsidRPr="00494D70">
        <w:rPr>
          <w:rFonts w:ascii="Times New Roman" w:eastAsia="Times New Roman" w:hAnsi="Times New Roman" w:cs="Times New Roman"/>
          <w:i/>
          <w:iCs/>
          <w:sz w:val="24"/>
          <w:szCs w:val="24"/>
        </w:rPr>
        <w:t xml:space="preserve"> </w:t>
      </w:r>
      <w:r w:rsidR="00003BC5" w:rsidRPr="00494D70">
        <w:rPr>
          <w:rFonts w:ascii="Times New Roman" w:eastAsia="Times New Roman" w:hAnsi="Times New Roman" w:cs="Times New Roman"/>
          <w:sz w:val="24"/>
          <w:szCs w:val="24"/>
        </w:rPr>
        <w:t>and</w:t>
      </w:r>
      <w:r w:rsidR="00AE5FA8" w:rsidRPr="00494D70">
        <w:rPr>
          <w:rFonts w:ascii="Times New Roman" w:eastAsia="Times New Roman" w:hAnsi="Times New Roman" w:cs="Times New Roman"/>
          <w:sz w:val="24"/>
          <w:szCs w:val="24"/>
        </w:rPr>
        <w:t xml:space="preserve"> the</w:t>
      </w:r>
      <w:r w:rsidR="00003BC5" w:rsidRPr="00494D70">
        <w:rPr>
          <w:rFonts w:ascii="Times New Roman" w:eastAsia="Times New Roman" w:hAnsi="Times New Roman" w:cs="Times New Roman"/>
          <w:sz w:val="24"/>
          <w:szCs w:val="24"/>
        </w:rPr>
        <w:t xml:space="preserve"> </w:t>
      </w:r>
      <w:r w:rsidR="00003BC5" w:rsidRPr="00494D70">
        <w:rPr>
          <w:rFonts w:ascii="Times New Roman" w:eastAsia="Times New Roman" w:hAnsi="Times New Roman" w:cs="Times New Roman"/>
          <w:i/>
          <w:iCs/>
          <w:sz w:val="24"/>
          <w:szCs w:val="24"/>
        </w:rPr>
        <w:t xml:space="preserve">Risk communication </w:t>
      </w:r>
      <w:r w:rsidR="00003BC5" w:rsidRPr="00494D70">
        <w:rPr>
          <w:rFonts w:ascii="Times New Roman" w:eastAsia="Times New Roman" w:hAnsi="Times New Roman" w:cs="Times New Roman"/>
          <w:sz w:val="24"/>
          <w:szCs w:val="24"/>
        </w:rPr>
        <w:t>subscales</w:t>
      </w:r>
      <w:r w:rsidR="00601D05" w:rsidRPr="00494D70">
        <w:rPr>
          <w:rFonts w:ascii="Times New Roman" w:eastAsia="Times New Roman" w:hAnsi="Times New Roman" w:cs="Times New Roman"/>
          <w:sz w:val="24"/>
          <w:szCs w:val="24"/>
        </w:rPr>
        <w:t xml:space="preserve"> than women and gender-diverse individuals</w:t>
      </w:r>
      <w:r w:rsidR="00FE6AAE" w:rsidRPr="00494D70">
        <w:rPr>
          <w:rFonts w:ascii="Times New Roman" w:eastAsia="Times New Roman" w:hAnsi="Times New Roman" w:cs="Times New Roman"/>
          <w:sz w:val="24"/>
          <w:szCs w:val="24"/>
        </w:rPr>
        <w:t>. Gender-diverse individuals exhibited the highest scores on all subscales</w:t>
      </w:r>
      <w:r w:rsidR="00D66DB3" w:rsidRPr="00494D70">
        <w:rPr>
          <w:rFonts w:ascii="Times New Roman" w:eastAsia="Times New Roman" w:hAnsi="Times New Roman" w:cs="Times New Roman"/>
          <w:sz w:val="24"/>
          <w:szCs w:val="24"/>
        </w:rPr>
        <w:t>.</w:t>
      </w:r>
      <w:r w:rsidR="00FE6AAE" w:rsidRPr="00494D70">
        <w:rPr>
          <w:rFonts w:ascii="Times New Roman" w:eastAsia="Times New Roman" w:hAnsi="Times New Roman" w:cs="Times New Roman"/>
          <w:sz w:val="24"/>
          <w:szCs w:val="24"/>
        </w:rPr>
        <w:t xml:space="preserve"> </w:t>
      </w:r>
      <w:r w:rsidR="00D66DB3" w:rsidRPr="00494D70">
        <w:rPr>
          <w:rFonts w:ascii="Times New Roman" w:eastAsia="Times New Roman" w:hAnsi="Times New Roman" w:cs="Times New Roman"/>
          <w:sz w:val="24"/>
          <w:szCs w:val="24"/>
        </w:rPr>
        <w:t>H</w:t>
      </w:r>
      <w:r w:rsidR="00FE6AAE" w:rsidRPr="00494D70">
        <w:rPr>
          <w:rFonts w:ascii="Times New Roman" w:eastAsia="Times New Roman" w:hAnsi="Times New Roman" w:cs="Times New Roman"/>
          <w:sz w:val="24"/>
          <w:szCs w:val="24"/>
        </w:rPr>
        <w:t>owever</w:t>
      </w:r>
      <w:r w:rsidR="00EA7641" w:rsidRPr="00494D70">
        <w:rPr>
          <w:rFonts w:ascii="Times New Roman" w:eastAsia="Times New Roman" w:hAnsi="Times New Roman" w:cs="Times New Roman"/>
          <w:sz w:val="24"/>
          <w:szCs w:val="24"/>
        </w:rPr>
        <w:t>,</w:t>
      </w:r>
      <w:r w:rsidR="00FE6AAE" w:rsidRPr="00494D70">
        <w:rPr>
          <w:rFonts w:ascii="Times New Roman" w:eastAsia="Times New Roman" w:hAnsi="Times New Roman" w:cs="Times New Roman"/>
          <w:sz w:val="24"/>
          <w:szCs w:val="24"/>
        </w:rPr>
        <w:t xml:space="preserve"> they only differed significantly from women </w:t>
      </w:r>
      <w:r w:rsidR="00601D05" w:rsidRPr="00494D70">
        <w:rPr>
          <w:rFonts w:ascii="Times New Roman" w:eastAsia="Times New Roman" w:hAnsi="Times New Roman" w:cs="Times New Roman"/>
          <w:sz w:val="24"/>
          <w:szCs w:val="24"/>
        </w:rPr>
        <w:t xml:space="preserve">in </w:t>
      </w:r>
      <w:r w:rsidR="00601D05" w:rsidRPr="00494D70">
        <w:rPr>
          <w:rFonts w:ascii="Times New Roman" w:eastAsia="Times New Roman" w:hAnsi="Times New Roman" w:cs="Times New Roman"/>
          <w:i/>
          <w:iCs/>
          <w:sz w:val="24"/>
          <w:szCs w:val="24"/>
        </w:rPr>
        <w:t>Risk communication</w:t>
      </w:r>
      <w:r w:rsidR="00601D05" w:rsidRPr="00494D70">
        <w:rPr>
          <w:rFonts w:ascii="Times New Roman" w:eastAsia="Times New Roman" w:hAnsi="Times New Roman" w:cs="Times New Roman"/>
          <w:sz w:val="24"/>
          <w:szCs w:val="24"/>
        </w:rPr>
        <w:t xml:space="preserve">. </w:t>
      </w:r>
      <w:r w:rsidR="00F8590C" w:rsidRPr="00494D70">
        <w:rPr>
          <w:rFonts w:ascii="Times New Roman" w:eastAsia="Times New Roman" w:hAnsi="Times New Roman" w:cs="Times New Roman"/>
          <w:sz w:val="24"/>
          <w:szCs w:val="24"/>
        </w:rPr>
        <w:t xml:space="preserve">Asexual individuals and </w:t>
      </w:r>
      <w:r w:rsidR="00FE4780" w:rsidRPr="00494D70">
        <w:rPr>
          <w:rFonts w:ascii="Times New Roman" w:eastAsia="Times New Roman" w:hAnsi="Times New Roman" w:cs="Times New Roman"/>
          <w:sz w:val="24"/>
          <w:szCs w:val="24"/>
        </w:rPr>
        <w:t xml:space="preserve">participants who indicated that they </w:t>
      </w:r>
      <w:r w:rsidR="00411879" w:rsidRPr="00494D70">
        <w:rPr>
          <w:rFonts w:ascii="Times New Roman" w:eastAsia="Times New Roman" w:hAnsi="Times New Roman" w:cs="Times New Roman"/>
          <w:sz w:val="24"/>
          <w:szCs w:val="24"/>
        </w:rPr>
        <w:t xml:space="preserve">were </w:t>
      </w:r>
      <w:r w:rsidR="00FE4780" w:rsidRPr="00494D70">
        <w:rPr>
          <w:rFonts w:ascii="Times New Roman" w:eastAsia="Times New Roman" w:hAnsi="Times New Roman" w:cs="Times New Roman"/>
          <w:sz w:val="24"/>
          <w:szCs w:val="24"/>
        </w:rPr>
        <w:t xml:space="preserve">unsure or questioning their sexual orientation scored the lowest </w:t>
      </w:r>
      <w:r w:rsidR="00FC4EF3" w:rsidRPr="00494D70">
        <w:rPr>
          <w:rFonts w:ascii="Times New Roman" w:eastAsia="Times New Roman" w:hAnsi="Times New Roman" w:cs="Times New Roman"/>
          <w:sz w:val="24"/>
          <w:szCs w:val="24"/>
        </w:rPr>
        <w:t xml:space="preserve">on </w:t>
      </w:r>
      <w:r w:rsidR="00EA2C06" w:rsidRPr="00494D70">
        <w:rPr>
          <w:rFonts w:ascii="Times New Roman" w:eastAsia="Times New Roman" w:hAnsi="Times New Roman" w:cs="Times New Roman"/>
          <w:sz w:val="24"/>
          <w:szCs w:val="24"/>
        </w:rPr>
        <w:t>overall SA</w:t>
      </w:r>
      <w:r w:rsidR="00EC19A9" w:rsidRPr="00494D70">
        <w:rPr>
          <w:rFonts w:ascii="Times New Roman" w:eastAsia="Times New Roman" w:hAnsi="Times New Roman" w:cs="Times New Roman"/>
          <w:sz w:val="24"/>
          <w:szCs w:val="24"/>
        </w:rPr>
        <w:t>,</w:t>
      </w:r>
      <w:r w:rsidR="0031607A" w:rsidRPr="00494D70">
        <w:rPr>
          <w:rFonts w:ascii="Times New Roman" w:eastAsia="Times New Roman" w:hAnsi="Times New Roman" w:cs="Times New Roman"/>
          <w:sz w:val="24"/>
          <w:szCs w:val="24"/>
        </w:rPr>
        <w:t xml:space="preserve"> as well as</w:t>
      </w:r>
      <w:r w:rsidR="00EC19A9" w:rsidRPr="00494D70">
        <w:rPr>
          <w:rFonts w:ascii="Times New Roman" w:eastAsia="Times New Roman" w:hAnsi="Times New Roman" w:cs="Times New Roman"/>
          <w:sz w:val="24"/>
          <w:szCs w:val="24"/>
        </w:rPr>
        <w:t xml:space="preserve"> the </w:t>
      </w:r>
      <w:r w:rsidR="00DF6278" w:rsidRPr="00494D70">
        <w:rPr>
          <w:rFonts w:ascii="Times New Roman" w:eastAsia="Times New Roman" w:hAnsi="Times New Roman" w:cs="Times New Roman"/>
          <w:i/>
          <w:iCs/>
          <w:sz w:val="24"/>
          <w:szCs w:val="24"/>
        </w:rPr>
        <w:t>Initiation</w:t>
      </w:r>
      <w:r w:rsidR="00DF6278" w:rsidRPr="00494D70">
        <w:rPr>
          <w:rFonts w:ascii="Times New Roman" w:eastAsia="Times New Roman" w:hAnsi="Times New Roman" w:cs="Times New Roman"/>
          <w:sz w:val="24"/>
          <w:szCs w:val="24"/>
        </w:rPr>
        <w:t xml:space="preserve"> and </w:t>
      </w:r>
      <w:r w:rsidR="00DF6278" w:rsidRPr="00494D70">
        <w:rPr>
          <w:rFonts w:ascii="Times New Roman" w:eastAsia="Times New Roman" w:hAnsi="Times New Roman" w:cs="Times New Roman"/>
          <w:i/>
          <w:iCs/>
          <w:sz w:val="24"/>
          <w:szCs w:val="24"/>
        </w:rPr>
        <w:t>Refusal</w:t>
      </w:r>
      <w:r w:rsidR="00DF6278" w:rsidRPr="00494D70">
        <w:rPr>
          <w:rFonts w:ascii="Times New Roman" w:eastAsia="Times New Roman" w:hAnsi="Times New Roman" w:cs="Times New Roman"/>
          <w:sz w:val="24"/>
          <w:szCs w:val="24"/>
        </w:rPr>
        <w:t xml:space="preserve"> subscales. </w:t>
      </w:r>
      <w:r w:rsidR="006238E8" w:rsidRPr="00494D70">
        <w:rPr>
          <w:rFonts w:ascii="Times New Roman" w:eastAsia="Times New Roman" w:hAnsi="Times New Roman" w:cs="Times New Roman"/>
          <w:sz w:val="24"/>
          <w:szCs w:val="24"/>
        </w:rPr>
        <w:t>H</w:t>
      </w:r>
      <w:r w:rsidR="00DF6278" w:rsidRPr="00494D70">
        <w:rPr>
          <w:rFonts w:ascii="Times New Roman" w:eastAsia="Times New Roman" w:hAnsi="Times New Roman" w:cs="Times New Roman"/>
          <w:sz w:val="24"/>
          <w:szCs w:val="24"/>
        </w:rPr>
        <w:t xml:space="preserve">eterosexual </w:t>
      </w:r>
      <w:r w:rsidR="006238E8" w:rsidRPr="00494D70">
        <w:rPr>
          <w:rFonts w:ascii="Times New Roman" w:eastAsia="Times New Roman" w:hAnsi="Times New Roman" w:cs="Times New Roman"/>
          <w:sz w:val="24"/>
          <w:szCs w:val="24"/>
        </w:rPr>
        <w:t xml:space="preserve">participants </w:t>
      </w:r>
      <w:r w:rsidR="00DF6278" w:rsidRPr="00494D70">
        <w:rPr>
          <w:rFonts w:ascii="Times New Roman" w:eastAsia="Times New Roman" w:hAnsi="Times New Roman" w:cs="Times New Roman"/>
          <w:sz w:val="24"/>
          <w:szCs w:val="24"/>
        </w:rPr>
        <w:t xml:space="preserve">scored significantly lower on the </w:t>
      </w:r>
      <w:r w:rsidR="00DF6278" w:rsidRPr="00494D70">
        <w:rPr>
          <w:rFonts w:ascii="Times New Roman" w:eastAsia="Times New Roman" w:hAnsi="Times New Roman" w:cs="Times New Roman"/>
          <w:i/>
          <w:iCs/>
          <w:sz w:val="24"/>
          <w:szCs w:val="24"/>
        </w:rPr>
        <w:t xml:space="preserve">Risk communication </w:t>
      </w:r>
      <w:r w:rsidR="00A57FAC" w:rsidRPr="00494D70">
        <w:rPr>
          <w:rFonts w:ascii="Times New Roman" w:eastAsia="Times New Roman" w:hAnsi="Times New Roman" w:cs="Times New Roman"/>
          <w:sz w:val="24"/>
          <w:szCs w:val="24"/>
        </w:rPr>
        <w:t xml:space="preserve">subscale than all other groups of sexual orientations. </w:t>
      </w:r>
      <w:r w:rsidR="0095491A" w:rsidRPr="00494D70">
        <w:rPr>
          <w:rFonts w:ascii="Times New Roman" w:eastAsia="Times New Roman" w:hAnsi="Times New Roman" w:cs="Times New Roman"/>
          <w:sz w:val="24"/>
          <w:szCs w:val="24"/>
        </w:rPr>
        <w:t>Queer and pansexual</w:t>
      </w:r>
      <w:r w:rsidR="00AE195C" w:rsidRPr="00494D70">
        <w:rPr>
          <w:rFonts w:ascii="Times New Roman" w:eastAsia="Times New Roman" w:hAnsi="Times New Roman" w:cs="Times New Roman"/>
          <w:sz w:val="24"/>
          <w:szCs w:val="24"/>
        </w:rPr>
        <w:t>,</w:t>
      </w:r>
      <w:r w:rsidR="0095491A" w:rsidRPr="00494D70">
        <w:rPr>
          <w:rFonts w:ascii="Times New Roman" w:eastAsia="Times New Roman" w:hAnsi="Times New Roman" w:cs="Times New Roman"/>
          <w:sz w:val="24"/>
          <w:szCs w:val="24"/>
        </w:rPr>
        <w:t xml:space="preserve"> as well as </w:t>
      </w:r>
      <w:r w:rsidR="004E5818" w:rsidRPr="00494D70">
        <w:rPr>
          <w:rFonts w:ascii="Times New Roman" w:eastAsia="Times New Roman" w:hAnsi="Times New Roman" w:cs="Times New Roman"/>
          <w:sz w:val="24"/>
          <w:szCs w:val="24"/>
        </w:rPr>
        <w:t>bisexual participants</w:t>
      </w:r>
      <w:r w:rsidR="00D6370B" w:rsidRPr="00494D70">
        <w:rPr>
          <w:rFonts w:ascii="Times New Roman" w:eastAsia="Times New Roman" w:hAnsi="Times New Roman" w:cs="Times New Roman"/>
          <w:sz w:val="24"/>
          <w:szCs w:val="24"/>
        </w:rPr>
        <w:t xml:space="preserve"> </w:t>
      </w:r>
      <w:r w:rsidR="00640FE0" w:rsidRPr="00494D70">
        <w:rPr>
          <w:rFonts w:ascii="Times New Roman" w:eastAsia="Times New Roman" w:hAnsi="Times New Roman" w:cs="Times New Roman"/>
          <w:sz w:val="24"/>
          <w:szCs w:val="24"/>
        </w:rPr>
        <w:t xml:space="preserve">scored the highest </w:t>
      </w:r>
      <w:r w:rsidR="00CC6786" w:rsidRPr="00494D70">
        <w:rPr>
          <w:rFonts w:ascii="Times New Roman" w:eastAsia="Times New Roman" w:hAnsi="Times New Roman" w:cs="Times New Roman"/>
          <w:sz w:val="24"/>
          <w:szCs w:val="24"/>
        </w:rPr>
        <w:t xml:space="preserve">on all three subscales. </w:t>
      </w:r>
      <w:r w:rsidR="005B66D9" w:rsidRPr="00494D70">
        <w:rPr>
          <w:rFonts w:ascii="Times New Roman" w:eastAsia="Times New Roman" w:hAnsi="Times New Roman" w:cs="Times New Roman"/>
          <w:sz w:val="24"/>
          <w:szCs w:val="24"/>
        </w:rPr>
        <w:t xml:space="preserve">Participants who were in a relationship </w:t>
      </w:r>
      <w:r w:rsidR="00FA342A" w:rsidRPr="00494D70">
        <w:rPr>
          <w:rFonts w:ascii="Times New Roman" w:eastAsia="Times New Roman" w:hAnsi="Times New Roman" w:cs="Times New Roman"/>
          <w:sz w:val="24"/>
          <w:szCs w:val="24"/>
        </w:rPr>
        <w:t xml:space="preserve">reported </w:t>
      </w:r>
      <w:r w:rsidR="00AE195C" w:rsidRPr="00494D70">
        <w:rPr>
          <w:rFonts w:ascii="Times New Roman" w:eastAsia="Times New Roman" w:hAnsi="Times New Roman" w:cs="Times New Roman"/>
          <w:sz w:val="24"/>
          <w:szCs w:val="24"/>
        </w:rPr>
        <w:t xml:space="preserve">significantly </w:t>
      </w:r>
      <w:r w:rsidR="00FA342A" w:rsidRPr="00494D70">
        <w:rPr>
          <w:rFonts w:ascii="Times New Roman" w:eastAsia="Times New Roman" w:hAnsi="Times New Roman" w:cs="Times New Roman"/>
          <w:sz w:val="24"/>
          <w:szCs w:val="24"/>
        </w:rPr>
        <w:t xml:space="preserve">higher levels of </w:t>
      </w:r>
      <w:r w:rsidR="00722248" w:rsidRPr="00494D70">
        <w:rPr>
          <w:rFonts w:ascii="Times New Roman" w:eastAsia="Times New Roman" w:hAnsi="Times New Roman" w:cs="Times New Roman"/>
          <w:sz w:val="24"/>
          <w:szCs w:val="24"/>
        </w:rPr>
        <w:t xml:space="preserve">overall SA </w:t>
      </w:r>
      <w:r w:rsidR="007242CB" w:rsidRPr="00494D70">
        <w:rPr>
          <w:rFonts w:ascii="Times New Roman" w:eastAsia="Times New Roman" w:hAnsi="Times New Roman" w:cs="Times New Roman"/>
          <w:sz w:val="24"/>
          <w:szCs w:val="24"/>
        </w:rPr>
        <w:t>(</w:t>
      </w:r>
      <w:r w:rsidR="007242CB" w:rsidRPr="00494D70">
        <w:rPr>
          <w:rFonts w:ascii="Times New Roman" w:eastAsia="Times New Roman" w:hAnsi="Times New Roman" w:cs="Times New Roman"/>
          <w:i/>
          <w:iCs/>
          <w:sz w:val="24"/>
          <w:szCs w:val="24"/>
        </w:rPr>
        <w:t>U</w:t>
      </w:r>
      <w:r w:rsidR="00061692" w:rsidRPr="00494D70">
        <w:rPr>
          <w:rFonts w:ascii="Times New Roman" w:eastAsia="Times New Roman" w:hAnsi="Times New Roman" w:cs="Times New Roman"/>
          <w:sz w:val="24"/>
          <w:szCs w:val="24"/>
        </w:rPr>
        <w:t xml:space="preserve"> = 424,260,588.50, </w:t>
      </w:r>
      <w:r w:rsidR="00061692" w:rsidRPr="00494D70">
        <w:rPr>
          <w:rFonts w:ascii="Times New Roman" w:eastAsia="Times New Roman" w:hAnsi="Times New Roman" w:cs="Times New Roman"/>
          <w:i/>
          <w:iCs/>
          <w:sz w:val="24"/>
          <w:szCs w:val="24"/>
        </w:rPr>
        <w:t>p</w:t>
      </w:r>
      <w:r w:rsidR="00061692" w:rsidRPr="00494D70">
        <w:rPr>
          <w:rFonts w:ascii="Times New Roman" w:eastAsia="Times New Roman" w:hAnsi="Times New Roman" w:cs="Times New Roman"/>
          <w:sz w:val="24"/>
          <w:szCs w:val="24"/>
        </w:rPr>
        <w:t xml:space="preserve"> &lt; .001, </w:t>
      </w:r>
      <w:r w:rsidR="00061692" w:rsidRPr="00494D70">
        <w:rPr>
          <w:rFonts w:ascii="Times New Roman" w:eastAsia="Times New Roman" w:hAnsi="Times New Roman" w:cs="Times New Roman"/>
          <w:i/>
          <w:iCs/>
          <w:sz w:val="24"/>
          <w:szCs w:val="24"/>
        </w:rPr>
        <w:t>η</w:t>
      </w:r>
      <w:r w:rsidR="00061692" w:rsidRPr="00494D70">
        <w:rPr>
          <w:rFonts w:ascii="Times New Roman" w:eastAsia="Times New Roman" w:hAnsi="Times New Roman" w:cs="Times New Roman"/>
          <w:i/>
          <w:iCs/>
          <w:sz w:val="24"/>
          <w:szCs w:val="24"/>
          <w:vertAlign w:val="superscript"/>
        </w:rPr>
        <w:t>2</w:t>
      </w:r>
      <w:r w:rsidR="00061692" w:rsidRPr="00494D70">
        <w:rPr>
          <w:rFonts w:ascii="Times New Roman" w:eastAsia="Times New Roman" w:hAnsi="Times New Roman" w:cs="Times New Roman"/>
          <w:sz w:val="24"/>
          <w:szCs w:val="24"/>
        </w:rPr>
        <w:t xml:space="preserve"> = .00</w:t>
      </w:r>
      <w:r w:rsidR="002E233D" w:rsidRPr="00494D70">
        <w:rPr>
          <w:rFonts w:ascii="Times New Roman" w:eastAsia="Times New Roman" w:hAnsi="Times New Roman" w:cs="Times New Roman"/>
          <w:sz w:val="24"/>
          <w:szCs w:val="24"/>
        </w:rPr>
        <w:t>1)</w:t>
      </w:r>
      <w:r w:rsidR="00722248" w:rsidRPr="00494D70">
        <w:rPr>
          <w:rFonts w:ascii="Times New Roman" w:eastAsia="Times New Roman" w:hAnsi="Times New Roman" w:cs="Times New Roman"/>
          <w:sz w:val="24"/>
          <w:szCs w:val="24"/>
        </w:rPr>
        <w:t xml:space="preserve">, </w:t>
      </w:r>
      <w:r w:rsidR="00FA342A" w:rsidRPr="00494D70">
        <w:rPr>
          <w:rFonts w:ascii="Times New Roman" w:eastAsia="Times New Roman" w:hAnsi="Times New Roman" w:cs="Times New Roman"/>
          <w:i/>
          <w:iCs/>
          <w:sz w:val="24"/>
          <w:szCs w:val="24"/>
        </w:rPr>
        <w:t>Initiation</w:t>
      </w:r>
      <w:r w:rsidR="00FA342A" w:rsidRPr="00494D70">
        <w:rPr>
          <w:rFonts w:ascii="Times New Roman" w:eastAsia="Times New Roman" w:hAnsi="Times New Roman" w:cs="Times New Roman"/>
          <w:sz w:val="24"/>
          <w:szCs w:val="24"/>
        </w:rPr>
        <w:t xml:space="preserve">, </w:t>
      </w:r>
      <w:r w:rsidR="00411879" w:rsidRPr="00494D70">
        <w:rPr>
          <w:rFonts w:ascii="Times New Roman" w:eastAsia="Times New Roman" w:hAnsi="Times New Roman" w:cs="Times New Roman"/>
          <w:sz w:val="24"/>
          <w:szCs w:val="24"/>
        </w:rPr>
        <w:t xml:space="preserve">and </w:t>
      </w:r>
      <w:r w:rsidR="00FA342A" w:rsidRPr="00494D70">
        <w:rPr>
          <w:rFonts w:ascii="Times New Roman" w:eastAsia="Times New Roman" w:hAnsi="Times New Roman" w:cs="Times New Roman"/>
          <w:i/>
          <w:iCs/>
          <w:sz w:val="24"/>
          <w:szCs w:val="24"/>
        </w:rPr>
        <w:t>Risk communication</w:t>
      </w:r>
      <w:r w:rsidR="00FA342A" w:rsidRPr="00494D70">
        <w:rPr>
          <w:rFonts w:ascii="Times New Roman" w:eastAsia="Times New Roman" w:hAnsi="Times New Roman" w:cs="Times New Roman"/>
          <w:sz w:val="24"/>
          <w:szCs w:val="24"/>
        </w:rPr>
        <w:t xml:space="preserve"> </w:t>
      </w:r>
      <w:r w:rsidR="005C53DE" w:rsidRPr="00494D70">
        <w:rPr>
          <w:rFonts w:ascii="Times New Roman" w:eastAsia="Times New Roman" w:hAnsi="Times New Roman" w:cs="Times New Roman"/>
          <w:sz w:val="24"/>
          <w:szCs w:val="24"/>
        </w:rPr>
        <w:t>than single individuals</w:t>
      </w:r>
      <w:r w:rsidR="007E3A6C" w:rsidRPr="00494D70">
        <w:rPr>
          <w:rFonts w:ascii="Times New Roman" w:eastAsia="Times New Roman" w:hAnsi="Times New Roman" w:cs="Times New Roman"/>
          <w:sz w:val="24"/>
          <w:szCs w:val="24"/>
        </w:rPr>
        <w:t>;</w:t>
      </w:r>
      <w:r w:rsidR="005C53DE" w:rsidRPr="00494D70">
        <w:rPr>
          <w:rFonts w:ascii="Times New Roman" w:eastAsia="Times New Roman" w:hAnsi="Times New Roman" w:cs="Times New Roman"/>
          <w:sz w:val="24"/>
          <w:szCs w:val="24"/>
        </w:rPr>
        <w:t xml:space="preserve"> </w:t>
      </w:r>
      <w:r w:rsidR="00930FD1" w:rsidRPr="00494D70">
        <w:rPr>
          <w:rFonts w:ascii="Times New Roman" w:eastAsia="Times New Roman" w:hAnsi="Times New Roman" w:cs="Times New Roman"/>
          <w:sz w:val="24"/>
          <w:szCs w:val="24"/>
        </w:rPr>
        <w:t>however,</w:t>
      </w:r>
      <w:r w:rsidR="005C53DE" w:rsidRPr="00494D70">
        <w:rPr>
          <w:rFonts w:ascii="Times New Roman" w:eastAsia="Times New Roman" w:hAnsi="Times New Roman" w:cs="Times New Roman"/>
          <w:sz w:val="24"/>
          <w:szCs w:val="24"/>
        </w:rPr>
        <w:t xml:space="preserve"> there was no </w:t>
      </w:r>
      <w:r w:rsidR="007E3A6C" w:rsidRPr="00494D70">
        <w:rPr>
          <w:rFonts w:ascii="Times New Roman" w:eastAsia="Times New Roman" w:hAnsi="Times New Roman" w:cs="Times New Roman"/>
          <w:sz w:val="24"/>
          <w:szCs w:val="24"/>
        </w:rPr>
        <w:t xml:space="preserve">significant </w:t>
      </w:r>
      <w:r w:rsidR="005C53DE" w:rsidRPr="00494D70">
        <w:rPr>
          <w:rFonts w:ascii="Times New Roman" w:eastAsia="Times New Roman" w:hAnsi="Times New Roman" w:cs="Times New Roman"/>
          <w:sz w:val="24"/>
          <w:szCs w:val="24"/>
        </w:rPr>
        <w:t xml:space="preserve">difference </w:t>
      </w:r>
      <w:r w:rsidR="00363474" w:rsidRPr="00494D70">
        <w:rPr>
          <w:rFonts w:ascii="Times New Roman" w:eastAsia="Times New Roman" w:hAnsi="Times New Roman" w:cs="Times New Roman"/>
          <w:sz w:val="24"/>
          <w:szCs w:val="24"/>
        </w:rPr>
        <w:t xml:space="preserve">on the </w:t>
      </w:r>
      <w:r w:rsidR="00363474" w:rsidRPr="00494D70">
        <w:rPr>
          <w:rFonts w:ascii="Times New Roman" w:eastAsia="Times New Roman" w:hAnsi="Times New Roman" w:cs="Times New Roman"/>
          <w:i/>
          <w:iCs/>
          <w:sz w:val="24"/>
          <w:szCs w:val="24"/>
        </w:rPr>
        <w:t>Refusal</w:t>
      </w:r>
      <w:r w:rsidR="00363474" w:rsidRPr="00494D70">
        <w:rPr>
          <w:rFonts w:ascii="Times New Roman" w:eastAsia="Times New Roman" w:hAnsi="Times New Roman" w:cs="Times New Roman"/>
          <w:sz w:val="24"/>
          <w:szCs w:val="24"/>
        </w:rPr>
        <w:t xml:space="preserve"> domain</w:t>
      </w:r>
      <w:r w:rsidR="00A37357" w:rsidRPr="00494D70">
        <w:rPr>
          <w:rFonts w:ascii="Times New Roman" w:eastAsia="Times New Roman" w:hAnsi="Times New Roman" w:cs="Times New Roman"/>
          <w:sz w:val="24"/>
          <w:szCs w:val="24"/>
        </w:rPr>
        <w:t xml:space="preserve"> (</w:t>
      </w:r>
      <w:r w:rsidR="00A37357" w:rsidRPr="00494D70">
        <w:rPr>
          <w:rFonts w:ascii="Times New Roman" w:eastAsia="Times New Roman" w:hAnsi="Times New Roman" w:cs="Times New Roman"/>
          <w:i/>
          <w:iCs/>
          <w:sz w:val="24"/>
          <w:szCs w:val="24"/>
        </w:rPr>
        <w:t>U</w:t>
      </w:r>
      <w:r w:rsidR="00A37357" w:rsidRPr="00494D70">
        <w:rPr>
          <w:rFonts w:ascii="Times New Roman" w:eastAsia="Times New Roman" w:hAnsi="Times New Roman" w:cs="Times New Roman"/>
          <w:sz w:val="24"/>
          <w:szCs w:val="24"/>
        </w:rPr>
        <w:t xml:space="preserve"> = 399,911,241.50, </w:t>
      </w:r>
      <w:r w:rsidR="00A37357" w:rsidRPr="00494D70">
        <w:rPr>
          <w:rFonts w:ascii="Times New Roman" w:eastAsia="Times New Roman" w:hAnsi="Times New Roman" w:cs="Times New Roman"/>
          <w:i/>
          <w:iCs/>
          <w:sz w:val="24"/>
          <w:szCs w:val="24"/>
        </w:rPr>
        <w:t>p</w:t>
      </w:r>
      <w:r w:rsidR="00A37357" w:rsidRPr="00494D70">
        <w:rPr>
          <w:rFonts w:ascii="Times New Roman" w:eastAsia="Times New Roman" w:hAnsi="Times New Roman" w:cs="Times New Roman"/>
          <w:sz w:val="24"/>
          <w:szCs w:val="24"/>
        </w:rPr>
        <w:t xml:space="preserve"> &gt; .05, </w:t>
      </w:r>
      <w:r w:rsidR="00A37357" w:rsidRPr="00494D70">
        <w:rPr>
          <w:rFonts w:ascii="Times New Roman" w:eastAsia="Times New Roman" w:hAnsi="Times New Roman" w:cs="Times New Roman"/>
          <w:i/>
          <w:iCs/>
          <w:sz w:val="24"/>
          <w:szCs w:val="24"/>
        </w:rPr>
        <w:t>η</w:t>
      </w:r>
      <w:r w:rsidR="00A37357" w:rsidRPr="00494D70">
        <w:rPr>
          <w:rFonts w:ascii="Times New Roman" w:eastAsia="Times New Roman" w:hAnsi="Times New Roman" w:cs="Times New Roman"/>
          <w:i/>
          <w:iCs/>
          <w:sz w:val="24"/>
          <w:szCs w:val="24"/>
          <w:vertAlign w:val="superscript"/>
        </w:rPr>
        <w:t>2</w:t>
      </w:r>
      <w:r w:rsidR="00A37357" w:rsidRPr="00494D70">
        <w:rPr>
          <w:rFonts w:ascii="Times New Roman" w:eastAsia="Times New Roman" w:hAnsi="Times New Roman" w:cs="Times New Roman"/>
          <w:sz w:val="24"/>
          <w:szCs w:val="24"/>
        </w:rPr>
        <w:t xml:space="preserve"> = .001)</w:t>
      </w:r>
      <w:r w:rsidR="00363474" w:rsidRPr="00494D70">
        <w:rPr>
          <w:rFonts w:ascii="Times New Roman" w:eastAsia="Times New Roman" w:hAnsi="Times New Roman" w:cs="Times New Roman"/>
          <w:sz w:val="24"/>
          <w:szCs w:val="24"/>
        </w:rPr>
        <w:t xml:space="preserve">. </w:t>
      </w:r>
    </w:p>
    <w:p w14:paraId="491DB3E3" w14:textId="2FA2F2A2" w:rsidR="00D70DF4" w:rsidRPr="00494D70" w:rsidRDefault="008F27D3" w:rsidP="00EE4EF4">
      <w:pPr>
        <w:spacing w:after="0" w:line="480" w:lineRule="auto"/>
        <w:ind w:firstLine="567"/>
        <w:rPr>
          <w:rFonts w:ascii="Times New Roman" w:eastAsia="Times New Roman" w:hAnsi="Times New Roman" w:cs="Times New Roman"/>
          <w:b/>
          <w:bCs/>
          <w:sz w:val="24"/>
          <w:szCs w:val="24"/>
        </w:rPr>
      </w:pPr>
      <w:r w:rsidRPr="00494D70">
        <w:rPr>
          <w:rFonts w:ascii="Times New Roman" w:eastAsia="Times New Roman" w:hAnsi="Times New Roman" w:cs="Times New Roman"/>
          <w:sz w:val="24"/>
          <w:szCs w:val="24"/>
        </w:rPr>
        <w:t xml:space="preserve">Effect sizes related to the group differences were small, mostly </w:t>
      </w:r>
      <w:r w:rsidRPr="00494D70">
        <w:rPr>
          <w:rFonts w:ascii="Times New Roman" w:eastAsia="Times New Roman" w:hAnsi="Times New Roman" w:cs="Times New Roman"/>
          <w:i/>
          <w:iCs/>
          <w:sz w:val="24"/>
          <w:szCs w:val="24"/>
        </w:rPr>
        <w:t>η</w:t>
      </w:r>
      <w:r w:rsidRPr="00494D70">
        <w:rPr>
          <w:rFonts w:ascii="Times New Roman" w:eastAsia="Times New Roman" w:hAnsi="Times New Roman" w:cs="Times New Roman"/>
          <w:i/>
          <w:iCs/>
          <w:sz w:val="24"/>
          <w:szCs w:val="24"/>
          <w:vertAlign w:val="superscript"/>
        </w:rPr>
        <w:t>2</w:t>
      </w:r>
      <w:r w:rsidRPr="00494D70">
        <w:rPr>
          <w:rFonts w:ascii="Times New Roman" w:eastAsia="Times New Roman" w:hAnsi="Times New Roman" w:cs="Times New Roman"/>
          <w:sz w:val="24"/>
          <w:szCs w:val="24"/>
        </w:rPr>
        <w:t xml:space="preserve"> &lt; .01. The largest effect sizes were observed between overall SA, </w:t>
      </w:r>
      <w:r w:rsidRPr="00494D70">
        <w:rPr>
          <w:rFonts w:ascii="Times New Roman" w:eastAsia="Times New Roman" w:hAnsi="Times New Roman" w:cs="Times New Roman"/>
          <w:i/>
          <w:iCs/>
          <w:sz w:val="24"/>
          <w:szCs w:val="24"/>
        </w:rPr>
        <w:t xml:space="preserve">Refusal, </w:t>
      </w:r>
      <w:r w:rsidRPr="00494D70">
        <w:rPr>
          <w:rFonts w:ascii="Times New Roman" w:eastAsia="Times New Roman" w:hAnsi="Times New Roman" w:cs="Times New Roman"/>
          <w:sz w:val="24"/>
          <w:szCs w:val="24"/>
        </w:rPr>
        <w:t xml:space="preserve">and </w:t>
      </w:r>
      <w:r w:rsidRPr="00494D70">
        <w:rPr>
          <w:rFonts w:ascii="Times New Roman" w:eastAsia="Times New Roman" w:hAnsi="Times New Roman" w:cs="Times New Roman"/>
          <w:i/>
          <w:iCs/>
          <w:sz w:val="24"/>
          <w:szCs w:val="24"/>
        </w:rPr>
        <w:t xml:space="preserve">Risk communication </w:t>
      </w:r>
      <w:r w:rsidRPr="00494D70">
        <w:rPr>
          <w:rFonts w:ascii="Times New Roman" w:eastAsia="Times New Roman" w:hAnsi="Times New Roman" w:cs="Times New Roman"/>
          <w:sz w:val="24"/>
          <w:szCs w:val="24"/>
        </w:rPr>
        <w:t xml:space="preserve">scores in country-based groups and between overall SA and the </w:t>
      </w:r>
      <w:r w:rsidRPr="00494D70">
        <w:rPr>
          <w:rFonts w:ascii="Times New Roman" w:eastAsia="Times New Roman" w:hAnsi="Times New Roman" w:cs="Times New Roman"/>
          <w:i/>
          <w:iCs/>
          <w:sz w:val="24"/>
          <w:szCs w:val="24"/>
        </w:rPr>
        <w:t>Risk communication</w:t>
      </w:r>
      <w:r w:rsidRPr="00494D70">
        <w:rPr>
          <w:rFonts w:ascii="Times New Roman" w:eastAsia="Times New Roman" w:hAnsi="Times New Roman" w:cs="Times New Roman"/>
          <w:sz w:val="24"/>
          <w:szCs w:val="24"/>
        </w:rPr>
        <w:t xml:space="preserve"> scores in gender-</w:t>
      </w:r>
      <w:r w:rsidR="00616FA0" w:rsidRPr="00494D70">
        <w:rPr>
          <w:rFonts w:ascii="Times New Roman" w:eastAsia="Times New Roman" w:hAnsi="Times New Roman" w:cs="Times New Roman"/>
          <w:sz w:val="24"/>
          <w:szCs w:val="24"/>
        </w:rPr>
        <w:t>identity-</w:t>
      </w:r>
      <w:r w:rsidRPr="00494D70">
        <w:rPr>
          <w:rFonts w:ascii="Times New Roman" w:eastAsia="Times New Roman" w:hAnsi="Times New Roman" w:cs="Times New Roman"/>
          <w:sz w:val="24"/>
          <w:szCs w:val="24"/>
        </w:rPr>
        <w:t>based groups</w:t>
      </w:r>
      <w:r w:rsidR="00C962DB" w:rsidRPr="00494D70">
        <w:rPr>
          <w:rFonts w:ascii="Times New Roman" w:eastAsia="Times New Roman" w:hAnsi="Times New Roman" w:cs="Times New Roman"/>
          <w:sz w:val="24"/>
          <w:szCs w:val="24"/>
        </w:rPr>
        <w:t>.</w:t>
      </w:r>
      <w:r w:rsidRPr="00494D70">
        <w:rPr>
          <w:rFonts w:ascii="Times New Roman" w:eastAsia="Times New Roman" w:hAnsi="Times New Roman" w:cs="Times New Roman"/>
          <w:sz w:val="24"/>
          <w:szCs w:val="24"/>
        </w:rPr>
        <w:t xml:space="preserve"> </w:t>
      </w:r>
      <w:r w:rsidR="00C962DB" w:rsidRPr="00494D70">
        <w:rPr>
          <w:rFonts w:ascii="Times New Roman" w:eastAsia="Times New Roman" w:hAnsi="Times New Roman" w:cs="Times New Roman"/>
          <w:sz w:val="24"/>
          <w:szCs w:val="24"/>
        </w:rPr>
        <w:t>Yet</w:t>
      </w:r>
      <w:r w:rsidRPr="00494D70">
        <w:rPr>
          <w:rFonts w:ascii="Times New Roman" w:eastAsia="Times New Roman" w:hAnsi="Times New Roman" w:cs="Times New Roman"/>
          <w:sz w:val="24"/>
          <w:szCs w:val="24"/>
        </w:rPr>
        <w:t>, these were still considered to be small (</w:t>
      </w:r>
      <w:r w:rsidRPr="00494D70">
        <w:rPr>
          <w:rFonts w:ascii="Times New Roman" w:eastAsia="Times New Roman" w:hAnsi="Times New Roman" w:cs="Times New Roman"/>
          <w:i/>
          <w:iCs/>
          <w:sz w:val="24"/>
          <w:szCs w:val="24"/>
        </w:rPr>
        <w:t>η</w:t>
      </w:r>
      <w:r w:rsidRPr="00494D70">
        <w:rPr>
          <w:rFonts w:ascii="Times New Roman" w:eastAsia="Times New Roman" w:hAnsi="Times New Roman" w:cs="Times New Roman"/>
          <w:i/>
          <w:iCs/>
          <w:sz w:val="24"/>
          <w:szCs w:val="24"/>
          <w:vertAlign w:val="superscript"/>
        </w:rPr>
        <w:t>2</w:t>
      </w:r>
      <w:r w:rsidRPr="00494D70">
        <w:rPr>
          <w:rFonts w:ascii="Times New Roman" w:eastAsia="Times New Roman" w:hAnsi="Times New Roman" w:cs="Times New Roman"/>
          <w:sz w:val="24"/>
          <w:szCs w:val="24"/>
        </w:rPr>
        <w:t xml:space="preserve"> &lt; .04). </w:t>
      </w:r>
      <w:r w:rsidR="00CB728B" w:rsidRPr="00494D70">
        <w:rPr>
          <w:rFonts w:ascii="Times New Roman" w:eastAsia="Times New Roman" w:hAnsi="Times New Roman" w:cs="Times New Roman"/>
          <w:sz w:val="24"/>
          <w:szCs w:val="24"/>
        </w:rPr>
        <w:t>D</w:t>
      </w:r>
      <w:r w:rsidR="00233171" w:rsidRPr="00494D70">
        <w:rPr>
          <w:rFonts w:ascii="Times New Roman" w:eastAsia="Times New Roman" w:hAnsi="Times New Roman" w:cs="Times New Roman"/>
          <w:sz w:val="24"/>
          <w:szCs w:val="24"/>
        </w:rPr>
        <w:t>e</w:t>
      </w:r>
      <w:r w:rsidR="00DA6A6B" w:rsidRPr="00494D70">
        <w:rPr>
          <w:rFonts w:ascii="Times New Roman" w:eastAsia="Times New Roman" w:hAnsi="Times New Roman" w:cs="Times New Roman"/>
          <w:sz w:val="24"/>
          <w:szCs w:val="24"/>
        </w:rPr>
        <w:t>tailed</w:t>
      </w:r>
      <w:r w:rsidR="002349D4" w:rsidRPr="00494D70">
        <w:rPr>
          <w:rFonts w:ascii="Times New Roman" w:eastAsia="Times New Roman" w:hAnsi="Times New Roman" w:cs="Times New Roman"/>
          <w:sz w:val="24"/>
          <w:szCs w:val="24"/>
        </w:rPr>
        <w:t xml:space="preserve"> test statistics</w:t>
      </w:r>
      <w:r w:rsidR="002E233D" w:rsidRPr="00494D70">
        <w:rPr>
          <w:rFonts w:ascii="Times New Roman" w:eastAsia="Times New Roman" w:hAnsi="Times New Roman" w:cs="Times New Roman"/>
          <w:sz w:val="24"/>
          <w:szCs w:val="24"/>
        </w:rPr>
        <w:t>, effect sizes</w:t>
      </w:r>
      <w:r w:rsidR="00CB728B" w:rsidRPr="00494D70">
        <w:rPr>
          <w:rFonts w:ascii="Times New Roman" w:eastAsia="Times New Roman" w:hAnsi="Times New Roman" w:cs="Times New Roman"/>
          <w:sz w:val="24"/>
          <w:szCs w:val="24"/>
        </w:rPr>
        <w:t xml:space="preserve">, </w:t>
      </w:r>
      <w:r w:rsidR="00DA6A6B" w:rsidRPr="00494D70">
        <w:rPr>
          <w:rFonts w:ascii="Times New Roman" w:eastAsia="Times New Roman" w:hAnsi="Times New Roman" w:cs="Times New Roman"/>
          <w:sz w:val="24"/>
          <w:szCs w:val="24"/>
        </w:rPr>
        <w:t>means</w:t>
      </w:r>
      <w:r w:rsidR="00B87C29" w:rsidRPr="00494D70">
        <w:rPr>
          <w:rFonts w:ascii="Times New Roman" w:eastAsia="Times New Roman" w:hAnsi="Times New Roman" w:cs="Times New Roman"/>
          <w:sz w:val="24"/>
          <w:szCs w:val="24"/>
        </w:rPr>
        <w:t xml:space="preserve"> </w:t>
      </w:r>
      <w:r w:rsidR="00CB728B" w:rsidRPr="00494D70">
        <w:rPr>
          <w:rFonts w:ascii="Times New Roman" w:eastAsia="Times New Roman" w:hAnsi="Times New Roman" w:cs="Times New Roman"/>
          <w:sz w:val="24"/>
          <w:szCs w:val="24"/>
        </w:rPr>
        <w:t xml:space="preserve">and standard deviations </w:t>
      </w:r>
      <w:r w:rsidR="00B87C29" w:rsidRPr="00494D70">
        <w:rPr>
          <w:rFonts w:ascii="Times New Roman" w:eastAsia="Times New Roman" w:hAnsi="Times New Roman" w:cs="Times New Roman"/>
          <w:sz w:val="24"/>
          <w:szCs w:val="24"/>
        </w:rPr>
        <w:t>by</w:t>
      </w:r>
      <w:r w:rsidR="00880819" w:rsidRPr="00494D70">
        <w:rPr>
          <w:rFonts w:ascii="Times New Roman" w:eastAsia="Times New Roman" w:hAnsi="Times New Roman" w:cs="Times New Roman"/>
          <w:sz w:val="24"/>
          <w:szCs w:val="24"/>
        </w:rPr>
        <w:t xml:space="preserve"> country-</w:t>
      </w:r>
      <w:r w:rsidR="00B87C29" w:rsidRPr="00494D70">
        <w:rPr>
          <w:rFonts w:ascii="Times New Roman" w:eastAsia="Times New Roman" w:hAnsi="Times New Roman" w:cs="Times New Roman"/>
          <w:sz w:val="24"/>
          <w:szCs w:val="24"/>
        </w:rPr>
        <w:t xml:space="preserve"> gender</w:t>
      </w:r>
      <w:r w:rsidR="00A65316" w:rsidRPr="00494D70">
        <w:rPr>
          <w:rFonts w:ascii="Times New Roman" w:eastAsia="Times New Roman" w:hAnsi="Times New Roman" w:cs="Times New Roman"/>
          <w:sz w:val="24"/>
          <w:szCs w:val="24"/>
        </w:rPr>
        <w:t>-</w:t>
      </w:r>
      <w:r w:rsidR="00D1331D" w:rsidRPr="00494D70">
        <w:rPr>
          <w:rFonts w:ascii="Times New Roman" w:eastAsia="Times New Roman" w:hAnsi="Times New Roman" w:cs="Times New Roman"/>
          <w:sz w:val="24"/>
          <w:szCs w:val="24"/>
        </w:rPr>
        <w:t>identity-</w:t>
      </w:r>
      <w:r w:rsidR="00B87C29" w:rsidRPr="00494D70">
        <w:rPr>
          <w:rFonts w:ascii="Times New Roman" w:eastAsia="Times New Roman" w:hAnsi="Times New Roman" w:cs="Times New Roman"/>
          <w:sz w:val="24"/>
          <w:szCs w:val="24"/>
        </w:rPr>
        <w:t>, sexual</w:t>
      </w:r>
      <w:r w:rsidR="00551D28" w:rsidRPr="00494D70">
        <w:rPr>
          <w:rFonts w:ascii="Times New Roman" w:eastAsia="Times New Roman" w:hAnsi="Times New Roman" w:cs="Times New Roman"/>
          <w:sz w:val="24"/>
          <w:szCs w:val="24"/>
        </w:rPr>
        <w:t>-</w:t>
      </w:r>
      <w:r w:rsidR="00B87C29" w:rsidRPr="00494D70">
        <w:rPr>
          <w:rFonts w:ascii="Times New Roman" w:eastAsia="Times New Roman" w:hAnsi="Times New Roman" w:cs="Times New Roman"/>
          <w:sz w:val="24"/>
          <w:szCs w:val="24"/>
        </w:rPr>
        <w:t xml:space="preserve">orientation and </w:t>
      </w:r>
      <w:r w:rsidR="007F460B" w:rsidRPr="00494D70">
        <w:rPr>
          <w:rFonts w:ascii="Times New Roman" w:eastAsia="Times New Roman" w:hAnsi="Times New Roman" w:cs="Times New Roman"/>
          <w:sz w:val="24"/>
          <w:szCs w:val="24"/>
        </w:rPr>
        <w:t>relationship</w:t>
      </w:r>
      <w:r w:rsidR="00551D28" w:rsidRPr="00494D70">
        <w:rPr>
          <w:rFonts w:ascii="Times New Roman" w:eastAsia="Times New Roman" w:hAnsi="Times New Roman" w:cs="Times New Roman"/>
          <w:sz w:val="24"/>
          <w:szCs w:val="24"/>
        </w:rPr>
        <w:t>-</w:t>
      </w:r>
      <w:r w:rsidR="007F460B" w:rsidRPr="00494D70">
        <w:rPr>
          <w:rFonts w:ascii="Times New Roman" w:eastAsia="Times New Roman" w:hAnsi="Times New Roman" w:cs="Times New Roman"/>
          <w:sz w:val="24"/>
          <w:szCs w:val="24"/>
        </w:rPr>
        <w:t>status-based groups</w:t>
      </w:r>
      <w:r w:rsidR="002349D4" w:rsidRPr="00494D70">
        <w:rPr>
          <w:rFonts w:ascii="Times New Roman" w:eastAsia="Times New Roman" w:hAnsi="Times New Roman" w:cs="Times New Roman"/>
          <w:sz w:val="24"/>
          <w:szCs w:val="24"/>
        </w:rPr>
        <w:t xml:space="preserve"> are presented in Table </w:t>
      </w:r>
      <w:r w:rsidR="00815C55" w:rsidRPr="00494D70">
        <w:rPr>
          <w:rFonts w:ascii="Times New Roman" w:eastAsia="Times New Roman" w:hAnsi="Times New Roman" w:cs="Times New Roman"/>
          <w:sz w:val="24"/>
          <w:szCs w:val="24"/>
        </w:rPr>
        <w:t xml:space="preserve">4 and </w:t>
      </w:r>
      <w:r w:rsidR="00217CFC" w:rsidRPr="00494D70">
        <w:rPr>
          <w:rFonts w:ascii="Times New Roman" w:eastAsia="Times New Roman" w:hAnsi="Times New Roman" w:cs="Times New Roman"/>
          <w:sz w:val="24"/>
          <w:szCs w:val="24"/>
        </w:rPr>
        <w:t>5</w:t>
      </w:r>
      <w:r w:rsidR="002349D4" w:rsidRPr="00494D70">
        <w:rPr>
          <w:rFonts w:ascii="Times New Roman" w:eastAsia="Times New Roman" w:hAnsi="Times New Roman" w:cs="Times New Roman"/>
          <w:sz w:val="24"/>
          <w:szCs w:val="24"/>
        </w:rPr>
        <w:t>.</w:t>
      </w:r>
    </w:p>
    <w:p w14:paraId="0E8B38C5" w14:textId="00C96469" w:rsidR="0086480C" w:rsidRPr="00494D70" w:rsidRDefault="0086480C" w:rsidP="008D2285">
      <w:pPr>
        <w:spacing w:after="0" w:line="480" w:lineRule="auto"/>
        <w:ind w:firstLine="567"/>
        <w:jc w:val="center"/>
        <w:rPr>
          <w:rFonts w:ascii="Times New Roman" w:eastAsia="Times New Roman" w:hAnsi="Times New Roman" w:cs="Times New Roman"/>
          <w:b/>
          <w:bCs/>
          <w:sz w:val="24"/>
          <w:szCs w:val="24"/>
        </w:rPr>
      </w:pPr>
      <w:r w:rsidRPr="00494D70">
        <w:rPr>
          <w:rFonts w:ascii="Times New Roman" w:eastAsia="Times New Roman" w:hAnsi="Times New Roman" w:cs="Times New Roman"/>
          <w:b/>
          <w:bCs/>
          <w:sz w:val="24"/>
          <w:szCs w:val="24"/>
        </w:rPr>
        <w:t>Discussion</w:t>
      </w:r>
    </w:p>
    <w:p w14:paraId="3B98CC9D" w14:textId="601B7F3B" w:rsidR="0086480C" w:rsidRPr="00494D70" w:rsidRDefault="00AE0EB1" w:rsidP="001F3F6D">
      <w:pPr>
        <w:spacing w:after="0" w:line="480" w:lineRule="auto"/>
        <w:ind w:firstLine="567"/>
        <w:rPr>
          <w:rFonts w:ascii="Times New Roman" w:eastAsia="Times New Roman" w:hAnsi="Times New Roman" w:cs="Times New Roman"/>
          <w:i/>
          <w:iCs/>
          <w:sz w:val="24"/>
          <w:szCs w:val="24"/>
        </w:rPr>
      </w:pPr>
      <w:r w:rsidRPr="00494D70">
        <w:rPr>
          <w:rFonts w:ascii="Times New Roman" w:eastAsia="Times New Roman" w:hAnsi="Times New Roman" w:cs="Times New Roman"/>
          <w:sz w:val="24"/>
          <w:szCs w:val="24"/>
        </w:rPr>
        <w:t xml:space="preserve">Research </w:t>
      </w:r>
      <w:proofErr w:type="gramStart"/>
      <w:r w:rsidR="001F3F6D" w:rsidRPr="00494D70">
        <w:rPr>
          <w:rFonts w:ascii="Times New Roman" w:eastAsia="Times New Roman" w:hAnsi="Times New Roman" w:cs="Times New Roman"/>
          <w:sz w:val="24"/>
          <w:szCs w:val="24"/>
        </w:rPr>
        <w:t>of</w:t>
      </w:r>
      <w:proofErr w:type="gramEnd"/>
      <w:r w:rsidR="001F3F6D" w:rsidRPr="00494D70">
        <w:rPr>
          <w:rFonts w:ascii="Times New Roman" w:eastAsia="Times New Roman" w:hAnsi="Times New Roman" w:cs="Times New Roman"/>
          <w:sz w:val="24"/>
          <w:szCs w:val="24"/>
        </w:rPr>
        <w:t xml:space="preserve"> </w:t>
      </w:r>
      <w:r w:rsidR="00411879" w:rsidRPr="00494D70">
        <w:rPr>
          <w:rFonts w:ascii="Times New Roman" w:eastAsia="Times New Roman" w:hAnsi="Times New Roman" w:cs="Times New Roman"/>
          <w:sz w:val="24"/>
          <w:szCs w:val="24"/>
        </w:rPr>
        <w:t>SA</w:t>
      </w:r>
      <w:r w:rsidR="001924F2" w:rsidRPr="00494D70">
        <w:rPr>
          <w:rFonts w:ascii="Times New Roman" w:eastAsia="Times New Roman" w:hAnsi="Times New Roman" w:cs="Times New Roman"/>
          <w:sz w:val="24"/>
          <w:szCs w:val="24"/>
        </w:rPr>
        <w:t xml:space="preserve"> has </w:t>
      </w:r>
      <w:r w:rsidR="00411879" w:rsidRPr="00494D70">
        <w:rPr>
          <w:rFonts w:ascii="Times New Roman" w:eastAsia="Times New Roman" w:hAnsi="Times New Roman" w:cs="Times New Roman"/>
          <w:sz w:val="24"/>
          <w:szCs w:val="24"/>
        </w:rPr>
        <w:t xml:space="preserve">increased over </w:t>
      </w:r>
      <w:r w:rsidR="001924F2" w:rsidRPr="00494D70">
        <w:rPr>
          <w:rFonts w:ascii="Times New Roman" w:eastAsia="Times New Roman" w:hAnsi="Times New Roman" w:cs="Times New Roman"/>
          <w:sz w:val="24"/>
          <w:szCs w:val="24"/>
        </w:rPr>
        <w:t>the last three decades</w:t>
      </w:r>
      <w:r w:rsidR="00C717FD" w:rsidRPr="00494D70">
        <w:rPr>
          <w:rFonts w:ascii="Times New Roman" w:eastAsia="Times New Roman" w:hAnsi="Times New Roman" w:cs="Times New Roman"/>
          <w:sz w:val="24"/>
          <w:szCs w:val="24"/>
        </w:rPr>
        <w:t>.</w:t>
      </w:r>
      <w:r w:rsidR="001924F2" w:rsidRPr="00494D70">
        <w:rPr>
          <w:rFonts w:ascii="Times New Roman" w:eastAsia="Times New Roman" w:hAnsi="Times New Roman" w:cs="Times New Roman"/>
          <w:sz w:val="24"/>
          <w:szCs w:val="24"/>
        </w:rPr>
        <w:t xml:space="preserve"> </w:t>
      </w:r>
      <w:r w:rsidR="00C717FD" w:rsidRPr="00494D70">
        <w:rPr>
          <w:rFonts w:ascii="Times New Roman" w:eastAsia="Times New Roman" w:hAnsi="Times New Roman" w:cs="Times New Roman"/>
          <w:sz w:val="24"/>
          <w:szCs w:val="24"/>
        </w:rPr>
        <w:t>H</w:t>
      </w:r>
      <w:r w:rsidR="001924F2" w:rsidRPr="00494D70">
        <w:rPr>
          <w:rFonts w:ascii="Times New Roman" w:eastAsia="Times New Roman" w:hAnsi="Times New Roman" w:cs="Times New Roman"/>
          <w:sz w:val="24"/>
          <w:szCs w:val="24"/>
        </w:rPr>
        <w:t>owever,</w:t>
      </w:r>
      <w:r w:rsidR="00FD2E36" w:rsidRPr="00494D70">
        <w:rPr>
          <w:rFonts w:ascii="Times New Roman" w:eastAsia="Times New Roman" w:hAnsi="Times New Roman" w:cs="Times New Roman"/>
          <w:sz w:val="24"/>
          <w:szCs w:val="24"/>
        </w:rPr>
        <w:t xml:space="preserve"> </w:t>
      </w:r>
      <w:r w:rsidR="00C106B2" w:rsidRPr="00494D70">
        <w:rPr>
          <w:rFonts w:ascii="Times New Roman" w:eastAsia="Times New Roman" w:hAnsi="Times New Roman" w:cs="Times New Roman"/>
          <w:sz w:val="24"/>
          <w:szCs w:val="24"/>
        </w:rPr>
        <w:t xml:space="preserve">important questions about </w:t>
      </w:r>
      <w:r w:rsidR="00633359" w:rsidRPr="00494D70">
        <w:rPr>
          <w:rFonts w:ascii="Times New Roman" w:eastAsia="Times New Roman" w:hAnsi="Times New Roman" w:cs="Times New Roman"/>
          <w:sz w:val="24"/>
          <w:szCs w:val="24"/>
        </w:rPr>
        <w:t>scales</w:t>
      </w:r>
      <w:r w:rsidR="00DF2DEB" w:rsidRPr="00494D70">
        <w:rPr>
          <w:rFonts w:ascii="Times New Roman" w:eastAsia="Times New Roman" w:hAnsi="Times New Roman" w:cs="Times New Roman"/>
          <w:sz w:val="24"/>
          <w:szCs w:val="24"/>
        </w:rPr>
        <w:t>’</w:t>
      </w:r>
      <w:r w:rsidR="00633359" w:rsidRPr="00494D70">
        <w:rPr>
          <w:rFonts w:ascii="Times New Roman" w:eastAsia="Times New Roman" w:hAnsi="Times New Roman" w:cs="Times New Roman"/>
          <w:sz w:val="24"/>
          <w:szCs w:val="24"/>
        </w:rPr>
        <w:t xml:space="preserve"> </w:t>
      </w:r>
      <w:r w:rsidR="00BB46C6" w:rsidRPr="00494D70">
        <w:rPr>
          <w:rFonts w:ascii="Times New Roman" w:eastAsia="Times New Roman" w:hAnsi="Times New Roman" w:cs="Times New Roman"/>
          <w:sz w:val="24"/>
          <w:szCs w:val="24"/>
        </w:rPr>
        <w:t>validity</w:t>
      </w:r>
      <w:r w:rsidR="00341FD0" w:rsidRPr="00494D70">
        <w:rPr>
          <w:rFonts w:ascii="Times New Roman" w:eastAsia="Times New Roman" w:hAnsi="Times New Roman" w:cs="Times New Roman"/>
          <w:sz w:val="24"/>
          <w:szCs w:val="24"/>
        </w:rPr>
        <w:t xml:space="preserve"> </w:t>
      </w:r>
      <w:r w:rsidR="00E373AE" w:rsidRPr="00494D70">
        <w:rPr>
          <w:rFonts w:ascii="Times New Roman" w:eastAsia="Times New Roman" w:hAnsi="Times New Roman" w:cs="Times New Roman"/>
          <w:sz w:val="24"/>
          <w:szCs w:val="24"/>
        </w:rPr>
        <w:t xml:space="preserve">with diverse demographic groups </w:t>
      </w:r>
      <w:r w:rsidR="00411879" w:rsidRPr="00494D70">
        <w:rPr>
          <w:rFonts w:ascii="Times New Roman" w:eastAsia="Times New Roman" w:hAnsi="Times New Roman" w:cs="Times New Roman"/>
          <w:sz w:val="24"/>
          <w:szCs w:val="24"/>
        </w:rPr>
        <w:t xml:space="preserve">have </w:t>
      </w:r>
      <w:r w:rsidR="00E373AE" w:rsidRPr="00494D70">
        <w:rPr>
          <w:rFonts w:ascii="Times New Roman" w:eastAsia="Times New Roman" w:hAnsi="Times New Roman" w:cs="Times New Roman"/>
          <w:sz w:val="24"/>
          <w:szCs w:val="24"/>
        </w:rPr>
        <w:t>remained</w:t>
      </w:r>
      <w:r w:rsidR="000F4B46" w:rsidRPr="00494D70">
        <w:rPr>
          <w:rFonts w:ascii="Times New Roman" w:eastAsia="Times New Roman" w:hAnsi="Times New Roman" w:cs="Times New Roman"/>
          <w:sz w:val="24"/>
          <w:szCs w:val="24"/>
        </w:rPr>
        <w:t xml:space="preserve"> </w:t>
      </w:r>
      <w:r w:rsidR="00411879" w:rsidRPr="00494D70">
        <w:rPr>
          <w:rFonts w:ascii="Times New Roman" w:eastAsia="Times New Roman" w:hAnsi="Times New Roman" w:cs="Times New Roman"/>
          <w:sz w:val="24"/>
          <w:szCs w:val="24"/>
        </w:rPr>
        <w:t xml:space="preserve">largely </w:t>
      </w:r>
      <w:r w:rsidR="000F4B46" w:rsidRPr="00494D70">
        <w:rPr>
          <w:rFonts w:ascii="Times New Roman" w:eastAsia="Times New Roman" w:hAnsi="Times New Roman" w:cs="Times New Roman"/>
          <w:sz w:val="24"/>
          <w:szCs w:val="24"/>
        </w:rPr>
        <w:t>unanswered</w:t>
      </w:r>
      <w:r w:rsidR="002B7EFF" w:rsidRPr="00494D70">
        <w:rPr>
          <w:rFonts w:ascii="Times New Roman" w:eastAsia="Times New Roman" w:hAnsi="Times New Roman" w:cs="Times New Roman"/>
          <w:sz w:val="24"/>
          <w:szCs w:val="24"/>
        </w:rPr>
        <w:t xml:space="preserve">, </w:t>
      </w:r>
      <w:r w:rsidR="006933AB" w:rsidRPr="00494D70">
        <w:rPr>
          <w:rFonts w:ascii="Times New Roman" w:eastAsia="Times New Roman" w:hAnsi="Times New Roman" w:cs="Times New Roman"/>
          <w:sz w:val="24"/>
          <w:szCs w:val="24"/>
        </w:rPr>
        <w:t>hindering cross-cultural and comparative research of SA</w:t>
      </w:r>
      <w:r w:rsidR="00E373AE" w:rsidRPr="00494D70">
        <w:rPr>
          <w:rFonts w:ascii="Times New Roman" w:eastAsia="Times New Roman" w:hAnsi="Times New Roman" w:cs="Times New Roman"/>
          <w:sz w:val="24"/>
          <w:szCs w:val="24"/>
        </w:rPr>
        <w:t xml:space="preserve">. </w:t>
      </w:r>
      <w:r w:rsidR="007E3A6C" w:rsidRPr="00494D70">
        <w:rPr>
          <w:rFonts w:ascii="Times New Roman" w:eastAsia="Times New Roman" w:hAnsi="Times New Roman" w:cs="Times New Roman"/>
          <w:sz w:val="24"/>
          <w:szCs w:val="24"/>
        </w:rPr>
        <w:t>Therefore, t</w:t>
      </w:r>
      <w:r w:rsidR="0086480C" w:rsidRPr="00494D70">
        <w:rPr>
          <w:rFonts w:ascii="Times New Roman" w:eastAsia="Times New Roman" w:hAnsi="Times New Roman" w:cs="Times New Roman"/>
          <w:sz w:val="24"/>
          <w:szCs w:val="24"/>
        </w:rPr>
        <w:t>he present study validate</w:t>
      </w:r>
      <w:r w:rsidR="003F1F38" w:rsidRPr="00494D70">
        <w:rPr>
          <w:rFonts w:ascii="Times New Roman" w:eastAsia="Times New Roman" w:hAnsi="Times New Roman" w:cs="Times New Roman"/>
          <w:sz w:val="24"/>
          <w:szCs w:val="24"/>
        </w:rPr>
        <w:t>d</w:t>
      </w:r>
      <w:r w:rsidR="0086480C" w:rsidRPr="00494D70">
        <w:rPr>
          <w:rFonts w:ascii="Times New Roman" w:eastAsia="Times New Roman" w:hAnsi="Times New Roman" w:cs="Times New Roman"/>
          <w:sz w:val="24"/>
          <w:szCs w:val="24"/>
        </w:rPr>
        <w:t xml:space="preserve"> </w:t>
      </w:r>
      <w:r w:rsidR="0086480C" w:rsidRPr="00494D70">
        <w:rPr>
          <w:rFonts w:ascii="Times New Roman" w:eastAsia="Times New Roman" w:hAnsi="Times New Roman" w:cs="Times New Roman"/>
          <w:sz w:val="24"/>
          <w:szCs w:val="24"/>
        </w:rPr>
        <w:lastRenderedPageBreak/>
        <w:t>a short</w:t>
      </w:r>
      <w:r w:rsidR="00F349C7" w:rsidRPr="00494D70">
        <w:rPr>
          <w:rFonts w:ascii="Times New Roman" w:eastAsia="Times New Roman" w:hAnsi="Times New Roman" w:cs="Times New Roman"/>
          <w:sz w:val="24"/>
          <w:szCs w:val="24"/>
        </w:rPr>
        <w:t xml:space="preserve"> </w:t>
      </w:r>
      <w:r w:rsidR="0086480C" w:rsidRPr="00494D70">
        <w:rPr>
          <w:rFonts w:ascii="Times New Roman" w:eastAsia="Times New Roman" w:hAnsi="Times New Roman" w:cs="Times New Roman"/>
          <w:sz w:val="24"/>
          <w:szCs w:val="24"/>
        </w:rPr>
        <w:t xml:space="preserve">measure that assesses the three commonly described </w:t>
      </w:r>
      <w:r w:rsidR="00411879" w:rsidRPr="00494D70">
        <w:rPr>
          <w:rFonts w:ascii="Times New Roman" w:eastAsia="Times New Roman" w:hAnsi="Times New Roman" w:cs="Times New Roman"/>
          <w:sz w:val="24"/>
          <w:szCs w:val="24"/>
        </w:rPr>
        <w:t xml:space="preserve">SA </w:t>
      </w:r>
      <w:r w:rsidR="0086480C" w:rsidRPr="00494D70">
        <w:rPr>
          <w:rFonts w:ascii="Times New Roman" w:eastAsia="Times New Roman" w:hAnsi="Times New Roman" w:cs="Times New Roman"/>
          <w:sz w:val="24"/>
          <w:szCs w:val="24"/>
        </w:rPr>
        <w:t>domains (i.e., initiation of and communication about desired sexual activity, rejection of unwanted sexual activity, and communication about sexual risk)</w:t>
      </w:r>
      <w:r w:rsidR="00DF7BAB" w:rsidRPr="00494D70">
        <w:rPr>
          <w:rFonts w:ascii="Times New Roman" w:eastAsia="Times New Roman" w:hAnsi="Times New Roman" w:cs="Times New Roman"/>
          <w:sz w:val="24"/>
          <w:szCs w:val="24"/>
        </w:rPr>
        <w:t xml:space="preserve"> and examined its measurement invariance across </w:t>
      </w:r>
      <w:r w:rsidR="00C106B2" w:rsidRPr="00494D70">
        <w:rPr>
          <w:rFonts w:ascii="Times New Roman" w:eastAsia="Times New Roman" w:hAnsi="Times New Roman" w:cs="Times New Roman"/>
          <w:sz w:val="24"/>
          <w:szCs w:val="24"/>
        </w:rPr>
        <w:t xml:space="preserve">different </w:t>
      </w:r>
      <w:r w:rsidR="00EB30EE" w:rsidRPr="00494D70">
        <w:rPr>
          <w:rFonts w:ascii="Times New Roman" w:eastAsia="Times New Roman" w:hAnsi="Times New Roman" w:cs="Times New Roman"/>
          <w:sz w:val="24"/>
          <w:szCs w:val="24"/>
        </w:rPr>
        <w:t>cultures, genders, sexual orientation</w:t>
      </w:r>
      <w:r w:rsidR="001F3F6D" w:rsidRPr="00494D70">
        <w:rPr>
          <w:rFonts w:ascii="Times New Roman" w:eastAsia="Times New Roman" w:hAnsi="Times New Roman" w:cs="Times New Roman"/>
          <w:sz w:val="24"/>
          <w:szCs w:val="24"/>
        </w:rPr>
        <w:t>,</w:t>
      </w:r>
      <w:r w:rsidR="00EB30EE" w:rsidRPr="00494D70">
        <w:rPr>
          <w:rFonts w:ascii="Times New Roman" w:eastAsia="Times New Roman" w:hAnsi="Times New Roman" w:cs="Times New Roman"/>
          <w:sz w:val="24"/>
          <w:szCs w:val="24"/>
        </w:rPr>
        <w:t xml:space="preserve"> and relationship statuses</w:t>
      </w:r>
      <w:r w:rsidR="0086480C" w:rsidRPr="00494D70">
        <w:rPr>
          <w:rFonts w:ascii="Times New Roman" w:eastAsia="Times New Roman" w:hAnsi="Times New Roman" w:cs="Times New Roman"/>
          <w:sz w:val="24"/>
          <w:szCs w:val="24"/>
        </w:rPr>
        <w:t xml:space="preserve">. </w:t>
      </w:r>
      <w:r w:rsidR="00483883" w:rsidRPr="00494D70">
        <w:rPr>
          <w:rFonts w:ascii="Times New Roman" w:eastAsia="Times New Roman" w:hAnsi="Times New Roman" w:cs="Times New Roman"/>
          <w:sz w:val="24"/>
          <w:szCs w:val="24"/>
        </w:rPr>
        <w:t>T</w:t>
      </w:r>
      <w:r w:rsidR="0086480C" w:rsidRPr="00494D70">
        <w:rPr>
          <w:rFonts w:ascii="Times New Roman" w:eastAsia="Times New Roman" w:hAnsi="Times New Roman" w:cs="Times New Roman"/>
          <w:sz w:val="24"/>
          <w:szCs w:val="24"/>
        </w:rPr>
        <w:t xml:space="preserve">he short </w:t>
      </w:r>
      <w:r w:rsidR="0086480C" w:rsidRPr="00494D70">
        <w:rPr>
          <w:rFonts w:ascii="Times New Roman" w:eastAsia="Times New Roman" w:hAnsi="Times New Roman" w:cs="Times New Roman"/>
          <w:i/>
          <w:iCs/>
          <w:sz w:val="24"/>
          <w:szCs w:val="24"/>
        </w:rPr>
        <w:t>Sexual Assertiveness Questionnaire</w:t>
      </w:r>
      <w:r w:rsidR="0086480C" w:rsidRPr="00494D70">
        <w:rPr>
          <w:rFonts w:ascii="Times New Roman" w:eastAsia="Times New Roman" w:hAnsi="Times New Roman" w:cs="Times New Roman"/>
          <w:sz w:val="24"/>
          <w:szCs w:val="24"/>
        </w:rPr>
        <w:t xml:space="preserve"> (SAQ-9)</w:t>
      </w:r>
      <w:r w:rsidR="00483883" w:rsidRPr="00494D70">
        <w:rPr>
          <w:rFonts w:ascii="Times New Roman" w:eastAsia="Times New Roman" w:hAnsi="Times New Roman" w:cs="Times New Roman"/>
          <w:sz w:val="24"/>
          <w:szCs w:val="24"/>
        </w:rPr>
        <w:t xml:space="preserve"> </w:t>
      </w:r>
      <w:r w:rsidR="007A06DA" w:rsidRPr="00494D70">
        <w:rPr>
          <w:rFonts w:ascii="Times New Roman" w:eastAsia="Times New Roman" w:hAnsi="Times New Roman" w:cs="Times New Roman"/>
          <w:sz w:val="24"/>
          <w:szCs w:val="24"/>
        </w:rPr>
        <w:t xml:space="preserve">demonstrated </w:t>
      </w:r>
      <w:r w:rsidR="00A760A1" w:rsidRPr="00494D70">
        <w:rPr>
          <w:rFonts w:ascii="Times New Roman" w:eastAsia="Times New Roman" w:hAnsi="Times New Roman" w:cs="Times New Roman"/>
          <w:sz w:val="24"/>
          <w:szCs w:val="24"/>
        </w:rPr>
        <w:t xml:space="preserve">good </w:t>
      </w:r>
      <w:r w:rsidR="00F80821" w:rsidRPr="00494D70">
        <w:rPr>
          <w:rFonts w:ascii="Times New Roman" w:eastAsia="Times New Roman" w:hAnsi="Times New Roman" w:cs="Times New Roman"/>
          <w:sz w:val="24"/>
          <w:szCs w:val="24"/>
        </w:rPr>
        <w:t xml:space="preserve">structural </w:t>
      </w:r>
      <w:r w:rsidR="00A760A1" w:rsidRPr="00494D70">
        <w:rPr>
          <w:rFonts w:ascii="Times New Roman" w:eastAsia="Times New Roman" w:hAnsi="Times New Roman" w:cs="Times New Roman"/>
          <w:sz w:val="24"/>
          <w:szCs w:val="24"/>
        </w:rPr>
        <w:t>validity and reliability,</w:t>
      </w:r>
      <w:r w:rsidR="00F06961" w:rsidRPr="00494D70">
        <w:rPr>
          <w:rFonts w:ascii="Times New Roman" w:eastAsia="Times New Roman" w:hAnsi="Times New Roman" w:cs="Times New Roman"/>
          <w:sz w:val="24"/>
          <w:szCs w:val="24"/>
        </w:rPr>
        <w:t xml:space="preserve"> </w:t>
      </w:r>
      <w:r w:rsidR="002E076A" w:rsidRPr="00494D70">
        <w:rPr>
          <w:rFonts w:ascii="Times New Roman" w:eastAsia="Times New Roman" w:hAnsi="Times New Roman" w:cs="Times New Roman"/>
          <w:sz w:val="24"/>
          <w:szCs w:val="24"/>
        </w:rPr>
        <w:t xml:space="preserve">as well as measurement invariance </w:t>
      </w:r>
      <w:r w:rsidR="00087618" w:rsidRPr="00494D70">
        <w:rPr>
          <w:rFonts w:ascii="Times New Roman" w:eastAsia="Times New Roman" w:hAnsi="Times New Roman" w:cs="Times New Roman"/>
          <w:sz w:val="24"/>
          <w:szCs w:val="24"/>
        </w:rPr>
        <w:t xml:space="preserve">across </w:t>
      </w:r>
      <w:r w:rsidR="009A131D" w:rsidRPr="00494D70">
        <w:rPr>
          <w:rFonts w:ascii="Times New Roman" w:eastAsia="Times New Roman" w:hAnsi="Times New Roman" w:cs="Times New Roman"/>
          <w:sz w:val="24"/>
          <w:szCs w:val="24"/>
        </w:rPr>
        <w:t xml:space="preserve">the </w:t>
      </w:r>
      <w:proofErr w:type="gramStart"/>
      <w:r w:rsidR="009A131D" w:rsidRPr="00494D70">
        <w:rPr>
          <w:rFonts w:ascii="Times New Roman" w:eastAsia="Times New Roman" w:hAnsi="Times New Roman" w:cs="Times New Roman"/>
          <w:sz w:val="24"/>
          <w:szCs w:val="24"/>
        </w:rPr>
        <w:t>aforementioned</w:t>
      </w:r>
      <w:r w:rsidR="00087618" w:rsidRPr="00494D70">
        <w:rPr>
          <w:rFonts w:ascii="Times New Roman" w:eastAsia="Times New Roman" w:hAnsi="Times New Roman" w:cs="Times New Roman"/>
          <w:sz w:val="24"/>
          <w:szCs w:val="24"/>
        </w:rPr>
        <w:t xml:space="preserve"> groups</w:t>
      </w:r>
      <w:proofErr w:type="gramEnd"/>
      <w:r w:rsidR="001F3F6D" w:rsidRPr="00494D70">
        <w:rPr>
          <w:rFonts w:ascii="Times New Roman" w:eastAsia="Times New Roman" w:hAnsi="Times New Roman" w:cs="Times New Roman"/>
          <w:sz w:val="24"/>
          <w:szCs w:val="24"/>
        </w:rPr>
        <w:t xml:space="preserve">. </w:t>
      </w:r>
      <w:r w:rsidR="003E2D4D" w:rsidRPr="00494D70">
        <w:rPr>
          <w:rFonts w:ascii="Times New Roman" w:eastAsia="Times New Roman" w:hAnsi="Times New Roman" w:cs="Times New Roman"/>
          <w:sz w:val="24"/>
          <w:szCs w:val="24"/>
        </w:rPr>
        <w:t>We observed significant</w:t>
      </w:r>
      <w:r w:rsidR="0086480C" w:rsidRPr="00494D70">
        <w:rPr>
          <w:rFonts w:ascii="Times New Roman" w:eastAsia="Times New Roman" w:hAnsi="Times New Roman" w:cs="Times New Roman"/>
          <w:sz w:val="24"/>
          <w:szCs w:val="24"/>
        </w:rPr>
        <w:t xml:space="preserve"> differences</w:t>
      </w:r>
      <w:r w:rsidR="00E21B6B" w:rsidRPr="00494D70">
        <w:rPr>
          <w:rFonts w:ascii="Times New Roman" w:eastAsia="Times New Roman" w:hAnsi="Times New Roman" w:cs="Times New Roman"/>
          <w:sz w:val="24"/>
          <w:szCs w:val="24"/>
        </w:rPr>
        <w:t xml:space="preserve"> between</w:t>
      </w:r>
      <w:r w:rsidR="006D1024" w:rsidRPr="00494D70">
        <w:rPr>
          <w:rFonts w:ascii="Times New Roman" w:eastAsia="Times New Roman" w:hAnsi="Times New Roman" w:cs="Times New Roman"/>
          <w:sz w:val="24"/>
          <w:szCs w:val="24"/>
        </w:rPr>
        <w:t xml:space="preserve"> genders, with men being significantly less assertive than women and gender-diverse individuals</w:t>
      </w:r>
      <w:r w:rsidR="008B3787" w:rsidRPr="00494D70">
        <w:rPr>
          <w:rFonts w:ascii="Times New Roman" w:eastAsia="Times New Roman" w:hAnsi="Times New Roman" w:cs="Times New Roman"/>
          <w:sz w:val="24"/>
          <w:szCs w:val="24"/>
        </w:rPr>
        <w:t xml:space="preserve">. We also reported </w:t>
      </w:r>
      <w:r w:rsidR="00E71B71" w:rsidRPr="00494D70">
        <w:rPr>
          <w:rFonts w:ascii="Times New Roman" w:eastAsia="Times New Roman" w:hAnsi="Times New Roman" w:cs="Times New Roman"/>
          <w:sz w:val="24"/>
          <w:szCs w:val="24"/>
        </w:rPr>
        <w:t xml:space="preserve">on </w:t>
      </w:r>
      <w:r w:rsidR="009C6476" w:rsidRPr="00494D70">
        <w:rPr>
          <w:rFonts w:ascii="Times New Roman" w:eastAsia="Times New Roman" w:hAnsi="Times New Roman" w:cs="Times New Roman"/>
          <w:sz w:val="24"/>
          <w:szCs w:val="24"/>
        </w:rPr>
        <w:t xml:space="preserve">SA </w:t>
      </w:r>
      <w:r w:rsidR="008B3787" w:rsidRPr="00494D70">
        <w:rPr>
          <w:rFonts w:ascii="Times New Roman" w:eastAsia="Times New Roman" w:hAnsi="Times New Roman" w:cs="Times New Roman"/>
          <w:sz w:val="24"/>
          <w:szCs w:val="24"/>
        </w:rPr>
        <w:t xml:space="preserve">differences between </w:t>
      </w:r>
      <w:r w:rsidR="00E21B6B" w:rsidRPr="00494D70">
        <w:rPr>
          <w:rFonts w:ascii="Times New Roman" w:eastAsia="Times New Roman" w:hAnsi="Times New Roman" w:cs="Times New Roman"/>
          <w:sz w:val="24"/>
          <w:szCs w:val="24"/>
        </w:rPr>
        <w:t>sexual orientations</w:t>
      </w:r>
      <w:r w:rsidR="009452F6" w:rsidRPr="00494D70">
        <w:rPr>
          <w:rFonts w:ascii="Times New Roman" w:eastAsia="Times New Roman" w:hAnsi="Times New Roman" w:cs="Times New Roman"/>
          <w:sz w:val="24"/>
          <w:szCs w:val="24"/>
        </w:rPr>
        <w:t xml:space="preserve">, where </w:t>
      </w:r>
      <w:r w:rsidR="000D0C64" w:rsidRPr="00494D70">
        <w:rPr>
          <w:rFonts w:ascii="Times New Roman" w:eastAsia="Times New Roman" w:hAnsi="Times New Roman" w:cs="Times New Roman"/>
          <w:sz w:val="24"/>
          <w:szCs w:val="24"/>
        </w:rPr>
        <w:t>bisexual, pansexual and queer individuals exhibited significantly highe</w:t>
      </w:r>
      <w:r w:rsidR="00E71B71" w:rsidRPr="00494D70">
        <w:rPr>
          <w:rFonts w:ascii="Times New Roman" w:eastAsia="Times New Roman" w:hAnsi="Times New Roman" w:cs="Times New Roman"/>
          <w:sz w:val="24"/>
          <w:szCs w:val="24"/>
        </w:rPr>
        <w:t>r</w:t>
      </w:r>
      <w:r w:rsidR="009C6476" w:rsidRPr="00494D70">
        <w:rPr>
          <w:rFonts w:ascii="Times New Roman" w:eastAsia="Times New Roman" w:hAnsi="Times New Roman" w:cs="Times New Roman"/>
          <w:sz w:val="24"/>
          <w:szCs w:val="24"/>
        </w:rPr>
        <w:t>,</w:t>
      </w:r>
      <w:r w:rsidR="007C1878" w:rsidRPr="00494D70">
        <w:rPr>
          <w:rFonts w:ascii="Times New Roman" w:eastAsia="Times New Roman" w:hAnsi="Times New Roman" w:cs="Times New Roman"/>
          <w:sz w:val="24"/>
          <w:szCs w:val="24"/>
        </w:rPr>
        <w:t xml:space="preserve"> and asexual and questioning participants</w:t>
      </w:r>
      <w:r w:rsidR="00E71B71" w:rsidRPr="00494D70">
        <w:rPr>
          <w:rFonts w:ascii="Times New Roman" w:eastAsia="Times New Roman" w:hAnsi="Times New Roman" w:cs="Times New Roman"/>
          <w:sz w:val="24"/>
          <w:szCs w:val="24"/>
        </w:rPr>
        <w:t xml:space="preserve"> exhibi</w:t>
      </w:r>
      <w:r w:rsidR="0091437B" w:rsidRPr="00494D70">
        <w:rPr>
          <w:rFonts w:ascii="Times New Roman" w:eastAsia="Times New Roman" w:hAnsi="Times New Roman" w:cs="Times New Roman"/>
          <w:sz w:val="24"/>
          <w:szCs w:val="24"/>
        </w:rPr>
        <w:t>ted significantly lower</w:t>
      </w:r>
      <w:r w:rsidR="009C7C6B" w:rsidRPr="00494D70">
        <w:rPr>
          <w:rFonts w:ascii="Times New Roman" w:eastAsia="Times New Roman" w:hAnsi="Times New Roman" w:cs="Times New Roman"/>
          <w:sz w:val="24"/>
          <w:szCs w:val="24"/>
        </w:rPr>
        <w:t xml:space="preserve"> SA relative to other sexual orientations</w:t>
      </w:r>
      <w:r w:rsidR="00D93BE7" w:rsidRPr="00494D70">
        <w:rPr>
          <w:rFonts w:ascii="Times New Roman" w:eastAsia="Times New Roman" w:hAnsi="Times New Roman" w:cs="Times New Roman"/>
          <w:sz w:val="24"/>
          <w:szCs w:val="24"/>
        </w:rPr>
        <w:t>.</w:t>
      </w:r>
      <w:r w:rsidR="00966D9E" w:rsidRPr="00494D70">
        <w:rPr>
          <w:rFonts w:ascii="Times New Roman" w:eastAsia="Times New Roman" w:hAnsi="Times New Roman" w:cs="Times New Roman"/>
          <w:sz w:val="24"/>
          <w:szCs w:val="24"/>
        </w:rPr>
        <w:t xml:space="preserve"> </w:t>
      </w:r>
      <w:r w:rsidR="00767A76" w:rsidRPr="00494D70">
        <w:rPr>
          <w:rFonts w:ascii="Times New Roman" w:eastAsia="Times New Roman" w:hAnsi="Times New Roman" w:cs="Times New Roman"/>
          <w:sz w:val="24"/>
          <w:szCs w:val="24"/>
        </w:rPr>
        <w:t xml:space="preserve">Moreover, we </w:t>
      </w:r>
      <w:r w:rsidR="0086480C" w:rsidRPr="00494D70">
        <w:rPr>
          <w:rFonts w:ascii="Times New Roman" w:eastAsia="Times New Roman" w:hAnsi="Times New Roman" w:cs="Times New Roman"/>
          <w:sz w:val="24"/>
          <w:szCs w:val="24"/>
        </w:rPr>
        <w:t>made translations freely available in 26 languages</w:t>
      </w:r>
      <w:r w:rsidR="00767A76" w:rsidRPr="00494D70">
        <w:rPr>
          <w:rFonts w:ascii="Times New Roman" w:eastAsia="Times New Roman" w:hAnsi="Times New Roman" w:cs="Times New Roman"/>
          <w:sz w:val="24"/>
          <w:szCs w:val="24"/>
        </w:rPr>
        <w:t xml:space="preserve"> to further</w:t>
      </w:r>
      <w:r w:rsidR="000B10D3" w:rsidRPr="00494D70">
        <w:rPr>
          <w:rFonts w:ascii="Times New Roman" w:eastAsia="Times New Roman" w:hAnsi="Times New Roman" w:cs="Times New Roman"/>
          <w:sz w:val="24"/>
          <w:szCs w:val="24"/>
        </w:rPr>
        <w:t xml:space="preserve"> </w:t>
      </w:r>
      <w:r w:rsidR="00767A76" w:rsidRPr="00494D70">
        <w:rPr>
          <w:rFonts w:ascii="Times New Roman" w:eastAsia="Times New Roman" w:hAnsi="Times New Roman" w:cs="Times New Roman"/>
          <w:sz w:val="24"/>
          <w:szCs w:val="24"/>
        </w:rPr>
        <w:t xml:space="preserve">cross-cultural </w:t>
      </w:r>
      <w:proofErr w:type="gramStart"/>
      <w:r w:rsidR="00767A76" w:rsidRPr="00494D70">
        <w:rPr>
          <w:rFonts w:ascii="Times New Roman" w:eastAsia="Times New Roman" w:hAnsi="Times New Roman" w:cs="Times New Roman"/>
          <w:sz w:val="24"/>
          <w:szCs w:val="24"/>
        </w:rPr>
        <w:t>research</w:t>
      </w:r>
      <w:proofErr w:type="gramEnd"/>
      <w:r w:rsidR="00767A76" w:rsidRPr="00494D70">
        <w:rPr>
          <w:rFonts w:ascii="Times New Roman" w:eastAsia="Times New Roman" w:hAnsi="Times New Roman" w:cs="Times New Roman"/>
          <w:sz w:val="24"/>
          <w:szCs w:val="24"/>
        </w:rPr>
        <w:t xml:space="preserve"> </w:t>
      </w:r>
      <w:r w:rsidR="00411879" w:rsidRPr="00494D70">
        <w:rPr>
          <w:rFonts w:ascii="Times New Roman" w:eastAsia="Times New Roman" w:hAnsi="Times New Roman" w:cs="Times New Roman"/>
          <w:sz w:val="24"/>
          <w:szCs w:val="24"/>
        </w:rPr>
        <w:t xml:space="preserve">investigating </w:t>
      </w:r>
      <w:r w:rsidR="00BB46C6" w:rsidRPr="00494D70">
        <w:rPr>
          <w:rFonts w:ascii="Times New Roman" w:eastAsia="Times New Roman" w:hAnsi="Times New Roman" w:cs="Times New Roman"/>
          <w:sz w:val="24"/>
          <w:szCs w:val="24"/>
        </w:rPr>
        <w:t>SA</w:t>
      </w:r>
      <w:r w:rsidR="0086480C" w:rsidRPr="00494D70">
        <w:rPr>
          <w:rFonts w:ascii="Times New Roman" w:eastAsia="Times New Roman" w:hAnsi="Times New Roman" w:cs="Times New Roman"/>
          <w:sz w:val="24"/>
          <w:szCs w:val="24"/>
        </w:rPr>
        <w:t>.</w:t>
      </w:r>
    </w:p>
    <w:p w14:paraId="6FEE7D2C" w14:textId="77777777" w:rsidR="0086480C" w:rsidRPr="00494D70" w:rsidRDefault="0086480C" w:rsidP="000B124E">
      <w:pPr>
        <w:spacing w:after="0" w:line="480" w:lineRule="auto"/>
        <w:rPr>
          <w:rFonts w:ascii="Times New Roman" w:eastAsia="Times New Roman" w:hAnsi="Times New Roman" w:cs="Times New Roman"/>
          <w:i/>
          <w:iCs/>
          <w:sz w:val="24"/>
          <w:szCs w:val="24"/>
        </w:rPr>
      </w:pPr>
      <w:r w:rsidRPr="00494D70">
        <w:rPr>
          <w:rFonts w:ascii="Times New Roman" w:eastAsia="Times New Roman" w:hAnsi="Times New Roman" w:cs="Times New Roman"/>
          <w:i/>
          <w:iCs/>
          <w:sz w:val="24"/>
          <w:szCs w:val="24"/>
        </w:rPr>
        <w:t>Psychometric properties of the SAQ-9</w:t>
      </w:r>
    </w:p>
    <w:p w14:paraId="0E7FA077" w14:textId="18EFAA15" w:rsidR="0086480C" w:rsidRPr="00494D70" w:rsidRDefault="00BB0E28" w:rsidP="00BD26D0">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t>As the first study assessing the internal structure of the short Sexua</w:t>
      </w:r>
      <w:r w:rsidR="00753A21" w:rsidRPr="00494D70">
        <w:rPr>
          <w:rFonts w:ascii="Times New Roman" w:eastAsia="Times New Roman" w:hAnsi="Times New Roman" w:cs="Times New Roman"/>
          <w:sz w:val="24"/>
          <w:szCs w:val="24"/>
        </w:rPr>
        <w:t xml:space="preserve">l Assertiveness </w:t>
      </w:r>
      <w:proofErr w:type="gramStart"/>
      <w:r w:rsidR="00753A21" w:rsidRPr="00494D70">
        <w:rPr>
          <w:rFonts w:ascii="Times New Roman" w:eastAsia="Times New Roman" w:hAnsi="Times New Roman" w:cs="Times New Roman"/>
          <w:sz w:val="24"/>
          <w:szCs w:val="24"/>
        </w:rPr>
        <w:t>Questionnaire,  the</w:t>
      </w:r>
      <w:proofErr w:type="gramEnd"/>
      <w:r w:rsidR="00753A21" w:rsidRPr="00494D70">
        <w:rPr>
          <w:rFonts w:ascii="Times New Roman" w:eastAsia="Times New Roman" w:hAnsi="Times New Roman" w:cs="Times New Roman"/>
          <w:sz w:val="24"/>
          <w:szCs w:val="24"/>
        </w:rPr>
        <w:t xml:space="preserve"> SAQ-9 </w:t>
      </w:r>
      <w:r w:rsidR="0086480C" w:rsidRPr="00494D70">
        <w:rPr>
          <w:rFonts w:ascii="Times New Roman" w:eastAsia="Times New Roman" w:hAnsi="Times New Roman" w:cs="Times New Roman"/>
          <w:sz w:val="24"/>
          <w:szCs w:val="24"/>
        </w:rPr>
        <w:t>replicate</w:t>
      </w:r>
      <w:r w:rsidR="00954F32" w:rsidRPr="00494D70">
        <w:rPr>
          <w:rFonts w:ascii="Times New Roman" w:eastAsia="Times New Roman" w:hAnsi="Times New Roman" w:cs="Times New Roman"/>
          <w:sz w:val="24"/>
          <w:szCs w:val="24"/>
        </w:rPr>
        <w:t>d</w:t>
      </w:r>
      <w:r w:rsidR="0086480C" w:rsidRPr="00494D70">
        <w:rPr>
          <w:rFonts w:ascii="Times New Roman" w:eastAsia="Times New Roman" w:hAnsi="Times New Roman" w:cs="Times New Roman"/>
          <w:sz w:val="24"/>
          <w:szCs w:val="24"/>
        </w:rPr>
        <w:t xml:space="preserve"> the three-factor model </w:t>
      </w:r>
      <w:r w:rsidR="00544C50" w:rsidRPr="00494D70">
        <w:rPr>
          <w:rFonts w:ascii="Times New Roman" w:eastAsia="Times New Roman" w:hAnsi="Times New Roman" w:cs="Times New Roman"/>
          <w:sz w:val="24"/>
          <w:szCs w:val="24"/>
        </w:rPr>
        <w:t xml:space="preserve">previously </w:t>
      </w:r>
      <w:r w:rsidR="0086480C" w:rsidRPr="00494D70">
        <w:rPr>
          <w:rFonts w:ascii="Times New Roman" w:eastAsia="Times New Roman" w:hAnsi="Times New Roman" w:cs="Times New Roman"/>
          <w:sz w:val="24"/>
          <w:szCs w:val="24"/>
        </w:rPr>
        <w:t xml:space="preserve">identified </w:t>
      </w:r>
      <w:r w:rsidR="00544C50" w:rsidRPr="00494D70">
        <w:rPr>
          <w:rFonts w:ascii="Times New Roman" w:eastAsia="Times New Roman" w:hAnsi="Times New Roman" w:cs="Times New Roman"/>
          <w:sz w:val="24"/>
          <w:szCs w:val="24"/>
        </w:rPr>
        <w:t xml:space="preserve">in a women-only </w:t>
      </w:r>
      <w:r w:rsidR="00313AB4" w:rsidRPr="00494D70">
        <w:rPr>
          <w:rFonts w:ascii="Times New Roman" w:eastAsia="Times New Roman" w:hAnsi="Times New Roman" w:cs="Times New Roman"/>
          <w:sz w:val="24"/>
          <w:szCs w:val="24"/>
        </w:rPr>
        <w:t>study</w:t>
      </w:r>
      <w:r w:rsidR="00544C50" w:rsidRPr="00494D70">
        <w:rPr>
          <w:rFonts w:ascii="Times New Roman" w:eastAsia="Times New Roman" w:hAnsi="Times New Roman" w:cs="Times New Roman"/>
          <w:sz w:val="24"/>
          <w:szCs w:val="24"/>
        </w:rPr>
        <w:t xml:space="preserve"> </w:t>
      </w:r>
      <w:r w:rsidR="0086480C" w:rsidRPr="00494D70">
        <w:rPr>
          <w:rFonts w:ascii="Times New Roman" w:eastAsia="Times New Roman" w:hAnsi="Times New Roman" w:cs="Times New Roman"/>
          <w:sz w:val="24"/>
          <w:szCs w:val="24"/>
        </w:rPr>
        <w:t xml:space="preserve">by Loshek </w:t>
      </w:r>
      <w:r w:rsidR="00627E8B" w:rsidRPr="00494D70">
        <w:rPr>
          <w:rFonts w:ascii="Times New Roman" w:eastAsia="Times New Roman" w:hAnsi="Times New Roman" w:cs="Times New Roman"/>
          <w:sz w:val="24"/>
          <w:szCs w:val="24"/>
        </w:rPr>
        <w:t>and</w:t>
      </w:r>
      <w:r w:rsidR="0086480C" w:rsidRPr="00494D70">
        <w:rPr>
          <w:rFonts w:ascii="Times New Roman" w:eastAsia="Times New Roman" w:hAnsi="Times New Roman" w:cs="Times New Roman"/>
          <w:sz w:val="24"/>
          <w:szCs w:val="24"/>
        </w:rPr>
        <w:t xml:space="preserve"> Terrell (2015)</w:t>
      </w:r>
      <w:r w:rsidR="00146981" w:rsidRPr="00494D70">
        <w:rPr>
          <w:rFonts w:ascii="Times New Roman" w:eastAsia="Times New Roman" w:hAnsi="Times New Roman" w:cs="Times New Roman"/>
          <w:sz w:val="24"/>
          <w:szCs w:val="24"/>
        </w:rPr>
        <w:t xml:space="preserve"> in a large and diverse sample</w:t>
      </w:r>
      <w:r w:rsidR="0086480C" w:rsidRPr="00494D70">
        <w:rPr>
          <w:rFonts w:ascii="Times New Roman" w:eastAsia="Times New Roman" w:hAnsi="Times New Roman" w:cs="Times New Roman"/>
          <w:sz w:val="24"/>
          <w:szCs w:val="24"/>
        </w:rPr>
        <w:t xml:space="preserve">. All items’ factor loadings were acceptable, </w:t>
      </w:r>
      <w:r w:rsidR="00A33B57" w:rsidRPr="00494D70">
        <w:rPr>
          <w:rFonts w:ascii="Times New Roman" w:eastAsia="Times New Roman" w:hAnsi="Times New Roman" w:cs="Times New Roman"/>
          <w:sz w:val="24"/>
          <w:szCs w:val="24"/>
        </w:rPr>
        <w:t xml:space="preserve">although </w:t>
      </w:r>
      <w:r w:rsidR="0086480C" w:rsidRPr="00494D70">
        <w:rPr>
          <w:rFonts w:ascii="Times New Roman" w:eastAsia="Times New Roman" w:hAnsi="Times New Roman" w:cs="Times New Roman"/>
          <w:sz w:val="24"/>
          <w:szCs w:val="24"/>
        </w:rPr>
        <w:t>one in the Refusal subscale (i.e.</w:t>
      </w:r>
      <w:r w:rsidR="00B43B97" w:rsidRPr="00494D70">
        <w:rPr>
          <w:rFonts w:ascii="Times New Roman" w:eastAsia="Times New Roman" w:hAnsi="Times New Roman" w:cs="Times New Roman"/>
          <w:sz w:val="24"/>
          <w:szCs w:val="24"/>
        </w:rPr>
        <w:t xml:space="preserve">, item 5, </w:t>
      </w:r>
      <w:r w:rsidR="0086480C" w:rsidRPr="00494D70">
        <w:rPr>
          <w:rFonts w:ascii="Times New Roman" w:eastAsia="Times New Roman" w:hAnsi="Times New Roman" w:cs="Times New Roman"/>
          <w:i/>
          <w:iCs/>
          <w:sz w:val="24"/>
          <w:szCs w:val="24"/>
        </w:rPr>
        <w:t>I find myself having sex when I do not really want it</w:t>
      </w:r>
      <w:r w:rsidR="0086480C" w:rsidRPr="00494D70">
        <w:rPr>
          <w:rFonts w:ascii="Times New Roman" w:eastAsia="Times New Roman" w:hAnsi="Times New Roman" w:cs="Times New Roman"/>
          <w:sz w:val="24"/>
          <w:szCs w:val="24"/>
        </w:rPr>
        <w:t>)</w:t>
      </w:r>
      <w:r w:rsidR="00A33B57" w:rsidRPr="00494D70">
        <w:rPr>
          <w:rFonts w:ascii="Times New Roman" w:eastAsia="Times New Roman" w:hAnsi="Times New Roman" w:cs="Times New Roman"/>
          <w:sz w:val="24"/>
          <w:szCs w:val="24"/>
        </w:rPr>
        <w:t xml:space="preserve"> </w:t>
      </w:r>
      <w:r w:rsidR="00592153" w:rsidRPr="00494D70">
        <w:rPr>
          <w:rFonts w:ascii="Times New Roman" w:eastAsia="Times New Roman" w:hAnsi="Times New Roman" w:cs="Times New Roman"/>
          <w:sz w:val="24"/>
          <w:szCs w:val="24"/>
        </w:rPr>
        <w:t>was</w:t>
      </w:r>
      <w:r w:rsidR="00A33B57" w:rsidRPr="00494D70">
        <w:rPr>
          <w:rFonts w:ascii="Times New Roman" w:eastAsia="Times New Roman" w:hAnsi="Times New Roman" w:cs="Times New Roman"/>
          <w:sz w:val="24"/>
          <w:szCs w:val="24"/>
        </w:rPr>
        <w:t xml:space="preserve"> on the lower threshold of </w:t>
      </w:r>
      <w:r w:rsidR="00D632D7" w:rsidRPr="00494D70">
        <w:rPr>
          <w:rFonts w:ascii="Times New Roman" w:eastAsia="Times New Roman" w:hAnsi="Times New Roman" w:cs="Times New Roman"/>
          <w:sz w:val="24"/>
          <w:szCs w:val="24"/>
        </w:rPr>
        <w:t>fair factor loading</w:t>
      </w:r>
      <w:r w:rsidR="00234096" w:rsidRPr="00494D70">
        <w:rPr>
          <w:rFonts w:ascii="Times New Roman" w:eastAsia="Times New Roman" w:hAnsi="Times New Roman" w:cs="Times New Roman"/>
          <w:sz w:val="24"/>
          <w:szCs w:val="24"/>
        </w:rPr>
        <w:t xml:space="preserve"> </w:t>
      </w:r>
      <w:r w:rsidR="00234096"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{"citationID":"9cLYrFFb","properties":{"formattedCitation":"(Comrey &amp; Lee, 1992)","plainCitation":"(Comrey &amp; Lee, 1992)","noteIndex":0},"citationItems":[{"id":5183,"uris":["http://zotero.org/users/7402913/items/5DT46LAN"],"itemData":{"id":5183,"type":"book","abstract":"The goal of this book is to foster a basic understanding of factor analytic techniques so that readers can use them in their own research and critically evaluate their use by other researchers. Both the underlying theory and correct application are emphasized. The theory is presented through the mathematical basis of the most common factor analytic models and several methods used in factor analysis. On the application side, considerable attention is given to the extraction problem, the rotation problem, and the interpretation of factor analytic results. Hence, readers are given a background of understanding in the the theory underlying factor analysis and then taken through the steps in executing a proper analysis -- from the initial problem of design through choice of correlation coefficient, factor extraction, factor rotation, factor interpretation, and writing up results.   This revised edition includes introductions to newer methods -- such as confirmatory factor analysis and structural equation modeling -- that have revolutionized factor analysis in recent years. To help remove some of the mystery underlying these newer, more complex methods, the introductory examples utilize EQS and LISREL. Updated material relating to the validation of the Comrey Personality Scales also has been added. Finally, program disks for running factor analyses on either an IBM-compatible PC or a mainframe with FORTRAN capabilities are available. The intended audience for this volume includes talented but mathematically unsophisticated advanced undergraduates, graduate students, and research workers seeking to acquire a basic understanding of the principles supporting factor analysis.   Disks are available in 5.25\" and 3.5\" formats for both mainframe programs written in Fortran and IBM PCs and compatibles running a math co-processor.","edition":"2","event-place":"New York","ISBN":"978-1-315-82750-6","note":"DOI: 10.4324/9781315827506","number-of-pages":"442","publisher":"Psychology Press","publisher-place":"New York","title":"A First Course in Factor Analysis","author":[{"family":"Comrey","given":"Andrew L."},{"family":"Lee","given":"Howard B."}],"issued":{"date-parts":[["1992"]]}}}],"schema":"https://github.com/citation-style-language/schema/raw/master/csl-citation.json"} </w:instrText>
      </w:r>
      <w:r w:rsidR="00234096" w:rsidRPr="00494D70">
        <w:rPr>
          <w:rFonts w:ascii="Times New Roman" w:eastAsia="Times New Roman" w:hAnsi="Times New Roman" w:cs="Times New Roman"/>
          <w:sz w:val="24"/>
          <w:szCs w:val="24"/>
        </w:rPr>
        <w:fldChar w:fldCharType="separate"/>
      </w:r>
      <w:r w:rsidR="00234096" w:rsidRPr="00494D70">
        <w:rPr>
          <w:rFonts w:ascii="Times New Roman" w:hAnsi="Times New Roman" w:cs="Times New Roman"/>
          <w:sz w:val="24"/>
        </w:rPr>
        <w:t>(Comrey &amp; Lee, 1992)</w:t>
      </w:r>
      <w:r w:rsidR="00234096" w:rsidRPr="00494D70">
        <w:rPr>
          <w:rFonts w:ascii="Times New Roman" w:eastAsia="Times New Roman" w:hAnsi="Times New Roman" w:cs="Times New Roman"/>
          <w:sz w:val="24"/>
          <w:szCs w:val="24"/>
        </w:rPr>
        <w:fldChar w:fldCharType="end"/>
      </w:r>
      <w:r w:rsidR="0086480C" w:rsidRPr="00494D70">
        <w:rPr>
          <w:rFonts w:ascii="Times New Roman" w:eastAsia="Times New Roman" w:hAnsi="Times New Roman" w:cs="Times New Roman"/>
          <w:sz w:val="24"/>
          <w:szCs w:val="24"/>
        </w:rPr>
        <w:t xml:space="preserve">. This may suggest that the item is less effective in measuring the underlying </w:t>
      </w:r>
      <w:proofErr w:type="gramStart"/>
      <w:r w:rsidR="0086480C" w:rsidRPr="00494D70">
        <w:rPr>
          <w:rFonts w:ascii="Times New Roman" w:eastAsia="Times New Roman" w:hAnsi="Times New Roman" w:cs="Times New Roman"/>
          <w:sz w:val="24"/>
          <w:szCs w:val="24"/>
        </w:rPr>
        <w:t>construct</w:t>
      </w:r>
      <w:proofErr w:type="gramEnd"/>
      <w:r w:rsidR="0086480C" w:rsidRPr="00494D70">
        <w:rPr>
          <w:rFonts w:ascii="Times New Roman" w:eastAsia="Times New Roman" w:hAnsi="Times New Roman" w:cs="Times New Roman"/>
          <w:sz w:val="24"/>
          <w:szCs w:val="24"/>
        </w:rPr>
        <w:t xml:space="preserve"> of refusal assertiveness than the others. The lower</w:t>
      </w:r>
      <w:r w:rsidR="00CB56ED" w:rsidRPr="00494D70">
        <w:rPr>
          <w:rFonts w:ascii="Times New Roman" w:eastAsia="Times New Roman" w:hAnsi="Times New Roman" w:cs="Times New Roman"/>
          <w:sz w:val="24"/>
          <w:szCs w:val="24"/>
        </w:rPr>
        <w:t xml:space="preserve"> </w:t>
      </w:r>
      <w:r w:rsidR="0086480C" w:rsidRPr="00494D70">
        <w:rPr>
          <w:rFonts w:ascii="Times New Roman" w:eastAsia="Times New Roman" w:hAnsi="Times New Roman" w:cs="Times New Roman"/>
          <w:sz w:val="24"/>
          <w:szCs w:val="24"/>
        </w:rPr>
        <w:t xml:space="preserve">factor loading indicates that the item is less strongly correlated with the latent </w:t>
      </w:r>
      <w:proofErr w:type="gramStart"/>
      <w:r w:rsidR="0086480C" w:rsidRPr="00494D70">
        <w:rPr>
          <w:rFonts w:ascii="Times New Roman" w:eastAsia="Times New Roman" w:hAnsi="Times New Roman" w:cs="Times New Roman"/>
          <w:sz w:val="24"/>
          <w:szCs w:val="24"/>
        </w:rPr>
        <w:t>construct</w:t>
      </w:r>
      <w:proofErr w:type="gramEnd"/>
      <w:r w:rsidR="0086480C" w:rsidRPr="00494D70">
        <w:rPr>
          <w:rFonts w:ascii="Times New Roman" w:eastAsia="Times New Roman" w:hAnsi="Times New Roman" w:cs="Times New Roman"/>
          <w:sz w:val="24"/>
          <w:szCs w:val="24"/>
        </w:rPr>
        <w:t xml:space="preserve">, meaning that it may not be as good of an indicator of the </w:t>
      </w:r>
      <w:proofErr w:type="gramStart"/>
      <w:r w:rsidR="0086480C" w:rsidRPr="00494D70">
        <w:rPr>
          <w:rFonts w:ascii="Times New Roman" w:eastAsia="Times New Roman" w:hAnsi="Times New Roman" w:cs="Times New Roman"/>
          <w:sz w:val="24"/>
          <w:szCs w:val="24"/>
        </w:rPr>
        <w:t>construct</w:t>
      </w:r>
      <w:proofErr w:type="gramEnd"/>
      <w:r w:rsidR="003F1F38" w:rsidRPr="00494D70">
        <w:rPr>
          <w:rFonts w:ascii="Times New Roman" w:eastAsia="Times New Roman" w:hAnsi="Times New Roman" w:cs="Times New Roman"/>
          <w:sz w:val="24"/>
          <w:szCs w:val="24"/>
        </w:rPr>
        <w:t xml:space="preserve"> as the other items on the factor</w:t>
      </w:r>
      <w:r w:rsidR="0086480C" w:rsidRPr="00494D70">
        <w:rPr>
          <w:rFonts w:ascii="Times New Roman" w:eastAsia="Times New Roman" w:hAnsi="Times New Roman" w:cs="Times New Roman"/>
          <w:sz w:val="24"/>
          <w:szCs w:val="24"/>
        </w:rPr>
        <w:t>. It is important, however, to consider practical factors when interpreting poor</w:t>
      </w:r>
      <w:r w:rsidR="009E578D" w:rsidRPr="00494D70">
        <w:rPr>
          <w:rFonts w:ascii="Times New Roman" w:eastAsia="Times New Roman" w:hAnsi="Times New Roman" w:cs="Times New Roman"/>
          <w:sz w:val="24"/>
          <w:szCs w:val="24"/>
        </w:rPr>
        <w:t>er</w:t>
      </w:r>
      <w:r w:rsidR="0086480C" w:rsidRPr="00494D70">
        <w:rPr>
          <w:rFonts w:ascii="Times New Roman" w:eastAsia="Times New Roman" w:hAnsi="Times New Roman" w:cs="Times New Roman"/>
          <w:sz w:val="24"/>
          <w:szCs w:val="24"/>
        </w:rPr>
        <w:t xml:space="preserve"> item performance. This item was the only reversed item in the questionnaire, which was in the middle of a relatively long survey battery. </w:t>
      </w:r>
      <w:r w:rsidR="00A26992" w:rsidRPr="00494D70">
        <w:rPr>
          <w:rFonts w:ascii="Times New Roman" w:eastAsia="Times New Roman" w:hAnsi="Times New Roman" w:cs="Times New Roman"/>
          <w:sz w:val="24"/>
          <w:szCs w:val="24"/>
        </w:rPr>
        <w:t xml:space="preserve">In addition to reversed item bias </w:t>
      </w:r>
      <w:r w:rsidR="00A26992" w:rsidRPr="00494D70">
        <w:rPr>
          <w:rFonts w:ascii="Times New Roman" w:eastAsia="Times New Roman" w:hAnsi="Times New Roman" w:cs="Times New Roman"/>
          <w:sz w:val="24"/>
          <w:szCs w:val="24"/>
        </w:rPr>
        <w:fldChar w:fldCharType="begin"/>
      </w:r>
      <w:r w:rsidR="00A26992" w:rsidRPr="00494D70">
        <w:rPr>
          <w:rFonts w:ascii="Times New Roman" w:eastAsia="Times New Roman" w:hAnsi="Times New Roman" w:cs="Times New Roman"/>
          <w:sz w:val="24"/>
          <w:szCs w:val="24"/>
        </w:rPr>
        <w:instrText xml:space="preserve"> ADDIN ZOTERO_ITEM CSL_CITATION {"citationID":"MOKo0FC9","properties":{"formattedCitation":"(Weijters et al., 2013)","plainCitation":"(Weijters et al., 2013)","noteIndex":0},"citationItems":[{"id":5087,"uris":["http://zotero.org/users/7402913/items/U7UG553H"],"itemData":{"id":5087,"type":"article-journal","abstract":"In the recent methodological literature, various models have been proposed to account for the phenomenon that reversed items (defined as items for which respondents’ scores have to be recoded in order to make the direction of keying consistent across all items) tend to lead to problematic responses. In this article we propose an integrative conceptualization of three important sources of reversed item method bias (acquiescence, careless responding, and confirmation bias) and specify a multisample confirmatory factor analysis model with 2 method factors to empirically test the hypothesized mechanisms, using explicit measures of acquiescence and carelessness and experimentally manipulated versions of a questionnaire that varies 3 item arrangements and the keying direction of the first item measuring the focal construct. We explain the mechanisms, review prior attempts to model reversed item bias, present our new model, and apply it to responses to a 4-item self-esteem scale (N = 306) and the 6-item Revised Life Orientation Test (N = 595). Based on the literature review and the empirical results, we formulate recommendations on how to use reversed items in questionnaires. (PsycINFO Database Record (c) 2016 APA, all rights reserved)","container-title":"Psychological Methods","DOI":"10.1037/a0032121","ISSN":"1939-1463","note":"publisher-place: US\npublisher: American Psychological Association","page":"320-334","source":"APA PsycNet","title":"Reversed item bias: An integrative model","title-short":"Reversed item bias","volume":"18","author":[{"family":"Weijters","given":"Bert"},{"family":"Baumgartner","given":"Hans"},{"family":"Schillewaert","given":"Niels"}],"issued":{"date-parts":[["2013"]]}}}],"schema":"https://github.com/citation-style-language/schema/raw/master/csl-citation.json"} </w:instrText>
      </w:r>
      <w:r w:rsidR="00A26992" w:rsidRPr="00494D70">
        <w:rPr>
          <w:rFonts w:ascii="Times New Roman" w:eastAsia="Times New Roman" w:hAnsi="Times New Roman" w:cs="Times New Roman"/>
          <w:sz w:val="24"/>
          <w:szCs w:val="24"/>
        </w:rPr>
        <w:fldChar w:fldCharType="separate"/>
      </w:r>
      <w:r w:rsidR="00242995" w:rsidRPr="00494D70">
        <w:rPr>
          <w:rFonts w:ascii="Times New Roman" w:hAnsi="Times New Roman" w:cs="Times New Roman"/>
          <w:sz w:val="24"/>
        </w:rPr>
        <w:t>(Weijters et al., 2013)</w:t>
      </w:r>
      <w:r w:rsidR="00A26992" w:rsidRPr="00494D70">
        <w:rPr>
          <w:rFonts w:ascii="Times New Roman" w:eastAsia="Times New Roman" w:hAnsi="Times New Roman" w:cs="Times New Roman"/>
          <w:sz w:val="24"/>
          <w:szCs w:val="24"/>
        </w:rPr>
        <w:fldChar w:fldCharType="end"/>
      </w:r>
      <w:r w:rsidR="0086480C" w:rsidRPr="00494D70">
        <w:rPr>
          <w:rFonts w:ascii="Times New Roman" w:eastAsia="Times New Roman" w:hAnsi="Times New Roman" w:cs="Times New Roman"/>
          <w:sz w:val="24"/>
          <w:szCs w:val="24"/>
        </w:rPr>
        <w:t>, participants’</w:t>
      </w:r>
      <w:r w:rsidR="00DB009A" w:rsidRPr="00494D70">
        <w:rPr>
          <w:rFonts w:ascii="Times New Roman" w:eastAsia="Times New Roman" w:hAnsi="Times New Roman" w:cs="Times New Roman"/>
          <w:sz w:val="24"/>
          <w:szCs w:val="24"/>
        </w:rPr>
        <w:t xml:space="preserve"> </w:t>
      </w:r>
      <w:r w:rsidR="0086480C" w:rsidRPr="00494D70">
        <w:rPr>
          <w:rFonts w:ascii="Times New Roman" w:eastAsia="Times New Roman" w:hAnsi="Times New Roman" w:cs="Times New Roman"/>
          <w:sz w:val="24"/>
          <w:szCs w:val="24"/>
        </w:rPr>
        <w:t xml:space="preserve">fatigue may have </w:t>
      </w:r>
      <w:r w:rsidR="006140C2" w:rsidRPr="00494D70">
        <w:rPr>
          <w:rFonts w:ascii="Times New Roman" w:eastAsia="Times New Roman" w:hAnsi="Times New Roman" w:cs="Times New Roman"/>
          <w:sz w:val="24"/>
          <w:szCs w:val="24"/>
        </w:rPr>
        <w:lastRenderedPageBreak/>
        <w:t>contributed to</w:t>
      </w:r>
      <w:r w:rsidR="0086480C" w:rsidRPr="00494D70">
        <w:rPr>
          <w:rFonts w:ascii="Times New Roman" w:eastAsia="Times New Roman" w:hAnsi="Times New Roman" w:cs="Times New Roman"/>
          <w:sz w:val="24"/>
          <w:szCs w:val="24"/>
        </w:rPr>
        <w:t xml:space="preserve"> the item’s performance. When respondents are tired or experiencing reduced attention, cognitive processing can become more challenging, and reversed items </w:t>
      </w:r>
      <w:r w:rsidR="006140C2" w:rsidRPr="00494D70">
        <w:rPr>
          <w:rFonts w:ascii="Times New Roman" w:eastAsia="Times New Roman" w:hAnsi="Times New Roman" w:cs="Times New Roman"/>
          <w:sz w:val="24"/>
          <w:szCs w:val="24"/>
        </w:rPr>
        <w:t xml:space="preserve">may </w:t>
      </w:r>
      <w:r w:rsidR="0086480C" w:rsidRPr="00494D70">
        <w:rPr>
          <w:rFonts w:ascii="Times New Roman" w:eastAsia="Times New Roman" w:hAnsi="Times New Roman" w:cs="Times New Roman"/>
          <w:sz w:val="24"/>
          <w:szCs w:val="24"/>
        </w:rPr>
        <w:t xml:space="preserve">be particularly difficult to comprehend. Therefore, it is </w:t>
      </w:r>
      <w:r w:rsidR="00DB009A" w:rsidRPr="00494D70">
        <w:rPr>
          <w:rFonts w:ascii="Times New Roman" w:eastAsia="Times New Roman" w:hAnsi="Times New Roman" w:cs="Times New Roman"/>
          <w:sz w:val="24"/>
          <w:szCs w:val="24"/>
        </w:rPr>
        <w:t>common</w:t>
      </w:r>
      <w:r w:rsidR="0086480C" w:rsidRPr="00494D70">
        <w:rPr>
          <w:rFonts w:ascii="Times New Roman" w:eastAsia="Times New Roman" w:hAnsi="Times New Roman" w:cs="Times New Roman"/>
          <w:sz w:val="24"/>
          <w:szCs w:val="24"/>
        </w:rPr>
        <w:t xml:space="preserve"> for reversed items to have lower factor loadings and higher modification indices, especially when placed in the middle of a lengthy survey battery</w:t>
      </w:r>
      <w:r w:rsidR="00BB58BF" w:rsidRPr="00494D70">
        <w:rPr>
          <w:rFonts w:ascii="Times New Roman" w:eastAsia="Times New Roman" w:hAnsi="Times New Roman" w:cs="Times New Roman"/>
          <w:sz w:val="24"/>
          <w:szCs w:val="24"/>
        </w:rPr>
        <w:t xml:space="preserve"> </w:t>
      </w:r>
      <w:r w:rsidR="00BB58BF"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{"citationID":"xVJSwlf4","properties":{"formattedCitation":"(Egleston et al., 2011)","plainCitation":"(Egleston et al., 2011)","noteIndex":0},"citationItems":[{"id":5264,"uris":["http://zotero.org/users/7402913/items/3KVAQ7Z7"],"itemData":{"id":5264,"type":"article-journal","abstract":"Response fatigue can cause measurement error and misclassification problems in survey research. Questions asked later in a long survey are often prone to more measurement error or misclassification. The response given is a function of both the true response and participant response fatigue. We investigate the identifiability of survey order effects and their impact on estimators of treatment effects. The focus is on fatigue that affects a given answer to a question rather than fatigue that causes non-response and missing data. We consider linear, Gamma, and logistic models of response that incorporate both the true underlying response and the effect of question order. For continuous data, survey order effects have no impact on study power under a Gamma model. However, under a linear model that allows for convergence of responses to a common mean, the impact of fatigue on power will depend on how fatigue affects both the rate of mean convergence and the variance of responses. For binary data and for less than a 50% chance of a positive response, order effects cause study power to increase under a linear probability (risk difference) model, but decrease under a logistic model. The results suggest that measures designed to reduce survey order effects might have unintended consequences. We present a data example that demonstrates the problem of survey order effects.","container-title":"Statistics in medicine","DOI":"10.1002/sim.4377","ISSN":"0277-6715","issue":"30","journalAbbreviation":"Stat Med","note":"PMID: 21953305\nPMCID: PMC3552436","page":"3560-3572","source":"PubMed Central","title":"The impact of misclassification due to survey response fatigue on estimation and identifiability of treatment effects","volume":"30","author":[{"family":"Egleston","given":"Brian L."},{"family":"Miller","given":"Suzanne M."},{"family":"Meropol","given":"Neal J."}],"issued":{"date-parts":[["2011",12,30]]}}}],"schema":"https://github.com/citation-style-language/schema/raw/master/csl-citation.json"} </w:instrText>
      </w:r>
      <w:r w:rsidR="00BB58BF" w:rsidRPr="00494D70">
        <w:rPr>
          <w:rFonts w:ascii="Times New Roman" w:eastAsia="Times New Roman" w:hAnsi="Times New Roman" w:cs="Times New Roman"/>
          <w:sz w:val="24"/>
          <w:szCs w:val="24"/>
        </w:rPr>
        <w:fldChar w:fldCharType="separate"/>
      </w:r>
      <w:r w:rsidR="00BB58BF" w:rsidRPr="00494D70">
        <w:rPr>
          <w:rFonts w:ascii="Times New Roman" w:hAnsi="Times New Roman" w:cs="Times New Roman"/>
          <w:sz w:val="24"/>
        </w:rPr>
        <w:t>(Egleston et al., 2011)</w:t>
      </w:r>
      <w:r w:rsidR="00BB58BF" w:rsidRPr="00494D70">
        <w:rPr>
          <w:rFonts w:ascii="Times New Roman" w:eastAsia="Times New Roman" w:hAnsi="Times New Roman" w:cs="Times New Roman"/>
          <w:sz w:val="24"/>
          <w:szCs w:val="24"/>
        </w:rPr>
        <w:fldChar w:fldCharType="end"/>
      </w:r>
      <w:r w:rsidR="0086480C" w:rsidRPr="00494D70">
        <w:rPr>
          <w:rFonts w:ascii="Times New Roman" w:eastAsia="Times New Roman" w:hAnsi="Times New Roman" w:cs="Times New Roman"/>
          <w:sz w:val="24"/>
          <w:szCs w:val="24"/>
        </w:rPr>
        <w:t xml:space="preserve">. It may be worthwhile to conduct further research to determine the </w:t>
      </w:r>
      <w:r w:rsidR="00505902" w:rsidRPr="00494D70">
        <w:rPr>
          <w:rFonts w:ascii="Times New Roman" w:eastAsia="Times New Roman" w:hAnsi="Times New Roman" w:cs="Times New Roman"/>
          <w:sz w:val="24"/>
          <w:szCs w:val="24"/>
        </w:rPr>
        <w:t>causes</w:t>
      </w:r>
      <w:r w:rsidR="006140C2" w:rsidRPr="00494D70">
        <w:rPr>
          <w:rFonts w:ascii="Times New Roman" w:eastAsia="Times New Roman" w:hAnsi="Times New Roman" w:cs="Times New Roman"/>
          <w:sz w:val="24"/>
          <w:szCs w:val="24"/>
        </w:rPr>
        <w:t xml:space="preserve"> </w:t>
      </w:r>
      <w:r w:rsidR="0086480C" w:rsidRPr="00494D70">
        <w:rPr>
          <w:rFonts w:ascii="Times New Roman" w:eastAsia="Times New Roman" w:hAnsi="Times New Roman" w:cs="Times New Roman"/>
          <w:sz w:val="24"/>
          <w:szCs w:val="24"/>
        </w:rPr>
        <w:t xml:space="preserve">of the poorer item performance and whether there </w:t>
      </w:r>
      <w:r w:rsidR="006140C2" w:rsidRPr="00494D70">
        <w:rPr>
          <w:rFonts w:ascii="Times New Roman" w:eastAsia="Times New Roman" w:hAnsi="Times New Roman" w:cs="Times New Roman"/>
          <w:sz w:val="24"/>
          <w:szCs w:val="24"/>
        </w:rPr>
        <w:t>may be</w:t>
      </w:r>
      <w:r w:rsidR="0086480C" w:rsidRPr="00494D70">
        <w:rPr>
          <w:rFonts w:ascii="Times New Roman" w:eastAsia="Times New Roman" w:hAnsi="Times New Roman" w:cs="Times New Roman"/>
          <w:sz w:val="24"/>
          <w:szCs w:val="24"/>
        </w:rPr>
        <w:t xml:space="preserve"> ways to improve the item's effectiveness in measuring the </w:t>
      </w:r>
      <w:proofErr w:type="gramStart"/>
      <w:r w:rsidR="0086480C" w:rsidRPr="00494D70">
        <w:rPr>
          <w:rFonts w:ascii="Times New Roman" w:eastAsia="Times New Roman" w:hAnsi="Times New Roman" w:cs="Times New Roman"/>
          <w:sz w:val="24"/>
          <w:szCs w:val="24"/>
        </w:rPr>
        <w:t>construct</w:t>
      </w:r>
      <w:proofErr w:type="gramEnd"/>
      <w:r w:rsidR="0086480C" w:rsidRPr="00494D70">
        <w:rPr>
          <w:rFonts w:ascii="Times New Roman" w:eastAsia="Times New Roman" w:hAnsi="Times New Roman" w:cs="Times New Roman"/>
          <w:sz w:val="24"/>
          <w:szCs w:val="24"/>
        </w:rPr>
        <w:t xml:space="preserve">. </w:t>
      </w:r>
    </w:p>
    <w:p w14:paraId="513BAC87" w14:textId="5AEE562C" w:rsidR="0086480C" w:rsidRPr="00494D70" w:rsidRDefault="0086480C" w:rsidP="000B124E">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t>To ensure that the constructs measured are consistent across different demographic populations, and that the SAQ-9 is a valid and reliable tool to compare scores across groups, we conducted measurement invariance analysis across languages, countries, genders, sexual orientations</w:t>
      </w:r>
      <w:r w:rsidR="003F1F38" w:rsidRPr="00494D70">
        <w:rPr>
          <w:rFonts w:ascii="Times New Roman" w:eastAsia="Times New Roman" w:hAnsi="Times New Roman" w:cs="Times New Roman"/>
          <w:sz w:val="24"/>
          <w:szCs w:val="24"/>
        </w:rPr>
        <w:t>,</w:t>
      </w:r>
      <w:r w:rsidRPr="00494D70">
        <w:rPr>
          <w:rFonts w:ascii="Times New Roman" w:eastAsia="Times New Roman" w:hAnsi="Times New Roman" w:cs="Times New Roman"/>
          <w:sz w:val="24"/>
          <w:szCs w:val="24"/>
        </w:rPr>
        <w:t xml:space="preserve"> and relationship statuses</w:t>
      </w:r>
      <w:r w:rsidR="00AD554A" w:rsidRPr="00494D70">
        <w:rPr>
          <w:rFonts w:ascii="Times New Roman" w:eastAsia="Times New Roman" w:hAnsi="Times New Roman" w:cs="Times New Roman"/>
          <w:sz w:val="24"/>
          <w:szCs w:val="24"/>
        </w:rPr>
        <w:t xml:space="preserve"> </w:t>
      </w:r>
      <w:r w:rsidR="00AD554A" w:rsidRPr="00494D70">
        <w:rPr>
          <w:rFonts w:ascii="Times New Roman" w:eastAsia="Times New Roman" w:hAnsi="Times New Roman" w:cs="Times New Roman"/>
          <w:sz w:val="24"/>
          <w:szCs w:val="24"/>
        </w:rPr>
        <w:fldChar w:fldCharType="begin"/>
      </w:r>
      <w:r w:rsidR="00AD554A" w:rsidRPr="00494D70">
        <w:rPr>
          <w:rFonts w:ascii="Times New Roman" w:eastAsia="Times New Roman" w:hAnsi="Times New Roman" w:cs="Times New Roman"/>
          <w:sz w:val="24"/>
          <w:szCs w:val="24"/>
        </w:rPr>
        <w:instrText xml:space="preserve"> ADDIN ZOTERO_ITEM CSL_CITATION {"citationID":"u1EHRxnl","properties":{"formattedCitation":"(Milfont &amp; Fischer, 2010)","plainCitation":"(Milfont &amp; Fischer, 2010)","noteIndex":0},"citationItems":[{"id":5054,"uris":["http://zotero.org/users/7402913/items/S2JSG5S9"],"itemData":{"id":5054,"type":"article-journal","abstract":"Researchers often compare groups of individuals on psychological variables. When comparing groups an assumption is made that the instrument measures the same psychological construct in all groups. If this assumption holds, the comparisons are valid and differences/similarities between groups can be meaningfully interpreted. If this assumption does not hold, comparisons and interpretations are not fully meaningful. The establishment of measurement invariance is a prerequisite for meaningful comparisons across groups. This paper first reviews the importance of equivalence in psychological research, and then the main theoretical and methodological issues regarding measurement invariance within the framework of confirmatory factor analysis. A step-by-step empirical example of measurement invariance testing is provided along with syntax examples for fitting such models in LISREL.","container-title":"International Journal of Psychological Research","DOI":"10.21500/20112084.857","ISSN":"2011-7922","issue":"1","language":"en","license":"Copyright (c) 2010 International Journal of Psychological Research","note":"number: 1","page":"111-130","source":"revistas.usb.edu.co","title":"Testing measurement invariance across groups: applications in cross-cultural research.","title-short":"Testing measurement invariance across groups","volume":"3","author":[{"family":"Milfont","given":"Taciano L."},{"family":"Fischer","given":"Ronald"}],"issued":{"date-parts":[["2010",6,30]]}}}],"schema":"https://github.com/citation-style-language/schema/raw/master/csl-citation.json"} </w:instrText>
      </w:r>
      <w:r w:rsidR="00AD554A" w:rsidRPr="00494D70">
        <w:rPr>
          <w:rFonts w:ascii="Times New Roman" w:eastAsia="Times New Roman" w:hAnsi="Times New Roman" w:cs="Times New Roman"/>
          <w:sz w:val="24"/>
          <w:szCs w:val="24"/>
        </w:rPr>
        <w:fldChar w:fldCharType="separate"/>
      </w:r>
      <w:r w:rsidR="00AD554A" w:rsidRPr="00494D70">
        <w:rPr>
          <w:rFonts w:ascii="Times New Roman" w:hAnsi="Times New Roman" w:cs="Times New Roman"/>
          <w:sz w:val="24"/>
        </w:rPr>
        <w:t>(Milfont &amp; Fischer, 2010)</w:t>
      </w:r>
      <w:r w:rsidR="00AD554A" w:rsidRPr="00494D70">
        <w:rPr>
          <w:rFonts w:ascii="Times New Roman" w:eastAsia="Times New Roman" w:hAnsi="Times New Roman" w:cs="Times New Roman"/>
          <w:sz w:val="24"/>
          <w:szCs w:val="24"/>
        </w:rPr>
        <w:fldChar w:fldCharType="end"/>
      </w:r>
      <w:r w:rsidRPr="00494D70">
        <w:rPr>
          <w:rFonts w:ascii="Times New Roman" w:eastAsia="Times New Roman" w:hAnsi="Times New Roman" w:cs="Times New Roman"/>
          <w:sz w:val="24"/>
          <w:szCs w:val="24"/>
        </w:rPr>
        <w:t>. Both language- and country-based invariance was achieved on a residual level</w:t>
      </w:r>
      <w:r w:rsidR="008033D6" w:rsidRPr="00494D70">
        <w:rPr>
          <w:rFonts w:ascii="Times New Roman" w:eastAsia="Times New Roman" w:hAnsi="Times New Roman" w:cs="Times New Roman"/>
          <w:sz w:val="24"/>
          <w:szCs w:val="24"/>
        </w:rPr>
        <w:t xml:space="preserve">, </w:t>
      </w:r>
      <w:r w:rsidR="00227C5D" w:rsidRPr="00494D70">
        <w:rPr>
          <w:rFonts w:ascii="Times New Roman" w:eastAsia="Times New Roman" w:hAnsi="Times New Roman" w:cs="Times New Roman"/>
          <w:sz w:val="24"/>
          <w:szCs w:val="24"/>
        </w:rPr>
        <w:t>suggesting</w:t>
      </w:r>
      <w:r w:rsidRPr="00494D70">
        <w:rPr>
          <w:rFonts w:ascii="Times New Roman" w:eastAsia="Times New Roman" w:hAnsi="Times New Roman" w:cs="Times New Roman"/>
          <w:sz w:val="24"/>
          <w:szCs w:val="24"/>
        </w:rPr>
        <w:t xml:space="preserve"> that observed differences in scores can be attributed to true group differences rather than measurement bias. The gender-</w:t>
      </w:r>
      <w:r w:rsidR="00FA288C" w:rsidRPr="00494D70">
        <w:rPr>
          <w:rFonts w:ascii="Times New Roman" w:eastAsia="Times New Roman" w:hAnsi="Times New Roman" w:cs="Times New Roman"/>
          <w:sz w:val="24"/>
          <w:szCs w:val="24"/>
        </w:rPr>
        <w:t>identity-</w:t>
      </w:r>
      <w:r w:rsidRPr="00494D70">
        <w:rPr>
          <w:rFonts w:ascii="Times New Roman" w:eastAsia="Times New Roman" w:hAnsi="Times New Roman" w:cs="Times New Roman"/>
          <w:sz w:val="24"/>
          <w:szCs w:val="24"/>
        </w:rPr>
        <w:t xml:space="preserve">based invariance analysis across groups of men, women, and gender-diverse individuals also resulted in </w:t>
      </w:r>
      <w:r w:rsidR="003D1AFD" w:rsidRPr="00494D70">
        <w:rPr>
          <w:rFonts w:ascii="Times New Roman" w:eastAsia="Times New Roman" w:hAnsi="Times New Roman" w:cs="Times New Roman"/>
          <w:sz w:val="24"/>
          <w:szCs w:val="24"/>
        </w:rPr>
        <w:t>latent</w:t>
      </w:r>
      <w:r w:rsidR="00413533" w:rsidRPr="00494D70">
        <w:rPr>
          <w:rFonts w:ascii="Times New Roman" w:eastAsia="Times New Roman" w:hAnsi="Times New Roman" w:cs="Times New Roman"/>
          <w:sz w:val="24"/>
          <w:szCs w:val="24"/>
        </w:rPr>
        <w:t xml:space="preserve"> variance-covariance</w:t>
      </w:r>
      <w:r w:rsidR="003D1AFD" w:rsidRPr="00494D70">
        <w:rPr>
          <w:rFonts w:ascii="Times New Roman" w:eastAsia="Times New Roman" w:hAnsi="Times New Roman" w:cs="Times New Roman"/>
          <w:sz w:val="24"/>
          <w:szCs w:val="24"/>
        </w:rPr>
        <w:t xml:space="preserve"> </w:t>
      </w:r>
      <w:r w:rsidRPr="00494D70">
        <w:rPr>
          <w:rFonts w:ascii="Times New Roman" w:eastAsia="Times New Roman" w:hAnsi="Times New Roman" w:cs="Times New Roman"/>
          <w:sz w:val="24"/>
          <w:szCs w:val="24"/>
        </w:rPr>
        <w:t xml:space="preserve">invariance, </w:t>
      </w:r>
      <w:r w:rsidR="003F1F38" w:rsidRPr="00494D70">
        <w:rPr>
          <w:rFonts w:ascii="Times New Roman" w:eastAsia="Times New Roman" w:hAnsi="Times New Roman" w:cs="Times New Roman"/>
          <w:sz w:val="24"/>
          <w:szCs w:val="24"/>
        </w:rPr>
        <w:t xml:space="preserve">suggesting </w:t>
      </w:r>
      <w:r w:rsidRPr="00494D70">
        <w:rPr>
          <w:rFonts w:ascii="Times New Roman" w:eastAsia="Times New Roman" w:hAnsi="Times New Roman" w:cs="Times New Roman"/>
          <w:sz w:val="24"/>
          <w:szCs w:val="24"/>
        </w:rPr>
        <w:t xml:space="preserve">that the scale is suitable for cross-gender comparisons </w:t>
      </w:r>
      <w:r w:rsidR="00AE3107"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{"citationID":"NllXpdUp","properties":{"formattedCitation":"(Meuleman, 2012)","plainCitation":"(Meuleman, 2012)","noteIndex":0},"citationItems":[{"id":3326,"uris":["http://zotero.org/users/7402913/items/2RBBPCXP"],"itemData":{"id":3326,"type":"chapter","abstract":"Invariance of measurement instruments is a necessary condition for making valid comparisons across cultural groups. Applied researchers are becoming increasingly aware of the issue of measurement invariance, and the work of Peter Schmidt has contributed greatly in the growth of this awareness. Nowadays, multiple group confirmatory factor analysis (MGCFA) is widely recognized as a versatile and powerful statistical tool to assess whether measurement scales are cross-culturally invariant (Steenkamp and Baumgartner, 1998, Vandenberg and Lance, 2000).","container-title":"Methods, Theories, and Empirical Applications in the Social Sciences","event-place":"Wiesbaden","ISBN":"978-3-531-18898-0","language":"en","note":"DOI: 10.1007/978-3-531-18898-0_13","page":"97-104","publisher":"VS Verlag für Sozialwissenschaften","publisher-place":"Wiesbaden","source":"Springer Link","title":"When are item intercept differences substantively relevant in measurement invariance testing?","URL":"https://doi.org/10.1007/978-3-531-18898-0_13","author":[{"family":"Meuleman","given":"Bart"}],"editor":[{"family":"Salzborn","given":"Samuel"},{"family":"Davidov","given":"Eldad"},{"family":"Reinecke","given":"Jost"}],"accessed":{"date-parts":[["2022",11,23]]},"issued":{"date-parts":[["2012"]]}}}],"schema":"https://github.com/citation-style-language/schema/raw/master/csl-citation.json"} </w:instrText>
      </w:r>
      <w:r w:rsidR="00AE3107" w:rsidRPr="00494D70">
        <w:rPr>
          <w:rFonts w:ascii="Times New Roman" w:eastAsia="Times New Roman" w:hAnsi="Times New Roman" w:cs="Times New Roman"/>
          <w:sz w:val="24"/>
          <w:szCs w:val="24"/>
        </w:rPr>
        <w:fldChar w:fldCharType="separate"/>
      </w:r>
      <w:r w:rsidR="00AE3107" w:rsidRPr="00494D70">
        <w:rPr>
          <w:rFonts w:ascii="Times New Roman" w:hAnsi="Times New Roman" w:cs="Times New Roman"/>
          <w:sz w:val="24"/>
        </w:rPr>
        <w:t>(Meuleman, 2012)</w:t>
      </w:r>
      <w:r w:rsidR="00AE3107" w:rsidRPr="00494D70">
        <w:rPr>
          <w:rFonts w:ascii="Times New Roman" w:eastAsia="Times New Roman" w:hAnsi="Times New Roman" w:cs="Times New Roman"/>
          <w:sz w:val="24"/>
          <w:szCs w:val="24"/>
        </w:rPr>
        <w:fldChar w:fldCharType="end"/>
      </w:r>
      <w:r w:rsidRPr="00494D70">
        <w:rPr>
          <w:rFonts w:ascii="Times New Roman" w:eastAsia="Times New Roman" w:hAnsi="Times New Roman" w:cs="Times New Roman"/>
          <w:sz w:val="24"/>
          <w:szCs w:val="24"/>
        </w:rPr>
        <w:t>. Following the preregistered analytic plan, we test</w:t>
      </w:r>
      <w:r w:rsidR="003F1F38" w:rsidRPr="00494D70">
        <w:rPr>
          <w:rFonts w:ascii="Times New Roman" w:eastAsia="Times New Roman" w:hAnsi="Times New Roman" w:cs="Times New Roman"/>
          <w:sz w:val="24"/>
          <w:szCs w:val="24"/>
        </w:rPr>
        <w:t>ed</w:t>
      </w:r>
      <w:r w:rsidRPr="00494D70">
        <w:rPr>
          <w:rFonts w:ascii="Times New Roman" w:eastAsia="Times New Roman" w:hAnsi="Times New Roman" w:cs="Times New Roman"/>
          <w:sz w:val="24"/>
          <w:szCs w:val="24"/>
        </w:rPr>
        <w:t xml:space="preserve"> for partial scalar invariance in </w:t>
      </w:r>
      <w:r w:rsidR="00C2117A" w:rsidRPr="00494D70">
        <w:rPr>
          <w:rFonts w:ascii="Times New Roman" w:eastAsia="Times New Roman" w:hAnsi="Times New Roman" w:cs="Times New Roman"/>
          <w:sz w:val="24"/>
          <w:szCs w:val="24"/>
        </w:rPr>
        <w:t>the</w:t>
      </w:r>
      <w:r w:rsidRPr="00494D70">
        <w:rPr>
          <w:rFonts w:ascii="Times New Roman" w:eastAsia="Times New Roman" w:hAnsi="Times New Roman" w:cs="Times New Roman"/>
          <w:sz w:val="24"/>
          <w:szCs w:val="24"/>
        </w:rPr>
        <w:t xml:space="preserve"> language- country- and gender-</w:t>
      </w:r>
      <w:r w:rsidR="00FA288C" w:rsidRPr="00494D70">
        <w:rPr>
          <w:rFonts w:ascii="Times New Roman" w:eastAsia="Times New Roman" w:hAnsi="Times New Roman" w:cs="Times New Roman"/>
          <w:sz w:val="24"/>
          <w:szCs w:val="24"/>
        </w:rPr>
        <w:t>identity-</w:t>
      </w:r>
      <w:r w:rsidRPr="00494D70">
        <w:rPr>
          <w:rFonts w:ascii="Times New Roman" w:eastAsia="Times New Roman" w:hAnsi="Times New Roman" w:cs="Times New Roman"/>
          <w:sz w:val="24"/>
          <w:szCs w:val="24"/>
        </w:rPr>
        <w:t>based groups</w:t>
      </w:r>
      <w:r w:rsidR="00685572" w:rsidRPr="00494D70">
        <w:rPr>
          <w:rFonts w:ascii="Times New Roman" w:eastAsia="Times New Roman" w:hAnsi="Times New Roman" w:cs="Times New Roman"/>
          <w:sz w:val="24"/>
          <w:szCs w:val="24"/>
        </w:rPr>
        <w:t xml:space="preserve"> where only metric invariance was achieved initially</w:t>
      </w:r>
      <w:r w:rsidRPr="00494D70">
        <w:rPr>
          <w:rFonts w:ascii="Times New Roman" w:eastAsia="Times New Roman" w:hAnsi="Times New Roman" w:cs="Times New Roman"/>
          <w:sz w:val="24"/>
          <w:szCs w:val="24"/>
        </w:rPr>
        <w:t>. To achieve</w:t>
      </w:r>
      <w:r w:rsidR="00685572" w:rsidRPr="00494D70">
        <w:rPr>
          <w:rFonts w:ascii="Times New Roman" w:eastAsia="Times New Roman" w:hAnsi="Times New Roman" w:cs="Times New Roman"/>
          <w:sz w:val="24"/>
          <w:szCs w:val="24"/>
        </w:rPr>
        <w:t xml:space="preserve"> at least</w:t>
      </w:r>
      <w:r w:rsidRPr="00494D70">
        <w:rPr>
          <w:rFonts w:ascii="Times New Roman" w:eastAsia="Times New Roman" w:hAnsi="Times New Roman" w:cs="Times New Roman"/>
          <w:sz w:val="24"/>
          <w:szCs w:val="24"/>
        </w:rPr>
        <w:t xml:space="preserve"> partial</w:t>
      </w:r>
      <w:r w:rsidR="00685572" w:rsidRPr="00494D70">
        <w:rPr>
          <w:rFonts w:ascii="Times New Roman" w:eastAsia="Times New Roman" w:hAnsi="Times New Roman" w:cs="Times New Roman"/>
          <w:sz w:val="24"/>
          <w:szCs w:val="24"/>
        </w:rPr>
        <w:t xml:space="preserve"> scalar</w:t>
      </w:r>
      <w:r w:rsidRPr="00494D70">
        <w:rPr>
          <w:rFonts w:ascii="Times New Roman" w:eastAsia="Times New Roman" w:hAnsi="Times New Roman" w:cs="Times New Roman"/>
          <w:sz w:val="24"/>
          <w:szCs w:val="24"/>
        </w:rPr>
        <w:t xml:space="preserve"> invariance, we examined the modification indices and relaxed the constraints of </w:t>
      </w:r>
      <w:proofErr w:type="gramStart"/>
      <w:r w:rsidRPr="00494D70">
        <w:rPr>
          <w:rFonts w:ascii="Times New Roman" w:eastAsia="Times New Roman" w:hAnsi="Times New Roman" w:cs="Times New Roman"/>
          <w:sz w:val="24"/>
          <w:szCs w:val="24"/>
        </w:rPr>
        <w:t>intercept</w:t>
      </w:r>
      <w:proofErr w:type="gramEnd"/>
      <w:r w:rsidRPr="00494D70">
        <w:rPr>
          <w:rFonts w:ascii="Times New Roman" w:eastAsia="Times New Roman" w:hAnsi="Times New Roman" w:cs="Times New Roman"/>
          <w:sz w:val="24"/>
          <w:szCs w:val="24"/>
        </w:rPr>
        <w:t xml:space="preserve"> equivalence for the indicated item and group</w:t>
      </w:r>
      <w:r w:rsidR="00DB009A" w:rsidRPr="00494D70">
        <w:rPr>
          <w:rFonts w:ascii="Times New Roman" w:eastAsia="Times New Roman" w:hAnsi="Times New Roman" w:cs="Times New Roman"/>
          <w:sz w:val="24"/>
          <w:szCs w:val="24"/>
        </w:rPr>
        <w:t xml:space="preserve">. </w:t>
      </w:r>
      <w:r w:rsidRPr="00494D70">
        <w:rPr>
          <w:rFonts w:ascii="Times New Roman" w:eastAsia="Times New Roman" w:hAnsi="Times New Roman" w:cs="Times New Roman"/>
          <w:sz w:val="24"/>
          <w:szCs w:val="24"/>
        </w:rPr>
        <w:t xml:space="preserve">In all cases, item 5 had the highest modification index, </w:t>
      </w:r>
      <w:r w:rsidR="008033D6" w:rsidRPr="00494D70">
        <w:rPr>
          <w:rFonts w:ascii="Times New Roman" w:eastAsia="Times New Roman" w:hAnsi="Times New Roman" w:cs="Times New Roman"/>
          <w:sz w:val="24"/>
          <w:szCs w:val="24"/>
        </w:rPr>
        <w:t>suggesting</w:t>
      </w:r>
      <w:r w:rsidRPr="00494D70">
        <w:rPr>
          <w:rFonts w:ascii="Times New Roman" w:eastAsia="Times New Roman" w:hAnsi="Times New Roman" w:cs="Times New Roman"/>
          <w:sz w:val="24"/>
          <w:szCs w:val="24"/>
        </w:rPr>
        <w:t xml:space="preserve"> that the </w:t>
      </w:r>
      <w:r w:rsidR="00DD7B30" w:rsidRPr="00494D70">
        <w:rPr>
          <w:rFonts w:ascii="Times New Roman" w:eastAsia="Times New Roman" w:hAnsi="Times New Roman" w:cs="Times New Roman"/>
          <w:sz w:val="24"/>
          <w:szCs w:val="24"/>
        </w:rPr>
        <w:t xml:space="preserve">poor </w:t>
      </w:r>
      <w:r w:rsidRPr="00494D70">
        <w:rPr>
          <w:rFonts w:ascii="Times New Roman" w:eastAsia="Times New Roman" w:hAnsi="Times New Roman" w:cs="Times New Roman"/>
          <w:sz w:val="24"/>
          <w:szCs w:val="24"/>
        </w:rPr>
        <w:t xml:space="preserve">item </w:t>
      </w:r>
      <w:r w:rsidR="00DD7B30" w:rsidRPr="00494D70">
        <w:rPr>
          <w:rFonts w:ascii="Times New Roman" w:eastAsia="Times New Roman" w:hAnsi="Times New Roman" w:cs="Times New Roman"/>
          <w:sz w:val="24"/>
          <w:szCs w:val="24"/>
        </w:rPr>
        <w:t>performance</w:t>
      </w:r>
      <w:r w:rsidRPr="00494D70">
        <w:rPr>
          <w:rFonts w:ascii="Times New Roman" w:eastAsia="Times New Roman" w:hAnsi="Times New Roman" w:cs="Times New Roman"/>
          <w:sz w:val="24"/>
          <w:szCs w:val="24"/>
        </w:rPr>
        <w:t xml:space="preserve"> may be a result of its reversed nature. Additionally, some authors </w:t>
      </w:r>
      <w:r w:rsidR="008033D6" w:rsidRPr="00494D70">
        <w:rPr>
          <w:rFonts w:ascii="Times New Roman" w:eastAsia="Times New Roman" w:hAnsi="Times New Roman" w:cs="Times New Roman"/>
          <w:sz w:val="24"/>
          <w:szCs w:val="24"/>
        </w:rPr>
        <w:t xml:space="preserve">have </w:t>
      </w:r>
      <w:r w:rsidRPr="00494D70">
        <w:rPr>
          <w:rFonts w:ascii="Times New Roman" w:eastAsia="Times New Roman" w:hAnsi="Times New Roman" w:cs="Times New Roman"/>
          <w:sz w:val="24"/>
          <w:szCs w:val="24"/>
        </w:rPr>
        <w:t xml:space="preserve">previously </w:t>
      </w:r>
      <w:r w:rsidR="008033D6" w:rsidRPr="00494D70">
        <w:rPr>
          <w:rFonts w:ascii="Times New Roman" w:eastAsia="Times New Roman" w:hAnsi="Times New Roman" w:cs="Times New Roman"/>
          <w:sz w:val="24"/>
          <w:szCs w:val="24"/>
        </w:rPr>
        <w:t xml:space="preserve">proposed </w:t>
      </w:r>
      <w:r w:rsidRPr="00494D70">
        <w:rPr>
          <w:rFonts w:ascii="Times New Roman" w:eastAsia="Times New Roman" w:hAnsi="Times New Roman" w:cs="Times New Roman"/>
          <w:sz w:val="24"/>
          <w:szCs w:val="24"/>
        </w:rPr>
        <w:t xml:space="preserve">that only two indicators (items) are needed to be </w:t>
      </w:r>
      <w:r w:rsidR="003F1F38" w:rsidRPr="00494D70">
        <w:rPr>
          <w:rFonts w:ascii="Times New Roman" w:eastAsia="Times New Roman" w:hAnsi="Times New Roman" w:cs="Times New Roman"/>
          <w:sz w:val="24"/>
          <w:szCs w:val="24"/>
        </w:rPr>
        <w:t xml:space="preserve">fully </w:t>
      </w:r>
      <w:r w:rsidRPr="00494D70">
        <w:rPr>
          <w:rFonts w:ascii="Times New Roman" w:eastAsia="Times New Roman" w:hAnsi="Times New Roman" w:cs="Times New Roman"/>
          <w:sz w:val="24"/>
          <w:szCs w:val="24"/>
        </w:rPr>
        <w:t xml:space="preserve">invariant to make meaningful comparisons between groups, which </w:t>
      </w:r>
      <w:r w:rsidR="008033D6" w:rsidRPr="00494D70">
        <w:rPr>
          <w:rFonts w:ascii="Times New Roman" w:eastAsia="Times New Roman" w:hAnsi="Times New Roman" w:cs="Times New Roman"/>
          <w:sz w:val="24"/>
          <w:szCs w:val="24"/>
        </w:rPr>
        <w:t xml:space="preserve">was a </w:t>
      </w:r>
      <w:r w:rsidRPr="00494D70">
        <w:rPr>
          <w:rFonts w:ascii="Times New Roman" w:eastAsia="Times New Roman" w:hAnsi="Times New Roman" w:cs="Times New Roman"/>
          <w:sz w:val="24"/>
          <w:szCs w:val="24"/>
        </w:rPr>
        <w:t>criterion fulfilled in these cases</w:t>
      </w:r>
      <w:r w:rsidR="00856A7B" w:rsidRPr="00494D70">
        <w:rPr>
          <w:rFonts w:ascii="Times New Roman" w:eastAsia="Times New Roman" w:hAnsi="Times New Roman" w:cs="Times New Roman"/>
          <w:sz w:val="24"/>
          <w:szCs w:val="24"/>
        </w:rPr>
        <w:t xml:space="preserve"> </w:t>
      </w:r>
      <w:r w:rsidR="00856A7B"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{"citationID":"YJaJz20p","properties":{"formattedCitation":"(Steenkamp &amp; Baumgartner, 1998)","plainCitation":"(Steenkamp &amp; Baumgartner, 1998)","noteIndex":0},"citationItems":[{"id":5066,"uris":["http://zotero.org/users/7402913/items/76N52NJF"],"itemData":{"id":5066,"type":"article-journal","abstract":"Assessing the applicability of frameworks developed in one country to other countries is an important step in establishing the generalizability of consumer behavior theories. In order for such comparisons to be meaningful, however, the instruments used to measure the theoretical constructs of interest have to exhibit adequate cross-national equivalence. We review the various forms of measurement invariance that have been proposed in the literature, organize them into a coherent conceptual framework that ties different requirements of measure equivalence to the goals of the research, and propose a practical, sequential testing procedure for assessing measurement invariance in cross-national consumer research. The approach is based on multisample confirmatory factor analysis and clarifies under what conditions meaningful comparisons of construct conceptualizations, construct means, and relationships between constructs are possible. An empirical application dealing with the single-factor construct of consumer ethnocentrism in Belgium, Great Britain, and Greece is provided to illustrate the procedure. (PsycINFO Database Record (c) 2019 APA, all rights reserved)","container-title":"Journal of Consumer Research","DOI":"10.1086/209528","ISSN":"1537-5277","note":"publisher-place: US\npublisher: Univ of Chicago Press","page":"78-90","source":"APA PsycNet","title":"Assessing measurement invariance in cross-national consumer research","volume":"25","author":[{"family":"Steenkamp","given":"Jan-Benedict E. M."},{"family":"Baumgartner","given":"Hans"}],"issued":{"date-parts":[["1998"]]}}}],"schema":"https://github.com/citation-style-language/schema/raw/master/csl-citation.json"} </w:instrText>
      </w:r>
      <w:r w:rsidR="00856A7B" w:rsidRPr="00494D70">
        <w:rPr>
          <w:rFonts w:ascii="Times New Roman" w:eastAsia="Times New Roman" w:hAnsi="Times New Roman" w:cs="Times New Roman"/>
          <w:sz w:val="24"/>
          <w:szCs w:val="24"/>
        </w:rPr>
        <w:fldChar w:fldCharType="separate"/>
      </w:r>
      <w:r w:rsidR="00242995" w:rsidRPr="00494D70">
        <w:rPr>
          <w:rFonts w:ascii="Times New Roman" w:hAnsi="Times New Roman" w:cs="Times New Roman"/>
          <w:sz w:val="24"/>
        </w:rPr>
        <w:t>(Steenkamp &amp; Baumgartner, 1998)</w:t>
      </w:r>
      <w:r w:rsidR="00856A7B" w:rsidRPr="00494D70">
        <w:rPr>
          <w:rFonts w:ascii="Times New Roman" w:eastAsia="Times New Roman" w:hAnsi="Times New Roman" w:cs="Times New Roman"/>
          <w:sz w:val="24"/>
          <w:szCs w:val="24"/>
        </w:rPr>
        <w:fldChar w:fldCharType="end"/>
      </w:r>
      <w:r w:rsidRPr="00494D70">
        <w:rPr>
          <w:rFonts w:ascii="Times New Roman" w:eastAsia="Times New Roman" w:hAnsi="Times New Roman" w:cs="Times New Roman"/>
          <w:sz w:val="24"/>
          <w:szCs w:val="24"/>
        </w:rPr>
        <w:t xml:space="preserve">. </w:t>
      </w:r>
    </w:p>
    <w:p w14:paraId="795692D4" w14:textId="768C3B72" w:rsidR="0086480C" w:rsidRPr="00494D70" w:rsidRDefault="0086480C" w:rsidP="000B124E">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lastRenderedPageBreak/>
        <w:t>The SAQ-9 was found to be an invariant measure across groups of different sexual orientations</w:t>
      </w:r>
      <w:r w:rsidR="00227C5D" w:rsidRPr="00494D70">
        <w:rPr>
          <w:rFonts w:ascii="Times New Roman" w:eastAsia="Times New Roman" w:hAnsi="Times New Roman" w:cs="Times New Roman"/>
          <w:sz w:val="24"/>
          <w:szCs w:val="24"/>
        </w:rPr>
        <w:t>, suggesting</w:t>
      </w:r>
      <w:r w:rsidR="00227C5D" w:rsidRPr="00494D70" w:rsidDel="00227C5D">
        <w:rPr>
          <w:rFonts w:ascii="Times New Roman" w:eastAsia="Times New Roman" w:hAnsi="Times New Roman" w:cs="Times New Roman"/>
          <w:sz w:val="24"/>
          <w:szCs w:val="24"/>
        </w:rPr>
        <w:t xml:space="preserve"> </w:t>
      </w:r>
      <w:r w:rsidRPr="00494D70">
        <w:rPr>
          <w:rFonts w:ascii="Times New Roman" w:eastAsia="Times New Roman" w:hAnsi="Times New Roman" w:cs="Times New Roman"/>
          <w:sz w:val="24"/>
          <w:szCs w:val="24"/>
        </w:rPr>
        <w:t>that the scale measur</w:t>
      </w:r>
      <w:r w:rsidR="00227C5D" w:rsidRPr="00494D70">
        <w:rPr>
          <w:rFonts w:ascii="Times New Roman" w:eastAsia="Times New Roman" w:hAnsi="Times New Roman" w:cs="Times New Roman"/>
          <w:sz w:val="24"/>
          <w:szCs w:val="24"/>
        </w:rPr>
        <w:t>es</w:t>
      </w:r>
      <w:r w:rsidRPr="00494D70">
        <w:rPr>
          <w:rFonts w:ascii="Times New Roman" w:eastAsia="Times New Roman" w:hAnsi="Times New Roman" w:cs="Times New Roman"/>
          <w:sz w:val="24"/>
          <w:szCs w:val="24"/>
        </w:rPr>
        <w:t xml:space="preserve"> the same constructs similarly across all eight groups of sexual orientations. Similarly, we </w:t>
      </w:r>
      <w:r w:rsidR="001B65B6" w:rsidRPr="00494D70">
        <w:rPr>
          <w:rFonts w:ascii="Times New Roman" w:eastAsia="Times New Roman" w:hAnsi="Times New Roman" w:cs="Times New Roman"/>
          <w:sz w:val="24"/>
          <w:szCs w:val="24"/>
        </w:rPr>
        <w:t xml:space="preserve">corroborated </w:t>
      </w:r>
      <w:r w:rsidRPr="00494D70">
        <w:rPr>
          <w:rFonts w:ascii="Times New Roman" w:eastAsia="Times New Roman" w:hAnsi="Times New Roman" w:cs="Times New Roman"/>
          <w:sz w:val="24"/>
          <w:szCs w:val="24"/>
        </w:rPr>
        <w:t xml:space="preserve">measurement invariance across groups of single and partnered individuals. These results suggest that the scale can be used to compare </w:t>
      </w:r>
      <w:r w:rsidR="00227C5D" w:rsidRPr="00494D70">
        <w:rPr>
          <w:rFonts w:ascii="Times New Roman" w:eastAsia="Times New Roman" w:hAnsi="Times New Roman" w:cs="Times New Roman"/>
          <w:sz w:val="24"/>
          <w:szCs w:val="24"/>
        </w:rPr>
        <w:t xml:space="preserve">SA </w:t>
      </w:r>
      <w:r w:rsidRPr="00494D70">
        <w:rPr>
          <w:rFonts w:ascii="Times New Roman" w:eastAsia="Times New Roman" w:hAnsi="Times New Roman" w:cs="Times New Roman"/>
          <w:sz w:val="24"/>
          <w:szCs w:val="24"/>
        </w:rPr>
        <w:t xml:space="preserve">levels across these groups, which can provide important insights into the experiences and needs of individuals with different sexual orientations and relationships. </w:t>
      </w:r>
      <w:r w:rsidR="006842E6" w:rsidRPr="00494D70">
        <w:rPr>
          <w:rFonts w:ascii="Times New Roman" w:hAnsi="Times New Roman" w:cs="Times New Roman"/>
          <w:sz w:val="24"/>
          <w:szCs w:val="24"/>
        </w:rPr>
        <w:t xml:space="preserve">Although the language-, country-, gender-identity-, and sexual-orientation-based groups had highly unbalanced sample sizes, subsampled measurement invariance tests (Yoon &amp; Lai, 2018) corroborated the conclusion of the original measurement invariance tests suggesting that cross-group comparisons of </w:t>
      </w:r>
      <w:r w:rsidR="00C66F2B" w:rsidRPr="00494D70">
        <w:rPr>
          <w:rFonts w:ascii="Times New Roman" w:hAnsi="Times New Roman" w:cs="Times New Roman"/>
          <w:sz w:val="24"/>
          <w:szCs w:val="24"/>
        </w:rPr>
        <w:t xml:space="preserve">SA </w:t>
      </w:r>
      <w:r w:rsidR="006842E6" w:rsidRPr="00494D70">
        <w:rPr>
          <w:rFonts w:ascii="Times New Roman" w:hAnsi="Times New Roman" w:cs="Times New Roman"/>
          <w:sz w:val="24"/>
          <w:szCs w:val="24"/>
        </w:rPr>
        <w:t>are feasible and valid with the SAQ-9.</w:t>
      </w:r>
      <w:r w:rsidR="00D264BC" w:rsidRPr="00494D70">
        <w:rPr>
          <w:rFonts w:ascii="Times New Roman" w:eastAsia="Times New Roman" w:hAnsi="Times New Roman" w:cs="Times New Roman"/>
          <w:sz w:val="24"/>
          <w:szCs w:val="24"/>
        </w:rPr>
        <w:t xml:space="preserve"> </w:t>
      </w:r>
    </w:p>
    <w:p w14:paraId="3987E97A" w14:textId="1C5229B5" w:rsidR="0086480C" w:rsidRPr="00494D70" w:rsidRDefault="0086480C" w:rsidP="005661C1">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t xml:space="preserve">Overall, the measurement invariance </w:t>
      </w:r>
      <w:r w:rsidR="006D51FD" w:rsidRPr="00494D70">
        <w:rPr>
          <w:rFonts w:ascii="Times New Roman" w:eastAsia="Times New Roman" w:hAnsi="Times New Roman" w:cs="Times New Roman"/>
          <w:sz w:val="24"/>
          <w:szCs w:val="24"/>
        </w:rPr>
        <w:t xml:space="preserve">tests </w:t>
      </w:r>
      <w:r w:rsidRPr="00494D70">
        <w:rPr>
          <w:rFonts w:ascii="Times New Roman" w:eastAsia="Times New Roman" w:hAnsi="Times New Roman" w:cs="Times New Roman"/>
          <w:sz w:val="24"/>
          <w:szCs w:val="24"/>
        </w:rPr>
        <w:t xml:space="preserve">provided strong evidence for the utility of the SAQ-9 in research </w:t>
      </w:r>
      <w:r w:rsidR="006D51FD" w:rsidRPr="00494D70">
        <w:rPr>
          <w:rFonts w:ascii="Times New Roman" w:eastAsia="Times New Roman" w:hAnsi="Times New Roman" w:cs="Times New Roman"/>
          <w:sz w:val="24"/>
          <w:szCs w:val="24"/>
        </w:rPr>
        <w:t xml:space="preserve">among </w:t>
      </w:r>
      <w:r w:rsidRPr="00494D70">
        <w:rPr>
          <w:rFonts w:ascii="Times New Roman" w:eastAsia="Times New Roman" w:hAnsi="Times New Roman" w:cs="Times New Roman"/>
          <w:sz w:val="24"/>
          <w:szCs w:val="24"/>
        </w:rPr>
        <w:t xml:space="preserve">diverse populations. </w:t>
      </w:r>
      <w:r w:rsidR="00B83142" w:rsidRPr="00494D70">
        <w:rPr>
          <w:rFonts w:ascii="Times New Roman" w:eastAsia="Times New Roman" w:hAnsi="Times New Roman" w:cs="Times New Roman"/>
          <w:sz w:val="24"/>
          <w:szCs w:val="24"/>
        </w:rPr>
        <w:t>Our findings suggest</w:t>
      </w:r>
      <w:r w:rsidR="00227C5D" w:rsidRPr="00494D70">
        <w:rPr>
          <w:rFonts w:ascii="Times New Roman" w:eastAsia="Times New Roman" w:hAnsi="Times New Roman" w:cs="Times New Roman"/>
          <w:sz w:val="24"/>
          <w:szCs w:val="24"/>
        </w:rPr>
        <w:t xml:space="preserve"> </w:t>
      </w:r>
      <w:r w:rsidRPr="00494D70">
        <w:rPr>
          <w:rFonts w:ascii="Times New Roman" w:eastAsia="Times New Roman" w:hAnsi="Times New Roman" w:cs="Times New Roman"/>
          <w:sz w:val="24"/>
          <w:szCs w:val="24"/>
        </w:rPr>
        <w:t xml:space="preserve">that </w:t>
      </w:r>
      <w:r w:rsidR="00B83142" w:rsidRPr="00494D70">
        <w:rPr>
          <w:rFonts w:ascii="Times New Roman" w:eastAsia="Times New Roman" w:hAnsi="Times New Roman" w:cs="Times New Roman"/>
          <w:sz w:val="24"/>
          <w:szCs w:val="24"/>
        </w:rPr>
        <w:t xml:space="preserve">the SAQ-9 </w:t>
      </w:r>
      <w:r w:rsidRPr="00494D70">
        <w:rPr>
          <w:rFonts w:ascii="Times New Roman" w:eastAsia="Times New Roman" w:hAnsi="Times New Roman" w:cs="Times New Roman"/>
          <w:sz w:val="24"/>
          <w:szCs w:val="24"/>
        </w:rPr>
        <w:t xml:space="preserve">is a suitable measure for comparing groups of different cultures, genders, relationships, and sexual orientations, including </w:t>
      </w:r>
      <w:r w:rsidR="00227C5D" w:rsidRPr="00494D70">
        <w:rPr>
          <w:rFonts w:ascii="Times New Roman" w:eastAsia="Times New Roman" w:hAnsi="Times New Roman" w:cs="Times New Roman"/>
          <w:sz w:val="24"/>
          <w:szCs w:val="24"/>
        </w:rPr>
        <w:t xml:space="preserve">those of </w:t>
      </w:r>
      <w:r w:rsidR="009B44EA" w:rsidRPr="00494D70">
        <w:rPr>
          <w:rFonts w:ascii="Times New Roman" w:eastAsia="Times New Roman" w:hAnsi="Times New Roman" w:cs="Times New Roman"/>
          <w:sz w:val="24"/>
          <w:szCs w:val="24"/>
        </w:rPr>
        <w:t>lesbian, gay, bisexual, tran</w:t>
      </w:r>
      <w:r w:rsidR="00A35182" w:rsidRPr="00494D70">
        <w:rPr>
          <w:rFonts w:ascii="Times New Roman" w:eastAsia="Times New Roman" w:hAnsi="Times New Roman" w:cs="Times New Roman"/>
          <w:sz w:val="24"/>
          <w:szCs w:val="24"/>
        </w:rPr>
        <w:t>s</w:t>
      </w:r>
      <w:r w:rsidR="009B44EA" w:rsidRPr="00494D70">
        <w:rPr>
          <w:rFonts w:ascii="Times New Roman" w:eastAsia="Times New Roman" w:hAnsi="Times New Roman" w:cs="Times New Roman"/>
          <w:sz w:val="24"/>
          <w:szCs w:val="24"/>
        </w:rPr>
        <w:t>gender</w:t>
      </w:r>
      <w:r w:rsidR="00313EF7" w:rsidRPr="00494D70">
        <w:rPr>
          <w:rFonts w:ascii="Times New Roman" w:eastAsia="Times New Roman" w:hAnsi="Times New Roman" w:cs="Times New Roman"/>
          <w:sz w:val="24"/>
          <w:szCs w:val="24"/>
        </w:rPr>
        <w:t xml:space="preserve">, queer and </w:t>
      </w:r>
      <w:r w:rsidR="000B68B0" w:rsidRPr="00494D70">
        <w:rPr>
          <w:rFonts w:ascii="Times New Roman" w:eastAsia="Times New Roman" w:hAnsi="Times New Roman" w:cs="Times New Roman"/>
          <w:sz w:val="24"/>
          <w:szCs w:val="24"/>
        </w:rPr>
        <w:t xml:space="preserve">other sexual and gender minority </w:t>
      </w:r>
      <w:r w:rsidR="00570227" w:rsidRPr="00494D70">
        <w:rPr>
          <w:rFonts w:ascii="Times New Roman" w:eastAsia="Times New Roman" w:hAnsi="Times New Roman" w:cs="Times New Roman"/>
          <w:sz w:val="24"/>
          <w:szCs w:val="24"/>
        </w:rPr>
        <w:t>(</w:t>
      </w:r>
      <w:r w:rsidRPr="00494D70">
        <w:rPr>
          <w:rFonts w:ascii="Times New Roman" w:eastAsia="Times New Roman" w:hAnsi="Times New Roman" w:cs="Times New Roman"/>
          <w:sz w:val="24"/>
          <w:szCs w:val="24"/>
        </w:rPr>
        <w:t>LGBTQ+</w:t>
      </w:r>
      <w:r w:rsidR="00570227" w:rsidRPr="00494D70">
        <w:rPr>
          <w:rFonts w:ascii="Times New Roman" w:eastAsia="Times New Roman" w:hAnsi="Times New Roman" w:cs="Times New Roman"/>
          <w:sz w:val="24"/>
          <w:szCs w:val="24"/>
        </w:rPr>
        <w:t>)</w:t>
      </w:r>
      <w:r w:rsidRPr="00494D70">
        <w:rPr>
          <w:rFonts w:ascii="Times New Roman" w:eastAsia="Times New Roman" w:hAnsi="Times New Roman" w:cs="Times New Roman"/>
          <w:sz w:val="24"/>
          <w:szCs w:val="24"/>
        </w:rPr>
        <w:t xml:space="preserve"> </w:t>
      </w:r>
      <w:r w:rsidR="00847151" w:rsidRPr="00494D70">
        <w:rPr>
          <w:rFonts w:ascii="Times New Roman" w:eastAsia="Times New Roman" w:hAnsi="Times New Roman" w:cs="Times New Roman"/>
          <w:sz w:val="24"/>
          <w:szCs w:val="24"/>
        </w:rPr>
        <w:t>identities</w:t>
      </w:r>
      <w:r w:rsidR="009E7BF0" w:rsidRPr="00494D70">
        <w:rPr>
          <w:rFonts w:ascii="Times New Roman" w:eastAsia="Times New Roman" w:hAnsi="Times New Roman" w:cs="Times New Roman"/>
          <w:sz w:val="24"/>
          <w:szCs w:val="24"/>
        </w:rPr>
        <w:t xml:space="preserve"> –</w:t>
      </w:r>
      <w:r w:rsidR="006D51FD" w:rsidRPr="00494D70">
        <w:rPr>
          <w:rFonts w:ascii="Times New Roman" w:eastAsia="Times New Roman" w:hAnsi="Times New Roman" w:cs="Times New Roman"/>
          <w:sz w:val="24"/>
          <w:szCs w:val="24"/>
        </w:rPr>
        <w:t xml:space="preserve"> </w:t>
      </w:r>
      <w:r w:rsidR="00227C5D" w:rsidRPr="00494D70">
        <w:rPr>
          <w:rFonts w:ascii="Times New Roman" w:eastAsia="Times New Roman" w:hAnsi="Times New Roman" w:cs="Times New Roman"/>
          <w:sz w:val="24"/>
          <w:szCs w:val="24"/>
        </w:rPr>
        <w:t xml:space="preserve">groups </w:t>
      </w:r>
      <w:r w:rsidR="006D51FD" w:rsidRPr="00494D70">
        <w:rPr>
          <w:rFonts w:ascii="Times New Roman" w:eastAsia="Times New Roman" w:hAnsi="Times New Roman" w:cs="Times New Roman"/>
          <w:sz w:val="24"/>
          <w:szCs w:val="24"/>
        </w:rPr>
        <w:t xml:space="preserve">previously </w:t>
      </w:r>
      <w:r w:rsidR="00BE789B" w:rsidRPr="00494D70">
        <w:rPr>
          <w:rFonts w:ascii="Times New Roman" w:eastAsia="Times New Roman" w:hAnsi="Times New Roman" w:cs="Times New Roman"/>
          <w:sz w:val="24"/>
          <w:szCs w:val="24"/>
        </w:rPr>
        <w:t>rarely</w:t>
      </w:r>
      <w:r w:rsidR="00227C5D" w:rsidRPr="00494D70">
        <w:rPr>
          <w:rFonts w:ascii="Times New Roman" w:eastAsia="Times New Roman" w:hAnsi="Times New Roman" w:cs="Times New Roman"/>
          <w:sz w:val="24"/>
          <w:szCs w:val="24"/>
        </w:rPr>
        <w:t xml:space="preserve"> represented in studies of SA</w:t>
      </w:r>
      <w:r w:rsidR="009C0B7B" w:rsidRPr="00494D70">
        <w:rPr>
          <w:rFonts w:ascii="Times New Roman" w:eastAsia="Times New Roman" w:hAnsi="Times New Roman" w:cs="Times New Roman"/>
          <w:sz w:val="24"/>
          <w:szCs w:val="24"/>
        </w:rPr>
        <w:t xml:space="preserve"> </w:t>
      </w:r>
      <w:r w:rsidR="00D51709"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{"citationID":"al2RXZOP","properties":{"formattedCitation":"(Ho et al., 2021)","plainCitation":"(Ho et al., 2021)","noteIndex":0},"citationItems":[{"id":3220,"uris":["http://zotero.org/users/7402913/items/YFUE6G55"],"itemData":{"id":3220,"type":"article-journal","abstract":"The present study examined relationships among sexual victimization, gender roles, and sexual assertiveness in an LGBTQ sample. Recruited via Mechanical Turk, 455 LGBTQ adults completed measures of sexual assertiveness, gender roles, and sexual assault victimization and perpetration. Some form of sexual victimization in the past year was reported by 31% of participants, and 66% reported some type of sexual victimization since the age of 14. Perpetration of sexual violence in the past year was reported by 17% of the sample, and 27% reported sexual violence perpetration since the age of 14. Logistic regressions revealed that gender roles predicted sexual victimization and sexual perpetration status. Additionally, sexual assertiveness was negatively correlated with both sexual victimization and perpetration status. Contrary to expectations, the interaction between gender roles and sexual assertiveness was not predictive of sexual victimization or perpetration. The implications of the findings are discussed.","container-title":"Sexuality &amp; Culture","DOI":"10.1007/s12119-021-09819-8","ISSN":"10955143","issue":"4","page":"1469-1489","source":"EBSCOhost","title":"Gender Roles, Sexual Assertiveness, and Sexual Victimization in LGBTQ Individuals","volume":"25","author":[{"family":"Ho","given":"Lavina Y."},{"family":"Ehman","given":"Anandi C."},{"family":"Gross","given":"Alan M."}],"issued":{"date-parts":[["2021",8]]}}}],"schema":"https://github.com/citation-style-language/schema/raw/master/csl-citation.json"} </w:instrText>
      </w:r>
      <w:r w:rsidR="00D51709" w:rsidRPr="00494D70">
        <w:rPr>
          <w:rFonts w:ascii="Times New Roman" w:eastAsia="Times New Roman" w:hAnsi="Times New Roman" w:cs="Times New Roman"/>
          <w:sz w:val="24"/>
          <w:szCs w:val="24"/>
        </w:rPr>
        <w:fldChar w:fldCharType="separate"/>
      </w:r>
      <w:r w:rsidR="00D51709" w:rsidRPr="00494D70">
        <w:rPr>
          <w:rFonts w:ascii="Times New Roman" w:hAnsi="Times New Roman" w:cs="Times New Roman"/>
          <w:sz w:val="24"/>
        </w:rPr>
        <w:t>(Ho et al., 2021)</w:t>
      </w:r>
      <w:r w:rsidR="00D51709" w:rsidRPr="00494D70">
        <w:rPr>
          <w:rFonts w:ascii="Times New Roman" w:eastAsia="Times New Roman" w:hAnsi="Times New Roman" w:cs="Times New Roman"/>
          <w:sz w:val="24"/>
          <w:szCs w:val="24"/>
        </w:rPr>
        <w:fldChar w:fldCharType="end"/>
      </w:r>
      <w:r w:rsidRPr="00494D70">
        <w:rPr>
          <w:rFonts w:ascii="Times New Roman" w:eastAsia="Times New Roman" w:hAnsi="Times New Roman" w:cs="Times New Roman"/>
          <w:sz w:val="24"/>
          <w:szCs w:val="24"/>
        </w:rPr>
        <w:t xml:space="preserve">. </w:t>
      </w:r>
    </w:p>
    <w:p w14:paraId="26F6CD2D" w14:textId="493DEB5C" w:rsidR="008B4D9E" w:rsidRPr="00494D70" w:rsidRDefault="0086480C" w:rsidP="000B124E">
      <w:pPr>
        <w:spacing w:after="0" w:line="480" w:lineRule="auto"/>
        <w:rPr>
          <w:rFonts w:ascii="Times New Roman" w:eastAsia="Times New Roman" w:hAnsi="Times New Roman" w:cs="Times New Roman"/>
          <w:i/>
          <w:iCs/>
          <w:sz w:val="24"/>
          <w:szCs w:val="24"/>
        </w:rPr>
      </w:pPr>
      <w:r w:rsidRPr="00494D70">
        <w:rPr>
          <w:rFonts w:ascii="Times New Roman" w:eastAsia="Times New Roman" w:hAnsi="Times New Roman" w:cs="Times New Roman"/>
          <w:i/>
          <w:iCs/>
          <w:sz w:val="24"/>
          <w:szCs w:val="24"/>
        </w:rPr>
        <w:t>Findings on demographic differences</w:t>
      </w:r>
    </w:p>
    <w:p w14:paraId="370CC92F" w14:textId="5D33826C" w:rsidR="00C25A16" w:rsidRPr="00494D70" w:rsidRDefault="00C25A16" w:rsidP="000B124E">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t xml:space="preserve">Regarding country differences, </w:t>
      </w:r>
      <w:r w:rsidR="00C945C0" w:rsidRPr="00494D70">
        <w:rPr>
          <w:rFonts w:ascii="Times New Roman" w:eastAsia="Times New Roman" w:hAnsi="Times New Roman" w:cs="Times New Roman"/>
          <w:sz w:val="24"/>
          <w:szCs w:val="24"/>
        </w:rPr>
        <w:t xml:space="preserve">Croatia, Spain, and North Macedonia emerged as countries with the highest overall </w:t>
      </w:r>
      <w:r w:rsidR="004624B4" w:rsidRPr="00494D70">
        <w:rPr>
          <w:rFonts w:ascii="Times New Roman" w:eastAsia="Times New Roman" w:hAnsi="Times New Roman" w:cs="Times New Roman"/>
          <w:sz w:val="24"/>
          <w:szCs w:val="24"/>
        </w:rPr>
        <w:t>SA</w:t>
      </w:r>
      <w:r w:rsidR="00C945C0" w:rsidRPr="00494D70">
        <w:rPr>
          <w:rFonts w:ascii="Times New Roman" w:eastAsia="Times New Roman" w:hAnsi="Times New Roman" w:cs="Times New Roman"/>
          <w:sz w:val="24"/>
          <w:szCs w:val="24"/>
        </w:rPr>
        <w:t>, whereas Lithuania, South Korea, and the Czech Republic exhibited the lowest scores.</w:t>
      </w:r>
      <w:r w:rsidR="0005372D" w:rsidRPr="00494D70">
        <w:rPr>
          <w:rFonts w:ascii="Times New Roman" w:eastAsia="Times New Roman" w:hAnsi="Times New Roman" w:cs="Times New Roman"/>
          <w:sz w:val="24"/>
          <w:szCs w:val="24"/>
        </w:rPr>
        <w:t xml:space="preserve"> </w:t>
      </w:r>
      <w:r w:rsidR="0058156B" w:rsidRPr="00494D70">
        <w:rPr>
          <w:rFonts w:ascii="Times New Roman" w:eastAsia="Times New Roman" w:hAnsi="Times New Roman" w:cs="Times New Roman"/>
          <w:sz w:val="24"/>
          <w:szCs w:val="24"/>
        </w:rPr>
        <w:t>Of note</w:t>
      </w:r>
      <w:r w:rsidR="00386B43" w:rsidRPr="00494D70">
        <w:rPr>
          <w:rFonts w:ascii="Times New Roman" w:eastAsia="Times New Roman" w:hAnsi="Times New Roman" w:cs="Times New Roman"/>
          <w:sz w:val="24"/>
          <w:szCs w:val="24"/>
        </w:rPr>
        <w:t>, the rankings of high and low scoring countries varied for each domain</w:t>
      </w:r>
      <w:r w:rsidR="0058156B" w:rsidRPr="00494D70">
        <w:rPr>
          <w:rFonts w:ascii="Times New Roman" w:eastAsia="Times New Roman" w:hAnsi="Times New Roman" w:cs="Times New Roman"/>
          <w:sz w:val="24"/>
          <w:szCs w:val="24"/>
        </w:rPr>
        <w:t>,</w:t>
      </w:r>
      <w:r w:rsidR="00D32DAB" w:rsidRPr="00494D70">
        <w:rPr>
          <w:rFonts w:ascii="Times New Roman" w:eastAsia="Times New Roman" w:hAnsi="Times New Roman" w:cs="Times New Roman"/>
          <w:sz w:val="24"/>
          <w:szCs w:val="24"/>
        </w:rPr>
        <w:t xml:space="preserve"> and effect sizes </w:t>
      </w:r>
      <w:r w:rsidR="00472EF6" w:rsidRPr="00494D70">
        <w:rPr>
          <w:rFonts w:ascii="Times New Roman" w:eastAsia="Times New Roman" w:hAnsi="Times New Roman" w:cs="Times New Roman"/>
          <w:sz w:val="24"/>
          <w:szCs w:val="24"/>
        </w:rPr>
        <w:t xml:space="preserve">of group differences </w:t>
      </w:r>
      <w:r w:rsidR="00D32DAB" w:rsidRPr="00494D70">
        <w:rPr>
          <w:rFonts w:ascii="Times New Roman" w:eastAsia="Times New Roman" w:hAnsi="Times New Roman" w:cs="Times New Roman"/>
          <w:sz w:val="24"/>
          <w:szCs w:val="24"/>
        </w:rPr>
        <w:t>were relatively low</w:t>
      </w:r>
      <w:r w:rsidR="00386B43" w:rsidRPr="00494D70">
        <w:rPr>
          <w:rFonts w:ascii="Times New Roman" w:eastAsia="Times New Roman" w:hAnsi="Times New Roman" w:cs="Times New Roman"/>
          <w:sz w:val="24"/>
          <w:szCs w:val="24"/>
        </w:rPr>
        <w:t>.</w:t>
      </w:r>
      <w:r w:rsidR="009C0D0B" w:rsidRPr="00494D70">
        <w:rPr>
          <w:rFonts w:ascii="Times New Roman" w:eastAsia="Times New Roman" w:hAnsi="Times New Roman" w:cs="Times New Roman"/>
          <w:sz w:val="24"/>
          <w:szCs w:val="24"/>
        </w:rPr>
        <w:t xml:space="preserve"> </w:t>
      </w:r>
      <w:r w:rsidR="00FD5E06" w:rsidRPr="00494D70">
        <w:rPr>
          <w:rFonts w:ascii="Times New Roman" w:eastAsia="Times New Roman" w:hAnsi="Times New Roman" w:cs="Times New Roman"/>
          <w:sz w:val="24"/>
          <w:szCs w:val="24"/>
        </w:rPr>
        <w:t>Examining the rankings of the participating countries, no clear geographical, cultural</w:t>
      </w:r>
      <w:r w:rsidR="006D51FD" w:rsidRPr="00494D70">
        <w:rPr>
          <w:rFonts w:ascii="Times New Roman" w:eastAsia="Times New Roman" w:hAnsi="Times New Roman" w:cs="Times New Roman"/>
          <w:sz w:val="24"/>
          <w:szCs w:val="24"/>
        </w:rPr>
        <w:t>,</w:t>
      </w:r>
      <w:r w:rsidR="00FD5E06" w:rsidRPr="00494D70">
        <w:rPr>
          <w:rFonts w:ascii="Times New Roman" w:eastAsia="Times New Roman" w:hAnsi="Times New Roman" w:cs="Times New Roman"/>
          <w:sz w:val="24"/>
          <w:szCs w:val="24"/>
        </w:rPr>
        <w:t xml:space="preserve"> or religious patterns emerged</w:t>
      </w:r>
      <w:r w:rsidR="00B54A81" w:rsidRPr="00494D70">
        <w:rPr>
          <w:rFonts w:ascii="Times New Roman" w:eastAsia="Times New Roman" w:hAnsi="Times New Roman" w:cs="Times New Roman"/>
          <w:sz w:val="24"/>
          <w:szCs w:val="24"/>
        </w:rPr>
        <w:t xml:space="preserve">, </w:t>
      </w:r>
      <w:r w:rsidR="00F83F86" w:rsidRPr="00494D70">
        <w:rPr>
          <w:rFonts w:ascii="Times New Roman" w:eastAsia="Times New Roman" w:hAnsi="Times New Roman" w:cs="Times New Roman"/>
          <w:sz w:val="24"/>
          <w:szCs w:val="24"/>
        </w:rPr>
        <w:t xml:space="preserve">although Lithuania, Germany, Brazil, South Korea, the Czech Republic, Hungary, </w:t>
      </w:r>
      <w:r w:rsidR="005661C1" w:rsidRPr="00494D70">
        <w:rPr>
          <w:rFonts w:ascii="Times New Roman" w:eastAsia="Times New Roman" w:hAnsi="Times New Roman" w:cs="Times New Roman"/>
          <w:sz w:val="24"/>
          <w:szCs w:val="24"/>
        </w:rPr>
        <w:t>China,</w:t>
      </w:r>
      <w:r w:rsidR="00F83F86" w:rsidRPr="00494D70">
        <w:rPr>
          <w:rFonts w:ascii="Times New Roman" w:eastAsia="Times New Roman" w:hAnsi="Times New Roman" w:cs="Times New Roman"/>
          <w:sz w:val="24"/>
          <w:szCs w:val="24"/>
        </w:rPr>
        <w:t xml:space="preserve"> and Taiwan</w:t>
      </w:r>
      <w:r w:rsidR="00D6424C" w:rsidRPr="00494D70">
        <w:rPr>
          <w:rFonts w:ascii="Times New Roman" w:eastAsia="Times New Roman" w:hAnsi="Times New Roman" w:cs="Times New Roman"/>
          <w:sz w:val="24"/>
          <w:szCs w:val="24"/>
        </w:rPr>
        <w:t xml:space="preserve"> were amongst the lowest-scoring countries across at least two domains</w:t>
      </w:r>
      <w:r w:rsidR="00EC277A" w:rsidRPr="00494D70">
        <w:rPr>
          <w:rFonts w:ascii="Times New Roman" w:eastAsia="Times New Roman" w:hAnsi="Times New Roman" w:cs="Times New Roman"/>
          <w:sz w:val="24"/>
          <w:szCs w:val="24"/>
        </w:rPr>
        <w:t xml:space="preserve">, while North Macedonia, Italy, Spain, </w:t>
      </w:r>
      <w:r w:rsidR="003F09C8" w:rsidRPr="00494D70">
        <w:rPr>
          <w:rFonts w:ascii="Times New Roman" w:eastAsia="Times New Roman" w:hAnsi="Times New Roman" w:cs="Times New Roman"/>
          <w:sz w:val="24"/>
          <w:szCs w:val="24"/>
        </w:rPr>
        <w:t>Croatia, Mexico</w:t>
      </w:r>
      <w:r w:rsidR="00672B58" w:rsidRPr="00494D70">
        <w:rPr>
          <w:rFonts w:ascii="Times New Roman" w:eastAsia="Times New Roman" w:hAnsi="Times New Roman" w:cs="Times New Roman"/>
          <w:sz w:val="24"/>
          <w:szCs w:val="24"/>
        </w:rPr>
        <w:t>,</w:t>
      </w:r>
      <w:r w:rsidR="00054EB2" w:rsidRPr="00494D70">
        <w:rPr>
          <w:rFonts w:ascii="Times New Roman" w:eastAsia="Times New Roman" w:hAnsi="Times New Roman" w:cs="Times New Roman"/>
          <w:sz w:val="24"/>
          <w:szCs w:val="24"/>
        </w:rPr>
        <w:t xml:space="preserve"> and </w:t>
      </w:r>
      <w:r w:rsidR="003F09C8" w:rsidRPr="00494D70">
        <w:rPr>
          <w:rFonts w:ascii="Times New Roman" w:eastAsia="Times New Roman" w:hAnsi="Times New Roman" w:cs="Times New Roman"/>
          <w:sz w:val="24"/>
          <w:szCs w:val="24"/>
        </w:rPr>
        <w:t>Portugal</w:t>
      </w:r>
      <w:r w:rsidR="00054EB2" w:rsidRPr="00494D70">
        <w:rPr>
          <w:rFonts w:ascii="Times New Roman" w:eastAsia="Times New Roman" w:hAnsi="Times New Roman" w:cs="Times New Roman"/>
          <w:sz w:val="24"/>
          <w:szCs w:val="24"/>
        </w:rPr>
        <w:t xml:space="preserve"> were among the highest</w:t>
      </w:r>
      <w:r w:rsidR="00D6424C" w:rsidRPr="00494D70">
        <w:rPr>
          <w:rFonts w:ascii="Times New Roman" w:eastAsia="Times New Roman" w:hAnsi="Times New Roman" w:cs="Times New Roman"/>
          <w:sz w:val="24"/>
          <w:szCs w:val="24"/>
        </w:rPr>
        <w:t xml:space="preserve">. </w:t>
      </w:r>
      <w:r w:rsidR="00F02526" w:rsidRPr="00494D70">
        <w:rPr>
          <w:rFonts w:ascii="Times New Roman" w:eastAsia="Times New Roman" w:hAnsi="Times New Roman" w:cs="Times New Roman"/>
          <w:sz w:val="24"/>
          <w:szCs w:val="24"/>
        </w:rPr>
        <w:t xml:space="preserve">In almost all </w:t>
      </w:r>
      <w:r w:rsidR="00F02526" w:rsidRPr="00494D70">
        <w:rPr>
          <w:rFonts w:ascii="Times New Roman" w:eastAsia="Times New Roman" w:hAnsi="Times New Roman" w:cs="Times New Roman"/>
          <w:sz w:val="24"/>
          <w:szCs w:val="24"/>
        </w:rPr>
        <w:lastRenderedPageBreak/>
        <w:t xml:space="preserve">countries, participants </w:t>
      </w:r>
      <w:r w:rsidR="0058156B" w:rsidRPr="00494D70">
        <w:rPr>
          <w:rFonts w:ascii="Times New Roman" w:eastAsia="Times New Roman" w:hAnsi="Times New Roman" w:cs="Times New Roman"/>
          <w:sz w:val="24"/>
          <w:szCs w:val="24"/>
        </w:rPr>
        <w:t xml:space="preserve">appeared </w:t>
      </w:r>
      <w:r w:rsidR="00F02526" w:rsidRPr="00494D70">
        <w:rPr>
          <w:rFonts w:ascii="Times New Roman" w:eastAsia="Times New Roman" w:hAnsi="Times New Roman" w:cs="Times New Roman"/>
          <w:sz w:val="24"/>
          <w:szCs w:val="24"/>
        </w:rPr>
        <w:t>the most comfortable initiating sex or sexual talk, less comfortable with refusing sex, and the least comfortable with discussing sexual risk-related topics with a partner.</w:t>
      </w:r>
      <w:r w:rsidR="00141133" w:rsidRPr="00494D70">
        <w:rPr>
          <w:rFonts w:ascii="Times New Roman" w:eastAsia="Times New Roman" w:hAnsi="Times New Roman" w:cs="Times New Roman"/>
          <w:sz w:val="24"/>
          <w:szCs w:val="24"/>
        </w:rPr>
        <w:t xml:space="preserve"> However, these results are to be interpreted with caution </w:t>
      </w:r>
      <w:r w:rsidR="00DA2D9C" w:rsidRPr="00494D70">
        <w:rPr>
          <w:rFonts w:ascii="Times New Roman" w:eastAsia="Times New Roman" w:hAnsi="Times New Roman" w:cs="Times New Roman"/>
          <w:sz w:val="24"/>
          <w:szCs w:val="24"/>
        </w:rPr>
        <w:t>due to the non-representative sampling methods</w:t>
      </w:r>
      <w:r w:rsidR="007A295D" w:rsidRPr="00494D70">
        <w:rPr>
          <w:rFonts w:ascii="Times New Roman" w:eastAsia="Times New Roman" w:hAnsi="Times New Roman" w:cs="Times New Roman"/>
          <w:sz w:val="24"/>
          <w:szCs w:val="24"/>
        </w:rPr>
        <w:t>.</w:t>
      </w:r>
    </w:p>
    <w:p w14:paraId="6DE164CC" w14:textId="54BDD4BF" w:rsidR="0086480C" w:rsidRPr="00494D70" w:rsidRDefault="0086480C" w:rsidP="000B124E">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t xml:space="preserve">Previous research on differences in SA between men and women has been </w:t>
      </w:r>
      <w:r w:rsidR="0058156B" w:rsidRPr="00494D70">
        <w:rPr>
          <w:rFonts w:ascii="Times New Roman" w:eastAsia="Times New Roman" w:hAnsi="Times New Roman" w:cs="Times New Roman"/>
          <w:sz w:val="24"/>
          <w:szCs w:val="24"/>
        </w:rPr>
        <w:t xml:space="preserve">somewhat </w:t>
      </w:r>
      <w:r w:rsidR="00BD1E67" w:rsidRPr="00494D70">
        <w:rPr>
          <w:rFonts w:ascii="Times New Roman" w:eastAsia="Times New Roman" w:hAnsi="Times New Roman" w:cs="Times New Roman"/>
          <w:sz w:val="24"/>
          <w:szCs w:val="24"/>
        </w:rPr>
        <w:t>inconsistent</w:t>
      </w:r>
      <w:r w:rsidR="0058156B" w:rsidRPr="00494D70">
        <w:rPr>
          <w:rFonts w:ascii="Times New Roman" w:eastAsia="Times New Roman" w:hAnsi="Times New Roman" w:cs="Times New Roman"/>
          <w:sz w:val="24"/>
          <w:szCs w:val="24"/>
        </w:rPr>
        <w:t>,</w:t>
      </w:r>
      <w:r w:rsidR="00BD1E67" w:rsidRPr="00494D70">
        <w:rPr>
          <w:rFonts w:ascii="Times New Roman" w:eastAsia="Times New Roman" w:hAnsi="Times New Roman" w:cs="Times New Roman"/>
          <w:sz w:val="24"/>
          <w:szCs w:val="24"/>
        </w:rPr>
        <w:t xml:space="preserve"> and</w:t>
      </w:r>
      <w:r w:rsidRPr="00494D70">
        <w:rPr>
          <w:rFonts w:ascii="Times New Roman" w:eastAsia="Times New Roman" w:hAnsi="Times New Roman" w:cs="Times New Roman"/>
          <w:sz w:val="24"/>
          <w:szCs w:val="24"/>
        </w:rPr>
        <w:t xml:space="preserve"> </w:t>
      </w:r>
      <w:r w:rsidR="0058156B" w:rsidRPr="00494D70">
        <w:rPr>
          <w:rFonts w:ascii="Times New Roman" w:eastAsia="Times New Roman" w:hAnsi="Times New Roman" w:cs="Times New Roman"/>
          <w:sz w:val="24"/>
          <w:szCs w:val="24"/>
        </w:rPr>
        <w:t xml:space="preserve">gender-related SA research </w:t>
      </w:r>
      <w:r w:rsidRPr="00494D70">
        <w:rPr>
          <w:rFonts w:ascii="Times New Roman" w:eastAsia="Times New Roman" w:hAnsi="Times New Roman" w:cs="Times New Roman"/>
          <w:sz w:val="24"/>
          <w:szCs w:val="24"/>
        </w:rPr>
        <w:t>has largely neglected individuals outside the gender binary. Although earlier studies have tended to find that men are more sexually assertive than women</w:t>
      </w:r>
      <w:r w:rsidR="006A3B6A" w:rsidRPr="00494D70">
        <w:rPr>
          <w:rFonts w:ascii="Times New Roman" w:eastAsia="Times New Roman" w:hAnsi="Times New Roman" w:cs="Times New Roman"/>
          <w:sz w:val="24"/>
          <w:szCs w:val="24"/>
        </w:rPr>
        <w:t xml:space="preserve"> </w:t>
      </w:r>
      <w:r w:rsidR="006A3B6A"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{"citationID":"J5xq64mE","properties":{"formattedCitation":"(Haavio-Mannila &amp; Kontula, 1997; Pierce &amp; Hurlbert, 1999; Snell et al., 1991)","plainCitation":"(Haavio-Mannila &amp; Kontula, 1997; Pierce &amp; Hurlbert, 1999; Snell et al., 1991)","noteIndex":0},"citationItems":[{"id":3301,"uris":["http://zotero.org/users/7402913/items/E2SW83CY"],"itemData":{"id":3301,"type":"article-journal","abstract":"Comparisons of nationally representative survey data of the population ages 18-54 years in 1971 (N = 2252) and 1992 (N = 1718) from Finland show that sexual satisfaction has greatly increased particularly among women. Some predictors of sexual satisfaction of men and women are examined on the basis of the 1992 survey data on people ages 18-74 years (N = 2250). Correlations between social background factors, sexual ideas and assertiveness, optional relationships, sexual practices, orgasm, and satisfaction with sexual intercourse were calculated. To cona-ol the simultaneous effect of the variables explaining satisfaction, path analyses were conducted. Results show that young age, a sexually unreserved and a nonreligious childhood home, early start of sexual life, high education, sexual assertiveness, considering sexuality important in life, reciprocal feeling of love, use of sex materials, frequent intercourse, many-sided (versatile) sexual techniques, and frequent orgasm correlate with finding sexual intercourse pleasurable. There were some gender differences in the connections between the independent factors and satisfaction with coitus. The importance of sexuality in life, love, and the use of sexual materials were connected directly to physical sexual satisfaction among men bur only indirectly among women. For women, but not for men, young age and early start of sexual life correlated with enjoyment of intercourse. The greater sexual dissatisfaction of women compared to men, which still prevails, may be due to their late start of sexual life, conservative sexual attitudes, unimportance of sexuality in life, lack of sexual assertiveness, and use of restricted sexual techniques. The emancipation of women may change these ideas and practices of women. This might lessen the gender gap in physical sexual satisfaction.","container-title":"Archives of Sexual Behavior","DOI":"10.1023/A:1024591318836","ISSN":"0004-0002","issue":"4","language":"English","note":"publisher-place: 233 SPRING ST, NEW YORK, NY 10013 USA\npublisher: SPRINGER/PLENUM PUBLISHERS\ntype: Article","page":"399-419","title":"Correlates of increased sexual satisfaction","volume":"26","author":[{"family":"Haavio-Mannila","given":"E"},{"family":"Kontula","given":"O"}],"issued":{"date-parts":[["1997"]]}}},{"id":5013,"uris":["http://zotero.org/users/7402913/items/9BAVBKUN"],"itemData":{"id":5013,"type":"article-journal","abstract":"This study investigated the test-retest stability of the Hurlbert Index of Sexual Assertiveness. 54 nonclinical and 46 clinical subjects were administered the Index on two occasions 4 wk. apart. Test-retest correlation coefficients were calculated separately and together. The results evidenced high test-retest reliability. Correlation coefficients were .88 for nonclinical subjects and .83 for clinical subjects with an over-all test-retest reliability of .85 for all 100 subjects.","container-title":"Perceptual and Motor Skills","DOI":"10.2466/pms.1999.88.1.31","ISSN":"0031-5125","issue":"1","journalAbbreviation":"Percept Mot Skills","language":"eng","note":"PMID: 10214631","page":"31-34","source":"PubMed","title":"Test-retest reliability of the Hurlbert Index of Sexual Assertiveness","volume":"88","author":[{"family":"Pierce","given":"A. P."},{"family":"Hurlbert","given":"M. K."}],"issued":{"date-parts":[["1999",2]]}}},{"id":5024,"uris":["http://zotero.org/users/7402913/items/NW7UJW4X"],"itemData":{"id":5024,"type":"article-journal","abstract":"Two separate investigations were conducted to develop an objective self-report instrument, the Sexual Awareness Questionnaire (SAQ), designed to measure four personality tendencies associated with sexual awareness and sexual assertiveness: sexual-consciousness (attention to internal private sexual cues), sexual-monitoring (sensitivity to others' evaluation of one's sexuality), sexual-assertiveness (self-reliance in sexual decision making), and sex appeal-consciousness (awareness of one's own public sexiness). Factor and reliability analyses from both studies confirmed the factorial validity and reliability of the Sexual Awareness Questionnaire. Other results provided evidence supporting the convergent and discriminant validity of the SAQ. All four SAQ subscales tended to be negatively related to measures of sex-anxiety and sex-guilt for both males and females, and sexual-consciousness was directly related to erotophilic feelings. Other findings indicated that men's and women's responses to the four SAQ subscales were related in a predictable fashion to their sexual attitudes, dispositions, and behaviors. Research and clinical applications are discussed.","container-title":"Annals of Sex Research","DOI":"10.1177/107906329100400104","ISSN":"0843-4611","issue":"1","language":"en","note":"publisher: SAGE Publications","page":"65-92","source":"SAGE Journals","title":"Development of the Sexual Awareness Questionnaire: Components, Reliability, and Validity","title-short":"Development of the Sexual Awareness Questionnaire","volume":"4","author":[{"family":"Snell","given":"William E."},{"family":"Fisher","given":"Terri D."},{"family":"Miller","given":"Rowland S."}],"issued":{"date-parts":[["1991",1,1]]}}}],"schema":"https://github.com/citation-style-language/schema/raw/master/csl-citation.json"} </w:instrText>
      </w:r>
      <w:r w:rsidR="006A3B6A" w:rsidRPr="00494D70">
        <w:rPr>
          <w:rFonts w:ascii="Times New Roman" w:eastAsia="Times New Roman" w:hAnsi="Times New Roman" w:cs="Times New Roman"/>
          <w:sz w:val="24"/>
          <w:szCs w:val="24"/>
        </w:rPr>
        <w:fldChar w:fldCharType="separate"/>
      </w:r>
      <w:r w:rsidR="00290E4F" w:rsidRPr="00494D70">
        <w:rPr>
          <w:rFonts w:ascii="Times New Roman" w:hAnsi="Times New Roman" w:cs="Times New Roman"/>
          <w:sz w:val="24"/>
        </w:rPr>
        <w:t>(Haavio-Mannila &amp; Kontula, 1997; Pierce &amp; Hurlbert, 1999; Snell et al., 1991)</w:t>
      </w:r>
      <w:r w:rsidR="006A3B6A" w:rsidRPr="00494D70">
        <w:rPr>
          <w:rFonts w:ascii="Times New Roman" w:eastAsia="Times New Roman" w:hAnsi="Times New Roman" w:cs="Times New Roman"/>
          <w:sz w:val="24"/>
          <w:szCs w:val="24"/>
        </w:rPr>
        <w:fldChar w:fldCharType="end"/>
      </w:r>
      <w:r w:rsidRPr="00494D70">
        <w:rPr>
          <w:rFonts w:ascii="Times New Roman" w:eastAsia="Times New Roman" w:hAnsi="Times New Roman" w:cs="Times New Roman"/>
          <w:sz w:val="24"/>
          <w:szCs w:val="24"/>
        </w:rPr>
        <w:t xml:space="preserve">, more recent research has produced </w:t>
      </w:r>
      <w:r w:rsidR="0058156B" w:rsidRPr="00494D70">
        <w:rPr>
          <w:rFonts w:ascii="Times New Roman" w:eastAsia="Times New Roman" w:hAnsi="Times New Roman" w:cs="Times New Roman"/>
          <w:sz w:val="24"/>
          <w:szCs w:val="24"/>
        </w:rPr>
        <w:t xml:space="preserve">seemingly </w:t>
      </w:r>
      <w:r w:rsidRPr="00494D70">
        <w:rPr>
          <w:rFonts w:ascii="Times New Roman" w:eastAsia="Times New Roman" w:hAnsi="Times New Roman" w:cs="Times New Roman"/>
          <w:sz w:val="24"/>
          <w:szCs w:val="24"/>
        </w:rPr>
        <w:t>conflicting results</w:t>
      </w:r>
      <w:r w:rsidR="000B3B28" w:rsidRPr="00494D70">
        <w:rPr>
          <w:rFonts w:ascii="Times New Roman" w:eastAsia="Times New Roman" w:hAnsi="Times New Roman" w:cs="Times New Roman"/>
          <w:sz w:val="24"/>
          <w:szCs w:val="24"/>
        </w:rPr>
        <w:t xml:space="preserve"> </w:t>
      </w:r>
      <w:r w:rsidR="000B3B28"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{"citationID":"KbRinuWT","properties":{"formattedCitation":"(Gil-Llario et al., 2021; Lammers &amp; Stoker, 2019; Lopez-Alvarado et al., 2022; Stulhofer et al., 2009)","plainCitation":"(Gil-Llario et al., 2021; Lammers &amp; Stoker, 2019; Lopez-Alvarado et al., 2022; Stulhofer et al., 2009)","noteIndex":0},"citationItems":[{"id":3179,"uris":["http://zotero.org/users/7402913/items/W99U3RIN"],"itemData":{"id":3179,"type":"article-journal","abstract":"The potential consequences of being assertive or non-assertive for people’s sexual health and sexual well-being highlight the importance of assessing sexual assertiveness (SA). The currently available measures have limitations because they do not take recent social changes into account, they are designed to only assess women, and/or they ignore several components of SA. This study tests the psychometric properties of the Assertiveness in Sexual Relations Questionnaire (ASRQ).","container-title":"Sexuality Research and Social Policy","DOI":"10.1007/s13178-021-00630-6","ISSN":"1553-6610","journalAbbreviation":"Sex Res Soc Policy","language":"en","source":"Springer Link","title":"Development and Psychometric Properties of an Instrument for the Assessment of Assertiveness in Sexual Relations","URL":"https://doi.org/10.1007/s13178-021-00630-6","author":[{"family":"Gil-Llario","given":"María Dolores"},{"family":"Fernández-García","given":"Olga"},{"family":"Gil-Juliá","given":"Beatriz"},{"family":"Estruch-García","given":"Verónica"},{"family":"Ballester-Arnal","given":"Rafael"}],"accessed":{"date-parts":[["2022",3,30]]},"issued":{"date-parts":[["2021",8,3]]}}},{"id":3272,"uris":["http://zotero.org/users/7402913/items/DDVL5KVJ"],"itemData":{"id":3272,"type":"article-journal","abstract":"Common stereotypes hold that men and women differ strongly in their attitudes toward sex and that such differences are amplified by social power. In contrast, an emerging literature suggests that social power affects both sexes similarly, thus potentially attenuating differences between the sexes. Four samples obtained in the Netherlands, the U.S., Britain, and South-East Asia (total N=1985) test the effect of social power (operationalized as self-reported amount of power over others at the work place) on validated self-report measures of sexual assertiveness and sexual esteem. Across all samples, power was associated with greater sexual assertiveness and sexual esteemequally for men and women. Furthermore, effects of power were larger and more consistent than differences between men and women. These findings add to an emerging literature, suggesting that often-observed differences between male and female sexuality actually reflect power differences. This suggests that such differences decrease with greater social equality.","container-title":"Archives of Sexual Behavior","DOI":"10.1007/s10508-018-1285-5","ISSN":"0004-0002","issue":"2","language":"English","page":"645-652","title":"Power Affects Sexual Assertiveness and Sexual Esteem Equally in Women and Men","volume":"48","author":[{"family":"Lammers","given":"Joris"},{"family":"Stoker","given":"Janka I."}],"issued":{"date-parts":[["2019"]]}}},{"id":4926,"uris":["http://zotero.org/users/7402913/items/H37XNI6U"],"itemData":{"id":4926,"type":"article-journal","abstract":"Objective: Sexual assertiveness (SA), i.e., the ability to communicate thoughts and desires that may be translated into satisfying sexual activity within an intimate relationship, is important for safe and satisfying sexual behavior. In an attempt to unravel which cultural, relational, and individual variables are related to the development of SA in emerging adults, an exploratory study was conducted in Cuenca, Ecuador. Methods: Five hundred and thirty-eight participants completed scales that measured their levels of SA, endorsement of the sexual double standard, relationship satisfaction, and mental well-being. Results: This study showed a negative effect of the sexual double standard on SA in both men and women and this effect was slightly tempered by the level of education. Women reported higher levels of SA than men. In women, SA was associated with general mental well-being and relationship satisfaction; but not in men. For both women and men, no association was found with relationship status or duration. Conclusions: These findings corroborate evidence highlighting the importance of SA for healthy sexual relationships and emphasize the importance of (sex) education for SA for lower educated women and men. The results are discussed in relation to findings on SA in other contexts.","archive_location":"WOS:000834908700001","container-title":"International Journal of Sexual Health","DOI":"10.1080/19317611.2022.2106527","ISSN":"1931-7611","issue":"4","language":"English","page":"679-690","title":"Sexual Assertiveness and Its Correlates in Emerging Adults: An Exploratory Study in Cuenca (Ecuador)","volume":"34","author":[{"family":"Lopez-Alvarado","given":"S"},{"family":"Prekatsounaki","given":"S"},{"family":"Van Parys","given":"H"},{"family":"Enzlin","given":"P"}],"issued":{"date-parts":[["2022",10,2]]}}},{"id":3306,"uris":["http://zotero.org/users/7402913/items/PBBZITQI"],"itemData":{"id":3306,"type":"article-journal","abstract":"Despite the recent increase in the number of HIV infections in Central and Eastern Europe, patterns of sexual behavior have not been extensively researched, particularly among young people. The aim of the present study was to provide a comprehensive assessment of HIV/AIDS-related vulnerability and sexual risk-taking among young adults in Croatia. Data were collected in 2005 using a nationally representative, multi-stage stratified probability sample (n = 1,093) of women and men aged 18-24 years. The focus in this article was on predictors of sexual risk-taking measured by a composite risky sexual behaviors scale. Using hierarchical regression models, we analyzed gendered effects of community, family, peer group, and individual level factors. For both men and women, peer pressure, sensation seeking, personal risk-assessment, behavioral intention, condom use at first sexual intercourse, and sexual victimization were significant predictors of sexual risk-taking behaviors. A number of predictors were gender-specific: sexual assertiveness and condom self-efficacy for women and parental monitoring, traditional morality, HIV knowledge, and talking about sex with partner for men. Documenting substantial prevalence of potentially risky sexual behaviors among young people in Croatia, the findings call for prevention and intervention efforts that should focus on individual capacity building for responsible sexual behavior.","container-title":"Archives of Sexual Behavior","DOI":"10.1007/s10508-007-9234-8","ISSN":"0004-0002","issue":"2","language":"English","page":"209-225","title":"An Assessment of HIV/STI Vulnerability and Related Sexual Risk-Taking in a Nationally Representative Sample of Young Croatian Adults","volume":"38","author":[{"family":"Stulhofer","given":"Aleksandar"},{"family":"Graham","given":"Cynthia"},{"family":"Bozicevic","given":"Ivana"},{"family":"Kufrin","given":"Kresimir"},{"family":"Ajdukovic","given":"Dean"}],"issued":{"date-parts":[["2009"]]}}}],"schema":"https://github.com/citation-style-language/schema/raw/master/csl-citation.json"} </w:instrText>
      </w:r>
      <w:r w:rsidR="000B3B28" w:rsidRPr="00494D70">
        <w:rPr>
          <w:rFonts w:ascii="Times New Roman" w:eastAsia="Times New Roman" w:hAnsi="Times New Roman" w:cs="Times New Roman"/>
          <w:sz w:val="24"/>
          <w:szCs w:val="24"/>
        </w:rPr>
        <w:fldChar w:fldCharType="separate"/>
      </w:r>
      <w:r w:rsidR="0043325F" w:rsidRPr="00494D70">
        <w:rPr>
          <w:rFonts w:ascii="Times New Roman" w:hAnsi="Times New Roman" w:cs="Times New Roman"/>
          <w:sz w:val="24"/>
        </w:rPr>
        <w:t>(Gil-Llario et al., 2021; Lammers &amp; Stoker, 2019; Lopez-Alvarado et al., 2022; Stulhofer et al., 2009)</w:t>
      </w:r>
      <w:r w:rsidR="000B3B28" w:rsidRPr="00494D70">
        <w:rPr>
          <w:rFonts w:ascii="Times New Roman" w:eastAsia="Times New Roman" w:hAnsi="Times New Roman" w:cs="Times New Roman"/>
          <w:sz w:val="24"/>
          <w:szCs w:val="24"/>
        </w:rPr>
        <w:fldChar w:fldCharType="end"/>
      </w:r>
      <w:r w:rsidRPr="00494D70">
        <w:rPr>
          <w:rFonts w:ascii="Times New Roman" w:eastAsia="Times New Roman" w:hAnsi="Times New Roman" w:cs="Times New Roman"/>
          <w:sz w:val="24"/>
          <w:szCs w:val="24"/>
        </w:rPr>
        <w:t>. I</w:t>
      </w:r>
      <w:r w:rsidR="009E0A00" w:rsidRPr="00494D70">
        <w:rPr>
          <w:rFonts w:ascii="Times New Roman" w:eastAsia="Times New Roman" w:hAnsi="Times New Roman" w:cs="Times New Roman"/>
          <w:sz w:val="24"/>
          <w:szCs w:val="24"/>
        </w:rPr>
        <w:t>n</w:t>
      </w:r>
      <w:r w:rsidRPr="00494D70">
        <w:rPr>
          <w:rFonts w:ascii="Times New Roman" w:eastAsia="Times New Roman" w:hAnsi="Times New Roman" w:cs="Times New Roman"/>
          <w:sz w:val="24"/>
          <w:szCs w:val="24"/>
        </w:rPr>
        <w:t xml:space="preserve"> our study, significant gender</w:t>
      </w:r>
      <w:r w:rsidR="0058156B" w:rsidRPr="00494D70">
        <w:rPr>
          <w:rFonts w:ascii="Times New Roman" w:eastAsia="Times New Roman" w:hAnsi="Times New Roman" w:cs="Times New Roman"/>
          <w:sz w:val="24"/>
          <w:szCs w:val="24"/>
        </w:rPr>
        <w:t>-related</w:t>
      </w:r>
      <w:r w:rsidRPr="00494D70">
        <w:rPr>
          <w:rFonts w:ascii="Times New Roman" w:eastAsia="Times New Roman" w:hAnsi="Times New Roman" w:cs="Times New Roman"/>
          <w:sz w:val="24"/>
          <w:szCs w:val="24"/>
        </w:rPr>
        <w:t xml:space="preserve"> differences </w:t>
      </w:r>
      <w:r w:rsidR="00B83142" w:rsidRPr="00494D70">
        <w:rPr>
          <w:rFonts w:ascii="Times New Roman" w:eastAsia="Times New Roman" w:hAnsi="Times New Roman" w:cs="Times New Roman"/>
          <w:sz w:val="24"/>
          <w:szCs w:val="24"/>
        </w:rPr>
        <w:t xml:space="preserve">were observed </w:t>
      </w:r>
      <w:r w:rsidRPr="00494D70">
        <w:rPr>
          <w:rFonts w:ascii="Times New Roman" w:eastAsia="Times New Roman" w:hAnsi="Times New Roman" w:cs="Times New Roman"/>
          <w:sz w:val="24"/>
          <w:szCs w:val="24"/>
        </w:rPr>
        <w:t>between men, women</w:t>
      </w:r>
      <w:r w:rsidR="00B83142" w:rsidRPr="00494D70">
        <w:rPr>
          <w:rFonts w:ascii="Times New Roman" w:eastAsia="Times New Roman" w:hAnsi="Times New Roman" w:cs="Times New Roman"/>
          <w:sz w:val="24"/>
          <w:szCs w:val="24"/>
        </w:rPr>
        <w:t>,</w:t>
      </w:r>
      <w:r w:rsidRPr="00494D70">
        <w:rPr>
          <w:rFonts w:ascii="Times New Roman" w:eastAsia="Times New Roman" w:hAnsi="Times New Roman" w:cs="Times New Roman"/>
          <w:sz w:val="24"/>
          <w:szCs w:val="24"/>
        </w:rPr>
        <w:t xml:space="preserve"> and gender-diverse individuals. Men exhibited significantly lower levels of</w:t>
      </w:r>
      <w:r w:rsidR="009E0A00" w:rsidRPr="00494D70">
        <w:rPr>
          <w:rFonts w:ascii="Times New Roman" w:eastAsia="Times New Roman" w:hAnsi="Times New Roman" w:cs="Times New Roman"/>
          <w:sz w:val="24"/>
          <w:szCs w:val="24"/>
        </w:rPr>
        <w:t xml:space="preserve"> assertiveness </w:t>
      </w:r>
      <w:r w:rsidRPr="00494D70">
        <w:rPr>
          <w:rFonts w:ascii="Times New Roman" w:eastAsia="Times New Roman" w:hAnsi="Times New Roman" w:cs="Times New Roman"/>
          <w:sz w:val="24"/>
          <w:szCs w:val="24"/>
        </w:rPr>
        <w:t>than women and gender-diverse individuals</w:t>
      </w:r>
      <w:r w:rsidR="00D05B88" w:rsidRPr="00494D70">
        <w:rPr>
          <w:rFonts w:ascii="Times New Roman" w:eastAsia="Times New Roman" w:hAnsi="Times New Roman" w:cs="Times New Roman"/>
          <w:sz w:val="24"/>
          <w:szCs w:val="24"/>
        </w:rPr>
        <w:t xml:space="preserve"> on all three domains</w:t>
      </w:r>
      <w:r w:rsidRPr="00494D70">
        <w:rPr>
          <w:rFonts w:ascii="Times New Roman" w:eastAsia="Times New Roman" w:hAnsi="Times New Roman" w:cs="Times New Roman"/>
          <w:sz w:val="24"/>
          <w:szCs w:val="24"/>
        </w:rPr>
        <w:t xml:space="preserve">, while women and gender-diverse individuals only differed significantly in one domain. </w:t>
      </w:r>
      <w:r w:rsidR="00AB0B7B" w:rsidRPr="00494D70">
        <w:rPr>
          <w:rFonts w:ascii="Times New Roman" w:eastAsia="Times New Roman" w:hAnsi="Times New Roman" w:cs="Times New Roman"/>
          <w:sz w:val="24"/>
          <w:szCs w:val="24"/>
        </w:rPr>
        <w:t>Gender-diverse participants</w:t>
      </w:r>
      <w:r w:rsidRPr="00494D70">
        <w:rPr>
          <w:rFonts w:ascii="Times New Roman" w:eastAsia="Times New Roman" w:hAnsi="Times New Roman" w:cs="Times New Roman"/>
          <w:sz w:val="24"/>
          <w:szCs w:val="24"/>
        </w:rPr>
        <w:t xml:space="preserve"> demonstrated higher levels of risk communication assertiveness compared to women, indicating that they may </w:t>
      </w:r>
      <w:r w:rsidR="00DF68BB" w:rsidRPr="00494D70">
        <w:rPr>
          <w:rFonts w:ascii="Times New Roman" w:eastAsia="Times New Roman" w:hAnsi="Times New Roman" w:cs="Times New Roman"/>
          <w:sz w:val="24"/>
          <w:szCs w:val="24"/>
        </w:rPr>
        <w:t xml:space="preserve">be better at </w:t>
      </w:r>
      <w:r w:rsidRPr="00494D70">
        <w:rPr>
          <w:rFonts w:ascii="Times New Roman" w:eastAsia="Times New Roman" w:hAnsi="Times New Roman" w:cs="Times New Roman"/>
          <w:sz w:val="24"/>
          <w:szCs w:val="24"/>
        </w:rPr>
        <w:t>communicat</w:t>
      </w:r>
      <w:r w:rsidR="00DF68BB" w:rsidRPr="00494D70">
        <w:rPr>
          <w:rFonts w:ascii="Times New Roman" w:eastAsia="Times New Roman" w:hAnsi="Times New Roman" w:cs="Times New Roman"/>
          <w:sz w:val="24"/>
          <w:szCs w:val="24"/>
        </w:rPr>
        <w:t>ing</w:t>
      </w:r>
      <w:r w:rsidRPr="00494D70">
        <w:rPr>
          <w:rFonts w:ascii="Times New Roman" w:eastAsia="Times New Roman" w:hAnsi="Times New Roman" w:cs="Times New Roman"/>
          <w:sz w:val="24"/>
          <w:szCs w:val="24"/>
        </w:rPr>
        <w:t xml:space="preserve"> and negotiat</w:t>
      </w:r>
      <w:r w:rsidR="00DF68BB" w:rsidRPr="00494D70">
        <w:rPr>
          <w:rFonts w:ascii="Times New Roman" w:eastAsia="Times New Roman" w:hAnsi="Times New Roman" w:cs="Times New Roman"/>
          <w:sz w:val="24"/>
          <w:szCs w:val="24"/>
        </w:rPr>
        <w:t>ing</w:t>
      </w:r>
      <w:r w:rsidRPr="00494D70">
        <w:rPr>
          <w:rFonts w:ascii="Times New Roman" w:eastAsia="Times New Roman" w:hAnsi="Times New Roman" w:cs="Times New Roman"/>
          <w:sz w:val="24"/>
          <w:szCs w:val="24"/>
        </w:rPr>
        <w:t xml:space="preserve"> about STI risks associated with sexual activities. </w:t>
      </w:r>
    </w:p>
    <w:p w14:paraId="36B70C92" w14:textId="73FA6D39" w:rsidR="00CE486B" w:rsidRPr="00494D70" w:rsidRDefault="0086480C" w:rsidP="0087489A">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t xml:space="preserve">The findings </w:t>
      </w:r>
      <w:r w:rsidR="0058156B" w:rsidRPr="00494D70">
        <w:rPr>
          <w:rFonts w:ascii="Times New Roman" w:eastAsia="Times New Roman" w:hAnsi="Times New Roman" w:cs="Times New Roman"/>
          <w:sz w:val="24"/>
          <w:szCs w:val="24"/>
        </w:rPr>
        <w:t>of</w:t>
      </w:r>
      <w:r w:rsidRPr="00494D70">
        <w:rPr>
          <w:rFonts w:ascii="Times New Roman" w:eastAsia="Times New Roman" w:hAnsi="Times New Roman" w:cs="Times New Roman"/>
          <w:sz w:val="24"/>
          <w:szCs w:val="24"/>
        </w:rPr>
        <w:t xml:space="preserve"> significantly lower SA </w:t>
      </w:r>
      <w:r w:rsidR="0058156B" w:rsidRPr="00494D70">
        <w:rPr>
          <w:rFonts w:ascii="Times New Roman" w:eastAsia="Times New Roman" w:hAnsi="Times New Roman" w:cs="Times New Roman"/>
          <w:sz w:val="24"/>
          <w:szCs w:val="24"/>
        </w:rPr>
        <w:t xml:space="preserve">in </w:t>
      </w:r>
      <w:r w:rsidRPr="00494D70">
        <w:rPr>
          <w:rFonts w:ascii="Times New Roman" w:eastAsia="Times New Roman" w:hAnsi="Times New Roman" w:cs="Times New Roman"/>
          <w:sz w:val="24"/>
          <w:szCs w:val="24"/>
        </w:rPr>
        <w:t xml:space="preserve">men are in line with </w:t>
      </w:r>
      <w:r w:rsidR="00A65248" w:rsidRPr="00494D70">
        <w:rPr>
          <w:rFonts w:ascii="Times New Roman" w:eastAsia="Times New Roman" w:hAnsi="Times New Roman" w:cs="Times New Roman"/>
          <w:sz w:val="24"/>
          <w:szCs w:val="24"/>
        </w:rPr>
        <w:t xml:space="preserve">some </w:t>
      </w:r>
      <w:r w:rsidRPr="00494D70">
        <w:rPr>
          <w:rFonts w:ascii="Times New Roman" w:eastAsia="Times New Roman" w:hAnsi="Times New Roman" w:cs="Times New Roman"/>
          <w:sz w:val="24"/>
          <w:szCs w:val="24"/>
        </w:rPr>
        <w:t xml:space="preserve">recent reports </w:t>
      </w:r>
      <w:r w:rsidR="00A65248"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{"citationID":"sS4qCQ7J","properties":{"formattedCitation":"(Gil-Llario et al., 2021; Lopez-Alvarado et al., 2022; Stulhofer et al., 2009)","plainCitation":"(Gil-Llario et al., 2021; Lopez-Alvarado et al., 2022; Stulhofer et al., 2009)","noteIndex":0},"citationItems":[{"id":3179,"uris":["http://zotero.org/users/7402913/items/W99U3RIN"],"itemData":{"id":3179,"type":"article-journal","abstract":"The potential consequences of being assertive or non-assertive for people’s sexual health and sexual well-being highlight the importance of assessing sexual assertiveness (SA). The currently available measures have limitations because they do not take recent social changes into account, they are designed to only assess women, and/or they ignore several components of SA. This study tests the psychometric properties of the Assertiveness in Sexual Relations Questionnaire (ASRQ).","container-title":"Sexuality Research and Social Policy","DOI":"10.1007/s13178-021-00630-6","ISSN":"1553-6610","journalAbbreviation":"Sex Res Soc Policy","language":"en","source":"Springer Link","title":"Development and Psychometric Properties of an Instrument for the Assessment of Assertiveness in Sexual Relations","URL":"https://doi.org/10.1007/s13178-021-00630-6","author":[{"family":"Gil-Llario","given":"María Dolores"},{"family":"Fernández-García","given":"Olga"},{"family":"Gil-Juliá","given":"Beatriz"},{"family":"Estruch-García","given":"Verónica"},{"family":"Ballester-Arnal","given":"Rafael"}],"accessed":{"date-parts":[["2022",3,30]]},"issued":{"date-parts":[["2021",8,3]]}}},{"id":4926,"uris":["http://zotero.org/users/7402913/items/H37XNI6U"],"itemData":{"id":4926,"type":"article-journal","abstract":"Objective: Sexual assertiveness (SA), i.e., the ability to communicate thoughts and desires that may be translated into satisfying sexual activity within an intimate relationship, is important for safe and satisfying sexual behavior. In an attempt to unravel which cultural, relational, and individual variables are related to the development of SA in emerging adults, an exploratory study was conducted in Cuenca, Ecuador. Methods: Five hundred and thirty-eight participants completed scales that measured their levels of SA, endorsement of the sexual double standard, relationship satisfaction, and mental well-being. Results: This study showed a negative effect of the sexual double standard on SA in both men and women and this effect was slightly tempered by the level of education. Women reported higher levels of SA than men. In women, SA was associated with general mental well-being and relationship satisfaction; but not in men. For both women and men, no association was found with relationship status or duration. Conclusions: These findings corroborate evidence highlighting the importance of SA for healthy sexual relationships and emphasize the importance of (sex) education for SA for lower educated women and men. The results are discussed in relation to findings on SA in other contexts.","archive_location":"WOS:000834908700001","container-title":"International Journal of Sexual Health","DOI":"10.1080/19317611.2022.2106527","ISSN":"1931-7611","issue":"4","language":"English","page":"679-690","title":"Sexual Assertiveness and Its Correlates in Emerging Adults: An Exploratory Study in Cuenca (Ecuador)","volume":"34","author":[{"family":"Lopez-Alvarado","given":"S"},{"family":"Prekatsounaki","given":"S"},{"family":"Van Parys","given":"H"},{"family":"Enzlin","given":"P"}],"issued":{"date-parts":[["2022",10,2]]}}},{"id":3306,"uris":["http://zotero.org/users/7402913/items/PBBZITQI"],"itemData":{"id":3306,"type":"article-journal","abstract":"Despite the recent increase in the number of HIV infections in Central and Eastern Europe, patterns of sexual behavior have not been extensively researched, particularly among young people. The aim of the present study was to provide a comprehensive assessment of HIV/AIDS-related vulnerability and sexual risk-taking among young adults in Croatia. Data were collected in 2005 using a nationally representative, multi-stage stratified probability sample (n = 1,093) of women and men aged 18-24 years. The focus in this article was on predictors of sexual risk-taking measured by a composite risky sexual behaviors scale. Using hierarchical regression models, we analyzed gendered effects of community, family, peer group, and individual level factors. For both men and women, peer pressure, sensation seeking, personal risk-assessment, behavioral intention, condom use at first sexual intercourse, and sexual victimization were significant predictors of sexual risk-taking behaviors. A number of predictors were gender-specific: sexual assertiveness and condom self-efficacy for women and parental monitoring, traditional morality, HIV knowledge, and talking about sex with partner for men. Documenting substantial prevalence of potentially risky sexual behaviors among young people in Croatia, the findings call for prevention and intervention efforts that should focus on individual capacity building for responsible sexual behavior.","container-title":"Archives of Sexual Behavior","DOI":"10.1007/s10508-007-9234-8","ISSN":"0004-0002","issue":"2","language":"English","page":"209-225","title":"An Assessment of HIV/STI Vulnerability and Related Sexual Risk-Taking in a Nationally Representative Sample of Young Croatian Adults","volume":"38","author":[{"family":"Stulhofer","given":"Aleksandar"},{"family":"Graham","given":"Cynthia"},{"family":"Bozicevic","given":"Ivana"},{"family":"Kufrin","given":"Kresimir"},{"family":"Ajdukovic","given":"Dean"}],"issued":{"date-parts":[["2009"]]}}}],"schema":"https://github.com/citation-style-language/schema/raw/master/csl-citation.json"} </w:instrText>
      </w:r>
      <w:r w:rsidR="00A65248" w:rsidRPr="00494D70">
        <w:rPr>
          <w:rFonts w:ascii="Times New Roman" w:eastAsia="Times New Roman" w:hAnsi="Times New Roman" w:cs="Times New Roman"/>
          <w:sz w:val="24"/>
          <w:szCs w:val="24"/>
        </w:rPr>
        <w:fldChar w:fldCharType="separate"/>
      </w:r>
      <w:r w:rsidR="0043325F" w:rsidRPr="00494D70">
        <w:rPr>
          <w:rFonts w:ascii="Times New Roman" w:hAnsi="Times New Roman" w:cs="Times New Roman"/>
          <w:sz w:val="24"/>
        </w:rPr>
        <w:t>(Gil-Llario et al., 2021; Lopez-Alvarado et al., 2022; Stulhofer et al., 2009)</w:t>
      </w:r>
      <w:r w:rsidR="00A65248" w:rsidRPr="00494D70">
        <w:rPr>
          <w:rFonts w:ascii="Times New Roman" w:eastAsia="Times New Roman" w:hAnsi="Times New Roman" w:cs="Times New Roman"/>
          <w:sz w:val="24"/>
          <w:szCs w:val="24"/>
        </w:rPr>
        <w:fldChar w:fldCharType="end"/>
      </w:r>
      <w:r w:rsidR="00B83142" w:rsidRPr="00494D70">
        <w:rPr>
          <w:rFonts w:ascii="Times New Roman" w:eastAsia="Times New Roman" w:hAnsi="Times New Roman" w:cs="Times New Roman"/>
          <w:sz w:val="24"/>
          <w:szCs w:val="24"/>
        </w:rPr>
        <w:t xml:space="preserve"> </w:t>
      </w:r>
      <w:r w:rsidRPr="00494D70">
        <w:rPr>
          <w:rFonts w:ascii="Times New Roman" w:eastAsia="Times New Roman" w:hAnsi="Times New Roman" w:cs="Times New Roman"/>
          <w:sz w:val="24"/>
          <w:szCs w:val="24"/>
        </w:rPr>
        <w:t xml:space="preserve">and </w:t>
      </w:r>
      <w:r w:rsidR="0058156B" w:rsidRPr="00494D70">
        <w:rPr>
          <w:rFonts w:ascii="Times New Roman" w:eastAsia="Times New Roman" w:hAnsi="Times New Roman" w:cs="Times New Roman"/>
          <w:sz w:val="24"/>
          <w:szCs w:val="24"/>
        </w:rPr>
        <w:t>suggest the possibility</w:t>
      </w:r>
      <w:r w:rsidRPr="00494D70">
        <w:rPr>
          <w:rFonts w:ascii="Times New Roman" w:eastAsia="Times New Roman" w:hAnsi="Times New Roman" w:cs="Times New Roman"/>
          <w:sz w:val="24"/>
          <w:szCs w:val="24"/>
        </w:rPr>
        <w:t xml:space="preserve"> of changing gender roles </w:t>
      </w:r>
      <w:r w:rsidR="00B83142" w:rsidRPr="00494D70">
        <w:rPr>
          <w:rFonts w:ascii="Times New Roman" w:eastAsia="Times New Roman" w:hAnsi="Times New Roman" w:cs="Times New Roman"/>
          <w:sz w:val="24"/>
          <w:szCs w:val="24"/>
        </w:rPr>
        <w:t xml:space="preserve">potentially </w:t>
      </w:r>
      <w:r w:rsidRPr="00494D70">
        <w:rPr>
          <w:rFonts w:ascii="Times New Roman" w:eastAsia="Times New Roman" w:hAnsi="Times New Roman" w:cs="Times New Roman"/>
          <w:sz w:val="24"/>
          <w:szCs w:val="24"/>
        </w:rPr>
        <w:t xml:space="preserve">affecting sexual dynamics. </w:t>
      </w:r>
      <w:r w:rsidR="00324167" w:rsidRPr="00494D70">
        <w:rPr>
          <w:rFonts w:ascii="Times New Roman" w:eastAsia="Times New Roman" w:hAnsi="Times New Roman" w:cs="Times New Roman"/>
          <w:sz w:val="24"/>
          <w:szCs w:val="24"/>
        </w:rPr>
        <w:t>However</w:t>
      </w:r>
      <w:r w:rsidR="00970FCC" w:rsidRPr="00494D70">
        <w:rPr>
          <w:rFonts w:ascii="Times New Roman" w:eastAsia="Times New Roman" w:hAnsi="Times New Roman" w:cs="Times New Roman"/>
          <w:sz w:val="24"/>
          <w:szCs w:val="24"/>
        </w:rPr>
        <w:t>,</w:t>
      </w:r>
      <w:r w:rsidRPr="00494D70">
        <w:rPr>
          <w:rFonts w:ascii="Times New Roman" w:eastAsia="Times New Roman" w:hAnsi="Times New Roman" w:cs="Times New Roman"/>
          <w:sz w:val="24"/>
          <w:szCs w:val="24"/>
        </w:rPr>
        <w:t xml:space="preserve"> it remains ambiguous as to how this lack of assertiveness is expressed, as it could manifest as either passivity and withdrawal, or alternatively as aggression and disregard for the needs and preferences of sexual partners. </w:t>
      </w:r>
      <w:r w:rsidR="00A05397" w:rsidRPr="00494D70">
        <w:rPr>
          <w:rFonts w:ascii="Times New Roman" w:eastAsia="Times New Roman" w:hAnsi="Times New Roman" w:cs="Times New Roman"/>
          <w:sz w:val="24"/>
          <w:szCs w:val="24"/>
        </w:rPr>
        <w:t>For example,</w:t>
      </w:r>
      <w:r w:rsidR="009B55D8" w:rsidRPr="00494D70">
        <w:rPr>
          <w:rFonts w:ascii="Times New Roman" w:eastAsia="Times New Roman" w:hAnsi="Times New Roman" w:cs="Times New Roman"/>
          <w:sz w:val="24"/>
          <w:szCs w:val="24"/>
        </w:rPr>
        <w:t xml:space="preserve"> </w:t>
      </w:r>
      <w:r w:rsidR="00370A1C" w:rsidRPr="00494D70">
        <w:rPr>
          <w:rFonts w:ascii="Times New Roman" w:eastAsia="Times New Roman" w:hAnsi="Times New Roman" w:cs="Times New Roman"/>
          <w:sz w:val="24"/>
          <w:szCs w:val="24"/>
        </w:rPr>
        <w:t xml:space="preserve">in </w:t>
      </w:r>
      <w:r w:rsidR="005A000D" w:rsidRPr="00494D70">
        <w:rPr>
          <w:rFonts w:ascii="Times New Roman" w:eastAsia="Times New Roman" w:hAnsi="Times New Roman" w:cs="Times New Roman"/>
          <w:sz w:val="24"/>
          <w:szCs w:val="24"/>
        </w:rPr>
        <w:t>some recent studies</w:t>
      </w:r>
      <w:r w:rsidR="006D2FE2" w:rsidRPr="00494D70">
        <w:rPr>
          <w:rFonts w:ascii="Times New Roman" w:eastAsia="Times New Roman" w:hAnsi="Times New Roman" w:cs="Times New Roman"/>
          <w:sz w:val="24"/>
          <w:szCs w:val="24"/>
        </w:rPr>
        <w:t>,</w:t>
      </w:r>
      <w:r w:rsidR="005A000D" w:rsidRPr="00494D70">
        <w:rPr>
          <w:rFonts w:ascii="Times New Roman" w:eastAsia="Times New Roman" w:hAnsi="Times New Roman" w:cs="Times New Roman"/>
          <w:sz w:val="24"/>
          <w:szCs w:val="24"/>
        </w:rPr>
        <w:t xml:space="preserve"> </w:t>
      </w:r>
      <w:r w:rsidR="009B55D8" w:rsidRPr="00494D70">
        <w:rPr>
          <w:rFonts w:ascii="Times New Roman" w:eastAsia="Times New Roman" w:hAnsi="Times New Roman" w:cs="Times New Roman"/>
          <w:sz w:val="24"/>
          <w:szCs w:val="24"/>
        </w:rPr>
        <w:t xml:space="preserve">lower assertiveness in men </w:t>
      </w:r>
      <w:r w:rsidR="0058156B" w:rsidRPr="00494D70">
        <w:rPr>
          <w:rFonts w:ascii="Times New Roman" w:eastAsia="Times New Roman" w:hAnsi="Times New Roman" w:cs="Times New Roman"/>
          <w:sz w:val="24"/>
          <w:szCs w:val="24"/>
        </w:rPr>
        <w:t xml:space="preserve">was </w:t>
      </w:r>
      <w:r w:rsidR="003566C6" w:rsidRPr="00494D70">
        <w:rPr>
          <w:rFonts w:ascii="Times New Roman" w:eastAsia="Times New Roman" w:hAnsi="Times New Roman" w:cs="Times New Roman"/>
          <w:sz w:val="24"/>
          <w:szCs w:val="24"/>
        </w:rPr>
        <w:t xml:space="preserve">associated with </w:t>
      </w:r>
      <w:r w:rsidR="00370A1C" w:rsidRPr="00494D70">
        <w:rPr>
          <w:rFonts w:ascii="Times New Roman" w:eastAsia="Times New Roman" w:hAnsi="Times New Roman" w:cs="Times New Roman"/>
          <w:sz w:val="24"/>
          <w:szCs w:val="24"/>
        </w:rPr>
        <w:t xml:space="preserve">both </w:t>
      </w:r>
      <w:r w:rsidRPr="00494D70">
        <w:rPr>
          <w:rFonts w:ascii="Times New Roman" w:eastAsia="Times New Roman" w:hAnsi="Times New Roman" w:cs="Times New Roman"/>
          <w:sz w:val="24"/>
          <w:szCs w:val="24"/>
        </w:rPr>
        <w:t>passive</w:t>
      </w:r>
      <w:r w:rsidR="005A3DDC" w:rsidRPr="00494D70">
        <w:rPr>
          <w:rFonts w:ascii="Times New Roman" w:eastAsia="Times New Roman" w:hAnsi="Times New Roman" w:cs="Times New Roman"/>
          <w:sz w:val="24"/>
          <w:szCs w:val="24"/>
        </w:rPr>
        <w:t xml:space="preserve">, withdrawing </w:t>
      </w:r>
      <w:r w:rsidR="00DF02BA" w:rsidRPr="00494D70">
        <w:rPr>
          <w:rFonts w:ascii="Times New Roman" w:eastAsia="Times New Roman" w:hAnsi="Times New Roman" w:cs="Times New Roman"/>
          <w:sz w:val="24"/>
          <w:szCs w:val="24"/>
        </w:rPr>
        <w:t>communication</w:t>
      </w:r>
      <w:r w:rsidR="005A3DDC" w:rsidRPr="00494D70">
        <w:rPr>
          <w:rFonts w:ascii="Times New Roman" w:eastAsia="Times New Roman" w:hAnsi="Times New Roman" w:cs="Times New Roman"/>
          <w:sz w:val="24"/>
          <w:szCs w:val="24"/>
        </w:rPr>
        <w:t xml:space="preserve"> due to sexual shame</w:t>
      </w:r>
      <w:r w:rsidRPr="00494D70">
        <w:rPr>
          <w:rFonts w:ascii="Times New Roman" w:eastAsia="Times New Roman" w:hAnsi="Times New Roman" w:cs="Times New Roman"/>
          <w:sz w:val="24"/>
          <w:szCs w:val="24"/>
        </w:rPr>
        <w:t>, and aggressive initiati</w:t>
      </w:r>
      <w:r w:rsidR="00631D4C" w:rsidRPr="00494D70">
        <w:rPr>
          <w:rFonts w:ascii="Times New Roman" w:eastAsia="Times New Roman" w:hAnsi="Times New Roman" w:cs="Times New Roman"/>
          <w:sz w:val="24"/>
          <w:szCs w:val="24"/>
        </w:rPr>
        <w:t>on</w:t>
      </w:r>
      <w:r w:rsidR="008C563A" w:rsidRPr="00494D70">
        <w:rPr>
          <w:rFonts w:ascii="Times New Roman" w:eastAsia="Times New Roman" w:hAnsi="Times New Roman" w:cs="Times New Roman"/>
          <w:sz w:val="24"/>
          <w:szCs w:val="24"/>
        </w:rPr>
        <w:t>,</w:t>
      </w:r>
      <w:r w:rsidR="005D6851" w:rsidRPr="00494D70">
        <w:rPr>
          <w:rFonts w:ascii="Times New Roman" w:eastAsia="Times New Roman" w:hAnsi="Times New Roman" w:cs="Times New Roman"/>
          <w:sz w:val="24"/>
          <w:szCs w:val="24"/>
        </w:rPr>
        <w:t xml:space="preserve"> or even </w:t>
      </w:r>
      <w:r w:rsidR="00DA411E" w:rsidRPr="00494D70">
        <w:rPr>
          <w:rFonts w:ascii="Times New Roman" w:eastAsia="Times New Roman" w:hAnsi="Times New Roman" w:cs="Times New Roman"/>
          <w:sz w:val="24"/>
          <w:szCs w:val="24"/>
        </w:rPr>
        <w:t>sexual coercion</w:t>
      </w:r>
      <w:r w:rsidR="00DB5A5A" w:rsidRPr="00494D70">
        <w:rPr>
          <w:rFonts w:ascii="Times New Roman" w:eastAsia="Times New Roman" w:hAnsi="Times New Roman" w:cs="Times New Roman"/>
          <w:sz w:val="24"/>
          <w:szCs w:val="24"/>
        </w:rPr>
        <w:t xml:space="preserve"> </w:t>
      </w:r>
      <w:r w:rsidR="00DB5A5A"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{"citationID":"uvTfW8k4","properties":{"formattedCitation":"(Gil-Llario et al., 2021; Lyons et al., 2022)","plainCitation":"(Gil-Llario et al., 2021; Lyons et al., 2022)","noteIndex":0},"citationItems":[{"id":3179,"uris":["http://zotero.org/users/7402913/items/W99U3RIN"],"itemData":{"id":3179,"type":"article-journal","abstract":"The potential consequences of being assertive or non-assertive for people’s sexual health and sexual well-being highlight the importance of assessing sexual assertiveness (SA). The currently available measures have limitations because they do not take recent social changes into account, they are designed to only assess women, and/or they ignore several components of SA. This study tests the psychometric properties of the Assertiveness in Sexual Relations Questionnaire (ASRQ).","container-title":"Sexuality Research and Social Policy","DOI":"10.1007/s13178-021-00630-6","ISSN":"1553-6610","journalAbbreviation":"Sex Res Soc Policy","language":"en","source":"Springer Link","title":"Development and Psychometric Properties of an Instrument for the Assessment of Assertiveness in Sexual Relations","URL":"https://doi.org/10.1007/s13178-021-00630-6","author":[{"family":"Gil-Llario","given":"María Dolores"},{"family":"Fernández-García","given":"Olga"},{"family":"Gil-Juliá","given":"Beatriz"},{"family":"Estruch-García","given":"Verónica"},{"family":"Ballester-Arnal","given":"Rafael"}],"accessed":{"date-parts":[["2022",3,30]]},"issued":{"date-parts":[["2021",8,3]]}}},{"id":3269,"uris":["http://zotero.org/users/7402913/items/AMDG9C8M"],"itemData":{"id":3269,"type":"article-journal","abstract":"Sexual coercion is a global problem that has been studied widely with regard to various characteristics of the perpetrators. The Dark Triad of personality (i.e., narcissism, Machiavellianism, and primary and secondary psychopathy) has been indicated as an important predictor of coercive cognitions and behaviors. In this study, we report findings of an online study (N = 208), exploring the relationship between sexual coercion, the Dark Triad, and sexual assertiveness (i.e., strategies for achieving sexual autonomy). We found that the Dark Triad was a stronger predictor of sexual coercion in men than in women. In men, all the Dark Triad components were significantly, positively correlated with sexual coercion, and narcissism and Machiavellianism had significant, negative correlations with sexual assertiveness. In women, only narcissism had a significant, positive correlation with sexual coercion, and the Dark Triad traits were not correlated with sexual assertiveness. In regression analyses, controlling for shared variance between the predictor variables, high secondary psychopathy, and low sexual assertiveness emerged as significant predictors of coercion in men. Only narcissism was a significant positive predictor in women. We discuss the results with a reference to evolutionary Life History theory.","container-title":"Journal of Interpersonal Violence","DOI":"10.1177/0886260520922346","ISSN":"0886-2605","issue":"7-8","language":"English","page":"NP4889-NP4904","title":"The Dark Triad and Sexual Assertiveness Predict Sexual Coercion Differently in Men and Women","volume":"37","author":[{"family":"Lyons","given":"Minna"},{"family":"Houghton","given":"Emma"},{"family":"Brewer","given":"Gayle"},{"family":"O'Brien","given":"Freya"}],"issued":{"date-parts":[["2022"]]}}}],"schema":"https://github.com/citation-style-language/schema/raw/master/csl-citation.json"} </w:instrText>
      </w:r>
      <w:r w:rsidR="00DB5A5A" w:rsidRPr="00494D70">
        <w:rPr>
          <w:rFonts w:ascii="Times New Roman" w:eastAsia="Times New Roman" w:hAnsi="Times New Roman" w:cs="Times New Roman"/>
          <w:sz w:val="24"/>
          <w:szCs w:val="24"/>
        </w:rPr>
        <w:fldChar w:fldCharType="separate"/>
      </w:r>
      <w:r w:rsidR="00DB5A5A" w:rsidRPr="00494D70">
        <w:rPr>
          <w:rFonts w:ascii="Times New Roman" w:hAnsi="Times New Roman" w:cs="Times New Roman"/>
          <w:sz w:val="24"/>
        </w:rPr>
        <w:t>(Gil-Llario et al., 2021; Lyons et al., 2022)</w:t>
      </w:r>
      <w:r w:rsidR="00DB5A5A" w:rsidRPr="00494D70">
        <w:rPr>
          <w:rFonts w:ascii="Times New Roman" w:eastAsia="Times New Roman" w:hAnsi="Times New Roman" w:cs="Times New Roman"/>
          <w:sz w:val="24"/>
          <w:szCs w:val="24"/>
        </w:rPr>
        <w:fldChar w:fldCharType="end"/>
      </w:r>
      <w:r w:rsidR="00EC58C8" w:rsidRPr="00494D70">
        <w:rPr>
          <w:rFonts w:ascii="Times New Roman" w:eastAsia="Times New Roman" w:hAnsi="Times New Roman" w:cs="Times New Roman"/>
          <w:sz w:val="24"/>
          <w:szCs w:val="24"/>
        </w:rPr>
        <w:t xml:space="preserve">. </w:t>
      </w:r>
      <w:r w:rsidRPr="00494D70">
        <w:rPr>
          <w:rFonts w:ascii="Times New Roman" w:eastAsia="Times New Roman" w:hAnsi="Times New Roman" w:cs="Times New Roman"/>
          <w:sz w:val="24"/>
          <w:szCs w:val="24"/>
        </w:rPr>
        <w:t xml:space="preserve">Another potential explanation for </w:t>
      </w:r>
      <w:r w:rsidR="005475DA" w:rsidRPr="00494D70">
        <w:rPr>
          <w:rFonts w:ascii="Times New Roman" w:eastAsia="Times New Roman" w:hAnsi="Times New Roman" w:cs="Times New Roman"/>
          <w:sz w:val="24"/>
          <w:szCs w:val="24"/>
        </w:rPr>
        <w:t>this finding</w:t>
      </w:r>
      <w:r w:rsidR="00721C0B" w:rsidRPr="00494D70">
        <w:rPr>
          <w:rFonts w:ascii="Times New Roman" w:eastAsia="Times New Roman" w:hAnsi="Times New Roman" w:cs="Times New Roman"/>
          <w:sz w:val="24"/>
          <w:szCs w:val="24"/>
        </w:rPr>
        <w:t xml:space="preserve"> </w:t>
      </w:r>
      <w:r w:rsidRPr="00494D70">
        <w:rPr>
          <w:rFonts w:ascii="Times New Roman" w:eastAsia="Times New Roman" w:hAnsi="Times New Roman" w:cs="Times New Roman"/>
          <w:sz w:val="24"/>
          <w:szCs w:val="24"/>
        </w:rPr>
        <w:t xml:space="preserve">is that certain aspects of SA, such as refusal and </w:t>
      </w:r>
      <w:r w:rsidRPr="00494D70">
        <w:rPr>
          <w:rFonts w:ascii="Times New Roman" w:eastAsia="Times New Roman" w:hAnsi="Times New Roman" w:cs="Times New Roman"/>
          <w:sz w:val="24"/>
          <w:szCs w:val="24"/>
        </w:rPr>
        <w:lastRenderedPageBreak/>
        <w:t xml:space="preserve">communication about risk, may be of greater importance for women than men as women are generally at higher risk of unwanted sexual contact and negative </w:t>
      </w:r>
      <w:r w:rsidR="0015294E" w:rsidRPr="00494D70">
        <w:rPr>
          <w:rFonts w:ascii="Times New Roman" w:eastAsia="Times New Roman" w:hAnsi="Times New Roman" w:cs="Times New Roman"/>
          <w:sz w:val="24"/>
          <w:szCs w:val="24"/>
        </w:rPr>
        <w:t xml:space="preserve">sexual and reproductive health </w:t>
      </w:r>
      <w:r w:rsidRPr="00494D70">
        <w:rPr>
          <w:rFonts w:ascii="Times New Roman" w:eastAsia="Times New Roman" w:hAnsi="Times New Roman" w:cs="Times New Roman"/>
          <w:sz w:val="24"/>
          <w:szCs w:val="24"/>
        </w:rPr>
        <w:t>outcomes</w:t>
      </w:r>
      <w:r w:rsidR="0015294E" w:rsidRPr="00494D70">
        <w:rPr>
          <w:rFonts w:ascii="Times New Roman" w:eastAsia="Times New Roman" w:hAnsi="Times New Roman" w:cs="Times New Roman"/>
          <w:sz w:val="24"/>
          <w:szCs w:val="24"/>
        </w:rPr>
        <w:t>.</w:t>
      </w:r>
      <w:r w:rsidR="001430A4" w:rsidRPr="00494D70" w:rsidDel="001430A4">
        <w:rPr>
          <w:rFonts w:ascii="Times New Roman" w:eastAsia="Times New Roman" w:hAnsi="Times New Roman" w:cs="Times New Roman"/>
          <w:sz w:val="24"/>
          <w:szCs w:val="24"/>
        </w:rPr>
        <w:t xml:space="preserve"> </w:t>
      </w:r>
      <w:r w:rsidR="00D07F20" w:rsidRPr="00494D70">
        <w:rPr>
          <w:rFonts w:ascii="Times New Roman" w:eastAsia="Times New Roman" w:hAnsi="Times New Roman" w:cs="Times New Roman"/>
          <w:sz w:val="24"/>
          <w:szCs w:val="24"/>
        </w:rPr>
        <w:t xml:space="preserve">Supporting this notion, </w:t>
      </w:r>
      <w:r w:rsidR="0000151F" w:rsidRPr="00494D70">
        <w:rPr>
          <w:rFonts w:ascii="Times New Roman" w:eastAsia="Times New Roman" w:hAnsi="Times New Roman" w:cs="Times New Roman"/>
          <w:sz w:val="24"/>
          <w:szCs w:val="24"/>
        </w:rPr>
        <w:t xml:space="preserve">a </w:t>
      </w:r>
      <w:r w:rsidR="00CE486B" w:rsidRPr="00494D70">
        <w:rPr>
          <w:rFonts w:ascii="Times New Roman" w:eastAsia="Times New Roman" w:hAnsi="Times New Roman" w:cs="Times New Roman"/>
          <w:sz w:val="24"/>
          <w:szCs w:val="24"/>
        </w:rPr>
        <w:t xml:space="preserve">study </w:t>
      </w:r>
      <w:r w:rsidR="005C4A77" w:rsidRPr="00494D70">
        <w:rPr>
          <w:rFonts w:ascii="Times New Roman" w:eastAsia="Times New Roman" w:hAnsi="Times New Roman" w:cs="Times New Roman"/>
          <w:sz w:val="24"/>
          <w:szCs w:val="24"/>
        </w:rPr>
        <w:t xml:space="preserve">reported that </w:t>
      </w:r>
      <w:r w:rsidR="00DA257F" w:rsidRPr="00494D70">
        <w:rPr>
          <w:rFonts w:ascii="Times New Roman" w:eastAsia="Times New Roman" w:hAnsi="Times New Roman" w:cs="Times New Roman"/>
          <w:sz w:val="24"/>
          <w:szCs w:val="24"/>
        </w:rPr>
        <w:t xml:space="preserve">higher SA was associated with </w:t>
      </w:r>
      <w:r w:rsidR="00CE486B" w:rsidRPr="00494D70">
        <w:rPr>
          <w:rFonts w:ascii="Times New Roman" w:eastAsia="Times New Roman" w:hAnsi="Times New Roman" w:cs="Times New Roman"/>
          <w:sz w:val="24"/>
          <w:szCs w:val="24"/>
        </w:rPr>
        <w:t>better general mental well-being</w:t>
      </w:r>
      <w:r w:rsidR="00315289" w:rsidRPr="00494D70">
        <w:rPr>
          <w:rFonts w:ascii="Times New Roman" w:eastAsia="Times New Roman" w:hAnsi="Times New Roman" w:cs="Times New Roman"/>
          <w:sz w:val="24"/>
          <w:szCs w:val="24"/>
        </w:rPr>
        <w:t xml:space="preserve">, </w:t>
      </w:r>
      <w:r w:rsidR="003403B3" w:rsidRPr="00494D70">
        <w:rPr>
          <w:rFonts w:ascii="Times New Roman" w:eastAsia="Times New Roman" w:hAnsi="Times New Roman" w:cs="Times New Roman"/>
          <w:sz w:val="24"/>
          <w:szCs w:val="24"/>
        </w:rPr>
        <w:t>and</w:t>
      </w:r>
      <w:r w:rsidR="00315289" w:rsidRPr="00494D70">
        <w:rPr>
          <w:rFonts w:ascii="Times New Roman" w:eastAsia="Times New Roman" w:hAnsi="Times New Roman" w:cs="Times New Roman"/>
          <w:sz w:val="24"/>
          <w:szCs w:val="24"/>
        </w:rPr>
        <w:t xml:space="preserve"> </w:t>
      </w:r>
      <w:r w:rsidR="00A02318" w:rsidRPr="00494D70">
        <w:rPr>
          <w:rFonts w:ascii="Times New Roman" w:eastAsia="Times New Roman" w:hAnsi="Times New Roman" w:cs="Times New Roman"/>
          <w:sz w:val="24"/>
          <w:szCs w:val="24"/>
        </w:rPr>
        <w:t xml:space="preserve">higher </w:t>
      </w:r>
      <w:r w:rsidR="00CE486B" w:rsidRPr="00494D70">
        <w:rPr>
          <w:rFonts w:ascii="Times New Roman" w:eastAsia="Times New Roman" w:hAnsi="Times New Roman" w:cs="Times New Roman"/>
          <w:sz w:val="24"/>
          <w:szCs w:val="24"/>
        </w:rPr>
        <w:t>relationship satisfaction</w:t>
      </w:r>
      <w:r w:rsidR="004E522B" w:rsidRPr="00494D70">
        <w:rPr>
          <w:rFonts w:ascii="Times New Roman" w:eastAsia="Times New Roman" w:hAnsi="Times New Roman" w:cs="Times New Roman"/>
          <w:sz w:val="24"/>
          <w:szCs w:val="24"/>
        </w:rPr>
        <w:t xml:space="preserve"> in women,</w:t>
      </w:r>
      <w:r w:rsidR="00CE486B" w:rsidRPr="00494D70">
        <w:rPr>
          <w:rFonts w:ascii="Times New Roman" w:eastAsia="Times New Roman" w:hAnsi="Times New Roman" w:cs="Times New Roman"/>
          <w:sz w:val="24"/>
          <w:szCs w:val="24"/>
        </w:rPr>
        <w:t xml:space="preserve"> but not in men</w:t>
      </w:r>
      <w:r w:rsidR="007708B9" w:rsidRPr="00494D70">
        <w:rPr>
          <w:rFonts w:ascii="Times New Roman" w:eastAsia="Times New Roman" w:hAnsi="Times New Roman" w:cs="Times New Roman"/>
          <w:sz w:val="24"/>
          <w:szCs w:val="24"/>
        </w:rPr>
        <w:t xml:space="preserve"> </w:t>
      </w:r>
      <w:r w:rsidR="007708B9"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{"citationID":"g2YtDIx8","properties":{"formattedCitation":"(Lopez-Alvarado et al., 2022)","plainCitation":"(Lopez-Alvarado et al., 2022)","noteIndex":0},"citationItems":[{"id":4926,"uris":["http://zotero.org/users/7402913/items/H37XNI6U"],"itemData":{"id":4926,"type":"article-journal","abstract":"Objective: Sexual assertiveness (SA), i.e., the ability to communicate thoughts and desires that may be translated into satisfying sexual activity within an intimate relationship, is important for safe and satisfying sexual behavior. In an attempt to unravel which cultural, relational, and individual variables are related to the development of SA in emerging adults, an exploratory study was conducted in Cuenca, Ecuador. Methods: Five hundred and thirty-eight participants completed scales that measured their levels of SA, endorsement of the sexual double standard, relationship satisfaction, and mental well-being. Results: This study showed a negative effect of the sexual double standard on SA in both men and women and this effect was slightly tempered by the level of education. Women reported higher levels of SA than men. In women, SA was associated with general mental well-being and relationship satisfaction; but not in men. For both women and men, no association was found with relationship status or duration. Conclusions: These findings corroborate evidence highlighting the importance of SA for healthy sexual relationships and emphasize the importance of (sex) education for SA for lower educated women and men. The results are discussed in relation to findings on SA in other contexts.","archive_location":"WOS:000834908700001","container-title":"International Journal of Sexual Health","DOI":"10.1080/19317611.2022.2106527","ISSN":"1931-7611","issue":"4","language":"English","page":"679-690","title":"Sexual Assertiveness and Its Correlates in Emerging Adults: An Exploratory Study in Cuenca (Ecuador)","volume":"34","author":[{"family":"Lopez-Alvarado","given":"S"},{"family":"Prekatsounaki","given":"S"},{"family":"Van Parys","given":"H"},{"family":"Enzlin","given":"P"}],"issued":{"date-parts":[["2022",10,2]]}}}],"schema":"https://github.com/citation-style-language/schema/raw/master/csl-citation.json"} </w:instrText>
      </w:r>
      <w:r w:rsidR="007708B9" w:rsidRPr="00494D70">
        <w:rPr>
          <w:rFonts w:ascii="Times New Roman" w:eastAsia="Times New Roman" w:hAnsi="Times New Roman" w:cs="Times New Roman"/>
          <w:sz w:val="24"/>
          <w:szCs w:val="24"/>
        </w:rPr>
        <w:fldChar w:fldCharType="separate"/>
      </w:r>
      <w:r w:rsidR="007708B9" w:rsidRPr="00494D70">
        <w:rPr>
          <w:rFonts w:ascii="Times New Roman" w:hAnsi="Times New Roman" w:cs="Times New Roman"/>
          <w:sz w:val="24"/>
        </w:rPr>
        <w:t>(Lopez-Alvarado et al., 2022)</w:t>
      </w:r>
      <w:r w:rsidR="007708B9" w:rsidRPr="00494D70">
        <w:rPr>
          <w:rFonts w:ascii="Times New Roman" w:eastAsia="Times New Roman" w:hAnsi="Times New Roman" w:cs="Times New Roman"/>
          <w:sz w:val="24"/>
          <w:szCs w:val="24"/>
        </w:rPr>
        <w:fldChar w:fldCharType="end"/>
      </w:r>
      <w:r w:rsidR="005861C2" w:rsidRPr="00494D70">
        <w:rPr>
          <w:rFonts w:ascii="Times New Roman" w:eastAsia="Times New Roman" w:hAnsi="Times New Roman" w:cs="Times New Roman"/>
          <w:sz w:val="24"/>
          <w:szCs w:val="24"/>
        </w:rPr>
        <w:t xml:space="preserve">. This </w:t>
      </w:r>
      <w:r w:rsidR="00EC0551" w:rsidRPr="00494D70">
        <w:rPr>
          <w:rFonts w:ascii="Times New Roman" w:eastAsia="Times New Roman" w:hAnsi="Times New Roman" w:cs="Times New Roman"/>
          <w:sz w:val="24"/>
          <w:szCs w:val="24"/>
        </w:rPr>
        <w:t>impl</w:t>
      </w:r>
      <w:r w:rsidR="003403B3" w:rsidRPr="00494D70">
        <w:rPr>
          <w:rFonts w:ascii="Times New Roman" w:eastAsia="Times New Roman" w:hAnsi="Times New Roman" w:cs="Times New Roman"/>
          <w:sz w:val="24"/>
          <w:szCs w:val="24"/>
        </w:rPr>
        <w:t>ies</w:t>
      </w:r>
      <w:r w:rsidR="00A02318" w:rsidRPr="00494D70">
        <w:rPr>
          <w:rFonts w:ascii="Times New Roman" w:eastAsia="Times New Roman" w:hAnsi="Times New Roman" w:cs="Times New Roman"/>
          <w:sz w:val="24"/>
          <w:szCs w:val="24"/>
        </w:rPr>
        <w:t xml:space="preserve"> that SA </w:t>
      </w:r>
      <w:r w:rsidR="005861C2" w:rsidRPr="00494D70">
        <w:rPr>
          <w:rFonts w:ascii="Times New Roman" w:eastAsia="Times New Roman" w:hAnsi="Times New Roman" w:cs="Times New Roman"/>
          <w:sz w:val="24"/>
          <w:szCs w:val="24"/>
        </w:rPr>
        <w:t xml:space="preserve">may be more important for the </w:t>
      </w:r>
      <w:r w:rsidR="003403B3" w:rsidRPr="00494D70">
        <w:rPr>
          <w:rFonts w:ascii="Times New Roman" w:eastAsia="Times New Roman" w:hAnsi="Times New Roman" w:cs="Times New Roman"/>
          <w:sz w:val="24"/>
          <w:szCs w:val="24"/>
        </w:rPr>
        <w:t xml:space="preserve">mental and relational well-being </w:t>
      </w:r>
      <w:r w:rsidR="0068752E" w:rsidRPr="00494D70">
        <w:rPr>
          <w:rFonts w:ascii="Times New Roman" w:eastAsia="Times New Roman" w:hAnsi="Times New Roman" w:cs="Times New Roman"/>
          <w:sz w:val="24"/>
          <w:szCs w:val="24"/>
        </w:rPr>
        <w:t xml:space="preserve">of women than men. </w:t>
      </w:r>
      <w:r w:rsidR="00BC167E" w:rsidRPr="00494D70">
        <w:rPr>
          <w:rFonts w:ascii="Times New Roman" w:eastAsia="Times New Roman" w:hAnsi="Times New Roman" w:cs="Times New Roman"/>
          <w:sz w:val="24"/>
          <w:szCs w:val="24"/>
        </w:rPr>
        <w:t>We speculate that a</w:t>
      </w:r>
      <w:r w:rsidR="008165B6" w:rsidRPr="00494D70">
        <w:rPr>
          <w:rFonts w:ascii="Times New Roman" w:eastAsia="Times New Roman" w:hAnsi="Times New Roman" w:cs="Times New Roman"/>
          <w:sz w:val="24"/>
          <w:szCs w:val="24"/>
        </w:rPr>
        <w:t xml:space="preserve"> similar </w:t>
      </w:r>
      <w:r w:rsidR="00131B86" w:rsidRPr="00494D70">
        <w:rPr>
          <w:rFonts w:ascii="Times New Roman" w:eastAsia="Times New Roman" w:hAnsi="Times New Roman" w:cs="Times New Roman"/>
          <w:sz w:val="24"/>
          <w:szCs w:val="24"/>
        </w:rPr>
        <w:t xml:space="preserve">mechanism may explain the higher levels of SA observed </w:t>
      </w:r>
      <w:r w:rsidR="0070248B" w:rsidRPr="00494D70">
        <w:rPr>
          <w:rFonts w:ascii="Times New Roman" w:eastAsia="Times New Roman" w:hAnsi="Times New Roman" w:cs="Times New Roman"/>
          <w:sz w:val="24"/>
          <w:szCs w:val="24"/>
        </w:rPr>
        <w:t>in</w:t>
      </w:r>
      <w:r w:rsidR="00131B86" w:rsidRPr="00494D70">
        <w:rPr>
          <w:rFonts w:ascii="Times New Roman" w:eastAsia="Times New Roman" w:hAnsi="Times New Roman" w:cs="Times New Roman"/>
          <w:sz w:val="24"/>
          <w:szCs w:val="24"/>
        </w:rPr>
        <w:t xml:space="preserve"> gender-diverse </w:t>
      </w:r>
      <w:r w:rsidR="0032253E" w:rsidRPr="00494D70">
        <w:rPr>
          <w:rFonts w:ascii="Times New Roman" w:eastAsia="Times New Roman" w:hAnsi="Times New Roman" w:cs="Times New Roman"/>
          <w:sz w:val="24"/>
          <w:szCs w:val="24"/>
        </w:rPr>
        <w:t xml:space="preserve">and </w:t>
      </w:r>
      <w:proofErr w:type="spellStart"/>
      <w:r w:rsidR="006B76F2" w:rsidRPr="00494D70">
        <w:rPr>
          <w:rFonts w:ascii="Times New Roman" w:eastAsia="Times New Roman" w:hAnsi="Times New Roman" w:cs="Times New Roman"/>
          <w:sz w:val="24"/>
          <w:szCs w:val="24"/>
        </w:rPr>
        <w:t>multisexual</w:t>
      </w:r>
      <w:proofErr w:type="spellEnd"/>
      <w:r w:rsidR="006B76F2" w:rsidRPr="00494D70">
        <w:rPr>
          <w:rFonts w:ascii="Times New Roman" w:eastAsia="Times New Roman" w:hAnsi="Times New Roman" w:cs="Times New Roman"/>
          <w:sz w:val="24"/>
          <w:szCs w:val="24"/>
        </w:rPr>
        <w:t xml:space="preserve"> </w:t>
      </w:r>
      <w:r w:rsidR="0087489A" w:rsidRPr="00494D70">
        <w:rPr>
          <w:rFonts w:ascii="Times New Roman" w:eastAsia="Times New Roman" w:hAnsi="Times New Roman" w:cs="Times New Roman"/>
          <w:sz w:val="24"/>
          <w:szCs w:val="24"/>
        </w:rPr>
        <w:t xml:space="preserve">individuals </w:t>
      </w:r>
      <w:r w:rsidR="0081566F" w:rsidRPr="00494D70">
        <w:rPr>
          <w:rFonts w:ascii="Times New Roman" w:eastAsia="Times New Roman" w:hAnsi="Times New Roman" w:cs="Times New Roman"/>
          <w:sz w:val="24"/>
          <w:szCs w:val="24"/>
        </w:rPr>
        <w:t xml:space="preserve">as </w:t>
      </w:r>
      <w:r w:rsidR="00494902" w:rsidRPr="00494D70">
        <w:rPr>
          <w:rFonts w:ascii="Times New Roman" w:eastAsia="Times New Roman" w:hAnsi="Times New Roman" w:cs="Times New Roman"/>
          <w:sz w:val="24"/>
          <w:szCs w:val="24"/>
        </w:rPr>
        <w:t xml:space="preserve">they </w:t>
      </w:r>
      <w:r w:rsidR="001D7FA4" w:rsidRPr="00494D70">
        <w:rPr>
          <w:rFonts w:ascii="Times New Roman" w:eastAsia="Times New Roman" w:hAnsi="Times New Roman" w:cs="Times New Roman"/>
          <w:sz w:val="24"/>
          <w:szCs w:val="24"/>
        </w:rPr>
        <w:t>have</w:t>
      </w:r>
      <w:r w:rsidR="00494902" w:rsidRPr="00494D70">
        <w:rPr>
          <w:rFonts w:ascii="Times New Roman" w:eastAsia="Times New Roman" w:hAnsi="Times New Roman" w:cs="Times New Roman"/>
          <w:sz w:val="24"/>
          <w:szCs w:val="24"/>
        </w:rPr>
        <w:t xml:space="preserve"> </w:t>
      </w:r>
      <w:r w:rsidR="001D7FA4" w:rsidRPr="00494D70">
        <w:rPr>
          <w:rFonts w:ascii="Times New Roman" w:eastAsia="Times New Roman" w:hAnsi="Times New Roman" w:cs="Times New Roman"/>
          <w:sz w:val="24"/>
          <w:szCs w:val="24"/>
        </w:rPr>
        <w:t xml:space="preserve">been </w:t>
      </w:r>
      <w:r w:rsidR="00494902" w:rsidRPr="00494D70">
        <w:rPr>
          <w:rFonts w:ascii="Times New Roman" w:eastAsia="Times New Roman" w:hAnsi="Times New Roman" w:cs="Times New Roman"/>
          <w:sz w:val="24"/>
          <w:szCs w:val="24"/>
        </w:rPr>
        <w:t>shown to be at greater risk of sexual coercion and intimate partner violence</w:t>
      </w:r>
      <w:r w:rsidR="0087489A" w:rsidRPr="00494D70">
        <w:rPr>
          <w:rFonts w:ascii="Times New Roman" w:eastAsia="Times New Roman" w:hAnsi="Times New Roman" w:cs="Times New Roman"/>
          <w:sz w:val="24"/>
          <w:szCs w:val="24"/>
        </w:rPr>
        <w:t xml:space="preserve"> </w:t>
      </w:r>
      <w:r w:rsidR="0087489A"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{"citationID":"E1dvWhvy","properties":{"formattedCitation":"(T. N. T. Brown &amp; Herman, 2015; Dworkin et al., 2021; Rothman et al., 2011; Scandurra et al., 2019)","plainCitation":"(T. N. T. Brown &amp; Herman, 2015; Dworkin et al., 2021; Rothman et al., 2011; Scandurra et al., 2019)","noteIndex":0},"citationItems":[{"id":5339,"uris":["http://zotero.org/users/7402913/items/QTXSASTE"],"itemData":{"id":5339,"type":"report","publisher":"The Williams Institute at UCLA School of Law","source":"JSTOR","title":"Intimate Partner Violence and Sexual Abuse Among Lgbt People: A Review of Existing Research","title-short":"Intimate Partner Violence and Sexual Abuse Among Lgbt People","URL":"https://www.jstor.org/stable/resrep34896","author":[{"family":"Brown","given":"Taylor N.T."},{"family":"Herman","given":"Jody L."}],"accessed":{"date-parts":[["2023",7,25]]},"issued":{"date-parts":[["2015"]]}}},{"id":5275,"uris":["http://zotero.org/users/7402913/items/W48V65QX"],"itemData":{"id":5275,"type":"article-journal","abstract":"Objective: We present a review of peer-reviewed English-language studies conducted outside the United States and Canada on the prevalence of sexual assault victimization in adolescence and adulthood published since 2010. Method: A systematic literature search yielded 32 articles reporting on 45 studies from 29 countries. Studies that only provided prevalence estimates for sexual assault in intimate relationships or did not present separate rates for men and women were excluded. All studies were coded by two coders, and a risk of bias score was calculated for each study. Both past-year and prevalence rates covering longer periods were extracted. Results: The largest number of studies came from Europe (n = 21), followed by Africa (n = 11), Asia, and Latin America (n = 6 each). One study came from the Middle East and no studies were found from Oceania. Across the 22 studies that reported past-year prevalence rates, figures ranged from 0% to 59.2% for women, 0.3% to 55.5% for men, and 1.5% to 18.2% for lesbian, gay, bisexual, and transgender (LGBT) samples. The average risk of bias score was 5.7 out of 10. Studies varied widely in methodology. Conclusion: Despite regional variation, most studies indicate that sexual assault is widespread. More sustained, systematic, and coordinated research efforts are needed to gauge the scale of sexual assault in different parts of the world and to develop prevention measures. (PsycInfo Database Record (c) 2021 APA, all rights reserved)","container-title":"Psychology of Violence","DOI":"10.1037/vio0000374","ISSN":"2152-081X","issue":"5","note":"publisher-place: US\npublisher: Educational Publishing Foundation","page":"497-508","source":"APA PsycNet","title":"The global prevalence of sexual assault: A systematic review of international research since 2010","title-short":"The global prevalence of sexual assault","volume":"11","author":[{"family":"Dworkin","given":"Emily R."},{"family":"Krahé","given":"Barbara"},{"family":"Zinzow","given":"Heidi"}],"issued":{"date-parts":[["2021"]]}}},{"id":5267,"uris":["http://zotero.org/users/7402913/items/WNFR2LIP"],"itemData":{"id":5267,"type":"article-journal","abstract":"This article systematically reviews 75 studies that examine the prevalence of sexual assault victimization among gay or bisexual (GB) men, and lesbian or bisexual (LB) women, in the United States. All studies were published between 1989 and 2009 and report the results of quantitative research. The authors reviewed the reported prevalence of lifetime sexual assault victimization (LSA), and where available, childhood sexual assault (CSA), adult sexual assault (ASA), intimate partner sexual assault (IPSA), and hate crime-related sexual assault (HC). The studies were grouped into those that used a probability or census sampling technique (n = 25) and those that used a non-probability or ‘‘community-based’’ sampling technique (n = 50). A total of 139,635 gay, lesbian, and bisexual (GLB) respondents participated in the underlying studies reviewed. Prevalence estimates of LSA ranged from 15.6-85.0% for LB women and 11.8—54.0% for GB men. Considering the median estimates derived from the collective set of studies reviewed, LB women were more likely to report CSA, ASA, LSA, and IPSA than GB men, whereas GB men were more likely to report HC than LB women. Across all studies, the highest estimates reported were for LSA of LB women (85.0%), CSA of LB women (76.0%), and CSA of GB men (59.2%). With some exceptions, studies using non-probability samples reported higher sexual assault prevalence rates than did population-based or census sample studies. The challenges of assessing sexual assault victimization with GLB populations are discussed, as well as the implications for practice, policy, and future research.","container-title":"Trauma, Violence, &amp; Abuse","DOI":"10.1177/1524838010390707","ISSN":"1524-8380","issue":"2","language":"en","note":"publisher: SAGE Publications","page":"55-66","source":"SAGE Journals","title":"The Prevalence of Sexual Assault Against People Who Identify as Gay, Lesbian, or Bisexual in the United States: A Systematic Review","title-short":"The Prevalence of Sexual Assault Against People Who Identify as Gay, Lesbian, or Bisexual in the United States","volume":"12","author":[{"family":"Rothman","given":"Emily F."},{"family":"Exner","given":"Deinera"},{"family":"Baughman","given":"Allyson L."}],"issued":{"date-parts":[["2011",4,1]]}}},{"id":5467,"uris":["http://zotero.org/users/7402913/items/8JKNAC3E"],"itemData":{"id":5467,"type":"article-journal","abstract":"Background: Non-binary and genderqueer (NBGQ) people are those who do not identify within the gender binary system (male vs. female), not falling exclusively in man/male or woman/female normative categories. A higher proportion of NBGQ people is usually found within young persons. This population is marginalized and, as such, is at risk of stigmatization and of developing negative health outcomes. As literature on the health of NBGQ people is sparse, this study aims at systematically review the limited studies on this field. Methods: The research questions which guided the systematic review were: (1) What are the differences in the health levels between NBGQ and binary transgender (BT) individuals? (2) What are the differences in the health levels between NBGQ and cisgender individuals? (3) Which medical and psychological interventions are most suitable for improving NBGQ health? According to PRISMA guidelines, a systematic search was conducted in PubMed, PsycInfo, Web of Science, and Google Scholar. Results: Eleven studies met the inclusion criteria for the current systematic review. Among them, 9 were focused on the health differences between NBGQ and BT individuals, 4 of the latter and 1 individually were focused on the health differences between NBGQ and cisgender individuals, and 1 was focused on the evaluation of health outcomes related to medical procedures. No studies assessed psychological interventions aimed at improving health in NBGQ individuals. All studies were cross-sectional, did not generally recruit a large sample of NBGQ individuals, and used non-probability sample design. Results related to the difference in health between NBGQ and BT were mixed; indeed, some found a better health status while others a worse one. Results related to the differences in health between NBGQ and cisgender highlighted higher health needs in NBGQ than in BT individuals. The only study analyzing the effects of medical interventions on health found that NBGQ female-assigned at birth individuals improved their quality of life after chest surgery. Conclusions: Although scholars are starting to pay attention to the NBGQ health, research needs to be expanded both in terms of methodology and research contents. Clinical, health-related social policies, and research recommendations in this field are reported.","container-title":"Frontiers in Psychology","DOI":"10.3389/fpsyg.2019.01453","ISSN":"1664-1078","journalAbbreviation":"Front Psychol","language":"eng","note":"PMID: 31293486\nPMCID: PMC6603217","page":"1453","source":"PubMed","title":"Health of Non-binary and Genderqueer People: A Systematic Review","title-short":"Health of Non-binary and Genderqueer People","volume":"10","author":[{"family":"Scandurra","given":"Cristiano"},{"family":"Mezza","given":"Fabrizio"},{"family":"Maldonato","given":"Nelson Mauro"},{"family":"Bottone","given":"Mario"},{"family":"Bochicchio","given":"Vincenzo"},{"family":"Valerio","given":"Paolo"},{"family":"Vitelli","given":"Roberto"}],"issued":{"date-parts":[["2019"]]}}}],"schema":"https://github.com/citation-style-language/schema/raw/master/csl-citation.json"} </w:instrText>
      </w:r>
      <w:r w:rsidR="0087489A" w:rsidRPr="00494D70">
        <w:rPr>
          <w:rFonts w:ascii="Times New Roman" w:eastAsia="Times New Roman" w:hAnsi="Times New Roman" w:cs="Times New Roman"/>
          <w:sz w:val="24"/>
          <w:szCs w:val="24"/>
        </w:rPr>
        <w:fldChar w:fldCharType="separate"/>
      </w:r>
      <w:r w:rsidR="0087489A" w:rsidRPr="00494D70">
        <w:rPr>
          <w:rFonts w:ascii="Times New Roman" w:hAnsi="Times New Roman" w:cs="Times New Roman"/>
          <w:sz w:val="24"/>
        </w:rPr>
        <w:t>(T. N. T. Brown &amp; Herman, 2015; Dworkin et al., 2021; Rothman et al., 2011; Scandurra et al., 2019)</w:t>
      </w:r>
      <w:r w:rsidR="0087489A" w:rsidRPr="00494D70">
        <w:rPr>
          <w:rFonts w:ascii="Times New Roman" w:eastAsia="Times New Roman" w:hAnsi="Times New Roman" w:cs="Times New Roman"/>
          <w:sz w:val="24"/>
          <w:szCs w:val="24"/>
        </w:rPr>
        <w:fldChar w:fldCharType="end"/>
      </w:r>
      <w:r w:rsidR="006B76F2" w:rsidRPr="00494D70">
        <w:rPr>
          <w:rFonts w:ascii="Times New Roman" w:eastAsia="Times New Roman" w:hAnsi="Times New Roman" w:cs="Times New Roman"/>
          <w:sz w:val="24"/>
          <w:szCs w:val="24"/>
        </w:rPr>
        <w:t>.</w:t>
      </w:r>
    </w:p>
    <w:p w14:paraId="38845255" w14:textId="6B3BD654" w:rsidR="0086480C" w:rsidRPr="00494D70" w:rsidRDefault="0086480C" w:rsidP="000B124E">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t xml:space="preserve">To date, no prior comparative study has examined </w:t>
      </w:r>
      <w:r w:rsidR="0058156B" w:rsidRPr="00494D70">
        <w:rPr>
          <w:rFonts w:ascii="Times New Roman" w:eastAsia="Times New Roman" w:hAnsi="Times New Roman" w:cs="Times New Roman"/>
          <w:sz w:val="24"/>
          <w:szCs w:val="24"/>
        </w:rPr>
        <w:t>SA</w:t>
      </w:r>
      <w:r w:rsidRPr="00494D70">
        <w:rPr>
          <w:rFonts w:ascii="Times New Roman" w:eastAsia="Times New Roman" w:hAnsi="Times New Roman" w:cs="Times New Roman"/>
          <w:sz w:val="24"/>
          <w:szCs w:val="24"/>
        </w:rPr>
        <w:t xml:space="preserve"> across different sexual orientations. Our finding</w:t>
      </w:r>
      <w:r w:rsidR="00D40CD3" w:rsidRPr="00494D70">
        <w:rPr>
          <w:rFonts w:ascii="Times New Roman" w:eastAsia="Times New Roman" w:hAnsi="Times New Roman" w:cs="Times New Roman"/>
          <w:sz w:val="24"/>
          <w:szCs w:val="24"/>
        </w:rPr>
        <w:t>s</w:t>
      </w:r>
      <w:r w:rsidRPr="00494D70">
        <w:rPr>
          <w:rFonts w:ascii="Times New Roman" w:eastAsia="Times New Roman" w:hAnsi="Times New Roman" w:cs="Times New Roman"/>
          <w:sz w:val="24"/>
          <w:szCs w:val="24"/>
        </w:rPr>
        <w:t xml:space="preserve"> suggest that individuals who identify as asexual or </w:t>
      </w:r>
      <w:r w:rsidR="00E470AE" w:rsidRPr="00494D70">
        <w:rPr>
          <w:rFonts w:ascii="Times New Roman" w:eastAsia="Times New Roman" w:hAnsi="Times New Roman" w:cs="Times New Roman"/>
          <w:sz w:val="24"/>
          <w:szCs w:val="24"/>
        </w:rPr>
        <w:t>were</w:t>
      </w:r>
      <w:r w:rsidRPr="00494D70">
        <w:rPr>
          <w:rFonts w:ascii="Times New Roman" w:eastAsia="Times New Roman" w:hAnsi="Times New Roman" w:cs="Times New Roman"/>
          <w:sz w:val="24"/>
          <w:szCs w:val="24"/>
        </w:rPr>
        <w:t xml:space="preserve"> unsure about their sexual orientation exhibit</w:t>
      </w:r>
      <w:r w:rsidR="003F035C" w:rsidRPr="00494D70">
        <w:rPr>
          <w:rFonts w:ascii="Times New Roman" w:eastAsia="Times New Roman" w:hAnsi="Times New Roman" w:cs="Times New Roman"/>
          <w:sz w:val="24"/>
          <w:szCs w:val="24"/>
        </w:rPr>
        <w:t>ed</w:t>
      </w:r>
      <w:r w:rsidRPr="00494D70">
        <w:rPr>
          <w:rFonts w:ascii="Times New Roman" w:eastAsia="Times New Roman" w:hAnsi="Times New Roman" w:cs="Times New Roman"/>
          <w:sz w:val="24"/>
          <w:szCs w:val="24"/>
        </w:rPr>
        <w:t xml:space="preserve"> </w:t>
      </w:r>
      <w:r w:rsidR="0058156B" w:rsidRPr="00494D70">
        <w:rPr>
          <w:rFonts w:ascii="Times New Roman" w:eastAsia="Times New Roman" w:hAnsi="Times New Roman" w:cs="Times New Roman"/>
          <w:sz w:val="24"/>
          <w:szCs w:val="24"/>
        </w:rPr>
        <w:t xml:space="preserve">particularly </w:t>
      </w:r>
      <w:r w:rsidRPr="00494D70">
        <w:rPr>
          <w:rFonts w:ascii="Times New Roman" w:eastAsia="Times New Roman" w:hAnsi="Times New Roman" w:cs="Times New Roman"/>
          <w:sz w:val="24"/>
          <w:szCs w:val="24"/>
        </w:rPr>
        <w:t xml:space="preserve">low levels of SA, especially assertive </w:t>
      </w:r>
      <w:r w:rsidR="005661C1" w:rsidRPr="00494D70">
        <w:rPr>
          <w:rFonts w:ascii="Times New Roman" w:eastAsia="Times New Roman" w:hAnsi="Times New Roman" w:cs="Times New Roman"/>
          <w:sz w:val="24"/>
          <w:szCs w:val="24"/>
        </w:rPr>
        <w:t>initiation</w:t>
      </w:r>
      <w:r w:rsidRPr="00494D70">
        <w:rPr>
          <w:rFonts w:ascii="Times New Roman" w:eastAsia="Times New Roman" w:hAnsi="Times New Roman" w:cs="Times New Roman"/>
          <w:sz w:val="24"/>
          <w:szCs w:val="24"/>
        </w:rPr>
        <w:t xml:space="preserve"> and refusal skills, while heterosexual participants reported the lowest levels of assertiveness in risk communication. In contrast, participants identifying as queer, pansexual, or bisexual demonstrate</w:t>
      </w:r>
      <w:r w:rsidR="00D40CD3" w:rsidRPr="00494D70">
        <w:rPr>
          <w:rFonts w:ascii="Times New Roman" w:eastAsia="Times New Roman" w:hAnsi="Times New Roman" w:cs="Times New Roman"/>
          <w:sz w:val="24"/>
          <w:szCs w:val="24"/>
        </w:rPr>
        <w:t>d</w:t>
      </w:r>
      <w:r w:rsidRPr="00494D70">
        <w:rPr>
          <w:rFonts w:ascii="Times New Roman" w:eastAsia="Times New Roman" w:hAnsi="Times New Roman" w:cs="Times New Roman"/>
          <w:sz w:val="24"/>
          <w:szCs w:val="24"/>
        </w:rPr>
        <w:t xml:space="preserve"> higher </w:t>
      </w:r>
      <w:r w:rsidR="0058156B" w:rsidRPr="00494D70">
        <w:rPr>
          <w:rFonts w:ascii="Times New Roman" w:eastAsia="Times New Roman" w:hAnsi="Times New Roman" w:cs="Times New Roman"/>
          <w:sz w:val="24"/>
          <w:szCs w:val="24"/>
        </w:rPr>
        <w:t xml:space="preserve">SA </w:t>
      </w:r>
      <w:r w:rsidRPr="00494D70">
        <w:rPr>
          <w:rFonts w:ascii="Times New Roman" w:eastAsia="Times New Roman" w:hAnsi="Times New Roman" w:cs="Times New Roman"/>
          <w:sz w:val="24"/>
          <w:szCs w:val="24"/>
        </w:rPr>
        <w:t>levels across all three domains compared to others. These findings have important implications for sexual health education and interventions. S</w:t>
      </w:r>
      <w:r w:rsidR="0040157C" w:rsidRPr="00494D70">
        <w:rPr>
          <w:rFonts w:ascii="Times New Roman" w:eastAsia="Times New Roman" w:hAnsi="Times New Roman" w:cs="Times New Roman"/>
          <w:sz w:val="24"/>
          <w:szCs w:val="24"/>
        </w:rPr>
        <w:t>A</w:t>
      </w:r>
      <w:r w:rsidRPr="00494D70">
        <w:rPr>
          <w:rFonts w:ascii="Times New Roman" w:eastAsia="Times New Roman" w:hAnsi="Times New Roman" w:cs="Times New Roman"/>
          <w:sz w:val="24"/>
          <w:szCs w:val="24"/>
        </w:rPr>
        <w:t xml:space="preserve"> </w:t>
      </w:r>
      <w:r w:rsidR="0058156B" w:rsidRPr="00494D70">
        <w:rPr>
          <w:rFonts w:ascii="Times New Roman" w:eastAsia="Times New Roman" w:hAnsi="Times New Roman" w:cs="Times New Roman"/>
          <w:sz w:val="24"/>
          <w:szCs w:val="24"/>
        </w:rPr>
        <w:t>is related to</w:t>
      </w:r>
      <w:r w:rsidRPr="00494D70">
        <w:rPr>
          <w:rFonts w:ascii="Times New Roman" w:eastAsia="Times New Roman" w:hAnsi="Times New Roman" w:cs="Times New Roman"/>
          <w:sz w:val="24"/>
          <w:szCs w:val="24"/>
        </w:rPr>
        <w:t xml:space="preserve"> healthier and more satisfying experiences, and the low levels of </w:t>
      </w:r>
      <w:r w:rsidR="0040157C" w:rsidRPr="00494D70">
        <w:rPr>
          <w:rFonts w:ascii="Times New Roman" w:eastAsia="Times New Roman" w:hAnsi="Times New Roman" w:cs="Times New Roman"/>
          <w:sz w:val="24"/>
          <w:szCs w:val="24"/>
        </w:rPr>
        <w:t>SA</w:t>
      </w:r>
      <w:r w:rsidRPr="00494D70">
        <w:rPr>
          <w:rFonts w:ascii="Times New Roman" w:eastAsia="Times New Roman" w:hAnsi="Times New Roman" w:cs="Times New Roman"/>
          <w:sz w:val="24"/>
          <w:szCs w:val="24"/>
        </w:rPr>
        <w:t xml:space="preserve"> observed among individuals with asexual and uncertain orientation are particularly concerning, given their vulnerability to heteronormative and allosexual pressure</w:t>
      </w:r>
      <w:r w:rsidR="00213189" w:rsidRPr="00494D70">
        <w:rPr>
          <w:rFonts w:ascii="Times New Roman" w:eastAsia="Times New Roman" w:hAnsi="Times New Roman" w:cs="Times New Roman"/>
          <w:sz w:val="24"/>
          <w:szCs w:val="24"/>
        </w:rPr>
        <w:t xml:space="preserve"> </w:t>
      </w:r>
      <w:r w:rsidR="00213189"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{"citationID":"AVZPUe78","properties":{"formattedCitation":"(Gupta, 2017; Lund, 2021; Mollet &amp; Black, 2023)","plainCitation":"(Gupta, 2017; Lund, 2021; Mollet &amp; Black, 2023)","noteIndex":0},"citationItems":[{"id":5188,"uris":["http://zotero.org/users/7402913/items/U7DEY4CC"],"itemData":{"id":5188,"type":"article-journal","abstract":"This article draws on qualitative in-depth interviews with 30 asexually identified individuals living in the United States in order to contribute to our understanding of when low sexual desire should be treated as a medical or mental health issue and when it should be treated as a benign sexual variation. The article discusses five findings of relevance to health professionals: (1) the line between a desire disorder and asexuality is not clear-cut; (2) asexually identified individuals may experience distress, so distress alone does not separate a desire disorder from asexuality; (3) asexually identified individuals may face sexual pressure from a partner or may have difficulty negotiating sexual activity with a partner; (4) asexuality does not need to be distressing, rather it can be experienced as a fulfilling form of sexuality; and (5) many asexually identified individuals believe in the usefulness of low sexual desire as a diagnostic category and support medical and mental health professionals in their efforts to develop treatments for sexual desire disorders. Based on these five findings, this article offers four concrete suggestions for health professionals working with clients with low sexual desire, whether or not those clients identify as asexual.","container-title":"Journal of Sex &amp; Marital Therapy","DOI":"10.1080/0092623X.2015.1113593","ISSN":"0092-623X","issue":"1","note":"publisher: Routledge\n_eprint: https://doi.org/10.1080/0092623X.2015.1113593\nPMID: 26643598","page":"1-14","source":"Taylor and Francis+NEJM","title":"What Does Asexuality Teach Us About Sexual Disinterest? Recommendations for Health Professionals Based on a Qualitative Study With Asexually Identified People","title-short":"What Does Asexuality Teach Us About Sexual Disinterest?","volume":"43","author":[{"family":"Gupta","given":"Kristina"}],"issued":{"date-parts":[["2017",1,2]]}}},{"id":5191,"uris":["http://zotero.org/users/7402913/items/T4F4MK94"],"itemData":{"id":5191,"type":"chapter","abstract":"Asexual individuals—people who experience little or no sexual attraction to individuals of any sex or gender—comprise approximately 1% of the population but are often left out, medicalized, and dehumanized in both sexual and gender majority and minority spaces. This chapter introduces the concepts of asexuality and the asexual spectrum and discusses key forms of violence and marginalization that asexual individuals experience: medicalization and pathologizing of asexuality, isolation and erasure, and unwanted sexual experiences and corrective rape. The importance of validation and intersectionality in working with asexual individuals is also discussed.","container-title":"Violence Against LGBTQ+ Persons: Research, Practice, and Advocacy","event-place":"Cham","ISBN":"978-3-030-52612-2","language":"en","note":"DOI: 10.1007/978-3-030-52612-2_13","page":"179-183","publisher":"Springer International Publishing","publisher-place":"Cham","title":"Violence Against Asexual Individuals","URL":"https://doi.org/10.1007/978-3-030-52612-2_13","author":[{"family":"Lund","given":"Emily M."}],"editor":[{"family":"Lund","given":"Emily M."},{"family":"Burgess","given":"Claire"},{"family":"Johnson","given":"Andy J."}],"accessed":{"date-parts":[["2023",5,5]]},"issued":{"date-parts":[["2021"]]}}},{"id":5184,"uris":["http://zotero.org/users/7402913/items/AFPVSWD7"],"itemData":{"id":5184,"type":"article-journal","container-title":"Journal of College Student Development","DOI":"10.1353/csd.2023.0004","ISSN":"1543-3382","issue":"1","note":"publisher: Johns Hopkins University Press","page":"96-101","source":"Project MUSE","title":"Coercive Rape Tactics Perpetrated Against Asexual College Students: A Quantitative Analysis Considering Students' Multiple Identities","title-short":"Coercive Rape Tactics Perpetrated Against Asexual College Students","volume":"64","author":[{"family":"Mollet","given":"Amanda L."},{"family":"Black","given":"Wayne"}],"issued":{"date-parts":[["2023"]]}}}],"schema":"https://github.com/citation-style-language/schema/raw/master/csl-citation.json"} </w:instrText>
      </w:r>
      <w:r w:rsidR="00213189" w:rsidRPr="00494D70">
        <w:rPr>
          <w:rFonts w:ascii="Times New Roman" w:eastAsia="Times New Roman" w:hAnsi="Times New Roman" w:cs="Times New Roman"/>
          <w:sz w:val="24"/>
          <w:szCs w:val="24"/>
        </w:rPr>
        <w:fldChar w:fldCharType="separate"/>
      </w:r>
      <w:r w:rsidR="00213189" w:rsidRPr="00494D70">
        <w:rPr>
          <w:rFonts w:ascii="Times New Roman" w:hAnsi="Times New Roman" w:cs="Times New Roman"/>
          <w:sz w:val="24"/>
        </w:rPr>
        <w:t>(Gupta, 2017; Lund, 2021; Mollet &amp; Black, 2023)</w:t>
      </w:r>
      <w:r w:rsidR="00213189" w:rsidRPr="00494D70">
        <w:rPr>
          <w:rFonts w:ascii="Times New Roman" w:eastAsia="Times New Roman" w:hAnsi="Times New Roman" w:cs="Times New Roman"/>
          <w:sz w:val="24"/>
          <w:szCs w:val="24"/>
        </w:rPr>
        <w:fldChar w:fldCharType="end"/>
      </w:r>
      <w:r w:rsidRPr="00494D70">
        <w:rPr>
          <w:rFonts w:ascii="Times New Roman" w:eastAsia="Times New Roman" w:hAnsi="Times New Roman" w:cs="Times New Roman"/>
          <w:sz w:val="24"/>
          <w:szCs w:val="24"/>
        </w:rPr>
        <w:t xml:space="preserve">. Similarly, the low level of risk communication competence among heterosexual individuals </w:t>
      </w:r>
      <w:r w:rsidR="0058156B" w:rsidRPr="00494D70">
        <w:rPr>
          <w:rFonts w:ascii="Times New Roman" w:eastAsia="Times New Roman" w:hAnsi="Times New Roman" w:cs="Times New Roman"/>
          <w:sz w:val="24"/>
          <w:szCs w:val="24"/>
        </w:rPr>
        <w:t>suggests a</w:t>
      </w:r>
      <w:r w:rsidR="00721C0B" w:rsidRPr="00494D70">
        <w:rPr>
          <w:rFonts w:ascii="Times New Roman" w:eastAsia="Times New Roman" w:hAnsi="Times New Roman" w:cs="Times New Roman"/>
          <w:sz w:val="24"/>
          <w:szCs w:val="24"/>
        </w:rPr>
        <w:t xml:space="preserve"> </w:t>
      </w:r>
      <w:r w:rsidRPr="00494D70">
        <w:rPr>
          <w:rFonts w:ascii="Times New Roman" w:eastAsia="Times New Roman" w:hAnsi="Times New Roman" w:cs="Times New Roman"/>
          <w:sz w:val="24"/>
          <w:szCs w:val="24"/>
        </w:rPr>
        <w:t>need for improved sexual health education for this group.</w:t>
      </w:r>
    </w:p>
    <w:p w14:paraId="7B8D1149" w14:textId="0695F5E8" w:rsidR="00144D19" w:rsidRPr="00494D70" w:rsidRDefault="0086480C" w:rsidP="001E0384">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t xml:space="preserve">To our knowledge, </w:t>
      </w:r>
      <w:r w:rsidR="00807698" w:rsidRPr="00494D70">
        <w:rPr>
          <w:rFonts w:ascii="Times New Roman" w:eastAsia="Times New Roman" w:hAnsi="Times New Roman" w:cs="Times New Roman"/>
          <w:sz w:val="24"/>
          <w:szCs w:val="24"/>
        </w:rPr>
        <w:t xml:space="preserve">only one </w:t>
      </w:r>
      <w:r w:rsidRPr="00494D70">
        <w:rPr>
          <w:rFonts w:ascii="Times New Roman" w:eastAsia="Times New Roman" w:hAnsi="Times New Roman" w:cs="Times New Roman"/>
          <w:sz w:val="24"/>
          <w:szCs w:val="24"/>
        </w:rPr>
        <w:t xml:space="preserve">study has explicitly compared single and partnered individuals </w:t>
      </w:r>
      <w:r w:rsidR="005661C1" w:rsidRPr="00494D70">
        <w:rPr>
          <w:rFonts w:ascii="Times New Roman" w:eastAsia="Times New Roman" w:hAnsi="Times New Roman" w:cs="Times New Roman"/>
          <w:sz w:val="24"/>
          <w:szCs w:val="24"/>
        </w:rPr>
        <w:t>according to</w:t>
      </w:r>
      <w:r w:rsidRPr="00494D70">
        <w:rPr>
          <w:rFonts w:ascii="Times New Roman" w:eastAsia="Times New Roman" w:hAnsi="Times New Roman" w:cs="Times New Roman"/>
          <w:sz w:val="24"/>
          <w:szCs w:val="24"/>
        </w:rPr>
        <w:t xml:space="preserve"> their levels of </w:t>
      </w:r>
      <w:r w:rsidR="0040157C" w:rsidRPr="00494D70">
        <w:rPr>
          <w:rFonts w:ascii="Times New Roman" w:eastAsia="Times New Roman" w:hAnsi="Times New Roman" w:cs="Times New Roman"/>
          <w:sz w:val="24"/>
          <w:szCs w:val="24"/>
        </w:rPr>
        <w:t>SA</w:t>
      </w:r>
      <w:r w:rsidR="00F71A4E" w:rsidRPr="00494D70">
        <w:rPr>
          <w:rFonts w:ascii="Times New Roman" w:eastAsia="Times New Roman" w:hAnsi="Times New Roman" w:cs="Times New Roman"/>
          <w:sz w:val="24"/>
          <w:szCs w:val="24"/>
        </w:rPr>
        <w:t xml:space="preserve"> but </w:t>
      </w:r>
      <w:r w:rsidR="00A9018D" w:rsidRPr="00494D70">
        <w:rPr>
          <w:rFonts w:ascii="Times New Roman" w:eastAsia="Times New Roman" w:hAnsi="Times New Roman" w:cs="Times New Roman"/>
          <w:sz w:val="24"/>
          <w:szCs w:val="24"/>
        </w:rPr>
        <w:t>no significant differences were found in neither men, nor women</w:t>
      </w:r>
      <w:r w:rsidR="00BB4E92" w:rsidRPr="00494D70">
        <w:rPr>
          <w:rFonts w:ascii="Times New Roman" w:eastAsia="Times New Roman" w:hAnsi="Times New Roman" w:cs="Times New Roman"/>
          <w:sz w:val="24"/>
          <w:szCs w:val="24"/>
        </w:rPr>
        <w:t xml:space="preserve"> </w:t>
      </w:r>
      <w:r w:rsidR="00BB4E92"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{"citationID":"8buS5iWX","properties":{"formattedCitation":"(Lopez-Alvarado et al., 2022)","plainCitation":"(Lopez-Alvarado et al., 2022)","noteIndex":0},"citationItems":[{"id":4926,"uris":["http://zotero.org/users/7402913/items/H37XNI6U"],"itemData":{"id":4926,"type":"article-journal","abstract":"Objective: Sexual assertiveness (SA), i.e., the ability to communicate thoughts and desires that may be translated into satisfying sexual activity within an intimate relationship, is important for safe and satisfying sexual behavior. In an attempt to unravel which cultural, relational, and individual variables are related to the development of SA in emerging adults, an exploratory study was conducted in Cuenca, Ecuador. Methods: Five hundred and thirty-eight participants completed scales that measured their levels of SA, endorsement of the sexual double standard, relationship satisfaction, and mental well-being. Results: This study showed a negative effect of the sexual double standard on SA in both men and women and this effect was slightly tempered by the level of education. Women reported higher levels of SA than men. In women, SA was associated with general mental well-being and relationship satisfaction; but not in men. For both women and men, no association was found with relationship status or duration. Conclusions: These findings corroborate evidence highlighting the importance of SA for healthy sexual relationships and emphasize the importance of (sex) education for SA for lower educated women and men. The results are discussed in relation to findings on SA in other contexts.","archive_location":"WOS:000834908700001","container-title":"International Journal of Sexual Health","DOI":"10.1080/19317611.2022.2106527","ISSN":"1931-7611","issue":"4","language":"English","page":"679-690","title":"Sexual Assertiveness and Its Correlates in Emerging Adults: An Exploratory Study in Cuenca (Ecuador)","volume":"34","author":[{"family":"Lopez-Alvarado","given":"S"},{"family":"Prekatsounaki","given":"S"},{"family":"Van Parys","given":"H"},{"family":"Enzlin","given":"P"}],"issued":{"date-parts":[["2022",10,2]]}}}],"schema":"https://github.com/citation-style-language/schema/raw/master/csl-citation.json"} </w:instrText>
      </w:r>
      <w:r w:rsidR="00BB4E92" w:rsidRPr="00494D70">
        <w:rPr>
          <w:rFonts w:ascii="Times New Roman" w:eastAsia="Times New Roman" w:hAnsi="Times New Roman" w:cs="Times New Roman"/>
          <w:sz w:val="24"/>
          <w:szCs w:val="24"/>
        </w:rPr>
        <w:fldChar w:fldCharType="separate"/>
      </w:r>
      <w:r w:rsidR="00BB4E92" w:rsidRPr="00494D70">
        <w:rPr>
          <w:rFonts w:ascii="Times New Roman" w:hAnsi="Times New Roman" w:cs="Times New Roman"/>
          <w:sz w:val="24"/>
        </w:rPr>
        <w:t>(Lopez-Alvarado et al., 2022)</w:t>
      </w:r>
      <w:r w:rsidR="00BB4E92" w:rsidRPr="00494D70">
        <w:rPr>
          <w:rFonts w:ascii="Times New Roman" w:eastAsia="Times New Roman" w:hAnsi="Times New Roman" w:cs="Times New Roman"/>
          <w:sz w:val="24"/>
          <w:szCs w:val="24"/>
        </w:rPr>
        <w:fldChar w:fldCharType="end"/>
      </w:r>
      <w:r w:rsidRPr="00494D70">
        <w:rPr>
          <w:rFonts w:ascii="Times New Roman" w:eastAsia="Times New Roman" w:hAnsi="Times New Roman" w:cs="Times New Roman"/>
          <w:sz w:val="24"/>
          <w:szCs w:val="24"/>
        </w:rPr>
        <w:t xml:space="preserve">. One </w:t>
      </w:r>
      <w:r w:rsidR="006E7ECD" w:rsidRPr="00494D70">
        <w:rPr>
          <w:rFonts w:ascii="Times New Roman" w:eastAsia="Times New Roman" w:hAnsi="Times New Roman" w:cs="Times New Roman"/>
          <w:sz w:val="24"/>
          <w:szCs w:val="24"/>
        </w:rPr>
        <w:t>might hypothesize</w:t>
      </w:r>
      <w:r w:rsidRPr="00494D70">
        <w:rPr>
          <w:rFonts w:ascii="Times New Roman" w:eastAsia="Times New Roman" w:hAnsi="Times New Roman" w:cs="Times New Roman"/>
          <w:sz w:val="24"/>
          <w:szCs w:val="24"/>
        </w:rPr>
        <w:t xml:space="preserve"> that partnered individuals </w:t>
      </w:r>
      <w:r w:rsidR="006E7ECD" w:rsidRPr="00494D70">
        <w:rPr>
          <w:rFonts w:ascii="Times New Roman" w:eastAsia="Times New Roman" w:hAnsi="Times New Roman" w:cs="Times New Roman"/>
          <w:sz w:val="24"/>
          <w:szCs w:val="24"/>
        </w:rPr>
        <w:t xml:space="preserve">would </w:t>
      </w:r>
      <w:r w:rsidRPr="00494D70">
        <w:rPr>
          <w:rFonts w:ascii="Times New Roman" w:eastAsia="Times New Roman" w:hAnsi="Times New Roman" w:cs="Times New Roman"/>
          <w:sz w:val="24"/>
          <w:szCs w:val="24"/>
        </w:rPr>
        <w:t xml:space="preserve">have higher levels of </w:t>
      </w:r>
      <w:r w:rsidR="0040157C" w:rsidRPr="00494D70">
        <w:rPr>
          <w:rFonts w:ascii="Times New Roman" w:eastAsia="Times New Roman" w:hAnsi="Times New Roman" w:cs="Times New Roman"/>
          <w:sz w:val="24"/>
          <w:szCs w:val="24"/>
        </w:rPr>
        <w:t>SA</w:t>
      </w:r>
      <w:r w:rsidRPr="00494D70">
        <w:rPr>
          <w:rFonts w:ascii="Times New Roman" w:eastAsia="Times New Roman" w:hAnsi="Times New Roman" w:cs="Times New Roman"/>
          <w:sz w:val="24"/>
          <w:szCs w:val="24"/>
        </w:rPr>
        <w:t xml:space="preserve"> compared to their single counterparts, as being in a </w:t>
      </w:r>
      <w:r w:rsidRPr="00494D70">
        <w:rPr>
          <w:rFonts w:ascii="Times New Roman" w:eastAsia="Times New Roman" w:hAnsi="Times New Roman" w:cs="Times New Roman"/>
          <w:sz w:val="24"/>
          <w:szCs w:val="24"/>
        </w:rPr>
        <w:lastRenderedPageBreak/>
        <w:t xml:space="preserve">committed relationship may provide a sense of safety and security that allows for greater expression of one's sexual desires and preferences. Conversely, single individuals may be more assertive in their sexual communication and behaviors, as they may have greater autonomy and less concern for the expectations or judgments of a partner. </w:t>
      </w:r>
      <w:r w:rsidR="00721C0B" w:rsidRPr="00494D70">
        <w:rPr>
          <w:rFonts w:ascii="Times New Roman" w:eastAsia="Times New Roman" w:hAnsi="Times New Roman" w:cs="Times New Roman"/>
          <w:sz w:val="24"/>
          <w:szCs w:val="24"/>
        </w:rPr>
        <w:t>Our findings were in line with th</w:t>
      </w:r>
      <w:r w:rsidR="006E7ECD" w:rsidRPr="00494D70">
        <w:rPr>
          <w:rFonts w:ascii="Times New Roman" w:eastAsia="Times New Roman" w:hAnsi="Times New Roman" w:cs="Times New Roman"/>
          <w:sz w:val="24"/>
          <w:szCs w:val="24"/>
        </w:rPr>
        <w:t>e former</w:t>
      </w:r>
      <w:r w:rsidR="00721C0B" w:rsidRPr="00494D70">
        <w:rPr>
          <w:rFonts w:ascii="Times New Roman" w:eastAsia="Times New Roman" w:hAnsi="Times New Roman" w:cs="Times New Roman"/>
          <w:sz w:val="24"/>
          <w:szCs w:val="24"/>
        </w:rPr>
        <w:t xml:space="preserve"> notion </w:t>
      </w:r>
      <w:r w:rsidR="00672B58" w:rsidRPr="00494D70">
        <w:rPr>
          <w:rFonts w:ascii="Times New Roman" w:eastAsia="Times New Roman" w:hAnsi="Times New Roman" w:cs="Times New Roman"/>
          <w:sz w:val="24"/>
          <w:szCs w:val="24"/>
        </w:rPr>
        <w:t>that</w:t>
      </w:r>
      <w:r w:rsidR="00721C0B" w:rsidRPr="00494D70">
        <w:rPr>
          <w:rFonts w:ascii="Times New Roman" w:eastAsia="Times New Roman" w:hAnsi="Times New Roman" w:cs="Times New Roman"/>
          <w:sz w:val="24"/>
          <w:szCs w:val="24"/>
        </w:rPr>
        <w:t xml:space="preserve"> </w:t>
      </w:r>
      <w:r w:rsidRPr="00494D70">
        <w:rPr>
          <w:rFonts w:ascii="Times New Roman" w:eastAsia="Times New Roman" w:hAnsi="Times New Roman" w:cs="Times New Roman"/>
          <w:sz w:val="24"/>
          <w:szCs w:val="24"/>
        </w:rPr>
        <w:t xml:space="preserve">individuals in a relationship showed higher levels of initiation and risk communication assertiveness, while there was no difference in the refusal domain. </w:t>
      </w:r>
      <w:r w:rsidR="003D52B4" w:rsidRPr="00494D70">
        <w:rPr>
          <w:rFonts w:ascii="Times New Roman" w:eastAsia="Times New Roman" w:hAnsi="Times New Roman" w:cs="Times New Roman"/>
          <w:sz w:val="24"/>
          <w:szCs w:val="24"/>
        </w:rPr>
        <w:t>Although</w:t>
      </w:r>
      <w:r w:rsidR="00E858E0" w:rsidRPr="00494D70">
        <w:rPr>
          <w:rFonts w:ascii="Times New Roman" w:eastAsia="Times New Roman" w:hAnsi="Times New Roman" w:cs="Times New Roman"/>
          <w:sz w:val="24"/>
          <w:szCs w:val="24"/>
        </w:rPr>
        <w:t xml:space="preserve"> </w:t>
      </w:r>
      <w:r w:rsidR="00523B2F" w:rsidRPr="00494D70">
        <w:rPr>
          <w:rFonts w:ascii="Times New Roman" w:eastAsia="Times New Roman" w:hAnsi="Times New Roman" w:cs="Times New Roman"/>
          <w:sz w:val="24"/>
          <w:szCs w:val="24"/>
        </w:rPr>
        <w:t xml:space="preserve">the </w:t>
      </w:r>
      <w:proofErr w:type="gramStart"/>
      <w:r w:rsidR="00523B2F" w:rsidRPr="00494D70">
        <w:rPr>
          <w:rFonts w:ascii="Times New Roman" w:eastAsia="Times New Roman" w:hAnsi="Times New Roman" w:cs="Times New Roman"/>
          <w:sz w:val="24"/>
          <w:szCs w:val="24"/>
        </w:rPr>
        <w:t>effect size</w:t>
      </w:r>
      <w:proofErr w:type="gramEnd"/>
      <w:r w:rsidR="00523B2F" w:rsidRPr="00494D70">
        <w:rPr>
          <w:rFonts w:ascii="Times New Roman" w:eastAsia="Times New Roman" w:hAnsi="Times New Roman" w:cs="Times New Roman"/>
          <w:sz w:val="24"/>
          <w:szCs w:val="24"/>
        </w:rPr>
        <w:t xml:space="preserve"> of this difference was small, our results </w:t>
      </w:r>
      <w:r w:rsidR="006E7ECD" w:rsidRPr="00494D70">
        <w:rPr>
          <w:rFonts w:ascii="Times New Roman" w:eastAsia="Times New Roman" w:hAnsi="Times New Roman" w:cs="Times New Roman"/>
          <w:sz w:val="24"/>
          <w:szCs w:val="24"/>
        </w:rPr>
        <w:t xml:space="preserve">suggest </w:t>
      </w:r>
      <w:r w:rsidR="00523B2F" w:rsidRPr="00494D70">
        <w:rPr>
          <w:rFonts w:ascii="Times New Roman" w:eastAsia="Times New Roman" w:hAnsi="Times New Roman" w:cs="Times New Roman"/>
          <w:sz w:val="24"/>
          <w:szCs w:val="24"/>
        </w:rPr>
        <w:t xml:space="preserve">that it may </w:t>
      </w:r>
      <w:r w:rsidR="00721C0B" w:rsidRPr="00494D70">
        <w:rPr>
          <w:rFonts w:ascii="Times New Roman" w:eastAsia="Times New Roman" w:hAnsi="Times New Roman" w:cs="Times New Roman"/>
          <w:sz w:val="24"/>
          <w:szCs w:val="24"/>
        </w:rPr>
        <w:t xml:space="preserve">be </w:t>
      </w:r>
      <w:r w:rsidR="00523B2F" w:rsidRPr="00494D70">
        <w:rPr>
          <w:rFonts w:ascii="Times New Roman" w:eastAsia="Times New Roman" w:hAnsi="Times New Roman" w:cs="Times New Roman"/>
          <w:sz w:val="24"/>
          <w:szCs w:val="24"/>
        </w:rPr>
        <w:t>worth consider</w:t>
      </w:r>
      <w:r w:rsidR="003B12F6" w:rsidRPr="00494D70">
        <w:rPr>
          <w:rFonts w:ascii="Times New Roman" w:eastAsia="Times New Roman" w:hAnsi="Times New Roman" w:cs="Times New Roman"/>
          <w:sz w:val="24"/>
          <w:szCs w:val="24"/>
        </w:rPr>
        <w:t>ing</w:t>
      </w:r>
      <w:r w:rsidR="00523B2F" w:rsidRPr="00494D70">
        <w:rPr>
          <w:rFonts w:ascii="Times New Roman" w:eastAsia="Times New Roman" w:hAnsi="Times New Roman" w:cs="Times New Roman"/>
          <w:sz w:val="24"/>
          <w:szCs w:val="24"/>
        </w:rPr>
        <w:t xml:space="preserve"> relationship status as a factor affecting individuals’ SA in both future research and sexual health </w:t>
      </w:r>
      <w:r w:rsidR="00DF0A2D" w:rsidRPr="00494D70">
        <w:rPr>
          <w:rFonts w:ascii="Times New Roman" w:eastAsia="Times New Roman" w:hAnsi="Times New Roman" w:cs="Times New Roman"/>
          <w:sz w:val="24"/>
          <w:szCs w:val="24"/>
        </w:rPr>
        <w:t>interventions</w:t>
      </w:r>
      <w:r w:rsidR="005D2F29" w:rsidRPr="00494D70">
        <w:rPr>
          <w:rFonts w:ascii="Times New Roman" w:eastAsia="Times New Roman" w:hAnsi="Times New Roman" w:cs="Times New Roman"/>
          <w:sz w:val="24"/>
          <w:szCs w:val="24"/>
        </w:rPr>
        <w:t xml:space="preserve">. </w:t>
      </w:r>
    </w:p>
    <w:p w14:paraId="5F5E97F8" w14:textId="00F5AECD" w:rsidR="0086480C" w:rsidRPr="00494D70" w:rsidRDefault="0086480C" w:rsidP="000B124E">
      <w:pPr>
        <w:spacing w:after="0" w:line="480" w:lineRule="auto"/>
        <w:rPr>
          <w:rFonts w:ascii="Times New Roman" w:eastAsia="Times New Roman" w:hAnsi="Times New Roman" w:cs="Times New Roman"/>
          <w:i/>
          <w:iCs/>
          <w:sz w:val="24"/>
          <w:szCs w:val="24"/>
        </w:rPr>
      </w:pPr>
      <w:r w:rsidRPr="00494D70">
        <w:rPr>
          <w:rFonts w:ascii="Times New Roman" w:eastAsia="Times New Roman" w:hAnsi="Times New Roman" w:cs="Times New Roman"/>
          <w:i/>
          <w:iCs/>
          <w:sz w:val="24"/>
          <w:szCs w:val="24"/>
        </w:rPr>
        <w:t>Limitations</w:t>
      </w:r>
      <w:r w:rsidR="0052536A" w:rsidRPr="00494D70">
        <w:rPr>
          <w:rFonts w:ascii="Times New Roman" w:eastAsia="Times New Roman" w:hAnsi="Times New Roman" w:cs="Times New Roman"/>
          <w:i/>
          <w:iCs/>
          <w:sz w:val="24"/>
          <w:szCs w:val="24"/>
        </w:rPr>
        <w:t xml:space="preserve"> and future studies</w:t>
      </w:r>
    </w:p>
    <w:p w14:paraId="62579DC2" w14:textId="6D702D57" w:rsidR="00841405" w:rsidRPr="00494D70" w:rsidRDefault="006E7ECD" w:rsidP="006E7ECD">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t xml:space="preserve">The current study has </w:t>
      </w:r>
      <w:r w:rsidR="0086480C" w:rsidRPr="00494D70">
        <w:rPr>
          <w:rFonts w:ascii="Times New Roman" w:eastAsia="Times New Roman" w:hAnsi="Times New Roman" w:cs="Times New Roman"/>
          <w:sz w:val="24"/>
          <w:szCs w:val="24"/>
        </w:rPr>
        <w:t>limitations</w:t>
      </w:r>
      <w:r w:rsidR="0052536A" w:rsidRPr="00494D70">
        <w:rPr>
          <w:rFonts w:ascii="Times New Roman" w:eastAsia="Times New Roman" w:hAnsi="Times New Roman" w:cs="Times New Roman"/>
          <w:sz w:val="24"/>
          <w:szCs w:val="24"/>
        </w:rPr>
        <w:t>,</w:t>
      </w:r>
      <w:r w:rsidR="0086480C" w:rsidRPr="00494D70">
        <w:rPr>
          <w:rFonts w:ascii="Times New Roman" w:eastAsia="Times New Roman" w:hAnsi="Times New Roman" w:cs="Times New Roman"/>
          <w:sz w:val="24"/>
          <w:szCs w:val="24"/>
        </w:rPr>
        <w:t xml:space="preserve"> which should be considered when interpreting </w:t>
      </w:r>
      <w:r w:rsidR="008B6E93" w:rsidRPr="00494D70">
        <w:rPr>
          <w:rFonts w:ascii="Times New Roman" w:eastAsia="Times New Roman" w:hAnsi="Times New Roman" w:cs="Times New Roman"/>
          <w:sz w:val="24"/>
          <w:szCs w:val="24"/>
        </w:rPr>
        <w:t xml:space="preserve">the </w:t>
      </w:r>
      <w:r w:rsidR="0086480C" w:rsidRPr="00494D70">
        <w:rPr>
          <w:rFonts w:ascii="Times New Roman" w:eastAsia="Times New Roman" w:hAnsi="Times New Roman" w:cs="Times New Roman"/>
          <w:sz w:val="24"/>
          <w:szCs w:val="24"/>
        </w:rPr>
        <w:t xml:space="preserve">results. </w:t>
      </w:r>
      <w:r w:rsidR="0052536A" w:rsidRPr="00494D70">
        <w:rPr>
          <w:rFonts w:ascii="Times New Roman" w:eastAsia="Times New Roman" w:hAnsi="Times New Roman" w:cs="Times New Roman"/>
          <w:sz w:val="24"/>
          <w:szCs w:val="24"/>
        </w:rPr>
        <w:t>Using</w:t>
      </w:r>
      <w:r w:rsidR="0086480C" w:rsidRPr="00494D70">
        <w:rPr>
          <w:rFonts w:ascii="Times New Roman" w:eastAsia="Times New Roman" w:hAnsi="Times New Roman" w:cs="Times New Roman"/>
          <w:sz w:val="24"/>
          <w:szCs w:val="24"/>
        </w:rPr>
        <w:t xml:space="preserve"> a </w:t>
      </w:r>
      <w:r w:rsidR="00E9177E" w:rsidRPr="00494D70">
        <w:rPr>
          <w:rFonts w:ascii="Times New Roman" w:eastAsia="Times New Roman" w:hAnsi="Times New Roman" w:cs="Times New Roman"/>
          <w:sz w:val="24"/>
          <w:szCs w:val="24"/>
        </w:rPr>
        <w:t>convenience</w:t>
      </w:r>
      <w:r w:rsidR="0086480C" w:rsidRPr="00494D70">
        <w:rPr>
          <w:rFonts w:ascii="Times New Roman" w:eastAsia="Times New Roman" w:hAnsi="Times New Roman" w:cs="Times New Roman"/>
          <w:sz w:val="24"/>
          <w:szCs w:val="24"/>
        </w:rPr>
        <w:t xml:space="preserve"> sample may limit the generalizability of </w:t>
      </w:r>
      <w:r w:rsidR="0052536A" w:rsidRPr="00494D70">
        <w:rPr>
          <w:rFonts w:ascii="Times New Roman" w:eastAsia="Times New Roman" w:hAnsi="Times New Roman" w:cs="Times New Roman"/>
          <w:sz w:val="24"/>
          <w:szCs w:val="24"/>
        </w:rPr>
        <w:t xml:space="preserve">the </w:t>
      </w:r>
      <w:r w:rsidR="0086480C" w:rsidRPr="00494D70">
        <w:rPr>
          <w:rFonts w:ascii="Times New Roman" w:eastAsia="Times New Roman" w:hAnsi="Times New Roman" w:cs="Times New Roman"/>
          <w:sz w:val="24"/>
          <w:szCs w:val="24"/>
        </w:rPr>
        <w:t xml:space="preserve">findings to </w:t>
      </w:r>
      <w:r w:rsidR="00E9177E" w:rsidRPr="00494D70">
        <w:rPr>
          <w:rFonts w:ascii="Times New Roman" w:eastAsia="Times New Roman" w:hAnsi="Times New Roman" w:cs="Times New Roman"/>
          <w:sz w:val="24"/>
          <w:szCs w:val="24"/>
        </w:rPr>
        <w:t>the</w:t>
      </w:r>
      <w:r w:rsidR="0086480C" w:rsidRPr="00494D70">
        <w:rPr>
          <w:rFonts w:ascii="Times New Roman" w:eastAsia="Times New Roman" w:hAnsi="Times New Roman" w:cs="Times New Roman"/>
          <w:sz w:val="24"/>
          <w:szCs w:val="24"/>
        </w:rPr>
        <w:t xml:space="preserve"> population, self-report survey measures </w:t>
      </w:r>
      <w:r w:rsidRPr="00494D70">
        <w:rPr>
          <w:rFonts w:ascii="Times New Roman" w:eastAsia="Times New Roman" w:hAnsi="Times New Roman" w:cs="Times New Roman"/>
          <w:sz w:val="24"/>
          <w:szCs w:val="24"/>
        </w:rPr>
        <w:t>are vulnerable to</w:t>
      </w:r>
      <w:r w:rsidR="0086480C" w:rsidRPr="00494D70">
        <w:rPr>
          <w:rFonts w:ascii="Times New Roman" w:eastAsia="Times New Roman" w:hAnsi="Times New Roman" w:cs="Times New Roman"/>
          <w:sz w:val="24"/>
          <w:szCs w:val="24"/>
        </w:rPr>
        <w:t xml:space="preserve"> recall and social desirability bias</w:t>
      </w:r>
      <w:r w:rsidRPr="00494D70">
        <w:rPr>
          <w:rFonts w:ascii="Times New Roman" w:eastAsia="Times New Roman" w:hAnsi="Times New Roman" w:cs="Times New Roman"/>
          <w:sz w:val="24"/>
          <w:szCs w:val="24"/>
        </w:rPr>
        <w:t>es</w:t>
      </w:r>
      <w:r w:rsidR="0086480C" w:rsidRPr="00494D70">
        <w:rPr>
          <w:rFonts w:ascii="Times New Roman" w:eastAsia="Times New Roman" w:hAnsi="Times New Roman" w:cs="Times New Roman"/>
          <w:sz w:val="24"/>
          <w:szCs w:val="24"/>
        </w:rPr>
        <w:t>, and online sampling methods may introduce selection bias.</w:t>
      </w:r>
      <w:r w:rsidR="00B04768" w:rsidRPr="00494D70">
        <w:rPr>
          <w:rFonts w:ascii="Times New Roman" w:eastAsia="Times New Roman" w:hAnsi="Times New Roman" w:cs="Times New Roman"/>
          <w:sz w:val="24"/>
          <w:szCs w:val="24"/>
        </w:rPr>
        <w:t xml:space="preserve"> </w:t>
      </w:r>
      <w:r w:rsidRPr="00494D70">
        <w:rPr>
          <w:rFonts w:ascii="Times New Roman" w:eastAsia="Times New Roman" w:hAnsi="Times New Roman" w:cs="Times New Roman"/>
          <w:sz w:val="24"/>
          <w:szCs w:val="24"/>
        </w:rPr>
        <w:t>G</w:t>
      </w:r>
      <w:r w:rsidR="00FA1773" w:rsidRPr="00494D70">
        <w:rPr>
          <w:rFonts w:ascii="Times New Roman" w:eastAsia="Times New Roman" w:hAnsi="Times New Roman" w:cs="Times New Roman"/>
          <w:sz w:val="24"/>
          <w:szCs w:val="24"/>
        </w:rPr>
        <w:t xml:space="preserve">eneral limitations </w:t>
      </w:r>
      <w:r w:rsidR="005C46C5" w:rsidRPr="00494D70">
        <w:rPr>
          <w:rFonts w:ascii="Times New Roman" w:eastAsia="Times New Roman" w:hAnsi="Times New Roman" w:cs="Times New Roman"/>
          <w:sz w:val="24"/>
          <w:szCs w:val="24"/>
        </w:rPr>
        <w:t xml:space="preserve">related to the International Sex Survey </w:t>
      </w:r>
      <w:r w:rsidR="00FA1773" w:rsidRPr="00494D70">
        <w:rPr>
          <w:rFonts w:ascii="Times New Roman" w:eastAsia="Times New Roman" w:hAnsi="Times New Roman" w:cs="Times New Roman"/>
          <w:sz w:val="24"/>
          <w:szCs w:val="24"/>
        </w:rPr>
        <w:t xml:space="preserve">are discussed </w:t>
      </w:r>
      <w:r w:rsidRPr="00494D70">
        <w:rPr>
          <w:rFonts w:ascii="Times New Roman" w:eastAsia="Times New Roman" w:hAnsi="Times New Roman" w:cs="Times New Roman"/>
          <w:sz w:val="24"/>
          <w:szCs w:val="24"/>
        </w:rPr>
        <w:t xml:space="preserve">further </w:t>
      </w:r>
      <w:r w:rsidR="00FA1773" w:rsidRPr="00494D70">
        <w:rPr>
          <w:rFonts w:ascii="Times New Roman" w:eastAsia="Times New Roman" w:hAnsi="Times New Roman" w:cs="Times New Roman"/>
          <w:sz w:val="24"/>
          <w:szCs w:val="24"/>
        </w:rPr>
        <w:t>on the study’s OSF page (</w:t>
      </w:r>
      <w:r w:rsidR="00147291" w:rsidRPr="00494D70">
        <w:rPr>
          <w:rFonts w:ascii="Times New Roman" w:eastAsia="Times New Roman" w:hAnsi="Times New Roman" w:cs="Times New Roman"/>
          <w:sz w:val="24"/>
          <w:szCs w:val="24"/>
        </w:rPr>
        <w:t>https://osf.io/n3k2c/?view_only=838146f6027c4e6bb68371%20d9d1%204220b5</w:t>
      </w:r>
      <w:r w:rsidR="00FA1773" w:rsidRPr="00494D70">
        <w:rPr>
          <w:rFonts w:ascii="Times New Roman" w:eastAsia="Times New Roman" w:hAnsi="Times New Roman" w:cs="Times New Roman"/>
          <w:sz w:val="24"/>
          <w:szCs w:val="24"/>
        </w:rPr>
        <w:t>).</w:t>
      </w:r>
      <w:r w:rsidR="00D72A55" w:rsidRPr="00494D70">
        <w:rPr>
          <w:rFonts w:ascii="Times New Roman" w:eastAsia="Times New Roman" w:hAnsi="Times New Roman" w:cs="Times New Roman"/>
          <w:sz w:val="24"/>
          <w:szCs w:val="24"/>
        </w:rPr>
        <w:t xml:space="preserve"> </w:t>
      </w:r>
      <w:r w:rsidR="00841405" w:rsidRPr="00494D70">
        <w:rPr>
          <w:rFonts w:ascii="Times New Roman" w:eastAsia="Times New Roman" w:hAnsi="Times New Roman" w:cs="Times New Roman"/>
          <w:sz w:val="24"/>
          <w:szCs w:val="24"/>
        </w:rPr>
        <w:t xml:space="preserve">A specific limitation that stems from a self-selected sample is that probably those individuals </w:t>
      </w:r>
      <w:proofErr w:type="gramStart"/>
      <w:r w:rsidR="00841405" w:rsidRPr="00494D70">
        <w:rPr>
          <w:rFonts w:ascii="Times New Roman" w:eastAsia="Times New Roman" w:hAnsi="Times New Roman" w:cs="Times New Roman"/>
          <w:sz w:val="24"/>
          <w:szCs w:val="24"/>
        </w:rPr>
        <w:t>decided to participate in the study who</w:t>
      </w:r>
      <w:proofErr w:type="gramEnd"/>
      <w:r w:rsidR="00841405" w:rsidRPr="00494D70">
        <w:rPr>
          <w:rFonts w:ascii="Times New Roman" w:eastAsia="Times New Roman" w:hAnsi="Times New Roman" w:cs="Times New Roman"/>
          <w:sz w:val="24"/>
          <w:szCs w:val="24"/>
        </w:rPr>
        <w:t xml:space="preserve"> had a genuine interest towards sexuality and motivation to share details on their intimate experiences with the research team. This indirectly </w:t>
      </w:r>
      <w:r w:rsidR="00672B58" w:rsidRPr="00494D70">
        <w:rPr>
          <w:rFonts w:ascii="Times New Roman" w:eastAsia="Times New Roman" w:hAnsi="Times New Roman" w:cs="Times New Roman"/>
          <w:sz w:val="24"/>
          <w:szCs w:val="24"/>
        </w:rPr>
        <w:t>suggests</w:t>
      </w:r>
      <w:r w:rsidR="00841405" w:rsidRPr="00494D70">
        <w:rPr>
          <w:rFonts w:ascii="Times New Roman" w:eastAsia="Times New Roman" w:hAnsi="Times New Roman" w:cs="Times New Roman"/>
          <w:sz w:val="24"/>
          <w:szCs w:val="24"/>
        </w:rPr>
        <w:t xml:space="preserve"> that many participants might have had above-average communication skills and assertiveness, which in turn might have led </w:t>
      </w:r>
      <w:r w:rsidR="00417699" w:rsidRPr="00494D70">
        <w:rPr>
          <w:rFonts w:ascii="Times New Roman" w:eastAsia="Times New Roman" w:hAnsi="Times New Roman" w:cs="Times New Roman"/>
          <w:sz w:val="24"/>
          <w:szCs w:val="24"/>
        </w:rPr>
        <w:t xml:space="preserve">to </w:t>
      </w:r>
      <w:r w:rsidR="00841405" w:rsidRPr="00494D70">
        <w:rPr>
          <w:rFonts w:ascii="Times New Roman" w:eastAsia="Times New Roman" w:hAnsi="Times New Roman" w:cs="Times New Roman"/>
          <w:sz w:val="24"/>
          <w:szCs w:val="24"/>
        </w:rPr>
        <w:t>better SA. Therefore</w:t>
      </w:r>
      <w:r w:rsidR="00DB6A57" w:rsidRPr="00494D70">
        <w:rPr>
          <w:rFonts w:ascii="Times New Roman" w:eastAsia="Times New Roman" w:hAnsi="Times New Roman" w:cs="Times New Roman"/>
          <w:sz w:val="24"/>
          <w:szCs w:val="24"/>
        </w:rPr>
        <w:t>,</w:t>
      </w:r>
      <w:r w:rsidR="00841405" w:rsidRPr="00494D70">
        <w:rPr>
          <w:rFonts w:ascii="Times New Roman" w:eastAsia="Times New Roman" w:hAnsi="Times New Roman" w:cs="Times New Roman"/>
          <w:sz w:val="24"/>
          <w:szCs w:val="24"/>
        </w:rPr>
        <w:t xml:space="preserve"> we might have seen higher SA than what would have been observed in a study with a probabilistic sample.</w:t>
      </w:r>
    </w:p>
    <w:p w14:paraId="583BBBA0" w14:textId="77777777" w:rsidR="007A18C4" w:rsidRPr="00494D70" w:rsidRDefault="0086480C" w:rsidP="00E00725">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t xml:space="preserve">Additionally, non-verbal styles of sexual communication are not well-represented in </w:t>
      </w:r>
      <w:proofErr w:type="gramStart"/>
      <w:r w:rsidRPr="00494D70">
        <w:rPr>
          <w:rFonts w:ascii="Times New Roman" w:eastAsia="Times New Roman" w:hAnsi="Times New Roman" w:cs="Times New Roman"/>
          <w:sz w:val="24"/>
          <w:szCs w:val="24"/>
        </w:rPr>
        <w:t>the SAQ</w:t>
      </w:r>
      <w:proofErr w:type="gramEnd"/>
      <w:r w:rsidRPr="00494D70">
        <w:rPr>
          <w:rFonts w:ascii="Times New Roman" w:eastAsia="Times New Roman" w:hAnsi="Times New Roman" w:cs="Times New Roman"/>
          <w:sz w:val="24"/>
          <w:szCs w:val="24"/>
        </w:rPr>
        <w:t xml:space="preserve">-9 or SA research in general. It is possible that our understanding of assertive social competence in the context of sexual communication is limited by a focus on verbalized </w:t>
      </w:r>
      <w:r w:rsidRPr="00494D70">
        <w:rPr>
          <w:rFonts w:ascii="Times New Roman" w:eastAsia="Times New Roman" w:hAnsi="Times New Roman" w:cs="Times New Roman"/>
          <w:sz w:val="24"/>
          <w:szCs w:val="24"/>
        </w:rPr>
        <w:lastRenderedPageBreak/>
        <w:t>assertiveness, as other forms of assertive behavior such as non-verbal cues for initiation or refusal may be equally or more important</w:t>
      </w:r>
      <w:r w:rsidR="00450772" w:rsidRPr="00494D70">
        <w:rPr>
          <w:rFonts w:ascii="Times New Roman" w:eastAsia="Times New Roman" w:hAnsi="Times New Roman" w:cs="Times New Roman"/>
          <w:sz w:val="24"/>
          <w:szCs w:val="24"/>
        </w:rPr>
        <w:t xml:space="preserve"> </w:t>
      </w:r>
      <w:r w:rsidR="00450772"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{"citationID":"XzRZxAN5","properties":{"formattedCitation":"(Mercer Kollar et al., 2016)","plainCitation":"(Mercer Kollar et al., 2016)","noteIndex":0},"citationItems":[{"id":5197,"uris":["http://zotero.org/users/7402913/items/ZUM66Z5N"],"itemData":{"id":5197,"type":"article-journal","abstract":"Sexual risk reduction interventions are often ineffective for women who drink alcohol. The present study examines whether an alcohol-related sexual risk reduction intervention successfully trains women to increase assertive communication behaviors and decrease aggressive communication behaviors. Women demonstrated their communication skills during interactive role-plays with male role-play partners. Young, unmarried, and nonpregnant African American women (N = 228, ages 18-24) reporting unprotected vaginal or anal sex and greater than three alcoholic drinks in the past 90 days were randomly assigned to a control, a sexual risk reduction, or a sexual and alcohol risk reduction (NLITEN) condition. Women in the NLITEN condition significantly increased assertive communication behavior compared to women in the control condition, yet use of aggressive communicative behaviors was unchanged. These data suggest assertive communication training is an efficacious component of a sexual and alcohol risk reduction intervention. Public health practitioners and health educators may benefit from group motivational enhancement therapy (GMET) training and adding a GMET module to existing sexual health risk reduction interventions. Future research should examine GMET?s efficacy in combination with other evidence-based interventions within other populations and examine talking over and interrupting one?s sexual partner as an assertive communication behavior within sexual health contexts.","container-title":"Health Education &amp; Behavior","DOI":"10.1177/1090198116630528","ISSN":"1090-1981","issue":"6","journalAbbreviation":"Health Educ Behav","note":"publisher: SAGE Publications Inc","page":"691-698","source":"SAGE Journals","title":"Do As I Say: Using Communication Role-Plays to Assess Sexual Assertiveness Following an Intervention","title-short":"Do As I Say","volume":"43","author":[{"family":"Mercer Kollar","given":"Laura M."},{"family":"Davis","given":"Teaniese L."},{"family":"Monahan","given":"Jennifer L."},{"family":"Samp","given":"Jennifer A."},{"family":"Coles","given":"Valerie B."},{"family":"Bradley","given":"Erin L. P."},{"family":"Sales","given":"Jessica McDermott"},{"family":"Comer","given":"Sarah K."},{"family":"Worley","given":"Timothy"},{"family":"Rose","given":"Eve"},{"family":"DiClemente","given":"Ralph J."}],"issued":{"date-parts":[["2016",12,1]]}}}],"schema":"https://github.com/citation-style-language/schema/raw/master/csl-citation.json"} </w:instrText>
      </w:r>
      <w:r w:rsidR="00450772" w:rsidRPr="00494D70">
        <w:rPr>
          <w:rFonts w:ascii="Times New Roman" w:eastAsia="Times New Roman" w:hAnsi="Times New Roman" w:cs="Times New Roman"/>
          <w:sz w:val="24"/>
          <w:szCs w:val="24"/>
        </w:rPr>
        <w:fldChar w:fldCharType="separate"/>
      </w:r>
      <w:r w:rsidR="00450772" w:rsidRPr="00494D70">
        <w:rPr>
          <w:rFonts w:ascii="Times New Roman" w:hAnsi="Times New Roman" w:cs="Times New Roman"/>
          <w:sz w:val="24"/>
        </w:rPr>
        <w:t>(Mercer Kollar et al., 2016)</w:t>
      </w:r>
      <w:r w:rsidR="00450772" w:rsidRPr="00494D70">
        <w:rPr>
          <w:rFonts w:ascii="Times New Roman" w:eastAsia="Times New Roman" w:hAnsi="Times New Roman" w:cs="Times New Roman"/>
          <w:sz w:val="24"/>
          <w:szCs w:val="24"/>
        </w:rPr>
        <w:fldChar w:fldCharType="end"/>
      </w:r>
      <w:r w:rsidRPr="00494D70">
        <w:rPr>
          <w:rFonts w:ascii="Times New Roman" w:eastAsia="Times New Roman" w:hAnsi="Times New Roman" w:cs="Times New Roman"/>
          <w:sz w:val="24"/>
          <w:szCs w:val="24"/>
        </w:rPr>
        <w:t xml:space="preserve">. This suggests a need for further research to explore the role of non-verbal communication in </w:t>
      </w:r>
      <w:r w:rsidR="006E7ECD" w:rsidRPr="00494D70">
        <w:rPr>
          <w:rFonts w:ascii="Times New Roman" w:eastAsia="Times New Roman" w:hAnsi="Times New Roman" w:cs="Times New Roman"/>
          <w:sz w:val="24"/>
          <w:szCs w:val="24"/>
        </w:rPr>
        <w:t>SA</w:t>
      </w:r>
      <w:r w:rsidRPr="00494D70">
        <w:rPr>
          <w:rFonts w:ascii="Times New Roman" w:eastAsia="Times New Roman" w:hAnsi="Times New Roman" w:cs="Times New Roman"/>
          <w:sz w:val="24"/>
          <w:szCs w:val="24"/>
        </w:rPr>
        <w:t xml:space="preserve">. There is also a lack of specificity regarding which socio-sexual interactions </w:t>
      </w:r>
      <w:proofErr w:type="gramStart"/>
      <w:r w:rsidRPr="00494D70">
        <w:rPr>
          <w:rFonts w:ascii="Times New Roman" w:eastAsia="Times New Roman" w:hAnsi="Times New Roman" w:cs="Times New Roman"/>
          <w:sz w:val="24"/>
          <w:szCs w:val="24"/>
        </w:rPr>
        <w:t>are considered to be</w:t>
      </w:r>
      <w:proofErr w:type="gramEnd"/>
      <w:r w:rsidRPr="00494D70">
        <w:rPr>
          <w:rFonts w:ascii="Times New Roman" w:eastAsia="Times New Roman" w:hAnsi="Times New Roman" w:cs="Times New Roman"/>
          <w:sz w:val="24"/>
          <w:szCs w:val="24"/>
        </w:rPr>
        <w:t xml:space="preserve"> contexts for sexually assertive behavior</w:t>
      </w:r>
      <w:r w:rsidR="006E7ECD" w:rsidRPr="00494D70">
        <w:rPr>
          <w:rFonts w:ascii="Times New Roman" w:eastAsia="Times New Roman" w:hAnsi="Times New Roman" w:cs="Times New Roman"/>
          <w:sz w:val="24"/>
          <w:szCs w:val="24"/>
        </w:rPr>
        <w:t>s</w:t>
      </w:r>
      <w:r w:rsidRPr="00494D70">
        <w:rPr>
          <w:rFonts w:ascii="Times New Roman" w:eastAsia="Times New Roman" w:hAnsi="Times New Roman" w:cs="Times New Roman"/>
          <w:sz w:val="24"/>
          <w:szCs w:val="24"/>
        </w:rPr>
        <w:t xml:space="preserve"> (e.g., whether online dating or other digital contexts are included). </w:t>
      </w:r>
      <w:r w:rsidR="006E7ECD" w:rsidRPr="00494D70">
        <w:rPr>
          <w:rFonts w:ascii="Times New Roman" w:eastAsia="Times New Roman" w:hAnsi="Times New Roman" w:cs="Times New Roman"/>
          <w:sz w:val="24"/>
          <w:szCs w:val="24"/>
        </w:rPr>
        <w:t>Such considerations</w:t>
      </w:r>
      <w:r w:rsidRPr="00494D70">
        <w:rPr>
          <w:rFonts w:ascii="Times New Roman" w:eastAsia="Times New Roman" w:hAnsi="Times New Roman" w:cs="Times New Roman"/>
          <w:sz w:val="24"/>
          <w:szCs w:val="24"/>
        </w:rPr>
        <w:t xml:space="preserve"> may impact the generalizability of findings across different socio-sexual contexts.</w:t>
      </w:r>
    </w:p>
    <w:p w14:paraId="4942012F" w14:textId="6653AFAD" w:rsidR="00372A26" w:rsidRPr="00494D70" w:rsidRDefault="00290FC4" w:rsidP="00672B58">
      <w:pPr>
        <w:spacing w:after="0" w:line="480" w:lineRule="auto"/>
        <w:ind w:firstLine="567"/>
        <w:rPr>
          <w:rFonts w:ascii="Times New Roman" w:eastAsia="Times New Roman" w:hAnsi="Times New Roman" w:cs="Times New Roman"/>
          <w:b/>
          <w:bCs/>
          <w:sz w:val="24"/>
          <w:szCs w:val="24"/>
        </w:rPr>
      </w:pPr>
      <w:r w:rsidRPr="00494D70">
        <w:rPr>
          <w:rFonts w:ascii="Times New Roman" w:eastAsia="Times New Roman" w:hAnsi="Times New Roman" w:cs="Times New Roman"/>
          <w:sz w:val="24"/>
          <w:szCs w:val="24"/>
        </w:rPr>
        <w:t xml:space="preserve">The comparative results in a uniquely large and diverse international sample </w:t>
      </w:r>
      <w:r w:rsidR="006E7ECD" w:rsidRPr="00494D70">
        <w:rPr>
          <w:rFonts w:ascii="Times New Roman" w:eastAsia="Times New Roman" w:hAnsi="Times New Roman" w:cs="Times New Roman"/>
          <w:sz w:val="24"/>
          <w:szCs w:val="24"/>
        </w:rPr>
        <w:t>facilitates an</w:t>
      </w:r>
      <w:r w:rsidRPr="00494D70">
        <w:rPr>
          <w:rFonts w:ascii="Times New Roman" w:eastAsia="Times New Roman" w:hAnsi="Times New Roman" w:cs="Times New Roman"/>
          <w:sz w:val="24"/>
          <w:szCs w:val="24"/>
        </w:rPr>
        <w:t xml:space="preserve"> understand</w:t>
      </w:r>
      <w:r w:rsidR="006E7ECD" w:rsidRPr="00494D70">
        <w:rPr>
          <w:rFonts w:ascii="Times New Roman" w:eastAsia="Times New Roman" w:hAnsi="Times New Roman" w:cs="Times New Roman"/>
          <w:sz w:val="24"/>
          <w:szCs w:val="24"/>
        </w:rPr>
        <w:t>ing</w:t>
      </w:r>
      <w:r w:rsidRPr="00494D70">
        <w:rPr>
          <w:rFonts w:ascii="Times New Roman" w:eastAsia="Times New Roman" w:hAnsi="Times New Roman" w:cs="Times New Roman"/>
          <w:sz w:val="24"/>
          <w:szCs w:val="24"/>
        </w:rPr>
        <w:t xml:space="preserve"> </w:t>
      </w:r>
      <w:r w:rsidR="006E7ECD" w:rsidRPr="00494D70">
        <w:rPr>
          <w:rFonts w:ascii="Times New Roman" w:eastAsia="Times New Roman" w:hAnsi="Times New Roman" w:cs="Times New Roman"/>
          <w:sz w:val="24"/>
          <w:szCs w:val="24"/>
        </w:rPr>
        <w:t>of</w:t>
      </w:r>
      <w:r w:rsidRPr="00494D70">
        <w:rPr>
          <w:rFonts w:ascii="Times New Roman" w:eastAsia="Times New Roman" w:hAnsi="Times New Roman" w:cs="Times New Roman"/>
          <w:sz w:val="24"/>
          <w:szCs w:val="24"/>
        </w:rPr>
        <w:t xml:space="preserve"> demographic </w:t>
      </w:r>
      <w:r w:rsidR="006E7ECD" w:rsidRPr="00494D70">
        <w:rPr>
          <w:rFonts w:ascii="Times New Roman" w:eastAsia="Times New Roman" w:hAnsi="Times New Roman" w:cs="Times New Roman"/>
          <w:sz w:val="24"/>
          <w:szCs w:val="24"/>
        </w:rPr>
        <w:t xml:space="preserve">factors </w:t>
      </w:r>
      <w:r w:rsidRPr="00494D70">
        <w:rPr>
          <w:rFonts w:ascii="Times New Roman" w:eastAsia="Times New Roman" w:hAnsi="Times New Roman" w:cs="Times New Roman"/>
          <w:sz w:val="24"/>
          <w:szCs w:val="24"/>
        </w:rPr>
        <w:t>related to differences in SA. However, further investigation is needed to understand how the intersections of gender, culture, sexual orientation</w:t>
      </w:r>
      <w:r w:rsidR="006F51EA" w:rsidRPr="00494D70">
        <w:rPr>
          <w:rFonts w:ascii="Times New Roman" w:eastAsia="Times New Roman" w:hAnsi="Times New Roman" w:cs="Times New Roman"/>
          <w:sz w:val="24"/>
          <w:szCs w:val="24"/>
        </w:rPr>
        <w:t>,</w:t>
      </w:r>
      <w:r w:rsidRPr="00494D70">
        <w:rPr>
          <w:rFonts w:ascii="Times New Roman" w:eastAsia="Times New Roman" w:hAnsi="Times New Roman" w:cs="Times New Roman"/>
          <w:sz w:val="24"/>
          <w:szCs w:val="24"/>
        </w:rPr>
        <w:t xml:space="preserve"> and relationship </w:t>
      </w:r>
      <w:r w:rsidR="006E7ECD" w:rsidRPr="00494D70">
        <w:rPr>
          <w:rFonts w:ascii="Times New Roman" w:eastAsia="Times New Roman" w:hAnsi="Times New Roman" w:cs="Times New Roman"/>
          <w:sz w:val="24"/>
          <w:szCs w:val="24"/>
        </w:rPr>
        <w:t xml:space="preserve">status </w:t>
      </w:r>
      <w:r w:rsidRPr="00494D70">
        <w:rPr>
          <w:rFonts w:ascii="Times New Roman" w:eastAsia="Times New Roman" w:hAnsi="Times New Roman" w:cs="Times New Roman"/>
          <w:sz w:val="24"/>
          <w:szCs w:val="24"/>
        </w:rPr>
        <w:t xml:space="preserve">relate to SA. Additionally, the associations between </w:t>
      </w:r>
      <w:r w:rsidR="00B71FDF" w:rsidRPr="00494D70">
        <w:rPr>
          <w:rFonts w:ascii="Times New Roman" w:eastAsia="Times New Roman" w:hAnsi="Times New Roman" w:cs="Times New Roman"/>
          <w:sz w:val="24"/>
          <w:szCs w:val="24"/>
        </w:rPr>
        <w:t>SA</w:t>
      </w:r>
      <w:r w:rsidRPr="00494D70">
        <w:rPr>
          <w:rFonts w:ascii="Times New Roman" w:eastAsia="Times New Roman" w:hAnsi="Times New Roman" w:cs="Times New Roman"/>
          <w:sz w:val="24"/>
          <w:szCs w:val="24"/>
        </w:rPr>
        <w:t xml:space="preserve"> and these variables are complex and likely influenced by </w:t>
      </w:r>
      <w:r w:rsidR="006E7ECD" w:rsidRPr="00494D70">
        <w:rPr>
          <w:rFonts w:ascii="Times New Roman" w:eastAsia="Times New Roman" w:hAnsi="Times New Roman" w:cs="Times New Roman"/>
          <w:sz w:val="24"/>
          <w:szCs w:val="24"/>
        </w:rPr>
        <w:t>multiple</w:t>
      </w:r>
      <w:r w:rsidRPr="00494D70">
        <w:rPr>
          <w:rFonts w:ascii="Times New Roman" w:eastAsia="Times New Roman" w:hAnsi="Times New Roman" w:cs="Times New Roman"/>
          <w:sz w:val="24"/>
          <w:szCs w:val="24"/>
        </w:rPr>
        <w:t xml:space="preserve"> other intra- and inter</w:t>
      </w:r>
      <w:r w:rsidR="006E7ECD" w:rsidRPr="00494D70">
        <w:rPr>
          <w:rFonts w:ascii="Times New Roman" w:eastAsia="Times New Roman" w:hAnsi="Times New Roman" w:cs="Times New Roman"/>
          <w:sz w:val="24"/>
          <w:szCs w:val="24"/>
        </w:rPr>
        <w:t>-</w:t>
      </w:r>
      <w:r w:rsidRPr="00494D70">
        <w:rPr>
          <w:rFonts w:ascii="Times New Roman" w:eastAsia="Times New Roman" w:hAnsi="Times New Roman" w:cs="Times New Roman"/>
          <w:sz w:val="24"/>
          <w:szCs w:val="24"/>
        </w:rPr>
        <w:t xml:space="preserve">personal </w:t>
      </w:r>
      <w:r w:rsidR="006E7ECD" w:rsidRPr="00494D70">
        <w:rPr>
          <w:rFonts w:ascii="Times New Roman" w:eastAsia="Times New Roman" w:hAnsi="Times New Roman" w:cs="Times New Roman"/>
          <w:sz w:val="24"/>
          <w:szCs w:val="24"/>
        </w:rPr>
        <w:t>and</w:t>
      </w:r>
      <w:r w:rsidRPr="00494D70">
        <w:rPr>
          <w:rFonts w:ascii="Times New Roman" w:eastAsia="Times New Roman" w:hAnsi="Times New Roman" w:cs="Times New Roman"/>
          <w:sz w:val="24"/>
          <w:szCs w:val="24"/>
        </w:rPr>
        <w:t xml:space="preserve"> contextual factors (e.g., individual personality differences, relationship dynamics)</w:t>
      </w:r>
      <w:r w:rsidR="001E13E0" w:rsidRPr="00494D70">
        <w:rPr>
          <w:rFonts w:ascii="Times New Roman" w:eastAsia="Times New Roman" w:hAnsi="Times New Roman" w:cs="Times New Roman"/>
          <w:sz w:val="24"/>
          <w:szCs w:val="24"/>
        </w:rPr>
        <w:t>. F</w:t>
      </w:r>
      <w:r w:rsidR="0046441F" w:rsidRPr="00494D70">
        <w:rPr>
          <w:rFonts w:ascii="Times New Roman" w:eastAsia="Times New Roman" w:hAnsi="Times New Roman" w:cs="Times New Roman"/>
          <w:sz w:val="24"/>
          <w:szCs w:val="24"/>
        </w:rPr>
        <w:t xml:space="preserve">uture research </w:t>
      </w:r>
      <w:r w:rsidR="006E7ECD" w:rsidRPr="00494D70">
        <w:rPr>
          <w:rFonts w:ascii="Times New Roman" w:eastAsia="Times New Roman" w:hAnsi="Times New Roman" w:cs="Times New Roman"/>
          <w:sz w:val="24"/>
          <w:szCs w:val="24"/>
        </w:rPr>
        <w:t>should investigate these and other</w:t>
      </w:r>
      <w:r w:rsidR="0046441F" w:rsidRPr="00494D70">
        <w:rPr>
          <w:rFonts w:ascii="Times New Roman" w:eastAsia="Times New Roman" w:hAnsi="Times New Roman" w:cs="Times New Roman"/>
          <w:sz w:val="24"/>
          <w:szCs w:val="24"/>
        </w:rPr>
        <w:t xml:space="preserve"> complexities </w:t>
      </w:r>
      <w:r w:rsidR="002332E0" w:rsidRPr="00494D70">
        <w:rPr>
          <w:rFonts w:ascii="Times New Roman" w:eastAsia="Times New Roman" w:hAnsi="Times New Roman" w:cs="Times New Roman"/>
          <w:sz w:val="24"/>
          <w:szCs w:val="24"/>
        </w:rPr>
        <w:t>to</w:t>
      </w:r>
      <w:r w:rsidR="0046441F" w:rsidRPr="00494D70">
        <w:rPr>
          <w:rFonts w:ascii="Times New Roman" w:eastAsia="Times New Roman" w:hAnsi="Times New Roman" w:cs="Times New Roman"/>
          <w:sz w:val="24"/>
          <w:szCs w:val="24"/>
        </w:rPr>
        <w:t xml:space="preserve"> </w:t>
      </w:r>
      <w:r w:rsidR="006E7ECD" w:rsidRPr="00494D70">
        <w:rPr>
          <w:rFonts w:ascii="Times New Roman" w:eastAsia="Times New Roman" w:hAnsi="Times New Roman" w:cs="Times New Roman"/>
          <w:sz w:val="24"/>
          <w:szCs w:val="24"/>
        </w:rPr>
        <w:t xml:space="preserve">further develop </w:t>
      </w:r>
      <w:r w:rsidR="001C3BA5" w:rsidRPr="00494D70">
        <w:rPr>
          <w:rFonts w:ascii="Times New Roman" w:eastAsia="Times New Roman" w:hAnsi="Times New Roman" w:cs="Times New Roman"/>
          <w:sz w:val="24"/>
          <w:szCs w:val="24"/>
        </w:rPr>
        <w:t xml:space="preserve">a </w:t>
      </w:r>
      <w:r w:rsidRPr="00494D70">
        <w:rPr>
          <w:rFonts w:ascii="Times New Roman" w:eastAsia="Times New Roman" w:hAnsi="Times New Roman" w:cs="Times New Roman"/>
          <w:sz w:val="24"/>
          <w:szCs w:val="24"/>
        </w:rPr>
        <w:t xml:space="preserve">comprehensive </w:t>
      </w:r>
      <w:r w:rsidR="006E7ECD" w:rsidRPr="00494D70">
        <w:rPr>
          <w:rFonts w:ascii="Times New Roman" w:eastAsia="Times New Roman" w:hAnsi="Times New Roman" w:cs="Times New Roman"/>
          <w:sz w:val="24"/>
          <w:szCs w:val="24"/>
        </w:rPr>
        <w:t>understanding</w:t>
      </w:r>
      <w:r w:rsidR="001C3BA5" w:rsidRPr="00494D70">
        <w:rPr>
          <w:rFonts w:ascii="Times New Roman" w:eastAsia="Times New Roman" w:hAnsi="Times New Roman" w:cs="Times New Roman"/>
          <w:sz w:val="24"/>
          <w:szCs w:val="24"/>
        </w:rPr>
        <w:t xml:space="preserve"> </w:t>
      </w:r>
      <w:r w:rsidRPr="00494D70">
        <w:rPr>
          <w:rFonts w:ascii="Times New Roman" w:eastAsia="Times New Roman" w:hAnsi="Times New Roman" w:cs="Times New Roman"/>
          <w:sz w:val="24"/>
          <w:szCs w:val="24"/>
        </w:rPr>
        <w:t xml:space="preserve">of </w:t>
      </w:r>
      <w:r w:rsidR="001C3BA5" w:rsidRPr="00494D70">
        <w:rPr>
          <w:rFonts w:ascii="Times New Roman" w:eastAsia="Times New Roman" w:hAnsi="Times New Roman" w:cs="Times New Roman"/>
          <w:sz w:val="24"/>
          <w:szCs w:val="24"/>
        </w:rPr>
        <w:t xml:space="preserve">SA. </w:t>
      </w:r>
      <w:r w:rsidR="00372A26" w:rsidRPr="00494D70">
        <w:rPr>
          <w:rFonts w:ascii="Times New Roman" w:eastAsia="Times New Roman" w:hAnsi="Times New Roman" w:cs="Times New Roman"/>
          <w:sz w:val="24"/>
          <w:szCs w:val="24"/>
        </w:rPr>
        <w:t>Importantly, in this study, binary trans men and women were grouped with binary cis men and women due to their low number</w:t>
      </w:r>
      <w:r w:rsidR="00B26D2D" w:rsidRPr="00494D70">
        <w:rPr>
          <w:rFonts w:ascii="Times New Roman" w:eastAsia="Times New Roman" w:hAnsi="Times New Roman" w:cs="Times New Roman"/>
          <w:sz w:val="24"/>
          <w:szCs w:val="24"/>
        </w:rPr>
        <w:t>s</w:t>
      </w:r>
      <w:r w:rsidR="00372A26" w:rsidRPr="00494D70">
        <w:rPr>
          <w:rFonts w:ascii="Times New Roman" w:eastAsia="Times New Roman" w:hAnsi="Times New Roman" w:cs="Times New Roman"/>
          <w:sz w:val="24"/>
          <w:szCs w:val="24"/>
        </w:rPr>
        <w:t xml:space="preserve"> in the sample. Future studies should examine this population with more nuance as their experiences, identities, and needs may differ significantly from those of cisgender individuals.</w:t>
      </w:r>
    </w:p>
    <w:p w14:paraId="77606AA2" w14:textId="36CCB32F" w:rsidR="0086480C" w:rsidRPr="00494D70" w:rsidRDefault="0086480C" w:rsidP="000B124E">
      <w:pPr>
        <w:spacing w:after="0" w:line="480" w:lineRule="auto"/>
        <w:rPr>
          <w:rFonts w:ascii="Times New Roman" w:eastAsia="Times New Roman" w:hAnsi="Times New Roman" w:cs="Times New Roman"/>
          <w:i/>
          <w:iCs/>
          <w:sz w:val="24"/>
          <w:szCs w:val="24"/>
        </w:rPr>
      </w:pPr>
      <w:r w:rsidRPr="00494D70">
        <w:rPr>
          <w:rFonts w:ascii="Times New Roman" w:eastAsia="Times New Roman" w:hAnsi="Times New Roman" w:cs="Times New Roman"/>
          <w:i/>
          <w:iCs/>
          <w:sz w:val="24"/>
          <w:szCs w:val="24"/>
        </w:rPr>
        <w:t xml:space="preserve">Conclusions and </w:t>
      </w:r>
      <w:r w:rsidR="00407868" w:rsidRPr="00494D70">
        <w:rPr>
          <w:rFonts w:ascii="Times New Roman" w:eastAsia="Times New Roman" w:hAnsi="Times New Roman" w:cs="Times New Roman"/>
          <w:i/>
          <w:iCs/>
          <w:sz w:val="24"/>
          <w:szCs w:val="24"/>
        </w:rPr>
        <w:t>i</w:t>
      </w:r>
      <w:r w:rsidR="006F51EA" w:rsidRPr="00494D70">
        <w:rPr>
          <w:rFonts w:ascii="Times New Roman" w:eastAsia="Times New Roman" w:hAnsi="Times New Roman" w:cs="Times New Roman"/>
          <w:i/>
          <w:iCs/>
          <w:sz w:val="24"/>
          <w:szCs w:val="24"/>
        </w:rPr>
        <w:t>mplications</w:t>
      </w:r>
    </w:p>
    <w:p w14:paraId="1BE24EBC" w14:textId="6BD02A3E" w:rsidR="00537FC0" w:rsidRPr="00494D70" w:rsidRDefault="004923FC" w:rsidP="00B545BD">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t xml:space="preserve">Our study </w:t>
      </w:r>
      <w:r w:rsidR="00534939" w:rsidRPr="00494D70">
        <w:rPr>
          <w:rFonts w:ascii="Times New Roman" w:eastAsia="Times New Roman" w:hAnsi="Times New Roman" w:cs="Times New Roman"/>
          <w:sz w:val="24"/>
          <w:szCs w:val="24"/>
        </w:rPr>
        <w:t xml:space="preserve">fills a </w:t>
      </w:r>
      <w:r w:rsidR="004A334F" w:rsidRPr="00494D70">
        <w:rPr>
          <w:rFonts w:ascii="Times New Roman" w:eastAsia="Times New Roman" w:hAnsi="Times New Roman" w:cs="Times New Roman"/>
          <w:sz w:val="24"/>
          <w:szCs w:val="24"/>
        </w:rPr>
        <w:t>methodological</w:t>
      </w:r>
      <w:r w:rsidR="002C3CD1" w:rsidRPr="00494D70">
        <w:rPr>
          <w:rFonts w:ascii="Times New Roman" w:eastAsia="Times New Roman" w:hAnsi="Times New Roman" w:cs="Times New Roman"/>
          <w:sz w:val="24"/>
          <w:szCs w:val="24"/>
        </w:rPr>
        <w:t xml:space="preserve"> gap </w:t>
      </w:r>
      <w:r w:rsidR="00534939" w:rsidRPr="00494D70">
        <w:rPr>
          <w:rFonts w:ascii="Times New Roman" w:eastAsia="Times New Roman" w:hAnsi="Times New Roman" w:cs="Times New Roman"/>
          <w:sz w:val="24"/>
          <w:szCs w:val="24"/>
        </w:rPr>
        <w:t>and proposes</w:t>
      </w:r>
      <w:r w:rsidR="002C3CD1" w:rsidRPr="00494D70">
        <w:rPr>
          <w:rFonts w:ascii="Times New Roman" w:eastAsia="Times New Roman" w:hAnsi="Times New Roman" w:cs="Times New Roman"/>
          <w:sz w:val="24"/>
          <w:szCs w:val="24"/>
        </w:rPr>
        <w:t xml:space="preserve"> a</w:t>
      </w:r>
      <w:r w:rsidR="00635EBE" w:rsidRPr="00494D70">
        <w:rPr>
          <w:rFonts w:ascii="Times New Roman" w:eastAsia="Times New Roman" w:hAnsi="Times New Roman" w:cs="Times New Roman"/>
          <w:sz w:val="24"/>
          <w:szCs w:val="24"/>
        </w:rPr>
        <w:t xml:space="preserve"> </w:t>
      </w:r>
      <w:r w:rsidR="001B3C93" w:rsidRPr="00494D70">
        <w:rPr>
          <w:rFonts w:ascii="Times New Roman" w:eastAsia="Times New Roman" w:hAnsi="Times New Roman" w:cs="Times New Roman"/>
          <w:sz w:val="24"/>
          <w:szCs w:val="24"/>
        </w:rPr>
        <w:t xml:space="preserve">short </w:t>
      </w:r>
      <w:r w:rsidR="00635EBE" w:rsidRPr="00494D70">
        <w:rPr>
          <w:rFonts w:ascii="Times New Roman" w:eastAsia="Times New Roman" w:hAnsi="Times New Roman" w:cs="Times New Roman"/>
          <w:sz w:val="24"/>
          <w:szCs w:val="24"/>
        </w:rPr>
        <w:t xml:space="preserve">measure </w:t>
      </w:r>
      <w:r w:rsidR="006D6648" w:rsidRPr="00494D70">
        <w:rPr>
          <w:rFonts w:ascii="Times New Roman" w:eastAsia="Times New Roman" w:hAnsi="Times New Roman" w:cs="Times New Roman"/>
          <w:sz w:val="24"/>
          <w:szCs w:val="24"/>
        </w:rPr>
        <w:t xml:space="preserve">available in </w:t>
      </w:r>
      <w:r w:rsidR="00672589" w:rsidRPr="00494D70">
        <w:rPr>
          <w:rFonts w:ascii="Times New Roman" w:eastAsia="Times New Roman" w:hAnsi="Times New Roman" w:cs="Times New Roman"/>
          <w:sz w:val="24"/>
          <w:szCs w:val="24"/>
        </w:rPr>
        <w:t xml:space="preserve">26 languages, </w:t>
      </w:r>
      <w:r w:rsidR="00635EBE" w:rsidRPr="00494D70">
        <w:rPr>
          <w:rFonts w:ascii="Times New Roman" w:eastAsia="Times New Roman" w:hAnsi="Times New Roman" w:cs="Times New Roman"/>
          <w:sz w:val="24"/>
          <w:szCs w:val="24"/>
        </w:rPr>
        <w:t xml:space="preserve">conceptualizing </w:t>
      </w:r>
      <w:r w:rsidR="0059097D" w:rsidRPr="00494D70">
        <w:rPr>
          <w:rFonts w:ascii="Times New Roman" w:eastAsia="Times New Roman" w:hAnsi="Times New Roman" w:cs="Times New Roman"/>
          <w:sz w:val="24"/>
          <w:szCs w:val="24"/>
        </w:rPr>
        <w:t xml:space="preserve">the </w:t>
      </w:r>
      <w:r w:rsidR="00C70C08" w:rsidRPr="00494D70">
        <w:rPr>
          <w:rFonts w:ascii="Times New Roman" w:eastAsia="Times New Roman" w:hAnsi="Times New Roman" w:cs="Times New Roman"/>
          <w:sz w:val="24"/>
          <w:szCs w:val="24"/>
        </w:rPr>
        <w:t xml:space="preserve">three </w:t>
      </w:r>
      <w:r w:rsidR="00E52D57" w:rsidRPr="00494D70">
        <w:rPr>
          <w:rFonts w:ascii="Times New Roman" w:eastAsia="Times New Roman" w:hAnsi="Times New Roman" w:cs="Times New Roman"/>
          <w:sz w:val="24"/>
          <w:szCs w:val="24"/>
        </w:rPr>
        <w:t>key</w:t>
      </w:r>
      <w:r w:rsidR="00C70C08" w:rsidRPr="00494D70">
        <w:rPr>
          <w:rFonts w:ascii="Times New Roman" w:eastAsia="Times New Roman" w:hAnsi="Times New Roman" w:cs="Times New Roman"/>
          <w:sz w:val="24"/>
          <w:szCs w:val="24"/>
        </w:rPr>
        <w:t xml:space="preserve"> domains of SA</w:t>
      </w:r>
      <w:r w:rsidR="004A334F" w:rsidRPr="00494D70">
        <w:rPr>
          <w:rFonts w:ascii="Times New Roman" w:eastAsia="Times New Roman" w:hAnsi="Times New Roman" w:cs="Times New Roman"/>
          <w:sz w:val="24"/>
          <w:szCs w:val="24"/>
        </w:rPr>
        <w:t xml:space="preserve">. </w:t>
      </w:r>
      <w:r w:rsidR="0086480C" w:rsidRPr="00494D70">
        <w:rPr>
          <w:rFonts w:ascii="Times New Roman" w:eastAsia="Times New Roman" w:hAnsi="Times New Roman" w:cs="Times New Roman"/>
          <w:sz w:val="24"/>
          <w:szCs w:val="24"/>
        </w:rPr>
        <w:t xml:space="preserve">Based on </w:t>
      </w:r>
      <w:r w:rsidR="0052536A" w:rsidRPr="00494D70">
        <w:rPr>
          <w:rFonts w:ascii="Times New Roman" w:eastAsia="Times New Roman" w:hAnsi="Times New Roman" w:cs="Times New Roman"/>
          <w:sz w:val="24"/>
          <w:szCs w:val="24"/>
        </w:rPr>
        <w:t xml:space="preserve">the </w:t>
      </w:r>
      <w:r w:rsidR="0086480C" w:rsidRPr="00494D70">
        <w:rPr>
          <w:rFonts w:ascii="Times New Roman" w:eastAsia="Times New Roman" w:hAnsi="Times New Roman" w:cs="Times New Roman"/>
          <w:sz w:val="24"/>
          <w:szCs w:val="24"/>
        </w:rPr>
        <w:t xml:space="preserve">results from </w:t>
      </w:r>
      <w:r w:rsidR="00ED1AA6" w:rsidRPr="00494D70">
        <w:rPr>
          <w:rFonts w:ascii="Times New Roman" w:eastAsia="Times New Roman" w:hAnsi="Times New Roman" w:cs="Times New Roman"/>
          <w:sz w:val="24"/>
          <w:szCs w:val="24"/>
        </w:rPr>
        <w:t xml:space="preserve">our </w:t>
      </w:r>
      <w:r w:rsidR="0086480C" w:rsidRPr="00494D70">
        <w:rPr>
          <w:rFonts w:ascii="Times New Roman" w:eastAsia="Times New Roman" w:hAnsi="Times New Roman" w:cs="Times New Roman"/>
          <w:sz w:val="24"/>
          <w:szCs w:val="24"/>
        </w:rPr>
        <w:t xml:space="preserve">large-scale cross-cultural survey, </w:t>
      </w:r>
      <w:r w:rsidR="0052536A" w:rsidRPr="00494D70">
        <w:rPr>
          <w:rFonts w:ascii="Times New Roman" w:eastAsia="Times New Roman" w:hAnsi="Times New Roman" w:cs="Times New Roman"/>
          <w:sz w:val="24"/>
          <w:szCs w:val="24"/>
        </w:rPr>
        <w:t>the</w:t>
      </w:r>
      <w:r w:rsidR="0086480C" w:rsidRPr="00494D70">
        <w:rPr>
          <w:rFonts w:ascii="Times New Roman" w:eastAsia="Times New Roman" w:hAnsi="Times New Roman" w:cs="Times New Roman"/>
          <w:sz w:val="24"/>
          <w:szCs w:val="24"/>
        </w:rPr>
        <w:t xml:space="preserve"> SAQ-9 is a valid and reliable measure</w:t>
      </w:r>
      <w:r w:rsidR="0052536A" w:rsidRPr="00494D70">
        <w:rPr>
          <w:rFonts w:ascii="Times New Roman" w:eastAsia="Times New Roman" w:hAnsi="Times New Roman" w:cs="Times New Roman"/>
          <w:sz w:val="24"/>
          <w:szCs w:val="24"/>
        </w:rPr>
        <w:t xml:space="preserve"> </w:t>
      </w:r>
      <w:r w:rsidR="002E4AA1" w:rsidRPr="00494D70">
        <w:rPr>
          <w:rFonts w:ascii="Times New Roman" w:eastAsia="Times New Roman" w:hAnsi="Times New Roman" w:cs="Times New Roman"/>
          <w:sz w:val="24"/>
          <w:szCs w:val="24"/>
        </w:rPr>
        <w:t xml:space="preserve">of </w:t>
      </w:r>
      <w:r w:rsidR="00351777" w:rsidRPr="00494D70">
        <w:rPr>
          <w:rFonts w:ascii="Times New Roman" w:eastAsia="Times New Roman" w:hAnsi="Times New Roman" w:cs="Times New Roman"/>
          <w:sz w:val="24"/>
          <w:szCs w:val="24"/>
        </w:rPr>
        <w:t xml:space="preserve">sexual initiation, refusal and risk communication assertiveness </w:t>
      </w:r>
      <w:r w:rsidR="0086480C" w:rsidRPr="00494D70">
        <w:rPr>
          <w:rFonts w:ascii="Times New Roman" w:eastAsia="Times New Roman" w:hAnsi="Times New Roman" w:cs="Times New Roman"/>
          <w:sz w:val="24"/>
          <w:szCs w:val="24"/>
        </w:rPr>
        <w:t>across different languages, countries, genders, sexual orientations</w:t>
      </w:r>
      <w:r w:rsidR="006F51EA" w:rsidRPr="00494D70">
        <w:rPr>
          <w:rFonts w:ascii="Times New Roman" w:eastAsia="Times New Roman" w:hAnsi="Times New Roman" w:cs="Times New Roman"/>
          <w:sz w:val="24"/>
          <w:szCs w:val="24"/>
        </w:rPr>
        <w:t>,</w:t>
      </w:r>
      <w:r w:rsidR="0086480C" w:rsidRPr="00494D70">
        <w:rPr>
          <w:rFonts w:ascii="Times New Roman" w:eastAsia="Times New Roman" w:hAnsi="Times New Roman" w:cs="Times New Roman"/>
          <w:sz w:val="24"/>
          <w:szCs w:val="24"/>
        </w:rPr>
        <w:t xml:space="preserve"> and relationship statuses.</w:t>
      </w:r>
      <w:r w:rsidR="0024102F" w:rsidRPr="00494D70">
        <w:rPr>
          <w:rFonts w:ascii="Times New Roman" w:eastAsia="Times New Roman" w:hAnsi="Times New Roman" w:cs="Times New Roman"/>
          <w:sz w:val="24"/>
          <w:szCs w:val="24"/>
        </w:rPr>
        <w:t xml:space="preserve"> </w:t>
      </w:r>
      <w:r w:rsidR="00537FC0" w:rsidRPr="00494D70">
        <w:rPr>
          <w:rFonts w:ascii="Times New Roman" w:eastAsia="Times New Roman" w:hAnsi="Times New Roman" w:cs="Times New Roman"/>
          <w:sz w:val="24"/>
          <w:szCs w:val="24"/>
        </w:rPr>
        <w:t xml:space="preserve">Our study is anticipated to facilitate future </w:t>
      </w:r>
      <w:r w:rsidR="00537FC0" w:rsidRPr="00494D70">
        <w:rPr>
          <w:rFonts w:ascii="Times New Roman" w:eastAsia="Times New Roman" w:hAnsi="Times New Roman" w:cs="Times New Roman"/>
          <w:sz w:val="24"/>
          <w:szCs w:val="24"/>
        </w:rPr>
        <w:lastRenderedPageBreak/>
        <w:t>research to explore cross-cultural</w:t>
      </w:r>
      <w:r w:rsidR="009878CD" w:rsidRPr="00494D70">
        <w:rPr>
          <w:rFonts w:ascii="Times New Roman" w:eastAsia="Times New Roman" w:hAnsi="Times New Roman" w:cs="Times New Roman"/>
          <w:sz w:val="24"/>
          <w:szCs w:val="24"/>
        </w:rPr>
        <w:t xml:space="preserve"> and other demographic</w:t>
      </w:r>
      <w:r w:rsidR="00537FC0" w:rsidRPr="00494D70">
        <w:rPr>
          <w:rFonts w:ascii="Times New Roman" w:eastAsia="Times New Roman" w:hAnsi="Times New Roman" w:cs="Times New Roman"/>
          <w:sz w:val="24"/>
          <w:szCs w:val="24"/>
        </w:rPr>
        <w:t xml:space="preserve"> differences in the construct with increased detail and nuance.</w:t>
      </w:r>
    </w:p>
    <w:p w14:paraId="3D018CCD" w14:textId="1187EAF0" w:rsidR="0029367D" w:rsidRPr="00494D70" w:rsidRDefault="006E7ECD" w:rsidP="00B545BD">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t xml:space="preserve">The findings </w:t>
      </w:r>
      <w:r w:rsidR="0024102F" w:rsidRPr="00494D70">
        <w:rPr>
          <w:rFonts w:ascii="Times New Roman" w:eastAsia="Times New Roman" w:hAnsi="Times New Roman" w:cs="Times New Roman"/>
          <w:sz w:val="24"/>
          <w:szCs w:val="24"/>
        </w:rPr>
        <w:t xml:space="preserve">corroborated recent </w:t>
      </w:r>
      <w:r w:rsidRPr="00494D70">
        <w:rPr>
          <w:rFonts w:ascii="Times New Roman" w:eastAsia="Times New Roman" w:hAnsi="Times New Roman" w:cs="Times New Roman"/>
          <w:sz w:val="24"/>
          <w:szCs w:val="24"/>
        </w:rPr>
        <w:t xml:space="preserve">results </w:t>
      </w:r>
      <w:r w:rsidR="002F080F"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{"citationID":"5enEXolE","properties":{"formattedCitation":"(Gil-Llario et al., 2021; Stulhofer et al., 2009)","plainCitation":"(Gil-Llario et al., 2021; Stulhofer et al., 2009)","noteIndex":0},"citationItems":[{"id":3179,"uris":["http://zotero.org/users/7402913/items/W99U3RIN"],"itemData":{"id":3179,"type":"article-journal","abstract":"The potential consequences of being assertive or non-assertive for people’s sexual health and sexual well-being highlight the importance of assessing sexual assertiveness (SA). The currently available measures have limitations because they do not take recent social changes into account, they are designed to only assess women, and/or they ignore several components of SA. This study tests the psychometric properties of the Assertiveness in Sexual Relations Questionnaire (ASRQ).","container-title":"Sexuality Research and Social Policy","DOI":"10.1007/s13178-021-00630-6","ISSN":"1553-6610","journalAbbreviation":"Sex Res Soc Policy","language":"en","source":"Springer Link","title":"Development and Psychometric Properties of an Instrument for the Assessment of Assertiveness in Sexual Relations","URL":"https://doi.org/10.1007/s13178-021-00630-6","author":[{"family":"Gil-Llario","given":"María Dolores"},{"family":"Fernández-García","given":"Olga"},{"family":"Gil-Juliá","given":"Beatriz"},{"family":"Estruch-García","given":"Verónica"},{"family":"Ballester-Arnal","given":"Rafael"}],"accessed":{"date-parts":[["2022",3,30]]},"issued":{"date-parts":[["2021",8,3]]}}},{"id":3306,"uris":["http://zotero.org/users/7402913/items/PBBZITQI"],"itemData":{"id":3306,"type":"article-journal","abstract":"Despite the recent increase in the number of HIV infections in Central and Eastern Europe, patterns of sexual behavior have not been extensively researched, particularly among young people. The aim of the present study was to provide a comprehensive assessment of HIV/AIDS-related vulnerability and sexual risk-taking among young adults in Croatia. Data were collected in 2005 using a nationally representative, multi-stage stratified probability sample (n = 1,093) of women and men aged 18-24 years. The focus in this article was on predictors of sexual risk-taking measured by a composite risky sexual behaviors scale. Using hierarchical regression models, we analyzed gendered effects of community, family, peer group, and individual level factors. For both men and women, peer pressure, sensation seeking, personal risk-assessment, behavioral intention, condom use at first sexual intercourse, and sexual victimization were significant predictors of sexual risk-taking behaviors. A number of predictors were gender-specific: sexual assertiveness and condom self-efficacy for women and parental monitoring, traditional morality, HIV knowledge, and talking about sex with partner for men. Documenting substantial prevalence of potentially risky sexual behaviors among young people in Croatia, the findings call for prevention and intervention efforts that should focus on individual capacity building for responsible sexual behavior.","container-title":"Archives of Sexual Behavior","DOI":"10.1007/s10508-007-9234-8","ISSN":"0004-0002","issue":"2","language":"English","page":"209-225","title":"An Assessment of HIV/STI Vulnerability and Related Sexual Risk-Taking in a Nationally Representative Sample of Young Croatian Adults","volume":"38","author":[{"family":"Stulhofer","given":"Aleksandar"},{"family":"Graham","given":"Cynthia"},{"family":"Bozicevic","given":"Ivana"},{"family":"Kufrin","given":"Kresimir"},{"family":"Ajdukovic","given":"Dean"}],"issued":{"date-parts":[["2009"]]}}}],"schema":"https://github.com/citation-style-language/schema/raw/master/csl-citation.json"} </w:instrText>
      </w:r>
      <w:r w:rsidR="002F080F" w:rsidRPr="00494D70">
        <w:rPr>
          <w:rFonts w:ascii="Times New Roman" w:eastAsia="Times New Roman" w:hAnsi="Times New Roman" w:cs="Times New Roman"/>
          <w:sz w:val="24"/>
          <w:szCs w:val="24"/>
        </w:rPr>
        <w:fldChar w:fldCharType="separate"/>
      </w:r>
      <w:r w:rsidR="002F080F" w:rsidRPr="00494D70">
        <w:rPr>
          <w:rFonts w:ascii="Times New Roman" w:hAnsi="Times New Roman" w:cs="Times New Roman"/>
          <w:sz w:val="24"/>
        </w:rPr>
        <w:t>(Gil-Llario et al., 2021; Stulhofer et al., 2009)</w:t>
      </w:r>
      <w:r w:rsidR="002F080F" w:rsidRPr="00494D70">
        <w:rPr>
          <w:rFonts w:ascii="Times New Roman" w:eastAsia="Times New Roman" w:hAnsi="Times New Roman" w:cs="Times New Roman"/>
          <w:sz w:val="24"/>
          <w:szCs w:val="24"/>
        </w:rPr>
        <w:fldChar w:fldCharType="end"/>
      </w:r>
      <w:r w:rsidR="002F080F" w:rsidRPr="00494D70">
        <w:rPr>
          <w:rFonts w:ascii="Times New Roman" w:eastAsia="Times New Roman" w:hAnsi="Times New Roman" w:cs="Times New Roman"/>
          <w:sz w:val="24"/>
          <w:szCs w:val="24"/>
        </w:rPr>
        <w:t xml:space="preserve"> </w:t>
      </w:r>
      <w:r w:rsidRPr="00494D70">
        <w:rPr>
          <w:rFonts w:ascii="Times New Roman" w:eastAsia="Times New Roman" w:hAnsi="Times New Roman" w:cs="Times New Roman"/>
          <w:sz w:val="24"/>
          <w:szCs w:val="24"/>
        </w:rPr>
        <w:t xml:space="preserve">regarding </w:t>
      </w:r>
      <w:r w:rsidR="0024102F" w:rsidRPr="00494D70">
        <w:rPr>
          <w:rFonts w:ascii="Times New Roman" w:eastAsia="Times New Roman" w:hAnsi="Times New Roman" w:cs="Times New Roman"/>
          <w:sz w:val="24"/>
          <w:szCs w:val="24"/>
        </w:rPr>
        <w:t xml:space="preserve">lower </w:t>
      </w:r>
      <w:r w:rsidR="003B357E" w:rsidRPr="00494D70">
        <w:rPr>
          <w:rFonts w:ascii="Times New Roman" w:eastAsia="Times New Roman" w:hAnsi="Times New Roman" w:cs="Times New Roman"/>
          <w:sz w:val="24"/>
          <w:szCs w:val="24"/>
        </w:rPr>
        <w:t>SA</w:t>
      </w:r>
      <w:r w:rsidR="0024102F" w:rsidRPr="00494D70">
        <w:rPr>
          <w:rFonts w:ascii="Times New Roman" w:eastAsia="Times New Roman" w:hAnsi="Times New Roman" w:cs="Times New Roman"/>
          <w:sz w:val="24"/>
          <w:szCs w:val="24"/>
        </w:rPr>
        <w:t xml:space="preserve"> in men </w:t>
      </w:r>
      <w:r w:rsidRPr="00494D70">
        <w:rPr>
          <w:rFonts w:ascii="Times New Roman" w:eastAsia="Times New Roman" w:hAnsi="Times New Roman" w:cs="Times New Roman"/>
          <w:sz w:val="24"/>
          <w:szCs w:val="24"/>
        </w:rPr>
        <w:t xml:space="preserve">as </w:t>
      </w:r>
      <w:r w:rsidR="0024102F" w:rsidRPr="00494D70">
        <w:rPr>
          <w:rFonts w:ascii="Times New Roman" w:eastAsia="Times New Roman" w:hAnsi="Times New Roman" w:cs="Times New Roman"/>
          <w:sz w:val="24"/>
          <w:szCs w:val="24"/>
        </w:rPr>
        <w:t xml:space="preserve">compared to </w:t>
      </w:r>
      <w:r w:rsidR="00C005F7" w:rsidRPr="00494D70">
        <w:rPr>
          <w:rFonts w:ascii="Times New Roman" w:eastAsia="Times New Roman" w:hAnsi="Times New Roman" w:cs="Times New Roman"/>
          <w:sz w:val="24"/>
          <w:szCs w:val="24"/>
        </w:rPr>
        <w:t>women</w:t>
      </w:r>
      <w:r w:rsidRPr="00494D70">
        <w:rPr>
          <w:rFonts w:ascii="Times New Roman" w:eastAsia="Times New Roman" w:hAnsi="Times New Roman" w:cs="Times New Roman"/>
          <w:sz w:val="24"/>
          <w:szCs w:val="24"/>
        </w:rPr>
        <w:t xml:space="preserve">, extended </w:t>
      </w:r>
      <w:r w:rsidR="00CA7189" w:rsidRPr="00494D70">
        <w:rPr>
          <w:rFonts w:ascii="Times New Roman" w:eastAsia="Times New Roman" w:hAnsi="Times New Roman" w:cs="Times New Roman"/>
          <w:sz w:val="24"/>
          <w:szCs w:val="24"/>
        </w:rPr>
        <w:t>knowledge</w:t>
      </w:r>
      <w:r w:rsidRPr="00494D70">
        <w:rPr>
          <w:rFonts w:ascii="Times New Roman" w:eastAsia="Times New Roman" w:hAnsi="Times New Roman" w:cs="Times New Roman"/>
          <w:sz w:val="24"/>
          <w:szCs w:val="24"/>
        </w:rPr>
        <w:t xml:space="preserve"> to</w:t>
      </w:r>
      <w:r w:rsidR="00C005F7" w:rsidRPr="00494D70">
        <w:rPr>
          <w:rFonts w:ascii="Times New Roman" w:eastAsia="Times New Roman" w:hAnsi="Times New Roman" w:cs="Times New Roman"/>
          <w:sz w:val="24"/>
          <w:szCs w:val="24"/>
        </w:rPr>
        <w:t xml:space="preserve"> gender-diverse individuals</w:t>
      </w:r>
      <w:r w:rsidR="006F51EA" w:rsidRPr="00494D70">
        <w:rPr>
          <w:rFonts w:ascii="Times New Roman" w:eastAsia="Times New Roman" w:hAnsi="Times New Roman" w:cs="Times New Roman"/>
          <w:sz w:val="24"/>
          <w:szCs w:val="24"/>
        </w:rPr>
        <w:t xml:space="preserve"> and </w:t>
      </w:r>
      <w:r w:rsidR="00C005F7" w:rsidRPr="00494D70">
        <w:rPr>
          <w:rFonts w:ascii="Times New Roman" w:eastAsia="Times New Roman" w:hAnsi="Times New Roman" w:cs="Times New Roman"/>
          <w:sz w:val="24"/>
          <w:szCs w:val="24"/>
        </w:rPr>
        <w:t>identifie</w:t>
      </w:r>
      <w:r w:rsidR="005C1212" w:rsidRPr="00494D70">
        <w:rPr>
          <w:rFonts w:ascii="Times New Roman" w:eastAsia="Times New Roman" w:hAnsi="Times New Roman" w:cs="Times New Roman"/>
          <w:sz w:val="24"/>
          <w:szCs w:val="24"/>
        </w:rPr>
        <w:t>d</w:t>
      </w:r>
      <w:r w:rsidR="00C005F7" w:rsidRPr="00494D70">
        <w:rPr>
          <w:rFonts w:ascii="Times New Roman" w:eastAsia="Times New Roman" w:hAnsi="Times New Roman" w:cs="Times New Roman"/>
          <w:sz w:val="24"/>
          <w:szCs w:val="24"/>
        </w:rPr>
        <w:t xml:space="preserve"> </w:t>
      </w:r>
      <w:r w:rsidR="00363CE8" w:rsidRPr="00494D70">
        <w:rPr>
          <w:rFonts w:ascii="Times New Roman" w:eastAsia="Times New Roman" w:hAnsi="Times New Roman" w:cs="Times New Roman"/>
          <w:sz w:val="24"/>
          <w:szCs w:val="24"/>
        </w:rPr>
        <w:t xml:space="preserve">vulnerable groups of sexual minorities (i.e., asexual individuals and </w:t>
      </w:r>
      <w:r w:rsidR="00C762B5" w:rsidRPr="00494D70">
        <w:rPr>
          <w:rFonts w:ascii="Times New Roman" w:eastAsia="Times New Roman" w:hAnsi="Times New Roman" w:cs="Times New Roman"/>
          <w:sz w:val="24"/>
          <w:szCs w:val="24"/>
        </w:rPr>
        <w:t>individuals</w:t>
      </w:r>
      <w:r w:rsidR="00363CE8" w:rsidRPr="00494D70">
        <w:rPr>
          <w:rFonts w:ascii="Times New Roman" w:eastAsia="Times New Roman" w:hAnsi="Times New Roman" w:cs="Times New Roman"/>
          <w:sz w:val="24"/>
          <w:szCs w:val="24"/>
        </w:rPr>
        <w:t xml:space="preserve"> unsure about their </w:t>
      </w:r>
      <w:r w:rsidR="00D40914" w:rsidRPr="00494D70">
        <w:rPr>
          <w:rFonts w:ascii="Times New Roman" w:eastAsia="Times New Roman" w:hAnsi="Times New Roman" w:cs="Times New Roman"/>
          <w:sz w:val="24"/>
          <w:szCs w:val="24"/>
        </w:rPr>
        <w:t>sexual orientation)</w:t>
      </w:r>
      <w:r w:rsidRPr="00494D70">
        <w:rPr>
          <w:rFonts w:ascii="Times New Roman" w:eastAsia="Times New Roman" w:hAnsi="Times New Roman" w:cs="Times New Roman"/>
          <w:sz w:val="24"/>
          <w:szCs w:val="24"/>
        </w:rPr>
        <w:t>.</w:t>
      </w:r>
      <w:r w:rsidR="00D40914" w:rsidRPr="00494D70">
        <w:rPr>
          <w:rFonts w:ascii="Times New Roman" w:eastAsia="Times New Roman" w:hAnsi="Times New Roman" w:cs="Times New Roman"/>
          <w:sz w:val="24"/>
          <w:szCs w:val="24"/>
        </w:rPr>
        <w:t xml:space="preserve"> </w:t>
      </w:r>
      <w:r w:rsidRPr="00494D70">
        <w:rPr>
          <w:rFonts w:ascii="Times New Roman" w:eastAsia="Times New Roman" w:hAnsi="Times New Roman" w:cs="Times New Roman"/>
          <w:sz w:val="24"/>
          <w:szCs w:val="24"/>
        </w:rPr>
        <w:t xml:space="preserve">The study specifically </w:t>
      </w:r>
      <w:r w:rsidR="00DB3847" w:rsidRPr="00494D70">
        <w:rPr>
          <w:rFonts w:ascii="Times New Roman" w:eastAsia="Times New Roman" w:hAnsi="Times New Roman" w:cs="Times New Roman"/>
          <w:sz w:val="24"/>
          <w:szCs w:val="24"/>
        </w:rPr>
        <w:t xml:space="preserve">provided insight </w:t>
      </w:r>
      <w:r w:rsidRPr="00494D70">
        <w:rPr>
          <w:rFonts w:ascii="Times New Roman" w:eastAsia="Times New Roman" w:hAnsi="Times New Roman" w:cs="Times New Roman"/>
          <w:sz w:val="24"/>
          <w:szCs w:val="24"/>
        </w:rPr>
        <w:t xml:space="preserve">into </w:t>
      </w:r>
      <w:r w:rsidR="005620C1" w:rsidRPr="00494D70">
        <w:rPr>
          <w:rFonts w:ascii="Times New Roman" w:eastAsia="Times New Roman" w:hAnsi="Times New Roman" w:cs="Times New Roman"/>
          <w:sz w:val="24"/>
          <w:szCs w:val="24"/>
        </w:rPr>
        <w:t xml:space="preserve">heterosexual </w:t>
      </w:r>
      <w:proofErr w:type="gramStart"/>
      <w:r w:rsidR="005620C1" w:rsidRPr="00494D70">
        <w:rPr>
          <w:rFonts w:ascii="Times New Roman" w:eastAsia="Times New Roman" w:hAnsi="Times New Roman" w:cs="Times New Roman"/>
          <w:sz w:val="24"/>
          <w:szCs w:val="24"/>
        </w:rPr>
        <w:t>participants</w:t>
      </w:r>
      <w:r w:rsidR="00BB2818" w:rsidRPr="00494D70">
        <w:rPr>
          <w:rFonts w:ascii="Times New Roman" w:eastAsia="Times New Roman" w:hAnsi="Times New Roman" w:cs="Times New Roman"/>
          <w:sz w:val="24"/>
          <w:szCs w:val="24"/>
        </w:rPr>
        <w:t>’</w:t>
      </w:r>
      <w:proofErr w:type="gramEnd"/>
      <w:r w:rsidR="005620C1" w:rsidRPr="00494D70">
        <w:rPr>
          <w:rFonts w:ascii="Times New Roman" w:eastAsia="Times New Roman" w:hAnsi="Times New Roman" w:cs="Times New Roman"/>
          <w:sz w:val="24"/>
          <w:szCs w:val="24"/>
        </w:rPr>
        <w:t xml:space="preserve"> </w:t>
      </w:r>
      <w:r w:rsidR="009A1ED1" w:rsidRPr="00494D70">
        <w:rPr>
          <w:rFonts w:ascii="Times New Roman" w:eastAsia="Times New Roman" w:hAnsi="Times New Roman" w:cs="Times New Roman"/>
          <w:sz w:val="24"/>
          <w:szCs w:val="24"/>
        </w:rPr>
        <w:t>reduced</w:t>
      </w:r>
      <w:r w:rsidR="00C762B5" w:rsidRPr="00494D70">
        <w:rPr>
          <w:rFonts w:ascii="Times New Roman" w:eastAsia="Times New Roman" w:hAnsi="Times New Roman" w:cs="Times New Roman"/>
          <w:sz w:val="24"/>
          <w:szCs w:val="24"/>
        </w:rPr>
        <w:t xml:space="preserve"> safe sex communication skill</w:t>
      </w:r>
      <w:r w:rsidR="004E69E9" w:rsidRPr="00494D70">
        <w:rPr>
          <w:rFonts w:ascii="Times New Roman" w:eastAsia="Times New Roman" w:hAnsi="Times New Roman" w:cs="Times New Roman"/>
          <w:sz w:val="24"/>
          <w:szCs w:val="24"/>
        </w:rPr>
        <w:t>s</w:t>
      </w:r>
      <w:r w:rsidR="00C762B5" w:rsidRPr="00494D70">
        <w:rPr>
          <w:rFonts w:ascii="Times New Roman" w:eastAsia="Times New Roman" w:hAnsi="Times New Roman" w:cs="Times New Roman"/>
          <w:sz w:val="24"/>
          <w:szCs w:val="24"/>
        </w:rPr>
        <w:t xml:space="preserve"> </w:t>
      </w:r>
      <w:r w:rsidR="00F820B0" w:rsidRPr="00494D70">
        <w:rPr>
          <w:rFonts w:ascii="Times New Roman" w:eastAsia="Times New Roman" w:hAnsi="Times New Roman" w:cs="Times New Roman"/>
          <w:sz w:val="24"/>
          <w:szCs w:val="24"/>
        </w:rPr>
        <w:t>relative</w:t>
      </w:r>
      <w:r w:rsidR="005620C1" w:rsidRPr="00494D70">
        <w:rPr>
          <w:rFonts w:ascii="Times New Roman" w:eastAsia="Times New Roman" w:hAnsi="Times New Roman" w:cs="Times New Roman"/>
          <w:sz w:val="24"/>
          <w:szCs w:val="24"/>
        </w:rPr>
        <w:t xml:space="preserve"> to sexual minorities.</w:t>
      </w:r>
      <w:r w:rsidR="0086480C" w:rsidRPr="00494D70">
        <w:rPr>
          <w:rFonts w:ascii="Times New Roman" w:eastAsia="Times New Roman" w:hAnsi="Times New Roman" w:cs="Times New Roman"/>
          <w:sz w:val="24"/>
          <w:szCs w:val="24"/>
        </w:rPr>
        <w:t xml:space="preserve"> </w:t>
      </w:r>
      <w:r w:rsidR="00640712" w:rsidRPr="00494D70">
        <w:rPr>
          <w:rFonts w:ascii="Times New Roman" w:eastAsia="Times New Roman" w:hAnsi="Times New Roman" w:cs="Times New Roman"/>
          <w:sz w:val="24"/>
          <w:szCs w:val="24"/>
        </w:rPr>
        <w:t xml:space="preserve">Furthermore, </w:t>
      </w:r>
      <w:r w:rsidR="000163ED" w:rsidRPr="00494D70">
        <w:rPr>
          <w:rFonts w:ascii="Times New Roman" w:eastAsia="Times New Roman" w:hAnsi="Times New Roman" w:cs="Times New Roman"/>
          <w:sz w:val="24"/>
          <w:szCs w:val="24"/>
        </w:rPr>
        <w:t xml:space="preserve">as the first comparative study </w:t>
      </w:r>
      <w:r w:rsidRPr="00494D70">
        <w:rPr>
          <w:rFonts w:ascii="Times New Roman" w:eastAsia="Times New Roman" w:hAnsi="Times New Roman" w:cs="Times New Roman"/>
          <w:sz w:val="24"/>
          <w:szCs w:val="24"/>
        </w:rPr>
        <w:t xml:space="preserve">of </w:t>
      </w:r>
      <w:r w:rsidR="00D0036E" w:rsidRPr="00494D70">
        <w:rPr>
          <w:rFonts w:ascii="Times New Roman" w:eastAsia="Times New Roman" w:hAnsi="Times New Roman" w:cs="Times New Roman"/>
          <w:sz w:val="24"/>
          <w:szCs w:val="24"/>
        </w:rPr>
        <w:t xml:space="preserve">SA </w:t>
      </w:r>
      <w:r w:rsidR="000163ED" w:rsidRPr="00494D70">
        <w:rPr>
          <w:rFonts w:ascii="Times New Roman" w:eastAsia="Times New Roman" w:hAnsi="Times New Roman" w:cs="Times New Roman"/>
          <w:sz w:val="24"/>
          <w:szCs w:val="24"/>
        </w:rPr>
        <w:t xml:space="preserve">surveying </w:t>
      </w:r>
      <w:r w:rsidR="00D0036E" w:rsidRPr="00494D70">
        <w:rPr>
          <w:rFonts w:ascii="Times New Roman" w:eastAsia="Times New Roman" w:hAnsi="Times New Roman" w:cs="Times New Roman"/>
          <w:sz w:val="24"/>
          <w:szCs w:val="24"/>
        </w:rPr>
        <w:t xml:space="preserve">gender and sexual </w:t>
      </w:r>
      <w:r w:rsidR="00433C27" w:rsidRPr="00494D70">
        <w:rPr>
          <w:rFonts w:ascii="Times New Roman" w:eastAsia="Times New Roman" w:hAnsi="Times New Roman" w:cs="Times New Roman"/>
          <w:sz w:val="24"/>
          <w:szCs w:val="24"/>
        </w:rPr>
        <w:t>minorities</w:t>
      </w:r>
      <w:r w:rsidR="00D0036E" w:rsidRPr="00494D70">
        <w:rPr>
          <w:rFonts w:ascii="Times New Roman" w:eastAsia="Times New Roman" w:hAnsi="Times New Roman" w:cs="Times New Roman"/>
          <w:sz w:val="24"/>
          <w:szCs w:val="24"/>
        </w:rPr>
        <w:t xml:space="preserve">, </w:t>
      </w:r>
      <w:r w:rsidR="00FE1494" w:rsidRPr="00494D70">
        <w:rPr>
          <w:rFonts w:ascii="Times New Roman" w:eastAsia="Times New Roman" w:hAnsi="Times New Roman" w:cs="Times New Roman"/>
          <w:sz w:val="24"/>
          <w:szCs w:val="24"/>
        </w:rPr>
        <w:t>significantly higher</w:t>
      </w:r>
      <w:r w:rsidR="000E6838" w:rsidRPr="00494D70">
        <w:rPr>
          <w:rFonts w:ascii="Times New Roman" w:eastAsia="Times New Roman" w:hAnsi="Times New Roman" w:cs="Times New Roman"/>
          <w:sz w:val="24"/>
          <w:szCs w:val="24"/>
        </w:rPr>
        <w:t xml:space="preserve"> levels of </w:t>
      </w:r>
      <w:r w:rsidR="00D0036E" w:rsidRPr="00494D70">
        <w:rPr>
          <w:rFonts w:ascii="Times New Roman" w:eastAsia="Times New Roman" w:hAnsi="Times New Roman" w:cs="Times New Roman"/>
          <w:sz w:val="24"/>
          <w:szCs w:val="24"/>
        </w:rPr>
        <w:t xml:space="preserve">assertive </w:t>
      </w:r>
      <w:r w:rsidR="003A02BF" w:rsidRPr="00494D70">
        <w:rPr>
          <w:rFonts w:ascii="Times New Roman" w:eastAsia="Times New Roman" w:hAnsi="Times New Roman" w:cs="Times New Roman"/>
          <w:sz w:val="24"/>
          <w:szCs w:val="24"/>
        </w:rPr>
        <w:t>skills</w:t>
      </w:r>
      <w:r w:rsidR="000E6838" w:rsidRPr="00494D70">
        <w:rPr>
          <w:rFonts w:ascii="Times New Roman" w:eastAsia="Times New Roman" w:hAnsi="Times New Roman" w:cs="Times New Roman"/>
          <w:sz w:val="24"/>
          <w:szCs w:val="24"/>
        </w:rPr>
        <w:t xml:space="preserve"> </w:t>
      </w:r>
      <w:r w:rsidR="00FD1462" w:rsidRPr="00494D70">
        <w:rPr>
          <w:rFonts w:ascii="Times New Roman" w:eastAsia="Times New Roman" w:hAnsi="Times New Roman" w:cs="Times New Roman"/>
          <w:sz w:val="24"/>
          <w:szCs w:val="24"/>
        </w:rPr>
        <w:t xml:space="preserve">were observed </w:t>
      </w:r>
      <w:r w:rsidR="000E6838" w:rsidRPr="00494D70">
        <w:rPr>
          <w:rFonts w:ascii="Times New Roman" w:eastAsia="Times New Roman" w:hAnsi="Times New Roman" w:cs="Times New Roman"/>
          <w:sz w:val="24"/>
          <w:szCs w:val="24"/>
        </w:rPr>
        <w:t xml:space="preserve">among </w:t>
      </w:r>
      <w:r w:rsidR="00F018A2" w:rsidRPr="00494D70">
        <w:rPr>
          <w:rFonts w:ascii="Times New Roman" w:eastAsia="Times New Roman" w:hAnsi="Times New Roman" w:cs="Times New Roman"/>
          <w:sz w:val="24"/>
          <w:szCs w:val="24"/>
        </w:rPr>
        <w:t>participants</w:t>
      </w:r>
      <w:r w:rsidR="001B5E9C" w:rsidRPr="00494D70">
        <w:rPr>
          <w:rFonts w:ascii="Times New Roman" w:eastAsia="Times New Roman" w:hAnsi="Times New Roman" w:cs="Times New Roman"/>
          <w:sz w:val="24"/>
          <w:szCs w:val="24"/>
        </w:rPr>
        <w:t xml:space="preserve"> identifying as </w:t>
      </w:r>
      <w:r w:rsidR="00EE5DB8" w:rsidRPr="00494D70">
        <w:rPr>
          <w:rFonts w:ascii="Times New Roman" w:eastAsia="Times New Roman" w:hAnsi="Times New Roman" w:cs="Times New Roman"/>
          <w:sz w:val="24"/>
          <w:szCs w:val="24"/>
        </w:rPr>
        <w:t>gender</w:t>
      </w:r>
      <w:r w:rsidRPr="00494D70">
        <w:rPr>
          <w:rFonts w:ascii="Times New Roman" w:eastAsia="Times New Roman" w:hAnsi="Times New Roman" w:cs="Times New Roman"/>
          <w:sz w:val="24"/>
          <w:szCs w:val="24"/>
        </w:rPr>
        <w:t>-</w:t>
      </w:r>
      <w:r w:rsidR="00EE5DB8" w:rsidRPr="00494D70">
        <w:rPr>
          <w:rFonts w:ascii="Times New Roman" w:eastAsia="Times New Roman" w:hAnsi="Times New Roman" w:cs="Times New Roman"/>
          <w:sz w:val="24"/>
          <w:szCs w:val="24"/>
        </w:rPr>
        <w:t xml:space="preserve">diverse </w:t>
      </w:r>
      <w:r w:rsidR="00875CBF" w:rsidRPr="00494D70">
        <w:rPr>
          <w:rFonts w:ascii="Times New Roman" w:eastAsia="Times New Roman" w:hAnsi="Times New Roman" w:cs="Times New Roman"/>
          <w:sz w:val="24"/>
          <w:szCs w:val="24"/>
        </w:rPr>
        <w:t>or</w:t>
      </w:r>
      <w:r w:rsidR="00EE5DB8" w:rsidRPr="00494D70">
        <w:rPr>
          <w:rFonts w:ascii="Times New Roman" w:eastAsia="Times New Roman" w:hAnsi="Times New Roman" w:cs="Times New Roman"/>
          <w:sz w:val="24"/>
          <w:szCs w:val="24"/>
        </w:rPr>
        <w:t xml:space="preserve"> </w:t>
      </w:r>
      <w:r w:rsidR="001B5E9C" w:rsidRPr="00494D70">
        <w:rPr>
          <w:rFonts w:ascii="Times New Roman" w:eastAsia="Times New Roman" w:hAnsi="Times New Roman" w:cs="Times New Roman"/>
          <w:sz w:val="24"/>
          <w:szCs w:val="24"/>
        </w:rPr>
        <w:t xml:space="preserve">women, </w:t>
      </w:r>
      <w:r w:rsidR="00EE5DB8" w:rsidRPr="00494D70">
        <w:rPr>
          <w:rFonts w:ascii="Times New Roman" w:eastAsia="Times New Roman" w:hAnsi="Times New Roman" w:cs="Times New Roman"/>
          <w:sz w:val="24"/>
          <w:szCs w:val="24"/>
        </w:rPr>
        <w:t>as well as</w:t>
      </w:r>
      <w:r w:rsidR="001B5E9C" w:rsidRPr="00494D70">
        <w:rPr>
          <w:rFonts w:ascii="Times New Roman" w:eastAsia="Times New Roman" w:hAnsi="Times New Roman" w:cs="Times New Roman"/>
          <w:sz w:val="24"/>
          <w:szCs w:val="24"/>
        </w:rPr>
        <w:t xml:space="preserve"> </w:t>
      </w:r>
      <w:r w:rsidR="00104D97" w:rsidRPr="00494D70">
        <w:rPr>
          <w:rFonts w:ascii="Times New Roman" w:eastAsia="Times New Roman" w:hAnsi="Times New Roman" w:cs="Times New Roman"/>
          <w:sz w:val="24"/>
          <w:szCs w:val="24"/>
        </w:rPr>
        <w:t>bisexual, pansexual and queer</w:t>
      </w:r>
      <w:r w:rsidR="0059097D" w:rsidRPr="00494D70">
        <w:rPr>
          <w:rFonts w:ascii="Times New Roman" w:eastAsia="Times New Roman" w:hAnsi="Times New Roman" w:cs="Times New Roman"/>
          <w:sz w:val="24"/>
          <w:szCs w:val="24"/>
        </w:rPr>
        <w:t>-identified</w:t>
      </w:r>
      <w:r w:rsidR="00104D97" w:rsidRPr="00494D70">
        <w:rPr>
          <w:rFonts w:ascii="Times New Roman" w:eastAsia="Times New Roman" w:hAnsi="Times New Roman" w:cs="Times New Roman"/>
          <w:sz w:val="24"/>
          <w:szCs w:val="24"/>
        </w:rPr>
        <w:t xml:space="preserve"> </w:t>
      </w:r>
      <w:r w:rsidR="00F018A2" w:rsidRPr="00494D70">
        <w:rPr>
          <w:rFonts w:ascii="Times New Roman" w:eastAsia="Times New Roman" w:hAnsi="Times New Roman" w:cs="Times New Roman"/>
          <w:sz w:val="24"/>
          <w:szCs w:val="24"/>
        </w:rPr>
        <w:t>participants</w:t>
      </w:r>
      <w:r w:rsidR="00104D97" w:rsidRPr="00494D70">
        <w:rPr>
          <w:rFonts w:ascii="Times New Roman" w:eastAsia="Times New Roman" w:hAnsi="Times New Roman" w:cs="Times New Roman"/>
          <w:sz w:val="24"/>
          <w:szCs w:val="24"/>
        </w:rPr>
        <w:t>.</w:t>
      </w:r>
      <w:r w:rsidR="00C840ED" w:rsidRPr="00494D70">
        <w:rPr>
          <w:rFonts w:ascii="Times New Roman" w:eastAsia="Times New Roman" w:hAnsi="Times New Roman" w:cs="Times New Roman"/>
          <w:sz w:val="24"/>
          <w:szCs w:val="24"/>
        </w:rPr>
        <w:t xml:space="preserve"> </w:t>
      </w:r>
      <w:r w:rsidR="0078616D" w:rsidRPr="00494D70">
        <w:rPr>
          <w:rFonts w:ascii="Times New Roman" w:eastAsia="Times New Roman" w:hAnsi="Times New Roman" w:cs="Times New Roman"/>
          <w:sz w:val="24"/>
          <w:szCs w:val="24"/>
        </w:rPr>
        <w:t>Our results revealed significant difference</w:t>
      </w:r>
      <w:r w:rsidR="009D3A61" w:rsidRPr="00494D70">
        <w:rPr>
          <w:rFonts w:ascii="Times New Roman" w:eastAsia="Times New Roman" w:hAnsi="Times New Roman" w:cs="Times New Roman"/>
          <w:sz w:val="24"/>
          <w:szCs w:val="24"/>
        </w:rPr>
        <w:t xml:space="preserve">s between single and partnered </w:t>
      </w:r>
      <w:r w:rsidR="0082247E" w:rsidRPr="00494D70">
        <w:rPr>
          <w:rFonts w:ascii="Times New Roman" w:eastAsia="Times New Roman" w:hAnsi="Times New Roman" w:cs="Times New Roman"/>
          <w:sz w:val="24"/>
          <w:szCs w:val="24"/>
        </w:rPr>
        <w:t>individuals</w:t>
      </w:r>
      <w:r w:rsidR="00CF1C03" w:rsidRPr="00494D70">
        <w:rPr>
          <w:rFonts w:ascii="Times New Roman" w:eastAsia="Times New Roman" w:hAnsi="Times New Roman" w:cs="Times New Roman"/>
          <w:sz w:val="24"/>
          <w:szCs w:val="24"/>
        </w:rPr>
        <w:t>’</w:t>
      </w:r>
      <w:r w:rsidR="005563C5" w:rsidRPr="00494D70">
        <w:rPr>
          <w:rFonts w:ascii="Times New Roman" w:eastAsia="Times New Roman" w:hAnsi="Times New Roman" w:cs="Times New Roman"/>
          <w:sz w:val="24"/>
          <w:szCs w:val="24"/>
        </w:rPr>
        <w:t xml:space="preserve"> SA, </w:t>
      </w:r>
      <w:r w:rsidR="00FD1462" w:rsidRPr="00494D70">
        <w:rPr>
          <w:rFonts w:ascii="Times New Roman" w:eastAsia="Times New Roman" w:hAnsi="Times New Roman" w:cs="Times New Roman"/>
          <w:sz w:val="24"/>
          <w:szCs w:val="24"/>
        </w:rPr>
        <w:t xml:space="preserve">with </w:t>
      </w:r>
      <w:r w:rsidR="002F34B2" w:rsidRPr="00494D70">
        <w:rPr>
          <w:rFonts w:ascii="Times New Roman" w:eastAsia="Times New Roman" w:hAnsi="Times New Roman" w:cs="Times New Roman"/>
          <w:sz w:val="24"/>
          <w:szCs w:val="24"/>
        </w:rPr>
        <w:t>those in relationship</w:t>
      </w:r>
      <w:r w:rsidR="00FD1462" w:rsidRPr="00494D70">
        <w:rPr>
          <w:rFonts w:ascii="Times New Roman" w:eastAsia="Times New Roman" w:hAnsi="Times New Roman" w:cs="Times New Roman"/>
          <w:sz w:val="24"/>
          <w:szCs w:val="24"/>
        </w:rPr>
        <w:t>s</w:t>
      </w:r>
      <w:r w:rsidR="002F34B2" w:rsidRPr="00494D70">
        <w:rPr>
          <w:rFonts w:ascii="Times New Roman" w:eastAsia="Times New Roman" w:hAnsi="Times New Roman" w:cs="Times New Roman"/>
          <w:sz w:val="24"/>
          <w:szCs w:val="24"/>
        </w:rPr>
        <w:t xml:space="preserve"> </w:t>
      </w:r>
      <w:r w:rsidR="00FD1462" w:rsidRPr="00494D70">
        <w:rPr>
          <w:rFonts w:ascii="Times New Roman" w:eastAsia="Times New Roman" w:hAnsi="Times New Roman" w:cs="Times New Roman"/>
          <w:sz w:val="24"/>
          <w:szCs w:val="24"/>
        </w:rPr>
        <w:t>reporting more robust</w:t>
      </w:r>
      <w:r w:rsidR="002F34B2" w:rsidRPr="00494D70">
        <w:rPr>
          <w:rFonts w:ascii="Times New Roman" w:eastAsia="Times New Roman" w:hAnsi="Times New Roman" w:cs="Times New Roman"/>
          <w:sz w:val="24"/>
          <w:szCs w:val="24"/>
        </w:rPr>
        <w:t xml:space="preserve"> initiation and risk communication </w:t>
      </w:r>
      <w:r w:rsidR="00FD1462" w:rsidRPr="00494D70">
        <w:rPr>
          <w:rFonts w:ascii="Times New Roman" w:eastAsia="Times New Roman" w:hAnsi="Times New Roman" w:cs="Times New Roman"/>
          <w:sz w:val="24"/>
          <w:szCs w:val="24"/>
        </w:rPr>
        <w:t>SA</w:t>
      </w:r>
      <w:r w:rsidR="00042F31" w:rsidRPr="00494D70">
        <w:rPr>
          <w:rFonts w:ascii="Times New Roman" w:eastAsia="Times New Roman" w:hAnsi="Times New Roman" w:cs="Times New Roman"/>
          <w:sz w:val="24"/>
          <w:szCs w:val="24"/>
        </w:rPr>
        <w:t xml:space="preserve">. Assertive refusal </w:t>
      </w:r>
      <w:r w:rsidR="00FD1462" w:rsidRPr="00494D70">
        <w:rPr>
          <w:rFonts w:ascii="Times New Roman" w:eastAsia="Times New Roman" w:hAnsi="Times New Roman" w:cs="Times New Roman"/>
          <w:sz w:val="24"/>
          <w:szCs w:val="24"/>
        </w:rPr>
        <w:t>tendencies</w:t>
      </w:r>
      <w:r w:rsidR="00042F31" w:rsidRPr="00494D70">
        <w:rPr>
          <w:rFonts w:ascii="Times New Roman" w:eastAsia="Times New Roman" w:hAnsi="Times New Roman" w:cs="Times New Roman"/>
          <w:sz w:val="24"/>
          <w:szCs w:val="24"/>
        </w:rPr>
        <w:t>, however, did not differ in the relationship</w:t>
      </w:r>
      <w:r w:rsidR="00FD1462" w:rsidRPr="00494D70">
        <w:rPr>
          <w:rFonts w:ascii="Times New Roman" w:eastAsia="Times New Roman" w:hAnsi="Times New Roman" w:cs="Times New Roman"/>
          <w:sz w:val="24"/>
          <w:szCs w:val="24"/>
        </w:rPr>
        <w:t>-</w:t>
      </w:r>
      <w:r w:rsidR="00042F31" w:rsidRPr="00494D70">
        <w:rPr>
          <w:rFonts w:ascii="Times New Roman" w:eastAsia="Times New Roman" w:hAnsi="Times New Roman" w:cs="Times New Roman"/>
          <w:sz w:val="24"/>
          <w:szCs w:val="24"/>
        </w:rPr>
        <w:t>status-based groups.</w:t>
      </w:r>
      <w:r w:rsidR="009A3B79" w:rsidRPr="00494D70">
        <w:rPr>
          <w:rFonts w:ascii="Times New Roman" w:eastAsia="Times New Roman" w:hAnsi="Times New Roman" w:cs="Times New Roman"/>
          <w:sz w:val="24"/>
          <w:szCs w:val="24"/>
        </w:rPr>
        <w:t xml:space="preserve"> </w:t>
      </w:r>
    </w:p>
    <w:p w14:paraId="2E4DA46E" w14:textId="18491B78" w:rsidR="002C2DEC" w:rsidRPr="00494D70" w:rsidRDefault="00FE0072" w:rsidP="00E61607">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t xml:space="preserve">Lastly, significant cross-cultural differences </w:t>
      </w:r>
      <w:r w:rsidR="005661C1" w:rsidRPr="00494D70">
        <w:rPr>
          <w:rFonts w:ascii="Times New Roman" w:eastAsia="Times New Roman" w:hAnsi="Times New Roman" w:cs="Times New Roman"/>
          <w:sz w:val="24"/>
          <w:szCs w:val="24"/>
        </w:rPr>
        <w:t>in</w:t>
      </w:r>
      <w:r w:rsidRPr="00494D70">
        <w:rPr>
          <w:rFonts w:ascii="Times New Roman" w:eastAsia="Times New Roman" w:hAnsi="Times New Roman" w:cs="Times New Roman"/>
          <w:sz w:val="24"/>
          <w:szCs w:val="24"/>
        </w:rPr>
        <w:t xml:space="preserve"> all domains of SA</w:t>
      </w:r>
      <w:r w:rsidR="00FC3966" w:rsidRPr="00494D70">
        <w:rPr>
          <w:rFonts w:ascii="Times New Roman" w:eastAsia="Times New Roman" w:hAnsi="Times New Roman" w:cs="Times New Roman"/>
          <w:sz w:val="24"/>
          <w:szCs w:val="24"/>
        </w:rPr>
        <w:t xml:space="preserve"> were observed</w:t>
      </w:r>
      <w:r w:rsidR="007C3AF4" w:rsidRPr="00494D70">
        <w:rPr>
          <w:rFonts w:ascii="Times New Roman" w:eastAsia="Times New Roman" w:hAnsi="Times New Roman" w:cs="Times New Roman"/>
          <w:sz w:val="24"/>
          <w:szCs w:val="24"/>
        </w:rPr>
        <w:t>, although no clear religious, cultural</w:t>
      </w:r>
      <w:r w:rsidR="00FC3966" w:rsidRPr="00494D70">
        <w:rPr>
          <w:rFonts w:ascii="Times New Roman" w:eastAsia="Times New Roman" w:hAnsi="Times New Roman" w:cs="Times New Roman"/>
          <w:sz w:val="24"/>
          <w:szCs w:val="24"/>
        </w:rPr>
        <w:t>,</w:t>
      </w:r>
      <w:r w:rsidR="007C3AF4" w:rsidRPr="00494D70">
        <w:rPr>
          <w:rFonts w:ascii="Times New Roman" w:eastAsia="Times New Roman" w:hAnsi="Times New Roman" w:cs="Times New Roman"/>
          <w:sz w:val="24"/>
          <w:szCs w:val="24"/>
        </w:rPr>
        <w:t xml:space="preserve"> or geographical patterns emerged</w:t>
      </w:r>
      <w:r w:rsidR="00672B58" w:rsidRPr="00494D70">
        <w:rPr>
          <w:rFonts w:ascii="Times New Roman" w:eastAsia="Times New Roman" w:hAnsi="Times New Roman" w:cs="Times New Roman"/>
          <w:sz w:val="24"/>
          <w:szCs w:val="24"/>
        </w:rPr>
        <w:t>,</w:t>
      </w:r>
      <w:r w:rsidR="00266B9C" w:rsidRPr="00494D70">
        <w:rPr>
          <w:rFonts w:ascii="Times New Roman" w:eastAsia="Times New Roman" w:hAnsi="Times New Roman" w:cs="Times New Roman"/>
          <w:sz w:val="24"/>
          <w:szCs w:val="24"/>
        </w:rPr>
        <w:t xml:space="preserve"> and the results are to be </w:t>
      </w:r>
      <w:r w:rsidR="00C95AFE" w:rsidRPr="00494D70">
        <w:rPr>
          <w:rFonts w:ascii="Times New Roman" w:eastAsia="Times New Roman" w:hAnsi="Times New Roman" w:cs="Times New Roman"/>
          <w:sz w:val="24"/>
          <w:szCs w:val="24"/>
        </w:rPr>
        <w:t>interpreted with caution due to the described sample bias</w:t>
      </w:r>
      <w:r w:rsidRPr="00494D70">
        <w:rPr>
          <w:rFonts w:ascii="Times New Roman" w:eastAsia="Times New Roman" w:hAnsi="Times New Roman" w:cs="Times New Roman"/>
          <w:sz w:val="24"/>
          <w:szCs w:val="24"/>
        </w:rPr>
        <w:t xml:space="preserve">. </w:t>
      </w:r>
      <w:r w:rsidR="00681B92" w:rsidRPr="00494D70">
        <w:rPr>
          <w:rFonts w:ascii="Times New Roman" w:eastAsia="Times New Roman" w:hAnsi="Times New Roman" w:cs="Times New Roman"/>
          <w:sz w:val="24"/>
          <w:szCs w:val="24"/>
        </w:rPr>
        <w:t xml:space="preserve">Of the three </w:t>
      </w:r>
      <w:r w:rsidR="00A04C54" w:rsidRPr="00494D70">
        <w:rPr>
          <w:rFonts w:ascii="Times New Roman" w:eastAsia="Times New Roman" w:hAnsi="Times New Roman" w:cs="Times New Roman"/>
          <w:sz w:val="24"/>
          <w:szCs w:val="24"/>
        </w:rPr>
        <w:t>factors</w:t>
      </w:r>
      <w:r w:rsidR="004C37EF" w:rsidRPr="00494D70">
        <w:rPr>
          <w:rFonts w:ascii="Times New Roman" w:eastAsia="Times New Roman" w:hAnsi="Times New Roman" w:cs="Times New Roman"/>
          <w:sz w:val="24"/>
          <w:szCs w:val="24"/>
        </w:rPr>
        <w:t xml:space="preserve">, </w:t>
      </w:r>
      <w:r w:rsidR="00916238" w:rsidRPr="00494D70">
        <w:rPr>
          <w:rFonts w:ascii="Times New Roman" w:eastAsia="Times New Roman" w:hAnsi="Times New Roman" w:cs="Times New Roman"/>
          <w:i/>
          <w:iCs/>
          <w:sz w:val="24"/>
          <w:szCs w:val="24"/>
        </w:rPr>
        <w:t xml:space="preserve">Risk communication </w:t>
      </w:r>
      <w:r w:rsidR="00611982" w:rsidRPr="00494D70">
        <w:rPr>
          <w:rFonts w:ascii="Times New Roman" w:eastAsia="Times New Roman" w:hAnsi="Times New Roman" w:cs="Times New Roman"/>
          <w:sz w:val="24"/>
          <w:szCs w:val="24"/>
        </w:rPr>
        <w:t xml:space="preserve">assertiveness </w:t>
      </w:r>
      <w:r w:rsidR="001636DA" w:rsidRPr="00494D70">
        <w:rPr>
          <w:rFonts w:ascii="Times New Roman" w:eastAsia="Times New Roman" w:hAnsi="Times New Roman" w:cs="Times New Roman"/>
          <w:sz w:val="24"/>
          <w:szCs w:val="24"/>
        </w:rPr>
        <w:t xml:space="preserve">is the most crucial for </w:t>
      </w:r>
      <w:r w:rsidR="00194516" w:rsidRPr="00494D70">
        <w:rPr>
          <w:rFonts w:ascii="Times New Roman" w:eastAsia="Times New Roman" w:hAnsi="Times New Roman" w:cs="Times New Roman"/>
          <w:sz w:val="24"/>
          <w:szCs w:val="24"/>
        </w:rPr>
        <w:t xml:space="preserve">STI-related </w:t>
      </w:r>
      <w:r w:rsidR="001636DA" w:rsidRPr="00494D70">
        <w:rPr>
          <w:rFonts w:ascii="Times New Roman" w:eastAsia="Times New Roman" w:hAnsi="Times New Roman" w:cs="Times New Roman"/>
          <w:sz w:val="24"/>
          <w:szCs w:val="24"/>
        </w:rPr>
        <w:t xml:space="preserve">public health outcomes, </w:t>
      </w:r>
      <w:r w:rsidR="00B13B81" w:rsidRPr="00494D70">
        <w:rPr>
          <w:rFonts w:ascii="Times New Roman" w:eastAsia="Times New Roman" w:hAnsi="Times New Roman" w:cs="Times New Roman"/>
          <w:sz w:val="24"/>
          <w:szCs w:val="24"/>
        </w:rPr>
        <w:t xml:space="preserve">while the </w:t>
      </w:r>
      <w:r w:rsidR="00B13B81" w:rsidRPr="00494D70">
        <w:rPr>
          <w:rFonts w:ascii="Times New Roman" w:eastAsia="Times New Roman" w:hAnsi="Times New Roman" w:cs="Times New Roman"/>
          <w:i/>
          <w:iCs/>
          <w:sz w:val="24"/>
          <w:szCs w:val="24"/>
        </w:rPr>
        <w:t>Refusal</w:t>
      </w:r>
      <w:r w:rsidR="00B13B81" w:rsidRPr="00494D70">
        <w:rPr>
          <w:rFonts w:ascii="Times New Roman" w:eastAsia="Times New Roman" w:hAnsi="Times New Roman" w:cs="Times New Roman"/>
          <w:sz w:val="24"/>
          <w:szCs w:val="24"/>
        </w:rPr>
        <w:t xml:space="preserve"> domain also holds significant importance due to its association with increased vulnerability to unwanted or unsafe sexual encounters.</w:t>
      </w:r>
      <w:r w:rsidR="007C3AF4" w:rsidRPr="00494D70">
        <w:rPr>
          <w:rFonts w:ascii="Times New Roman" w:eastAsia="Times New Roman" w:hAnsi="Times New Roman" w:cs="Times New Roman"/>
          <w:sz w:val="24"/>
          <w:szCs w:val="24"/>
        </w:rPr>
        <w:t xml:space="preserve"> Therefore,</w:t>
      </w:r>
      <w:r w:rsidR="0055262B" w:rsidRPr="00494D70">
        <w:rPr>
          <w:rFonts w:ascii="Times New Roman" w:eastAsia="Times New Roman" w:hAnsi="Times New Roman" w:cs="Times New Roman"/>
          <w:sz w:val="24"/>
          <w:szCs w:val="24"/>
        </w:rPr>
        <w:t xml:space="preserve"> </w:t>
      </w:r>
      <w:r w:rsidR="00CF2AC0" w:rsidRPr="00494D70">
        <w:rPr>
          <w:rFonts w:ascii="Times New Roman" w:eastAsia="Times New Roman" w:hAnsi="Times New Roman" w:cs="Times New Roman"/>
          <w:sz w:val="24"/>
          <w:szCs w:val="24"/>
        </w:rPr>
        <w:t xml:space="preserve">increasing </w:t>
      </w:r>
      <w:r w:rsidR="00FD1462" w:rsidRPr="00494D70">
        <w:rPr>
          <w:rFonts w:ascii="Times New Roman" w:eastAsia="Times New Roman" w:hAnsi="Times New Roman" w:cs="Times New Roman"/>
          <w:sz w:val="24"/>
          <w:szCs w:val="24"/>
        </w:rPr>
        <w:t xml:space="preserve">a </w:t>
      </w:r>
      <w:r w:rsidR="00AB27FC" w:rsidRPr="00494D70">
        <w:rPr>
          <w:rFonts w:ascii="Times New Roman" w:eastAsia="Times New Roman" w:hAnsi="Times New Roman" w:cs="Times New Roman"/>
          <w:sz w:val="24"/>
          <w:szCs w:val="24"/>
        </w:rPr>
        <w:t xml:space="preserve">focus on </w:t>
      </w:r>
      <w:r w:rsidR="00FD1462" w:rsidRPr="00494D70">
        <w:rPr>
          <w:rFonts w:ascii="Times New Roman" w:eastAsia="Times New Roman" w:hAnsi="Times New Roman" w:cs="Times New Roman"/>
          <w:sz w:val="24"/>
          <w:szCs w:val="24"/>
        </w:rPr>
        <w:t>SA</w:t>
      </w:r>
      <w:r w:rsidR="00AB27FC" w:rsidRPr="00494D70">
        <w:rPr>
          <w:rFonts w:ascii="Times New Roman" w:eastAsia="Times New Roman" w:hAnsi="Times New Roman" w:cs="Times New Roman"/>
          <w:sz w:val="24"/>
          <w:szCs w:val="24"/>
        </w:rPr>
        <w:t xml:space="preserve"> </w:t>
      </w:r>
      <w:r w:rsidR="00086010" w:rsidRPr="00494D70">
        <w:rPr>
          <w:rFonts w:ascii="Times New Roman" w:eastAsia="Times New Roman" w:hAnsi="Times New Roman" w:cs="Times New Roman"/>
          <w:sz w:val="24"/>
          <w:szCs w:val="24"/>
        </w:rPr>
        <w:t xml:space="preserve">in sexual education and </w:t>
      </w:r>
      <w:r w:rsidR="00753597" w:rsidRPr="00494D70">
        <w:rPr>
          <w:rFonts w:ascii="Times New Roman" w:eastAsia="Times New Roman" w:hAnsi="Times New Roman" w:cs="Times New Roman"/>
          <w:sz w:val="24"/>
          <w:szCs w:val="24"/>
        </w:rPr>
        <w:t xml:space="preserve">public health interventions </w:t>
      </w:r>
      <w:r w:rsidR="007B6161" w:rsidRPr="00494D70">
        <w:rPr>
          <w:rFonts w:ascii="Times New Roman" w:eastAsia="Times New Roman" w:hAnsi="Times New Roman" w:cs="Times New Roman"/>
          <w:sz w:val="24"/>
          <w:szCs w:val="24"/>
        </w:rPr>
        <w:t xml:space="preserve">may be especially </w:t>
      </w:r>
      <w:r w:rsidR="000158B7" w:rsidRPr="00494D70">
        <w:rPr>
          <w:rFonts w:ascii="Times New Roman" w:eastAsia="Times New Roman" w:hAnsi="Times New Roman" w:cs="Times New Roman"/>
          <w:sz w:val="24"/>
          <w:szCs w:val="24"/>
        </w:rPr>
        <w:t>beneficial</w:t>
      </w:r>
      <w:r w:rsidR="007B6161" w:rsidRPr="00494D70">
        <w:rPr>
          <w:rFonts w:ascii="Times New Roman" w:eastAsia="Times New Roman" w:hAnsi="Times New Roman" w:cs="Times New Roman"/>
          <w:sz w:val="24"/>
          <w:szCs w:val="24"/>
        </w:rPr>
        <w:t xml:space="preserve"> in lower</w:t>
      </w:r>
      <w:r w:rsidR="00FD1462" w:rsidRPr="00494D70">
        <w:rPr>
          <w:rFonts w:ascii="Times New Roman" w:eastAsia="Times New Roman" w:hAnsi="Times New Roman" w:cs="Times New Roman"/>
          <w:sz w:val="24"/>
          <w:szCs w:val="24"/>
        </w:rPr>
        <w:t>-</w:t>
      </w:r>
      <w:r w:rsidR="007B6161" w:rsidRPr="00494D70">
        <w:rPr>
          <w:rFonts w:ascii="Times New Roman" w:eastAsia="Times New Roman" w:hAnsi="Times New Roman" w:cs="Times New Roman"/>
          <w:sz w:val="24"/>
          <w:szCs w:val="24"/>
        </w:rPr>
        <w:t>scoring countries, such as Brazil, South Korea, the Czech Republic, Hungary, China</w:t>
      </w:r>
      <w:r w:rsidR="005661C1" w:rsidRPr="00494D70">
        <w:rPr>
          <w:rFonts w:ascii="Times New Roman" w:eastAsia="Times New Roman" w:hAnsi="Times New Roman" w:cs="Times New Roman"/>
          <w:sz w:val="24"/>
          <w:szCs w:val="24"/>
        </w:rPr>
        <w:t>,</w:t>
      </w:r>
      <w:r w:rsidR="007B6161" w:rsidRPr="00494D70">
        <w:rPr>
          <w:rFonts w:ascii="Times New Roman" w:eastAsia="Times New Roman" w:hAnsi="Times New Roman" w:cs="Times New Roman"/>
          <w:sz w:val="24"/>
          <w:szCs w:val="24"/>
        </w:rPr>
        <w:t xml:space="preserve"> and Taiwan</w:t>
      </w:r>
      <w:r w:rsidR="000158B7" w:rsidRPr="00494D70">
        <w:rPr>
          <w:rFonts w:ascii="Times New Roman" w:eastAsia="Times New Roman" w:hAnsi="Times New Roman" w:cs="Times New Roman"/>
          <w:sz w:val="24"/>
          <w:szCs w:val="24"/>
        </w:rPr>
        <w:t>.</w:t>
      </w:r>
      <w:r w:rsidR="0029367D" w:rsidRPr="00494D70">
        <w:rPr>
          <w:rFonts w:ascii="Times New Roman" w:eastAsia="Times New Roman" w:hAnsi="Times New Roman" w:cs="Times New Roman"/>
          <w:sz w:val="24"/>
          <w:szCs w:val="24"/>
        </w:rPr>
        <w:t xml:space="preserve"> </w:t>
      </w:r>
    </w:p>
    <w:p w14:paraId="7F7D48F4" w14:textId="04A45F05" w:rsidR="005D061B" w:rsidRPr="00494D70" w:rsidRDefault="002C2DEC" w:rsidP="002C2DEC">
      <w:pPr>
        <w:spacing w:after="0" w:line="480" w:lineRule="auto"/>
        <w:ind w:firstLine="567"/>
        <w:rPr>
          <w:rFonts w:ascii="Times New Roman" w:eastAsia="Times New Roman" w:hAnsi="Times New Roman" w:cs="Times New Roman"/>
          <w:sz w:val="24"/>
          <w:szCs w:val="24"/>
        </w:rPr>
      </w:pPr>
      <w:r w:rsidRPr="00494D70">
        <w:rPr>
          <w:rFonts w:ascii="Times New Roman" w:eastAsia="Times New Roman" w:hAnsi="Times New Roman" w:cs="Times New Roman"/>
          <w:sz w:val="24"/>
          <w:szCs w:val="24"/>
        </w:rPr>
        <w:t xml:space="preserve">In conclusion, </w:t>
      </w:r>
      <w:r w:rsidR="00537FC0" w:rsidRPr="00494D70">
        <w:rPr>
          <w:rFonts w:ascii="Times New Roman" w:eastAsia="Times New Roman" w:hAnsi="Times New Roman" w:cs="Times New Roman"/>
          <w:sz w:val="24"/>
          <w:szCs w:val="24"/>
        </w:rPr>
        <w:t>i</w:t>
      </w:r>
      <w:r w:rsidR="005D061B" w:rsidRPr="00494D70">
        <w:rPr>
          <w:rFonts w:ascii="Times New Roman" w:eastAsia="Times New Roman" w:hAnsi="Times New Roman" w:cs="Times New Roman"/>
          <w:sz w:val="24"/>
          <w:szCs w:val="24"/>
        </w:rPr>
        <w:t>dentifying significant</w:t>
      </w:r>
      <w:r w:rsidR="00ED261D" w:rsidRPr="00494D70">
        <w:rPr>
          <w:rFonts w:ascii="Times New Roman" w:eastAsia="Times New Roman" w:hAnsi="Times New Roman" w:cs="Times New Roman"/>
          <w:sz w:val="24"/>
          <w:szCs w:val="24"/>
        </w:rPr>
        <w:t xml:space="preserve"> – </w:t>
      </w:r>
      <w:r w:rsidR="001941F1" w:rsidRPr="00494D70">
        <w:rPr>
          <w:rFonts w:ascii="Times New Roman" w:eastAsia="Times New Roman" w:hAnsi="Times New Roman" w:cs="Times New Roman"/>
          <w:sz w:val="24"/>
          <w:szCs w:val="24"/>
        </w:rPr>
        <w:t>although small</w:t>
      </w:r>
      <w:r w:rsidR="00ED261D" w:rsidRPr="00494D70">
        <w:rPr>
          <w:rFonts w:ascii="Times New Roman" w:eastAsia="Times New Roman" w:hAnsi="Times New Roman" w:cs="Times New Roman"/>
          <w:sz w:val="24"/>
          <w:szCs w:val="24"/>
        </w:rPr>
        <w:t xml:space="preserve"> – </w:t>
      </w:r>
      <w:r w:rsidR="005D061B" w:rsidRPr="00494D70">
        <w:rPr>
          <w:rFonts w:ascii="Times New Roman" w:eastAsia="Times New Roman" w:hAnsi="Times New Roman" w:cs="Times New Roman"/>
          <w:sz w:val="24"/>
          <w:szCs w:val="24"/>
        </w:rPr>
        <w:t xml:space="preserve">demographic differences in </w:t>
      </w:r>
      <w:r w:rsidR="00FD1462" w:rsidRPr="00494D70">
        <w:rPr>
          <w:rFonts w:ascii="Times New Roman" w:eastAsia="Times New Roman" w:hAnsi="Times New Roman" w:cs="Times New Roman"/>
          <w:sz w:val="24"/>
          <w:szCs w:val="24"/>
        </w:rPr>
        <w:t>SA</w:t>
      </w:r>
      <w:r w:rsidR="005D061B" w:rsidRPr="00494D70">
        <w:rPr>
          <w:rFonts w:ascii="Times New Roman" w:eastAsia="Times New Roman" w:hAnsi="Times New Roman" w:cs="Times New Roman"/>
          <w:sz w:val="24"/>
          <w:szCs w:val="24"/>
        </w:rPr>
        <w:t xml:space="preserve"> across gender</w:t>
      </w:r>
      <w:r w:rsidR="00D546F6" w:rsidRPr="00494D70">
        <w:rPr>
          <w:rFonts w:ascii="Times New Roman" w:eastAsia="Times New Roman" w:hAnsi="Times New Roman" w:cs="Times New Roman"/>
          <w:sz w:val="24"/>
          <w:szCs w:val="24"/>
        </w:rPr>
        <w:t>-</w:t>
      </w:r>
      <w:r w:rsidR="00D1331D" w:rsidRPr="00494D70">
        <w:rPr>
          <w:rFonts w:ascii="Times New Roman" w:eastAsia="Times New Roman" w:hAnsi="Times New Roman" w:cs="Times New Roman"/>
          <w:sz w:val="24"/>
          <w:szCs w:val="24"/>
        </w:rPr>
        <w:t>identity-</w:t>
      </w:r>
      <w:r w:rsidR="005D061B" w:rsidRPr="00494D70">
        <w:rPr>
          <w:rFonts w:ascii="Times New Roman" w:eastAsia="Times New Roman" w:hAnsi="Times New Roman" w:cs="Times New Roman"/>
          <w:sz w:val="24"/>
          <w:szCs w:val="24"/>
        </w:rPr>
        <w:t>, sexual</w:t>
      </w:r>
      <w:r w:rsidR="001A2242" w:rsidRPr="00494D70">
        <w:rPr>
          <w:rFonts w:ascii="Times New Roman" w:eastAsia="Times New Roman" w:hAnsi="Times New Roman" w:cs="Times New Roman"/>
          <w:sz w:val="24"/>
          <w:szCs w:val="24"/>
        </w:rPr>
        <w:t>-</w:t>
      </w:r>
      <w:r w:rsidR="005D061B" w:rsidRPr="00494D70">
        <w:rPr>
          <w:rFonts w:ascii="Times New Roman" w:eastAsia="Times New Roman" w:hAnsi="Times New Roman" w:cs="Times New Roman"/>
          <w:sz w:val="24"/>
          <w:szCs w:val="24"/>
        </w:rPr>
        <w:t>orientation</w:t>
      </w:r>
      <w:r w:rsidR="00D92386" w:rsidRPr="00494D70">
        <w:rPr>
          <w:rFonts w:ascii="Times New Roman" w:eastAsia="Times New Roman" w:hAnsi="Times New Roman" w:cs="Times New Roman"/>
          <w:sz w:val="24"/>
          <w:szCs w:val="24"/>
        </w:rPr>
        <w:t>-</w:t>
      </w:r>
      <w:r w:rsidR="005D061B" w:rsidRPr="00494D70">
        <w:rPr>
          <w:rFonts w:ascii="Times New Roman" w:eastAsia="Times New Roman" w:hAnsi="Times New Roman" w:cs="Times New Roman"/>
          <w:sz w:val="24"/>
          <w:szCs w:val="24"/>
        </w:rPr>
        <w:t>, relationship</w:t>
      </w:r>
      <w:r w:rsidR="001A2242" w:rsidRPr="00494D70">
        <w:rPr>
          <w:rFonts w:ascii="Times New Roman" w:eastAsia="Times New Roman" w:hAnsi="Times New Roman" w:cs="Times New Roman"/>
          <w:sz w:val="24"/>
          <w:szCs w:val="24"/>
        </w:rPr>
        <w:t>-</w:t>
      </w:r>
      <w:r w:rsidR="005D061B" w:rsidRPr="00494D70">
        <w:rPr>
          <w:rFonts w:ascii="Times New Roman" w:eastAsia="Times New Roman" w:hAnsi="Times New Roman" w:cs="Times New Roman"/>
          <w:sz w:val="24"/>
          <w:szCs w:val="24"/>
        </w:rPr>
        <w:t>status</w:t>
      </w:r>
      <w:r w:rsidR="00D92386" w:rsidRPr="00494D70">
        <w:rPr>
          <w:rFonts w:ascii="Times New Roman" w:eastAsia="Times New Roman" w:hAnsi="Times New Roman" w:cs="Times New Roman"/>
          <w:sz w:val="24"/>
          <w:szCs w:val="24"/>
        </w:rPr>
        <w:t>-</w:t>
      </w:r>
      <w:r w:rsidR="005D061B" w:rsidRPr="00494D70">
        <w:rPr>
          <w:rFonts w:ascii="Times New Roman" w:eastAsia="Times New Roman" w:hAnsi="Times New Roman" w:cs="Times New Roman"/>
          <w:sz w:val="24"/>
          <w:szCs w:val="24"/>
        </w:rPr>
        <w:t>, and country</w:t>
      </w:r>
      <w:r w:rsidR="00D92386" w:rsidRPr="00494D70">
        <w:rPr>
          <w:rFonts w:ascii="Times New Roman" w:eastAsia="Times New Roman" w:hAnsi="Times New Roman" w:cs="Times New Roman"/>
          <w:sz w:val="24"/>
          <w:szCs w:val="24"/>
        </w:rPr>
        <w:t>-based groups</w:t>
      </w:r>
      <w:r w:rsidR="005D061B" w:rsidRPr="00494D70">
        <w:rPr>
          <w:rFonts w:ascii="Times New Roman" w:eastAsia="Times New Roman" w:hAnsi="Times New Roman" w:cs="Times New Roman"/>
          <w:sz w:val="24"/>
          <w:szCs w:val="24"/>
        </w:rPr>
        <w:t xml:space="preserve"> holds several implications.</w:t>
      </w:r>
      <w:r w:rsidR="00820957" w:rsidRPr="00494D70">
        <w:rPr>
          <w:rFonts w:ascii="Times New Roman" w:eastAsia="Times New Roman" w:hAnsi="Times New Roman" w:cs="Times New Roman"/>
          <w:sz w:val="24"/>
          <w:szCs w:val="24"/>
        </w:rPr>
        <w:t xml:space="preserve"> </w:t>
      </w:r>
      <w:r w:rsidR="00FD1462" w:rsidRPr="00494D70">
        <w:rPr>
          <w:rFonts w:ascii="Times New Roman" w:eastAsia="Times New Roman" w:hAnsi="Times New Roman" w:cs="Times New Roman"/>
          <w:sz w:val="24"/>
          <w:szCs w:val="24"/>
        </w:rPr>
        <w:t xml:space="preserve">The findings </w:t>
      </w:r>
      <w:r w:rsidR="005D061B" w:rsidRPr="00494D70">
        <w:rPr>
          <w:rFonts w:ascii="Times New Roman" w:eastAsia="Times New Roman" w:hAnsi="Times New Roman" w:cs="Times New Roman"/>
          <w:sz w:val="24"/>
          <w:szCs w:val="24"/>
        </w:rPr>
        <w:t>suggest that while demographic factors may shap</w:t>
      </w:r>
      <w:r w:rsidR="00FD1462" w:rsidRPr="00494D70">
        <w:rPr>
          <w:rFonts w:ascii="Times New Roman" w:eastAsia="Times New Roman" w:hAnsi="Times New Roman" w:cs="Times New Roman"/>
          <w:sz w:val="24"/>
          <w:szCs w:val="24"/>
        </w:rPr>
        <w:t>e</w:t>
      </w:r>
      <w:r w:rsidR="005D061B" w:rsidRPr="00494D70">
        <w:rPr>
          <w:rFonts w:ascii="Times New Roman" w:eastAsia="Times New Roman" w:hAnsi="Times New Roman" w:cs="Times New Roman"/>
          <w:sz w:val="24"/>
          <w:szCs w:val="24"/>
        </w:rPr>
        <w:t xml:space="preserve"> </w:t>
      </w:r>
      <w:r w:rsidR="00FA386D" w:rsidRPr="00494D70">
        <w:rPr>
          <w:rFonts w:ascii="Times New Roman" w:eastAsia="Times New Roman" w:hAnsi="Times New Roman" w:cs="Times New Roman"/>
          <w:sz w:val="24"/>
          <w:szCs w:val="24"/>
        </w:rPr>
        <w:t>SA</w:t>
      </w:r>
      <w:r w:rsidR="005D061B" w:rsidRPr="00494D70">
        <w:rPr>
          <w:rFonts w:ascii="Times New Roman" w:eastAsia="Times New Roman" w:hAnsi="Times New Roman" w:cs="Times New Roman"/>
          <w:sz w:val="24"/>
          <w:szCs w:val="24"/>
        </w:rPr>
        <w:t xml:space="preserve">, the impact </w:t>
      </w:r>
      <w:r w:rsidR="00FD1462" w:rsidRPr="00494D70">
        <w:rPr>
          <w:rFonts w:ascii="Times New Roman" w:eastAsia="Times New Roman" w:hAnsi="Times New Roman" w:cs="Times New Roman"/>
          <w:sz w:val="24"/>
          <w:szCs w:val="24"/>
        </w:rPr>
        <w:t xml:space="preserve">of each may </w:t>
      </w:r>
      <w:r w:rsidR="005D061B" w:rsidRPr="00494D70">
        <w:rPr>
          <w:rFonts w:ascii="Times New Roman" w:eastAsia="Times New Roman" w:hAnsi="Times New Roman" w:cs="Times New Roman"/>
          <w:sz w:val="24"/>
          <w:szCs w:val="24"/>
        </w:rPr>
        <w:t>be relatively limited</w:t>
      </w:r>
      <w:r w:rsidR="00CE2262" w:rsidRPr="00494D70">
        <w:rPr>
          <w:rFonts w:ascii="Times New Roman" w:eastAsia="Times New Roman" w:hAnsi="Times New Roman" w:cs="Times New Roman"/>
          <w:sz w:val="24"/>
          <w:szCs w:val="24"/>
        </w:rPr>
        <w:t xml:space="preserve">. Therefore, </w:t>
      </w:r>
      <w:r w:rsidR="00FD1462" w:rsidRPr="00494D70">
        <w:rPr>
          <w:rFonts w:ascii="Times New Roman" w:eastAsia="Times New Roman" w:hAnsi="Times New Roman" w:cs="Times New Roman"/>
          <w:sz w:val="24"/>
          <w:szCs w:val="24"/>
        </w:rPr>
        <w:t xml:space="preserve">findings </w:t>
      </w:r>
      <w:r w:rsidR="000440BE" w:rsidRPr="00494D70">
        <w:rPr>
          <w:rFonts w:ascii="Times New Roman" w:eastAsia="Times New Roman" w:hAnsi="Times New Roman" w:cs="Times New Roman"/>
          <w:sz w:val="24"/>
          <w:szCs w:val="24"/>
        </w:rPr>
        <w:t xml:space="preserve">highlight the </w:t>
      </w:r>
      <w:r w:rsidR="00FD1462" w:rsidRPr="00494D70">
        <w:rPr>
          <w:rFonts w:ascii="Times New Roman" w:eastAsia="Times New Roman" w:hAnsi="Times New Roman" w:cs="Times New Roman"/>
          <w:sz w:val="24"/>
          <w:szCs w:val="24"/>
        </w:rPr>
        <w:t>importance of</w:t>
      </w:r>
      <w:r w:rsidR="000440BE" w:rsidRPr="00494D70">
        <w:rPr>
          <w:rFonts w:ascii="Times New Roman" w:eastAsia="Times New Roman" w:hAnsi="Times New Roman" w:cs="Times New Roman"/>
          <w:sz w:val="24"/>
          <w:szCs w:val="24"/>
        </w:rPr>
        <w:t xml:space="preserve"> </w:t>
      </w:r>
      <w:r w:rsidR="000440BE" w:rsidRPr="00494D70">
        <w:rPr>
          <w:rFonts w:ascii="Times New Roman" w:eastAsia="Times New Roman" w:hAnsi="Times New Roman" w:cs="Times New Roman"/>
          <w:sz w:val="24"/>
          <w:szCs w:val="24"/>
        </w:rPr>
        <w:lastRenderedPageBreak/>
        <w:t>investigat</w:t>
      </w:r>
      <w:r w:rsidR="00FD1462" w:rsidRPr="00494D70">
        <w:rPr>
          <w:rFonts w:ascii="Times New Roman" w:eastAsia="Times New Roman" w:hAnsi="Times New Roman" w:cs="Times New Roman"/>
          <w:sz w:val="24"/>
          <w:szCs w:val="24"/>
        </w:rPr>
        <w:t>ing</w:t>
      </w:r>
      <w:r w:rsidR="000440BE" w:rsidRPr="00494D70">
        <w:rPr>
          <w:rFonts w:ascii="Times New Roman" w:eastAsia="Times New Roman" w:hAnsi="Times New Roman" w:cs="Times New Roman"/>
          <w:sz w:val="24"/>
          <w:szCs w:val="24"/>
        </w:rPr>
        <w:t xml:space="preserve"> and </w:t>
      </w:r>
      <w:r w:rsidR="00FC3966" w:rsidRPr="00494D70">
        <w:rPr>
          <w:rFonts w:ascii="Times New Roman" w:eastAsia="Times New Roman" w:hAnsi="Times New Roman" w:cs="Times New Roman"/>
          <w:sz w:val="24"/>
          <w:szCs w:val="24"/>
        </w:rPr>
        <w:t xml:space="preserve">better </w:t>
      </w:r>
      <w:r w:rsidR="000440BE" w:rsidRPr="00494D70">
        <w:rPr>
          <w:rFonts w:ascii="Times New Roman" w:eastAsia="Times New Roman" w:hAnsi="Times New Roman" w:cs="Times New Roman"/>
          <w:sz w:val="24"/>
          <w:szCs w:val="24"/>
        </w:rPr>
        <w:t>understand</w:t>
      </w:r>
      <w:r w:rsidR="00FD1462" w:rsidRPr="00494D70">
        <w:rPr>
          <w:rFonts w:ascii="Times New Roman" w:eastAsia="Times New Roman" w:hAnsi="Times New Roman" w:cs="Times New Roman"/>
          <w:sz w:val="24"/>
          <w:szCs w:val="24"/>
        </w:rPr>
        <w:t>ing</w:t>
      </w:r>
      <w:r w:rsidR="000440BE" w:rsidRPr="00494D70">
        <w:rPr>
          <w:rFonts w:ascii="Times New Roman" w:eastAsia="Times New Roman" w:hAnsi="Times New Roman" w:cs="Times New Roman"/>
          <w:sz w:val="24"/>
          <w:szCs w:val="24"/>
        </w:rPr>
        <w:t xml:space="preserve"> other potential factors that may have a more substantial influence on </w:t>
      </w:r>
      <w:r w:rsidR="00CE2262" w:rsidRPr="00494D70">
        <w:rPr>
          <w:rFonts w:ascii="Times New Roman" w:eastAsia="Times New Roman" w:hAnsi="Times New Roman" w:cs="Times New Roman"/>
          <w:sz w:val="24"/>
          <w:szCs w:val="24"/>
        </w:rPr>
        <w:t>SA</w:t>
      </w:r>
      <w:r w:rsidR="000440BE" w:rsidRPr="00494D70">
        <w:rPr>
          <w:rFonts w:ascii="Times New Roman" w:eastAsia="Times New Roman" w:hAnsi="Times New Roman" w:cs="Times New Roman"/>
          <w:sz w:val="24"/>
          <w:szCs w:val="24"/>
        </w:rPr>
        <w:t xml:space="preserve">, such as </w:t>
      </w:r>
      <w:r w:rsidR="009436E1" w:rsidRPr="00494D70">
        <w:rPr>
          <w:rFonts w:ascii="Times New Roman" w:eastAsia="Times New Roman" w:hAnsi="Times New Roman" w:cs="Times New Roman"/>
          <w:sz w:val="24"/>
          <w:szCs w:val="24"/>
        </w:rPr>
        <w:t>individual</w:t>
      </w:r>
      <w:r w:rsidR="00EC360B" w:rsidRPr="00494D70">
        <w:rPr>
          <w:rFonts w:ascii="Times New Roman" w:eastAsia="Times New Roman" w:hAnsi="Times New Roman" w:cs="Times New Roman"/>
          <w:sz w:val="24"/>
          <w:szCs w:val="24"/>
        </w:rPr>
        <w:t xml:space="preserve"> and couple-level </w:t>
      </w:r>
      <w:r w:rsidR="003338C4" w:rsidRPr="00494D70">
        <w:rPr>
          <w:rFonts w:ascii="Times New Roman" w:eastAsia="Times New Roman" w:hAnsi="Times New Roman" w:cs="Times New Roman"/>
          <w:sz w:val="24"/>
          <w:szCs w:val="24"/>
        </w:rPr>
        <w:t>factors</w:t>
      </w:r>
      <w:r w:rsidR="007D649E" w:rsidRPr="00494D70">
        <w:rPr>
          <w:rFonts w:ascii="Times New Roman" w:eastAsia="Times New Roman" w:hAnsi="Times New Roman" w:cs="Times New Roman"/>
          <w:sz w:val="24"/>
          <w:szCs w:val="24"/>
        </w:rPr>
        <w:t xml:space="preserve"> </w:t>
      </w:r>
      <w:r w:rsidR="007D649E" w:rsidRPr="00494D70">
        <w:rPr>
          <w:rFonts w:ascii="Times New Roman" w:eastAsia="Times New Roman" w:hAnsi="Times New Roman" w:cs="Times New Roman"/>
          <w:sz w:val="24"/>
          <w:szCs w:val="24"/>
        </w:rPr>
        <w:fldChar w:fldCharType="begin"/>
      </w:r>
      <w:r w:rsidR="000B7012" w:rsidRPr="00494D70">
        <w:rPr>
          <w:rFonts w:ascii="Times New Roman" w:eastAsia="Times New Roman" w:hAnsi="Times New Roman" w:cs="Times New Roman"/>
          <w:sz w:val="24"/>
          <w:szCs w:val="24"/>
        </w:rPr>
        <w:instrText xml:space="preserve"> ADDIN ZOTERO_ITEM CSL_CITATION {"citationID":"l3LF8ys2","properties":{"formattedCitation":"(NasrollahiMola et al., 2020; Santos-Iglesias et al., 2013; Zhang &amp; Yip, 2018)","plainCitation":"(NasrollahiMola et al., 2020; Santos-Iglesias et al., 2013; Zhang &amp; Yip, 2018)","noteIndex":0},"citationItems":[{"id":4920,"uris":["http://zotero.org/users/7402913/items/LY5LUQNS"],"itemData":{"id":4920,"type":"article-journal","abstract":"Sexual assertiveness and explicit conversations about sex between couples are influenced by variety of individual, cultural, and social factors. The purpose of this study was to investigate the predictors of sexual assertiveness in a sample of Iranian married women of reproductive age. In this cross-sectional study, 276 married women of reproductive age participated from October 2018 to March 2019. Sampling was done in two stages. Data were collected using demographic questionnaires, Hulbert sexual assertiveness scale, and Spanier dyadic adjustment scale. Univariate and multivariate linear regression models via ENTER method through SPSS (version 25) software were performed. The mean age of participants was 31.44 years old with the mean marriage duration of 119.59 months. The mean score of participants' sexual assertiveness was 57.31. The results of the multivariate regression model showed that marital adjustment (B = 0.46, SE = 0.06, beta = 0.5, 95% CI = 0.35, 0.57) was the only significant predictors of sexual assertiveness explaining 30% of the variance, in married women of reproductive age. Due to important predictive role of marital adjustment, more attention should be given to couples adjustment to improve sexual assertiveness. In addition, this model explained only 30% of the variance in the concept of sexual assertiveness, so it is necessary to identify other factors affecting women's sexual assertiveness.","archive_location":"WOS:000524608800001","container-title":"Sexual and Relationship Therapy","DOI":"10.1080/14681994.2020.1740672","ISSN":"1468-1994","language":"English","title":"Predictors of sexual assertiveness in a sample of Iranian married women of reproductive age","author":[{"family":"NasrollahiMola","given":"N"},{"family":"Bahrami","given":"N"},{"family":"Ranjbaran","given":"M"},{"family":"Alimoradi","given":"Z"}],"issued":{"date-parts":[["2020"]]}}},{"id":3134,"uris":["http://zotero.org/users/7402913/items/UGP5IUFY"],"itemData":{"id":3134,"type":"article-journal","abstract":"This study was conducted to test interpersonal, attitudinal, and sexual predictors of sexual assertiveness in a Spanish sample of 1,619 men and 1,755 women aged 18–87 years. Participants completed measures of sexual assertiveness, solitary and dyadic sexual desire, sexual arousal, erectile function, sexual attitudes, and frequency of partner abuse. In men, higher sexual assertiveness was predicted by less non-physical abuse, more positive attitudes toward sexual fantasies and erotophilia, higher dyadic desire, and higher sexual arousal. In women, higher sexual assertiveness was predicted by less non-physical abuse, less solitary sexual desire and higher dyadic sexual desire, arousal, erotophilia, and positive attitudes towards sexual fantasies. Results were discussed in the light of prevention and educational programs that include training in sexual assertiveness skills.","container-title":"Archives of Sexual Behavior","DOI":"10.1007/s10508-012-9998-3","ISSN":"1573-2800","issue":"6","journalAbbreviation":"Arch Sex Behav","language":"en","page":"1043-1052","source":"Springer Link","title":"Predictors of Sexual Assertiveness: The Role of Sexual Desire, Arousal, Attitudes, and Partner Abuse","title-short":"Predictors of Sexual Assertiveness","volume":"42","author":[{"family":"Santos-Iglesias","given":"Pablo"},{"family":"Sierra","given":"Juan Carlos"},{"family":"Vallejo-Medina","given":"Pablo"}],"issued":{"date-parts":[["2013",8,1]]}}},{"id":3278,"uris":["http://zotero.org/users/7402913/items/Y58CJ75Y"],"itemData":{"id":3278,"type":"article-journal","abstract":"Studies in female sexual assertiveness have generally focused on individuals rather than couples, and little research has been conducted in the Chinese context. This study examined perceived and actual female sexual assertiveness at the couple level, and also explored its impact on marital and sexual satisfaction with a representative sample of 770 couples in Hong Kong. The results showed that husbands reported a higher level of acceptance of female sexual assertiveness in both perception and actual behavior; furthermore, couples reported greater congruence in their perception of female sexual initiation than actual behavior. Multiple logistic regressions showed that actual female sexual assertiveness, not the perception of it, affects both spouses' marital and sexual satisfaction. Compared with couples in which neither accepted female sexual initiation in practice, husbands where both spouses accepted this were more likely to be satisfied with the marriage. Husbands who accepted female sexual refusal whilst their wives did not were also more likely to be satisfied with both the marital and sexual relationship. Similarly, wives who did accept female sexual assertiveness but whose husbands did not were more likely to be satisfied with both the marital and sexual relationship.","container-title":"Journal of Sex &amp; Marital Therapy","DOI":"Hurlbert Index of Sexual Assertiveness: A Study of Psychometric Properties in a Spanish Sam","ISSN":"0092-623X","issue":"1","language":"English","page":"87-95","title":"Perceived and Actual Behavior in Female Sexual Assertiveness: A Within-Couple Analysis in Hong Kong","volume":"44","author":[{"family":"Zhang","given":"Huiping"},{"family":"Yip","given":"Paul S. F."}],"issued":{"date-parts":[["2018"]]}}}],"schema":"https://github.com/citation-style-language/schema/raw/master/csl-citation.json"} </w:instrText>
      </w:r>
      <w:r w:rsidR="007D649E" w:rsidRPr="00494D70">
        <w:rPr>
          <w:rFonts w:ascii="Times New Roman" w:eastAsia="Times New Roman" w:hAnsi="Times New Roman" w:cs="Times New Roman"/>
          <w:sz w:val="24"/>
          <w:szCs w:val="24"/>
        </w:rPr>
        <w:fldChar w:fldCharType="separate"/>
      </w:r>
      <w:r w:rsidR="007D649E" w:rsidRPr="00494D70">
        <w:rPr>
          <w:rFonts w:ascii="Times New Roman" w:hAnsi="Times New Roman" w:cs="Times New Roman"/>
          <w:sz w:val="24"/>
        </w:rPr>
        <w:t>(NasrollahiMola et al., 2020; Santos-Iglesias et al., 2013; Zhang &amp; Yip, 2018)</w:t>
      </w:r>
      <w:r w:rsidR="007D649E" w:rsidRPr="00494D70">
        <w:rPr>
          <w:rFonts w:ascii="Times New Roman" w:eastAsia="Times New Roman" w:hAnsi="Times New Roman" w:cs="Times New Roman"/>
          <w:sz w:val="24"/>
          <w:szCs w:val="24"/>
        </w:rPr>
        <w:fldChar w:fldCharType="end"/>
      </w:r>
      <w:r w:rsidR="00EC360B" w:rsidRPr="00494D70">
        <w:rPr>
          <w:rFonts w:ascii="Times New Roman" w:eastAsia="Times New Roman" w:hAnsi="Times New Roman" w:cs="Times New Roman"/>
          <w:sz w:val="24"/>
          <w:szCs w:val="24"/>
        </w:rPr>
        <w:t>.</w:t>
      </w:r>
      <w:r w:rsidR="00D4364B" w:rsidRPr="00494D70">
        <w:rPr>
          <w:rFonts w:ascii="Times New Roman" w:eastAsia="Times New Roman" w:hAnsi="Times New Roman" w:cs="Times New Roman"/>
          <w:sz w:val="24"/>
          <w:szCs w:val="24"/>
        </w:rPr>
        <w:t xml:space="preserve"> Nevertheless, the recognition </w:t>
      </w:r>
      <w:r w:rsidR="00DB4092" w:rsidRPr="00494D70">
        <w:rPr>
          <w:rFonts w:ascii="Times New Roman" w:eastAsia="Times New Roman" w:hAnsi="Times New Roman" w:cs="Times New Roman"/>
          <w:sz w:val="24"/>
          <w:szCs w:val="24"/>
        </w:rPr>
        <w:t xml:space="preserve">of </w:t>
      </w:r>
      <w:r w:rsidR="00D4364B" w:rsidRPr="00494D70">
        <w:rPr>
          <w:rFonts w:ascii="Times New Roman" w:eastAsia="Times New Roman" w:hAnsi="Times New Roman" w:cs="Times New Roman"/>
          <w:sz w:val="24"/>
          <w:szCs w:val="24"/>
        </w:rPr>
        <w:t xml:space="preserve">demographic differences emphasizes the importance of promoting comprehensive sexual education and empowerment initiatives that target individuals across diverse demographic backgrounds, ensuring equal access to resources regardless of gender, sexual orientation, relationship status, or </w:t>
      </w:r>
      <w:r w:rsidR="00537FC0" w:rsidRPr="00494D70">
        <w:rPr>
          <w:rFonts w:ascii="Times New Roman" w:eastAsia="Times New Roman" w:hAnsi="Times New Roman" w:cs="Times New Roman"/>
          <w:sz w:val="24"/>
          <w:szCs w:val="24"/>
        </w:rPr>
        <w:t>cultural background</w:t>
      </w:r>
      <w:r w:rsidR="00D4364B" w:rsidRPr="00494D70">
        <w:rPr>
          <w:rFonts w:ascii="Times New Roman" w:eastAsia="Times New Roman" w:hAnsi="Times New Roman" w:cs="Times New Roman"/>
          <w:sz w:val="24"/>
          <w:szCs w:val="24"/>
        </w:rPr>
        <w:t>.</w:t>
      </w:r>
    </w:p>
    <w:p w14:paraId="187BF45A" w14:textId="77777777" w:rsidR="00A641CC" w:rsidRPr="00494D70" w:rsidRDefault="00A641CC">
      <w:pPr>
        <w:rPr>
          <w:rFonts w:ascii="Times New Roman" w:eastAsia="Times New Roman" w:hAnsi="Times New Roman" w:cs="Times New Roman"/>
          <w:b/>
          <w:bCs/>
          <w:sz w:val="24"/>
          <w:szCs w:val="24"/>
        </w:rPr>
      </w:pPr>
      <w:r w:rsidRPr="00494D70">
        <w:rPr>
          <w:rFonts w:ascii="Times New Roman" w:eastAsia="Times New Roman" w:hAnsi="Times New Roman" w:cs="Times New Roman"/>
          <w:b/>
          <w:bCs/>
          <w:sz w:val="24"/>
          <w:szCs w:val="24"/>
        </w:rPr>
        <w:br w:type="page"/>
      </w:r>
    </w:p>
    <w:p w14:paraId="247E0668" w14:textId="79BB10AF" w:rsidR="00256753" w:rsidRPr="00494D70" w:rsidRDefault="00256753" w:rsidP="000B124E">
      <w:pPr>
        <w:spacing w:after="0" w:line="480" w:lineRule="auto"/>
        <w:ind w:firstLine="567"/>
        <w:jc w:val="center"/>
        <w:rPr>
          <w:rFonts w:ascii="Times New Roman" w:eastAsia="Times New Roman" w:hAnsi="Times New Roman" w:cs="Times New Roman"/>
          <w:b/>
          <w:bCs/>
          <w:sz w:val="24"/>
          <w:szCs w:val="24"/>
        </w:rPr>
      </w:pPr>
      <w:r w:rsidRPr="00494D70">
        <w:rPr>
          <w:rFonts w:ascii="Times New Roman" w:eastAsia="Times New Roman" w:hAnsi="Times New Roman" w:cs="Times New Roman"/>
          <w:b/>
          <w:bCs/>
          <w:sz w:val="24"/>
          <w:szCs w:val="24"/>
        </w:rPr>
        <w:lastRenderedPageBreak/>
        <w:t>References</w:t>
      </w:r>
    </w:p>
    <w:p w14:paraId="3CD21A9A" w14:textId="77777777" w:rsidR="00ED3068" w:rsidRPr="00494D70" w:rsidRDefault="000B5402" w:rsidP="00C33482">
      <w:pPr>
        <w:pStyle w:val="Irodalomjegyzk"/>
        <w:ind w:left="851" w:hanging="851"/>
        <w:rPr>
          <w:rFonts w:ascii="Times New Roman" w:hAnsi="Times New Roman" w:cs="Times New Roman"/>
        </w:rPr>
      </w:pPr>
      <w:r w:rsidRPr="00494D70">
        <w:rPr>
          <w:rFonts w:ascii="Times New Roman" w:eastAsia="Times New Roman" w:hAnsi="Times New Roman" w:cs="Times New Roman"/>
          <w:b/>
          <w:bCs/>
        </w:rPr>
        <w:fldChar w:fldCharType="begin"/>
      </w:r>
      <w:r w:rsidR="00ED3068" w:rsidRPr="00494D70">
        <w:rPr>
          <w:rFonts w:ascii="Times New Roman" w:eastAsia="Times New Roman" w:hAnsi="Times New Roman" w:cs="Times New Roman"/>
          <w:b/>
          <w:bCs/>
        </w:rPr>
        <w:instrText xml:space="preserve"> ADDIN ZOTERO_BIBL {"uncited":[],"omitted":[],"custom":[]} CSL_BIBLIOGRAPHY </w:instrText>
      </w:r>
      <w:r w:rsidRPr="00494D70">
        <w:rPr>
          <w:rFonts w:ascii="Times New Roman" w:eastAsia="Times New Roman" w:hAnsi="Times New Roman" w:cs="Times New Roman"/>
          <w:b/>
          <w:bCs/>
        </w:rPr>
        <w:fldChar w:fldCharType="separate"/>
      </w:r>
      <w:r w:rsidR="00ED3068" w:rsidRPr="00494D70">
        <w:rPr>
          <w:rFonts w:ascii="Times New Roman" w:hAnsi="Times New Roman" w:cs="Times New Roman"/>
        </w:rPr>
        <w:t xml:space="preserve">Azmoude, E., Firoozi, M., Sadeghi Sahebzad, E., &amp; Asgharipour, N. (2016). Relationship between Gender Roles and Sexual Assertiveness in Married Women. </w:t>
      </w:r>
      <w:r w:rsidR="00ED3068" w:rsidRPr="00494D70">
        <w:rPr>
          <w:rFonts w:ascii="Times New Roman" w:hAnsi="Times New Roman" w:cs="Times New Roman"/>
          <w:i/>
          <w:iCs/>
        </w:rPr>
        <w:t>International Journal of Community Based Nursing and Midwifery</w:t>
      </w:r>
      <w:r w:rsidR="00ED3068" w:rsidRPr="00494D70">
        <w:rPr>
          <w:rFonts w:ascii="Times New Roman" w:hAnsi="Times New Roman" w:cs="Times New Roman"/>
        </w:rPr>
        <w:t xml:space="preserve">, </w:t>
      </w:r>
      <w:r w:rsidR="00ED3068" w:rsidRPr="00494D70">
        <w:rPr>
          <w:rFonts w:ascii="Times New Roman" w:hAnsi="Times New Roman" w:cs="Times New Roman"/>
          <w:i/>
          <w:iCs/>
        </w:rPr>
        <w:t>4</w:t>
      </w:r>
      <w:r w:rsidR="00ED3068" w:rsidRPr="00494D70">
        <w:rPr>
          <w:rFonts w:ascii="Times New Roman" w:hAnsi="Times New Roman" w:cs="Times New Roman"/>
        </w:rPr>
        <w:t>(4), 363–373.</w:t>
      </w:r>
    </w:p>
    <w:p w14:paraId="6353688D"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Beaton, D. E., Bombardier, C., Guillemin, F., &amp; Ferraz, M. B. (2000). Guidelines for the process of cross-cultural adaptation of self-report measures. </w:t>
      </w:r>
      <w:r w:rsidRPr="00494D70">
        <w:rPr>
          <w:rFonts w:ascii="Times New Roman" w:hAnsi="Times New Roman" w:cs="Times New Roman"/>
          <w:i/>
          <w:iCs/>
        </w:rPr>
        <w:t>Spine</w:t>
      </w:r>
      <w:r w:rsidRPr="00494D70">
        <w:rPr>
          <w:rFonts w:ascii="Times New Roman" w:hAnsi="Times New Roman" w:cs="Times New Roman"/>
        </w:rPr>
        <w:t xml:space="preserve">, </w:t>
      </w:r>
      <w:r w:rsidRPr="00494D70">
        <w:rPr>
          <w:rFonts w:ascii="Times New Roman" w:hAnsi="Times New Roman" w:cs="Times New Roman"/>
          <w:i/>
          <w:iCs/>
        </w:rPr>
        <w:t>25</w:t>
      </w:r>
      <w:r w:rsidRPr="00494D70">
        <w:rPr>
          <w:rFonts w:ascii="Times New Roman" w:hAnsi="Times New Roman" w:cs="Times New Roman"/>
        </w:rPr>
        <w:t>(24), 3186–3191. https://doi.org/10.1097/00007632-200012150-00014</w:t>
      </w:r>
    </w:p>
    <w:p w14:paraId="11DEC490"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Borgogna, N. C., McDermott, R. C., Aita, S. L., &amp; Kridel, M. M. (2019). Anxiety and depression across gender and sexual minorities: Implications for transgender, gender nonconforming, pansexual, demisexual, asexual, queer, and questioning individuals. </w:t>
      </w:r>
      <w:r w:rsidRPr="00494D70">
        <w:rPr>
          <w:rFonts w:ascii="Times New Roman" w:hAnsi="Times New Roman" w:cs="Times New Roman"/>
          <w:i/>
          <w:iCs/>
        </w:rPr>
        <w:t>Psychology of Sexual Orientation and Gender Diversity</w:t>
      </w:r>
      <w:r w:rsidRPr="00494D70">
        <w:rPr>
          <w:rFonts w:ascii="Times New Roman" w:hAnsi="Times New Roman" w:cs="Times New Roman"/>
        </w:rPr>
        <w:t xml:space="preserve">, </w:t>
      </w:r>
      <w:r w:rsidRPr="00494D70">
        <w:rPr>
          <w:rFonts w:ascii="Times New Roman" w:hAnsi="Times New Roman" w:cs="Times New Roman"/>
          <w:i/>
          <w:iCs/>
        </w:rPr>
        <w:t>6</w:t>
      </w:r>
      <w:r w:rsidRPr="00494D70">
        <w:rPr>
          <w:rFonts w:ascii="Times New Roman" w:hAnsi="Times New Roman" w:cs="Times New Roman"/>
        </w:rPr>
        <w:t>, 54–63. https://doi.org/10.1037/sgd0000306</w:t>
      </w:r>
    </w:p>
    <w:p w14:paraId="2A278BE6"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Bőthe, B., Koós, M., Nagy, L., Kraus, S. W., Potenza, M. N., &amp; Demetrovics, Z. (2021). International Sex Survey: Study protocol of a large, cross-cultural collaborative study in 45 countries. </w:t>
      </w:r>
      <w:r w:rsidRPr="00494D70">
        <w:rPr>
          <w:rFonts w:ascii="Times New Roman" w:hAnsi="Times New Roman" w:cs="Times New Roman"/>
          <w:i/>
          <w:iCs/>
        </w:rPr>
        <w:t>Journal of Behavioral Addictions</w:t>
      </w:r>
      <w:r w:rsidRPr="00494D70">
        <w:rPr>
          <w:rFonts w:ascii="Times New Roman" w:hAnsi="Times New Roman" w:cs="Times New Roman"/>
        </w:rPr>
        <w:t xml:space="preserve">, </w:t>
      </w:r>
      <w:r w:rsidRPr="00494D70">
        <w:rPr>
          <w:rFonts w:ascii="Times New Roman" w:hAnsi="Times New Roman" w:cs="Times New Roman"/>
          <w:i/>
          <w:iCs/>
        </w:rPr>
        <w:t>10</w:t>
      </w:r>
      <w:r w:rsidRPr="00494D70">
        <w:rPr>
          <w:rFonts w:ascii="Times New Roman" w:hAnsi="Times New Roman" w:cs="Times New Roman"/>
        </w:rPr>
        <w:t>(3), 632–645. https://doi.org/10.1556/2006.2021.00063</w:t>
      </w:r>
    </w:p>
    <w:p w14:paraId="4A2ECA40"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Brown, T. A. (2015). </w:t>
      </w:r>
      <w:r w:rsidRPr="00494D70">
        <w:rPr>
          <w:rFonts w:ascii="Times New Roman" w:hAnsi="Times New Roman" w:cs="Times New Roman"/>
          <w:i/>
          <w:iCs/>
        </w:rPr>
        <w:t>Confirmatory factor analysis for applied research</w:t>
      </w:r>
      <w:r w:rsidRPr="00494D70">
        <w:rPr>
          <w:rFonts w:ascii="Times New Roman" w:hAnsi="Times New Roman" w:cs="Times New Roman"/>
        </w:rPr>
        <w:t xml:space="preserve"> (2nd ed.). The Guilford Press.</w:t>
      </w:r>
    </w:p>
    <w:p w14:paraId="0011CEF9"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Brown, T. N. T., &amp; Herman, J. L. (2015). </w:t>
      </w:r>
      <w:r w:rsidRPr="00494D70">
        <w:rPr>
          <w:rFonts w:ascii="Times New Roman" w:hAnsi="Times New Roman" w:cs="Times New Roman"/>
          <w:i/>
          <w:iCs/>
        </w:rPr>
        <w:t>Intimate Partner Violence and Sexual Abuse Among Lgbt People: A Review of Existing Research</w:t>
      </w:r>
      <w:r w:rsidRPr="00494D70">
        <w:rPr>
          <w:rFonts w:ascii="Times New Roman" w:hAnsi="Times New Roman" w:cs="Times New Roman"/>
        </w:rPr>
        <w:t>. The Williams Institute at UCLA School of Law. https://www.jstor.org/stable/resrep34896</w:t>
      </w:r>
    </w:p>
    <w:p w14:paraId="463DD224"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Chen, F. F. (2007). Sensitivity of Goodness of Fit Indexes to Lack of Measurement Invariance. </w:t>
      </w:r>
      <w:r w:rsidRPr="00494D70">
        <w:rPr>
          <w:rFonts w:ascii="Times New Roman" w:hAnsi="Times New Roman" w:cs="Times New Roman"/>
          <w:i/>
          <w:iCs/>
        </w:rPr>
        <w:t>Structural Equation Modeling: A Multidisciplinary Journal</w:t>
      </w:r>
      <w:r w:rsidRPr="00494D70">
        <w:rPr>
          <w:rFonts w:ascii="Times New Roman" w:hAnsi="Times New Roman" w:cs="Times New Roman"/>
        </w:rPr>
        <w:t xml:space="preserve">, </w:t>
      </w:r>
      <w:r w:rsidRPr="00494D70">
        <w:rPr>
          <w:rFonts w:ascii="Times New Roman" w:hAnsi="Times New Roman" w:cs="Times New Roman"/>
          <w:i/>
          <w:iCs/>
        </w:rPr>
        <w:t>14</w:t>
      </w:r>
      <w:r w:rsidRPr="00494D70">
        <w:rPr>
          <w:rFonts w:ascii="Times New Roman" w:hAnsi="Times New Roman" w:cs="Times New Roman"/>
        </w:rPr>
        <w:t>(3), 464–504. https://doi.org/10.1080/10705510701301834</w:t>
      </w:r>
    </w:p>
    <w:p w14:paraId="4CB384F2"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Cohen, J. (1988). </w:t>
      </w:r>
      <w:r w:rsidRPr="00494D70">
        <w:rPr>
          <w:rFonts w:ascii="Times New Roman" w:hAnsi="Times New Roman" w:cs="Times New Roman"/>
          <w:i/>
          <w:iCs/>
        </w:rPr>
        <w:t>Statistical power analysis for the behavioral sciences</w:t>
      </w:r>
      <w:r w:rsidRPr="00494D70">
        <w:rPr>
          <w:rFonts w:ascii="Times New Roman" w:hAnsi="Times New Roman" w:cs="Times New Roman"/>
        </w:rPr>
        <w:t xml:space="preserve"> (2nd ed.). Erlbaum Associates.</w:t>
      </w:r>
    </w:p>
    <w:p w14:paraId="1E002589"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Comrey, A. L., &amp; Lee, H. B. (1992). </w:t>
      </w:r>
      <w:r w:rsidRPr="00494D70">
        <w:rPr>
          <w:rFonts w:ascii="Times New Roman" w:hAnsi="Times New Roman" w:cs="Times New Roman"/>
          <w:i/>
          <w:iCs/>
        </w:rPr>
        <w:t>A First Course in Factor Analysis</w:t>
      </w:r>
      <w:r w:rsidRPr="00494D70">
        <w:rPr>
          <w:rFonts w:ascii="Times New Roman" w:hAnsi="Times New Roman" w:cs="Times New Roman"/>
        </w:rPr>
        <w:t xml:space="preserve"> (2nd ed.). Psychology Press. https://doi.org/10.4324/9781315827506</w:t>
      </w:r>
    </w:p>
    <w:p w14:paraId="06ACC8A6"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Couture, S., Hebert, M., &amp; Fernet, M. (2022). Validation of a French-Canadian adaptation of the Hurlbert Index of Sexual Assertiveness for adolescents. </w:t>
      </w:r>
      <w:r w:rsidRPr="00494D70">
        <w:rPr>
          <w:rFonts w:ascii="Times New Roman" w:hAnsi="Times New Roman" w:cs="Times New Roman"/>
          <w:i/>
          <w:iCs/>
        </w:rPr>
        <w:t>Sexual and Relationship Therapy</w:t>
      </w:r>
      <w:r w:rsidRPr="00494D70">
        <w:rPr>
          <w:rFonts w:ascii="Times New Roman" w:hAnsi="Times New Roman" w:cs="Times New Roman"/>
        </w:rPr>
        <w:t>. https://doi.org/10.1080/14681994.2022.2067981</w:t>
      </w:r>
    </w:p>
    <w:p w14:paraId="2D9A2D8C"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Dai, F., Fongkaew, W., Lirtmunlikaporn, S., Viseskul, N., &amp; Chaloumsuk, N. (2021). Predictors of the Sexual Assertiveness Among Chinese Female College Students: A Cross-sectional Study. </w:t>
      </w:r>
      <w:r w:rsidRPr="00494D70">
        <w:rPr>
          <w:rFonts w:ascii="Times New Roman" w:hAnsi="Times New Roman" w:cs="Times New Roman"/>
          <w:i/>
          <w:iCs/>
        </w:rPr>
        <w:t>Pacific Rim International Journal of Nursing Research</w:t>
      </w:r>
      <w:r w:rsidRPr="00494D70">
        <w:rPr>
          <w:rFonts w:ascii="Times New Roman" w:hAnsi="Times New Roman" w:cs="Times New Roman"/>
        </w:rPr>
        <w:t xml:space="preserve">, </w:t>
      </w:r>
      <w:r w:rsidRPr="00494D70">
        <w:rPr>
          <w:rFonts w:ascii="Times New Roman" w:hAnsi="Times New Roman" w:cs="Times New Roman"/>
          <w:i/>
          <w:iCs/>
        </w:rPr>
        <w:t>25</w:t>
      </w:r>
      <w:r w:rsidRPr="00494D70">
        <w:rPr>
          <w:rFonts w:ascii="Times New Roman" w:hAnsi="Times New Roman" w:cs="Times New Roman"/>
        </w:rPr>
        <w:t>(4), 626–638.</w:t>
      </w:r>
    </w:p>
    <w:p w14:paraId="0ED211E7"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Darden, M. C., Ehman, A. C., Lair, E. C., &amp; Gross, A. (2018). Sexual Compliance: Examining the Relationships Among Sexual Want, Sexual Consent, and Sexual Assertiveness. </w:t>
      </w:r>
      <w:r w:rsidRPr="00494D70">
        <w:rPr>
          <w:rFonts w:ascii="Times New Roman" w:hAnsi="Times New Roman" w:cs="Times New Roman"/>
          <w:i/>
          <w:iCs/>
        </w:rPr>
        <w:t>Sexuality &amp; Culture</w:t>
      </w:r>
      <w:r w:rsidRPr="00494D70">
        <w:rPr>
          <w:rFonts w:ascii="Times New Roman" w:hAnsi="Times New Roman" w:cs="Times New Roman"/>
        </w:rPr>
        <w:t>. https://doi.org/10.1007/S12119-018-9551-1</w:t>
      </w:r>
    </w:p>
    <w:p w14:paraId="2C058DAE"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Dunn, M., Lloyd, E., &amp; Phelps, G. (1979). Sexual Assertiveness in Spinal Cord Injury. </w:t>
      </w:r>
      <w:r w:rsidRPr="00494D70">
        <w:rPr>
          <w:rFonts w:ascii="Times New Roman" w:hAnsi="Times New Roman" w:cs="Times New Roman"/>
          <w:i/>
          <w:iCs/>
        </w:rPr>
        <w:t>Sexuality and Disability</w:t>
      </w:r>
      <w:r w:rsidRPr="00494D70">
        <w:rPr>
          <w:rFonts w:ascii="Times New Roman" w:hAnsi="Times New Roman" w:cs="Times New Roman"/>
        </w:rPr>
        <w:t xml:space="preserve">, </w:t>
      </w:r>
      <w:r w:rsidRPr="00494D70">
        <w:rPr>
          <w:rFonts w:ascii="Times New Roman" w:hAnsi="Times New Roman" w:cs="Times New Roman"/>
          <w:i/>
          <w:iCs/>
        </w:rPr>
        <w:t>2</w:t>
      </w:r>
      <w:r w:rsidRPr="00494D70">
        <w:rPr>
          <w:rFonts w:ascii="Times New Roman" w:hAnsi="Times New Roman" w:cs="Times New Roman"/>
        </w:rPr>
        <w:t>(4), 293–300. https://doi.org/10.1007/BF01101395</w:t>
      </w:r>
    </w:p>
    <w:p w14:paraId="6C191FFA"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Dworkin, E. R., Krahé, B., &amp; Zinzow, H. (2021). The global prevalence of sexual assault: A systematic review of international research since 2010. </w:t>
      </w:r>
      <w:r w:rsidRPr="00494D70">
        <w:rPr>
          <w:rFonts w:ascii="Times New Roman" w:hAnsi="Times New Roman" w:cs="Times New Roman"/>
          <w:i/>
          <w:iCs/>
        </w:rPr>
        <w:t>Psychology of Violence</w:t>
      </w:r>
      <w:r w:rsidRPr="00494D70">
        <w:rPr>
          <w:rFonts w:ascii="Times New Roman" w:hAnsi="Times New Roman" w:cs="Times New Roman"/>
        </w:rPr>
        <w:t xml:space="preserve">, </w:t>
      </w:r>
      <w:r w:rsidRPr="00494D70">
        <w:rPr>
          <w:rFonts w:ascii="Times New Roman" w:hAnsi="Times New Roman" w:cs="Times New Roman"/>
          <w:i/>
          <w:iCs/>
        </w:rPr>
        <w:t>11</w:t>
      </w:r>
      <w:r w:rsidRPr="00494D70">
        <w:rPr>
          <w:rFonts w:ascii="Times New Roman" w:hAnsi="Times New Roman" w:cs="Times New Roman"/>
        </w:rPr>
        <w:t>(5), 497–508. https://doi.org/10.1037/vio0000374</w:t>
      </w:r>
    </w:p>
    <w:p w14:paraId="1AECBCDF"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Egleston, B. L., Miller, S. M., &amp; Meropol, N. J. (2011). The impact of misclassification due to survey response fatigue on estimation and identifiability of treatment effects. </w:t>
      </w:r>
      <w:r w:rsidRPr="00494D70">
        <w:rPr>
          <w:rFonts w:ascii="Times New Roman" w:hAnsi="Times New Roman" w:cs="Times New Roman"/>
          <w:i/>
          <w:iCs/>
        </w:rPr>
        <w:t>Statistics in Medicine</w:t>
      </w:r>
      <w:r w:rsidRPr="00494D70">
        <w:rPr>
          <w:rFonts w:ascii="Times New Roman" w:hAnsi="Times New Roman" w:cs="Times New Roman"/>
        </w:rPr>
        <w:t xml:space="preserve">, </w:t>
      </w:r>
      <w:r w:rsidRPr="00494D70">
        <w:rPr>
          <w:rFonts w:ascii="Times New Roman" w:hAnsi="Times New Roman" w:cs="Times New Roman"/>
          <w:i/>
          <w:iCs/>
        </w:rPr>
        <w:t>30</w:t>
      </w:r>
      <w:r w:rsidRPr="00494D70">
        <w:rPr>
          <w:rFonts w:ascii="Times New Roman" w:hAnsi="Times New Roman" w:cs="Times New Roman"/>
        </w:rPr>
        <w:t>(30), 3560–3572. https://doi.org/10.1002/sim.4377</w:t>
      </w:r>
    </w:p>
    <w:p w14:paraId="07168504"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lastRenderedPageBreak/>
        <w:t xml:space="preserve">Feinstein, B. A., Hurtado Jr., M., Dyar, C., &amp; Davila, J. (2021). Disclosure, minority stress, and mental health among bisexual, pansexual, and queer (Bi+) adults: The roles of primary sexual identity and multiple sexual identity label use. </w:t>
      </w:r>
      <w:r w:rsidRPr="00494D70">
        <w:rPr>
          <w:rFonts w:ascii="Times New Roman" w:hAnsi="Times New Roman" w:cs="Times New Roman"/>
          <w:i/>
          <w:iCs/>
        </w:rPr>
        <w:t>Psychology of Sexual Orientation and Gender Diversity</w:t>
      </w:r>
      <w:r w:rsidRPr="00494D70">
        <w:rPr>
          <w:rFonts w:ascii="Times New Roman" w:hAnsi="Times New Roman" w:cs="Times New Roman"/>
        </w:rPr>
        <w:t>. https://doi.org/10.1037/sgd0000532</w:t>
      </w:r>
    </w:p>
    <w:p w14:paraId="05F9A14E"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Gagnon, J. H., &amp; Simon, W. (2005). </w:t>
      </w:r>
      <w:r w:rsidRPr="00494D70">
        <w:rPr>
          <w:rFonts w:ascii="Times New Roman" w:hAnsi="Times New Roman" w:cs="Times New Roman"/>
          <w:i/>
          <w:iCs/>
        </w:rPr>
        <w:t>Sexual conduct: The social sources of human sexuality, 2nd ed</w:t>
      </w:r>
      <w:r w:rsidRPr="00494D70">
        <w:rPr>
          <w:rFonts w:ascii="Times New Roman" w:hAnsi="Times New Roman" w:cs="Times New Roman"/>
        </w:rPr>
        <w:t>. Aldine Transaction.</w:t>
      </w:r>
    </w:p>
    <w:p w14:paraId="54ADDF50"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Gil-Llario, M. D., Fernández-García, O., Gil-Juliá, B., Estruch-García, V., &amp; Ballester-Arnal, R. (2021). Development and Psychometric Properties of an Instrument for the Assessment of Assertiveness in Sexual Relations. </w:t>
      </w:r>
      <w:r w:rsidRPr="00494D70">
        <w:rPr>
          <w:rFonts w:ascii="Times New Roman" w:hAnsi="Times New Roman" w:cs="Times New Roman"/>
          <w:i/>
          <w:iCs/>
        </w:rPr>
        <w:t>Sexuality Research and Social Policy</w:t>
      </w:r>
      <w:r w:rsidRPr="00494D70">
        <w:rPr>
          <w:rFonts w:ascii="Times New Roman" w:hAnsi="Times New Roman" w:cs="Times New Roman"/>
        </w:rPr>
        <w:t>. https://doi.org/10.1007/s13178-021-00630-6</w:t>
      </w:r>
    </w:p>
    <w:p w14:paraId="2D5CDFD3"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Goodboy, A. K., &amp; Martin, M. M. (2020). Omega over alpha for reliability estimation of unidimensional communication measures. </w:t>
      </w:r>
      <w:r w:rsidRPr="00494D70">
        <w:rPr>
          <w:rFonts w:ascii="Times New Roman" w:hAnsi="Times New Roman" w:cs="Times New Roman"/>
          <w:i/>
          <w:iCs/>
        </w:rPr>
        <w:t>Annals of the International Communication Association</w:t>
      </w:r>
      <w:r w:rsidRPr="00494D70">
        <w:rPr>
          <w:rFonts w:ascii="Times New Roman" w:hAnsi="Times New Roman" w:cs="Times New Roman"/>
        </w:rPr>
        <w:t xml:space="preserve">, </w:t>
      </w:r>
      <w:r w:rsidRPr="00494D70">
        <w:rPr>
          <w:rFonts w:ascii="Times New Roman" w:hAnsi="Times New Roman" w:cs="Times New Roman"/>
          <w:i/>
          <w:iCs/>
        </w:rPr>
        <w:t>44</w:t>
      </w:r>
      <w:r w:rsidRPr="00494D70">
        <w:rPr>
          <w:rFonts w:ascii="Times New Roman" w:hAnsi="Times New Roman" w:cs="Times New Roman"/>
        </w:rPr>
        <w:t>(4), 422–439. https://doi.org/10.1080/23808985.2020.1846135</w:t>
      </w:r>
    </w:p>
    <w:p w14:paraId="5F035A5F"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Goodcase, E. T., Spencer, C. M., &amp; Toews, M. L. (2021). Who Understands Consent? A Latent Profile Analysis of College Students’ Attitudes Toward Consent. </w:t>
      </w:r>
      <w:r w:rsidRPr="00494D70">
        <w:rPr>
          <w:rFonts w:ascii="Times New Roman" w:hAnsi="Times New Roman" w:cs="Times New Roman"/>
          <w:i/>
          <w:iCs/>
        </w:rPr>
        <w:t>Journal of Interpersonal Violence</w:t>
      </w:r>
      <w:r w:rsidRPr="00494D70">
        <w:rPr>
          <w:rFonts w:ascii="Times New Roman" w:hAnsi="Times New Roman" w:cs="Times New Roman"/>
        </w:rPr>
        <w:t xml:space="preserve">, </w:t>
      </w:r>
      <w:r w:rsidRPr="00494D70">
        <w:rPr>
          <w:rFonts w:ascii="Times New Roman" w:hAnsi="Times New Roman" w:cs="Times New Roman"/>
          <w:i/>
          <w:iCs/>
        </w:rPr>
        <w:t>36</w:t>
      </w:r>
      <w:r w:rsidRPr="00494D70">
        <w:rPr>
          <w:rFonts w:ascii="Times New Roman" w:hAnsi="Times New Roman" w:cs="Times New Roman"/>
        </w:rPr>
        <w:t>(15–16), 7495–7504. https://doi.org/10.1177/0886260519836786</w:t>
      </w:r>
    </w:p>
    <w:p w14:paraId="1EAEDB9C"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Gupta, K. (2017). What Does Asexuality Teach Us About Sexual Disinterest? Recommendations for Health Professionals Based on a Qualitative Study With Asexually Identified People. </w:t>
      </w:r>
      <w:r w:rsidRPr="00494D70">
        <w:rPr>
          <w:rFonts w:ascii="Times New Roman" w:hAnsi="Times New Roman" w:cs="Times New Roman"/>
          <w:i/>
          <w:iCs/>
        </w:rPr>
        <w:t>Journal of Sex &amp; Marital Therapy</w:t>
      </w:r>
      <w:r w:rsidRPr="00494D70">
        <w:rPr>
          <w:rFonts w:ascii="Times New Roman" w:hAnsi="Times New Roman" w:cs="Times New Roman"/>
        </w:rPr>
        <w:t xml:space="preserve">, </w:t>
      </w:r>
      <w:r w:rsidRPr="00494D70">
        <w:rPr>
          <w:rFonts w:ascii="Times New Roman" w:hAnsi="Times New Roman" w:cs="Times New Roman"/>
          <w:i/>
          <w:iCs/>
        </w:rPr>
        <w:t>43</w:t>
      </w:r>
      <w:r w:rsidRPr="00494D70">
        <w:rPr>
          <w:rFonts w:ascii="Times New Roman" w:hAnsi="Times New Roman" w:cs="Times New Roman"/>
        </w:rPr>
        <w:t>(1), 1–14. https://doi.org/10.1080/0092623X.2015.1113593</w:t>
      </w:r>
    </w:p>
    <w:p w14:paraId="352BB522"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Haavio-Mannila, E., &amp; Kontula, O. (1997). Correlates of increased sexual satisfaction. In </w:t>
      </w:r>
      <w:r w:rsidRPr="00494D70">
        <w:rPr>
          <w:rFonts w:ascii="Times New Roman" w:hAnsi="Times New Roman" w:cs="Times New Roman"/>
          <w:i/>
          <w:iCs/>
        </w:rPr>
        <w:t>Archives of Sexual Behavior</w:t>
      </w:r>
      <w:r w:rsidRPr="00494D70">
        <w:rPr>
          <w:rFonts w:ascii="Times New Roman" w:hAnsi="Times New Roman" w:cs="Times New Roman"/>
        </w:rPr>
        <w:t xml:space="preserve"> (Vol. 26, Issue 4, pp. 399–419). SPRINGER/PLENUM PUBLISHERS. https://doi.org/10.1023/A:1024591318836</w:t>
      </w:r>
    </w:p>
    <w:p w14:paraId="68D09B70"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Ho, L. Y., Ehman, A. C., &amp; Gross, A. M. (2021). Gender Roles, Sexual Assertiveness, and Sexual Victimization in LGBTQ Individuals. </w:t>
      </w:r>
      <w:r w:rsidRPr="00494D70">
        <w:rPr>
          <w:rFonts w:ascii="Times New Roman" w:hAnsi="Times New Roman" w:cs="Times New Roman"/>
          <w:i/>
          <w:iCs/>
        </w:rPr>
        <w:t>Sexuality &amp; Culture</w:t>
      </w:r>
      <w:r w:rsidRPr="00494D70">
        <w:rPr>
          <w:rFonts w:ascii="Times New Roman" w:hAnsi="Times New Roman" w:cs="Times New Roman"/>
        </w:rPr>
        <w:t xml:space="preserve">, </w:t>
      </w:r>
      <w:r w:rsidRPr="00494D70">
        <w:rPr>
          <w:rFonts w:ascii="Times New Roman" w:hAnsi="Times New Roman" w:cs="Times New Roman"/>
          <w:i/>
          <w:iCs/>
        </w:rPr>
        <w:t>25</w:t>
      </w:r>
      <w:r w:rsidRPr="00494D70">
        <w:rPr>
          <w:rFonts w:ascii="Times New Roman" w:hAnsi="Times New Roman" w:cs="Times New Roman"/>
        </w:rPr>
        <w:t>(4), 1469–1489. https://doi.org/10.1007/s12119-021-09819-8</w:t>
      </w:r>
    </w:p>
    <w:p w14:paraId="25E7F979"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Hurlbert, D. F. (1991). The role of assertiveness in female sexuality: A comparative study between sexually assertive and sexually nonassertive women. </w:t>
      </w:r>
      <w:r w:rsidRPr="00494D70">
        <w:rPr>
          <w:rFonts w:ascii="Times New Roman" w:hAnsi="Times New Roman" w:cs="Times New Roman"/>
          <w:i/>
          <w:iCs/>
        </w:rPr>
        <w:t>Journal of Sex &amp; Marital Therapy</w:t>
      </w:r>
      <w:r w:rsidRPr="00494D70">
        <w:rPr>
          <w:rFonts w:ascii="Times New Roman" w:hAnsi="Times New Roman" w:cs="Times New Roman"/>
        </w:rPr>
        <w:t xml:space="preserve">, </w:t>
      </w:r>
      <w:r w:rsidRPr="00494D70">
        <w:rPr>
          <w:rFonts w:ascii="Times New Roman" w:hAnsi="Times New Roman" w:cs="Times New Roman"/>
          <w:i/>
          <w:iCs/>
        </w:rPr>
        <w:t>17</w:t>
      </w:r>
      <w:r w:rsidRPr="00494D70">
        <w:rPr>
          <w:rFonts w:ascii="Times New Roman" w:hAnsi="Times New Roman" w:cs="Times New Roman"/>
        </w:rPr>
        <w:t>(3), 183–190. https://doi.org/10.1080/00926239108404342</w:t>
      </w:r>
    </w:p>
    <w:p w14:paraId="4F5A4C01"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IBM. (2021). </w:t>
      </w:r>
      <w:r w:rsidRPr="00494D70">
        <w:rPr>
          <w:rFonts w:ascii="Times New Roman" w:hAnsi="Times New Roman" w:cs="Times New Roman"/>
          <w:i/>
          <w:iCs/>
        </w:rPr>
        <w:t>IBM SPSS Statistics for Windows</w:t>
      </w:r>
      <w:r w:rsidRPr="00494D70">
        <w:rPr>
          <w:rFonts w:ascii="Times New Roman" w:hAnsi="Times New Roman" w:cs="Times New Roman"/>
        </w:rPr>
        <w:t xml:space="preserve"> (Version 28) [Computer software]. IBM.</w:t>
      </w:r>
    </w:p>
    <w:p w14:paraId="5622B347"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Katz, J., May, P., Sörensen, S., &amp; DelTosta, J. (2010). Sexual Revictimization During Women’s First Year of College: Self-Blame and Sexual Refusal Assertiveness as Possible Mechanisms. </w:t>
      </w:r>
      <w:r w:rsidRPr="00494D70">
        <w:rPr>
          <w:rFonts w:ascii="Times New Roman" w:hAnsi="Times New Roman" w:cs="Times New Roman"/>
          <w:i/>
          <w:iCs/>
        </w:rPr>
        <w:t>Journal of Interpersonal Violence</w:t>
      </w:r>
      <w:r w:rsidRPr="00494D70">
        <w:rPr>
          <w:rFonts w:ascii="Times New Roman" w:hAnsi="Times New Roman" w:cs="Times New Roman"/>
        </w:rPr>
        <w:t xml:space="preserve">, </w:t>
      </w:r>
      <w:r w:rsidRPr="00494D70">
        <w:rPr>
          <w:rFonts w:ascii="Times New Roman" w:hAnsi="Times New Roman" w:cs="Times New Roman"/>
          <w:i/>
          <w:iCs/>
        </w:rPr>
        <w:t>25</w:t>
      </w:r>
      <w:r w:rsidRPr="00494D70">
        <w:rPr>
          <w:rFonts w:ascii="Times New Roman" w:hAnsi="Times New Roman" w:cs="Times New Roman"/>
        </w:rPr>
        <w:t>(11), 2113–2126. https://doi.org/10.1177/0886260509354515</w:t>
      </w:r>
    </w:p>
    <w:p w14:paraId="0C44A0BC"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Kelley, E. L., Orchowski, L. M., &amp; Gidycz, C. (2016). Sexual victimization among college women: Role of sexual assertiveness and resistance variables. </w:t>
      </w:r>
      <w:r w:rsidRPr="00494D70">
        <w:rPr>
          <w:rFonts w:ascii="Times New Roman" w:hAnsi="Times New Roman" w:cs="Times New Roman"/>
          <w:i/>
          <w:iCs/>
        </w:rPr>
        <w:t>Psychology of Violence</w:t>
      </w:r>
      <w:r w:rsidRPr="00494D70">
        <w:rPr>
          <w:rFonts w:ascii="Times New Roman" w:hAnsi="Times New Roman" w:cs="Times New Roman"/>
        </w:rPr>
        <w:t xml:space="preserve">, </w:t>
      </w:r>
      <w:r w:rsidRPr="00494D70">
        <w:rPr>
          <w:rFonts w:ascii="Times New Roman" w:hAnsi="Times New Roman" w:cs="Times New Roman"/>
          <w:i/>
          <w:iCs/>
        </w:rPr>
        <w:t>6</w:t>
      </w:r>
      <w:r w:rsidRPr="00494D70">
        <w:rPr>
          <w:rFonts w:ascii="Times New Roman" w:hAnsi="Times New Roman" w:cs="Times New Roman"/>
        </w:rPr>
        <w:t>(2), 243–252. https://doi.org/10.1037/A0039407</w:t>
      </w:r>
    </w:p>
    <w:p w14:paraId="3FD6FC07"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Kim, Y., Lee, E., &amp; Lee, H. (2019). Sexual Double Standard, Dating Violence Recognition, and Sexual Assertiveness among University Students in South Korea. </w:t>
      </w:r>
      <w:r w:rsidRPr="00494D70">
        <w:rPr>
          <w:rFonts w:ascii="Times New Roman" w:hAnsi="Times New Roman" w:cs="Times New Roman"/>
          <w:i/>
          <w:iCs/>
        </w:rPr>
        <w:t>Asian Nursing Research</w:t>
      </w:r>
      <w:r w:rsidRPr="00494D70">
        <w:rPr>
          <w:rFonts w:ascii="Times New Roman" w:hAnsi="Times New Roman" w:cs="Times New Roman"/>
        </w:rPr>
        <w:t xml:space="preserve">, </w:t>
      </w:r>
      <w:r w:rsidRPr="00494D70">
        <w:rPr>
          <w:rFonts w:ascii="Times New Roman" w:hAnsi="Times New Roman" w:cs="Times New Roman"/>
          <w:i/>
          <w:iCs/>
        </w:rPr>
        <w:t>13</w:t>
      </w:r>
      <w:r w:rsidRPr="00494D70">
        <w:rPr>
          <w:rFonts w:ascii="Times New Roman" w:hAnsi="Times New Roman" w:cs="Times New Roman"/>
        </w:rPr>
        <w:t>(1), 47–52. https://doi.org/10.1016/j.anr.2019.01.003</w:t>
      </w:r>
    </w:p>
    <w:p w14:paraId="358F6712"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Lammers, J., &amp; Stoker, J. I. (2019). Power Affects Sexual Assertiveness and Sexual Esteem Equally in Women and Men. </w:t>
      </w:r>
      <w:r w:rsidRPr="00494D70">
        <w:rPr>
          <w:rFonts w:ascii="Times New Roman" w:hAnsi="Times New Roman" w:cs="Times New Roman"/>
          <w:i/>
          <w:iCs/>
        </w:rPr>
        <w:t>Archives of Sexual Behavior</w:t>
      </w:r>
      <w:r w:rsidRPr="00494D70">
        <w:rPr>
          <w:rFonts w:ascii="Times New Roman" w:hAnsi="Times New Roman" w:cs="Times New Roman"/>
        </w:rPr>
        <w:t xml:space="preserve">, </w:t>
      </w:r>
      <w:r w:rsidRPr="00494D70">
        <w:rPr>
          <w:rFonts w:ascii="Times New Roman" w:hAnsi="Times New Roman" w:cs="Times New Roman"/>
          <w:i/>
          <w:iCs/>
        </w:rPr>
        <w:t>48</w:t>
      </w:r>
      <w:r w:rsidRPr="00494D70">
        <w:rPr>
          <w:rFonts w:ascii="Times New Roman" w:hAnsi="Times New Roman" w:cs="Times New Roman"/>
        </w:rPr>
        <w:t>(2), 645–652. https://doi.org/10.1007/s10508-018-1285-5</w:t>
      </w:r>
    </w:p>
    <w:p w14:paraId="5971DECD"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lastRenderedPageBreak/>
        <w:t xml:space="preserve">Leclerc, B., Bergeron, S., Brassard, A., Belanger, C., Steben, M., &amp; Lambert, B. (2015). Attachment, Sexual Assertiveness, and Sexual Outcomes in Women with Provoked Vestibulodynia and Their Partners: A Mediation Model. </w:t>
      </w:r>
      <w:r w:rsidRPr="00494D70">
        <w:rPr>
          <w:rFonts w:ascii="Times New Roman" w:hAnsi="Times New Roman" w:cs="Times New Roman"/>
          <w:i/>
          <w:iCs/>
        </w:rPr>
        <w:t>Archives of Sexual Behavior</w:t>
      </w:r>
      <w:r w:rsidRPr="00494D70">
        <w:rPr>
          <w:rFonts w:ascii="Times New Roman" w:hAnsi="Times New Roman" w:cs="Times New Roman"/>
        </w:rPr>
        <w:t xml:space="preserve">, </w:t>
      </w:r>
      <w:r w:rsidRPr="00494D70">
        <w:rPr>
          <w:rFonts w:ascii="Times New Roman" w:hAnsi="Times New Roman" w:cs="Times New Roman"/>
          <w:i/>
          <w:iCs/>
        </w:rPr>
        <w:t>44</w:t>
      </w:r>
      <w:r w:rsidRPr="00494D70">
        <w:rPr>
          <w:rFonts w:ascii="Times New Roman" w:hAnsi="Times New Roman" w:cs="Times New Roman"/>
        </w:rPr>
        <w:t>(6), 1561–1572. https://doi.org/10.1007/s10508-014-0295-1</w:t>
      </w:r>
    </w:p>
    <w:p w14:paraId="007D4055"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Livingston, J. A., Testa, M., &amp; VanZile-Tamsen, C. (2007). The Reciprocal Relationship Between Sexual Victimization and Sexual Assertiveness. </w:t>
      </w:r>
      <w:r w:rsidRPr="00494D70">
        <w:rPr>
          <w:rFonts w:ascii="Times New Roman" w:hAnsi="Times New Roman" w:cs="Times New Roman"/>
          <w:i/>
          <w:iCs/>
        </w:rPr>
        <w:t>Violence Against Women</w:t>
      </w:r>
      <w:r w:rsidRPr="00494D70">
        <w:rPr>
          <w:rFonts w:ascii="Times New Roman" w:hAnsi="Times New Roman" w:cs="Times New Roman"/>
        </w:rPr>
        <w:t xml:space="preserve">, </w:t>
      </w:r>
      <w:r w:rsidRPr="00494D70">
        <w:rPr>
          <w:rFonts w:ascii="Times New Roman" w:hAnsi="Times New Roman" w:cs="Times New Roman"/>
          <w:i/>
          <w:iCs/>
        </w:rPr>
        <w:t>13</w:t>
      </w:r>
      <w:r w:rsidRPr="00494D70">
        <w:rPr>
          <w:rFonts w:ascii="Times New Roman" w:hAnsi="Times New Roman" w:cs="Times New Roman"/>
        </w:rPr>
        <w:t>(3), 298–313. https://doi.org/10.1177/1077801206297339</w:t>
      </w:r>
    </w:p>
    <w:p w14:paraId="6019B8E5"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Lopez-Alvarado, S., Prekatsounaki, S., Van Parys, H., &amp; Enzlin, P. (2022). Sexual Assertiveness and Its Correlates in Emerging Adults: An Exploratory Study in Cuenca (Ecuador). </w:t>
      </w:r>
      <w:r w:rsidRPr="00494D70">
        <w:rPr>
          <w:rFonts w:ascii="Times New Roman" w:hAnsi="Times New Roman" w:cs="Times New Roman"/>
          <w:i/>
          <w:iCs/>
        </w:rPr>
        <w:t>International Journal of Sexual Health</w:t>
      </w:r>
      <w:r w:rsidRPr="00494D70">
        <w:rPr>
          <w:rFonts w:ascii="Times New Roman" w:hAnsi="Times New Roman" w:cs="Times New Roman"/>
        </w:rPr>
        <w:t xml:space="preserve">, </w:t>
      </w:r>
      <w:r w:rsidRPr="00494D70">
        <w:rPr>
          <w:rFonts w:ascii="Times New Roman" w:hAnsi="Times New Roman" w:cs="Times New Roman"/>
          <w:i/>
          <w:iCs/>
        </w:rPr>
        <w:t>34</w:t>
      </w:r>
      <w:r w:rsidRPr="00494D70">
        <w:rPr>
          <w:rFonts w:ascii="Times New Roman" w:hAnsi="Times New Roman" w:cs="Times New Roman"/>
        </w:rPr>
        <w:t>(4), 679–690. https://doi.org/10.1080/19317611.2022.2106527</w:t>
      </w:r>
    </w:p>
    <w:p w14:paraId="55D715FD"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Lopez-Alvarado, S., Van Parys, H., Cevallos-Neira, A., &amp; Enzlin, P. (2020). Latin American Women ’ s Beliefs, Views and Ideas About Sexual Assertiveness: A Focus Group Study in Cuenca (Ecuador). </w:t>
      </w:r>
      <w:r w:rsidRPr="00494D70">
        <w:rPr>
          <w:rFonts w:ascii="Times New Roman" w:hAnsi="Times New Roman" w:cs="Times New Roman"/>
          <w:i/>
          <w:iCs/>
        </w:rPr>
        <w:t>Journal of Sex Research</w:t>
      </w:r>
      <w:r w:rsidRPr="00494D70">
        <w:rPr>
          <w:rFonts w:ascii="Times New Roman" w:hAnsi="Times New Roman" w:cs="Times New Roman"/>
        </w:rPr>
        <w:t xml:space="preserve">, </w:t>
      </w:r>
      <w:r w:rsidRPr="00494D70">
        <w:rPr>
          <w:rFonts w:ascii="Times New Roman" w:hAnsi="Times New Roman" w:cs="Times New Roman"/>
          <w:i/>
          <w:iCs/>
        </w:rPr>
        <w:t>57</w:t>
      </w:r>
      <w:r w:rsidRPr="00494D70">
        <w:rPr>
          <w:rFonts w:ascii="Times New Roman" w:hAnsi="Times New Roman" w:cs="Times New Roman"/>
        </w:rPr>
        <w:t>(3), 307–321. https://doi.org/10.1080/00224499.2019.1615031</w:t>
      </w:r>
    </w:p>
    <w:p w14:paraId="37736653"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Loshek, E., &amp; Terrell, H. K. (2015). The Development of the Sexual Assertiveness Questionnaire (SAQ): A Comprehensive Measure of Sexual Assertiveness for Women. </w:t>
      </w:r>
      <w:r w:rsidRPr="00494D70">
        <w:rPr>
          <w:rFonts w:ascii="Times New Roman" w:hAnsi="Times New Roman" w:cs="Times New Roman"/>
          <w:i/>
          <w:iCs/>
        </w:rPr>
        <w:t>Journal of Sex Research</w:t>
      </w:r>
      <w:r w:rsidRPr="00494D70">
        <w:rPr>
          <w:rFonts w:ascii="Times New Roman" w:hAnsi="Times New Roman" w:cs="Times New Roman"/>
        </w:rPr>
        <w:t xml:space="preserve">, </w:t>
      </w:r>
      <w:r w:rsidRPr="00494D70">
        <w:rPr>
          <w:rFonts w:ascii="Times New Roman" w:hAnsi="Times New Roman" w:cs="Times New Roman"/>
          <w:i/>
          <w:iCs/>
        </w:rPr>
        <w:t>52</w:t>
      </w:r>
      <w:r w:rsidRPr="00494D70">
        <w:rPr>
          <w:rFonts w:ascii="Times New Roman" w:hAnsi="Times New Roman" w:cs="Times New Roman"/>
        </w:rPr>
        <w:t>(9), 1017–1027. https://doi.org/10.1080/00224499.2014.944970</w:t>
      </w:r>
    </w:p>
    <w:p w14:paraId="612948B4"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Lund, E. M. (2021). Violence Against Asexual Individuals. In E. M. Lund, C. Burgess, &amp; A. J. Johnson (Eds.), </w:t>
      </w:r>
      <w:r w:rsidRPr="00494D70">
        <w:rPr>
          <w:rFonts w:ascii="Times New Roman" w:hAnsi="Times New Roman" w:cs="Times New Roman"/>
          <w:i/>
          <w:iCs/>
        </w:rPr>
        <w:t>Violence Against LGBTQ+ Persons: Research, Practice, and Advocacy</w:t>
      </w:r>
      <w:r w:rsidRPr="00494D70">
        <w:rPr>
          <w:rFonts w:ascii="Times New Roman" w:hAnsi="Times New Roman" w:cs="Times New Roman"/>
        </w:rPr>
        <w:t xml:space="preserve"> (pp. 179–183). Springer International Publishing. https://doi.org/10.1007/978-3-030-52612-2_13</w:t>
      </w:r>
    </w:p>
    <w:p w14:paraId="07D71755"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Lyons, M., Houghton, E., Brewer, G., &amp; O’Brien, F. (2022). The Dark Triad and Sexual Assertiveness Predict Sexual Coercion Differently in Men and Women. </w:t>
      </w:r>
      <w:r w:rsidRPr="00494D70">
        <w:rPr>
          <w:rFonts w:ascii="Times New Roman" w:hAnsi="Times New Roman" w:cs="Times New Roman"/>
          <w:i/>
          <w:iCs/>
        </w:rPr>
        <w:t>Journal of Interpersonal Violence</w:t>
      </w:r>
      <w:r w:rsidRPr="00494D70">
        <w:rPr>
          <w:rFonts w:ascii="Times New Roman" w:hAnsi="Times New Roman" w:cs="Times New Roman"/>
        </w:rPr>
        <w:t xml:space="preserve">, </w:t>
      </w:r>
      <w:r w:rsidRPr="00494D70">
        <w:rPr>
          <w:rFonts w:ascii="Times New Roman" w:hAnsi="Times New Roman" w:cs="Times New Roman"/>
          <w:i/>
          <w:iCs/>
        </w:rPr>
        <w:t>37</w:t>
      </w:r>
      <w:r w:rsidRPr="00494D70">
        <w:rPr>
          <w:rFonts w:ascii="Times New Roman" w:hAnsi="Times New Roman" w:cs="Times New Roman"/>
        </w:rPr>
        <w:t>(7–8), NP4889–NP4904. https://doi.org/10.1177/0886260520922346</w:t>
      </w:r>
    </w:p>
    <w:p w14:paraId="61A6C79B"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Marsh, H. W., Hau, K.-T., &amp; Grayson, D. (2005). Goodness of fit evaluation in structural equation modeling. </w:t>
      </w:r>
      <w:r w:rsidRPr="00494D70">
        <w:rPr>
          <w:rFonts w:ascii="Times New Roman" w:hAnsi="Times New Roman" w:cs="Times New Roman"/>
          <w:i/>
          <w:iCs/>
        </w:rPr>
        <w:t>Psychometrics: A Festschrift to Roderick P. McDonald</w:t>
      </w:r>
      <w:r w:rsidRPr="00494D70">
        <w:rPr>
          <w:rFonts w:ascii="Times New Roman" w:hAnsi="Times New Roman" w:cs="Times New Roman"/>
        </w:rPr>
        <w:t>, 225–340.</w:t>
      </w:r>
    </w:p>
    <w:p w14:paraId="56447A32"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Marsh, H. W., Hau, K.-T., &amp; Wen, Z. (2004). In Search of Golden Rules: Comment on Hypothesis-Testing Approaches to Setting Cutoff Values for Fit Indexes and Dangers in Overgeneralizing Hu and Bentler’s (1999) Findings. </w:t>
      </w:r>
      <w:r w:rsidRPr="00494D70">
        <w:rPr>
          <w:rFonts w:ascii="Times New Roman" w:hAnsi="Times New Roman" w:cs="Times New Roman"/>
          <w:i/>
          <w:iCs/>
        </w:rPr>
        <w:t>Structural Equation Modeling: A Multidisciplinary Journal</w:t>
      </w:r>
      <w:r w:rsidRPr="00494D70">
        <w:rPr>
          <w:rFonts w:ascii="Times New Roman" w:hAnsi="Times New Roman" w:cs="Times New Roman"/>
        </w:rPr>
        <w:t xml:space="preserve">, </w:t>
      </w:r>
      <w:r w:rsidRPr="00494D70">
        <w:rPr>
          <w:rFonts w:ascii="Times New Roman" w:hAnsi="Times New Roman" w:cs="Times New Roman"/>
          <w:i/>
          <w:iCs/>
        </w:rPr>
        <w:t>11</w:t>
      </w:r>
      <w:r w:rsidRPr="00494D70">
        <w:rPr>
          <w:rFonts w:ascii="Times New Roman" w:hAnsi="Times New Roman" w:cs="Times New Roman"/>
        </w:rPr>
        <w:t>(3), 320–341. https://doi.org/10.1207/s15328007sem1103_2</w:t>
      </w:r>
    </w:p>
    <w:p w14:paraId="1C10B7CB"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McNicoll, G., Corsini-Munt, S., Rosen, N., McDuff, P., &amp; Bergeron, S. (2017). Sexual Assertiveness Mediates the Associations Between Partner Facilitative Responses and Sexual Outcomes in Women With Provoked Vestibulodynia. </w:t>
      </w:r>
      <w:r w:rsidRPr="00494D70">
        <w:rPr>
          <w:rFonts w:ascii="Times New Roman" w:hAnsi="Times New Roman" w:cs="Times New Roman"/>
          <w:i/>
          <w:iCs/>
        </w:rPr>
        <w:t>Journal of Sex &amp; Marital Therapy</w:t>
      </w:r>
      <w:r w:rsidRPr="00494D70">
        <w:rPr>
          <w:rFonts w:ascii="Times New Roman" w:hAnsi="Times New Roman" w:cs="Times New Roman"/>
        </w:rPr>
        <w:t xml:space="preserve">, </w:t>
      </w:r>
      <w:r w:rsidRPr="00494D70">
        <w:rPr>
          <w:rFonts w:ascii="Times New Roman" w:hAnsi="Times New Roman" w:cs="Times New Roman"/>
          <w:i/>
          <w:iCs/>
        </w:rPr>
        <w:t>43</w:t>
      </w:r>
      <w:r w:rsidRPr="00494D70">
        <w:rPr>
          <w:rFonts w:ascii="Times New Roman" w:hAnsi="Times New Roman" w:cs="Times New Roman"/>
        </w:rPr>
        <w:t>(7), 663–677. https://doi.org/10.1080/0092623X.2016.1230806</w:t>
      </w:r>
    </w:p>
    <w:p w14:paraId="4867A23D"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Ménard, A. D., &amp; Offman, A. (2009). The interrelationships between sexual self-esteem, sexual assertiveness and sexual satisfaction. </w:t>
      </w:r>
      <w:r w:rsidRPr="00494D70">
        <w:rPr>
          <w:rFonts w:ascii="Times New Roman" w:hAnsi="Times New Roman" w:cs="Times New Roman"/>
          <w:i/>
          <w:iCs/>
        </w:rPr>
        <w:t>Canadian Journal of Human Sexuality</w:t>
      </w:r>
      <w:r w:rsidRPr="00494D70">
        <w:rPr>
          <w:rFonts w:ascii="Times New Roman" w:hAnsi="Times New Roman" w:cs="Times New Roman"/>
        </w:rPr>
        <w:t xml:space="preserve">, </w:t>
      </w:r>
      <w:r w:rsidRPr="00494D70">
        <w:rPr>
          <w:rFonts w:ascii="Times New Roman" w:hAnsi="Times New Roman" w:cs="Times New Roman"/>
          <w:i/>
          <w:iCs/>
        </w:rPr>
        <w:t>18</w:t>
      </w:r>
      <w:r w:rsidRPr="00494D70">
        <w:rPr>
          <w:rFonts w:ascii="Times New Roman" w:hAnsi="Times New Roman" w:cs="Times New Roman"/>
        </w:rPr>
        <w:t>(1/2), 35–45.</w:t>
      </w:r>
    </w:p>
    <w:p w14:paraId="4AC7E08A"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Mercer Kollar, L. M., Davis, T. L., Monahan, J. L., Samp, J. A., Coles, V. B., Bradley, E. L. P., Sales, J. M., Comer, S. K., Worley, T., Rose, E., &amp; DiClemente, R. J. (2016). Do As I Say: Using Communication Role-Plays to Assess Sexual Assertiveness Following an Intervention. </w:t>
      </w:r>
      <w:r w:rsidRPr="00494D70">
        <w:rPr>
          <w:rFonts w:ascii="Times New Roman" w:hAnsi="Times New Roman" w:cs="Times New Roman"/>
          <w:i/>
          <w:iCs/>
        </w:rPr>
        <w:t>Health Education &amp; Behavior</w:t>
      </w:r>
      <w:r w:rsidRPr="00494D70">
        <w:rPr>
          <w:rFonts w:ascii="Times New Roman" w:hAnsi="Times New Roman" w:cs="Times New Roman"/>
        </w:rPr>
        <w:t xml:space="preserve">, </w:t>
      </w:r>
      <w:r w:rsidRPr="00494D70">
        <w:rPr>
          <w:rFonts w:ascii="Times New Roman" w:hAnsi="Times New Roman" w:cs="Times New Roman"/>
          <w:i/>
          <w:iCs/>
        </w:rPr>
        <w:t>43</w:t>
      </w:r>
      <w:r w:rsidRPr="00494D70">
        <w:rPr>
          <w:rFonts w:ascii="Times New Roman" w:hAnsi="Times New Roman" w:cs="Times New Roman"/>
        </w:rPr>
        <w:t>(6), 691–698. https://doi.org/10.1177/1090198116630528</w:t>
      </w:r>
    </w:p>
    <w:p w14:paraId="70FDFAED"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Meuleman, B. (2012). When are item intercept differences substantively relevant in measurement invariance testing? In S. Salzborn, E. Davidov, &amp; J. Reinecke (Eds.), </w:t>
      </w:r>
      <w:r w:rsidRPr="00494D70">
        <w:rPr>
          <w:rFonts w:ascii="Times New Roman" w:hAnsi="Times New Roman" w:cs="Times New Roman"/>
          <w:i/>
          <w:iCs/>
        </w:rPr>
        <w:t>Methods, Theories, and Empirical Applications in the Social Sciences</w:t>
      </w:r>
      <w:r w:rsidRPr="00494D70">
        <w:rPr>
          <w:rFonts w:ascii="Times New Roman" w:hAnsi="Times New Roman" w:cs="Times New Roman"/>
        </w:rPr>
        <w:t xml:space="preserve"> (pp. 97–104). VS Verlag für Sozialwissenschaften. https://doi.org/10.1007/978-3-531-18898-0_13</w:t>
      </w:r>
    </w:p>
    <w:p w14:paraId="5A904C68"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lastRenderedPageBreak/>
        <w:t xml:space="preserve">Milfont, T. L., &amp; Fischer, R. (2010). Testing measurement invariance across groups: Applications in cross-cultural research. </w:t>
      </w:r>
      <w:r w:rsidRPr="00494D70">
        <w:rPr>
          <w:rFonts w:ascii="Times New Roman" w:hAnsi="Times New Roman" w:cs="Times New Roman"/>
          <w:i/>
          <w:iCs/>
        </w:rPr>
        <w:t>International Journal of Psychological Research</w:t>
      </w:r>
      <w:r w:rsidRPr="00494D70">
        <w:rPr>
          <w:rFonts w:ascii="Times New Roman" w:hAnsi="Times New Roman" w:cs="Times New Roman"/>
        </w:rPr>
        <w:t xml:space="preserve">, </w:t>
      </w:r>
      <w:r w:rsidRPr="00494D70">
        <w:rPr>
          <w:rFonts w:ascii="Times New Roman" w:hAnsi="Times New Roman" w:cs="Times New Roman"/>
          <w:i/>
          <w:iCs/>
        </w:rPr>
        <w:t>3</w:t>
      </w:r>
      <w:r w:rsidRPr="00494D70">
        <w:rPr>
          <w:rFonts w:ascii="Times New Roman" w:hAnsi="Times New Roman" w:cs="Times New Roman"/>
        </w:rPr>
        <w:t>(1), Article 1. https://doi.org/10.21500/20112084.857</w:t>
      </w:r>
    </w:p>
    <w:p w14:paraId="6CD02ACA"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Mollet, A. L., &amp; Black, W. (2023). Coercive Rape Tactics Perpetrated Against Asexual College Students: A Quantitative Analysis Considering Students’ Multiple Identities. </w:t>
      </w:r>
      <w:r w:rsidRPr="00494D70">
        <w:rPr>
          <w:rFonts w:ascii="Times New Roman" w:hAnsi="Times New Roman" w:cs="Times New Roman"/>
          <w:i/>
          <w:iCs/>
        </w:rPr>
        <w:t>Journal of College Student Development</w:t>
      </w:r>
      <w:r w:rsidRPr="00494D70">
        <w:rPr>
          <w:rFonts w:ascii="Times New Roman" w:hAnsi="Times New Roman" w:cs="Times New Roman"/>
        </w:rPr>
        <w:t xml:space="preserve">, </w:t>
      </w:r>
      <w:r w:rsidRPr="00494D70">
        <w:rPr>
          <w:rFonts w:ascii="Times New Roman" w:hAnsi="Times New Roman" w:cs="Times New Roman"/>
          <w:i/>
          <w:iCs/>
        </w:rPr>
        <w:t>64</w:t>
      </w:r>
      <w:r w:rsidRPr="00494D70">
        <w:rPr>
          <w:rFonts w:ascii="Times New Roman" w:hAnsi="Times New Roman" w:cs="Times New Roman"/>
        </w:rPr>
        <w:t>(1), 96–101. https://doi.org/10.1353/csd.2023.0004</w:t>
      </w:r>
    </w:p>
    <w:p w14:paraId="09066EA3"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Morokoff, P. J., Quina, K., Harlow, L. L., Whitmire, L., Grimley, D. M., Gibson, P. R., &amp; Burkholder, G. J. (1997). Sexual Assertiveness Scale (SAS) for women: Development and validation. </w:t>
      </w:r>
      <w:r w:rsidRPr="00494D70">
        <w:rPr>
          <w:rFonts w:ascii="Times New Roman" w:hAnsi="Times New Roman" w:cs="Times New Roman"/>
          <w:i/>
          <w:iCs/>
        </w:rPr>
        <w:t>Journal of Personality and Social Psychology</w:t>
      </w:r>
      <w:r w:rsidRPr="00494D70">
        <w:rPr>
          <w:rFonts w:ascii="Times New Roman" w:hAnsi="Times New Roman" w:cs="Times New Roman"/>
        </w:rPr>
        <w:t xml:space="preserve">, </w:t>
      </w:r>
      <w:r w:rsidRPr="00494D70">
        <w:rPr>
          <w:rFonts w:ascii="Times New Roman" w:hAnsi="Times New Roman" w:cs="Times New Roman"/>
          <w:i/>
          <w:iCs/>
        </w:rPr>
        <w:t>73</w:t>
      </w:r>
      <w:r w:rsidRPr="00494D70">
        <w:rPr>
          <w:rFonts w:ascii="Times New Roman" w:hAnsi="Times New Roman" w:cs="Times New Roman"/>
        </w:rPr>
        <w:t>(4), 790–804. https://doi.org/10.1037/0022-3514.73.4.790</w:t>
      </w:r>
    </w:p>
    <w:p w14:paraId="56CF2261"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Morokoff, P. J., Redding, C. A., Harlow, L. L., Cho, S., Rossi, J. S., Meier, K. S., Mayer, K. H., Koblin, B., &amp; Brown-Peterside, P. (2009). Associations of Sexual Victimization, Depression, and Sexual Assertiveness with Unprotected Sex: A Test of the Multifaceted Model of HIV Risk Across Gender. </w:t>
      </w:r>
      <w:r w:rsidRPr="00494D70">
        <w:rPr>
          <w:rFonts w:ascii="Times New Roman" w:hAnsi="Times New Roman" w:cs="Times New Roman"/>
          <w:i/>
          <w:iCs/>
        </w:rPr>
        <w:t>Journal of Applied Biobehavioral Research</w:t>
      </w:r>
      <w:r w:rsidRPr="00494D70">
        <w:rPr>
          <w:rFonts w:ascii="Times New Roman" w:hAnsi="Times New Roman" w:cs="Times New Roman"/>
        </w:rPr>
        <w:t xml:space="preserve">, </w:t>
      </w:r>
      <w:r w:rsidRPr="00494D70">
        <w:rPr>
          <w:rFonts w:ascii="Times New Roman" w:hAnsi="Times New Roman" w:cs="Times New Roman"/>
          <w:i/>
          <w:iCs/>
        </w:rPr>
        <w:t>14</w:t>
      </w:r>
      <w:r w:rsidRPr="00494D70">
        <w:rPr>
          <w:rFonts w:ascii="Times New Roman" w:hAnsi="Times New Roman" w:cs="Times New Roman"/>
        </w:rPr>
        <w:t>(1), 30–54. https://doi.org/10.1111/j.1751-9861.2009.00039.x</w:t>
      </w:r>
    </w:p>
    <w:p w14:paraId="6366C1CC"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NasrollahiMola, N., Bahrami, N., Ranjbaran, M., &amp; Alimoradi, Z. (2020). Predictors of sexual assertiveness in a sample of Iranian married women of reproductive age. </w:t>
      </w:r>
      <w:r w:rsidRPr="00494D70">
        <w:rPr>
          <w:rFonts w:ascii="Times New Roman" w:hAnsi="Times New Roman" w:cs="Times New Roman"/>
          <w:i/>
          <w:iCs/>
        </w:rPr>
        <w:t>Sexual and Relationship Therapy</w:t>
      </w:r>
      <w:r w:rsidRPr="00494D70">
        <w:rPr>
          <w:rFonts w:ascii="Times New Roman" w:hAnsi="Times New Roman" w:cs="Times New Roman"/>
        </w:rPr>
        <w:t>. https://doi.org/10.1080/14681994.2020.1740672</w:t>
      </w:r>
    </w:p>
    <w:p w14:paraId="782591C9"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Noar, S. M., Morokoff, P. J., &amp; Harlow, L. L. (2002). Condom Negotiation in Heterosexually Active Men and Women: Development and Validation of a Condom Influence Strategy Questionnaire. </w:t>
      </w:r>
      <w:r w:rsidRPr="00494D70">
        <w:rPr>
          <w:rFonts w:ascii="Times New Roman" w:hAnsi="Times New Roman" w:cs="Times New Roman"/>
          <w:i/>
          <w:iCs/>
        </w:rPr>
        <w:t>Psychology &amp; Health</w:t>
      </w:r>
      <w:r w:rsidRPr="00494D70">
        <w:rPr>
          <w:rFonts w:ascii="Times New Roman" w:hAnsi="Times New Roman" w:cs="Times New Roman"/>
        </w:rPr>
        <w:t xml:space="preserve">, </w:t>
      </w:r>
      <w:r w:rsidRPr="00494D70">
        <w:rPr>
          <w:rFonts w:ascii="Times New Roman" w:hAnsi="Times New Roman" w:cs="Times New Roman"/>
          <w:i/>
          <w:iCs/>
        </w:rPr>
        <w:t>17</w:t>
      </w:r>
      <w:r w:rsidRPr="00494D70">
        <w:rPr>
          <w:rFonts w:ascii="Times New Roman" w:hAnsi="Times New Roman" w:cs="Times New Roman"/>
        </w:rPr>
        <w:t>(6), 711–735. https://doi.org/10.1080/0887044021000030580</w:t>
      </w:r>
    </w:p>
    <w:p w14:paraId="5456D4B0"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Nunnally, J. C. (1978). </w:t>
      </w:r>
      <w:r w:rsidRPr="00494D70">
        <w:rPr>
          <w:rFonts w:ascii="Times New Roman" w:hAnsi="Times New Roman" w:cs="Times New Roman"/>
          <w:i/>
          <w:iCs/>
        </w:rPr>
        <w:t>Psychometric Theory 2nd edition</w:t>
      </w:r>
      <w:r w:rsidRPr="00494D70">
        <w:rPr>
          <w:rFonts w:ascii="Times New Roman" w:hAnsi="Times New Roman" w:cs="Times New Roman"/>
        </w:rPr>
        <w:t>. McGraw.</w:t>
      </w:r>
    </w:p>
    <w:p w14:paraId="222A49C4"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Onuoha, F. N., &amp; Munakata, T. (2005). Correlates of adolescent assertiveness with HIV avoidance in a four-nation sample. </w:t>
      </w:r>
      <w:r w:rsidRPr="00494D70">
        <w:rPr>
          <w:rFonts w:ascii="Times New Roman" w:hAnsi="Times New Roman" w:cs="Times New Roman"/>
          <w:i/>
          <w:iCs/>
        </w:rPr>
        <w:t>Adolescence</w:t>
      </w:r>
      <w:r w:rsidRPr="00494D70">
        <w:rPr>
          <w:rFonts w:ascii="Times New Roman" w:hAnsi="Times New Roman" w:cs="Times New Roman"/>
        </w:rPr>
        <w:t>.</w:t>
      </w:r>
    </w:p>
    <w:p w14:paraId="4B5CB846"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Pierce, A. P., &amp; Hurlbert, M. K. (1999). Test-retest reliability of the Hurlbert Index of Sexual Assertiveness. </w:t>
      </w:r>
      <w:r w:rsidRPr="00494D70">
        <w:rPr>
          <w:rFonts w:ascii="Times New Roman" w:hAnsi="Times New Roman" w:cs="Times New Roman"/>
          <w:i/>
          <w:iCs/>
        </w:rPr>
        <w:t>Perceptual and Motor Skills</w:t>
      </w:r>
      <w:r w:rsidRPr="00494D70">
        <w:rPr>
          <w:rFonts w:ascii="Times New Roman" w:hAnsi="Times New Roman" w:cs="Times New Roman"/>
        </w:rPr>
        <w:t xml:space="preserve">, </w:t>
      </w:r>
      <w:r w:rsidRPr="00494D70">
        <w:rPr>
          <w:rFonts w:ascii="Times New Roman" w:hAnsi="Times New Roman" w:cs="Times New Roman"/>
          <w:i/>
          <w:iCs/>
        </w:rPr>
        <w:t>88</w:t>
      </w:r>
      <w:r w:rsidRPr="00494D70">
        <w:rPr>
          <w:rFonts w:ascii="Times New Roman" w:hAnsi="Times New Roman" w:cs="Times New Roman"/>
        </w:rPr>
        <w:t>(1), 31–34. https://doi.org/10.2466/pms.1999.88.1.31</w:t>
      </w:r>
    </w:p>
    <w:p w14:paraId="3F1627A0"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Quina, K., Harlow, L. L., Morokoff, P. J., Burkholder, G., &amp; Deiter, P. J. (2000). Sexual communication in relationships: When words speak louder than actions. </w:t>
      </w:r>
      <w:r w:rsidRPr="00494D70">
        <w:rPr>
          <w:rFonts w:ascii="Times New Roman" w:hAnsi="Times New Roman" w:cs="Times New Roman"/>
          <w:i/>
          <w:iCs/>
        </w:rPr>
        <w:t>Sex Roles: A Journal of Research</w:t>
      </w:r>
      <w:r w:rsidRPr="00494D70">
        <w:rPr>
          <w:rFonts w:ascii="Times New Roman" w:hAnsi="Times New Roman" w:cs="Times New Roman"/>
        </w:rPr>
        <w:t xml:space="preserve">, </w:t>
      </w:r>
      <w:r w:rsidRPr="00494D70">
        <w:rPr>
          <w:rFonts w:ascii="Times New Roman" w:hAnsi="Times New Roman" w:cs="Times New Roman"/>
          <w:i/>
          <w:iCs/>
        </w:rPr>
        <w:t>42</w:t>
      </w:r>
      <w:r w:rsidRPr="00494D70">
        <w:rPr>
          <w:rFonts w:ascii="Times New Roman" w:hAnsi="Times New Roman" w:cs="Times New Roman"/>
        </w:rPr>
        <w:t>(7–8), 523–549. https://doi.org/10.1023/A:1007043205155</w:t>
      </w:r>
    </w:p>
    <w:p w14:paraId="4FFB08EE"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R Core Team. (2021). </w:t>
      </w:r>
      <w:r w:rsidRPr="00494D70">
        <w:rPr>
          <w:rFonts w:ascii="Times New Roman" w:hAnsi="Times New Roman" w:cs="Times New Roman"/>
          <w:i/>
          <w:iCs/>
        </w:rPr>
        <w:t>R: A language and environment for statistical computing.</w:t>
      </w:r>
      <w:r w:rsidRPr="00494D70">
        <w:rPr>
          <w:rFonts w:ascii="Times New Roman" w:hAnsi="Times New Roman" w:cs="Times New Roman"/>
        </w:rPr>
        <w:t xml:space="preserve"> [Computer software]. R Foundation for Statistical Computing. https://www.R-project.org/</w:t>
      </w:r>
    </w:p>
    <w:p w14:paraId="6C926A33"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Rickert, V. I., Sanghvi, R., &amp; Wiemann, C. M. (2002). Is lack of sexual assertiveness among adolescent and young adult women a cause for concern? </w:t>
      </w:r>
      <w:r w:rsidRPr="00494D70">
        <w:rPr>
          <w:rFonts w:ascii="Times New Roman" w:hAnsi="Times New Roman" w:cs="Times New Roman"/>
          <w:i/>
          <w:iCs/>
        </w:rPr>
        <w:t>Perspectives on Sexual and Reproductive Health</w:t>
      </w:r>
      <w:r w:rsidRPr="00494D70">
        <w:rPr>
          <w:rFonts w:ascii="Times New Roman" w:hAnsi="Times New Roman" w:cs="Times New Roman"/>
        </w:rPr>
        <w:t xml:space="preserve">, </w:t>
      </w:r>
      <w:r w:rsidRPr="00494D70">
        <w:rPr>
          <w:rFonts w:ascii="Times New Roman" w:hAnsi="Times New Roman" w:cs="Times New Roman"/>
          <w:i/>
          <w:iCs/>
        </w:rPr>
        <w:t>34</w:t>
      </w:r>
      <w:r w:rsidRPr="00494D70">
        <w:rPr>
          <w:rFonts w:ascii="Times New Roman" w:hAnsi="Times New Roman" w:cs="Times New Roman"/>
        </w:rPr>
        <w:t>(4), 178–183.</w:t>
      </w:r>
    </w:p>
    <w:p w14:paraId="48011B44"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Rosseel, Y. (2012). lavaan: An R Package for Structural Equation Modeling. </w:t>
      </w:r>
      <w:r w:rsidRPr="00494D70">
        <w:rPr>
          <w:rFonts w:ascii="Times New Roman" w:hAnsi="Times New Roman" w:cs="Times New Roman"/>
          <w:i/>
          <w:iCs/>
        </w:rPr>
        <w:t>Journal of Statistical Software</w:t>
      </w:r>
      <w:r w:rsidRPr="00494D70">
        <w:rPr>
          <w:rFonts w:ascii="Times New Roman" w:hAnsi="Times New Roman" w:cs="Times New Roman"/>
        </w:rPr>
        <w:t xml:space="preserve">, </w:t>
      </w:r>
      <w:r w:rsidRPr="00494D70">
        <w:rPr>
          <w:rFonts w:ascii="Times New Roman" w:hAnsi="Times New Roman" w:cs="Times New Roman"/>
          <w:i/>
          <w:iCs/>
        </w:rPr>
        <w:t>48</w:t>
      </w:r>
      <w:r w:rsidRPr="00494D70">
        <w:rPr>
          <w:rFonts w:ascii="Times New Roman" w:hAnsi="Times New Roman" w:cs="Times New Roman"/>
        </w:rPr>
        <w:t>, 1–36. https://doi.org/10.18637/jss.v048.i02</w:t>
      </w:r>
    </w:p>
    <w:p w14:paraId="6D7FD98A"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Rothman, E. F., Exner, D., &amp; Baughman, A. L. (2011). The Prevalence of Sexual Assault Against People Who Identify as Gay, Lesbian, or Bisexual in the United States: A Systematic Review. </w:t>
      </w:r>
      <w:r w:rsidRPr="00494D70">
        <w:rPr>
          <w:rFonts w:ascii="Times New Roman" w:hAnsi="Times New Roman" w:cs="Times New Roman"/>
          <w:i/>
          <w:iCs/>
        </w:rPr>
        <w:t>Trauma, Violence, &amp; Abuse</w:t>
      </w:r>
      <w:r w:rsidRPr="00494D70">
        <w:rPr>
          <w:rFonts w:ascii="Times New Roman" w:hAnsi="Times New Roman" w:cs="Times New Roman"/>
        </w:rPr>
        <w:t xml:space="preserve">, </w:t>
      </w:r>
      <w:r w:rsidRPr="00494D70">
        <w:rPr>
          <w:rFonts w:ascii="Times New Roman" w:hAnsi="Times New Roman" w:cs="Times New Roman"/>
          <w:i/>
          <w:iCs/>
        </w:rPr>
        <w:t>12</w:t>
      </w:r>
      <w:r w:rsidRPr="00494D70">
        <w:rPr>
          <w:rFonts w:ascii="Times New Roman" w:hAnsi="Times New Roman" w:cs="Times New Roman"/>
        </w:rPr>
        <w:t>(2), 55–66. https://doi.org/10.1177/1524838010390707</w:t>
      </w:r>
    </w:p>
    <w:p w14:paraId="5CC97B2B"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lastRenderedPageBreak/>
        <w:t xml:space="preserve">Rutkowski, L., &amp; Svetina, D. (2014). Assessing the hypothesis of measurement invariance in the context of large-scale international surveys. </w:t>
      </w:r>
      <w:r w:rsidRPr="00494D70">
        <w:rPr>
          <w:rFonts w:ascii="Times New Roman" w:hAnsi="Times New Roman" w:cs="Times New Roman"/>
          <w:i/>
          <w:iCs/>
        </w:rPr>
        <w:t>Educational and Psychological Measurement</w:t>
      </w:r>
      <w:r w:rsidRPr="00494D70">
        <w:rPr>
          <w:rFonts w:ascii="Times New Roman" w:hAnsi="Times New Roman" w:cs="Times New Roman"/>
        </w:rPr>
        <w:t xml:space="preserve">, </w:t>
      </w:r>
      <w:r w:rsidRPr="00494D70">
        <w:rPr>
          <w:rFonts w:ascii="Times New Roman" w:hAnsi="Times New Roman" w:cs="Times New Roman"/>
          <w:i/>
          <w:iCs/>
        </w:rPr>
        <w:t>74</w:t>
      </w:r>
      <w:r w:rsidRPr="00494D70">
        <w:rPr>
          <w:rFonts w:ascii="Times New Roman" w:hAnsi="Times New Roman" w:cs="Times New Roman"/>
        </w:rPr>
        <w:t>(1), 31–57. https://doi.org/10.1177/0013164413498257</w:t>
      </w:r>
    </w:p>
    <w:p w14:paraId="3886FA29"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Sanchez, D. T., Phelan, J. E., Moss-Racusin, C. A., &amp; Good, J. J. (2012). The Gender Role Motivation Model of Women’s Sexually Submissive Behavior and Satisfaction in Heterosexual Couples. </w:t>
      </w:r>
      <w:r w:rsidRPr="00494D70">
        <w:rPr>
          <w:rFonts w:ascii="Times New Roman" w:hAnsi="Times New Roman" w:cs="Times New Roman"/>
          <w:i/>
          <w:iCs/>
        </w:rPr>
        <w:t>Personality and Social Psychology Bulletin</w:t>
      </w:r>
      <w:r w:rsidRPr="00494D70">
        <w:rPr>
          <w:rFonts w:ascii="Times New Roman" w:hAnsi="Times New Roman" w:cs="Times New Roman"/>
        </w:rPr>
        <w:t xml:space="preserve">, </w:t>
      </w:r>
      <w:r w:rsidRPr="00494D70">
        <w:rPr>
          <w:rFonts w:ascii="Times New Roman" w:hAnsi="Times New Roman" w:cs="Times New Roman"/>
          <w:i/>
          <w:iCs/>
        </w:rPr>
        <w:t>38</w:t>
      </w:r>
      <w:r w:rsidRPr="00494D70">
        <w:rPr>
          <w:rFonts w:ascii="Times New Roman" w:hAnsi="Times New Roman" w:cs="Times New Roman"/>
        </w:rPr>
        <w:t>(4), 528–539. https://doi.org/10.1177/0146167211430088</w:t>
      </w:r>
    </w:p>
    <w:p w14:paraId="2D37D30F"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Santos-Iglesias, P., &amp; Carlos Sierra, J. (2010). Hurlbert Index of Sexual Assertiveness: A Study of Psychometric Properties in a Spanish Sample. </w:t>
      </w:r>
      <w:r w:rsidRPr="00494D70">
        <w:rPr>
          <w:rFonts w:ascii="Times New Roman" w:hAnsi="Times New Roman" w:cs="Times New Roman"/>
          <w:i/>
          <w:iCs/>
        </w:rPr>
        <w:t>Psychological Reports</w:t>
      </w:r>
      <w:r w:rsidRPr="00494D70">
        <w:rPr>
          <w:rFonts w:ascii="Times New Roman" w:hAnsi="Times New Roman" w:cs="Times New Roman"/>
        </w:rPr>
        <w:t xml:space="preserve">, </w:t>
      </w:r>
      <w:r w:rsidRPr="00494D70">
        <w:rPr>
          <w:rFonts w:ascii="Times New Roman" w:hAnsi="Times New Roman" w:cs="Times New Roman"/>
          <w:i/>
          <w:iCs/>
        </w:rPr>
        <w:t>107</w:t>
      </w:r>
      <w:r w:rsidRPr="00494D70">
        <w:rPr>
          <w:rFonts w:ascii="Times New Roman" w:hAnsi="Times New Roman" w:cs="Times New Roman"/>
        </w:rPr>
        <w:t>(1), 39–57. https://doi.org/10.2466/02.03.07.17.21.PR0.107.4.39-57</w:t>
      </w:r>
    </w:p>
    <w:p w14:paraId="51A8A9F5"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Santos-Iglesias, P., Sierra, J. C., &amp; Vallejo-Medina, P. (2013). Predictors of Sexual Assertiveness: The Role of Sexual Desire, Arousal, Attitudes, and Partner Abuse. </w:t>
      </w:r>
      <w:r w:rsidRPr="00494D70">
        <w:rPr>
          <w:rFonts w:ascii="Times New Roman" w:hAnsi="Times New Roman" w:cs="Times New Roman"/>
          <w:i/>
          <w:iCs/>
        </w:rPr>
        <w:t>Archives of Sexual Behavior</w:t>
      </w:r>
      <w:r w:rsidRPr="00494D70">
        <w:rPr>
          <w:rFonts w:ascii="Times New Roman" w:hAnsi="Times New Roman" w:cs="Times New Roman"/>
        </w:rPr>
        <w:t xml:space="preserve">, </w:t>
      </w:r>
      <w:r w:rsidRPr="00494D70">
        <w:rPr>
          <w:rFonts w:ascii="Times New Roman" w:hAnsi="Times New Roman" w:cs="Times New Roman"/>
          <w:i/>
          <w:iCs/>
        </w:rPr>
        <w:t>42</w:t>
      </w:r>
      <w:r w:rsidRPr="00494D70">
        <w:rPr>
          <w:rFonts w:ascii="Times New Roman" w:hAnsi="Times New Roman" w:cs="Times New Roman"/>
        </w:rPr>
        <w:t>(6), 1043–1052. https://doi.org/10.1007/s10508-012-9998-3</w:t>
      </w:r>
    </w:p>
    <w:p w14:paraId="4E8D0F18"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Santos-Iglesias, P., Vallejo-Medina, P., &amp; Sierra, J. C. (2014). Equivalence and Standard Scores of the Hurlbert Index of Sexual Assertiveness Across Spanish Men and Women. In </w:t>
      </w:r>
      <w:r w:rsidRPr="00494D70">
        <w:rPr>
          <w:rFonts w:ascii="Times New Roman" w:hAnsi="Times New Roman" w:cs="Times New Roman"/>
          <w:i/>
          <w:iCs/>
        </w:rPr>
        <w:t>Anales de Psicologia</w:t>
      </w:r>
      <w:r w:rsidRPr="00494D70">
        <w:rPr>
          <w:rFonts w:ascii="Times New Roman" w:hAnsi="Times New Roman" w:cs="Times New Roman"/>
        </w:rPr>
        <w:t xml:space="preserve"> (Vol. 30, Issue 1, pp. 233–238). UNIV MURCIA. https://doi.org/10.6018/analesps.30.1.143321</w:t>
      </w:r>
    </w:p>
    <w:p w14:paraId="1488E590"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Scandurra, C., Mezza, F., Maldonato, N. M., Bottone, M., Bochicchio, V., Valerio, P., &amp; Vitelli, R. (2019). Health of Non-binary and Genderqueer People: A Systematic Review. </w:t>
      </w:r>
      <w:r w:rsidRPr="00494D70">
        <w:rPr>
          <w:rFonts w:ascii="Times New Roman" w:hAnsi="Times New Roman" w:cs="Times New Roman"/>
          <w:i/>
          <w:iCs/>
        </w:rPr>
        <w:t>Frontiers in Psychology</w:t>
      </w:r>
      <w:r w:rsidRPr="00494D70">
        <w:rPr>
          <w:rFonts w:ascii="Times New Roman" w:hAnsi="Times New Roman" w:cs="Times New Roman"/>
        </w:rPr>
        <w:t xml:space="preserve">, </w:t>
      </w:r>
      <w:r w:rsidRPr="00494D70">
        <w:rPr>
          <w:rFonts w:ascii="Times New Roman" w:hAnsi="Times New Roman" w:cs="Times New Roman"/>
          <w:i/>
          <w:iCs/>
        </w:rPr>
        <w:t>10</w:t>
      </w:r>
      <w:r w:rsidRPr="00494D70">
        <w:rPr>
          <w:rFonts w:ascii="Times New Roman" w:hAnsi="Times New Roman" w:cs="Times New Roman"/>
        </w:rPr>
        <w:t>, 1453. https://doi.org/10.3389/fpsyg.2019.01453</w:t>
      </w:r>
    </w:p>
    <w:p w14:paraId="62DB709F"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Schry, A. R., &amp; White, S. W. (2013). Sexual Assertiveness Mediates the Effect of Social Interaction Anxiety on Sexual Victimization Risk Among College Women. </w:t>
      </w:r>
      <w:r w:rsidRPr="00494D70">
        <w:rPr>
          <w:rFonts w:ascii="Times New Roman" w:hAnsi="Times New Roman" w:cs="Times New Roman"/>
          <w:i/>
          <w:iCs/>
        </w:rPr>
        <w:t>Behavior Therapy</w:t>
      </w:r>
      <w:r w:rsidRPr="00494D70">
        <w:rPr>
          <w:rFonts w:ascii="Times New Roman" w:hAnsi="Times New Roman" w:cs="Times New Roman"/>
        </w:rPr>
        <w:t xml:space="preserve">, </w:t>
      </w:r>
      <w:r w:rsidRPr="00494D70">
        <w:rPr>
          <w:rFonts w:ascii="Times New Roman" w:hAnsi="Times New Roman" w:cs="Times New Roman"/>
          <w:i/>
          <w:iCs/>
        </w:rPr>
        <w:t>44</w:t>
      </w:r>
      <w:r w:rsidRPr="00494D70">
        <w:rPr>
          <w:rFonts w:ascii="Times New Roman" w:hAnsi="Times New Roman" w:cs="Times New Roman"/>
        </w:rPr>
        <w:t>(1), 125–136. https://doi.org/10.1016/j.beth.2012.09.001</w:t>
      </w:r>
    </w:p>
    <w:p w14:paraId="177C5D27"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Sierra, J., Arcos-Romero, A., Alvarez-Muelas, A., &amp; Cervilla, O. (2021). The Impact of Intimate Partner Violence on Sexual Attitudes, Sexual Assertiveness, and Sexual Functioning in Men and Women. </w:t>
      </w:r>
      <w:r w:rsidRPr="00494D70">
        <w:rPr>
          <w:rFonts w:ascii="Times New Roman" w:hAnsi="Times New Roman" w:cs="Times New Roman"/>
          <w:i/>
          <w:iCs/>
        </w:rPr>
        <w:t>International Journal of Environmental Research and Public Health</w:t>
      </w:r>
      <w:r w:rsidRPr="00494D70">
        <w:rPr>
          <w:rFonts w:ascii="Times New Roman" w:hAnsi="Times New Roman" w:cs="Times New Roman"/>
        </w:rPr>
        <w:t xml:space="preserve">, </w:t>
      </w:r>
      <w:r w:rsidRPr="00494D70">
        <w:rPr>
          <w:rFonts w:ascii="Times New Roman" w:hAnsi="Times New Roman" w:cs="Times New Roman"/>
          <w:i/>
          <w:iCs/>
        </w:rPr>
        <w:t>18</w:t>
      </w:r>
      <w:r w:rsidRPr="00494D70">
        <w:rPr>
          <w:rFonts w:ascii="Times New Roman" w:hAnsi="Times New Roman" w:cs="Times New Roman"/>
        </w:rPr>
        <w:t>(2). https://doi.org/10.3390/ijerph18020594</w:t>
      </w:r>
    </w:p>
    <w:p w14:paraId="190E6F65"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Sierra, J., Santos-Iglesias, P., &amp; Vallejo-Medina, P. (2012). Evaluation of the factorial and metric equivalence of the Sexual Assertiveness Scale (SAS) by sex. </w:t>
      </w:r>
      <w:r w:rsidRPr="00494D70">
        <w:rPr>
          <w:rFonts w:ascii="Times New Roman" w:hAnsi="Times New Roman" w:cs="Times New Roman"/>
          <w:i/>
          <w:iCs/>
        </w:rPr>
        <w:t>Psicothema</w:t>
      </w:r>
      <w:r w:rsidRPr="00494D70">
        <w:rPr>
          <w:rFonts w:ascii="Times New Roman" w:hAnsi="Times New Roman" w:cs="Times New Roman"/>
        </w:rPr>
        <w:t xml:space="preserve">, </w:t>
      </w:r>
      <w:r w:rsidRPr="00494D70">
        <w:rPr>
          <w:rFonts w:ascii="Times New Roman" w:hAnsi="Times New Roman" w:cs="Times New Roman"/>
          <w:i/>
          <w:iCs/>
        </w:rPr>
        <w:t>24</w:t>
      </w:r>
      <w:r w:rsidRPr="00494D70">
        <w:rPr>
          <w:rFonts w:ascii="Times New Roman" w:hAnsi="Times New Roman" w:cs="Times New Roman"/>
        </w:rPr>
        <w:t>(2), 316–322.</w:t>
      </w:r>
    </w:p>
    <w:p w14:paraId="59D44171"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Snell, W. E., Fisher, T. D., &amp; Miller, R. S. (1991). Development of the Sexual Awareness Questionnaire: Components, Reliability, and Validity. </w:t>
      </w:r>
      <w:r w:rsidRPr="00494D70">
        <w:rPr>
          <w:rFonts w:ascii="Times New Roman" w:hAnsi="Times New Roman" w:cs="Times New Roman"/>
          <w:i/>
          <w:iCs/>
        </w:rPr>
        <w:t>Annals of Sex Research</w:t>
      </w:r>
      <w:r w:rsidRPr="00494D70">
        <w:rPr>
          <w:rFonts w:ascii="Times New Roman" w:hAnsi="Times New Roman" w:cs="Times New Roman"/>
        </w:rPr>
        <w:t xml:space="preserve">, </w:t>
      </w:r>
      <w:r w:rsidRPr="00494D70">
        <w:rPr>
          <w:rFonts w:ascii="Times New Roman" w:hAnsi="Times New Roman" w:cs="Times New Roman"/>
          <w:i/>
          <w:iCs/>
        </w:rPr>
        <w:t>4</w:t>
      </w:r>
      <w:r w:rsidRPr="00494D70">
        <w:rPr>
          <w:rFonts w:ascii="Times New Roman" w:hAnsi="Times New Roman" w:cs="Times New Roman"/>
        </w:rPr>
        <w:t>(1), 65–92. https://doi.org/10.1177/107906329100400104</w:t>
      </w:r>
    </w:p>
    <w:p w14:paraId="3EDF7E64"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Steenkamp, J.-B. E. M., &amp; Baumgartner, H. (1998). Assessing measurement invariance in cross-national consumer research. </w:t>
      </w:r>
      <w:r w:rsidRPr="00494D70">
        <w:rPr>
          <w:rFonts w:ascii="Times New Roman" w:hAnsi="Times New Roman" w:cs="Times New Roman"/>
          <w:i/>
          <w:iCs/>
        </w:rPr>
        <w:t>Journal of Consumer Research</w:t>
      </w:r>
      <w:r w:rsidRPr="00494D70">
        <w:rPr>
          <w:rFonts w:ascii="Times New Roman" w:hAnsi="Times New Roman" w:cs="Times New Roman"/>
        </w:rPr>
        <w:t xml:space="preserve">, </w:t>
      </w:r>
      <w:r w:rsidRPr="00494D70">
        <w:rPr>
          <w:rFonts w:ascii="Times New Roman" w:hAnsi="Times New Roman" w:cs="Times New Roman"/>
          <w:i/>
          <w:iCs/>
        </w:rPr>
        <w:t>25</w:t>
      </w:r>
      <w:r w:rsidRPr="00494D70">
        <w:rPr>
          <w:rFonts w:ascii="Times New Roman" w:hAnsi="Times New Roman" w:cs="Times New Roman"/>
        </w:rPr>
        <w:t>, 78–90. https://doi.org/10.1086/209528</w:t>
      </w:r>
    </w:p>
    <w:p w14:paraId="1F00A336"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Struckman-Johnson, C., Anderson, P., &amp; Smeaton, G. (2020). Predictors of Female Sexual Aggression Among a US MTurk Sample: The Protective Role of Sexual Assertiveness. </w:t>
      </w:r>
      <w:r w:rsidRPr="00494D70">
        <w:rPr>
          <w:rFonts w:ascii="Times New Roman" w:hAnsi="Times New Roman" w:cs="Times New Roman"/>
          <w:i/>
          <w:iCs/>
        </w:rPr>
        <w:t>Journal of Contemporary Criminal Justice</w:t>
      </w:r>
      <w:r w:rsidRPr="00494D70">
        <w:rPr>
          <w:rFonts w:ascii="Times New Roman" w:hAnsi="Times New Roman" w:cs="Times New Roman"/>
        </w:rPr>
        <w:t xml:space="preserve">, </w:t>
      </w:r>
      <w:r w:rsidRPr="00494D70">
        <w:rPr>
          <w:rFonts w:ascii="Times New Roman" w:hAnsi="Times New Roman" w:cs="Times New Roman"/>
          <w:i/>
          <w:iCs/>
        </w:rPr>
        <w:t>36</w:t>
      </w:r>
      <w:r w:rsidRPr="00494D70">
        <w:rPr>
          <w:rFonts w:ascii="Times New Roman" w:hAnsi="Times New Roman" w:cs="Times New Roman"/>
        </w:rPr>
        <w:t>(4), 499–519. https://doi.org/10.1177/1043986220936100</w:t>
      </w:r>
    </w:p>
    <w:p w14:paraId="76822322"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Stulhofer, A., Graham, C., Bozicevic, I., Kufrin, K., &amp; Ajdukovic, D. (2009). An Assessment of HIV/STI Vulnerability and Related Sexual Risk-Taking in a Nationally Representative Sample of Young Croatian Adults. </w:t>
      </w:r>
      <w:r w:rsidRPr="00494D70">
        <w:rPr>
          <w:rFonts w:ascii="Times New Roman" w:hAnsi="Times New Roman" w:cs="Times New Roman"/>
          <w:i/>
          <w:iCs/>
        </w:rPr>
        <w:t>Archives of Sexual Behavior</w:t>
      </w:r>
      <w:r w:rsidRPr="00494D70">
        <w:rPr>
          <w:rFonts w:ascii="Times New Roman" w:hAnsi="Times New Roman" w:cs="Times New Roman"/>
        </w:rPr>
        <w:t xml:space="preserve">, </w:t>
      </w:r>
      <w:r w:rsidRPr="00494D70">
        <w:rPr>
          <w:rFonts w:ascii="Times New Roman" w:hAnsi="Times New Roman" w:cs="Times New Roman"/>
          <w:i/>
          <w:iCs/>
        </w:rPr>
        <w:t>38</w:t>
      </w:r>
      <w:r w:rsidRPr="00494D70">
        <w:rPr>
          <w:rFonts w:ascii="Times New Roman" w:hAnsi="Times New Roman" w:cs="Times New Roman"/>
        </w:rPr>
        <w:t>(2), 209–225. https://doi.org/10.1007/s10508-007-9234-8</w:t>
      </w:r>
    </w:p>
    <w:p w14:paraId="798ACB5B"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Tolman, D. L., Davis, B. R., &amp; Bowman, C. P. (2016). “That’s just how it is”: A gendered analysis of masculinity and femininity ideologies in adolescent girls’ and boys’ heterosexual </w:t>
      </w:r>
      <w:r w:rsidRPr="00494D70">
        <w:rPr>
          <w:rFonts w:ascii="Times New Roman" w:hAnsi="Times New Roman" w:cs="Times New Roman"/>
        </w:rPr>
        <w:lastRenderedPageBreak/>
        <w:t xml:space="preserve">relationships. </w:t>
      </w:r>
      <w:r w:rsidRPr="00494D70">
        <w:rPr>
          <w:rFonts w:ascii="Times New Roman" w:hAnsi="Times New Roman" w:cs="Times New Roman"/>
          <w:i/>
          <w:iCs/>
        </w:rPr>
        <w:t>Journal of Adolescent Research</w:t>
      </w:r>
      <w:r w:rsidRPr="00494D70">
        <w:rPr>
          <w:rFonts w:ascii="Times New Roman" w:hAnsi="Times New Roman" w:cs="Times New Roman"/>
        </w:rPr>
        <w:t xml:space="preserve">, </w:t>
      </w:r>
      <w:r w:rsidRPr="00494D70">
        <w:rPr>
          <w:rFonts w:ascii="Times New Roman" w:hAnsi="Times New Roman" w:cs="Times New Roman"/>
          <w:i/>
          <w:iCs/>
        </w:rPr>
        <w:t>31</w:t>
      </w:r>
      <w:r w:rsidRPr="00494D70">
        <w:rPr>
          <w:rFonts w:ascii="Times New Roman" w:hAnsi="Times New Roman" w:cs="Times New Roman"/>
        </w:rPr>
        <w:t>, 3–31. https://doi.org/10.1177/0743558415587325</w:t>
      </w:r>
    </w:p>
    <w:p w14:paraId="5CA85393"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Vannier, S. A., &amp; O’Sullivan, L. F. (2011). Communicating Interest in Sex: Verbal and Nonverbal Initiation of Sexual Activity in Young Adults’ Romantic Dating Relationships. </w:t>
      </w:r>
      <w:r w:rsidRPr="00494D70">
        <w:rPr>
          <w:rFonts w:ascii="Times New Roman" w:hAnsi="Times New Roman" w:cs="Times New Roman"/>
          <w:i/>
          <w:iCs/>
        </w:rPr>
        <w:t>Archives of Sexual Behavior</w:t>
      </w:r>
      <w:r w:rsidRPr="00494D70">
        <w:rPr>
          <w:rFonts w:ascii="Times New Roman" w:hAnsi="Times New Roman" w:cs="Times New Roman"/>
        </w:rPr>
        <w:t xml:space="preserve">, </w:t>
      </w:r>
      <w:r w:rsidRPr="00494D70">
        <w:rPr>
          <w:rFonts w:ascii="Times New Roman" w:hAnsi="Times New Roman" w:cs="Times New Roman"/>
          <w:i/>
          <w:iCs/>
        </w:rPr>
        <w:t>40</w:t>
      </w:r>
      <w:r w:rsidRPr="00494D70">
        <w:rPr>
          <w:rFonts w:ascii="Times New Roman" w:hAnsi="Times New Roman" w:cs="Times New Roman"/>
        </w:rPr>
        <w:t>(5), 961–969. https://doi.org/10.1007/s10508-010-9663-7</w:t>
      </w:r>
    </w:p>
    <w:p w14:paraId="409B0F6F"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Walker, D. P., Messman-Moore, T. L., &amp; Ward, R. M. (2011). Number of Sexual Partners and Sexual Assertiveness Predict Sexual Victimization: Do More Partners Equal More Risk? </w:t>
      </w:r>
      <w:r w:rsidRPr="00494D70">
        <w:rPr>
          <w:rFonts w:ascii="Times New Roman" w:hAnsi="Times New Roman" w:cs="Times New Roman"/>
          <w:i/>
          <w:iCs/>
        </w:rPr>
        <w:t>Violence and Victims</w:t>
      </w:r>
      <w:r w:rsidRPr="00494D70">
        <w:rPr>
          <w:rFonts w:ascii="Times New Roman" w:hAnsi="Times New Roman" w:cs="Times New Roman"/>
        </w:rPr>
        <w:t xml:space="preserve">, </w:t>
      </w:r>
      <w:r w:rsidRPr="00494D70">
        <w:rPr>
          <w:rFonts w:ascii="Times New Roman" w:hAnsi="Times New Roman" w:cs="Times New Roman"/>
          <w:i/>
          <w:iCs/>
        </w:rPr>
        <w:t>26</w:t>
      </w:r>
      <w:r w:rsidRPr="00494D70">
        <w:rPr>
          <w:rFonts w:ascii="Times New Roman" w:hAnsi="Times New Roman" w:cs="Times New Roman"/>
        </w:rPr>
        <w:t>(6), 774–787. https://doi.org/10.1891/0886-6708.26.6.774</w:t>
      </w:r>
    </w:p>
    <w:p w14:paraId="17ABF7C8"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Weijters, B., Baumgartner, H., &amp; Schillewaert, N. (2013). Reversed item bias: An integrative model. </w:t>
      </w:r>
      <w:r w:rsidRPr="00494D70">
        <w:rPr>
          <w:rFonts w:ascii="Times New Roman" w:hAnsi="Times New Roman" w:cs="Times New Roman"/>
          <w:i/>
          <w:iCs/>
        </w:rPr>
        <w:t>Psychological Methods</w:t>
      </w:r>
      <w:r w:rsidRPr="00494D70">
        <w:rPr>
          <w:rFonts w:ascii="Times New Roman" w:hAnsi="Times New Roman" w:cs="Times New Roman"/>
        </w:rPr>
        <w:t xml:space="preserve">, </w:t>
      </w:r>
      <w:r w:rsidRPr="00494D70">
        <w:rPr>
          <w:rFonts w:ascii="Times New Roman" w:hAnsi="Times New Roman" w:cs="Times New Roman"/>
          <w:i/>
          <w:iCs/>
        </w:rPr>
        <w:t>18</w:t>
      </w:r>
      <w:r w:rsidRPr="00494D70">
        <w:rPr>
          <w:rFonts w:ascii="Times New Roman" w:hAnsi="Times New Roman" w:cs="Times New Roman"/>
        </w:rPr>
        <w:t>, 320–334. https://doi.org/10.1037/a0032121</w:t>
      </w:r>
    </w:p>
    <w:p w14:paraId="3B4D810F"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Williams, L. J., &amp; Holahan, P. J. (1994). Parsimony‐based fit indices for multiple‐indicator models: Do they work? </w:t>
      </w:r>
      <w:r w:rsidRPr="00494D70">
        <w:rPr>
          <w:rFonts w:ascii="Times New Roman" w:hAnsi="Times New Roman" w:cs="Times New Roman"/>
          <w:i/>
          <w:iCs/>
        </w:rPr>
        <w:t>Structural Equation Modeling: A Multidisciplinary Journal</w:t>
      </w:r>
      <w:r w:rsidRPr="00494D70">
        <w:rPr>
          <w:rFonts w:ascii="Times New Roman" w:hAnsi="Times New Roman" w:cs="Times New Roman"/>
        </w:rPr>
        <w:t xml:space="preserve">, </w:t>
      </w:r>
      <w:r w:rsidRPr="00494D70">
        <w:rPr>
          <w:rFonts w:ascii="Times New Roman" w:hAnsi="Times New Roman" w:cs="Times New Roman"/>
          <w:i/>
          <w:iCs/>
        </w:rPr>
        <w:t>1</w:t>
      </w:r>
      <w:r w:rsidRPr="00494D70">
        <w:rPr>
          <w:rFonts w:ascii="Times New Roman" w:hAnsi="Times New Roman" w:cs="Times New Roman"/>
        </w:rPr>
        <w:t>(2), 161–189. https://doi.org/10.1080/10705519409539970</w:t>
      </w:r>
    </w:p>
    <w:p w14:paraId="275CE847"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Yoon, M., &amp; Lai, M. H. C. (2018). Testing Factorial Invariance With Unbalanced Samples. </w:t>
      </w:r>
      <w:r w:rsidRPr="00494D70">
        <w:rPr>
          <w:rFonts w:ascii="Times New Roman" w:hAnsi="Times New Roman" w:cs="Times New Roman"/>
          <w:i/>
          <w:iCs/>
        </w:rPr>
        <w:t>Structural Equation Modeling: A Multidisciplinary Journal</w:t>
      </w:r>
      <w:r w:rsidRPr="00494D70">
        <w:rPr>
          <w:rFonts w:ascii="Times New Roman" w:hAnsi="Times New Roman" w:cs="Times New Roman"/>
        </w:rPr>
        <w:t xml:space="preserve">, </w:t>
      </w:r>
      <w:r w:rsidRPr="00494D70">
        <w:rPr>
          <w:rFonts w:ascii="Times New Roman" w:hAnsi="Times New Roman" w:cs="Times New Roman"/>
          <w:i/>
          <w:iCs/>
        </w:rPr>
        <w:t>25</w:t>
      </w:r>
      <w:r w:rsidRPr="00494D70">
        <w:rPr>
          <w:rFonts w:ascii="Times New Roman" w:hAnsi="Times New Roman" w:cs="Times New Roman"/>
        </w:rPr>
        <w:t>(2), 201–213. https://doi.org/10.1080/10705511.2017.1387859</w:t>
      </w:r>
    </w:p>
    <w:p w14:paraId="3247BEBD"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Zerubavel, N., &amp; Messman-Moore, T. L. (2013). Sexual victimization, fear of sexual powerlessness, and cognitive emotion dysregulation as barriers to sexual assertiveness in college women. </w:t>
      </w:r>
      <w:r w:rsidRPr="00494D70">
        <w:rPr>
          <w:rFonts w:ascii="Times New Roman" w:hAnsi="Times New Roman" w:cs="Times New Roman"/>
          <w:i/>
          <w:iCs/>
        </w:rPr>
        <w:t>Violence Against Women</w:t>
      </w:r>
      <w:r w:rsidRPr="00494D70">
        <w:rPr>
          <w:rFonts w:ascii="Times New Roman" w:hAnsi="Times New Roman" w:cs="Times New Roman"/>
        </w:rPr>
        <w:t xml:space="preserve">, </w:t>
      </w:r>
      <w:r w:rsidRPr="00494D70">
        <w:rPr>
          <w:rFonts w:ascii="Times New Roman" w:hAnsi="Times New Roman" w:cs="Times New Roman"/>
          <w:i/>
          <w:iCs/>
        </w:rPr>
        <w:t>19</w:t>
      </w:r>
      <w:r w:rsidRPr="00494D70">
        <w:rPr>
          <w:rFonts w:ascii="Times New Roman" w:hAnsi="Times New Roman" w:cs="Times New Roman"/>
        </w:rPr>
        <w:t>(12), 1518–1537. https://doi.org/10.1177/1077801213517566</w:t>
      </w:r>
    </w:p>
    <w:p w14:paraId="056D356D"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Zhang, H., Xie, L., Lo, S., Fan, S., &amp; Yip, P. (2022). Female Sexual Assertiveness and Sexual Satisfaction Among Chinese Couples in Hong Kong: A Dyadic Approach. </w:t>
      </w:r>
      <w:r w:rsidRPr="00494D70">
        <w:rPr>
          <w:rFonts w:ascii="Times New Roman" w:hAnsi="Times New Roman" w:cs="Times New Roman"/>
          <w:i/>
          <w:iCs/>
        </w:rPr>
        <w:t>Journal of Sex Research</w:t>
      </w:r>
      <w:r w:rsidRPr="00494D70">
        <w:rPr>
          <w:rFonts w:ascii="Times New Roman" w:hAnsi="Times New Roman" w:cs="Times New Roman"/>
        </w:rPr>
        <w:t xml:space="preserve">, </w:t>
      </w:r>
      <w:r w:rsidRPr="00494D70">
        <w:rPr>
          <w:rFonts w:ascii="Times New Roman" w:hAnsi="Times New Roman" w:cs="Times New Roman"/>
          <w:i/>
          <w:iCs/>
        </w:rPr>
        <w:t>59</w:t>
      </w:r>
      <w:r w:rsidRPr="00494D70">
        <w:rPr>
          <w:rFonts w:ascii="Times New Roman" w:hAnsi="Times New Roman" w:cs="Times New Roman"/>
        </w:rPr>
        <w:t>(2), 203–211. https://doi.org/10.1080/00224499.2021.1875187</w:t>
      </w:r>
    </w:p>
    <w:p w14:paraId="49A74521" w14:textId="77777777" w:rsidR="00ED3068" w:rsidRPr="00494D70" w:rsidRDefault="00ED3068" w:rsidP="00C33482">
      <w:pPr>
        <w:pStyle w:val="Irodalomjegyzk"/>
        <w:ind w:left="851" w:hanging="851"/>
        <w:rPr>
          <w:rFonts w:ascii="Times New Roman" w:hAnsi="Times New Roman" w:cs="Times New Roman"/>
        </w:rPr>
      </w:pPr>
      <w:r w:rsidRPr="00494D70">
        <w:rPr>
          <w:rFonts w:ascii="Times New Roman" w:hAnsi="Times New Roman" w:cs="Times New Roman"/>
        </w:rPr>
        <w:t xml:space="preserve">Zhang, H., &amp; Yip, P. S. F. (2018). Perceived and Actual Behavior in Female Sexual Assertiveness: A Within-Couple Analysis in Hong Kong. </w:t>
      </w:r>
      <w:r w:rsidRPr="00494D70">
        <w:rPr>
          <w:rFonts w:ascii="Times New Roman" w:hAnsi="Times New Roman" w:cs="Times New Roman"/>
          <w:i/>
          <w:iCs/>
        </w:rPr>
        <w:t>Journal of Sex &amp; Marital Therapy</w:t>
      </w:r>
      <w:r w:rsidRPr="00494D70">
        <w:rPr>
          <w:rFonts w:ascii="Times New Roman" w:hAnsi="Times New Roman" w:cs="Times New Roman"/>
        </w:rPr>
        <w:t xml:space="preserve">, </w:t>
      </w:r>
      <w:r w:rsidRPr="00494D70">
        <w:rPr>
          <w:rFonts w:ascii="Times New Roman" w:hAnsi="Times New Roman" w:cs="Times New Roman"/>
          <w:i/>
          <w:iCs/>
        </w:rPr>
        <w:t>44</w:t>
      </w:r>
      <w:r w:rsidRPr="00494D70">
        <w:rPr>
          <w:rFonts w:ascii="Times New Roman" w:hAnsi="Times New Roman" w:cs="Times New Roman"/>
        </w:rPr>
        <w:t>(1), 87–95. https://doi.org/Hurlbert Index of Sexual Assertiveness: A Study of Psychometric Properties in a Spanish Sam</w:t>
      </w:r>
    </w:p>
    <w:p w14:paraId="3DF351F8" w14:textId="60E37002" w:rsidR="00811D8E" w:rsidRPr="00494D70" w:rsidRDefault="000B5402" w:rsidP="00C33482">
      <w:pPr>
        <w:spacing w:after="0" w:line="480" w:lineRule="auto"/>
        <w:ind w:left="851" w:hanging="851"/>
        <w:rPr>
          <w:rFonts w:ascii="Times New Roman" w:eastAsia="Times New Roman" w:hAnsi="Times New Roman" w:cs="Times New Roman"/>
          <w:b/>
          <w:bCs/>
          <w:sz w:val="24"/>
          <w:szCs w:val="24"/>
        </w:rPr>
      </w:pPr>
      <w:r w:rsidRPr="00494D70">
        <w:rPr>
          <w:rFonts w:ascii="Times New Roman" w:eastAsia="Times New Roman" w:hAnsi="Times New Roman" w:cs="Times New Roman"/>
          <w:b/>
          <w:bCs/>
        </w:rPr>
        <w:fldChar w:fldCharType="end"/>
      </w:r>
    </w:p>
    <w:p w14:paraId="5394680C" w14:textId="25FB25F7" w:rsidR="005C0A3A" w:rsidRPr="00494D70" w:rsidRDefault="005C0A3A">
      <w:pPr>
        <w:rPr>
          <w:rFonts w:ascii="Times New Roman" w:eastAsia="Times New Roman" w:hAnsi="Times New Roman" w:cs="Times New Roman"/>
          <w:b/>
          <w:bCs/>
          <w:sz w:val="24"/>
          <w:szCs w:val="24"/>
        </w:rPr>
      </w:pPr>
      <w:r w:rsidRPr="00494D70">
        <w:rPr>
          <w:rFonts w:ascii="Times New Roman" w:eastAsia="Times New Roman" w:hAnsi="Times New Roman" w:cs="Times New Roman"/>
          <w:b/>
          <w:bCs/>
          <w:sz w:val="24"/>
          <w:szCs w:val="24"/>
        </w:rPr>
        <w:br w:type="page"/>
      </w:r>
    </w:p>
    <w:p w14:paraId="6443F3FD" w14:textId="77777777" w:rsidR="005C0A3A" w:rsidRPr="00494D70" w:rsidRDefault="005C0A3A" w:rsidP="005C0A3A">
      <w:pPr>
        <w:spacing w:after="0" w:line="240" w:lineRule="auto"/>
        <w:jc w:val="center"/>
        <w:rPr>
          <w:rFonts w:ascii="Times New Roman" w:hAnsi="Times New Roman" w:cs="Times New Roman"/>
          <w:b/>
          <w:sz w:val="24"/>
          <w:szCs w:val="24"/>
        </w:rPr>
      </w:pPr>
      <w:r w:rsidRPr="00494D70">
        <w:rPr>
          <w:rFonts w:ascii="Times New Roman" w:eastAsia="Times New Roman" w:hAnsi="Times New Roman" w:cs="Times New Roman"/>
          <w:color w:val="000000"/>
          <w:sz w:val="24"/>
          <w:szCs w:val="24"/>
        </w:rPr>
        <w:lastRenderedPageBreak/>
        <w:t>TABLES</w:t>
      </w:r>
    </w:p>
    <w:p w14:paraId="1DF420B5" w14:textId="77777777" w:rsidR="005C0A3A" w:rsidRPr="00494D70" w:rsidRDefault="005C0A3A" w:rsidP="005C0A3A">
      <w:pPr>
        <w:spacing w:after="0" w:line="240" w:lineRule="auto"/>
        <w:rPr>
          <w:rFonts w:ascii="Times New Roman" w:hAnsi="Times New Roman" w:cs="Times New Roman"/>
          <w:b/>
          <w:sz w:val="24"/>
          <w:szCs w:val="24"/>
        </w:rPr>
      </w:pPr>
    </w:p>
    <w:p w14:paraId="39977388" w14:textId="77777777" w:rsidR="005C0A3A" w:rsidRPr="00494D70" w:rsidRDefault="005C0A3A" w:rsidP="005C0A3A">
      <w:pPr>
        <w:spacing w:after="0" w:line="240" w:lineRule="auto"/>
        <w:rPr>
          <w:rFonts w:ascii="Times New Roman" w:hAnsi="Times New Roman" w:cs="Times New Roman"/>
          <w:b/>
          <w:sz w:val="24"/>
          <w:szCs w:val="24"/>
        </w:rPr>
      </w:pPr>
      <w:r w:rsidRPr="00494D70">
        <w:rPr>
          <w:rFonts w:ascii="Times New Roman" w:hAnsi="Times New Roman" w:cs="Times New Roman"/>
          <w:b/>
          <w:sz w:val="24"/>
          <w:szCs w:val="24"/>
        </w:rPr>
        <w:t>Table 1</w:t>
      </w:r>
    </w:p>
    <w:p w14:paraId="0237EF98" w14:textId="77777777" w:rsidR="005C0A3A" w:rsidRPr="00494D70" w:rsidRDefault="005C0A3A" w:rsidP="005C0A3A">
      <w:pPr>
        <w:spacing w:after="0" w:line="240" w:lineRule="auto"/>
        <w:rPr>
          <w:rFonts w:ascii="Times New Roman" w:hAnsi="Times New Roman" w:cs="Times New Roman"/>
          <w:bCs/>
          <w:i/>
          <w:iCs/>
          <w:sz w:val="24"/>
          <w:szCs w:val="24"/>
        </w:rPr>
      </w:pPr>
      <w:r w:rsidRPr="00494D70">
        <w:rPr>
          <w:rFonts w:ascii="Times New Roman" w:hAnsi="Times New Roman" w:cs="Times New Roman"/>
          <w:bCs/>
          <w:i/>
          <w:iCs/>
          <w:sz w:val="24"/>
          <w:szCs w:val="24"/>
        </w:rPr>
        <w:t>Sociodemographic Characteristics of the Total Sample</w:t>
      </w:r>
    </w:p>
    <w:tbl>
      <w:tblPr>
        <w:tblStyle w:val="Rcsostblzat"/>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126"/>
        <w:gridCol w:w="851"/>
      </w:tblGrid>
      <w:tr w:rsidR="005C0A3A" w:rsidRPr="00494D70" w14:paraId="59567A8C" w14:textId="77777777" w:rsidTr="003012DB">
        <w:tc>
          <w:tcPr>
            <w:tcW w:w="5245" w:type="dxa"/>
            <w:tcBorders>
              <w:top w:val="single" w:sz="4" w:space="0" w:color="auto"/>
              <w:bottom w:val="single" w:sz="4" w:space="0" w:color="auto"/>
            </w:tcBorders>
          </w:tcPr>
          <w:p w14:paraId="36EF3CC3" w14:textId="77777777" w:rsidR="005C0A3A" w:rsidRPr="00494D70" w:rsidRDefault="005C0A3A" w:rsidP="003012DB">
            <w:pPr>
              <w:rPr>
                <w:rFonts w:ascii="Times New Roman" w:hAnsi="Times New Roman" w:cs="Times New Roman"/>
                <w:b/>
                <w:sz w:val="20"/>
                <w:szCs w:val="20"/>
              </w:rPr>
            </w:pPr>
            <w:r w:rsidRPr="00494D70">
              <w:rPr>
                <w:rFonts w:ascii="Times New Roman" w:hAnsi="Times New Roman" w:cs="Times New Roman"/>
                <w:b/>
                <w:sz w:val="20"/>
                <w:szCs w:val="20"/>
              </w:rPr>
              <w:t>Variables</w:t>
            </w:r>
          </w:p>
        </w:tc>
        <w:tc>
          <w:tcPr>
            <w:tcW w:w="2126" w:type="dxa"/>
            <w:tcBorders>
              <w:top w:val="single" w:sz="4" w:space="0" w:color="auto"/>
              <w:bottom w:val="single" w:sz="4" w:space="0" w:color="auto"/>
            </w:tcBorders>
          </w:tcPr>
          <w:p w14:paraId="12FAD492"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bCs/>
                <w:sz w:val="20"/>
                <w:szCs w:val="20"/>
              </w:rPr>
              <w:t xml:space="preserve">N = 65,237-65,445 </w:t>
            </w:r>
          </w:p>
        </w:tc>
        <w:tc>
          <w:tcPr>
            <w:tcW w:w="851" w:type="dxa"/>
            <w:tcBorders>
              <w:top w:val="single" w:sz="4" w:space="0" w:color="auto"/>
              <w:bottom w:val="single" w:sz="4" w:space="0" w:color="auto"/>
            </w:tcBorders>
          </w:tcPr>
          <w:p w14:paraId="3BB99358"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bCs/>
                <w:sz w:val="20"/>
                <w:szCs w:val="20"/>
              </w:rPr>
              <w:t>%</w:t>
            </w:r>
          </w:p>
        </w:tc>
      </w:tr>
      <w:tr w:rsidR="005C0A3A" w:rsidRPr="00494D70" w14:paraId="1E570EAB" w14:textId="77777777" w:rsidTr="003012DB">
        <w:tc>
          <w:tcPr>
            <w:tcW w:w="5245" w:type="dxa"/>
            <w:tcBorders>
              <w:top w:val="single" w:sz="4" w:space="0" w:color="auto"/>
            </w:tcBorders>
          </w:tcPr>
          <w:p w14:paraId="65A8360F" w14:textId="77777777" w:rsidR="005C0A3A" w:rsidRPr="00494D70" w:rsidRDefault="005C0A3A" w:rsidP="003012DB">
            <w:pPr>
              <w:rPr>
                <w:rFonts w:ascii="Times New Roman" w:hAnsi="Times New Roman" w:cs="Times New Roman"/>
                <w:b/>
                <w:sz w:val="20"/>
                <w:szCs w:val="20"/>
              </w:rPr>
            </w:pPr>
            <w:r w:rsidRPr="00494D70">
              <w:rPr>
                <w:rFonts w:ascii="Times New Roman" w:hAnsi="Times New Roman" w:cs="Times New Roman"/>
                <w:b/>
                <w:sz w:val="20"/>
                <w:szCs w:val="20"/>
              </w:rPr>
              <w:t>Country of residence</w:t>
            </w:r>
          </w:p>
        </w:tc>
        <w:tc>
          <w:tcPr>
            <w:tcW w:w="2126" w:type="dxa"/>
            <w:tcBorders>
              <w:top w:val="single" w:sz="4" w:space="0" w:color="auto"/>
            </w:tcBorders>
          </w:tcPr>
          <w:p w14:paraId="012EB831" w14:textId="77777777" w:rsidR="005C0A3A" w:rsidRPr="00494D70" w:rsidRDefault="005C0A3A" w:rsidP="003012DB">
            <w:pPr>
              <w:jc w:val="center"/>
              <w:rPr>
                <w:rFonts w:ascii="Times New Roman" w:hAnsi="Times New Roman" w:cs="Times New Roman"/>
                <w:bCs/>
                <w:sz w:val="20"/>
                <w:szCs w:val="20"/>
              </w:rPr>
            </w:pPr>
          </w:p>
        </w:tc>
        <w:tc>
          <w:tcPr>
            <w:tcW w:w="851" w:type="dxa"/>
            <w:tcBorders>
              <w:top w:val="single" w:sz="4" w:space="0" w:color="auto"/>
            </w:tcBorders>
          </w:tcPr>
          <w:p w14:paraId="785CE200" w14:textId="77777777" w:rsidR="005C0A3A" w:rsidRPr="00494D70" w:rsidRDefault="005C0A3A" w:rsidP="003012DB">
            <w:pPr>
              <w:jc w:val="center"/>
              <w:rPr>
                <w:rFonts w:ascii="Times New Roman" w:hAnsi="Times New Roman" w:cs="Times New Roman"/>
                <w:bCs/>
                <w:sz w:val="20"/>
                <w:szCs w:val="20"/>
              </w:rPr>
            </w:pPr>
          </w:p>
        </w:tc>
      </w:tr>
      <w:tr w:rsidR="005C0A3A" w:rsidRPr="00494D70" w14:paraId="33EE9FC1" w14:textId="77777777" w:rsidTr="003012DB">
        <w:tc>
          <w:tcPr>
            <w:tcW w:w="5245" w:type="dxa"/>
          </w:tcPr>
          <w:p w14:paraId="0CDA6E19"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Algeria </w:t>
            </w:r>
          </w:p>
        </w:tc>
        <w:tc>
          <w:tcPr>
            <w:tcW w:w="2126" w:type="dxa"/>
          </w:tcPr>
          <w:p w14:paraId="32BE5C7F"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12</w:t>
            </w:r>
          </w:p>
        </w:tc>
        <w:tc>
          <w:tcPr>
            <w:tcW w:w="851" w:type="dxa"/>
          </w:tcPr>
          <w:p w14:paraId="4BEF3C71"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0.02</w:t>
            </w:r>
          </w:p>
        </w:tc>
      </w:tr>
      <w:tr w:rsidR="005C0A3A" w:rsidRPr="00494D70" w14:paraId="339D9558" w14:textId="77777777" w:rsidTr="003012DB">
        <w:tc>
          <w:tcPr>
            <w:tcW w:w="5245" w:type="dxa"/>
          </w:tcPr>
          <w:p w14:paraId="64738DBF"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Australia </w:t>
            </w:r>
          </w:p>
        </w:tc>
        <w:tc>
          <w:tcPr>
            <w:tcW w:w="2126" w:type="dxa"/>
          </w:tcPr>
          <w:p w14:paraId="4011C209"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483</w:t>
            </w:r>
          </w:p>
        </w:tc>
        <w:tc>
          <w:tcPr>
            <w:tcW w:w="851" w:type="dxa"/>
          </w:tcPr>
          <w:p w14:paraId="044DB175"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0.74</w:t>
            </w:r>
          </w:p>
        </w:tc>
      </w:tr>
      <w:tr w:rsidR="005C0A3A" w:rsidRPr="00494D70" w14:paraId="1098F081" w14:textId="77777777" w:rsidTr="003012DB">
        <w:tc>
          <w:tcPr>
            <w:tcW w:w="5245" w:type="dxa"/>
          </w:tcPr>
          <w:p w14:paraId="3F772184"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Austria </w:t>
            </w:r>
          </w:p>
        </w:tc>
        <w:tc>
          <w:tcPr>
            <w:tcW w:w="2126" w:type="dxa"/>
          </w:tcPr>
          <w:p w14:paraId="584DA8E8"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665</w:t>
            </w:r>
          </w:p>
        </w:tc>
        <w:tc>
          <w:tcPr>
            <w:tcW w:w="851" w:type="dxa"/>
          </w:tcPr>
          <w:p w14:paraId="3655B1F6"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1.02</w:t>
            </w:r>
          </w:p>
        </w:tc>
      </w:tr>
      <w:tr w:rsidR="005C0A3A" w:rsidRPr="00494D70" w14:paraId="07D4CEED" w14:textId="77777777" w:rsidTr="003012DB">
        <w:tc>
          <w:tcPr>
            <w:tcW w:w="5245" w:type="dxa"/>
          </w:tcPr>
          <w:p w14:paraId="564F38F0"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Bangladesh </w:t>
            </w:r>
          </w:p>
        </w:tc>
        <w:tc>
          <w:tcPr>
            <w:tcW w:w="2126" w:type="dxa"/>
          </w:tcPr>
          <w:p w14:paraId="3848323E"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81</w:t>
            </w:r>
          </w:p>
        </w:tc>
        <w:tc>
          <w:tcPr>
            <w:tcW w:w="851" w:type="dxa"/>
          </w:tcPr>
          <w:p w14:paraId="44BC534F"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0.12</w:t>
            </w:r>
          </w:p>
        </w:tc>
      </w:tr>
      <w:tr w:rsidR="005C0A3A" w:rsidRPr="00494D70" w14:paraId="53D00CED" w14:textId="77777777" w:rsidTr="003012DB">
        <w:tc>
          <w:tcPr>
            <w:tcW w:w="5245" w:type="dxa"/>
          </w:tcPr>
          <w:p w14:paraId="0A1309AE"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Belgium </w:t>
            </w:r>
          </w:p>
        </w:tc>
        <w:tc>
          <w:tcPr>
            <w:tcW w:w="2126" w:type="dxa"/>
          </w:tcPr>
          <w:p w14:paraId="176718CD"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542</w:t>
            </w:r>
          </w:p>
        </w:tc>
        <w:tc>
          <w:tcPr>
            <w:tcW w:w="851" w:type="dxa"/>
          </w:tcPr>
          <w:p w14:paraId="692F39FA"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0.83</w:t>
            </w:r>
          </w:p>
        </w:tc>
      </w:tr>
      <w:tr w:rsidR="005C0A3A" w:rsidRPr="00494D70" w14:paraId="24074735" w14:textId="77777777" w:rsidTr="003012DB">
        <w:tc>
          <w:tcPr>
            <w:tcW w:w="5245" w:type="dxa"/>
          </w:tcPr>
          <w:p w14:paraId="6F8CC985"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Bolivia </w:t>
            </w:r>
          </w:p>
        </w:tc>
        <w:tc>
          <w:tcPr>
            <w:tcW w:w="2126" w:type="dxa"/>
          </w:tcPr>
          <w:p w14:paraId="071BE2F7"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290</w:t>
            </w:r>
          </w:p>
        </w:tc>
        <w:tc>
          <w:tcPr>
            <w:tcW w:w="851" w:type="dxa"/>
          </w:tcPr>
          <w:p w14:paraId="53DEC3B8"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0.44</w:t>
            </w:r>
          </w:p>
        </w:tc>
      </w:tr>
      <w:tr w:rsidR="005C0A3A" w:rsidRPr="00494D70" w14:paraId="636583E9" w14:textId="77777777" w:rsidTr="003012DB">
        <w:tc>
          <w:tcPr>
            <w:tcW w:w="5245" w:type="dxa"/>
          </w:tcPr>
          <w:p w14:paraId="46437C2B"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Brazil </w:t>
            </w:r>
          </w:p>
        </w:tc>
        <w:tc>
          <w:tcPr>
            <w:tcW w:w="2126" w:type="dxa"/>
          </w:tcPr>
          <w:p w14:paraId="25FF5524"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3,102</w:t>
            </w:r>
          </w:p>
        </w:tc>
        <w:tc>
          <w:tcPr>
            <w:tcW w:w="851" w:type="dxa"/>
          </w:tcPr>
          <w:p w14:paraId="4F71FF8C"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4.74</w:t>
            </w:r>
          </w:p>
        </w:tc>
      </w:tr>
      <w:tr w:rsidR="005C0A3A" w:rsidRPr="00494D70" w14:paraId="699D2DFB" w14:textId="77777777" w:rsidTr="003012DB">
        <w:tc>
          <w:tcPr>
            <w:tcW w:w="5245" w:type="dxa"/>
          </w:tcPr>
          <w:p w14:paraId="48826A9E"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Canada </w:t>
            </w:r>
          </w:p>
        </w:tc>
        <w:tc>
          <w:tcPr>
            <w:tcW w:w="2126" w:type="dxa"/>
          </w:tcPr>
          <w:p w14:paraId="4E411B98"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2,118</w:t>
            </w:r>
          </w:p>
        </w:tc>
        <w:tc>
          <w:tcPr>
            <w:tcW w:w="851" w:type="dxa"/>
          </w:tcPr>
          <w:p w14:paraId="32CC7B26"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3.24</w:t>
            </w:r>
          </w:p>
        </w:tc>
      </w:tr>
      <w:tr w:rsidR="005C0A3A" w:rsidRPr="00494D70" w14:paraId="5B3B650B" w14:textId="77777777" w:rsidTr="003012DB">
        <w:tc>
          <w:tcPr>
            <w:tcW w:w="5245" w:type="dxa"/>
          </w:tcPr>
          <w:p w14:paraId="4DF9D378"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Chile </w:t>
            </w:r>
          </w:p>
        </w:tc>
        <w:tc>
          <w:tcPr>
            <w:tcW w:w="2126" w:type="dxa"/>
          </w:tcPr>
          <w:p w14:paraId="043281E8"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bCs/>
                <w:sz w:val="20"/>
                <w:szCs w:val="20"/>
              </w:rPr>
              <w:t>809</w:t>
            </w:r>
          </w:p>
        </w:tc>
        <w:tc>
          <w:tcPr>
            <w:tcW w:w="851" w:type="dxa"/>
          </w:tcPr>
          <w:p w14:paraId="20AE568F"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1.24</w:t>
            </w:r>
          </w:p>
        </w:tc>
      </w:tr>
      <w:tr w:rsidR="005C0A3A" w:rsidRPr="00494D70" w14:paraId="4C712A6F" w14:textId="77777777" w:rsidTr="003012DB">
        <w:tc>
          <w:tcPr>
            <w:tcW w:w="5245" w:type="dxa"/>
          </w:tcPr>
          <w:p w14:paraId="10A04093"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China </w:t>
            </w:r>
          </w:p>
        </w:tc>
        <w:tc>
          <w:tcPr>
            <w:tcW w:w="2126" w:type="dxa"/>
          </w:tcPr>
          <w:p w14:paraId="6ED9F841"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1,331</w:t>
            </w:r>
          </w:p>
        </w:tc>
        <w:tc>
          <w:tcPr>
            <w:tcW w:w="851" w:type="dxa"/>
          </w:tcPr>
          <w:p w14:paraId="3B15BFF0"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2.03</w:t>
            </w:r>
          </w:p>
        </w:tc>
      </w:tr>
      <w:tr w:rsidR="005C0A3A" w:rsidRPr="00494D70" w14:paraId="70A2EA2E" w14:textId="77777777" w:rsidTr="003012DB">
        <w:tc>
          <w:tcPr>
            <w:tcW w:w="5245" w:type="dxa"/>
          </w:tcPr>
          <w:p w14:paraId="2C75D2C5"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Colombia </w:t>
            </w:r>
          </w:p>
        </w:tc>
        <w:tc>
          <w:tcPr>
            <w:tcW w:w="2126" w:type="dxa"/>
          </w:tcPr>
          <w:p w14:paraId="3F239F5E"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1,367</w:t>
            </w:r>
          </w:p>
        </w:tc>
        <w:tc>
          <w:tcPr>
            <w:tcW w:w="851" w:type="dxa"/>
          </w:tcPr>
          <w:p w14:paraId="54A59DC8"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2.09</w:t>
            </w:r>
          </w:p>
        </w:tc>
      </w:tr>
      <w:tr w:rsidR="005C0A3A" w:rsidRPr="00494D70" w14:paraId="22AB527D" w14:textId="77777777" w:rsidTr="003012DB">
        <w:tc>
          <w:tcPr>
            <w:tcW w:w="5245" w:type="dxa"/>
          </w:tcPr>
          <w:p w14:paraId="34FECF76"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Croatia </w:t>
            </w:r>
          </w:p>
        </w:tc>
        <w:tc>
          <w:tcPr>
            <w:tcW w:w="2126" w:type="dxa"/>
          </w:tcPr>
          <w:p w14:paraId="2E69B94F"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1,962</w:t>
            </w:r>
          </w:p>
        </w:tc>
        <w:tc>
          <w:tcPr>
            <w:tcW w:w="851" w:type="dxa"/>
          </w:tcPr>
          <w:p w14:paraId="28F6E491"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3.00</w:t>
            </w:r>
          </w:p>
        </w:tc>
      </w:tr>
      <w:tr w:rsidR="005C0A3A" w:rsidRPr="00494D70" w14:paraId="7B1A67FA" w14:textId="77777777" w:rsidTr="003012DB">
        <w:tc>
          <w:tcPr>
            <w:tcW w:w="5245" w:type="dxa"/>
          </w:tcPr>
          <w:p w14:paraId="218847A6"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Czech Republic </w:t>
            </w:r>
          </w:p>
        </w:tc>
        <w:tc>
          <w:tcPr>
            <w:tcW w:w="2126" w:type="dxa"/>
          </w:tcPr>
          <w:p w14:paraId="043174AA"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1,220</w:t>
            </w:r>
          </w:p>
        </w:tc>
        <w:tc>
          <w:tcPr>
            <w:tcW w:w="851" w:type="dxa"/>
          </w:tcPr>
          <w:p w14:paraId="78554A90"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1.86</w:t>
            </w:r>
          </w:p>
        </w:tc>
      </w:tr>
      <w:tr w:rsidR="005C0A3A" w:rsidRPr="00494D70" w14:paraId="24CDB0F9" w14:textId="77777777" w:rsidTr="003012DB">
        <w:tc>
          <w:tcPr>
            <w:tcW w:w="5245" w:type="dxa"/>
          </w:tcPr>
          <w:p w14:paraId="3F13D0CA"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Ecuador </w:t>
            </w:r>
          </w:p>
        </w:tc>
        <w:tc>
          <w:tcPr>
            <w:tcW w:w="2126" w:type="dxa"/>
          </w:tcPr>
          <w:p w14:paraId="763DAFAB"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217</w:t>
            </w:r>
          </w:p>
        </w:tc>
        <w:tc>
          <w:tcPr>
            <w:tcW w:w="851" w:type="dxa"/>
          </w:tcPr>
          <w:p w14:paraId="37892E9B"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0.33</w:t>
            </w:r>
          </w:p>
        </w:tc>
      </w:tr>
      <w:tr w:rsidR="005C0A3A" w:rsidRPr="00494D70" w14:paraId="2D510CD1" w14:textId="77777777" w:rsidTr="003012DB">
        <w:tc>
          <w:tcPr>
            <w:tcW w:w="5245" w:type="dxa"/>
          </w:tcPr>
          <w:p w14:paraId="020B10EF"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France </w:t>
            </w:r>
          </w:p>
        </w:tc>
        <w:tc>
          <w:tcPr>
            <w:tcW w:w="2126" w:type="dxa"/>
          </w:tcPr>
          <w:p w14:paraId="7D955772"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1,387</w:t>
            </w:r>
          </w:p>
        </w:tc>
        <w:tc>
          <w:tcPr>
            <w:tcW w:w="851" w:type="dxa"/>
          </w:tcPr>
          <w:p w14:paraId="65489A37"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2.12</w:t>
            </w:r>
          </w:p>
        </w:tc>
      </w:tr>
      <w:tr w:rsidR="005C0A3A" w:rsidRPr="00494D70" w14:paraId="16D277E8" w14:textId="77777777" w:rsidTr="003012DB">
        <w:tc>
          <w:tcPr>
            <w:tcW w:w="5245" w:type="dxa"/>
          </w:tcPr>
          <w:p w14:paraId="196589CA"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Germany </w:t>
            </w:r>
          </w:p>
        </w:tc>
        <w:tc>
          <w:tcPr>
            <w:tcW w:w="2126" w:type="dxa"/>
          </w:tcPr>
          <w:p w14:paraId="6763D862"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2,717</w:t>
            </w:r>
          </w:p>
        </w:tc>
        <w:tc>
          <w:tcPr>
            <w:tcW w:w="851" w:type="dxa"/>
          </w:tcPr>
          <w:p w14:paraId="7C7104CF"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4.15</w:t>
            </w:r>
          </w:p>
        </w:tc>
      </w:tr>
      <w:tr w:rsidR="005C0A3A" w:rsidRPr="00494D70" w14:paraId="781D599B" w14:textId="77777777" w:rsidTr="003012DB">
        <w:tc>
          <w:tcPr>
            <w:tcW w:w="5245" w:type="dxa"/>
          </w:tcPr>
          <w:p w14:paraId="234EB8C1"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Gibraltar </w:t>
            </w:r>
          </w:p>
        </w:tc>
        <w:tc>
          <w:tcPr>
            <w:tcW w:w="2126" w:type="dxa"/>
          </w:tcPr>
          <w:p w14:paraId="1E1283CE"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55</w:t>
            </w:r>
          </w:p>
        </w:tc>
        <w:tc>
          <w:tcPr>
            <w:tcW w:w="851" w:type="dxa"/>
          </w:tcPr>
          <w:p w14:paraId="47573872"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0.08</w:t>
            </w:r>
          </w:p>
        </w:tc>
      </w:tr>
      <w:tr w:rsidR="005C0A3A" w:rsidRPr="00494D70" w14:paraId="5EBB290F" w14:textId="77777777" w:rsidTr="003012DB">
        <w:tc>
          <w:tcPr>
            <w:tcW w:w="5245" w:type="dxa"/>
          </w:tcPr>
          <w:p w14:paraId="19039A9A"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Hungary </w:t>
            </w:r>
          </w:p>
        </w:tc>
        <w:tc>
          <w:tcPr>
            <w:tcW w:w="2126" w:type="dxa"/>
          </w:tcPr>
          <w:p w14:paraId="3A4ED332"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9,960</w:t>
            </w:r>
          </w:p>
        </w:tc>
        <w:tc>
          <w:tcPr>
            <w:tcW w:w="851" w:type="dxa"/>
          </w:tcPr>
          <w:p w14:paraId="7D09096A"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15.22</w:t>
            </w:r>
          </w:p>
        </w:tc>
      </w:tr>
      <w:tr w:rsidR="005C0A3A" w:rsidRPr="00494D70" w14:paraId="20756921" w14:textId="77777777" w:rsidTr="003012DB">
        <w:tc>
          <w:tcPr>
            <w:tcW w:w="5245" w:type="dxa"/>
          </w:tcPr>
          <w:p w14:paraId="4D230089"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India </w:t>
            </w:r>
          </w:p>
        </w:tc>
        <w:tc>
          <w:tcPr>
            <w:tcW w:w="2126" w:type="dxa"/>
          </w:tcPr>
          <w:p w14:paraId="52D86AAD"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127</w:t>
            </w:r>
          </w:p>
        </w:tc>
        <w:tc>
          <w:tcPr>
            <w:tcW w:w="851" w:type="dxa"/>
          </w:tcPr>
          <w:p w14:paraId="53813FB2"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0.19</w:t>
            </w:r>
          </w:p>
        </w:tc>
      </w:tr>
      <w:tr w:rsidR="005C0A3A" w:rsidRPr="00494D70" w14:paraId="451E232B" w14:textId="77777777" w:rsidTr="003012DB">
        <w:tc>
          <w:tcPr>
            <w:tcW w:w="5245" w:type="dxa"/>
          </w:tcPr>
          <w:p w14:paraId="534EEC2E"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Iraq </w:t>
            </w:r>
          </w:p>
        </w:tc>
        <w:tc>
          <w:tcPr>
            <w:tcW w:w="2126" w:type="dxa"/>
          </w:tcPr>
          <w:p w14:paraId="15C78EB5"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54</w:t>
            </w:r>
          </w:p>
        </w:tc>
        <w:tc>
          <w:tcPr>
            <w:tcW w:w="851" w:type="dxa"/>
          </w:tcPr>
          <w:p w14:paraId="23BA821C"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0.08</w:t>
            </w:r>
          </w:p>
        </w:tc>
      </w:tr>
      <w:tr w:rsidR="005C0A3A" w:rsidRPr="00494D70" w14:paraId="3BEF79A4" w14:textId="77777777" w:rsidTr="003012DB">
        <w:tc>
          <w:tcPr>
            <w:tcW w:w="5245" w:type="dxa"/>
          </w:tcPr>
          <w:p w14:paraId="30380EE6"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Ireland </w:t>
            </w:r>
          </w:p>
        </w:tc>
        <w:tc>
          <w:tcPr>
            <w:tcW w:w="2126" w:type="dxa"/>
          </w:tcPr>
          <w:p w14:paraId="71A06511"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1,316</w:t>
            </w:r>
          </w:p>
        </w:tc>
        <w:tc>
          <w:tcPr>
            <w:tcW w:w="851" w:type="dxa"/>
          </w:tcPr>
          <w:p w14:paraId="31524360"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2.01</w:t>
            </w:r>
          </w:p>
        </w:tc>
      </w:tr>
      <w:tr w:rsidR="005C0A3A" w:rsidRPr="00494D70" w14:paraId="6B18A38F" w14:textId="77777777" w:rsidTr="003012DB">
        <w:tc>
          <w:tcPr>
            <w:tcW w:w="5245" w:type="dxa"/>
          </w:tcPr>
          <w:p w14:paraId="6D1A5228"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Israel </w:t>
            </w:r>
          </w:p>
        </w:tc>
        <w:tc>
          <w:tcPr>
            <w:tcW w:w="2126" w:type="dxa"/>
          </w:tcPr>
          <w:p w14:paraId="25CEB09C"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1,183</w:t>
            </w:r>
          </w:p>
        </w:tc>
        <w:tc>
          <w:tcPr>
            <w:tcW w:w="851" w:type="dxa"/>
          </w:tcPr>
          <w:p w14:paraId="055A0FB1"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1.81</w:t>
            </w:r>
          </w:p>
        </w:tc>
      </w:tr>
      <w:tr w:rsidR="005C0A3A" w:rsidRPr="00494D70" w14:paraId="605C5DD1" w14:textId="77777777" w:rsidTr="003012DB">
        <w:tc>
          <w:tcPr>
            <w:tcW w:w="5245" w:type="dxa"/>
          </w:tcPr>
          <w:p w14:paraId="2B478FE0"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Italy </w:t>
            </w:r>
          </w:p>
        </w:tc>
        <w:tc>
          <w:tcPr>
            <w:tcW w:w="2126" w:type="dxa"/>
          </w:tcPr>
          <w:p w14:paraId="73673FA4"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2,070</w:t>
            </w:r>
          </w:p>
        </w:tc>
        <w:tc>
          <w:tcPr>
            <w:tcW w:w="851" w:type="dxa"/>
          </w:tcPr>
          <w:p w14:paraId="5B016A6A"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3.16</w:t>
            </w:r>
          </w:p>
        </w:tc>
      </w:tr>
      <w:tr w:rsidR="005C0A3A" w:rsidRPr="00494D70" w14:paraId="183A5B57" w14:textId="77777777" w:rsidTr="003012DB">
        <w:tc>
          <w:tcPr>
            <w:tcW w:w="5245" w:type="dxa"/>
          </w:tcPr>
          <w:p w14:paraId="5287F7B0"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Japan </w:t>
            </w:r>
          </w:p>
        </w:tc>
        <w:tc>
          <w:tcPr>
            <w:tcW w:w="2126" w:type="dxa"/>
          </w:tcPr>
          <w:p w14:paraId="4535EFD5"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343</w:t>
            </w:r>
          </w:p>
        </w:tc>
        <w:tc>
          <w:tcPr>
            <w:tcW w:w="851" w:type="dxa"/>
          </w:tcPr>
          <w:p w14:paraId="413E9080"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0.52</w:t>
            </w:r>
          </w:p>
        </w:tc>
      </w:tr>
      <w:tr w:rsidR="005C0A3A" w:rsidRPr="00494D70" w14:paraId="4903157C" w14:textId="77777777" w:rsidTr="003012DB">
        <w:tc>
          <w:tcPr>
            <w:tcW w:w="5245" w:type="dxa"/>
          </w:tcPr>
          <w:p w14:paraId="11CECE1B"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Lithuania </w:t>
            </w:r>
          </w:p>
        </w:tc>
        <w:tc>
          <w:tcPr>
            <w:tcW w:w="2126" w:type="dxa"/>
          </w:tcPr>
          <w:p w14:paraId="45C5AFCF"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1,637</w:t>
            </w:r>
          </w:p>
        </w:tc>
        <w:tc>
          <w:tcPr>
            <w:tcW w:w="851" w:type="dxa"/>
          </w:tcPr>
          <w:p w14:paraId="4BF67569"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2.50</w:t>
            </w:r>
          </w:p>
        </w:tc>
      </w:tr>
      <w:tr w:rsidR="005C0A3A" w:rsidRPr="00494D70" w14:paraId="7308A30D" w14:textId="77777777" w:rsidTr="003012DB">
        <w:tc>
          <w:tcPr>
            <w:tcW w:w="5245" w:type="dxa"/>
          </w:tcPr>
          <w:p w14:paraId="165C15CF"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Malaysia </w:t>
            </w:r>
          </w:p>
        </w:tc>
        <w:tc>
          <w:tcPr>
            <w:tcW w:w="2126" w:type="dxa"/>
          </w:tcPr>
          <w:p w14:paraId="65BD5EEB"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502</w:t>
            </w:r>
          </w:p>
        </w:tc>
        <w:tc>
          <w:tcPr>
            <w:tcW w:w="851" w:type="dxa"/>
          </w:tcPr>
          <w:p w14:paraId="2CEF4A78"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0.77</w:t>
            </w:r>
          </w:p>
        </w:tc>
      </w:tr>
      <w:tr w:rsidR="005C0A3A" w:rsidRPr="00494D70" w14:paraId="6B47B8E2" w14:textId="77777777" w:rsidTr="003012DB">
        <w:tc>
          <w:tcPr>
            <w:tcW w:w="5245" w:type="dxa"/>
          </w:tcPr>
          <w:p w14:paraId="2D64122D"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Mexico </w:t>
            </w:r>
          </w:p>
        </w:tc>
        <w:tc>
          <w:tcPr>
            <w:tcW w:w="2126" w:type="dxa"/>
          </w:tcPr>
          <w:p w14:paraId="731A03EA"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1,618</w:t>
            </w:r>
          </w:p>
        </w:tc>
        <w:tc>
          <w:tcPr>
            <w:tcW w:w="851" w:type="dxa"/>
          </w:tcPr>
          <w:p w14:paraId="4815115B"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2.47</w:t>
            </w:r>
          </w:p>
        </w:tc>
      </w:tr>
      <w:tr w:rsidR="005C0A3A" w:rsidRPr="00494D70" w14:paraId="5526A30D" w14:textId="77777777" w:rsidTr="003012DB">
        <w:tc>
          <w:tcPr>
            <w:tcW w:w="5245" w:type="dxa"/>
          </w:tcPr>
          <w:p w14:paraId="398C945D"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New Zealand </w:t>
            </w:r>
          </w:p>
        </w:tc>
        <w:tc>
          <w:tcPr>
            <w:tcW w:w="2126" w:type="dxa"/>
          </w:tcPr>
          <w:p w14:paraId="61247ABE"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2,347</w:t>
            </w:r>
          </w:p>
        </w:tc>
        <w:tc>
          <w:tcPr>
            <w:tcW w:w="851" w:type="dxa"/>
          </w:tcPr>
          <w:p w14:paraId="4F85A563"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3.59</w:t>
            </w:r>
          </w:p>
        </w:tc>
      </w:tr>
      <w:tr w:rsidR="005C0A3A" w:rsidRPr="00494D70" w14:paraId="4729B5F2" w14:textId="77777777" w:rsidTr="003012DB">
        <w:tc>
          <w:tcPr>
            <w:tcW w:w="5245" w:type="dxa"/>
          </w:tcPr>
          <w:p w14:paraId="464A0CA1"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North Macedonia </w:t>
            </w:r>
          </w:p>
        </w:tc>
        <w:tc>
          <w:tcPr>
            <w:tcW w:w="2126" w:type="dxa"/>
          </w:tcPr>
          <w:p w14:paraId="21D34D57"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995</w:t>
            </w:r>
          </w:p>
        </w:tc>
        <w:tc>
          <w:tcPr>
            <w:tcW w:w="851" w:type="dxa"/>
          </w:tcPr>
          <w:p w14:paraId="424AB5B5"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1.52</w:t>
            </w:r>
          </w:p>
        </w:tc>
      </w:tr>
      <w:tr w:rsidR="005C0A3A" w:rsidRPr="00494D70" w14:paraId="4784A410" w14:textId="77777777" w:rsidTr="003012DB">
        <w:tc>
          <w:tcPr>
            <w:tcW w:w="5245" w:type="dxa"/>
          </w:tcPr>
          <w:p w14:paraId="2635F2E9"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Panama </w:t>
            </w:r>
          </w:p>
        </w:tc>
        <w:tc>
          <w:tcPr>
            <w:tcW w:w="2126" w:type="dxa"/>
          </w:tcPr>
          <w:p w14:paraId="7EB4A0FE"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267</w:t>
            </w:r>
          </w:p>
        </w:tc>
        <w:tc>
          <w:tcPr>
            <w:tcW w:w="851" w:type="dxa"/>
          </w:tcPr>
          <w:p w14:paraId="729133FF"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0.41</w:t>
            </w:r>
          </w:p>
        </w:tc>
      </w:tr>
      <w:tr w:rsidR="005C0A3A" w:rsidRPr="00494D70" w14:paraId="559FB57E" w14:textId="77777777" w:rsidTr="003012DB">
        <w:tc>
          <w:tcPr>
            <w:tcW w:w="5245" w:type="dxa"/>
          </w:tcPr>
          <w:p w14:paraId="4696DF57"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Peru </w:t>
            </w:r>
          </w:p>
        </w:tc>
        <w:tc>
          <w:tcPr>
            <w:tcW w:w="2126" w:type="dxa"/>
          </w:tcPr>
          <w:p w14:paraId="2502EB2B"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2,159</w:t>
            </w:r>
          </w:p>
        </w:tc>
        <w:tc>
          <w:tcPr>
            <w:tcW w:w="851" w:type="dxa"/>
          </w:tcPr>
          <w:p w14:paraId="7C048CEF"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3.30</w:t>
            </w:r>
          </w:p>
        </w:tc>
      </w:tr>
      <w:tr w:rsidR="005C0A3A" w:rsidRPr="00494D70" w14:paraId="7FB332D9" w14:textId="77777777" w:rsidTr="003012DB">
        <w:tc>
          <w:tcPr>
            <w:tcW w:w="5245" w:type="dxa"/>
          </w:tcPr>
          <w:p w14:paraId="6B028899"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Poland </w:t>
            </w:r>
          </w:p>
        </w:tc>
        <w:tc>
          <w:tcPr>
            <w:tcW w:w="2126" w:type="dxa"/>
          </w:tcPr>
          <w:p w14:paraId="5B3F5003"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8,535</w:t>
            </w:r>
          </w:p>
        </w:tc>
        <w:tc>
          <w:tcPr>
            <w:tcW w:w="851" w:type="dxa"/>
          </w:tcPr>
          <w:p w14:paraId="26ED7BCD"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13.04</w:t>
            </w:r>
          </w:p>
        </w:tc>
      </w:tr>
      <w:tr w:rsidR="005C0A3A" w:rsidRPr="00494D70" w14:paraId="41F7DCAF" w14:textId="77777777" w:rsidTr="003012DB">
        <w:tc>
          <w:tcPr>
            <w:tcW w:w="5245" w:type="dxa"/>
          </w:tcPr>
          <w:p w14:paraId="18B2A4B2"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Portugal </w:t>
            </w:r>
          </w:p>
        </w:tc>
        <w:tc>
          <w:tcPr>
            <w:tcW w:w="2126" w:type="dxa"/>
          </w:tcPr>
          <w:p w14:paraId="18650FDE"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1,974</w:t>
            </w:r>
          </w:p>
        </w:tc>
        <w:tc>
          <w:tcPr>
            <w:tcW w:w="851" w:type="dxa"/>
          </w:tcPr>
          <w:p w14:paraId="781E6AE5"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3.02</w:t>
            </w:r>
          </w:p>
        </w:tc>
      </w:tr>
      <w:tr w:rsidR="005C0A3A" w:rsidRPr="00494D70" w14:paraId="020A291E" w14:textId="77777777" w:rsidTr="003012DB">
        <w:tc>
          <w:tcPr>
            <w:tcW w:w="5245" w:type="dxa"/>
          </w:tcPr>
          <w:p w14:paraId="5CDA0B66"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Slovakia </w:t>
            </w:r>
          </w:p>
        </w:tc>
        <w:tc>
          <w:tcPr>
            <w:tcW w:w="2126" w:type="dxa"/>
          </w:tcPr>
          <w:p w14:paraId="33F4427D"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891</w:t>
            </w:r>
          </w:p>
        </w:tc>
        <w:tc>
          <w:tcPr>
            <w:tcW w:w="851" w:type="dxa"/>
          </w:tcPr>
          <w:p w14:paraId="3CA7879B"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1.36</w:t>
            </w:r>
          </w:p>
        </w:tc>
      </w:tr>
      <w:tr w:rsidR="005C0A3A" w:rsidRPr="00494D70" w14:paraId="59E26318" w14:textId="77777777" w:rsidTr="003012DB">
        <w:tc>
          <w:tcPr>
            <w:tcW w:w="5245" w:type="dxa"/>
          </w:tcPr>
          <w:p w14:paraId="5AD81546"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South Africa </w:t>
            </w:r>
          </w:p>
        </w:tc>
        <w:tc>
          <w:tcPr>
            <w:tcW w:w="2126" w:type="dxa"/>
          </w:tcPr>
          <w:p w14:paraId="2EB5132C"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1,285</w:t>
            </w:r>
          </w:p>
        </w:tc>
        <w:tc>
          <w:tcPr>
            <w:tcW w:w="851" w:type="dxa"/>
          </w:tcPr>
          <w:p w14:paraId="73AD494F"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1.96</w:t>
            </w:r>
          </w:p>
        </w:tc>
      </w:tr>
      <w:tr w:rsidR="005C0A3A" w:rsidRPr="00494D70" w14:paraId="2D185AFE" w14:textId="77777777" w:rsidTr="003012DB">
        <w:tc>
          <w:tcPr>
            <w:tcW w:w="5245" w:type="dxa"/>
          </w:tcPr>
          <w:p w14:paraId="5D00723F"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South Korea </w:t>
            </w:r>
          </w:p>
        </w:tc>
        <w:tc>
          <w:tcPr>
            <w:tcW w:w="2126" w:type="dxa"/>
          </w:tcPr>
          <w:p w14:paraId="752BD59E"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998</w:t>
            </w:r>
          </w:p>
        </w:tc>
        <w:tc>
          <w:tcPr>
            <w:tcW w:w="851" w:type="dxa"/>
          </w:tcPr>
          <w:p w14:paraId="2DAEFC78"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1.52</w:t>
            </w:r>
          </w:p>
        </w:tc>
      </w:tr>
      <w:tr w:rsidR="005C0A3A" w:rsidRPr="00494D70" w14:paraId="53C72996" w14:textId="77777777" w:rsidTr="003012DB">
        <w:tc>
          <w:tcPr>
            <w:tcW w:w="5245" w:type="dxa"/>
          </w:tcPr>
          <w:p w14:paraId="1A677C1F"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Spain </w:t>
            </w:r>
          </w:p>
        </w:tc>
        <w:tc>
          <w:tcPr>
            <w:tcW w:w="2126" w:type="dxa"/>
          </w:tcPr>
          <w:p w14:paraId="0F116D6F"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1,906</w:t>
            </w:r>
          </w:p>
        </w:tc>
        <w:tc>
          <w:tcPr>
            <w:tcW w:w="851" w:type="dxa"/>
          </w:tcPr>
          <w:p w14:paraId="2A9FE955"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2.91</w:t>
            </w:r>
          </w:p>
        </w:tc>
      </w:tr>
      <w:tr w:rsidR="005C0A3A" w:rsidRPr="00494D70" w14:paraId="7DF7809E" w14:textId="77777777" w:rsidTr="003012DB">
        <w:tc>
          <w:tcPr>
            <w:tcW w:w="5245" w:type="dxa"/>
          </w:tcPr>
          <w:p w14:paraId="1A9332D1"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Switzerland </w:t>
            </w:r>
          </w:p>
        </w:tc>
        <w:tc>
          <w:tcPr>
            <w:tcW w:w="2126" w:type="dxa"/>
          </w:tcPr>
          <w:p w14:paraId="1C112ECE"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990</w:t>
            </w:r>
          </w:p>
        </w:tc>
        <w:tc>
          <w:tcPr>
            <w:tcW w:w="851" w:type="dxa"/>
          </w:tcPr>
          <w:p w14:paraId="5A3D5520"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1.51</w:t>
            </w:r>
          </w:p>
        </w:tc>
      </w:tr>
      <w:tr w:rsidR="005C0A3A" w:rsidRPr="00494D70" w14:paraId="3BE15812" w14:textId="77777777" w:rsidTr="003012DB">
        <w:tc>
          <w:tcPr>
            <w:tcW w:w="5245" w:type="dxa"/>
          </w:tcPr>
          <w:p w14:paraId="1B0E1EFE"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Taiwan </w:t>
            </w:r>
          </w:p>
        </w:tc>
        <w:tc>
          <w:tcPr>
            <w:tcW w:w="2126" w:type="dxa"/>
          </w:tcPr>
          <w:p w14:paraId="07C7B7D7"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1,553</w:t>
            </w:r>
          </w:p>
        </w:tc>
        <w:tc>
          <w:tcPr>
            <w:tcW w:w="851" w:type="dxa"/>
          </w:tcPr>
          <w:p w14:paraId="13E4641D"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2.37</w:t>
            </w:r>
          </w:p>
        </w:tc>
      </w:tr>
      <w:tr w:rsidR="005C0A3A" w:rsidRPr="00494D70" w14:paraId="3C3BB909" w14:textId="77777777" w:rsidTr="003012DB">
        <w:tc>
          <w:tcPr>
            <w:tcW w:w="5245" w:type="dxa"/>
          </w:tcPr>
          <w:p w14:paraId="4EFC7278"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Turkey </w:t>
            </w:r>
          </w:p>
        </w:tc>
        <w:tc>
          <w:tcPr>
            <w:tcW w:w="2126" w:type="dxa"/>
          </w:tcPr>
          <w:p w14:paraId="45C04DD2"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607</w:t>
            </w:r>
          </w:p>
        </w:tc>
        <w:tc>
          <w:tcPr>
            <w:tcW w:w="851" w:type="dxa"/>
          </w:tcPr>
          <w:p w14:paraId="7D763E29"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0.93</w:t>
            </w:r>
          </w:p>
        </w:tc>
      </w:tr>
      <w:tr w:rsidR="005C0A3A" w:rsidRPr="00494D70" w14:paraId="6AAAD804" w14:textId="77777777" w:rsidTr="003012DB">
        <w:tc>
          <w:tcPr>
            <w:tcW w:w="5245" w:type="dxa"/>
          </w:tcPr>
          <w:p w14:paraId="5A3657C6"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United Kingdom </w:t>
            </w:r>
          </w:p>
        </w:tc>
        <w:tc>
          <w:tcPr>
            <w:tcW w:w="2126" w:type="dxa"/>
          </w:tcPr>
          <w:p w14:paraId="71D22809"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1,149</w:t>
            </w:r>
          </w:p>
        </w:tc>
        <w:tc>
          <w:tcPr>
            <w:tcW w:w="851" w:type="dxa"/>
          </w:tcPr>
          <w:p w14:paraId="2656CAB2"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1.76</w:t>
            </w:r>
          </w:p>
        </w:tc>
      </w:tr>
      <w:tr w:rsidR="005C0A3A" w:rsidRPr="00494D70" w14:paraId="2FCEF1D6" w14:textId="77777777" w:rsidTr="003012DB">
        <w:tc>
          <w:tcPr>
            <w:tcW w:w="5245" w:type="dxa"/>
          </w:tcPr>
          <w:p w14:paraId="372E0AFD"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United States of America </w:t>
            </w:r>
          </w:p>
        </w:tc>
        <w:tc>
          <w:tcPr>
            <w:tcW w:w="2126" w:type="dxa"/>
          </w:tcPr>
          <w:p w14:paraId="7C685736"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1,766</w:t>
            </w:r>
          </w:p>
        </w:tc>
        <w:tc>
          <w:tcPr>
            <w:tcW w:w="851" w:type="dxa"/>
          </w:tcPr>
          <w:p w14:paraId="49E6A183"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2.70</w:t>
            </w:r>
          </w:p>
        </w:tc>
      </w:tr>
      <w:tr w:rsidR="005C0A3A" w:rsidRPr="00494D70" w14:paraId="3BB75A08" w14:textId="77777777" w:rsidTr="003012DB">
        <w:tc>
          <w:tcPr>
            <w:tcW w:w="5245" w:type="dxa"/>
          </w:tcPr>
          <w:p w14:paraId="31207104"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Other </w:t>
            </w:r>
          </w:p>
        </w:tc>
        <w:tc>
          <w:tcPr>
            <w:tcW w:w="2126" w:type="dxa"/>
          </w:tcPr>
          <w:p w14:paraId="449C6ADD"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655</w:t>
            </w:r>
          </w:p>
        </w:tc>
        <w:tc>
          <w:tcPr>
            <w:tcW w:w="851" w:type="dxa"/>
          </w:tcPr>
          <w:p w14:paraId="3FBC73E8"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1.30</w:t>
            </w:r>
          </w:p>
        </w:tc>
      </w:tr>
      <w:tr w:rsidR="005C0A3A" w:rsidRPr="00494D70" w14:paraId="7120D364" w14:textId="77777777" w:rsidTr="003012DB">
        <w:tc>
          <w:tcPr>
            <w:tcW w:w="5245" w:type="dxa"/>
          </w:tcPr>
          <w:p w14:paraId="0405BB14" w14:textId="77777777" w:rsidR="005C0A3A" w:rsidRPr="00494D70" w:rsidRDefault="005C0A3A" w:rsidP="003012DB">
            <w:pPr>
              <w:rPr>
                <w:rFonts w:ascii="Times New Roman" w:hAnsi="Times New Roman" w:cs="Times New Roman"/>
                <w:b/>
                <w:sz w:val="20"/>
                <w:szCs w:val="20"/>
              </w:rPr>
            </w:pPr>
            <w:r w:rsidRPr="00494D70">
              <w:rPr>
                <w:rFonts w:ascii="Times New Roman" w:hAnsi="Times New Roman" w:cs="Times New Roman"/>
                <w:b/>
                <w:sz w:val="20"/>
                <w:szCs w:val="20"/>
              </w:rPr>
              <w:t>Language</w:t>
            </w:r>
          </w:p>
        </w:tc>
        <w:tc>
          <w:tcPr>
            <w:tcW w:w="2126" w:type="dxa"/>
          </w:tcPr>
          <w:p w14:paraId="6AE69D65" w14:textId="77777777" w:rsidR="005C0A3A" w:rsidRPr="00494D70" w:rsidRDefault="005C0A3A" w:rsidP="003012DB">
            <w:pPr>
              <w:jc w:val="center"/>
              <w:rPr>
                <w:rFonts w:ascii="Times New Roman" w:hAnsi="Times New Roman" w:cs="Times New Roman"/>
                <w:bCs/>
                <w:sz w:val="20"/>
                <w:szCs w:val="20"/>
              </w:rPr>
            </w:pPr>
          </w:p>
        </w:tc>
        <w:tc>
          <w:tcPr>
            <w:tcW w:w="851" w:type="dxa"/>
          </w:tcPr>
          <w:p w14:paraId="2C310F33" w14:textId="77777777" w:rsidR="005C0A3A" w:rsidRPr="00494D70" w:rsidRDefault="005C0A3A" w:rsidP="003012DB">
            <w:pPr>
              <w:jc w:val="center"/>
              <w:rPr>
                <w:rFonts w:ascii="Times New Roman" w:hAnsi="Times New Roman" w:cs="Times New Roman"/>
                <w:bCs/>
                <w:sz w:val="20"/>
                <w:szCs w:val="20"/>
              </w:rPr>
            </w:pPr>
          </w:p>
        </w:tc>
      </w:tr>
      <w:tr w:rsidR="005C0A3A" w:rsidRPr="00494D70" w14:paraId="69527E9F" w14:textId="77777777" w:rsidTr="003012DB">
        <w:tc>
          <w:tcPr>
            <w:tcW w:w="5245" w:type="dxa"/>
          </w:tcPr>
          <w:p w14:paraId="135AA88E"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Arabic </w:t>
            </w:r>
          </w:p>
        </w:tc>
        <w:tc>
          <w:tcPr>
            <w:tcW w:w="2126" w:type="dxa"/>
          </w:tcPr>
          <w:p w14:paraId="18010191"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76</w:t>
            </w:r>
          </w:p>
        </w:tc>
        <w:tc>
          <w:tcPr>
            <w:tcW w:w="851" w:type="dxa"/>
          </w:tcPr>
          <w:p w14:paraId="79A5D111"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0.12</w:t>
            </w:r>
          </w:p>
        </w:tc>
      </w:tr>
      <w:tr w:rsidR="005C0A3A" w:rsidRPr="00494D70" w14:paraId="1366A1ED" w14:textId="77777777" w:rsidTr="003012DB">
        <w:tc>
          <w:tcPr>
            <w:tcW w:w="5245" w:type="dxa"/>
          </w:tcPr>
          <w:p w14:paraId="1CD086EF"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Bangla </w:t>
            </w:r>
          </w:p>
        </w:tc>
        <w:tc>
          <w:tcPr>
            <w:tcW w:w="2126" w:type="dxa"/>
          </w:tcPr>
          <w:p w14:paraId="06D54B41"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74</w:t>
            </w:r>
          </w:p>
        </w:tc>
        <w:tc>
          <w:tcPr>
            <w:tcW w:w="851" w:type="dxa"/>
          </w:tcPr>
          <w:p w14:paraId="3FB4BA94"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0.11</w:t>
            </w:r>
          </w:p>
        </w:tc>
      </w:tr>
      <w:tr w:rsidR="005C0A3A" w:rsidRPr="00494D70" w14:paraId="27827533" w14:textId="77777777" w:rsidTr="003012DB">
        <w:tc>
          <w:tcPr>
            <w:tcW w:w="5245" w:type="dxa"/>
          </w:tcPr>
          <w:p w14:paraId="635EB2A0"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Croatian</w:t>
            </w:r>
          </w:p>
        </w:tc>
        <w:tc>
          <w:tcPr>
            <w:tcW w:w="2126" w:type="dxa"/>
          </w:tcPr>
          <w:p w14:paraId="42F78070"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2,072</w:t>
            </w:r>
          </w:p>
        </w:tc>
        <w:tc>
          <w:tcPr>
            <w:tcW w:w="851" w:type="dxa"/>
          </w:tcPr>
          <w:p w14:paraId="2C071A23"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3.17</w:t>
            </w:r>
          </w:p>
        </w:tc>
      </w:tr>
      <w:tr w:rsidR="005C0A3A" w:rsidRPr="00494D70" w14:paraId="6F56CA76" w14:textId="77777777" w:rsidTr="003012DB">
        <w:tc>
          <w:tcPr>
            <w:tcW w:w="5245" w:type="dxa"/>
          </w:tcPr>
          <w:p w14:paraId="52D7001D"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Czech</w:t>
            </w:r>
          </w:p>
        </w:tc>
        <w:tc>
          <w:tcPr>
            <w:tcW w:w="2126" w:type="dxa"/>
          </w:tcPr>
          <w:p w14:paraId="1D2C4988"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1,175</w:t>
            </w:r>
          </w:p>
        </w:tc>
        <w:tc>
          <w:tcPr>
            <w:tcW w:w="851" w:type="dxa"/>
          </w:tcPr>
          <w:p w14:paraId="470D9696"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1.80</w:t>
            </w:r>
          </w:p>
        </w:tc>
      </w:tr>
      <w:tr w:rsidR="005C0A3A" w:rsidRPr="00494D70" w14:paraId="18472D1D" w14:textId="77777777" w:rsidTr="003012DB">
        <w:tc>
          <w:tcPr>
            <w:tcW w:w="5245" w:type="dxa"/>
          </w:tcPr>
          <w:p w14:paraId="6FA20621"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Dutch </w:t>
            </w:r>
          </w:p>
        </w:tc>
        <w:tc>
          <w:tcPr>
            <w:tcW w:w="2126" w:type="dxa"/>
          </w:tcPr>
          <w:p w14:paraId="35D2042B"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425</w:t>
            </w:r>
          </w:p>
        </w:tc>
        <w:tc>
          <w:tcPr>
            <w:tcW w:w="851" w:type="dxa"/>
          </w:tcPr>
          <w:p w14:paraId="54F6B9EA"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0.65</w:t>
            </w:r>
          </w:p>
        </w:tc>
      </w:tr>
      <w:tr w:rsidR="005C0A3A" w:rsidRPr="00494D70" w14:paraId="651045E9" w14:textId="77777777" w:rsidTr="003012DB">
        <w:tc>
          <w:tcPr>
            <w:tcW w:w="5245" w:type="dxa"/>
          </w:tcPr>
          <w:p w14:paraId="7D9A629C"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English</w:t>
            </w:r>
          </w:p>
        </w:tc>
        <w:tc>
          <w:tcPr>
            <w:tcW w:w="2126" w:type="dxa"/>
          </w:tcPr>
          <w:p w14:paraId="26C5F9E7"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10,171</w:t>
            </w:r>
          </w:p>
        </w:tc>
        <w:tc>
          <w:tcPr>
            <w:tcW w:w="851" w:type="dxa"/>
          </w:tcPr>
          <w:p w14:paraId="1410D6E2"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15.54</w:t>
            </w:r>
          </w:p>
        </w:tc>
      </w:tr>
      <w:tr w:rsidR="005C0A3A" w:rsidRPr="00494D70" w14:paraId="781D4BFF" w14:textId="77777777" w:rsidTr="003012DB">
        <w:tc>
          <w:tcPr>
            <w:tcW w:w="5245" w:type="dxa"/>
          </w:tcPr>
          <w:p w14:paraId="3C56E31F"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French</w:t>
            </w:r>
          </w:p>
        </w:tc>
        <w:tc>
          <w:tcPr>
            <w:tcW w:w="2126" w:type="dxa"/>
          </w:tcPr>
          <w:p w14:paraId="6C53F02E"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3,335</w:t>
            </w:r>
          </w:p>
        </w:tc>
        <w:tc>
          <w:tcPr>
            <w:tcW w:w="851" w:type="dxa"/>
          </w:tcPr>
          <w:p w14:paraId="6B31FF55"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5.10</w:t>
            </w:r>
          </w:p>
        </w:tc>
      </w:tr>
      <w:tr w:rsidR="005C0A3A" w:rsidRPr="00494D70" w14:paraId="08497633" w14:textId="77777777" w:rsidTr="003012DB">
        <w:tc>
          <w:tcPr>
            <w:tcW w:w="5245" w:type="dxa"/>
          </w:tcPr>
          <w:p w14:paraId="16F97A0A"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German</w:t>
            </w:r>
          </w:p>
        </w:tc>
        <w:tc>
          <w:tcPr>
            <w:tcW w:w="2126" w:type="dxa"/>
          </w:tcPr>
          <w:p w14:paraId="7BCB839B"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2,915</w:t>
            </w:r>
          </w:p>
        </w:tc>
        <w:tc>
          <w:tcPr>
            <w:tcW w:w="851" w:type="dxa"/>
          </w:tcPr>
          <w:p w14:paraId="4984D76E"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4.45</w:t>
            </w:r>
          </w:p>
        </w:tc>
      </w:tr>
      <w:tr w:rsidR="005C0A3A" w:rsidRPr="00494D70" w14:paraId="060873A2" w14:textId="77777777" w:rsidTr="003012DB">
        <w:tc>
          <w:tcPr>
            <w:tcW w:w="5245" w:type="dxa"/>
          </w:tcPr>
          <w:p w14:paraId="054830D6"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Hebrew</w:t>
            </w:r>
          </w:p>
        </w:tc>
        <w:tc>
          <w:tcPr>
            <w:tcW w:w="2126" w:type="dxa"/>
          </w:tcPr>
          <w:p w14:paraId="3D863EF6"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1,168</w:t>
            </w:r>
          </w:p>
        </w:tc>
        <w:tc>
          <w:tcPr>
            <w:tcW w:w="851" w:type="dxa"/>
          </w:tcPr>
          <w:p w14:paraId="622A2634"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1.78</w:t>
            </w:r>
          </w:p>
        </w:tc>
      </w:tr>
      <w:tr w:rsidR="005C0A3A" w:rsidRPr="00494D70" w14:paraId="7FCD4ECA" w14:textId="77777777" w:rsidTr="003012DB">
        <w:tc>
          <w:tcPr>
            <w:tcW w:w="5245" w:type="dxa"/>
          </w:tcPr>
          <w:p w14:paraId="0D48C00F"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lastRenderedPageBreak/>
              <w:t xml:space="preserve">Hindi </w:t>
            </w:r>
          </w:p>
        </w:tc>
        <w:tc>
          <w:tcPr>
            <w:tcW w:w="2126" w:type="dxa"/>
          </w:tcPr>
          <w:p w14:paraId="3AFCA763"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12</w:t>
            </w:r>
          </w:p>
        </w:tc>
        <w:tc>
          <w:tcPr>
            <w:tcW w:w="851" w:type="dxa"/>
          </w:tcPr>
          <w:p w14:paraId="09AE53B0"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0.02</w:t>
            </w:r>
          </w:p>
        </w:tc>
      </w:tr>
      <w:tr w:rsidR="005C0A3A" w:rsidRPr="00494D70" w14:paraId="63136460" w14:textId="77777777" w:rsidTr="003012DB">
        <w:tc>
          <w:tcPr>
            <w:tcW w:w="5245" w:type="dxa"/>
          </w:tcPr>
          <w:p w14:paraId="0254A302"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Hungarian</w:t>
            </w:r>
          </w:p>
        </w:tc>
        <w:tc>
          <w:tcPr>
            <w:tcW w:w="2126" w:type="dxa"/>
          </w:tcPr>
          <w:p w14:paraId="03FE2E84"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9,855</w:t>
            </w:r>
          </w:p>
        </w:tc>
        <w:tc>
          <w:tcPr>
            <w:tcW w:w="851" w:type="dxa"/>
          </w:tcPr>
          <w:p w14:paraId="494B2691"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15.06</w:t>
            </w:r>
          </w:p>
        </w:tc>
      </w:tr>
      <w:tr w:rsidR="005C0A3A" w:rsidRPr="00494D70" w14:paraId="15F4E76F" w14:textId="77777777" w:rsidTr="003012DB">
        <w:tc>
          <w:tcPr>
            <w:tcW w:w="5245" w:type="dxa"/>
          </w:tcPr>
          <w:p w14:paraId="79FEB460"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Italian  </w:t>
            </w:r>
          </w:p>
        </w:tc>
        <w:tc>
          <w:tcPr>
            <w:tcW w:w="2126" w:type="dxa"/>
          </w:tcPr>
          <w:p w14:paraId="3B5AD098"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2,104</w:t>
            </w:r>
          </w:p>
        </w:tc>
        <w:tc>
          <w:tcPr>
            <w:tcW w:w="851" w:type="dxa"/>
          </w:tcPr>
          <w:p w14:paraId="26012BAA"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3.21</w:t>
            </w:r>
          </w:p>
        </w:tc>
      </w:tr>
      <w:tr w:rsidR="005C0A3A" w:rsidRPr="00494D70" w14:paraId="36EC92A1" w14:textId="77777777" w:rsidTr="003012DB">
        <w:tc>
          <w:tcPr>
            <w:tcW w:w="5245" w:type="dxa"/>
          </w:tcPr>
          <w:p w14:paraId="6F5F5C85"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Japanese </w:t>
            </w:r>
          </w:p>
        </w:tc>
        <w:tc>
          <w:tcPr>
            <w:tcW w:w="2126" w:type="dxa"/>
          </w:tcPr>
          <w:p w14:paraId="386D5A4B"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271</w:t>
            </w:r>
          </w:p>
        </w:tc>
        <w:tc>
          <w:tcPr>
            <w:tcW w:w="851" w:type="dxa"/>
          </w:tcPr>
          <w:p w14:paraId="562DD260"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0.41</w:t>
            </w:r>
          </w:p>
        </w:tc>
      </w:tr>
      <w:tr w:rsidR="005C0A3A" w:rsidRPr="00494D70" w14:paraId="19E7AEC6" w14:textId="77777777" w:rsidTr="003012DB">
        <w:tc>
          <w:tcPr>
            <w:tcW w:w="5245" w:type="dxa"/>
          </w:tcPr>
          <w:p w14:paraId="2CC1F797"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Korean </w:t>
            </w:r>
          </w:p>
        </w:tc>
        <w:tc>
          <w:tcPr>
            <w:tcW w:w="2126" w:type="dxa"/>
          </w:tcPr>
          <w:p w14:paraId="2844322D"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983</w:t>
            </w:r>
          </w:p>
        </w:tc>
        <w:tc>
          <w:tcPr>
            <w:tcW w:w="851" w:type="dxa"/>
          </w:tcPr>
          <w:p w14:paraId="5B45A56A"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1.50</w:t>
            </w:r>
          </w:p>
        </w:tc>
      </w:tr>
      <w:tr w:rsidR="005C0A3A" w:rsidRPr="00494D70" w14:paraId="2AC79F72" w14:textId="77777777" w:rsidTr="003012DB">
        <w:tc>
          <w:tcPr>
            <w:tcW w:w="5245" w:type="dxa"/>
          </w:tcPr>
          <w:p w14:paraId="68289E8B"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Lithuanian </w:t>
            </w:r>
          </w:p>
        </w:tc>
        <w:tc>
          <w:tcPr>
            <w:tcW w:w="2126" w:type="dxa"/>
          </w:tcPr>
          <w:p w14:paraId="795738AC"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1,705</w:t>
            </w:r>
          </w:p>
        </w:tc>
        <w:tc>
          <w:tcPr>
            <w:tcW w:w="851" w:type="dxa"/>
          </w:tcPr>
          <w:p w14:paraId="22261A31"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2.61</w:t>
            </w:r>
          </w:p>
        </w:tc>
      </w:tr>
      <w:tr w:rsidR="005C0A3A" w:rsidRPr="00494D70" w14:paraId="1378C6EE" w14:textId="77777777" w:rsidTr="003012DB">
        <w:tc>
          <w:tcPr>
            <w:tcW w:w="5245" w:type="dxa"/>
          </w:tcPr>
          <w:p w14:paraId="473CA37E"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Macedonian </w:t>
            </w:r>
          </w:p>
        </w:tc>
        <w:tc>
          <w:tcPr>
            <w:tcW w:w="2126" w:type="dxa"/>
          </w:tcPr>
          <w:p w14:paraId="7C58F2C2"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1,038</w:t>
            </w:r>
          </w:p>
        </w:tc>
        <w:tc>
          <w:tcPr>
            <w:tcW w:w="851" w:type="dxa"/>
          </w:tcPr>
          <w:p w14:paraId="7B660272"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1.59</w:t>
            </w:r>
          </w:p>
        </w:tc>
      </w:tr>
      <w:tr w:rsidR="005C0A3A" w:rsidRPr="00494D70" w14:paraId="36A91A17" w14:textId="77777777" w:rsidTr="003012DB">
        <w:tc>
          <w:tcPr>
            <w:tcW w:w="5245" w:type="dxa"/>
          </w:tcPr>
          <w:p w14:paraId="1B744126"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Mandarin – simplified </w:t>
            </w:r>
          </w:p>
        </w:tc>
        <w:tc>
          <w:tcPr>
            <w:tcW w:w="2126" w:type="dxa"/>
          </w:tcPr>
          <w:p w14:paraId="55F41A7B"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1,346</w:t>
            </w:r>
          </w:p>
        </w:tc>
        <w:tc>
          <w:tcPr>
            <w:tcW w:w="851" w:type="dxa"/>
          </w:tcPr>
          <w:p w14:paraId="10A8CC0F"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2.06</w:t>
            </w:r>
          </w:p>
        </w:tc>
      </w:tr>
      <w:tr w:rsidR="005C0A3A" w:rsidRPr="00494D70" w14:paraId="2D18332B" w14:textId="77777777" w:rsidTr="003012DB">
        <w:tc>
          <w:tcPr>
            <w:tcW w:w="5245" w:type="dxa"/>
          </w:tcPr>
          <w:p w14:paraId="105AB881"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Mandarin – traditional </w:t>
            </w:r>
          </w:p>
        </w:tc>
        <w:tc>
          <w:tcPr>
            <w:tcW w:w="2126" w:type="dxa"/>
          </w:tcPr>
          <w:p w14:paraId="0364DFAB"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1,559</w:t>
            </w:r>
          </w:p>
        </w:tc>
        <w:tc>
          <w:tcPr>
            <w:tcW w:w="851" w:type="dxa"/>
          </w:tcPr>
          <w:p w14:paraId="4FE55C71"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2.38</w:t>
            </w:r>
          </w:p>
        </w:tc>
      </w:tr>
      <w:tr w:rsidR="005C0A3A" w:rsidRPr="00494D70" w14:paraId="046BDF5B" w14:textId="77777777" w:rsidTr="003012DB">
        <w:tc>
          <w:tcPr>
            <w:tcW w:w="5245" w:type="dxa"/>
          </w:tcPr>
          <w:p w14:paraId="146FC37A"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Polish</w:t>
            </w:r>
          </w:p>
        </w:tc>
        <w:tc>
          <w:tcPr>
            <w:tcW w:w="2126" w:type="dxa"/>
          </w:tcPr>
          <w:p w14:paraId="1EAAE468"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8,980</w:t>
            </w:r>
          </w:p>
        </w:tc>
        <w:tc>
          <w:tcPr>
            <w:tcW w:w="851" w:type="dxa"/>
          </w:tcPr>
          <w:p w14:paraId="1D092F64"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13.72</w:t>
            </w:r>
          </w:p>
        </w:tc>
      </w:tr>
      <w:tr w:rsidR="005C0A3A" w:rsidRPr="00494D70" w14:paraId="05CFC278" w14:textId="77777777" w:rsidTr="003012DB">
        <w:tc>
          <w:tcPr>
            <w:tcW w:w="5245" w:type="dxa"/>
          </w:tcPr>
          <w:p w14:paraId="3964593C"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Portuguese – Brazil </w:t>
            </w:r>
          </w:p>
        </w:tc>
        <w:tc>
          <w:tcPr>
            <w:tcW w:w="2126" w:type="dxa"/>
          </w:tcPr>
          <w:p w14:paraId="59C02EF5"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3,175</w:t>
            </w:r>
          </w:p>
        </w:tc>
        <w:tc>
          <w:tcPr>
            <w:tcW w:w="851" w:type="dxa"/>
          </w:tcPr>
          <w:p w14:paraId="3CD656E1"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4.85</w:t>
            </w:r>
          </w:p>
        </w:tc>
      </w:tr>
      <w:tr w:rsidR="005C0A3A" w:rsidRPr="00494D70" w14:paraId="100E18F4" w14:textId="77777777" w:rsidTr="003012DB">
        <w:tc>
          <w:tcPr>
            <w:tcW w:w="5245" w:type="dxa"/>
          </w:tcPr>
          <w:p w14:paraId="0E642913"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Portuguese – Portugal </w:t>
            </w:r>
          </w:p>
        </w:tc>
        <w:tc>
          <w:tcPr>
            <w:tcW w:w="2126" w:type="dxa"/>
          </w:tcPr>
          <w:p w14:paraId="33886936"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1,984</w:t>
            </w:r>
          </w:p>
        </w:tc>
        <w:tc>
          <w:tcPr>
            <w:tcW w:w="851" w:type="dxa"/>
          </w:tcPr>
          <w:p w14:paraId="13391602"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3.03</w:t>
            </w:r>
          </w:p>
        </w:tc>
      </w:tr>
      <w:tr w:rsidR="005C0A3A" w:rsidRPr="00494D70" w14:paraId="5BD419E2" w14:textId="77777777" w:rsidTr="003012DB">
        <w:tc>
          <w:tcPr>
            <w:tcW w:w="5245" w:type="dxa"/>
          </w:tcPr>
          <w:p w14:paraId="07E01466"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Slovak </w:t>
            </w:r>
          </w:p>
        </w:tc>
        <w:tc>
          <w:tcPr>
            <w:tcW w:w="2126" w:type="dxa"/>
          </w:tcPr>
          <w:p w14:paraId="3A7B32AB"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1,660</w:t>
            </w:r>
          </w:p>
        </w:tc>
        <w:tc>
          <w:tcPr>
            <w:tcW w:w="851" w:type="dxa"/>
          </w:tcPr>
          <w:p w14:paraId="2353AB01"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2.54</w:t>
            </w:r>
          </w:p>
        </w:tc>
      </w:tr>
      <w:tr w:rsidR="005C0A3A" w:rsidRPr="00494D70" w14:paraId="7AF9B8B1" w14:textId="77777777" w:rsidTr="003012DB">
        <w:tc>
          <w:tcPr>
            <w:tcW w:w="5245" w:type="dxa"/>
          </w:tcPr>
          <w:p w14:paraId="72F1C8BE"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Spanish – Latin America</w:t>
            </w:r>
          </w:p>
        </w:tc>
        <w:tc>
          <w:tcPr>
            <w:tcW w:w="2126" w:type="dxa"/>
          </w:tcPr>
          <w:p w14:paraId="40AF1277"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6,767</w:t>
            </w:r>
          </w:p>
        </w:tc>
        <w:tc>
          <w:tcPr>
            <w:tcW w:w="851" w:type="dxa"/>
          </w:tcPr>
          <w:p w14:paraId="1764395F"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10.34</w:t>
            </w:r>
          </w:p>
        </w:tc>
      </w:tr>
      <w:tr w:rsidR="005C0A3A" w:rsidRPr="00494D70" w14:paraId="0B297830" w14:textId="77777777" w:rsidTr="003012DB">
        <w:tc>
          <w:tcPr>
            <w:tcW w:w="5245" w:type="dxa"/>
          </w:tcPr>
          <w:p w14:paraId="592F4D91"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 xml:space="preserve">Spanish – Spain </w:t>
            </w:r>
          </w:p>
        </w:tc>
        <w:tc>
          <w:tcPr>
            <w:tcW w:w="2126" w:type="dxa"/>
          </w:tcPr>
          <w:p w14:paraId="06BFA9D7"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1,897</w:t>
            </w:r>
          </w:p>
        </w:tc>
        <w:tc>
          <w:tcPr>
            <w:tcW w:w="851" w:type="dxa"/>
          </w:tcPr>
          <w:p w14:paraId="01E361BE"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2.90</w:t>
            </w:r>
          </w:p>
        </w:tc>
      </w:tr>
      <w:tr w:rsidR="005C0A3A" w:rsidRPr="00494D70" w14:paraId="1A61EFC5" w14:textId="77777777" w:rsidTr="003012DB">
        <w:tc>
          <w:tcPr>
            <w:tcW w:w="5245" w:type="dxa"/>
          </w:tcPr>
          <w:p w14:paraId="50F48BD3"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bCs/>
                <w:sz w:val="20"/>
                <w:szCs w:val="20"/>
              </w:rPr>
              <w:t>Turkish</w:t>
            </w:r>
          </w:p>
        </w:tc>
        <w:tc>
          <w:tcPr>
            <w:tcW w:w="2126" w:type="dxa"/>
          </w:tcPr>
          <w:p w14:paraId="50A50BF0"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638</w:t>
            </w:r>
          </w:p>
        </w:tc>
        <w:tc>
          <w:tcPr>
            <w:tcW w:w="851" w:type="dxa"/>
          </w:tcPr>
          <w:p w14:paraId="66C7CF20" w14:textId="77777777" w:rsidR="005C0A3A" w:rsidRPr="00494D70" w:rsidRDefault="005C0A3A" w:rsidP="003012DB">
            <w:pPr>
              <w:jc w:val="center"/>
              <w:rPr>
                <w:rFonts w:ascii="Times New Roman" w:hAnsi="Times New Roman" w:cs="Times New Roman"/>
                <w:b/>
                <w:sz w:val="20"/>
                <w:szCs w:val="20"/>
              </w:rPr>
            </w:pPr>
            <w:r w:rsidRPr="00494D70">
              <w:rPr>
                <w:rFonts w:ascii="Times New Roman" w:hAnsi="Times New Roman" w:cs="Times New Roman"/>
                <w:sz w:val="20"/>
                <w:szCs w:val="20"/>
              </w:rPr>
              <w:t>0.97</w:t>
            </w:r>
          </w:p>
        </w:tc>
      </w:tr>
      <w:tr w:rsidR="005C0A3A" w:rsidRPr="00494D70" w14:paraId="08138C9D" w14:textId="77777777" w:rsidTr="003012DB">
        <w:tc>
          <w:tcPr>
            <w:tcW w:w="5245" w:type="dxa"/>
          </w:tcPr>
          <w:p w14:paraId="3A3816AF" w14:textId="77777777" w:rsidR="005C0A3A" w:rsidRPr="00494D70" w:rsidRDefault="005C0A3A" w:rsidP="003012DB">
            <w:pPr>
              <w:rPr>
                <w:rFonts w:ascii="Times New Roman" w:hAnsi="Times New Roman" w:cs="Times New Roman"/>
                <w:b/>
                <w:sz w:val="20"/>
                <w:szCs w:val="20"/>
              </w:rPr>
            </w:pPr>
            <w:r w:rsidRPr="00494D70">
              <w:rPr>
                <w:rFonts w:ascii="Times New Roman" w:hAnsi="Times New Roman" w:cs="Times New Roman"/>
                <w:b/>
                <w:sz w:val="20"/>
                <w:szCs w:val="20"/>
              </w:rPr>
              <w:t>Sex assigned at birth</w:t>
            </w:r>
          </w:p>
        </w:tc>
        <w:tc>
          <w:tcPr>
            <w:tcW w:w="2126" w:type="dxa"/>
          </w:tcPr>
          <w:p w14:paraId="14CB014E" w14:textId="77777777" w:rsidR="005C0A3A" w:rsidRPr="00494D70" w:rsidRDefault="005C0A3A" w:rsidP="003012DB">
            <w:pPr>
              <w:jc w:val="center"/>
              <w:rPr>
                <w:rFonts w:ascii="Times New Roman" w:hAnsi="Times New Roman" w:cs="Times New Roman"/>
                <w:bCs/>
                <w:sz w:val="20"/>
                <w:szCs w:val="20"/>
              </w:rPr>
            </w:pPr>
          </w:p>
        </w:tc>
        <w:tc>
          <w:tcPr>
            <w:tcW w:w="851" w:type="dxa"/>
          </w:tcPr>
          <w:p w14:paraId="4AFDDCFC" w14:textId="77777777" w:rsidR="005C0A3A" w:rsidRPr="00494D70" w:rsidRDefault="005C0A3A" w:rsidP="003012DB">
            <w:pPr>
              <w:jc w:val="center"/>
              <w:rPr>
                <w:rFonts w:ascii="Times New Roman" w:hAnsi="Times New Roman" w:cs="Times New Roman"/>
                <w:bCs/>
                <w:sz w:val="20"/>
                <w:szCs w:val="20"/>
              </w:rPr>
            </w:pPr>
          </w:p>
        </w:tc>
      </w:tr>
      <w:tr w:rsidR="005C0A3A" w:rsidRPr="00494D70" w14:paraId="57727A63" w14:textId="77777777" w:rsidTr="003012DB">
        <w:tc>
          <w:tcPr>
            <w:tcW w:w="5245" w:type="dxa"/>
          </w:tcPr>
          <w:p w14:paraId="71060713" w14:textId="77777777" w:rsidR="005C0A3A" w:rsidRPr="00494D70" w:rsidRDefault="005C0A3A" w:rsidP="003012DB">
            <w:pPr>
              <w:ind w:left="314"/>
              <w:rPr>
                <w:rFonts w:ascii="Times New Roman" w:hAnsi="Times New Roman" w:cs="Times New Roman"/>
                <w:bCs/>
                <w:sz w:val="20"/>
                <w:szCs w:val="20"/>
              </w:rPr>
            </w:pPr>
            <w:r w:rsidRPr="00494D70">
              <w:rPr>
                <w:rFonts w:ascii="Times New Roman" w:hAnsi="Times New Roman" w:cs="Times New Roman"/>
                <w:bCs/>
                <w:sz w:val="20"/>
                <w:szCs w:val="20"/>
              </w:rPr>
              <w:t>Male</w:t>
            </w:r>
          </w:p>
        </w:tc>
        <w:tc>
          <w:tcPr>
            <w:tcW w:w="2126" w:type="dxa"/>
          </w:tcPr>
          <w:p w14:paraId="0F4A4BE8"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26,099</w:t>
            </w:r>
          </w:p>
        </w:tc>
        <w:tc>
          <w:tcPr>
            <w:tcW w:w="851" w:type="dxa"/>
          </w:tcPr>
          <w:p w14:paraId="304EBB41"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39.88</w:t>
            </w:r>
          </w:p>
        </w:tc>
      </w:tr>
      <w:tr w:rsidR="005C0A3A" w:rsidRPr="00494D70" w14:paraId="56454CFE" w14:textId="77777777" w:rsidTr="003012DB">
        <w:tc>
          <w:tcPr>
            <w:tcW w:w="5245" w:type="dxa"/>
          </w:tcPr>
          <w:p w14:paraId="5DCE16A2" w14:textId="77777777" w:rsidR="005C0A3A" w:rsidRPr="00494D70" w:rsidRDefault="005C0A3A" w:rsidP="003012DB">
            <w:pPr>
              <w:ind w:left="314"/>
              <w:rPr>
                <w:rFonts w:ascii="Times New Roman" w:hAnsi="Times New Roman" w:cs="Times New Roman"/>
                <w:bCs/>
                <w:sz w:val="20"/>
                <w:szCs w:val="20"/>
              </w:rPr>
            </w:pPr>
            <w:r w:rsidRPr="00494D70">
              <w:rPr>
                <w:rFonts w:ascii="Times New Roman" w:hAnsi="Times New Roman" w:cs="Times New Roman"/>
                <w:bCs/>
                <w:sz w:val="20"/>
                <w:szCs w:val="20"/>
              </w:rPr>
              <w:t>Female</w:t>
            </w:r>
          </w:p>
        </w:tc>
        <w:tc>
          <w:tcPr>
            <w:tcW w:w="2126" w:type="dxa"/>
          </w:tcPr>
          <w:p w14:paraId="4647298E"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39,340</w:t>
            </w:r>
          </w:p>
        </w:tc>
        <w:tc>
          <w:tcPr>
            <w:tcW w:w="851" w:type="dxa"/>
          </w:tcPr>
          <w:p w14:paraId="33120B39"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60.11</w:t>
            </w:r>
          </w:p>
        </w:tc>
      </w:tr>
      <w:tr w:rsidR="005C0A3A" w:rsidRPr="00494D70" w14:paraId="066AADEE" w14:textId="77777777" w:rsidTr="003012DB">
        <w:tc>
          <w:tcPr>
            <w:tcW w:w="5245" w:type="dxa"/>
          </w:tcPr>
          <w:p w14:paraId="3BA78A75" w14:textId="374B9756" w:rsidR="005C0A3A" w:rsidRPr="00494D70" w:rsidRDefault="005C0A3A" w:rsidP="003012DB">
            <w:pPr>
              <w:rPr>
                <w:rFonts w:ascii="Times New Roman" w:hAnsi="Times New Roman" w:cs="Times New Roman"/>
                <w:b/>
                <w:sz w:val="20"/>
                <w:szCs w:val="20"/>
              </w:rPr>
            </w:pPr>
            <w:r w:rsidRPr="00494D70">
              <w:rPr>
                <w:rFonts w:ascii="Times New Roman" w:hAnsi="Times New Roman" w:cs="Times New Roman"/>
                <w:b/>
                <w:sz w:val="20"/>
                <w:szCs w:val="20"/>
              </w:rPr>
              <w:t xml:space="preserve">Gender </w:t>
            </w:r>
            <w:r w:rsidR="00F3636B" w:rsidRPr="00494D70">
              <w:rPr>
                <w:rFonts w:ascii="Times New Roman" w:hAnsi="Times New Roman" w:cs="Times New Roman"/>
                <w:b/>
                <w:sz w:val="20"/>
                <w:szCs w:val="20"/>
              </w:rPr>
              <w:t xml:space="preserve">identity </w:t>
            </w:r>
            <w:r w:rsidRPr="00494D70">
              <w:rPr>
                <w:rFonts w:ascii="Times New Roman" w:hAnsi="Times New Roman" w:cs="Times New Roman"/>
                <w:b/>
                <w:sz w:val="20"/>
                <w:szCs w:val="20"/>
              </w:rPr>
              <w:t>(original answer options in the survey)</w:t>
            </w:r>
          </w:p>
        </w:tc>
        <w:tc>
          <w:tcPr>
            <w:tcW w:w="2126" w:type="dxa"/>
          </w:tcPr>
          <w:p w14:paraId="257790B5" w14:textId="77777777" w:rsidR="005C0A3A" w:rsidRPr="00494D70" w:rsidRDefault="005C0A3A" w:rsidP="003012DB">
            <w:pPr>
              <w:jc w:val="center"/>
              <w:rPr>
                <w:rFonts w:ascii="Times New Roman" w:hAnsi="Times New Roman" w:cs="Times New Roman"/>
                <w:bCs/>
                <w:sz w:val="20"/>
                <w:szCs w:val="20"/>
              </w:rPr>
            </w:pPr>
          </w:p>
        </w:tc>
        <w:tc>
          <w:tcPr>
            <w:tcW w:w="851" w:type="dxa"/>
          </w:tcPr>
          <w:p w14:paraId="76F7404C" w14:textId="77777777" w:rsidR="005C0A3A" w:rsidRPr="00494D70" w:rsidRDefault="005C0A3A" w:rsidP="003012DB">
            <w:pPr>
              <w:jc w:val="center"/>
              <w:rPr>
                <w:rFonts w:ascii="Times New Roman" w:hAnsi="Times New Roman" w:cs="Times New Roman"/>
                <w:bCs/>
                <w:sz w:val="20"/>
                <w:szCs w:val="20"/>
              </w:rPr>
            </w:pPr>
          </w:p>
        </w:tc>
      </w:tr>
      <w:tr w:rsidR="005C0A3A" w:rsidRPr="00494D70" w14:paraId="2CB6EEBB" w14:textId="77777777" w:rsidTr="003012DB">
        <w:tc>
          <w:tcPr>
            <w:tcW w:w="5245" w:type="dxa"/>
            <w:vAlign w:val="center"/>
          </w:tcPr>
          <w:p w14:paraId="459F42ED" w14:textId="77777777" w:rsidR="005C0A3A" w:rsidRPr="00494D70" w:rsidRDefault="005C0A3A" w:rsidP="003012DB">
            <w:pPr>
              <w:ind w:left="311"/>
              <w:rPr>
                <w:rFonts w:ascii="Times New Roman" w:hAnsi="Times New Roman" w:cs="Times New Roman"/>
                <w:bCs/>
                <w:sz w:val="20"/>
                <w:szCs w:val="20"/>
              </w:rPr>
            </w:pPr>
            <w:r w:rsidRPr="00494D70">
              <w:rPr>
                <w:rFonts w:ascii="Times New Roman" w:eastAsia="Times New Roman" w:hAnsi="Times New Roman" w:cs="Times New Roman"/>
                <w:color w:val="000000"/>
                <w:sz w:val="20"/>
                <w:szCs w:val="20"/>
                <w:lang w:eastAsia="en-CA"/>
              </w:rPr>
              <w:t xml:space="preserve">Masculine/Man </w:t>
            </w:r>
          </w:p>
        </w:tc>
        <w:tc>
          <w:tcPr>
            <w:tcW w:w="2126" w:type="dxa"/>
          </w:tcPr>
          <w:p w14:paraId="09D7522C"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25,617</w:t>
            </w:r>
          </w:p>
        </w:tc>
        <w:tc>
          <w:tcPr>
            <w:tcW w:w="851" w:type="dxa"/>
          </w:tcPr>
          <w:p w14:paraId="24780DD2"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39.14</w:t>
            </w:r>
          </w:p>
        </w:tc>
      </w:tr>
      <w:tr w:rsidR="005C0A3A" w:rsidRPr="00494D70" w14:paraId="03BFDE42" w14:textId="77777777" w:rsidTr="003012DB">
        <w:tc>
          <w:tcPr>
            <w:tcW w:w="5245" w:type="dxa"/>
            <w:vAlign w:val="center"/>
          </w:tcPr>
          <w:p w14:paraId="00F153AE" w14:textId="77777777" w:rsidR="005C0A3A" w:rsidRPr="00494D70" w:rsidRDefault="005C0A3A" w:rsidP="003012DB">
            <w:pPr>
              <w:ind w:left="311"/>
              <w:rPr>
                <w:rFonts w:ascii="Times New Roman" w:hAnsi="Times New Roman" w:cs="Times New Roman"/>
                <w:bCs/>
                <w:sz w:val="20"/>
                <w:szCs w:val="20"/>
              </w:rPr>
            </w:pPr>
            <w:r w:rsidRPr="00494D70">
              <w:rPr>
                <w:rFonts w:ascii="Times New Roman" w:eastAsia="Times New Roman" w:hAnsi="Times New Roman" w:cs="Times New Roman"/>
                <w:color w:val="000000"/>
                <w:sz w:val="20"/>
                <w:szCs w:val="20"/>
                <w:lang w:eastAsia="en-CA"/>
              </w:rPr>
              <w:t>Feminine/Woman</w:t>
            </w:r>
          </w:p>
        </w:tc>
        <w:tc>
          <w:tcPr>
            <w:tcW w:w="2126" w:type="dxa"/>
          </w:tcPr>
          <w:p w14:paraId="4523E239"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38,010</w:t>
            </w:r>
          </w:p>
        </w:tc>
        <w:tc>
          <w:tcPr>
            <w:tcW w:w="851" w:type="dxa"/>
          </w:tcPr>
          <w:p w14:paraId="0CAA7E67"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58.08</w:t>
            </w:r>
          </w:p>
        </w:tc>
      </w:tr>
      <w:tr w:rsidR="005C0A3A" w:rsidRPr="00494D70" w14:paraId="40A0FE21" w14:textId="77777777" w:rsidTr="003012DB">
        <w:tc>
          <w:tcPr>
            <w:tcW w:w="5245" w:type="dxa"/>
            <w:vAlign w:val="center"/>
          </w:tcPr>
          <w:p w14:paraId="72BE3D3A" w14:textId="77777777" w:rsidR="005C0A3A" w:rsidRPr="00494D70" w:rsidRDefault="005C0A3A" w:rsidP="003012DB">
            <w:pPr>
              <w:ind w:left="311"/>
              <w:rPr>
                <w:rFonts w:ascii="Times New Roman" w:hAnsi="Times New Roman" w:cs="Times New Roman"/>
                <w:bCs/>
                <w:sz w:val="20"/>
                <w:szCs w:val="20"/>
              </w:rPr>
            </w:pPr>
            <w:r w:rsidRPr="00494D70">
              <w:rPr>
                <w:rFonts w:ascii="Times New Roman" w:eastAsia="Times New Roman" w:hAnsi="Times New Roman" w:cs="Times New Roman"/>
                <w:color w:val="000000"/>
                <w:sz w:val="20"/>
                <w:szCs w:val="20"/>
                <w:lang w:eastAsia="en-CA"/>
              </w:rPr>
              <w:t>Indigenous or other cultural gender minority identity (e.g., two-spirit)</w:t>
            </w:r>
          </w:p>
        </w:tc>
        <w:tc>
          <w:tcPr>
            <w:tcW w:w="2126" w:type="dxa"/>
          </w:tcPr>
          <w:p w14:paraId="073FBD34"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121</w:t>
            </w:r>
          </w:p>
        </w:tc>
        <w:tc>
          <w:tcPr>
            <w:tcW w:w="851" w:type="dxa"/>
          </w:tcPr>
          <w:p w14:paraId="334A335B"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0.18</w:t>
            </w:r>
          </w:p>
        </w:tc>
      </w:tr>
      <w:tr w:rsidR="005C0A3A" w:rsidRPr="00494D70" w14:paraId="2DB9400F" w14:textId="77777777" w:rsidTr="003012DB">
        <w:tc>
          <w:tcPr>
            <w:tcW w:w="5245" w:type="dxa"/>
            <w:vAlign w:val="center"/>
          </w:tcPr>
          <w:p w14:paraId="7B420A2E" w14:textId="77777777" w:rsidR="005C0A3A" w:rsidRPr="00494D70" w:rsidRDefault="005C0A3A" w:rsidP="003012DB">
            <w:pPr>
              <w:ind w:left="311"/>
              <w:rPr>
                <w:rFonts w:ascii="Times New Roman" w:hAnsi="Times New Roman" w:cs="Times New Roman"/>
                <w:bCs/>
                <w:sz w:val="20"/>
                <w:szCs w:val="20"/>
              </w:rPr>
            </w:pPr>
            <w:r w:rsidRPr="00494D70">
              <w:rPr>
                <w:rFonts w:ascii="Times New Roman" w:eastAsia="Times New Roman" w:hAnsi="Times New Roman" w:cs="Times New Roman"/>
                <w:color w:val="000000"/>
                <w:sz w:val="20"/>
                <w:szCs w:val="20"/>
                <w:lang w:eastAsia="en-CA"/>
              </w:rPr>
              <w:t>Non-binary, gender fluid, or something else (e.g., genderqueer)</w:t>
            </w:r>
          </w:p>
        </w:tc>
        <w:tc>
          <w:tcPr>
            <w:tcW w:w="2126" w:type="dxa"/>
          </w:tcPr>
          <w:p w14:paraId="2F8D90E1"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1491</w:t>
            </w:r>
          </w:p>
        </w:tc>
        <w:tc>
          <w:tcPr>
            <w:tcW w:w="851" w:type="dxa"/>
          </w:tcPr>
          <w:p w14:paraId="64FBDF7A"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2.28</w:t>
            </w:r>
          </w:p>
        </w:tc>
      </w:tr>
      <w:tr w:rsidR="005C0A3A" w:rsidRPr="00494D70" w14:paraId="4F9D29A4" w14:textId="77777777" w:rsidTr="003012DB">
        <w:tc>
          <w:tcPr>
            <w:tcW w:w="5245" w:type="dxa"/>
            <w:vAlign w:val="center"/>
          </w:tcPr>
          <w:p w14:paraId="36DB5924" w14:textId="77777777" w:rsidR="005C0A3A" w:rsidRPr="00494D70" w:rsidRDefault="005C0A3A" w:rsidP="003012DB">
            <w:pPr>
              <w:ind w:left="311"/>
              <w:rPr>
                <w:rFonts w:ascii="Times New Roman" w:hAnsi="Times New Roman" w:cs="Times New Roman"/>
                <w:bCs/>
                <w:sz w:val="20"/>
                <w:szCs w:val="20"/>
              </w:rPr>
            </w:pPr>
            <w:r w:rsidRPr="00494D70">
              <w:rPr>
                <w:rFonts w:ascii="Times New Roman" w:eastAsia="Times New Roman" w:hAnsi="Times New Roman" w:cs="Times New Roman"/>
                <w:color w:val="000000"/>
                <w:sz w:val="20"/>
                <w:szCs w:val="20"/>
                <w:lang w:eastAsia="en-CA"/>
              </w:rPr>
              <w:t>Other</w:t>
            </w:r>
          </w:p>
        </w:tc>
        <w:tc>
          <w:tcPr>
            <w:tcW w:w="2126" w:type="dxa"/>
          </w:tcPr>
          <w:p w14:paraId="17F77DD1"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184</w:t>
            </w:r>
          </w:p>
        </w:tc>
        <w:tc>
          <w:tcPr>
            <w:tcW w:w="851" w:type="dxa"/>
          </w:tcPr>
          <w:p w14:paraId="0CA27633"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0.28</w:t>
            </w:r>
          </w:p>
        </w:tc>
      </w:tr>
      <w:tr w:rsidR="005C0A3A" w:rsidRPr="00494D70" w14:paraId="735CFCA1" w14:textId="77777777" w:rsidTr="003012DB">
        <w:tc>
          <w:tcPr>
            <w:tcW w:w="5245" w:type="dxa"/>
          </w:tcPr>
          <w:p w14:paraId="5B534B5F" w14:textId="52BACAFD" w:rsidR="005C0A3A" w:rsidRPr="00494D70" w:rsidRDefault="005C0A3A" w:rsidP="003012DB">
            <w:pPr>
              <w:rPr>
                <w:rFonts w:ascii="Times New Roman" w:eastAsia="Times New Roman" w:hAnsi="Times New Roman" w:cs="Times New Roman"/>
                <w:color w:val="000000"/>
                <w:sz w:val="20"/>
                <w:szCs w:val="20"/>
                <w:lang w:eastAsia="en-CA"/>
              </w:rPr>
            </w:pPr>
            <w:r w:rsidRPr="00494D70">
              <w:rPr>
                <w:rFonts w:ascii="Times New Roman" w:hAnsi="Times New Roman" w:cs="Times New Roman"/>
                <w:b/>
                <w:sz w:val="20"/>
                <w:szCs w:val="20"/>
              </w:rPr>
              <w:t>Gender</w:t>
            </w:r>
            <w:r w:rsidR="00F3636B" w:rsidRPr="00494D70">
              <w:rPr>
                <w:rFonts w:ascii="Times New Roman" w:hAnsi="Times New Roman" w:cs="Times New Roman"/>
                <w:b/>
                <w:sz w:val="20"/>
                <w:szCs w:val="20"/>
              </w:rPr>
              <w:t xml:space="preserve"> identity</w:t>
            </w:r>
            <w:r w:rsidRPr="00494D70">
              <w:rPr>
                <w:rFonts w:ascii="Times New Roman" w:hAnsi="Times New Roman" w:cs="Times New Roman"/>
                <w:b/>
                <w:sz w:val="20"/>
                <w:szCs w:val="20"/>
              </w:rPr>
              <w:t xml:space="preserve"> (categories used in the analyses)</w:t>
            </w:r>
          </w:p>
        </w:tc>
        <w:tc>
          <w:tcPr>
            <w:tcW w:w="2126" w:type="dxa"/>
          </w:tcPr>
          <w:p w14:paraId="257F70B4" w14:textId="77777777" w:rsidR="005C0A3A" w:rsidRPr="00494D70" w:rsidRDefault="005C0A3A" w:rsidP="003012DB">
            <w:pPr>
              <w:jc w:val="center"/>
              <w:rPr>
                <w:rFonts w:ascii="Times New Roman" w:hAnsi="Times New Roman" w:cs="Times New Roman"/>
                <w:sz w:val="20"/>
                <w:szCs w:val="20"/>
              </w:rPr>
            </w:pPr>
          </w:p>
        </w:tc>
        <w:tc>
          <w:tcPr>
            <w:tcW w:w="851" w:type="dxa"/>
          </w:tcPr>
          <w:p w14:paraId="2513602A" w14:textId="77777777" w:rsidR="005C0A3A" w:rsidRPr="00494D70" w:rsidRDefault="005C0A3A" w:rsidP="003012DB">
            <w:pPr>
              <w:jc w:val="center"/>
              <w:rPr>
                <w:rFonts w:ascii="Times New Roman" w:hAnsi="Times New Roman" w:cs="Times New Roman"/>
                <w:sz w:val="20"/>
                <w:szCs w:val="20"/>
              </w:rPr>
            </w:pPr>
          </w:p>
        </w:tc>
      </w:tr>
      <w:tr w:rsidR="005C0A3A" w:rsidRPr="00494D70" w14:paraId="4539E04D" w14:textId="77777777" w:rsidTr="003012DB">
        <w:tc>
          <w:tcPr>
            <w:tcW w:w="5245" w:type="dxa"/>
            <w:vAlign w:val="center"/>
          </w:tcPr>
          <w:p w14:paraId="5154905E" w14:textId="77777777" w:rsidR="005C0A3A" w:rsidRPr="00494D70" w:rsidRDefault="005C0A3A" w:rsidP="003012DB">
            <w:pPr>
              <w:ind w:left="311"/>
              <w:rPr>
                <w:rFonts w:ascii="Times New Roman" w:eastAsia="Times New Roman" w:hAnsi="Times New Roman" w:cs="Times New Roman"/>
                <w:color w:val="000000"/>
                <w:sz w:val="20"/>
                <w:szCs w:val="20"/>
                <w:lang w:eastAsia="en-CA"/>
              </w:rPr>
            </w:pPr>
            <w:r w:rsidRPr="00494D70">
              <w:rPr>
                <w:rFonts w:ascii="Times New Roman" w:eastAsia="Times New Roman" w:hAnsi="Times New Roman" w:cs="Times New Roman"/>
                <w:color w:val="000000"/>
                <w:sz w:val="20"/>
                <w:szCs w:val="20"/>
                <w:lang w:eastAsia="en-CA"/>
              </w:rPr>
              <w:t xml:space="preserve">Man </w:t>
            </w:r>
          </w:p>
        </w:tc>
        <w:tc>
          <w:tcPr>
            <w:tcW w:w="2126" w:type="dxa"/>
          </w:tcPr>
          <w:p w14:paraId="343344EF"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25,617</w:t>
            </w:r>
          </w:p>
        </w:tc>
        <w:tc>
          <w:tcPr>
            <w:tcW w:w="851" w:type="dxa"/>
          </w:tcPr>
          <w:p w14:paraId="2DE8560C"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39.14</w:t>
            </w:r>
          </w:p>
        </w:tc>
      </w:tr>
      <w:tr w:rsidR="005C0A3A" w:rsidRPr="00494D70" w14:paraId="7E9C6225" w14:textId="77777777" w:rsidTr="003012DB">
        <w:tc>
          <w:tcPr>
            <w:tcW w:w="5245" w:type="dxa"/>
            <w:vAlign w:val="center"/>
          </w:tcPr>
          <w:p w14:paraId="585ED0EC" w14:textId="77777777" w:rsidR="005C0A3A" w:rsidRPr="00494D70" w:rsidRDefault="005C0A3A" w:rsidP="003012DB">
            <w:pPr>
              <w:ind w:left="311"/>
              <w:rPr>
                <w:rFonts w:ascii="Times New Roman" w:eastAsia="Times New Roman" w:hAnsi="Times New Roman" w:cs="Times New Roman"/>
                <w:color w:val="000000"/>
                <w:sz w:val="20"/>
                <w:szCs w:val="20"/>
                <w:lang w:eastAsia="en-CA"/>
              </w:rPr>
            </w:pPr>
            <w:r w:rsidRPr="00494D70">
              <w:rPr>
                <w:rFonts w:ascii="Times New Roman" w:eastAsia="Times New Roman" w:hAnsi="Times New Roman" w:cs="Times New Roman"/>
                <w:color w:val="000000"/>
                <w:sz w:val="20"/>
                <w:szCs w:val="20"/>
                <w:lang w:eastAsia="en-CA"/>
              </w:rPr>
              <w:t>Woman</w:t>
            </w:r>
          </w:p>
        </w:tc>
        <w:tc>
          <w:tcPr>
            <w:tcW w:w="2126" w:type="dxa"/>
          </w:tcPr>
          <w:p w14:paraId="4881DD9A"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38,010</w:t>
            </w:r>
          </w:p>
        </w:tc>
        <w:tc>
          <w:tcPr>
            <w:tcW w:w="851" w:type="dxa"/>
          </w:tcPr>
          <w:p w14:paraId="391F3E0E"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58.08</w:t>
            </w:r>
          </w:p>
        </w:tc>
      </w:tr>
      <w:tr w:rsidR="005C0A3A" w:rsidRPr="00494D70" w14:paraId="3C6776CB" w14:textId="77777777" w:rsidTr="003012DB">
        <w:tc>
          <w:tcPr>
            <w:tcW w:w="5245" w:type="dxa"/>
            <w:vAlign w:val="center"/>
          </w:tcPr>
          <w:p w14:paraId="506E1515" w14:textId="77777777" w:rsidR="005C0A3A" w:rsidRPr="00494D70" w:rsidRDefault="005C0A3A" w:rsidP="003012DB">
            <w:pPr>
              <w:ind w:left="311"/>
              <w:rPr>
                <w:rFonts w:ascii="Times New Roman" w:eastAsia="Times New Roman" w:hAnsi="Times New Roman" w:cs="Times New Roman"/>
                <w:color w:val="000000"/>
                <w:sz w:val="20"/>
                <w:szCs w:val="20"/>
                <w:lang w:eastAsia="en-CA"/>
              </w:rPr>
            </w:pPr>
            <w:r w:rsidRPr="00494D70">
              <w:rPr>
                <w:rFonts w:ascii="Times New Roman" w:eastAsia="Times New Roman" w:hAnsi="Times New Roman" w:cs="Times New Roman"/>
                <w:color w:val="000000"/>
                <w:sz w:val="20"/>
                <w:szCs w:val="20"/>
                <w:lang w:eastAsia="en-CA"/>
              </w:rPr>
              <w:t>Gender-diverse individuals</w:t>
            </w:r>
          </w:p>
        </w:tc>
        <w:tc>
          <w:tcPr>
            <w:tcW w:w="2126" w:type="dxa"/>
          </w:tcPr>
          <w:p w14:paraId="2A2BB959"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1,796</w:t>
            </w:r>
          </w:p>
        </w:tc>
        <w:tc>
          <w:tcPr>
            <w:tcW w:w="851" w:type="dxa"/>
          </w:tcPr>
          <w:p w14:paraId="6A724254"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2.74</w:t>
            </w:r>
          </w:p>
        </w:tc>
      </w:tr>
      <w:tr w:rsidR="005C0A3A" w:rsidRPr="00494D70" w14:paraId="59B8673E" w14:textId="77777777" w:rsidTr="003012DB">
        <w:tc>
          <w:tcPr>
            <w:tcW w:w="5245" w:type="dxa"/>
            <w:vAlign w:val="center"/>
          </w:tcPr>
          <w:p w14:paraId="68452143" w14:textId="77777777" w:rsidR="005C0A3A" w:rsidRPr="00494D70" w:rsidRDefault="005C0A3A" w:rsidP="003012DB">
            <w:pPr>
              <w:ind w:left="30"/>
              <w:rPr>
                <w:rFonts w:ascii="Times New Roman" w:eastAsia="Times New Roman" w:hAnsi="Times New Roman" w:cs="Times New Roman"/>
                <w:b/>
                <w:bCs/>
                <w:color w:val="000000"/>
                <w:sz w:val="20"/>
                <w:szCs w:val="20"/>
                <w:lang w:eastAsia="en-CA"/>
              </w:rPr>
            </w:pPr>
            <w:r w:rsidRPr="00494D70">
              <w:rPr>
                <w:rFonts w:ascii="Times New Roman" w:eastAsia="Times New Roman" w:hAnsi="Times New Roman" w:cs="Times New Roman"/>
                <w:b/>
                <w:bCs/>
                <w:color w:val="000000"/>
                <w:sz w:val="20"/>
                <w:szCs w:val="20"/>
                <w:lang w:eastAsia="en-CA"/>
              </w:rPr>
              <w:t>Trans status</w:t>
            </w:r>
          </w:p>
        </w:tc>
        <w:tc>
          <w:tcPr>
            <w:tcW w:w="2126" w:type="dxa"/>
          </w:tcPr>
          <w:p w14:paraId="3F19E72C" w14:textId="77777777" w:rsidR="005C0A3A" w:rsidRPr="00494D70" w:rsidRDefault="005C0A3A" w:rsidP="003012DB">
            <w:pPr>
              <w:jc w:val="center"/>
              <w:rPr>
                <w:rFonts w:ascii="Times New Roman" w:hAnsi="Times New Roman" w:cs="Times New Roman"/>
                <w:sz w:val="20"/>
                <w:szCs w:val="20"/>
              </w:rPr>
            </w:pPr>
          </w:p>
        </w:tc>
        <w:tc>
          <w:tcPr>
            <w:tcW w:w="851" w:type="dxa"/>
          </w:tcPr>
          <w:p w14:paraId="5FC66909" w14:textId="77777777" w:rsidR="005C0A3A" w:rsidRPr="00494D70" w:rsidRDefault="005C0A3A" w:rsidP="003012DB">
            <w:pPr>
              <w:jc w:val="center"/>
              <w:rPr>
                <w:rFonts w:ascii="Times New Roman" w:hAnsi="Times New Roman" w:cs="Times New Roman"/>
                <w:sz w:val="20"/>
                <w:szCs w:val="20"/>
              </w:rPr>
            </w:pPr>
          </w:p>
        </w:tc>
      </w:tr>
      <w:tr w:rsidR="005C0A3A" w:rsidRPr="00494D70" w14:paraId="77B17217" w14:textId="77777777" w:rsidTr="003012DB">
        <w:tc>
          <w:tcPr>
            <w:tcW w:w="5245" w:type="dxa"/>
          </w:tcPr>
          <w:p w14:paraId="125DA1B9" w14:textId="77777777" w:rsidR="005C0A3A" w:rsidRPr="00494D70" w:rsidRDefault="005C0A3A" w:rsidP="003012DB">
            <w:pPr>
              <w:ind w:left="311"/>
              <w:rPr>
                <w:rFonts w:ascii="Times New Roman" w:eastAsia="Times New Roman" w:hAnsi="Times New Roman" w:cs="Times New Roman"/>
                <w:color w:val="000000"/>
                <w:sz w:val="20"/>
                <w:szCs w:val="20"/>
                <w:lang w:eastAsia="en-CA"/>
              </w:rPr>
            </w:pPr>
            <w:r w:rsidRPr="00494D70">
              <w:rPr>
                <w:rFonts w:ascii="Times New Roman" w:eastAsia="Times New Roman" w:hAnsi="Times New Roman" w:cs="Times New Roman"/>
                <w:color w:val="000000"/>
                <w:sz w:val="20"/>
                <w:szCs w:val="20"/>
                <w:lang w:eastAsia="en-CA"/>
              </w:rPr>
              <w:t>No, I am not a trans person</w:t>
            </w:r>
          </w:p>
        </w:tc>
        <w:tc>
          <w:tcPr>
            <w:tcW w:w="2126" w:type="dxa"/>
          </w:tcPr>
          <w:p w14:paraId="2D11F4C6"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63,607</w:t>
            </w:r>
          </w:p>
        </w:tc>
        <w:tc>
          <w:tcPr>
            <w:tcW w:w="851" w:type="dxa"/>
          </w:tcPr>
          <w:p w14:paraId="24E81D1C"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97.19</w:t>
            </w:r>
          </w:p>
        </w:tc>
      </w:tr>
      <w:tr w:rsidR="005C0A3A" w:rsidRPr="00494D70" w14:paraId="245E0125" w14:textId="77777777" w:rsidTr="003012DB">
        <w:tc>
          <w:tcPr>
            <w:tcW w:w="5245" w:type="dxa"/>
          </w:tcPr>
          <w:p w14:paraId="6D72E206" w14:textId="77777777" w:rsidR="005C0A3A" w:rsidRPr="00494D70" w:rsidRDefault="005C0A3A" w:rsidP="003012DB">
            <w:pPr>
              <w:ind w:left="311"/>
              <w:rPr>
                <w:rFonts w:ascii="Times New Roman" w:eastAsia="Times New Roman" w:hAnsi="Times New Roman" w:cs="Times New Roman"/>
                <w:color w:val="000000"/>
                <w:sz w:val="20"/>
                <w:szCs w:val="20"/>
                <w:lang w:eastAsia="en-CA"/>
              </w:rPr>
            </w:pPr>
            <w:r w:rsidRPr="00494D70">
              <w:rPr>
                <w:rFonts w:ascii="Times New Roman" w:eastAsia="Times New Roman" w:hAnsi="Times New Roman" w:cs="Times New Roman"/>
                <w:color w:val="000000"/>
                <w:sz w:val="20"/>
                <w:szCs w:val="20"/>
                <w:lang w:eastAsia="en-CA"/>
              </w:rPr>
              <w:t>Yes, I am a trans man</w:t>
            </w:r>
          </w:p>
        </w:tc>
        <w:tc>
          <w:tcPr>
            <w:tcW w:w="2126" w:type="dxa"/>
          </w:tcPr>
          <w:p w14:paraId="6B56022E"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238</w:t>
            </w:r>
          </w:p>
        </w:tc>
        <w:tc>
          <w:tcPr>
            <w:tcW w:w="851" w:type="dxa"/>
          </w:tcPr>
          <w:p w14:paraId="5D9E7E3E"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0.36</w:t>
            </w:r>
          </w:p>
        </w:tc>
      </w:tr>
      <w:tr w:rsidR="005C0A3A" w:rsidRPr="00494D70" w14:paraId="2B6BCFCD" w14:textId="77777777" w:rsidTr="003012DB">
        <w:tc>
          <w:tcPr>
            <w:tcW w:w="5245" w:type="dxa"/>
          </w:tcPr>
          <w:p w14:paraId="455E9C24" w14:textId="77777777" w:rsidR="005C0A3A" w:rsidRPr="00494D70" w:rsidRDefault="005C0A3A" w:rsidP="003012DB">
            <w:pPr>
              <w:ind w:left="311"/>
              <w:rPr>
                <w:rFonts w:ascii="Times New Roman" w:eastAsia="Times New Roman" w:hAnsi="Times New Roman" w:cs="Times New Roman"/>
                <w:color w:val="000000"/>
                <w:sz w:val="20"/>
                <w:szCs w:val="20"/>
                <w:lang w:eastAsia="en-CA"/>
              </w:rPr>
            </w:pPr>
            <w:r w:rsidRPr="00494D70">
              <w:rPr>
                <w:rFonts w:ascii="Times New Roman" w:eastAsia="Times New Roman" w:hAnsi="Times New Roman" w:cs="Times New Roman"/>
                <w:color w:val="000000"/>
                <w:sz w:val="20"/>
                <w:szCs w:val="20"/>
                <w:lang w:eastAsia="en-CA"/>
              </w:rPr>
              <w:t>Yes, I am a trans woman</w:t>
            </w:r>
          </w:p>
        </w:tc>
        <w:tc>
          <w:tcPr>
            <w:tcW w:w="2126" w:type="dxa"/>
          </w:tcPr>
          <w:p w14:paraId="5998F7A7"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195</w:t>
            </w:r>
          </w:p>
        </w:tc>
        <w:tc>
          <w:tcPr>
            <w:tcW w:w="851" w:type="dxa"/>
          </w:tcPr>
          <w:p w14:paraId="5C61B50E"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0.30</w:t>
            </w:r>
          </w:p>
        </w:tc>
      </w:tr>
      <w:tr w:rsidR="005C0A3A" w:rsidRPr="00494D70" w14:paraId="367F8374" w14:textId="77777777" w:rsidTr="003012DB">
        <w:tc>
          <w:tcPr>
            <w:tcW w:w="5245" w:type="dxa"/>
          </w:tcPr>
          <w:p w14:paraId="620FACA9" w14:textId="77777777" w:rsidR="005C0A3A" w:rsidRPr="00494D70" w:rsidRDefault="005C0A3A" w:rsidP="003012DB">
            <w:pPr>
              <w:ind w:left="311"/>
              <w:rPr>
                <w:rFonts w:ascii="Times New Roman" w:eastAsia="Times New Roman" w:hAnsi="Times New Roman" w:cs="Times New Roman"/>
                <w:color w:val="000000"/>
                <w:sz w:val="20"/>
                <w:szCs w:val="20"/>
                <w:lang w:eastAsia="en-CA"/>
              </w:rPr>
            </w:pPr>
            <w:r w:rsidRPr="00494D70">
              <w:rPr>
                <w:rFonts w:ascii="Times New Roman" w:eastAsia="Times New Roman" w:hAnsi="Times New Roman" w:cs="Times New Roman"/>
                <w:color w:val="000000"/>
                <w:sz w:val="20"/>
                <w:szCs w:val="20"/>
                <w:lang w:eastAsia="en-CA"/>
              </w:rPr>
              <w:t>Yes, I am a non-binary trans person</w:t>
            </w:r>
          </w:p>
        </w:tc>
        <w:tc>
          <w:tcPr>
            <w:tcW w:w="2126" w:type="dxa"/>
          </w:tcPr>
          <w:p w14:paraId="0E5FAA49"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550</w:t>
            </w:r>
          </w:p>
        </w:tc>
        <w:tc>
          <w:tcPr>
            <w:tcW w:w="851" w:type="dxa"/>
          </w:tcPr>
          <w:p w14:paraId="071472A9"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0.84</w:t>
            </w:r>
          </w:p>
        </w:tc>
      </w:tr>
      <w:tr w:rsidR="005C0A3A" w:rsidRPr="00494D70" w14:paraId="43F9D144" w14:textId="77777777" w:rsidTr="003012DB">
        <w:tc>
          <w:tcPr>
            <w:tcW w:w="5245" w:type="dxa"/>
          </w:tcPr>
          <w:p w14:paraId="54E2CC9C" w14:textId="77777777" w:rsidR="005C0A3A" w:rsidRPr="00494D70" w:rsidRDefault="005C0A3A" w:rsidP="003012DB">
            <w:pPr>
              <w:ind w:left="311"/>
              <w:rPr>
                <w:rFonts w:ascii="Times New Roman" w:eastAsia="Times New Roman" w:hAnsi="Times New Roman" w:cs="Times New Roman"/>
                <w:color w:val="000000"/>
                <w:sz w:val="20"/>
                <w:szCs w:val="20"/>
                <w:lang w:eastAsia="en-CA"/>
              </w:rPr>
            </w:pPr>
            <w:r w:rsidRPr="00494D70">
              <w:rPr>
                <w:rFonts w:ascii="Times New Roman" w:eastAsia="Times New Roman" w:hAnsi="Times New Roman" w:cs="Times New Roman"/>
                <w:color w:val="000000"/>
                <w:sz w:val="20"/>
                <w:szCs w:val="20"/>
                <w:lang w:eastAsia="en-CA"/>
              </w:rPr>
              <w:t>I am questioning my gender identity</w:t>
            </w:r>
          </w:p>
        </w:tc>
        <w:tc>
          <w:tcPr>
            <w:tcW w:w="2126" w:type="dxa"/>
          </w:tcPr>
          <w:p w14:paraId="1BD063DA"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684</w:t>
            </w:r>
          </w:p>
        </w:tc>
        <w:tc>
          <w:tcPr>
            <w:tcW w:w="851" w:type="dxa"/>
          </w:tcPr>
          <w:p w14:paraId="24935A3E"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1.05</w:t>
            </w:r>
          </w:p>
        </w:tc>
      </w:tr>
      <w:tr w:rsidR="005C0A3A" w:rsidRPr="00494D70" w14:paraId="13F28689" w14:textId="77777777" w:rsidTr="003012DB">
        <w:tc>
          <w:tcPr>
            <w:tcW w:w="5245" w:type="dxa"/>
          </w:tcPr>
          <w:p w14:paraId="61DE0840" w14:textId="77777777" w:rsidR="005C0A3A" w:rsidRPr="00494D70" w:rsidRDefault="005C0A3A" w:rsidP="003012DB">
            <w:pPr>
              <w:ind w:left="311"/>
              <w:rPr>
                <w:rFonts w:ascii="Times New Roman" w:eastAsia="Times New Roman" w:hAnsi="Times New Roman" w:cs="Times New Roman"/>
                <w:color w:val="000000"/>
                <w:sz w:val="20"/>
                <w:szCs w:val="20"/>
                <w:lang w:eastAsia="en-CA"/>
              </w:rPr>
            </w:pPr>
            <w:r w:rsidRPr="00494D70">
              <w:rPr>
                <w:rFonts w:ascii="Times New Roman" w:eastAsia="Times New Roman" w:hAnsi="Times New Roman" w:cs="Times New Roman"/>
                <w:color w:val="000000"/>
                <w:sz w:val="20"/>
                <w:szCs w:val="20"/>
                <w:lang w:eastAsia="en-CA"/>
              </w:rPr>
              <w:t>I don’t know what it means</w:t>
            </w:r>
          </w:p>
        </w:tc>
        <w:tc>
          <w:tcPr>
            <w:tcW w:w="2126" w:type="dxa"/>
          </w:tcPr>
          <w:p w14:paraId="1DEF6455"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156</w:t>
            </w:r>
          </w:p>
        </w:tc>
        <w:tc>
          <w:tcPr>
            <w:tcW w:w="851" w:type="dxa"/>
          </w:tcPr>
          <w:p w14:paraId="03E8C5A2"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0.24</w:t>
            </w:r>
          </w:p>
        </w:tc>
      </w:tr>
      <w:tr w:rsidR="005C0A3A" w:rsidRPr="00494D70" w14:paraId="4BB102A9" w14:textId="77777777" w:rsidTr="003012DB">
        <w:tc>
          <w:tcPr>
            <w:tcW w:w="5245" w:type="dxa"/>
            <w:vAlign w:val="center"/>
          </w:tcPr>
          <w:p w14:paraId="5A1FEF77" w14:textId="77777777" w:rsidR="005C0A3A" w:rsidRPr="00494D70" w:rsidRDefault="005C0A3A" w:rsidP="003012DB">
            <w:pPr>
              <w:rPr>
                <w:rFonts w:ascii="Times New Roman" w:hAnsi="Times New Roman" w:cs="Times New Roman"/>
                <w:b/>
                <w:sz w:val="20"/>
                <w:szCs w:val="20"/>
              </w:rPr>
            </w:pPr>
            <w:r w:rsidRPr="00494D70">
              <w:rPr>
                <w:rFonts w:ascii="Times New Roman" w:hAnsi="Times New Roman" w:cs="Times New Roman"/>
                <w:b/>
                <w:sz w:val="20"/>
                <w:szCs w:val="20"/>
              </w:rPr>
              <w:t>Sexual orientation (original answer options in the survey)</w:t>
            </w:r>
          </w:p>
        </w:tc>
        <w:tc>
          <w:tcPr>
            <w:tcW w:w="2126" w:type="dxa"/>
          </w:tcPr>
          <w:p w14:paraId="16327CD4" w14:textId="77777777" w:rsidR="005C0A3A" w:rsidRPr="00494D70" w:rsidRDefault="005C0A3A" w:rsidP="003012DB">
            <w:pPr>
              <w:jc w:val="center"/>
              <w:rPr>
                <w:rFonts w:ascii="Times New Roman" w:hAnsi="Times New Roman" w:cs="Times New Roman"/>
                <w:bCs/>
                <w:sz w:val="20"/>
                <w:szCs w:val="20"/>
              </w:rPr>
            </w:pPr>
          </w:p>
        </w:tc>
        <w:tc>
          <w:tcPr>
            <w:tcW w:w="851" w:type="dxa"/>
          </w:tcPr>
          <w:p w14:paraId="29EB8744" w14:textId="77777777" w:rsidR="005C0A3A" w:rsidRPr="00494D70" w:rsidRDefault="005C0A3A" w:rsidP="003012DB">
            <w:pPr>
              <w:jc w:val="center"/>
              <w:rPr>
                <w:rFonts w:ascii="Times New Roman" w:hAnsi="Times New Roman" w:cs="Times New Roman"/>
                <w:bCs/>
                <w:sz w:val="20"/>
                <w:szCs w:val="20"/>
              </w:rPr>
            </w:pPr>
          </w:p>
        </w:tc>
      </w:tr>
      <w:tr w:rsidR="005C0A3A" w:rsidRPr="00494D70" w14:paraId="241DD132" w14:textId="77777777" w:rsidTr="003012DB">
        <w:tc>
          <w:tcPr>
            <w:tcW w:w="5245" w:type="dxa"/>
          </w:tcPr>
          <w:p w14:paraId="60BFE7C2"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Heterosexual/Straight</w:t>
            </w:r>
          </w:p>
        </w:tc>
        <w:tc>
          <w:tcPr>
            <w:tcW w:w="2126" w:type="dxa"/>
          </w:tcPr>
          <w:p w14:paraId="3D2AD990"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45,580</w:t>
            </w:r>
          </w:p>
        </w:tc>
        <w:tc>
          <w:tcPr>
            <w:tcW w:w="851" w:type="dxa"/>
          </w:tcPr>
          <w:p w14:paraId="2FE94C38"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69.65</w:t>
            </w:r>
          </w:p>
        </w:tc>
      </w:tr>
      <w:tr w:rsidR="005C0A3A" w:rsidRPr="00494D70" w14:paraId="497763CA" w14:textId="77777777" w:rsidTr="003012DB">
        <w:tc>
          <w:tcPr>
            <w:tcW w:w="5245" w:type="dxa"/>
          </w:tcPr>
          <w:p w14:paraId="26EF1E44"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Gay or lesbian</w:t>
            </w:r>
          </w:p>
        </w:tc>
        <w:tc>
          <w:tcPr>
            <w:tcW w:w="2126" w:type="dxa"/>
          </w:tcPr>
          <w:p w14:paraId="3E68EBE6"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3,622</w:t>
            </w:r>
          </w:p>
        </w:tc>
        <w:tc>
          <w:tcPr>
            <w:tcW w:w="851" w:type="dxa"/>
          </w:tcPr>
          <w:p w14:paraId="5A2E9E2F"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5.53</w:t>
            </w:r>
          </w:p>
        </w:tc>
      </w:tr>
      <w:tr w:rsidR="005C0A3A" w:rsidRPr="00494D70" w14:paraId="74B3EC3E" w14:textId="77777777" w:rsidTr="003012DB">
        <w:tc>
          <w:tcPr>
            <w:tcW w:w="5245" w:type="dxa"/>
          </w:tcPr>
          <w:p w14:paraId="043C19BF"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Heteroflexible</w:t>
            </w:r>
          </w:p>
        </w:tc>
        <w:tc>
          <w:tcPr>
            <w:tcW w:w="2126" w:type="dxa"/>
          </w:tcPr>
          <w:p w14:paraId="10B4744E"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5,248</w:t>
            </w:r>
          </w:p>
        </w:tc>
        <w:tc>
          <w:tcPr>
            <w:tcW w:w="851" w:type="dxa"/>
          </w:tcPr>
          <w:p w14:paraId="75DE857C"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8.02</w:t>
            </w:r>
          </w:p>
        </w:tc>
      </w:tr>
      <w:tr w:rsidR="005C0A3A" w:rsidRPr="00494D70" w14:paraId="34AD1090" w14:textId="77777777" w:rsidTr="003012DB">
        <w:tc>
          <w:tcPr>
            <w:tcW w:w="5245" w:type="dxa"/>
          </w:tcPr>
          <w:p w14:paraId="357AECA7"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Homoflexible</w:t>
            </w:r>
          </w:p>
        </w:tc>
        <w:tc>
          <w:tcPr>
            <w:tcW w:w="2126" w:type="dxa"/>
          </w:tcPr>
          <w:p w14:paraId="47D58C53"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425</w:t>
            </w:r>
          </w:p>
        </w:tc>
        <w:tc>
          <w:tcPr>
            <w:tcW w:w="851" w:type="dxa"/>
          </w:tcPr>
          <w:p w14:paraId="667514D5"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0.65</w:t>
            </w:r>
          </w:p>
        </w:tc>
      </w:tr>
      <w:tr w:rsidR="005C0A3A" w:rsidRPr="00494D70" w14:paraId="4CE3AF73" w14:textId="77777777" w:rsidTr="003012DB">
        <w:tc>
          <w:tcPr>
            <w:tcW w:w="5245" w:type="dxa"/>
          </w:tcPr>
          <w:p w14:paraId="6E612E57"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Bisexual</w:t>
            </w:r>
          </w:p>
        </w:tc>
        <w:tc>
          <w:tcPr>
            <w:tcW w:w="2126" w:type="dxa"/>
          </w:tcPr>
          <w:p w14:paraId="213BAB21"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6,237</w:t>
            </w:r>
          </w:p>
        </w:tc>
        <w:tc>
          <w:tcPr>
            <w:tcW w:w="851" w:type="dxa"/>
          </w:tcPr>
          <w:p w14:paraId="0920DDA5"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9.53</w:t>
            </w:r>
          </w:p>
        </w:tc>
      </w:tr>
      <w:tr w:rsidR="005C0A3A" w:rsidRPr="00494D70" w14:paraId="27130BD0" w14:textId="77777777" w:rsidTr="003012DB">
        <w:tc>
          <w:tcPr>
            <w:tcW w:w="5245" w:type="dxa"/>
          </w:tcPr>
          <w:p w14:paraId="55CEA492"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Queer</w:t>
            </w:r>
          </w:p>
        </w:tc>
        <w:tc>
          <w:tcPr>
            <w:tcW w:w="2126" w:type="dxa"/>
          </w:tcPr>
          <w:p w14:paraId="738C4E0D"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690</w:t>
            </w:r>
          </w:p>
        </w:tc>
        <w:tc>
          <w:tcPr>
            <w:tcW w:w="851" w:type="dxa"/>
          </w:tcPr>
          <w:p w14:paraId="689B40D5"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1.05</w:t>
            </w:r>
          </w:p>
        </w:tc>
      </w:tr>
      <w:tr w:rsidR="005C0A3A" w:rsidRPr="00494D70" w14:paraId="783F21E3" w14:textId="77777777" w:rsidTr="003012DB">
        <w:tc>
          <w:tcPr>
            <w:tcW w:w="5245" w:type="dxa"/>
          </w:tcPr>
          <w:p w14:paraId="20B8FBA3"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Pansexual</w:t>
            </w:r>
          </w:p>
        </w:tc>
        <w:tc>
          <w:tcPr>
            <w:tcW w:w="2126" w:type="dxa"/>
          </w:tcPr>
          <w:p w14:paraId="739A6438"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1,574</w:t>
            </w:r>
          </w:p>
        </w:tc>
        <w:tc>
          <w:tcPr>
            <w:tcW w:w="851" w:type="dxa"/>
          </w:tcPr>
          <w:p w14:paraId="0503A78B"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2.41</w:t>
            </w:r>
          </w:p>
        </w:tc>
      </w:tr>
      <w:tr w:rsidR="005C0A3A" w:rsidRPr="00494D70" w14:paraId="625C1EA2" w14:textId="77777777" w:rsidTr="003012DB">
        <w:tc>
          <w:tcPr>
            <w:tcW w:w="5245" w:type="dxa"/>
          </w:tcPr>
          <w:p w14:paraId="2903E99E"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Asexual</w:t>
            </w:r>
          </w:p>
        </w:tc>
        <w:tc>
          <w:tcPr>
            <w:tcW w:w="2126" w:type="dxa"/>
          </w:tcPr>
          <w:p w14:paraId="16261876"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302</w:t>
            </w:r>
          </w:p>
        </w:tc>
        <w:tc>
          <w:tcPr>
            <w:tcW w:w="851" w:type="dxa"/>
          </w:tcPr>
          <w:p w14:paraId="4E8513F9"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0.46</w:t>
            </w:r>
          </w:p>
        </w:tc>
      </w:tr>
      <w:tr w:rsidR="005C0A3A" w:rsidRPr="00494D70" w14:paraId="03C9D86F" w14:textId="77777777" w:rsidTr="003012DB">
        <w:tc>
          <w:tcPr>
            <w:tcW w:w="5245" w:type="dxa"/>
          </w:tcPr>
          <w:p w14:paraId="03100B44"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I do not know yet or I am currently questioning my sexual orientation</w:t>
            </w:r>
          </w:p>
        </w:tc>
        <w:tc>
          <w:tcPr>
            <w:tcW w:w="2126" w:type="dxa"/>
          </w:tcPr>
          <w:p w14:paraId="198CDE16"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1,067</w:t>
            </w:r>
          </w:p>
        </w:tc>
        <w:tc>
          <w:tcPr>
            <w:tcW w:w="851" w:type="dxa"/>
          </w:tcPr>
          <w:p w14:paraId="4C30B62E"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1.63</w:t>
            </w:r>
          </w:p>
        </w:tc>
      </w:tr>
      <w:tr w:rsidR="005C0A3A" w:rsidRPr="00494D70" w14:paraId="13759356" w14:textId="77777777" w:rsidTr="003012DB">
        <w:tc>
          <w:tcPr>
            <w:tcW w:w="5245" w:type="dxa"/>
          </w:tcPr>
          <w:p w14:paraId="7180C601"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None of the above</w:t>
            </w:r>
          </w:p>
        </w:tc>
        <w:tc>
          <w:tcPr>
            <w:tcW w:w="2126" w:type="dxa"/>
          </w:tcPr>
          <w:p w14:paraId="74391097"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515</w:t>
            </w:r>
          </w:p>
        </w:tc>
        <w:tc>
          <w:tcPr>
            <w:tcW w:w="851" w:type="dxa"/>
          </w:tcPr>
          <w:p w14:paraId="4C3E775A"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0.79</w:t>
            </w:r>
          </w:p>
        </w:tc>
      </w:tr>
      <w:tr w:rsidR="005C0A3A" w:rsidRPr="00494D70" w14:paraId="3D926F67" w14:textId="77777777" w:rsidTr="003012DB">
        <w:tc>
          <w:tcPr>
            <w:tcW w:w="5245" w:type="dxa"/>
          </w:tcPr>
          <w:p w14:paraId="20A20357"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I don't want to answer</w:t>
            </w:r>
          </w:p>
        </w:tc>
        <w:tc>
          <w:tcPr>
            <w:tcW w:w="2126" w:type="dxa"/>
          </w:tcPr>
          <w:p w14:paraId="0266E3D2"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162</w:t>
            </w:r>
          </w:p>
        </w:tc>
        <w:tc>
          <w:tcPr>
            <w:tcW w:w="851" w:type="dxa"/>
          </w:tcPr>
          <w:p w14:paraId="403EA025"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0.25</w:t>
            </w:r>
          </w:p>
        </w:tc>
      </w:tr>
      <w:tr w:rsidR="005C0A3A" w:rsidRPr="00494D70" w14:paraId="4AA19D0E" w14:textId="77777777" w:rsidTr="003012DB">
        <w:tc>
          <w:tcPr>
            <w:tcW w:w="5245" w:type="dxa"/>
            <w:vAlign w:val="center"/>
          </w:tcPr>
          <w:p w14:paraId="35C8A998" w14:textId="77777777" w:rsidR="005C0A3A" w:rsidRPr="00494D70" w:rsidRDefault="005C0A3A" w:rsidP="003012DB">
            <w:pPr>
              <w:rPr>
                <w:rFonts w:ascii="Times New Roman" w:hAnsi="Times New Roman" w:cs="Times New Roman"/>
                <w:sz w:val="20"/>
                <w:szCs w:val="20"/>
              </w:rPr>
            </w:pPr>
            <w:r w:rsidRPr="00494D70">
              <w:rPr>
                <w:rFonts w:ascii="Times New Roman" w:hAnsi="Times New Roman" w:cs="Times New Roman"/>
                <w:b/>
                <w:sz w:val="20"/>
                <w:szCs w:val="20"/>
              </w:rPr>
              <w:t>Sexual orientation (categories used in the analyses)</w:t>
            </w:r>
          </w:p>
        </w:tc>
        <w:tc>
          <w:tcPr>
            <w:tcW w:w="2126" w:type="dxa"/>
          </w:tcPr>
          <w:p w14:paraId="6E1F0AA0" w14:textId="77777777" w:rsidR="005C0A3A" w:rsidRPr="00494D70" w:rsidRDefault="005C0A3A" w:rsidP="003012DB">
            <w:pPr>
              <w:jc w:val="center"/>
              <w:rPr>
                <w:rFonts w:ascii="Times New Roman" w:hAnsi="Times New Roman" w:cs="Times New Roman"/>
                <w:sz w:val="20"/>
                <w:szCs w:val="20"/>
              </w:rPr>
            </w:pPr>
          </w:p>
        </w:tc>
        <w:tc>
          <w:tcPr>
            <w:tcW w:w="851" w:type="dxa"/>
          </w:tcPr>
          <w:p w14:paraId="37E7973C" w14:textId="77777777" w:rsidR="005C0A3A" w:rsidRPr="00494D70" w:rsidRDefault="005C0A3A" w:rsidP="003012DB">
            <w:pPr>
              <w:jc w:val="center"/>
              <w:rPr>
                <w:rFonts w:ascii="Times New Roman" w:hAnsi="Times New Roman" w:cs="Times New Roman"/>
                <w:sz w:val="20"/>
                <w:szCs w:val="20"/>
              </w:rPr>
            </w:pPr>
          </w:p>
        </w:tc>
      </w:tr>
      <w:tr w:rsidR="005C0A3A" w:rsidRPr="00494D70" w14:paraId="16247081" w14:textId="77777777" w:rsidTr="003012DB">
        <w:tc>
          <w:tcPr>
            <w:tcW w:w="5245" w:type="dxa"/>
          </w:tcPr>
          <w:p w14:paraId="35130E22" w14:textId="77777777" w:rsidR="005C0A3A" w:rsidRPr="00494D70" w:rsidRDefault="005C0A3A" w:rsidP="003012DB">
            <w:pPr>
              <w:ind w:left="311"/>
              <w:rPr>
                <w:rFonts w:ascii="Times New Roman" w:hAnsi="Times New Roman" w:cs="Times New Roman"/>
                <w:sz w:val="20"/>
                <w:szCs w:val="20"/>
              </w:rPr>
            </w:pPr>
            <w:r w:rsidRPr="00494D70">
              <w:rPr>
                <w:rFonts w:ascii="Times New Roman" w:hAnsi="Times New Roman" w:cs="Times New Roman"/>
                <w:sz w:val="20"/>
                <w:szCs w:val="20"/>
              </w:rPr>
              <w:t>Heterosexual</w:t>
            </w:r>
          </w:p>
        </w:tc>
        <w:tc>
          <w:tcPr>
            <w:tcW w:w="2126" w:type="dxa"/>
          </w:tcPr>
          <w:p w14:paraId="37120558"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45,580</w:t>
            </w:r>
          </w:p>
        </w:tc>
        <w:tc>
          <w:tcPr>
            <w:tcW w:w="851" w:type="dxa"/>
          </w:tcPr>
          <w:p w14:paraId="4963D663"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69.65</w:t>
            </w:r>
          </w:p>
        </w:tc>
      </w:tr>
      <w:tr w:rsidR="005C0A3A" w:rsidRPr="00494D70" w14:paraId="3B9E1F29" w14:textId="77777777" w:rsidTr="003012DB">
        <w:tc>
          <w:tcPr>
            <w:tcW w:w="5245" w:type="dxa"/>
          </w:tcPr>
          <w:p w14:paraId="0EFCC4DB" w14:textId="77777777" w:rsidR="005C0A3A" w:rsidRPr="00494D70" w:rsidRDefault="005C0A3A" w:rsidP="003012DB">
            <w:pPr>
              <w:ind w:left="311"/>
              <w:rPr>
                <w:rFonts w:ascii="Times New Roman" w:hAnsi="Times New Roman" w:cs="Times New Roman"/>
                <w:sz w:val="20"/>
                <w:szCs w:val="20"/>
              </w:rPr>
            </w:pPr>
            <w:r w:rsidRPr="00494D70">
              <w:rPr>
                <w:rFonts w:ascii="Times New Roman" w:hAnsi="Times New Roman" w:cs="Times New Roman"/>
                <w:sz w:val="20"/>
                <w:szCs w:val="20"/>
              </w:rPr>
              <w:t>Gay or lesbian</w:t>
            </w:r>
          </w:p>
        </w:tc>
        <w:tc>
          <w:tcPr>
            <w:tcW w:w="2126" w:type="dxa"/>
          </w:tcPr>
          <w:p w14:paraId="1218BDAF"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3,622</w:t>
            </w:r>
          </w:p>
        </w:tc>
        <w:tc>
          <w:tcPr>
            <w:tcW w:w="851" w:type="dxa"/>
          </w:tcPr>
          <w:p w14:paraId="5A3197EC"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5.53</w:t>
            </w:r>
          </w:p>
        </w:tc>
      </w:tr>
      <w:tr w:rsidR="005C0A3A" w:rsidRPr="00494D70" w14:paraId="2347F3B4" w14:textId="77777777" w:rsidTr="003012DB">
        <w:tc>
          <w:tcPr>
            <w:tcW w:w="5245" w:type="dxa"/>
          </w:tcPr>
          <w:p w14:paraId="3C1E4D59" w14:textId="77777777" w:rsidR="005C0A3A" w:rsidRPr="00494D70" w:rsidRDefault="005C0A3A" w:rsidP="003012DB">
            <w:pPr>
              <w:ind w:left="311"/>
              <w:rPr>
                <w:rFonts w:ascii="Times New Roman" w:hAnsi="Times New Roman" w:cs="Times New Roman"/>
                <w:sz w:val="20"/>
                <w:szCs w:val="20"/>
              </w:rPr>
            </w:pPr>
            <w:r w:rsidRPr="00494D70">
              <w:rPr>
                <w:rFonts w:ascii="Times New Roman" w:hAnsi="Times New Roman" w:cs="Times New Roman"/>
                <w:sz w:val="20"/>
                <w:szCs w:val="20"/>
              </w:rPr>
              <w:t>Bisexual</w:t>
            </w:r>
          </w:p>
        </w:tc>
        <w:tc>
          <w:tcPr>
            <w:tcW w:w="2126" w:type="dxa"/>
          </w:tcPr>
          <w:p w14:paraId="718A26EC"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6,237</w:t>
            </w:r>
          </w:p>
        </w:tc>
        <w:tc>
          <w:tcPr>
            <w:tcW w:w="851" w:type="dxa"/>
          </w:tcPr>
          <w:p w14:paraId="5C041289"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9.53</w:t>
            </w:r>
          </w:p>
        </w:tc>
      </w:tr>
      <w:tr w:rsidR="005C0A3A" w:rsidRPr="00494D70" w14:paraId="0B3248EA" w14:textId="77777777" w:rsidTr="003012DB">
        <w:tc>
          <w:tcPr>
            <w:tcW w:w="5245" w:type="dxa"/>
          </w:tcPr>
          <w:p w14:paraId="1A5D0361" w14:textId="77777777" w:rsidR="005C0A3A" w:rsidRPr="00494D70" w:rsidRDefault="005C0A3A" w:rsidP="003012DB">
            <w:pPr>
              <w:ind w:left="311"/>
              <w:rPr>
                <w:rFonts w:ascii="Times New Roman" w:hAnsi="Times New Roman" w:cs="Times New Roman"/>
                <w:sz w:val="20"/>
                <w:szCs w:val="20"/>
              </w:rPr>
            </w:pPr>
            <w:r w:rsidRPr="00494D70">
              <w:rPr>
                <w:rFonts w:ascii="Times New Roman" w:hAnsi="Times New Roman" w:cs="Times New Roman"/>
                <w:sz w:val="20"/>
                <w:szCs w:val="20"/>
              </w:rPr>
              <w:t>Queer and pansexual</w:t>
            </w:r>
          </w:p>
        </w:tc>
        <w:tc>
          <w:tcPr>
            <w:tcW w:w="2126" w:type="dxa"/>
          </w:tcPr>
          <w:p w14:paraId="7D57628C"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2,264</w:t>
            </w:r>
          </w:p>
        </w:tc>
        <w:tc>
          <w:tcPr>
            <w:tcW w:w="851" w:type="dxa"/>
          </w:tcPr>
          <w:p w14:paraId="1C6C8B8C"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3.46</w:t>
            </w:r>
          </w:p>
        </w:tc>
      </w:tr>
      <w:tr w:rsidR="005C0A3A" w:rsidRPr="00494D70" w14:paraId="617E83B3" w14:textId="77777777" w:rsidTr="003012DB">
        <w:tc>
          <w:tcPr>
            <w:tcW w:w="5245" w:type="dxa"/>
          </w:tcPr>
          <w:p w14:paraId="2323DE53" w14:textId="77777777" w:rsidR="005C0A3A" w:rsidRPr="00494D70" w:rsidRDefault="005C0A3A" w:rsidP="003012DB">
            <w:pPr>
              <w:ind w:left="311"/>
              <w:rPr>
                <w:rFonts w:ascii="Times New Roman" w:hAnsi="Times New Roman" w:cs="Times New Roman"/>
                <w:sz w:val="20"/>
                <w:szCs w:val="20"/>
              </w:rPr>
            </w:pPr>
            <w:r w:rsidRPr="00494D70">
              <w:rPr>
                <w:rFonts w:ascii="Times New Roman" w:hAnsi="Times New Roman" w:cs="Times New Roman"/>
                <w:sz w:val="20"/>
                <w:szCs w:val="20"/>
              </w:rPr>
              <w:t>Homo- and heteroflexible identities</w:t>
            </w:r>
          </w:p>
        </w:tc>
        <w:tc>
          <w:tcPr>
            <w:tcW w:w="2126" w:type="dxa"/>
          </w:tcPr>
          <w:p w14:paraId="3214DB2A"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5,673</w:t>
            </w:r>
          </w:p>
        </w:tc>
        <w:tc>
          <w:tcPr>
            <w:tcW w:w="851" w:type="dxa"/>
          </w:tcPr>
          <w:p w14:paraId="652898E5"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8.67</w:t>
            </w:r>
          </w:p>
        </w:tc>
      </w:tr>
      <w:tr w:rsidR="005C0A3A" w:rsidRPr="00494D70" w14:paraId="014A2D1E" w14:textId="77777777" w:rsidTr="003012DB">
        <w:tc>
          <w:tcPr>
            <w:tcW w:w="5245" w:type="dxa"/>
          </w:tcPr>
          <w:p w14:paraId="4D8F4331" w14:textId="77777777" w:rsidR="005C0A3A" w:rsidRPr="00494D70" w:rsidRDefault="005C0A3A" w:rsidP="003012DB">
            <w:pPr>
              <w:ind w:left="311"/>
              <w:rPr>
                <w:rFonts w:ascii="Times New Roman" w:hAnsi="Times New Roman" w:cs="Times New Roman"/>
                <w:sz w:val="20"/>
                <w:szCs w:val="20"/>
              </w:rPr>
            </w:pPr>
            <w:r w:rsidRPr="00494D70">
              <w:rPr>
                <w:rFonts w:ascii="Times New Roman" w:hAnsi="Times New Roman" w:cs="Times New Roman"/>
                <w:sz w:val="20"/>
                <w:szCs w:val="20"/>
              </w:rPr>
              <w:t>Asexual</w:t>
            </w:r>
          </w:p>
        </w:tc>
        <w:tc>
          <w:tcPr>
            <w:tcW w:w="2126" w:type="dxa"/>
          </w:tcPr>
          <w:p w14:paraId="0C118E7D"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302</w:t>
            </w:r>
          </w:p>
        </w:tc>
        <w:tc>
          <w:tcPr>
            <w:tcW w:w="851" w:type="dxa"/>
          </w:tcPr>
          <w:p w14:paraId="1894032A"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0.46</w:t>
            </w:r>
          </w:p>
        </w:tc>
      </w:tr>
      <w:tr w:rsidR="005C0A3A" w:rsidRPr="00494D70" w14:paraId="47CE686B" w14:textId="77777777" w:rsidTr="003012DB">
        <w:tc>
          <w:tcPr>
            <w:tcW w:w="5245" w:type="dxa"/>
          </w:tcPr>
          <w:p w14:paraId="15B1769F" w14:textId="77777777" w:rsidR="005C0A3A" w:rsidRPr="00494D70" w:rsidRDefault="005C0A3A" w:rsidP="003012DB">
            <w:pPr>
              <w:ind w:left="311"/>
              <w:rPr>
                <w:rFonts w:ascii="Times New Roman" w:hAnsi="Times New Roman" w:cs="Times New Roman"/>
                <w:sz w:val="20"/>
                <w:szCs w:val="20"/>
              </w:rPr>
            </w:pPr>
            <w:r w:rsidRPr="00494D70">
              <w:rPr>
                <w:rFonts w:ascii="Times New Roman" w:hAnsi="Times New Roman" w:cs="Times New Roman"/>
                <w:sz w:val="20"/>
                <w:szCs w:val="20"/>
              </w:rPr>
              <w:t>Questioning</w:t>
            </w:r>
          </w:p>
        </w:tc>
        <w:tc>
          <w:tcPr>
            <w:tcW w:w="2126" w:type="dxa"/>
          </w:tcPr>
          <w:p w14:paraId="5420775F"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1,067</w:t>
            </w:r>
          </w:p>
        </w:tc>
        <w:tc>
          <w:tcPr>
            <w:tcW w:w="851" w:type="dxa"/>
          </w:tcPr>
          <w:p w14:paraId="7C905309"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1.63</w:t>
            </w:r>
          </w:p>
        </w:tc>
      </w:tr>
      <w:tr w:rsidR="005C0A3A" w:rsidRPr="00494D70" w14:paraId="30267371" w14:textId="77777777" w:rsidTr="003012DB">
        <w:tc>
          <w:tcPr>
            <w:tcW w:w="5245" w:type="dxa"/>
          </w:tcPr>
          <w:p w14:paraId="5488BD4B" w14:textId="77777777" w:rsidR="005C0A3A" w:rsidRPr="00494D70" w:rsidRDefault="005C0A3A" w:rsidP="003012DB">
            <w:pPr>
              <w:ind w:left="311"/>
              <w:rPr>
                <w:rFonts w:ascii="Times New Roman" w:hAnsi="Times New Roman" w:cs="Times New Roman"/>
                <w:sz w:val="20"/>
                <w:szCs w:val="20"/>
              </w:rPr>
            </w:pPr>
            <w:r w:rsidRPr="00494D70">
              <w:rPr>
                <w:rFonts w:ascii="Times New Roman" w:hAnsi="Times New Roman" w:cs="Times New Roman"/>
                <w:sz w:val="20"/>
                <w:szCs w:val="20"/>
              </w:rPr>
              <w:t>Other</w:t>
            </w:r>
          </w:p>
        </w:tc>
        <w:tc>
          <w:tcPr>
            <w:tcW w:w="2126" w:type="dxa"/>
          </w:tcPr>
          <w:p w14:paraId="1CD2B9B8"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515</w:t>
            </w:r>
          </w:p>
        </w:tc>
        <w:tc>
          <w:tcPr>
            <w:tcW w:w="851" w:type="dxa"/>
          </w:tcPr>
          <w:p w14:paraId="5B2B88A8"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0.79</w:t>
            </w:r>
          </w:p>
        </w:tc>
      </w:tr>
      <w:tr w:rsidR="005C0A3A" w:rsidRPr="00494D70" w14:paraId="2E03DD44" w14:textId="77777777" w:rsidTr="003012DB">
        <w:tc>
          <w:tcPr>
            <w:tcW w:w="5245" w:type="dxa"/>
          </w:tcPr>
          <w:p w14:paraId="4E278ACB" w14:textId="77777777" w:rsidR="005C0A3A" w:rsidRPr="00494D70" w:rsidRDefault="005C0A3A" w:rsidP="003012DB">
            <w:pPr>
              <w:rPr>
                <w:rFonts w:ascii="Times New Roman" w:hAnsi="Times New Roman" w:cs="Times New Roman"/>
                <w:b/>
                <w:sz w:val="20"/>
                <w:szCs w:val="20"/>
              </w:rPr>
            </w:pPr>
            <w:r w:rsidRPr="00494D70">
              <w:rPr>
                <w:rFonts w:ascii="Times New Roman" w:hAnsi="Times New Roman" w:cs="Times New Roman"/>
                <w:b/>
                <w:sz w:val="20"/>
                <w:szCs w:val="20"/>
              </w:rPr>
              <w:lastRenderedPageBreak/>
              <w:t>Highest level of education</w:t>
            </w:r>
          </w:p>
        </w:tc>
        <w:tc>
          <w:tcPr>
            <w:tcW w:w="2126" w:type="dxa"/>
          </w:tcPr>
          <w:p w14:paraId="5E04784B" w14:textId="77777777" w:rsidR="005C0A3A" w:rsidRPr="00494D70" w:rsidRDefault="005C0A3A" w:rsidP="003012DB">
            <w:pPr>
              <w:jc w:val="center"/>
              <w:rPr>
                <w:rFonts w:ascii="Times New Roman" w:hAnsi="Times New Roman" w:cs="Times New Roman"/>
                <w:bCs/>
                <w:sz w:val="20"/>
                <w:szCs w:val="20"/>
              </w:rPr>
            </w:pPr>
          </w:p>
        </w:tc>
        <w:tc>
          <w:tcPr>
            <w:tcW w:w="851" w:type="dxa"/>
          </w:tcPr>
          <w:p w14:paraId="6C87BA52" w14:textId="77777777" w:rsidR="005C0A3A" w:rsidRPr="00494D70" w:rsidRDefault="005C0A3A" w:rsidP="003012DB">
            <w:pPr>
              <w:jc w:val="center"/>
              <w:rPr>
                <w:rFonts w:ascii="Times New Roman" w:hAnsi="Times New Roman" w:cs="Times New Roman"/>
                <w:bCs/>
                <w:sz w:val="20"/>
                <w:szCs w:val="20"/>
              </w:rPr>
            </w:pPr>
          </w:p>
        </w:tc>
      </w:tr>
      <w:tr w:rsidR="005C0A3A" w:rsidRPr="00494D70" w14:paraId="7E6C6856" w14:textId="77777777" w:rsidTr="003012DB">
        <w:tc>
          <w:tcPr>
            <w:tcW w:w="5245" w:type="dxa"/>
          </w:tcPr>
          <w:p w14:paraId="654C4EBF"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Primary (e.g., elementary school)</w:t>
            </w:r>
          </w:p>
        </w:tc>
        <w:tc>
          <w:tcPr>
            <w:tcW w:w="2126" w:type="dxa"/>
          </w:tcPr>
          <w:p w14:paraId="3B75D572"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687</w:t>
            </w:r>
          </w:p>
        </w:tc>
        <w:tc>
          <w:tcPr>
            <w:tcW w:w="851" w:type="dxa"/>
          </w:tcPr>
          <w:p w14:paraId="328A4B02"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1.05</w:t>
            </w:r>
          </w:p>
        </w:tc>
      </w:tr>
      <w:tr w:rsidR="005C0A3A" w:rsidRPr="00494D70" w14:paraId="69D61B9E" w14:textId="77777777" w:rsidTr="003012DB">
        <w:tc>
          <w:tcPr>
            <w:tcW w:w="5245" w:type="dxa"/>
          </w:tcPr>
          <w:p w14:paraId="1FEB9891"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Secondary (e.g., high school)</w:t>
            </w:r>
          </w:p>
        </w:tc>
        <w:tc>
          <w:tcPr>
            <w:tcW w:w="2126" w:type="dxa"/>
          </w:tcPr>
          <w:p w14:paraId="2C48A6C1"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15,341</w:t>
            </w:r>
          </w:p>
        </w:tc>
        <w:tc>
          <w:tcPr>
            <w:tcW w:w="851" w:type="dxa"/>
          </w:tcPr>
          <w:p w14:paraId="7A31F6CD"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23.44</w:t>
            </w:r>
          </w:p>
        </w:tc>
      </w:tr>
      <w:tr w:rsidR="005C0A3A" w:rsidRPr="00494D70" w14:paraId="4820437E" w14:textId="77777777" w:rsidTr="003012DB">
        <w:tc>
          <w:tcPr>
            <w:tcW w:w="5245" w:type="dxa"/>
          </w:tcPr>
          <w:p w14:paraId="55EE740F"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Tertiary (e.g., college or university)</w:t>
            </w:r>
          </w:p>
        </w:tc>
        <w:tc>
          <w:tcPr>
            <w:tcW w:w="2126" w:type="dxa"/>
          </w:tcPr>
          <w:p w14:paraId="37E7405C"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49,404</w:t>
            </w:r>
          </w:p>
        </w:tc>
        <w:tc>
          <w:tcPr>
            <w:tcW w:w="851" w:type="dxa"/>
          </w:tcPr>
          <w:p w14:paraId="3D9CEC41"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75.49</w:t>
            </w:r>
          </w:p>
        </w:tc>
      </w:tr>
      <w:tr w:rsidR="005C0A3A" w:rsidRPr="00494D70" w14:paraId="08F8EACF" w14:textId="77777777" w:rsidTr="003012DB">
        <w:tc>
          <w:tcPr>
            <w:tcW w:w="5245" w:type="dxa"/>
          </w:tcPr>
          <w:p w14:paraId="18CA165D" w14:textId="77777777" w:rsidR="005C0A3A" w:rsidRPr="00494D70" w:rsidRDefault="005C0A3A" w:rsidP="003012DB">
            <w:pPr>
              <w:rPr>
                <w:rFonts w:ascii="Times New Roman" w:hAnsi="Times New Roman" w:cs="Times New Roman"/>
                <w:b/>
                <w:sz w:val="20"/>
                <w:szCs w:val="20"/>
              </w:rPr>
            </w:pPr>
            <w:r w:rsidRPr="00494D70">
              <w:rPr>
                <w:rFonts w:ascii="Times New Roman" w:hAnsi="Times New Roman" w:cs="Times New Roman"/>
                <w:b/>
                <w:sz w:val="20"/>
                <w:szCs w:val="20"/>
              </w:rPr>
              <w:t xml:space="preserve">Currently being in education </w:t>
            </w:r>
          </w:p>
        </w:tc>
        <w:tc>
          <w:tcPr>
            <w:tcW w:w="2126" w:type="dxa"/>
          </w:tcPr>
          <w:p w14:paraId="1BC89C3E" w14:textId="77777777" w:rsidR="005C0A3A" w:rsidRPr="00494D70" w:rsidRDefault="005C0A3A" w:rsidP="003012DB">
            <w:pPr>
              <w:jc w:val="center"/>
              <w:rPr>
                <w:rFonts w:ascii="Times New Roman" w:hAnsi="Times New Roman" w:cs="Times New Roman"/>
                <w:bCs/>
                <w:sz w:val="20"/>
                <w:szCs w:val="20"/>
              </w:rPr>
            </w:pPr>
          </w:p>
        </w:tc>
        <w:tc>
          <w:tcPr>
            <w:tcW w:w="851" w:type="dxa"/>
          </w:tcPr>
          <w:p w14:paraId="7A1EC1AC" w14:textId="77777777" w:rsidR="005C0A3A" w:rsidRPr="00494D70" w:rsidRDefault="005C0A3A" w:rsidP="003012DB">
            <w:pPr>
              <w:jc w:val="center"/>
              <w:rPr>
                <w:rFonts w:ascii="Times New Roman" w:hAnsi="Times New Roman" w:cs="Times New Roman"/>
                <w:bCs/>
                <w:sz w:val="20"/>
                <w:szCs w:val="20"/>
              </w:rPr>
            </w:pPr>
          </w:p>
        </w:tc>
      </w:tr>
      <w:tr w:rsidR="005C0A3A" w:rsidRPr="00494D70" w14:paraId="616A8DD8" w14:textId="77777777" w:rsidTr="003012DB">
        <w:tc>
          <w:tcPr>
            <w:tcW w:w="5245" w:type="dxa"/>
          </w:tcPr>
          <w:p w14:paraId="5054BC79"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Not being in education</w:t>
            </w:r>
          </w:p>
        </w:tc>
        <w:tc>
          <w:tcPr>
            <w:tcW w:w="2126" w:type="dxa"/>
          </w:tcPr>
          <w:p w14:paraId="5DCF4D6A"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41,954</w:t>
            </w:r>
          </w:p>
        </w:tc>
        <w:tc>
          <w:tcPr>
            <w:tcW w:w="851" w:type="dxa"/>
          </w:tcPr>
          <w:p w14:paraId="74D9C514"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64.11</w:t>
            </w:r>
          </w:p>
        </w:tc>
      </w:tr>
      <w:tr w:rsidR="005C0A3A" w:rsidRPr="00494D70" w14:paraId="2B7716C1" w14:textId="77777777" w:rsidTr="003012DB">
        <w:tc>
          <w:tcPr>
            <w:tcW w:w="5245" w:type="dxa"/>
          </w:tcPr>
          <w:p w14:paraId="4FD081CB"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Being in primary education (e.g., elementary school)</w:t>
            </w:r>
          </w:p>
        </w:tc>
        <w:tc>
          <w:tcPr>
            <w:tcW w:w="2126" w:type="dxa"/>
          </w:tcPr>
          <w:p w14:paraId="0D1018EC"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36</w:t>
            </w:r>
          </w:p>
        </w:tc>
        <w:tc>
          <w:tcPr>
            <w:tcW w:w="851" w:type="dxa"/>
          </w:tcPr>
          <w:p w14:paraId="3D98D6D9"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0.06</w:t>
            </w:r>
          </w:p>
        </w:tc>
      </w:tr>
      <w:tr w:rsidR="005C0A3A" w:rsidRPr="00494D70" w14:paraId="08F974F9" w14:textId="77777777" w:rsidTr="003012DB">
        <w:tc>
          <w:tcPr>
            <w:tcW w:w="5245" w:type="dxa"/>
          </w:tcPr>
          <w:p w14:paraId="12B0AE60"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Being in secondary education (e.g., high school)</w:t>
            </w:r>
          </w:p>
        </w:tc>
        <w:tc>
          <w:tcPr>
            <w:tcW w:w="2126" w:type="dxa"/>
          </w:tcPr>
          <w:p w14:paraId="1F1E5E90"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974</w:t>
            </w:r>
          </w:p>
        </w:tc>
        <w:tc>
          <w:tcPr>
            <w:tcW w:w="851" w:type="dxa"/>
          </w:tcPr>
          <w:p w14:paraId="6B1E6AF0"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1.49</w:t>
            </w:r>
          </w:p>
        </w:tc>
      </w:tr>
      <w:tr w:rsidR="005C0A3A" w:rsidRPr="00494D70" w14:paraId="0B460292" w14:textId="77777777" w:rsidTr="003012DB">
        <w:tc>
          <w:tcPr>
            <w:tcW w:w="5245" w:type="dxa"/>
          </w:tcPr>
          <w:p w14:paraId="65092AA1"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Being in tertiary education (e.g., college or university)</w:t>
            </w:r>
          </w:p>
        </w:tc>
        <w:tc>
          <w:tcPr>
            <w:tcW w:w="2126" w:type="dxa"/>
          </w:tcPr>
          <w:p w14:paraId="2BB548D8"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22,449</w:t>
            </w:r>
          </w:p>
        </w:tc>
        <w:tc>
          <w:tcPr>
            <w:tcW w:w="851" w:type="dxa"/>
          </w:tcPr>
          <w:p w14:paraId="64B83E97"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34.30</w:t>
            </w:r>
          </w:p>
        </w:tc>
      </w:tr>
      <w:tr w:rsidR="005C0A3A" w:rsidRPr="00494D70" w14:paraId="43B7863E" w14:textId="77777777" w:rsidTr="003012DB">
        <w:tc>
          <w:tcPr>
            <w:tcW w:w="5245" w:type="dxa"/>
          </w:tcPr>
          <w:p w14:paraId="17DD5B1B" w14:textId="77777777" w:rsidR="005C0A3A" w:rsidRPr="00494D70" w:rsidRDefault="005C0A3A" w:rsidP="003012DB">
            <w:pPr>
              <w:rPr>
                <w:rFonts w:ascii="Times New Roman" w:hAnsi="Times New Roman" w:cs="Times New Roman"/>
                <w:bCs/>
                <w:sz w:val="20"/>
                <w:szCs w:val="20"/>
              </w:rPr>
            </w:pPr>
            <w:r w:rsidRPr="00494D70">
              <w:rPr>
                <w:rFonts w:ascii="Times New Roman" w:hAnsi="Times New Roman" w:cs="Times New Roman"/>
                <w:b/>
                <w:sz w:val="20"/>
                <w:szCs w:val="20"/>
              </w:rPr>
              <w:t>Work status</w:t>
            </w:r>
          </w:p>
        </w:tc>
        <w:tc>
          <w:tcPr>
            <w:tcW w:w="2126" w:type="dxa"/>
          </w:tcPr>
          <w:p w14:paraId="21FCD9E6" w14:textId="77777777" w:rsidR="005C0A3A" w:rsidRPr="00494D70" w:rsidRDefault="005C0A3A" w:rsidP="003012DB">
            <w:pPr>
              <w:jc w:val="center"/>
              <w:rPr>
                <w:rFonts w:ascii="Times New Roman" w:hAnsi="Times New Roman" w:cs="Times New Roman"/>
                <w:bCs/>
                <w:sz w:val="20"/>
                <w:szCs w:val="20"/>
              </w:rPr>
            </w:pPr>
          </w:p>
        </w:tc>
        <w:tc>
          <w:tcPr>
            <w:tcW w:w="851" w:type="dxa"/>
          </w:tcPr>
          <w:p w14:paraId="7C402424" w14:textId="77777777" w:rsidR="005C0A3A" w:rsidRPr="00494D70" w:rsidRDefault="005C0A3A" w:rsidP="003012DB">
            <w:pPr>
              <w:jc w:val="center"/>
              <w:rPr>
                <w:rFonts w:ascii="Times New Roman" w:hAnsi="Times New Roman" w:cs="Times New Roman"/>
                <w:bCs/>
                <w:sz w:val="20"/>
                <w:szCs w:val="20"/>
              </w:rPr>
            </w:pPr>
          </w:p>
        </w:tc>
      </w:tr>
      <w:tr w:rsidR="005C0A3A" w:rsidRPr="00494D70" w14:paraId="42A1950F" w14:textId="77777777" w:rsidTr="003012DB">
        <w:tc>
          <w:tcPr>
            <w:tcW w:w="5245" w:type="dxa"/>
          </w:tcPr>
          <w:p w14:paraId="72A5DA74"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Not working</w:t>
            </w:r>
          </w:p>
        </w:tc>
        <w:tc>
          <w:tcPr>
            <w:tcW w:w="2126" w:type="dxa"/>
          </w:tcPr>
          <w:p w14:paraId="5FBA7D7D"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13,493</w:t>
            </w:r>
          </w:p>
        </w:tc>
        <w:tc>
          <w:tcPr>
            <w:tcW w:w="851" w:type="dxa"/>
          </w:tcPr>
          <w:p w14:paraId="106D0D3D"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20.62</w:t>
            </w:r>
          </w:p>
        </w:tc>
      </w:tr>
      <w:tr w:rsidR="005C0A3A" w:rsidRPr="00494D70" w14:paraId="3C5E9B9E" w14:textId="77777777" w:rsidTr="003012DB">
        <w:tc>
          <w:tcPr>
            <w:tcW w:w="5245" w:type="dxa"/>
          </w:tcPr>
          <w:p w14:paraId="4BE02742"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Working full time</w:t>
            </w:r>
          </w:p>
        </w:tc>
        <w:tc>
          <w:tcPr>
            <w:tcW w:w="2126" w:type="dxa"/>
          </w:tcPr>
          <w:p w14:paraId="714EDB67"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37,378</w:t>
            </w:r>
          </w:p>
        </w:tc>
        <w:tc>
          <w:tcPr>
            <w:tcW w:w="851" w:type="dxa"/>
          </w:tcPr>
          <w:p w14:paraId="7943E2BE"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57.11</w:t>
            </w:r>
          </w:p>
        </w:tc>
      </w:tr>
      <w:tr w:rsidR="005C0A3A" w:rsidRPr="00494D70" w14:paraId="54B16094" w14:textId="77777777" w:rsidTr="003012DB">
        <w:tc>
          <w:tcPr>
            <w:tcW w:w="5245" w:type="dxa"/>
          </w:tcPr>
          <w:p w14:paraId="1484DB56"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 xml:space="preserve">Working </w:t>
            </w:r>
            <w:proofErr w:type="gramStart"/>
            <w:r w:rsidRPr="00494D70">
              <w:rPr>
                <w:rFonts w:ascii="Times New Roman" w:hAnsi="Times New Roman" w:cs="Times New Roman"/>
                <w:sz w:val="20"/>
                <w:szCs w:val="20"/>
              </w:rPr>
              <w:t>part</w:t>
            </w:r>
            <w:proofErr w:type="gramEnd"/>
            <w:r w:rsidRPr="00494D70">
              <w:rPr>
                <w:rFonts w:ascii="Times New Roman" w:hAnsi="Times New Roman" w:cs="Times New Roman"/>
                <w:sz w:val="20"/>
                <w:szCs w:val="20"/>
              </w:rPr>
              <w:t>-time</w:t>
            </w:r>
          </w:p>
        </w:tc>
        <w:tc>
          <w:tcPr>
            <w:tcW w:w="2126" w:type="dxa"/>
          </w:tcPr>
          <w:p w14:paraId="47DF2B0A"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9,152</w:t>
            </w:r>
          </w:p>
        </w:tc>
        <w:tc>
          <w:tcPr>
            <w:tcW w:w="851" w:type="dxa"/>
          </w:tcPr>
          <w:p w14:paraId="5782EC55"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13.98</w:t>
            </w:r>
          </w:p>
        </w:tc>
      </w:tr>
      <w:tr w:rsidR="005C0A3A" w:rsidRPr="00494D70" w14:paraId="5A9C822E" w14:textId="77777777" w:rsidTr="003012DB">
        <w:tc>
          <w:tcPr>
            <w:tcW w:w="5245" w:type="dxa"/>
          </w:tcPr>
          <w:p w14:paraId="33D2F697"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Doing odd jobs</w:t>
            </w:r>
          </w:p>
        </w:tc>
        <w:tc>
          <w:tcPr>
            <w:tcW w:w="2126" w:type="dxa"/>
          </w:tcPr>
          <w:p w14:paraId="3F4ADD1E"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5,404</w:t>
            </w:r>
          </w:p>
        </w:tc>
        <w:tc>
          <w:tcPr>
            <w:tcW w:w="851" w:type="dxa"/>
          </w:tcPr>
          <w:p w14:paraId="36118EB5"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8.26</w:t>
            </w:r>
          </w:p>
        </w:tc>
      </w:tr>
      <w:tr w:rsidR="005C0A3A" w:rsidRPr="00494D70" w14:paraId="74751ABD" w14:textId="77777777" w:rsidTr="003012DB">
        <w:tc>
          <w:tcPr>
            <w:tcW w:w="5245" w:type="dxa"/>
          </w:tcPr>
          <w:p w14:paraId="413B030A" w14:textId="77777777" w:rsidR="005C0A3A" w:rsidRPr="00494D70" w:rsidRDefault="005C0A3A" w:rsidP="003012DB">
            <w:pPr>
              <w:rPr>
                <w:rFonts w:ascii="Times New Roman" w:hAnsi="Times New Roman" w:cs="Times New Roman"/>
                <w:b/>
                <w:sz w:val="20"/>
                <w:szCs w:val="20"/>
              </w:rPr>
            </w:pPr>
            <w:r w:rsidRPr="00494D70">
              <w:rPr>
                <w:rFonts w:ascii="Times New Roman" w:hAnsi="Times New Roman" w:cs="Times New Roman"/>
                <w:b/>
                <w:sz w:val="20"/>
                <w:szCs w:val="20"/>
              </w:rPr>
              <w:t>Socioeconomic status</w:t>
            </w:r>
          </w:p>
        </w:tc>
        <w:tc>
          <w:tcPr>
            <w:tcW w:w="2126" w:type="dxa"/>
          </w:tcPr>
          <w:p w14:paraId="0FF078CB" w14:textId="77777777" w:rsidR="005C0A3A" w:rsidRPr="00494D70" w:rsidRDefault="005C0A3A" w:rsidP="003012DB">
            <w:pPr>
              <w:jc w:val="center"/>
              <w:rPr>
                <w:rFonts w:ascii="Times New Roman" w:hAnsi="Times New Roman" w:cs="Times New Roman"/>
                <w:bCs/>
                <w:sz w:val="20"/>
                <w:szCs w:val="20"/>
              </w:rPr>
            </w:pPr>
          </w:p>
        </w:tc>
        <w:tc>
          <w:tcPr>
            <w:tcW w:w="851" w:type="dxa"/>
          </w:tcPr>
          <w:p w14:paraId="1756B547" w14:textId="77777777" w:rsidR="005C0A3A" w:rsidRPr="00494D70" w:rsidRDefault="005C0A3A" w:rsidP="003012DB">
            <w:pPr>
              <w:jc w:val="center"/>
              <w:rPr>
                <w:rFonts w:ascii="Times New Roman" w:hAnsi="Times New Roman" w:cs="Times New Roman"/>
                <w:bCs/>
                <w:sz w:val="20"/>
                <w:szCs w:val="20"/>
              </w:rPr>
            </w:pPr>
          </w:p>
        </w:tc>
      </w:tr>
      <w:tr w:rsidR="005C0A3A" w:rsidRPr="00494D70" w14:paraId="3CD30F19" w14:textId="77777777" w:rsidTr="003012DB">
        <w:tc>
          <w:tcPr>
            <w:tcW w:w="5245" w:type="dxa"/>
          </w:tcPr>
          <w:p w14:paraId="4B8FBC78"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My life circumstances are among the worst</w:t>
            </w:r>
          </w:p>
        </w:tc>
        <w:tc>
          <w:tcPr>
            <w:tcW w:w="2126" w:type="dxa"/>
          </w:tcPr>
          <w:p w14:paraId="643E3284"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121</w:t>
            </w:r>
          </w:p>
        </w:tc>
        <w:tc>
          <w:tcPr>
            <w:tcW w:w="851" w:type="dxa"/>
          </w:tcPr>
          <w:p w14:paraId="4124D383"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0.18</w:t>
            </w:r>
          </w:p>
        </w:tc>
      </w:tr>
      <w:tr w:rsidR="005C0A3A" w:rsidRPr="00494D70" w14:paraId="62349F4D" w14:textId="77777777" w:rsidTr="003012DB">
        <w:tc>
          <w:tcPr>
            <w:tcW w:w="5245" w:type="dxa"/>
          </w:tcPr>
          <w:p w14:paraId="07F70901"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My life circumstances are much worse than average</w:t>
            </w:r>
          </w:p>
        </w:tc>
        <w:tc>
          <w:tcPr>
            <w:tcW w:w="2126" w:type="dxa"/>
          </w:tcPr>
          <w:p w14:paraId="2B211374"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432</w:t>
            </w:r>
          </w:p>
        </w:tc>
        <w:tc>
          <w:tcPr>
            <w:tcW w:w="851" w:type="dxa"/>
          </w:tcPr>
          <w:p w14:paraId="2EF40370"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0.66</w:t>
            </w:r>
          </w:p>
        </w:tc>
      </w:tr>
      <w:tr w:rsidR="005C0A3A" w:rsidRPr="00494D70" w14:paraId="107EA3C4" w14:textId="77777777" w:rsidTr="003012DB">
        <w:tc>
          <w:tcPr>
            <w:tcW w:w="5245" w:type="dxa"/>
          </w:tcPr>
          <w:p w14:paraId="17D02EFB"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My life circumstances are worse than average</w:t>
            </w:r>
          </w:p>
        </w:tc>
        <w:tc>
          <w:tcPr>
            <w:tcW w:w="2126" w:type="dxa"/>
          </w:tcPr>
          <w:p w14:paraId="28A71D24"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2,794</w:t>
            </w:r>
          </w:p>
        </w:tc>
        <w:tc>
          <w:tcPr>
            <w:tcW w:w="851" w:type="dxa"/>
          </w:tcPr>
          <w:p w14:paraId="2E15AC45"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4.27</w:t>
            </w:r>
          </w:p>
        </w:tc>
      </w:tr>
      <w:tr w:rsidR="005C0A3A" w:rsidRPr="00494D70" w14:paraId="37AA2D16" w14:textId="77777777" w:rsidTr="003012DB">
        <w:tc>
          <w:tcPr>
            <w:tcW w:w="5245" w:type="dxa"/>
          </w:tcPr>
          <w:p w14:paraId="655D61BB"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My life circumstances are average</w:t>
            </w:r>
          </w:p>
        </w:tc>
        <w:tc>
          <w:tcPr>
            <w:tcW w:w="2126" w:type="dxa"/>
          </w:tcPr>
          <w:p w14:paraId="4A7B205E"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20,300</w:t>
            </w:r>
          </w:p>
        </w:tc>
        <w:tc>
          <w:tcPr>
            <w:tcW w:w="851" w:type="dxa"/>
          </w:tcPr>
          <w:p w14:paraId="7095A364"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31.02</w:t>
            </w:r>
          </w:p>
        </w:tc>
      </w:tr>
      <w:tr w:rsidR="005C0A3A" w:rsidRPr="00494D70" w14:paraId="4B480F33" w14:textId="77777777" w:rsidTr="003012DB">
        <w:tc>
          <w:tcPr>
            <w:tcW w:w="5245" w:type="dxa"/>
          </w:tcPr>
          <w:p w14:paraId="16908547"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My life circumstances are better than average</w:t>
            </w:r>
          </w:p>
        </w:tc>
        <w:tc>
          <w:tcPr>
            <w:tcW w:w="2126" w:type="dxa"/>
          </w:tcPr>
          <w:p w14:paraId="4155B7EE"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25,959</w:t>
            </w:r>
          </w:p>
        </w:tc>
        <w:tc>
          <w:tcPr>
            <w:tcW w:w="851" w:type="dxa"/>
          </w:tcPr>
          <w:p w14:paraId="107DF5B6"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39.67</w:t>
            </w:r>
          </w:p>
        </w:tc>
      </w:tr>
      <w:tr w:rsidR="005C0A3A" w:rsidRPr="00494D70" w14:paraId="09B26758" w14:textId="77777777" w:rsidTr="003012DB">
        <w:tc>
          <w:tcPr>
            <w:tcW w:w="5245" w:type="dxa"/>
          </w:tcPr>
          <w:p w14:paraId="267BE754"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My life circumstances are much better than average</w:t>
            </w:r>
          </w:p>
        </w:tc>
        <w:tc>
          <w:tcPr>
            <w:tcW w:w="2126" w:type="dxa"/>
          </w:tcPr>
          <w:p w14:paraId="7A664626"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12,469</w:t>
            </w:r>
          </w:p>
        </w:tc>
        <w:tc>
          <w:tcPr>
            <w:tcW w:w="851" w:type="dxa"/>
          </w:tcPr>
          <w:p w14:paraId="409E0854"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19.05</w:t>
            </w:r>
          </w:p>
        </w:tc>
      </w:tr>
      <w:tr w:rsidR="005C0A3A" w:rsidRPr="00494D70" w14:paraId="3B034FCA" w14:textId="77777777" w:rsidTr="003012DB">
        <w:tc>
          <w:tcPr>
            <w:tcW w:w="5245" w:type="dxa"/>
          </w:tcPr>
          <w:p w14:paraId="1C3352DE"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My life circumstances are among the best</w:t>
            </w:r>
          </w:p>
        </w:tc>
        <w:tc>
          <w:tcPr>
            <w:tcW w:w="2126" w:type="dxa"/>
          </w:tcPr>
          <w:p w14:paraId="77FED574"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3,362</w:t>
            </w:r>
          </w:p>
        </w:tc>
        <w:tc>
          <w:tcPr>
            <w:tcW w:w="851" w:type="dxa"/>
          </w:tcPr>
          <w:p w14:paraId="064FB5EF"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5.14</w:t>
            </w:r>
          </w:p>
        </w:tc>
      </w:tr>
      <w:tr w:rsidR="005C0A3A" w:rsidRPr="00494D70" w14:paraId="46F7A538" w14:textId="77777777" w:rsidTr="003012DB">
        <w:tc>
          <w:tcPr>
            <w:tcW w:w="5245" w:type="dxa"/>
          </w:tcPr>
          <w:p w14:paraId="0918DA8B" w14:textId="77777777" w:rsidR="005C0A3A" w:rsidRPr="00494D70" w:rsidRDefault="005C0A3A" w:rsidP="003012DB">
            <w:pPr>
              <w:rPr>
                <w:rFonts w:ascii="Times New Roman" w:hAnsi="Times New Roman" w:cs="Times New Roman"/>
                <w:b/>
                <w:sz w:val="20"/>
                <w:szCs w:val="20"/>
              </w:rPr>
            </w:pPr>
            <w:r w:rsidRPr="00494D70">
              <w:rPr>
                <w:rFonts w:ascii="Times New Roman" w:hAnsi="Times New Roman" w:cs="Times New Roman"/>
                <w:b/>
                <w:sz w:val="20"/>
                <w:szCs w:val="20"/>
              </w:rPr>
              <w:t>Residence</w:t>
            </w:r>
          </w:p>
        </w:tc>
        <w:tc>
          <w:tcPr>
            <w:tcW w:w="2126" w:type="dxa"/>
          </w:tcPr>
          <w:p w14:paraId="1984B807" w14:textId="77777777" w:rsidR="005C0A3A" w:rsidRPr="00494D70" w:rsidRDefault="005C0A3A" w:rsidP="003012DB">
            <w:pPr>
              <w:jc w:val="center"/>
              <w:rPr>
                <w:rFonts w:ascii="Times New Roman" w:hAnsi="Times New Roman" w:cs="Times New Roman"/>
                <w:bCs/>
                <w:sz w:val="20"/>
                <w:szCs w:val="20"/>
              </w:rPr>
            </w:pPr>
          </w:p>
        </w:tc>
        <w:tc>
          <w:tcPr>
            <w:tcW w:w="851" w:type="dxa"/>
          </w:tcPr>
          <w:p w14:paraId="13949A7F" w14:textId="77777777" w:rsidR="005C0A3A" w:rsidRPr="00494D70" w:rsidRDefault="005C0A3A" w:rsidP="003012DB">
            <w:pPr>
              <w:jc w:val="center"/>
              <w:rPr>
                <w:rFonts w:ascii="Times New Roman" w:hAnsi="Times New Roman" w:cs="Times New Roman"/>
                <w:bCs/>
                <w:sz w:val="20"/>
                <w:szCs w:val="20"/>
              </w:rPr>
            </w:pPr>
          </w:p>
        </w:tc>
      </w:tr>
      <w:tr w:rsidR="005C0A3A" w:rsidRPr="00494D70" w14:paraId="0B24FD8D" w14:textId="77777777" w:rsidTr="003012DB">
        <w:tc>
          <w:tcPr>
            <w:tcW w:w="5245" w:type="dxa"/>
          </w:tcPr>
          <w:p w14:paraId="258A4032"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Metropolis (population is over 1 million people)</w:t>
            </w:r>
          </w:p>
        </w:tc>
        <w:tc>
          <w:tcPr>
            <w:tcW w:w="2126" w:type="dxa"/>
          </w:tcPr>
          <w:p w14:paraId="43CD7264"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21,082</w:t>
            </w:r>
          </w:p>
        </w:tc>
        <w:tc>
          <w:tcPr>
            <w:tcW w:w="851" w:type="dxa"/>
          </w:tcPr>
          <w:p w14:paraId="3BAA30F5"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32.21</w:t>
            </w:r>
          </w:p>
        </w:tc>
      </w:tr>
      <w:tr w:rsidR="005C0A3A" w:rsidRPr="00494D70" w14:paraId="403BE2CE" w14:textId="77777777" w:rsidTr="003012DB">
        <w:tc>
          <w:tcPr>
            <w:tcW w:w="5245" w:type="dxa"/>
          </w:tcPr>
          <w:p w14:paraId="251FB5D5"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City (population is between 100,000-999,999 people)</w:t>
            </w:r>
          </w:p>
        </w:tc>
        <w:tc>
          <w:tcPr>
            <w:tcW w:w="2126" w:type="dxa"/>
          </w:tcPr>
          <w:p w14:paraId="4C8F7B47"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23,640</w:t>
            </w:r>
          </w:p>
        </w:tc>
        <w:tc>
          <w:tcPr>
            <w:tcW w:w="851" w:type="dxa"/>
          </w:tcPr>
          <w:p w14:paraId="377936E6"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36.12</w:t>
            </w:r>
          </w:p>
        </w:tc>
      </w:tr>
      <w:tr w:rsidR="005C0A3A" w:rsidRPr="00494D70" w14:paraId="6C270D29" w14:textId="77777777" w:rsidTr="003012DB">
        <w:tc>
          <w:tcPr>
            <w:tcW w:w="5245" w:type="dxa"/>
          </w:tcPr>
          <w:p w14:paraId="5478DD17"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Town (population is between 1,000-99,999 people)</w:t>
            </w:r>
          </w:p>
        </w:tc>
        <w:tc>
          <w:tcPr>
            <w:tcW w:w="2126" w:type="dxa"/>
          </w:tcPr>
          <w:p w14:paraId="3BC6968B"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16,910</w:t>
            </w:r>
          </w:p>
        </w:tc>
        <w:tc>
          <w:tcPr>
            <w:tcW w:w="851" w:type="dxa"/>
          </w:tcPr>
          <w:p w14:paraId="4C8A2E82"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25.84</w:t>
            </w:r>
          </w:p>
        </w:tc>
      </w:tr>
      <w:tr w:rsidR="005C0A3A" w:rsidRPr="00494D70" w14:paraId="3A6C90B1" w14:textId="77777777" w:rsidTr="003012DB">
        <w:tc>
          <w:tcPr>
            <w:tcW w:w="5245" w:type="dxa"/>
          </w:tcPr>
          <w:p w14:paraId="3130D93A" w14:textId="77777777" w:rsidR="005C0A3A" w:rsidRPr="00494D70" w:rsidRDefault="005C0A3A" w:rsidP="003012DB">
            <w:pPr>
              <w:ind w:left="311"/>
              <w:rPr>
                <w:rFonts w:ascii="Times New Roman" w:hAnsi="Times New Roman" w:cs="Times New Roman"/>
                <w:bCs/>
                <w:sz w:val="20"/>
                <w:szCs w:val="20"/>
              </w:rPr>
            </w:pPr>
            <w:r w:rsidRPr="00494D70">
              <w:rPr>
                <w:rFonts w:ascii="Times New Roman" w:hAnsi="Times New Roman" w:cs="Times New Roman"/>
                <w:sz w:val="20"/>
                <w:szCs w:val="20"/>
              </w:rPr>
              <w:t>Village (population is below 1,000 people)</w:t>
            </w:r>
          </w:p>
        </w:tc>
        <w:tc>
          <w:tcPr>
            <w:tcW w:w="2126" w:type="dxa"/>
          </w:tcPr>
          <w:p w14:paraId="3A0A5F50"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3,800</w:t>
            </w:r>
          </w:p>
        </w:tc>
        <w:tc>
          <w:tcPr>
            <w:tcW w:w="851" w:type="dxa"/>
          </w:tcPr>
          <w:p w14:paraId="3AF7405A"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5.81</w:t>
            </w:r>
          </w:p>
        </w:tc>
      </w:tr>
      <w:tr w:rsidR="005C0A3A" w:rsidRPr="00494D70" w14:paraId="6C2D94A2" w14:textId="77777777" w:rsidTr="003012DB">
        <w:tc>
          <w:tcPr>
            <w:tcW w:w="5245" w:type="dxa"/>
          </w:tcPr>
          <w:p w14:paraId="71F7A187" w14:textId="77777777" w:rsidR="005C0A3A" w:rsidRPr="00494D70" w:rsidRDefault="005C0A3A" w:rsidP="003012DB">
            <w:pPr>
              <w:rPr>
                <w:rFonts w:ascii="Times New Roman" w:hAnsi="Times New Roman" w:cs="Times New Roman"/>
                <w:b/>
                <w:sz w:val="20"/>
                <w:szCs w:val="20"/>
              </w:rPr>
            </w:pPr>
            <w:r w:rsidRPr="00494D70">
              <w:rPr>
                <w:rFonts w:ascii="Times New Roman" w:hAnsi="Times New Roman" w:cs="Times New Roman"/>
                <w:b/>
                <w:sz w:val="20"/>
                <w:szCs w:val="20"/>
              </w:rPr>
              <w:t>Relationship status</w:t>
            </w:r>
          </w:p>
        </w:tc>
        <w:tc>
          <w:tcPr>
            <w:tcW w:w="2126" w:type="dxa"/>
          </w:tcPr>
          <w:p w14:paraId="43FC9FF8" w14:textId="77777777" w:rsidR="005C0A3A" w:rsidRPr="00494D70" w:rsidRDefault="005C0A3A" w:rsidP="003012DB">
            <w:pPr>
              <w:jc w:val="center"/>
              <w:rPr>
                <w:rFonts w:ascii="Times New Roman" w:hAnsi="Times New Roman" w:cs="Times New Roman"/>
                <w:bCs/>
                <w:sz w:val="20"/>
                <w:szCs w:val="20"/>
              </w:rPr>
            </w:pPr>
          </w:p>
        </w:tc>
        <w:tc>
          <w:tcPr>
            <w:tcW w:w="851" w:type="dxa"/>
          </w:tcPr>
          <w:p w14:paraId="4D91C489" w14:textId="77777777" w:rsidR="005C0A3A" w:rsidRPr="00494D70" w:rsidRDefault="005C0A3A" w:rsidP="003012DB">
            <w:pPr>
              <w:jc w:val="center"/>
              <w:rPr>
                <w:rFonts w:ascii="Times New Roman" w:hAnsi="Times New Roman" w:cs="Times New Roman"/>
                <w:bCs/>
                <w:sz w:val="20"/>
                <w:szCs w:val="20"/>
              </w:rPr>
            </w:pPr>
          </w:p>
        </w:tc>
      </w:tr>
      <w:tr w:rsidR="005C0A3A" w:rsidRPr="00494D70" w14:paraId="0258B128" w14:textId="77777777" w:rsidTr="003012DB">
        <w:tc>
          <w:tcPr>
            <w:tcW w:w="5245" w:type="dxa"/>
          </w:tcPr>
          <w:p w14:paraId="2BABF507" w14:textId="77777777" w:rsidR="005C0A3A" w:rsidRPr="00494D70" w:rsidRDefault="005C0A3A" w:rsidP="003012DB">
            <w:pPr>
              <w:ind w:left="318"/>
              <w:rPr>
                <w:rFonts w:ascii="Times New Roman" w:hAnsi="Times New Roman" w:cs="Times New Roman"/>
                <w:bCs/>
                <w:sz w:val="20"/>
                <w:szCs w:val="20"/>
              </w:rPr>
            </w:pPr>
            <w:r w:rsidRPr="00494D70">
              <w:rPr>
                <w:rFonts w:ascii="Times New Roman" w:hAnsi="Times New Roman" w:cs="Times New Roman"/>
                <w:sz w:val="20"/>
                <w:szCs w:val="20"/>
              </w:rPr>
              <w:t>Single</w:t>
            </w:r>
          </w:p>
        </w:tc>
        <w:tc>
          <w:tcPr>
            <w:tcW w:w="2126" w:type="dxa"/>
          </w:tcPr>
          <w:p w14:paraId="7EE3CFDA"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14,687</w:t>
            </w:r>
          </w:p>
        </w:tc>
        <w:tc>
          <w:tcPr>
            <w:tcW w:w="851" w:type="dxa"/>
          </w:tcPr>
          <w:p w14:paraId="04A9D4E3"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22.44</w:t>
            </w:r>
          </w:p>
        </w:tc>
      </w:tr>
      <w:tr w:rsidR="005C0A3A" w:rsidRPr="00494D70" w14:paraId="15FD089E" w14:textId="77777777" w:rsidTr="003012DB">
        <w:tc>
          <w:tcPr>
            <w:tcW w:w="5245" w:type="dxa"/>
          </w:tcPr>
          <w:p w14:paraId="1F90F0D9" w14:textId="77777777" w:rsidR="005C0A3A" w:rsidRPr="00494D70" w:rsidRDefault="005C0A3A" w:rsidP="003012DB">
            <w:pPr>
              <w:ind w:left="318"/>
              <w:rPr>
                <w:rFonts w:ascii="Times New Roman" w:hAnsi="Times New Roman" w:cs="Times New Roman"/>
                <w:bCs/>
                <w:sz w:val="20"/>
                <w:szCs w:val="20"/>
              </w:rPr>
            </w:pPr>
            <w:r w:rsidRPr="00494D70">
              <w:rPr>
                <w:rFonts w:ascii="Times New Roman" w:hAnsi="Times New Roman" w:cs="Times New Roman"/>
                <w:sz w:val="20"/>
                <w:szCs w:val="20"/>
              </w:rPr>
              <w:t>In a relationship</w:t>
            </w:r>
          </w:p>
        </w:tc>
        <w:tc>
          <w:tcPr>
            <w:tcW w:w="2126" w:type="dxa"/>
          </w:tcPr>
          <w:p w14:paraId="167479D9"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25,957</w:t>
            </w:r>
          </w:p>
        </w:tc>
        <w:tc>
          <w:tcPr>
            <w:tcW w:w="851" w:type="dxa"/>
          </w:tcPr>
          <w:p w14:paraId="0D73291D"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39.66</w:t>
            </w:r>
          </w:p>
        </w:tc>
      </w:tr>
      <w:tr w:rsidR="005C0A3A" w:rsidRPr="00494D70" w14:paraId="6A964861" w14:textId="77777777" w:rsidTr="003012DB">
        <w:tc>
          <w:tcPr>
            <w:tcW w:w="5245" w:type="dxa"/>
          </w:tcPr>
          <w:p w14:paraId="27404907" w14:textId="77777777" w:rsidR="005C0A3A" w:rsidRPr="00494D70" w:rsidRDefault="005C0A3A" w:rsidP="003012DB">
            <w:pPr>
              <w:ind w:left="318"/>
              <w:rPr>
                <w:rFonts w:ascii="Times New Roman" w:hAnsi="Times New Roman" w:cs="Times New Roman"/>
                <w:bCs/>
                <w:sz w:val="20"/>
                <w:szCs w:val="20"/>
              </w:rPr>
            </w:pPr>
            <w:r w:rsidRPr="00494D70">
              <w:rPr>
                <w:rFonts w:ascii="Times New Roman" w:hAnsi="Times New Roman" w:cs="Times New Roman"/>
                <w:sz w:val="20"/>
                <w:szCs w:val="20"/>
              </w:rPr>
              <w:t>Married or common-law partners</w:t>
            </w:r>
          </w:p>
        </w:tc>
        <w:tc>
          <w:tcPr>
            <w:tcW w:w="2126" w:type="dxa"/>
          </w:tcPr>
          <w:p w14:paraId="683E4AC9"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22,721</w:t>
            </w:r>
          </w:p>
        </w:tc>
        <w:tc>
          <w:tcPr>
            <w:tcW w:w="851" w:type="dxa"/>
          </w:tcPr>
          <w:p w14:paraId="38C7F888"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34.72</w:t>
            </w:r>
          </w:p>
        </w:tc>
      </w:tr>
      <w:tr w:rsidR="005C0A3A" w:rsidRPr="00494D70" w14:paraId="4ED2A1A0" w14:textId="77777777" w:rsidTr="003012DB">
        <w:tc>
          <w:tcPr>
            <w:tcW w:w="5245" w:type="dxa"/>
          </w:tcPr>
          <w:p w14:paraId="22639C50" w14:textId="77777777" w:rsidR="005C0A3A" w:rsidRPr="00494D70" w:rsidRDefault="005C0A3A" w:rsidP="003012DB">
            <w:pPr>
              <w:ind w:left="318"/>
              <w:rPr>
                <w:rFonts w:ascii="Times New Roman" w:hAnsi="Times New Roman" w:cs="Times New Roman"/>
                <w:bCs/>
                <w:sz w:val="20"/>
                <w:szCs w:val="20"/>
              </w:rPr>
            </w:pPr>
            <w:r w:rsidRPr="00494D70">
              <w:rPr>
                <w:rFonts w:ascii="Times New Roman" w:hAnsi="Times New Roman" w:cs="Times New Roman"/>
                <w:sz w:val="20"/>
                <w:szCs w:val="20"/>
              </w:rPr>
              <w:t>Widow or widower</w:t>
            </w:r>
          </w:p>
        </w:tc>
        <w:tc>
          <w:tcPr>
            <w:tcW w:w="2126" w:type="dxa"/>
          </w:tcPr>
          <w:p w14:paraId="62707231"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230</w:t>
            </w:r>
          </w:p>
        </w:tc>
        <w:tc>
          <w:tcPr>
            <w:tcW w:w="851" w:type="dxa"/>
          </w:tcPr>
          <w:p w14:paraId="0ED9A66F"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0.35</w:t>
            </w:r>
          </w:p>
        </w:tc>
      </w:tr>
      <w:tr w:rsidR="005C0A3A" w:rsidRPr="00494D70" w14:paraId="121B29FA" w14:textId="77777777" w:rsidTr="003012DB">
        <w:tc>
          <w:tcPr>
            <w:tcW w:w="5245" w:type="dxa"/>
          </w:tcPr>
          <w:p w14:paraId="018F64E6" w14:textId="77777777" w:rsidR="005C0A3A" w:rsidRPr="00494D70" w:rsidRDefault="005C0A3A" w:rsidP="003012DB">
            <w:pPr>
              <w:ind w:left="318"/>
              <w:rPr>
                <w:rFonts w:ascii="Times New Roman" w:hAnsi="Times New Roman" w:cs="Times New Roman"/>
                <w:bCs/>
                <w:sz w:val="20"/>
                <w:szCs w:val="20"/>
              </w:rPr>
            </w:pPr>
            <w:r w:rsidRPr="00494D70">
              <w:rPr>
                <w:rFonts w:ascii="Times New Roman" w:hAnsi="Times New Roman" w:cs="Times New Roman"/>
                <w:sz w:val="20"/>
                <w:szCs w:val="20"/>
              </w:rPr>
              <w:t>Divorced</w:t>
            </w:r>
          </w:p>
        </w:tc>
        <w:tc>
          <w:tcPr>
            <w:tcW w:w="2126" w:type="dxa"/>
          </w:tcPr>
          <w:p w14:paraId="751E8300"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1,830</w:t>
            </w:r>
          </w:p>
        </w:tc>
        <w:tc>
          <w:tcPr>
            <w:tcW w:w="851" w:type="dxa"/>
          </w:tcPr>
          <w:p w14:paraId="2E9480BA" w14:textId="77777777" w:rsidR="005C0A3A" w:rsidRPr="00494D70" w:rsidRDefault="005C0A3A" w:rsidP="003012DB">
            <w:pPr>
              <w:jc w:val="center"/>
              <w:rPr>
                <w:rFonts w:ascii="Times New Roman" w:hAnsi="Times New Roman" w:cs="Times New Roman"/>
                <w:bCs/>
                <w:sz w:val="20"/>
                <w:szCs w:val="20"/>
              </w:rPr>
            </w:pPr>
            <w:r w:rsidRPr="00494D70">
              <w:rPr>
                <w:rFonts w:ascii="Times New Roman" w:hAnsi="Times New Roman" w:cs="Times New Roman"/>
                <w:sz w:val="20"/>
                <w:szCs w:val="20"/>
              </w:rPr>
              <w:t>2.80</w:t>
            </w:r>
          </w:p>
        </w:tc>
      </w:tr>
      <w:tr w:rsidR="005C0A3A" w:rsidRPr="00494D70" w14:paraId="40DA1E68" w14:textId="77777777" w:rsidTr="003012DB">
        <w:tc>
          <w:tcPr>
            <w:tcW w:w="5245" w:type="dxa"/>
          </w:tcPr>
          <w:p w14:paraId="37261D75" w14:textId="77777777" w:rsidR="005C0A3A" w:rsidRPr="00494D70" w:rsidRDefault="005C0A3A" w:rsidP="003012DB">
            <w:pPr>
              <w:rPr>
                <w:rFonts w:ascii="Times New Roman" w:hAnsi="Times New Roman" w:cs="Times New Roman"/>
                <w:sz w:val="20"/>
                <w:szCs w:val="20"/>
              </w:rPr>
            </w:pPr>
            <w:r w:rsidRPr="00494D70">
              <w:rPr>
                <w:rFonts w:ascii="Times New Roman" w:hAnsi="Times New Roman" w:cs="Times New Roman"/>
                <w:b/>
                <w:sz w:val="20"/>
                <w:szCs w:val="20"/>
              </w:rPr>
              <w:t>Relationship status (categories used in the analyses)</w:t>
            </w:r>
          </w:p>
        </w:tc>
        <w:tc>
          <w:tcPr>
            <w:tcW w:w="2126" w:type="dxa"/>
          </w:tcPr>
          <w:p w14:paraId="4C44EFD7" w14:textId="77777777" w:rsidR="005C0A3A" w:rsidRPr="00494D70" w:rsidRDefault="005C0A3A" w:rsidP="003012DB">
            <w:pPr>
              <w:jc w:val="center"/>
              <w:rPr>
                <w:rFonts w:ascii="Times New Roman" w:hAnsi="Times New Roman" w:cs="Times New Roman"/>
                <w:sz w:val="20"/>
                <w:szCs w:val="20"/>
              </w:rPr>
            </w:pPr>
          </w:p>
        </w:tc>
        <w:tc>
          <w:tcPr>
            <w:tcW w:w="851" w:type="dxa"/>
          </w:tcPr>
          <w:p w14:paraId="0BB1D8E2" w14:textId="77777777" w:rsidR="005C0A3A" w:rsidRPr="00494D70" w:rsidRDefault="005C0A3A" w:rsidP="003012DB">
            <w:pPr>
              <w:jc w:val="center"/>
              <w:rPr>
                <w:rFonts w:ascii="Times New Roman" w:hAnsi="Times New Roman" w:cs="Times New Roman"/>
                <w:sz w:val="20"/>
                <w:szCs w:val="20"/>
              </w:rPr>
            </w:pPr>
          </w:p>
        </w:tc>
      </w:tr>
      <w:tr w:rsidR="005C0A3A" w:rsidRPr="00494D70" w14:paraId="5B5A8D1B" w14:textId="77777777" w:rsidTr="003012DB">
        <w:tc>
          <w:tcPr>
            <w:tcW w:w="5245" w:type="dxa"/>
          </w:tcPr>
          <w:p w14:paraId="0ACD607D" w14:textId="77777777" w:rsidR="005C0A3A" w:rsidRPr="00494D70" w:rsidRDefault="005C0A3A" w:rsidP="003012DB">
            <w:pPr>
              <w:ind w:left="318"/>
              <w:rPr>
                <w:rFonts w:ascii="Times New Roman" w:hAnsi="Times New Roman" w:cs="Times New Roman"/>
                <w:sz w:val="20"/>
                <w:szCs w:val="20"/>
              </w:rPr>
            </w:pPr>
            <w:r w:rsidRPr="00494D70">
              <w:rPr>
                <w:rFonts w:ascii="Times New Roman" w:hAnsi="Times New Roman" w:cs="Times New Roman"/>
                <w:sz w:val="20"/>
                <w:szCs w:val="20"/>
              </w:rPr>
              <w:t>Single</w:t>
            </w:r>
          </w:p>
        </w:tc>
        <w:tc>
          <w:tcPr>
            <w:tcW w:w="2126" w:type="dxa"/>
          </w:tcPr>
          <w:p w14:paraId="03FB53AF"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16,747</w:t>
            </w:r>
          </w:p>
        </w:tc>
        <w:tc>
          <w:tcPr>
            <w:tcW w:w="851" w:type="dxa"/>
          </w:tcPr>
          <w:p w14:paraId="5BC623DC"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25.59</w:t>
            </w:r>
          </w:p>
        </w:tc>
      </w:tr>
      <w:tr w:rsidR="005C0A3A" w:rsidRPr="00494D70" w14:paraId="6495364C" w14:textId="77777777" w:rsidTr="003012DB">
        <w:tc>
          <w:tcPr>
            <w:tcW w:w="5245" w:type="dxa"/>
          </w:tcPr>
          <w:p w14:paraId="3BE42B03" w14:textId="77777777" w:rsidR="005C0A3A" w:rsidRPr="00494D70" w:rsidRDefault="005C0A3A" w:rsidP="003012DB">
            <w:pPr>
              <w:ind w:left="318"/>
              <w:rPr>
                <w:rFonts w:ascii="Times New Roman" w:hAnsi="Times New Roman" w:cs="Times New Roman"/>
                <w:sz w:val="20"/>
                <w:szCs w:val="20"/>
              </w:rPr>
            </w:pPr>
            <w:r w:rsidRPr="00494D70">
              <w:rPr>
                <w:rFonts w:ascii="Times New Roman" w:hAnsi="Times New Roman" w:cs="Times New Roman"/>
                <w:sz w:val="20"/>
                <w:szCs w:val="20"/>
              </w:rPr>
              <w:t>In a relationship</w:t>
            </w:r>
          </w:p>
        </w:tc>
        <w:tc>
          <w:tcPr>
            <w:tcW w:w="2126" w:type="dxa"/>
          </w:tcPr>
          <w:p w14:paraId="3B52E2A3"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48,678</w:t>
            </w:r>
          </w:p>
        </w:tc>
        <w:tc>
          <w:tcPr>
            <w:tcW w:w="851" w:type="dxa"/>
          </w:tcPr>
          <w:p w14:paraId="75CD6B2B"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74.38</w:t>
            </w:r>
          </w:p>
        </w:tc>
      </w:tr>
      <w:tr w:rsidR="005C0A3A" w:rsidRPr="00494D70" w14:paraId="7682AF9C" w14:textId="77777777" w:rsidTr="003012DB">
        <w:tc>
          <w:tcPr>
            <w:tcW w:w="5245" w:type="dxa"/>
          </w:tcPr>
          <w:p w14:paraId="4B50EE2E" w14:textId="77777777" w:rsidR="005C0A3A" w:rsidRPr="00494D70" w:rsidRDefault="005C0A3A" w:rsidP="003012DB">
            <w:pPr>
              <w:rPr>
                <w:rFonts w:ascii="Times New Roman" w:hAnsi="Times New Roman" w:cs="Times New Roman"/>
                <w:b/>
                <w:bCs/>
                <w:sz w:val="20"/>
                <w:szCs w:val="20"/>
              </w:rPr>
            </w:pPr>
            <w:r w:rsidRPr="00494D70">
              <w:rPr>
                <w:rFonts w:ascii="Times New Roman" w:hAnsi="Times New Roman" w:cs="Times New Roman"/>
                <w:b/>
                <w:bCs/>
                <w:sz w:val="20"/>
                <w:szCs w:val="20"/>
              </w:rPr>
              <w:t>Having children</w:t>
            </w:r>
          </w:p>
        </w:tc>
        <w:tc>
          <w:tcPr>
            <w:tcW w:w="2126" w:type="dxa"/>
          </w:tcPr>
          <w:p w14:paraId="7ACE3C1D" w14:textId="77777777" w:rsidR="005C0A3A" w:rsidRPr="00494D70" w:rsidRDefault="005C0A3A" w:rsidP="003012DB">
            <w:pPr>
              <w:jc w:val="center"/>
              <w:rPr>
                <w:rFonts w:ascii="Times New Roman" w:hAnsi="Times New Roman" w:cs="Times New Roman"/>
                <w:sz w:val="20"/>
                <w:szCs w:val="20"/>
              </w:rPr>
            </w:pPr>
          </w:p>
        </w:tc>
        <w:tc>
          <w:tcPr>
            <w:tcW w:w="851" w:type="dxa"/>
          </w:tcPr>
          <w:p w14:paraId="54E529D5" w14:textId="77777777" w:rsidR="005C0A3A" w:rsidRPr="00494D70" w:rsidRDefault="005C0A3A" w:rsidP="003012DB">
            <w:pPr>
              <w:jc w:val="center"/>
              <w:rPr>
                <w:rFonts w:ascii="Times New Roman" w:hAnsi="Times New Roman" w:cs="Times New Roman"/>
                <w:sz w:val="20"/>
                <w:szCs w:val="20"/>
              </w:rPr>
            </w:pPr>
          </w:p>
        </w:tc>
      </w:tr>
      <w:tr w:rsidR="005C0A3A" w:rsidRPr="00494D70" w14:paraId="504734EA" w14:textId="77777777" w:rsidTr="003012DB">
        <w:tc>
          <w:tcPr>
            <w:tcW w:w="5245" w:type="dxa"/>
          </w:tcPr>
          <w:p w14:paraId="0E97EEB5" w14:textId="77777777" w:rsidR="005C0A3A" w:rsidRPr="00494D70" w:rsidRDefault="005C0A3A" w:rsidP="003012DB">
            <w:pPr>
              <w:ind w:left="318"/>
              <w:rPr>
                <w:rFonts w:ascii="Times New Roman" w:hAnsi="Times New Roman" w:cs="Times New Roman"/>
                <w:sz w:val="20"/>
                <w:szCs w:val="20"/>
              </w:rPr>
            </w:pPr>
            <w:r w:rsidRPr="00494D70">
              <w:rPr>
                <w:rFonts w:ascii="Times New Roman" w:hAnsi="Times New Roman" w:cs="Times New Roman"/>
                <w:sz w:val="20"/>
                <w:szCs w:val="20"/>
              </w:rPr>
              <w:t>No</w:t>
            </w:r>
          </w:p>
        </w:tc>
        <w:tc>
          <w:tcPr>
            <w:tcW w:w="2126" w:type="dxa"/>
          </w:tcPr>
          <w:p w14:paraId="75AD531E"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43,681</w:t>
            </w:r>
          </w:p>
        </w:tc>
        <w:tc>
          <w:tcPr>
            <w:tcW w:w="851" w:type="dxa"/>
          </w:tcPr>
          <w:p w14:paraId="155A9D0A"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66.74</w:t>
            </w:r>
          </w:p>
        </w:tc>
      </w:tr>
      <w:tr w:rsidR="005C0A3A" w:rsidRPr="00494D70" w14:paraId="08DAE223" w14:textId="77777777" w:rsidTr="003012DB">
        <w:tc>
          <w:tcPr>
            <w:tcW w:w="5245" w:type="dxa"/>
          </w:tcPr>
          <w:p w14:paraId="56C5DC42" w14:textId="77777777" w:rsidR="005C0A3A" w:rsidRPr="00494D70" w:rsidRDefault="005C0A3A" w:rsidP="003012DB">
            <w:pPr>
              <w:ind w:left="318"/>
              <w:rPr>
                <w:rFonts w:ascii="Times New Roman" w:hAnsi="Times New Roman" w:cs="Times New Roman"/>
                <w:sz w:val="20"/>
                <w:szCs w:val="20"/>
              </w:rPr>
            </w:pPr>
            <w:r w:rsidRPr="00494D70">
              <w:rPr>
                <w:rFonts w:ascii="Times New Roman" w:hAnsi="Times New Roman" w:cs="Times New Roman"/>
                <w:sz w:val="20"/>
                <w:szCs w:val="20"/>
              </w:rPr>
              <w:t>Yes, 1</w:t>
            </w:r>
          </w:p>
        </w:tc>
        <w:tc>
          <w:tcPr>
            <w:tcW w:w="2126" w:type="dxa"/>
          </w:tcPr>
          <w:p w14:paraId="7F9FB55A"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7,564</w:t>
            </w:r>
          </w:p>
        </w:tc>
        <w:tc>
          <w:tcPr>
            <w:tcW w:w="851" w:type="dxa"/>
          </w:tcPr>
          <w:p w14:paraId="2CFD34AF"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11.56</w:t>
            </w:r>
          </w:p>
        </w:tc>
      </w:tr>
      <w:tr w:rsidR="005C0A3A" w:rsidRPr="00494D70" w14:paraId="2C750572" w14:textId="77777777" w:rsidTr="003012DB">
        <w:tc>
          <w:tcPr>
            <w:tcW w:w="5245" w:type="dxa"/>
          </w:tcPr>
          <w:p w14:paraId="502213E8" w14:textId="77777777" w:rsidR="005C0A3A" w:rsidRPr="00494D70" w:rsidRDefault="005C0A3A" w:rsidP="003012DB">
            <w:pPr>
              <w:ind w:left="318"/>
              <w:rPr>
                <w:rFonts w:ascii="Times New Roman" w:hAnsi="Times New Roman" w:cs="Times New Roman"/>
                <w:sz w:val="20"/>
                <w:szCs w:val="20"/>
              </w:rPr>
            </w:pPr>
            <w:r w:rsidRPr="00494D70">
              <w:rPr>
                <w:rFonts w:ascii="Times New Roman" w:hAnsi="Times New Roman" w:cs="Times New Roman"/>
                <w:sz w:val="20"/>
                <w:szCs w:val="20"/>
              </w:rPr>
              <w:t>Yes, 2</w:t>
            </w:r>
          </w:p>
        </w:tc>
        <w:tc>
          <w:tcPr>
            <w:tcW w:w="2126" w:type="dxa"/>
          </w:tcPr>
          <w:p w14:paraId="46629827"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9,265</w:t>
            </w:r>
          </w:p>
        </w:tc>
        <w:tc>
          <w:tcPr>
            <w:tcW w:w="851" w:type="dxa"/>
          </w:tcPr>
          <w:p w14:paraId="4F73E716"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14.16</w:t>
            </w:r>
          </w:p>
        </w:tc>
      </w:tr>
      <w:tr w:rsidR="005C0A3A" w:rsidRPr="00494D70" w14:paraId="134CDF82" w14:textId="77777777" w:rsidTr="003012DB">
        <w:tc>
          <w:tcPr>
            <w:tcW w:w="5245" w:type="dxa"/>
          </w:tcPr>
          <w:p w14:paraId="205EA0B6" w14:textId="77777777" w:rsidR="005C0A3A" w:rsidRPr="00494D70" w:rsidRDefault="005C0A3A" w:rsidP="003012DB">
            <w:pPr>
              <w:ind w:left="318"/>
              <w:rPr>
                <w:rFonts w:ascii="Times New Roman" w:hAnsi="Times New Roman" w:cs="Times New Roman"/>
                <w:sz w:val="20"/>
                <w:szCs w:val="20"/>
              </w:rPr>
            </w:pPr>
            <w:r w:rsidRPr="00494D70">
              <w:rPr>
                <w:rFonts w:ascii="Times New Roman" w:hAnsi="Times New Roman" w:cs="Times New Roman"/>
                <w:sz w:val="20"/>
                <w:szCs w:val="20"/>
              </w:rPr>
              <w:t>Yes, 3</w:t>
            </w:r>
          </w:p>
        </w:tc>
        <w:tc>
          <w:tcPr>
            <w:tcW w:w="2126" w:type="dxa"/>
          </w:tcPr>
          <w:p w14:paraId="694825BB"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34,29</w:t>
            </w:r>
          </w:p>
        </w:tc>
        <w:tc>
          <w:tcPr>
            <w:tcW w:w="851" w:type="dxa"/>
          </w:tcPr>
          <w:p w14:paraId="0FDC58F1"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5.24</w:t>
            </w:r>
          </w:p>
        </w:tc>
      </w:tr>
      <w:tr w:rsidR="005C0A3A" w:rsidRPr="00494D70" w14:paraId="57C2A11C" w14:textId="77777777" w:rsidTr="003012DB">
        <w:tc>
          <w:tcPr>
            <w:tcW w:w="5245" w:type="dxa"/>
          </w:tcPr>
          <w:p w14:paraId="07273C6C" w14:textId="77777777" w:rsidR="005C0A3A" w:rsidRPr="00494D70" w:rsidRDefault="005C0A3A" w:rsidP="003012DB">
            <w:pPr>
              <w:ind w:left="318"/>
              <w:rPr>
                <w:rFonts w:ascii="Times New Roman" w:hAnsi="Times New Roman" w:cs="Times New Roman"/>
                <w:sz w:val="20"/>
                <w:szCs w:val="20"/>
              </w:rPr>
            </w:pPr>
            <w:r w:rsidRPr="00494D70">
              <w:rPr>
                <w:rFonts w:ascii="Times New Roman" w:hAnsi="Times New Roman" w:cs="Times New Roman"/>
                <w:sz w:val="20"/>
                <w:szCs w:val="20"/>
              </w:rPr>
              <w:t>Yes, 4</w:t>
            </w:r>
          </w:p>
        </w:tc>
        <w:tc>
          <w:tcPr>
            <w:tcW w:w="2126" w:type="dxa"/>
          </w:tcPr>
          <w:p w14:paraId="0745A593"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906</w:t>
            </w:r>
          </w:p>
        </w:tc>
        <w:tc>
          <w:tcPr>
            <w:tcW w:w="851" w:type="dxa"/>
          </w:tcPr>
          <w:p w14:paraId="15ED9D92"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1.38</w:t>
            </w:r>
          </w:p>
        </w:tc>
      </w:tr>
      <w:tr w:rsidR="005C0A3A" w:rsidRPr="00494D70" w14:paraId="243F652D" w14:textId="77777777" w:rsidTr="003012DB">
        <w:tc>
          <w:tcPr>
            <w:tcW w:w="5245" w:type="dxa"/>
          </w:tcPr>
          <w:p w14:paraId="60AB9C6A" w14:textId="77777777" w:rsidR="005C0A3A" w:rsidRPr="00494D70" w:rsidRDefault="005C0A3A" w:rsidP="003012DB">
            <w:pPr>
              <w:ind w:left="318"/>
              <w:rPr>
                <w:rFonts w:ascii="Times New Roman" w:hAnsi="Times New Roman" w:cs="Times New Roman"/>
                <w:sz w:val="20"/>
                <w:szCs w:val="20"/>
              </w:rPr>
            </w:pPr>
            <w:r w:rsidRPr="00494D70">
              <w:rPr>
                <w:rFonts w:ascii="Times New Roman" w:hAnsi="Times New Roman" w:cs="Times New Roman"/>
                <w:sz w:val="20"/>
                <w:szCs w:val="20"/>
              </w:rPr>
              <w:t>Yes, 5</w:t>
            </w:r>
          </w:p>
        </w:tc>
        <w:tc>
          <w:tcPr>
            <w:tcW w:w="2126" w:type="dxa"/>
          </w:tcPr>
          <w:p w14:paraId="329C8844"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263</w:t>
            </w:r>
          </w:p>
        </w:tc>
        <w:tc>
          <w:tcPr>
            <w:tcW w:w="851" w:type="dxa"/>
          </w:tcPr>
          <w:p w14:paraId="3A2478E9"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0.40</w:t>
            </w:r>
          </w:p>
        </w:tc>
      </w:tr>
      <w:tr w:rsidR="005C0A3A" w:rsidRPr="00494D70" w14:paraId="24A64ABD" w14:textId="77777777" w:rsidTr="003012DB">
        <w:trPr>
          <w:trHeight w:val="80"/>
        </w:trPr>
        <w:tc>
          <w:tcPr>
            <w:tcW w:w="5245" w:type="dxa"/>
          </w:tcPr>
          <w:p w14:paraId="2F1943B8" w14:textId="77777777" w:rsidR="005C0A3A" w:rsidRPr="00494D70" w:rsidRDefault="005C0A3A" w:rsidP="003012DB">
            <w:pPr>
              <w:ind w:left="318"/>
              <w:rPr>
                <w:rFonts w:ascii="Times New Roman" w:hAnsi="Times New Roman" w:cs="Times New Roman"/>
                <w:sz w:val="20"/>
                <w:szCs w:val="20"/>
              </w:rPr>
            </w:pPr>
            <w:r w:rsidRPr="00494D70">
              <w:rPr>
                <w:rFonts w:ascii="Times New Roman" w:hAnsi="Times New Roman" w:cs="Times New Roman"/>
                <w:sz w:val="20"/>
                <w:szCs w:val="20"/>
              </w:rPr>
              <w:t>Yes, 6-9</w:t>
            </w:r>
          </w:p>
        </w:tc>
        <w:tc>
          <w:tcPr>
            <w:tcW w:w="2126" w:type="dxa"/>
          </w:tcPr>
          <w:p w14:paraId="7747B18C"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111</w:t>
            </w:r>
          </w:p>
        </w:tc>
        <w:tc>
          <w:tcPr>
            <w:tcW w:w="851" w:type="dxa"/>
          </w:tcPr>
          <w:p w14:paraId="1473418C"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0.17</w:t>
            </w:r>
          </w:p>
        </w:tc>
      </w:tr>
      <w:tr w:rsidR="005C0A3A" w:rsidRPr="00494D70" w14:paraId="6520AEF4" w14:textId="77777777" w:rsidTr="003012DB">
        <w:tc>
          <w:tcPr>
            <w:tcW w:w="5245" w:type="dxa"/>
            <w:tcBorders>
              <w:bottom w:val="single" w:sz="4" w:space="0" w:color="auto"/>
            </w:tcBorders>
          </w:tcPr>
          <w:p w14:paraId="1A8DF4F4" w14:textId="77777777" w:rsidR="005C0A3A" w:rsidRPr="00494D70" w:rsidRDefault="005C0A3A" w:rsidP="003012DB">
            <w:pPr>
              <w:ind w:left="318"/>
              <w:rPr>
                <w:rFonts w:ascii="Times New Roman" w:hAnsi="Times New Roman" w:cs="Times New Roman"/>
                <w:sz w:val="20"/>
                <w:szCs w:val="20"/>
              </w:rPr>
            </w:pPr>
            <w:r w:rsidRPr="00494D70">
              <w:rPr>
                <w:rFonts w:ascii="Times New Roman" w:hAnsi="Times New Roman" w:cs="Times New Roman"/>
                <w:sz w:val="20"/>
                <w:szCs w:val="20"/>
              </w:rPr>
              <w:t>Yes, 10 or more</w:t>
            </w:r>
          </w:p>
        </w:tc>
        <w:tc>
          <w:tcPr>
            <w:tcW w:w="2126" w:type="dxa"/>
            <w:tcBorders>
              <w:bottom w:val="single" w:sz="4" w:space="0" w:color="auto"/>
            </w:tcBorders>
          </w:tcPr>
          <w:p w14:paraId="52FAE245"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18</w:t>
            </w:r>
          </w:p>
        </w:tc>
        <w:tc>
          <w:tcPr>
            <w:tcW w:w="851" w:type="dxa"/>
            <w:tcBorders>
              <w:bottom w:val="single" w:sz="4" w:space="0" w:color="auto"/>
            </w:tcBorders>
          </w:tcPr>
          <w:p w14:paraId="7DC762A7"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0.03</w:t>
            </w:r>
          </w:p>
        </w:tc>
      </w:tr>
      <w:tr w:rsidR="005C0A3A" w:rsidRPr="00494D70" w14:paraId="257BD755" w14:textId="77777777" w:rsidTr="003012DB">
        <w:tc>
          <w:tcPr>
            <w:tcW w:w="5245" w:type="dxa"/>
            <w:tcBorders>
              <w:top w:val="single" w:sz="4" w:space="0" w:color="auto"/>
              <w:bottom w:val="single" w:sz="4" w:space="0" w:color="auto"/>
            </w:tcBorders>
          </w:tcPr>
          <w:p w14:paraId="31E4C472" w14:textId="77777777" w:rsidR="005C0A3A" w:rsidRPr="00494D70" w:rsidRDefault="005C0A3A" w:rsidP="003012DB">
            <w:pPr>
              <w:ind w:left="318"/>
              <w:rPr>
                <w:rFonts w:ascii="Times New Roman" w:hAnsi="Times New Roman" w:cs="Times New Roman"/>
                <w:sz w:val="20"/>
                <w:szCs w:val="20"/>
              </w:rPr>
            </w:pPr>
          </w:p>
        </w:tc>
        <w:tc>
          <w:tcPr>
            <w:tcW w:w="2126" w:type="dxa"/>
            <w:tcBorders>
              <w:top w:val="single" w:sz="4" w:space="0" w:color="auto"/>
              <w:bottom w:val="single" w:sz="4" w:space="0" w:color="auto"/>
            </w:tcBorders>
          </w:tcPr>
          <w:p w14:paraId="30512248" w14:textId="77777777" w:rsidR="005C0A3A" w:rsidRPr="00494D70" w:rsidRDefault="005C0A3A" w:rsidP="003012DB">
            <w:pPr>
              <w:jc w:val="center"/>
              <w:rPr>
                <w:rFonts w:ascii="Times New Roman" w:hAnsi="Times New Roman" w:cs="Times New Roman"/>
                <w:i/>
                <w:iCs/>
                <w:sz w:val="20"/>
                <w:szCs w:val="20"/>
              </w:rPr>
            </w:pPr>
            <w:r w:rsidRPr="00494D70">
              <w:rPr>
                <w:rFonts w:ascii="Times New Roman" w:hAnsi="Times New Roman" w:cs="Times New Roman"/>
                <w:i/>
                <w:iCs/>
                <w:sz w:val="20"/>
                <w:szCs w:val="20"/>
              </w:rPr>
              <w:t>M</w:t>
            </w:r>
          </w:p>
        </w:tc>
        <w:tc>
          <w:tcPr>
            <w:tcW w:w="851" w:type="dxa"/>
            <w:tcBorders>
              <w:top w:val="single" w:sz="4" w:space="0" w:color="auto"/>
              <w:bottom w:val="single" w:sz="4" w:space="0" w:color="auto"/>
            </w:tcBorders>
          </w:tcPr>
          <w:p w14:paraId="339CE7F8" w14:textId="77777777" w:rsidR="005C0A3A" w:rsidRPr="00494D70" w:rsidRDefault="005C0A3A" w:rsidP="003012DB">
            <w:pPr>
              <w:jc w:val="center"/>
              <w:rPr>
                <w:rFonts w:ascii="Times New Roman" w:hAnsi="Times New Roman" w:cs="Times New Roman"/>
                <w:i/>
                <w:iCs/>
                <w:sz w:val="20"/>
                <w:szCs w:val="20"/>
              </w:rPr>
            </w:pPr>
            <w:r w:rsidRPr="00494D70">
              <w:rPr>
                <w:rFonts w:ascii="Times New Roman" w:hAnsi="Times New Roman" w:cs="Times New Roman"/>
                <w:i/>
                <w:iCs/>
                <w:sz w:val="20"/>
                <w:szCs w:val="20"/>
              </w:rPr>
              <w:t>SD</w:t>
            </w:r>
          </w:p>
        </w:tc>
      </w:tr>
      <w:tr w:rsidR="005C0A3A" w:rsidRPr="00494D70" w14:paraId="2D1B8797" w14:textId="77777777" w:rsidTr="003012DB">
        <w:tc>
          <w:tcPr>
            <w:tcW w:w="5245" w:type="dxa"/>
            <w:tcBorders>
              <w:top w:val="single" w:sz="4" w:space="0" w:color="auto"/>
              <w:bottom w:val="single" w:sz="4" w:space="0" w:color="auto"/>
            </w:tcBorders>
          </w:tcPr>
          <w:p w14:paraId="1B00A13C" w14:textId="77777777" w:rsidR="005C0A3A" w:rsidRPr="00494D70" w:rsidRDefault="005C0A3A" w:rsidP="003012DB">
            <w:pPr>
              <w:ind w:left="30"/>
              <w:rPr>
                <w:rFonts w:ascii="Times New Roman" w:hAnsi="Times New Roman" w:cs="Times New Roman"/>
                <w:b/>
                <w:bCs/>
                <w:sz w:val="20"/>
                <w:szCs w:val="20"/>
              </w:rPr>
            </w:pPr>
            <w:r w:rsidRPr="00494D70">
              <w:rPr>
                <w:rFonts w:ascii="Times New Roman" w:hAnsi="Times New Roman" w:cs="Times New Roman"/>
                <w:b/>
                <w:bCs/>
                <w:sz w:val="20"/>
                <w:szCs w:val="20"/>
              </w:rPr>
              <w:t>Age</w:t>
            </w:r>
          </w:p>
        </w:tc>
        <w:tc>
          <w:tcPr>
            <w:tcW w:w="2126" w:type="dxa"/>
            <w:tcBorders>
              <w:top w:val="single" w:sz="4" w:space="0" w:color="auto"/>
              <w:bottom w:val="single" w:sz="4" w:space="0" w:color="auto"/>
            </w:tcBorders>
          </w:tcPr>
          <w:p w14:paraId="02364DF9"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32.98</w:t>
            </w:r>
          </w:p>
        </w:tc>
        <w:tc>
          <w:tcPr>
            <w:tcW w:w="851" w:type="dxa"/>
            <w:tcBorders>
              <w:top w:val="single" w:sz="4" w:space="0" w:color="auto"/>
              <w:bottom w:val="single" w:sz="4" w:space="0" w:color="auto"/>
            </w:tcBorders>
          </w:tcPr>
          <w:p w14:paraId="7859EE65"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12.08</w:t>
            </w:r>
          </w:p>
        </w:tc>
      </w:tr>
    </w:tbl>
    <w:p w14:paraId="142D6FD2" w14:textId="77777777" w:rsidR="005C0A3A" w:rsidRPr="00494D70" w:rsidRDefault="005C0A3A" w:rsidP="005C0A3A">
      <w:pPr>
        <w:spacing w:after="0" w:line="240" w:lineRule="auto"/>
        <w:rPr>
          <w:rFonts w:ascii="Times New Roman" w:hAnsi="Times New Roman" w:cs="Times New Roman"/>
          <w:bCs/>
          <w:sz w:val="24"/>
          <w:szCs w:val="24"/>
        </w:rPr>
        <w:sectPr w:rsidR="005C0A3A" w:rsidRPr="00494D70" w:rsidSect="00434369">
          <w:pgSz w:w="11906" w:h="16838"/>
          <w:pgMar w:top="1418" w:right="1418" w:bottom="1418" w:left="1276" w:header="709" w:footer="709" w:gutter="0"/>
          <w:cols w:space="708"/>
          <w:docGrid w:linePitch="360"/>
        </w:sectPr>
      </w:pPr>
      <w:r w:rsidRPr="00494D70">
        <w:rPr>
          <w:rFonts w:ascii="Times New Roman" w:hAnsi="Times New Roman" w:cs="Times New Roman"/>
          <w:bCs/>
          <w:i/>
          <w:iCs/>
          <w:sz w:val="24"/>
          <w:szCs w:val="24"/>
        </w:rPr>
        <w:t>Note</w:t>
      </w:r>
      <w:r w:rsidRPr="00494D70">
        <w:rPr>
          <w:rFonts w:ascii="Times New Roman" w:hAnsi="Times New Roman" w:cs="Times New Roman"/>
          <w:bCs/>
          <w:sz w:val="24"/>
          <w:szCs w:val="24"/>
        </w:rPr>
        <w:t xml:space="preserve">. Percentages might not add up to 100% due to missing data. </w:t>
      </w:r>
      <w:r w:rsidRPr="00494D70">
        <w:rPr>
          <w:rFonts w:ascii="Times New Roman" w:hAnsi="Times New Roman" w:cs="Times New Roman"/>
          <w:bCs/>
          <w:i/>
          <w:iCs/>
          <w:sz w:val="24"/>
          <w:szCs w:val="24"/>
        </w:rPr>
        <w:t>M</w:t>
      </w:r>
      <w:r w:rsidRPr="00494D70">
        <w:rPr>
          <w:rFonts w:ascii="Times New Roman" w:hAnsi="Times New Roman" w:cs="Times New Roman"/>
          <w:bCs/>
          <w:sz w:val="24"/>
          <w:szCs w:val="24"/>
        </w:rPr>
        <w:t xml:space="preserve"> = mean, </w:t>
      </w:r>
      <w:r w:rsidRPr="00494D70">
        <w:rPr>
          <w:rFonts w:ascii="Times New Roman" w:hAnsi="Times New Roman" w:cs="Times New Roman"/>
          <w:bCs/>
          <w:i/>
          <w:iCs/>
          <w:sz w:val="24"/>
          <w:szCs w:val="24"/>
        </w:rPr>
        <w:t>SD</w:t>
      </w:r>
      <w:r w:rsidRPr="00494D70">
        <w:rPr>
          <w:rFonts w:ascii="Times New Roman" w:hAnsi="Times New Roman" w:cs="Times New Roman"/>
          <w:bCs/>
          <w:sz w:val="24"/>
          <w:szCs w:val="24"/>
        </w:rPr>
        <w:t xml:space="preserve"> = standard deviation. </w:t>
      </w:r>
    </w:p>
    <w:p w14:paraId="3AC4278F" w14:textId="77777777" w:rsidR="005C0A3A" w:rsidRPr="00494D70" w:rsidRDefault="005C0A3A" w:rsidP="005C0A3A">
      <w:pPr>
        <w:rPr>
          <w:rFonts w:ascii="Times New Roman" w:hAnsi="Times New Roman" w:cs="Times New Roman"/>
          <w:bCs/>
          <w:sz w:val="24"/>
          <w:szCs w:val="24"/>
        </w:rPr>
      </w:pPr>
      <w:r w:rsidRPr="00494D70">
        <w:rPr>
          <w:rFonts w:ascii="Times New Roman" w:hAnsi="Times New Roman" w:cs="Times New Roman"/>
          <w:b/>
          <w:sz w:val="24"/>
          <w:szCs w:val="24"/>
        </w:rPr>
        <w:lastRenderedPageBreak/>
        <w:t>Table 2</w:t>
      </w:r>
      <w:r w:rsidRPr="00494D70">
        <w:rPr>
          <w:rFonts w:ascii="Times New Roman" w:hAnsi="Times New Roman" w:cs="Times New Roman"/>
          <w:bCs/>
          <w:sz w:val="24"/>
          <w:szCs w:val="24"/>
        </w:rPr>
        <w:br/>
      </w:r>
      <w:r w:rsidRPr="00494D70">
        <w:rPr>
          <w:rFonts w:ascii="Times New Roman" w:hAnsi="Times New Roman" w:cs="Times New Roman"/>
          <w:bCs/>
          <w:i/>
          <w:iCs/>
          <w:sz w:val="24"/>
          <w:szCs w:val="24"/>
        </w:rPr>
        <w:t>Descriptive Statistics of the Items of the Short Sexual Assertiveness Questionnaire (SAQ-9)</w:t>
      </w:r>
    </w:p>
    <w:tbl>
      <w:tblPr>
        <w:tblStyle w:val="TableGrid1"/>
        <w:tblW w:w="12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5"/>
        <w:gridCol w:w="842"/>
        <w:gridCol w:w="717"/>
        <w:gridCol w:w="567"/>
        <w:gridCol w:w="851"/>
        <w:gridCol w:w="567"/>
        <w:gridCol w:w="709"/>
        <w:gridCol w:w="567"/>
      </w:tblGrid>
      <w:tr w:rsidR="005C0A3A" w:rsidRPr="00494D70" w14:paraId="6E4B52CD" w14:textId="77777777" w:rsidTr="003012DB">
        <w:trPr>
          <w:trHeight w:val="75"/>
        </w:trPr>
        <w:tc>
          <w:tcPr>
            <w:tcW w:w="7655" w:type="dxa"/>
            <w:tcBorders>
              <w:top w:val="single" w:sz="4" w:space="0" w:color="auto"/>
            </w:tcBorders>
            <w:vAlign w:val="center"/>
          </w:tcPr>
          <w:p w14:paraId="122E6CDF" w14:textId="77777777" w:rsidR="005C0A3A" w:rsidRPr="00494D70" w:rsidRDefault="005C0A3A" w:rsidP="003012DB">
            <w:pP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Items</w:t>
            </w:r>
          </w:p>
        </w:tc>
        <w:tc>
          <w:tcPr>
            <w:tcW w:w="842" w:type="dxa"/>
            <w:tcBorders>
              <w:top w:val="single" w:sz="4" w:space="0" w:color="auto"/>
            </w:tcBorders>
            <w:vAlign w:val="center"/>
          </w:tcPr>
          <w:p w14:paraId="1A136B46"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Range</w:t>
            </w:r>
          </w:p>
        </w:tc>
        <w:tc>
          <w:tcPr>
            <w:tcW w:w="717" w:type="dxa"/>
            <w:tcBorders>
              <w:top w:val="single" w:sz="4" w:space="0" w:color="auto"/>
            </w:tcBorders>
            <w:vAlign w:val="center"/>
          </w:tcPr>
          <w:p w14:paraId="7607221C" w14:textId="77777777" w:rsidR="005C0A3A" w:rsidRPr="00494D70" w:rsidRDefault="005C0A3A" w:rsidP="003012DB">
            <w:pPr>
              <w:jc w:val="center"/>
              <w:rPr>
                <w:rFonts w:ascii="Times New Roman" w:eastAsia="Times New Roman" w:hAnsi="Times New Roman" w:cs="Times New Roman"/>
                <w:i/>
                <w:iCs/>
                <w:color w:val="000000" w:themeColor="text1"/>
                <w:sz w:val="20"/>
                <w:szCs w:val="20"/>
              </w:rPr>
            </w:pPr>
            <w:r w:rsidRPr="00494D70">
              <w:rPr>
                <w:rFonts w:ascii="Times New Roman" w:eastAsia="Times New Roman" w:hAnsi="Times New Roman" w:cs="Times New Roman"/>
                <w:i/>
                <w:iCs/>
                <w:color w:val="000000" w:themeColor="text1"/>
                <w:sz w:val="20"/>
                <w:szCs w:val="20"/>
              </w:rPr>
              <w:t>M</w:t>
            </w:r>
          </w:p>
        </w:tc>
        <w:tc>
          <w:tcPr>
            <w:tcW w:w="567" w:type="dxa"/>
            <w:tcBorders>
              <w:top w:val="single" w:sz="4" w:space="0" w:color="auto"/>
            </w:tcBorders>
            <w:vAlign w:val="center"/>
          </w:tcPr>
          <w:p w14:paraId="0AB48988" w14:textId="77777777" w:rsidR="005C0A3A" w:rsidRPr="00494D70" w:rsidRDefault="005C0A3A" w:rsidP="003012DB">
            <w:pPr>
              <w:jc w:val="center"/>
              <w:rPr>
                <w:rFonts w:ascii="Times New Roman" w:eastAsia="Times New Roman" w:hAnsi="Times New Roman" w:cs="Times New Roman"/>
                <w:i/>
                <w:iCs/>
                <w:color w:val="000000" w:themeColor="text1"/>
                <w:sz w:val="20"/>
                <w:szCs w:val="20"/>
              </w:rPr>
            </w:pPr>
            <w:r w:rsidRPr="00494D70">
              <w:rPr>
                <w:rFonts w:ascii="Times New Roman" w:eastAsia="Times New Roman" w:hAnsi="Times New Roman" w:cs="Times New Roman"/>
                <w:i/>
                <w:iCs/>
                <w:color w:val="000000" w:themeColor="text1"/>
                <w:sz w:val="20"/>
                <w:szCs w:val="20"/>
              </w:rPr>
              <w:t>SD</w:t>
            </w:r>
          </w:p>
        </w:tc>
        <w:tc>
          <w:tcPr>
            <w:tcW w:w="851" w:type="dxa"/>
            <w:tcBorders>
              <w:top w:val="single" w:sz="4" w:space="0" w:color="auto"/>
            </w:tcBorders>
            <w:vAlign w:val="center"/>
          </w:tcPr>
          <w:p w14:paraId="4B0CD589"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Skew.</w:t>
            </w:r>
          </w:p>
        </w:tc>
        <w:tc>
          <w:tcPr>
            <w:tcW w:w="567" w:type="dxa"/>
            <w:tcBorders>
              <w:top w:val="single" w:sz="4" w:space="0" w:color="auto"/>
            </w:tcBorders>
            <w:vAlign w:val="center"/>
          </w:tcPr>
          <w:p w14:paraId="4668CC46" w14:textId="77777777" w:rsidR="005C0A3A" w:rsidRPr="00494D70" w:rsidRDefault="005C0A3A" w:rsidP="003012DB">
            <w:pPr>
              <w:jc w:val="center"/>
              <w:rPr>
                <w:rFonts w:ascii="Times New Roman" w:eastAsia="Times New Roman" w:hAnsi="Times New Roman" w:cs="Times New Roman"/>
                <w:i/>
                <w:iCs/>
                <w:color w:val="000000" w:themeColor="text1"/>
                <w:sz w:val="20"/>
                <w:szCs w:val="20"/>
              </w:rPr>
            </w:pPr>
            <w:r w:rsidRPr="00494D70">
              <w:rPr>
                <w:rFonts w:ascii="Times New Roman" w:eastAsia="Times New Roman" w:hAnsi="Times New Roman" w:cs="Times New Roman"/>
                <w:i/>
                <w:iCs/>
                <w:color w:val="000000" w:themeColor="text1"/>
                <w:sz w:val="20"/>
                <w:szCs w:val="20"/>
              </w:rPr>
              <w:t>SE</w:t>
            </w:r>
          </w:p>
        </w:tc>
        <w:tc>
          <w:tcPr>
            <w:tcW w:w="709" w:type="dxa"/>
            <w:tcBorders>
              <w:top w:val="single" w:sz="4" w:space="0" w:color="auto"/>
            </w:tcBorders>
            <w:vAlign w:val="center"/>
          </w:tcPr>
          <w:p w14:paraId="3D717BA9"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Kurt.</w:t>
            </w:r>
          </w:p>
        </w:tc>
        <w:tc>
          <w:tcPr>
            <w:tcW w:w="567" w:type="dxa"/>
            <w:tcBorders>
              <w:top w:val="single" w:sz="4" w:space="0" w:color="auto"/>
            </w:tcBorders>
            <w:vAlign w:val="center"/>
          </w:tcPr>
          <w:p w14:paraId="45A1E141" w14:textId="77777777" w:rsidR="005C0A3A" w:rsidRPr="00494D70" w:rsidRDefault="005C0A3A" w:rsidP="003012DB">
            <w:pPr>
              <w:jc w:val="center"/>
              <w:rPr>
                <w:rFonts w:ascii="Times New Roman" w:eastAsia="Times New Roman" w:hAnsi="Times New Roman" w:cs="Times New Roman"/>
                <w:i/>
                <w:iCs/>
                <w:color w:val="000000" w:themeColor="text1"/>
                <w:sz w:val="20"/>
                <w:szCs w:val="20"/>
              </w:rPr>
            </w:pPr>
            <w:r w:rsidRPr="00494D70">
              <w:rPr>
                <w:rFonts w:ascii="Times New Roman" w:eastAsia="Times New Roman" w:hAnsi="Times New Roman" w:cs="Times New Roman"/>
                <w:i/>
                <w:iCs/>
                <w:color w:val="000000" w:themeColor="text1"/>
                <w:sz w:val="20"/>
                <w:szCs w:val="20"/>
              </w:rPr>
              <w:t>SE</w:t>
            </w:r>
          </w:p>
        </w:tc>
      </w:tr>
      <w:tr w:rsidR="005C0A3A" w:rsidRPr="00494D70" w14:paraId="686A48E5" w14:textId="77777777" w:rsidTr="003012DB">
        <w:tc>
          <w:tcPr>
            <w:tcW w:w="7655" w:type="dxa"/>
            <w:tcBorders>
              <w:top w:val="single" w:sz="4" w:space="0" w:color="auto"/>
              <w:bottom w:val="single" w:sz="4" w:space="0" w:color="auto"/>
            </w:tcBorders>
            <w:vAlign w:val="center"/>
          </w:tcPr>
          <w:p w14:paraId="5AB47AA8" w14:textId="77777777" w:rsidR="005C0A3A" w:rsidRPr="00494D70" w:rsidRDefault="005C0A3A" w:rsidP="003012DB">
            <w:pPr>
              <w:rPr>
                <w:rFonts w:ascii="Times New Roman" w:eastAsia="Times New Roman" w:hAnsi="Times New Roman" w:cs="Times New Roman"/>
                <w:i/>
                <w:iCs/>
                <w:color w:val="000000" w:themeColor="text1"/>
                <w:sz w:val="20"/>
                <w:szCs w:val="20"/>
              </w:rPr>
            </w:pPr>
            <w:r w:rsidRPr="00494D70">
              <w:rPr>
                <w:rFonts w:ascii="Times New Roman" w:eastAsia="Times New Roman" w:hAnsi="Times New Roman" w:cs="Times New Roman"/>
                <w:i/>
                <w:iCs/>
                <w:color w:val="000000" w:themeColor="text1"/>
                <w:sz w:val="20"/>
                <w:szCs w:val="20"/>
              </w:rPr>
              <w:t>Initiation</w:t>
            </w:r>
          </w:p>
        </w:tc>
        <w:tc>
          <w:tcPr>
            <w:tcW w:w="842" w:type="dxa"/>
            <w:tcBorders>
              <w:top w:val="single" w:sz="4" w:space="0" w:color="auto"/>
              <w:bottom w:val="single" w:sz="4" w:space="0" w:color="auto"/>
            </w:tcBorders>
            <w:vAlign w:val="center"/>
          </w:tcPr>
          <w:p w14:paraId="58D2665B"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3-21</w:t>
            </w:r>
          </w:p>
        </w:tc>
        <w:tc>
          <w:tcPr>
            <w:tcW w:w="717" w:type="dxa"/>
            <w:tcBorders>
              <w:top w:val="single" w:sz="4" w:space="0" w:color="auto"/>
              <w:bottom w:val="single" w:sz="4" w:space="0" w:color="auto"/>
            </w:tcBorders>
            <w:vAlign w:val="center"/>
          </w:tcPr>
          <w:p w14:paraId="1AAD9D68"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16.66</w:t>
            </w:r>
          </w:p>
        </w:tc>
        <w:tc>
          <w:tcPr>
            <w:tcW w:w="567" w:type="dxa"/>
            <w:tcBorders>
              <w:top w:val="single" w:sz="4" w:space="0" w:color="auto"/>
              <w:bottom w:val="single" w:sz="4" w:space="0" w:color="auto"/>
            </w:tcBorders>
            <w:vAlign w:val="center"/>
          </w:tcPr>
          <w:p w14:paraId="117C6B49"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3.83</w:t>
            </w:r>
          </w:p>
        </w:tc>
        <w:tc>
          <w:tcPr>
            <w:tcW w:w="851" w:type="dxa"/>
            <w:tcBorders>
              <w:top w:val="single" w:sz="4" w:space="0" w:color="auto"/>
              <w:bottom w:val="single" w:sz="4" w:space="0" w:color="auto"/>
            </w:tcBorders>
            <w:vAlign w:val="center"/>
          </w:tcPr>
          <w:p w14:paraId="6D2C9473"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-1.09</w:t>
            </w:r>
          </w:p>
        </w:tc>
        <w:tc>
          <w:tcPr>
            <w:tcW w:w="567" w:type="dxa"/>
            <w:tcBorders>
              <w:top w:val="single" w:sz="4" w:space="0" w:color="auto"/>
              <w:bottom w:val="single" w:sz="4" w:space="0" w:color="auto"/>
            </w:tcBorders>
            <w:vAlign w:val="center"/>
          </w:tcPr>
          <w:p w14:paraId="6248042D"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0.01</w:t>
            </w:r>
          </w:p>
        </w:tc>
        <w:tc>
          <w:tcPr>
            <w:tcW w:w="709" w:type="dxa"/>
            <w:tcBorders>
              <w:top w:val="single" w:sz="4" w:space="0" w:color="auto"/>
              <w:bottom w:val="single" w:sz="4" w:space="0" w:color="auto"/>
            </w:tcBorders>
            <w:vAlign w:val="center"/>
          </w:tcPr>
          <w:p w14:paraId="7FD50AAF"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0.91</w:t>
            </w:r>
          </w:p>
        </w:tc>
        <w:tc>
          <w:tcPr>
            <w:tcW w:w="567" w:type="dxa"/>
            <w:tcBorders>
              <w:top w:val="single" w:sz="4" w:space="0" w:color="auto"/>
              <w:bottom w:val="single" w:sz="4" w:space="0" w:color="auto"/>
            </w:tcBorders>
            <w:vAlign w:val="center"/>
          </w:tcPr>
          <w:p w14:paraId="2B07E1B3"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0.02</w:t>
            </w:r>
          </w:p>
        </w:tc>
      </w:tr>
      <w:tr w:rsidR="005C0A3A" w:rsidRPr="00494D70" w14:paraId="0CB69325" w14:textId="77777777" w:rsidTr="003012DB">
        <w:tc>
          <w:tcPr>
            <w:tcW w:w="7655" w:type="dxa"/>
            <w:tcBorders>
              <w:top w:val="single" w:sz="4" w:space="0" w:color="auto"/>
            </w:tcBorders>
          </w:tcPr>
          <w:p w14:paraId="507B7439" w14:textId="77777777" w:rsidR="005C0A3A" w:rsidRPr="00494D70" w:rsidRDefault="005C0A3A" w:rsidP="003012DB">
            <w:pPr>
              <w:rPr>
                <w:rFonts w:ascii="Times New Roman" w:eastAsia="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 I am open with my partner about my sexual needs.</w:t>
            </w:r>
          </w:p>
        </w:tc>
        <w:tc>
          <w:tcPr>
            <w:tcW w:w="842" w:type="dxa"/>
            <w:tcBorders>
              <w:top w:val="single" w:sz="4" w:space="0" w:color="auto"/>
            </w:tcBorders>
            <w:vAlign w:val="center"/>
          </w:tcPr>
          <w:p w14:paraId="2B26924A"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1-7</w:t>
            </w:r>
          </w:p>
        </w:tc>
        <w:tc>
          <w:tcPr>
            <w:tcW w:w="717" w:type="dxa"/>
            <w:tcBorders>
              <w:top w:val="single" w:sz="4" w:space="0" w:color="auto"/>
            </w:tcBorders>
            <w:vAlign w:val="center"/>
          </w:tcPr>
          <w:p w14:paraId="01C6E3B9"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5.45</w:t>
            </w:r>
          </w:p>
        </w:tc>
        <w:tc>
          <w:tcPr>
            <w:tcW w:w="567" w:type="dxa"/>
            <w:tcBorders>
              <w:top w:val="single" w:sz="4" w:space="0" w:color="auto"/>
            </w:tcBorders>
            <w:vAlign w:val="center"/>
          </w:tcPr>
          <w:p w14:paraId="461AE495"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1.49</w:t>
            </w:r>
          </w:p>
        </w:tc>
        <w:tc>
          <w:tcPr>
            <w:tcW w:w="851" w:type="dxa"/>
            <w:tcBorders>
              <w:top w:val="single" w:sz="4" w:space="0" w:color="auto"/>
            </w:tcBorders>
            <w:vAlign w:val="center"/>
          </w:tcPr>
          <w:p w14:paraId="10C000B3"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-1.07</w:t>
            </w:r>
          </w:p>
        </w:tc>
        <w:tc>
          <w:tcPr>
            <w:tcW w:w="567" w:type="dxa"/>
            <w:tcBorders>
              <w:top w:val="single" w:sz="4" w:space="0" w:color="auto"/>
            </w:tcBorders>
            <w:vAlign w:val="center"/>
          </w:tcPr>
          <w:p w14:paraId="30E791F8"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0.01</w:t>
            </w:r>
          </w:p>
        </w:tc>
        <w:tc>
          <w:tcPr>
            <w:tcW w:w="709" w:type="dxa"/>
            <w:tcBorders>
              <w:top w:val="single" w:sz="4" w:space="0" w:color="auto"/>
            </w:tcBorders>
            <w:vAlign w:val="center"/>
          </w:tcPr>
          <w:p w14:paraId="3ED7A0C0"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0.55</w:t>
            </w:r>
          </w:p>
        </w:tc>
        <w:tc>
          <w:tcPr>
            <w:tcW w:w="567" w:type="dxa"/>
            <w:tcBorders>
              <w:top w:val="single" w:sz="4" w:space="0" w:color="auto"/>
            </w:tcBorders>
            <w:vAlign w:val="center"/>
          </w:tcPr>
          <w:p w14:paraId="713EAE6E"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0.02</w:t>
            </w:r>
          </w:p>
        </w:tc>
      </w:tr>
      <w:tr w:rsidR="005C0A3A" w:rsidRPr="00494D70" w14:paraId="1B0BB850" w14:textId="77777777" w:rsidTr="003012DB">
        <w:tc>
          <w:tcPr>
            <w:tcW w:w="7655" w:type="dxa"/>
          </w:tcPr>
          <w:p w14:paraId="5337BC8B" w14:textId="77777777" w:rsidR="005C0A3A" w:rsidRPr="00494D70" w:rsidRDefault="005C0A3A" w:rsidP="003012DB">
            <w:pP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2. I let my partner know if I want to have sex.</w:t>
            </w:r>
          </w:p>
        </w:tc>
        <w:tc>
          <w:tcPr>
            <w:tcW w:w="842" w:type="dxa"/>
          </w:tcPr>
          <w:p w14:paraId="1C4912FD"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1-7</w:t>
            </w:r>
          </w:p>
        </w:tc>
        <w:tc>
          <w:tcPr>
            <w:tcW w:w="717" w:type="dxa"/>
            <w:vAlign w:val="center"/>
          </w:tcPr>
          <w:p w14:paraId="3A6A3C5E"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5.75</w:t>
            </w:r>
          </w:p>
        </w:tc>
        <w:tc>
          <w:tcPr>
            <w:tcW w:w="567" w:type="dxa"/>
            <w:vAlign w:val="center"/>
          </w:tcPr>
          <w:p w14:paraId="189AAE6E"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1.31</w:t>
            </w:r>
          </w:p>
        </w:tc>
        <w:tc>
          <w:tcPr>
            <w:tcW w:w="851" w:type="dxa"/>
            <w:vAlign w:val="center"/>
          </w:tcPr>
          <w:p w14:paraId="012261FE"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-1.44</w:t>
            </w:r>
          </w:p>
        </w:tc>
        <w:tc>
          <w:tcPr>
            <w:tcW w:w="567" w:type="dxa"/>
            <w:vAlign w:val="center"/>
          </w:tcPr>
          <w:p w14:paraId="1F161150"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0.01</w:t>
            </w:r>
          </w:p>
        </w:tc>
        <w:tc>
          <w:tcPr>
            <w:tcW w:w="709" w:type="dxa"/>
            <w:vAlign w:val="center"/>
          </w:tcPr>
          <w:p w14:paraId="2CA2DAD8"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2.09</w:t>
            </w:r>
          </w:p>
        </w:tc>
        <w:tc>
          <w:tcPr>
            <w:tcW w:w="567" w:type="dxa"/>
            <w:vAlign w:val="center"/>
          </w:tcPr>
          <w:p w14:paraId="7EB258F5"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0.02</w:t>
            </w:r>
          </w:p>
        </w:tc>
      </w:tr>
      <w:tr w:rsidR="005C0A3A" w:rsidRPr="00494D70" w14:paraId="54CB11CB" w14:textId="77777777" w:rsidTr="003012DB">
        <w:tc>
          <w:tcPr>
            <w:tcW w:w="7655" w:type="dxa"/>
            <w:tcBorders>
              <w:bottom w:val="single" w:sz="4" w:space="0" w:color="auto"/>
            </w:tcBorders>
            <w:vAlign w:val="center"/>
          </w:tcPr>
          <w:p w14:paraId="2BAA9654" w14:textId="77777777" w:rsidR="005C0A3A" w:rsidRPr="00494D70" w:rsidRDefault="005C0A3A" w:rsidP="003012DB">
            <w:pPr>
              <w:rPr>
                <w:rFonts w:ascii="Times New Roman" w:hAnsi="Times New Roman" w:cs="Times New Roman"/>
                <w:i/>
                <w:iCs/>
                <w:color w:val="000000" w:themeColor="text1"/>
                <w:sz w:val="20"/>
                <w:szCs w:val="20"/>
              </w:rPr>
            </w:pPr>
            <w:r w:rsidRPr="00494D70">
              <w:rPr>
                <w:rFonts w:ascii="Times New Roman" w:hAnsi="Times New Roman" w:cs="Times New Roman"/>
                <w:color w:val="000000" w:themeColor="text1"/>
                <w:sz w:val="20"/>
                <w:szCs w:val="20"/>
              </w:rPr>
              <w:t>3. It is easy for me to discuss sex with my partner.</w:t>
            </w:r>
          </w:p>
        </w:tc>
        <w:tc>
          <w:tcPr>
            <w:tcW w:w="842" w:type="dxa"/>
            <w:tcBorders>
              <w:bottom w:val="single" w:sz="4" w:space="0" w:color="auto"/>
            </w:tcBorders>
          </w:tcPr>
          <w:p w14:paraId="4A55D002"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1-7</w:t>
            </w:r>
          </w:p>
        </w:tc>
        <w:tc>
          <w:tcPr>
            <w:tcW w:w="717" w:type="dxa"/>
            <w:tcBorders>
              <w:bottom w:val="single" w:sz="4" w:space="0" w:color="auto"/>
            </w:tcBorders>
            <w:vAlign w:val="center"/>
          </w:tcPr>
          <w:p w14:paraId="5919BF1B"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5.46</w:t>
            </w:r>
          </w:p>
        </w:tc>
        <w:tc>
          <w:tcPr>
            <w:tcW w:w="567" w:type="dxa"/>
            <w:tcBorders>
              <w:bottom w:val="single" w:sz="4" w:space="0" w:color="auto"/>
            </w:tcBorders>
            <w:vAlign w:val="center"/>
          </w:tcPr>
          <w:p w14:paraId="4BC55B9B"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1.59</w:t>
            </w:r>
          </w:p>
        </w:tc>
        <w:tc>
          <w:tcPr>
            <w:tcW w:w="851" w:type="dxa"/>
            <w:tcBorders>
              <w:bottom w:val="single" w:sz="4" w:space="0" w:color="auto"/>
            </w:tcBorders>
            <w:vAlign w:val="center"/>
          </w:tcPr>
          <w:p w14:paraId="6D581941"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-1.06</w:t>
            </w:r>
          </w:p>
        </w:tc>
        <w:tc>
          <w:tcPr>
            <w:tcW w:w="567" w:type="dxa"/>
            <w:tcBorders>
              <w:bottom w:val="single" w:sz="4" w:space="0" w:color="auto"/>
            </w:tcBorders>
            <w:vAlign w:val="center"/>
          </w:tcPr>
          <w:p w14:paraId="67CDCB8C"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0.01</w:t>
            </w:r>
          </w:p>
        </w:tc>
        <w:tc>
          <w:tcPr>
            <w:tcW w:w="709" w:type="dxa"/>
            <w:tcBorders>
              <w:bottom w:val="single" w:sz="4" w:space="0" w:color="auto"/>
            </w:tcBorders>
            <w:vAlign w:val="center"/>
          </w:tcPr>
          <w:p w14:paraId="5D069A4A"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0.33</w:t>
            </w:r>
          </w:p>
        </w:tc>
        <w:tc>
          <w:tcPr>
            <w:tcW w:w="567" w:type="dxa"/>
            <w:tcBorders>
              <w:bottom w:val="single" w:sz="4" w:space="0" w:color="auto"/>
            </w:tcBorders>
            <w:vAlign w:val="center"/>
          </w:tcPr>
          <w:p w14:paraId="615A0051"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0.02</w:t>
            </w:r>
          </w:p>
        </w:tc>
      </w:tr>
      <w:tr w:rsidR="005C0A3A" w:rsidRPr="00494D70" w14:paraId="75C93923" w14:textId="77777777" w:rsidTr="003012DB">
        <w:tc>
          <w:tcPr>
            <w:tcW w:w="7655" w:type="dxa"/>
            <w:tcBorders>
              <w:top w:val="single" w:sz="4" w:space="0" w:color="auto"/>
              <w:bottom w:val="single" w:sz="4" w:space="0" w:color="auto"/>
            </w:tcBorders>
            <w:vAlign w:val="center"/>
          </w:tcPr>
          <w:p w14:paraId="0D7687F1" w14:textId="77777777" w:rsidR="005C0A3A" w:rsidRPr="00494D70" w:rsidRDefault="005C0A3A" w:rsidP="003012DB">
            <w:pPr>
              <w:rPr>
                <w:rFonts w:ascii="Times New Roman" w:eastAsia="Times New Roman" w:hAnsi="Times New Roman" w:cs="Times New Roman"/>
                <w:i/>
                <w:iCs/>
                <w:color w:val="000000" w:themeColor="text1"/>
                <w:sz w:val="20"/>
                <w:szCs w:val="20"/>
              </w:rPr>
            </w:pPr>
            <w:r w:rsidRPr="00494D70">
              <w:rPr>
                <w:rFonts w:ascii="Times New Roman" w:eastAsia="Times New Roman" w:hAnsi="Times New Roman" w:cs="Times New Roman"/>
                <w:i/>
                <w:iCs/>
                <w:color w:val="000000" w:themeColor="text1"/>
                <w:sz w:val="20"/>
                <w:szCs w:val="20"/>
              </w:rPr>
              <w:t>Refusal</w:t>
            </w:r>
          </w:p>
        </w:tc>
        <w:tc>
          <w:tcPr>
            <w:tcW w:w="842" w:type="dxa"/>
            <w:tcBorders>
              <w:top w:val="single" w:sz="4" w:space="0" w:color="auto"/>
              <w:bottom w:val="single" w:sz="4" w:space="0" w:color="auto"/>
            </w:tcBorders>
            <w:vAlign w:val="center"/>
          </w:tcPr>
          <w:p w14:paraId="1749F14F"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3-21</w:t>
            </w:r>
          </w:p>
        </w:tc>
        <w:tc>
          <w:tcPr>
            <w:tcW w:w="717" w:type="dxa"/>
            <w:tcBorders>
              <w:top w:val="single" w:sz="4" w:space="0" w:color="auto"/>
              <w:bottom w:val="single" w:sz="4" w:space="0" w:color="auto"/>
            </w:tcBorders>
            <w:vAlign w:val="center"/>
          </w:tcPr>
          <w:p w14:paraId="0ABB257D"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15.16</w:t>
            </w:r>
          </w:p>
        </w:tc>
        <w:tc>
          <w:tcPr>
            <w:tcW w:w="567" w:type="dxa"/>
            <w:tcBorders>
              <w:top w:val="single" w:sz="4" w:space="0" w:color="auto"/>
              <w:bottom w:val="single" w:sz="4" w:space="0" w:color="auto"/>
            </w:tcBorders>
            <w:vAlign w:val="center"/>
          </w:tcPr>
          <w:p w14:paraId="4899F251"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3.93</w:t>
            </w:r>
          </w:p>
        </w:tc>
        <w:tc>
          <w:tcPr>
            <w:tcW w:w="851" w:type="dxa"/>
            <w:tcBorders>
              <w:top w:val="single" w:sz="4" w:space="0" w:color="auto"/>
              <w:bottom w:val="single" w:sz="4" w:space="0" w:color="auto"/>
            </w:tcBorders>
            <w:vAlign w:val="center"/>
          </w:tcPr>
          <w:p w14:paraId="54F1F952"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-0.45</w:t>
            </w:r>
          </w:p>
        </w:tc>
        <w:tc>
          <w:tcPr>
            <w:tcW w:w="567" w:type="dxa"/>
            <w:tcBorders>
              <w:top w:val="single" w:sz="4" w:space="0" w:color="auto"/>
              <w:bottom w:val="single" w:sz="4" w:space="0" w:color="auto"/>
            </w:tcBorders>
            <w:vAlign w:val="center"/>
          </w:tcPr>
          <w:p w14:paraId="61F6AE35"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0.01</w:t>
            </w:r>
          </w:p>
        </w:tc>
        <w:tc>
          <w:tcPr>
            <w:tcW w:w="709" w:type="dxa"/>
            <w:tcBorders>
              <w:top w:val="single" w:sz="4" w:space="0" w:color="auto"/>
              <w:bottom w:val="single" w:sz="4" w:space="0" w:color="auto"/>
            </w:tcBorders>
            <w:vAlign w:val="center"/>
          </w:tcPr>
          <w:p w14:paraId="4F8604EA"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-0.37</w:t>
            </w:r>
          </w:p>
        </w:tc>
        <w:tc>
          <w:tcPr>
            <w:tcW w:w="567" w:type="dxa"/>
            <w:tcBorders>
              <w:top w:val="single" w:sz="4" w:space="0" w:color="auto"/>
              <w:bottom w:val="single" w:sz="4" w:space="0" w:color="auto"/>
            </w:tcBorders>
            <w:vAlign w:val="center"/>
          </w:tcPr>
          <w:p w14:paraId="637760CB"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0.02</w:t>
            </w:r>
          </w:p>
        </w:tc>
      </w:tr>
      <w:tr w:rsidR="005C0A3A" w:rsidRPr="00494D70" w14:paraId="2DBFE3ED" w14:textId="77777777" w:rsidTr="003012DB">
        <w:tc>
          <w:tcPr>
            <w:tcW w:w="7655" w:type="dxa"/>
            <w:tcBorders>
              <w:top w:val="single" w:sz="4" w:space="0" w:color="auto"/>
            </w:tcBorders>
            <w:vAlign w:val="bottom"/>
          </w:tcPr>
          <w:p w14:paraId="43A1FB69" w14:textId="77777777" w:rsidR="005C0A3A" w:rsidRPr="00494D70" w:rsidRDefault="005C0A3A" w:rsidP="003012DB">
            <w:pPr>
              <w:rPr>
                <w:rFonts w:ascii="Times New Roman" w:eastAsia="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4. I refuse to have sex if I don’t want to.</w:t>
            </w:r>
          </w:p>
        </w:tc>
        <w:tc>
          <w:tcPr>
            <w:tcW w:w="842" w:type="dxa"/>
            <w:tcBorders>
              <w:top w:val="single" w:sz="4" w:space="0" w:color="auto"/>
            </w:tcBorders>
          </w:tcPr>
          <w:p w14:paraId="3836C330"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1-7</w:t>
            </w:r>
          </w:p>
        </w:tc>
        <w:tc>
          <w:tcPr>
            <w:tcW w:w="717" w:type="dxa"/>
            <w:tcBorders>
              <w:top w:val="single" w:sz="4" w:space="0" w:color="auto"/>
            </w:tcBorders>
            <w:vAlign w:val="center"/>
          </w:tcPr>
          <w:p w14:paraId="27EACC53"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5.31</w:t>
            </w:r>
          </w:p>
        </w:tc>
        <w:tc>
          <w:tcPr>
            <w:tcW w:w="567" w:type="dxa"/>
            <w:tcBorders>
              <w:top w:val="single" w:sz="4" w:space="0" w:color="auto"/>
            </w:tcBorders>
            <w:vAlign w:val="center"/>
          </w:tcPr>
          <w:p w14:paraId="75AD555B"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1.55</w:t>
            </w:r>
          </w:p>
        </w:tc>
        <w:tc>
          <w:tcPr>
            <w:tcW w:w="851" w:type="dxa"/>
            <w:tcBorders>
              <w:top w:val="single" w:sz="4" w:space="0" w:color="auto"/>
            </w:tcBorders>
            <w:vAlign w:val="center"/>
          </w:tcPr>
          <w:p w14:paraId="15B06FA9"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-0.91</w:t>
            </w:r>
          </w:p>
        </w:tc>
        <w:tc>
          <w:tcPr>
            <w:tcW w:w="567" w:type="dxa"/>
            <w:tcBorders>
              <w:top w:val="single" w:sz="4" w:space="0" w:color="auto"/>
            </w:tcBorders>
            <w:vAlign w:val="center"/>
          </w:tcPr>
          <w:p w14:paraId="2CB85394"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0.01</w:t>
            </w:r>
          </w:p>
        </w:tc>
        <w:tc>
          <w:tcPr>
            <w:tcW w:w="709" w:type="dxa"/>
            <w:tcBorders>
              <w:top w:val="single" w:sz="4" w:space="0" w:color="auto"/>
            </w:tcBorders>
            <w:vAlign w:val="center"/>
          </w:tcPr>
          <w:p w14:paraId="366B1C8C"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0.09</w:t>
            </w:r>
          </w:p>
        </w:tc>
        <w:tc>
          <w:tcPr>
            <w:tcW w:w="567" w:type="dxa"/>
            <w:tcBorders>
              <w:top w:val="single" w:sz="4" w:space="0" w:color="auto"/>
            </w:tcBorders>
            <w:vAlign w:val="center"/>
          </w:tcPr>
          <w:p w14:paraId="46330126"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0.02</w:t>
            </w:r>
          </w:p>
        </w:tc>
      </w:tr>
      <w:tr w:rsidR="005C0A3A" w:rsidRPr="00494D70" w14:paraId="5F00E37E" w14:textId="77777777" w:rsidTr="003012DB">
        <w:tc>
          <w:tcPr>
            <w:tcW w:w="7655" w:type="dxa"/>
            <w:vAlign w:val="bottom"/>
          </w:tcPr>
          <w:p w14:paraId="3597BBC3" w14:textId="77777777" w:rsidR="005C0A3A" w:rsidRPr="00494D70" w:rsidRDefault="005C0A3A" w:rsidP="003012DB">
            <w:pPr>
              <w:rPr>
                <w:rFonts w:ascii="Times New Roman" w:eastAsia="Times New Roman" w:hAnsi="Times New Roman" w:cs="Times New Roman"/>
                <w:i/>
                <w:iCs/>
                <w:color w:val="000000" w:themeColor="text1"/>
                <w:sz w:val="20"/>
                <w:szCs w:val="20"/>
              </w:rPr>
            </w:pPr>
            <w:r w:rsidRPr="00494D70">
              <w:rPr>
                <w:rFonts w:ascii="Times New Roman" w:hAnsi="Times New Roman" w:cs="Times New Roman"/>
                <w:i/>
                <w:iCs/>
                <w:color w:val="000000" w:themeColor="text1"/>
                <w:sz w:val="20"/>
                <w:szCs w:val="20"/>
              </w:rPr>
              <w:t>5. I find myself having sex when I do not really want it.</w:t>
            </w:r>
          </w:p>
        </w:tc>
        <w:tc>
          <w:tcPr>
            <w:tcW w:w="842" w:type="dxa"/>
          </w:tcPr>
          <w:p w14:paraId="190AF851"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1-7</w:t>
            </w:r>
          </w:p>
        </w:tc>
        <w:tc>
          <w:tcPr>
            <w:tcW w:w="717" w:type="dxa"/>
            <w:vAlign w:val="center"/>
          </w:tcPr>
          <w:p w14:paraId="54E4F20C"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4.91</w:t>
            </w:r>
          </w:p>
        </w:tc>
        <w:tc>
          <w:tcPr>
            <w:tcW w:w="567" w:type="dxa"/>
            <w:vAlign w:val="center"/>
          </w:tcPr>
          <w:p w14:paraId="6E26A028"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1.74</w:t>
            </w:r>
          </w:p>
        </w:tc>
        <w:tc>
          <w:tcPr>
            <w:tcW w:w="851" w:type="dxa"/>
            <w:vAlign w:val="center"/>
          </w:tcPr>
          <w:p w14:paraId="5ADB0AA7"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-0.43</w:t>
            </w:r>
          </w:p>
        </w:tc>
        <w:tc>
          <w:tcPr>
            <w:tcW w:w="567" w:type="dxa"/>
            <w:vAlign w:val="center"/>
          </w:tcPr>
          <w:p w14:paraId="203486B5"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0.01</w:t>
            </w:r>
          </w:p>
        </w:tc>
        <w:tc>
          <w:tcPr>
            <w:tcW w:w="709" w:type="dxa"/>
            <w:vAlign w:val="center"/>
          </w:tcPr>
          <w:p w14:paraId="1A207FA9"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-1.02</w:t>
            </w:r>
          </w:p>
        </w:tc>
        <w:tc>
          <w:tcPr>
            <w:tcW w:w="567" w:type="dxa"/>
            <w:vAlign w:val="center"/>
          </w:tcPr>
          <w:p w14:paraId="6BCE28D2"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0.02</w:t>
            </w:r>
          </w:p>
        </w:tc>
      </w:tr>
      <w:tr w:rsidR="005C0A3A" w:rsidRPr="00494D70" w14:paraId="431719FF" w14:textId="77777777" w:rsidTr="003012DB">
        <w:tc>
          <w:tcPr>
            <w:tcW w:w="7655" w:type="dxa"/>
            <w:tcBorders>
              <w:bottom w:val="single" w:sz="4" w:space="0" w:color="auto"/>
            </w:tcBorders>
            <w:vAlign w:val="bottom"/>
          </w:tcPr>
          <w:p w14:paraId="4024457F" w14:textId="77777777" w:rsidR="005C0A3A" w:rsidRPr="00494D70" w:rsidRDefault="005C0A3A" w:rsidP="003012DB">
            <w:pPr>
              <w:rPr>
                <w:rFonts w:ascii="Times New Roman" w:eastAsia="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6. It is easy for me to say no if I don’t want to have sex.</w:t>
            </w:r>
          </w:p>
        </w:tc>
        <w:tc>
          <w:tcPr>
            <w:tcW w:w="842" w:type="dxa"/>
            <w:tcBorders>
              <w:bottom w:val="single" w:sz="4" w:space="0" w:color="auto"/>
            </w:tcBorders>
          </w:tcPr>
          <w:p w14:paraId="4A8AE21E"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1-7</w:t>
            </w:r>
          </w:p>
        </w:tc>
        <w:tc>
          <w:tcPr>
            <w:tcW w:w="717" w:type="dxa"/>
            <w:tcBorders>
              <w:bottom w:val="single" w:sz="4" w:space="0" w:color="auto"/>
            </w:tcBorders>
            <w:vAlign w:val="center"/>
          </w:tcPr>
          <w:p w14:paraId="4D116F97"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4.95</w:t>
            </w:r>
          </w:p>
        </w:tc>
        <w:tc>
          <w:tcPr>
            <w:tcW w:w="567" w:type="dxa"/>
            <w:tcBorders>
              <w:bottom w:val="single" w:sz="4" w:space="0" w:color="auto"/>
            </w:tcBorders>
            <w:vAlign w:val="center"/>
          </w:tcPr>
          <w:p w14:paraId="30F2D3C4"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1.68</w:t>
            </w:r>
          </w:p>
        </w:tc>
        <w:tc>
          <w:tcPr>
            <w:tcW w:w="851" w:type="dxa"/>
            <w:tcBorders>
              <w:bottom w:val="single" w:sz="4" w:space="0" w:color="auto"/>
            </w:tcBorders>
            <w:vAlign w:val="center"/>
          </w:tcPr>
          <w:p w14:paraId="6EB2CCDC"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-0.62</w:t>
            </w:r>
          </w:p>
        </w:tc>
        <w:tc>
          <w:tcPr>
            <w:tcW w:w="567" w:type="dxa"/>
            <w:tcBorders>
              <w:bottom w:val="single" w:sz="4" w:space="0" w:color="auto"/>
            </w:tcBorders>
            <w:vAlign w:val="center"/>
          </w:tcPr>
          <w:p w14:paraId="5C69F8C6"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0.01</w:t>
            </w:r>
          </w:p>
        </w:tc>
        <w:tc>
          <w:tcPr>
            <w:tcW w:w="709" w:type="dxa"/>
            <w:tcBorders>
              <w:bottom w:val="single" w:sz="4" w:space="0" w:color="auto"/>
            </w:tcBorders>
            <w:vAlign w:val="center"/>
          </w:tcPr>
          <w:p w14:paraId="6879B0A6"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-0.63</w:t>
            </w:r>
          </w:p>
        </w:tc>
        <w:tc>
          <w:tcPr>
            <w:tcW w:w="567" w:type="dxa"/>
            <w:tcBorders>
              <w:bottom w:val="single" w:sz="4" w:space="0" w:color="auto"/>
            </w:tcBorders>
            <w:vAlign w:val="center"/>
          </w:tcPr>
          <w:p w14:paraId="1F7ABFA7"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0.02</w:t>
            </w:r>
          </w:p>
        </w:tc>
      </w:tr>
      <w:tr w:rsidR="005C0A3A" w:rsidRPr="00494D70" w14:paraId="386A58F5" w14:textId="77777777" w:rsidTr="003012DB">
        <w:tc>
          <w:tcPr>
            <w:tcW w:w="7655" w:type="dxa"/>
            <w:tcBorders>
              <w:top w:val="single" w:sz="4" w:space="0" w:color="auto"/>
              <w:bottom w:val="single" w:sz="4" w:space="0" w:color="auto"/>
            </w:tcBorders>
            <w:vAlign w:val="center"/>
          </w:tcPr>
          <w:p w14:paraId="684D2B8B" w14:textId="77777777" w:rsidR="005C0A3A" w:rsidRPr="00494D70" w:rsidRDefault="005C0A3A" w:rsidP="003012DB">
            <w:pPr>
              <w:rPr>
                <w:rFonts w:ascii="Times New Roman" w:eastAsia="Times New Roman" w:hAnsi="Times New Roman" w:cs="Times New Roman"/>
                <w:i/>
                <w:iCs/>
                <w:color w:val="000000" w:themeColor="text1"/>
                <w:sz w:val="20"/>
                <w:szCs w:val="20"/>
              </w:rPr>
            </w:pPr>
            <w:r w:rsidRPr="00494D70">
              <w:rPr>
                <w:rFonts w:ascii="Times New Roman" w:eastAsia="Times New Roman" w:hAnsi="Times New Roman" w:cs="Times New Roman"/>
                <w:i/>
                <w:iCs/>
                <w:color w:val="000000" w:themeColor="text1"/>
                <w:sz w:val="20"/>
                <w:szCs w:val="20"/>
              </w:rPr>
              <w:t>Risk communication</w:t>
            </w:r>
          </w:p>
        </w:tc>
        <w:tc>
          <w:tcPr>
            <w:tcW w:w="842" w:type="dxa"/>
            <w:tcBorders>
              <w:top w:val="single" w:sz="4" w:space="0" w:color="auto"/>
              <w:bottom w:val="single" w:sz="4" w:space="0" w:color="auto"/>
            </w:tcBorders>
            <w:vAlign w:val="center"/>
          </w:tcPr>
          <w:p w14:paraId="738C6084"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3-21</w:t>
            </w:r>
          </w:p>
        </w:tc>
        <w:tc>
          <w:tcPr>
            <w:tcW w:w="717" w:type="dxa"/>
            <w:tcBorders>
              <w:top w:val="single" w:sz="4" w:space="0" w:color="auto"/>
              <w:bottom w:val="single" w:sz="4" w:space="0" w:color="auto"/>
            </w:tcBorders>
            <w:vAlign w:val="center"/>
          </w:tcPr>
          <w:p w14:paraId="6B5F8CCE"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12.91</w:t>
            </w:r>
          </w:p>
        </w:tc>
        <w:tc>
          <w:tcPr>
            <w:tcW w:w="567" w:type="dxa"/>
            <w:tcBorders>
              <w:top w:val="single" w:sz="4" w:space="0" w:color="auto"/>
              <w:bottom w:val="single" w:sz="4" w:space="0" w:color="auto"/>
            </w:tcBorders>
            <w:vAlign w:val="center"/>
          </w:tcPr>
          <w:p w14:paraId="4BA9A78E"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5.64</w:t>
            </w:r>
          </w:p>
        </w:tc>
        <w:tc>
          <w:tcPr>
            <w:tcW w:w="851" w:type="dxa"/>
            <w:tcBorders>
              <w:top w:val="single" w:sz="4" w:space="0" w:color="auto"/>
              <w:bottom w:val="single" w:sz="4" w:space="0" w:color="auto"/>
            </w:tcBorders>
            <w:vAlign w:val="center"/>
          </w:tcPr>
          <w:p w14:paraId="468DE201"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-0.25</w:t>
            </w:r>
          </w:p>
        </w:tc>
        <w:tc>
          <w:tcPr>
            <w:tcW w:w="567" w:type="dxa"/>
            <w:tcBorders>
              <w:top w:val="single" w:sz="4" w:space="0" w:color="auto"/>
              <w:bottom w:val="single" w:sz="4" w:space="0" w:color="auto"/>
            </w:tcBorders>
            <w:vAlign w:val="center"/>
          </w:tcPr>
          <w:p w14:paraId="4C241E06"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0.01</w:t>
            </w:r>
          </w:p>
        </w:tc>
        <w:tc>
          <w:tcPr>
            <w:tcW w:w="709" w:type="dxa"/>
            <w:tcBorders>
              <w:top w:val="single" w:sz="4" w:space="0" w:color="auto"/>
              <w:bottom w:val="single" w:sz="4" w:space="0" w:color="auto"/>
            </w:tcBorders>
            <w:vAlign w:val="center"/>
          </w:tcPr>
          <w:p w14:paraId="20A0A7F8"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-1.10</w:t>
            </w:r>
          </w:p>
        </w:tc>
        <w:tc>
          <w:tcPr>
            <w:tcW w:w="567" w:type="dxa"/>
            <w:tcBorders>
              <w:top w:val="single" w:sz="4" w:space="0" w:color="auto"/>
              <w:bottom w:val="single" w:sz="4" w:space="0" w:color="auto"/>
            </w:tcBorders>
            <w:vAlign w:val="center"/>
          </w:tcPr>
          <w:p w14:paraId="4E589C20"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0.02</w:t>
            </w:r>
          </w:p>
        </w:tc>
      </w:tr>
      <w:tr w:rsidR="005C0A3A" w:rsidRPr="00494D70" w14:paraId="6923D192" w14:textId="77777777" w:rsidTr="003012DB">
        <w:tc>
          <w:tcPr>
            <w:tcW w:w="7655" w:type="dxa"/>
            <w:tcBorders>
              <w:top w:val="single" w:sz="4" w:space="0" w:color="auto"/>
            </w:tcBorders>
            <w:vAlign w:val="center"/>
          </w:tcPr>
          <w:p w14:paraId="62E386F8" w14:textId="77777777" w:rsidR="005C0A3A" w:rsidRPr="00494D70" w:rsidRDefault="005C0A3A" w:rsidP="003012DB">
            <w:pP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7. I ask my partner if he or she has practiced safe sex with other partners.</w:t>
            </w:r>
          </w:p>
        </w:tc>
        <w:tc>
          <w:tcPr>
            <w:tcW w:w="842" w:type="dxa"/>
            <w:tcBorders>
              <w:top w:val="single" w:sz="4" w:space="0" w:color="auto"/>
            </w:tcBorders>
          </w:tcPr>
          <w:p w14:paraId="4DBDBB60"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1-7</w:t>
            </w:r>
          </w:p>
        </w:tc>
        <w:tc>
          <w:tcPr>
            <w:tcW w:w="717" w:type="dxa"/>
            <w:tcBorders>
              <w:top w:val="single" w:sz="4" w:space="0" w:color="auto"/>
            </w:tcBorders>
            <w:vAlign w:val="center"/>
          </w:tcPr>
          <w:p w14:paraId="02CA1F34"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4.19</w:t>
            </w:r>
          </w:p>
        </w:tc>
        <w:tc>
          <w:tcPr>
            <w:tcW w:w="567" w:type="dxa"/>
            <w:tcBorders>
              <w:top w:val="single" w:sz="4" w:space="0" w:color="auto"/>
            </w:tcBorders>
            <w:vAlign w:val="center"/>
          </w:tcPr>
          <w:p w14:paraId="1F1BD2C1"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2.19</w:t>
            </w:r>
          </w:p>
        </w:tc>
        <w:tc>
          <w:tcPr>
            <w:tcW w:w="851" w:type="dxa"/>
            <w:tcBorders>
              <w:top w:val="single" w:sz="4" w:space="0" w:color="auto"/>
            </w:tcBorders>
            <w:vAlign w:val="center"/>
          </w:tcPr>
          <w:p w14:paraId="0970E6D3"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-0.19</w:t>
            </w:r>
          </w:p>
        </w:tc>
        <w:tc>
          <w:tcPr>
            <w:tcW w:w="567" w:type="dxa"/>
            <w:tcBorders>
              <w:top w:val="single" w:sz="4" w:space="0" w:color="auto"/>
            </w:tcBorders>
            <w:vAlign w:val="center"/>
          </w:tcPr>
          <w:p w14:paraId="4B53D351"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0.01</w:t>
            </w:r>
          </w:p>
        </w:tc>
        <w:tc>
          <w:tcPr>
            <w:tcW w:w="709" w:type="dxa"/>
            <w:tcBorders>
              <w:top w:val="single" w:sz="4" w:space="0" w:color="auto"/>
            </w:tcBorders>
            <w:vAlign w:val="center"/>
          </w:tcPr>
          <w:p w14:paraId="69DE99C6"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-1.45</w:t>
            </w:r>
          </w:p>
        </w:tc>
        <w:tc>
          <w:tcPr>
            <w:tcW w:w="567" w:type="dxa"/>
            <w:tcBorders>
              <w:top w:val="single" w:sz="4" w:space="0" w:color="auto"/>
            </w:tcBorders>
            <w:vAlign w:val="center"/>
          </w:tcPr>
          <w:p w14:paraId="1BBE287C"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0.02</w:t>
            </w:r>
          </w:p>
        </w:tc>
      </w:tr>
      <w:tr w:rsidR="005C0A3A" w:rsidRPr="00494D70" w14:paraId="6EB1E4C2" w14:textId="77777777" w:rsidTr="003012DB">
        <w:tc>
          <w:tcPr>
            <w:tcW w:w="7655" w:type="dxa"/>
            <w:vAlign w:val="bottom"/>
          </w:tcPr>
          <w:p w14:paraId="1E2BB48B" w14:textId="77777777" w:rsidR="005C0A3A" w:rsidRPr="00494D70" w:rsidRDefault="005C0A3A" w:rsidP="003012DB">
            <w:pPr>
              <w:rPr>
                <w:rFonts w:ascii="Times New Roman" w:eastAsia="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8. I ask my partners about their sexual history.</w:t>
            </w:r>
          </w:p>
        </w:tc>
        <w:tc>
          <w:tcPr>
            <w:tcW w:w="842" w:type="dxa"/>
          </w:tcPr>
          <w:p w14:paraId="0DB9FE8F"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1-7</w:t>
            </w:r>
          </w:p>
        </w:tc>
        <w:tc>
          <w:tcPr>
            <w:tcW w:w="717" w:type="dxa"/>
            <w:vAlign w:val="center"/>
          </w:tcPr>
          <w:p w14:paraId="3367610F"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4.49</w:t>
            </w:r>
          </w:p>
        </w:tc>
        <w:tc>
          <w:tcPr>
            <w:tcW w:w="567" w:type="dxa"/>
            <w:vAlign w:val="center"/>
          </w:tcPr>
          <w:p w14:paraId="20033D44"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2.05</w:t>
            </w:r>
          </w:p>
        </w:tc>
        <w:tc>
          <w:tcPr>
            <w:tcW w:w="851" w:type="dxa"/>
            <w:vAlign w:val="center"/>
          </w:tcPr>
          <w:p w14:paraId="375211C0"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-0.42</w:t>
            </w:r>
          </w:p>
        </w:tc>
        <w:tc>
          <w:tcPr>
            <w:tcW w:w="567" w:type="dxa"/>
            <w:vAlign w:val="center"/>
          </w:tcPr>
          <w:p w14:paraId="627FC77E"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0.01</w:t>
            </w:r>
          </w:p>
        </w:tc>
        <w:tc>
          <w:tcPr>
            <w:tcW w:w="709" w:type="dxa"/>
            <w:vAlign w:val="center"/>
          </w:tcPr>
          <w:p w14:paraId="5B151752"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-1.19</w:t>
            </w:r>
          </w:p>
        </w:tc>
        <w:tc>
          <w:tcPr>
            <w:tcW w:w="567" w:type="dxa"/>
            <w:vAlign w:val="center"/>
          </w:tcPr>
          <w:p w14:paraId="532C89DE"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0.02</w:t>
            </w:r>
          </w:p>
        </w:tc>
      </w:tr>
      <w:tr w:rsidR="005C0A3A" w:rsidRPr="00494D70" w14:paraId="3FD3F8B8" w14:textId="77777777" w:rsidTr="003012DB">
        <w:tc>
          <w:tcPr>
            <w:tcW w:w="7655" w:type="dxa"/>
            <w:tcBorders>
              <w:bottom w:val="single" w:sz="4" w:space="0" w:color="auto"/>
            </w:tcBorders>
            <w:vAlign w:val="bottom"/>
          </w:tcPr>
          <w:p w14:paraId="39A1E1E2" w14:textId="77777777" w:rsidR="005C0A3A" w:rsidRPr="00494D70" w:rsidRDefault="005C0A3A" w:rsidP="003012DB">
            <w:pPr>
              <w:rPr>
                <w:rFonts w:ascii="Times New Roman" w:eastAsia="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9. I ask my partners whether they have ever had a sexually transmitted infection/disease.</w:t>
            </w:r>
          </w:p>
        </w:tc>
        <w:tc>
          <w:tcPr>
            <w:tcW w:w="842" w:type="dxa"/>
            <w:tcBorders>
              <w:bottom w:val="single" w:sz="4" w:space="0" w:color="auto"/>
            </w:tcBorders>
          </w:tcPr>
          <w:p w14:paraId="12637B3D"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1-7</w:t>
            </w:r>
          </w:p>
        </w:tc>
        <w:tc>
          <w:tcPr>
            <w:tcW w:w="717" w:type="dxa"/>
            <w:tcBorders>
              <w:bottom w:val="single" w:sz="4" w:space="0" w:color="auto"/>
            </w:tcBorders>
            <w:vAlign w:val="center"/>
          </w:tcPr>
          <w:p w14:paraId="0D7B885D"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4.24</w:t>
            </w:r>
          </w:p>
        </w:tc>
        <w:tc>
          <w:tcPr>
            <w:tcW w:w="567" w:type="dxa"/>
            <w:tcBorders>
              <w:bottom w:val="single" w:sz="4" w:space="0" w:color="auto"/>
            </w:tcBorders>
            <w:vAlign w:val="center"/>
          </w:tcPr>
          <w:p w14:paraId="572B09E9"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2.17</w:t>
            </w:r>
          </w:p>
        </w:tc>
        <w:tc>
          <w:tcPr>
            <w:tcW w:w="851" w:type="dxa"/>
            <w:tcBorders>
              <w:bottom w:val="single" w:sz="4" w:space="0" w:color="auto"/>
            </w:tcBorders>
            <w:vAlign w:val="center"/>
          </w:tcPr>
          <w:p w14:paraId="29281D57"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-0.19</w:t>
            </w:r>
          </w:p>
        </w:tc>
        <w:tc>
          <w:tcPr>
            <w:tcW w:w="567" w:type="dxa"/>
            <w:tcBorders>
              <w:bottom w:val="single" w:sz="4" w:space="0" w:color="auto"/>
            </w:tcBorders>
            <w:vAlign w:val="center"/>
          </w:tcPr>
          <w:p w14:paraId="02FA6974"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0.01</w:t>
            </w:r>
          </w:p>
        </w:tc>
        <w:tc>
          <w:tcPr>
            <w:tcW w:w="709" w:type="dxa"/>
            <w:tcBorders>
              <w:bottom w:val="single" w:sz="4" w:space="0" w:color="auto"/>
            </w:tcBorders>
            <w:vAlign w:val="center"/>
          </w:tcPr>
          <w:p w14:paraId="5BAC2842"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-1.44</w:t>
            </w:r>
          </w:p>
        </w:tc>
        <w:tc>
          <w:tcPr>
            <w:tcW w:w="567" w:type="dxa"/>
            <w:tcBorders>
              <w:bottom w:val="single" w:sz="4" w:space="0" w:color="auto"/>
            </w:tcBorders>
            <w:vAlign w:val="center"/>
          </w:tcPr>
          <w:p w14:paraId="769150C1"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0.02</w:t>
            </w:r>
          </w:p>
        </w:tc>
      </w:tr>
      <w:tr w:rsidR="005C0A3A" w:rsidRPr="00494D70" w14:paraId="32D50F14" w14:textId="77777777" w:rsidTr="003012DB">
        <w:tc>
          <w:tcPr>
            <w:tcW w:w="7655" w:type="dxa"/>
            <w:tcBorders>
              <w:top w:val="single" w:sz="4" w:space="0" w:color="auto"/>
              <w:bottom w:val="single" w:sz="4" w:space="0" w:color="auto"/>
            </w:tcBorders>
            <w:vAlign w:val="center"/>
          </w:tcPr>
          <w:p w14:paraId="41F98761" w14:textId="77777777" w:rsidR="005C0A3A" w:rsidRPr="00494D70" w:rsidRDefault="005C0A3A" w:rsidP="003012DB">
            <w:pP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Total score</w:t>
            </w:r>
          </w:p>
        </w:tc>
        <w:tc>
          <w:tcPr>
            <w:tcW w:w="842" w:type="dxa"/>
            <w:tcBorders>
              <w:top w:val="single" w:sz="4" w:space="0" w:color="auto"/>
              <w:bottom w:val="single" w:sz="4" w:space="0" w:color="auto"/>
            </w:tcBorders>
            <w:vAlign w:val="center"/>
          </w:tcPr>
          <w:p w14:paraId="1CCB7A98"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9-63</w:t>
            </w:r>
          </w:p>
        </w:tc>
        <w:tc>
          <w:tcPr>
            <w:tcW w:w="717" w:type="dxa"/>
            <w:tcBorders>
              <w:top w:val="single" w:sz="4" w:space="0" w:color="auto"/>
              <w:bottom w:val="single" w:sz="4" w:space="0" w:color="auto"/>
            </w:tcBorders>
            <w:vAlign w:val="center"/>
          </w:tcPr>
          <w:p w14:paraId="452AD157"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44.74</w:t>
            </w:r>
          </w:p>
        </w:tc>
        <w:tc>
          <w:tcPr>
            <w:tcW w:w="567" w:type="dxa"/>
            <w:tcBorders>
              <w:top w:val="single" w:sz="4" w:space="0" w:color="auto"/>
              <w:bottom w:val="single" w:sz="4" w:space="0" w:color="auto"/>
            </w:tcBorders>
            <w:vAlign w:val="center"/>
          </w:tcPr>
          <w:p w14:paraId="16ADD252"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9.62</w:t>
            </w:r>
          </w:p>
        </w:tc>
        <w:tc>
          <w:tcPr>
            <w:tcW w:w="851" w:type="dxa"/>
            <w:tcBorders>
              <w:top w:val="single" w:sz="4" w:space="0" w:color="auto"/>
              <w:bottom w:val="single" w:sz="4" w:space="0" w:color="auto"/>
            </w:tcBorders>
            <w:vAlign w:val="center"/>
          </w:tcPr>
          <w:p w14:paraId="256A53DB"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-0.31</w:t>
            </w:r>
          </w:p>
        </w:tc>
        <w:tc>
          <w:tcPr>
            <w:tcW w:w="567" w:type="dxa"/>
            <w:tcBorders>
              <w:top w:val="single" w:sz="4" w:space="0" w:color="auto"/>
              <w:bottom w:val="single" w:sz="4" w:space="0" w:color="auto"/>
            </w:tcBorders>
            <w:vAlign w:val="center"/>
          </w:tcPr>
          <w:p w14:paraId="7B1FB7A5"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0.10</w:t>
            </w:r>
          </w:p>
        </w:tc>
        <w:tc>
          <w:tcPr>
            <w:tcW w:w="709" w:type="dxa"/>
            <w:tcBorders>
              <w:top w:val="single" w:sz="4" w:space="0" w:color="auto"/>
              <w:bottom w:val="single" w:sz="4" w:space="0" w:color="auto"/>
            </w:tcBorders>
            <w:vAlign w:val="center"/>
          </w:tcPr>
          <w:p w14:paraId="0AD532E6"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-0.33</w:t>
            </w:r>
          </w:p>
        </w:tc>
        <w:tc>
          <w:tcPr>
            <w:tcW w:w="567" w:type="dxa"/>
            <w:tcBorders>
              <w:top w:val="single" w:sz="4" w:space="0" w:color="auto"/>
              <w:bottom w:val="single" w:sz="4" w:space="0" w:color="auto"/>
            </w:tcBorders>
            <w:vAlign w:val="center"/>
          </w:tcPr>
          <w:p w14:paraId="300E6212"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0.02</w:t>
            </w:r>
          </w:p>
        </w:tc>
      </w:tr>
    </w:tbl>
    <w:p w14:paraId="32B03122" w14:textId="77777777" w:rsidR="005C0A3A" w:rsidRPr="00494D70" w:rsidRDefault="005C0A3A" w:rsidP="005C0A3A">
      <w:pPr>
        <w:rPr>
          <w:rFonts w:ascii="Times New Roman" w:hAnsi="Times New Roman" w:cs="Times New Roman"/>
          <w:bCs/>
          <w:sz w:val="24"/>
          <w:szCs w:val="24"/>
        </w:rPr>
      </w:pPr>
      <w:r w:rsidRPr="00494D70">
        <w:rPr>
          <w:rFonts w:ascii="Times New Roman" w:hAnsi="Times New Roman" w:cs="Times New Roman"/>
          <w:bCs/>
          <w:i/>
          <w:iCs/>
          <w:sz w:val="24"/>
          <w:szCs w:val="24"/>
        </w:rPr>
        <w:t>Note</w:t>
      </w:r>
      <w:r w:rsidRPr="00494D70">
        <w:rPr>
          <w:rFonts w:ascii="Times New Roman" w:hAnsi="Times New Roman" w:cs="Times New Roman"/>
          <w:bCs/>
          <w:sz w:val="24"/>
          <w:szCs w:val="24"/>
        </w:rPr>
        <w:t xml:space="preserve">. </w:t>
      </w:r>
      <w:r w:rsidRPr="00494D70">
        <w:rPr>
          <w:rFonts w:ascii="Times New Roman" w:hAnsi="Times New Roman" w:cs="Times New Roman"/>
          <w:bCs/>
          <w:i/>
          <w:iCs/>
          <w:sz w:val="24"/>
          <w:szCs w:val="24"/>
        </w:rPr>
        <w:t>M</w:t>
      </w:r>
      <w:r w:rsidRPr="00494D70">
        <w:rPr>
          <w:rFonts w:ascii="Times New Roman" w:hAnsi="Times New Roman" w:cs="Times New Roman"/>
          <w:bCs/>
          <w:sz w:val="24"/>
          <w:szCs w:val="24"/>
        </w:rPr>
        <w:t xml:space="preserve"> = mean, </w:t>
      </w:r>
      <w:r w:rsidRPr="00494D70">
        <w:rPr>
          <w:rFonts w:ascii="Times New Roman" w:hAnsi="Times New Roman" w:cs="Times New Roman"/>
          <w:bCs/>
          <w:i/>
          <w:iCs/>
          <w:sz w:val="24"/>
          <w:szCs w:val="24"/>
        </w:rPr>
        <w:t>SD</w:t>
      </w:r>
      <w:r w:rsidRPr="00494D70">
        <w:rPr>
          <w:rFonts w:ascii="Times New Roman" w:hAnsi="Times New Roman" w:cs="Times New Roman"/>
          <w:bCs/>
          <w:sz w:val="24"/>
          <w:szCs w:val="24"/>
        </w:rPr>
        <w:t xml:space="preserve"> = standard deviation, Skew. = skewness, </w:t>
      </w:r>
      <w:r w:rsidRPr="00494D70">
        <w:rPr>
          <w:rFonts w:ascii="Times New Roman" w:hAnsi="Times New Roman" w:cs="Times New Roman"/>
          <w:bCs/>
          <w:i/>
          <w:iCs/>
          <w:sz w:val="24"/>
          <w:szCs w:val="24"/>
        </w:rPr>
        <w:t>SE</w:t>
      </w:r>
      <w:r w:rsidRPr="00494D70">
        <w:rPr>
          <w:rFonts w:ascii="Times New Roman" w:hAnsi="Times New Roman" w:cs="Times New Roman"/>
          <w:bCs/>
          <w:sz w:val="24"/>
          <w:szCs w:val="24"/>
        </w:rPr>
        <w:t xml:space="preserve"> = standard error, Kurt. = kurtosis. Item 5 has been reverse-coded. </w:t>
      </w:r>
    </w:p>
    <w:p w14:paraId="2C59A80A" w14:textId="77777777" w:rsidR="005C0A3A" w:rsidRPr="00494D70" w:rsidRDefault="005C0A3A" w:rsidP="005C0A3A"/>
    <w:p w14:paraId="06905470" w14:textId="77777777" w:rsidR="005C0A3A" w:rsidRPr="00494D70" w:rsidRDefault="005C0A3A" w:rsidP="005C0A3A">
      <w:pPr>
        <w:rPr>
          <w:rFonts w:ascii="Times New Roman" w:eastAsia="Times New Roman" w:hAnsi="Times New Roman" w:cs="Times New Roman"/>
          <w:b/>
          <w:bCs/>
          <w:color w:val="000000"/>
          <w:sz w:val="24"/>
          <w:szCs w:val="24"/>
          <w:lang w:eastAsia="hu-HU"/>
        </w:rPr>
      </w:pPr>
      <w:r w:rsidRPr="00494D70">
        <w:rPr>
          <w:rFonts w:ascii="Times New Roman" w:eastAsia="Times New Roman" w:hAnsi="Times New Roman" w:cs="Times New Roman"/>
          <w:b/>
          <w:bCs/>
          <w:color w:val="000000"/>
          <w:sz w:val="24"/>
          <w:szCs w:val="24"/>
          <w:lang w:eastAsia="hu-HU"/>
        </w:rPr>
        <w:br w:type="page"/>
      </w:r>
    </w:p>
    <w:p w14:paraId="6A040721" w14:textId="77777777" w:rsidR="005C0A3A" w:rsidRPr="00494D70" w:rsidRDefault="005C0A3A" w:rsidP="005C0A3A">
      <w:pPr>
        <w:spacing w:after="0" w:line="240" w:lineRule="auto"/>
        <w:rPr>
          <w:rFonts w:ascii="Times New Roman" w:eastAsia="Times New Roman" w:hAnsi="Times New Roman" w:cs="Times New Roman"/>
          <w:b/>
          <w:bCs/>
          <w:color w:val="000000"/>
          <w:sz w:val="24"/>
          <w:szCs w:val="24"/>
          <w:lang w:eastAsia="hu-HU"/>
        </w:rPr>
      </w:pPr>
      <w:r w:rsidRPr="00494D70">
        <w:rPr>
          <w:rFonts w:ascii="Times New Roman" w:eastAsia="Times New Roman" w:hAnsi="Times New Roman" w:cs="Times New Roman"/>
          <w:b/>
          <w:bCs/>
          <w:color w:val="000000"/>
          <w:sz w:val="24"/>
          <w:szCs w:val="24"/>
          <w:lang w:eastAsia="hu-HU"/>
        </w:rPr>
        <w:lastRenderedPageBreak/>
        <w:t>Table 3</w:t>
      </w:r>
    </w:p>
    <w:p w14:paraId="379270E7" w14:textId="77777777" w:rsidR="005C0A3A" w:rsidRPr="00494D70" w:rsidRDefault="005C0A3A" w:rsidP="005C0A3A">
      <w:pPr>
        <w:spacing w:after="0" w:line="240" w:lineRule="auto"/>
        <w:rPr>
          <w:rFonts w:ascii="Times New Roman" w:eastAsia="Times New Roman" w:hAnsi="Times New Roman" w:cs="Times New Roman"/>
          <w:i/>
          <w:iCs/>
          <w:color w:val="000000"/>
          <w:sz w:val="24"/>
          <w:szCs w:val="24"/>
          <w:lang w:eastAsia="hu-HU"/>
        </w:rPr>
      </w:pPr>
      <w:r w:rsidRPr="00494D70">
        <w:rPr>
          <w:rFonts w:ascii="Times New Roman" w:eastAsia="Times New Roman" w:hAnsi="Times New Roman" w:cs="Times New Roman"/>
          <w:i/>
          <w:iCs/>
          <w:color w:val="000000"/>
          <w:sz w:val="24"/>
          <w:szCs w:val="24"/>
          <w:lang w:eastAsia="hu-HU"/>
        </w:rPr>
        <w:t xml:space="preserve">Standardized Factor Loadings in the Confirmatory Factor Analysis, Reliability Indices, and Inter-Factor Correlations of the </w:t>
      </w:r>
      <w:r w:rsidRPr="00494D70">
        <w:rPr>
          <w:rFonts w:ascii="Times New Roman" w:hAnsi="Times New Roman" w:cs="Times New Roman"/>
          <w:bCs/>
          <w:i/>
          <w:iCs/>
          <w:sz w:val="24"/>
          <w:szCs w:val="24"/>
        </w:rPr>
        <w:t>Short Sexual Assertiveness Questionnaire (SAQ-9)</w:t>
      </w:r>
      <w:r w:rsidRPr="00494D70">
        <w:rPr>
          <w:rFonts w:ascii="Times New Roman" w:eastAsia="Times New Roman" w:hAnsi="Times New Roman" w:cs="Times New Roman"/>
          <w:i/>
          <w:iCs/>
          <w:color w:val="000000"/>
          <w:sz w:val="24"/>
          <w:szCs w:val="24"/>
          <w:lang w:eastAsia="hu-HU"/>
        </w:rPr>
        <w:t xml:space="preserve"> on the Total Sample</w:t>
      </w:r>
    </w:p>
    <w:tbl>
      <w:tblPr>
        <w:tblStyle w:val="TableGrid1"/>
        <w:tblW w:w="13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2976"/>
        <w:gridCol w:w="3119"/>
        <w:gridCol w:w="1417"/>
        <w:gridCol w:w="1276"/>
      </w:tblGrid>
      <w:tr w:rsidR="005C0A3A" w:rsidRPr="00494D70" w14:paraId="0AB4FAB7" w14:textId="77777777" w:rsidTr="003012DB">
        <w:trPr>
          <w:trHeight w:val="75"/>
        </w:trPr>
        <w:tc>
          <w:tcPr>
            <w:tcW w:w="7938" w:type="dxa"/>
            <w:gridSpan w:val="2"/>
            <w:tcBorders>
              <w:top w:val="single" w:sz="4" w:space="0" w:color="auto"/>
            </w:tcBorders>
            <w:vAlign w:val="center"/>
          </w:tcPr>
          <w:p w14:paraId="080227B0" w14:textId="77777777" w:rsidR="005C0A3A" w:rsidRPr="00494D70" w:rsidRDefault="005C0A3A" w:rsidP="003012DB">
            <w:pP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Items</w:t>
            </w:r>
          </w:p>
        </w:tc>
        <w:tc>
          <w:tcPr>
            <w:tcW w:w="3119" w:type="dxa"/>
            <w:tcBorders>
              <w:top w:val="single" w:sz="4" w:space="0" w:color="auto"/>
            </w:tcBorders>
          </w:tcPr>
          <w:p w14:paraId="55B92F47" w14:textId="77777777" w:rsidR="005C0A3A" w:rsidRPr="00494D70" w:rsidRDefault="005C0A3A" w:rsidP="003012DB">
            <w:pPr>
              <w:jc w:val="cente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 xml:space="preserve">Standardized Factor Loadings </w:t>
            </w:r>
          </w:p>
        </w:tc>
        <w:tc>
          <w:tcPr>
            <w:tcW w:w="1417" w:type="dxa"/>
            <w:tcBorders>
              <w:top w:val="single" w:sz="4" w:space="0" w:color="auto"/>
            </w:tcBorders>
            <w:vAlign w:val="center"/>
          </w:tcPr>
          <w:p w14:paraId="3C57944E"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 xml:space="preserve">α </w:t>
            </w:r>
          </w:p>
        </w:tc>
        <w:tc>
          <w:tcPr>
            <w:tcW w:w="1276" w:type="dxa"/>
            <w:tcBorders>
              <w:top w:val="single" w:sz="4" w:space="0" w:color="auto"/>
            </w:tcBorders>
          </w:tcPr>
          <w:p w14:paraId="06E14231"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sz w:val="20"/>
                <w:szCs w:val="20"/>
              </w:rPr>
              <w:t>ω</w:t>
            </w:r>
          </w:p>
        </w:tc>
      </w:tr>
      <w:tr w:rsidR="005C0A3A" w:rsidRPr="00494D70" w14:paraId="73C401CB" w14:textId="77777777" w:rsidTr="003012DB">
        <w:trPr>
          <w:trHeight w:val="300"/>
        </w:trPr>
        <w:tc>
          <w:tcPr>
            <w:tcW w:w="7938" w:type="dxa"/>
            <w:gridSpan w:val="2"/>
            <w:tcBorders>
              <w:top w:val="single" w:sz="4" w:space="0" w:color="auto"/>
              <w:bottom w:val="single" w:sz="4" w:space="0" w:color="auto"/>
            </w:tcBorders>
            <w:vAlign w:val="center"/>
          </w:tcPr>
          <w:p w14:paraId="5C02F8B3" w14:textId="77777777" w:rsidR="005C0A3A" w:rsidRPr="00494D70" w:rsidRDefault="005C0A3A" w:rsidP="003012DB">
            <w:pP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i/>
                <w:iCs/>
                <w:color w:val="000000" w:themeColor="text1"/>
                <w:sz w:val="20"/>
                <w:szCs w:val="20"/>
              </w:rPr>
              <w:t>Initiation</w:t>
            </w:r>
          </w:p>
        </w:tc>
        <w:tc>
          <w:tcPr>
            <w:tcW w:w="3119" w:type="dxa"/>
            <w:tcBorders>
              <w:top w:val="single" w:sz="4" w:space="0" w:color="auto"/>
              <w:bottom w:val="single" w:sz="4" w:space="0" w:color="auto"/>
            </w:tcBorders>
          </w:tcPr>
          <w:p w14:paraId="790BCA09" w14:textId="77777777" w:rsidR="005C0A3A" w:rsidRPr="00494D70" w:rsidRDefault="005C0A3A" w:rsidP="003012DB">
            <w:pPr>
              <w:jc w:val="center"/>
              <w:rPr>
                <w:rFonts w:ascii="Times New Roman" w:eastAsia="Times New Roman" w:hAnsi="Times New Roman" w:cs="Times New Roman"/>
                <w:color w:val="000000" w:themeColor="text1"/>
                <w:sz w:val="20"/>
                <w:szCs w:val="20"/>
              </w:rPr>
            </w:pPr>
          </w:p>
        </w:tc>
        <w:tc>
          <w:tcPr>
            <w:tcW w:w="1417" w:type="dxa"/>
            <w:tcBorders>
              <w:top w:val="single" w:sz="4" w:space="0" w:color="auto"/>
              <w:bottom w:val="single" w:sz="4" w:space="0" w:color="auto"/>
            </w:tcBorders>
            <w:vAlign w:val="center"/>
          </w:tcPr>
          <w:p w14:paraId="5452A165" w14:textId="77777777" w:rsidR="005C0A3A" w:rsidRPr="00494D70" w:rsidRDefault="005C0A3A" w:rsidP="003012DB">
            <w:pPr>
              <w:jc w:val="center"/>
              <w:rPr>
                <w:rFonts w:ascii="Times New Roman" w:eastAsia="Times New Roman" w:hAnsi="Times New Roman" w:cs="Times New Roman"/>
                <w:color w:val="000000" w:themeColor="text1"/>
                <w:sz w:val="20"/>
                <w:szCs w:val="20"/>
              </w:rPr>
            </w:pPr>
          </w:p>
        </w:tc>
        <w:tc>
          <w:tcPr>
            <w:tcW w:w="1276" w:type="dxa"/>
            <w:tcBorders>
              <w:top w:val="single" w:sz="4" w:space="0" w:color="auto"/>
              <w:bottom w:val="single" w:sz="4" w:space="0" w:color="auto"/>
            </w:tcBorders>
          </w:tcPr>
          <w:p w14:paraId="01068FB7" w14:textId="77777777" w:rsidR="005C0A3A" w:rsidRPr="00494D70" w:rsidRDefault="005C0A3A" w:rsidP="003012DB">
            <w:pPr>
              <w:jc w:val="center"/>
              <w:rPr>
                <w:rFonts w:ascii="Times New Roman" w:eastAsia="Times New Roman" w:hAnsi="Times New Roman" w:cs="Times New Roman"/>
                <w:color w:val="000000" w:themeColor="text1"/>
                <w:sz w:val="20"/>
                <w:szCs w:val="20"/>
              </w:rPr>
            </w:pPr>
          </w:p>
        </w:tc>
      </w:tr>
      <w:tr w:rsidR="005C0A3A" w:rsidRPr="00494D70" w14:paraId="5B0E23C0" w14:textId="77777777" w:rsidTr="003012DB">
        <w:trPr>
          <w:trHeight w:val="49"/>
        </w:trPr>
        <w:tc>
          <w:tcPr>
            <w:tcW w:w="7938" w:type="dxa"/>
            <w:gridSpan w:val="2"/>
            <w:tcBorders>
              <w:top w:val="single" w:sz="4" w:space="0" w:color="auto"/>
            </w:tcBorders>
          </w:tcPr>
          <w:p w14:paraId="4185D04B" w14:textId="77777777" w:rsidR="005C0A3A" w:rsidRPr="00494D70" w:rsidRDefault="005C0A3A" w:rsidP="003012DB">
            <w:pPr>
              <w:rPr>
                <w:rFonts w:ascii="Times New Roman" w:eastAsia="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1. I am open with my partner about my sexual needs.</w:t>
            </w:r>
          </w:p>
        </w:tc>
        <w:tc>
          <w:tcPr>
            <w:tcW w:w="3119" w:type="dxa"/>
            <w:tcBorders>
              <w:top w:val="single" w:sz="4" w:space="0" w:color="auto"/>
            </w:tcBorders>
            <w:vAlign w:val="center"/>
          </w:tcPr>
          <w:p w14:paraId="4594A2E4"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0.80</w:t>
            </w:r>
          </w:p>
        </w:tc>
        <w:tc>
          <w:tcPr>
            <w:tcW w:w="1417" w:type="dxa"/>
            <w:vMerge w:val="restart"/>
            <w:tcBorders>
              <w:top w:val="single" w:sz="4" w:space="0" w:color="auto"/>
            </w:tcBorders>
            <w:vAlign w:val="center"/>
          </w:tcPr>
          <w:p w14:paraId="7239CFE7" w14:textId="77777777" w:rsidR="005C0A3A" w:rsidRPr="00494D70" w:rsidRDefault="005C0A3A" w:rsidP="003012DB">
            <w:pPr>
              <w:jc w:val="center"/>
              <w:rPr>
                <w:rFonts w:ascii="Times New Roman" w:hAnsi="Times New Roman" w:cs="Times New Roman"/>
                <w:color w:val="000000"/>
                <w:sz w:val="20"/>
                <w:szCs w:val="20"/>
              </w:rPr>
            </w:pPr>
            <w:r w:rsidRPr="00494D70">
              <w:rPr>
                <w:rFonts w:ascii="Times New Roman" w:hAnsi="Times New Roman" w:cs="Times New Roman"/>
                <w:color w:val="000000" w:themeColor="text1"/>
                <w:sz w:val="20"/>
                <w:szCs w:val="20"/>
              </w:rPr>
              <w:t>0.84</w:t>
            </w:r>
          </w:p>
        </w:tc>
        <w:tc>
          <w:tcPr>
            <w:tcW w:w="1276" w:type="dxa"/>
            <w:vMerge w:val="restart"/>
            <w:tcBorders>
              <w:top w:val="single" w:sz="4" w:space="0" w:color="auto"/>
            </w:tcBorders>
            <w:vAlign w:val="center"/>
          </w:tcPr>
          <w:p w14:paraId="2EE9D146"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0.85</w:t>
            </w:r>
          </w:p>
        </w:tc>
      </w:tr>
      <w:tr w:rsidR="005C0A3A" w:rsidRPr="00494D70" w14:paraId="523C677D" w14:textId="77777777" w:rsidTr="003012DB">
        <w:trPr>
          <w:trHeight w:val="59"/>
        </w:trPr>
        <w:tc>
          <w:tcPr>
            <w:tcW w:w="7938" w:type="dxa"/>
            <w:gridSpan w:val="2"/>
          </w:tcPr>
          <w:p w14:paraId="487E54DE" w14:textId="77777777" w:rsidR="005C0A3A" w:rsidRPr="00494D70" w:rsidRDefault="005C0A3A" w:rsidP="003012DB">
            <w:pPr>
              <w:rPr>
                <w:rFonts w:ascii="Times New Roman" w:eastAsia="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2. I let my partner know if I want to have sex.</w:t>
            </w:r>
          </w:p>
        </w:tc>
        <w:tc>
          <w:tcPr>
            <w:tcW w:w="3119" w:type="dxa"/>
            <w:vAlign w:val="center"/>
          </w:tcPr>
          <w:p w14:paraId="318A9381" w14:textId="77777777" w:rsidR="005C0A3A" w:rsidRPr="00494D70" w:rsidRDefault="005C0A3A" w:rsidP="003012DB">
            <w:pPr>
              <w:jc w:val="center"/>
              <w:rPr>
                <w:rFonts w:ascii="Times New Roman" w:hAnsi="Times New Roman" w:cs="Times New Roman"/>
                <w:color w:val="000000"/>
                <w:sz w:val="20"/>
                <w:szCs w:val="20"/>
              </w:rPr>
            </w:pPr>
            <w:r w:rsidRPr="00494D70">
              <w:rPr>
                <w:rFonts w:ascii="Times New Roman" w:hAnsi="Times New Roman" w:cs="Times New Roman"/>
                <w:color w:val="000000" w:themeColor="text1"/>
                <w:sz w:val="20"/>
                <w:szCs w:val="20"/>
              </w:rPr>
              <w:t>0.77</w:t>
            </w:r>
          </w:p>
        </w:tc>
        <w:tc>
          <w:tcPr>
            <w:tcW w:w="1417" w:type="dxa"/>
            <w:vMerge/>
            <w:vAlign w:val="center"/>
          </w:tcPr>
          <w:p w14:paraId="2C4980F3" w14:textId="77777777" w:rsidR="005C0A3A" w:rsidRPr="00494D70" w:rsidRDefault="005C0A3A" w:rsidP="003012DB">
            <w:pPr>
              <w:jc w:val="center"/>
              <w:rPr>
                <w:rFonts w:ascii="Times New Roman" w:hAnsi="Times New Roman" w:cs="Times New Roman"/>
                <w:color w:val="000000"/>
                <w:sz w:val="20"/>
                <w:szCs w:val="20"/>
              </w:rPr>
            </w:pPr>
          </w:p>
        </w:tc>
        <w:tc>
          <w:tcPr>
            <w:tcW w:w="1276" w:type="dxa"/>
            <w:vMerge/>
            <w:vAlign w:val="center"/>
          </w:tcPr>
          <w:p w14:paraId="1AE4AFE3" w14:textId="77777777" w:rsidR="005C0A3A" w:rsidRPr="00494D70" w:rsidRDefault="005C0A3A" w:rsidP="003012DB">
            <w:pPr>
              <w:jc w:val="center"/>
              <w:rPr>
                <w:rFonts w:ascii="Times New Roman" w:hAnsi="Times New Roman" w:cs="Times New Roman"/>
                <w:color w:val="000000"/>
                <w:sz w:val="20"/>
                <w:szCs w:val="20"/>
              </w:rPr>
            </w:pPr>
          </w:p>
        </w:tc>
      </w:tr>
      <w:tr w:rsidR="005C0A3A" w:rsidRPr="00494D70" w14:paraId="03C2B942" w14:textId="77777777" w:rsidTr="003012DB">
        <w:trPr>
          <w:trHeight w:val="59"/>
        </w:trPr>
        <w:tc>
          <w:tcPr>
            <w:tcW w:w="7938" w:type="dxa"/>
            <w:gridSpan w:val="2"/>
            <w:tcBorders>
              <w:bottom w:val="single" w:sz="4" w:space="0" w:color="auto"/>
            </w:tcBorders>
            <w:vAlign w:val="center"/>
          </w:tcPr>
          <w:p w14:paraId="725AFFF2" w14:textId="77777777" w:rsidR="005C0A3A" w:rsidRPr="00494D70" w:rsidRDefault="005C0A3A" w:rsidP="003012DB">
            <w:pPr>
              <w:rPr>
                <w:rFonts w:ascii="Times New Roman" w:hAnsi="Times New Roman" w:cs="Times New Roman"/>
                <w:i/>
                <w:iCs/>
                <w:color w:val="000000" w:themeColor="text1"/>
                <w:sz w:val="20"/>
                <w:szCs w:val="20"/>
              </w:rPr>
            </w:pPr>
            <w:r w:rsidRPr="00494D70">
              <w:rPr>
                <w:rFonts w:ascii="Times New Roman" w:hAnsi="Times New Roman" w:cs="Times New Roman"/>
                <w:color w:val="000000" w:themeColor="text1"/>
                <w:sz w:val="20"/>
                <w:szCs w:val="20"/>
              </w:rPr>
              <w:t>3. It is easy for me to discuss sex with my partner.</w:t>
            </w:r>
          </w:p>
        </w:tc>
        <w:tc>
          <w:tcPr>
            <w:tcW w:w="3119" w:type="dxa"/>
            <w:tcBorders>
              <w:bottom w:val="single" w:sz="4" w:space="0" w:color="auto"/>
            </w:tcBorders>
            <w:vAlign w:val="center"/>
          </w:tcPr>
          <w:p w14:paraId="2819E971" w14:textId="77777777" w:rsidR="005C0A3A" w:rsidRPr="00494D70" w:rsidRDefault="005C0A3A" w:rsidP="003012DB">
            <w:pPr>
              <w:jc w:val="center"/>
              <w:rPr>
                <w:rFonts w:ascii="Times New Roman" w:hAnsi="Times New Roman" w:cs="Times New Roman"/>
                <w:color w:val="000000"/>
                <w:sz w:val="20"/>
                <w:szCs w:val="20"/>
              </w:rPr>
            </w:pPr>
            <w:r w:rsidRPr="00494D70">
              <w:rPr>
                <w:rFonts w:ascii="Times New Roman" w:hAnsi="Times New Roman" w:cs="Times New Roman"/>
                <w:color w:val="000000" w:themeColor="text1"/>
                <w:sz w:val="20"/>
                <w:szCs w:val="20"/>
              </w:rPr>
              <w:t>0.83</w:t>
            </w:r>
          </w:p>
        </w:tc>
        <w:tc>
          <w:tcPr>
            <w:tcW w:w="1417" w:type="dxa"/>
            <w:vMerge/>
            <w:vAlign w:val="center"/>
          </w:tcPr>
          <w:p w14:paraId="051D57B7" w14:textId="77777777" w:rsidR="005C0A3A" w:rsidRPr="00494D70" w:rsidRDefault="005C0A3A" w:rsidP="003012DB">
            <w:pPr>
              <w:jc w:val="center"/>
              <w:rPr>
                <w:rFonts w:ascii="Times New Roman" w:hAnsi="Times New Roman" w:cs="Times New Roman"/>
                <w:color w:val="000000"/>
                <w:sz w:val="20"/>
                <w:szCs w:val="20"/>
              </w:rPr>
            </w:pPr>
          </w:p>
        </w:tc>
        <w:tc>
          <w:tcPr>
            <w:tcW w:w="1276" w:type="dxa"/>
            <w:vMerge/>
            <w:vAlign w:val="center"/>
          </w:tcPr>
          <w:p w14:paraId="51BABBC8" w14:textId="77777777" w:rsidR="005C0A3A" w:rsidRPr="00494D70" w:rsidRDefault="005C0A3A" w:rsidP="003012DB">
            <w:pPr>
              <w:jc w:val="center"/>
              <w:rPr>
                <w:rFonts w:ascii="Times New Roman" w:hAnsi="Times New Roman" w:cs="Times New Roman"/>
                <w:color w:val="000000"/>
                <w:sz w:val="20"/>
                <w:szCs w:val="20"/>
              </w:rPr>
            </w:pPr>
          </w:p>
        </w:tc>
      </w:tr>
      <w:tr w:rsidR="005C0A3A" w:rsidRPr="00494D70" w14:paraId="06239BE0" w14:textId="77777777" w:rsidTr="003012DB">
        <w:trPr>
          <w:trHeight w:val="49"/>
        </w:trPr>
        <w:tc>
          <w:tcPr>
            <w:tcW w:w="7938" w:type="dxa"/>
            <w:gridSpan w:val="2"/>
            <w:tcBorders>
              <w:top w:val="single" w:sz="4" w:space="0" w:color="auto"/>
              <w:bottom w:val="single" w:sz="4" w:space="0" w:color="auto"/>
            </w:tcBorders>
            <w:vAlign w:val="center"/>
          </w:tcPr>
          <w:p w14:paraId="6049C508" w14:textId="77777777" w:rsidR="005C0A3A" w:rsidRPr="00494D70" w:rsidRDefault="005C0A3A" w:rsidP="003012DB">
            <w:pP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i/>
                <w:iCs/>
                <w:color w:val="000000" w:themeColor="text1"/>
                <w:sz w:val="20"/>
                <w:szCs w:val="20"/>
              </w:rPr>
              <w:t>Refusal</w:t>
            </w:r>
          </w:p>
        </w:tc>
        <w:tc>
          <w:tcPr>
            <w:tcW w:w="3119" w:type="dxa"/>
            <w:tcBorders>
              <w:top w:val="single" w:sz="4" w:space="0" w:color="auto"/>
              <w:bottom w:val="single" w:sz="4" w:space="0" w:color="auto"/>
            </w:tcBorders>
            <w:vAlign w:val="center"/>
          </w:tcPr>
          <w:p w14:paraId="0918BC9F" w14:textId="77777777" w:rsidR="005C0A3A" w:rsidRPr="00494D70" w:rsidRDefault="005C0A3A" w:rsidP="003012DB">
            <w:pPr>
              <w:jc w:val="center"/>
              <w:rPr>
                <w:rFonts w:ascii="Times New Roman" w:eastAsia="Times New Roman" w:hAnsi="Times New Roman" w:cs="Times New Roman"/>
                <w:color w:val="000000" w:themeColor="text1"/>
                <w:sz w:val="20"/>
                <w:szCs w:val="20"/>
              </w:rPr>
            </w:pPr>
          </w:p>
        </w:tc>
        <w:tc>
          <w:tcPr>
            <w:tcW w:w="1417" w:type="dxa"/>
            <w:tcBorders>
              <w:top w:val="single" w:sz="4" w:space="0" w:color="auto"/>
              <w:bottom w:val="single" w:sz="4" w:space="0" w:color="auto"/>
            </w:tcBorders>
            <w:vAlign w:val="center"/>
          </w:tcPr>
          <w:p w14:paraId="1508C4C7" w14:textId="77777777" w:rsidR="005C0A3A" w:rsidRPr="00494D70" w:rsidRDefault="005C0A3A" w:rsidP="003012DB">
            <w:pPr>
              <w:jc w:val="center"/>
              <w:rPr>
                <w:rFonts w:ascii="Times New Roman" w:eastAsia="Times New Roman" w:hAnsi="Times New Roman" w:cs="Times New Roman"/>
                <w:color w:val="000000" w:themeColor="text1"/>
                <w:sz w:val="20"/>
                <w:szCs w:val="20"/>
              </w:rPr>
            </w:pPr>
          </w:p>
        </w:tc>
        <w:tc>
          <w:tcPr>
            <w:tcW w:w="1276" w:type="dxa"/>
            <w:tcBorders>
              <w:top w:val="single" w:sz="4" w:space="0" w:color="auto"/>
              <w:bottom w:val="single" w:sz="4" w:space="0" w:color="auto"/>
            </w:tcBorders>
            <w:vAlign w:val="center"/>
          </w:tcPr>
          <w:p w14:paraId="0C71D5CC" w14:textId="77777777" w:rsidR="005C0A3A" w:rsidRPr="00494D70" w:rsidRDefault="005C0A3A" w:rsidP="003012DB">
            <w:pPr>
              <w:jc w:val="center"/>
              <w:rPr>
                <w:rFonts w:ascii="Times New Roman" w:eastAsia="Times New Roman" w:hAnsi="Times New Roman" w:cs="Times New Roman"/>
                <w:color w:val="000000" w:themeColor="text1"/>
                <w:sz w:val="20"/>
                <w:szCs w:val="20"/>
              </w:rPr>
            </w:pPr>
          </w:p>
        </w:tc>
      </w:tr>
      <w:tr w:rsidR="005C0A3A" w:rsidRPr="00494D70" w14:paraId="1987F641" w14:textId="77777777" w:rsidTr="003012DB">
        <w:trPr>
          <w:trHeight w:val="49"/>
        </w:trPr>
        <w:tc>
          <w:tcPr>
            <w:tcW w:w="7938" w:type="dxa"/>
            <w:gridSpan w:val="2"/>
            <w:tcBorders>
              <w:top w:val="single" w:sz="4" w:space="0" w:color="auto"/>
            </w:tcBorders>
            <w:vAlign w:val="bottom"/>
          </w:tcPr>
          <w:p w14:paraId="1F1F8CA9" w14:textId="77777777" w:rsidR="005C0A3A" w:rsidRPr="00494D70" w:rsidRDefault="005C0A3A" w:rsidP="003012DB">
            <w:pPr>
              <w:rPr>
                <w:rFonts w:ascii="Times New Roman" w:eastAsia="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4. I refuse to have sex if I don’t want to.</w:t>
            </w:r>
          </w:p>
        </w:tc>
        <w:tc>
          <w:tcPr>
            <w:tcW w:w="3119" w:type="dxa"/>
            <w:tcBorders>
              <w:top w:val="single" w:sz="4" w:space="0" w:color="auto"/>
            </w:tcBorders>
            <w:vAlign w:val="center"/>
          </w:tcPr>
          <w:p w14:paraId="1863F049"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0.74</w:t>
            </w:r>
          </w:p>
        </w:tc>
        <w:tc>
          <w:tcPr>
            <w:tcW w:w="1417" w:type="dxa"/>
            <w:vMerge w:val="restart"/>
            <w:tcBorders>
              <w:top w:val="single" w:sz="4" w:space="0" w:color="auto"/>
            </w:tcBorders>
            <w:vAlign w:val="center"/>
          </w:tcPr>
          <w:p w14:paraId="4D05DF89" w14:textId="77777777" w:rsidR="005C0A3A" w:rsidRPr="00494D70" w:rsidRDefault="005C0A3A" w:rsidP="003012DB">
            <w:pPr>
              <w:jc w:val="center"/>
              <w:rPr>
                <w:rFonts w:ascii="Times New Roman" w:hAnsi="Times New Roman" w:cs="Times New Roman"/>
                <w:color w:val="000000"/>
                <w:sz w:val="20"/>
                <w:szCs w:val="20"/>
              </w:rPr>
            </w:pPr>
            <w:r w:rsidRPr="00494D70">
              <w:rPr>
                <w:rFonts w:ascii="Times New Roman" w:hAnsi="Times New Roman" w:cs="Times New Roman"/>
                <w:color w:val="000000" w:themeColor="text1"/>
                <w:sz w:val="20"/>
                <w:szCs w:val="20"/>
              </w:rPr>
              <w:t>0.70</w:t>
            </w:r>
          </w:p>
        </w:tc>
        <w:tc>
          <w:tcPr>
            <w:tcW w:w="1276" w:type="dxa"/>
            <w:vMerge w:val="restart"/>
            <w:tcBorders>
              <w:top w:val="single" w:sz="4" w:space="0" w:color="auto"/>
            </w:tcBorders>
            <w:vAlign w:val="center"/>
          </w:tcPr>
          <w:p w14:paraId="755D5B64"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0.72</w:t>
            </w:r>
          </w:p>
        </w:tc>
      </w:tr>
      <w:tr w:rsidR="005C0A3A" w:rsidRPr="00494D70" w14:paraId="7C651FD9" w14:textId="77777777" w:rsidTr="003012DB">
        <w:trPr>
          <w:trHeight w:val="59"/>
        </w:trPr>
        <w:tc>
          <w:tcPr>
            <w:tcW w:w="7938" w:type="dxa"/>
            <w:gridSpan w:val="2"/>
            <w:vAlign w:val="bottom"/>
          </w:tcPr>
          <w:p w14:paraId="0FFED6E3" w14:textId="77777777" w:rsidR="005C0A3A" w:rsidRPr="00494D70" w:rsidRDefault="005C0A3A" w:rsidP="003012DB">
            <w:pPr>
              <w:rPr>
                <w:rFonts w:ascii="Times New Roman" w:eastAsia="Times New Roman" w:hAnsi="Times New Roman" w:cs="Times New Roman"/>
                <w:color w:val="000000" w:themeColor="text1"/>
                <w:sz w:val="20"/>
                <w:szCs w:val="20"/>
              </w:rPr>
            </w:pPr>
            <w:r w:rsidRPr="00494D70">
              <w:rPr>
                <w:rFonts w:ascii="Times New Roman" w:hAnsi="Times New Roman" w:cs="Times New Roman"/>
                <w:i/>
                <w:iCs/>
                <w:color w:val="000000" w:themeColor="text1"/>
                <w:sz w:val="20"/>
                <w:szCs w:val="20"/>
              </w:rPr>
              <w:t>5. I find myself having sex when I do not really want it.</w:t>
            </w:r>
          </w:p>
        </w:tc>
        <w:tc>
          <w:tcPr>
            <w:tcW w:w="3119" w:type="dxa"/>
            <w:vAlign w:val="center"/>
          </w:tcPr>
          <w:p w14:paraId="3E866994" w14:textId="77777777" w:rsidR="005C0A3A" w:rsidRPr="00494D70" w:rsidRDefault="005C0A3A" w:rsidP="003012DB">
            <w:pPr>
              <w:jc w:val="center"/>
              <w:rPr>
                <w:rFonts w:ascii="Times New Roman" w:hAnsi="Times New Roman" w:cs="Times New Roman"/>
                <w:color w:val="000000"/>
                <w:sz w:val="20"/>
                <w:szCs w:val="20"/>
              </w:rPr>
            </w:pPr>
            <w:r w:rsidRPr="00494D70">
              <w:rPr>
                <w:rFonts w:ascii="Times New Roman" w:hAnsi="Times New Roman" w:cs="Times New Roman"/>
                <w:color w:val="000000" w:themeColor="text1"/>
                <w:sz w:val="20"/>
                <w:szCs w:val="20"/>
              </w:rPr>
              <w:t>0.47</w:t>
            </w:r>
          </w:p>
        </w:tc>
        <w:tc>
          <w:tcPr>
            <w:tcW w:w="1417" w:type="dxa"/>
            <w:vMerge/>
            <w:vAlign w:val="center"/>
          </w:tcPr>
          <w:p w14:paraId="458D2590" w14:textId="77777777" w:rsidR="005C0A3A" w:rsidRPr="00494D70" w:rsidRDefault="005C0A3A" w:rsidP="003012DB">
            <w:pPr>
              <w:jc w:val="center"/>
              <w:rPr>
                <w:rFonts w:ascii="Times New Roman" w:hAnsi="Times New Roman" w:cs="Times New Roman"/>
                <w:color w:val="000000"/>
                <w:sz w:val="20"/>
                <w:szCs w:val="20"/>
              </w:rPr>
            </w:pPr>
          </w:p>
        </w:tc>
        <w:tc>
          <w:tcPr>
            <w:tcW w:w="1276" w:type="dxa"/>
            <w:vMerge/>
            <w:vAlign w:val="center"/>
          </w:tcPr>
          <w:p w14:paraId="52E6D423" w14:textId="77777777" w:rsidR="005C0A3A" w:rsidRPr="00494D70" w:rsidRDefault="005C0A3A" w:rsidP="003012DB">
            <w:pPr>
              <w:jc w:val="center"/>
              <w:rPr>
                <w:rFonts w:ascii="Times New Roman" w:hAnsi="Times New Roman" w:cs="Times New Roman"/>
                <w:color w:val="000000"/>
                <w:sz w:val="20"/>
                <w:szCs w:val="20"/>
              </w:rPr>
            </w:pPr>
          </w:p>
        </w:tc>
      </w:tr>
      <w:tr w:rsidR="005C0A3A" w:rsidRPr="00494D70" w14:paraId="369FCCC1" w14:textId="77777777" w:rsidTr="003012DB">
        <w:trPr>
          <w:trHeight w:val="59"/>
        </w:trPr>
        <w:tc>
          <w:tcPr>
            <w:tcW w:w="7938" w:type="dxa"/>
            <w:gridSpan w:val="2"/>
            <w:tcBorders>
              <w:bottom w:val="single" w:sz="4" w:space="0" w:color="auto"/>
            </w:tcBorders>
            <w:vAlign w:val="bottom"/>
          </w:tcPr>
          <w:p w14:paraId="4E83BF91" w14:textId="77777777" w:rsidR="005C0A3A" w:rsidRPr="00494D70" w:rsidRDefault="005C0A3A" w:rsidP="003012DB">
            <w:pPr>
              <w:rPr>
                <w:rFonts w:ascii="Times New Roman" w:eastAsia="Times New Roman" w:hAnsi="Times New Roman" w:cs="Times New Roman"/>
                <w:i/>
                <w:iCs/>
                <w:color w:val="000000" w:themeColor="text1"/>
                <w:sz w:val="20"/>
                <w:szCs w:val="20"/>
              </w:rPr>
            </w:pPr>
            <w:r w:rsidRPr="00494D70">
              <w:rPr>
                <w:rFonts w:ascii="Times New Roman" w:hAnsi="Times New Roman" w:cs="Times New Roman"/>
                <w:color w:val="000000" w:themeColor="text1"/>
                <w:sz w:val="20"/>
                <w:szCs w:val="20"/>
              </w:rPr>
              <w:t>6. It is easy for me to say no if I don’t want to have sex.</w:t>
            </w:r>
          </w:p>
        </w:tc>
        <w:tc>
          <w:tcPr>
            <w:tcW w:w="3119" w:type="dxa"/>
            <w:tcBorders>
              <w:bottom w:val="single" w:sz="4" w:space="0" w:color="auto"/>
            </w:tcBorders>
            <w:vAlign w:val="center"/>
          </w:tcPr>
          <w:p w14:paraId="2F5901B5" w14:textId="77777777" w:rsidR="005C0A3A" w:rsidRPr="00494D70" w:rsidRDefault="005C0A3A" w:rsidP="003012DB">
            <w:pPr>
              <w:jc w:val="center"/>
              <w:rPr>
                <w:rFonts w:ascii="Times New Roman" w:hAnsi="Times New Roman" w:cs="Times New Roman"/>
                <w:color w:val="000000"/>
                <w:sz w:val="20"/>
                <w:szCs w:val="20"/>
              </w:rPr>
            </w:pPr>
            <w:r w:rsidRPr="00494D70">
              <w:rPr>
                <w:rFonts w:ascii="Times New Roman" w:hAnsi="Times New Roman" w:cs="Times New Roman"/>
                <w:color w:val="000000" w:themeColor="text1"/>
                <w:sz w:val="20"/>
                <w:szCs w:val="20"/>
              </w:rPr>
              <w:t>0.80</w:t>
            </w:r>
          </w:p>
        </w:tc>
        <w:tc>
          <w:tcPr>
            <w:tcW w:w="1417" w:type="dxa"/>
            <w:vMerge/>
            <w:vAlign w:val="center"/>
          </w:tcPr>
          <w:p w14:paraId="04A3430A" w14:textId="77777777" w:rsidR="005C0A3A" w:rsidRPr="00494D70" w:rsidRDefault="005C0A3A" w:rsidP="003012DB">
            <w:pPr>
              <w:jc w:val="center"/>
              <w:rPr>
                <w:rFonts w:ascii="Times New Roman" w:hAnsi="Times New Roman" w:cs="Times New Roman"/>
                <w:color w:val="000000"/>
                <w:sz w:val="20"/>
                <w:szCs w:val="20"/>
              </w:rPr>
            </w:pPr>
          </w:p>
        </w:tc>
        <w:tc>
          <w:tcPr>
            <w:tcW w:w="1276" w:type="dxa"/>
            <w:vMerge/>
            <w:vAlign w:val="center"/>
          </w:tcPr>
          <w:p w14:paraId="064F98A6" w14:textId="77777777" w:rsidR="005C0A3A" w:rsidRPr="00494D70" w:rsidRDefault="005C0A3A" w:rsidP="003012DB">
            <w:pPr>
              <w:jc w:val="center"/>
              <w:rPr>
                <w:rFonts w:ascii="Times New Roman" w:hAnsi="Times New Roman" w:cs="Times New Roman"/>
                <w:color w:val="000000"/>
                <w:sz w:val="20"/>
                <w:szCs w:val="20"/>
              </w:rPr>
            </w:pPr>
          </w:p>
        </w:tc>
      </w:tr>
      <w:tr w:rsidR="005C0A3A" w:rsidRPr="00494D70" w14:paraId="4013E2F2" w14:textId="77777777" w:rsidTr="003012DB">
        <w:trPr>
          <w:trHeight w:val="49"/>
        </w:trPr>
        <w:tc>
          <w:tcPr>
            <w:tcW w:w="7938" w:type="dxa"/>
            <w:gridSpan w:val="2"/>
            <w:tcBorders>
              <w:top w:val="single" w:sz="4" w:space="0" w:color="auto"/>
              <w:bottom w:val="single" w:sz="4" w:space="0" w:color="auto"/>
            </w:tcBorders>
            <w:vAlign w:val="center"/>
          </w:tcPr>
          <w:p w14:paraId="2B7EE7A6" w14:textId="77777777" w:rsidR="005C0A3A" w:rsidRPr="00494D70" w:rsidRDefault="005C0A3A" w:rsidP="003012DB">
            <w:pPr>
              <w:rPr>
                <w:rFonts w:ascii="Times New Roman" w:eastAsia="Times New Roman" w:hAnsi="Times New Roman" w:cs="Times New Roman"/>
                <w:color w:val="000000" w:themeColor="text1"/>
                <w:sz w:val="20"/>
                <w:szCs w:val="20"/>
              </w:rPr>
            </w:pPr>
            <w:r w:rsidRPr="00494D70">
              <w:rPr>
                <w:rFonts w:ascii="Times New Roman" w:eastAsia="Times New Roman" w:hAnsi="Times New Roman" w:cs="Times New Roman"/>
                <w:i/>
                <w:iCs/>
                <w:color w:val="000000" w:themeColor="text1"/>
                <w:sz w:val="20"/>
                <w:szCs w:val="20"/>
              </w:rPr>
              <w:t>Risk communication</w:t>
            </w:r>
          </w:p>
        </w:tc>
        <w:tc>
          <w:tcPr>
            <w:tcW w:w="3119" w:type="dxa"/>
            <w:tcBorders>
              <w:top w:val="single" w:sz="4" w:space="0" w:color="auto"/>
              <w:bottom w:val="single" w:sz="4" w:space="0" w:color="auto"/>
            </w:tcBorders>
            <w:vAlign w:val="center"/>
          </w:tcPr>
          <w:p w14:paraId="3E89957C" w14:textId="77777777" w:rsidR="005C0A3A" w:rsidRPr="00494D70" w:rsidRDefault="005C0A3A" w:rsidP="003012DB">
            <w:pPr>
              <w:jc w:val="center"/>
              <w:rPr>
                <w:rFonts w:ascii="Times New Roman" w:eastAsia="Times New Roman" w:hAnsi="Times New Roman" w:cs="Times New Roman"/>
                <w:color w:val="000000" w:themeColor="text1"/>
                <w:sz w:val="20"/>
                <w:szCs w:val="20"/>
              </w:rPr>
            </w:pPr>
          </w:p>
        </w:tc>
        <w:tc>
          <w:tcPr>
            <w:tcW w:w="1417" w:type="dxa"/>
            <w:tcBorders>
              <w:top w:val="single" w:sz="4" w:space="0" w:color="auto"/>
              <w:bottom w:val="single" w:sz="4" w:space="0" w:color="auto"/>
            </w:tcBorders>
            <w:vAlign w:val="center"/>
          </w:tcPr>
          <w:p w14:paraId="3F388925" w14:textId="77777777" w:rsidR="005C0A3A" w:rsidRPr="00494D70" w:rsidRDefault="005C0A3A" w:rsidP="003012DB">
            <w:pPr>
              <w:jc w:val="center"/>
              <w:rPr>
                <w:rFonts w:ascii="Times New Roman" w:eastAsia="Times New Roman" w:hAnsi="Times New Roman" w:cs="Times New Roman"/>
                <w:color w:val="000000" w:themeColor="text1"/>
                <w:sz w:val="20"/>
                <w:szCs w:val="20"/>
              </w:rPr>
            </w:pPr>
          </w:p>
        </w:tc>
        <w:tc>
          <w:tcPr>
            <w:tcW w:w="1276" w:type="dxa"/>
            <w:tcBorders>
              <w:top w:val="single" w:sz="4" w:space="0" w:color="auto"/>
              <w:bottom w:val="single" w:sz="4" w:space="0" w:color="auto"/>
            </w:tcBorders>
            <w:vAlign w:val="center"/>
          </w:tcPr>
          <w:p w14:paraId="76F214C6" w14:textId="77777777" w:rsidR="005C0A3A" w:rsidRPr="00494D70" w:rsidRDefault="005C0A3A" w:rsidP="003012DB">
            <w:pPr>
              <w:jc w:val="center"/>
              <w:rPr>
                <w:rFonts w:ascii="Times New Roman" w:eastAsia="Times New Roman" w:hAnsi="Times New Roman" w:cs="Times New Roman"/>
                <w:color w:val="000000" w:themeColor="text1"/>
                <w:sz w:val="20"/>
                <w:szCs w:val="20"/>
              </w:rPr>
            </w:pPr>
          </w:p>
        </w:tc>
      </w:tr>
      <w:tr w:rsidR="005C0A3A" w:rsidRPr="00494D70" w14:paraId="6D991450" w14:textId="77777777" w:rsidTr="003012DB">
        <w:trPr>
          <w:trHeight w:val="49"/>
        </w:trPr>
        <w:tc>
          <w:tcPr>
            <w:tcW w:w="7938" w:type="dxa"/>
            <w:gridSpan w:val="2"/>
            <w:tcBorders>
              <w:top w:val="single" w:sz="4" w:space="0" w:color="auto"/>
            </w:tcBorders>
            <w:vAlign w:val="center"/>
          </w:tcPr>
          <w:p w14:paraId="55F630DC" w14:textId="77777777" w:rsidR="005C0A3A" w:rsidRPr="00494D70" w:rsidRDefault="005C0A3A" w:rsidP="003012DB">
            <w:pP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7. I ask my partner if he or she has practiced safe sex with other partners.</w:t>
            </w:r>
          </w:p>
        </w:tc>
        <w:tc>
          <w:tcPr>
            <w:tcW w:w="3119" w:type="dxa"/>
            <w:tcBorders>
              <w:top w:val="single" w:sz="4" w:space="0" w:color="auto"/>
            </w:tcBorders>
            <w:vAlign w:val="center"/>
          </w:tcPr>
          <w:p w14:paraId="60BD44AE"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0.80</w:t>
            </w:r>
          </w:p>
        </w:tc>
        <w:tc>
          <w:tcPr>
            <w:tcW w:w="1417" w:type="dxa"/>
            <w:vMerge w:val="restart"/>
            <w:tcBorders>
              <w:top w:val="single" w:sz="4" w:space="0" w:color="auto"/>
            </w:tcBorders>
            <w:vAlign w:val="center"/>
          </w:tcPr>
          <w:p w14:paraId="5800C278" w14:textId="77777777" w:rsidR="005C0A3A" w:rsidRPr="00494D70" w:rsidRDefault="005C0A3A" w:rsidP="003012DB">
            <w:pPr>
              <w:jc w:val="center"/>
              <w:rPr>
                <w:rFonts w:ascii="Times New Roman" w:hAnsi="Times New Roman" w:cs="Times New Roman"/>
                <w:color w:val="000000"/>
                <w:sz w:val="20"/>
                <w:szCs w:val="20"/>
              </w:rPr>
            </w:pPr>
            <w:r w:rsidRPr="00494D70">
              <w:rPr>
                <w:rFonts w:ascii="Times New Roman" w:hAnsi="Times New Roman" w:cs="Times New Roman"/>
                <w:color w:val="000000" w:themeColor="text1"/>
                <w:sz w:val="20"/>
                <w:szCs w:val="20"/>
              </w:rPr>
              <w:t>0.85</w:t>
            </w:r>
          </w:p>
        </w:tc>
        <w:tc>
          <w:tcPr>
            <w:tcW w:w="1276" w:type="dxa"/>
            <w:vMerge w:val="restart"/>
            <w:tcBorders>
              <w:top w:val="single" w:sz="4" w:space="0" w:color="auto"/>
            </w:tcBorders>
            <w:vAlign w:val="center"/>
          </w:tcPr>
          <w:p w14:paraId="303147B7"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0.85</w:t>
            </w:r>
          </w:p>
        </w:tc>
      </w:tr>
      <w:tr w:rsidR="005C0A3A" w:rsidRPr="00494D70" w14:paraId="2B184A95" w14:textId="77777777" w:rsidTr="003012DB">
        <w:trPr>
          <w:trHeight w:val="59"/>
        </w:trPr>
        <w:tc>
          <w:tcPr>
            <w:tcW w:w="7938" w:type="dxa"/>
            <w:gridSpan w:val="2"/>
            <w:vAlign w:val="bottom"/>
          </w:tcPr>
          <w:p w14:paraId="24AD434A" w14:textId="77777777" w:rsidR="005C0A3A" w:rsidRPr="00494D70" w:rsidRDefault="005C0A3A" w:rsidP="003012DB">
            <w:pPr>
              <w:rPr>
                <w:rFonts w:ascii="Times New Roman" w:eastAsia="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8. I ask my partners about their sexual history.</w:t>
            </w:r>
          </w:p>
        </w:tc>
        <w:tc>
          <w:tcPr>
            <w:tcW w:w="3119" w:type="dxa"/>
            <w:vAlign w:val="center"/>
          </w:tcPr>
          <w:p w14:paraId="25FB3C09" w14:textId="77777777" w:rsidR="005C0A3A" w:rsidRPr="00494D70" w:rsidRDefault="005C0A3A" w:rsidP="003012DB">
            <w:pPr>
              <w:jc w:val="center"/>
              <w:rPr>
                <w:rFonts w:ascii="Times New Roman" w:hAnsi="Times New Roman" w:cs="Times New Roman"/>
                <w:color w:val="000000"/>
                <w:sz w:val="20"/>
                <w:szCs w:val="20"/>
              </w:rPr>
            </w:pPr>
            <w:r w:rsidRPr="00494D70">
              <w:rPr>
                <w:rFonts w:ascii="Times New Roman" w:hAnsi="Times New Roman" w:cs="Times New Roman"/>
                <w:color w:val="000000" w:themeColor="text1"/>
                <w:sz w:val="20"/>
                <w:szCs w:val="20"/>
              </w:rPr>
              <w:t>0.83</w:t>
            </w:r>
          </w:p>
        </w:tc>
        <w:tc>
          <w:tcPr>
            <w:tcW w:w="1417" w:type="dxa"/>
            <w:vMerge/>
            <w:vAlign w:val="center"/>
          </w:tcPr>
          <w:p w14:paraId="323AEA0E" w14:textId="77777777" w:rsidR="005C0A3A" w:rsidRPr="00494D70" w:rsidRDefault="005C0A3A" w:rsidP="003012DB">
            <w:pPr>
              <w:jc w:val="center"/>
              <w:rPr>
                <w:rFonts w:ascii="Times New Roman" w:hAnsi="Times New Roman" w:cs="Times New Roman"/>
                <w:color w:val="000000"/>
                <w:sz w:val="20"/>
                <w:szCs w:val="20"/>
              </w:rPr>
            </w:pPr>
          </w:p>
        </w:tc>
        <w:tc>
          <w:tcPr>
            <w:tcW w:w="1276" w:type="dxa"/>
            <w:vMerge/>
          </w:tcPr>
          <w:p w14:paraId="1931EB30" w14:textId="77777777" w:rsidR="005C0A3A" w:rsidRPr="00494D70" w:rsidRDefault="005C0A3A" w:rsidP="003012DB">
            <w:pPr>
              <w:jc w:val="center"/>
              <w:rPr>
                <w:rFonts w:ascii="Times New Roman" w:hAnsi="Times New Roman" w:cs="Times New Roman"/>
                <w:color w:val="000000"/>
                <w:sz w:val="20"/>
                <w:szCs w:val="20"/>
              </w:rPr>
            </w:pPr>
          </w:p>
        </w:tc>
      </w:tr>
      <w:tr w:rsidR="005C0A3A" w:rsidRPr="00494D70" w14:paraId="534BEF4F" w14:textId="77777777" w:rsidTr="003012DB">
        <w:trPr>
          <w:trHeight w:val="59"/>
        </w:trPr>
        <w:tc>
          <w:tcPr>
            <w:tcW w:w="7938" w:type="dxa"/>
            <w:gridSpan w:val="2"/>
            <w:tcBorders>
              <w:bottom w:val="single" w:sz="4" w:space="0" w:color="auto"/>
            </w:tcBorders>
            <w:vAlign w:val="bottom"/>
          </w:tcPr>
          <w:p w14:paraId="5DF20E2B" w14:textId="77777777" w:rsidR="005C0A3A" w:rsidRPr="00494D70" w:rsidRDefault="005C0A3A" w:rsidP="003012DB">
            <w:pPr>
              <w:rPr>
                <w:rFonts w:ascii="Times New Roman" w:eastAsia="Times New Roman" w:hAnsi="Times New Roman" w:cs="Times New Roman"/>
                <w:i/>
                <w:iCs/>
                <w:color w:val="000000" w:themeColor="text1"/>
                <w:sz w:val="20"/>
                <w:szCs w:val="20"/>
              </w:rPr>
            </w:pPr>
            <w:r w:rsidRPr="00494D70">
              <w:rPr>
                <w:rFonts w:ascii="Times New Roman" w:hAnsi="Times New Roman" w:cs="Times New Roman"/>
                <w:color w:val="000000" w:themeColor="text1"/>
                <w:sz w:val="20"/>
                <w:szCs w:val="20"/>
              </w:rPr>
              <w:t>9. I ask my partners whether they have ever had a sexually transmitted infection/disease.</w:t>
            </w:r>
          </w:p>
        </w:tc>
        <w:tc>
          <w:tcPr>
            <w:tcW w:w="3119" w:type="dxa"/>
            <w:tcBorders>
              <w:bottom w:val="single" w:sz="4" w:space="0" w:color="auto"/>
            </w:tcBorders>
            <w:vAlign w:val="center"/>
          </w:tcPr>
          <w:p w14:paraId="2A1671DF" w14:textId="77777777" w:rsidR="005C0A3A" w:rsidRPr="00494D70" w:rsidRDefault="005C0A3A" w:rsidP="003012DB">
            <w:pPr>
              <w:jc w:val="center"/>
              <w:rPr>
                <w:rFonts w:ascii="Times New Roman" w:hAnsi="Times New Roman" w:cs="Times New Roman"/>
                <w:color w:val="000000"/>
                <w:sz w:val="20"/>
                <w:szCs w:val="20"/>
              </w:rPr>
            </w:pPr>
            <w:r w:rsidRPr="00494D70">
              <w:rPr>
                <w:rFonts w:ascii="Times New Roman" w:hAnsi="Times New Roman" w:cs="Times New Roman"/>
                <w:color w:val="000000" w:themeColor="text1"/>
                <w:sz w:val="20"/>
                <w:szCs w:val="20"/>
              </w:rPr>
              <w:t>0.82</w:t>
            </w:r>
          </w:p>
        </w:tc>
        <w:tc>
          <w:tcPr>
            <w:tcW w:w="1417" w:type="dxa"/>
            <w:vMerge/>
            <w:vAlign w:val="center"/>
          </w:tcPr>
          <w:p w14:paraId="3A1B4138" w14:textId="77777777" w:rsidR="005C0A3A" w:rsidRPr="00494D70" w:rsidRDefault="005C0A3A" w:rsidP="003012DB">
            <w:pPr>
              <w:jc w:val="center"/>
              <w:rPr>
                <w:rFonts w:ascii="Times New Roman" w:hAnsi="Times New Roman" w:cs="Times New Roman"/>
                <w:color w:val="000000"/>
                <w:sz w:val="20"/>
                <w:szCs w:val="20"/>
              </w:rPr>
            </w:pPr>
          </w:p>
        </w:tc>
        <w:tc>
          <w:tcPr>
            <w:tcW w:w="1276" w:type="dxa"/>
            <w:vMerge/>
          </w:tcPr>
          <w:p w14:paraId="42A1C694" w14:textId="77777777" w:rsidR="005C0A3A" w:rsidRPr="00494D70" w:rsidRDefault="005C0A3A" w:rsidP="003012DB">
            <w:pPr>
              <w:jc w:val="center"/>
              <w:rPr>
                <w:rFonts w:ascii="Times New Roman" w:hAnsi="Times New Roman" w:cs="Times New Roman"/>
                <w:color w:val="000000"/>
                <w:sz w:val="20"/>
                <w:szCs w:val="20"/>
              </w:rPr>
            </w:pPr>
          </w:p>
        </w:tc>
      </w:tr>
      <w:tr w:rsidR="005C0A3A" w:rsidRPr="00494D70" w14:paraId="0D428440" w14:textId="77777777" w:rsidTr="003012DB">
        <w:trPr>
          <w:trHeight w:val="300"/>
        </w:trPr>
        <w:tc>
          <w:tcPr>
            <w:tcW w:w="11057" w:type="dxa"/>
            <w:gridSpan w:val="3"/>
            <w:tcBorders>
              <w:top w:val="single" w:sz="4" w:space="0" w:color="auto"/>
              <w:bottom w:val="single" w:sz="4" w:space="0" w:color="auto"/>
            </w:tcBorders>
            <w:vAlign w:val="center"/>
          </w:tcPr>
          <w:p w14:paraId="232897D9" w14:textId="77777777" w:rsidR="005C0A3A" w:rsidRPr="00494D70" w:rsidRDefault="005C0A3A" w:rsidP="003012DB">
            <w:pPr>
              <w:rPr>
                <w:rFonts w:ascii="Times New Roman" w:hAnsi="Times New Roman" w:cs="Times New Roman"/>
                <w:color w:val="000000" w:themeColor="text1"/>
                <w:sz w:val="20"/>
                <w:szCs w:val="20"/>
              </w:rPr>
            </w:pPr>
            <w:bookmarkStart w:id="2" w:name="_Hlk115361856"/>
            <w:r w:rsidRPr="00494D70">
              <w:rPr>
                <w:rFonts w:ascii="Times New Roman" w:hAnsi="Times New Roman" w:cs="Times New Roman"/>
                <w:color w:val="000000" w:themeColor="text1"/>
                <w:sz w:val="20"/>
                <w:szCs w:val="20"/>
              </w:rPr>
              <w:t>Total Score</w:t>
            </w:r>
          </w:p>
        </w:tc>
        <w:tc>
          <w:tcPr>
            <w:tcW w:w="1417" w:type="dxa"/>
            <w:tcBorders>
              <w:top w:val="single" w:sz="4" w:space="0" w:color="auto"/>
              <w:bottom w:val="single" w:sz="4" w:space="0" w:color="auto"/>
            </w:tcBorders>
          </w:tcPr>
          <w:p w14:paraId="675613C1" w14:textId="77777777" w:rsidR="005C0A3A" w:rsidRPr="00494D70" w:rsidRDefault="005C0A3A" w:rsidP="003012DB">
            <w:pPr>
              <w:jc w:val="center"/>
              <w:rPr>
                <w:rFonts w:ascii="Times New Roman" w:hAnsi="Times New Roman" w:cs="Times New Roman"/>
                <w:sz w:val="20"/>
                <w:szCs w:val="20"/>
              </w:rPr>
            </w:pPr>
            <w:r w:rsidRPr="00494D70">
              <w:rPr>
                <w:rFonts w:ascii="Times New Roman" w:hAnsi="Times New Roman" w:cs="Times New Roman"/>
                <w:color w:val="000000" w:themeColor="text1"/>
                <w:sz w:val="20"/>
                <w:szCs w:val="20"/>
              </w:rPr>
              <w:t>0.78</w:t>
            </w:r>
          </w:p>
        </w:tc>
        <w:tc>
          <w:tcPr>
            <w:tcW w:w="1276" w:type="dxa"/>
            <w:tcBorders>
              <w:top w:val="single" w:sz="4" w:space="0" w:color="auto"/>
              <w:bottom w:val="single" w:sz="4" w:space="0" w:color="auto"/>
            </w:tcBorders>
          </w:tcPr>
          <w:p w14:paraId="6C40CE98"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0.75</w:t>
            </w:r>
          </w:p>
        </w:tc>
      </w:tr>
      <w:bookmarkEnd w:id="2"/>
      <w:tr w:rsidR="005C0A3A" w:rsidRPr="00494D70" w14:paraId="4086C747" w14:textId="77777777" w:rsidTr="003012DB">
        <w:trPr>
          <w:trHeight w:val="300"/>
        </w:trPr>
        <w:tc>
          <w:tcPr>
            <w:tcW w:w="13750" w:type="dxa"/>
            <w:gridSpan w:val="5"/>
            <w:tcBorders>
              <w:top w:val="single" w:sz="4" w:space="0" w:color="auto"/>
              <w:bottom w:val="single" w:sz="4" w:space="0" w:color="auto"/>
            </w:tcBorders>
            <w:vAlign w:val="center"/>
          </w:tcPr>
          <w:p w14:paraId="4BD8356F"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Inter-Factor Correlations of the SAQ-9</w:t>
            </w:r>
          </w:p>
        </w:tc>
      </w:tr>
      <w:tr w:rsidR="005C0A3A" w:rsidRPr="00494D70" w14:paraId="777D3567" w14:textId="77777777" w:rsidTr="003012DB">
        <w:trPr>
          <w:trHeight w:val="300"/>
        </w:trPr>
        <w:tc>
          <w:tcPr>
            <w:tcW w:w="4962" w:type="dxa"/>
            <w:tcBorders>
              <w:top w:val="single" w:sz="4" w:space="0" w:color="auto"/>
              <w:bottom w:val="single" w:sz="4" w:space="0" w:color="auto"/>
            </w:tcBorders>
            <w:vAlign w:val="center"/>
          </w:tcPr>
          <w:p w14:paraId="0D97D479" w14:textId="77777777" w:rsidR="005C0A3A" w:rsidRPr="00494D70" w:rsidRDefault="005C0A3A" w:rsidP="003012DB">
            <w:pPr>
              <w:rPr>
                <w:rFonts w:ascii="Times New Roman" w:hAnsi="Times New Roman" w:cs="Times New Roman"/>
                <w:b/>
                <w:bCs/>
                <w:color w:val="000000" w:themeColor="text1"/>
                <w:sz w:val="20"/>
                <w:szCs w:val="20"/>
              </w:rPr>
            </w:pPr>
          </w:p>
        </w:tc>
        <w:tc>
          <w:tcPr>
            <w:tcW w:w="2976" w:type="dxa"/>
            <w:tcBorders>
              <w:top w:val="single" w:sz="4" w:space="0" w:color="auto"/>
              <w:bottom w:val="single" w:sz="4" w:space="0" w:color="auto"/>
            </w:tcBorders>
            <w:vAlign w:val="center"/>
          </w:tcPr>
          <w:p w14:paraId="14BEEC18"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Initiation</w:t>
            </w:r>
          </w:p>
        </w:tc>
        <w:tc>
          <w:tcPr>
            <w:tcW w:w="3119" w:type="dxa"/>
            <w:tcBorders>
              <w:top w:val="single" w:sz="4" w:space="0" w:color="auto"/>
              <w:bottom w:val="single" w:sz="4" w:space="0" w:color="auto"/>
            </w:tcBorders>
            <w:vAlign w:val="center"/>
          </w:tcPr>
          <w:p w14:paraId="7B7408CA"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Refusal</w:t>
            </w:r>
          </w:p>
        </w:tc>
        <w:tc>
          <w:tcPr>
            <w:tcW w:w="2693" w:type="dxa"/>
            <w:gridSpan w:val="2"/>
            <w:tcBorders>
              <w:top w:val="single" w:sz="4" w:space="0" w:color="auto"/>
              <w:bottom w:val="single" w:sz="4" w:space="0" w:color="auto"/>
            </w:tcBorders>
            <w:vAlign w:val="center"/>
          </w:tcPr>
          <w:p w14:paraId="2D8236CE"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Risk communication</w:t>
            </w:r>
          </w:p>
        </w:tc>
      </w:tr>
      <w:tr w:rsidR="005C0A3A" w:rsidRPr="00494D70" w14:paraId="53E494ED" w14:textId="77777777" w:rsidTr="003012DB">
        <w:trPr>
          <w:trHeight w:val="300"/>
        </w:trPr>
        <w:tc>
          <w:tcPr>
            <w:tcW w:w="4962" w:type="dxa"/>
            <w:tcBorders>
              <w:top w:val="single" w:sz="4" w:space="0" w:color="auto"/>
            </w:tcBorders>
            <w:vAlign w:val="center"/>
          </w:tcPr>
          <w:p w14:paraId="1976B5F1" w14:textId="77777777" w:rsidR="005C0A3A" w:rsidRPr="00494D70" w:rsidRDefault="005C0A3A" w:rsidP="003012DB">
            <w:pP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Initiation</w:t>
            </w:r>
          </w:p>
        </w:tc>
        <w:tc>
          <w:tcPr>
            <w:tcW w:w="2976" w:type="dxa"/>
            <w:tcBorders>
              <w:top w:val="single" w:sz="4" w:space="0" w:color="auto"/>
            </w:tcBorders>
            <w:vAlign w:val="center"/>
          </w:tcPr>
          <w:p w14:paraId="7A2EAC66"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sz w:val="20"/>
                <w:szCs w:val="20"/>
              </w:rPr>
              <w:t>—</w:t>
            </w:r>
          </w:p>
        </w:tc>
        <w:tc>
          <w:tcPr>
            <w:tcW w:w="3119" w:type="dxa"/>
            <w:tcBorders>
              <w:top w:val="single" w:sz="4" w:space="0" w:color="auto"/>
            </w:tcBorders>
            <w:vAlign w:val="center"/>
          </w:tcPr>
          <w:p w14:paraId="6B98BAB1" w14:textId="77777777" w:rsidR="005C0A3A" w:rsidRPr="00494D70" w:rsidRDefault="005C0A3A" w:rsidP="003012DB">
            <w:pPr>
              <w:jc w:val="center"/>
              <w:rPr>
                <w:rFonts w:ascii="Times New Roman" w:hAnsi="Times New Roman" w:cs="Times New Roman"/>
                <w:color w:val="000000" w:themeColor="text1"/>
                <w:sz w:val="20"/>
                <w:szCs w:val="20"/>
              </w:rPr>
            </w:pPr>
          </w:p>
        </w:tc>
        <w:tc>
          <w:tcPr>
            <w:tcW w:w="2693" w:type="dxa"/>
            <w:gridSpan w:val="2"/>
            <w:tcBorders>
              <w:top w:val="single" w:sz="4" w:space="0" w:color="auto"/>
            </w:tcBorders>
          </w:tcPr>
          <w:p w14:paraId="5D3EF908" w14:textId="77777777" w:rsidR="005C0A3A" w:rsidRPr="00494D70" w:rsidRDefault="005C0A3A" w:rsidP="003012DB">
            <w:pPr>
              <w:jc w:val="center"/>
              <w:rPr>
                <w:rFonts w:ascii="Times New Roman" w:hAnsi="Times New Roman" w:cs="Times New Roman"/>
                <w:color w:val="000000" w:themeColor="text1"/>
                <w:sz w:val="20"/>
                <w:szCs w:val="20"/>
              </w:rPr>
            </w:pPr>
          </w:p>
        </w:tc>
      </w:tr>
      <w:tr w:rsidR="005C0A3A" w:rsidRPr="00494D70" w14:paraId="6FB7B72C" w14:textId="77777777" w:rsidTr="003012DB">
        <w:trPr>
          <w:trHeight w:val="300"/>
        </w:trPr>
        <w:tc>
          <w:tcPr>
            <w:tcW w:w="4962" w:type="dxa"/>
            <w:vAlign w:val="center"/>
          </w:tcPr>
          <w:p w14:paraId="03322CF5" w14:textId="77777777" w:rsidR="005C0A3A" w:rsidRPr="00494D70" w:rsidRDefault="005C0A3A" w:rsidP="003012DB">
            <w:pP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Refusal</w:t>
            </w:r>
          </w:p>
        </w:tc>
        <w:tc>
          <w:tcPr>
            <w:tcW w:w="2976" w:type="dxa"/>
            <w:vAlign w:val="center"/>
          </w:tcPr>
          <w:p w14:paraId="36F352D9"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.37</w:t>
            </w:r>
          </w:p>
        </w:tc>
        <w:tc>
          <w:tcPr>
            <w:tcW w:w="3119" w:type="dxa"/>
            <w:vAlign w:val="center"/>
          </w:tcPr>
          <w:p w14:paraId="2FBE303E"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sz w:val="20"/>
                <w:szCs w:val="20"/>
              </w:rPr>
              <w:t>—</w:t>
            </w:r>
          </w:p>
        </w:tc>
        <w:tc>
          <w:tcPr>
            <w:tcW w:w="2693" w:type="dxa"/>
            <w:gridSpan w:val="2"/>
          </w:tcPr>
          <w:p w14:paraId="2E4D8A19" w14:textId="77777777" w:rsidR="005C0A3A" w:rsidRPr="00494D70" w:rsidRDefault="005C0A3A" w:rsidP="003012DB">
            <w:pPr>
              <w:jc w:val="center"/>
              <w:rPr>
                <w:rFonts w:ascii="Times New Roman" w:hAnsi="Times New Roman" w:cs="Times New Roman"/>
                <w:color w:val="000000" w:themeColor="text1"/>
                <w:sz w:val="20"/>
                <w:szCs w:val="20"/>
              </w:rPr>
            </w:pPr>
          </w:p>
        </w:tc>
      </w:tr>
      <w:tr w:rsidR="005C0A3A" w:rsidRPr="00494D70" w14:paraId="7A6EAA0E" w14:textId="77777777" w:rsidTr="003012DB">
        <w:trPr>
          <w:trHeight w:val="300"/>
        </w:trPr>
        <w:tc>
          <w:tcPr>
            <w:tcW w:w="4962" w:type="dxa"/>
            <w:tcBorders>
              <w:bottom w:val="single" w:sz="4" w:space="0" w:color="auto"/>
            </w:tcBorders>
            <w:vAlign w:val="center"/>
          </w:tcPr>
          <w:p w14:paraId="75FB07DF" w14:textId="77777777" w:rsidR="005C0A3A" w:rsidRPr="00494D70" w:rsidRDefault="005C0A3A" w:rsidP="003012DB">
            <w:pP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themeColor="text1"/>
                <w:sz w:val="20"/>
                <w:szCs w:val="20"/>
              </w:rPr>
              <w:t>Risk communication</w:t>
            </w:r>
          </w:p>
        </w:tc>
        <w:tc>
          <w:tcPr>
            <w:tcW w:w="2976" w:type="dxa"/>
            <w:tcBorders>
              <w:bottom w:val="single" w:sz="4" w:space="0" w:color="auto"/>
            </w:tcBorders>
            <w:vAlign w:val="center"/>
          </w:tcPr>
          <w:p w14:paraId="3A69DDA3"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.35</w:t>
            </w:r>
          </w:p>
        </w:tc>
        <w:tc>
          <w:tcPr>
            <w:tcW w:w="3119" w:type="dxa"/>
            <w:tcBorders>
              <w:bottom w:val="single" w:sz="4" w:space="0" w:color="auto"/>
            </w:tcBorders>
            <w:vAlign w:val="center"/>
          </w:tcPr>
          <w:p w14:paraId="0A689826"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hAnsi="Times New Roman" w:cs="Times New Roman"/>
                <w:color w:val="000000" w:themeColor="text1"/>
                <w:sz w:val="20"/>
                <w:szCs w:val="20"/>
              </w:rPr>
              <w:t>.29</w:t>
            </w:r>
          </w:p>
        </w:tc>
        <w:tc>
          <w:tcPr>
            <w:tcW w:w="2693" w:type="dxa"/>
            <w:gridSpan w:val="2"/>
            <w:tcBorders>
              <w:bottom w:val="single" w:sz="4" w:space="0" w:color="auto"/>
            </w:tcBorders>
          </w:tcPr>
          <w:p w14:paraId="69A1ACCA" w14:textId="77777777" w:rsidR="005C0A3A" w:rsidRPr="00494D70" w:rsidRDefault="005C0A3A" w:rsidP="003012DB">
            <w:pPr>
              <w:jc w:val="center"/>
              <w:rPr>
                <w:rFonts w:ascii="Times New Roman" w:hAnsi="Times New Roman" w:cs="Times New Roman"/>
                <w:color w:val="000000" w:themeColor="text1"/>
                <w:sz w:val="20"/>
                <w:szCs w:val="20"/>
              </w:rPr>
            </w:pPr>
            <w:r w:rsidRPr="00494D70">
              <w:rPr>
                <w:rFonts w:ascii="Times New Roman" w:eastAsia="Times New Roman" w:hAnsi="Times New Roman" w:cs="Times New Roman"/>
                <w:color w:val="000000"/>
                <w:sz w:val="20"/>
                <w:szCs w:val="20"/>
              </w:rPr>
              <w:t>—</w:t>
            </w:r>
          </w:p>
        </w:tc>
      </w:tr>
    </w:tbl>
    <w:p w14:paraId="027ED1C7" w14:textId="77777777" w:rsidR="005C0A3A" w:rsidRPr="00494D70" w:rsidRDefault="005C0A3A" w:rsidP="005C0A3A">
      <w:pPr>
        <w:rPr>
          <w:rFonts w:ascii="Times New Roman" w:hAnsi="Times New Roman" w:cs="Times New Roman"/>
          <w:bCs/>
          <w:sz w:val="24"/>
          <w:szCs w:val="24"/>
        </w:rPr>
      </w:pPr>
      <w:r w:rsidRPr="00494D70">
        <w:rPr>
          <w:rFonts w:ascii="Times New Roman" w:eastAsia="Times New Roman" w:hAnsi="Times New Roman" w:cs="Times New Roman"/>
          <w:i/>
          <w:color w:val="000000"/>
          <w:sz w:val="24"/>
          <w:szCs w:val="24"/>
          <w:lang w:eastAsia="hu-HU"/>
        </w:rPr>
        <w:t xml:space="preserve">Note. </w:t>
      </w:r>
      <w:r w:rsidRPr="00494D70">
        <w:rPr>
          <w:rFonts w:ascii="Times New Roman" w:eastAsia="Times New Roman" w:hAnsi="Times New Roman" w:cs="Times New Roman"/>
          <w:color w:val="000000"/>
          <w:sz w:val="24"/>
          <w:szCs w:val="24"/>
          <w:lang w:eastAsia="hu-HU"/>
        </w:rPr>
        <w:t xml:space="preserve">All factor loadings and correlations were statistically significant at </w:t>
      </w:r>
      <w:r w:rsidRPr="00494D70">
        <w:rPr>
          <w:rFonts w:ascii="Times New Roman" w:eastAsia="Times New Roman" w:hAnsi="Times New Roman" w:cs="Times New Roman"/>
          <w:i/>
          <w:color w:val="000000"/>
          <w:sz w:val="24"/>
          <w:szCs w:val="24"/>
          <w:lang w:eastAsia="hu-HU"/>
        </w:rPr>
        <w:t>p</w:t>
      </w:r>
      <w:r w:rsidRPr="00494D70">
        <w:rPr>
          <w:rFonts w:ascii="Times New Roman" w:eastAsia="Times New Roman" w:hAnsi="Times New Roman" w:cs="Times New Roman"/>
          <w:color w:val="000000"/>
          <w:sz w:val="24"/>
          <w:szCs w:val="24"/>
          <w:lang w:eastAsia="hu-HU"/>
        </w:rPr>
        <w:t xml:space="preserve"> &lt; .001; </w:t>
      </w:r>
      <w:r w:rsidRPr="00494D70">
        <w:rPr>
          <w:rFonts w:ascii="Times New Roman" w:hAnsi="Times New Roman" w:cs="Times New Roman"/>
          <w:sz w:val="24"/>
          <w:szCs w:val="24"/>
        </w:rPr>
        <w:t xml:space="preserve">α = Cronbach’s alpha, ω = McDonald’s omega. </w:t>
      </w:r>
      <w:r w:rsidRPr="00494D70">
        <w:rPr>
          <w:rFonts w:ascii="Times New Roman" w:hAnsi="Times New Roman" w:cs="Times New Roman"/>
          <w:bCs/>
          <w:sz w:val="24"/>
          <w:szCs w:val="24"/>
        </w:rPr>
        <w:t>Item 5 has been reverse-coded.</w:t>
      </w:r>
    </w:p>
    <w:p w14:paraId="564267FA" w14:textId="77777777" w:rsidR="005C0A3A" w:rsidRPr="00494D70" w:rsidRDefault="005C0A3A" w:rsidP="005C0A3A">
      <w:pPr>
        <w:rPr>
          <w:rFonts w:ascii="Times New Roman" w:hAnsi="Times New Roman" w:cs="Times New Roman"/>
          <w:bCs/>
          <w:sz w:val="24"/>
          <w:szCs w:val="24"/>
        </w:rPr>
      </w:pPr>
    </w:p>
    <w:p w14:paraId="4C9BD3DD" w14:textId="77777777" w:rsidR="005C0A3A" w:rsidRPr="00494D70" w:rsidRDefault="005C0A3A" w:rsidP="005C0A3A">
      <w:pPr>
        <w:spacing w:after="0" w:line="240" w:lineRule="auto"/>
        <w:rPr>
          <w:rFonts w:ascii="Times New Roman" w:eastAsia="Times New Roman" w:hAnsi="Times New Roman" w:cs="Times New Roman"/>
          <w:b/>
          <w:bCs/>
          <w:color w:val="000000"/>
          <w:sz w:val="24"/>
          <w:szCs w:val="24"/>
        </w:rPr>
      </w:pPr>
    </w:p>
    <w:p w14:paraId="111BA14D" w14:textId="77777777" w:rsidR="005C0A3A" w:rsidRPr="00494D70" w:rsidRDefault="005C0A3A" w:rsidP="005C0A3A">
      <w:pPr>
        <w:spacing w:after="0" w:line="240" w:lineRule="auto"/>
        <w:rPr>
          <w:rFonts w:ascii="Times New Roman" w:eastAsia="Times New Roman" w:hAnsi="Times New Roman" w:cs="Times New Roman"/>
          <w:b/>
          <w:bCs/>
          <w:color w:val="000000"/>
          <w:sz w:val="24"/>
          <w:szCs w:val="24"/>
        </w:rPr>
      </w:pPr>
    </w:p>
    <w:p w14:paraId="6C07BC8B" w14:textId="77777777" w:rsidR="005C0A3A" w:rsidRPr="00494D70" w:rsidRDefault="005C0A3A" w:rsidP="005C0A3A">
      <w:pPr>
        <w:rPr>
          <w:rFonts w:ascii="Times New Roman" w:eastAsia="Times New Roman" w:hAnsi="Times New Roman" w:cs="Times New Roman"/>
          <w:b/>
          <w:bCs/>
          <w:color w:val="000000"/>
          <w:sz w:val="24"/>
          <w:szCs w:val="24"/>
        </w:rPr>
      </w:pPr>
      <w:r w:rsidRPr="00494D70">
        <w:rPr>
          <w:rFonts w:ascii="Times New Roman" w:eastAsia="Times New Roman" w:hAnsi="Times New Roman" w:cs="Times New Roman"/>
          <w:b/>
          <w:bCs/>
          <w:color w:val="000000"/>
          <w:sz w:val="24"/>
          <w:szCs w:val="24"/>
        </w:rPr>
        <w:br w:type="page"/>
      </w:r>
    </w:p>
    <w:p w14:paraId="7FD91BD3" w14:textId="77777777" w:rsidR="005C0A3A" w:rsidRPr="00494D70" w:rsidRDefault="005C0A3A" w:rsidP="005C0A3A">
      <w:pPr>
        <w:rPr>
          <w:rFonts w:ascii="Times New Roman" w:eastAsia="Times New Roman" w:hAnsi="Times New Roman" w:cs="Times New Roman"/>
          <w:color w:val="000000"/>
          <w:sz w:val="24"/>
          <w:szCs w:val="24"/>
        </w:rPr>
        <w:sectPr w:rsidR="005C0A3A" w:rsidRPr="00494D70" w:rsidSect="00434369">
          <w:pgSz w:w="16838" w:h="11906" w:orient="landscape"/>
          <w:pgMar w:top="1276" w:right="1417" w:bottom="1417" w:left="1417" w:header="708" w:footer="708" w:gutter="0"/>
          <w:cols w:space="708"/>
          <w:docGrid w:linePitch="360"/>
        </w:sectPr>
      </w:pPr>
    </w:p>
    <w:p w14:paraId="69253D56" w14:textId="77777777" w:rsidR="005C0A3A" w:rsidRPr="00494D70" w:rsidRDefault="005C0A3A" w:rsidP="005C0A3A">
      <w:pPr>
        <w:spacing w:after="0" w:line="240" w:lineRule="auto"/>
        <w:rPr>
          <w:rFonts w:ascii="Times New Roman" w:hAnsi="Times New Roman" w:cs="Times New Roman"/>
          <w:b/>
          <w:sz w:val="24"/>
          <w:szCs w:val="24"/>
        </w:rPr>
      </w:pPr>
      <w:r w:rsidRPr="00494D70">
        <w:rPr>
          <w:rFonts w:ascii="Times New Roman" w:hAnsi="Times New Roman" w:cs="Times New Roman"/>
          <w:b/>
          <w:sz w:val="24"/>
          <w:szCs w:val="24"/>
        </w:rPr>
        <w:lastRenderedPageBreak/>
        <w:t>Table 4</w:t>
      </w:r>
    </w:p>
    <w:p w14:paraId="54AF0D91" w14:textId="77777777" w:rsidR="005C0A3A" w:rsidRPr="00494D70" w:rsidRDefault="005C0A3A" w:rsidP="005C0A3A">
      <w:pPr>
        <w:rPr>
          <w:rFonts w:ascii="Times New Roman" w:eastAsia="Times New Roman" w:hAnsi="Times New Roman" w:cs="Times New Roman"/>
          <w:color w:val="000000"/>
          <w:sz w:val="24"/>
          <w:szCs w:val="24"/>
          <w:lang w:eastAsia="hu-HU"/>
        </w:rPr>
      </w:pPr>
      <w:r w:rsidRPr="00494D70">
        <w:rPr>
          <w:rFonts w:ascii="Times New Roman" w:hAnsi="Times New Roman" w:cs="Times New Roman"/>
          <w:bCs/>
          <w:i/>
          <w:iCs/>
          <w:sz w:val="24"/>
          <w:szCs w:val="24"/>
        </w:rPr>
        <w:t xml:space="preserve">Means and standard deviations of the Sexual Assertiveness Questionnaire (SAQ-9) and its subscales by countries </w:t>
      </w:r>
    </w:p>
    <w:tbl>
      <w:tblPr>
        <w:tblStyle w:val="Rcsostblzat"/>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1"/>
        <w:gridCol w:w="936"/>
        <w:gridCol w:w="890"/>
        <w:gridCol w:w="890"/>
        <w:gridCol w:w="46"/>
        <w:gridCol w:w="820"/>
        <w:gridCol w:w="40"/>
        <w:gridCol w:w="896"/>
        <w:gridCol w:w="47"/>
        <w:gridCol w:w="765"/>
        <w:gridCol w:w="48"/>
        <w:gridCol w:w="937"/>
        <w:gridCol w:w="8"/>
        <w:gridCol w:w="850"/>
      </w:tblGrid>
      <w:tr w:rsidR="005C0A3A" w:rsidRPr="00494D70" w14:paraId="307921B2" w14:textId="77777777" w:rsidTr="003012DB">
        <w:tc>
          <w:tcPr>
            <w:tcW w:w="2041" w:type="dxa"/>
            <w:tcBorders>
              <w:top w:val="single" w:sz="4" w:space="0" w:color="auto"/>
              <w:bottom w:val="single" w:sz="4" w:space="0" w:color="auto"/>
            </w:tcBorders>
            <w:vAlign w:val="bottom"/>
          </w:tcPr>
          <w:p w14:paraId="5AA86125" w14:textId="77777777" w:rsidR="005C0A3A" w:rsidRPr="00494D70" w:rsidRDefault="005C0A3A" w:rsidP="003012DB">
            <w:pPr>
              <w:rPr>
                <w:rFonts w:ascii="Times New Roman" w:eastAsia="Times New Roman" w:hAnsi="Times New Roman" w:cs="Times New Roman"/>
                <w:sz w:val="18"/>
                <w:szCs w:val="18"/>
                <w:lang w:eastAsia="hu-HU"/>
              </w:rPr>
            </w:pPr>
          </w:p>
        </w:tc>
        <w:tc>
          <w:tcPr>
            <w:tcW w:w="1826" w:type="dxa"/>
            <w:gridSpan w:val="2"/>
            <w:tcBorders>
              <w:top w:val="single" w:sz="4" w:space="0" w:color="auto"/>
              <w:bottom w:val="single" w:sz="4" w:space="0" w:color="auto"/>
            </w:tcBorders>
            <w:vAlign w:val="bottom"/>
          </w:tcPr>
          <w:p w14:paraId="08A3B0B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SAQ-9 Total score</w:t>
            </w:r>
          </w:p>
        </w:tc>
        <w:tc>
          <w:tcPr>
            <w:tcW w:w="1756" w:type="dxa"/>
            <w:gridSpan w:val="3"/>
            <w:tcBorders>
              <w:top w:val="single" w:sz="4" w:space="0" w:color="auto"/>
              <w:bottom w:val="single" w:sz="4" w:space="0" w:color="auto"/>
            </w:tcBorders>
            <w:vAlign w:val="bottom"/>
          </w:tcPr>
          <w:p w14:paraId="0AC03CD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Initiation</w:t>
            </w:r>
          </w:p>
        </w:tc>
        <w:tc>
          <w:tcPr>
            <w:tcW w:w="1796" w:type="dxa"/>
            <w:gridSpan w:val="5"/>
            <w:tcBorders>
              <w:top w:val="single" w:sz="4" w:space="0" w:color="auto"/>
              <w:bottom w:val="single" w:sz="4" w:space="0" w:color="auto"/>
            </w:tcBorders>
            <w:vAlign w:val="bottom"/>
          </w:tcPr>
          <w:p w14:paraId="0BEBF44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Refusal</w:t>
            </w:r>
          </w:p>
        </w:tc>
        <w:tc>
          <w:tcPr>
            <w:tcW w:w="1795" w:type="dxa"/>
            <w:gridSpan w:val="3"/>
            <w:tcBorders>
              <w:top w:val="single" w:sz="4" w:space="0" w:color="auto"/>
              <w:bottom w:val="single" w:sz="4" w:space="0" w:color="auto"/>
            </w:tcBorders>
            <w:vAlign w:val="bottom"/>
          </w:tcPr>
          <w:p w14:paraId="76081E2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Risk communication</w:t>
            </w:r>
          </w:p>
        </w:tc>
      </w:tr>
      <w:tr w:rsidR="005C0A3A" w:rsidRPr="00494D70" w14:paraId="0A5B4D1E" w14:textId="77777777" w:rsidTr="003012DB">
        <w:tc>
          <w:tcPr>
            <w:tcW w:w="2041" w:type="dxa"/>
            <w:tcBorders>
              <w:top w:val="single" w:sz="4" w:space="0" w:color="auto"/>
              <w:bottom w:val="single" w:sz="4" w:space="0" w:color="auto"/>
            </w:tcBorders>
            <w:vAlign w:val="bottom"/>
          </w:tcPr>
          <w:p w14:paraId="320E829B" w14:textId="77777777" w:rsidR="005C0A3A" w:rsidRPr="00494D70" w:rsidRDefault="005C0A3A" w:rsidP="003012DB">
            <w:pPr>
              <w:rPr>
                <w:rFonts w:ascii="Times New Roman" w:eastAsia="Times New Roman" w:hAnsi="Times New Roman" w:cs="Times New Roman"/>
                <w:i/>
                <w:iCs/>
                <w:sz w:val="18"/>
                <w:szCs w:val="18"/>
                <w:lang w:eastAsia="hu-HU"/>
              </w:rPr>
            </w:pPr>
            <w:r w:rsidRPr="00494D70">
              <w:rPr>
                <w:rFonts w:ascii="Times New Roman" w:hAnsi="Times New Roman" w:cs="Times New Roman"/>
                <w:i/>
                <w:iCs/>
                <w:sz w:val="18"/>
                <w:szCs w:val="18"/>
              </w:rPr>
              <w:t> </w:t>
            </w:r>
          </w:p>
        </w:tc>
        <w:tc>
          <w:tcPr>
            <w:tcW w:w="936" w:type="dxa"/>
            <w:tcBorders>
              <w:top w:val="single" w:sz="4" w:space="0" w:color="auto"/>
              <w:bottom w:val="single" w:sz="4" w:space="0" w:color="auto"/>
            </w:tcBorders>
            <w:vAlign w:val="bottom"/>
          </w:tcPr>
          <w:p w14:paraId="71B53F16" w14:textId="77777777" w:rsidR="005C0A3A" w:rsidRPr="00494D70" w:rsidRDefault="005C0A3A" w:rsidP="003012DB">
            <w:pPr>
              <w:jc w:val="center"/>
              <w:rPr>
                <w:rFonts w:ascii="Times New Roman" w:eastAsia="Times New Roman" w:hAnsi="Times New Roman" w:cs="Times New Roman"/>
                <w:i/>
                <w:iCs/>
                <w:sz w:val="18"/>
                <w:szCs w:val="18"/>
                <w:lang w:eastAsia="hu-HU"/>
              </w:rPr>
            </w:pPr>
            <w:r w:rsidRPr="00494D70">
              <w:rPr>
                <w:rFonts w:ascii="Times New Roman" w:hAnsi="Times New Roman" w:cs="Times New Roman"/>
                <w:i/>
                <w:iCs/>
                <w:sz w:val="18"/>
                <w:szCs w:val="18"/>
              </w:rPr>
              <w:t>M</w:t>
            </w:r>
          </w:p>
        </w:tc>
        <w:tc>
          <w:tcPr>
            <w:tcW w:w="890" w:type="dxa"/>
            <w:tcBorders>
              <w:top w:val="single" w:sz="4" w:space="0" w:color="auto"/>
              <w:bottom w:val="single" w:sz="4" w:space="0" w:color="auto"/>
            </w:tcBorders>
            <w:vAlign w:val="bottom"/>
          </w:tcPr>
          <w:p w14:paraId="51421378" w14:textId="77777777" w:rsidR="005C0A3A" w:rsidRPr="00494D70" w:rsidRDefault="005C0A3A" w:rsidP="003012DB">
            <w:pPr>
              <w:jc w:val="center"/>
              <w:rPr>
                <w:rFonts w:ascii="Times New Roman" w:eastAsia="Times New Roman" w:hAnsi="Times New Roman" w:cs="Times New Roman"/>
                <w:i/>
                <w:iCs/>
                <w:sz w:val="18"/>
                <w:szCs w:val="18"/>
                <w:lang w:eastAsia="hu-HU"/>
              </w:rPr>
            </w:pPr>
            <w:r w:rsidRPr="00494D70">
              <w:rPr>
                <w:rFonts w:ascii="Times New Roman" w:hAnsi="Times New Roman" w:cs="Times New Roman"/>
                <w:i/>
                <w:iCs/>
                <w:sz w:val="18"/>
                <w:szCs w:val="18"/>
              </w:rPr>
              <w:t>SD</w:t>
            </w:r>
          </w:p>
        </w:tc>
        <w:tc>
          <w:tcPr>
            <w:tcW w:w="890" w:type="dxa"/>
            <w:tcBorders>
              <w:top w:val="single" w:sz="4" w:space="0" w:color="auto"/>
              <w:bottom w:val="single" w:sz="4" w:space="0" w:color="auto"/>
            </w:tcBorders>
            <w:vAlign w:val="bottom"/>
          </w:tcPr>
          <w:p w14:paraId="6EF1D2C2" w14:textId="77777777" w:rsidR="005C0A3A" w:rsidRPr="00494D70" w:rsidRDefault="005C0A3A" w:rsidP="003012DB">
            <w:pPr>
              <w:jc w:val="center"/>
              <w:rPr>
                <w:rFonts w:ascii="Times New Roman" w:eastAsia="Times New Roman" w:hAnsi="Times New Roman" w:cs="Times New Roman"/>
                <w:i/>
                <w:iCs/>
                <w:sz w:val="18"/>
                <w:szCs w:val="18"/>
                <w:lang w:eastAsia="hu-HU"/>
              </w:rPr>
            </w:pPr>
            <w:r w:rsidRPr="00494D70">
              <w:rPr>
                <w:rFonts w:ascii="Times New Roman" w:hAnsi="Times New Roman" w:cs="Times New Roman"/>
                <w:i/>
                <w:iCs/>
                <w:sz w:val="18"/>
                <w:szCs w:val="18"/>
              </w:rPr>
              <w:t>M</w:t>
            </w:r>
          </w:p>
        </w:tc>
        <w:tc>
          <w:tcPr>
            <w:tcW w:w="866" w:type="dxa"/>
            <w:gridSpan w:val="2"/>
            <w:tcBorders>
              <w:top w:val="single" w:sz="4" w:space="0" w:color="auto"/>
              <w:bottom w:val="single" w:sz="4" w:space="0" w:color="auto"/>
            </w:tcBorders>
            <w:vAlign w:val="bottom"/>
          </w:tcPr>
          <w:p w14:paraId="4E2F5975" w14:textId="77777777" w:rsidR="005C0A3A" w:rsidRPr="00494D70" w:rsidRDefault="005C0A3A" w:rsidP="003012DB">
            <w:pPr>
              <w:jc w:val="center"/>
              <w:rPr>
                <w:rFonts w:ascii="Times New Roman" w:eastAsia="Times New Roman" w:hAnsi="Times New Roman" w:cs="Times New Roman"/>
                <w:i/>
                <w:iCs/>
                <w:sz w:val="18"/>
                <w:szCs w:val="18"/>
                <w:lang w:eastAsia="hu-HU"/>
              </w:rPr>
            </w:pPr>
            <w:r w:rsidRPr="00494D70">
              <w:rPr>
                <w:rFonts w:ascii="Times New Roman" w:hAnsi="Times New Roman" w:cs="Times New Roman"/>
                <w:i/>
                <w:iCs/>
                <w:sz w:val="18"/>
                <w:szCs w:val="18"/>
              </w:rPr>
              <w:t>SD</w:t>
            </w:r>
          </w:p>
        </w:tc>
        <w:tc>
          <w:tcPr>
            <w:tcW w:w="936" w:type="dxa"/>
            <w:gridSpan w:val="2"/>
            <w:tcBorders>
              <w:top w:val="single" w:sz="4" w:space="0" w:color="auto"/>
              <w:bottom w:val="single" w:sz="4" w:space="0" w:color="auto"/>
            </w:tcBorders>
            <w:vAlign w:val="bottom"/>
          </w:tcPr>
          <w:p w14:paraId="0987B673" w14:textId="77777777" w:rsidR="005C0A3A" w:rsidRPr="00494D70" w:rsidRDefault="005C0A3A" w:rsidP="003012DB">
            <w:pPr>
              <w:jc w:val="center"/>
              <w:rPr>
                <w:rFonts w:ascii="Times New Roman" w:eastAsia="Times New Roman" w:hAnsi="Times New Roman" w:cs="Times New Roman"/>
                <w:i/>
                <w:iCs/>
                <w:sz w:val="18"/>
                <w:szCs w:val="18"/>
                <w:lang w:eastAsia="hu-HU"/>
              </w:rPr>
            </w:pPr>
            <w:r w:rsidRPr="00494D70">
              <w:rPr>
                <w:rFonts w:ascii="Times New Roman" w:hAnsi="Times New Roman" w:cs="Times New Roman"/>
                <w:i/>
                <w:iCs/>
                <w:sz w:val="18"/>
                <w:szCs w:val="18"/>
              </w:rPr>
              <w:t>M</w:t>
            </w:r>
          </w:p>
        </w:tc>
        <w:tc>
          <w:tcPr>
            <w:tcW w:w="860" w:type="dxa"/>
            <w:gridSpan w:val="3"/>
            <w:tcBorders>
              <w:top w:val="single" w:sz="4" w:space="0" w:color="auto"/>
              <w:bottom w:val="single" w:sz="4" w:space="0" w:color="auto"/>
            </w:tcBorders>
            <w:vAlign w:val="bottom"/>
          </w:tcPr>
          <w:p w14:paraId="366EFE32" w14:textId="77777777" w:rsidR="005C0A3A" w:rsidRPr="00494D70" w:rsidRDefault="005C0A3A" w:rsidP="003012DB">
            <w:pPr>
              <w:jc w:val="center"/>
              <w:rPr>
                <w:rFonts w:ascii="Times New Roman" w:eastAsia="Times New Roman" w:hAnsi="Times New Roman" w:cs="Times New Roman"/>
                <w:i/>
                <w:iCs/>
                <w:sz w:val="18"/>
                <w:szCs w:val="18"/>
                <w:lang w:eastAsia="hu-HU"/>
              </w:rPr>
            </w:pPr>
            <w:r w:rsidRPr="00494D70">
              <w:rPr>
                <w:rFonts w:ascii="Times New Roman" w:hAnsi="Times New Roman" w:cs="Times New Roman"/>
                <w:i/>
                <w:iCs/>
                <w:sz w:val="18"/>
                <w:szCs w:val="18"/>
              </w:rPr>
              <w:t>SD</w:t>
            </w:r>
          </w:p>
        </w:tc>
        <w:tc>
          <w:tcPr>
            <w:tcW w:w="937" w:type="dxa"/>
            <w:tcBorders>
              <w:top w:val="single" w:sz="4" w:space="0" w:color="auto"/>
              <w:bottom w:val="single" w:sz="4" w:space="0" w:color="auto"/>
            </w:tcBorders>
            <w:vAlign w:val="bottom"/>
          </w:tcPr>
          <w:p w14:paraId="5B1A8247" w14:textId="77777777" w:rsidR="005C0A3A" w:rsidRPr="00494D70" w:rsidRDefault="005C0A3A" w:rsidP="003012DB">
            <w:pPr>
              <w:jc w:val="center"/>
              <w:rPr>
                <w:rFonts w:ascii="Times New Roman" w:eastAsia="Times New Roman" w:hAnsi="Times New Roman" w:cs="Times New Roman"/>
                <w:i/>
                <w:iCs/>
                <w:sz w:val="18"/>
                <w:szCs w:val="18"/>
                <w:lang w:eastAsia="hu-HU"/>
              </w:rPr>
            </w:pPr>
            <w:r w:rsidRPr="00494D70">
              <w:rPr>
                <w:rFonts w:ascii="Times New Roman" w:hAnsi="Times New Roman" w:cs="Times New Roman"/>
                <w:i/>
                <w:iCs/>
                <w:sz w:val="18"/>
                <w:szCs w:val="18"/>
              </w:rPr>
              <w:t>M</w:t>
            </w:r>
          </w:p>
        </w:tc>
        <w:tc>
          <w:tcPr>
            <w:tcW w:w="858" w:type="dxa"/>
            <w:gridSpan w:val="2"/>
            <w:tcBorders>
              <w:top w:val="single" w:sz="4" w:space="0" w:color="auto"/>
              <w:bottom w:val="single" w:sz="4" w:space="0" w:color="auto"/>
            </w:tcBorders>
            <w:vAlign w:val="bottom"/>
          </w:tcPr>
          <w:p w14:paraId="2304CDE3" w14:textId="77777777" w:rsidR="005C0A3A" w:rsidRPr="00494D70" w:rsidRDefault="005C0A3A" w:rsidP="003012DB">
            <w:pPr>
              <w:jc w:val="center"/>
              <w:rPr>
                <w:rFonts w:ascii="Times New Roman" w:eastAsia="Times New Roman" w:hAnsi="Times New Roman" w:cs="Times New Roman"/>
                <w:i/>
                <w:iCs/>
                <w:sz w:val="18"/>
                <w:szCs w:val="18"/>
                <w:lang w:eastAsia="hu-HU"/>
              </w:rPr>
            </w:pPr>
            <w:r w:rsidRPr="00494D70">
              <w:rPr>
                <w:rFonts w:ascii="Times New Roman" w:hAnsi="Times New Roman" w:cs="Times New Roman"/>
                <w:i/>
                <w:iCs/>
                <w:sz w:val="18"/>
                <w:szCs w:val="18"/>
              </w:rPr>
              <w:t>SD</w:t>
            </w:r>
          </w:p>
        </w:tc>
      </w:tr>
      <w:tr w:rsidR="005C0A3A" w:rsidRPr="00494D70" w14:paraId="37B31BDA" w14:textId="77777777" w:rsidTr="003012DB">
        <w:tc>
          <w:tcPr>
            <w:tcW w:w="2041" w:type="dxa"/>
            <w:tcBorders>
              <w:top w:val="single" w:sz="4" w:space="0" w:color="auto"/>
            </w:tcBorders>
          </w:tcPr>
          <w:p w14:paraId="6BAA2E98" w14:textId="77777777" w:rsidR="005C0A3A" w:rsidRPr="00494D70" w:rsidRDefault="005C0A3A" w:rsidP="003012DB">
            <w:pP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Algeria</w:t>
            </w:r>
          </w:p>
        </w:tc>
        <w:tc>
          <w:tcPr>
            <w:tcW w:w="936" w:type="dxa"/>
            <w:tcBorders>
              <w:top w:val="single" w:sz="4" w:space="0" w:color="auto"/>
            </w:tcBorders>
          </w:tcPr>
          <w:p w14:paraId="7ACA6DF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43.00</w:t>
            </w:r>
          </w:p>
        </w:tc>
        <w:tc>
          <w:tcPr>
            <w:tcW w:w="890" w:type="dxa"/>
            <w:tcBorders>
              <w:top w:val="single" w:sz="4" w:space="0" w:color="auto"/>
            </w:tcBorders>
          </w:tcPr>
          <w:p w14:paraId="42EA449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11.09</w:t>
            </w:r>
          </w:p>
        </w:tc>
        <w:tc>
          <w:tcPr>
            <w:tcW w:w="890" w:type="dxa"/>
            <w:tcBorders>
              <w:top w:val="single" w:sz="4" w:space="0" w:color="auto"/>
            </w:tcBorders>
          </w:tcPr>
          <w:p w14:paraId="30576D2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15.08</w:t>
            </w:r>
          </w:p>
        </w:tc>
        <w:tc>
          <w:tcPr>
            <w:tcW w:w="866" w:type="dxa"/>
            <w:gridSpan w:val="2"/>
            <w:tcBorders>
              <w:top w:val="single" w:sz="4" w:space="0" w:color="auto"/>
            </w:tcBorders>
          </w:tcPr>
          <w:p w14:paraId="2502CEB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4.32</w:t>
            </w:r>
          </w:p>
        </w:tc>
        <w:tc>
          <w:tcPr>
            <w:tcW w:w="936" w:type="dxa"/>
            <w:gridSpan w:val="2"/>
            <w:tcBorders>
              <w:top w:val="single" w:sz="4" w:space="0" w:color="auto"/>
            </w:tcBorders>
          </w:tcPr>
          <w:p w14:paraId="77C093F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15.83</w:t>
            </w:r>
          </w:p>
        </w:tc>
        <w:tc>
          <w:tcPr>
            <w:tcW w:w="860" w:type="dxa"/>
            <w:gridSpan w:val="3"/>
            <w:tcBorders>
              <w:top w:val="single" w:sz="4" w:space="0" w:color="auto"/>
            </w:tcBorders>
          </w:tcPr>
          <w:p w14:paraId="31F8B2D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3.41</w:t>
            </w:r>
          </w:p>
        </w:tc>
        <w:tc>
          <w:tcPr>
            <w:tcW w:w="937" w:type="dxa"/>
            <w:tcBorders>
              <w:top w:val="single" w:sz="4" w:space="0" w:color="auto"/>
            </w:tcBorders>
          </w:tcPr>
          <w:p w14:paraId="2CF1826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12.08</w:t>
            </w:r>
          </w:p>
        </w:tc>
        <w:tc>
          <w:tcPr>
            <w:tcW w:w="858" w:type="dxa"/>
            <w:gridSpan w:val="2"/>
            <w:tcBorders>
              <w:top w:val="single" w:sz="4" w:space="0" w:color="auto"/>
            </w:tcBorders>
          </w:tcPr>
          <w:p w14:paraId="482467E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6.93</w:t>
            </w:r>
          </w:p>
        </w:tc>
      </w:tr>
      <w:tr w:rsidR="005C0A3A" w:rsidRPr="00494D70" w14:paraId="5E2393D2" w14:textId="77777777" w:rsidTr="003012DB">
        <w:tc>
          <w:tcPr>
            <w:tcW w:w="2041" w:type="dxa"/>
          </w:tcPr>
          <w:p w14:paraId="6D405B9A"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Australia</w:t>
            </w:r>
          </w:p>
        </w:tc>
        <w:tc>
          <w:tcPr>
            <w:tcW w:w="936" w:type="dxa"/>
          </w:tcPr>
          <w:p w14:paraId="590701E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44.09</w:t>
            </w:r>
          </w:p>
        </w:tc>
        <w:tc>
          <w:tcPr>
            <w:tcW w:w="890" w:type="dxa"/>
          </w:tcPr>
          <w:p w14:paraId="7CDFF3F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9.79</w:t>
            </w:r>
          </w:p>
        </w:tc>
        <w:tc>
          <w:tcPr>
            <w:tcW w:w="890" w:type="dxa"/>
          </w:tcPr>
          <w:p w14:paraId="369F6C2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16.25</w:t>
            </w:r>
          </w:p>
        </w:tc>
        <w:tc>
          <w:tcPr>
            <w:tcW w:w="866" w:type="dxa"/>
            <w:gridSpan w:val="2"/>
          </w:tcPr>
          <w:p w14:paraId="1D03EB5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3.95</w:t>
            </w:r>
          </w:p>
        </w:tc>
        <w:tc>
          <w:tcPr>
            <w:tcW w:w="936" w:type="dxa"/>
            <w:gridSpan w:val="2"/>
          </w:tcPr>
          <w:p w14:paraId="3A68D2D5"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15.31</w:t>
            </w:r>
          </w:p>
        </w:tc>
        <w:tc>
          <w:tcPr>
            <w:tcW w:w="860" w:type="dxa"/>
            <w:gridSpan w:val="3"/>
          </w:tcPr>
          <w:p w14:paraId="626D07E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3.99</w:t>
            </w:r>
          </w:p>
        </w:tc>
        <w:tc>
          <w:tcPr>
            <w:tcW w:w="937" w:type="dxa"/>
          </w:tcPr>
          <w:p w14:paraId="0BD3F5B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12.54</w:t>
            </w:r>
          </w:p>
        </w:tc>
        <w:tc>
          <w:tcPr>
            <w:tcW w:w="858" w:type="dxa"/>
            <w:gridSpan w:val="2"/>
          </w:tcPr>
          <w:p w14:paraId="5D854E8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5.60</w:t>
            </w:r>
          </w:p>
        </w:tc>
      </w:tr>
      <w:tr w:rsidR="005C0A3A" w:rsidRPr="00494D70" w14:paraId="089EF1C4" w14:textId="77777777" w:rsidTr="003012DB">
        <w:tc>
          <w:tcPr>
            <w:tcW w:w="2041" w:type="dxa"/>
          </w:tcPr>
          <w:p w14:paraId="15EAD142"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Austria</w:t>
            </w:r>
          </w:p>
        </w:tc>
        <w:tc>
          <w:tcPr>
            <w:tcW w:w="936" w:type="dxa"/>
          </w:tcPr>
          <w:p w14:paraId="6C6A8F0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44.49</w:t>
            </w:r>
          </w:p>
        </w:tc>
        <w:tc>
          <w:tcPr>
            <w:tcW w:w="890" w:type="dxa"/>
          </w:tcPr>
          <w:p w14:paraId="4EFD759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9.38</w:t>
            </w:r>
          </w:p>
        </w:tc>
        <w:tc>
          <w:tcPr>
            <w:tcW w:w="890" w:type="dxa"/>
          </w:tcPr>
          <w:p w14:paraId="6C94829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16.52</w:t>
            </w:r>
          </w:p>
        </w:tc>
        <w:tc>
          <w:tcPr>
            <w:tcW w:w="866" w:type="dxa"/>
            <w:gridSpan w:val="2"/>
          </w:tcPr>
          <w:p w14:paraId="18637E5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3.73</w:t>
            </w:r>
          </w:p>
        </w:tc>
        <w:tc>
          <w:tcPr>
            <w:tcW w:w="936" w:type="dxa"/>
            <w:gridSpan w:val="2"/>
          </w:tcPr>
          <w:p w14:paraId="3BF2267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15.31</w:t>
            </w:r>
          </w:p>
        </w:tc>
        <w:tc>
          <w:tcPr>
            <w:tcW w:w="860" w:type="dxa"/>
            <w:gridSpan w:val="3"/>
          </w:tcPr>
          <w:p w14:paraId="53BAAE2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4.07</w:t>
            </w:r>
          </w:p>
        </w:tc>
        <w:tc>
          <w:tcPr>
            <w:tcW w:w="937" w:type="dxa"/>
          </w:tcPr>
          <w:p w14:paraId="3BB7B88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12.65</w:t>
            </w:r>
          </w:p>
        </w:tc>
        <w:tc>
          <w:tcPr>
            <w:tcW w:w="858" w:type="dxa"/>
            <w:gridSpan w:val="2"/>
          </w:tcPr>
          <w:p w14:paraId="122DF865"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5.53</w:t>
            </w:r>
          </w:p>
        </w:tc>
      </w:tr>
      <w:tr w:rsidR="005C0A3A" w:rsidRPr="00494D70" w14:paraId="455ACBF9" w14:textId="77777777" w:rsidTr="003012DB">
        <w:tc>
          <w:tcPr>
            <w:tcW w:w="2041" w:type="dxa"/>
          </w:tcPr>
          <w:p w14:paraId="54ADB316" w14:textId="77777777" w:rsidR="005C0A3A" w:rsidRPr="00494D70" w:rsidRDefault="005C0A3A" w:rsidP="003012DB">
            <w:pP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Bangladesh</w:t>
            </w:r>
          </w:p>
        </w:tc>
        <w:tc>
          <w:tcPr>
            <w:tcW w:w="936" w:type="dxa"/>
          </w:tcPr>
          <w:p w14:paraId="26BC266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44.16</w:t>
            </w:r>
          </w:p>
        </w:tc>
        <w:tc>
          <w:tcPr>
            <w:tcW w:w="890" w:type="dxa"/>
          </w:tcPr>
          <w:p w14:paraId="1B19842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10.26</w:t>
            </w:r>
          </w:p>
        </w:tc>
        <w:tc>
          <w:tcPr>
            <w:tcW w:w="890" w:type="dxa"/>
          </w:tcPr>
          <w:p w14:paraId="3CF06E8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17.49</w:t>
            </w:r>
          </w:p>
        </w:tc>
        <w:tc>
          <w:tcPr>
            <w:tcW w:w="866" w:type="dxa"/>
            <w:gridSpan w:val="2"/>
          </w:tcPr>
          <w:p w14:paraId="6ECC925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3.70</w:t>
            </w:r>
          </w:p>
        </w:tc>
        <w:tc>
          <w:tcPr>
            <w:tcW w:w="936" w:type="dxa"/>
            <w:gridSpan w:val="2"/>
          </w:tcPr>
          <w:p w14:paraId="391641D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15.69</w:t>
            </w:r>
          </w:p>
        </w:tc>
        <w:tc>
          <w:tcPr>
            <w:tcW w:w="860" w:type="dxa"/>
            <w:gridSpan w:val="3"/>
          </w:tcPr>
          <w:p w14:paraId="25E9685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3.90</w:t>
            </w:r>
          </w:p>
        </w:tc>
        <w:tc>
          <w:tcPr>
            <w:tcW w:w="937" w:type="dxa"/>
          </w:tcPr>
          <w:p w14:paraId="0653CBA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11.14</w:t>
            </w:r>
          </w:p>
        </w:tc>
        <w:tc>
          <w:tcPr>
            <w:tcW w:w="858" w:type="dxa"/>
            <w:gridSpan w:val="2"/>
          </w:tcPr>
          <w:p w14:paraId="57B7E86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6.77</w:t>
            </w:r>
          </w:p>
        </w:tc>
      </w:tr>
      <w:tr w:rsidR="005C0A3A" w:rsidRPr="00494D70" w14:paraId="666E5D7F" w14:textId="77777777" w:rsidTr="003012DB">
        <w:tc>
          <w:tcPr>
            <w:tcW w:w="2041" w:type="dxa"/>
          </w:tcPr>
          <w:p w14:paraId="474FD72A"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Belgium</w:t>
            </w:r>
          </w:p>
        </w:tc>
        <w:tc>
          <w:tcPr>
            <w:tcW w:w="936" w:type="dxa"/>
          </w:tcPr>
          <w:p w14:paraId="5CFE399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43.74</w:t>
            </w:r>
          </w:p>
        </w:tc>
        <w:tc>
          <w:tcPr>
            <w:tcW w:w="890" w:type="dxa"/>
          </w:tcPr>
          <w:p w14:paraId="1FF3BC0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9.63</w:t>
            </w:r>
          </w:p>
        </w:tc>
        <w:tc>
          <w:tcPr>
            <w:tcW w:w="890" w:type="dxa"/>
          </w:tcPr>
          <w:p w14:paraId="6480590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15.95</w:t>
            </w:r>
          </w:p>
        </w:tc>
        <w:tc>
          <w:tcPr>
            <w:tcW w:w="866" w:type="dxa"/>
            <w:gridSpan w:val="2"/>
          </w:tcPr>
          <w:p w14:paraId="2AE3C27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4.13</w:t>
            </w:r>
          </w:p>
        </w:tc>
        <w:tc>
          <w:tcPr>
            <w:tcW w:w="936" w:type="dxa"/>
            <w:gridSpan w:val="2"/>
          </w:tcPr>
          <w:p w14:paraId="7EA7810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15.51</w:t>
            </w:r>
          </w:p>
        </w:tc>
        <w:tc>
          <w:tcPr>
            <w:tcW w:w="860" w:type="dxa"/>
            <w:gridSpan w:val="3"/>
          </w:tcPr>
          <w:p w14:paraId="7B0CEB49"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3.75</w:t>
            </w:r>
          </w:p>
        </w:tc>
        <w:tc>
          <w:tcPr>
            <w:tcW w:w="937" w:type="dxa"/>
          </w:tcPr>
          <w:p w14:paraId="39AB4D5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12.25</w:t>
            </w:r>
          </w:p>
        </w:tc>
        <w:tc>
          <w:tcPr>
            <w:tcW w:w="858" w:type="dxa"/>
            <w:gridSpan w:val="2"/>
          </w:tcPr>
          <w:p w14:paraId="7BC2421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5.60</w:t>
            </w:r>
          </w:p>
        </w:tc>
      </w:tr>
      <w:tr w:rsidR="005C0A3A" w:rsidRPr="00494D70" w14:paraId="5A5D055C" w14:textId="77777777" w:rsidTr="003012DB">
        <w:tc>
          <w:tcPr>
            <w:tcW w:w="2041" w:type="dxa"/>
          </w:tcPr>
          <w:p w14:paraId="3305B5C4" w14:textId="77777777" w:rsidR="005C0A3A" w:rsidRPr="00494D70" w:rsidRDefault="005C0A3A" w:rsidP="003012DB">
            <w:pP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Bolivia</w:t>
            </w:r>
          </w:p>
        </w:tc>
        <w:tc>
          <w:tcPr>
            <w:tcW w:w="936" w:type="dxa"/>
          </w:tcPr>
          <w:p w14:paraId="7D1AF7D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43.97</w:t>
            </w:r>
          </w:p>
        </w:tc>
        <w:tc>
          <w:tcPr>
            <w:tcW w:w="890" w:type="dxa"/>
          </w:tcPr>
          <w:p w14:paraId="0EA3ED6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9.66</w:t>
            </w:r>
          </w:p>
        </w:tc>
        <w:tc>
          <w:tcPr>
            <w:tcW w:w="890" w:type="dxa"/>
          </w:tcPr>
          <w:p w14:paraId="41D7FFC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16.65</w:t>
            </w:r>
          </w:p>
        </w:tc>
        <w:tc>
          <w:tcPr>
            <w:tcW w:w="866" w:type="dxa"/>
            <w:gridSpan w:val="2"/>
          </w:tcPr>
          <w:p w14:paraId="167B7FC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3.86</w:t>
            </w:r>
          </w:p>
        </w:tc>
        <w:tc>
          <w:tcPr>
            <w:tcW w:w="936" w:type="dxa"/>
            <w:gridSpan w:val="2"/>
          </w:tcPr>
          <w:p w14:paraId="1AE2E2D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14.83</w:t>
            </w:r>
          </w:p>
        </w:tc>
        <w:tc>
          <w:tcPr>
            <w:tcW w:w="860" w:type="dxa"/>
            <w:gridSpan w:val="3"/>
          </w:tcPr>
          <w:p w14:paraId="0D26411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4.05</w:t>
            </w:r>
          </w:p>
        </w:tc>
        <w:tc>
          <w:tcPr>
            <w:tcW w:w="937" w:type="dxa"/>
          </w:tcPr>
          <w:p w14:paraId="0F9C763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12.48</w:t>
            </w:r>
          </w:p>
        </w:tc>
        <w:tc>
          <w:tcPr>
            <w:tcW w:w="858" w:type="dxa"/>
            <w:gridSpan w:val="2"/>
          </w:tcPr>
          <w:p w14:paraId="006FC17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5.18</w:t>
            </w:r>
          </w:p>
        </w:tc>
      </w:tr>
      <w:tr w:rsidR="005C0A3A" w:rsidRPr="00494D70" w14:paraId="645EC8E3" w14:textId="77777777" w:rsidTr="003012DB">
        <w:tc>
          <w:tcPr>
            <w:tcW w:w="2041" w:type="dxa"/>
          </w:tcPr>
          <w:p w14:paraId="3DA3772F"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Brazil</w:t>
            </w:r>
          </w:p>
        </w:tc>
        <w:tc>
          <w:tcPr>
            <w:tcW w:w="936" w:type="dxa"/>
          </w:tcPr>
          <w:p w14:paraId="4320266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42.66</w:t>
            </w:r>
          </w:p>
        </w:tc>
        <w:tc>
          <w:tcPr>
            <w:tcW w:w="890" w:type="dxa"/>
          </w:tcPr>
          <w:p w14:paraId="436F3A6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10.42</w:t>
            </w:r>
          </w:p>
        </w:tc>
        <w:tc>
          <w:tcPr>
            <w:tcW w:w="890" w:type="dxa"/>
          </w:tcPr>
          <w:p w14:paraId="1D215A1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16.27</w:t>
            </w:r>
          </w:p>
        </w:tc>
        <w:tc>
          <w:tcPr>
            <w:tcW w:w="866" w:type="dxa"/>
            <w:gridSpan w:val="2"/>
          </w:tcPr>
          <w:p w14:paraId="2389ECD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4.24</w:t>
            </w:r>
          </w:p>
        </w:tc>
        <w:tc>
          <w:tcPr>
            <w:tcW w:w="936" w:type="dxa"/>
            <w:gridSpan w:val="2"/>
          </w:tcPr>
          <w:p w14:paraId="7D4EB3D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14.98</w:t>
            </w:r>
          </w:p>
        </w:tc>
        <w:tc>
          <w:tcPr>
            <w:tcW w:w="860" w:type="dxa"/>
            <w:gridSpan w:val="3"/>
          </w:tcPr>
          <w:p w14:paraId="4F56157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4.08</w:t>
            </w:r>
          </w:p>
        </w:tc>
        <w:tc>
          <w:tcPr>
            <w:tcW w:w="937" w:type="dxa"/>
          </w:tcPr>
          <w:p w14:paraId="3483939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11.39</w:t>
            </w:r>
          </w:p>
        </w:tc>
        <w:tc>
          <w:tcPr>
            <w:tcW w:w="858" w:type="dxa"/>
            <w:gridSpan w:val="2"/>
          </w:tcPr>
          <w:p w14:paraId="36C2A5C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5.99</w:t>
            </w:r>
          </w:p>
        </w:tc>
      </w:tr>
      <w:tr w:rsidR="005C0A3A" w:rsidRPr="00494D70" w14:paraId="5DEC0F5E" w14:textId="77777777" w:rsidTr="003012DB">
        <w:tc>
          <w:tcPr>
            <w:tcW w:w="2041" w:type="dxa"/>
          </w:tcPr>
          <w:p w14:paraId="234DA780"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Canada</w:t>
            </w:r>
          </w:p>
        </w:tc>
        <w:tc>
          <w:tcPr>
            <w:tcW w:w="936" w:type="dxa"/>
          </w:tcPr>
          <w:p w14:paraId="751F96B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45.64</w:t>
            </w:r>
          </w:p>
        </w:tc>
        <w:tc>
          <w:tcPr>
            <w:tcW w:w="890" w:type="dxa"/>
          </w:tcPr>
          <w:p w14:paraId="57E5D3A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9.76</w:t>
            </w:r>
          </w:p>
        </w:tc>
        <w:tc>
          <w:tcPr>
            <w:tcW w:w="890" w:type="dxa"/>
          </w:tcPr>
          <w:p w14:paraId="26F694F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16.53</w:t>
            </w:r>
          </w:p>
        </w:tc>
        <w:tc>
          <w:tcPr>
            <w:tcW w:w="866" w:type="dxa"/>
            <w:gridSpan w:val="2"/>
          </w:tcPr>
          <w:p w14:paraId="5CBD06D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3.96</w:t>
            </w:r>
          </w:p>
        </w:tc>
        <w:tc>
          <w:tcPr>
            <w:tcW w:w="936" w:type="dxa"/>
            <w:gridSpan w:val="2"/>
          </w:tcPr>
          <w:p w14:paraId="5ABC5AC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15.89</w:t>
            </w:r>
          </w:p>
        </w:tc>
        <w:tc>
          <w:tcPr>
            <w:tcW w:w="860" w:type="dxa"/>
            <w:gridSpan w:val="3"/>
          </w:tcPr>
          <w:p w14:paraId="06F30A4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4.03</w:t>
            </w:r>
          </w:p>
        </w:tc>
        <w:tc>
          <w:tcPr>
            <w:tcW w:w="937" w:type="dxa"/>
          </w:tcPr>
          <w:p w14:paraId="34DE80B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13.20</w:t>
            </w:r>
          </w:p>
        </w:tc>
        <w:tc>
          <w:tcPr>
            <w:tcW w:w="858" w:type="dxa"/>
            <w:gridSpan w:val="2"/>
          </w:tcPr>
          <w:p w14:paraId="56FDB3E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5.73</w:t>
            </w:r>
          </w:p>
        </w:tc>
      </w:tr>
      <w:tr w:rsidR="005C0A3A" w:rsidRPr="00494D70" w14:paraId="6925C489" w14:textId="77777777" w:rsidTr="003012DB">
        <w:tc>
          <w:tcPr>
            <w:tcW w:w="2041" w:type="dxa"/>
          </w:tcPr>
          <w:p w14:paraId="4416708D"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Chile</w:t>
            </w:r>
          </w:p>
        </w:tc>
        <w:tc>
          <w:tcPr>
            <w:tcW w:w="936" w:type="dxa"/>
          </w:tcPr>
          <w:p w14:paraId="2BE89E2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45.79</w:t>
            </w:r>
          </w:p>
        </w:tc>
        <w:tc>
          <w:tcPr>
            <w:tcW w:w="890" w:type="dxa"/>
          </w:tcPr>
          <w:p w14:paraId="1608ECB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9.14</w:t>
            </w:r>
          </w:p>
        </w:tc>
        <w:tc>
          <w:tcPr>
            <w:tcW w:w="890" w:type="dxa"/>
          </w:tcPr>
          <w:p w14:paraId="6F6E873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17.15</w:t>
            </w:r>
          </w:p>
        </w:tc>
        <w:tc>
          <w:tcPr>
            <w:tcW w:w="866" w:type="dxa"/>
            <w:gridSpan w:val="2"/>
          </w:tcPr>
          <w:p w14:paraId="7E473009"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3.44</w:t>
            </w:r>
          </w:p>
        </w:tc>
        <w:tc>
          <w:tcPr>
            <w:tcW w:w="936" w:type="dxa"/>
            <w:gridSpan w:val="2"/>
          </w:tcPr>
          <w:p w14:paraId="0C0AB34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15.50</w:t>
            </w:r>
          </w:p>
        </w:tc>
        <w:tc>
          <w:tcPr>
            <w:tcW w:w="860" w:type="dxa"/>
            <w:gridSpan w:val="3"/>
          </w:tcPr>
          <w:p w14:paraId="118D1EF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3.84</w:t>
            </w:r>
          </w:p>
        </w:tc>
        <w:tc>
          <w:tcPr>
            <w:tcW w:w="937" w:type="dxa"/>
          </w:tcPr>
          <w:p w14:paraId="6DEA821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13.14</w:t>
            </w:r>
          </w:p>
        </w:tc>
        <w:tc>
          <w:tcPr>
            <w:tcW w:w="858" w:type="dxa"/>
            <w:gridSpan w:val="2"/>
          </w:tcPr>
          <w:p w14:paraId="588E60D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5.33</w:t>
            </w:r>
          </w:p>
        </w:tc>
      </w:tr>
      <w:tr w:rsidR="005C0A3A" w:rsidRPr="00494D70" w14:paraId="2B06A5A6" w14:textId="77777777" w:rsidTr="003012DB">
        <w:tc>
          <w:tcPr>
            <w:tcW w:w="2041" w:type="dxa"/>
          </w:tcPr>
          <w:p w14:paraId="68F1B0F5"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China</w:t>
            </w:r>
          </w:p>
        </w:tc>
        <w:tc>
          <w:tcPr>
            <w:tcW w:w="936" w:type="dxa"/>
          </w:tcPr>
          <w:p w14:paraId="1B1E842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44.39</w:t>
            </w:r>
          </w:p>
        </w:tc>
        <w:tc>
          <w:tcPr>
            <w:tcW w:w="890" w:type="dxa"/>
          </w:tcPr>
          <w:p w14:paraId="7CC02A7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8.05</w:t>
            </w:r>
          </w:p>
        </w:tc>
        <w:tc>
          <w:tcPr>
            <w:tcW w:w="890" w:type="dxa"/>
          </w:tcPr>
          <w:p w14:paraId="732961A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16.53</w:t>
            </w:r>
          </w:p>
        </w:tc>
        <w:tc>
          <w:tcPr>
            <w:tcW w:w="866" w:type="dxa"/>
            <w:gridSpan w:val="2"/>
          </w:tcPr>
          <w:p w14:paraId="159448D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3.29</w:t>
            </w:r>
          </w:p>
        </w:tc>
        <w:tc>
          <w:tcPr>
            <w:tcW w:w="936" w:type="dxa"/>
            <w:gridSpan w:val="2"/>
          </w:tcPr>
          <w:p w14:paraId="74BA4B3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14.28</w:t>
            </w:r>
          </w:p>
        </w:tc>
        <w:tc>
          <w:tcPr>
            <w:tcW w:w="860" w:type="dxa"/>
            <w:gridSpan w:val="3"/>
          </w:tcPr>
          <w:p w14:paraId="29E4A69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3.32</w:t>
            </w:r>
          </w:p>
        </w:tc>
        <w:tc>
          <w:tcPr>
            <w:tcW w:w="937" w:type="dxa"/>
          </w:tcPr>
          <w:p w14:paraId="43D8DE3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13.57</w:t>
            </w:r>
          </w:p>
        </w:tc>
        <w:tc>
          <w:tcPr>
            <w:tcW w:w="858" w:type="dxa"/>
            <w:gridSpan w:val="2"/>
          </w:tcPr>
          <w:p w14:paraId="71D2474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5.26</w:t>
            </w:r>
          </w:p>
        </w:tc>
      </w:tr>
      <w:tr w:rsidR="005C0A3A" w:rsidRPr="00494D70" w14:paraId="5C15265D" w14:textId="77777777" w:rsidTr="003012DB">
        <w:tc>
          <w:tcPr>
            <w:tcW w:w="2041" w:type="dxa"/>
          </w:tcPr>
          <w:p w14:paraId="390DA633"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Colombia</w:t>
            </w:r>
          </w:p>
        </w:tc>
        <w:tc>
          <w:tcPr>
            <w:tcW w:w="936" w:type="dxa"/>
          </w:tcPr>
          <w:p w14:paraId="5BADC4A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47.10</w:t>
            </w:r>
          </w:p>
        </w:tc>
        <w:tc>
          <w:tcPr>
            <w:tcW w:w="890" w:type="dxa"/>
          </w:tcPr>
          <w:p w14:paraId="345DF12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9.46</w:t>
            </w:r>
          </w:p>
        </w:tc>
        <w:tc>
          <w:tcPr>
            <w:tcW w:w="890" w:type="dxa"/>
          </w:tcPr>
          <w:p w14:paraId="12F8CDF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16.76</w:t>
            </w:r>
          </w:p>
        </w:tc>
        <w:tc>
          <w:tcPr>
            <w:tcW w:w="866" w:type="dxa"/>
            <w:gridSpan w:val="2"/>
          </w:tcPr>
          <w:p w14:paraId="6E01648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3.68</w:t>
            </w:r>
          </w:p>
        </w:tc>
        <w:tc>
          <w:tcPr>
            <w:tcW w:w="936" w:type="dxa"/>
            <w:gridSpan w:val="2"/>
          </w:tcPr>
          <w:p w14:paraId="467B526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15.82</w:t>
            </w:r>
          </w:p>
        </w:tc>
        <w:tc>
          <w:tcPr>
            <w:tcW w:w="860" w:type="dxa"/>
            <w:gridSpan w:val="3"/>
          </w:tcPr>
          <w:p w14:paraId="041644A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3.71</w:t>
            </w:r>
          </w:p>
        </w:tc>
        <w:tc>
          <w:tcPr>
            <w:tcW w:w="937" w:type="dxa"/>
          </w:tcPr>
          <w:p w14:paraId="65550D8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14.52</w:t>
            </w:r>
          </w:p>
        </w:tc>
        <w:tc>
          <w:tcPr>
            <w:tcW w:w="858" w:type="dxa"/>
            <w:gridSpan w:val="2"/>
          </w:tcPr>
          <w:p w14:paraId="0AF4600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5.16</w:t>
            </w:r>
          </w:p>
        </w:tc>
      </w:tr>
      <w:tr w:rsidR="005C0A3A" w:rsidRPr="00494D70" w14:paraId="5233FEEC" w14:textId="77777777" w:rsidTr="003012DB">
        <w:tc>
          <w:tcPr>
            <w:tcW w:w="2041" w:type="dxa"/>
          </w:tcPr>
          <w:p w14:paraId="326DA99C"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Croatia</w:t>
            </w:r>
          </w:p>
        </w:tc>
        <w:tc>
          <w:tcPr>
            <w:tcW w:w="936" w:type="dxa"/>
          </w:tcPr>
          <w:p w14:paraId="341087C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48.24</w:t>
            </w:r>
          </w:p>
        </w:tc>
        <w:tc>
          <w:tcPr>
            <w:tcW w:w="890" w:type="dxa"/>
          </w:tcPr>
          <w:p w14:paraId="7934FF4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8.99</w:t>
            </w:r>
          </w:p>
        </w:tc>
        <w:tc>
          <w:tcPr>
            <w:tcW w:w="890" w:type="dxa"/>
          </w:tcPr>
          <w:p w14:paraId="01316265"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17.40</w:t>
            </w:r>
          </w:p>
        </w:tc>
        <w:tc>
          <w:tcPr>
            <w:tcW w:w="866" w:type="dxa"/>
            <w:gridSpan w:val="2"/>
          </w:tcPr>
          <w:p w14:paraId="5E9860E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3.42</w:t>
            </w:r>
          </w:p>
        </w:tc>
        <w:tc>
          <w:tcPr>
            <w:tcW w:w="936" w:type="dxa"/>
            <w:gridSpan w:val="2"/>
          </w:tcPr>
          <w:p w14:paraId="16C98DA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16.16</w:t>
            </w:r>
          </w:p>
        </w:tc>
        <w:tc>
          <w:tcPr>
            <w:tcW w:w="860" w:type="dxa"/>
            <w:gridSpan w:val="3"/>
          </w:tcPr>
          <w:p w14:paraId="4D4D076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3.71</w:t>
            </w:r>
          </w:p>
        </w:tc>
        <w:tc>
          <w:tcPr>
            <w:tcW w:w="937" w:type="dxa"/>
          </w:tcPr>
          <w:p w14:paraId="1F21E74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14.68</w:t>
            </w:r>
          </w:p>
        </w:tc>
        <w:tc>
          <w:tcPr>
            <w:tcW w:w="858" w:type="dxa"/>
            <w:gridSpan w:val="2"/>
          </w:tcPr>
          <w:p w14:paraId="72B2D8C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5.36</w:t>
            </w:r>
          </w:p>
        </w:tc>
      </w:tr>
      <w:tr w:rsidR="005C0A3A" w:rsidRPr="00494D70" w14:paraId="26A46931" w14:textId="77777777" w:rsidTr="003012DB">
        <w:tc>
          <w:tcPr>
            <w:tcW w:w="2041" w:type="dxa"/>
          </w:tcPr>
          <w:p w14:paraId="2FC78478"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Czech Republic</w:t>
            </w:r>
          </w:p>
        </w:tc>
        <w:tc>
          <w:tcPr>
            <w:tcW w:w="936" w:type="dxa"/>
          </w:tcPr>
          <w:p w14:paraId="1431B62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41.00</w:t>
            </w:r>
          </w:p>
        </w:tc>
        <w:tc>
          <w:tcPr>
            <w:tcW w:w="890" w:type="dxa"/>
          </w:tcPr>
          <w:p w14:paraId="5226BA3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8.61</w:t>
            </w:r>
          </w:p>
        </w:tc>
        <w:tc>
          <w:tcPr>
            <w:tcW w:w="890" w:type="dxa"/>
          </w:tcPr>
          <w:p w14:paraId="32C35A2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15.97</w:t>
            </w:r>
          </w:p>
        </w:tc>
        <w:tc>
          <w:tcPr>
            <w:tcW w:w="866" w:type="dxa"/>
            <w:gridSpan w:val="2"/>
          </w:tcPr>
          <w:p w14:paraId="0B655EA9"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3.77</w:t>
            </w:r>
          </w:p>
        </w:tc>
        <w:tc>
          <w:tcPr>
            <w:tcW w:w="936" w:type="dxa"/>
            <w:gridSpan w:val="2"/>
          </w:tcPr>
          <w:p w14:paraId="4AED357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14.45</w:t>
            </w:r>
          </w:p>
        </w:tc>
        <w:tc>
          <w:tcPr>
            <w:tcW w:w="860" w:type="dxa"/>
            <w:gridSpan w:val="3"/>
          </w:tcPr>
          <w:p w14:paraId="0929C9D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3.40</w:t>
            </w:r>
          </w:p>
        </w:tc>
        <w:tc>
          <w:tcPr>
            <w:tcW w:w="937" w:type="dxa"/>
          </w:tcPr>
          <w:p w14:paraId="232FFC6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10.57</w:t>
            </w:r>
          </w:p>
        </w:tc>
        <w:tc>
          <w:tcPr>
            <w:tcW w:w="858" w:type="dxa"/>
            <w:gridSpan w:val="2"/>
          </w:tcPr>
          <w:p w14:paraId="02F25B4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5.15</w:t>
            </w:r>
          </w:p>
        </w:tc>
      </w:tr>
      <w:tr w:rsidR="005C0A3A" w:rsidRPr="00494D70" w14:paraId="02C20E5C" w14:textId="77777777" w:rsidTr="003012DB">
        <w:tc>
          <w:tcPr>
            <w:tcW w:w="2041" w:type="dxa"/>
          </w:tcPr>
          <w:p w14:paraId="0C6451B3" w14:textId="77777777" w:rsidR="005C0A3A" w:rsidRPr="00494D70" w:rsidRDefault="005C0A3A" w:rsidP="003012DB">
            <w:pP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Ecuador</w:t>
            </w:r>
          </w:p>
        </w:tc>
        <w:tc>
          <w:tcPr>
            <w:tcW w:w="936" w:type="dxa"/>
          </w:tcPr>
          <w:p w14:paraId="7F9F02C9"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44.95</w:t>
            </w:r>
          </w:p>
        </w:tc>
        <w:tc>
          <w:tcPr>
            <w:tcW w:w="890" w:type="dxa"/>
          </w:tcPr>
          <w:p w14:paraId="123AD32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9.71</w:t>
            </w:r>
          </w:p>
        </w:tc>
        <w:tc>
          <w:tcPr>
            <w:tcW w:w="890" w:type="dxa"/>
          </w:tcPr>
          <w:p w14:paraId="75C35C0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16.78</w:t>
            </w:r>
          </w:p>
        </w:tc>
        <w:tc>
          <w:tcPr>
            <w:tcW w:w="866" w:type="dxa"/>
            <w:gridSpan w:val="2"/>
          </w:tcPr>
          <w:p w14:paraId="62AD6E39"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3.68</w:t>
            </w:r>
          </w:p>
        </w:tc>
        <w:tc>
          <w:tcPr>
            <w:tcW w:w="936" w:type="dxa"/>
            <w:gridSpan w:val="2"/>
          </w:tcPr>
          <w:p w14:paraId="326A7539"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15.35</w:t>
            </w:r>
          </w:p>
        </w:tc>
        <w:tc>
          <w:tcPr>
            <w:tcW w:w="860" w:type="dxa"/>
            <w:gridSpan w:val="3"/>
          </w:tcPr>
          <w:p w14:paraId="391FD07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3.85</w:t>
            </w:r>
          </w:p>
        </w:tc>
        <w:tc>
          <w:tcPr>
            <w:tcW w:w="937" w:type="dxa"/>
          </w:tcPr>
          <w:p w14:paraId="148E41E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12.83</w:t>
            </w:r>
          </w:p>
        </w:tc>
        <w:tc>
          <w:tcPr>
            <w:tcW w:w="858" w:type="dxa"/>
            <w:gridSpan w:val="2"/>
          </w:tcPr>
          <w:p w14:paraId="3081E885"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5.71</w:t>
            </w:r>
          </w:p>
        </w:tc>
      </w:tr>
      <w:tr w:rsidR="005C0A3A" w:rsidRPr="00494D70" w14:paraId="3A4DEA7D" w14:textId="77777777" w:rsidTr="003012DB">
        <w:tc>
          <w:tcPr>
            <w:tcW w:w="2041" w:type="dxa"/>
          </w:tcPr>
          <w:p w14:paraId="69ADA34E"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France</w:t>
            </w:r>
          </w:p>
        </w:tc>
        <w:tc>
          <w:tcPr>
            <w:tcW w:w="936" w:type="dxa"/>
          </w:tcPr>
          <w:p w14:paraId="455ED6E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45.92</w:t>
            </w:r>
          </w:p>
        </w:tc>
        <w:tc>
          <w:tcPr>
            <w:tcW w:w="890" w:type="dxa"/>
          </w:tcPr>
          <w:p w14:paraId="62675E8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9.95</w:t>
            </w:r>
          </w:p>
        </w:tc>
        <w:tc>
          <w:tcPr>
            <w:tcW w:w="890" w:type="dxa"/>
          </w:tcPr>
          <w:p w14:paraId="32A1DEC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17.06</w:t>
            </w:r>
          </w:p>
        </w:tc>
        <w:tc>
          <w:tcPr>
            <w:tcW w:w="866" w:type="dxa"/>
            <w:gridSpan w:val="2"/>
          </w:tcPr>
          <w:p w14:paraId="06ED00B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3.93</w:t>
            </w:r>
          </w:p>
        </w:tc>
        <w:tc>
          <w:tcPr>
            <w:tcW w:w="936" w:type="dxa"/>
            <w:gridSpan w:val="2"/>
          </w:tcPr>
          <w:p w14:paraId="4D4146B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16.35</w:t>
            </w:r>
          </w:p>
        </w:tc>
        <w:tc>
          <w:tcPr>
            <w:tcW w:w="860" w:type="dxa"/>
            <w:gridSpan w:val="3"/>
          </w:tcPr>
          <w:p w14:paraId="5C41E8D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4.13</w:t>
            </w:r>
          </w:p>
        </w:tc>
        <w:tc>
          <w:tcPr>
            <w:tcW w:w="937" w:type="dxa"/>
          </w:tcPr>
          <w:p w14:paraId="678D5EB5"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12.49</w:t>
            </w:r>
          </w:p>
        </w:tc>
        <w:tc>
          <w:tcPr>
            <w:tcW w:w="858" w:type="dxa"/>
            <w:gridSpan w:val="2"/>
          </w:tcPr>
          <w:p w14:paraId="35773C3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5.77</w:t>
            </w:r>
          </w:p>
        </w:tc>
      </w:tr>
      <w:tr w:rsidR="005C0A3A" w:rsidRPr="00494D70" w14:paraId="4000DAE3" w14:textId="77777777" w:rsidTr="003012DB">
        <w:tc>
          <w:tcPr>
            <w:tcW w:w="2041" w:type="dxa"/>
          </w:tcPr>
          <w:p w14:paraId="5A299573"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Germany</w:t>
            </w:r>
          </w:p>
        </w:tc>
        <w:tc>
          <w:tcPr>
            <w:tcW w:w="936" w:type="dxa"/>
          </w:tcPr>
          <w:p w14:paraId="0857470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42.76</w:t>
            </w:r>
          </w:p>
        </w:tc>
        <w:tc>
          <w:tcPr>
            <w:tcW w:w="890" w:type="dxa"/>
          </w:tcPr>
          <w:p w14:paraId="174CA0C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9.39</w:t>
            </w:r>
          </w:p>
        </w:tc>
        <w:tc>
          <w:tcPr>
            <w:tcW w:w="890" w:type="dxa"/>
          </w:tcPr>
          <w:p w14:paraId="71BFAAF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15.78</w:t>
            </w:r>
          </w:p>
        </w:tc>
        <w:tc>
          <w:tcPr>
            <w:tcW w:w="866" w:type="dxa"/>
            <w:gridSpan w:val="2"/>
          </w:tcPr>
          <w:p w14:paraId="610F591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3.84</w:t>
            </w:r>
          </w:p>
        </w:tc>
        <w:tc>
          <w:tcPr>
            <w:tcW w:w="936" w:type="dxa"/>
            <w:gridSpan w:val="2"/>
          </w:tcPr>
          <w:p w14:paraId="24D9B59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15.16</w:t>
            </w:r>
          </w:p>
        </w:tc>
        <w:tc>
          <w:tcPr>
            <w:tcW w:w="860" w:type="dxa"/>
            <w:gridSpan w:val="3"/>
          </w:tcPr>
          <w:p w14:paraId="4F17A9A9"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3.72</w:t>
            </w:r>
          </w:p>
        </w:tc>
        <w:tc>
          <w:tcPr>
            <w:tcW w:w="937" w:type="dxa"/>
          </w:tcPr>
          <w:p w14:paraId="59D4896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11.82</w:t>
            </w:r>
          </w:p>
        </w:tc>
        <w:tc>
          <w:tcPr>
            <w:tcW w:w="858" w:type="dxa"/>
            <w:gridSpan w:val="2"/>
          </w:tcPr>
          <w:p w14:paraId="49A7A8B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5.66</w:t>
            </w:r>
          </w:p>
        </w:tc>
      </w:tr>
      <w:tr w:rsidR="005C0A3A" w:rsidRPr="00494D70" w14:paraId="1037ED12" w14:textId="77777777" w:rsidTr="003012DB">
        <w:tc>
          <w:tcPr>
            <w:tcW w:w="2041" w:type="dxa"/>
          </w:tcPr>
          <w:p w14:paraId="7BD9FED8" w14:textId="77777777" w:rsidR="005C0A3A" w:rsidRPr="00494D70" w:rsidRDefault="005C0A3A" w:rsidP="003012DB">
            <w:pP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Gibraltar</w:t>
            </w:r>
          </w:p>
        </w:tc>
        <w:tc>
          <w:tcPr>
            <w:tcW w:w="936" w:type="dxa"/>
          </w:tcPr>
          <w:p w14:paraId="7512902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45.64</w:t>
            </w:r>
          </w:p>
        </w:tc>
        <w:tc>
          <w:tcPr>
            <w:tcW w:w="890" w:type="dxa"/>
          </w:tcPr>
          <w:p w14:paraId="64308FA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11.30</w:t>
            </w:r>
          </w:p>
        </w:tc>
        <w:tc>
          <w:tcPr>
            <w:tcW w:w="890" w:type="dxa"/>
          </w:tcPr>
          <w:p w14:paraId="36045DD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16.64</w:t>
            </w:r>
          </w:p>
        </w:tc>
        <w:tc>
          <w:tcPr>
            <w:tcW w:w="866" w:type="dxa"/>
            <w:gridSpan w:val="2"/>
          </w:tcPr>
          <w:p w14:paraId="60904529"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4.68</w:t>
            </w:r>
          </w:p>
        </w:tc>
        <w:tc>
          <w:tcPr>
            <w:tcW w:w="936" w:type="dxa"/>
            <w:gridSpan w:val="2"/>
          </w:tcPr>
          <w:p w14:paraId="19BA2A1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15.95</w:t>
            </w:r>
          </w:p>
        </w:tc>
        <w:tc>
          <w:tcPr>
            <w:tcW w:w="860" w:type="dxa"/>
            <w:gridSpan w:val="3"/>
          </w:tcPr>
          <w:p w14:paraId="15EE437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4.07</w:t>
            </w:r>
          </w:p>
        </w:tc>
        <w:tc>
          <w:tcPr>
            <w:tcW w:w="937" w:type="dxa"/>
          </w:tcPr>
          <w:p w14:paraId="709E4CF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13.05</w:t>
            </w:r>
          </w:p>
        </w:tc>
        <w:tc>
          <w:tcPr>
            <w:tcW w:w="858" w:type="dxa"/>
            <w:gridSpan w:val="2"/>
          </w:tcPr>
          <w:p w14:paraId="03FCB1A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6.11</w:t>
            </w:r>
          </w:p>
        </w:tc>
      </w:tr>
      <w:tr w:rsidR="005C0A3A" w:rsidRPr="00494D70" w14:paraId="199439C0" w14:textId="77777777" w:rsidTr="003012DB">
        <w:tc>
          <w:tcPr>
            <w:tcW w:w="2041" w:type="dxa"/>
          </w:tcPr>
          <w:p w14:paraId="4C8E951E"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Hungary</w:t>
            </w:r>
          </w:p>
        </w:tc>
        <w:tc>
          <w:tcPr>
            <w:tcW w:w="936" w:type="dxa"/>
          </w:tcPr>
          <w:p w14:paraId="14FB87F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43.13</w:t>
            </w:r>
          </w:p>
        </w:tc>
        <w:tc>
          <w:tcPr>
            <w:tcW w:w="890" w:type="dxa"/>
          </w:tcPr>
          <w:p w14:paraId="109C40C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9.06</w:t>
            </w:r>
          </w:p>
        </w:tc>
        <w:tc>
          <w:tcPr>
            <w:tcW w:w="890" w:type="dxa"/>
          </w:tcPr>
          <w:p w14:paraId="556D427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17.13</w:t>
            </w:r>
          </w:p>
        </w:tc>
        <w:tc>
          <w:tcPr>
            <w:tcW w:w="866" w:type="dxa"/>
            <w:gridSpan w:val="2"/>
          </w:tcPr>
          <w:p w14:paraId="5B9CCAD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3.47</w:t>
            </w:r>
          </w:p>
        </w:tc>
        <w:tc>
          <w:tcPr>
            <w:tcW w:w="936" w:type="dxa"/>
            <w:gridSpan w:val="2"/>
          </w:tcPr>
          <w:p w14:paraId="291D951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14.35</w:t>
            </w:r>
          </w:p>
        </w:tc>
        <w:tc>
          <w:tcPr>
            <w:tcW w:w="860" w:type="dxa"/>
            <w:gridSpan w:val="3"/>
          </w:tcPr>
          <w:p w14:paraId="6EEE1D3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4.02</w:t>
            </w:r>
          </w:p>
        </w:tc>
        <w:tc>
          <w:tcPr>
            <w:tcW w:w="937" w:type="dxa"/>
          </w:tcPr>
          <w:p w14:paraId="3FE3190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11.60</w:t>
            </w:r>
          </w:p>
        </w:tc>
        <w:tc>
          <w:tcPr>
            <w:tcW w:w="858" w:type="dxa"/>
            <w:gridSpan w:val="2"/>
          </w:tcPr>
          <w:p w14:paraId="0644D46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5.67</w:t>
            </w:r>
          </w:p>
        </w:tc>
      </w:tr>
      <w:tr w:rsidR="005C0A3A" w:rsidRPr="00494D70" w14:paraId="13E03554" w14:textId="77777777" w:rsidTr="003012DB">
        <w:tc>
          <w:tcPr>
            <w:tcW w:w="2041" w:type="dxa"/>
          </w:tcPr>
          <w:p w14:paraId="66782A2D" w14:textId="77777777" w:rsidR="005C0A3A" w:rsidRPr="00494D70" w:rsidRDefault="005C0A3A" w:rsidP="003012DB">
            <w:pP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India</w:t>
            </w:r>
          </w:p>
        </w:tc>
        <w:tc>
          <w:tcPr>
            <w:tcW w:w="936" w:type="dxa"/>
          </w:tcPr>
          <w:p w14:paraId="2AF6FFB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44.13</w:t>
            </w:r>
          </w:p>
        </w:tc>
        <w:tc>
          <w:tcPr>
            <w:tcW w:w="890" w:type="dxa"/>
          </w:tcPr>
          <w:p w14:paraId="60BD545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10.87</w:t>
            </w:r>
          </w:p>
        </w:tc>
        <w:tc>
          <w:tcPr>
            <w:tcW w:w="890" w:type="dxa"/>
          </w:tcPr>
          <w:p w14:paraId="5A5887C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16.94</w:t>
            </w:r>
          </w:p>
        </w:tc>
        <w:tc>
          <w:tcPr>
            <w:tcW w:w="866" w:type="dxa"/>
            <w:gridSpan w:val="2"/>
          </w:tcPr>
          <w:p w14:paraId="115DF42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4.04</w:t>
            </w:r>
          </w:p>
        </w:tc>
        <w:tc>
          <w:tcPr>
            <w:tcW w:w="936" w:type="dxa"/>
            <w:gridSpan w:val="2"/>
          </w:tcPr>
          <w:p w14:paraId="5C6B3BC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14.96</w:t>
            </w:r>
          </w:p>
        </w:tc>
        <w:tc>
          <w:tcPr>
            <w:tcW w:w="860" w:type="dxa"/>
            <w:gridSpan w:val="3"/>
          </w:tcPr>
          <w:p w14:paraId="18E0239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3.89</w:t>
            </w:r>
          </w:p>
        </w:tc>
        <w:tc>
          <w:tcPr>
            <w:tcW w:w="937" w:type="dxa"/>
          </w:tcPr>
          <w:p w14:paraId="69C1645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12.19</w:t>
            </w:r>
          </w:p>
        </w:tc>
        <w:tc>
          <w:tcPr>
            <w:tcW w:w="858" w:type="dxa"/>
            <w:gridSpan w:val="2"/>
          </w:tcPr>
          <w:p w14:paraId="3B324DD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6.19</w:t>
            </w:r>
          </w:p>
        </w:tc>
      </w:tr>
      <w:tr w:rsidR="005C0A3A" w:rsidRPr="00494D70" w14:paraId="0E2C4196" w14:textId="77777777" w:rsidTr="003012DB">
        <w:tc>
          <w:tcPr>
            <w:tcW w:w="2041" w:type="dxa"/>
          </w:tcPr>
          <w:p w14:paraId="1B6A884C" w14:textId="77777777" w:rsidR="005C0A3A" w:rsidRPr="00494D70" w:rsidRDefault="005C0A3A" w:rsidP="003012DB">
            <w:pP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Iraq</w:t>
            </w:r>
          </w:p>
        </w:tc>
        <w:tc>
          <w:tcPr>
            <w:tcW w:w="936" w:type="dxa"/>
          </w:tcPr>
          <w:p w14:paraId="60FB8899"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36.17</w:t>
            </w:r>
          </w:p>
        </w:tc>
        <w:tc>
          <w:tcPr>
            <w:tcW w:w="890" w:type="dxa"/>
          </w:tcPr>
          <w:p w14:paraId="2CB4503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12.16</w:t>
            </w:r>
          </w:p>
        </w:tc>
        <w:tc>
          <w:tcPr>
            <w:tcW w:w="890" w:type="dxa"/>
          </w:tcPr>
          <w:p w14:paraId="1C771B4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13.52</w:t>
            </w:r>
          </w:p>
        </w:tc>
        <w:tc>
          <w:tcPr>
            <w:tcW w:w="866" w:type="dxa"/>
            <w:gridSpan w:val="2"/>
          </w:tcPr>
          <w:p w14:paraId="205DB0C9"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6.36</w:t>
            </w:r>
          </w:p>
        </w:tc>
        <w:tc>
          <w:tcPr>
            <w:tcW w:w="936" w:type="dxa"/>
            <w:gridSpan w:val="2"/>
          </w:tcPr>
          <w:p w14:paraId="4553C185"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12.83</w:t>
            </w:r>
          </w:p>
        </w:tc>
        <w:tc>
          <w:tcPr>
            <w:tcW w:w="860" w:type="dxa"/>
            <w:gridSpan w:val="3"/>
          </w:tcPr>
          <w:p w14:paraId="3933F57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3.41</w:t>
            </w:r>
          </w:p>
        </w:tc>
        <w:tc>
          <w:tcPr>
            <w:tcW w:w="937" w:type="dxa"/>
          </w:tcPr>
          <w:p w14:paraId="195DA50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9.83</w:t>
            </w:r>
          </w:p>
        </w:tc>
        <w:tc>
          <w:tcPr>
            <w:tcW w:w="858" w:type="dxa"/>
            <w:gridSpan w:val="2"/>
          </w:tcPr>
          <w:p w14:paraId="38902D7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6.41</w:t>
            </w:r>
          </w:p>
        </w:tc>
      </w:tr>
      <w:tr w:rsidR="005C0A3A" w:rsidRPr="00494D70" w14:paraId="0135E659" w14:textId="77777777" w:rsidTr="003012DB">
        <w:tc>
          <w:tcPr>
            <w:tcW w:w="2041" w:type="dxa"/>
          </w:tcPr>
          <w:p w14:paraId="52DCE2CB"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Ireland</w:t>
            </w:r>
          </w:p>
        </w:tc>
        <w:tc>
          <w:tcPr>
            <w:tcW w:w="936" w:type="dxa"/>
          </w:tcPr>
          <w:p w14:paraId="7EF574A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44.24</w:t>
            </w:r>
          </w:p>
        </w:tc>
        <w:tc>
          <w:tcPr>
            <w:tcW w:w="890" w:type="dxa"/>
          </w:tcPr>
          <w:p w14:paraId="29888AD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10.40</w:t>
            </w:r>
          </w:p>
        </w:tc>
        <w:tc>
          <w:tcPr>
            <w:tcW w:w="890" w:type="dxa"/>
          </w:tcPr>
          <w:p w14:paraId="764292F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16.16</w:t>
            </w:r>
          </w:p>
        </w:tc>
        <w:tc>
          <w:tcPr>
            <w:tcW w:w="866" w:type="dxa"/>
            <w:gridSpan w:val="2"/>
          </w:tcPr>
          <w:p w14:paraId="730E326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4.08</w:t>
            </w:r>
          </w:p>
        </w:tc>
        <w:tc>
          <w:tcPr>
            <w:tcW w:w="936" w:type="dxa"/>
            <w:gridSpan w:val="2"/>
          </w:tcPr>
          <w:p w14:paraId="02AF82E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15.50</w:t>
            </w:r>
          </w:p>
        </w:tc>
        <w:tc>
          <w:tcPr>
            <w:tcW w:w="860" w:type="dxa"/>
            <w:gridSpan w:val="3"/>
          </w:tcPr>
          <w:p w14:paraId="223D1B9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4.12</w:t>
            </w:r>
          </w:p>
        </w:tc>
        <w:tc>
          <w:tcPr>
            <w:tcW w:w="937" w:type="dxa"/>
          </w:tcPr>
          <w:p w14:paraId="1D58B45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12.56</w:t>
            </w:r>
          </w:p>
        </w:tc>
        <w:tc>
          <w:tcPr>
            <w:tcW w:w="858" w:type="dxa"/>
            <w:gridSpan w:val="2"/>
          </w:tcPr>
          <w:p w14:paraId="6F0A824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5.83</w:t>
            </w:r>
          </w:p>
        </w:tc>
      </w:tr>
      <w:tr w:rsidR="005C0A3A" w:rsidRPr="00494D70" w14:paraId="69C2ECEE" w14:textId="77777777" w:rsidTr="003012DB">
        <w:tc>
          <w:tcPr>
            <w:tcW w:w="2041" w:type="dxa"/>
          </w:tcPr>
          <w:p w14:paraId="0BD28920"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Israel</w:t>
            </w:r>
          </w:p>
        </w:tc>
        <w:tc>
          <w:tcPr>
            <w:tcW w:w="936" w:type="dxa"/>
          </w:tcPr>
          <w:p w14:paraId="26E34B39"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44.03</w:t>
            </w:r>
          </w:p>
        </w:tc>
        <w:tc>
          <w:tcPr>
            <w:tcW w:w="890" w:type="dxa"/>
          </w:tcPr>
          <w:p w14:paraId="78C98A5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10.11</w:t>
            </w:r>
          </w:p>
        </w:tc>
        <w:tc>
          <w:tcPr>
            <w:tcW w:w="890" w:type="dxa"/>
          </w:tcPr>
          <w:p w14:paraId="66CCBF0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16.41</w:t>
            </w:r>
          </w:p>
        </w:tc>
        <w:tc>
          <w:tcPr>
            <w:tcW w:w="866" w:type="dxa"/>
            <w:gridSpan w:val="2"/>
          </w:tcPr>
          <w:p w14:paraId="57CA21A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4.13</w:t>
            </w:r>
          </w:p>
        </w:tc>
        <w:tc>
          <w:tcPr>
            <w:tcW w:w="936" w:type="dxa"/>
            <w:gridSpan w:val="2"/>
          </w:tcPr>
          <w:p w14:paraId="0078D10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15.21</w:t>
            </w:r>
          </w:p>
        </w:tc>
        <w:tc>
          <w:tcPr>
            <w:tcW w:w="860" w:type="dxa"/>
            <w:gridSpan w:val="3"/>
          </w:tcPr>
          <w:p w14:paraId="35F8454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3.84</w:t>
            </w:r>
          </w:p>
        </w:tc>
        <w:tc>
          <w:tcPr>
            <w:tcW w:w="937" w:type="dxa"/>
          </w:tcPr>
          <w:p w14:paraId="108663B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12.35</w:t>
            </w:r>
          </w:p>
        </w:tc>
        <w:tc>
          <w:tcPr>
            <w:tcW w:w="858" w:type="dxa"/>
            <w:gridSpan w:val="2"/>
          </w:tcPr>
          <w:p w14:paraId="0EABA41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6.06</w:t>
            </w:r>
          </w:p>
        </w:tc>
      </w:tr>
      <w:tr w:rsidR="005C0A3A" w:rsidRPr="00494D70" w14:paraId="7E9EAEFE" w14:textId="77777777" w:rsidTr="003012DB">
        <w:tc>
          <w:tcPr>
            <w:tcW w:w="2041" w:type="dxa"/>
          </w:tcPr>
          <w:p w14:paraId="760859D9"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Italy</w:t>
            </w:r>
          </w:p>
        </w:tc>
        <w:tc>
          <w:tcPr>
            <w:tcW w:w="936" w:type="dxa"/>
          </w:tcPr>
          <w:p w14:paraId="396BCF8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47.15</w:t>
            </w:r>
          </w:p>
        </w:tc>
        <w:tc>
          <w:tcPr>
            <w:tcW w:w="890" w:type="dxa"/>
          </w:tcPr>
          <w:p w14:paraId="7805EF1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9.38</w:t>
            </w:r>
          </w:p>
        </w:tc>
        <w:tc>
          <w:tcPr>
            <w:tcW w:w="890" w:type="dxa"/>
          </w:tcPr>
          <w:p w14:paraId="16B35A1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17.60</w:t>
            </w:r>
          </w:p>
        </w:tc>
        <w:tc>
          <w:tcPr>
            <w:tcW w:w="866" w:type="dxa"/>
            <w:gridSpan w:val="2"/>
          </w:tcPr>
          <w:p w14:paraId="7995136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3.67</w:t>
            </w:r>
          </w:p>
        </w:tc>
        <w:tc>
          <w:tcPr>
            <w:tcW w:w="936" w:type="dxa"/>
            <w:gridSpan w:val="2"/>
          </w:tcPr>
          <w:p w14:paraId="6717375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15.44</w:t>
            </w:r>
          </w:p>
        </w:tc>
        <w:tc>
          <w:tcPr>
            <w:tcW w:w="860" w:type="dxa"/>
            <w:gridSpan w:val="3"/>
          </w:tcPr>
          <w:p w14:paraId="00B27FB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4.09</w:t>
            </w:r>
          </w:p>
        </w:tc>
        <w:tc>
          <w:tcPr>
            <w:tcW w:w="937" w:type="dxa"/>
          </w:tcPr>
          <w:p w14:paraId="5ADB308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14.10</w:t>
            </w:r>
          </w:p>
        </w:tc>
        <w:tc>
          <w:tcPr>
            <w:tcW w:w="858" w:type="dxa"/>
            <w:gridSpan w:val="2"/>
          </w:tcPr>
          <w:p w14:paraId="25E2889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5.32</w:t>
            </w:r>
          </w:p>
        </w:tc>
      </w:tr>
      <w:tr w:rsidR="005C0A3A" w:rsidRPr="00494D70" w14:paraId="4FB284A7" w14:textId="77777777" w:rsidTr="003012DB">
        <w:tc>
          <w:tcPr>
            <w:tcW w:w="2041" w:type="dxa"/>
          </w:tcPr>
          <w:p w14:paraId="28AC3193" w14:textId="77777777" w:rsidR="005C0A3A" w:rsidRPr="00494D70" w:rsidRDefault="005C0A3A" w:rsidP="003012DB">
            <w:pP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Japan</w:t>
            </w:r>
          </w:p>
        </w:tc>
        <w:tc>
          <w:tcPr>
            <w:tcW w:w="936" w:type="dxa"/>
          </w:tcPr>
          <w:p w14:paraId="70F68C1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38.29</w:t>
            </w:r>
          </w:p>
        </w:tc>
        <w:tc>
          <w:tcPr>
            <w:tcW w:w="890" w:type="dxa"/>
          </w:tcPr>
          <w:p w14:paraId="3D688D2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9.84</w:t>
            </w:r>
          </w:p>
        </w:tc>
        <w:tc>
          <w:tcPr>
            <w:tcW w:w="890" w:type="dxa"/>
          </w:tcPr>
          <w:p w14:paraId="6EFC838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14.83</w:t>
            </w:r>
          </w:p>
        </w:tc>
        <w:tc>
          <w:tcPr>
            <w:tcW w:w="866" w:type="dxa"/>
            <w:gridSpan w:val="2"/>
          </w:tcPr>
          <w:p w14:paraId="684FF61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4.53</w:t>
            </w:r>
          </w:p>
        </w:tc>
        <w:tc>
          <w:tcPr>
            <w:tcW w:w="936" w:type="dxa"/>
            <w:gridSpan w:val="2"/>
          </w:tcPr>
          <w:p w14:paraId="5EA0B4F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13.80</w:t>
            </w:r>
          </w:p>
        </w:tc>
        <w:tc>
          <w:tcPr>
            <w:tcW w:w="860" w:type="dxa"/>
            <w:gridSpan w:val="3"/>
          </w:tcPr>
          <w:p w14:paraId="564BFF3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3.70</w:t>
            </w:r>
          </w:p>
        </w:tc>
        <w:tc>
          <w:tcPr>
            <w:tcW w:w="937" w:type="dxa"/>
          </w:tcPr>
          <w:p w14:paraId="3C8AA86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9.65</w:t>
            </w:r>
          </w:p>
        </w:tc>
        <w:tc>
          <w:tcPr>
            <w:tcW w:w="858" w:type="dxa"/>
            <w:gridSpan w:val="2"/>
          </w:tcPr>
          <w:p w14:paraId="2E6ABBC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5.87</w:t>
            </w:r>
          </w:p>
        </w:tc>
      </w:tr>
      <w:tr w:rsidR="005C0A3A" w:rsidRPr="00494D70" w14:paraId="1D6B92AE" w14:textId="77777777" w:rsidTr="003012DB">
        <w:tc>
          <w:tcPr>
            <w:tcW w:w="2041" w:type="dxa"/>
          </w:tcPr>
          <w:p w14:paraId="0E97DFD3"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Lithuania</w:t>
            </w:r>
          </w:p>
        </w:tc>
        <w:tc>
          <w:tcPr>
            <w:tcW w:w="936" w:type="dxa"/>
          </w:tcPr>
          <w:p w14:paraId="73725D5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42.58</w:t>
            </w:r>
          </w:p>
        </w:tc>
        <w:tc>
          <w:tcPr>
            <w:tcW w:w="890" w:type="dxa"/>
          </w:tcPr>
          <w:p w14:paraId="0574D67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9.52</w:t>
            </w:r>
          </w:p>
        </w:tc>
        <w:tc>
          <w:tcPr>
            <w:tcW w:w="890" w:type="dxa"/>
          </w:tcPr>
          <w:p w14:paraId="6E5340C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15.90</w:t>
            </w:r>
          </w:p>
        </w:tc>
        <w:tc>
          <w:tcPr>
            <w:tcW w:w="866" w:type="dxa"/>
            <w:gridSpan w:val="2"/>
          </w:tcPr>
          <w:p w14:paraId="0AE8238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3.93</w:t>
            </w:r>
          </w:p>
        </w:tc>
        <w:tc>
          <w:tcPr>
            <w:tcW w:w="936" w:type="dxa"/>
            <w:gridSpan w:val="2"/>
          </w:tcPr>
          <w:p w14:paraId="06A8A06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14.96</w:t>
            </w:r>
          </w:p>
        </w:tc>
        <w:tc>
          <w:tcPr>
            <w:tcW w:w="860" w:type="dxa"/>
            <w:gridSpan w:val="3"/>
          </w:tcPr>
          <w:p w14:paraId="0E1D800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3.84</w:t>
            </w:r>
          </w:p>
        </w:tc>
        <w:tc>
          <w:tcPr>
            <w:tcW w:w="937" w:type="dxa"/>
          </w:tcPr>
          <w:p w14:paraId="1CC48D3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11.70</w:t>
            </w:r>
          </w:p>
        </w:tc>
        <w:tc>
          <w:tcPr>
            <w:tcW w:w="858" w:type="dxa"/>
            <w:gridSpan w:val="2"/>
          </w:tcPr>
          <w:p w14:paraId="3B6B460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5.65</w:t>
            </w:r>
          </w:p>
        </w:tc>
      </w:tr>
      <w:tr w:rsidR="005C0A3A" w:rsidRPr="00494D70" w14:paraId="7F95F61F" w14:textId="77777777" w:rsidTr="003012DB">
        <w:tc>
          <w:tcPr>
            <w:tcW w:w="2041" w:type="dxa"/>
          </w:tcPr>
          <w:p w14:paraId="42E6DFE6"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Malaysia</w:t>
            </w:r>
          </w:p>
        </w:tc>
        <w:tc>
          <w:tcPr>
            <w:tcW w:w="936" w:type="dxa"/>
          </w:tcPr>
          <w:p w14:paraId="2E28475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45.92</w:t>
            </w:r>
          </w:p>
        </w:tc>
        <w:tc>
          <w:tcPr>
            <w:tcW w:w="890" w:type="dxa"/>
          </w:tcPr>
          <w:p w14:paraId="5A464ED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9.26</w:t>
            </w:r>
          </w:p>
        </w:tc>
        <w:tc>
          <w:tcPr>
            <w:tcW w:w="890" w:type="dxa"/>
          </w:tcPr>
          <w:p w14:paraId="564C683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16.67</w:t>
            </w:r>
          </w:p>
        </w:tc>
        <w:tc>
          <w:tcPr>
            <w:tcW w:w="866" w:type="dxa"/>
            <w:gridSpan w:val="2"/>
          </w:tcPr>
          <w:p w14:paraId="4C46464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3.74</w:t>
            </w:r>
          </w:p>
        </w:tc>
        <w:tc>
          <w:tcPr>
            <w:tcW w:w="936" w:type="dxa"/>
            <w:gridSpan w:val="2"/>
          </w:tcPr>
          <w:p w14:paraId="3F0375F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15.36</w:t>
            </w:r>
          </w:p>
        </w:tc>
        <w:tc>
          <w:tcPr>
            <w:tcW w:w="860" w:type="dxa"/>
            <w:gridSpan w:val="3"/>
          </w:tcPr>
          <w:p w14:paraId="02D0C8C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3.61</w:t>
            </w:r>
          </w:p>
        </w:tc>
        <w:tc>
          <w:tcPr>
            <w:tcW w:w="937" w:type="dxa"/>
          </w:tcPr>
          <w:p w14:paraId="1EB3BB3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13.89</w:t>
            </w:r>
          </w:p>
        </w:tc>
        <w:tc>
          <w:tcPr>
            <w:tcW w:w="858" w:type="dxa"/>
            <w:gridSpan w:val="2"/>
          </w:tcPr>
          <w:p w14:paraId="7022BC1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5.51</w:t>
            </w:r>
          </w:p>
        </w:tc>
      </w:tr>
      <w:tr w:rsidR="005C0A3A" w:rsidRPr="00494D70" w14:paraId="55B34757" w14:textId="77777777" w:rsidTr="003012DB">
        <w:tc>
          <w:tcPr>
            <w:tcW w:w="2041" w:type="dxa"/>
          </w:tcPr>
          <w:p w14:paraId="370FFF92"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Mexico</w:t>
            </w:r>
          </w:p>
        </w:tc>
        <w:tc>
          <w:tcPr>
            <w:tcW w:w="936" w:type="dxa"/>
          </w:tcPr>
          <w:p w14:paraId="7BCC44B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47.50</w:t>
            </w:r>
          </w:p>
        </w:tc>
        <w:tc>
          <w:tcPr>
            <w:tcW w:w="890" w:type="dxa"/>
          </w:tcPr>
          <w:p w14:paraId="66747DD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9.03</w:t>
            </w:r>
          </w:p>
        </w:tc>
        <w:tc>
          <w:tcPr>
            <w:tcW w:w="890" w:type="dxa"/>
          </w:tcPr>
          <w:p w14:paraId="1E0D646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17.37</w:t>
            </w:r>
          </w:p>
        </w:tc>
        <w:tc>
          <w:tcPr>
            <w:tcW w:w="866" w:type="dxa"/>
            <w:gridSpan w:val="2"/>
          </w:tcPr>
          <w:p w14:paraId="02D2549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3.57</w:t>
            </w:r>
          </w:p>
        </w:tc>
        <w:tc>
          <w:tcPr>
            <w:tcW w:w="936" w:type="dxa"/>
            <w:gridSpan w:val="2"/>
          </w:tcPr>
          <w:p w14:paraId="5A04A23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16.12</w:t>
            </w:r>
          </w:p>
        </w:tc>
        <w:tc>
          <w:tcPr>
            <w:tcW w:w="860" w:type="dxa"/>
            <w:gridSpan w:val="3"/>
          </w:tcPr>
          <w:p w14:paraId="7ECEEA25"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3.73</w:t>
            </w:r>
          </w:p>
        </w:tc>
        <w:tc>
          <w:tcPr>
            <w:tcW w:w="937" w:type="dxa"/>
          </w:tcPr>
          <w:p w14:paraId="62F9950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14.01</w:t>
            </w:r>
          </w:p>
        </w:tc>
        <w:tc>
          <w:tcPr>
            <w:tcW w:w="858" w:type="dxa"/>
            <w:gridSpan w:val="2"/>
          </w:tcPr>
          <w:p w14:paraId="1BD857F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5.20</w:t>
            </w:r>
          </w:p>
        </w:tc>
      </w:tr>
      <w:tr w:rsidR="005C0A3A" w:rsidRPr="00494D70" w14:paraId="7C15EABE" w14:textId="77777777" w:rsidTr="003012DB">
        <w:tc>
          <w:tcPr>
            <w:tcW w:w="2041" w:type="dxa"/>
          </w:tcPr>
          <w:p w14:paraId="59C4BFAD"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New Zealand</w:t>
            </w:r>
          </w:p>
        </w:tc>
        <w:tc>
          <w:tcPr>
            <w:tcW w:w="936" w:type="dxa"/>
          </w:tcPr>
          <w:p w14:paraId="6BFA3F5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43.64</w:t>
            </w:r>
          </w:p>
        </w:tc>
        <w:tc>
          <w:tcPr>
            <w:tcW w:w="890" w:type="dxa"/>
          </w:tcPr>
          <w:p w14:paraId="7A5CD13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9.98</w:t>
            </w:r>
          </w:p>
        </w:tc>
        <w:tc>
          <w:tcPr>
            <w:tcW w:w="890" w:type="dxa"/>
          </w:tcPr>
          <w:p w14:paraId="55D3C289"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15.94</w:t>
            </w:r>
          </w:p>
        </w:tc>
        <w:tc>
          <w:tcPr>
            <w:tcW w:w="866" w:type="dxa"/>
            <w:gridSpan w:val="2"/>
          </w:tcPr>
          <w:p w14:paraId="37DAF695"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4.13</w:t>
            </w:r>
          </w:p>
        </w:tc>
        <w:tc>
          <w:tcPr>
            <w:tcW w:w="936" w:type="dxa"/>
            <w:gridSpan w:val="2"/>
          </w:tcPr>
          <w:p w14:paraId="663292C9"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15.14</w:t>
            </w:r>
          </w:p>
        </w:tc>
        <w:tc>
          <w:tcPr>
            <w:tcW w:w="860" w:type="dxa"/>
            <w:gridSpan w:val="3"/>
          </w:tcPr>
          <w:p w14:paraId="3D360EF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4.05</w:t>
            </w:r>
          </w:p>
        </w:tc>
        <w:tc>
          <w:tcPr>
            <w:tcW w:w="937" w:type="dxa"/>
          </w:tcPr>
          <w:p w14:paraId="5DEA2EA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12.56</w:t>
            </w:r>
          </w:p>
        </w:tc>
        <w:tc>
          <w:tcPr>
            <w:tcW w:w="858" w:type="dxa"/>
            <w:gridSpan w:val="2"/>
          </w:tcPr>
          <w:p w14:paraId="7C0C39E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5.51</w:t>
            </w:r>
          </w:p>
        </w:tc>
      </w:tr>
      <w:tr w:rsidR="005C0A3A" w:rsidRPr="00494D70" w14:paraId="52D6A9AB" w14:textId="77777777" w:rsidTr="003012DB">
        <w:tc>
          <w:tcPr>
            <w:tcW w:w="2041" w:type="dxa"/>
          </w:tcPr>
          <w:p w14:paraId="6FDB723B"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North Macedonia</w:t>
            </w:r>
          </w:p>
        </w:tc>
        <w:tc>
          <w:tcPr>
            <w:tcW w:w="936" w:type="dxa"/>
          </w:tcPr>
          <w:p w14:paraId="50BA415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47.84</w:t>
            </w:r>
          </w:p>
        </w:tc>
        <w:tc>
          <w:tcPr>
            <w:tcW w:w="890" w:type="dxa"/>
          </w:tcPr>
          <w:p w14:paraId="14695C7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9.16</w:t>
            </w:r>
          </w:p>
        </w:tc>
        <w:tc>
          <w:tcPr>
            <w:tcW w:w="890" w:type="dxa"/>
          </w:tcPr>
          <w:p w14:paraId="290DA52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17.62</w:t>
            </w:r>
          </w:p>
        </w:tc>
        <w:tc>
          <w:tcPr>
            <w:tcW w:w="866" w:type="dxa"/>
            <w:gridSpan w:val="2"/>
          </w:tcPr>
          <w:p w14:paraId="0B8604D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3.58</w:t>
            </w:r>
          </w:p>
        </w:tc>
        <w:tc>
          <w:tcPr>
            <w:tcW w:w="936" w:type="dxa"/>
            <w:gridSpan w:val="2"/>
          </w:tcPr>
          <w:p w14:paraId="2F756C8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16.20</w:t>
            </w:r>
          </w:p>
        </w:tc>
        <w:tc>
          <w:tcPr>
            <w:tcW w:w="860" w:type="dxa"/>
            <w:gridSpan w:val="3"/>
          </w:tcPr>
          <w:p w14:paraId="46D038A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3.64</w:t>
            </w:r>
          </w:p>
        </w:tc>
        <w:tc>
          <w:tcPr>
            <w:tcW w:w="937" w:type="dxa"/>
          </w:tcPr>
          <w:p w14:paraId="3D1A237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14.01</w:t>
            </w:r>
          </w:p>
        </w:tc>
        <w:tc>
          <w:tcPr>
            <w:tcW w:w="858" w:type="dxa"/>
            <w:gridSpan w:val="2"/>
          </w:tcPr>
          <w:p w14:paraId="2ECEE93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5.52</w:t>
            </w:r>
          </w:p>
        </w:tc>
      </w:tr>
      <w:tr w:rsidR="005C0A3A" w:rsidRPr="00494D70" w14:paraId="7C3F1761" w14:textId="77777777" w:rsidTr="003012DB">
        <w:tc>
          <w:tcPr>
            <w:tcW w:w="2041" w:type="dxa"/>
          </w:tcPr>
          <w:p w14:paraId="1037DD2A" w14:textId="77777777" w:rsidR="005C0A3A" w:rsidRPr="00494D70" w:rsidRDefault="005C0A3A" w:rsidP="003012DB">
            <w:pP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Panama</w:t>
            </w:r>
          </w:p>
        </w:tc>
        <w:tc>
          <w:tcPr>
            <w:tcW w:w="936" w:type="dxa"/>
          </w:tcPr>
          <w:p w14:paraId="4A2C582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45.76</w:t>
            </w:r>
          </w:p>
        </w:tc>
        <w:tc>
          <w:tcPr>
            <w:tcW w:w="890" w:type="dxa"/>
          </w:tcPr>
          <w:p w14:paraId="223E4CA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9.53</w:t>
            </w:r>
          </w:p>
        </w:tc>
        <w:tc>
          <w:tcPr>
            <w:tcW w:w="890" w:type="dxa"/>
          </w:tcPr>
          <w:p w14:paraId="4B0F418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16.62</w:t>
            </w:r>
          </w:p>
        </w:tc>
        <w:tc>
          <w:tcPr>
            <w:tcW w:w="866" w:type="dxa"/>
            <w:gridSpan w:val="2"/>
          </w:tcPr>
          <w:p w14:paraId="23521EA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3.92</w:t>
            </w:r>
          </w:p>
        </w:tc>
        <w:tc>
          <w:tcPr>
            <w:tcW w:w="936" w:type="dxa"/>
            <w:gridSpan w:val="2"/>
          </w:tcPr>
          <w:p w14:paraId="206FC0F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16.03</w:t>
            </w:r>
          </w:p>
        </w:tc>
        <w:tc>
          <w:tcPr>
            <w:tcW w:w="860" w:type="dxa"/>
            <w:gridSpan w:val="3"/>
          </w:tcPr>
          <w:p w14:paraId="7A4BAA8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3.69</w:t>
            </w:r>
          </w:p>
        </w:tc>
        <w:tc>
          <w:tcPr>
            <w:tcW w:w="937" w:type="dxa"/>
          </w:tcPr>
          <w:p w14:paraId="43DB2B6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13.11</w:t>
            </w:r>
          </w:p>
        </w:tc>
        <w:tc>
          <w:tcPr>
            <w:tcW w:w="858" w:type="dxa"/>
            <w:gridSpan w:val="2"/>
          </w:tcPr>
          <w:p w14:paraId="4A1E01F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5.69</w:t>
            </w:r>
          </w:p>
        </w:tc>
      </w:tr>
      <w:tr w:rsidR="005C0A3A" w:rsidRPr="00494D70" w14:paraId="33E74CEE" w14:textId="77777777" w:rsidTr="003012DB">
        <w:tc>
          <w:tcPr>
            <w:tcW w:w="2041" w:type="dxa"/>
          </w:tcPr>
          <w:p w14:paraId="1B70E797"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Peru</w:t>
            </w:r>
          </w:p>
        </w:tc>
        <w:tc>
          <w:tcPr>
            <w:tcW w:w="936" w:type="dxa"/>
          </w:tcPr>
          <w:p w14:paraId="55714F5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45.82</w:t>
            </w:r>
          </w:p>
        </w:tc>
        <w:tc>
          <w:tcPr>
            <w:tcW w:w="890" w:type="dxa"/>
          </w:tcPr>
          <w:p w14:paraId="76FE95D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9.59</w:t>
            </w:r>
          </w:p>
        </w:tc>
        <w:tc>
          <w:tcPr>
            <w:tcW w:w="890" w:type="dxa"/>
          </w:tcPr>
          <w:p w14:paraId="1FC88C3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17.08</w:t>
            </w:r>
          </w:p>
        </w:tc>
        <w:tc>
          <w:tcPr>
            <w:tcW w:w="866" w:type="dxa"/>
            <w:gridSpan w:val="2"/>
          </w:tcPr>
          <w:p w14:paraId="6BB7EBB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3.77</w:t>
            </w:r>
          </w:p>
        </w:tc>
        <w:tc>
          <w:tcPr>
            <w:tcW w:w="936" w:type="dxa"/>
            <w:gridSpan w:val="2"/>
          </w:tcPr>
          <w:p w14:paraId="09DB1EE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15.51</w:t>
            </w:r>
          </w:p>
        </w:tc>
        <w:tc>
          <w:tcPr>
            <w:tcW w:w="860" w:type="dxa"/>
            <w:gridSpan w:val="3"/>
          </w:tcPr>
          <w:p w14:paraId="363E5AB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3.94</w:t>
            </w:r>
          </w:p>
        </w:tc>
        <w:tc>
          <w:tcPr>
            <w:tcW w:w="937" w:type="dxa"/>
          </w:tcPr>
          <w:p w14:paraId="112AF88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13.21</w:t>
            </w:r>
          </w:p>
        </w:tc>
        <w:tc>
          <w:tcPr>
            <w:tcW w:w="858" w:type="dxa"/>
            <w:gridSpan w:val="2"/>
          </w:tcPr>
          <w:p w14:paraId="388DD31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5.58</w:t>
            </w:r>
          </w:p>
        </w:tc>
      </w:tr>
      <w:tr w:rsidR="005C0A3A" w:rsidRPr="00494D70" w14:paraId="2C39FFB8" w14:textId="77777777" w:rsidTr="003012DB">
        <w:tc>
          <w:tcPr>
            <w:tcW w:w="2041" w:type="dxa"/>
          </w:tcPr>
          <w:p w14:paraId="4B7F15CF"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Poland</w:t>
            </w:r>
          </w:p>
        </w:tc>
        <w:tc>
          <w:tcPr>
            <w:tcW w:w="936" w:type="dxa"/>
          </w:tcPr>
          <w:p w14:paraId="65748DC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45.27</w:t>
            </w:r>
          </w:p>
        </w:tc>
        <w:tc>
          <w:tcPr>
            <w:tcW w:w="890" w:type="dxa"/>
          </w:tcPr>
          <w:p w14:paraId="436ED9A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9.03</w:t>
            </w:r>
          </w:p>
        </w:tc>
        <w:tc>
          <w:tcPr>
            <w:tcW w:w="890" w:type="dxa"/>
          </w:tcPr>
          <w:p w14:paraId="0EA028B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16.33</w:t>
            </w:r>
          </w:p>
        </w:tc>
        <w:tc>
          <w:tcPr>
            <w:tcW w:w="866" w:type="dxa"/>
            <w:gridSpan w:val="2"/>
          </w:tcPr>
          <w:p w14:paraId="3146E0E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3.72</w:t>
            </w:r>
          </w:p>
        </w:tc>
        <w:tc>
          <w:tcPr>
            <w:tcW w:w="936" w:type="dxa"/>
            <w:gridSpan w:val="2"/>
          </w:tcPr>
          <w:p w14:paraId="072ED16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14.86</w:t>
            </w:r>
          </w:p>
        </w:tc>
        <w:tc>
          <w:tcPr>
            <w:tcW w:w="860" w:type="dxa"/>
            <w:gridSpan w:val="3"/>
          </w:tcPr>
          <w:p w14:paraId="2A23AA25"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3.63</w:t>
            </w:r>
          </w:p>
        </w:tc>
        <w:tc>
          <w:tcPr>
            <w:tcW w:w="937" w:type="dxa"/>
          </w:tcPr>
          <w:p w14:paraId="3543057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14.08</w:t>
            </w:r>
          </w:p>
        </w:tc>
        <w:tc>
          <w:tcPr>
            <w:tcW w:w="858" w:type="dxa"/>
            <w:gridSpan w:val="2"/>
          </w:tcPr>
          <w:p w14:paraId="6736612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5.16</w:t>
            </w:r>
          </w:p>
        </w:tc>
      </w:tr>
      <w:tr w:rsidR="005C0A3A" w:rsidRPr="00494D70" w14:paraId="0BFC46D8" w14:textId="77777777" w:rsidTr="003012DB">
        <w:tc>
          <w:tcPr>
            <w:tcW w:w="2041" w:type="dxa"/>
          </w:tcPr>
          <w:p w14:paraId="4813F48F"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Portugal</w:t>
            </w:r>
          </w:p>
        </w:tc>
        <w:tc>
          <w:tcPr>
            <w:tcW w:w="936" w:type="dxa"/>
          </w:tcPr>
          <w:p w14:paraId="4099ED1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47.52</w:t>
            </w:r>
          </w:p>
        </w:tc>
        <w:tc>
          <w:tcPr>
            <w:tcW w:w="890" w:type="dxa"/>
          </w:tcPr>
          <w:p w14:paraId="6C2853D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9.83</w:t>
            </w:r>
          </w:p>
        </w:tc>
        <w:tc>
          <w:tcPr>
            <w:tcW w:w="890" w:type="dxa"/>
          </w:tcPr>
          <w:p w14:paraId="6225D89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17.27</w:t>
            </w:r>
          </w:p>
        </w:tc>
        <w:tc>
          <w:tcPr>
            <w:tcW w:w="866" w:type="dxa"/>
            <w:gridSpan w:val="2"/>
          </w:tcPr>
          <w:p w14:paraId="60F3FA2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3.80</w:t>
            </w:r>
          </w:p>
        </w:tc>
        <w:tc>
          <w:tcPr>
            <w:tcW w:w="936" w:type="dxa"/>
            <w:gridSpan w:val="2"/>
          </w:tcPr>
          <w:p w14:paraId="0AD021A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16.39</w:t>
            </w:r>
          </w:p>
        </w:tc>
        <w:tc>
          <w:tcPr>
            <w:tcW w:w="860" w:type="dxa"/>
            <w:gridSpan w:val="3"/>
          </w:tcPr>
          <w:p w14:paraId="6DA6DC3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3.87</w:t>
            </w:r>
          </w:p>
        </w:tc>
        <w:tc>
          <w:tcPr>
            <w:tcW w:w="937" w:type="dxa"/>
          </w:tcPr>
          <w:p w14:paraId="355A920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13.86</w:t>
            </w:r>
          </w:p>
        </w:tc>
        <w:tc>
          <w:tcPr>
            <w:tcW w:w="858" w:type="dxa"/>
            <w:gridSpan w:val="2"/>
          </w:tcPr>
          <w:p w14:paraId="6EA0056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5.69</w:t>
            </w:r>
          </w:p>
        </w:tc>
      </w:tr>
      <w:tr w:rsidR="005C0A3A" w:rsidRPr="00494D70" w14:paraId="7EEF0AE8" w14:textId="77777777" w:rsidTr="003012DB">
        <w:tc>
          <w:tcPr>
            <w:tcW w:w="2041" w:type="dxa"/>
          </w:tcPr>
          <w:p w14:paraId="627CEDAE"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Slovakia</w:t>
            </w:r>
          </w:p>
        </w:tc>
        <w:tc>
          <w:tcPr>
            <w:tcW w:w="936" w:type="dxa"/>
          </w:tcPr>
          <w:p w14:paraId="6DB7060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45.05</w:t>
            </w:r>
          </w:p>
        </w:tc>
        <w:tc>
          <w:tcPr>
            <w:tcW w:w="890" w:type="dxa"/>
          </w:tcPr>
          <w:p w14:paraId="216FF26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8.90</w:t>
            </w:r>
          </w:p>
        </w:tc>
        <w:tc>
          <w:tcPr>
            <w:tcW w:w="890" w:type="dxa"/>
          </w:tcPr>
          <w:p w14:paraId="5EB2E63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17.29</w:t>
            </w:r>
          </w:p>
        </w:tc>
        <w:tc>
          <w:tcPr>
            <w:tcW w:w="866" w:type="dxa"/>
            <w:gridSpan w:val="2"/>
          </w:tcPr>
          <w:p w14:paraId="10374199"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3.63</w:t>
            </w:r>
          </w:p>
        </w:tc>
        <w:tc>
          <w:tcPr>
            <w:tcW w:w="936" w:type="dxa"/>
            <w:gridSpan w:val="2"/>
          </w:tcPr>
          <w:p w14:paraId="32DC4E1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15.10</w:t>
            </w:r>
          </w:p>
        </w:tc>
        <w:tc>
          <w:tcPr>
            <w:tcW w:w="860" w:type="dxa"/>
            <w:gridSpan w:val="3"/>
          </w:tcPr>
          <w:p w14:paraId="48ACBB7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3.85</w:t>
            </w:r>
          </w:p>
        </w:tc>
        <w:tc>
          <w:tcPr>
            <w:tcW w:w="937" w:type="dxa"/>
          </w:tcPr>
          <w:p w14:paraId="259FDE4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12.63</w:t>
            </w:r>
          </w:p>
        </w:tc>
        <w:tc>
          <w:tcPr>
            <w:tcW w:w="858" w:type="dxa"/>
            <w:gridSpan w:val="2"/>
          </w:tcPr>
          <w:p w14:paraId="011E354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5.32</w:t>
            </w:r>
          </w:p>
        </w:tc>
      </w:tr>
      <w:tr w:rsidR="005C0A3A" w:rsidRPr="00494D70" w14:paraId="13C56E68" w14:textId="77777777" w:rsidTr="003012DB">
        <w:tc>
          <w:tcPr>
            <w:tcW w:w="2041" w:type="dxa"/>
          </w:tcPr>
          <w:p w14:paraId="33825ADF"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South Africa</w:t>
            </w:r>
          </w:p>
        </w:tc>
        <w:tc>
          <w:tcPr>
            <w:tcW w:w="936" w:type="dxa"/>
          </w:tcPr>
          <w:p w14:paraId="2AE4F44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45.41</w:t>
            </w:r>
          </w:p>
        </w:tc>
        <w:tc>
          <w:tcPr>
            <w:tcW w:w="890" w:type="dxa"/>
          </w:tcPr>
          <w:p w14:paraId="2C7D1F4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10.29</w:t>
            </w:r>
          </w:p>
        </w:tc>
        <w:tc>
          <w:tcPr>
            <w:tcW w:w="890" w:type="dxa"/>
          </w:tcPr>
          <w:p w14:paraId="57253FC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16.48</w:t>
            </w:r>
          </w:p>
        </w:tc>
        <w:tc>
          <w:tcPr>
            <w:tcW w:w="866" w:type="dxa"/>
            <w:gridSpan w:val="2"/>
          </w:tcPr>
          <w:p w14:paraId="4B0BB6F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4.15</w:t>
            </w:r>
          </w:p>
        </w:tc>
        <w:tc>
          <w:tcPr>
            <w:tcW w:w="936" w:type="dxa"/>
            <w:gridSpan w:val="2"/>
          </w:tcPr>
          <w:p w14:paraId="1B76F22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15.04</w:t>
            </w:r>
          </w:p>
        </w:tc>
        <w:tc>
          <w:tcPr>
            <w:tcW w:w="860" w:type="dxa"/>
            <w:gridSpan w:val="3"/>
          </w:tcPr>
          <w:p w14:paraId="3D33B20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4.15</w:t>
            </w:r>
          </w:p>
        </w:tc>
        <w:tc>
          <w:tcPr>
            <w:tcW w:w="937" w:type="dxa"/>
          </w:tcPr>
          <w:p w14:paraId="0340BE4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13.88</w:t>
            </w:r>
          </w:p>
        </w:tc>
        <w:tc>
          <w:tcPr>
            <w:tcW w:w="858" w:type="dxa"/>
            <w:gridSpan w:val="2"/>
          </w:tcPr>
          <w:p w14:paraId="65D0BBE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5.87</w:t>
            </w:r>
          </w:p>
        </w:tc>
      </w:tr>
      <w:tr w:rsidR="005C0A3A" w:rsidRPr="00494D70" w14:paraId="6E7E3FAB" w14:textId="77777777" w:rsidTr="003012DB">
        <w:tc>
          <w:tcPr>
            <w:tcW w:w="2041" w:type="dxa"/>
          </w:tcPr>
          <w:p w14:paraId="18293BF7"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South Korea</w:t>
            </w:r>
          </w:p>
        </w:tc>
        <w:tc>
          <w:tcPr>
            <w:tcW w:w="936" w:type="dxa"/>
          </w:tcPr>
          <w:p w14:paraId="00EE1E5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42.04</w:t>
            </w:r>
          </w:p>
        </w:tc>
        <w:tc>
          <w:tcPr>
            <w:tcW w:w="890" w:type="dxa"/>
          </w:tcPr>
          <w:p w14:paraId="4A0EBE8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9.78</w:t>
            </w:r>
          </w:p>
        </w:tc>
        <w:tc>
          <w:tcPr>
            <w:tcW w:w="890" w:type="dxa"/>
          </w:tcPr>
          <w:p w14:paraId="32AF3EF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16.02</w:t>
            </w:r>
          </w:p>
        </w:tc>
        <w:tc>
          <w:tcPr>
            <w:tcW w:w="866" w:type="dxa"/>
            <w:gridSpan w:val="2"/>
          </w:tcPr>
          <w:p w14:paraId="080F88D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4.12</w:t>
            </w:r>
          </w:p>
        </w:tc>
        <w:tc>
          <w:tcPr>
            <w:tcW w:w="936" w:type="dxa"/>
            <w:gridSpan w:val="2"/>
          </w:tcPr>
          <w:p w14:paraId="5700496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14.96</w:t>
            </w:r>
          </w:p>
        </w:tc>
        <w:tc>
          <w:tcPr>
            <w:tcW w:w="860" w:type="dxa"/>
            <w:gridSpan w:val="3"/>
          </w:tcPr>
          <w:p w14:paraId="410E182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3.87</w:t>
            </w:r>
          </w:p>
        </w:tc>
        <w:tc>
          <w:tcPr>
            <w:tcW w:w="937" w:type="dxa"/>
          </w:tcPr>
          <w:p w14:paraId="54C1F23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11.06</w:t>
            </w:r>
          </w:p>
        </w:tc>
        <w:tc>
          <w:tcPr>
            <w:tcW w:w="858" w:type="dxa"/>
            <w:gridSpan w:val="2"/>
          </w:tcPr>
          <w:p w14:paraId="2F767549"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5.58</w:t>
            </w:r>
          </w:p>
        </w:tc>
      </w:tr>
      <w:tr w:rsidR="005C0A3A" w:rsidRPr="00494D70" w14:paraId="2B17C322" w14:textId="77777777" w:rsidTr="003012DB">
        <w:tc>
          <w:tcPr>
            <w:tcW w:w="2041" w:type="dxa"/>
          </w:tcPr>
          <w:p w14:paraId="7C5D6E44"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Spain</w:t>
            </w:r>
          </w:p>
        </w:tc>
        <w:tc>
          <w:tcPr>
            <w:tcW w:w="936" w:type="dxa"/>
          </w:tcPr>
          <w:p w14:paraId="275C1D5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47.86</w:t>
            </w:r>
          </w:p>
        </w:tc>
        <w:tc>
          <w:tcPr>
            <w:tcW w:w="890" w:type="dxa"/>
          </w:tcPr>
          <w:p w14:paraId="13DD749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9.43</w:t>
            </w:r>
          </w:p>
        </w:tc>
        <w:tc>
          <w:tcPr>
            <w:tcW w:w="890" w:type="dxa"/>
          </w:tcPr>
          <w:p w14:paraId="31CE4EE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17.43</w:t>
            </w:r>
          </w:p>
        </w:tc>
        <w:tc>
          <w:tcPr>
            <w:tcW w:w="866" w:type="dxa"/>
            <w:gridSpan w:val="2"/>
          </w:tcPr>
          <w:p w14:paraId="52B58E1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3.56</w:t>
            </w:r>
          </w:p>
        </w:tc>
        <w:tc>
          <w:tcPr>
            <w:tcW w:w="936" w:type="dxa"/>
            <w:gridSpan w:val="2"/>
          </w:tcPr>
          <w:p w14:paraId="1A180B1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16.39</w:t>
            </w:r>
          </w:p>
        </w:tc>
        <w:tc>
          <w:tcPr>
            <w:tcW w:w="860" w:type="dxa"/>
            <w:gridSpan w:val="3"/>
          </w:tcPr>
          <w:p w14:paraId="276DBD2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3.82</w:t>
            </w:r>
          </w:p>
        </w:tc>
        <w:tc>
          <w:tcPr>
            <w:tcW w:w="937" w:type="dxa"/>
          </w:tcPr>
          <w:p w14:paraId="37FD840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14.03</w:t>
            </w:r>
          </w:p>
        </w:tc>
        <w:tc>
          <w:tcPr>
            <w:tcW w:w="858" w:type="dxa"/>
            <w:gridSpan w:val="2"/>
          </w:tcPr>
          <w:p w14:paraId="13BF407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5.51</w:t>
            </w:r>
          </w:p>
        </w:tc>
      </w:tr>
      <w:tr w:rsidR="005C0A3A" w:rsidRPr="00494D70" w14:paraId="510DAEC5" w14:textId="77777777" w:rsidTr="003012DB">
        <w:tc>
          <w:tcPr>
            <w:tcW w:w="2041" w:type="dxa"/>
          </w:tcPr>
          <w:p w14:paraId="49A5BCE7"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Switzerland</w:t>
            </w:r>
          </w:p>
        </w:tc>
        <w:tc>
          <w:tcPr>
            <w:tcW w:w="936" w:type="dxa"/>
          </w:tcPr>
          <w:p w14:paraId="764CC3AE"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45.86</w:t>
            </w:r>
          </w:p>
        </w:tc>
        <w:tc>
          <w:tcPr>
            <w:tcW w:w="890" w:type="dxa"/>
          </w:tcPr>
          <w:p w14:paraId="79FBDB4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9.94</w:t>
            </w:r>
          </w:p>
        </w:tc>
        <w:tc>
          <w:tcPr>
            <w:tcW w:w="890" w:type="dxa"/>
          </w:tcPr>
          <w:p w14:paraId="4E18106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17.04</w:t>
            </w:r>
          </w:p>
        </w:tc>
        <w:tc>
          <w:tcPr>
            <w:tcW w:w="866" w:type="dxa"/>
            <w:gridSpan w:val="2"/>
          </w:tcPr>
          <w:p w14:paraId="0C392E2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3.80</w:t>
            </w:r>
          </w:p>
        </w:tc>
        <w:tc>
          <w:tcPr>
            <w:tcW w:w="936" w:type="dxa"/>
            <w:gridSpan w:val="2"/>
          </w:tcPr>
          <w:p w14:paraId="08ABA07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15.86</w:t>
            </w:r>
          </w:p>
        </w:tc>
        <w:tc>
          <w:tcPr>
            <w:tcW w:w="860" w:type="dxa"/>
            <w:gridSpan w:val="3"/>
          </w:tcPr>
          <w:p w14:paraId="3B381EC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4.11</w:t>
            </w:r>
          </w:p>
        </w:tc>
        <w:tc>
          <w:tcPr>
            <w:tcW w:w="937" w:type="dxa"/>
          </w:tcPr>
          <w:p w14:paraId="73022D9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12.94</w:t>
            </w:r>
          </w:p>
        </w:tc>
        <w:tc>
          <w:tcPr>
            <w:tcW w:w="858" w:type="dxa"/>
            <w:gridSpan w:val="2"/>
          </w:tcPr>
          <w:p w14:paraId="359C87A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5.68</w:t>
            </w:r>
          </w:p>
        </w:tc>
      </w:tr>
      <w:tr w:rsidR="005C0A3A" w:rsidRPr="00494D70" w14:paraId="1FF31168" w14:textId="77777777" w:rsidTr="003012DB">
        <w:tc>
          <w:tcPr>
            <w:tcW w:w="2041" w:type="dxa"/>
          </w:tcPr>
          <w:p w14:paraId="14F69AE1"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Taiwan</w:t>
            </w:r>
          </w:p>
        </w:tc>
        <w:tc>
          <w:tcPr>
            <w:tcW w:w="936" w:type="dxa"/>
          </w:tcPr>
          <w:p w14:paraId="53A05F0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43.51</w:t>
            </w:r>
          </w:p>
        </w:tc>
        <w:tc>
          <w:tcPr>
            <w:tcW w:w="890" w:type="dxa"/>
          </w:tcPr>
          <w:p w14:paraId="4A69D58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8.33</w:t>
            </w:r>
          </w:p>
        </w:tc>
        <w:tc>
          <w:tcPr>
            <w:tcW w:w="890" w:type="dxa"/>
          </w:tcPr>
          <w:p w14:paraId="5932456F"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15.66</w:t>
            </w:r>
          </w:p>
        </w:tc>
        <w:tc>
          <w:tcPr>
            <w:tcW w:w="866" w:type="dxa"/>
            <w:gridSpan w:val="2"/>
          </w:tcPr>
          <w:p w14:paraId="789E8A8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3.73</w:t>
            </w:r>
          </w:p>
        </w:tc>
        <w:tc>
          <w:tcPr>
            <w:tcW w:w="936" w:type="dxa"/>
            <w:gridSpan w:val="2"/>
          </w:tcPr>
          <w:p w14:paraId="7535BA7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13.80</w:t>
            </w:r>
          </w:p>
        </w:tc>
        <w:tc>
          <w:tcPr>
            <w:tcW w:w="860" w:type="dxa"/>
            <w:gridSpan w:val="3"/>
          </w:tcPr>
          <w:p w14:paraId="293EEAC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3.10</w:t>
            </w:r>
          </w:p>
        </w:tc>
        <w:tc>
          <w:tcPr>
            <w:tcW w:w="937" w:type="dxa"/>
          </w:tcPr>
          <w:p w14:paraId="6DC0B64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14.06</w:t>
            </w:r>
          </w:p>
        </w:tc>
        <w:tc>
          <w:tcPr>
            <w:tcW w:w="858" w:type="dxa"/>
            <w:gridSpan w:val="2"/>
          </w:tcPr>
          <w:p w14:paraId="151D4BD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4.85</w:t>
            </w:r>
          </w:p>
        </w:tc>
      </w:tr>
      <w:tr w:rsidR="005C0A3A" w:rsidRPr="00494D70" w14:paraId="2E200DA0" w14:textId="77777777" w:rsidTr="003012DB">
        <w:tc>
          <w:tcPr>
            <w:tcW w:w="2041" w:type="dxa"/>
          </w:tcPr>
          <w:p w14:paraId="4AEF9341"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Turkey</w:t>
            </w:r>
          </w:p>
        </w:tc>
        <w:tc>
          <w:tcPr>
            <w:tcW w:w="936" w:type="dxa"/>
          </w:tcPr>
          <w:p w14:paraId="63F10199"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44.82</w:t>
            </w:r>
          </w:p>
        </w:tc>
        <w:tc>
          <w:tcPr>
            <w:tcW w:w="890" w:type="dxa"/>
          </w:tcPr>
          <w:p w14:paraId="2FD7346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9.32</w:t>
            </w:r>
          </w:p>
        </w:tc>
        <w:tc>
          <w:tcPr>
            <w:tcW w:w="890" w:type="dxa"/>
          </w:tcPr>
          <w:p w14:paraId="6E01595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17.27</w:t>
            </w:r>
          </w:p>
        </w:tc>
        <w:tc>
          <w:tcPr>
            <w:tcW w:w="866" w:type="dxa"/>
            <w:gridSpan w:val="2"/>
          </w:tcPr>
          <w:p w14:paraId="44CDFC6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3.47</w:t>
            </w:r>
          </w:p>
        </w:tc>
        <w:tc>
          <w:tcPr>
            <w:tcW w:w="936" w:type="dxa"/>
            <w:gridSpan w:val="2"/>
          </w:tcPr>
          <w:p w14:paraId="2D580D0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14.38</w:t>
            </w:r>
          </w:p>
        </w:tc>
        <w:tc>
          <w:tcPr>
            <w:tcW w:w="860" w:type="dxa"/>
            <w:gridSpan w:val="3"/>
          </w:tcPr>
          <w:p w14:paraId="25F9703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4.22</w:t>
            </w:r>
          </w:p>
        </w:tc>
        <w:tc>
          <w:tcPr>
            <w:tcW w:w="937" w:type="dxa"/>
          </w:tcPr>
          <w:p w14:paraId="6D527BD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13.17</w:t>
            </w:r>
          </w:p>
        </w:tc>
        <w:tc>
          <w:tcPr>
            <w:tcW w:w="858" w:type="dxa"/>
            <w:gridSpan w:val="2"/>
          </w:tcPr>
          <w:p w14:paraId="1065D81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5.57</w:t>
            </w:r>
          </w:p>
        </w:tc>
      </w:tr>
      <w:tr w:rsidR="005C0A3A" w:rsidRPr="00494D70" w14:paraId="6E8B59F0" w14:textId="77777777" w:rsidTr="003012DB">
        <w:tc>
          <w:tcPr>
            <w:tcW w:w="2041" w:type="dxa"/>
          </w:tcPr>
          <w:p w14:paraId="1EB78519"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United Kingdom</w:t>
            </w:r>
          </w:p>
        </w:tc>
        <w:tc>
          <w:tcPr>
            <w:tcW w:w="936" w:type="dxa"/>
          </w:tcPr>
          <w:p w14:paraId="0179DEFC"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44.67</w:t>
            </w:r>
          </w:p>
        </w:tc>
        <w:tc>
          <w:tcPr>
            <w:tcW w:w="890" w:type="dxa"/>
          </w:tcPr>
          <w:p w14:paraId="3B6C274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9.62</w:t>
            </w:r>
          </w:p>
        </w:tc>
        <w:tc>
          <w:tcPr>
            <w:tcW w:w="890" w:type="dxa"/>
          </w:tcPr>
          <w:p w14:paraId="3F2C0F2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16.12</w:t>
            </w:r>
          </w:p>
        </w:tc>
        <w:tc>
          <w:tcPr>
            <w:tcW w:w="866" w:type="dxa"/>
            <w:gridSpan w:val="2"/>
          </w:tcPr>
          <w:p w14:paraId="184D7B1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4.10</w:t>
            </w:r>
          </w:p>
        </w:tc>
        <w:tc>
          <w:tcPr>
            <w:tcW w:w="936" w:type="dxa"/>
            <w:gridSpan w:val="2"/>
          </w:tcPr>
          <w:p w14:paraId="6F7734B5"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15.51</w:t>
            </w:r>
          </w:p>
        </w:tc>
        <w:tc>
          <w:tcPr>
            <w:tcW w:w="860" w:type="dxa"/>
            <w:gridSpan w:val="3"/>
          </w:tcPr>
          <w:p w14:paraId="4B2DF56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4.03</w:t>
            </w:r>
          </w:p>
        </w:tc>
        <w:tc>
          <w:tcPr>
            <w:tcW w:w="937" w:type="dxa"/>
          </w:tcPr>
          <w:p w14:paraId="3D2CF8D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13.02</w:t>
            </w:r>
          </w:p>
        </w:tc>
        <w:tc>
          <w:tcPr>
            <w:tcW w:w="858" w:type="dxa"/>
            <w:gridSpan w:val="2"/>
          </w:tcPr>
          <w:p w14:paraId="01532A53"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5.31</w:t>
            </w:r>
          </w:p>
        </w:tc>
      </w:tr>
      <w:tr w:rsidR="005C0A3A" w:rsidRPr="00494D70" w14:paraId="038779B5" w14:textId="77777777" w:rsidTr="003012DB">
        <w:tc>
          <w:tcPr>
            <w:tcW w:w="2041" w:type="dxa"/>
          </w:tcPr>
          <w:p w14:paraId="73063755" w14:textId="77777777" w:rsidR="005C0A3A" w:rsidRPr="00494D70" w:rsidRDefault="005C0A3A" w:rsidP="003012DB">
            <w:pPr>
              <w:rPr>
                <w:rFonts w:ascii="Times New Roman" w:eastAsia="Times New Roman" w:hAnsi="Times New Roman" w:cs="Times New Roman"/>
                <w:b/>
                <w:bCs/>
                <w:sz w:val="18"/>
                <w:szCs w:val="18"/>
                <w:lang w:eastAsia="hu-HU"/>
              </w:rPr>
            </w:pPr>
            <w:r w:rsidRPr="00494D70">
              <w:rPr>
                <w:rFonts w:ascii="Times New Roman" w:hAnsi="Times New Roman" w:cs="Times New Roman"/>
                <w:b/>
                <w:bCs/>
                <w:sz w:val="18"/>
                <w:szCs w:val="18"/>
              </w:rPr>
              <w:t>United States of America</w:t>
            </w:r>
          </w:p>
        </w:tc>
        <w:tc>
          <w:tcPr>
            <w:tcW w:w="936" w:type="dxa"/>
          </w:tcPr>
          <w:p w14:paraId="5085B9E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45.60</w:t>
            </w:r>
          </w:p>
        </w:tc>
        <w:tc>
          <w:tcPr>
            <w:tcW w:w="890" w:type="dxa"/>
          </w:tcPr>
          <w:p w14:paraId="3538CC4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10.38</w:t>
            </w:r>
          </w:p>
        </w:tc>
        <w:tc>
          <w:tcPr>
            <w:tcW w:w="890" w:type="dxa"/>
          </w:tcPr>
          <w:p w14:paraId="5F01639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16.42</w:t>
            </w:r>
          </w:p>
        </w:tc>
        <w:tc>
          <w:tcPr>
            <w:tcW w:w="866" w:type="dxa"/>
            <w:gridSpan w:val="2"/>
          </w:tcPr>
          <w:p w14:paraId="53572AC4"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4.18</w:t>
            </w:r>
          </w:p>
        </w:tc>
        <w:tc>
          <w:tcPr>
            <w:tcW w:w="936" w:type="dxa"/>
            <w:gridSpan w:val="2"/>
          </w:tcPr>
          <w:p w14:paraId="52108BE6"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15.32</w:t>
            </w:r>
          </w:p>
        </w:tc>
        <w:tc>
          <w:tcPr>
            <w:tcW w:w="860" w:type="dxa"/>
            <w:gridSpan w:val="3"/>
          </w:tcPr>
          <w:p w14:paraId="5FD3E991"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4.33</w:t>
            </w:r>
          </w:p>
        </w:tc>
        <w:tc>
          <w:tcPr>
            <w:tcW w:w="937" w:type="dxa"/>
          </w:tcPr>
          <w:p w14:paraId="5FB458E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13.85</w:t>
            </w:r>
          </w:p>
        </w:tc>
        <w:tc>
          <w:tcPr>
            <w:tcW w:w="858" w:type="dxa"/>
            <w:gridSpan w:val="2"/>
          </w:tcPr>
          <w:p w14:paraId="24C3B870"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5.70</w:t>
            </w:r>
          </w:p>
        </w:tc>
      </w:tr>
      <w:tr w:rsidR="005C0A3A" w:rsidRPr="00494D70" w14:paraId="4C43CC82" w14:textId="77777777" w:rsidTr="003012DB">
        <w:tc>
          <w:tcPr>
            <w:tcW w:w="2041" w:type="dxa"/>
          </w:tcPr>
          <w:p w14:paraId="7F54C022" w14:textId="77777777" w:rsidR="005C0A3A" w:rsidRPr="00494D70" w:rsidRDefault="005C0A3A" w:rsidP="003012DB">
            <w:pP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Other</w:t>
            </w:r>
          </w:p>
        </w:tc>
        <w:tc>
          <w:tcPr>
            <w:tcW w:w="936" w:type="dxa"/>
            <w:tcBorders>
              <w:bottom w:val="single" w:sz="4" w:space="0" w:color="auto"/>
            </w:tcBorders>
          </w:tcPr>
          <w:p w14:paraId="715BDF12"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44.31</w:t>
            </w:r>
          </w:p>
        </w:tc>
        <w:tc>
          <w:tcPr>
            <w:tcW w:w="890" w:type="dxa"/>
            <w:tcBorders>
              <w:bottom w:val="single" w:sz="4" w:space="0" w:color="auto"/>
            </w:tcBorders>
          </w:tcPr>
          <w:p w14:paraId="6C89A627"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9.85</w:t>
            </w:r>
          </w:p>
        </w:tc>
        <w:tc>
          <w:tcPr>
            <w:tcW w:w="890" w:type="dxa"/>
            <w:tcBorders>
              <w:bottom w:val="single" w:sz="4" w:space="0" w:color="auto"/>
            </w:tcBorders>
          </w:tcPr>
          <w:p w14:paraId="77B826A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16.64</w:t>
            </w:r>
          </w:p>
        </w:tc>
        <w:tc>
          <w:tcPr>
            <w:tcW w:w="866" w:type="dxa"/>
            <w:gridSpan w:val="2"/>
            <w:tcBorders>
              <w:bottom w:val="single" w:sz="4" w:space="0" w:color="auto"/>
            </w:tcBorders>
          </w:tcPr>
          <w:p w14:paraId="6EB05BBD"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3.98</w:t>
            </w:r>
          </w:p>
        </w:tc>
        <w:tc>
          <w:tcPr>
            <w:tcW w:w="936" w:type="dxa"/>
            <w:gridSpan w:val="2"/>
            <w:tcBorders>
              <w:bottom w:val="single" w:sz="4" w:space="0" w:color="auto"/>
            </w:tcBorders>
          </w:tcPr>
          <w:p w14:paraId="7EBC57F8"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14.89</w:t>
            </w:r>
          </w:p>
        </w:tc>
        <w:tc>
          <w:tcPr>
            <w:tcW w:w="860" w:type="dxa"/>
            <w:gridSpan w:val="3"/>
            <w:tcBorders>
              <w:bottom w:val="single" w:sz="4" w:space="0" w:color="auto"/>
            </w:tcBorders>
          </w:tcPr>
          <w:p w14:paraId="1A87BE1B"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4.02</w:t>
            </w:r>
          </w:p>
        </w:tc>
        <w:tc>
          <w:tcPr>
            <w:tcW w:w="937" w:type="dxa"/>
            <w:tcBorders>
              <w:bottom w:val="single" w:sz="4" w:space="0" w:color="auto"/>
            </w:tcBorders>
          </w:tcPr>
          <w:p w14:paraId="6494D2C5"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12.76</w:t>
            </w:r>
          </w:p>
        </w:tc>
        <w:tc>
          <w:tcPr>
            <w:tcW w:w="858" w:type="dxa"/>
            <w:gridSpan w:val="2"/>
            <w:tcBorders>
              <w:bottom w:val="single" w:sz="4" w:space="0" w:color="auto"/>
            </w:tcBorders>
          </w:tcPr>
          <w:p w14:paraId="3C66BBEA" w14:textId="77777777" w:rsidR="005C0A3A" w:rsidRPr="00494D70" w:rsidRDefault="005C0A3A" w:rsidP="003012DB">
            <w:pPr>
              <w:jc w:val="center"/>
              <w:rPr>
                <w:rFonts w:ascii="Times New Roman" w:eastAsia="Times New Roman" w:hAnsi="Times New Roman" w:cs="Times New Roman"/>
                <w:sz w:val="18"/>
                <w:szCs w:val="18"/>
                <w:lang w:eastAsia="hu-HU"/>
              </w:rPr>
            </w:pPr>
            <w:r w:rsidRPr="00494D70">
              <w:rPr>
                <w:rFonts w:ascii="Times New Roman" w:hAnsi="Times New Roman" w:cs="Times New Roman"/>
                <w:sz w:val="18"/>
                <w:szCs w:val="18"/>
              </w:rPr>
              <w:t>5.61</w:t>
            </w:r>
          </w:p>
        </w:tc>
      </w:tr>
      <w:tr w:rsidR="005C0A3A" w:rsidRPr="00494D70" w14:paraId="447D40BF" w14:textId="77777777" w:rsidTr="003012DB">
        <w:tc>
          <w:tcPr>
            <w:tcW w:w="2041" w:type="dxa"/>
          </w:tcPr>
          <w:p w14:paraId="60098286" w14:textId="77777777" w:rsidR="005C0A3A" w:rsidRPr="00494D70" w:rsidRDefault="005C0A3A" w:rsidP="003012DB">
            <w:pPr>
              <w:rPr>
                <w:rFonts w:ascii="Times New Roman" w:hAnsi="Times New Roman" w:cs="Times New Roman"/>
                <w:sz w:val="18"/>
                <w:szCs w:val="18"/>
              </w:rPr>
            </w:pPr>
          </w:p>
        </w:tc>
        <w:tc>
          <w:tcPr>
            <w:tcW w:w="7173" w:type="dxa"/>
            <w:gridSpan w:val="13"/>
            <w:tcBorders>
              <w:top w:val="single" w:sz="4" w:space="0" w:color="auto"/>
              <w:bottom w:val="single" w:sz="4" w:space="0" w:color="auto"/>
            </w:tcBorders>
          </w:tcPr>
          <w:p w14:paraId="67E12CB6"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Kruskal-Wallis Test</w:t>
            </w:r>
          </w:p>
        </w:tc>
      </w:tr>
      <w:tr w:rsidR="005C0A3A" w:rsidRPr="00494D70" w14:paraId="21710758" w14:textId="77777777" w:rsidTr="003012DB">
        <w:tc>
          <w:tcPr>
            <w:tcW w:w="2041" w:type="dxa"/>
          </w:tcPr>
          <w:p w14:paraId="1429B82E" w14:textId="77777777" w:rsidR="005C0A3A" w:rsidRPr="00494D70" w:rsidRDefault="005C0A3A" w:rsidP="003012DB">
            <w:pPr>
              <w:rPr>
                <w:rFonts w:ascii="Times New Roman" w:hAnsi="Times New Roman" w:cs="Times New Roman"/>
                <w:sz w:val="18"/>
                <w:szCs w:val="18"/>
              </w:rPr>
            </w:pPr>
          </w:p>
        </w:tc>
        <w:tc>
          <w:tcPr>
            <w:tcW w:w="936" w:type="dxa"/>
            <w:tcBorders>
              <w:top w:val="single" w:sz="4" w:space="0" w:color="auto"/>
              <w:bottom w:val="single" w:sz="4" w:space="0" w:color="auto"/>
            </w:tcBorders>
          </w:tcPr>
          <w:p w14:paraId="1F8B798E" w14:textId="77777777" w:rsidR="005C0A3A" w:rsidRPr="00494D70" w:rsidRDefault="005C0A3A" w:rsidP="003012DB">
            <w:pPr>
              <w:jc w:val="center"/>
              <w:rPr>
                <w:rFonts w:ascii="Times New Roman" w:hAnsi="Times New Roman" w:cs="Times New Roman"/>
                <w:bCs/>
                <w:sz w:val="18"/>
                <w:szCs w:val="18"/>
              </w:rPr>
            </w:pPr>
            <w:r w:rsidRPr="00494D70">
              <w:rPr>
                <w:rFonts w:ascii="Times New Roman" w:hAnsi="Times New Roman" w:cs="Times New Roman"/>
                <w:bCs/>
                <w:sz w:val="18"/>
                <w:szCs w:val="18"/>
              </w:rPr>
              <w:t>H</w:t>
            </w:r>
          </w:p>
        </w:tc>
        <w:tc>
          <w:tcPr>
            <w:tcW w:w="890" w:type="dxa"/>
            <w:tcBorders>
              <w:top w:val="single" w:sz="4" w:space="0" w:color="auto"/>
              <w:bottom w:val="single" w:sz="4" w:space="0" w:color="auto"/>
            </w:tcBorders>
          </w:tcPr>
          <w:p w14:paraId="44C302F2"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i/>
                <w:iCs/>
                <w:sz w:val="18"/>
                <w:szCs w:val="18"/>
              </w:rPr>
              <w:t>η</w:t>
            </w:r>
            <w:r w:rsidRPr="00494D70">
              <w:rPr>
                <w:rFonts w:ascii="Times New Roman" w:hAnsi="Times New Roman" w:cs="Times New Roman"/>
                <w:i/>
                <w:iCs/>
                <w:sz w:val="18"/>
                <w:szCs w:val="18"/>
                <w:vertAlign w:val="superscript"/>
              </w:rPr>
              <w:t>2</w:t>
            </w:r>
          </w:p>
        </w:tc>
        <w:tc>
          <w:tcPr>
            <w:tcW w:w="936" w:type="dxa"/>
            <w:gridSpan w:val="2"/>
            <w:tcBorders>
              <w:top w:val="single" w:sz="4" w:space="0" w:color="auto"/>
              <w:bottom w:val="single" w:sz="4" w:space="0" w:color="auto"/>
            </w:tcBorders>
          </w:tcPr>
          <w:p w14:paraId="0854C6E6"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H</w:t>
            </w:r>
          </w:p>
        </w:tc>
        <w:tc>
          <w:tcPr>
            <w:tcW w:w="860" w:type="dxa"/>
            <w:gridSpan w:val="2"/>
            <w:tcBorders>
              <w:top w:val="single" w:sz="4" w:space="0" w:color="auto"/>
              <w:bottom w:val="single" w:sz="4" w:space="0" w:color="auto"/>
            </w:tcBorders>
          </w:tcPr>
          <w:p w14:paraId="375F15E2"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i/>
                <w:iCs/>
                <w:sz w:val="18"/>
                <w:szCs w:val="18"/>
              </w:rPr>
              <w:t>η</w:t>
            </w:r>
            <w:r w:rsidRPr="00494D70">
              <w:rPr>
                <w:rFonts w:ascii="Times New Roman" w:hAnsi="Times New Roman" w:cs="Times New Roman"/>
                <w:i/>
                <w:iCs/>
                <w:sz w:val="18"/>
                <w:szCs w:val="18"/>
                <w:vertAlign w:val="superscript"/>
              </w:rPr>
              <w:t>2</w:t>
            </w:r>
          </w:p>
        </w:tc>
        <w:tc>
          <w:tcPr>
            <w:tcW w:w="943" w:type="dxa"/>
            <w:gridSpan w:val="2"/>
            <w:tcBorders>
              <w:top w:val="single" w:sz="4" w:space="0" w:color="auto"/>
              <w:bottom w:val="single" w:sz="4" w:space="0" w:color="auto"/>
            </w:tcBorders>
          </w:tcPr>
          <w:p w14:paraId="55D75F02"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H</w:t>
            </w:r>
          </w:p>
        </w:tc>
        <w:tc>
          <w:tcPr>
            <w:tcW w:w="765" w:type="dxa"/>
            <w:tcBorders>
              <w:top w:val="single" w:sz="4" w:space="0" w:color="auto"/>
              <w:bottom w:val="single" w:sz="4" w:space="0" w:color="auto"/>
            </w:tcBorders>
          </w:tcPr>
          <w:p w14:paraId="4264BCBF" w14:textId="77777777" w:rsidR="005C0A3A" w:rsidRPr="00494D70" w:rsidRDefault="005C0A3A" w:rsidP="003012DB">
            <w:pPr>
              <w:jc w:val="center"/>
              <w:rPr>
                <w:rFonts w:ascii="Times New Roman" w:hAnsi="Times New Roman" w:cs="Times New Roman"/>
                <w:bCs/>
                <w:sz w:val="18"/>
                <w:szCs w:val="18"/>
              </w:rPr>
            </w:pPr>
            <w:r w:rsidRPr="00494D70">
              <w:rPr>
                <w:rFonts w:ascii="Times New Roman" w:hAnsi="Times New Roman" w:cs="Times New Roman"/>
                <w:i/>
                <w:iCs/>
                <w:sz w:val="18"/>
                <w:szCs w:val="18"/>
              </w:rPr>
              <w:t>η</w:t>
            </w:r>
            <w:r w:rsidRPr="00494D70">
              <w:rPr>
                <w:rFonts w:ascii="Times New Roman" w:hAnsi="Times New Roman" w:cs="Times New Roman"/>
                <w:i/>
                <w:iCs/>
                <w:sz w:val="18"/>
                <w:szCs w:val="18"/>
                <w:vertAlign w:val="superscript"/>
              </w:rPr>
              <w:t>2</w:t>
            </w:r>
          </w:p>
        </w:tc>
        <w:tc>
          <w:tcPr>
            <w:tcW w:w="993" w:type="dxa"/>
            <w:gridSpan w:val="3"/>
            <w:tcBorders>
              <w:top w:val="single" w:sz="4" w:space="0" w:color="auto"/>
              <w:bottom w:val="single" w:sz="4" w:space="0" w:color="auto"/>
            </w:tcBorders>
          </w:tcPr>
          <w:p w14:paraId="2DA9D03E"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H</w:t>
            </w:r>
          </w:p>
        </w:tc>
        <w:tc>
          <w:tcPr>
            <w:tcW w:w="850" w:type="dxa"/>
            <w:tcBorders>
              <w:top w:val="single" w:sz="4" w:space="0" w:color="auto"/>
              <w:bottom w:val="single" w:sz="4" w:space="0" w:color="auto"/>
            </w:tcBorders>
          </w:tcPr>
          <w:p w14:paraId="66A6A0BB"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i/>
                <w:iCs/>
                <w:sz w:val="18"/>
                <w:szCs w:val="18"/>
              </w:rPr>
              <w:t>η</w:t>
            </w:r>
            <w:r w:rsidRPr="00494D70">
              <w:rPr>
                <w:rFonts w:ascii="Times New Roman" w:hAnsi="Times New Roman" w:cs="Times New Roman"/>
                <w:i/>
                <w:iCs/>
                <w:sz w:val="18"/>
                <w:szCs w:val="18"/>
                <w:vertAlign w:val="superscript"/>
              </w:rPr>
              <w:t>2</w:t>
            </w:r>
          </w:p>
        </w:tc>
      </w:tr>
      <w:tr w:rsidR="005C0A3A" w:rsidRPr="00494D70" w14:paraId="2DCAD422" w14:textId="77777777" w:rsidTr="003012DB">
        <w:tc>
          <w:tcPr>
            <w:tcW w:w="2041" w:type="dxa"/>
            <w:tcBorders>
              <w:bottom w:val="single" w:sz="4" w:space="0" w:color="auto"/>
            </w:tcBorders>
          </w:tcPr>
          <w:p w14:paraId="0833738B" w14:textId="77777777" w:rsidR="005C0A3A" w:rsidRPr="00494D70" w:rsidRDefault="005C0A3A" w:rsidP="003012DB">
            <w:pPr>
              <w:rPr>
                <w:rFonts w:ascii="Times New Roman" w:hAnsi="Times New Roman" w:cs="Times New Roman"/>
                <w:sz w:val="18"/>
                <w:szCs w:val="18"/>
              </w:rPr>
            </w:pPr>
          </w:p>
        </w:tc>
        <w:tc>
          <w:tcPr>
            <w:tcW w:w="936" w:type="dxa"/>
            <w:tcBorders>
              <w:top w:val="single" w:sz="4" w:space="0" w:color="auto"/>
              <w:bottom w:val="single" w:sz="4" w:space="0" w:color="auto"/>
            </w:tcBorders>
          </w:tcPr>
          <w:p w14:paraId="38E4544B" w14:textId="77777777" w:rsidR="005C0A3A" w:rsidRPr="00494D70" w:rsidRDefault="005C0A3A" w:rsidP="003012DB">
            <w:pPr>
              <w:jc w:val="center"/>
              <w:rPr>
                <w:rFonts w:ascii="Times New Roman" w:hAnsi="Times New Roman" w:cs="Times New Roman"/>
                <w:bCs/>
                <w:sz w:val="18"/>
                <w:szCs w:val="18"/>
              </w:rPr>
            </w:pPr>
            <w:r w:rsidRPr="00494D70">
              <w:rPr>
                <w:rFonts w:ascii="Times New Roman" w:hAnsi="Times New Roman" w:cs="Times New Roman"/>
                <w:bCs/>
                <w:sz w:val="18"/>
                <w:szCs w:val="18"/>
              </w:rPr>
              <w:t>2,185.03*</w:t>
            </w:r>
          </w:p>
        </w:tc>
        <w:tc>
          <w:tcPr>
            <w:tcW w:w="890" w:type="dxa"/>
            <w:tcBorders>
              <w:top w:val="single" w:sz="4" w:space="0" w:color="auto"/>
              <w:bottom w:val="single" w:sz="4" w:space="0" w:color="auto"/>
            </w:tcBorders>
          </w:tcPr>
          <w:p w14:paraId="2A828EF3" w14:textId="79B0C05A" w:rsidR="005C0A3A" w:rsidRPr="00494D70" w:rsidRDefault="005C0A3A" w:rsidP="003012DB">
            <w:pPr>
              <w:jc w:val="center"/>
              <w:rPr>
                <w:rFonts w:ascii="Times New Roman" w:hAnsi="Times New Roman" w:cs="Times New Roman"/>
                <w:i/>
                <w:iCs/>
                <w:sz w:val="18"/>
                <w:szCs w:val="18"/>
              </w:rPr>
            </w:pPr>
            <w:r w:rsidRPr="00494D70">
              <w:rPr>
                <w:rFonts w:ascii="Times New Roman" w:hAnsi="Times New Roman" w:cs="Times New Roman"/>
                <w:sz w:val="18"/>
                <w:szCs w:val="18"/>
              </w:rPr>
              <w:t>.035</w:t>
            </w:r>
          </w:p>
        </w:tc>
        <w:tc>
          <w:tcPr>
            <w:tcW w:w="936" w:type="dxa"/>
            <w:gridSpan w:val="2"/>
            <w:tcBorders>
              <w:top w:val="single" w:sz="4" w:space="0" w:color="auto"/>
              <w:bottom w:val="single" w:sz="4" w:space="0" w:color="auto"/>
            </w:tcBorders>
          </w:tcPr>
          <w:p w14:paraId="6DB2C19D" w14:textId="77777777" w:rsidR="005C0A3A" w:rsidRPr="00494D70" w:rsidRDefault="005C0A3A" w:rsidP="003012DB">
            <w:pPr>
              <w:jc w:val="center"/>
              <w:rPr>
                <w:rFonts w:ascii="Times New Roman" w:hAnsi="Times New Roman" w:cs="Times New Roman"/>
                <w:bCs/>
                <w:sz w:val="18"/>
                <w:szCs w:val="18"/>
              </w:rPr>
            </w:pPr>
            <w:r w:rsidRPr="00494D70">
              <w:rPr>
                <w:rFonts w:ascii="Times New Roman" w:hAnsi="Times New Roman" w:cs="Times New Roman"/>
                <w:bCs/>
                <w:sz w:val="18"/>
                <w:szCs w:val="18"/>
              </w:rPr>
              <w:t>1,540.98*</w:t>
            </w:r>
          </w:p>
        </w:tc>
        <w:tc>
          <w:tcPr>
            <w:tcW w:w="860" w:type="dxa"/>
            <w:gridSpan w:val="2"/>
            <w:tcBorders>
              <w:top w:val="single" w:sz="4" w:space="0" w:color="auto"/>
              <w:bottom w:val="single" w:sz="4" w:space="0" w:color="auto"/>
            </w:tcBorders>
          </w:tcPr>
          <w:p w14:paraId="7DBA8CDB" w14:textId="0CD022FA" w:rsidR="005C0A3A" w:rsidRPr="00494D70" w:rsidRDefault="005C0A3A" w:rsidP="003012DB">
            <w:pPr>
              <w:jc w:val="center"/>
              <w:rPr>
                <w:rFonts w:ascii="Times New Roman" w:hAnsi="Times New Roman" w:cs="Times New Roman"/>
                <w:i/>
                <w:iCs/>
                <w:sz w:val="18"/>
                <w:szCs w:val="18"/>
              </w:rPr>
            </w:pPr>
            <w:r w:rsidRPr="00494D70">
              <w:rPr>
                <w:rFonts w:ascii="Times New Roman" w:hAnsi="Times New Roman" w:cs="Times New Roman"/>
                <w:sz w:val="18"/>
                <w:szCs w:val="18"/>
              </w:rPr>
              <w:t>.025</w:t>
            </w:r>
          </w:p>
        </w:tc>
        <w:tc>
          <w:tcPr>
            <w:tcW w:w="943" w:type="dxa"/>
            <w:gridSpan w:val="2"/>
            <w:tcBorders>
              <w:top w:val="single" w:sz="4" w:space="0" w:color="auto"/>
              <w:bottom w:val="single" w:sz="4" w:space="0" w:color="auto"/>
            </w:tcBorders>
          </w:tcPr>
          <w:p w14:paraId="78BAB241" w14:textId="77777777" w:rsidR="005C0A3A" w:rsidRPr="00494D70" w:rsidRDefault="005C0A3A" w:rsidP="003012DB">
            <w:pPr>
              <w:jc w:val="center"/>
              <w:rPr>
                <w:rFonts w:ascii="Times New Roman" w:hAnsi="Times New Roman" w:cs="Times New Roman"/>
                <w:bCs/>
                <w:sz w:val="18"/>
                <w:szCs w:val="18"/>
              </w:rPr>
            </w:pPr>
            <w:r w:rsidRPr="00494D70">
              <w:rPr>
                <w:rFonts w:ascii="Times New Roman" w:hAnsi="Times New Roman" w:cs="Times New Roman"/>
                <w:bCs/>
                <w:sz w:val="18"/>
                <w:szCs w:val="18"/>
              </w:rPr>
              <w:t>1,833.23*</w:t>
            </w:r>
          </w:p>
        </w:tc>
        <w:tc>
          <w:tcPr>
            <w:tcW w:w="765" w:type="dxa"/>
            <w:tcBorders>
              <w:top w:val="single" w:sz="4" w:space="0" w:color="auto"/>
              <w:bottom w:val="single" w:sz="4" w:space="0" w:color="auto"/>
            </w:tcBorders>
          </w:tcPr>
          <w:p w14:paraId="2D555BD4" w14:textId="040DCAAF" w:rsidR="005C0A3A" w:rsidRPr="00494D70" w:rsidRDefault="005C0A3A" w:rsidP="003012DB">
            <w:pPr>
              <w:jc w:val="center"/>
              <w:rPr>
                <w:rFonts w:ascii="Times New Roman" w:hAnsi="Times New Roman" w:cs="Times New Roman"/>
                <w:i/>
                <w:iCs/>
                <w:sz w:val="18"/>
                <w:szCs w:val="18"/>
              </w:rPr>
            </w:pPr>
            <w:r w:rsidRPr="00494D70">
              <w:rPr>
                <w:rFonts w:ascii="Times New Roman" w:hAnsi="Times New Roman" w:cs="Times New Roman"/>
                <w:sz w:val="18"/>
                <w:szCs w:val="18"/>
              </w:rPr>
              <w:t>.030</w:t>
            </w:r>
          </w:p>
        </w:tc>
        <w:tc>
          <w:tcPr>
            <w:tcW w:w="993" w:type="dxa"/>
            <w:gridSpan w:val="3"/>
            <w:tcBorders>
              <w:top w:val="single" w:sz="4" w:space="0" w:color="auto"/>
              <w:bottom w:val="single" w:sz="4" w:space="0" w:color="auto"/>
            </w:tcBorders>
          </w:tcPr>
          <w:p w14:paraId="3EB0A35D" w14:textId="77777777" w:rsidR="005C0A3A" w:rsidRPr="00494D70" w:rsidRDefault="005C0A3A" w:rsidP="003012DB">
            <w:pPr>
              <w:jc w:val="center"/>
              <w:rPr>
                <w:rFonts w:ascii="Times New Roman" w:hAnsi="Times New Roman" w:cs="Times New Roman"/>
                <w:bCs/>
                <w:sz w:val="18"/>
                <w:szCs w:val="18"/>
              </w:rPr>
            </w:pPr>
            <w:r w:rsidRPr="00494D70">
              <w:rPr>
                <w:rFonts w:ascii="Times New Roman" w:hAnsi="Times New Roman" w:cs="Times New Roman"/>
                <w:bCs/>
                <w:sz w:val="18"/>
                <w:szCs w:val="18"/>
              </w:rPr>
              <w:t>2,399.42*</w:t>
            </w:r>
          </w:p>
        </w:tc>
        <w:tc>
          <w:tcPr>
            <w:tcW w:w="850" w:type="dxa"/>
            <w:tcBorders>
              <w:top w:val="single" w:sz="4" w:space="0" w:color="auto"/>
              <w:bottom w:val="single" w:sz="4" w:space="0" w:color="auto"/>
            </w:tcBorders>
          </w:tcPr>
          <w:p w14:paraId="19780E57" w14:textId="20253D4B" w:rsidR="005C0A3A" w:rsidRPr="00494D70" w:rsidRDefault="005C0A3A" w:rsidP="003012DB">
            <w:pPr>
              <w:jc w:val="center"/>
              <w:rPr>
                <w:rFonts w:ascii="Times New Roman" w:hAnsi="Times New Roman" w:cs="Times New Roman"/>
                <w:i/>
                <w:iCs/>
                <w:sz w:val="18"/>
                <w:szCs w:val="18"/>
              </w:rPr>
            </w:pPr>
            <w:r w:rsidRPr="00494D70">
              <w:rPr>
                <w:rFonts w:ascii="Times New Roman" w:hAnsi="Times New Roman" w:cs="Times New Roman"/>
                <w:sz w:val="18"/>
                <w:szCs w:val="18"/>
              </w:rPr>
              <w:t>.039</w:t>
            </w:r>
          </w:p>
        </w:tc>
      </w:tr>
    </w:tbl>
    <w:p w14:paraId="5938DC7D" w14:textId="77777777" w:rsidR="005C0A3A" w:rsidRPr="00494D70" w:rsidRDefault="005C0A3A" w:rsidP="005C0A3A">
      <w:pPr>
        <w:rPr>
          <w:rFonts w:ascii="Times New Roman" w:eastAsia="Times New Roman" w:hAnsi="Times New Roman" w:cs="Times New Roman"/>
          <w:color w:val="000000"/>
          <w:sz w:val="24"/>
          <w:szCs w:val="24"/>
        </w:rPr>
      </w:pPr>
      <w:r w:rsidRPr="00494D70">
        <w:rPr>
          <w:rFonts w:ascii="Times New Roman" w:eastAsia="Times New Roman" w:hAnsi="Times New Roman" w:cs="Times New Roman"/>
          <w:i/>
          <w:color w:val="000000"/>
          <w:sz w:val="24"/>
          <w:szCs w:val="24"/>
        </w:rPr>
        <w:t>Note</w:t>
      </w:r>
      <w:r w:rsidRPr="00494D70">
        <w:rPr>
          <w:rFonts w:ascii="Times New Roman" w:eastAsia="Times New Roman" w:hAnsi="Times New Roman" w:cs="Times New Roman"/>
          <w:color w:val="000000"/>
          <w:sz w:val="24"/>
          <w:szCs w:val="24"/>
        </w:rPr>
        <w:t>.</w:t>
      </w:r>
      <w:r w:rsidRPr="00494D70">
        <w:rPr>
          <w:rFonts w:ascii="Times New Roman" w:eastAsia="Times New Roman" w:hAnsi="Times New Roman" w:cs="Times New Roman"/>
          <w:color w:val="000000"/>
          <w:sz w:val="24"/>
          <w:szCs w:val="24"/>
          <w:lang w:eastAsia="hu-HU"/>
        </w:rPr>
        <w:t xml:space="preserve"> </w:t>
      </w:r>
      <w:r w:rsidRPr="00494D70">
        <w:rPr>
          <w:rFonts w:ascii="Times New Roman" w:eastAsia="Times New Roman" w:hAnsi="Times New Roman" w:cs="Times New Roman"/>
          <w:i/>
          <w:iCs/>
          <w:color w:val="000000"/>
          <w:sz w:val="24"/>
          <w:szCs w:val="24"/>
          <w:lang w:eastAsia="hu-HU"/>
        </w:rPr>
        <w:t>M</w:t>
      </w:r>
      <w:r w:rsidRPr="00494D70">
        <w:rPr>
          <w:rFonts w:ascii="Times New Roman" w:eastAsia="Times New Roman" w:hAnsi="Times New Roman" w:cs="Times New Roman"/>
          <w:color w:val="000000"/>
          <w:sz w:val="24"/>
          <w:szCs w:val="24"/>
          <w:lang w:eastAsia="hu-HU"/>
        </w:rPr>
        <w:t xml:space="preserve"> = mean; </w:t>
      </w:r>
      <w:r w:rsidRPr="00494D70">
        <w:rPr>
          <w:rFonts w:ascii="Times New Roman" w:eastAsia="Times New Roman" w:hAnsi="Times New Roman" w:cs="Times New Roman"/>
          <w:i/>
          <w:iCs/>
          <w:color w:val="000000"/>
          <w:sz w:val="24"/>
          <w:szCs w:val="24"/>
          <w:lang w:eastAsia="hu-HU"/>
        </w:rPr>
        <w:t>SD</w:t>
      </w:r>
      <w:r w:rsidRPr="00494D70">
        <w:rPr>
          <w:rFonts w:ascii="Times New Roman" w:eastAsia="Times New Roman" w:hAnsi="Times New Roman" w:cs="Times New Roman"/>
          <w:color w:val="000000"/>
          <w:sz w:val="24"/>
          <w:szCs w:val="24"/>
          <w:lang w:eastAsia="hu-HU"/>
        </w:rPr>
        <w:t xml:space="preserve"> = standard deviation; </w:t>
      </w:r>
      <w:r w:rsidRPr="00494D70">
        <w:rPr>
          <w:rFonts w:ascii="Times New Roman" w:eastAsia="Times New Roman" w:hAnsi="Times New Roman" w:cs="Times New Roman"/>
          <w:i/>
          <w:iCs/>
          <w:color w:val="000000"/>
          <w:sz w:val="24"/>
          <w:szCs w:val="24"/>
          <w:lang w:eastAsia="hu-HU"/>
        </w:rPr>
        <w:t>η</w:t>
      </w:r>
      <w:r w:rsidRPr="00494D70">
        <w:rPr>
          <w:rFonts w:ascii="Times New Roman" w:eastAsia="Times New Roman" w:hAnsi="Times New Roman" w:cs="Times New Roman"/>
          <w:i/>
          <w:iCs/>
          <w:color w:val="000000"/>
          <w:sz w:val="24"/>
          <w:szCs w:val="24"/>
          <w:vertAlign w:val="superscript"/>
          <w:lang w:eastAsia="hu-HU"/>
        </w:rPr>
        <w:t xml:space="preserve">2 </w:t>
      </w:r>
      <w:r w:rsidRPr="00494D70">
        <w:rPr>
          <w:rFonts w:ascii="Times New Roman" w:eastAsia="Times New Roman" w:hAnsi="Times New Roman" w:cs="Times New Roman"/>
          <w:color w:val="000000"/>
          <w:sz w:val="24"/>
          <w:szCs w:val="24"/>
          <w:lang w:eastAsia="hu-HU"/>
        </w:rPr>
        <w:t xml:space="preserve">= eta-squared; </w:t>
      </w:r>
      <w:r w:rsidRPr="00494D70">
        <w:rPr>
          <w:rFonts w:ascii="Times New Roman" w:eastAsia="Times New Roman" w:hAnsi="Times New Roman" w:cs="Times New Roman"/>
          <w:i/>
          <w:iCs/>
          <w:color w:val="000000"/>
          <w:sz w:val="24"/>
          <w:szCs w:val="24"/>
          <w:lang w:eastAsia="hu-HU"/>
        </w:rPr>
        <w:t xml:space="preserve">H </w:t>
      </w:r>
      <w:r w:rsidRPr="00494D70">
        <w:rPr>
          <w:rFonts w:ascii="Times New Roman" w:eastAsia="Times New Roman" w:hAnsi="Times New Roman" w:cs="Times New Roman"/>
          <w:color w:val="000000"/>
          <w:sz w:val="24"/>
          <w:szCs w:val="24"/>
          <w:lang w:eastAsia="hu-HU"/>
        </w:rPr>
        <w:t>= Kruskal-</w:t>
      </w:r>
      <w:proofErr w:type="gramStart"/>
      <w:r w:rsidRPr="00494D70">
        <w:rPr>
          <w:rFonts w:ascii="Times New Roman" w:eastAsia="Times New Roman" w:hAnsi="Times New Roman" w:cs="Times New Roman"/>
          <w:color w:val="000000"/>
          <w:sz w:val="24"/>
          <w:szCs w:val="24"/>
          <w:lang w:eastAsia="hu-HU"/>
        </w:rPr>
        <w:t>Wallis</w:t>
      </w:r>
      <w:proofErr w:type="gramEnd"/>
      <w:r w:rsidRPr="00494D70">
        <w:rPr>
          <w:rFonts w:ascii="Times New Roman" w:eastAsia="Times New Roman" w:hAnsi="Times New Roman" w:cs="Times New Roman"/>
          <w:color w:val="000000"/>
          <w:sz w:val="24"/>
          <w:szCs w:val="24"/>
          <w:lang w:eastAsia="hu-HU"/>
        </w:rPr>
        <w:t xml:space="preserve"> test statistics; </w:t>
      </w:r>
      <w:r w:rsidRPr="00494D70">
        <w:rPr>
          <w:rFonts w:ascii="Times New Roman" w:eastAsia="Times New Roman" w:hAnsi="Times New Roman" w:cs="Times New Roman"/>
          <w:color w:val="000000"/>
          <w:sz w:val="24"/>
          <w:szCs w:val="24"/>
        </w:rPr>
        <w:t>*</w:t>
      </w:r>
      <w:r w:rsidRPr="00494D70">
        <w:rPr>
          <w:rFonts w:ascii="Times New Roman" w:eastAsia="Times New Roman" w:hAnsi="Times New Roman" w:cs="Times New Roman"/>
          <w:i/>
          <w:color w:val="000000"/>
          <w:sz w:val="24"/>
          <w:szCs w:val="24"/>
        </w:rPr>
        <w:t xml:space="preserve">p </w:t>
      </w:r>
      <w:r w:rsidRPr="00494D70">
        <w:rPr>
          <w:rFonts w:ascii="Times New Roman" w:eastAsia="Times New Roman" w:hAnsi="Times New Roman" w:cs="Times New Roman"/>
          <w:color w:val="000000"/>
          <w:sz w:val="24"/>
          <w:szCs w:val="24"/>
        </w:rPr>
        <w:t>&lt; .001</w:t>
      </w:r>
      <w:r w:rsidRPr="00494D70">
        <w:rPr>
          <w:rFonts w:ascii="Times New Roman" w:eastAsia="Times New Roman" w:hAnsi="Times New Roman" w:cs="Times New Roman"/>
          <w:color w:val="000000"/>
          <w:sz w:val="24"/>
          <w:szCs w:val="24"/>
          <w:lang w:eastAsia="hu-HU"/>
        </w:rPr>
        <w:t xml:space="preserve">. Only countries with </w:t>
      </w:r>
      <w:r w:rsidRPr="00494D70">
        <w:rPr>
          <w:rFonts w:ascii="Times New Roman" w:hAnsi="Times New Roman" w:cs="Times New Roman"/>
          <w:bCs/>
          <w:sz w:val="24"/>
          <w:szCs w:val="24"/>
        </w:rPr>
        <w:t xml:space="preserve">a minimum sample size of 460 </w:t>
      </w:r>
      <w:r w:rsidRPr="00494D70">
        <w:rPr>
          <w:rFonts w:ascii="Times New Roman" w:eastAsia="Times New Roman" w:hAnsi="Times New Roman" w:cs="Times New Roman"/>
          <w:color w:val="000000"/>
          <w:sz w:val="24"/>
          <w:szCs w:val="24"/>
          <w:lang w:eastAsia="hu-HU"/>
        </w:rPr>
        <w:t xml:space="preserve">(in bold) were included in the measurement invariance analysis and the country-based group comparisons. </w:t>
      </w:r>
      <w:r w:rsidRPr="00494D70">
        <w:rPr>
          <w:rFonts w:ascii="Times New Roman" w:hAnsi="Times New Roman" w:cs="Times New Roman"/>
          <w:bCs/>
          <w:sz w:val="24"/>
          <w:szCs w:val="24"/>
        </w:rPr>
        <w:t xml:space="preserve">The minimum sample size was determined </w:t>
      </w:r>
      <w:proofErr w:type="gramStart"/>
      <w:r w:rsidRPr="00494D70">
        <w:rPr>
          <w:rFonts w:ascii="Times New Roman" w:hAnsi="Times New Roman" w:cs="Times New Roman"/>
          <w:bCs/>
          <w:sz w:val="24"/>
          <w:szCs w:val="24"/>
        </w:rPr>
        <w:t>with</w:t>
      </w:r>
      <w:proofErr w:type="gramEnd"/>
      <w:r w:rsidRPr="00494D70">
        <w:rPr>
          <w:rFonts w:ascii="Times New Roman" w:hAnsi="Times New Roman" w:cs="Times New Roman"/>
          <w:bCs/>
          <w:sz w:val="24"/>
          <w:szCs w:val="24"/>
        </w:rPr>
        <w:t xml:space="preserve"> Monte Carlo </w:t>
      </w:r>
      <w:proofErr w:type="gramStart"/>
      <w:r w:rsidRPr="00494D70">
        <w:rPr>
          <w:rFonts w:ascii="Times New Roman" w:hAnsi="Times New Roman" w:cs="Times New Roman"/>
          <w:bCs/>
          <w:sz w:val="24"/>
          <w:szCs w:val="24"/>
        </w:rPr>
        <w:t>simulation,.</w:t>
      </w:r>
      <w:proofErr w:type="gramEnd"/>
      <w:r w:rsidRPr="00494D70">
        <w:rPr>
          <w:rFonts w:ascii="Times New Roman" w:hAnsi="Times New Roman" w:cs="Times New Roman"/>
          <w:bCs/>
          <w:sz w:val="24"/>
          <w:szCs w:val="24"/>
        </w:rPr>
        <w:t xml:space="preserve"> </w:t>
      </w:r>
    </w:p>
    <w:p w14:paraId="756F93D4" w14:textId="77777777" w:rsidR="005C0A3A" w:rsidRPr="00494D70" w:rsidRDefault="005C0A3A" w:rsidP="005C0A3A">
      <w:pPr>
        <w:rPr>
          <w:rFonts w:ascii="Times New Roman" w:eastAsia="Times New Roman" w:hAnsi="Times New Roman" w:cs="Times New Roman"/>
          <w:color w:val="000000"/>
          <w:sz w:val="24"/>
          <w:szCs w:val="24"/>
          <w:lang w:eastAsia="hu-HU"/>
        </w:rPr>
      </w:pPr>
    </w:p>
    <w:p w14:paraId="548725D9" w14:textId="77777777" w:rsidR="005C0A3A" w:rsidRPr="00494D70" w:rsidRDefault="005C0A3A" w:rsidP="005C0A3A">
      <w:pPr>
        <w:spacing w:after="0" w:line="240" w:lineRule="auto"/>
        <w:rPr>
          <w:rFonts w:ascii="Times New Roman" w:hAnsi="Times New Roman" w:cs="Times New Roman"/>
          <w:b/>
          <w:sz w:val="24"/>
          <w:szCs w:val="24"/>
        </w:rPr>
        <w:sectPr w:rsidR="005C0A3A" w:rsidRPr="00494D70" w:rsidSect="00434369">
          <w:pgSz w:w="11906" w:h="16838"/>
          <w:pgMar w:top="1418" w:right="1418" w:bottom="1418" w:left="1276" w:header="709" w:footer="709" w:gutter="0"/>
          <w:cols w:space="708"/>
          <w:docGrid w:linePitch="360"/>
        </w:sectPr>
      </w:pPr>
    </w:p>
    <w:p w14:paraId="2477B5FE" w14:textId="79832724" w:rsidR="001860F5" w:rsidRPr="00494D70" w:rsidRDefault="005C0A3A" w:rsidP="005C0A3A">
      <w:pPr>
        <w:spacing w:after="0" w:line="240" w:lineRule="auto"/>
        <w:rPr>
          <w:rFonts w:ascii="Times New Roman" w:hAnsi="Times New Roman" w:cs="Times New Roman"/>
          <w:bCs/>
          <w:i/>
          <w:iCs/>
          <w:sz w:val="24"/>
          <w:szCs w:val="24"/>
        </w:rPr>
      </w:pPr>
      <w:r w:rsidRPr="00494D70">
        <w:rPr>
          <w:rFonts w:ascii="Times New Roman" w:hAnsi="Times New Roman" w:cs="Times New Roman"/>
          <w:b/>
          <w:sz w:val="24"/>
          <w:szCs w:val="24"/>
        </w:rPr>
        <w:lastRenderedPageBreak/>
        <w:t>Figure 1</w:t>
      </w:r>
      <w:r w:rsidRPr="00494D70">
        <w:rPr>
          <w:rFonts w:ascii="Times New Roman" w:hAnsi="Times New Roman" w:cs="Times New Roman"/>
          <w:b/>
          <w:sz w:val="24"/>
          <w:szCs w:val="24"/>
        </w:rPr>
        <w:br/>
      </w:r>
      <w:r w:rsidRPr="00494D70">
        <w:rPr>
          <w:rFonts w:ascii="Times New Roman" w:hAnsi="Times New Roman" w:cs="Times New Roman"/>
          <w:bCs/>
          <w:i/>
          <w:iCs/>
          <w:sz w:val="24"/>
          <w:szCs w:val="24"/>
        </w:rPr>
        <w:t>Mean scores of the Initiation, Refusal, and Risk communication subscales by countries</w:t>
      </w:r>
    </w:p>
    <w:p w14:paraId="13DCC368" w14:textId="7A131D43" w:rsidR="001860F5" w:rsidRPr="00494D70" w:rsidRDefault="00BA0571" w:rsidP="00BA0571">
      <w:pPr>
        <w:spacing w:after="0" w:line="240" w:lineRule="auto"/>
        <w:ind w:left="-709"/>
        <w:rPr>
          <w:rFonts w:ascii="Times New Roman" w:hAnsi="Times New Roman" w:cs="Times New Roman"/>
          <w:bCs/>
          <w:i/>
          <w:iCs/>
          <w:sz w:val="24"/>
          <w:szCs w:val="24"/>
        </w:rPr>
      </w:pPr>
      <w:r w:rsidRPr="00494D70">
        <w:rPr>
          <w:rFonts w:ascii="Times New Roman" w:hAnsi="Times New Roman" w:cs="Times New Roman"/>
          <w:bCs/>
          <w:i/>
          <w:iCs/>
          <w:noProof/>
          <w:sz w:val="24"/>
          <w:szCs w:val="24"/>
        </w:rPr>
        <w:drawing>
          <wp:inline distT="0" distB="0" distL="0" distR="0" wp14:anchorId="4A567FB0" wp14:editId="06802F03">
            <wp:extent cx="9729288" cy="3329940"/>
            <wp:effectExtent l="0" t="0" r="5715" b="3810"/>
            <wp:docPr id="408542166" name="Kép 1" descr="A képen tipográfia látható&#10;&#10;Automatikusan generált leírás közepes megbízhatóság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42166" name="Kép 1" descr="A képen tipográfia látható&#10;&#10;Automatikusan generált leírás közepes megbízhatósággal"/>
                    <pic:cNvPicPr/>
                  </pic:nvPicPr>
                  <pic:blipFill>
                    <a:blip r:embed="rId15">
                      <a:extLst>
                        <a:ext uri="{28A0092B-C50C-407E-A947-70E740481C1C}">
                          <a14:useLocalDpi xmlns:a14="http://schemas.microsoft.com/office/drawing/2010/main" val="0"/>
                        </a:ext>
                      </a:extLst>
                    </a:blip>
                    <a:stretch>
                      <a:fillRect/>
                    </a:stretch>
                  </pic:blipFill>
                  <pic:spPr>
                    <a:xfrm>
                      <a:off x="0" y="0"/>
                      <a:ext cx="9732780" cy="3331135"/>
                    </a:xfrm>
                    <a:prstGeom prst="rect">
                      <a:avLst/>
                    </a:prstGeom>
                  </pic:spPr>
                </pic:pic>
              </a:graphicData>
            </a:graphic>
          </wp:inline>
        </w:drawing>
      </w:r>
    </w:p>
    <w:p w14:paraId="6DBB0B3D" w14:textId="380E8085" w:rsidR="005C0A3A" w:rsidRPr="00494D70" w:rsidRDefault="005C0A3A" w:rsidP="005C0A3A">
      <w:pPr>
        <w:rPr>
          <w:rFonts w:ascii="Times New Roman" w:hAnsi="Times New Roman" w:cs="Times New Roman"/>
          <w:bCs/>
          <w:sz w:val="24"/>
          <w:szCs w:val="24"/>
        </w:rPr>
      </w:pPr>
      <w:r w:rsidRPr="00494D70">
        <w:rPr>
          <w:rFonts w:ascii="Times New Roman" w:hAnsi="Times New Roman" w:cs="Times New Roman"/>
          <w:bCs/>
          <w:i/>
          <w:iCs/>
          <w:sz w:val="24"/>
          <w:szCs w:val="24"/>
        </w:rPr>
        <w:t xml:space="preserve">Note. </w:t>
      </w:r>
      <w:r w:rsidRPr="00494D70">
        <w:rPr>
          <w:rFonts w:ascii="Times New Roman" w:hAnsi="Times New Roman" w:cs="Times New Roman"/>
          <w:bCs/>
          <w:sz w:val="24"/>
          <w:szCs w:val="24"/>
        </w:rPr>
        <w:t xml:space="preserve">Only countries with a minimum sample size of 460 were involved in the measurement invariance analysis and the country-based group comparisons. The minimum sample size was determined with Monte Carlo simulation, see details in the main text. </w:t>
      </w:r>
    </w:p>
    <w:p w14:paraId="3BAB0E88" w14:textId="77777777" w:rsidR="005C0A3A" w:rsidRPr="00494D70" w:rsidRDefault="005C0A3A" w:rsidP="005C0A3A">
      <w:pPr>
        <w:rPr>
          <w:rFonts w:ascii="Times New Roman" w:hAnsi="Times New Roman" w:cs="Times New Roman"/>
          <w:b/>
          <w:sz w:val="24"/>
          <w:szCs w:val="24"/>
        </w:rPr>
      </w:pPr>
      <w:r w:rsidRPr="00494D70">
        <w:rPr>
          <w:rFonts w:ascii="Times New Roman" w:hAnsi="Times New Roman" w:cs="Times New Roman"/>
          <w:b/>
          <w:sz w:val="24"/>
          <w:szCs w:val="24"/>
        </w:rPr>
        <w:br w:type="page"/>
      </w:r>
    </w:p>
    <w:p w14:paraId="2C595C7C" w14:textId="77777777" w:rsidR="005C0A3A" w:rsidRPr="00494D70" w:rsidRDefault="005C0A3A" w:rsidP="005C0A3A">
      <w:pPr>
        <w:spacing w:after="0" w:line="240" w:lineRule="auto"/>
        <w:rPr>
          <w:rFonts w:ascii="Times New Roman" w:hAnsi="Times New Roman" w:cs="Times New Roman"/>
          <w:b/>
          <w:sz w:val="24"/>
          <w:szCs w:val="24"/>
        </w:rPr>
        <w:sectPr w:rsidR="005C0A3A" w:rsidRPr="00494D70" w:rsidSect="00434369">
          <w:pgSz w:w="16838" w:h="11906" w:orient="landscape"/>
          <w:pgMar w:top="1276" w:right="1417" w:bottom="1417" w:left="1417" w:header="708" w:footer="708" w:gutter="0"/>
          <w:cols w:space="708"/>
          <w:docGrid w:linePitch="360"/>
        </w:sectPr>
      </w:pPr>
    </w:p>
    <w:p w14:paraId="7B3DDC28" w14:textId="77777777" w:rsidR="005C0A3A" w:rsidRPr="00494D70" w:rsidRDefault="005C0A3A" w:rsidP="005C0A3A">
      <w:pPr>
        <w:spacing w:after="0" w:line="240" w:lineRule="auto"/>
        <w:rPr>
          <w:rFonts w:ascii="Times New Roman" w:hAnsi="Times New Roman" w:cs="Times New Roman"/>
          <w:b/>
          <w:sz w:val="24"/>
          <w:szCs w:val="24"/>
        </w:rPr>
      </w:pPr>
      <w:r w:rsidRPr="00494D70">
        <w:rPr>
          <w:rFonts w:ascii="Times New Roman" w:hAnsi="Times New Roman" w:cs="Times New Roman"/>
          <w:b/>
          <w:sz w:val="24"/>
          <w:szCs w:val="24"/>
        </w:rPr>
        <w:lastRenderedPageBreak/>
        <w:t>Table 5</w:t>
      </w:r>
    </w:p>
    <w:p w14:paraId="0F33E5F1" w14:textId="77777777" w:rsidR="005C0A3A" w:rsidRPr="00494D70" w:rsidRDefault="005C0A3A" w:rsidP="005C0A3A">
      <w:pPr>
        <w:spacing w:after="0" w:line="240" w:lineRule="auto"/>
        <w:rPr>
          <w:rFonts w:ascii="Times New Roman" w:hAnsi="Times New Roman" w:cs="Times New Roman"/>
          <w:bCs/>
          <w:i/>
          <w:iCs/>
          <w:sz w:val="24"/>
          <w:szCs w:val="24"/>
        </w:rPr>
      </w:pPr>
      <w:r w:rsidRPr="00494D70">
        <w:rPr>
          <w:rFonts w:ascii="Times New Roman" w:hAnsi="Times New Roman" w:cs="Times New Roman"/>
          <w:bCs/>
          <w:i/>
          <w:iCs/>
          <w:sz w:val="24"/>
          <w:szCs w:val="24"/>
        </w:rPr>
        <w:t xml:space="preserve">Groups of Genders, Sexual Orientations, and Relationship Statuses Compared Across Sexual Assertiveness and its Domains </w:t>
      </w:r>
    </w:p>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701"/>
        <w:gridCol w:w="1134"/>
        <w:gridCol w:w="709"/>
        <w:gridCol w:w="1134"/>
        <w:gridCol w:w="709"/>
        <w:gridCol w:w="1134"/>
        <w:gridCol w:w="709"/>
        <w:gridCol w:w="1134"/>
        <w:gridCol w:w="708"/>
      </w:tblGrid>
      <w:tr w:rsidR="005C0A3A" w:rsidRPr="00494D70" w14:paraId="1D7FEDA1" w14:textId="77777777" w:rsidTr="003012DB">
        <w:tc>
          <w:tcPr>
            <w:tcW w:w="1701" w:type="dxa"/>
            <w:tcBorders>
              <w:top w:val="single" w:sz="4" w:space="0" w:color="auto"/>
              <w:bottom w:val="single" w:sz="4" w:space="0" w:color="auto"/>
            </w:tcBorders>
          </w:tcPr>
          <w:p w14:paraId="55090852" w14:textId="77777777" w:rsidR="005C0A3A" w:rsidRPr="00494D70" w:rsidRDefault="005C0A3A" w:rsidP="003012DB">
            <w:pPr>
              <w:rPr>
                <w:rFonts w:ascii="Times New Roman" w:eastAsia="Times New Roman" w:hAnsi="Times New Roman" w:cs="Times New Roman"/>
                <w:color w:val="000000"/>
                <w:sz w:val="18"/>
                <w:szCs w:val="18"/>
                <w:lang w:eastAsia="en-CA"/>
              </w:rPr>
            </w:pPr>
            <w:r w:rsidRPr="00494D70">
              <w:rPr>
                <w:rFonts w:ascii="Times New Roman" w:hAnsi="Times New Roman" w:cs="Times New Roman"/>
                <w:b/>
                <w:sz w:val="18"/>
                <w:szCs w:val="18"/>
              </w:rPr>
              <w:t>Variables</w:t>
            </w:r>
          </w:p>
        </w:tc>
        <w:tc>
          <w:tcPr>
            <w:tcW w:w="1843" w:type="dxa"/>
            <w:gridSpan w:val="2"/>
            <w:tcBorders>
              <w:top w:val="single" w:sz="4" w:space="0" w:color="auto"/>
              <w:bottom w:val="single" w:sz="4" w:space="0" w:color="auto"/>
            </w:tcBorders>
            <w:vAlign w:val="center"/>
          </w:tcPr>
          <w:p w14:paraId="56910D5A" w14:textId="77777777" w:rsidR="005C0A3A" w:rsidRPr="00494D70" w:rsidRDefault="005C0A3A" w:rsidP="003012DB">
            <w:pPr>
              <w:jc w:val="center"/>
              <w:rPr>
                <w:rFonts w:ascii="Times New Roman" w:hAnsi="Times New Roman" w:cs="Times New Roman"/>
                <w:i/>
                <w:iCs/>
                <w:sz w:val="18"/>
                <w:szCs w:val="18"/>
              </w:rPr>
            </w:pPr>
            <w:r w:rsidRPr="00494D70">
              <w:rPr>
                <w:rFonts w:ascii="Times New Roman" w:hAnsi="Times New Roman" w:cs="Times New Roman"/>
                <w:i/>
                <w:iCs/>
                <w:sz w:val="18"/>
                <w:szCs w:val="18"/>
              </w:rPr>
              <w:t>SAQ -9 Total score</w:t>
            </w:r>
          </w:p>
        </w:tc>
        <w:tc>
          <w:tcPr>
            <w:tcW w:w="1843" w:type="dxa"/>
            <w:gridSpan w:val="2"/>
            <w:tcBorders>
              <w:top w:val="single" w:sz="4" w:space="0" w:color="auto"/>
              <w:bottom w:val="single" w:sz="4" w:space="0" w:color="auto"/>
            </w:tcBorders>
            <w:vAlign w:val="center"/>
          </w:tcPr>
          <w:p w14:paraId="15BA0E30" w14:textId="77777777" w:rsidR="005C0A3A" w:rsidRPr="00494D70" w:rsidRDefault="005C0A3A" w:rsidP="003012DB">
            <w:pPr>
              <w:jc w:val="center"/>
              <w:rPr>
                <w:rFonts w:ascii="Times New Roman" w:hAnsi="Times New Roman" w:cs="Times New Roman"/>
                <w:i/>
                <w:iCs/>
                <w:sz w:val="18"/>
                <w:szCs w:val="18"/>
              </w:rPr>
            </w:pPr>
            <w:r w:rsidRPr="00494D70">
              <w:rPr>
                <w:rFonts w:ascii="Times New Roman" w:hAnsi="Times New Roman" w:cs="Times New Roman"/>
                <w:i/>
                <w:iCs/>
                <w:sz w:val="18"/>
                <w:szCs w:val="18"/>
              </w:rPr>
              <w:t>Initiation Total Score</w:t>
            </w:r>
          </w:p>
        </w:tc>
        <w:tc>
          <w:tcPr>
            <w:tcW w:w="1843" w:type="dxa"/>
            <w:gridSpan w:val="2"/>
            <w:tcBorders>
              <w:top w:val="single" w:sz="4" w:space="0" w:color="auto"/>
              <w:bottom w:val="single" w:sz="4" w:space="0" w:color="auto"/>
            </w:tcBorders>
            <w:vAlign w:val="center"/>
          </w:tcPr>
          <w:p w14:paraId="1DBF0EC6" w14:textId="77777777" w:rsidR="005C0A3A" w:rsidRPr="00494D70" w:rsidRDefault="005C0A3A" w:rsidP="003012DB">
            <w:pPr>
              <w:jc w:val="center"/>
              <w:rPr>
                <w:rFonts w:ascii="Times New Roman" w:hAnsi="Times New Roman" w:cs="Times New Roman"/>
                <w:i/>
                <w:iCs/>
                <w:sz w:val="18"/>
                <w:szCs w:val="18"/>
              </w:rPr>
            </w:pPr>
            <w:r w:rsidRPr="00494D70">
              <w:rPr>
                <w:rFonts w:ascii="Times New Roman" w:hAnsi="Times New Roman" w:cs="Times New Roman"/>
                <w:i/>
                <w:iCs/>
                <w:sz w:val="18"/>
                <w:szCs w:val="18"/>
              </w:rPr>
              <w:t>Refusal Total Score</w:t>
            </w:r>
          </w:p>
        </w:tc>
        <w:tc>
          <w:tcPr>
            <w:tcW w:w="1842" w:type="dxa"/>
            <w:gridSpan w:val="2"/>
            <w:tcBorders>
              <w:top w:val="single" w:sz="4" w:space="0" w:color="auto"/>
              <w:bottom w:val="single" w:sz="4" w:space="0" w:color="auto"/>
            </w:tcBorders>
            <w:vAlign w:val="center"/>
          </w:tcPr>
          <w:p w14:paraId="45A67269" w14:textId="77777777" w:rsidR="005C0A3A" w:rsidRPr="00494D70" w:rsidRDefault="005C0A3A" w:rsidP="003012DB">
            <w:pPr>
              <w:jc w:val="center"/>
              <w:rPr>
                <w:rFonts w:ascii="Times New Roman" w:hAnsi="Times New Roman" w:cs="Times New Roman"/>
                <w:i/>
                <w:iCs/>
                <w:sz w:val="18"/>
                <w:szCs w:val="18"/>
              </w:rPr>
            </w:pPr>
            <w:r w:rsidRPr="00494D70">
              <w:rPr>
                <w:rFonts w:ascii="Times New Roman" w:hAnsi="Times New Roman" w:cs="Times New Roman"/>
                <w:i/>
                <w:iCs/>
                <w:sz w:val="18"/>
                <w:szCs w:val="18"/>
              </w:rPr>
              <w:t>Risk communication Total Score</w:t>
            </w:r>
          </w:p>
        </w:tc>
      </w:tr>
      <w:tr w:rsidR="005C0A3A" w:rsidRPr="00494D70" w14:paraId="1A3C2610" w14:textId="77777777" w:rsidTr="003012DB">
        <w:tc>
          <w:tcPr>
            <w:tcW w:w="1701" w:type="dxa"/>
            <w:tcBorders>
              <w:top w:val="single" w:sz="4" w:space="0" w:color="auto"/>
            </w:tcBorders>
          </w:tcPr>
          <w:p w14:paraId="4FCBF7E7" w14:textId="77777777" w:rsidR="005C0A3A" w:rsidRPr="00494D70" w:rsidRDefault="005C0A3A" w:rsidP="003012DB">
            <w:pPr>
              <w:rPr>
                <w:rFonts w:ascii="Times New Roman" w:hAnsi="Times New Roman" w:cs="Times New Roman"/>
                <w:b/>
                <w:sz w:val="18"/>
                <w:szCs w:val="18"/>
              </w:rPr>
            </w:pPr>
            <w:r w:rsidRPr="00494D70">
              <w:rPr>
                <w:rFonts w:ascii="Times New Roman" w:hAnsi="Times New Roman" w:cs="Times New Roman"/>
                <w:b/>
                <w:sz w:val="18"/>
                <w:szCs w:val="18"/>
              </w:rPr>
              <w:t>Gender</w:t>
            </w:r>
          </w:p>
        </w:tc>
        <w:tc>
          <w:tcPr>
            <w:tcW w:w="1134" w:type="dxa"/>
            <w:tcBorders>
              <w:top w:val="single" w:sz="4" w:space="0" w:color="auto"/>
            </w:tcBorders>
            <w:vAlign w:val="center"/>
          </w:tcPr>
          <w:p w14:paraId="5EF23E85" w14:textId="77777777" w:rsidR="005C0A3A" w:rsidRPr="00494D70" w:rsidRDefault="005C0A3A" w:rsidP="003012DB">
            <w:pPr>
              <w:jc w:val="center"/>
              <w:rPr>
                <w:rFonts w:ascii="Times New Roman" w:hAnsi="Times New Roman" w:cs="Times New Roman"/>
                <w:bCs/>
                <w:sz w:val="18"/>
                <w:szCs w:val="18"/>
              </w:rPr>
            </w:pPr>
            <w:r w:rsidRPr="00494D70">
              <w:rPr>
                <w:rFonts w:ascii="Times New Roman" w:hAnsi="Times New Roman" w:cs="Times New Roman"/>
                <w:bCs/>
                <w:sz w:val="18"/>
                <w:szCs w:val="18"/>
              </w:rPr>
              <w:t>M</w:t>
            </w:r>
          </w:p>
        </w:tc>
        <w:tc>
          <w:tcPr>
            <w:tcW w:w="709" w:type="dxa"/>
            <w:tcBorders>
              <w:top w:val="single" w:sz="4" w:space="0" w:color="auto"/>
            </w:tcBorders>
            <w:vAlign w:val="center"/>
          </w:tcPr>
          <w:p w14:paraId="0E5559D9" w14:textId="77777777" w:rsidR="005C0A3A" w:rsidRPr="00494D70" w:rsidRDefault="005C0A3A" w:rsidP="003012DB">
            <w:pPr>
              <w:jc w:val="center"/>
              <w:rPr>
                <w:rFonts w:ascii="Times New Roman" w:hAnsi="Times New Roman" w:cs="Times New Roman"/>
                <w:bCs/>
                <w:sz w:val="18"/>
                <w:szCs w:val="18"/>
              </w:rPr>
            </w:pPr>
            <w:r w:rsidRPr="00494D70">
              <w:rPr>
                <w:rFonts w:ascii="Times New Roman" w:hAnsi="Times New Roman" w:cs="Times New Roman"/>
                <w:bCs/>
                <w:sz w:val="18"/>
                <w:szCs w:val="18"/>
              </w:rPr>
              <w:t>SD</w:t>
            </w:r>
          </w:p>
        </w:tc>
        <w:tc>
          <w:tcPr>
            <w:tcW w:w="1134" w:type="dxa"/>
            <w:tcBorders>
              <w:top w:val="single" w:sz="4" w:space="0" w:color="auto"/>
            </w:tcBorders>
            <w:vAlign w:val="center"/>
          </w:tcPr>
          <w:p w14:paraId="7B649206" w14:textId="77777777" w:rsidR="005C0A3A" w:rsidRPr="00494D70" w:rsidRDefault="005C0A3A" w:rsidP="003012DB">
            <w:pPr>
              <w:jc w:val="center"/>
              <w:rPr>
                <w:rFonts w:ascii="Times New Roman" w:hAnsi="Times New Roman" w:cs="Times New Roman"/>
                <w:bCs/>
                <w:sz w:val="18"/>
                <w:szCs w:val="18"/>
              </w:rPr>
            </w:pPr>
            <w:r w:rsidRPr="00494D70">
              <w:rPr>
                <w:rFonts w:ascii="Times New Roman" w:hAnsi="Times New Roman" w:cs="Times New Roman"/>
                <w:bCs/>
                <w:sz w:val="18"/>
                <w:szCs w:val="18"/>
              </w:rPr>
              <w:t>M</w:t>
            </w:r>
          </w:p>
        </w:tc>
        <w:tc>
          <w:tcPr>
            <w:tcW w:w="709" w:type="dxa"/>
            <w:tcBorders>
              <w:top w:val="single" w:sz="4" w:space="0" w:color="auto"/>
            </w:tcBorders>
            <w:vAlign w:val="center"/>
          </w:tcPr>
          <w:p w14:paraId="5C42F939" w14:textId="77777777" w:rsidR="005C0A3A" w:rsidRPr="00494D70" w:rsidRDefault="005C0A3A" w:rsidP="003012DB">
            <w:pPr>
              <w:jc w:val="center"/>
              <w:rPr>
                <w:rFonts w:ascii="Times New Roman" w:hAnsi="Times New Roman" w:cs="Times New Roman"/>
                <w:bCs/>
                <w:sz w:val="18"/>
                <w:szCs w:val="18"/>
              </w:rPr>
            </w:pPr>
            <w:r w:rsidRPr="00494D70">
              <w:rPr>
                <w:rFonts w:ascii="Times New Roman" w:hAnsi="Times New Roman" w:cs="Times New Roman"/>
                <w:bCs/>
                <w:sz w:val="18"/>
                <w:szCs w:val="18"/>
              </w:rPr>
              <w:t>SD</w:t>
            </w:r>
          </w:p>
        </w:tc>
        <w:tc>
          <w:tcPr>
            <w:tcW w:w="1134" w:type="dxa"/>
            <w:tcBorders>
              <w:top w:val="single" w:sz="4" w:space="0" w:color="auto"/>
            </w:tcBorders>
            <w:vAlign w:val="center"/>
          </w:tcPr>
          <w:p w14:paraId="105FE217" w14:textId="77777777" w:rsidR="005C0A3A" w:rsidRPr="00494D70" w:rsidRDefault="005C0A3A" w:rsidP="003012DB">
            <w:pPr>
              <w:jc w:val="center"/>
              <w:rPr>
                <w:rFonts w:ascii="Times New Roman" w:hAnsi="Times New Roman" w:cs="Times New Roman"/>
                <w:bCs/>
                <w:sz w:val="18"/>
                <w:szCs w:val="18"/>
              </w:rPr>
            </w:pPr>
            <w:r w:rsidRPr="00494D70">
              <w:rPr>
                <w:rFonts w:ascii="Times New Roman" w:hAnsi="Times New Roman" w:cs="Times New Roman"/>
                <w:bCs/>
                <w:sz w:val="18"/>
                <w:szCs w:val="18"/>
              </w:rPr>
              <w:t>M</w:t>
            </w:r>
          </w:p>
        </w:tc>
        <w:tc>
          <w:tcPr>
            <w:tcW w:w="709" w:type="dxa"/>
            <w:tcBorders>
              <w:top w:val="single" w:sz="4" w:space="0" w:color="auto"/>
            </w:tcBorders>
            <w:vAlign w:val="center"/>
          </w:tcPr>
          <w:p w14:paraId="497152CA" w14:textId="77777777" w:rsidR="005C0A3A" w:rsidRPr="00494D70" w:rsidRDefault="005C0A3A" w:rsidP="003012DB">
            <w:pPr>
              <w:jc w:val="center"/>
              <w:rPr>
                <w:rFonts w:ascii="Times New Roman" w:hAnsi="Times New Roman" w:cs="Times New Roman"/>
                <w:bCs/>
                <w:sz w:val="18"/>
                <w:szCs w:val="18"/>
              </w:rPr>
            </w:pPr>
            <w:r w:rsidRPr="00494D70">
              <w:rPr>
                <w:rFonts w:ascii="Times New Roman" w:hAnsi="Times New Roman" w:cs="Times New Roman"/>
                <w:bCs/>
                <w:sz w:val="18"/>
                <w:szCs w:val="18"/>
              </w:rPr>
              <w:t>SD</w:t>
            </w:r>
          </w:p>
        </w:tc>
        <w:tc>
          <w:tcPr>
            <w:tcW w:w="1134" w:type="dxa"/>
            <w:tcBorders>
              <w:top w:val="single" w:sz="4" w:space="0" w:color="auto"/>
            </w:tcBorders>
            <w:vAlign w:val="center"/>
          </w:tcPr>
          <w:p w14:paraId="1B81DF55" w14:textId="77777777" w:rsidR="005C0A3A" w:rsidRPr="00494D70" w:rsidRDefault="005C0A3A" w:rsidP="003012DB">
            <w:pPr>
              <w:jc w:val="center"/>
              <w:rPr>
                <w:rFonts w:ascii="Times New Roman" w:hAnsi="Times New Roman" w:cs="Times New Roman"/>
                <w:bCs/>
                <w:sz w:val="18"/>
                <w:szCs w:val="18"/>
              </w:rPr>
            </w:pPr>
            <w:r w:rsidRPr="00494D70">
              <w:rPr>
                <w:rFonts w:ascii="Times New Roman" w:hAnsi="Times New Roman" w:cs="Times New Roman"/>
                <w:bCs/>
                <w:sz w:val="18"/>
                <w:szCs w:val="18"/>
              </w:rPr>
              <w:t>M</w:t>
            </w:r>
          </w:p>
        </w:tc>
        <w:tc>
          <w:tcPr>
            <w:tcW w:w="708" w:type="dxa"/>
            <w:tcBorders>
              <w:top w:val="single" w:sz="4" w:space="0" w:color="auto"/>
            </w:tcBorders>
            <w:vAlign w:val="center"/>
          </w:tcPr>
          <w:p w14:paraId="60619273" w14:textId="77777777" w:rsidR="005C0A3A" w:rsidRPr="00494D70" w:rsidRDefault="005C0A3A" w:rsidP="003012DB">
            <w:pPr>
              <w:jc w:val="center"/>
              <w:rPr>
                <w:rFonts w:ascii="Times New Roman" w:hAnsi="Times New Roman" w:cs="Times New Roman"/>
                <w:bCs/>
                <w:sz w:val="18"/>
                <w:szCs w:val="18"/>
              </w:rPr>
            </w:pPr>
            <w:r w:rsidRPr="00494D70">
              <w:rPr>
                <w:rFonts w:ascii="Times New Roman" w:hAnsi="Times New Roman" w:cs="Times New Roman"/>
                <w:bCs/>
                <w:sz w:val="18"/>
                <w:szCs w:val="18"/>
              </w:rPr>
              <w:t>SD</w:t>
            </w:r>
          </w:p>
        </w:tc>
      </w:tr>
      <w:tr w:rsidR="005C0A3A" w:rsidRPr="00494D70" w14:paraId="145F232C" w14:textId="77777777" w:rsidTr="003012DB">
        <w:tc>
          <w:tcPr>
            <w:tcW w:w="1701" w:type="dxa"/>
            <w:vAlign w:val="center"/>
          </w:tcPr>
          <w:p w14:paraId="108CF6F4" w14:textId="77777777" w:rsidR="005C0A3A" w:rsidRPr="00494D70" w:rsidRDefault="005C0A3A" w:rsidP="003012DB">
            <w:pPr>
              <w:ind w:left="179"/>
              <w:rPr>
                <w:rFonts w:ascii="Times New Roman" w:eastAsia="Times New Roman" w:hAnsi="Times New Roman" w:cs="Times New Roman"/>
                <w:color w:val="000000"/>
                <w:sz w:val="18"/>
                <w:szCs w:val="18"/>
                <w:lang w:eastAsia="en-CA"/>
              </w:rPr>
            </w:pPr>
            <w:r w:rsidRPr="00494D70">
              <w:rPr>
                <w:rFonts w:ascii="Times New Roman" w:eastAsia="Times New Roman" w:hAnsi="Times New Roman" w:cs="Times New Roman"/>
                <w:color w:val="000000"/>
                <w:sz w:val="18"/>
                <w:szCs w:val="18"/>
                <w:lang w:eastAsia="en-CA"/>
              </w:rPr>
              <w:t xml:space="preserve">Man </w:t>
            </w:r>
          </w:p>
        </w:tc>
        <w:tc>
          <w:tcPr>
            <w:tcW w:w="1134" w:type="dxa"/>
            <w:vAlign w:val="center"/>
          </w:tcPr>
          <w:p w14:paraId="0AEA988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42.87</w:t>
            </w:r>
          </w:p>
        </w:tc>
        <w:tc>
          <w:tcPr>
            <w:tcW w:w="709" w:type="dxa"/>
            <w:vAlign w:val="center"/>
          </w:tcPr>
          <w:p w14:paraId="64EA3B1F"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9.39</w:t>
            </w:r>
          </w:p>
        </w:tc>
        <w:tc>
          <w:tcPr>
            <w:tcW w:w="1134" w:type="dxa"/>
            <w:vAlign w:val="center"/>
          </w:tcPr>
          <w:p w14:paraId="08EB0A6D"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16.57</w:t>
            </w:r>
          </w:p>
        </w:tc>
        <w:tc>
          <w:tcPr>
            <w:tcW w:w="709" w:type="dxa"/>
            <w:vAlign w:val="center"/>
          </w:tcPr>
          <w:p w14:paraId="3BFBBC3C"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3.82</w:t>
            </w:r>
          </w:p>
        </w:tc>
        <w:tc>
          <w:tcPr>
            <w:tcW w:w="1134" w:type="dxa"/>
            <w:vAlign w:val="center"/>
          </w:tcPr>
          <w:p w14:paraId="43710BF5"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14.74</w:t>
            </w:r>
          </w:p>
        </w:tc>
        <w:tc>
          <w:tcPr>
            <w:tcW w:w="709" w:type="dxa"/>
            <w:vAlign w:val="center"/>
          </w:tcPr>
          <w:p w14:paraId="62E49EC0"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3.86</w:t>
            </w:r>
          </w:p>
        </w:tc>
        <w:tc>
          <w:tcPr>
            <w:tcW w:w="1134" w:type="dxa"/>
            <w:vAlign w:val="center"/>
          </w:tcPr>
          <w:p w14:paraId="77AB296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11.53</w:t>
            </w:r>
          </w:p>
        </w:tc>
        <w:tc>
          <w:tcPr>
            <w:tcW w:w="708" w:type="dxa"/>
            <w:vAlign w:val="center"/>
          </w:tcPr>
          <w:p w14:paraId="7C6045B5"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5.67</w:t>
            </w:r>
          </w:p>
        </w:tc>
      </w:tr>
      <w:tr w:rsidR="005C0A3A" w:rsidRPr="00494D70" w14:paraId="2CD92B90" w14:textId="77777777" w:rsidTr="003012DB">
        <w:tc>
          <w:tcPr>
            <w:tcW w:w="1701" w:type="dxa"/>
            <w:vAlign w:val="center"/>
          </w:tcPr>
          <w:p w14:paraId="20D5108D" w14:textId="77777777" w:rsidR="005C0A3A" w:rsidRPr="00494D70" w:rsidRDefault="005C0A3A" w:rsidP="003012DB">
            <w:pPr>
              <w:ind w:left="179"/>
              <w:rPr>
                <w:rFonts w:ascii="Times New Roman" w:eastAsia="Times New Roman" w:hAnsi="Times New Roman" w:cs="Times New Roman"/>
                <w:color w:val="000000"/>
                <w:sz w:val="18"/>
                <w:szCs w:val="18"/>
                <w:lang w:eastAsia="en-CA"/>
              </w:rPr>
            </w:pPr>
            <w:r w:rsidRPr="00494D70">
              <w:rPr>
                <w:rFonts w:ascii="Times New Roman" w:eastAsia="Times New Roman" w:hAnsi="Times New Roman" w:cs="Times New Roman"/>
                <w:color w:val="000000"/>
                <w:sz w:val="18"/>
                <w:szCs w:val="18"/>
                <w:lang w:eastAsia="en-CA"/>
              </w:rPr>
              <w:t>Woman</w:t>
            </w:r>
          </w:p>
        </w:tc>
        <w:tc>
          <w:tcPr>
            <w:tcW w:w="1134" w:type="dxa"/>
            <w:vAlign w:val="center"/>
          </w:tcPr>
          <w:p w14:paraId="28E8A23A"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45.94</w:t>
            </w:r>
          </w:p>
        </w:tc>
        <w:tc>
          <w:tcPr>
            <w:tcW w:w="709" w:type="dxa"/>
            <w:vAlign w:val="center"/>
          </w:tcPr>
          <w:p w14:paraId="7FA45CF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9.54</w:t>
            </w:r>
          </w:p>
        </w:tc>
        <w:tc>
          <w:tcPr>
            <w:tcW w:w="1134" w:type="dxa"/>
            <w:vAlign w:val="center"/>
          </w:tcPr>
          <w:p w14:paraId="5F8F5E06"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16.71</w:t>
            </w:r>
          </w:p>
        </w:tc>
        <w:tc>
          <w:tcPr>
            <w:tcW w:w="709" w:type="dxa"/>
            <w:vAlign w:val="center"/>
          </w:tcPr>
          <w:p w14:paraId="1A16F468"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3.83</w:t>
            </w:r>
          </w:p>
        </w:tc>
        <w:tc>
          <w:tcPr>
            <w:tcW w:w="1134" w:type="dxa"/>
            <w:vAlign w:val="center"/>
          </w:tcPr>
          <w:p w14:paraId="7DAB06A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15.44</w:t>
            </w:r>
          </w:p>
        </w:tc>
        <w:tc>
          <w:tcPr>
            <w:tcW w:w="709" w:type="dxa"/>
            <w:vAlign w:val="center"/>
          </w:tcPr>
          <w:p w14:paraId="252B42CF"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3.94</w:t>
            </w:r>
          </w:p>
        </w:tc>
        <w:tc>
          <w:tcPr>
            <w:tcW w:w="1134" w:type="dxa"/>
            <w:vAlign w:val="center"/>
          </w:tcPr>
          <w:p w14:paraId="07AEC8B5"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13.78</w:t>
            </w:r>
          </w:p>
        </w:tc>
        <w:tc>
          <w:tcPr>
            <w:tcW w:w="708" w:type="dxa"/>
            <w:vAlign w:val="center"/>
          </w:tcPr>
          <w:p w14:paraId="5756827F"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5.44</w:t>
            </w:r>
          </w:p>
        </w:tc>
      </w:tr>
      <w:tr w:rsidR="005C0A3A" w:rsidRPr="00494D70" w14:paraId="036663A8" w14:textId="77777777" w:rsidTr="003012DB">
        <w:tc>
          <w:tcPr>
            <w:tcW w:w="1701" w:type="dxa"/>
            <w:vAlign w:val="center"/>
          </w:tcPr>
          <w:p w14:paraId="2268FC98" w14:textId="77777777" w:rsidR="005C0A3A" w:rsidRPr="00494D70" w:rsidRDefault="005C0A3A" w:rsidP="003012DB">
            <w:pPr>
              <w:ind w:left="179"/>
              <w:rPr>
                <w:rFonts w:ascii="Times New Roman" w:eastAsia="Times New Roman" w:hAnsi="Times New Roman" w:cs="Times New Roman"/>
                <w:color w:val="000000"/>
                <w:sz w:val="18"/>
                <w:szCs w:val="18"/>
                <w:lang w:eastAsia="en-CA"/>
              </w:rPr>
            </w:pPr>
            <w:r w:rsidRPr="00494D70">
              <w:rPr>
                <w:rFonts w:ascii="Times New Roman" w:eastAsia="Times New Roman" w:hAnsi="Times New Roman" w:cs="Times New Roman"/>
                <w:color w:val="000000"/>
                <w:sz w:val="18"/>
                <w:szCs w:val="18"/>
                <w:lang w:eastAsia="en-CA"/>
              </w:rPr>
              <w:t>Gender-diverse individuals</w:t>
            </w:r>
          </w:p>
        </w:tc>
        <w:tc>
          <w:tcPr>
            <w:tcW w:w="1134" w:type="dxa"/>
            <w:tcBorders>
              <w:bottom w:val="single" w:sz="4" w:space="0" w:color="auto"/>
            </w:tcBorders>
            <w:vAlign w:val="center"/>
          </w:tcPr>
          <w:p w14:paraId="30AF1F6C"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46.59</w:t>
            </w:r>
          </w:p>
        </w:tc>
        <w:tc>
          <w:tcPr>
            <w:tcW w:w="709" w:type="dxa"/>
            <w:tcBorders>
              <w:bottom w:val="single" w:sz="4" w:space="0" w:color="auto"/>
            </w:tcBorders>
            <w:vAlign w:val="center"/>
          </w:tcPr>
          <w:p w14:paraId="495541A8"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9.83</w:t>
            </w:r>
          </w:p>
        </w:tc>
        <w:tc>
          <w:tcPr>
            <w:tcW w:w="1134" w:type="dxa"/>
            <w:tcBorders>
              <w:bottom w:val="single" w:sz="4" w:space="0" w:color="auto"/>
            </w:tcBorders>
            <w:vAlign w:val="center"/>
          </w:tcPr>
          <w:p w14:paraId="66C4B88C"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16.86</w:t>
            </w:r>
          </w:p>
        </w:tc>
        <w:tc>
          <w:tcPr>
            <w:tcW w:w="709" w:type="dxa"/>
            <w:tcBorders>
              <w:bottom w:val="single" w:sz="4" w:space="0" w:color="auto"/>
            </w:tcBorders>
            <w:vAlign w:val="center"/>
          </w:tcPr>
          <w:p w14:paraId="23E8CFFE"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3.84</w:t>
            </w:r>
          </w:p>
        </w:tc>
        <w:tc>
          <w:tcPr>
            <w:tcW w:w="1134" w:type="dxa"/>
            <w:tcBorders>
              <w:bottom w:val="single" w:sz="4" w:space="0" w:color="auto"/>
            </w:tcBorders>
            <w:vAlign w:val="center"/>
          </w:tcPr>
          <w:p w14:paraId="358003CA"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15.43</w:t>
            </w:r>
          </w:p>
        </w:tc>
        <w:tc>
          <w:tcPr>
            <w:tcW w:w="709" w:type="dxa"/>
            <w:tcBorders>
              <w:bottom w:val="single" w:sz="4" w:space="0" w:color="auto"/>
            </w:tcBorders>
            <w:vAlign w:val="center"/>
          </w:tcPr>
          <w:p w14:paraId="0B1E1EEC"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4.32</w:t>
            </w:r>
          </w:p>
        </w:tc>
        <w:tc>
          <w:tcPr>
            <w:tcW w:w="1134" w:type="dxa"/>
            <w:tcBorders>
              <w:bottom w:val="single" w:sz="4" w:space="0" w:color="auto"/>
            </w:tcBorders>
            <w:vAlign w:val="center"/>
          </w:tcPr>
          <w:p w14:paraId="1D95029A"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14.29</w:t>
            </w:r>
          </w:p>
        </w:tc>
        <w:tc>
          <w:tcPr>
            <w:tcW w:w="708" w:type="dxa"/>
            <w:tcBorders>
              <w:bottom w:val="single" w:sz="4" w:space="0" w:color="auto"/>
            </w:tcBorders>
            <w:vAlign w:val="center"/>
          </w:tcPr>
          <w:p w14:paraId="789190A1"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5.36</w:t>
            </w:r>
          </w:p>
        </w:tc>
      </w:tr>
      <w:tr w:rsidR="005C0A3A" w:rsidRPr="00494D70" w14:paraId="4D829DAA" w14:textId="77777777" w:rsidTr="003012DB">
        <w:tc>
          <w:tcPr>
            <w:tcW w:w="1701" w:type="dxa"/>
            <w:vAlign w:val="center"/>
          </w:tcPr>
          <w:p w14:paraId="0A09DE8E" w14:textId="77777777" w:rsidR="005C0A3A" w:rsidRPr="00494D70" w:rsidRDefault="005C0A3A" w:rsidP="003012DB">
            <w:pPr>
              <w:ind w:left="179"/>
              <w:rPr>
                <w:rFonts w:ascii="Times New Roman" w:eastAsia="Times New Roman" w:hAnsi="Times New Roman" w:cs="Times New Roman"/>
                <w:color w:val="000000"/>
                <w:sz w:val="18"/>
                <w:szCs w:val="18"/>
                <w:lang w:eastAsia="en-CA"/>
              </w:rPr>
            </w:pPr>
          </w:p>
        </w:tc>
        <w:tc>
          <w:tcPr>
            <w:tcW w:w="7371" w:type="dxa"/>
            <w:gridSpan w:val="8"/>
            <w:tcBorders>
              <w:bottom w:val="single" w:sz="4" w:space="0" w:color="auto"/>
            </w:tcBorders>
            <w:vAlign w:val="center"/>
          </w:tcPr>
          <w:p w14:paraId="37AB9BBE" w14:textId="77777777" w:rsidR="005C0A3A" w:rsidRPr="00494D70" w:rsidRDefault="005C0A3A" w:rsidP="003012DB">
            <w:pPr>
              <w:tabs>
                <w:tab w:val="left" w:pos="2115"/>
              </w:tabs>
              <w:jc w:val="center"/>
              <w:rPr>
                <w:rFonts w:ascii="Times New Roman" w:hAnsi="Times New Roman" w:cs="Times New Roman"/>
                <w:sz w:val="18"/>
                <w:szCs w:val="18"/>
              </w:rPr>
            </w:pPr>
            <w:r w:rsidRPr="00494D70">
              <w:rPr>
                <w:rFonts w:ascii="Times New Roman" w:hAnsi="Times New Roman" w:cs="Times New Roman"/>
                <w:sz w:val="18"/>
                <w:szCs w:val="18"/>
              </w:rPr>
              <w:t>Kruskal-Wallis Test</w:t>
            </w:r>
          </w:p>
        </w:tc>
      </w:tr>
      <w:tr w:rsidR="005C0A3A" w:rsidRPr="00494D70" w14:paraId="723F400A" w14:textId="77777777" w:rsidTr="003012DB">
        <w:tc>
          <w:tcPr>
            <w:tcW w:w="1701" w:type="dxa"/>
            <w:vAlign w:val="center"/>
          </w:tcPr>
          <w:p w14:paraId="26E77433" w14:textId="77777777" w:rsidR="005C0A3A" w:rsidRPr="00494D70" w:rsidRDefault="005C0A3A" w:rsidP="003012DB">
            <w:pPr>
              <w:ind w:left="179"/>
              <w:rPr>
                <w:rFonts w:ascii="Times New Roman" w:eastAsia="Times New Roman" w:hAnsi="Times New Roman" w:cs="Times New Roman"/>
                <w:color w:val="000000"/>
                <w:sz w:val="18"/>
                <w:szCs w:val="18"/>
                <w:lang w:eastAsia="en-CA"/>
              </w:rPr>
            </w:pPr>
          </w:p>
        </w:tc>
        <w:tc>
          <w:tcPr>
            <w:tcW w:w="1134" w:type="dxa"/>
            <w:tcBorders>
              <w:bottom w:val="single" w:sz="4" w:space="0" w:color="auto"/>
            </w:tcBorders>
            <w:vAlign w:val="center"/>
          </w:tcPr>
          <w:p w14:paraId="1861A285"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H</w:t>
            </w:r>
          </w:p>
        </w:tc>
        <w:tc>
          <w:tcPr>
            <w:tcW w:w="709" w:type="dxa"/>
            <w:tcBorders>
              <w:bottom w:val="single" w:sz="4" w:space="0" w:color="auto"/>
            </w:tcBorders>
            <w:vAlign w:val="center"/>
          </w:tcPr>
          <w:p w14:paraId="74A4818F"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i/>
                <w:iCs/>
                <w:sz w:val="18"/>
                <w:szCs w:val="18"/>
              </w:rPr>
              <w:t>η</w:t>
            </w:r>
            <w:r w:rsidRPr="00494D70">
              <w:rPr>
                <w:rFonts w:ascii="Times New Roman" w:hAnsi="Times New Roman" w:cs="Times New Roman"/>
                <w:i/>
                <w:iCs/>
                <w:sz w:val="18"/>
                <w:szCs w:val="18"/>
                <w:vertAlign w:val="superscript"/>
              </w:rPr>
              <w:t>2</w:t>
            </w:r>
          </w:p>
        </w:tc>
        <w:tc>
          <w:tcPr>
            <w:tcW w:w="1134" w:type="dxa"/>
            <w:tcBorders>
              <w:bottom w:val="single" w:sz="4" w:space="0" w:color="auto"/>
            </w:tcBorders>
            <w:vAlign w:val="center"/>
          </w:tcPr>
          <w:p w14:paraId="660B4275"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H</w:t>
            </w:r>
          </w:p>
        </w:tc>
        <w:tc>
          <w:tcPr>
            <w:tcW w:w="709" w:type="dxa"/>
            <w:tcBorders>
              <w:bottom w:val="single" w:sz="4" w:space="0" w:color="auto"/>
            </w:tcBorders>
            <w:vAlign w:val="center"/>
          </w:tcPr>
          <w:p w14:paraId="590177EA"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i/>
                <w:iCs/>
                <w:sz w:val="18"/>
                <w:szCs w:val="18"/>
              </w:rPr>
              <w:t>η</w:t>
            </w:r>
            <w:r w:rsidRPr="00494D70">
              <w:rPr>
                <w:rFonts w:ascii="Times New Roman" w:hAnsi="Times New Roman" w:cs="Times New Roman"/>
                <w:i/>
                <w:iCs/>
                <w:sz w:val="18"/>
                <w:szCs w:val="18"/>
                <w:vertAlign w:val="superscript"/>
              </w:rPr>
              <w:t>2</w:t>
            </w:r>
          </w:p>
        </w:tc>
        <w:tc>
          <w:tcPr>
            <w:tcW w:w="1134" w:type="dxa"/>
            <w:tcBorders>
              <w:bottom w:val="single" w:sz="4" w:space="0" w:color="auto"/>
            </w:tcBorders>
            <w:vAlign w:val="center"/>
          </w:tcPr>
          <w:p w14:paraId="28623E0D"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H</w:t>
            </w:r>
          </w:p>
        </w:tc>
        <w:tc>
          <w:tcPr>
            <w:tcW w:w="709" w:type="dxa"/>
            <w:tcBorders>
              <w:bottom w:val="single" w:sz="4" w:space="0" w:color="auto"/>
            </w:tcBorders>
            <w:vAlign w:val="center"/>
          </w:tcPr>
          <w:p w14:paraId="5BF33DBB"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i/>
                <w:iCs/>
                <w:sz w:val="18"/>
                <w:szCs w:val="18"/>
              </w:rPr>
              <w:t>η</w:t>
            </w:r>
            <w:r w:rsidRPr="00494D70">
              <w:rPr>
                <w:rFonts w:ascii="Times New Roman" w:hAnsi="Times New Roman" w:cs="Times New Roman"/>
                <w:i/>
                <w:iCs/>
                <w:sz w:val="18"/>
                <w:szCs w:val="18"/>
                <w:vertAlign w:val="superscript"/>
              </w:rPr>
              <w:t>2</w:t>
            </w:r>
          </w:p>
        </w:tc>
        <w:tc>
          <w:tcPr>
            <w:tcW w:w="1134" w:type="dxa"/>
            <w:tcBorders>
              <w:bottom w:val="single" w:sz="4" w:space="0" w:color="auto"/>
            </w:tcBorders>
            <w:vAlign w:val="center"/>
          </w:tcPr>
          <w:p w14:paraId="1D9413F0"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H</w:t>
            </w:r>
          </w:p>
        </w:tc>
        <w:tc>
          <w:tcPr>
            <w:tcW w:w="708" w:type="dxa"/>
            <w:tcBorders>
              <w:bottom w:val="single" w:sz="4" w:space="0" w:color="auto"/>
            </w:tcBorders>
            <w:vAlign w:val="center"/>
          </w:tcPr>
          <w:p w14:paraId="54CDB255"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i/>
                <w:iCs/>
                <w:sz w:val="18"/>
                <w:szCs w:val="18"/>
              </w:rPr>
              <w:t>η</w:t>
            </w:r>
            <w:r w:rsidRPr="00494D70">
              <w:rPr>
                <w:rFonts w:ascii="Times New Roman" w:hAnsi="Times New Roman" w:cs="Times New Roman"/>
                <w:i/>
                <w:iCs/>
                <w:sz w:val="18"/>
                <w:szCs w:val="18"/>
                <w:vertAlign w:val="superscript"/>
              </w:rPr>
              <w:t>2</w:t>
            </w:r>
          </w:p>
        </w:tc>
      </w:tr>
      <w:tr w:rsidR="005C0A3A" w:rsidRPr="00494D70" w14:paraId="3AE1EFF9" w14:textId="77777777" w:rsidTr="003012DB">
        <w:tc>
          <w:tcPr>
            <w:tcW w:w="1701" w:type="dxa"/>
            <w:tcBorders>
              <w:bottom w:val="single" w:sz="4" w:space="0" w:color="auto"/>
            </w:tcBorders>
            <w:vAlign w:val="center"/>
          </w:tcPr>
          <w:p w14:paraId="7F88C5AD" w14:textId="77777777" w:rsidR="005C0A3A" w:rsidRPr="00494D70" w:rsidRDefault="005C0A3A" w:rsidP="003012DB">
            <w:pPr>
              <w:ind w:left="179"/>
              <w:rPr>
                <w:rFonts w:ascii="Times New Roman" w:eastAsia="Times New Roman" w:hAnsi="Times New Roman" w:cs="Times New Roman"/>
                <w:color w:val="000000"/>
                <w:sz w:val="18"/>
                <w:szCs w:val="18"/>
                <w:lang w:eastAsia="en-CA"/>
              </w:rPr>
            </w:pPr>
          </w:p>
        </w:tc>
        <w:tc>
          <w:tcPr>
            <w:tcW w:w="1134" w:type="dxa"/>
            <w:tcBorders>
              <w:bottom w:val="single" w:sz="4" w:space="0" w:color="auto"/>
            </w:tcBorders>
            <w:vAlign w:val="center"/>
          </w:tcPr>
          <w:p w14:paraId="3D147C6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1,764.80*</w:t>
            </w:r>
          </w:p>
        </w:tc>
        <w:tc>
          <w:tcPr>
            <w:tcW w:w="709" w:type="dxa"/>
            <w:tcBorders>
              <w:bottom w:val="single" w:sz="4" w:space="0" w:color="auto"/>
            </w:tcBorders>
            <w:vAlign w:val="center"/>
          </w:tcPr>
          <w:p w14:paraId="55F54D50" w14:textId="4FAD360B"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.027</w:t>
            </w:r>
          </w:p>
        </w:tc>
        <w:tc>
          <w:tcPr>
            <w:tcW w:w="1134" w:type="dxa"/>
            <w:tcBorders>
              <w:bottom w:val="single" w:sz="4" w:space="0" w:color="auto"/>
            </w:tcBorders>
            <w:vAlign w:val="center"/>
          </w:tcPr>
          <w:p w14:paraId="3EA3E45B"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41.53*</w:t>
            </w:r>
          </w:p>
        </w:tc>
        <w:tc>
          <w:tcPr>
            <w:tcW w:w="709" w:type="dxa"/>
            <w:tcBorders>
              <w:bottom w:val="single" w:sz="4" w:space="0" w:color="auto"/>
            </w:tcBorders>
            <w:vAlign w:val="center"/>
          </w:tcPr>
          <w:p w14:paraId="307C5F49" w14:textId="42FF2EFE"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.001</w:t>
            </w:r>
          </w:p>
        </w:tc>
        <w:tc>
          <w:tcPr>
            <w:tcW w:w="1134" w:type="dxa"/>
            <w:tcBorders>
              <w:bottom w:val="single" w:sz="4" w:space="0" w:color="auto"/>
            </w:tcBorders>
            <w:vAlign w:val="center"/>
          </w:tcPr>
          <w:p w14:paraId="2E604066"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563.95*</w:t>
            </w:r>
          </w:p>
        </w:tc>
        <w:tc>
          <w:tcPr>
            <w:tcW w:w="709" w:type="dxa"/>
            <w:tcBorders>
              <w:bottom w:val="single" w:sz="4" w:space="0" w:color="auto"/>
            </w:tcBorders>
            <w:vAlign w:val="center"/>
          </w:tcPr>
          <w:p w14:paraId="3D934A78" w14:textId="52BAAECC"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.009</w:t>
            </w:r>
          </w:p>
        </w:tc>
        <w:tc>
          <w:tcPr>
            <w:tcW w:w="1134" w:type="dxa"/>
            <w:tcBorders>
              <w:bottom w:val="single" w:sz="4" w:space="0" w:color="auto"/>
            </w:tcBorders>
            <w:vAlign w:val="center"/>
          </w:tcPr>
          <w:p w14:paraId="569CA706"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2,487.62*</w:t>
            </w:r>
          </w:p>
        </w:tc>
        <w:tc>
          <w:tcPr>
            <w:tcW w:w="708" w:type="dxa"/>
            <w:tcBorders>
              <w:bottom w:val="single" w:sz="4" w:space="0" w:color="auto"/>
            </w:tcBorders>
            <w:vAlign w:val="center"/>
          </w:tcPr>
          <w:p w14:paraId="52C06B51" w14:textId="5ED0B0DC"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.038</w:t>
            </w:r>
          </w:p>
        </w:tc>
      </w:tr>
      <w:tr w:rsidR="005C0A3A" w:rsidRPr="00494D70" w14:paraId="19D584E5" w14:textId="77777777" w:rsidTr="003012DB">
        <w:tc>
          <w:tcPr>
            <w:tcW w:w="1701" w:type="dxa"/>
            <w:tcBorders>
              <w:top w:val="single" w:sz="4" w:space="0" w:color="auto"/>
            </w:tcBorders>
            <w:vAlign w:val="center"/>
          </w:tcPr>
          <w:p w14:paraId="08BFEC5E" w14:textId="77777777" w:rsidR="005C0A3A" w:rsidRPr="00494D70" w:rsidRDefault="005C0A3A" w:rsidP="003012DB">
            <w:pPr>
              <w:rPr>
                <w:rFonts w:ascii="Times New Roman" w:hAnsi="Times New Roman" w:cs="Times New Roman"/>
                <w:sz w:val="18"/>
                <w:szCs w:val="18"/>
              </w:rPr>
            </w:pPr>
            <w:r w:rsidRPr="00494D70">
              <w:rPr>
                <w:rFonts w:ascii="Times New Roman" w:hAnsi="Times New Roman" w:cs="Times New Roman"/>
                <w:b/>
                <w:sz w:val="18"/>
                <w:szCs w:val="18"/>
              </w:rPr>
              <w:t>Sexual orientation</w:t>
            </w:r>
          </w:p>
        </w:tc>
        <w:tc>
          <w:tcPr>
            <w:tcW w:w="1134" w:type="dxa"/>
            <w:tcBorders>
              <w:top w:val="single" w:sz="4" w:space="0" w:color="auto"/>
            </w:tcBorders>
            <w:vAlign w:val="center"/>
          </w:tcPr>
          <w:p w14:paraId="45DB7B82"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M</w:t>
            </w:r>
          </w:p>
        </w:tc>
        <w:tc>
          <w:tcPr>
            <w:tcW w:w="709" w:type="dxa"/>
            <w:tcBorders>
              <w:top w:val="single" w:sz="4" w:space="0" w:color="auto"/>
            </w:tcBorders>
            <w:vAlign w:val="center"/>
          </w:tcPr>
          <w:p w14:paraId="101E0E42"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SD</w:t>
            </w:r>
          </w:p>
        </w:tc>
        <w:tc>
          <w:tcPr>
            <w:tcW w:w="1134" w:type="dxa"/>
            <w:tcBorders>
              <w:top w:val="single" w:sz="4" w:space="0" w:color="auto"/>
            </w:tcBorders>
            <w:vAlign w:val="center"/>
          </w:tcPr>
          <w:p w14:paraId="6C15C042"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M</w:t>
            </w:r>
          </w:p>
        </w:tc>
        <w:tc>
          <w:tcPr>
            <w:tcW w:w="709" w:type="dxa"/>
            <w:tcBorders>
              <w:top w:val="single" w:sz="4" w:space="0" w:color="auto"/>
            </w:tcBorders>
            <w:vAlign w:val="center"/>
          </w:tcPr>
          <w:p w14:paraId="197D8C5B"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SD</w:t>
            </w:r>
          </w:p>
        </w:tc>
        <w:tc>
          <w:tcPr>
            <w:tcW w:w="1134" w:type="dxa"/>
            <w:tcBorders>
              <w:top w:val="single" w:sz="4" w:space="0" w:color="auto"/>
            </w:tcBorders>
            <w:vAlign w:val="center"/>
          </w:tcPr>
          <w:p w14:paraId="007E3396"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M</w:t>
            </w:r>
          </w:p>
        </w:tc>
        <w:tc>
          <w:tcPr>
            <w:tcW w:w="709" w:type="dxa"/>
            <w:tcBorders>
              <w:top w:val="single" w:sz="4" w:space="0" w:color="auto"/>
            </w:tcBorders>
            <w:vAlign w:val="center"/>
          </w:tcPr>
          <w:p w14:paraId="048DC1A2"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SD</w:t>
            </w:r>
          </w:p>
        </w:tc>
        <w:tc>
          <w:tcPr>
            <w:tcW w:w="1134" w:type="dxa"/>
            <w:tcBorders>
              <w:top w:val="single" w:sz="4" w:space="0" w:color="auto"/>
            </w:tcBorders>
            <w:vAlign w:val="center"/>
          </w:tcPr>
          <w:p w14:paraId="4D4A29E9"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M</w:t>
            </w:r>
          </w:p>
        </w:tc>
        <w:tc>
          <w:tcPr>
            <w:tcW w:w="708" w:type="dxa"/>
            <w:tcBorders>
              <w:top w:val="single" w:sz="4" w:space="0" w:color="auto"/>
            </w:tcBorders>
            <w:vAlign w:val="center"/>
          </w:tcPr>
          <w:p w14:paraId="3136AE9D"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SD</w:t>
            </w:r>
          </w:p>
        </w:tc>
      </w:tr>
      <w:tr w:rsidR="005C0A3A" w:rsidRPr="00494D70" w14:paraId="70B79E24" w14:textId="77777777" w:rsidTr="003012DB">
        <w:tc>
          <w:tcPr>
            <w:tcW w:w="1701" w:type="dxa"/>
          </w:tcPr>
          <w:p w14:paraId="2F580016" w14:textId="77777777" w:rsidR="005C0A3A" w:rsidRPr="00494D70" w:rsidRDefault="005C0A3A" w:rsidP="003012DB">
            <w:pPr>
              <w:ind w:left="179"/>
              <w:rPr>
                <w:rFonts w:ascii="Times New Roman" w:hAnsi="Times New Roman" w:cs="Times New Roman"/>
                <w:sz w:val="18"/>
                <w:szCs w:val="18"/>
              </w:rPr>
            </w:pPr>
            <w:r w:rsidRPr="00494D70">
              <w:rPr>
                <w:rFonts w:ascii="Times New Roman" w:hAnsi="Times New Roman" w:cs="Times New Roman"/>
                <w:sz w:val="18"/>
                <w:szCs w:val="18"/>
              </w:rPr>
              <w:t>Heterosexual</w:t>
            </w:r>
          </w:p>
        </w:tc>
        <w:tc>
          <w:tcPr>
            <w:tcW w:w="1134" w:type="dxa"/>
            <w:vAlign w:val="center"/>
          </w:tcPr>
          <w:p w14:paraId="5E081CFD"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44.28</w:t>
            </w:r>
          </w:p>
        </w:tc>
        <w:tc>
          <w:tcPr>
            <w:tcW w:w="709" w:type="dxa"/>
            <w:vAlign w:val="center"/>
          </w:tcPr>
          <w:p w14:paraId="784CFD4F"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9.58</w:t>
            </w:r>
          </w:p>
        </w:tc>
        <w:tc>
          <w:tcPr>
            <w:tcW w:w="1134" w:type="dxa"/>
            <w:vAlign w:val="center"/>
          </w:tcPr>
          <w:p w14:paraId="3C9EB304"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16.63</w:t>
            </w:r>
          </w:p>
        </w:tc>
        <w:tc>
          <w:tcPr>
            <w:tcW w:w="709" w:type="dxa"/>
            <w:vAlign w:val="center"/>
          </w:tcPr>
          <w:p w14:paraId="2F4668E9"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3.82</w:t>
            </w:r>
          </w:p>
        </w:tc>
        <w:tc>
          <w:tcPr>
            <w:tcW w:w="1134" w:type="dxa"/>
            <w:vAlign w:val="center"/>
          </w:tcPr>
          <w:p w14:paraId="3B337EEC"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15.08</w:t>
            </w:r>
          </w:p>
        </w:tc>
        <w:tc>
          <w:tcPr>
            <w:tcW w:w="709" w:type="dxa"/>
            <w:vAlign w:val="center"/>
          </w:tcPr>
          <w:p w14:paraId="4198FA20"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3.87</w:t>
            </w:r>
          </w:p>
        </w:tc>
        <w:tc>
          <w:tcPr>
            <w:tcW w:w="1134" w:type="dxa"/>
            <w:vAlign w:val="center"/>
          </w:tcPr>
          <w:p w14:paraId="24C08806"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12.55</w:t>
            </w:r>
          </w:p>
        </w:tc>
        <w:tc>
          <w:tcPr>
            <w:tcW w:w="708" w:type="dxa"/>
            <w:vAlign w:val="center"/>
          </w:tcPr>
          <w:p w14:paraId="092F2553"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5.71</w:t>
            </w:r>
          </w:p>
        </w:tc>
      </w:tr>
      <w:tr w:rsidR="005C0A3A" w:rsidRPr="00494D70" w14:paraId="3B72219A" w14:textId="77777777" w:rsidTr="003012DB">
        <w:tc>
          <w:tcPr>
            <w:tcW w:w="1701" w:type="dxa"/>
          </w:tcPr>
          <w:p w14:paraId="4F3AC5BC" w14:textId="77777777" w:rsidR="005C0A3A" w:rsidRPr="00494D70" w:rsidRDefault="005C0A3A" w:rsidP="003012DB">
            <w:pPr>
              <w:ind w:left="179"/>
              <w:rPr>
                <w:rFonts w:ascii="Times New Roman" w:hAnsi="Times New Roman" w:cs="Times New Roman"/>
                <w:sz w:val="18"/>
                <w:szCs w:val="18"/>
              </w:rPr>
            </w:pPr>
            <w:r w:rsidRPr="00494D70">
              <w:rPr>
                <w:rFonts w:ascii="Times New Roman" w:hAnsi="Times New Roman" w:cs="Times New Roman"/>
                <w:sz w:val="18"/>
                <w:szCs w:val="18"/>
              </w:rPr>
              <w:t>Gay or lesbian</w:t>
            </w:r>
          </w:p>
        </w:tc>
        <w:tc>
          <w:tcPr>
            <w:tcW w:w="1134" w:type="dxa"/>
            <w:vAlign w:val="center"/>
          </w:tcPr>
          <w:p w14:paraId="1CC0A47A"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45.55</w:t>
            </w:r>
          </w:p>
        </w:tc>
        <w:tc>
          <w:tcPr>
            <w:tcW w:w="709" w:type="dxa"/>
            <w:vAlign w:val="center"/>
          </w:tcPr>
          <w:p w14:paraId="2572945E"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9.42</w:t>
            </w:r>
          </w:p>
        </w:tc>
        <w:tc>
          <w:tcPr>
            <w:tcW w:w="1134" w:type="dxa"/>
            <w:vAlign w:val="center"/>
          </w:tcPr>
          <w:p w14:paraId="37B2AEE5"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16.48</w:t>
            </w:r>
          </w:p>
        </w:tc>
        <w:tc>
          <w:tcPr>
            <w:tcW w:w="709" w:type="dxa"/>
            <w:vAlign w:val="center"/>
          </w:tcPr>
          <w:p w14:paraId="5CEC4B60"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3.91</w:t>
            </w:r>
          </w:p>
        </w:tc>
        <w:tc>
          <w:tcPr>
            <w:tcW w:w="1134" w:type="dxa"/>
            <w:vAlign w:val="center"/>
          </w:tcPr>
          <w:p w14:paraId="701486F3"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15.85</w:t>
            </w:r>
          </w:p>
        </w:tc>
        <w:tc>
          <w:tcPr>
            <w:tcW w:w="709" w:type="dxa"/>
            <w:vAlign w:val="center"/>
          </w:tcPr>
          <w:p w14:paraId="5E8A19C0"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3.90</w:t>
            </w:r>
          </w:p>
        </w:tc>
        <w:tc>
          <w:tcPr>
            <w:tcW w:w="1134" w:type="dxa"/>
            <w:vAlign w:val="center"/>
          </w:tcPr>
          <w:p w14:paraId="730AD62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13.21</w:t>
            </w:r>
          </w:p>
        </w:tc>
        <w:tc>
          <w:tcPr>
            <w:tcW w:w="708" w:type="dxa"/>
            <w:vAlign w:val="center"/>
          </w:tcPr>
          <w:p w14:paraId="01C69C98"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5.47</w:t>
            </w:r>
          </w:p>
        </w:tc>
      </w:tr>
      <w:tr w:rsidR="005C0A3A" w:rsidRPr="00494D70" w14:paraId="16D7A0D3" w14:textId="77777777" w:rsidTr="003012DB">
        <w:tc>
          <w:tcPr>
            <w:tcW w:w="1701" w:type="dxa"/>
          </w:tcPr>
          <w:p w14:paraId="247FD522" w14:textId="77777777" w:rsidR="005C0A3A" w:rsidRPr="00494D70" w:rsidRDefault="005C0A3A" w:rsidP="003012DB">
            <w:pPr>
              <w:ind w:left="179"/>
              <w:rPr>
                <w:rFonts w:ascii="Times New Roman" w:hAnsi="Times New Roman" w:cs="Times New Roman"/>
                <w:sz w:val="18"/>
                <w:szCs w:val="18"/>
              </w:rPr>
            </w:pPr>
            <w:r w:rsidRPr="00494D70">
              <w:rPr>
                <w:rFonts w:ascii="Times New Roman" w:hAnsi="Times New Roman" w:cs="Times New Roman"/>
                <w:sz w:val="18"/>
                <w:szCs w:val="18"/>
              </w:rPr>
              <w:t>Bisexual</w:t>
            </w:r>
          </w:p>
        </w:tc>
        <w:tc>
          <w:tcPr>
            <w:tcW w:w="1134" w:type="dxa"/>
            <w:vAlign w:val="center"/>
          </w:tcPr>
          <w:p w14:paraId="57204F12"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46.44</w:t>
            </w:r>
          </w:p>
        </w:tc>
        <w:tc>
          <w:tcPr>
            <w:tcW w:w="709" w:type="dxa"/>
            <w:vAlign w:val="center"/>
          </w:tcPr>
          <w:p w14:paraId="0D86379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9.57</w:t>
            </w:r>
          </w:p>
        </w:tc>
        <w:tc>
          <w:tcPr>
            <w:tcW w:w="1134" w:type="dxa"/>
            <w:vAlign w:val="center"/>
          </w:tcPr>
          <w:p w14:paraId="710F4B5B"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17.02</w:t>
            </w:r>
          </w:p>
        </w:tc>
        <w:tc>
          <w:tcPr>
            <w:tcW w:w="709" w:type="dxa"/>
            <w:vAlign w:val="center"/>
          </w:tcPr>
          <w:p w14:paraId="72CAE86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3.74</w:t>
            </w:r>
          </w:p>
        </w:tc>
        <w:tc>
          <w:tcPr>
            <w:tcW w:w="1134" w:type="dxa"/>
            <w:vAlign w:val="center"/>
          </w:tcPr>
          <w:p w14:paraId="6D42AB7B"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15.46</w:t>
            </w:r>
          </w:p>
        </w:tc>
        <w:tc>
          <w:tcPr>
            <w:tcW w:w="709" w:type="dxa"/>
            <w:vAlign w:val="center"/>
          </w:tcPr>
          <w:p w14:paraId="31B97576"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4.10</w:t>
            </w:r>
          </w:p>
        </w:tc>
        <w:tc>
          <w:tcPr>
            <w:tcW w:w="1134" w:type="dxa"/>
            <w:vAlign w:val="center"/>
          </w:tcPr>
          <w:p w14:paraId="32DBF95F"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13.95</w:t>
            </w:r>
          </w:p>
        </w:tc>
        <w:tc>
          <w:tcPr>
            <w:tcW w:w="708" w:type="dxa"/>
            <w:vAlign w:val="center"/>
          </w:tcPr>
          <w:p w14:paraId="3BFA929F"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5.40</w:t>
            </w:r>
          </w:p>
        </w:tc>
      </w:tr>
      <w:tr w:rsidR="005C0A3A" w:rsidRPr="00494D70" w14:paraId="5341580A" w14:textId="77777777" w:rsidTr="003012DB">
        <w:tc>
          <w:tcPr>
            <w:tcW w:w="1701" w:type="dxa"/>
          </w:tcPr>
          <w:p w14:paraId="694187EE" w14:textId="77777777" w:rsidR="005C0A3A" w:rsidRPr="00494D70" w:rsidRDefault="005C0A3A" w:rsidP="003012DB">
            <w:pPr>
              <w:ind w:left="179"/>
              <w:rPr>
                <w:rFonts w:ascii="Times New Roman" w:hAnsi="Times New Roman" w:cs="Times New Roman"/>
                <w:sz w:val="18"/>
                <w:szCs w:val="18"/>
              </w:rPr>
            </w:pPr>
            <w:r w:rsidRPr="00494D70">
              <w:rPr>
                <w:rFonts w:ascii="Times New Roman" w:hAnsi="Times New Roman" w:cs="Times New Roman"/>
                <w:sz w:val="18"/>
                <w:szCs w:val="18"/>
              </w:rPr>
              <w:t>Queer and pansexual</w:t>
            </w:r>
          </w:p>
        </w:tc>
        <w:tc>
          <w:tcPr>
            <w:tcW w:w="1134" w:type="dxa"/>
            <w:vAlign w:val="center"/>
          </w:tcPr>
          <w:p w14:paraId="1208A808"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47.28</w:t>
            </w:r>
          </w:p>
        </w:tc>
        <w:tc>
          <w:tcPr>
            <w:tcW w:w="709" w:type="dxa"/>
            <w:vAlign w:val="center"/>
          </w:tcPr>
          <w:p w14:paraId="7122E3F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9.67</w:t>
            </w:r>
          </w:p>
        </w:tc>
        <w:tc>
          <w:tcPr>
            <w:tcW w:w="1134" w:type="dxa"/>
            <w:vAlign w:val="center"/>
          </w:tcPr>
          <w:p w14:paraId="6290693F"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17.13</w:t>
            </w:r>
          </w:p>
        </w:tc>
        <w:tc>
          <w:tcPr>
            <w:tcW w:w="709" w:type="dxa"/>
            <w:vAlign w:val="center"/>
          </w:tcPr>
          <w:p w14:paraId="5922931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3.77</w:t>
            </w:r>
          </w:p>
        </w:tc>
        <w:tc>
          <w:tcPr>
            <w:tcW w:w="1134" w:type="dxa"/>
            <w:vAlign w:val="center"/>
          </w:tcPr>
          <w:p w14:paraId="1E71C734"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15.56</w:t>
            </w:r>
          </w:p>
        </w:tc>
        <w:tc>
          <w:tcPr>
            <w:tcW w:w="709" w:type="dxa"/>
            <w:vAlign w:val="center"/>
          </w:tcPr>
          <w:p w14:paraId="0DF3D44F"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4.29</w:t>
            </w:r>
          </w:p>
        </w:tc>
        <w:tc>
          <w:tcPr>
            <w:tcW w:w="1134" w:type="dxa"/>
            <w:vAlign w:val="center"/>
          </w:tcPr>
          <w:p w14:paraId="5E2499F0"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14.59</w:t>
            </w:r>
          </w:p>
        </w:tc>
        <w:tc>
          <w:tcPr>
            <w:tcW w:w="708" w:type="dxa"/>
            <w:vAlign w:val="center"/>
          </w:tcPr>
          <w:p w14:paraId="3D3271B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5.21</w:t>
            </w:r>
          </w:p>
        </w:tc>
      </w:tr>
      <w:tr w:rsidR="005C0A3A" w:rsidRPr="00494D70" w14:paraId="40D834DB" w14:textId="77777777" w:rsidTr="003012DB">
        <w:tc>
          <w:tcPr>
            <w:tcW w:w="1701" w:type="dxa"/>
          </w:tcPr>
          <w:p w14:paraId="0CDB5A51" w14:textId="77777777" w:rsidR="005C0A3A" w:rsidRPr="00494D70" w:rsidRDefault="005C0A3A" w:rsidP="003012DB">
            <w:pPr>
              <w:ind w:left="179"/>
              <w:rPr>
                <w:rFonts w:ascii="Times New Roman" w:hAnsi="Times New Roman" w:cs="Times New Roman"/>
                <w:sz w:val="18"/>
                <w:szCs w:val="18"/>
              </w:rPr>
            </w:pPr>
            <w:r w:rsidRPr="00494D70">
              <w:rPr>
                <w:rFonts w:ascii="Times New Roman" w:hAnsi="Times New Roman" w:cs="Times New Roman"/>
                <w:sz w:val="18"/>
                <w:szCs w:val="18"/>
              </w:rPr>
              <w:t>Homo- and heteroflexible identities</w:t>
            </w:r>
          </w:p>
        </w:tc>
        <w:tc>
          <w:tcPr>
            <w:tcW w:w="1134" w:type="dxa"/>
            <w:vAlign w:val="center"/>
          </w:tcPr>
          <w:p w14:paraId="5624915E"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45.52</w:t>
            </w:r>
          </w:p>
        </w:tc>
        <w:tc>
          <w:tcPr>
            <w:tcW w:w="709" w:type="dxa"/>
            <w:vAlign w:val="center"/>
          </w:tcPr>
          <w:p w14:paraId="53E9A8FA"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9.29</w:t>
            </w:r>
          </w:p>
        </w:tc>
        <w:tc>
          <w:tcPr>
            <w:tcW w:w="1134" w:type="dxa"/>
            <w:vAlign w:val="center"/>
          </w:tcPr>
          <w:p w14:paraId="460452E4"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16.71</w:t>
            </w:r>
          </w:p>
        </w:tc>
        <w:tc>
          <w:tcPr>
            <w:tcW w:w="709" w:type="dxa"/>
            <w:vAlign w:val="center"/>
          </w:tcPr>
          <w:p w14:paraId="2EECC70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3.74</w:t>
            </w:r>
          </w:p>
        </w:tc>
        <w:tc>
          <w:tcPr>
            <w:tcW w:w="1134" w:type="dxa"/>
            <w:vAlign w:val="center"/>
          </w:tcPr>
          <w:p w14:paraId="4C9C14FC"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15.15</w:t>
            </w:r>
          </w:p>
        </w:tc>
        <w:tc>
          <w:tcPr>
            <w:tcW w:w="709" w:type="dxa"/>
            <w:vAlign w:val="center"/>
          </w:tcPr>
          <w:p w14:paraId="1ADDDF4A"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3.92</w:t>
            </w:r>
          </w:p>
        </w:tc>
        <w:tc>
          <w:tcPr>
            <w:tcW w:w="1134" w:type="dxa"/>
            <w:vAlign w:val="center"/>
          </w:tcPr>
          <w:p w14:paraId="4CCBE842"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13.65</w:t>
            </w:r>
          </w:p>
        </w:tc>
        <w:tc>
          <w:tcPr>
            <w:tcW w:w="708" w:type="dxa"/>
            <w:vAlign w:val="center"/>
          </w:tcPr>
          <w:p w14:paraId="459A05AA"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5.31</w:t>
            </w:r>
          </w:p>
        </w:tc>
      </w:tr>
      <w:tr w:rsidR="005C0A3A" w:rsidRPr="00494D70" w14:paraId="7465FAFF" w14:textId="77777777" w:rsidTr="003012DB">
        <w:tc>
          <w:tcPr>
            <w:tcW w:w="1701" w:type="dxa"/>
          </w:tcPr>
          <w:p w14:paraId="41709731" w14:textId="77777777" w:rsidR="005C0A3A" w:rsidRPr="00494D70" w:rsidRDefault="005C0A3A" w:rsidP="003012DB">
            <w:pPr>
              <w:ind w:left="179"/>
              <w:rPr>
                <w:rFonts w:ascii="Times New Roman" w:hAnsi="Times New Roman" w:cs="Times New Roman"/>
                <w:sz w:val="18"/>
                <w:szCs w:val="18"/>
              </w:rPr>
            </w:pPr>
            <w:r w:rsidRPr="00494D70">
              <w:rPr>
                <w:rFonts w:ascii="Times New Roman" w:hAnsi="Times New Roman" w:cs="Times New Roman"/>
                <w:sz w:val="18"/>
                <w:szCs w:val="18"/>
              </w:rPr>
              <w:t>Asexual</w:t>
            </w:r>
          </w:p>
        </w:tc>
        <w:tc>
          <w:tcPr>
            <w:tcW w:w="1134" w:type="dxa"/>
            <w:vAlign w:val="center"/>
          </w:tcPr>
          <w:p w14:paraId="17650048"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43.16</w:t>
            </w:r>
          </w:p>
        </w:tc>
        <w:tc>
          <w:tcPr>
            <w:tcW w:w="709" w:type="dxa"/>
            <w:vAlign w:val="center"/>
          </w:tcPr>
          <w:p w14:paraId="18C8769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10.88</w:t>
            </w:r>
          </w:p>
        </w:tc>
        <w:tc>
          <w:tcPr>
            <w:tcW w:w="1134" w:type="dxa"/>
            <w:vAlign w:val="center"/>
          </w:tcPr>
          <w:p w14:paraId="5D7A4DAE"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15.42</w:t>
            </w:r>
          </w:p>
        </w:tc>
        <w:tc>
          <w:tcPr>
            <w:tcW w:w="709" w:type="dxa"/>
            <w:vAlign w:val="center"/>
          </w:tcPr>
          <w:p w14:paraId="3802E959"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4.41</w:t>
            </w:r>
          </w:p>
        </w:tc>
        <w:tc>
          <w:tcPr>
            <w:tcW w:w="1134" w:type="dxa"/>
            <w:vAlign w:val="center"/>
          </w:tcPr>
          <w:p w14:paraId="62BECCB4"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14.14</w:t>
            </w:r>
          </w:p>
        </w:tc>
        <w:tc>
          <w:tcPr>
            <w:tcW w:w="709" w:type="dxa"/>
            <w:vAlign w:val="center"/>
          </w:tcPr>
          <w:p w14:paraId="4CBFF945"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4.64</w:t>
            </w:r>
          </w:p>
        </w:tc>
        <w:tc>
          <w:tcPr>
            <w:tcW w:w="1134" w:type="dxa"/>
            <w:vAlign w:val="center"/>
          </w:tcPr>
          <w:p w14:paraId="7BCAAAC6"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13.65</w:t>
            </w:r>
          </w:p>
        </w:tc>
        <w:tc>
          <w:tcPr>
            <w:tcW w:w="708" w:type="dxa"/>
            <w:vAlign w:val="center"/>
          </w:tcPr>
          <w:p w14:paraId="29065E8C"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5.49</w:t>
            </w:r>
          </w:p>
        </w:tc>
      </w:tr>
      <w:tr w:rsidR="005C0A3A" w:rsidRPr="00494D70" w14:paraId="043E36E1" w14:textId="77777777" w:rsidTr="003012DB">
        <w:tc>
          <w:tcPr>
            <w:tcW w:w="1701" w:type="dxa"/>
          </w:tcPr>
          <w:p w14:paraId="075AF630" w14:textId="77777777" w:rsidR="005C0A3A" w:rsidRPr="00494D70" w:rsidRDefault="005C0A3A" w:rsidP="003012DB">
            <w:pPr>
              <w:ind w:left="179"/>
              <w:rPr>
                <w:rFonts w:ascii="Times New Roman" w:hAnsi="Times New Roman" w:cs="Times New Roman"/>
                <w:sz w:val="18"/>
                <w:szCs w:val="18"/>
              </w:rPr>
            </w:pPr>
            <w:r w:rsidRPr="00494D70">
              <w:rPr>
                <w:rFonts w:ascii="Times New Roman" w:hAnsi="Times New Roman" w:cs="Times New Roman"/>
                <w:sz w:val="18"/>
                <w:szCs w:val="18"/>
              </w:rPr>
              <w:t>Questioning</w:t>
            </w:r>
          </w:p>
        </w:tc>
        <w:tc>
          <w:tcPr>
            <w:tcW w:w="1134" w:type="dxa"/>
            <w:vAlign w:val="center"/>
          </w:tcPr>
          <w:p w14:paraId="47A33221"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43.67</w:t>
            </w:r>
          </w:p>
        </w:tc>
        <w:tc>
          <w:tcPr>
            <w:tcW w:w="709" w:type="dxa"/>
            <w:vAlign w:val="center"/>
          </w:tcPr>
          <w:p w14:paraId="5AC6F9A6"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10.19</w:t>
            </w:r>
          </w:p>
        </w:tc>
        <w:tc>
          <w:tcPr>
            <w:tcW w:w="1134" w:type="dxa"/>
            <w:vAlign w:val="center"/>
          </w:tcPr>
          <w:p w14:paraId="1E643118"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15.96</w:t>
            </w:r>
          </w:p>
        </w:tc>
        <w:tc>
          <w:tcPr>
            <w:tcW w:w="709" w:type="dxa"/>
            <w:vAlign w:val="center"/>
          </w:tcPr>
          <w:p w14:paraId="04BC2CC1"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4.19</w:t>
            </w:r>
          </w:p>
        </w:tc>
        <w:tc>
          <w:tcPr>
            <w:tcW w:w="1134" w:type="dxa"/>
            <w:vAlign w:val="center"/>
          </w:tcPr>
          <w:p w14:paraId="420DA315"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14.39</w:t>
            </w:r>
          </w:p>
        </w:tc>
        <w:tc>
          <w:tcPr>
            <w:tcW w:w="709" w:type="dxa"/>
            <w:vAlign w:val="center"/>
          </w:tcPr>
          <w:p w14:paraId="20363499"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4.31</w:t>
            </w:r>
          </w:p>
        </w:tc>
        <w:tc>
          <w:tcPr>
            <w:tcW w:w="1134" w:type="dxa"/>
            <w:vAlign w:val="center"/>
          </w:tcPr>
          <w:p w14:paraId="5A8C8E7F"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13.32</w:t>
            </w:r>
          </w:p>
        </w:tc>
        <w:tc>
          <w:tcPr>
            <w:tcW w:w="708" w:type="dxa"/>
            <w:vAlign w:val="center"/>
          </w:tcPr>
          <w:p w14:paraId="5D4391D3"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5.49</w:t>
            </w:r>
          </w:p>
        </w:tc>
      </w:tr>
      <w:tr w:rsidR="005C0A3A" w:rsidRPr="00494D70" w14:paraId="74C7BB27" w14:textId="77777777" w:rsidTr="003012DB">
        <w:tc>
          <w:tcPr>
            <w:tcW w:w="1701" w:type="dxa"/>
          </w:tcPr>
          <w:p w14:paraId="61CC0671" w14:textId="77777777" w:rsidR="005C0A3A" w:rsidRPr="00494D70" w:rsidRDefault="005C0A3A" w:rsidP="003012DB">
            <w:pPr>
              <w:ind w:left="179"/>
              <w:rPr>
                <w:rFonts w:ascii="Times New Roman" w:hAnsi="Times New Roman" w:cs="Times New Roman"/>
                <w:sz w:val="18"/>
                <w:szCs w:val="18"/>
              </w:rPr>
            </w:pPr>
            <w:r w:rsidRPr="00494D70">
              <w:rPr>
                <w:rFonts w:ascii="Times New Roman" w:hAnsi="Times New Roman" w:cs="Times New Roman"/>
                <w:sz w:val="18"/>
                <w:szCs w:val="18"/>
              </w:rPr>
              <w:t>Other</w:t>
            </w:r>
          </w:p>
        </w:tc>
        <w:tc>
          <w:tcPr>
            <w:tcW w:w="1134" w:type="dxa"/>
            <w:tcBorders>
              <w:bottom w:val="single" w:sz="4" w:space="0" w:color="auto"/>
            </w:tcBorders>
            <w:vAlign w:val="center"/>
          </w:tcPr>
          <w:p w14:paraId="6B1FF96F"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45.09</w:t>
            </w:r>
          </w:p>
        </w:tc>
        <w:tc>
          <w:tcPr>
            <w:tcW w:w="709" w:type="dxa"/>
            <w:tcBorders>
              <w:bottom w:val="single" w:sz="4" w:space="0" w:color="auto"/>
            </w:tcBorders>
            <w:vAlign w:val="center"/>
          </w:tcPr>
          <w:p w14:paraId="44B1161A"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10.34</w:t>
            </w:r>
          </w:p>
        </w:tc>
        <w:tc>
          <w:tcPr>
            <w:tcW w:w="1134" w:type="dxa"/>
            <w:tcBorders>
              <w:bottom w:val="single" w:sz="4" w:space="0" w:color="auto"/>
            </w:tcBorders>
            <w:vAlign w:val="center"/>
          </w:tcPr>
          <w:p w14:paraId="58A9CA2C"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16.38</w:t>
            </w:r>
          </w:p>
        </w:tc>
        <w:tc>
          <w:tcPr>
            <w:tcW w:w="709" w:type="dxa"/>
            <w:tcBorders>
              <w:bottom w:val="single" w:sz="4" w:space="0" w:color="auto"/>
            </w:tcBorders>
            <w:vAlign w:val="center"/>
          </w:tcPr>
          <w:p w14:paraId="04BDD4F4"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4.36</w:t>
            </w:r>
          </w:p>
        </w:tc>
        <w:tc>
          <w:tcPr>
            <w:tcW w:w="1134" w:type="dxa"/>
            <w:tcBorders>
              <w:bottom w:val="single" w:sz="4" w:space="0" w:color="auto"/>
            </w:tcBorders>
            <w:vAlign w:val="center"/>
          </w:tcPr>
          <w:p w14:paraId="019F3563"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14.89</w:t>
            </w:r>
          </w:p>
        </w:tc>
        <w:tc>
          <w:tcPr>
            <w:tcW w:w="709" w:type="dxa"/>
            <w:tcBorders>
              <w:bottom w:val="single" w:sz="4" w:space="0" w:color="auto"/>
            </w:tcBorders>
            <w:vAlign w:val="center"/>
          </w:tcPr>
          <w:p w14:paraId="53CFD8E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4.31</w:t>
            </w:r>
          </w:p>
        </w:tc>
        <w:tc>
          <w:tcPr>
            <w:tcW w:w="1134" w:type="dxa"/>
            <w:tcBorders>
              <w:bottom w:val="single" w:sz="4" w:space="0" w:color="auto"/>
            </w:tcBorders>
            <w:vAlign w:val="center"/>
          </w:tcPr>
          <w:p w14:paraId="67C0E9C3"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13.83</w:t>
            </w:r>
          </w:p>
        </w:tc>
        <w:tc>
          <w:tcPr>
            <w:tcW w:w="708" w:type="dxa"/>
            <w:tcBorders>
              <w:bottom w:val="single" w:sz="4" w:space="0" w:color="auto"/>
            </w:tcBorders>
            <w:vAlign w:val="center"/>
          </w:tcPr>
          <w:p w14:paraId="6ED4CCF5"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5.54</w:t>
            </w:r>
          </w:p>
        </w:tc>
      </w:tr>
      <w:tr w:rsidR="005C0A3A" w:rsidRPr="00494D70" w14:paraId="05A3E634" w14:textId="77777777" w:rsidTr="003012DB">
        <w:tc>
          <w:tcPr>
            <w:tcW w:w="1701" w:type="dxa"/>
          </w:tcPr>
          <w:p w14:paraId="2D63B397" w14:textId="77777777" w:rsidR="005C0A3A" w:rsidRPr="00494D70" w:rsidRDefault="005C0A3A" w:rsidP="003012DB">
            <w:pPr>
              <w:ind w:left="179"/>
              <w:rPr>
                <w:rFonts w:ascii="Times New Roman" w:hAnsi="Times New Roman" w:cs="Times New Roman"/>
                <w:sz w:val="18"/>
                <w:szCs w:val="18"/>
              </w:rPr>
            </w:pPr>
          </w:p>
        </w:tc>
        <w:tc>
          <w:tcPr>
            <w:tcW w:w="7371" w:type="dxa"/>
            <w:gridSpan w:val="8"/>
            <w:tcBorders>
              <w:bottom w:val="single" w:sz="4" w:space="0" w:color="auto"/>
            </w:tcBorders>
            <w:vAlign w:val="center"/>
          </w:tcPr>
          <w:p w14:paraId="64ED7B66"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Kruskal-Wallis Test</w:t>
            </w:r>
          </w:p>
        </w:tc>
      </w:tr>
      <w:tr w:rsidR="005C0A3A" w:rsidRPr="00494D70" w14:paraId="7F69B92A" w14:textId="77777777" w:rsidTr="003012DB">
        <w:tc>
          <w:tcPr>
            <w:tcW w:w="1701" w:type="dxa"/>
          </w:tcPr>
          <w:p w14:paraId="7BC30CD0" w14:textId="77777777" w:rsidR="005C0A3A" w:rsidRPr="00494D70" w:rsidRDefault="005C0A3A" w:rsidP="003012DB">
            <w:pPr>
              <w:ind w:left="179"/>
              <w:rPr>
                <w:rFonts w:ascii="Times New Roman" w:hAnsi="Times New Roman" w:cs="Times New Roman"/>
                <w:sz w:val="18"/>
                <w:szCs w:val="18"/>
              </w:rPr>
            </w:pPr>
          </w:p>
        </w:tc>
        <w:tc>
          <w:tcPr>
            <w:tcW w:w="1134" w:type="dxa"/>
            <w:tcBorders>
              <w:bottom w:val="single" w:sz="4" w:space="0" w:color="auto"/>
            </w:tcBorders>
            <w:vAlign w:val="center"/>
          </w:tcPr>
          <w:p w14:paraId="04CF830C"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H</w:t>
            </w:r>
          </w:p>
        </w:tc>
        <w:tc>
          <w:tcPr>
            <w:tcW w:w="709" w:type="dxa"/>
            <w:tcBorders>
              <w:bottom w:val="single" w:sz="4" w:space="0" w:color="auto"/>
            </w:tcBorders>
            <w:vAlign w:val="center"/>
          </w:tcPr>
          <w:p w14:paraId="27E32406"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i/>
                <w:iCs/>
                <w:sz w:val="18"/>
                <w:szCs w:val="18"/>
              </w:rPr>
              <w:t>η</w:t>
            </w:r>
            <w:r w:rsidRPr="00494D70">
              <w:rPr>
                <w:rFonts w:ascii="Times New Roman" w:hAnsi="Times New Roman" w:cs="Times New Roman"/>
                <w:i/>
                <w:iCs/>
                <w:sz w:val="18"/>
                <w:szCs w:val="18"/>
                <w:vertAlign w:val="superscript"/>
              </w:rPr>
              <w:t>2</w:t>
            </w:r>
          </w:p>
        </w:tc>
        <w:tc>
          <w:tcPr>
            <w:tcW w:w="1134" w:type="dxa"/>
            <w:tcBorders>
              <w:bottom w:val="single" w:sz="4" w:space="0" w:color="auto"/>
            </w:tcBorders>
            <w:vAlign w:val="center"/>
          </w:tcPr>
          <w:p w14:paraId="4FE9CAA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H</w:t>
            </w:r>
          </w:p>
        </w:tc>
        <w:tc>
          <w:tcPr>
            <w:tcW w:w="709" w:type="dxa"/>
            <w:tcBorders>
              <w:bottom w:val="single" w:sz="4" w:space="0" w:color="auto"/>
            </w:tcBorders>
            <w:vAlign w:val="center"/>
          </w:tcPr>
          <w:p w14:paraId="571045A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i/>
                <w:iCs/>
                <w:sz w:val="18"/>
                <w:szCs w:val="18"/>
              </w:rPr>
              <w:t>η</w:t>
            </w:r>
            <w:r w:rsidRPr="00494D70">
              <w:rPr>
                <w:rFonts w:ascii="Times New Roman" w:hAnsi="Times New Roman" w:cs="Times New Roman"/>
                <w:i/>
                <w:iCs/>
                <w:sz w:val="18"/>
                <w:szCs w:val="18"/>
                <w:vertAlign w:val="superscript"/>
              </w:rPr>
              <w:t>2</w:t>
            </w:r>
          </w:p>
        </w:tc>
        <w:tc>
          <w:tcPr>
            <w:tcW w:w="1134" w:type="dxa"/>
            <w:tcBorders>
              <w:bottom w:val="single" w:sz="4" w:space="0" w:color="auto"/>
            </w:tcBorders>
            <w:vAlign w:val="center"/>
          </w:tcPr>
          <w:p w14:paraId="264D0178"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H</w:t>
            </w:r>
          </w:p>
        </w:tc>
        <w:tc>
          <w:tcPr>
            <w:tcW w:w="709" w:type="dxa"/>
            <w:tcBorders>
              <w:bottom w:val="single" w:sz="4" w:space="0" w:color="auto"/>
            </w:tcBorders>
            <w:vAlign w:val="center"/>
          </w:tcPr>
          <w:p w14:paraId="733E1E59"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i/>
                <w:iCs/>
                <w:sz w:val="18"/>
                <w:szCs w:val="18"/>
              </w:rPr>
              <w:t>η</w:t>
            </w:r>
            <w:r w:rsidRPr="00494D70">
              <w:rPr>
                <w:rFonts w:ascii="Times New Roman" w:hAnsi="Times New Roman" w:cs="Times New Roman"/>
                <w:i/>
                <w:iCs/>
                <w:sz w:val="18"/>
                <w:szCs w:val="18"/>
                <w:vertAlign w:val="superscript"/>
              </w:rPr>
              <w:t>2</w:t>
            </w:r>
          </w:p>
        </w:tc>
        <w:tc>
          <w:tcPr>
            <w:tcW w:w="1134" w:type="dxa"/>
            <w:tcBorders>
              <w:bottom w:val="single" w:sz="4" w:space="0" w:color="auto"/>
            </w:tcBorders>
            <w:vAlign w:val="center"/>
          </w:tcPr>
          <w:p w14:paraId="311F40A8"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H</w:t>
            </w:r>
          </w:p>
        </w:tc>
        <w:tc>
          <w:tcPr>
            <w:tcW w:w="708" w:type="dxa"/>
            <w:tcBorders>
              <w:bottom w:val="single" w:sz="4" w:space="0" w:color="auto"/>
            </w:tcBorders>
            <w:vAlign w:val="center"/>
          </w:tcPr>
          <w:p w14:paraId="17003E7B"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i/>
                <w:iCs/>
                <w:sz w:val="18"/>
                <w:szCs w:val="18"/>
              </w:rPr>
              <w:t>η</w:t>
            </w:r>
            <w:r w:rsidRPr="00494D70">
              <w:rPr>
                <w:rFonts w:ascii="Times New Roman" w:hAnsi="Times New Roman" w:cs="Times New Roman"/>
                <w:i/>
                <w:iCs/>
                <w:sz w:val="18"/>
                <w:szCs w:val="18"/>
                <w:vertAlign w:val="superscript"/>
              </w:rPr>
              <w:t>2</w:t>
            </w:r>
          </w:p>
        </w:tc>
      </w:tr>
      <w:tr w:rsidR="005C0A3A" w:rsidRPr="00494D70" w14:paraId="6BD500D8" w14:textId="77777777" w:rsidTr="003012DB">
        <w:tc>
          <w:tcPr>
            <w:tcW w:w="1701" w:type="dxa"/>
            <w:tcBorders>
              <w:bottom w:val="single" w:sz="4" w:space="0" w:color="auto"/>
            </w:tcBorders>
          </w:tcPr>
          <w:p w14:paraId="15F18136" w14:textId="77777777" w:rsidR="005C0A3A" w:rsidRPr="00494D70" w:rsidRDefault="005C0A3A" w:rsidP="003012DB">
            <w:pPr>
              <w:ind w:left="179"/>
              <w:rPr>
                <w:rFonts w:ascii="Times New Roman" w:hAnsi="Times New Roman" w:cs="Times New Roman"/>
                <w:sz w:val="18"/>
                <w:szCs w:val="18"/>
              </w:rPr>
            </w:pPr>
          </w:p>
        </w:tc>
        <w:tc>
          <w:tcPr>
            <w:tcW w:w="1134" w:type="dxa"/>
            <w:tcBorders>
              <w:bottom w:val="single" w:sz="4" w:space="0" w:color="auto"/>
            </w:tcBorders>
            <w:vAlign w:val="center"/>
          </w:tcPr>
          <w:p w14:paraId="6CF6BF51"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577.124*</w:t>
            </w:r>
          </w:p>
        </w:tc>
        <w:tc>
          <w:tcPr>
            <w:tcW w:w="709" w:type="dxa"/>
            <w:tcBorders>
              <w:bottom w:val="single" w:sz="4" w:space="0" w:color="auto"/>
            </w:tcBorders>
            <w:vAlign w:val="center"/>
          </w:tcPr>
          <w:p w14:paraId="51168A4D" w14:textId="071DBF38"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.009</w:t>
            </w:r>
          </w:p>
        </w:tc>
        <w:tc>
          <w:tcPr>
            <w:tcW w:w="1134" w:type="dxa"/>
            <w:tcBorders>
              <w:bottom w:val="single" w:sz="4" w:space="0" w:color="auto"/>
            </w:tcBorders>
            <w:vAlign w:val="center"/>
          </w:tcPr>
          <w:p w14:paraId="68C479D2"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186.39*</w:t>
            </w:r>
          </w:p>
        </w:tc>
        <w:tc>
          <w:tcPr>
            <w:tcW w:w="709" w:type="dxa"/>
            <w:tcBorders>
              <w:bottom w:val="single" w:sz="4" w:space="0" w:color="auto"/>
            </w:tcBorders>
            <w:vAlign w:val="center"/>
          </w:tcPr>
          <w:p w14:paraId="548262ED" w14:textId="1B3D6BE9"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.003</w:t>
            </w:r>
          </w:p>
        </w:tc>
        <w:tc>
          <w:tcPr>
            <w:tcW w:w="1134" w:type="dxa"/>
            <w:tcBorders>
              <w:bottom w:val="single" w:sz="4" w:space="0" w:color="auto"/>
            </w:tcBorders>
            <w:vAlign w:val="center"/>
          </w:tcPr>
          <w:p w14:paraId="2919FEAF"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292.23*</w:t>
            </w:r>
          </w:p>
        </w:tc>
        <w:tc>
          <w:tcPr>
            <w:tcW w:w="709" w:type="dxa"/>
            <w:tcBorders>
              <w:bottom w:val="single" w:sz="4" w:space="0" w:color="auto"/>
            </w:tcBorders>
            <w:vAlign w:val="center"/>
          </w:tcPr>
          <w:p w14:paraId="654C3838" w14:textId="1E6195B3"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.004</w:t>
            </w:r>
          </w:p>
        </w:tc>
        <w:tc>
          <w:tcPr>
            <w:tcW w:w="1134" w:type="dxa"/>
            <w:tcBorders>
              <w:bottom w:val="single" w:sz="4" w:space="0" w:color="auto"/>
            </w:tcBorders>
            <w:vAlign w:val="center"/>
          </w:tcPr>
          <w:p w14:paraId="3815A279"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697.18*</w:t>
            </w:r>
          </w:p>
        </w:tc>
        <w:tc>
          <w:tcPr>
            <w:tcW w:w="708" w:type="dxa"/>
            <w:tcBorders>
              <w:bottom w:val="single" w:sz="4" w:space="0" w:color="auto"/>
            </w:tcBorders>
            <w:vAlign w:val="center"/>
          </w:tcPr>
          <w:p w14:paraId="3106C58A" w14:textId="20B8B584"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.011</w:t>
            </w:r>
          </w:p>
        </w:tc>
      </w:tr>
      <w:tr w:rsidR="005C0A3A" w:rsidRPr="00494D70" w14:paraId="3E8DC3C5" w14:textId="77777777" w:rsidTr="003012DB">
        <w:tc>
          <w:tcPr>
            <w:tcW w:w="1701" w:type="dxa"/>
          </w:tcPr>
          <w:p w14:paraId="658E43C5" w14:textId="77777777" w:rsidR="005C0A3A" w:rsidRPr="00494D70" w:rsidRDefault="005C0A3A" w:rsidP="003012DB">
            <w:pPr>
              <w:rPr>
                <w:rFonts w:ascii="Times New Roman" w:hAnsi="Times New Roman" w:cs="Times New Roman"/>
                <w:sz w:val="18"/>
                <w:szCs w:val="18"/>
              </w:rPr>
            </w:pPr>
            <w:r w:rsidRPr="00494D70">
              <w:rPr>
                <w:rFonts w:ascii="Times New Roman" w:hAnsi="Times New Roman" w:cs="Times New Roman"/>
                <w:b/>
                <w:sz w:val="18"/>
                <w:szCs w:val="18"/>
              </w:rPr>
              <w:t xml:space="preserve">Relationship status </w:t>
            </w:r>
          </w:p>
        </w:tc>
        <w:tc>
          <w:tcPr>
            <w:tcW w:w="1134" w:type="dxa"/>
            <w:vAlign w:val="center"/>
          </w:tcPr>
          <w:p w14:paraId="1DCACC96"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M</w:t>
            </w:r>
          </w:p>
        </w:tc>
        <w:tc>
          <w:tcPr>
            <w:tcW w:w="709" w:type="dxa"/>
            <w:vAlign w:val="center"/>
          </w:tcPr>
          <w:p w14:paraId="08175F2D"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SD</w:t>
            </w:r>
          </w:p>
        </w:tc>
        <w:tc>
          <w:tcPr>
            <w:tcW w:w="1134" w:type="dxa"/>
            <w:vAlign w:val="center"/>
          </w:tcPr>
          <w:p w14:paraId="03AAFC2C"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M</w:t>
            </w:r>
          </w:p>
        </w:tc>
        <w:tc>
          <w:tcPr>
            <w:tcW w:w="709" w:type="dxa"/>
            <w:vAlign w:val="center"/>
          </w:tcPr>
          <w:p w14:paraId="5198C7A6"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SD</w:t>
            </w:r>
          </w:p>
        </w:tc>
        <w:tc>
          <w:tcPr>
            <w:tcW w:w="1134" w:type="dxa"/>
            <w:vAlign w:val="center"/>
          </w:tcPr>
          <w:p w14:paraId="6D3016D3"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M</w:t>
            </w:r>
          </w:p>
        </w:tc>
        <w:tc>
          <w:tcPr>
            <w:tcW w:w="709" w:type="dxa"/>
            <w:vAlign w:val="center"/>
          </w:tcPr>
          <w:p w14:paraId="68E88F9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SD</w:t>
            </w:r>
          </w:p>
        </w:tc>
        <w:tc>
          <w:tcPr>
            <w:tcW w:w="1134" w:type="dxa"/>
            <w:vAlign w:val="center"/>
          </w:tcPr>
          <w:p w14:paraId="3CD98646"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M</w:t>
            </w:r>
          </w:p>
        </w:tc>
        <w:tc>
          <w:tcPr>
            <w:tcW w:w="708" w:type="dxa"/>
            <w:vAlign w:val="center"/>
          </w:tcPr>
          <w:p w14:paraId="0000ECEC"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SD</w:t>
            </w:r>
          </w:p>
        </w:tc>
      </w:tr>
      <w:tr w:rsidR="005C0A3A" w:rsidRPr="00494D70" w14:paraId="48261403" w14:textId="77777777" w:rsidTr="003012DB">
        <w:tc>
          <w:tcPr>
            <w:tcW w:w="1701" w:type="dxa"/>
          </w:tcPr>
          <w:p w14:paraId="5F9C3295" w14:textId="77777777" w:rsidR="005C0A3A" w:rsidRPr="00494D70" w:rsidRDefault="005C0A3A" w:rsidP="003012DB">
            <w:pPr>
              <w:ind w:left="179"/>
              <w:rPr>
                <w:rFonts w:ascii="Times New Roman" w:hAnsi="Times New Roman" w:cs="Times New Roman"/>
                <w:sz w:val="18"/>
                <w:szCs w:val="18"/>
              </w:rPr>
            </w:pPr>
            <w:r w:rsidRPr="00494D70">
              <w:rPr>
                <w:rFonts w:ascii="Times New Roman" w:hAnsi="Times New Roman" w:cs="Times New Roman"/>
                <w:sz w:val="18"/>
                <w:szCs w:val="18"/>
              </w:rPr>
              <w:t>Single</w:t>
            </w:r>
          </w:p>
        </w:tc>
        <w:tc>
          <w:tcPr>
            <w:tcW w:w="1134" w:type="dxa"/>
            <w:vAlign w:val="center"/>
          </w:tcPr>
          <w:p w14:paraId="064D79D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44.10</w:t>
            </w:r>
          </w:p>
        </w:tc>
        <w:tc>
          <w:tcPr>
            <w:tcW w:w="709" w:type="dxa"/>
            <w:vAlign w:val="center"/>
          </w:tcPr>
          <w:p w14:paraId="6547DC4F"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9.45</w:t>
            </w:r>
          </w:p>
        </w:tc>
        <w:tc>
          <w:tcPr>
            <w:tcW w:w="1134" w:type="dxa"/>
            <w:vAlign w:val="center"/>
          </w:tcPr>
          <w:p w14:paraId="10DBAD2D"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16.47</w:t>
            </w:r>
          </w:p>
        </w:tc>
        <w:tc>
          <w:tcPr>
            <w:tcW w:w="709" w:type="dxa"/>
            <w:vAlign w:val="center"/>
          </w:tcPr>
          <w:p w14:paraId="568F4F18"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3.79</w:t>
            </w:r>
          </w:p>
        </w:tc>
        <w:tc>
          <w:tcPr>
            <w:tcW w:w="1134" w:type="dxa"/>
            <w:vAlign w:val="center"/>
          </w:tcPr>
          <w:p w14:paraId="52DA2AF4"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15.16</w:t>
            </w:r>
          </w:p>
        </w:tc>
        <w:tc>
          <w:tcPr>
            <w:tcW w:w="709" w:type="dxa"/>
            <w:vAlign w:val="center"/>
          </w:tcPr>
          <w:p w14:paraId="16AEA750"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4.09</w:t>
            </w:r>
          </w:p>
        </w:tc>
        <w:tc>
          <w:tcPr>
            <w:tcW w:w="1134" w:type="dxa"/>
            <w:vAlign w:val="center"/>
          </w:tcPr>
          <w:p w14:paraId="45556547"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12.47</w:t>
            </w:r>
          </w:p>
        </w:tc>
        <w:tc>
          <w:tcPr>
            <w:tcW w:w="708" w:type="dxa"/>
            <w:vAlign w:val="center"/>
          </w:tcPr>
          <w:p w14:paraId="781B3DFD"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5.30</w:t>
            </w:r>
          </w:p>
        </w:tc>
      </w:tr>
      <w:tr w:rsidR="005C0A3A" w:rsidRPr="00494D70" w14:paraId="3D00FB20" w14:textId="77777777" w:rsidTr="003012DB">
        <w:tc>
          <w:tcPr>
            <w:tcW w:w="1701" w:type="dxa"/>
          </w:tcPr>
          <w:p w14:paraId="77DA8FBA" w14:textId="77777777" w:rsidR="005C0A3A" w:rsidRPr="00494D70" w:rsidRDefault="005C0A3A" w:rsidP="003012DB">
            <w:pPr>
              <w:ind w:left="179"/>
              <w:rPr>
                <w:rFonts w:ascii="Times New Roman" w:hAnsi="Times New Roman" w:cs="Times New Roman"/>
                <w:sz w:val="18"/>
                <w:szCs w:val="18"/>
              </w:rPr>
            </w:pPr>
            <w:r w:rsidRPr="00494D70">
              <w:rPr>
                <w:rFonts w:ascii="Times New Roman" w:hAnsi="Times New Roman" w:cs="Times New Roman"/>
                <w:sz w:val="18"/>
                <w:szCs w:val="18"/>
              </w:rPr>
              <w:t>In a relationship</w:t>
            </w:r>
          </w:p>
        </w:tc>
        <w:tc>
          <w:tcPr>
            <w:tcW w:w="1134" w:type="dxa"/>
            <w:tcBorders>
              <w:bottom w:val="single" w:sz="4" w:space="0" w:color="auto"/>
            </w:tcBorders>
            <w:vAlign w:val="center"/>
          </w:tcPr>
          <w:p w14:paraId="16C8CE34"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44.98</w:t>
            </w:r>
          </w:p>
        </w:tc>
        <w:tc>
          <w:tcPr>
            <w:tcW w:w="709" w:type="dxa"/>
            <w:tcBorders>
              <w:bottom w:val="single" w:sz="4" w:space="0" w:color="auto"/>
            </w:tcBorders>
            <w:vAlign w:val="center"/>
          </w:tcPr>
          <w:p w14:paraId="309B6FA4"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9.66</w:t>
            </w:r>
          </w:p>
        </w:tc>
        <w:tc>
          <w:tcPr>
            <w:tcW w:w="1134" w:type="dxa"/>
            <w:tcBorders>
              <w:bottom w:val="single" w:sz="4" w:space="0" w:color="auto"/>
            </w:tcBorders>
            <w:vAlign w:val="center"/>
          </w:tcPr>
          <w:p w14:paraId="5616BCBF"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16.72</w:t>
            </w:r>
          </w:p>
        </w:tc>
        <w:tc>
          <w:tcPr>
            <w:tcW w:w="709" w:type="dxa"/>
            <w:tcBorders>
              <w:bottom w:val="single" w:sz="4" w:space="0" w:color="auto"/>
            </w:tcBorders>
            <w:vAlign w:val="center"/>
          </w:tcPr>
          <w:p w14:paraId="4153C0E1"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3.84</w:t>
            </w:r>
          </w:p>
        </w:tc>
        <w:tc>
          <w:tcPr>
            <w:tcW w:w="1134" w:type="dxa"/>
            <w:tcBorders>
              <w:bottom w:val="single" w:sz="4" w:space="0" w:color="auto"/>
            </w:tcBorders>
            <w:vAlign w:val="center"/>
          </w:tcPr>
          <w:p w14:paraId="451B5B3E"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15.17</w:t>
            </w:r>
          </w:p>
        </w:tc>
        <w:tc>
          <w:tcPr>
            <w:tcW w:w="709" w:type="dxa"/>
            <w:tcBorders>
              <w:bottom w:val="single" w:sz="4" w:space="0" w:color="auto"/>
            </w:tcBorders>
            <w:vAlign w:val="center"/>
          </w:tcPr>
          <w:p w14:paraId="45883BC1"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3.88</w:t>
            </w:r>
          </w:p>
        </w:tc>
        <w:tc>
          <w:tcPr>
            <w:tcW w:w="1134" w:type="dxa"/>
            <w:tcBorders>
              <w:bottom w:val="single" w:sz="4" w:space="0" w:color="auto"/>
            </w:tcBorders>
            <w:vAlign w:val="center"/>
          </w:tcPr>
          <w:p w14:paraId="166939FA"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13.07</w:t>
            </w:r>
          </w:p>
        </w:tc>
        <w:tc>
          <w:tcPr>
            <w:tcW w:w="708" w:type="dxa"/>
            <w:tcBorders>
              <w:bottom w:val="single" w:sz="4" w:space="0" w:color="auto"/>
            </w:tcBorders>
            <w:vAlign w:val="center"/>
          </w:tcPr>
          <w:p w14:paraId="5DE1DDA5"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5.75</w:t>
            </w:r>
          </w:p>
        </w:tc>
      </w:tr>
      <w:tr w:rsidR="005C0A3A" w:rsidRPr="00494D70" w14:paraId="4440ADA0" w14:textId="77777777" w:rsidTr="003012DB">
        <w:tc>
          <w:tcPr>
            <w:tcW w:w="1701" w:type="dxa"/>
          </w:tcPr>
          <w:p w14:paraId="69AEE1F3" w14:textId="77777777" w:rsidR="005C0A3A" w:rsidRPr="00494D70" w:rsidRDefault="005C0A3A" w:rsidP="003012DB">
            <w:pPr>
              <w:ind w:left="179"/>
              <w:rPr>
                <w:rFonts w:ascii="Times New Roman" w:hAnsi="Times New Roman" w:cs="Times New Roman"/>
                <w:sz w:val="18"/>
                <w:szCs w:val="18"/>
              </w:rPr>
            </w:pPr>
          </w:p>
        </w:tc>
        <w:tc>
          <w:tcPr>
            <w:tcW w:w="7371" w:type="dxa"/>
            <w:gridSpan w:val="8"/>
            <w:tcBorders>
              <w:top w:val="single" w:sz="4" w:space="0" w:color="auto"/>
              <w:bottom w:val="single" w:sz="4" w:space="0" w:color="auto"/>
            </w:tcBorders>
            <w:vAlign w:val="center"/>
          </w:tcPr>
          <w:p w14:paraId="751F139F" w14:textId="77777777" w:rsidR="005C0A3A" w:rsidRPr="00494D70" w:rsidRDefault="005C0A3A" w:rsidP="003012DB">
            <w:pPr>
              <w:jc w:val="center"/>
              <w:rPr>
                <w:rFonts w:ascii="Times New Roman" w:hAnsi="Times New Roman" w:cs="Times New Roman"/>
                <w:sz w:val="18"/>
                <w:szCs w:val="18"/>
              </w:rPr>
            </w:pPr>
            <w:r w:rsidRPr="00494D70">
              <w:rPr>
                <w:rFonts w:ascii="Times New Roman" w:eastAsia="Times New Roman" w:hAnsi="Times New Roman" w:cs="Times New Roman"/>
                <w:color w:val="000000"/>
                <w:sz w:val="18"/>
                <w:szCs w:val="18"/>
                <w:lang w:eastAsia="hu-HU"/>
              </w:rPr>
              <w:t>Mann-Whitney U Test</w:t>
            </w:r>
          </w:p>
        </w:tc>
      </w:tr>
      <w:tr w:rsidR="005C0A3A" w:rsidRPr="00494D70" w14:paraId="12087630" w14:textId="77777777" w:rsidTr="003012DB">
        <w:tc>
          <w:tcPr>
            <w:tcW w:w="1701" w:type="dxa"/>
          </w:tcPr>
          <w:p w14:paraId="0051BE80" w14:textId="77777777" w:rsidR="005C0A3A" w:rsidRPr="00494D70" w:rsidRDefault="005C0A3A" w:rsidP="003012DB">
            <w:pPr>
              <w:ind w:left="179"/>
              <w:rPr>
                <w:rFonts w:ascii="Times New Roman" w:hAnsi="Times New Roman" w:cs="Times New Roman"/>
                <w:sz w:val="18"/>
                <w:szCs w:val="18"/>
              </w:rPr>
            </w:pPr>
          </w:p>
        </w:tc>
        <w:tc>
          <w:tcPr>
            <w:tcW w:w="1134" w:type="dxa"/>
            <w:tcBorders>
              <w:top w:val="single" w:sz="4" w:space="0" w:color="auto"/>
              <w:bottom w:val="single" w:sz="4" w:space="0" w:color="auto"/>
            </w:tcBorders>
            <w:vAlign w:val="center"/>
          </w:tcPr>
          <w:p w14:paraId="5B05F324"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U</w:t>
            </w:r>
          </w:p>
        </w:tc>
        <w:tc>
          <w:tcPr>
            <w:tcW w:w="709" w:type="dxa"/>
            <w:tcBorders>
              <w:top w:val="single" w:sz="4" w:space="0" w:color="auto"/>
              <w:bottom w:val="single" w:sz="4" w:space="0" w:color="auto"/>
            </w:tcBorders>
            <w:vAlign w:val="center"/>
          </w:tcPr>
          <w:p w14:paraId="0E4D803A"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i/>
                <w:iCs/>
                <w:sz w:val="18"/>
                <w:szCs w:val="18"/>
              </w:rPr>
              <w:t>η</w:t>
            </w:r>
            <w:r w:rsidRPr="00494D70">
              <w:rPr>
                <w:rFonts w:ascii="Times New Roman" w:hAnsi="Times New Roman" w:cs="Times New Roman"/>
                <w:i/>
                <w:iCs/>
                <w:sz w:val="18"/>
                <w:szCs w:val="18"/>
                <w:vertAlign w:val="superscript"/>
              </w:rPr>
              <w:t>2</w:t>
            </w:r>
          </w:p>
        </w:tc>
        <w:tc>
          <w:tcPr>
            <w:tcW w:w="1134" w:type="dxa"/>
            <w:tcBorders>
              <w:top w:val="single" w:sz="4" w:space="0" w:color="auto"/>
              <w:bottom w:val="single" w:sz="4" w:space="0" w:color="auto"/>
            </w:tcBorders>
            <w:vAlign w:val="center"/>
          </w:tcPr>
          <w:p w14:paraId="4E3CF242"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U</w:t>
            </w:r>
          </w:p>
        </w:tc>
        <w:tc>
          <w:tcPr>
            <w:tcW w:w="709" w:type="dxa"/>
            <w:tcBorders>
              <w:top w:val="single" w:sz="4" w:space="0" w:color="auto"/>
              <w:bottom w:val="single" w:sz="4" w:space="0" w:color="auto"/>
            </w:tcBorders>
            <w:vAlign w:val="center"/>
          </w:tcPr>
          <w:p w14:paraId="1326A8DE"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i/>
                <w:iCs/>
                <w:sz w:val="18"/>
                <w:szCs w:val="18"/>
              </w:rPr>
              <w:t>η</w:t>
            </w:r>
            <w:r w:rsidRPr="00494D70">
              <w:rPr>
                <w:rFonts w:ascii="Times New Roman" w:hAnsi="Times New Roman" w:cs="Times New Roman"/>
                <w:i/>
                <w:iCs/>
                <w:sz w:val="18"/>
                <w:szCs w:val="18"/>
                <w:vertAlign w:val="superscript"/>
              </w:rPr>
              <w:t>2</w:t>
            </w:r>
          </w:p>
        </w:tc>
        <w:tc>
          <w:tcPr>
            <w:tcW w:w="1134" w:type="dxa"/>
            <w:tcBorders>
              <w:top w:val="single" w:sz="4" w:space="0" w:color="auto"/>
              <w:bottom w:val="single" w:sz="4" w:space="0" w:color="auto"/>
            </w:tcBorders>
            <w:vAlign w:val="center"/>
          </w:tcPr>
          <w:p w14:paraId="4D290CC9"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U</w:t>
            </w:r>
          </w:p>
        </w:tc>
        <w:tc>
          <w:tcPr>
            <w:tcW w:w="709" w:type="dxa"/>
            <w:tcBorders>
              <w:top w:val="single" w:sz="4" w:space="0" w:color="auto"/>
              <w:bottom w:val="single" w:sz="4" w:space="0" w:color="auto"/>
            </w:tcBorders>
            <w:vAlign w:val="center"/>
          </w:tcPr>
          <w:p w14:paraId="3ADC6771"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i/>
                <w:iCs/>
                <w:sz w:val="18"/>
                <w:szCs w:val="18"/>
              </w:rPr>
              <w:t>η</w:t>
            </w:r>
            <w:r w:rsidRPr="00494D70">
              <w:rPr>
                <w:rFonts w:ascii="Times New Roman" w:hAnsi="Times New Roman" w:cs="Times New Roman"/>
                <w:i/>
                <w:iCs/>
                <w:sz w:val="18"/>
                <w:szCs w:val="18"/>
                <w:vertAlign w:val="superscript"/>
              </w:rPr>
              <w:t>2</w:t>
            </w:r>
          </w:p>
        </w:tc>
        <w:tc>
          <w:tcPr>
            <w:tcW w:w="1134" w:type="dxa"/>
            <w:tcBorders>
              <w:top w:val="single" w:sz="4" w:space="0" w:color="auto"/>
              <w:bottom w:val="single" w:sz="4" w:space="0" w:color="auto"/>
            </w:tcBorders>
            <w:vAlign w:val="center"/>
          </w:tcPr>
          <w:p w14:paraId="34792D86"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bCs/>
                <w:sz w:val="18"/>
                <w:szCs w:val="18"/>
              </w:rPr>
              <w:t>U</w:t>
            </w:r>
          </w:p>
        </w:tc>
        <w:tc>
          <w:tcPr>
            <w:tcW w:w="708" w:type="dxa"/>
            <w:tcBorders>
              <w:top w:val="single" w:sz="4" w:space="0" w:color="auto"/>
              <w:bottom w:val="single" w:sz="4" w:space="0" w:color="auto"/>
            </w:tcBorders>
            <w:vAlign w:val="center"/>
          </w:tcPr>
          <w:p w14:paraId="27D42E7F"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i/>
                <w:iCs/>
                <w:sz w:val="18"/>
                <w:szCs w:val="18"/>
              </w:rPr>
              <w:t>η</w:t>
            </w:r>
            <w:r w:rsidRPr="00494D70">
              <w:rPr>
                <w:rFonts w:ascii="Times New Roman" w:hAnsi="Times New Roman" w:cs="Times New Roman"/>
                <w:i/>
                <w:iCs/>
                <w:sz w:val="18"/>
                <w:szCs w:val="18"/>
                <w:vertAlign w:val="superscript"/>
              </w:rPr>
              <w:t>2</w:t>
            </w:r>
          </w:p>
        </w:tc>
      </w:tr>
      <w:tr w:rsidR="005C0A3A" w:rsidRPr="00494D70" w14:paraId="4D66209B" w14:textId="77777777" w:rsidTr="003012DB">
        <w:tc>
          <w:tcPr>
            <w:tcW w:w="1701" w:type="dxa"/>
            <w:tcBorders>
              <w:bottom w:val="single" w:sz="4" w:space="0" w:color="auto"/>
            </w:tcBorders>
          </w:tcPr>
          <w:p w14:paraId="69AABDD1" w14:textId="77777777" w:rsidR="005C0A3A" w:rsidRPr="00494D70" w:rsidRDefault="005C0A3A" w:rsidP="003012DB">
            <w:pPr>
              <w:ind w:left="179"/>
              <w:rPr>
                <w:rFonts w:ascii="Times New Roman" w:hAnsi="Times New Roman" w:cs="Times New Roman"/>
                <w:sz w:val="18"/>
                <w:szCs w:val="18"/>
              </w:rPr>
            </w:pPr>
          </w:p>
        </w:tc>
        <w:tc>
          <w:tcPr>
            <w:tcW w:w="1134" w:type="dxa"/>
            <w:tcBorders>
              <w:bottom w:val="single" w:sz="4" w:space="0" w:color="auto"/>
            </w:tcBorders>
            <w:vAlign w:val="center"/>
          </w:tcPr>
          <w:p w14:paraId="5640E579"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424,260,588.50*</w:t>
            </w:r>
          </w:p>
        </w:tc>
        <w:tc>
          <w:tcPr>
            <w:tcW w:w="709" w:type="dxa"/>
            <w:tcBorders>
              <w:bottom w:val="single" w:sz="4" w:space="0" w:color="auto"/>
            </w:tcBorders>
            <w:vAlign w:val="center"/>
          </w:tcPr>
          <w:p w14:paraId="12B0380A" w14:textId="42974804"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.001</w:t>
            </w:r>
          </w:p>
        </w:tc>
        <w:tc>
          <w:tcPr>
            <w:tcW w:w="1134" w:type="dxa"/>
            <w:tcBorders>
              <w:bottom w:val="single" w:sz="4" w:space="0" w:color="auto"/>
            </w:tcBorders>
            <w:vAlign w:val="center"/>
          </w:tcPr>
          <w:p w14:paraId="0D628C63"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422,814,374.00*</w:t>
            </w:r>
          </w:p>
        </w:tc>
        <w:tc>
          <w:tcPr>
            <w:tcW w:w="709" w:type="dxa"/>
            <w:tcBorders>
              <w:bottom w:val="single" w:sz="4" w:space="0" w:color="auto"/>
            </w:tcBorders>
            <w:vAlign w:val="center"/>
          </w:tcPr>
          <w:p w14:paraId="18B060A6" w14:textId="40B6DF0A"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.001</w:t>
            </w:r>
          </w:p>
        </w:tc>
        <w:tc>
          <w:tcPr>
            <w:tcW w:w="1134" w:type="dxa"/>
            <w:tcBorders>
              <w:bottom w:val="single" w:sz="4" w:space="0" w:color="auto"/>
            </w:tcBorders>
            <w:vAlign w:val="center"/>
          </w:tcPr>
          <w:p w14:paraId="41787A00"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399,911,241.50</w:t>
            </w:r>
          </w:p>
        </w:tc>
        <w:tc>
          <w:tcPr>
            <w:tcW w:w="709" w:type="dxa"/>
            <w:tcBorders>
              <w:bottom w:val="single" w:sz="4" w:space="0" w:color="auto"/>
            </w:tcBorders>
            <w:vAlign w:val="center"/>
          </w:tcPr>
          <w:p w14:paraId="45ED2698" w14:textId="6628A7B6"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.000</w:t>
            </w:r>
          </w:p>
        </w:tc>
        <w:tc>
          <w:tcPr>
            <w:tcW w:w="1134" w:type="dxa"/>
            <w:tcBorders>
              <w:bottom w:val="single" w:sz="4" w:space="0" w:color="auto"/>
            </w:tcBorders>
            <w:vAlign w:val="center"/>
          </w:tcPr>
          <w:p w14:paraId="35EE71D5" w14:textId="77777777"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428,724,823.50*</w:t>
            </w:r>
          </w:p>
        </w:tc>
        <w:tc>
          <w:tcPr>
            <w:tcW w:w="708" w:type="dxa"/>
            <w:tcBorders>
              <w:bottom w:val="single" w:sz="4" w:space="0" w:color="auto"/>
            </w:tcBorders>
            <w:vAlign w:val="center"/>
          </w:tcPr>
          <w:p w14:paraId="1791BF57" w14:textId="69185959" w:rsidR="005C0A3A" w:rsidRPr="00494D70" w:rsidRDefault="005C0A3A" w:rsidP="003012DB">
            <w:pPr>
              <w:jc w:val="center"/>
              <w:rPr>
                <w:rFonts w:ascii="Times New Roman" w:hAnsi="Times New Roman" w:cs="Times New Roman"/>
                <w:sz w:val="18"/>
                <w:szCs w:val="18"/>
              </w:rPr>
            </w:pPr>
            <w:r w:rsidRPr="00494D70">
              <w:rPr>
                <w:rFonts w:ascii="Times New Roman" w:hAnsi="Times New Roman" w:cs="Times New Roman"/>
                <w:sz w:val="18"/>
                <w:szCs w:val="18"/>
              </w:rPr>
              <w:t>.002</w:t>
            </w:r>
          </w:p>
        </w:tc>
      </w:tr>
    </w:tbl>
    <w:p w14:paraId="565E2370" w14:textId="377CDEF0" w:rsidR="00CB1C88" w:rsidRDefault="005C0A3A" w:rsidP="001A4CFE">
      <w:pPr>
        <w:rPr>
          <w:rFonts w:ascii="Times New Roman" w:eastAsia="Times New Roman" w:hAnsi="Times New Roman" w:cs="Times New Roman"/>
          <w:color w:val="000000"/>
          <w:sz w:val="24"/>
          <w:szCs w:val="24"/>
        </w:rPr>
        <w:sectPr w:rsidR="00CB1C88" w:rsidSect="00434369">
          <w:headerReference w:type="default" r:id="rId16"/>
          <w:pgSz w:w="11906" w:h="16838"/>
          <w:pgMar w:top="1417" w:right="1417" w:bottom="1417" w:left="1417" w:header="708" w:footer="708" w:gutter="0"/>
          <w:cols w:space="708"/>
          <w:docGrid w:linePitch="360"/>
        </w:sectPr>
      </w:pPr>
      <w:r w:rsidRPr="00494D70">
        <w:rPr>
          <w:rFonts w:ascii="Times New Roman" w:eastAsia="Times New Roman" w:hAnsi="Times New Roman" w:cs="Times New Roman"/>
          <w:i/>
          <w:color w:val="000000"/>
          <w:sz w:val="24"/>
          <w:szCs w:val="24"/>
        </w:rPr>
        <w:t>Note</w:t>
      </w:r>
      <w:r w:rsidRPr="00494D70">
        <w:rPr>
          <w:rFonts w:ascii="Times New Roman" w:eastAsia="Times New Roman" w:hAnsi="Times New Roman" w:cs="Times New Roman"/>
          <w:color w:val="000000"/>
          <w:sz w:val="24"/>
          <w:szCs w:val="24"/>
        </w:rPr>
        <w:t>.</w:t>
      </w:r>
      <w:r w:rsidRPr="00494D70">
        <w:rPr>
          <w:rFonts w:ascii="Times New Roman" w:eastAsia="Times New Roman" w:hAnsi="Times New Roman" w:cs="Times New Roman"/>
          <w:color w:val="000000"/>
          <w:sz w:val="24"/>
          <w:szCs w:val="24"/>
          <w:lang w:eastAsia="hu-HU"/>
        </w:rPr>
        <w:t xml:space="preserve"> </w:t>
      </w:r>
      <w:r w:rsidRPr="00494D70">
        <w:rPr>
          <w:rFonts w:ascii="Times New Roman" w:eastAsia="Times New Roman" w:hAnsi="Times New Roman" w:cs="Times New Roman"/>
          <w:i/>
          <w:iCs/>
          <w:color w:val="000000"/>
          <w:sz w:val="24"/>
          <w:szCs w:val="24"/>
          <w:lang w:eastAsia="hu-HU"/>
        </w:rPr>
        <w:t>M</w:t>
      </w:r>
      <w:r w:rsidRPr="00494D70">
        <w:rPr>
          <w:rFonts w:ascii="Times New Roman" w:eastAsia="Times New Roman" w:hAnsi="Times New Roman" w:cs="Times New Roman"/>
          <w:color w:val="000000"/>
          <w:sz w:val="24"/>
          <w:szCs w:val="24"/>
          <w:lang w:eastAsia="hu-HU"/>
        </w:rPr>
        <w:t xml:space="preserve"> = mean; </w:t>
      </w:r>
      <w:r w:rsidRPr="00494D70">
        <w:rPr>
          <w:rFonts w:ascii="Times New Roman" w:eastAsia="Times New Roman" w:hAnsi="Times New Roman" w:cs="Times New Roman"/>
          <w:i/>
          <w:iCs/>
          <w:color w:val="000000"/>
          <w:sz w:val="24"/>
          <w:szCs w:val="24"/>
          <w:lang w:eastAsia="hu-HU"/>
        </w:rPr>
        <w:t>SD</w:t>
      </w:r>
      <w:r w:rsidRPr="00494D70">
        <w:rPr>
          <w:rFonts w:ascii="Times New Roman" w:eastAsia="Times New Roman" w:hAnsi="Times New Roman" w:cs="Times New Roman"/>
          <w:color w:val="000000"/>
          <w:sz w:val="24"/>
          <w:szCs w:val="24"/>
          <w:lang w:eastAsia="hu-HU"/>
        </w:rPr>
        <w:t xml:space="preserve"> = standard deviation; </w:t>
      </w:r>
      <w:r w:rsidRPr="00494D70">
        <w:rPr>
          <w:rFonts w:ascii="Times New Roman" w:eastAsia="Times New Roman" w:hAnsi="Times New Roman" w:cs="Times New Roman"/>
          <w:i/>
          <w:iCs/>
          <w:color w:val="000000"/>
          <w:sz w:val="24"/>
          <w:szCs w:val="24"/>
          <w:lang w:eastAsia="hu-HU"/>
        </w:rPr>
        <w:t>η</w:t>
      </w:r>
      <w:r w:rsidRPr="00494D70">
        <w:rPr>
          <w:rFonts w:ascii="Times New Roman" w:eastAsia="Times New Roman" w:hAnsi="Times New Roman" w:cs="Times New Roman"/>
          <w:i/>
          <w:iCs/>
          <w:color w:val="000000"/>
          <w:sz w:val="24"/>
          <w:szCs w:val="24"/>
          <w:vertAlign w:val="superscript"/>
          <w:lang w:eastAsia="hu-HU"/>
        </w:rPr>
        <w:t xml:space="preserve">2 </w:t>
      </w:r>
      <w:r w:rsidRPr="00494D70">
        <w:rPr>
          <w:rFonts w:ascii="Times New Roman" w:eastAsia="Times New Roman" w:hAnsi="Times New Roman" w:cs="Times New Roman"/>
          <w:color w:val="000000"/>
          <w:sz w:val="24"/>
          <w:szCs w:val="24"/>
          <w:lang w:eastAsia="hu-HU"/>
        </w:rPr>
        <w:t xml:space="preserve">= eta-squared; </w:t>
      </w:r>
      <w:r w:rsidRPr="00494D70">
        <w:rPr>
          <w:rFonts w:ascii="Times New Roman" w:eastAsia="Times New Roman" w:hAnsi="Times New Roman" w:cs="Times New Roman"/>
          <w:i/>
          <w:iCs/>
          <w:color w:val="000000"/>
          <w:sz w:val="24"/>
          <w:szCs w:val="24"/>
          <w:lang w:eastAsia="hu-HU"/>
        </w:rPr>
        <w:t xml:space="preserve">H </w:t>
      </w:r>
      <w:r w:rsidRPr="00494D70">
        <w:rPr>
          <w:rFonts w:ascii="Times New Roman" w:eastAsia="Times New Roman" w:hAnsi="Times New Roman" w:cs="Times New Roman"/>
          <w:color w:val="000000"/>
          <w:sz w:val="24"/>
          <w:szCs w:val="24"/>
          <w:lang w:eastAsia="hu-HU"/>
        </w:rPr>
        <w:t>= Kruskal-</w:t>
      </w:r>
      <w:proofErr w:type="gramStart"/>
      <w:r w:rsidRPr="00494D70">
        <w:rPr>
          <w:rFonts w:ascii="Times New Roman" w:eastAsia="Times New Roman" w:hAnsi="Times New Roman" w:cs="Times New Roman"/>
          <w:color w:val="000000"/>
          <w:sz w:val="24"/>
          <w:szCs w:val="24"/>
          <w:lang w:eastAsia="hu-HU"/>
        </w:rPr>
        <w:t>Wallis</w:t>
      </w:r>
      <w:proofErr w:type="gramEnd"/>
      <w:r w:rsidRPr="00494D70">
        <w:rPr>
          <w:rFonts w:ascii="Times New Roman" w:eastAsia="Times New Roman" w:hAnsi="Times New Roman" w:cs="Times New Roman"/>
          <w:color w:val="000000"/>
          <w:sz w:val="24"/>
          <w:szCs w:val="24"/>
          <w:lang w:eastAsia="hu-HU"/>
        </w:rPr>
        <w:t xml:space="preserve"> test statistics; </w:t>
      </w:r>
      <w:r w:rsidRPr="00494D70">
        <w:rPr>
          <w:rFonts w:ascii="Times New Roman" w:eastAsia="Times New Roman" w:hAnsi="Times New Roman" w:cs="Times New Roman"/>
          <w:i/>
          <w:iCs/>
          <w:color w:val="000000"/>
          <w:sz w:val="24"/>
          <w:szCs w:val="24"/>
          <w:lang w:eastAsia="hu-HU"/>
        </w:rPr>
        <w:t xml:space="preserve">U </w:t>
      </w:r>
      <w:r w:rsidRPr="00494D70">
        <w:rPr>
          <w:rFonts w:ascii="Times New Roman" w:eastAsia="Times New Roman" w:hAnsi="Times New Roman" w:cs="Times New Roman"/>
          <w:color w:val="000000"/>
          <w:sz w:val="24"/>
          <w:szCs w:val="24"/>
          <w:lang w:eastAsia="hu-HU"/>
        </w:rPr>
        <w:t xml:space="preserve">= Mann-Whitney U test coefficient; </w:t>
      </w:r>
      <w:r w:rsidRPr="00494D70">
        <w:rPr>
          <w:rFonts w:ascii="Times New Roman" w:eastAsia="Times New Roman" w:hAnsi="Times New Roman" w:cs="Times New Roman"/>
          <w:color w:val="000000"/>
          <w:sz w:val="24"/>
          <w:szCs w:val="24"/>
        </w:rPr>
        <w:t>*</w:t>
      </w:r>
      <w:r w:rsidRPr="00494D70">
        <w:rPr>
          <w:rFonts w:ascii="Times New Roman" w:eastAsia="Times New Roman" w:hAnsi="Times New Roman" w:cs="Times New Roman"/>
          <w:i/>
          <w:color w:val="000000"/>
          <w:sz w:val="24"/>
          <w:szCs w:val="24"/>
        </w:rPr>
        <w:t xml:space="preserve">p </w:t>
      </w:r>
      <w:r w:rsidRPr="00494D70">
        <w:rPr>
          <w:rFonts w:ascii="Times New Roman" w:eastAsia="Times New Roman" w:hAnsi="Times New Roman" w:cs="Times New Roman"/>
          <w:color w:val="000000"/>
          <w:sz w:val="24"/>
          <w:szCs w:val="24"/>
        </w:rPr>
        <w:t>&lt; .</w:t>
      </w:r>
      <w:r w:rsidR="00D62533" w:rsidRPr="00494D70">
        <w:rPr>
          <w:rFonts w:ascii="Times New Roman" w:eastAsia="Times New Roman" w:hAnsi="Times New Roman" w:cs="Times New Roman"/>
          <w:color w:val="000000"/>
          <w:sz w:val="24"/>
          <w:szCs w:val="24"/>
        </w:rPr>
        <w:t>001</w:t>
      </w:r>
    </w:p>
    <w:p w14:paraId="2EEC3CAA" w14:textId="77777777" w:rsidR="005C0A3A" w:rsidRPr="008726F8" w:rsidRDefault="005C0A3A" w:rsidP="00834CED">
      <w:pPr>
        <w:spacing w:after="0" w:line="240" w:lineRule="auto"/>
        <w:rPr>
          <w:rFonts w:ascii="Times New Roman" w:eastAsia="Times New Roman" w:hAnsi="Times New Roman" w:cs="Times New Roman"/>
          <w:b/>
          <w:bCs/>
          <w:sz w:val="24"/>
          <w:szCs w:val="24"/>
        </w:rPr>
      </w:pPr>
    </w:p>
    <w:sectPr w:rsidR="005C0A3A" w:rsidRPr="008726F8" w:rsidSect="0043436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A565" w14:textId="77777777" w:rsidR="00362BCB" w:rsidRDefault="00362BCB" w:rsidP="009C6CAA">
      <w:pPr>
        <w:spacing w:after="0" w:line="240" w:lineRule="auto"/>
      </w:pPr>
      <w:r>
        <w:separator/>
      </w:r>
    </w:p>
  </w:endnote>
  <w:endnote w:type="continuationSeparator" w:id="0">
    <w:p w14:paraId="504B566C" w14:textId="77777777" w:rsidR="00362BCB" w:rsidRDefault="00362BCB" w:rsidP="009C6CAA">
      <w:pPr>
        <w:spacing w:after="0" w:line="240" w:lineRule="auto"/>
      </w:pPr>
      <w:r>
        <w:continuationSeparator/>
      </w:r>
    </w:p>
  </w:endnote>
  <w:endnote w:type="continuationNotice" w:id="1">
    <w:p w14:paraId="1AEF0F0A" w14:textId="77777777" w:rsidR="00362BCB" w:rsidRDefault="00362B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ight">
    <w:altName w:val="Arial Nova Light"/>
    <w:charset w:val="00"/>
    <w:family w:val="swiss"/>
    <w:pitch w:val="variable"/>
    <w:sig w:usb0="800000AF" w:usb1="4000204A" w:usb2="00000000" w:usb3="00000000" w:csb0="0000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7E9E" w14:textId="77777777" w:rsidR="00362BCB" w:rsidRDefault="00362BCB" w:rsidP="009C6CAA">
      <w:pPr>
        <w:spacing w:after="0" w:line="240" w:lineRule="auto"/>
      </w:pPr>
      <w:r>
        <w:separator/>
      </w:r>
    </w:p>
  </w:footnote>
  <w:footnote w:type="continuationSeparator" w:id="0">
    <w:p w14:paraId="7D8B99D2" w14:textId="77777777" w:rsidR="00362BCB" w:rsidRDefault="00362BCB" w:rsidP="009C6CAA">
      <w:pPr>
        <w:spacing w:after="0" w:line="240" w:lineRule="auto"/>
      </w:pPr>
      <w:r>
        <w:continuationSeparator/>
      </w:r>
    </w:p>
  </w:footnote>
  <w:footnote w:type="continuationNotice" w:id="1">
    <w:p w14:paraId="5E59A480" w14:textId="77777777" w:rsidR="00362BCB" w:rsidRDefault="00362BCB">
      <w:pPr>
        <w:spacing w:after="0" w:line="240" w:lineRule="auto"/>
      </w:pPr>
    </w:p>
  </w:footnote>
  <w:footnote w:id="2">
    <w:p w14:paraId="17EE30E2" w14:textId="4B98098B" w:rsidR="008C489B" w:rsidRPr="00BC1BBA" w:rsidRDefault="008C489B" w:rsidP="00BC1BBA">
      <w:pPr>
        <w:pStyle w:val="llb"/>
        <w:rPr>
          <w:rFonts w:ascii="Times New Roman" w:hAnsi="Times New Roman" w:cs="Times New Roman"/>
        </w:rPr>
      </w:pPr>
      <w:r w:rsidRPr="003B37CE">
        <w:rPr>
          <w:rStyle w:val="Lbjegyzet-hivatkozs"/>
        </w:rPr>
        <w:footnoteRef/>
      </w:r>
      <w:r>
        <w:t xml:space="preserve"> </w:t>
      </w:r>
      <w:r w:rsidRPr="005A0755">
        <w:rPr>
          <w:rFonts w:ascii="Times New Roman" w:hAnsi="Times New Roman" w:cs="Times New Roman"/>
        </w:rPr>
        <w:t>Egypt, Iran, Pakistan, and Romania were included in the study protocol paper as collaborating countries (Bőthe, Koós, et al., 2021); however, it was not possible to get ethical approval for the study in a timely manner in these countries. Chile was not included in the study protocol paper as a collaborating country (Bőthe, Koós, et al., 2021) as it joined the study after publishing the study protocol. Therefore, instead of the planned 45 countries (Bőthe, Koós, et al., 2021), only 42 countries are included in the present study.</w:t>
      </w:r>
    </w:p>
  </w:footnote>
  <w:footnote w:id="3">
    <w:p w14:paraId="39F5658F" w14:textId="00FF27D1" w:rsidR="00EB6D31" w:rsidRPr="00AB486F" w:rsidRDefault="00EB6D31">
      <w:pPr>
        <w:pStyle w:val="Lbjegyzetszveg"/>
        <w:rPr>
          <w:rFonts w:ascii="Times New Roman" w:hAnsi="Times New Roman" w:cs="Times New Roman"/>
          <w:sz w:val="22"/>
          <w:szCs w:val="22"/>
          <w:lang w:val="hu-HU"/>
        </w:rPr>
      </w:pPr>
      <w:r w:rsidRPr="00C95680">
        <w:rPr>
          <w:rStyle w:val="Lbjegyzet-hivatkozs"/>
        </w:rPr>
        <w:footnoteRef/>
      </w:r>
      <w:r w:rsidRPr="00AB486F">
        <w:rPr>
          <w:rFonts w:ascii="Times New Roman" w:hAnsi="Times New Roman" w:cs="Times New Roman"/>
          <w:sz w:val="22"/>
          <w:szCs w:val="22"/>
        </w:rPr>
        <w:t xml:space="preserve"> </w:t>
      </w:r>
      <w:r w:rsidR="00AB486F" w:rsidRPr="00AB486F">
        <w:rPr>
          <w:rFonts w:ascii="Times New Roman" w:hAnsi="Times New Roman" w:cs="Times New Roman"/>
          <w:sz w:val="22"/>
          <w:szCs w:val="22"/>
        </w:rPr>
        <w:t>In our study, we consistently and exclusively use the term “gender-diverse individuals” for gender minorities who do not identify with the binary genders of ‘men’ and ‘women’, regardless of their trans status (e.g., genderqueer, genderfluid, non-binary, indigenous or other cultural gender minority identity [e.g., two-spirit], and other gender identities). The term “gender minority individual” is used more broadly, referring to both non-binary gender identities and transgender individuals.</w:t>
      </w:r>
      <w:r w:rsidR="00900E22">
        <w:rPr>
          <w:rFonts w:ascii="Times New Roman" w:hAnsi="Times New Roman" w:cs="Times New Roman"/>
          <w:sz w:val="22"/>
          <w:szCs w:val="22"/>
        </w:rPr>
        <w:t xml:space="preserve"> </w:t>
      </w:r>
      <w:r w:rsidR="00752911" w:rsidRPr="00C95680">
        <w:rPr>
          <w:rFonts w:ascii="Times New Roman" w:hAnsi="Times New Roman" w:cs="Times New Roman"/>
          <w:sz w:val="22"/>
          <w:szCs w:val="22"/>
          <w:highlight w:val="yellow"/>
        </w:rPr>
        <w:t>Binary trans men and women were coded as men and women</w:t>
      </w:r>
      <w:r w:rsidR="00770477" w:rsidRPr="00C95680">
        <w:rPr>
          <w:rFonts w:ascii="Times New Roman" w:hAnsi="Times New Roman" w:cs="Times New Roman"/>
          <w:sz w:val="22"/>
          <w:szCs w:val="22"/>
          <w:highlight w:val="yellow"/>
        </w:rPr>
        <w:t xml:space="preserve"> in all gender-</w:t>
      </w:r>
      <w:r w:rsidR="00616FA0" w:rsidRPr="00C95680">
        <w:rPr>
          <w:rFonts w:ascii="Times New Roman" w:hAnsi="Times New Roman" w:cs="Times New Roman"/>
          <w:sz w:val="22"/>
          <w:szCs w:val="22"/>
          <w:highlight w:val="yellow"/>
        </w:rPr>
        <w:t>identity-</w:t>
      </w:r>
      <w:r w:rsidR="00770477" w:rsidRPr="00C95680">
        <w:rPr>
          <w:rFonts w:ascii="Times New Roman" w:hAnsi="Times New Roman" w:cs="Times New Roman"/>
          <w:sz w:val="22"/>
          <w:szCs w:val="22"/>
          <w:highlight w:val="yellow"/>
        </w:rPr>
        <w:t>based analyses in this study.</w:t>
      </w:r>
    </w:p>
  </w:footnote>
  <w:footnote w:id="4">
    <w:p w14:paraId="0775F96C" w14:textId="77777777" w:rsidR="001E3D02" w:rsidRPr="003F122B" w:rsidRDefault="001E3D02" w:rsidP="001E3D02">
      <w:pPr>
        <w:pStyle w:val="Lbjegyzetszveg"/>
        <w:rPr>
          <w:rFonts w:ascii="Times New Roman" w:hAnsi="Times New Roman" w:cs="Times New Roman"/>
          <w:lang w:val="en-US"/>
        </w:rPr>
      </w:pPr>
      <w:r w:rsidRPr="00ED5688">
        <w:rPr>
          <w:rStyle w:val="Lbjegyzet-hivatkozs"/>
          <w:highlight w:val="yellow"/>
        </w:rPr>
        <w:footnoteRef/>
      </w:r>
      <w:r w:rsidRPr="003F122B">
        <w:rPr>
          <w:rFonts w:ascii="Times New Roman" w:hAnsi="Times New Roman" w:cs="Times New Roman"/>
          <w:highlight w:val="yellow"/>
          <w:lang w:val="en-US"/>
        </w:rPr>
        <w:t xml:space="preserve"> Binary trans men and women were grouped with binary cis men and women, respectively, due to their low n count</w:t>
      </w:r>
      <w:r>
        <w:rPr>
          <w:rFonts w:ascii="Times New Roman" w:hAnsi="Times New Roman" w:cs="Times New Roman"/>
          <w:highlight w:val="yellow"/>
          <w:lang w:val="en-US"/>
        </w:rPr>
        <w:t>s</w:t>
      </w:r>
      <w:r w:rsidRPr="003F122B">
        <w:rPr>
          <w:rFonts w:ascii="Times New Roman" w:hAnsi="Times New Roman" w:cs="Times New Roman"/>
          <w:highlight w:val="yellow"/>
          <w:lang w:val="en-US"/>
        </w:rPr>
        <w:t xml:space="preserve"> (n</w:t>
      </w:r>
      <w:r w:rsidRPr="003F122B">
        <w:rPr>
          <w:rFonts w:ascii="Times New Roman" w:hAnsi="Times New Roman" w:cs="Times New Roman"/>
          <w:highlight w:val="yellow"/>
          <w:vertAlign w:val="subscript"/>
          <w:lang w:val="en-US"/>
        </w:rPr>
        <w:t>trans men</w:t>
      </w:r>
      <w:r w:rsidRPr="003F122B">
        <w:rPr>
          <w:rFonts w:ascii="Times New Roman" w:hAnsi="Times New Roman" w:cs="Times New Roman"/>
          <w:highlight w:val="yellow"/>
          <w:lang w:val="en-US"/>
        </w:rPr>
        <w:t>=178, n</w:t>
      </w:r>
      <w:r w:rsidRPr="003F122B">
        <w:rPr>
          <w:rFonts w:ascii="Times New Roman" w:hAnsi="Times New Roman" w:cs="Times New Roman"/>
          <w:highlight w:val="yellow"/>
          <w:vertAlign w:val="subscript"/>
          <w:lang w:val="en-US"/>
        </w:rPr>
        <w:t>trans women</w:t>
      </w:r>
      <w:r w:rsidRPr="003F122B">
        <w:rPr>
          <w:rFonts w:ascii="Times New Roman" w:hAnsi="Times New Roman" w:cs="Times New Roman"/>
          <w:highlight w:val="yellow"/>
          <w:lang w:val="en-US"/>
        </w:rPr>
        <w:t>=119) in the sample. Although we acknowledge that more nuance is needed in researching the assertiveness of trans individuals, we opted to group them based on their gender identity, rather than merging the experiences of binary trans men, binary trans women, and nonbinary gender-diverse individuals or omitting them from the analysis.</w:t>
      </w:r>
      <w:r w:rsidRPr="003F122B">
        <w:rPr>
          <w:rFonts w:ascii="Times New Roman" w:hAnsi="Times New Roman" w:cs="Times New Roman"/>
          <w:lang w:val="en-US"/>
        </w:rPr>
        <w:t xml:space="preserve"> </w:t>
      </w:r>
    </w:p>
  </w:footnote>
  <w:footnote w:id="5">
    <w:p w14:paraId="53EE5024" w14:textId="3C9D4A28" w:rsidR="001E3D02" w:rsidRPr="00B90E8E" w:rsidRDefault="001E3D02" w:rsidP="001E3D02">
      <w:pPr>
        <w:pStyle w:val="Lbjegyzetszveg"/>
        <w:rPr>
          <w:rFonts w:ascii="Times New Roman" w:hAnsi="Times New Roman" w:cs="Times New Roman"/>
          <w:lang w:val="en-US"/>
        </w:rPr>
      </w:pPr>
      <w:r w:rsidRPr="00ED5688">
        <w:rPr>
          <w:rStyle w:val="Lbjegyzet-hivatkozs"/>
          <w:highlight w:val="yellow"/>
        </w:rPr>
        <w:footnoteRef/>
      </w:r>
      <w:r w:rsidRPr="003F122B">
        <w:rPr>
          <w:rFonts w:ascii="Times New Roman" w:hAnsi="Times New Roman" w:cs="Times New Roman"/>
          <w:highlight w:val="yellow"/>
          <w:lang w:val="en-US"/>
        </w:rPr>
        <w:t xml:space="preserve"> Highly unbalanced sample sizes across groups might affect the outcomes of measurement invariance analysis. Therefore, as requested during the review process to the test the robustness of our results, we conducted subsampled invariance tests across language-, country-, gender-identity-, and sexual-orientation-based groups, following the instructions of </w:t>
      </w:r>
      <w:r w:rsidRPr="003F122B">
        <w:rPr>
          <w:rFonts w:ascii="Times New Roman" w:hAnsi="Times New Roman" w:cs="Times New Roman"/>
          <w:highlight w:val="yellow"/>
          <w:lang w:val="en-US"/>
        </w:rPr>
        <w:fldChar w:fldCharType="begin"/>
      </w:r>
      <w:r w:rsidR="00ED3068">
        <w:rPr>
          <w:rFonts w:ascii="Times New Roman" w:hAnsi="Times New Roman" w:cs="Times New Roman"/>
          <w:highlight w:val="yellow"/>
          <w:lang w:val="en-US"/>
        </w:rPr>
        <w:instrText xml:space="preserve"> ADDIN ZOTERO_ITEM CSL_CITATION {"citationID":"pqjPgwaO","properties":{"formattedCitation":"(Yoon &amp; Lai, 2018)","plainCitation":"(Yoon &amp; Lai, 2018)","dontUpdate":true,"noteIndex":4},"citationItems":[{"id":13646,"uris":["http://zotero.org/users/7402913/items/A5KYSVKS"],"itemData":{"id":13646,"type":"article-journal","abstract":"In testing the factorial invariance of a measure across groups, the groups are often of different sizes. Large imbalances in group size might affect the results of factorial invariance studies and lead to incorrect conclusions of invariance because the fit function in multiple-group factor analysis includes a weighting by group sample size. The implication is that violations of invariance might not be detected if the sample sizes of the 2 groups are severely unbalanced. In this study, we examined the effects of group size differences on results of factorial invariance tests, proposed a subsampling method to address unbalanced sample size issue in factorial invariance studies, and evaluated the proposed approach in various simulation conditions. Our findings confirm that violations of invariance might be masked in the case of severely unbalanced group size conditions and support the use of the proposed subsampling method to obtain accurate results for invariance studies.","container-title":"Structural Equation Modeling: A Multidisciplinary Journal","DOI":"10.1080/10705511.2017.1387859","ISSN":"1070-5511","issue":"2","note":"publisher: Routledge\n_eprint: https://doi.org/10.1080/10705511.2017.1387859","page":"201–213","source":"Taylor and Francis+NEJM","title":"Testing Factorial Invariance With Unbalanced Samples","volume":"25","author":[{"family":"Yoon","given":"Myeongsun"},{"family":"Lai","given":"Mark H. C."}],"issued":{"date-parts":[["2018",3,4]]}}}],"schema":"https://github.com/citation-style-language/schema/raw/master/csl-citation.json"} </w:instrText>
      </w:r>
      <w:r w:rsidRPr="003F122B">
        <w:rPr>
          <w:rFonts w:ascii="Times New Roman" w:hAnsi="Times New Roman" w:cs="Times New Roman"/>
          <w:highlight w:val="yellow"/>
          <w:lang w:val="en-US"/>
        </w:rPr>
        <w:fldChar w:fldCharType="separate"/>
      </w:r>
      <w:r w:rsidRPr="003F122B">
        <w:rPr>
          <w:rFonts w:ascii="Times New Roman" w:hAnsi="Times New Roman" w:cs="Times New Roman"/>
          <w:highlight w:val="yellow"/>
          <w:lang w:val="en-US"/>
        </w:rPr>
        <w:t>Yoon &amp; Lai (2018)</w:t>
      </w:r>
      <w:r w:rsidRPr="003F122B">
        <w:rPr>
          <w:rFonts w:ascii="Times New Roman" w:hAnsi="Times New Roman" w:cs="Times New Roman"/>
          <w:highlight w:val="yellow"/>
          <w:lang w:val="en-US"/>
        </w:rPr>
        <w:fldChar w:fldCharType="end"/>
      </w:r>
      <w:r w:rsidRPr="003F122B">
        <w:rPr>
          <w:rFonts w:ascii="Times New Roman" w:hAnsi="Times New Roman" w:cs="Times New Roman"/>
          <w:highlight w:val="yellow"/>
          <w:lang w:val="en-US"/>
        </w:rPr>
        <w:t>. As this was in addition to the preregistered analytic plan, the detailed description of the process is presented in the Supplementary Materials (Table S6).</w:t>
      </w:r>
    </w:p>
  </w:footnote>
  <w:footnote w:id="6">
    <w:p w14:paraId="17279B0A" w14:textId="67C4B56C" w:rsidR="00DD557D" w:rsidRPr="006556E1" w:rsidRDefault="00DD557D" w:rsidP="00DD557D">
      <w:pPr>
        <w:pStyle w:val="Lbjegyzetszveg"/>
        <w:rPr>
          <w:rFonts w:ascii="Times New Roman" w:hAnsi="Times New Roman" w:cs="Times New Roman"/>
          <w:lang w:val="hu-HU"/>
        </w:rPr>
      </w:pPr>
      <w:r w:rsidRPr="006556E1">
        <w:rPr>
          <w:rStyle w:val="Lbjegyzet-hivatkozs"/>
          <w:highlight w:val="yellow"/>
        </w:rPr>
        <w:footnoteRef/>
      </w:r>
      <w:r w:rsidRPr="006556E1">
        <w:rPr>
          <w:highlight w:val="yellow"/>
        </w:rPr>
        <w:t xml:space="preserve"> </w:t>
      </w:r>
      <w:r w:rsidR="006556E1" w:rsidRPr="006556E1">
        <w:rPr>
          <w:rFonts w:ascii="Times New Roman" w:hAnsi="Times New Roman" w:cs="Times New Roman"/>
          <w:highlight w:val="yellow"/>
        </w:rPr>
        <w:t>Highly unbalanced sample sizes across groups might affect the outcomes of measurement invariance analysis. Therefore, to the test the robustness of our results, we conducted subsampled invariance tests across language-, country-, gender-identity-, and sexual-orientation-based groups, following the instructions of Yoon &amp; Lai (2018). The detailed description of the process and the results are presented in the Supplementary Materials (Table S6). Even though they somewhat nuance the results of the full-sample invariance analyses, they do not change the conclusions about the cross-groups comparability of the SAQ-9 scores.</w:t>
      </w:r>
      <w:r w:rsidR="00087BD3" w:rsidRPr="006556E1">
        <w:rPr>
          <w:rFonts w:ascii="Times New Roman" w:hAnsi="Times New Roman" w:cs="Times New Roman"/>
          <w:lang w:val="hu-HU"/>
        </w:rPr>
        <w:t xml:space="preserve"> </w:t>
      </w:r>
    </w:p>
    <w:p w14:paraId="23ABF3D0" w14:textId="657384A7" w:rsidR="00DD557D" w:rsidRPr="00004B67" w:rsidRDefault="00DD557D">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63200990"/>
      <w:docPartObj>
        <w:docPartGallery w:val="Page Numbers (Top of Page)"/>
        <w:docPartUnique/>
      </w:docPartObj>
    </w:sdtPr>
    <w:sdtEndPr>
      <w:rPr>
        <w:noProof/>
      </w:rPr>
    </w:sdtEndPr>
    <w:sdtContent>
      <w:p w14:paraId="0987D588" w14:textId="0F2EC3F9" w:rsidR="009C6CAA" w:rsidRPr="001A3641" w:rsidRDefault="009C6CAA">
        <w:pPr>
          <w:pStyle w:val="lfej"/>
          <w:jc w:val="right"/>
          <w:rPr>
            <w:rFonts w:ascii="Times New Roman" w:hAnsi="Times New Roman" w:cs="Times New Roman"/>
            <w:sz w:val="24"/>
            <w:szCs w:val="24"/>
          </w:rPr>
        </w:pPr>
        <w:r w:rsidRPr="001A3641">
          <w:rPr>
            <w:rFonts w:ascii="Times New Roman" w:hAnsi="Times New Roman" w:cs="Times New Roman"/>
            <w:sz w:val="24"/>
            <w:szCs w:val="24"/>
          </w:rPr>
          <w:fldChar w:fldCharType="begin"/>
        </w:r>
        <w:r w:rsidRPr="001A3641">
          <w:rPr>
            <w:rFonts w:ascii="Times New Roman" w:hAnsi="Times New Roman" w:cs="Times New Roman"/>
            <w:sz w:val="24"/>
            <w:szCs w:val="24"/>
          </w:rPr>
          <w:instrText xml:space="preserve"> PAGE   \* MERGEFORMAT </w:instrText>
        </w:r>
        <w:r w:rsidRPr="001A3641">
          <w:rPr>
            <w:rFonts w:ascii="Times New Roman" w:hAnsi="Times New Roman" w:cs="Times New Roman"/>
            <w:sz w:val="24"/>
            <w:szCs w:val="24"/>
          </w:rPr>
          <w:fldChar w:fldCharType="separate"/>
        </w:r>
        <w:r w:rsidRPr="00FB7896">
          <w:rPr>
            <w:rFonts w:ascii="Times New Roman" w:hAnsi="Times New Roman" w:cs="Times New Roman"/>
            <w:noProof/>
            <w:sz w:val="24"/>
            <w:szCs w:val="24"/>
          </w:rPr>
          <w:t>2</w:t>
        </w:r>
        <w:r w:rsidRPr="001A3641">
          <w:rPr>
            <w:rFonts w:ascii="Times New Roman" w:hAnsi="Times New Roman" w:cs="Times New Roman"/>
            <w:noProof/>
            <w:sz w:val="24"/>
            <w:szCs w:val="24"/>
          </w:rPr>
          <w:fldChar w:fldCharType="end"/>
        </w:r>
      </w:p>
    </w:sdtContent>
  </w:sdt>
  <w:p w14:paraId="336F7872" w14:textId="77777777" w:rsidR="009C6CAA" w:rsidRDefault="009C6CAA" w:rsidP="001A3641">
    <w:pPr>
      <w:pStyle w:val="lfej"/>
      <w:jc w:val="right"/>
    </w:pPr>
  </w:p>
  <w:p w14:paraId="5909E433" w14:textId="77777777" w:rsidR="006643C3" w:rsidRDefault="006643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6AF9"/>
    <w:multiLevelType w:val="hybridMultilevel"/>
    <w:tmpl w:val="05C23EF6"/>
    <w:lvl w:ilvl="0" w:tplc="C9681F46">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2F098A"/>
    <w:multiLevelType w:val="hybridMultilevel"/>
    <w:tmpl w:val="50C057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253691"/>
    <w:multiLevelType w:val="multilevel"/>
    <w:tmpl w:val="34028ABA"/>
    <w:lvl w:ilvl="0">
      <w:start w:val="1"/>
      <w:numFmt w:val="decimal"/>
      <w:pStyle w:val="ISS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7EA17DF"/>
    <w:multiLevelType w:val="multilevel"/>
    <w:tmpl w:val="0F3CBF64"/>
    <w:lvl w:ilvl="0">
      <w:start w:val="1"/>
      <w:numFmt w:val="decimal"/>
      <w:pStyle w:val="IS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5D80FA9"/>
    <w:multiLevelType w:val="multilevel"/>
    <w:tmpl w:val="FC90BA4A"/>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7412FC"/>
    <w:multiLevelType w:val="hybridMultilevel"/>
    <w:tmpl w:val="543ACCB2"/>
    <w:lvl w:ilvl="0" w:tplc="196C8632">
      <w:start w:val="1"/>
      <w:numFmt w:val="decimal"/>
      <w:lvlText w:val="%1."/>
      <w:lvlJc w:val="left"/>
      <w:pPr>
        <w:ind w:left="720" w:hanging="360"/>
      </w:pPr>
    </w:lvl>
    <w:lvl w:ilvl="1" w:tplc="D4FECE66" w:tentative="1">
      <w:start w:val="1"/>
      <w:numFmt w:val="lowerLetter"/>
      <w:lvlText w:val="%2."/>
      <w:lvlJc w:val="left"/>
      <w:pPr>
        <w:ind w:left="1440" w:hanging="360"/>
      </w:pPr>
    </w:lvl>
    <w:lvl w:ilvl="2" w:tplc="DD7203EA" w:tentative="1">
      <w:start w:val="1"/>
      <w:numFmt w:val="lowerRoman"/>
      <w:lvlText w:val="%3."/>
      <w:lvlJc w:val="right"/>
      <w:pPr>
        <w:ind w:left="2160" w:hanging="180"/>
      </w:pPr>
    </w:lvl>
    <w:lvl w:ilvl="3" w:tplc="70CC9CB0" w:tentative="1">
      <w:start w:val="1"/>
      <w:numFmt w:val="decimal"/>
      <w:lvlText w:val="%4."/>
      <w:lvlJc w:val="left"/>
      <w:pPr>
        <w:ind w:left="2880" w:hanging="360"/>
      </w:pPr>
    </w:lvl>
    <w:lvl w:ilvl="4" w:tplc="8BCC8076" w:tentative="1">
      <w:start w:val="1"/>
      <w:numFmt w:val="lowerLetter"/>
      <w:lvlText w:val="%5."/>
      <w:lvlJc w:val="left"/>
      <w:pPr>
        <w:ind w:left="3600" w:hanging="360"/>
      </w:pPr>
    </w:lvl>
    <w:lvl w:ilvl="5" w:tplc="CADAB49E" w:tentative="1">
      <w:start w:val="1"/>
      <w:numFmt w:val="lowerRoman"/>
      <w:lvlText w:val="%6."/>
      <w:lvlJc w:val="right"/>
      <w:pPr>
        <w:ind w:left="4320" w:hanging="180"/>
      </w:pPr>
    </w:lvl>
    <w:lvl w:ilvl="6" w:tplc="A6242FE4" w:tentative="1">
      <w:start w:val="1"/>
      <w:numFmt w:val="decimal"/>
      <w:lvlText w:val="%7."/>
      <w:lvlJc w:val="left"/>
      <w:pPr>
        <w:ind w:left="5040" w:hanging="360"/>
      </w:pPr>
    </w:lvl>
    <w:lvl w:ilvl="7" w:tplc="BC08EF18" w:tentative="1">
      <w:start w:val="1"/>
      <w:numFmt w:val="lowerLetter"/>
      <w:lvlText w:val="%8."/>
      <w:lvlJc w:val="left"/>
      <w:pPr>
        <w:ind w:left="5760" w:hanging="360"/>
      </w:pPr>
    </w:lvl>
    <w:lvl w:ilvl="8" w:tplc="129EAAE2" w:tentative="1">
      <w:start w:val="1"/>
      <w:numFmt w:val="lowerRoman"/>
      <w:lvlText w:val="%9."/>
      <w:lvlJc w:val="right"/>
      <w:pPr>
        <w:ind w:left="6480" w:hanging="180"/>
      </w:pPr>
    </w:lvl>
  </w:abstractNum>
  <w:abstractNum w:abstractNumId="6" w15:restartNumberingAfterBreak="0">
    <w:nsid w:val="37311EF3"/>
    <w:multiLevelType w:val="hybridMultilevel"/>
    <w:tmpl w:val="A56E1E30"/>
    <w:lvl w:ilvl="0" w:tplc="FFFFFFFF">
      <w:numFmt w:val="bullet"/>
      <w:lvlText w:val="-"/>
      <w:lvlJc w:val="left"/>
      <w:pPr>
        <w:ind w:left="720" w:hanging="360"/>
      </w:pPr>
      <w:rPr>
        <w:rFonts w:ascii="Helvetica Light" w:eastAsiaTheme="minorEastAsia" w:hAnsi="Helvetica Light" w:cstheme="minorBidi" w:hint="default"/>
        <w:color w:val="auto"/>
      </w:rPr>
    </w:lvl>
    <w:lvl w:ilvl="1" w:tplc="02A4CEFA">
      <w:start w:val="1"/>
      <w:numFmt w:val="bullet"/>
      <w:lvlText w:val="-"/>
      <w:lvlJc w:val="left"/>
      <w:pPr>
        <w:ind w:left="1440" w:hanging="360"/>
      </w:pPr>
      <w:rPr>
        <w:rFonts w:ascii="Times New Roman" w:eastAsiaTheme="min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CA1C1A"/>
    <w:multiLevelType w:val="hybridMultilevel"/>
    <w:tmpl w:val="D5B07472"/>
    <w:lvl w:ilvl="0" w:tplc="FFFFFFFF">
      <w:numFmt w:val="bullet"/>
      <w:lvlText w:val="-"/>
      <w:lvlJc w:val="left"/>
      <w:pPr>
        <w:ind w:left="720" w:hanging="360"/>
      </w:pPr>
      <w:rPr>
        <w:rFonts w:ascii="Helvetica Light" w:eastAsiaTheme="minorEastAsia" w:hAnsi="Helvetica Light" w:cstheme="minorBidi" w:hint="default"/>
        <w:color w:val="auto"/>
      </w:rPr>
    </w:lvl>
    <w:lvl w:ilvl="1" w:tplc="02A4CEFA">
      <w:start w:val="1"/>
      <w:numFmt w:val="bullet"/>
      <w:lvlText w:val="-"/>
      <w:lvlJc w:val="left"/>
      <w:pPr>
        <w:ind w:left="1440" w:hanging="360"/>
      </w:pPr>
      <w:rPr>
        <w:rFonts w:ascii="Times New Roman" w:eastAsiaTheme="min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7054E9"/>
    <w:multiLevelType w:val="hybridMultilevel"/>
    <w:tmpl w:val="70D6527E"/>
    <w:lvl w:ilvl="0" w:tplc="7F5C8C5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11A35F5"/>
    <w:multiLevelType w:val="hybridMultilevel"/>
    <w:tmpl w:val="8A1E2168"/>
    <w:lvl w:ilvl="0" w:tplc="968AB9DA">
      <w:start w:val="5"/>
      <w:numFmt w:val="bullet"/>
      <w:lvlText w:val=""/>
      <w:lvlJc w:val="left"/>
      <w:pPr>
        <w:ind w:left="720" w:hanging="360"/>
      </w:pPr>
      <w:rPr>
        <w:rFonts w:ascii="Wingdings" w:eastAsiaTheme="minorHAnsi" w:hAnsi="Wingding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E1C5E77"/>
    <w:multiLevelType w:val="hybridMultilevel"/>
    <w:tmpl w:val="8632B68E"/>
    <w:lvl w:ilvl="0" w:tplc="7F5C8C5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B10558C"/>
    <w:multiLevelType w:val="hybridMultilevel"/>
    <w:tmpl w:val="7CCE757A"/>
    <w:lvl w:ilvl="0" w:tplc="B6CAF098">
      <w:start w:val="1"/>
      <w:numFmt w:val="decimal"/>
      <w:lvlText w:val="%1."/>
      <w:lvlJc w:val="left"/>
      <w:pPr>
        <w:ind w:left="720" w:hanging="360"/>
      </w:pPr>
      <w:rPr>
        <w:rFonts w:eastAsiaTheme="minorHAnsi"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79587370">
    <w:abstractNumId w:val="0"/>
  </w:num>
  <w:num w:numId="2" w16cid:durableId="397217032">
    <w:abstractNumId w:val="2"/>
  </w:num>
  <w:num w:numId="3" w16cid:durableId="1477793766">
    <w:abstractNumId w:val="7"/>
  </w:num>
  <w:num w:numId="4" w16cid:durableId="1358310846">
    <w:abstractNumId w:val="6"/>
  </w:num>
  <w:num w:numId="5" w16cid:durableId="329259798">
    <w:abstractNumId w:val="11"/>
  </w:num>
  <w:num w:numId="6" w16cid:durableId="1689602710">
    <w:abstractNumId w:val="3"/>
  </w:num>
  <w:num w:numId="7" w16cid:durableId="1377504378">
    <w:abstractNumId w:val="5"/>
  </w:num>
  <w:num w:numId="8" w16cid:durableId="1680083153">
    <w:abstractNumId w:val="1"/>
  </w:num>
  <w:num w:numId="9" w16cid:durableId="1701198575">
    <w:abstractNumId w:val="4"/>
  </w:num>
  <w:num w:numId="10" w16cid:durableId="2067601710">
    <w:abstractNumId w:val="10"/>
  </w:num>
  <w:num w:numId="11" w16cid:durableId="6257126">
    <w:abstractNumId w:val="8"/>
  </w:num>
  <w:num w:numId="12" w16cid:durableId="1860387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DE"/>
    <w:rsid w:val="000002E3"/>
    <w:rsid w:val="0000061C"/>
    <w:rsid w:val="00000927"/>
    <w:rsid w:val="00001465"/>
    <w:rsid w:val="0000151F"/>
    <w:rsid w:val="0000204F"/>
    <w:rsid w:val="00002BD6"/>
    <w:rsid w:val="00003BC5"/>
    <w:rsid w:val="0000420C"/>
    <w:rsid w:val="00004B67"/>
    <w:rsid w:val="00005062"/>
    <w:rsid w:val="00012545"/>
    <w:rsid w:val="000132CC"/>
    <w:rsid w:val="000158B7"/>
    <w:rsid w:val="00015B24"/>
    <w:rsid w:val="000163ED"/>
    <w:rsid w:val="00016F73"/>
    <w:rsid w:val="00017492"/>
    <w:rsid w:val="000207DC"/>
    <w:rsid w:val="00021457"/>
    <w:rsid w:val="0002219C"/>
    <w:rsid w:val="00022A80"/>
    <w:rsid w:val="00023701"/>
    <w:rsid w:val="00023D2F"/>
    <w:rsid w:val="000248ED"/>
    <w:rsid w:val="000251B8"/>
    <w:rsid w:val="00025519"/>
    <w:rsid w:val="0002610E"/>
    <w:rsid w:val="00026912"/>
    <w:rsid w:val="000270E6"/>
    <w:rsid w:val="0003037B"/>
    <w:rsid w:val="00032417"/>
    <w:rsid w:val="00033A64"/>
    <w:rsid w:val="00035102"/>
    <w:rsid w:val="000356D0"/>
    <w:rsid w:val="00035D9E"/>
    <w:rsid w:val="000375EE"/>
    <w:rsid w:val="000378EE"/>
    <w:rsid w:val="00037F46"/>
    <w:rsid w:val="0004144C"/>
    <w:rsid w:val="00042B03"/>
    <w:rsid w:val="00042F31"/>
    <w:rsid w:val="000440BE"/>
    <w:rsid w:val="0004493A"/>
    <w:rsid w:val="000458C0"/>
    <w:rsid w:val="00050AC6"/>
    <w:rsid w:val="00050E0B"/>
    <w:rsid w:val="00052991"/>
    <w:rsid w:val="0005372D"/>
    <w:rsid w:val="00054147"/>
    <w:rsid w:val="000547C8"/>
    <w:rsid w:val="00054EB2"/>
    <w:rsid w:val="00055303"/>
    <w:rsid w:val="00056FF4"/>
    <w:rsid w:val="000571C1"/>
    <w:rsid w:val="00057AA9"/>
    <w:rsid w:val="00057EFE"/>
    <w:rsid w:val="00060466"/>
    <w:rsid w:val="0006071B"/>
    <w:rsid w:val="00060B1D"/>
    <w:rsid w:val="00060FF9"/>
    <w:rsid w:val="0006163F"/>
    <w:rsid w:val="00061692"/>
    <w:rsid w:val="00061B45"/>
    <w:rsid w:val="00061D29"/>
    <w:rsid w:val="00062D8B"/>
    <w:rsid w:val="00064391"/>
    <w:rsid w:val="00064BC4"/>
    <w:rsid w:val="000656BE"/>
    <w:rsid w:val="00066106"/>
    <w:rsid w:val="00066354"/>
    <w:rsid w:val="000670E9"/>
    <w:rsid w:val="000673EF"/>
    <w:rsid w:val="00071A03"/>
    <w:rsid w:val="000721BD"/>
    <w:rsid w:val="0007227B"/>
    <w:rsid w:val="0007229F"/>
    <w:rsid w:val="00072D42"/>
    <w:rsid w:val="00073681"/>
    <w:rsid w:val="00073A82"/>
    <w:rsid w:val="00073DB8"/>
    <w:rsid w:val="00073DE1"/>
    <w:rsid w:val="00074E16"/>
    <w:rsid w:val="0007575E"/>
    <w:rsid w:val="00075D4F"/>
    <w:rsid w:val="00076B49"/>
    <w:rsid w:val="00077FE8"/>
    <w:rsid w:val="00082021"/>
    <w:rsid w:val="00082061"/>
    <w:rsid w:val="000829DD"/>
    <w:rsid w:val="00084B42"/>
    <w:rsid w:val="00084D11"/>
    <w:rsid w:val="00085A70"/>
    <w:rsid w:val="00086010"/>
    <w:rsid w:val="00086BAF"/>
    <w:rsid w:val="00086CCB"/>
    <w:rsid w:val="00086ECD"/>
    <w:rsid w:val="00086F09"/>
    <w:rsid w:val="00087618"/>
    <w:rsid w:val="00087864"/>
    <w:rsid w:val="00087BD3"/>
    <w:rsid w:val="00092E16"/>
    <w:rsid w:val="000941EA"/>
    <w:rsid w:val="00094588"/>
    <w:rsid w:val="0009673B"/>
    <w:rsid w:val="00096FCD"/>
    <w:rsid w:val="00097191"/>
    <w:rsid w:val="000A03E4"/>
    <w:rsid w:val="000A117E"/>
    <w:rsid w:val="000A20DF"/>
    <w:rsid w:val="000A2694"/>
    <w:rsid w:val="000A28CB"/>
    <w:rsid w:val="000A3CB5"/>
    <w:rsid w:val="000A4013"/>
    <w:rsid w:val="000A4342"/>
    <w:rsid w:val="000A4552"/>
    <w:rsid w:val="000A4B03"/>
    <w:rsid w:val="000A5925"/>
    <w:rsid w:val="000A6B23"/>
    <w:rsid w:val="000A6BE0"/>
    <w:rsid w:val="000B0060"/>
    <w:rsid w:val="000B06DA"/>
    <w:rsid w:val="000B0705"/>
    <w:rsid w:val="000B10D3"/>
    <w:rsid w:val="000B124E"/>
    <w:rsid w:val="000B19AC"/>
    <w:rsid w:val="000B1E11"/>
    <w:rsid w:val="000B3582"/>
    <w:rsid w:val="000B3725"/>
    <w:rsid w:val="000B394D"/>
    <w:rsid w:val="000B3B28"/>
    <w:rsid w:val="000B5362"/>
    <w:rsid w:val="000B5402"/>
    <w:rsid w:val="000B68B0"/>
    <w:rsid w:val="000B6CA1"/>
    <w:rsid w:val="000B7012"/>
    <w:rsid w:val="000B7851"/>
    <w:rsid w:val="000C0885"/>
    <w:rsid w:val="000C2BBF"/>
    <w:rsid w:val="000C2E8A"/>
    <w:rsid w:val="000C3A06"/>
    <w:rsid w:val="000C4421"/>
    <w:rsid w:val="000C4E2D"/>
    <w:rsid w:val="000C52C5"/>
    <w:rsid w:val="000C54EA"/>
    <w:rsid w:val="000C5C24"/>
    <w:rsid w:val="000C618A"/>
    <w:rsid w:val="000C77B5"/>
    <w:rsid w:val="000D0C64"/>
    <w:rsid w:val="000D4989"/>
    <w:rsid w:val="000D49A9"/>
    <w:rsid w:val="000D4B8D"/>
    <w:rsid w:val="000D5081"/>
    <w:rsid w:val="000D6C42"/>
    <w:rsid w:val="000D7043"/>
    <w:rsid w:val="000D7E4E"/>
    <w:rsid w:val="000E1B1C"/>
    <w:rsid w:val="000E1FB9"/>
    <w:rsid w:val="000E4C51"/>
    <w:rsid w:val="000E5203"/>
    <w:rsid w:val="000E54A5"/>
    <w:rsid w:val="000E6838"/>
    <w:rsid w:val="000E6DD1"/>
    <w:rsid w:val="000F04B8"/>
    <w:rsid w:val="000F2B08"/>
    <w:rsid w:val="000F378E"/>
    <w:rsid w:val="000F412E"/>
    <w:rsid w:val="000F4B46"/>
    <w:rsid w:val="000F5097"/>
    <w:rsid w:val="000F697A"/>
    <w:rsid w:val="000F6A46"/>
    <w:rsid w:val="000F6B23"/>
    <w:rsid w:val="000F7C30"/>
    <w:rsid w:val="001004AB"/>
    <w:rsid w:val="0010084D"/>
    <w:rsid w:val="0010164C"/>
    <w:rsid w:val="00101ACE"/>
    <w:rsid w:val="00103545"/>
    <w:rsid w:val="00103DAA"/>
    <w:rsid w:val="00104A5E"/>
    <w:rsid w:val="00104D97"/>
    <w:rsid w:val="001079D9"/>
    <w:rsid w:val="00107A3B"/>
    <w:rsid w:val="001117DD"/>
    <w:rsid w:val="00112E7F"/>
    <w:rsid w:val="001139B1"/>
    <w:rsid w:val="00113CA1"/>
    <w:rsid w:val="001144D0"/>
    <w:rsid w:val="001154E9"/>
    <w:rsid w:val="001157AF"/>
    <w:rsid w:val="00116096"/>
    <w:rsid w:val="001162B8"/>
    <w:rsid w:val="001173DF"/>
    <w:rsid w:val="00117D02"/>
    <w:rsid w:val="00117E48"/>
    <w:rsid w:val="00117F35"/>
    <w:rsid w:val="0012157E"/>
    <w:rsid w:val="001228D3"/>
    <w:rsid w:val="00122DCC"/>
    <w:rsid w:val="001236F4"/>
    <w:rsid w:val="0012524E"/>
    <w:rsid w:val="001270C3"/>
    <w:rsid w:val="00131B86"/>
    <w:rsid w:val="0013354F"/>
    <w:rsid w:val="00133FF3"/>
    <w:rsid w:val="00134926"/>
    <w:rsid w:val="00135930"/>
    <w:rsid w:val="00136A00"/>
    <w:rsid w:val="00137113"/>
    <w:rsid w:val="00137723"/>
    <w:rsid w:val="00140176"/>
    <w:rsid w:val="00141133"/>
    <w:rsid w:val="0014116A"/>
    <w:rsid w:val="001414E8"/>
    <w:rsid w:val="00141732"/>
    <w:rsid w:val="00141F35"/>
    <w:rsid w:val="00142D74"/>
    <w:rsid w:val="001430A4"/>
    <w:rsid w:val="00144ADF"/>
    <w:rsid w:val="00144B32"/>
    <w:rsid w:val="00144D19"/>
    <w:rsid w:val="00145A69"/>
    <w:rsid w:val="00145C0D"/>
    <w:rsid w:val="00146981"/>
    <w:rsid w:val="00146AE8"/>
    <w:rsid w:val="00146CF4"/>
    <w:rsid w:val="00147291"/>
    <w:rsid w:val="0014788F"/>
    <w:rsid w:val="00150829"/>
    <w:rsid w:val="00150F7C"/>
    <w:rsid w:val="00151809"/>
    <w:rsid w:val="0015294E"/>
    <w:rsid w:val="00153016"/>
    <w:rsid w:val="001536EB"/>
    <w:rsid w:val="001537AE"/>
    <w:rsid w:val="00154532"/>
    <w:rsid w:val="00154FFC"/>
    <w:rsid w:val="00155425"/>
    <w:rsid w:val="001558D7"/>
    <w:rsid w:val="00155C87"/>
    <w:rsid w:val="001574B3"/>
    <w:rsid w:val="0016194A"/>
    <w:rsid w:val="001631B2"/>
    <w:rsid w:val="001636DA"/>
    <w:rsid w:val="00163BAB"/>
    <w:rsid w:val="0016497C"/>
    <w:rsid w:val="0016634D"/>
    <w:rsid w:val="001705BC"/>
    <w:rsid w:val="0017148B"/>
    <w:rsid w:val="001736E8"/>
    <w:rsid w:val="00176CCF"/>
    <w:rsid w:val="00177C12"/>
    <w:rsid w:val="00177E96"/>
    <w:rsid w:val="001803C6"/>
    <w:rsid w:val="00182B74"/>
    <w:rsid w:val="001843D0"/>
    <w:rsid w:val="00184492"/>
    <w:rsid w:val="001860D9"/>
    <w:rsid w:val="001860F5"/>
    <w:rsid w:val="0018759D"/>
    <w:rsid w:val="0019142B"/>
    <w:rsid w:val="001924F2"/>
    <w:rsid w:val="001941F1"/>
    <w:rsid w:val="00194516"/>
    <w:rsid w:val="0019473D"/>
    <w:rsid w:val="001949C8"/>
    <w:rsid w:val="00195A1E"/>
    <w:rsid w:val="00195F8E"/>
    <w:rsid w:val="001A1FC5"/>
    <w:rsid w:val="001A2242"/>
    <w:rsid w:val="001A2F8D"/>
    <w:rsid w:val="001A310E"/>
    <w:rsid w:val="001A3641"/>
    <w:rsid w:val="001A44EE"/>
    <w:rsid w:val="001A4CFE"/>
    <w:rsid w:val="001A53DB"/>
    <w:rsid w:val="001A6756"/>
    <w:rsid w:val="001B11D4"/>
    <w:rsid w:val="001B3C93"/>
    <w:rsid w:val="001B48E1"/>
    <w:rsid w:val="001B4AC4"/>
    <w:rsid w:val="001B4D45"/>
    <w:rsid w:val="001B5E9C"/>
    <w:rsid w:val="001B6246"/>
    <w:rsid w:val="001B65B6"/>
    <w:rsid w:val="001C0200"/>
    <w:rsid w:val="001C2A1F"/>
    <w:rsid w:val="001C3B06"/>
    <w:rsid w:val="001C3BA5"/>
    <w:rsid w:val="001C4F77"/>
    <w:rsid w:val="001C537B"/>
    <w:rsid w:val="001C5502"/>
    <w:rsid w:val="001C55C1"/>
    <w:rsid w:val="001C6562"/>
    <w:rsid w:val="001C6E7D"/>
    <w:rsid w:val="001C7480"/>
    <w:rsid w:val="001C7C34"/>
    <w:rsid w:val="001D00DB"/>
    <w:rsid w:val="001D3B15"/>
    <w:rsid w:val="001D59E4"/>
    <w:rsid w:val="001D6318"/>
    <w:rsid w:val="001D6B3E"/>
    <w:rsid w:val="001D785C"/>
    <w:rsid w:val="001D7FA4"/>
    <w:rsid w:val="001E0384"/>
    <w:rsid w:val="001E13E0"/>
    <w:rsid w:val="001E278C"/>
    <w:rsid w:val="001E3746"/>
    <w:rsid w:val="001E3B5A"/>
    <w:rsid w:val="001E3D02"/>
    <w:rsid w:val="001E4B39"/>
    <w:rsid w:val="001E59AE"/>
    <w:rsid w:val="001E78F2"/>
    <w:rsid w:val="001F0AB4"/>
    <w:rsid w:val="001F14AB"/>
    <w:rsid w:val="001F1540"/>
    <w:rsid w:val="001F15F1"/>
    <w:rsid w:val="001F19E9"/>
    <w:rsid w:val="001F249E"/>
    <w:rsid w:val="001F2F51"/>
    <w:rsid w:val="001F3048"/>
    <w:rsid w:val="001F3F6D"/>
    <w:rsid w:val="001F5478"/>
    <w:rsid w:val="001F772A"/>
    <w:rsid w:val="001F7EAD"/>
    <w:rsid w:val="0020264F"/>
    <w:rsid w:val="002042F0"/>
    <w:rsid w:val="002050DE"/>
    <w:rsid w:val="00206509"/>
    <w:rsid w:val="0020715F"/>
    <w:rsid w:val="0021101D"/>
    <w:rsid w:val="002115E4"/>
    <w:rsid w:val="00211AA6"/>
    <w:rsid w:val="00212026"/>
    <w:rsid w:val="00212FEF"/>
    <w:rsid w:val="00213018"/>
    <w:rsid w:val="00213189"/>
    <w:rsid w:val="00214530"/>
    <w:rsid w:val="00214898"/>
    <w:rsid w:val="002153B3"/>
    <w:rsid w:val="00215C8C"/>
    <w:rsid w:val="0021720A"/>
    <w:rsid w:val="002173C7"/>
    <w:rsid w:val="00217536"/>
    <w:rsid w:val="00217CFC"/>
    <w:rsid w:val="00220227"/>
    <w:rsid w:val="002205C8"/>
    <w:rsid w:val="00220BFC"/>
    <w:rsid w:val="00220E68"/>
    <w:rsid w:val="0022112D"/>
    <w:rsid w:val="0022200A"/>
    <w:rsid w:val="00222434"/>
    <w:rsid w:val="00224222"/>
    <w:rsid w:val="002245B8"/>
    <w:rsid w:val="00224CD2"/>
    <w:rsid w:val="00225624"/>
    <w:rsid w:val="00225801"/>
    <w:rsid w:val="00225815"/>
    <w:rsid w:val="002258CD"/>
    <w:rsid w:val="00225BC6"/>
    <w:rsid w:val="0022620A"/>
    <w:rsid w:val="00227406"/>
    <w:rsid w:val="002277DC"/>
    <w:rsid w:val="002278A2"/>
    <w:rsid w:val="00227962"/>
    <w:rsid w:val="00227C5D"/>
    <w:rsid w:val="00230895"/>
    <w:rsid w:val="002324D3"/>
    <w:rsid w:val="00233171"/>
    <w:rsid w:val="002332E0"/>
    <w:rsid w:val="00234096"/>
    <w:rsid w:val="00234784"/>
    <w:rsid w:val="002349D4"/>
    <w:rsid w:val="00235D39"/>
    <w:rsid w:val="00235FF9"/>
    <w:rsid w:val="00236682"/>
    <w:rsid w:val="0024009F"/>
    <w:rsid w:val="002405B7"/>
    <w:rsid w:val="00240872"/>
    <w:rsid w:val="0024102F"/>
    <w:rsid w:val="002413F2"/>
    <w:rsid w:val="002415F1"/>
    <w:rsid w:val="00241AEB"/>
    <w:rsid w:val="002427DE"/>
    <w:rsid w:val="00242995"/>
    <w:rsid w:val="00242A36"/>
    <w:rsid w:val="00243001"/>
    <w:rsid w:val="002430C5"/>
    <w:rsid w:val="0024342A"/>
    <w:rsid w:val="002441EB"/>
    <w:rsid w:val="00244BA3"/>
    <w:rsid w:val="00244D9F"/>
    <w:rsid w:val="00244EE4"/>
    <w:rsid w:val="00247527"/>
    <w:rsid w:val="0025057B"/>
    <w:rsid w:val="00251D84"/>
    <w:rsid w:val="00252913"/>
    <w:rsid w:val="00254106"/>
    <w:rsid w:val="00254A3A"/>
    <w:rsid w:val="00256753"/>
    <w:rsid w:val="00256D05"/>
    <w:rsid w:val="0025750C"/>
    <w:rsid w:val="00257B7E"/>
    <w:rsid w:val="00260478"/>
    <w:rsid w:val="002629CB"/>
    <w:rsid w:val="0026321F"/>
    <w:rsid w:val="0026406C"/>
    <w:rsid w:val="002645E4"/>
    <w:rsid w:val="00266B9C"/>
    <w:rsid w:val="0027084A"/>
    <w:rsid w:val="00271470"/>
    <w:rsid w:val="00271DCB"/>
    <w:rsid w:val="00272852"/>
    <w:rsid w:val="0027291F"/>
    <w:rsid w:val="00272A49"/>
    <w:rsid w:val="0027542E"/>
    <w:rsid w:val="00275C30"/>
    <w:rsid w:val="00277B13"/>
    <w:rsid w:val="00280BFA"/>
    <w:rsid w:val="00280C9B"/>
    <w:rsid w:val="002815C2"/>
    <w:rsid w:val="002828E1"/>
    <w:rsid w:val="00282F39"/>
    <w:rsid w:val="002832C6"/>
    <w:rsid w:val="00283E54"/>
    <w:rsid w:val="00285659"/>
    <w:rsid w:val="00286E6B"/>
    <w:rsid w:val="00290E4F"/>
    <w:rsid w:val="00290FC4"/>
    <w:rsid w:val="0029101F"/>
    <w:rsid w:val="00292BEB"/>
    <w:rsid w:val="0029367D"/>
    <w:rsid w:val="002A156E"/>
    <w:rsid w:val="002A2816"/>
    <w:rsid w:val="002A4D4E"/>
    <w:rsid w:val="002A54BD"/>
    <w:rsid w:val="002A63FC"/>
    <w:rsid w:val="002A6F47"/>
    <w:rsid w:val="002A6FB0"/>
    <w:rsid w:val="002A718D"/>
    <w:rsid w:val="002A78B3"/>
    <w:rsid w:val="002A7C41"/>
    <w:rsid w:val="002B00BF"/>
    <w:rsid w:val="002B0412"/>
    <w:rsid w:val="002B14A3"/>
    <w:rsid w:val="002B2772"/>
    <w:rsid w:val="002B2C44"/>
    <w:rsid w:val="002B3075"/>
    <w:rsid w:val="002B345A"/>
    <w:rsid w:val="002B3EC5"/>
    <w:rsid w:val="002B4551"/>
    <w:rsid w:val="002B4CFB"/>
    <w:rsid w:val="002B5B80"/>
    <w:rsid w:val="002B61EA"/>
    <w:rsid w:val="002B7218"/>
    <w:rsid w:val="002B7B4C"/>
    <w:rsid w:val="002B7CDF"/>
    <w:rsid w:val="002B7EFF"/>
    <w:rsid w:val="002C00FC"/>
    <w:rsid w:val="002C022D"/>
    <w:rsid w:val="002C0B8A"/>
    <w:rsid w:val="002C13AE"/>
    <w:rsid w:val="002C24E0"/>
    <w:rsid w:val="002C2DEC"/>
    <w:rsid w:val="002C302C"/>
    <w:rsid w:val="002C3CD1"/>
    <w:rsid w:val="002C7448"/>
    <w:rsid w:val="002C7B1A"/>
    <w:rsid w:val="002D001A"/>
    <w:rsid w:val="002D0293"/>
    <w:rsid w:val="002D243C"/>
    <w:rsid w:val="002D346E"/>
    <w:rsid w:val="002D3ABD"/>
    <w:rsid w:val="002D4BA6"/>
    <w:rsid w:val="002D6BD6"/>
    <w:rsid w:val="002D75D2"/>
    <w:rsid w:val="002D7D95"/>
    <w:rsid w:val="002E076A"/>
    <w:rsid w:val="002E18E0"/>
    <w:rsid w:val="002E19C3"/>
    <w:rsid w:val="002E233D"/>
    <w:rsid w:val="002E297F"/>
    <w:rsid w:val="002E2F7F"/>
    <w:rsid w:val="002E3AA3"/>
    <w:rsid w:val="002E4AA1"/>
    <w:rsid w:val="002E4EF6"/>
    <w:rsid w:val="002E7BD2"/>
    <w:rsid w:val="002F080F"/>
    <w:rsid w:val="002F0C96"/>
    <w:rsid w:val="002F2ADF"/>
    <w:rsid w:val="002F2F2B"/>
    <w:rsid w:val="002F312C"/>
    <w:rsid w:val="002F34B2"/>
    <w:rsid w:val="002F4A60"/>
    <w:rsid w:val="002F4CCD"/>
    <w:rsid w:val="002F516D"/>
    <w:rsid w:val="002F7E3E"/>
    <w:rsid w:val="0030073E"/>
    <w:rsid w:val="00301294"/>
    <w:rsid w:val="003012DB"/>
    <w:rsid w:val="003017DC"/>
    <w:rsid w:val="003021B6"/>
    <w:rsid w:val="003025A1"/>
    <w:rsid w:val="00307AD1"/>
    <w:rsid w:val="00313149"/>
    <w:rsid w:val="00313AB4"/>
    <w:rsid w:val="00313EF7"/>
    <w:rsid w:val="00315289"/>
    <w:rsid w:val="00316072"/>
    <w:rsid w:val="0031607A"/>
    <w:rsid w:val="003163E8"/>
    <w:rsid w:val="00316D91"/>
    <w:rsid w:val="00321ED7"/>
    <w:rsid w:val="0032253E"/>
    <w:rsid w:val="003226F7"/>
    <w:rsid w:val="00322BE0"/>
    <w:rsid w:val="00322CBC"/>
    <w:rsid w:val="00324167"/>
    <w:rsid w:val="003245CD"/>
    <w:rsid w:val="003251A3"/>
    <w:rsid w:val="003260BC"/>
    <w:rsid w:val="00326A29"/>
    <w:rsid w:val="00326BDF"/>
    <w:rsid w:val="003304D9"/>
    <w:rsid w:val="00330F25"/>
    <w:rsid w:val="0033226D"/>
    <w:rsid w:val="003333ED"/>
    <w:rsid w:val="003338C4"/>
    <w:rsid w:val="00333940"/>
    <w:rsid w:val="00335E2F"/>
    <w:rsid w:val="00335F51"/>
    <w:rsid w:val="00336876"/>
    <w:rsid w:val="003403B3"/>
    <w:rsid w:val="0034113A"/>
    <w:rsid w:val="0034143A"/>
    <w:rsid w:val="00341511"/>
    <w:rsid w:val="00341585"/>
    <w:rsid w:val="00341F52"/>
    <w:rsid w:val="00341FD0"/>
    <w:rsid w:val="0034239A"/>
    <w:rsid w:val="003437AC"/>
    <w:rsid w:val="00343955"/>
    <w:rsid w:val="00343CF9"/>
    <w:rsid w:val="0034584F"/>
    <w:rsid w:val="003468E2"/>
    <w:rsid w:val="00346F1D"/>
    <w:rsid w:val="0035009E"/>
    <w:rsid w:val="003501BD"/>
    <w:rsid w:val="00350B0C"/>
    <w:rsid w:val="00350F18"/>
    <w:rsid w:val="0035104F"/>
    <w:rsid w:val="00351777"/>
    <w:rsid w:val="00352628"/>
    <w:rsid w:val="003563FA"/>
    <w:rsid w:val="003566C6"/>
    <w:rsid w:val="0035674F"/>
    <w:rsid w:val="00357C9F"/>
    <w:rsid w:val="0036097B"/>
    <w:rsid w:val="00360D15"/>
    <w:rsid w:val="003625B2"/>
    <w:rsid w:val="00362BCB"/>
    <w:rsid w:val="00363474"/>
    <w:rsid w:val="003634B4"/>
    <w:rsid w:val="00363843"/>
    <w:rsid w:val="00363CE8"/>
    <w:rsid w:val="00365EDE"/>
    <w:rsid w:val="00366ACC"/>
    <w:rsid w:val="00367038"/>
    <w:rsid w:val="00367D90"/>
    <w:rsid w:val="00367E7E"/>
    <w:rsid w:val="003702B8"/>
    <w:rsid w:val="00370A1C"/>
    <w:rsid w:val="003713EA"/>
    <w:rsid w:val="00372A26"/>
    <w:rsid w:val="0037336D"/>
    <w:rsid w:val="00373E72"/>
    <w:rsid w:val="00373FCA"/>
    <w:rsid w:val="00374115"/>
    <w:rsid w:val="00374AEF"/>
    <w:rsid w:val="00374D3D"/>
    <w:rsid w:val="00374E0A"/>
    <w:rsid w:val="003754BB"/>
    <w:rsid w:val="00376BBE"/>
    <w:rsid w:val="003775F3"/>
    <w:rsid w:val="00380103"/>
    <w:rsid w:val="00380191"/>
    <w:rsid w:val="00380953"/>
    <w:rsid w:val="0038182A"/>
    <w:rsid w:val="00382205"/>
    <w:rsid w:val="003825E3"/>
    <w:rsid w:val="00383672"/>
    <w:rsid w:val="00384151"/>
    <w:rsid w:val="0038415F"/>
    <w:rsid w:val="00384407"/>
    <w:rsid w:val="003845BB"/>
    <w:rsid w:val="00384E3F"/>
    <w:rsid w:val="00385B19"/>
    <w:rsid w:val="003864B2"/>
    <w:rsid w:val="00386B43"/>
    <w:rsid w:val="00387316"/>
    <w:rsid w:val="00387F79"/>
    <w:rsid w:val="003904D2"/>
    <w:rsid w:val="00391570"/>
    <w:rsid w:val="00393109"/>
    <w:rsid w:val="00393A9A"/>
    <w:rsid w:val="003953A4"/>
    <w:rsid w:val="00396326"/>
    <w:rsid w:val="00396AEF"/>
    <w:rsid w:val="00396AF1"/>
    <w:rsid w:val="00396C8B"/>
    <w:rsid w:val="00397652"/>
    <w:rsid w:val="003A00E1"/>
    <w:rsid w:val="003A02BF"/>
    <w:rsid w:val="003A24D4"/>
    <w:rsid w:val="003A2EAA"/>
    <w:rsid w:val="003A5F41"/>
    <w:rsid w:val="003A63D0"/>
    <w:rsid w:val="003A7099"/>
    <w:rsid w:val="003A70D7"/>
    <w:rsid w:val="003A7B72"/>
    <w:rsid w:val="003B000A"/>
    <w:rsid w:val="003B12F6"/>
    <w:rsid w:val="003B1A46"/>
    <w:rsid w:val="003B1A7E"/>
    <w:rsid w:val="003B357E"/>
    <w:rsid w:val="003B3754"/>
    <w:rsid w:val="003B37CE"/>
    <w:rsid w:val="003B3E4A"/>
    <w:rsid w:val="003B4235"/>
    <w:rsid w:val="003B4672"/>
    <w:rsid w:val="003B4AE5"/>
    <w:rsid w:val="003B6556"/>
    <w:rsid w:val="003B6A4A"/>
    <w:rsid w:val="003B71B4"/>
    <w:rsid w:val="003B7E2C"/>
    <w:rsid w:val="003C1966"/>
    <w:rsid w:val="003C19BD"/>
    <w:rsid w:val="003C1F59"/>
    <w:rsid w:val="003C2240"/>
    <w:rsid w:val="003C2654"/>
    <w:rsid w:val="003C3FA6"/>
    <w:rsid w:val="003C5F44"/>
    <w:rsid w:val="003C6A16"/>
    <w:rsid w:val="003C7638"/>
    <w:rsid w:val="003C7B89"/>
    <w:rsid w:val="003D1A5D"/>
    <w:rsid w:val="003D1AFD"/>
    <w:rsid w:val="003D2334"/>
    <w:rsid w:val="003D2D6B"/>
    <w:rsid w:val="003D2F23"/>
    <w:rsid w:val="003D36E5"/>
    <w:rsid w:val="003D4025"/>
    <w:rsid w:val="003D46FD"/>
    <w:rsid w:val="003D52B4"/>
    <w:rsid w:val="003D59F1"/>
    <w:rsid w:val="003D6E33"/>
    <w:rsid w:val="003D753E"/>
    <w:rsid w:val="003E0A4B"/>
    <w:rsid w:val="003E2610"/>
    <w:rsid w:val="003E2D4D"/>
    <w:rsid w:val="003E3B4E"/>
    <w:rsid w:val="003E550F"/>
    <w:rsid w:val="003E5C92"/>
    <w:rsid w:val="003F035C"/>
    <w:rsid w:val="003F0798"/>
    <w:rsid w:val="003F07DD"/>
    <w:rsid w:val="003F09C8"/>
    <w:rsid w:val="003F1DA4"/>
    <w:rsid w:val="003F1F38"/>
    <w:rsid w:val="003F2F8D"/>
    <w:rsid w:val="003F4FB1"/>
    <w:rsid w:val="003F541C"/>
    <w:rsid w:val="003F6208"/>
    <w:rsid w:val="00400D45"/>
    <w:rsid w:val="0040157C"/>
    <w:rsid w:val="00401C3C"/>
    <w:rsid w:val="0040373B"/>
    <w:rsid w:val="004040ED"/>
    <w:rsid w:val="00404204"/>
    <w:rsid w:val="00404458"/>
    <w:rsid w:val="00404E78"/>
    <w:rsid w:val="00404ED9"/>
    <w:rsid w:val="00406580"/>
    <w:rsid w:val="00406A66"/>
    <w:rsid w:val="00406B03"/>
    <w:rsid w:val="0040759E"/>
    <w:rsid w:val="00407868"/>
    <w:rsid w:val="0041037E"/>
    <w:rsid w:val="004114C4"/>
    <w:rsid w:val="00411879"/>
    <w:rsid w:val="00413533"/>
    <w:rsid w:val="004135BC"/>
    <w:rsid w:val="00414F3C"/>
    <w:rsid w:val="004159D5"/>
    <w:rsid w:val="00416122"/>
    <w:rsid w:val="00417699"/>
    <w:rsid w:val="00417CE4"/>
    <w:rsid w:val="00420170"/>
    <w:rsid w:val="00421E70"/>
    <w:rsid w:val="0042254A"/>
    <w:rsid w:val="00422971"/>
    <w:rsid w:val="00423D58"/>
    <w:rsid w:val="004261B1"/>
    <w:rsid w:val="004265D1"/>
    <w:rsid w:val="00427377"/>
    <w:rsid w:val="00427E38"/>
    <w:rsid w:val="00427F5B"/>
    <w:rsid w:val="00432443"/>
    <w:rsid w:val="00433066"/>
    <w:rsid w:val="00433219"/>
    <w:rsid w:val="0043325F"/>
    <w:rsid w:val="004338E7"/>
    <w:rsid w:val="00433C27"/>
    <w:rsid w:val="00434369"/>
    <w:rsid w:val="00434F02"/>
    <w:rsid w:val="00434F2E"/>
    <w:rsid w:val="00434F85"/>
    <w:rsid w:val="004353AF"/>
    <w:rsid w:val="004354AD"/>
    <w:rsid w:val="00435747"/>
    <w:rsid w:val="004368D4"/>
    <w:rsid w:val="00440E55"/>
    <w:rsid w:val="0044146D"/>
    <w:rsid w:val="004418F6"/>
    <w:rsid w:val="00442DEF"/>
    <w:rsid w:val="00443264"/>
    <w:rsid w:val="00443448"/>
    <w:rsid w:val="00443EB7"/>
    <w:rsid w:val="0044403C"/>
    <w:rsid w:val="00444BCE"/>
    <w:rsid w:val="00444C50"/>
    <w:rsid w:val="00444CE7"/>
    <w:rsid w:val="004458DA"/>
    <w:rsid w:val="00446BC8"/>
    <w:rsid w:val="004478BA"/>
    <w:rsid w:val="00450772"/>
    <w:rsid w:val="00450EE3"/>
    <w:rsid w:val="004512D0"/>
    <w:rsid w:val="004513A2"/>
    <w:rsid w:val="00451EAA"/>
    <w:rsid w:val="00452FDD"/>
    <w:rsid w:val="004538FC"/>
    <w:rsid w:val="0045541C"/>
    <w:rsid w:val="0045604D"/>
    <w:rsid w:val="00456680"/>
    <w:rsid w:val="00456727"/>
    <w:rsid w:val="00457D5C"/>
    <w:rsid w:val="004603C5"/>
    <w:rsid w:val="00460697"/>
    <w:rsid w:val="004624B4"/>
    <w:rsid w:val="00462C3E"/>
    <w:rsid w:val="0046440B"/>
    <w:rsid w:val="0046441F"/>
    <w:rsid w:val="0046540A"/>
    <w:rsid w:val="00465652"/>
    <w:rsid w:val="0046568B"/>
    <w:rsid w:val="004663B0"/>
    <w:rsid w:val="00471822"/>
    <w:rsid w:val="00471F58"/>
    <w:rsid w:val="00472308"/>
    <w:rsid w:val="00472EF6"/>
    <w:rsid w:val="0047469D"/>
    <w:rsid w:val="00474A92"/>
    <w:rsid w:val="004762A7"/>
    <w:rsid w:val="00476389"/>
    <w:rsid w:val="00480BBD"/>
    <w:rsid w:val="00480BF8"/>
    <w:rsid w:val="004816FE"/>
    <w:rsid w:val="00482CC3"/>
    <w:rsid w:val="00483485"/>
    <w:rsid w:val="00483883"/>
    <w:rsid w:val="00483B87"/>
    <w:rsid w:val="00484745"/>
    <w:rsid w:val="00484B88"/>
    <w:rsid w:val="00485ED9"/>
    <w:rsid w:val="004865CD"/>
    <w:rsid w:val="00487058"/>
    <w:rsid w:val="00487D3F"/>
    <w:rsid w:val="00487DD9"/>
    <w:rsid w:val="00491528"/>
    <w:rsid w:val="004923FC"/>
    <w:rsid w:val="0049355B"/>
    <w:rsid w:val="004940EF"/>
    <w:rsid w:val="004944C9"/>
    <w:rsid w:val="00494902"/>
    <w:rsid w:val="00494D70"/>
    <w:rsid w:val="00496BFF"/>
    <w:rsid w:val="00496D34"/>
    <w:rsid w:val="004972AE"/>
    <w:rsid w:val="004A1175"/>
    <w:rsid w:val="004A1349"/>
    <w:rsid w:val="004A1BFD"/>
    <w:rsid w:val="004A1C19"/>
    <w:rsid w:val="004A334F"/>
    <w:rsid w:val="004A37AC"/>
    <w:rsid w:val="004A3E63"/>
    <w:rsid w:val="004A5875"/>
    <w:rsid w:val="004A6AC9"/>
    <w:rsid w:val="004B19DE"/>
    <w:rsid w:val="004B45C1"/>
    <w:rsid w:val="004B61DE"/>
    <w:rsid w:val="004B7ED8"/>
    <w:rsid w:val="004C05AE"/>
    <w:rsid w:val="004C37EF"/>
    <w:rsid w:val="004C5077"/>
    <w:rsid w:val="004C51F2"/>
    <w:rsid w:val="004C5878"/>
    <w:rsid w:val="004C5A27"/>
    <w:rsid w:val="004C61B1"/>
    <w:rsid w:val="004D0404"/>
    <w:rsid w:val="004D050E"/>
    <w:rsid w:val="004D0934"/>
    <w:rsid w:val="004D1E3C"/>
    <w:rsid w:val="004D2B8C"/>
    <w:rsid w:val="004D4D96"/>
    <w:rsid w:val="004D610D"/>
    <w:rsid w:val="004D6FD1"/>
    <w:rsid w:val="004D7DCB"/>
    <w:rsid w:val="004E00A0"/>
    <w:rsid w:val="004E040A"/>
    <w:rsid w:val="004E113C"/>
    <w:rsid w:val="004E16C9"/>
    <w:rsid w:val="004E16DF"/>
    <w:rsid w:val="004E1E17"/>
    <w:rsid w:val="004E2424"/>
    <w:rsid w:val="004E2B02"/>
    <w:rsid w:val="004E3117"/>
    <w:rsid w:val="004E3C2A"/>
    <w:rsid w:val="004E4C89"/>
    <w:rsid w:val="004E4CBE"/>
    <w:rsid w:val="004E522B"/>
    <w:rsid w:val="004E5818"/>
    <w:rsid w:val="004E5B10"/>
    <w:rsid w:val="004E6796"/>
    <w:rsid w:val="004E69E9"/>
    <w:rsid w:val="004F1866"/>
    <w:rsid w:val="004F1D2C"/>
    <w:rsid w:val="004F376C"/>
    <w:rsid w:val="004F4002"/>
    <w:rsid w:val="004F4891"/>
    <w:rsid w:val="004F7420"/>
    <w:rsid w:val="00500D23"/>
    <w:rsid w:val="00501A38"/>
    <w:rsid w:val="00501C05"/>
    <w:rsid w:val="00502CD6"/>
    <w:rsid w:val="0050315A"/>
    <w:rsid w:val="005039C2"/>
    <w:rsid w:val="00505902"/>
    <w:rsid w:val="00506231"/>
    <w:rsid w:val="005068AF"/>
    <w:rsid w:val="00513070"/>
    <w:rsid w:val="00513E6E"/>
    <w:rsid w:val="00514DCF"/>
    <w:rsid w:val="00514E73"/>
    <w:rsid w:val="005152E2"/>
    <w:rsid w:val="00515364"/>
    <w:rsid w:val="00516526"/>
    <w:rsid w:val="00516C43"/>
    <w:rsid w:val="005173A0"/>
    <w:rsid w:val="005173E8"/>
    <w:rsid w:val="005174A1"/>
    <w:rsid w:val="005177F1"/>
    <w:rsid w:val="0051789B"/>
    <w:rsid w:val="00517949"/>
    <w:rsid w:val="00517F18"/>
    <w:rsid w:val="00520414"/>
    <w:rsid w:val="0052054A"/>
    <w:rsid w:val="00521316"/>
    <w:rsid w:val="00521CD2"/>
    <w:rsid w:val="00522CD0"/>
    <w:rsid w:val="00522E50"/>
    <w:rsid w:val="00523207"/>
    <w:rsid w:val="00523B2F"/>
    <w:rsid w:val="00524FD1"/>
    <w:rsid w:val="00525063"/>
    <w:rsid w:val="0052536A"/>
    <w:rsid w:val="0052625B"/>
    <w:rsid w:val="00526495"/>
    <w:rsid w:val="00526BDE"/>
    <w:rsid w:val="00526D6E"/>
    <w:rsid w:val="00527A68"/>
    <w:rsid w:val="00531CEB"/>
    <w:rsid w:val="0053247A"/>
    <w:rsid w:val="00534939"/>
    <w:rsid w:val="0053589A"/>
    <w:rsid w:val="00536D4A"/>
    <w:rsid w:val="0053782B"/>
    <w:rsid w:val="00537FC0"/>
    <w:rsid w:val="00540233"/>
    <w:rsid w:val="00540311"/>
    <w:rsid w:val="005405EB"/>
    <w:rsid w:val="0054103A"/>
    <w:rsid w:val="005417AD"/>
    <w:rsid w:val="00542068"/>
    <w:rsid w:val="00542E61"/>
    <w:rsid w:val="005436F1"/>
    <w:rsid w:val="00544641"/>
    <w:rsid w:val="0054499C"/>
    <w:rsid w:val="00544C3A"/>
    <w:rsid w:val="00544C50"/>
    <w:rsid w:val="0054549F"/>
    <w:rsid w:val="005457BE"/>
    <w:rsid w:val="00545FAA"/>
    <w:rsid w:val="005472DE"/>
    <w:rsid w:val="005475DA"/>
    <w:rsid w:val="00547941"/>
    <w:rsid w:val="005500CA"/>
    <w:rsid w:val="005501F3"/>
    <w:rsid w:val="00550897"/>
    <w:rsid w:val="00551D28"/>
    <w:rsid w:val="005520C9"/>
    <w:rsid w:val="00552610"/>
    <w:rsid w:val="0055262B"/>
    <w:rsid w:val="00552A35"/>
    <w:rsid w:val="0055348F"/>
    <w:rsid w:val="0055363B"/>
    <w:rsid w:val="00553EF2"/>
    <w:rsid w:val="00554781"/>
    <w:rsid w:val="00554CAB"/>
    <w:rsid w:val="005551D6"/>
    <w:rsid w:val="00555493"/>
    <w:rsid w:val="005563C5"/>
    <w:rsid w:val="00556B72"/>
    <w:rsid w:val="00556DB1"/>
    <w:rsid w:val="005572B4"/>
    <w:rsid w:val="005611FD"/>
    <w:rsid w:val="005620C1"/>
    <w:rsid w:val="0056287F"/>
    <w:rsid w:val="005633FD"/>
    <w:rsid w:val="005661C1"/>
    <w:rsid w:val="0056644B"/>
    <w:rsid w:val="0056683C"/>
    <w:rsid w:val="0056699D"/>
    <w:rsid w:val="00566E47"/>
    <w:rsid w:val="00566FFF"/>
    <w:rsid w:val="00567A6E"/>
    <w:rsid w:val="005700A1"/>
    <w:rsid w:val="00570227"/>
    <w:rsid w:val="005703BF"/>
    <w:rsid w:val="005708E6"/>
    <w:rsid w:val="005714D1"/>
    <w:rsid w:val="005719CF"/>
    <w:rsid w:val="005742D3"/>
    <w:rsid w:val="0057463D"/>
    <w:rsid w:val="00575604"/>
    <w:rsid w:val="00575BA2"/>
    <w:rsid w:val="00576C1E"/>
    <w:rsid w:val="005775FE"/>
    <w:rsid w:val="00577E15"/>
    <w:rsid w:val="00580111"/>
    <w:rsid w:val="00580A9E"/>
    <w:rsid w:val="00581063"/>
    <w:rsid w:val="0058156B"/>
    <w:rsid w:val="005816C3"/>
    <w:rsid w:val="00581B66"/>
    <w:rsid w:val="0058213F"/>
    <w:rsid w:val="00582FFE"/>
    <w:rsid w:val="005837A1"/>
    <w:rsid w:val="00583E11"/>
    <w:rsid w:val="0058435B"/>
    <w:rsid w:val="00584B1D"/>
    <w:rsid w:val="005852C7"/>
    <w:rsid w:val="00585AE7"/>
    <w:rsid w:val="00585FC5"/>
    <w:rsid w:val="005861C2"/>
    <w:rsid w:val="00590698"/>
    <w:rsid w:val="00590837"/>
    <w:rsid w:val="0059097D"/>
    <w:rsid w:val="00590C34"/>
    <w:rsid w:val="0059102B"/>
    <w:rsid w:val="00591BA1"/>
    <w:rsid w:val="00591D27"/>
    <w:rsid w:val="00592153"/>
    <w:rsid w:val="00592321"/>
    <w:rsid w:val="00592410"/>
    <w:rsid w:val="00592639"/>
    <w:rsid w:val="005929E7"/>
    <w:rsid w:val="00593191"/>
    <w:rsid w:val="0059374E"/>
    <w:rsid w:val="005938F6"/>
    <w:rsid w:val="00594B0D"/>
    <w:rsid w:val="0059582B"/>
    <w:rsid w:val="00595AAA"/>
    <w:rsid w:val="0059689A"/>
    <w:rsid w:val="00596B8A"/>
    <w:rsid w:val="005A000D"/>
    <w:rsid w:val="005A02CC"/>
    <w:rsid w:val="005A0610"/>
    <w:rsid w:val="005A0C10"/>
    <w:rsid w:val="005A151B"/>
    <w:rsid w:val="005A1843"/>
    <w:rsid w:val="005A1A50"/>
    <w:rsid w:val="005A1AE2"/>
    <w:rsid w:val="005A2204"/>
    <w:rsid w:val="005A2407"/>
    <w:rsid w:val="005A27C5"/>
    <w:rsid w:val="005A28D3"/>
    <w:rsid w:val="005A3BC0"/>
    <w:rsid w:val="005A3DDC"/>
    <w:rsid w:val="005A413E"/>
    <w:rsid w:val="005A4A7C"/>
    <w:rsid w:val="005A51A6"/>
    <w:rsid w:val="005A5945"/>
    <w:rsid w:val="005A69A4"/>
    <w:rsid w:val="005A7E0B"/>
    <w:rsid w:val="005B1059"/>
    <w:rsid w:val="005B1674"/>
    <w:rsid w:val="005B1DB1"/>
    <w:rsid w:val="005B1E5D"/>
    <w:rsid w:val="005B29C7"/>
    <w:rsid w:val="005B3357"/>
    <w:rsid w:val="005B358C"/>
    <w:rsid w:val="005B367C"/>
    <w:rsid w:val="005B464D"/>
    <w:rsid w:val="005B602C"/>
    <w:rsid w:val="005B6370"/>
    <w:rsid w:val="005B64F9"/>
    <w:rsid w:val="005B66D9"/>
    <w:rsid w:val="005B6A26"/>
    <w:rsid w:val="005B74D5"/>
    <w:rsid w:val="005C0454"/>
    <w:rsid w:val="005C0A3A"/>
    <w:rsid w:val="005C1212"/>
    <w:rsid w:val="005C37B1"/>
    <w:rsid w:val="005C46C5"/>
    <w:rsid w:val="005C4A77"/>
    <w:rsid w:val="005C4CD6"/>
    <w:rsid w:val="005C53DE"/>
    <w:rsid w:val="005C5720"/>
    <w:rsid w:val="005C75A8"/>
    <w:rsid w:val="005D061B"/>
    <w:rsid w:val="005D071A"/>
    <w:rsid w:val="005D1220"/>
    <w:rsid w:val="005D2741"/>
    <w:rsid w:val="005D2F29"/>
    <w:rsid w:val="005D3FBC"/>
    <w:rsid w:val="005D44F3"/>
    <w:rsid w:val="005D60C2"/>
    <w:rsid w:val="005D6851"/>
    <w:rsid w:val="005D77CE"/>
    <w:rsid w:val="005D7F05"/>
    <w:rsid w:val="005E08AF"/>
    <w:rsid w:val="005E16CA"/>
    <w:rsid w:val="005E354B"/>
    <w:rsid w:val="005E4F15"/>
    <w:rsid w:val="005E6144"/>
    <w:rsid w:val="005F074D"/>
    <w:rsid w:val="005F1CA3"/>
    <w:rsid w:val="005F30CD"/>
    <w:rsid w:val="005F330C"/>
    <w:rsid w:val="005F5324"/>
    <w:rsid w:val="006002AB"/>
    <w:rsid w:val="00601D05"/>
    <w:rsid w:val="00603216"/>
    <w:rsid w:val="00603A41"/>
    <w:rsid w:val="00603DAF"/>
    <w:rsid w:val="00603EF5"/>
    <w:rsid w:val="00604DCD"/>
    <w:rsid w:val="006071D3"/>
    <w:rsid w:val="00611356"/>
    <w:rsid w:val="00611982"/>
    <w:rsid w:val="006120CB"/>
    <w:rsid w:val="00613E8D"/>
    <w:rsid w:val="00613EDB"/>
    <w:rsid w:val="006140C2"/>
    <w:rsid w:val="00614446"/>
    <w:rsid w:val="006145DB"/>
    <w:rsid w:val="00615F17"/>
    <w:rsid w:val="00616F7D"/>
    <w:rsid w:val="00616FA0"/>
    <w:rsid w:val="00617C61"/>
    <w:rsid w:val="00617D1B"/>
    <w:rsid w:val="00620DDB"/>
    <w:rsid w:val="006238E8"/>
    <w:rsid w:val="0062417E"/>
    <w:rsid w:val="006244BD"/>
    <w:rsid w:val="00624D2A"/>
    <w:rsid w:val="00625766"/>
    <w:rsid w:val="00625BBD"/>
    <w:rsid w:val="00626875"/>
    <w:rsid w:val="00627E8B"/>
    <w:rsid w:val="00630C97"/>
    <w:rsid w:val="0063114F"/>
    <w:rsid w:val="006316B3"/>
    <w:rsid w:val="00631D4C"/>
    <w:rsid w:val="00632200"/>
    <w:rsid w:val="00632E5C"/>
    <w:rsid w:val="00633153"/>
    <w:rsid w:val="00633359"/>
    <w:rsid w:val="00633369"/>
    <w:rsid w:val="00633DF6"/>
    <w:rsid w:val="00635EBE"/>
    <w:rsid w:val="00636114"/>
    <w:rsid w:val="00636C6F"/>
    <w:rsid w:val="006376CB"/>
    <w:rsid w:val="00640712"/>
    <w:rsid w:val="006407DB"/>
    <w:rsid w:val="0064097E"/>
    <w:rsid w:val="00640980"/>
    <w:rsid w:val="00640FE0"/>
    <w:rsid w:val="0064118D"/>
    <w:rsid w:val="006416E1"/>
    <w:rsid w:val="00641C93"/>
    <w:rsid w:val="0064220E"/>
    <w:rsid w:val="00642578"/>
    <w:rsid w:val="006431A1"/>
    <w:rsid w:val="006435A7"/>
    <w:rsid w:val="00644E33"/>
    <w:rsid w:val="00645121"/>
    <w:rsid w:val="00645A3A"/>
    <w:rsid w:val="00645C70"/>
    <w:rsid w:val="0064629E"/>
    <w:rsid w:val="00646364"/>
    <w:rsid w:val="00646984"/>
    <w:rsid w:val="00647708"/>
    <w:rsid w:val="0064785A"/>
    <w:rsid w:val="00647A27"/>
    <w:rsid w:val="00651B34"/>
    <w:rsid w:val="00652645"/>
    <w:rsid w:val="00652E29"/>
    <w:rsid w:val="00653138"/>
    <w:rsid w:val="00653D94"/>
    <w:rsid w:val="006556E1"/>
    <w:rsid w:val="00655D76"/>
    <w:rsid w:val="00655FF9"/>
    <w:rsid w:val="00656FAD"/>
    <w:rsid w:val="00657AE5"/>
    <w:rsid w:val="00660446"/>
    <w:rsid w:val="00660BA6"/>
    <w:rsid w:val="00662294"/>
    <w:rsid w:val="006643C3"/>
    <w:rsid w:val="006666C3"/>
    <w:rsid w:val="006670F3"/>
    <w:rsid w:val="00672589"/>
    <w:rsid w:val="00672B58"/>
    <w:rsid w:val="006730D2"/>
    <w:rsid w:val="00674F62"/>
    <w:rsid w:val="0067643E"/>
    <w:rsid w:val="00680098"/>
    <w:rsid w:val="00680DA8"/>
    <w:rsid w:val="00681245"/>
    <w:rsid w:val="00681B92"/>
    <w:rsid w:val="00682B35"/>
    <w:rsid w:val="006833FD"/>
    <w:rsid w:val="006842E6"/>
    <w:rsid w:val="0068481E"/>
    <w:rsid w:val="00685572"/>
    <w:rsid w:val="006866FF"/>
    <w:rsid w:val="006873F8"/>
    <w:rsid w:val="0068752E"/>
    <w:rsid w:val="0069046F"/>
    <w:rsid w:val="00690775"/>
    <w:rsid w:val="00691F7B"/>
    <w:rsid w:val="006933AB"/>
    <w:rsid w:val="00693D60"/>
    <w:rsid w:val="00694079"/>
    <w:rsid w:val="00695651"/>
    <w:rsid w:val="0069659E"/>
    <w:rsid w:val="00696BAC"/>
    <w:rsid w:val="006A0B87"/>
    <w:rsid w:val="006A1816"/>
    <w:rsid w:val="006A3B6A"/>
    <w:rsid w:val="006A450F"/>
    <w:rsid w:val="006A67A0"/>
    <w:rsid w:val="006A69B1"/>
    <w:rsid w:val="006A71A9"/>
    <w:rsid w:val="006A7AAC"/>
    <w:rsid w:val="006A7CE8"/>
    <w:rsid w:val="006A7EC5"/>
    <w:rsid w:val="006B0D65"/>
    <w:rsid w:val="006B1C1E"/>
    <w:rsid w:val="006B30D3"/>
    <w:rsid w:val="006B4345"/>
    <w:rsid w:val="006B4A69"/>
    <w:rsid w:val="006B5625"/>
    <w:rsid w:val="006B6545"/>
    <w:rsid w:val="006B6F2C"/>
    <w:rsid w:val="006B71D9"/>
    <w:rsid w:val="006B76F2"/>
    <w:rsid w:val="006B7D36"/>
    <w:rsid w:val="006C11C8"/>
    <w:rsid w:val="006C127C"/>
    <w:rsid w:val="006C1777"/>
    <w:rsid w:val="006C503D"/>
    <w:rsid w:val="006C59E1"/>
    <w:rsid w:val="006C6DED"/>
    <w:rsid w:val="006D1024"/>
    <w:rsid w:val="006D2FE2"/>
    <w:rsid w:val="006D3303"/>
    <w:rsid w:val="006D35D2"/>
    <w:rsid w:val="006D3E4A"/>
    <w:rsid w:val="006D4FE0"/>
    <w:rsid w:val="006D51FD"/>
    <w:rsid w:val="006D58F3"/>
    <w:rsid w:val="006D6648"/>
    <w:rsid w:val="006D7292"/>
    <w:rsid w:val="006D7E1F"/>
    <w:rsid w:val="006E02A4"/>
    <w:rsid w:val="006E045F"/>
    <w:rsid w:val="006E0FC6"/>
    <w:rsid w:val="006E1BFE"/>
    <w:rsid w:val="006E3024"/>
    <w:rsid w:val="006E497C"/>
    <w:rsid w:val="006E665E"/>
    <w:rsid w:val="006E7ECD"/>
    <w:rsid w:val="006E7F0A"/>
    <w:rsid w:val="006F0490"/>
    <w:rsid w:val="006F14C7"/>
    <w:rsid w:val="006F2DF9"/>
    <w:rsid w:val="006F2F17"/>
    <w:rsid w:val="006F36CD"/>
    <w:rsid w:val="006F51EA"/>
    <w:rsid w:val="006F6840"/>
    <w:rsid w:val="006F7AA7"/>
    <w:rsid w:val="007004E8"/>
    <w:rsid w:val="00701562"/>
    <w:rsid w:val="00701C16"/>
    <w:rsid w:val="0070248B"/>
    <w:rsid w:val="00702E4F"/>
    <w:rsid w:val="00703401"/>
    <w:rsid w:val="00704700"/>
    <w:rsid w:val="00704C27"/>
    <w:rsid w:val="00705441"/>
    <w:rsid w:val="00711979"/>
    <w:rsid w:val="00712687"/>
    <w:rsid w:val="00713EB8"/>
    <w:rsid w:val="00714A89"/>
    <w:rsid w:val="00715826"/>
    <w:rsid w:val="007167D2"/>
    <w:rsid w:val="00717661"/>
    <w:rsid w:val="00717E21"/>
    <w:rsid w:val="00717FCF"/>
    <w:rsid w:val="00720AD3"/>
    <w:rsid w:val="00721494"/>
    <w:rsid w:val="00721B0C"/>
    <w:rsid w:val="00721C0B"/>
    <w:rsid w:val="00722248"/>
    <w:rsid w:val="00722D6B"/>
    <w:rsid w:val="00722E21"/>
    <w:rsid w:val="00723C4C"/>
    <w:rsid w:val="007242CB"/>
    <w:rsid w:val="00726A17"/>
    <w:rsid w:val="00727926"/>
    <w:rsid w:val="00731B9C"/>
    <w:rsid w:val="00734A8B"/>
    <w:rsid w:val="00735AAC"/>
    <w:rsid w:val="00736954"/>
    <w:rsid w:val="00736C8F"/>
    <w:rsid w:val="007370BC"/>
    <w:rsid w:val="0073796E"/>
    <w:rsid w:val="00737F84"/>
    <w:rsid w:val="007403B5"/>
    <w:rsid w:val="0074138A"/>
    <w:rsid w:val="007458DE"/>
    <w:rsid w:val="00746536"/>
    <w:rsid w:val="00746848"/>
    <w:rsid w:val="00751BB2"/>
    <w:rsid w:val="00752911"/>
    <w:rsid w:val="007530BE"/>
    <w:rsid w:val="007534E3"/>
    <w:rsid w:val="00753597"/>
    <w:rsid w:val="007537D2"/>
    <w:rsid w:val="00753A21"/>
    <w:rsid w:val="00753B22"/>
    <w:rsid w:val="00753F10"/>
    <w:rsid w:val="00755003"/>
    <w:rsid w:val="00756E33"/>
    <w:rsid w:val="0075743D"/>
    <w:rsid w:val="00761025"/>
    <w:rsid w:val="0076256A"/>
    <w:rsid w:val="00762EA9"/>
    <w:rsid w:val="0076353D"/>
    <w:rsid w:val="0076458C"/>
    <w:rsid w:val="00765590"/>
    <w:rsid w:val="00766071"/>
    <w:rsid w:val="00766782"/>
    <w:rsid w:val="0076724C"/>
    <w:rsid w:val="00767A76"/>
    <w:rsid w:val="00770477"/>
    <w:rsid w:val="007708B9"/>
    <w:rsid w:val="00770C02"/>
    <w:rsid w:val="0077193E"/>
    <w:rsid w:val="0077242D"/>
    <w:rsid w:val="007727D8"/>
    <w:rsid w:val="007729A2"/>
    <w:rsid w:val="007738A3"/>
    <w:rsid w:val="00773DD6"/>
    <w:rsid w:val="00774AF4"/>
    <w:rsid w:val="007764D4"/>
    <w:rsid w:val="00777E63"/>
    <w:rsid w:val="00777EED"/>
    <w:rsid w:val="007803FF"/>
    <w:rsid w:val="007805C0"/>
    <w:rsid w:val="00781189"/>
    <w:rsid w:val="007817FA"/>
    <w:rsid w:val="007825CF"/>
    <w:rsid w:val="00782B76"/>
    <w:rsid w:val="00782BF9"/>
    <w:rsid w:val="00784187"/>
    <w:rsid w:val="007847D8"/>
    <w:rsid w:val="0078563B"/>
    <w:rsid w:val="0078616D"/>
    <w:rsid w:val="00786265"/>
    <w:rsid w:val="00786B32"/>
    <w:rsid w:val="00786EEF"/>
    <w:rsid w:val="007904EE"/>
    <w:rsid w:val="007904F5"/>
    <w:rsid w:val="00790871"/>
    <w:rsid w:val="0079127E"/>
    <w:rsid w:val="0079256A"/>
    <w:rsid w:val="007927B6"/>
    <w:rsid w:val="00792EF8"/>
    <w:rsid w:val="00793B53"/>
    <w:rsid w:val="00794E42"/>
    <w:rsid w:val="00795100"/>
    <w:rsid w:val="00795B6B"/>
    <w:rsid w:val="00797F26"/>
    <w:rsid w:val="007A0259"/>
    <w:rsid w:val="007A06DA"/>
    <w:rsid w:val="007A0E92"/>
    <w:rsid w:val="007A18C4"/>
    <w:rsid w:val="007A295D"/>
    <w:rsid w:val="007A4803"/>
    <w:rsid w:val="007A4A5B"/>
    <w:rsid w:val="007A59B2"/>
    <w:rsid w:val="007A5FCF"/>
    <w:rsid w:val="007A6B45"/>
    <w:rsid w:val="007A7A64"/>
    <w:rsid w:val="007B037E"/>
    <w:rsid w:val="007B326E"/>
    <w:rsid w:val="007B337B"/>
    <w:rsid w:val="007B3941"/>
    <w:rsid w:val="007B4DCA"/>
    <w:rsid w:val="007B5955"/>
    <w:rsid w:val="007B5BF7"/>
    <w:rsid w:val="007B607F"/>
    <w:rsid w:val="007B6161"/>
    <w:rsid w:val="007B64C0"/>
    <w:rsid w:val="007C0231"/>
    <w:rsid w:val="007C0588"/>
    <w:rsid w:val="007C0C0B"/>
    <w:rsid w:val="007C0E2D"/>
    <w:rsid w:val="007C1787"/>
    <w:rsid w:val="007C1878"/>
    <w:rsid w:val="007C2395"/>
    <w:rsid w:val="007C2397"/>
    <w:rsid w:val="007C3AF4"/>
    <w:rsid w:val="007C4075"/>
    <w:rsid w:val="007C5014"/>
    <w:rsid w:val="007C5F1A"/>
    <w:rsid w:val="007C7912"/>
    <w:rsid w:val="007D03D5"/>
    <w:rsid w:val="007D0BEF"/>
    <w:rsid w:val="007D2D52"/>
    <w:rsid w:val="007D3837"/>
    <w:rsid w:val="007D649E"/>
    <w:rsid w:val="007D79D6"/>
    <w:rsid w:val="007E2871"/>
    <w:rsid w:val="007E3A6C"/>
    <w:rsid w:val="007E4DE2"/>
    <w:rsid w:val="007E50C3"/>
    <w:rsid w:val="007E5672"/>
    <w:rsid w:val="007E5A28"/>
    <w:rsid w:val="007E7ED0"/>
    <w:rsid w:val="007F1FD1"/>
    <w:rsid w:val="007F460B"/>
    <w:rsid w:val="007F493B"/>
    <w:rsid w:val="007F6ECA"/>
    <w:rsid w:val="007F76DB"/>
    <w:rsid w:val="007F79FD"/>
    <w:rsid w:val="008003CB"/>
    <w:rsid w:val="00801296"/>
    <w:rsid w:val="008031BF"/>
    <w:rsid w:val="008033D6"/>
    <w:rsid w:val="00805DF4"/>
    <w:rsid w:val="00807698"/>
    <w:rsid w:val="008113AC"/>
    <w:rsid w:val="0081179E"/>
    <w:rsid w:val="0081192C"/>
    <w:rsid w:val="00811AB8"/>
    <w:rsid w:val="00811D8E"/>
    <w:rsid w:val="00812BE8"/>
    <w:rsid w:val="0081460F"/>
    <w:rsid w:val="00814688"/>
    <w:rsid w:val="0081566F"/>
    <w:rsid w:val="00815C55"/>
    <w:rsid w:val="008165B6"/>
    <w:rsid w:val="008169F1"/>
    <w:rsid w:val="00817BAF"/>
    <w:rsid w:val="00820474"/>
    <w:rsid w:val="00820621"/>
    <w:rsid w:val="00820678"/>
    <w:rsid w:val="0082083D"/>
    <w:rsid w:val="00820957"/>
    <w:rsid w:val="008222AE"/>
    <w:rsid w:val="008223C5"/>
    <w:rsid w:val="0082247E"/>
    <w:rsid w:val="00825207"/>
    <w:rsid w:val="00825719"/>
    <w:rsid w:val="0082583D"/>
    <w:rsid w:val="00825BAD"/>
    <w:rsid w:val="00826657"/>
    <w:rsid w:val="00827FB2"/>
    <w:rsid w:val="00830C35"/>
    <w:rsid w:val="00830EFD"/>
    <w:rsid w:val="00830F56"/>
    <w:rsid w:val="008313C1"/>
    <w:rsid w:val="00831926"/>
    <w:rsid w:val="0083253B"/>
    <w:rsid w:val="0083292E"/>
    <w:rsid w:val="00834870"/>
    <w:rsid w:val="00834CED"/>
    <w:rsid w:val="0083533B"/>
    <w:rsid w:val="00835E22"/>
    <w:rsid w:val="0084049B"/>
    <w:rsid w:val="00841405"/>
    <w:rsid w:val="0084176C"/>
    <w:rsid w:val="00841A67"/>
    <w:rsid w:val="00841CD7"/>
    <w:rsid w:val="00841F21"/>
    <w:rsid w:val="008421F8"/>
    <w:rsid w:val="00842213"/>
    <w:rsid w:val="00843E5C"/>
    <w:rsid w:val="008457DD"/>
    <w:rsid w:val="00847151"/>
    <w:rsid w:val="00847624"/>
    <w:rsid w:val="008479BB"/>
    <w:rsid w:val="00847B27"/>
    <w:rsid w:val="00850485"/>
    <w:rsid w:val="00851712"/>
    <w:rsid w:val="00851976"/>
    <w:rsid w:val="00852128"/>
    <w:rsid w:val="0085389A"/>
    <w:rsid w:val="008552D2"/>
    <w:rsid w:val="00855734"/>
    <w:rsid w:val="00856A7B"/>
    <w:rsid w:val="0086031E"/>
    <w:rsid w:val="0086052A"/>
    <w:rsid w:val="008605BD"/>
    <w:rsid w:val="008613BA"/>
    <w:rsid w:val="00862304"/>
    <w:rsid w:val="0086434B"/>
    <w:rsid w:val="0086480C"/>
    <w:rsid w:val="00865213"/>
    <w:rsid w:val="0086538A"/>
    <w:rsid w:val="008655E0"/>
    <w:rsid w:val="00865D94"/>
    <w:rsid w:val="00866039"/>
    <w:rsid w:val="008671F5"/>
    <w:rsid w:val="0087105D"/>
    <w:rsid w:val="0087144A"/>
    <w:rsid w:val="00871BBE"/>
    <w:rsid w:val="008726F8"/>
    <w:rsid w:val="00873E21"/>
    <w:rsid w:val="0087489A"/>
    <w:rsid w:val="00875938"/>
    <w:rsid w:val="00875CBF"/>
    <w:rsid w:val="00875DA5"/>
    <w:rsid w:val="008761FE"/>
    <w:rsid w:val="00876D0A"/>
    <w:rsid w:val="00877612"/>
    <w:rsid w:val="00877684"/>
    <w:rsid w:val="00877A10"/>
    <w:rsid w:val="00877BBC"/>
    <w:rsid w:val="00880819"/>
    <w:rsid w:val="00880A53"/>
    <w:rsid w:val="00882A1C"/>
    <w:rsid w:val="00886894"/>
    <w:rsid w:val="00886D45"/>
    <w:rsid w:val="008871A6"/>
    <w:rsid w:val="00887A2C"/>
    <w:rsid w:val="0089093A"/>
    <w:rsid w:val="00890FBD"/>
    <w:rsid w:val="00891A20"/>
    <w:rsid w:val="00892CEA"/>
    <w:rsid w:val="00893358"/>
    <w:rsid w:val="0089363D"/>
    <w:rsid w:val="008942D7"/>
    <w:rsid w:val="00894C99"/>
    <w:rsid w:val="00895164"/>
    <w:rsid w:val="00895EB2"/>
    <w:rsid w:val="008960A0"/>
    <w:rsid w:val="00897C22"/>
    <w:rsid w:val="008A293F"/>
    <w:rsid w:val="008A45B1"/>
    <w:rsid w:val="008A47DF"/>
    <w:rsid w:val="008B10F3"/>
    <w:rsid w:val="008B1EE6"/>
    <w:rsid w:val="008B29B0"/>
    <w:rsid w:val="008B2B24"/>
    <w:rsid w:val="008B341D"/>
    <w:rsid w:val="008B3787"/>
    <w:rsid w:val="008B467D"/>
    <w:rsid w:val="008B4AA9"/>
    <w:rsid w:val="008B4D9E"/>
    <w:rsid w:val="008B5416"/>
    <w:rsid w:val="008B68D8"/>
    <w:rsid w:val="008B6929"/>
    <w:rsid w:val="008B6E93"/>
    <w:rsid w:val="008C0AA7"/>
    <w:rsid w:val="008C1CBD"/>
    <w:rsid w:val="008C28A7"/>
    <w:rsid w:val="008C293D"/>
    <w:rsid w:val="008C2FF5"/>
    <w:rsid w:val="008C3098"/>
    <w:rsid w:val="008C3135"/>
    <w:rsid w:val="008C38CD"/>
    <w:rsid w:val="008C400D"/>
    <w:rsid w:val="008C489B"/>
    <w:rsid w:val="008C4B72"/>
    <w:rsid w:val="008C563A"/>
    <w:rsid w:val="008C63D7"/>
    <w:rsid w:val="008C645C"/>
    <w:rsid w:val="008C67A3"/>
    <w:rsid w:val="008D0419"/>
    <w:rsid w:val="008D064C"/>
    <w:rsid w:val="008D1D7E"/>
    <w:rsid w:val="008D2285"/>
    <w:rsid w:val="008D293D"/>
    <w:rsid w:val="008D3647"/>
    <w:rsid w:val="008D4181"/>
    <w:rsid w:val="008D5C48"/>
    <w:rsid w:val="008D7374"/>
    <w:rsid w:val="008D75EF"/>
    <w:rsid w:val="008E0544"/>
    <w:rsid w:val="008E0A2A"/>
    <w:rsid w:val="008E0FCF"/>
    <w:rsid w:val="008E1073"/>
    <w:rsid w:val="008E3945"/>
    <w:rsid w:val="008E540E"/>
    <w:rsid w:val="008E5C37"/>
    <w:rsid w:val="008E6602"/>
    <w:rsid w:val="008E664F"/>
    <w:rsid w:val="008E6D43"/>
    <w:rsid w:val="008F27D3"/>
    <w:rsid w:val="008F2A52"/>
    <w:rsid w:val="008F50B4"/>
    <w:rsid w:val="008F5377"/>
    <w:rsid w:val="008F67A8"/>
    <w:rsid w:val="008F7CB6"/>
    <w:rsid w:val="00900CD6"/>
    <w:rsid w:val="00900E22"/>
    <w:rsid w:val="0090119A"/>
    <w:rsid w:val="009037BF"/>
    <w:rsid w:val="00904B54"/>
    <w:rsid w:val="00904E69"/>
    <w:rsid w:val="009054CB"/>
    <w:rsid w:val="009070B5"/>
    <w:rsid w:val="009077FB"/>
    <w:rsid w:val="00907AF3"/>
    <w:rsid w:val="00907EE1"/>
    <w:rsid w:val="00911B58"/>
    <w:rsid w:val="00911C1E"/>
    <w:rsid w:val="009132C7"/>
    <w:rsid w:val="009134C8"/>
    <w:rsid w:val="00913B76"/>
    <w:rsid w:val="00913C42"/>
    <w:rsid w:val="00913DF0"/>
    <w:rsid w:val="0091437B"/>
    <w:rsid w:val="009160DC"/>
    <w:rsid w:val="009161B4"/>
    <w:rsid w:val="00916238"/>
    <w:rsid w:val="00916D25"/>
    <w:rsid w:val="0092093D"/>
    <w:rsid w:val="009209FD"/>
    <w:rsid w:val="009220FC"/>
    <w:rsid w:val="0092681C"/>
    <w:rsid w:val="00927B0C"/>
    <w:rsid w:val="00930FD1"/>
    <w:rsid w:val="00932727"/>
    <w:rsid w:val="00933465"/>
    <w:rsid w:val="0093433B"/>
    <w:rsid w:val="009347A5"/>
    <w:rsid w:val="0093556A"/>
    <w:rsid w:val="0094005B"/>
    <w:rsid w:val="009417A7"/>
    <w:rsid w:val="0094361A"/>
    <w:rsid w:val="009436E1"/>
    <w:rsid w:val="0094391A"/>
    <w:rsid w:val="00944159"/>
    <w:rsid w:val="00944D4C"/>
    <w:rsid w:val="009452F6"/>
    <w:rsid w:val="0095069B"/>
    <w:rsid w:val="009511A0"/>
    <w:rsid w:val="009511C0"/>
    <w:rsid w:val="009515A6"/>
    <w:rsid w:val="00952D6A"/>
    <w:rsid w:val="00953EF7"/>
    <w:rsid w:val="00954790"/>
    <w:rsid w:val="0095491A"/>
    <w:rsid w:val="00954C93"/>
    <w:rsid w:val="00954F32"/>
    <w:rsid w:val="00954FEE"/>
    <w:rsid w:val="009578C9"/>
    <w:rsid w:val="009602C6"/>
    <w:rsid w:val="0096071D"/>
    <w:rsid w:val="0096072C"/>
    <w:rsid w:val="0096090C"/>
    <w:rsid w:val="00960BF7"/>
    <w:rsid w:val="0096125D"/>
    <w:rsid w:val="009613F0"/>
    <w:rsid w:val="00963748"/>
    <w:rsid w:val="009644E6"/>
    <w:rsid w:val="00964540"/>
    <w:rsid w:val="00965BAD"/>
    <w:rsid w:val="00966D9E"/>
    <w:rsid w:val="00966FDC"/>
    <w:rsid w:val="0097001B"/>
    <w:rsid w:val="009700C1"/>
    <w:rsid w:val="00970FCC"/>
    <w:rsid w:val="00971A82"/>
    <w:rsid w:val="00972F2E"/>
    <w:rsid w:val="00973B2D"/>
    <w:rsid w:val="0097410C"/>
    <w:rsid w:val="009746F9"/>
    <w:rsid w:val="00975C3C"/>
    <w:rsid w:val="00975F0C"/>
    <w:rsid w:val="009760EC"/>
    <w:rsid w:val="0097626B"/>
    <w:rsid w:val="009774DE"/>
    <w:rsid w:val="009808BE"/>
    <w:rsid w:val="00984694"/>
    <w:rsid w:val="00984C9E"/>
    <w:rsid w:val="00984E46"/>
    <w:rsid w:val="00987329"/>
    <w:rsid w:val="0098765F"/>
    <w:rsid w:val="009878CD"/>
    <w:rsid w:val="00987C40"/>
    <w:rsid w:val="009902D5"/>
    <w:rsid w:val="00992315"/>
    <w:rsid w:val="0099233F"/>
    <w:rsid w:val="00993894"/>
    <w:rsid w:val="00993C20"/>
    <w:rsid w:val="00993D52"/>
    <w:rsid w:val="00994846"/>
    <w:rsid w:val="00994B85"/>
    <w:rsid w:val="00997D57"/>
    <w:rsid w:val="00997E83"/>
    <w:rsid w:val="009A0B12"/>
    <w:rsid w:val="009A131D"/>
    <w:rsid w:val="009A181B"/>
    <w:rsid w:val="009A1E88"/>
    <w:rsid w:val="009A1ED1"/>
    <w:rsid w:val="009A2853"/>
    <w:rsid w:val="009A291A"/>
    <w:rsid w:val="009A29C6"/>
    <w:rsid w:val="009A3062"/>
    <w:rsid w:val="009A3B79"/>
    <w:rsid w:val="009A4417"/>
    <w:rsid w:val="009A44B5"/>
    <w:rsid w:val="009A4766"/>
    <w:rsid w:val="009A4AE0"/>
    <w:rsid w:val="009A577D"/>
    <w:rsid w:val="009A5CD2"/>
    <w:rsid w:val="009B0785"/>
    <w:rsid w:val="009B0CFB"/>
    <w:rsid w:val="009B1945"/>
    <w:rsid w:val="009B20F9"/>
    <w:rsid w:val="009B2FD4"/>
    <w:rsid w:val="009B3A0E"/>
    <w:rsid w:val="009B44EA"/>
    <w:rsid w:val="009B55D8"/>
    <w:rsid w:val="009B57DC"/>
    <w:rsid w:val="009B5B5B"/>
    <w:rsid w:val="009B5E1D"/>
    <w:rsid w:val="009B79A2"/>
    <w:rsid w:val="009B7BBA"/>
    <w:rsid w:val="009B7E99"/>
    <w:rsid w:val="009C0B7B"/>
    <w:rsid w:val="009C0D0B"/>
    <w:rsid w:val="009C1EC9"/>
    <w:rsid w:val="009C36C5"/>
    <w:rsid w:val="009C3ECC"/>
    <w:rsid w:val="009C403D"/>
    <w:rsid w:val="009C6476"/>
    <w:rsid w:val="009C6CAA"/>
    <w:rsid w:val="009C7C6B"/>
    <w:rsid w:val="009C7C94"/>
    <w:rsid w:val="009D0356"/>
    <w:rsid w:val="009D0878"/>
    <w:rsid w:val="009D0E48"/>
    <w:rsid w:val="009D2B45"/>
    <w:rsid w:val="009D3A61"/>
    <w:rsid w:val="009D4BA6"/>
    <w:rsid w:val="009D531C"/>
    <w:rsid w:val="009D55B8"/>
    <w:rsid w:val="009D652D"/>
    <w:rsid w:val="009D7AF4"/>
    <w:rsid w:val="009E0022"/>
    <w:rsid w:val="009E0A00"/>
    <w:rsid w:val="009E3345"/>
    <w:rsid w:val="009E4A00"/>
    <w:rsid w:val="009E578D"/>
    <w:rsid w:val="009E7901"/>
    <w:rsid w:val="009E79F6"/>
    <w:rsid w:val="009E7BF0"/>
    <w:rsid w:val="009F0BC5"/>
    <w:rsid w:val="009F1C8C"/>
    <w:rsid w:val="009F2FE1"/>
    <w:rsid w:val="009F69F0"/>
    <w:rsid w:val="009F7911"/>
    <w:rsid w:val="009F7D3E"/>
    <w:rsid w:val="00A02318"/>
    <w:rsid w:val="00A028C6"/>
    <w:rsid w:val="00A04C54"/>
    <w:rsid w:val="00A05397"/>
    <w:rsid w:val="00A05468"/>
    <w:rsid w:val="00A05D33"/>
    <w:rsid w:val="00A06998"/>
    <w:rsid w:val="00A07222"/>
    <w:rsid w:val="00A074E4"/>
    <w:rsid w:val="00A07AF2"/>
    <w:rsid w:val="00A10C59"/>
    <w:rsid w:val="00A1189E"/>
    <w:rsid w:val="00A121C1"/>
    <w:rsid w:val="00A1274D"/>
    <w:rsid w:val="00A12FEA"/>
    <w:rsid w:val="00A13101"/>
    <w:rsid w:val="00A158BE"/>
    <w:rsid w:val="00A15CFB"/>
    <w:rsid w:val="00A16FF2"/>
    <w:rsid w:val="00A17403"/>
    <w:rsid w:val="00A17D31"/>
    <w:rsid w:val="00A205BD"/>
    <w:rsid w:val="00A21829"/>
    <w:rsid w:val="00A21B45"/>
    <w:rsid w:val="00A233B0"/>
    <w:rsid w:val="00A235B6"/>
    <w:rsid w:val="00A2475B"/>
    <w:rsid w:val="00A2486F"/>
    <w:rsid w:val="00A25802"/>
    <w:rsid w:val="00A258CC"/>
    <w:rsid w:val="00A26755"/>
    <w:rsid w:val="00A26992"/>
    <w:rsid w:val="00A26F88"/>
    <w:rsid w:val="00A279C9"/>
    <w:rsid w:val="00A27EFF"/>
    <w:rsid w:val="00A30250"/>
    <w:rsid w:val="00A30D43"/>
    <w:rsid w:val="00A30EA1"/>
    <w:rsid w:val="00A31343"/>
    <w:rsid w:val="00A32755"/>
    <w:rsid w:val="00A33B57"/>
    <w:rsid w:val="00A34715"/>
    <w:rsid w:val="00A35182"/>
    <w:rsid w:val="00A37357"/>
    <w:rsid w:val="00A37A35"/>
    <w:rsid w:val="00A406E4"/>
    <w:rsid w:val="00A41B8E"/>
    <w:rsid w:val="00A41E20"/>
    <w:rsid w:val="00A429A3"/>
    <w:rsid w:val="00A42B12"/>
    <w:rsid w:val="00A4521C"/>
    <w:rsid w:val="00A50C71"/>
    <w:rsid w:val="00A51C36"/>
    <w:rsid w:val="00A52649"/>
    <w:rsid w:val="00A52D2E"/>
    <w:rsid w:val="00A5363E"/>
    <w:rsid w:val="00A53D1F"/>
    <w:rsid w:val="00A53D5E"/>
    <w:rsid w:val="00A545A7"/>
    <w:rsid w:val="00A56305"/>
    <w:rsid w:val="00A5648D"/>
    <w:rsid w:val="00A56954"/>
    <w:rsid w:val="00A56C37"/>
    <w:rsid w:val="00A56E23"/>
    <w:rsid w:val="00A571CB"/>
    <w:rsid w:val="00A57A59"/>
    <w:rsid w:val="00A57FAC"/>
    <w:rsid w:val="00A62D69"/>
    <w:rsid w:val="00A63587"/>
    <w:rsid w:val="00A63881"/>
    <w:rsid w:val="00A64124"/>
    <w:rsid w:val="00A641CC"/>
    <w:rsid w:val="00A65248"/>
    <w:rsid w:val="00A65316"/>
    <w:rsid w:val="00A655FE"/>
    <w:rsid w:val="00A65C9E"/>
    <w:rsid w:val="00A662F2"/>
    <w:rsid w:val="00A672E7"/>
    <w:rsid w:val="00A67AC6"/>
    <w:rsid w:val="00A67E79"/>
    <w:rsid w:val="00A7359B"/>
    <w:rsid w:val="00A74D60"/>
    <w:rsid w:val="00A75187"/>
    <w:rsid w:val="00A760A1"/>
    <w:rsid w:val="00A80118"/>
    <w:rsid w:val="00A8198B"/>
    <w:rsid w:val="00A830C5"/>
    <w:rsid w:val="00A83707"/>
    <w:rsid w:val="00A8599E"/>
    <w:rsid w:val="00A8659C"/>
    <w:rsid w:val="00A86843"/>
    <w:rsid w:val="00A86EF7"/>
    <w:rsid w:val="00A87658"/>
    <w:rsid w:val="00A9018D"/>
    <w:rsid w:val="00A916C6"/>
    <w:rsid w:val="00A91778"/>
    <w:rsid w:val="00A927FE"/>
    <w:rsid w:val="00A964C3"/>
    <w:rsid w:val="00A96B43"/>
    <w:rsid w:val="00A97959"/>
    <w:rsid w:val="00AA06B0"/>
    <w:rsid w:val="00AA0B51"/>
    <w:rsid w:val="00AA0D21"/>
    <w:rsid w:val="00AA0F8B"/>
    <w:rsid w:val="00AA1E56"/>
    <w:rsid w:val="00AA2114"/>
    <w:rsid w:val="00AA2421"/>
    <w:rsid w:val="00AA2E6D"/>
    <w:rsid w:val="00AA56EA"/>
    <w:rsid w:val="00AA6AA4"/>
    <w:rsid w:val="00AA6F93"/>
    <w:rsid w:val="00AA7BCF"/>
    <w:rsid w:val="00AA7FCD"/>
    <w:rsid w:val="00AB027D"/>
    <w:rsid w:val="00AB0B7B"/>
    <w:rsid w:val="00AB27FC"/>
    <w:rsid w:val="00AB486F"/>
    <w:rsid w:val="00AC03C0"/>
    <w:rsid w:val="00AC0D50"/>
    <w:rsid w:val="00AC127A"/>
    <w:rsid w:val="00AC2CBB"/>
    <w:rsid w:val="00AC3011"/>
    <w:rsid w:val="00AC32B2"/>
    <w:rsid w:val="00AC3E03"/>
    <w:rsid w:val="00AC40CB"/>
    <w:rsid w:val="00AC658B"/>
    <w:rsid w:val="00AC71AC"/>
    <w:rsid w:val="00AC7B63"/>
    <w:rsid w:val="00AC7F7E"/>
    <w:rsid w:val="00AD0AC5"/>
    <w:rsid w:val="00AD0D58"/>
    <w:rsid w:val="00AD2091"/>
    <w:rsid w:val="00AD220E"/>
    <w:rsid w:val="00AD2E19"/>
    <w:rsid w:val="00AD3058"/>
    <w:rsid w:val="00AD481F"/>
    <w:rsid w:val="00AD554A"/>
    <w:rsid w:val="00AD5E8B"/>
    <w:rsid w:val="00AD743C"/>
    <w:rsid w:val="00AE0851"/>
    <w:rsid w:val="00AE0E84"/>
    <w:rsid w:val="00AE0EB1"/>
    <w:rsid w:val="00AE14F5"/>
    <w:rsid w:val="00AE195C"/>
    <w:rsid w:val="00AE1F8A"/>
    <w:rsid w:val="00AE201C"/>
    <w:rsid w:val="00AE2277"/>
    <w:rsid w:val="00AE2D9E"/>
    <w:rsid w:val="00AE3107"/>
    <w:rsid w:val="00AE38D4"/>
    <w:rsid w:val="00AE41CC"/>
    <w:rsid w:val="00AE42EB"/>
    <w:rsid w:val="00AE4A1F"/>
    <w:rsid w:val="00AE4B3B"/>
    <w:rsid w:val="00AE50D5"/>
    <w:rsid w:val="00AE5981"/>
    <w:rsid w:val="00AE5FA8"/>
    <w:rsid w:val="00AE6062"/>
    <w:rsid w:val="00AE6C6E"/>
    <w:rsid w:val="00AE6F31"/>
    <w:rsid w:val="00AE70A1"/>
    <w:rsid w:val="00AE7A39"/>
    <w:rsid w:val="00AF0140"/>
    <w:rsid w:val="00AF1BE8"/>
    <w:rsid w:val="00AF24DB"/>
    <w:rsid w:val="00AF3CD3"/>
    <w:rsid w:val="00AF3DCB"/>
    <w:rsid w:val="00AF44F9"/>
    <w:rsid w:val="00AF4803"/>
    <w:rsid w:val="00AF4886"/>
    <w:rsid w:val="00AF5944"/>
    <w:rsid w:val="00AF63FB"/>
    <w:rsid w:val="00AF752D"/>
    <w:rsid w:val="00AF7743"/>
    <w:rsid w:val="00B0003D"/>
    <w:rsid w:val="00B00E78"/>
    <w:rsid w:val="00B02D81"/>
    <w:rsid w:val="00B04402"/>
    <w:rsid w:val="00B04768"/>
    <w:rsid w:val="00B04F47"/>
    <w:rsid w:val="00B053CB"/>
    <w:rsid w:val="00B056C3"/>
    <w:rsid w:val="00B06114"/>
    <w:rsid w:val="00B061B6"/>
    <w:rsid w:val="00B067D2"/>
    <w:rsid w:val="00B073EE"/>
    <w:rsid w:val="00B07E13"/>
    <w:rsid w:val="00B10831"/>
    <w:rsid w:val="00B12B90"/>
    <w:rsid w:val="00B13394"/>
    <w:rsid w:val="00B13B81"/>
    <w:rsid w:val="00B1441E"/>
    <w:rsid w:val="00B16A88"/>
    <w:rsid w:val="00B2027B"/>
    <w:rsid w:val="00B2231C"/>
    <w:rsid w:val="00B23AE7"/>
    <w:rsid w:val="00B245EB"/>
    <w:rsid w:val="00B2475F"/>
    <w:rsid w:val="00B25619"/>
    <w:rsid w:val="00B25732"/>
    <w:rsid w:val="00B26D2D"/>
    <w:rsid w:val="00B2797A"/>
    <w:rsid w:val="00B27BA7"/>
    <w:rsid w:val="00B27EFA"/>
    <w:rsid w:val="00B30E05"/>
    <w:rsid w:val="00B30FD5"/>
    <w:rsid w:val="00B31040"/>
    <w:rsid w:val="00B31517"/>
    <w:rsid w:val="00B317A1"/>
    <w:rsid w:val="00B340F9"/>
    <w:rsid w:val="00B36040"/>
    <w:rsid w:val="00B364ED"/>
    <w:rsid w:val="00B3737C"/>
    <w:rsid w:val="00B40BEE"/>
    <w:rsid w:val="00B4101D"/>
    <w:rsid w:val="00B4127D"/>
    <w:rsid w:val="00B42E9F"/>
    <w:rsid w:val="00B43B97"/>
    <w:rsid w:val="00B43BAC"/>
    <w:rsid w:val="00B4438B"/>
    <w:rsid w:val="00B46127"/>
    <w:rsid w:val="00B46A18"/>
    <w:rsid w:val="00B47FDB"/>
    <w:rsid w:val="00B504E6"/>
    <w:rsid w:val="00B5109E"/>
    <w:rsid w:val="00B51159"/>
    <w:rsid w:val="00B5141A"/>
    <w:rsid w:val="00B51D68"/>
    <w:rsid w:val="00B51E82"/>
    <w:rsid w:val="00B5269E"/>
    <w:rsid w:val="00B52CFF"/>
    <w:rsid w:val="00B53731"/>
    <w:rsid w:val="00B545BD"/>
    <w:rsid w:val="00B54A81"/>
    <w:rsid w:val="00B552DA"/>
    <w:rsid w:val="00B55516"/>
    <w:rsid w:val="00B55AF4"/>
    <w:rsid w:val="00B612D1"/>
    <w:rsid w:val="00B61483"/>
    <w:rsid w:val="00B62909"/>
    <w:rsid w:val="00B633BC"/>
    <w:rsid w:val="00B635EA"/>
    <w:rsid w:val="00B6423D"/>
    <w:rsid w:val="00B64663"/>
    <w:rsid w:val="00B653E9"/>
    <w:rsid w:val="00B65772"/>
    <w:rsid w:val="00B65ADA"/>
    <w:rsid w:val="00B66D05"/>
    <w:rsid w:val="00B70308"/>
    <w:rsid w:val="00B71FBC"/>
    <w:rsid w:val="00B71FDF"/>
    <w:rsid w:val="00B723E6"/>
    <w:rsid w:val="00B728A1"/>
    <w:rsid w:val="00B733D9"/>
    <w:rsid w:val="00B741DE"/>
    <w:rsid w:val="00B751C3"/>
    <w:rsid w:val="00B75C45"/>
    <w:rsid w:val="00B76560"/>
    <w:rsid w:val="00B770BC"/>
    <w:rsid w:val="00B77D57"/>
    <w:rsid w:val="00B8021A"/>
    <w:rsid w:val="00B81ACF"/>
    <w:rsid w:val="00B81B94"/>
    <w:rsid w:val="00B81E16"/>
    <w:rsid w:val="00B823E3"/>
    <w:rsid w:val="00B83142"/>
    <w:rsid w:val="00B8353B"/>
    <w:rsid w:val="00B83B12"/>
    <w:rsid w:val="00B83D3A"/>
    <w:rsid w:val="00B848FB"/>
    <w:rsid w:val="00B84DB0"/>
    <w:rsid w:val="00B852EA"/>
    <w:rsid w:val="00B87C29"/>
    <w:rsid w:val="00B9031E"/>
    <w:rsid w:val="00B90F0D"/>
    <w:rsid w:val="00B93618"/>
    <w:rsid w:val="00B93B35"/>
    <w:rsid w:val="00B96743"/>
    <w:rsid w:val="00B9743E"/>
    <w:rsid w:val="00B9785E"/>
    <w:rsid w:val="00BA0571"/>
    <w:rsid w:val="00BA15F0"/>
    <w:rsid w:val="00BA1E9C"/>
    <w:rsid w:val="00BA4144"/>
    <w:rsid w:val="00BA441C"/>
    <w:rsid w:val="00BA499E"/>
    <w:rsid w:val="00BA5050"/>
    <w:rsid w:val="00BA67D4"/>
    <w:rsid w:val="00BA7358"/>
    <w:rsid w:val="00BA746A"/>
    <w:rsid w:val="00BB0D02"/>
    <w:rsid w:val="00BB0D66"/>
    <w:rsid w:val="00BB0E28"/>
    <w:rsid w:val="00BB1E64"/>
    <w:rsid w:val="00BB25FD"/>
    <w:rsid w:val="00BB2818"/>
    <w:rsid w:val="00BB420C"/>
    <w:rsid w:val="00BB45CA"/>
    <w:rsid w:val="00BB46C6"/>
    <w:rsid w:val="00BB4711"/>
    <w:rsid w:val="00BB4906"/>
    <w:rsid w:val="00BB4A63"/>
    <w:rsid w:val="00BB4E92"/>
    <w:rsid w:val="00BB5062"/>
    <w:rsid w:val="00BB58BF"/>
    <w:rsid w:val="00BB5B89"/>
    <w:rsid w:val="00BB5D8E"/>
    <w:rsid w:val="00BB5FAA"/>
    <w:rsid w:val="00BB778C"/>
    <w:rsid w:val="00BC0A1B"/>
    <w:rsid w:val="00BC0E21"/>
    <w:rsid w:val="00BC167E"/>
    <w:rsid w:val="00BC16CB"/>
    <w:rsid w:val="00BC1BBA"/>
    <w:rsid w:val="00BC1E29"/>
    <w:rsid w:val="00BC25F4"/>
    <w:rsid w:val="00BC2B68"/>
    <w:rsid w:val="00BC4536"/>
    <w:rsid w:val="00BC4C66"/>
    <w:rsid w:val="00BC510A"/>
    <w:rsid w:val="00BC5EB0"/>
    <w:rsid w:val="00BC643F"/>
    <w:rsid w:val="00BC66CC"/>
    <w:rsid w:val="00BC6C99"/>
    <w:rsid w:val="00BD1203"/>
    <w:rsid w:val="00BD166F"/>
    <w:rsid w:val="00BD1E67"/>
    <w:rsid w:val="00BD2170"/>
    <w:rsid w:val="00BD26D0"/>
    <w:rsid w:val="00BD27AF"/>
    <w:rsid w:val="00BD2A3B"/>
    <w:rsid w:val="00BD3DA4"/>
    <w:rsid w:val="00BD4150"/>
    <w:rsid w:val="00BD4420"/>
    <w:rsid w:val="00BD45F8"/>
    <w:rsid w:val="00BD5A19"/>
    <w:rsid w:val="00BD692B"/>
    <w:rsid w:val="00BD7E7C"/>
    <w:rsid w:val="00BE0336"/>
    <w:rsid w:val="00BE0791"/>
    <w:rsid w:val="00BE150C"/>
    <w:rsid w:val="00BE26F2"/>
    <w:rsid w:val="00BE3CA9"/>
    <w:rsid w:val="00BE3DA1"/>
    <w:rsid w:val="00BE48C2"/>
    <w:rsid w:val="00BE67EA"/>
    <w:rsid w:val="00BE6EF3"/>
    <w:rsid w:val="00BE789B"/>
    <w:rsid w:val="00BF0D82"/>
    <w:rsid w:val="00BF4112"/>
    <w:rsid w:val="00BF419E"/>
    <w:rsid w:val="00BF49EC"/>
    <w:rsid w:val="00BF7567"/>
    <w:rsid w:val="00C00569"/>
    <w:rsid w:val="00C005F7"/>
    <w:rsid w:val="00C00A7C"/>
    <w:rsid w:val="00C01287"/>
    <w:rsid w:val="00C04D2E"/>
    <w:rsid w:val="00C0586E"/>
    <w:rsid w:val="00C05DF4"/>
    <w:rsid w:val="00C06009"/>
    <w:rsid w:val="00C106B2"/>
    <w:rsid w:val="00C10B26"/>
    <w:rsid w:val="00C11D84"/>
    <w:rsid w:val="00C11E1F"/>
    <w:rsid w:val="00C12E8B"/>
    <w:rsid w:val="00C13218"/>
    <w:rsid w:val="00C13344"/>
    <w:rsid w:val="00C134C8"/>
    <w:rsid w:val="00C16A60"/>
    <w:rsid w:val="00C172EB"/>
    <w:rsid w:val="00C20AB6"/>
    <w:rsid w:val="00C2117A"/>
    <w:rsid w:val="00C2131E"/>
    <w:rsid w:val="00C219B6"/>
    <w:rsid w:val="00C2252E"/>
    <w:rsid w:val="00C231C9"/>
    <w:rsid w:val="00C239ED"/>
    <w:rsid w:val="00C257E7"/>
    <w:rsid w:val="00C25890"/>
    <w:rsid w:val="00C259A2"/>
    <w:rsid w:val="00C25A16"/>
    <w:rsid w:val="00C25E14"/>
    <w:rsid w:val="00C25F09"/>
    <w:rsid w:val="00C26011"/>
    <w:rsid w:val="00C264EE"/>
    <w:rsid w:val="00C26759"/>
    <w:rsid w:val="00C27C41"/>
    <w:rsid w:val="00C32205"/>
    <w:rsid w:val="00C33455"/>
    <w:rsid w:val="00C33482"/>
    <w:rsid w:val="00C33D20"/>
    <w:rsid w:val="00C34DFF"/>
    <w:rsid w:val="00C3696D"/>
    <w:rsid w:val="00C36ADB"/>
    <w:rsid w:val="00C37451"/>
    <w:rsid w:val="00C379ED"/>
    <w:rsid w:val="00C37F73"/>
    <w:rsid w:val="00C37FA5"/>
    <w:rsid w:val="00C418F2"/>
    <w:rsid w:val="00C42423"/>
    <w:rsid w:val="00C428B0"/>
    <w:rsid w:val="00C4313A"/>
    <w:rsid w:val="00C439D7"/>
    <w:rsid w:val="00C44899"/>
    <w:rsid w:val="00C44E78"/>
    <w:rsid w:val="00C44FE6"/>
    <w:rsid w:val="00C46840"/>
    <w:rsid w:val="00C478C6"/>
    <w:rsid w:val="00C47F83"/>
    <w:rsid w:val="00C5020E"/>
    <w:rsid w:val="00C51144"/>
    <w:rsid w:val="00C5117E"/>
    <w:rsid w:val="00C52F91"/>
    <w:rsid w:val="00C55E33"/>
    <w:rsid w:val="00C55EFA"/>
    <w:rsid w:val="00C57D24"/>
    <w:rsid w:val="00C607D0"/>
    <w:rsid w:val="00C61228"/>
    <w:rsid w:val="00C616C1"/>
    <w:rsid w:val="00C61D65"/>
    <w:rsid w:val="00C62990"/>
    <w:rsid w:val="00C6427A"/>
    <w:rsid w:val="00C66F2B"/>
    <w:rsid w:val="00C674BB"/>
    <w:rsid w:val="00C67F08"/>
    <w:rsid w:val="00C70C08"/>
    <w:rsid w:val="00C712E5"/>
    <w:rsid w:val="00C715B4"/>
    <w:rsid w:val="00C717FD"/>
    <w:rsid w:val="00C744A2"/>
    <w:rsid w:val="00C74AD9"/>
    <w:rsid w:val="00C74EEA"/>
    <w:rsid w:val="00C751DF"/>
    <w:rsid w:val="00C762B5"/>
    <w:rsid w:val="00C7775E"/>
    <w:rsid w:val="00C80515"/>
    <w:rsid w:val="00C8200C"/>
    <w:rsid w:val="00C8252E"/>
    <w:rsid w:val="00C82760"/>
    <w:rsid w:val="00C82AC8"/>
    <w:rsid w:val="00C83DB5"/>
    <w:rsid w:val="00C83DD8"/>
    <w:rsid w:val="00C840ED"/>
    <w:rsid w:val="00C84D4C"/>
    <w:rsid w:val="00C85986"/>
    <w:rsid w:val="00C86393"/>
    <w:rsid w:val="00C86EC2"/>
    <w:rsid w:val="00C87DFC"/>
    <w:rsid w:val="00C90F4A"/>
    <w:rsid w:val="00C915EE"/>
    <w:rsid w:val="00C93207"/>
    <w:rsid w:val="00C93AB2"/>
    <w:rsid w:val="00C93D12"/>
    <w:rsid w:val="00C945C0"/>
    <w:rsid w:val="00C945E3"/>
    <w:rsid w:val="00C94BE4"/>
    <w:rsid w:val="00C950E7"/>
    <w:rsid w:val="00C95680"/>
    <w:rsid w:val="00C95AFE"/>
    <w:rsid w:val="00C962DB"/>
    <w:rsid w:val="00C96447"/>
    <w:rsid w:val="00C977AA"/>
    <w:rsid w:val="00CA0B32"/>
    <w:rsid w:val="00CA1E91"/>
    <w:rsid w:val="00CA2ABF"/>
    <w:rsid w:val="00CA30D9"/>
    <w:rsid w:val="00CA32A9"/>
    <w:rsid w:val="00CA34A2"/>
    <w:rsid w:val="00CA35D1"/>
    <w:rsid w:val="00CA3DAA"/>
    <w:rsid w:val="00CA559C"/>
    <w:rsid w:val="00CA7189"/>
    <w:rsid w:val="00CA7906"/>
    <w:rsid w:val="00CB064A"/>
    <w:rsid w:val="00CB164C"/>
    <w:rsid w:val="00CB1C88"/>
    <w:rsid w:val="00CB41AD"/>
    <w:rsid w:val="00CB44AF"/>
    <w:rsid w:val="00CB4F63"/>
    <w:rsid w:val="00CB56ED"/>
    <w:rsid w:val="00CB5CAD"/>
    <w:rsid w:val="00CB67CA"/>
    <w:rsid w:val="00CB6AF8"/>
    <w:rsid w:val="00CB6D7C"/>
    <w:rsid w:val="00CB728B"/>
    <w:rsid w:val="00CB7899"/>
    <w:rsid w:val="00CC0689"/>
    <w:rsid w:val="00CC06B6"/>
    <w:rsid w:val="00CC17E1"/>
    <w:rsid w:val="00CC2BEF"/>
    <w:rsid w:val="00CC3077"/>
    <w:rsid w:val="00CC39F9"/>
    <w:rsid w:val="00CC3B6B"/>
    <w:rsid w:val="00CC3BBA"/>
    <w:rsid w:val="00CC46BB"/>
    <w:rsid w:val="00CC52A7"/>
    <w:rsid w:val="00CC5A4A"/>
    <w:rsid w:val="00CC60EF"/>
    <w:rsid w:val="00CC6786"/>
    <w:rsid w:val="00CD095A"/>
    <w:rsid w:val="00CD4860"/>
    <w:rsid w:val="00CD6781"/>
    <w:rsid w:val="00CD7D6C"/>
    <w:rsid w:val="00CE0BBF"/>
    <w:rsid w:val="00CE15A9"/>
    <w:rsid w:val="00CE2262"/>
    <w:rsid w:val="00CE2C70"/>
    <w:rsid w:val="00CE45E0"/>
    <w:rsid w:val="00CE486B"/>
    <w:rsid w:val="00CE5320"/>
    <w:rsid w:val="00CE6F56"/>
    <w:rsid w:val="00CE7291"/>
    <w:rsid w:val="00CF1834"/>
    <w:rsid w:val="00CF1A2A"/>
    <w:rsid w:val="00CF1C03"/>
    <w:rsid w:val="00CF1CE5"/>
    <w:rsid w:val="00CF2178"/>
    <w:rsid w:val="00CF2AC0"/>
    <w:rsid w:val="00CF378A"/>
    <w:rsid w:val="00CF3EA6"/>
    <w:rsid w:val="00CF6580"/>
    <w:rsid w:val="00CF7A3F"/>
    <w:rsid w:val="00CF7F4C"/>
    <w:rsid w:val="00D0036E"/>
    <w:rsid w:val="00D01A16"/>
    <w:rsid w:val="00D0399A"/>
    <w:rsid w:val="00D04BFA"/>
    <w:rsid w:val="00D0564F"/>
    <w:rsid w:val="00D05B88"/>
    <w:rsid w:val="00D05BD0"/>
    <w:rsid w:val="00D075BF"/>
    <w:rsid w:val="00D07F20"/>
    <w:rsid w:val="00D1047F"/>
    <w:rsid w:val="00D104A8"/>
    <w:rsid w:val="00D104F3"/>
    <w:rsid w:val="00D1051C"/>
    <w:rsid w:val="00D10789"/>
    <w:rsid w:val="00D114B0"/>
    <w:rsid w:val="00D11CBC"/>
    <w:rsid w:val="00D11E0B"/>
    <w:rsid w:val="00D1229E"/>
    <w:rsid w:val="00D12A6D"/>
    <w:rsid w:val="00D1331D"/>
    <w:rsid w:val="00D1568C"/>
    <w:rsid w:val="00D15861"/>
    <w:rsid w:val="00D15D39"/>
    <w:rsid w:val="00D179B5"/>
    <w:rsid w:val="00D208D6"/>
    <w:rsid w:val="00D2143E"/>
    <w:rsid w:val="00D219B5"/>
    <w:rsid w:val="00D22468"/>
    <w:rsid w:val="00D23B9B"/>
    <w:rsid w:val="00D24ECB"/>
    <w:rsid w:val="00D25E5E"/>
    <w:rsid w:val="00D264BC"/>
    <w:rsid w:val="00D26CC4"/>
    <w:rsid w:val="00D272BC"/>
    <w:rsid w:val="00D30A32"/>
    <w:rsid w:val="00D31B6B"/>
    <w:rsid w:val="00D32DAB"/>
    <w:rsid w:val="00D3305A"/>
    <w:rsid w:val="00D3408C"/>
    <w:rsid w:val="00D343DA"/>
    <w:rsid w:val="00D350FC"/>
    <w:rsid w:val="00D355E7"/>
    <w:rsid w:val="00D362F8"/>
    <w:rsid w:val="00D37F0A"/>
    <w:rsid w:val="00D37F12"/>
    <w:rsid w:val="00D40677"/>
    <w:rsid w:val="00D40708"/>
    <w:rsid w:val="00D40914"/>
    <w:rsid w:val="00D40CD3"/>
    <w:rsid w:val="00D42125"/>
    <w:rsid w:val="00D429F0"/>
    <w:rsid w:val="00D42DDB"/>
    <w:rsid w:val="00D4364B"/>
    <w:rsid w:val="00D44BF9"/>
    <w:rsid w:val="00D4553D"/>
    <w:rsid w:val="00D45EE4"/>
    <w:rsid w:val="00D45FC3"/>
    <w:rsid w:val="00D46463"/>
    <w:rsid w:val="00D469E5"/>
    <w:rsid w:val="00D46A39"/>
    <w:rsid w:val="00D46DFF"/>
    <w:rsid w:val="00D47E4A"/>
    <w:rsid w:val="00D5120D"/>
    <w:rsid w:val="00D5168B"/>
    <w:rsid w:val="00D51709"/>
    <w:rsid w:val="00D522AB"/>
    <w:rsid w:val="00D5268B"/>
    <w:rsid w:val="00D526A7"/>
    <w:rsid w:val="00D53D17"/>
    <w:rsid w:val="00D542AE"/>
    <w:rsid w:val="00D546F6"/>
    <w:rsid w:val="00D5508E"/>
    <w:rsid w:val="00D56040"/>
    <w:rsid w:val="00D5638E"/>
    <w:rsid w:val="00D56851"/>
    <w:rsid w:val="00D57EA9"/>
    <w:rsid w:val="00D60E76"/>
    <w:rsid w:val="00D6153D"/>
    <w:rsid w:val="00D62533"/>
    <w:rsid w:val="00D627A8"/>
    <w:rsid w:val="00D632D7"/>
    <w:rsid w:val="00D6370B"/>
    <w:rsid w:val="00D6424C"/>
    <w:rsid w:val="00D644FA"/>
    <w:rsid w:val="00D65249"/>
    <w:rsid w:val="00D65D69"/>
    <w:rsid w:val="00D66313"/>
    <w:rsid w:val="00D666F1"/>
    <w:rsid w:val="00D66C5D"/>
    <w:rsid w:val="00D66DB3"/>
    <w:rsid w:val="00D705A3"/>
    <w:rsid w:val="00D70DF4"/>
    <w:rsid w:val="00D71411"/>
    <w:rsid w:val="00D71625"/>
    <w:rsid w:val="00D71A78"/>
    <w:rsid w:val="00D72A55"/>
    <w:rsid w:val="00D74002"/>
    <w:rsid w:val="00D74393"/>
    <w:rsid w:val="00D76710"/>
    <w:rsid w:val="00D767DB"/>
    <w:rsid w:val="00D77D59"/>
    <w:rsid w:val="00D80032"/>
    <w:rsid w:val="00D8102D"/>
    <w:rsid w:val="00D81D02"/>
    <w:rsid w:val="00D82ED0"/>
    <w:rsid w:val="00D839C8"/>
    <w:rsid w:val="00D84AC2"/>
    <w:rsid w:val="00D84E37"/>
    <w:rsid w:val="00D85C0B"/>
    <w:rsid w:val="00D85E37"/>
    <w:rsid w:val="00D863F4"/>
    <w:rsid w:val="00D865AB"/>
    <w:rsid w:val="00D86B3D"/>
    <w:rsid w:val="00D911B7"/>
    <w:rsid w:val="00D91C55"/>
    <w:rsid w:val="00D92386"/>
    <w:rsid w:val="00D92B10"/>
    <w:rsid w:val="00D9329B"/>
    <w:rsid w:val="00D93863"/>
    <w:rsid w:val="00D93BE7"/>
    <w:rsid w:val="00D94828"/>
    <w:rsid w:val="00D96495"/>
    <w:rsid w:val="00D96EEC"/>
    <w:rsid w:val="00D96EF1"/>
    <w:rsid w:val="00DA0674"/>
    <w:rsid w:val="00DA0959"/>
    <w:rsid w:val="00DA1326"/>
    <w:rsid w:val="00DA257F"/>
    <w:rsid w:val="00DA2D9C"/>
    <w:rsid w:val="00DA411E"/>
    <w:rsid w:val="00DA412B"/>
    <w:rsid w:val="00DA5EDB"/>
    <w:rsid w:val="00DA6A6B"/>
    <w:rsid w:val="00DB009A"/>
    <w:rsid w:val="00DB01B2"/>
    <w:rsid w:val="00DB01EE"/>
    <w:rsid w:val="00DB022D"/>
    <w:rsid w:val="00DB0ABC"/>
    <w:rsid w:val="00DB1C0C"/>
    <w:rsid w:val="00DB1DB5"/>
    <w:rsid w:val="00DB27E3"/>
    <w:rsid w:val="00DB3847"/>
    <w:rsid w:val="00DB4092"/>
    <w:rsid w:val="00DB5A5A"/>
    <w:rsid w:val="00DB5B32"/>
    <w:rsid w:val="00DB6A57"/>
    <w:rsid w:val="00DB7EA1"/>
    <w:rsid w:val="00DC075D"/>
    <w:rsid w:val="00DC076B"/>
    <w:rsid w:val="00DC3531"/>
    <w:rsid w:val="00DC390C"/>
    <w:rsid w:val="00DC3BB5"/>
    <w:rsid w:val="00DC4248"/>
    <w:rsid w:val="00DC4D28"/>
    <w:rsid w:val="00DC5411"/>
    <w:rsid w:val="00DC55FC"/>
    <w:rsid w:val="00DC6E94"/>
    <w:rsid w:val="00DC723A"/>
    <w:rsid w:val="00DD557D"/>
    <w:rsid w:val="00DD5C45"/>
    <w:rsid w:val="00DD6645"/>
    <w:rsid w:val="00DD6686"/>
    <w:rsid w:val="00DD6714"/>
    <w:rsid w:val="00DD6B5B"/>
    <w:rsid w:val="00DD7B30"/>
    <w:rsid w:val="00DE003D"/>
    <w:rsid w:val="00DE2081"/>
    <w:rsid w:val="00DE226B"/>
    <w:rsid w:val="00DE2A39"/>
    <w:rsid w:val="00DE2B3C"/>
    <w:rsid w:val="00DE3283"/>
    <w:rsid w:val="00DE3575"/>
    <w:rsid w:val="00DE38FD"/>
    <w:rsid w:val="00DE3AC6"/>
    <w:rsid w:val="00DE4819"/>
    <w:rsid w:val="00DE70AF"/>
    <w:rsid w:val="00DF02BA"/>
    <w:rsid w:val="00DF047B"/>
    <w:rsid w:val="00DF0A2D"/>
    <w:rsid w:val="00DF0DE3"/>
    <w:rsid w:val="00DF13F7"/>
    <w:rsid w:val="00DF23D5"/>
    <w:rsid w:val="00DF2434"/>
    <w:rsid w:val="00DF250C"/>
    <w:rsid w:val="00DF2DEB"/>
    <w:rsid w:val="00DF2EAC"/>
    <w:rsid w:val="00DF375F"/>
    <w:rsid w:val="00DF3B4A"/>
    <w:rsid w:val="00DF50BA"/>
    <w:rsid w:val="00DF55E2"/>
    <w:rsid w:val="00DF6278"/>
    <w:rsid w:val="00DF68BB"/>
    <w:rsid w:val="00DF6B20"/>
    <w:rsid w:val="00DF6CFA"/>
    <w:rsid w:val="00DF7099"/>
    <w:rsid w:val="00DF7814"/>
    <w:rsid w:val="00DF7BAB"/>
    <w:rsid w:val="00E0033A"/>
    <w:rsid w:val="00E00725"/>
    <w:rsid w:val="00E0126E"/>
    <w:rsid w:val="00E01AC0"/>
    <w:rsid w:val="00E0211E"/>
    <w:rsid w:val="00E026E6"/>
    <w:rsid w:val="00E02791"/>
    <w:rsid w:val="00E06C4E"/>
    <w:rsid w:val="00E07869"/>
    <w:rsid w:val="00E11386"/>
    <w:rsid w:val="00E12B6E"/>
    <w:rsid w:val="00E13B4F"/>
    <w:rsid w:val="00E14482"/>
    <w:rsid w:val="00E146B9"/>
    <w:rsid w:val="00E15BBA"/>
    <w:rsid w:val="00E16EE4"/>
    <w:rsid w:val="00E208EF"/>
    <w:rsid w:val="00E21486"/>
    <w:rsid w:val="00E21B6B"/>
    <w:rsid w:val="00E23304"/>
    <w:rsid w:val="00E25C8A"/>
    <w:rsid w:val="00E26487"/>
    <w:rsid w:val="00E26C09"/>
    <w:rsid w:val="00E27D35"/>
    <w:rsid w:val="00E27D62"/>
    <w:rsid w:val="00E30445"/>
    <w:rsid w:val="00E322C3"/>
    <w:rsid w:val="00E32AFF"/>
    <w:rsid w:val="00E33AFF"/>
    <w:rsid w:val="00E33C45"/>
    <w:rsid w:val="00E33F29"/>
    <w:rsid w:val="00E34D45"/>
    <w:rsid w:val="00E34E78"/>
    <w:rsid w:val="00E36299"/>
    <w:rsid w:val="00E373AE"/>
    <w:rsid w:val="00E401D9"/>
    <w:rsid w:val="00E4026C"/>
    <w:rsid w:val="00E41E66"/>
    <w:rsid w:val="00E43936"/>
    <w:rsid w:val="00E43C0D"/>
    <w:rsid w:val="00E43E03"/>
    <w:rsid w:val="00E44691"/>
    <w:rsid w:val="00E45073"/>
    <w:rsid w:val="00E452FA"/>
    <w:rsid w:val="00E4556C"/>
    <w:rsid w:val="00E470AE"/>
    <w:rsid w:val="00E47254"/>
    <w:rsid w:val="00E475DD"/>
    <w:rsid w:val="00E47FDF"/>
    <w:rsid w:val="00E513EF"/>
    <w:rsid w:val="00E51520"/>
    <w:rsid w:val="00E51D02"/>
    <w:rsid w:val="00E52C45"/>
    <w:rsid w:val="00E52D57"/>
    <w:rsid w:val="00E53F3E"/>
    <w:rsid w:val="00E55C7C"/>
    <w:rsid w:val="00E55FFA"/>
    <w:rsid w:val="00E57367"/>
    <w:rsid w:val="00E578F0"/>
    <w:rsid w:val="00E605A1"/>
    <w:rsid w:val="00E6065C"/>
    <w:rsid w:val="00E6136B"/>
    <w:rsid w:val="00E61607"/>
    <w:rsid w:val="00E6378F"/>
    <w:rsid w:val="00E64C52"/>
    <w:rsid w:val="00E6538B"/>
    <w:rsid w:val="00E707D1"/>
    <w:rsid w:val="00E7172B"/>
    <w:rsid w:val="00E71B71"/>
    <w:rsid w:val="00E71E7D"/>
    <w:rsid w:val="00E73312"/>
    <w:rsid w:val="00E7335E"/>
    <w:rsid w:val="00E7372B"/>
    <w:rsid w:val="00E73DE8"/>
    <w:rsid w:val="00E73F77"/>
    <w:rsid w:val="00E7485B"/>
    <w:rsid w:val="00E75E46"/>
    <w:rsid w:val="00E77869"/>
    <w:rsid w:val="00E80F25"/>
    <w:rsid w:val="00E858E0"/>
    <w:rsid w:val="00E861FB"/>
    <w:rsid w:val="00E86BEE"/>
    <w:rsid w:val="00E86DD6"/>
    <w:rsid w:val="00E86EA5"/>
    <w:rsid w:val="00E90053"/>
    <w:rsid w:val="00E905A0"/>
    <w:rsid w:val="00E91406"/>
    <w:rsid w:val="00E9177E"/>
    <w:rsid w:val="00E92114"/>
    <w:rsid w:val="00E93B56"/>
    <w:rsid w:val="00E94EB5"/>
    <w:rsid w:val="00E950F7"/>
    <w:rsid w:val="00E95492"/>
    <w:rsid w:val="00E972F3"/>
    <w:rsid w:val="00E97A09"/>
    <w:rsid w:val="00EA12F7"/>
    <w:rsid w:val="00EA1448"/>
    <w:rsid w:val="00EA26B6"/>
    <w:rsid w:val="00EA2829"/>
    <w:rsid w:val="00EA2C06"/>
    <w:rsid w:val="00EA2FB3"/>
    <w:rsid w:val="00EA3CDD"/>
    <w:rsid w:val="00EA3DB3"/>
    <w:rsid w:val="00EA550D"/>
    <w:rsid w:val="00EA6A24"/>
    <w:rsid w:val="00EA714A"/>
    <w:rsid w:val="00EA7641"/>
    <w:rsid w:val="00EA7DC2"/>
    <w:rsid w:val="00EB0E1F"/>
    <w:rsid w:val="00EB25C8"/>
    <w:rsid w:val="00EB2943"/>
    <w:rsid w:val="00EB30EE"/>
    <w:rsid w:val="00EB3D66"/>
    <w:rsid w:val="00EB438A"/>
    <w:rsid w:val="00EB45F7"/>
    <w:rsid w:val="00EB6B50"/>
    <w:rsid w:val="00EB6D31"/>
    <w:rsid w:val="00EB7283"/>
    <w:rsid w:val="00EC0551"/>
    <w:rsid w:val="00EC0F23"/>
    <w:rsid w:val="00EC181F"/>
    <w:rsid w:val="00EC19A9"/>
    <w:rsid w:val="00EC208C"/>
    <w:rsid w:val="00EC25B1"/>
    <w:rsid w:val="00EC277A"/>
    <w:rsid w:val="00EC360B"/>
    <w:rsid w:val="00EC58C8"/>
    <w:rsid w:val="00EC66A5"/>
    <w:rsid w:val="00ED08FA"/>
    <w:rsid w:val="00ED1AA6"/>
    <w:rsid w:val="00ED1E8F"/>
    <w:rsid w:val="00ED1EFF"/>
    <w:rsid w:val="00ED20A9"/>
    <w:rsid w:val="00ED261D"/>
    <w:rsid w:val="00ED2DCB"/>
    <w:rsid w:val="00ED3068"/>
    <w:rsid w:val="00ED51DF"/>
    <w:rsid w:val="00EE05AA"/>
    <w:rsid w:val="00EE05EC"/>
    <w:rsid w:val="00EE1B62"/>
    <w:rsid w:val="00EE2147"/>
    <w:rsid w:val="00EE225D"/>
    <w:rsid w:val="00EE27C4"/>
    <w:rsid w:val="00EE2EDE"/>
    <w:rsid w:val="00EE3018"/>
    <w:rsid w:val="00EE4EF4"/>
    <w:rsid w:val="00EE51C7"/>
    <w:rsid w:val="00EE5702"/>
    <w:rsid w:val="00EE5DB8"/>
    <w:rsid w:val="00EE5E8B"/>
    <w:rsid w:val="00EF14EA"/>
    <w:rsid w:val="00EF23AA"/>
    <w:rsid w:val="00EF2ECD"/>
    <w:rsid w:val="00EF3B8D"/>
    <w:rsid w:val="00EF567C"/>
    <w:rsid w:val="00F008B9"/>
    <w:rsid w:val="00F018A2"/>
    <w:rsid w:val="00F01CCC"/>
    <w:rsid w:val="00F01E82"/>
    <w:rsid w:val="00F02526"/>
    <w:rsid w:val="00F035F3"/>
    <w:rsid w:val="00F06961"/>
    <w:rsid w:val="00F06CCD"/>
    <w:rsid w:val="00F07FFE"/>
    <w:rsid w:val="00F100BF"/>
    <w:rsid w:val="00F105C9"/>
    <w:rsid w:val="00F10F41"/>
    <w:rsid w:val="00F12C62"/>
    <w:rsid w:val="00F12F3E"/>
    <w:rsid w:val="00F131AD"/>
    <w:rsid w:val="00F14145"/>
    <w:rsid w:val="00F16069"/>
    <w:rsid w:val="00F16F62"/>
    <w:rsid w:val="00F172EB"/>
    <w:rsid w:val="00F202D6"/>
    <w:rsid w:val="00F20A4C"/>
    <w:rsid w:val="00F20BEC"/>
    <w:rsid w:val="00F21535"/>
    <w:rsid w:val="00F21979"/>
    <w:rsid w:val="00F21FFF"/>
    <w:rsid w:val="00F2211B"/>
    <w:rsid w:val="00F22898"/>
    <w:rsid w:val="00F23E9C"/>
    <w:rsid w:val="00F24623"/>
    <w:rsid w:val="00F24755"/>
    <w:rsid w:val="00F25047"/>
    <w:rsid w:val="00F252D4"/>
    <w:rsid w:val="00F25D89"/>
    <w:rsid w:val="00F31909"/>
    <w:rsid w:val="00F31B3D"/>
    <w:rsid w:val="00F34293"/>
    <w:rsid w:val="00F34681"/>
    <w:rsid w:val="00F349C7"/>
    <w:rsid w:val="00F35044"/>
    <w:rsid w:val="00F351F4"/>
    <w:rsid w:val="00F35CFC"/>
    <w:rsid w:val="00F361BF"/>
    <w:rsid w:val="00F3636B"/>
    <w:rsid w:val="00F367FC"/>
    <w:rsid w:val="00F36870"/>
    <w:rsid w:val="00F36A91"/>
    <w:rsid w:val="00F3797F"/>
    <w:rsid w:val="00F40AEE"/>
    <w:rsid w:val="00F42902"/>
    <w:rsid w:val="00F432DB"/>
    <w:rsid w:val="00F434CB"/>
    <w:rsid w:val="00F4499E"/>
    <w:rsid w:val="00F45512"/>
    <w:rsid w:val="00F45B1F"/>
    <w:rsid w:val="00F46778"/>
    <w:rsid w:val="00F467BC"/>
    <w:rsid w:val="00F4760E"/>
    <w:rsid w:val="00F501FE"/>
    <w:rsid w:val="00F517B6"/>
    <w:rsid w:val="00F51ABD"/>
    <w:rsid w:val="00F52304"/>
    <w:rsid w:val="00F5264F"/>
    <w:rsid w:val="00F54965"/>
    <w:rsid w:val="00F55F25"/>
    <w:rsid w:val="00F60C6F"/>
    <w:rsid w:val="00F61C69"/>
    <w:rsid w:val="00F62926"/>
    <w:rsid w:val="00F62F47"/>
    <w:rsid w:val="00F6331C"/>
    <w:rsid w:val="00F6504B"/>
    <w:rsid w:val="00F6656A"/>
    <w:rsid w:val="00F7027D"/>
    <w:rsid w:val="00F7042B"/>
    <w:rsid w:val="00F70E0F"/>
    <w:rsid w:val="00F716C7"/>
    <w:rsid w:val="00F71816"/>
    <w:rsid w:val="00F7183B"/>
    <w:rsid w:val="00F71A4E"/>
    <w:rsid w:val="00F729B6"/>
    <w:rsid w:val="00F75F48"/>
    <w:rsid w:val="00F765C6"/>
    <w:rsid w:val="00F76C97"/>
    <w:rsid w:val="00F77D2E"/>
    <w:rsid w:val="00F80821"/>
    <w:rsid w:val="00F8171A"/>
    <w:rsid w:val="00F820B0"/>
    <w:rsid w:val="00F82A38"/>
    <w:rsid w:val="00F838BF"/>
    <w:rsid w:val="00F83967"/>
    <w:rsid w:val="00F83F86"/>
    <w:rsid w:val="00F84389"/>
    <w:rsid w:val="00F8590C"/>
    <w:rsid w:val="00F8602F"/>
    <w:rsid w:val="00F91DD8"/>
    <w:rsid w:val="00F92BA2"/>
    <w:rsid w:val="00F94805"/>
    <w:rsid w:val="00F94A12"/>
    <w:rsid w:val="00F95A19"/>
    <w:rsid w:val="00F97419"/>
    <w:rsid w:val="00F97CBC"/>
    <w:rsid w:val="00FA1053"/>
    <w:rsid w:val="00FA15ED"/>
    <w:rsid w:val="00FA1773"/>
    <w:rsid w:val="00FA1F26"/>
    <w:rsid w:val="00FA288C"/>
    <w:rsid w:val="00FA2A24"/>
    <w:rsid w:val="00FA342A"/>
    <w:rsid w:val="00FA386D"/>
    <w:rsid w:val="00FA41BF"/>
    <w:rsid w:val="00FA460D"/>
    <w:rsid w:val="00FA4DB7"/>
    <w:rsid w:val="00FA51BD"/>
    <w:rsid w:val="00FA7DD7"/>
    <w:rsid w:val="00FB05EB"/>
    <w:rsid w:val="00FB1647"/>
    <w:rsid w:val="00FB2CC4"/>
    <w:rsid w:val="00FB2F6B"/>
    <w:rsid w:val="00FB49A8"/>
    <w:rsid w:val="00FB4FBA"/>
    <w:rsid w:val="00FB5A5E"/>
    <w:rsid w:val="00FB5CDF"/>
    <w:rsid w:val="00FB5EE9"/>
    <w:rsid w:val="00FB6E6D"/>
    <w:rsid w:val="00FB7896"/>
    <w:rsid w:val="00FC176A"/>
    <w:rsid w:val="00FC2D30"/>
    <w:rsid w:val="00FC2D9B"/>
    <w:rsid w:val="00FC30DC"/>
    <w:rsid w:val="00FC30F1"/>
    <w:rsid w:val="00FC32B5"/>
    <w:rsid w:val="00FC3966"/>
    <w:rsid w:val="00FC4EF3"/>
    <w:rsid w:val="00FC4FFE"/>
    <w:rsid w:val="00FC50E3"/>
    <w:rsid w:val="00FC6639"/>
    <w:rsid w:val="00FC75E6"/>
    <w:rsid w:val="00FC793A"/>
    <w:rsid w:val="00FD1462"/>
    <w:rsid w:val="00FD1639"/>
    <w:rsid w:val="00FD2E36"/>
    <w:rsid w:val="00FD46A4"/>
    <w:rsid w:val="00FD4962"/>
    <w:rsid w:val="00FD4DBB"/>
    <w:rsid w:val="00FD5E06"/>
    <w:rsid w:val="00FD6FBF"/>
    <w:rsid w:val="00FE0072"/>
    <w:rsid w:val="00FE1494"/>
    <w:rsid w:val="00FE2171"/>
    <w:rsid w:val="00FE4780"/>
    <w:rsid w:val="00FE6AAE"/>
    <w:rsid w:val="00FE6FA4"/>
    <w:rsid w:val="00FE78CF"/>
    <w:rsid w:val="00FE7E63"/>
    <w:rsid w:val="00FF0256"/>
    <w:rsid w:val="00FF0672"/>
    <w:rsid w:val="00FF070D"/>
    <w:rsid w:val="00FF1755"/>
    <w:rsid w:val="00FF1BA7"/>
    <w:rsid w:val="00FF320A"/>
    <w:rsid w:val="00FF343E"/>
    <w:rsid w:val="00FF4256"/>
    <w:rsid w:val="00FF7617"/>
    <w:rsid w:val="00FF7753"/>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A84C3"/>
  <w15:chartTrackingRefBased/>
  <w15:docId w15:val="{0746BC06-9670-4968-9F76-8A9F098D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B5416"/>
    <w:rPr>
      <w:lang w:val="en-US"/>
    </w:rPr>
  </w:style>
  <w:style w:type="paragraph" w:styleId="Cmsor1">
    <w:name w:val="heading 1"/>
    <w:basedOn w:val="Norml"/>
    <w:next w:val="Norml"/>
    <w:link w:val="Cmsor1Char"/>
    <w:uiPriority w:val="9"/>
    <w:qFormat/>
    <w:rsid w:val="005C0A3A"/>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Cmsor2">
    <w:name w:val="heading 2"/>
    <w:basedOn w:val="Norml"/>
    <w:next w:val="Norml"/>
    <w:link w:val="Cmsor2Char"/>
    <w:uiPriority w:val="99"/>
    <w:qFormat/>
    <w:rsid w:val="005C0A3A"/>
    <w:pPr>
      <w:autoSpaceDE w:val="0"/>
      <w:autoSpaceDN w:val="0"/>
      <w:adjustRightInd w:val="0"/>
      <w:spacing w:after="0" w:line="240" w:lineRule="auto"/>
      <w:outlineLvl w:val="1"/>
    </w:pPr>
    <w:rPr>
      <w:rFonts w:ascii="Courier New" w:hAnsi="Courier New" w:cs="Courier New"/>
      <w:b/>
      <w:bCs/>
      <w:i/>
      <w:iCs/>
      <w:color w:val="000000"/>
      <w:sz w:val="28"/>
      <w:szCs w:val="28"/>
      <w:lang w:val="en-GB"/>
    </w:rPr>
  </w:style>
  <w:style w:type="paragraph" w:styleId="Cmsor3">
    <w:name w:val="heading 3"/>
    <w:basedOn w:val="Norml"/>
    <w:next w:val="Norml"/>
    <w:link w:val="Cmsor3Char"/>
    <w:uiPriority w:val="99"/>
    <w:qFormat/>
    <w:rsid w:val="005C0A3A"/>
    <w:pPr>
      <w:autoSpaceDE w:val="0"/>
      <w:autoSpaceDN w:val="0"/>
      <w:adjustRightInd w:val="0"/>
      <w:spacing w:after="0" w:line="240" w:lineRule="auto"/>
      <w:outlineLvl w:val="2"/>
    </w:pPr>
    <w:rPr>
      <w:rFonts w:ascii="Courier New" w:hAnsi="Courier New" w:cs="Courier New"/>
      <w:b/>
      <w:bCs/>
      <w:color w:val="000000"/>
      <w:sz w:val="26"/>
      <w:szCs w:val="26"/>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Jegyzetszveg1">
    <w:name w:val="Jegyzetszöveg1"/>
    <w:basedOn w:val="Norml"/>
    <w:next w:val="Jegyzetszveg"/>
    <w:link w:val="JegyzetszvegChar"/>
    <w:uiPriority w:val="99"/>
    <w:semiHidden/>
    <w:unhideWhenUsed/>
    <w:rsid w:val="00603EF5"/>
    <w:pPr>
      <w:spacing w:line="240" w:lineRule="auto"/>
    </w:pPr>
    <w:rPr>
      <w:sz w:val="20"/>
      <w:szCs w:val="20"/>
    </w:rPr>
  </w:style>
  <w:style w:type="character" w:customStyle="1" w:styleId="JegyzetszvegChar">
    <w:name w:val="Jegyzetszöveg Char"/>
    <w:basedOn w:val="Bekezdsalapbettpusa"/>
    <w:link w:val="Jegyzetszveg1"/>
    <w:uiPriority w:val="99"/>
    <w:rsid w:val="00603EF5"/>
    <w:rPr>
      <w:sz w:val="20"/>
      <w:szCs w:val="20"/>
    </w:rPr>
  </w:style>
  <w:style w:type="character" w:styleId="Jegyzethivatkozs">
    <w:name w:val="annotation reference"/>
    <w:basedOn w:val="Bekezdsalapbettpusa"/>
    <w:uiPriority w:val="99"/>
    <w:semiHidden/>
    <w:unhideWhenUsed/>
    <w:rsid w:val="00603EF5"/>
    <w:rPr>
      <w:sz w:val="16"/>
      <w:szCs w:val="16"/>
    </w:rPr>
  </w:style>
  <w:style w:type="character" w:customStyle="1" w:styleId="Hiperhivatkozs1">
    <w:name w:val="Hiperhivatkozás1"/>
    <w:basedOn w:val="Bekezdsalapbettpusa"/>
    <w:uiPriority w:val="99"/>
    <w:unhideWhenUsed/>
    <w:rsid w:val="00603EF5"/>
    <w:rPr>
      <w:color w:val="0563C1"/>
      <w:u w:val="single"/>
    </w:rPr>
  </w:style>
  <w:style w:type="paragraph" w:styleId="Jegyzetszveg">
    <w:name w:val="annotation text"/>
    <w:basedOn w:val="Norml"/>
    <w:link w:val="JegyzetszvegChar1"/>
    <w:uiPriority w:val="99"/>
    <w:unhideWhenUsed/>
    <w:rsid w:val="00603EF5"/>
    <w:pPr>
      <w:spacing w:line="240" w:lineRule="auto"/>
    </w:pPr>
    <w:rPr>
      <w:sz w:val="20"/>
      <w:szCs w:val="20"/>
    </w:rPr>
  </w:style>
  <w:style w:type="character" w:customStyle="1" w:styleId="JegyzetszvegChar1">
    <w:name w:val="Jegyzetszöveg Char1"/>
    <w:basedOn w:val="Bekezdsalapbettpusa"/>
    <w:link w:val="Jegyzetszveg"/>
    <w:uiPriority w:val="99"/>
    <w:rsid w:val="00603EF5"/>
    <w:rPr>
      <w:sz w:val="20"/>
      <w:szCs w:val="20"/>
    </w:rPr>
  </w:style>
  <w:style w:type="character" w:styleId="Hiperhivatkozs">
    <w:name w:val="Hyperlink"/>
    <w:basedOn w:val="Bekezdsalapbettpusa"/>
    <w:uiPriority w:val="99"/>
    <w:unhideWhenUsed/>
    <w:rsid w:val="00603EF5"/>
    <w:rPr>
      <w:color w:val="0563C1" w:themeColor="hyperlink"/>
      <w:u w:val="single"/>
    </w:rPr>
  </w:style>
  <w:style w:type="paragraph" w:styleId="Megjegyzstrgya">
    <w:name w:val="annotation subject"/>
    <w:basedOn w:val="Jegyzetszveg"/>
    <w:next w:val="Jegyzetszveg"/>
    <w:link w:val="MegjegyzstrgyaChar"/>
    <w:uiPriority w:val="99"/>
    <w:semiHidden/>
    <w:unhideWhenUsed/>
    <w:rsid w:val="001270C3"/>
    <w:rPr>
      <w:b/>
      <w:bCs/>
    </w:rPr>
  </w:style>
  <w:style w:type="character" w:customStyle="1" w:styleId="MegjegyzstrgyaChar">
    <w:name w:val="Megjegyzés tárgya Char"/>
    <w:basedOn w:val="JegyzetszvegChar1"/>
    <w:link w:val="Megjegyzstrgya"/>
    <w:uiPriority w:val="99"/>
    <w:semiHidden/>
    <w:rsid w:val="001270C3"/>
    <w:rPr>
      <w:b/>
      <w:bCs/>
      <w:sz w:val="20"/>
      <w:szCs w:val="20"/>
    </w:rPr>
  </w:style>
  <w:style w:type="character" w:styleId="Feloldatlanmegemlts">
    <w:name w:val="Unresolved Mention"/>
    <w:basedOn w:val="Bekezdsalapbettpusa"/>
    <w:uiPriority w:val="99"/>
    <w:semiHidden/>
    <w:unhideWhenUsed/>
    <w:rsid w:val="0097410C"/>
    <w:rPr>
      <w:color w:val="605E5C"/>
      <w:shd w:val="clear" w:color="auto" w:fill="E1DFDD"/>
    </w:rPr>
  </w:style>
  <w:style w:type="paragraph" w:styleId="Irodalomjegyzk">
    <w:name w:val="Bibliography"/>
    <w:basedOn w:val="Norml"/>
    <w:next w:val="Norml"/>
    <w:uiPriority w:val="37"/>
    <w:unhideWhenUsed/>
    <w:rsid w:val="00256753"/>
  </w:style>
  <w:style w:type="table" w:customStyle="1" w:styleId="TableGrid1">
    <w:name w:val="Table Grid1"/>
    <w:basedOn w:val="Normltblzat"/>
    <w:next w:val="Rcsostblzat"/>
    <w:uiPriority w:val="39"/>
    <w:rsid w:val="00026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026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F42902"/>
    <w:pPr>
      <w:spacing w:after="0" w:line="240" w:lineRule="auto"/>
    </w:pPr>
  </w:style>
  <w:style w:type="paragraph" w:styleId="lfej">
    <w:name w:val="header"/>
    <w:basedOn w:val="Norml"/>
    <w:link w:val="lfejChar"/>
    <w:uiPriority w:val="99"/>
    <w:unhideWhenUsed/>
    <w:rsid w:val="009C6CAA"/>
    <w:pPr>
      <w:tabs>
        <w:tab w:val="center" w:pos="4680"/>
        <w:tab w:val="right" w:pos="9360"/>
      </w:tabs>
      <w:spacing w:after="0" w:line="240" w:lineRule="auto"/>
    </w:pPr>
  </w:style>
  <w:style w:type="character" w:customStyle="1" w:styleId="lfejChar">
    <w:name w:val="Élőfej Char"/>
    <w:basedOn w:val="Bekezdsalapbettpusa"/>
    <w:link w:val="lfej"/>
    <w:uiPriority w:val="99"/>
    <w:rsid w:val="009C6CAA"/>
  </w:style>
  <w:style w:type="paragraph" w:styleId="llb">
    <w:name w:val="footer"/>
    <w:basedOn w:val="Norml"/>
    <w:link w:val="llbChar"/>
    <w:uiPriority w:val="99"/>
    <w:unhideWhenUsed/>
    <w:rsid w:val="009C6CAA"/>
    <w:pPr>
      <w:tabs>
        <w:tab w:val="center" w:pos="4680"/>
        <w:tab w:val="right" w:pos="9360"/>
      </w:tabs>
      <w:spacing w:after="0" w:line="240" w:lineRule="auto"/>
    </w:pPr>
  </w:style>
  <w:style w:type="character" w:customStyle="1" w:styleId="llbChar">
    <w:name w:val="Élőláb Char"/>
    <w:basedOn w:val="Bekezdsalapbettpusa"/>
    <w:link w:val="llb"/>
    <w:uiPriority w:val="99"/>
    <w:rsid w:val="009C6CAA"/>
  </w:style>
  <w:style w:type="character" w:styleId="Mrltotthiperhivatkozs">
    <w:name w:val="FollowedHyperlink"/>
    <w:basedOn w:val="Bekezdsalapbettpusa"/>
    <w:uiPriority w:val="99"/>
    <w:semiHidden/>
    <w:unhideWhenUsed/>
    <w:rsid w:val="00E51520"/>
    <w:rPr>
      <w:color w:val="954F72" w:themeColor="followedHyperlink"/>
      <w:u w:val="single"/>
    </w:rPr>
  </w:style>
  <w:style w:type="character" w:customStyle="1" w:styleId="display-label">
    <w:name w:val="display-label"/>
    <w:basedOn w:val="Bekezdsalapbettpusa"/>
    <w:rsid w:val="004353AF"/>
  </w:style>
  <w:style w:type="character" w:customStyle="1" w:styleId="Cmsor1Char">
    <w:name w:val="Címsor 1 Char"/>
    <w:basedOn w:val="Bekezdsalapbettpusa"/>
    <w:link w:val="Cmsor1"/>
    <w:uiPriority w:val="9"/>
    <w:rsid w:val="005C0A3A"/>
    <w:rPr>
      <w:rFonts w:asciiTheme="majorHAnsi" w:eastAsiaTheme="majorEastAsia" w:hAnsiTheme="majorHAnsi" w:cstheme="majorBidi"/>
      <w:color w:val="2F5496" w:themeColor="accent1" w:themeShade="BF"/>
      <w:sz w:val="32"/>
      <w:szCs w:val="32"/>
      <w:lang w:val="en-GB"/>
    </w:rPr>
  </w:style>
  <w:style w:type="character" w:customStyle="1" w:styleId="Cmsor2Char">
    <w:name w:val="Címsor 2 Char"/>
    <w:basedOn w:val="Bekezdsalapbettpusa"/>
    <w:link w:val="Cmsor2"/>
    <w:uiPriority w:val="99"/>
    <w:rsid w:val="005C0A3A"/>
    <w:rPr>
      <w:rFonts w:ascii="Courier New" w:hAnsi="Courier New" w:cs="Courier New"/>
      <w:b/>
      <w:bCs/>
      <w:i/>
      <w:iCs/>
      <w:color w:val="000000"/>
      <w:sz w:val="28"/>
      <w:szCs w:val="28"/>
      <w:lang w:val="en-GB"/>
    </w:rPr>
  </w:style>
  <w:style w:type="character" w:customStyle="1" w:styleId="Cmsor3Char">
    <w:name w:val="Címsor 3 Char"/>
    <w:basedOn w:val="Bekezdsalapbettpusa"/>
    <w:link w:val="Cmsor3"/>
    <w:uiPriority w:val="99"/>
    <w:rsid w:val="005C0A3A"/>
    <w:rPr>
      <w:rFonts w:ascii="Courier New" w:hAnsi="Courier New" w:cs="Courier New"/>
      <w:b/>
      <w:bCs/>
      <w:color w:val="000000"/>
      <w:sz w:val="26"/>
      <w:szCs w:val="26"/>
      <w:lang w:val="en-GB"/>
    </w:rPr>
  </w:style>
  <w:style w:type="paragraph" w:customStyle="1" w:styleId="ISSheading1">
    <w:name w:val="ISS heading 1"/>
    <w:basedOn w:val="Cmsor1"/>
    <w:link w:val="ISSheading1Char"/>
    <w:autoRedefine/>
    <w:qFormat/>
    <w:rsid w:val="005C0A3A"/>
    <w:pPr>
      <w:numPr>
        <w:numId w:val="2"/>
      </w:numPr>
      <w:spacing w:before="0" w:line="240" w:lineRule="auto"/>
      <w:ind w:left="397" w:hanging="340"/>
    </w:pPr>
    <w:rPr>
      <w:rFonts w:ascii="Times New Roman" w:eastAsia="Times New Roman" w:hAnsi="Times New Roman" w:cs="Times New Roman"/>
      <w:b/>
      <w:bCs/>
      <w:color w:val="000000" w:themeColor="text1"/>
      <w:sz w:val="24"/>
      <w:szCs w:val="24"/>
      <w:u w:val="single"/>
    </w:rPr>
  </w:style>
  <w:style w:type="character" w:customStyle="1" w:styleId="ISSheading1Char">
    <w:name w:val="ISS heading 1 Char"/>
    <w:basedOn w:val="Cmsor1Char"/>
    <w:link w:val="ISSheading1"/>
    <w:rsid w:val="005C0A3A"/>
    <w:rPr>
      <w:rFonts w:ascii="Times New Roman" w:eastAsia="Times New Roman" w:hAnsi="Times New Roman" w:cs="Times New Roman"/>
      <w:b/>
      <w:bCs/>
      <w:color w:val="000000" w:themeColor="text1"/>
      <w:sz w:val="24"/>
      <w:szCs w:val="24"/>
      <w:u w:val="single"/>
      <w:lang w:val="en-GB"/>
    </w:rPr>
  </w:style>
  <w:style w:type="character" w:styleId="Helyrzszveg">
    <w:name w:val="Placeholder Text"/>
    <w:basedOn w:val="Bekezdsalapbettpusa"/>
    <w:uiPriority w:val="99"/>
    <w:semiHidden/>
    <w:rsid w:val="005C0A3A"/>
    <w:rPr>
      <w:color w:val="808080"/>
    </w:rPr>
  </w:style>
  <w:style w:type="paragraph" w:styleId="Listaszerbekezds">
    <w:name w:val="List Paragraph"/>
    <w:basedOn w:val="Norml"/>
    <w:uiPriority w:val="34"/>
    <w:qFormat/>
    <w:rsid w:val="005C0A3A"/>
    <w:pPr>
      <w:spacing w:after="0" w:line="480" w:lineRule="auto"/>
      <w:ind w:left="720"/>
      <w:contextualSpacing/>
    </w:pPr>
    <w:rPr>
      <w:rFonts w:ascii="Times" w:eastAsiaTheme="minorEastAsia" w:hAnsi="Times"/>
      <w:sz w:val="24"/>
      <w:szCs w:val="24"/>
      <w:lang w:eastAsia="nl-NL"/>
    </w:rPr>
  </w:style>
  <w:style w:type="paragraph" w:styleId="Lbjegyzetszveg">
    <w:name w:val="footnote text"/>
    <w:basedOn w:val="Norml"/>
    <w:link w:val="LbjegyzetszvegChar"/>
    <w:uiPriority w:val="99"/>
    <w:unhideWhenUsed/>
    <w:rsid w:val="005C0A3A"/>
    <w:pPr>
      <w:spacing w:after="0" w:line="240" w:lineRule="auto"/>
    </w:pPr>
    <w:rPr>
      <w:sz w:val="20"/>
      <w:szCs w:val="20"/>
      <w:lang w:val="en-GB"/>
    </w:rPr>
  </w:style>
  <w:style w:type="character" w:customStyle="1" w:styleId="LbjegyzetszvegChar">
    <w:name w:val="Lábjegyzetszöveg Char"/>
    <w:basedOn w:val="Bekezdsalapbettpusa"/>
    <w:link w:val="Lbjegyzetszveg"/>
    <w:uiPriority w:val="99"/>
    <w:rsid w:val="005C0A3A"/>
    <w:rPr>
      <w:sz w:val="20"/>
      <w:szCs w:val="20"/>
      <w:lang w:val="en-GB"/>
    </w:rPr>
  </w:style>
  <w:style w:type="character" w:styleId="Lbjegyzet-hivatkozs">
    <w:name w:val="footnote reference"/>
    <w:basedOn w:val="Bekezdsalapbettpusa"/>
    <w:uiPriority w:val="99"/>
    <w:semiHidden/>
    <w:unhideWhenUsed/>
    <w:rsid w:val="005C0A3A"/>
    <w:rPr>
      <w:vertAlign w:val="superscript"/>
    </w:rPr>
  </w:style>
  <w:style w:type="paragraph" w:customStyle="1" w:styleId="disnormal">
    <w:name w:val="dis_normal"/>
    <w:basedOn w:val="Norml"/>
    <w:link w:val="disnormalChar"/>
    <w:qFormat/>
    <w:rsid w:val="005C0A3A"/>
    <w:pPr>
      <w:spacing w:after="0" w:line="360" w:lineRule="auto"/>
      <w:jc w:val="both"/>
    </w:pPr>
    <w:rPr>
      <w:rFonts w:ascii="Times New Roman" w:hAnsi="Times New Roman" w:cstheme="minorHAnsi"/>
      <w:sz w:val="24"/>
    </w:rPr>
  </w:style>
  <w:style w:type="character" w:customStyle="1" w:styleId="disnormalChar">
    <w:name w:val="dis_normal Char"/>
    <w:basedOn w:val="Bekezdsalapbettpusa"/>
    <w:link w:val="disnormal"/>
    <w:rsid w:val="005C0A3A"/>
    <w:rPr>
      <w:rFonts w:ascii="Times New Roman" w:hAnsi="Times New Roman" w:cstheme="minorHAnsi"/>
      <w:sz w:val="24"/>
    </w:rPr>
  </w:style>
  <w:style w:type="paragraph" w:customStyle="1" w:styleId="ISS1">
    <w:name w:val="ISS1"/>
    <w:basedOn w:val="Cmsor1"/>
    <w:link w:val="ISS1Char"/>
    <w:qFormat/>
    <w:rsid w:val="005C0A3A"/>
    <w:pPr>
      <w:numPr>
        <w:numId w:val="6"/>
      </w:numPr>
      <w:tabs>
        <w:tab w:val="clear" w:pos="720"/>
      </w:tabs>
      <w:spacing w:before="0" w:line="240" w:lineRule="auto"/>
      <w:ind w:left="0" w:firstLine="0"/>
    </w:pPr>
    <w:rPr>
      <w:rFonts w:ascii="Times New Roman" w:eastAsia="Times New Roman" w:hAnsi="Times New Roman" w:cs="Times New Roman"/>
      <w:b/>
      <w:color w:val="000000" w:themeColor="text1"/>
      <w:u w:val="single"/>
    </w:rPr>
  </w:style>
  <w:style w:type="character" w:customStyle="1" w:styleId="ISS1Char">
    <w:name w:val="ISS1 Char"/>
    <w:basedOn w:val="Cmsor1Char"/>
    <w:link w:val="ISS1"/>
    <w:rsid w:val="005C0A3A"/>
    <w:rPr>
      <w:rFonts w:ascii="Times New Roman" w:eastAsia="Times New Roman" w:hAnsi="Times New Roman" w:cs="Times New Roman"/>
      <w:b/>
      <w:color w:val="000000" w:themeColor="text1"/>
      <w:sz w:val="32"/>
      <w:szCs w:val="32"/>
      <w:u w:val="single"/>
      <w:lang w:val="en-GB"/>
    </w:rPr>
  </w:style>
  <w:style w:type="paragraph" w:customStyle="1" w:styleId="ISS2">
    <w:name w:val="ISS2"/>
    <w:basedOn w:val="Cmsor2"/>
    <w:next w:val="Norml"/>
    <w:link w:val="ISS2Char"/>
    <w:autoRedefine/>
    <w:qFormat/>
    <w:rsid w:val="005C0A3A"/>
    <w:pPr>
      <w:keepNext/>
      <w:keepLines/>
      <w:autoSpaceDE/>
      <w:autoSpaceDN/>
      <w:adjustRightInd/>
    </w:pPr>
    <w:rPr>
      <w:rFonts w:ascii="Times New Roman" w:eastAsiaTheme="majorEastAsia" w:hAnsi="Times New Roman" w:cs="Times New Roman"/>
      <w:bCs w:val="0"/>
      <w:i w:val="0"/>
      <w:iCs w:val="0"/>
      <w:color w:val="000000" w:themeColor="text1"/>
      <w:sz w:val="26"/>
      <w:szCs w:val="26"/>
    </w:rPr>
  </w:style>
  <w:style w:type="character" w:customStyle="1" w:styleId="ISS2Char">
    <w:name w:val="ISS2 Char"/>
    <w:basedOn w:val="Cmsor2Char"/>
    <w:link w:val="ISS2"/>
    <w:rsid w:val="005C0A3A"/>
    <w:rPr>
      <w:rFonts w:ascii="Times New Roman" w:eastAsiaTheme="majorEastAsia" w:hAnsi="Times New Roman" w:cs="Times New Roman"/>
      <w:b/>
      <w:bCs w:val="0"/>
      <w:i w:val="0"/>
      <w:iCs w:val="0"/>
      <w:color w:val="000000" w:themeColor="text1"/>
      <w:sz w:val="26"/>
      <w:szCs w:val="26"/>
      <w:lang w:val="en-GB"/>
    </w:rPr>
  </w:style>
  <w:style w:type="paragraph" w:customStyle="1" w:styleId="ISS3">
    <w:name w:val="ISS3"/>
    <w:basedOn w:val="Cmsor3"/>
    <w:next w:val="Norml"/>
    <w:link w:val="ISS3Char"/>
    <w:qFormat/>
    <w:rsid w:val="005C0A3A"/>
    <w:pPr>
      <w:keepNext/>
      <w:keepLines/>
      <w:autoSpaceDE/>
      <w:autoSpaceDN/>
      <w:adjustRightInd/>
    </w:pPr>
    <w:rPr>
      <w:rFonts w:ascii="Times New Roman" w:eastAsiaTheme="majorEastAsia" w:hAnsi="Times New Roman" w:cstheme="majorBidi"/>
      <w:bCs w:val="0"/>
      <w:color w:val="000000" w:themeColor="text1"/>
    </w:rPr>
  </w:style>
  <w:style w:type="character" w:customStyle="1" w:styleId="ISS3Char">
    <w:name w:val="ISS3 Char"/>
    <w:basedOn w:val="Cmsor3Char"/>
    <w:link w:val="ISS3"/>
    <w:rsid w:val="005C0A3A"/>
    <w:rPr>
      <w:rFonts w:ascii="Times New Roman" w:eastAsiaTheme="majorEastAsia" w:hAnsi="Times New Roman" w:cstheme="majorBidi"/>
      <w:b/>
      <w:bCs w:val="0"/>
      <w:color w:val="000000" w:themeColor="text1"/>
      <w:sz w:val="26"/>
      <w:szCs w:val="26"/>
      <w:lang w:val="en-GB"/>
    </w:rPr>
  </w:style>
  <w:style w:type="paragraph" w:customStyle="1" w:styleId="msonormal0">
    <w:name w:val="msonormal"/>
    <w:basedOn w:val="Norml"/>
    <w:rsid w:val="005C0A3A"/>
    <w:pPr>
      <w:spacing w:before="100" w:beforeAutospacing="1" w:after="100" w:afterAutospacing="1" w:line="240" w:lineRule="auto"/>
    </w:pPr>
    <w:rPr>
      <w:rFonts w:ascii="Times New Roman" w:eastAsia="Times New Roman" w:hAnsi="Times New Roman" w:cs="Times New Roman"/>
      <w:sz w:val="24"/>
      <w:szCs w:val="24"/>
      <w:lang w:val="en-GB" w:eastAsia="en-CA"/>
    </w:rPr>
  </w:style>
  <w:style w:type="paragraph" w:customStyle="1" w:styleId="font5">
    <w:name w:val="font5"/>
    <w:basedOn w:val="Norml"/>
    <w:rsid w:val="005C0A3A"/>
    <w:pPr>
      <w:spacing w:before="100" w:beforeAutospacing="1" w:after="100" w:afterAutospacing="1" w:line="240" w:lineRule="auto"/>
    </w:pPr>
    <w:rPr>
      <w:rFonts w:ascii="Times New Roman" w:eastAsia="Times New Roman" w:hAnsi="Times New Roman" w:cs="Times New Roman"/>
      <w:color w:val="264A60"/>
      <w:sz w:val="20"/>
      <w:szCs w:val="20"/>
      <w:lang w:val="en-GB" w:eastAsia="en-CA"/>
    </w:rPr>
  </w:style>
  <w:style w:type="paragraph" w:customStyle="1" w:styleId="xl75">
    <w:name w:val="xl75"/>
    <w:basedOn w:val="Norml"/>
    <w:rsid w:val="005C0A3A"/>
    <w:pPr>
      <w:pBdr>
        <w:bottom w:val="single" w:sz="8" w:space="0" w:color="152935"/>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64A60"/>
      <w:sz w:val="20"/>
      <w:szCs w:val="20"/>
      <w:lang w:val="en-GB" w:eastAsia="en-CA"/>
    </w:rPr>
  </w:style>
  <w:style w:type="paragraph" w:customStyle="1" w:styleId="xl76">
    <w:name w:val="xl76"/>
    <w:basedOn w:val="Norml"/>
    <w:rsid w:val="005C0A3A"/>
    <w:pPr>
      <w:pBdr>
        <w:bottom w:val="single" w:sz="8" w:space="0" w:color="152935"/>
        <w:right w:val="single" w:sz="8" w:space="0" w:color="E0E0E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64A60"/>
      <w:sz w:val="20"/>
      <w:szCs w:val="20"/>
      <w:lang w:val="en-GB" w:eastAsia="en-CA"/>
    </w:rPr>
  </w:style>
  <w:style w:type="paragraph" w:customStyle="1" w:styleId="xl77">
    <w:name w:val="xl77"/>
    <w:basedOn w:val="Norml"/>
    <w:rsid w:val="005C0A3A"/>
    <w:pPr>
      <w:pBdr>
        <w:bottom w:val="single" w:sz="8" w:space="0" w:color="152935"/>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64A60"/>
      <w:sz w:val="20"/>
      <w:szCs w:val="20"/>
      <w:lang w:val="en-GB" w:eastAsia="en-CA"/>
    </w:rPr>
  </w:style>
  <w:style w:type="paragraph" w:customStyle="1" w:styleId="xl78">
    <w:name w:val="xl78"/>
    <w:basedOn w:val="Norml"/>
    <w:rsid w:val="005C0A3A"/>
    <w:pPr>
      <w:pBdr>
        <w:bottom w:val="single" w:sz="8" w:space="0" w:color="AEAEAE"/>
      </w:pBdr>
      <w:shd w:val="clear" w:color="000000" w:fill="E0E0E0"/>
      <w:spacing w:before="100" w:beforeAutospacing="1" w:after="100" w:afterAutospacing="1" w:line="240" w:lineRule="auto"/>
      <w:textAlignment w:val="center"/>
    </w:pPr>
    <w:rPr>
      <w:rFonts w:ascii="Times New Roman" w:eastAsia="Times New Roman" w:hAnsi="Times New Roman" w:cs="Times New Roman"/>
      <w:color w:val="264A60"/>
      <w:sz w:val="20"/>
      <w:szCs w:val="20"/>
      <w:lang w:val="en-GB" w:eastAsia="en-CA"/>
    </w:rPr>
  </w:style>
  <w:style w:type="paragraph" w:customStyle="1" w:styleId="xl79">
    <w:name w:val="xl79"/>
    <w:basedOn w:val="Norml"/>
    <w:rsid w:val="005C0A3A"/>
    <w:pPr>
      <w:pBdr>
        <w:bottom w:val="single" w:sz="8" w:space="0" w:color="152935"/>
      </w:pBdr>
      <w:shd w:val="clear" w:color="000000" w:fill="E0E0E0"/>
      <w:spacing w:before="100" w:beforeAutospacing="1" w:after="100" w:afterAutospacing="1" w:line="240" w:lineRule="auto"/>
      <w:textAlignment w:val="center"/>
    </w:pPr>
    <w:rPr>
      <w:rFonts w:ascii="Times New Roman" w:eastAsia="Times New Roman" w:hAnsi="Times New Roman" w:cs="Times New Roman"/>
      <w:color w:val="264A60"/>
      <w:sz w:val="20"/>
      <w:szCs w:val="20"/>
      <w:lang w:val="en-GB" w:eastAsia="en-CA"/>
    </w:rPr>
  </w:style>
  <w:style w:type="paragraph" w:customStyle="1" w:styleId="xl80">
    <w:name w:val="xl80"/>
    <w:basedOn w:val="Norml"/>
    <w:rsid w:val="005C0A3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10205"/>
      <w:sz w:val="20"/>
      <w:szCs w:val="20"/>
      <w:lang w:val="en-GB" w:eastAsia="en-CA"/>
    </w:rPr>
  </w:style>
  <w:style w:type="paragraph" w:customStyle="1" w:styleId="xl81">
    <w:name w:val="xl81"/>
    <w:basedOn w:val="Norml"/>
    <w:rsid w:val="005C0A3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10205"/>
      <w:sz w:val="20"/>
      <w:szCs w:val="20"/>
      <w:lang w:val="en-GB" w:eastAsia="en-CA"/>
    </w:rPr>
  </w:style>
  <w:style w:type="paragraph" w:customStyle="1" w:styleId="xl82">
    <w:name w:val="xl82"/>
    <w:basedOn w:val="Norml"/>
    <w:rsid w:val="005C0A3A"/>
    <w:pPr>
      <w:pBdr>
        <w:top w:val="single" w:sz="8" w:space="0" w:color="152935"/>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10205"/>
      <w:sz w:val="20"/>
      <w:szCs w:val="20"/>
      <w:lang w:val="en-GB" w:eastAsia="en-CA"/>
    </w:rPr>
  </w:style>
  <w:style w:type="paragraph" w:customStyle="1" w:styleId="xl83">
    <w:name w:val="xl83"/>
    <w:basedOn w:val="Norml"/>
    <w:rsid w:val="005C0A3A"/>
    <w:pPr>
      <w:spacing w:before="100" w:beforeAutospacing="1" w:after="100" w:afterAutospacing="1" w:line="240" w:lineRule="auto"/>
      <w:textAlignment w:val="center"/>
    </w:pPr>
    <w:rPr>
      <w:rFonts w:ascii="Times New Roman" w:eastAsia="Times New Roman" w:hAnsi="Times New Roman" w:cs="Times New Roman"/>
      <w:sz w:val="20"/>
      <w:szCs w:val="20"/>
      <w:lang w:val="en-GB" w:eastAsia="en-CA"/>
    </w:rPr>
  </w:style>
  <w:style w:type="paragraph" w:customStyle="1" w:styleId="xl84">
    <w:name w:val="xl84"/>
    <w:basedOn w:val="Norml"/>
    <w:rsid w:val="005C0A3A"/>
    <w:pPr>
      <w:pBdr>
        <w:bottom w:val="single" w:sz="8" w:space="0" w:color="AEAEAE"/>
        <w:right w:val="single" w:sz="8" w:space="0" w:color="E0E0E0"/>
      </w:pBdr>
      <w:shd w:val="clear" w:color="000000" w:fill="F9F9FB"/>
      <w:spacing w:before="100" w:beforeAutospacing="1" w:after="100" w:afterAutospacing="1" w:line="240" w:lineRule="auto"/>
      <w:jc w:val="right"/>
      <w:textAlignment w:val="center"/>
    </w:pPr>
    <w:rPr>
      <w:rFonts w:ascii="Times New Roman" w:eastAsia="Times New Roman" w:hAnsi="Times New Roman" w:cs="Times New Roman"/>
      <w:color w:val="010205"/>
      <w:sz w:val="20"/>
      <w:szCs w:val="20"/>
      <w:lang w:val="en-GB" w:eastAsia="en-CA"/>
    </w:rPr>
  </w:style>
  <w:style w:type="paragraph" w:customStyle="1" w:styleId="xl85">
    <w:name w:val="xl85"/>
    <w:basedOn w:val="Norml"/>
    <w:rsid w:val="005C0A3A"/>
    <w:pPr>
      <w:pBdr>
        <w:bottom w:val="single" w:sz="8" w:space="0" w:color="152935"/>
        <w:right w:val="single" w:sz="8" w:space="0" w:color="E0E0E0"/>
      </w:pBdr>
      <w:shd w:val="clear" w:color="000000" w:fill="F9F9FB"/>
      <w:spacing w:before="100" w:beforeAutospacing="1" w:after="100" w:afterAutospacing="1" w:line="240" w:lineRule="auto"/>
      <w:jc w:val="right"/>
      <w:textAlignment w:val="center"/>
    </w:pPr>
    <w:rPr>
      <w:rFonts w:ascii="Times New Roman" w:eastAsia="Times New Roman" w:hAnsi="Times New Roman" w:cs="Times New Roman"/>
      <w:color w:val="010205"/>
      <w:sz w:val="20"/>
      <w:szCs w:val="20"/>
      <w:lang w:val="en-GB" w:eastAsia="en-CA"/>
    </w:rPr>
  </w:style>
  <w:style w:type="paragraph" w:customStyle="1" w:styleId="xl86">
    <w:name w:val="xl86"/>
    <w:basedOn w:val="Norml"/>
    <w:rsid w:val="005C0A3A"/>
    <w:pPr>
      <w:pBdr>
        <w:bottom w:val="single" w:sz="8" w:space="0" w:color="AEAEAE"/>
        <w:right w:val="single" w:sz="8" w:space="0" w:color="E0E0E0"/>
      </w:pBdr>
      <w:shd w:val="clear" w:color="000000" w:fill="F9F9FB"/>
      <w:spacing w:before="100" w:beforeAutospacing="1" w:after="100" w:afterAutospacing="1" w:line="240" w:lineRule="auto"/>
      <w:jc w:val="right"/>
      <w:textAlignment w:val="center"/>
    </w:pPr>
    <w:rPr>
      <w:rFonts w:ascii="Times New Roman" w:eastAsia="Times New Roman" w:hAnsi="Times New Roman" w:cs="Times New Roman"/>
      <w:color w:val="010205"/>
      <w:sz w:val="20"/>
      <w:szCs w:val="20"/>
      <w:lang w:val="en-GB" w:eastAsia="en-CA"/>
    </w:rPr>
  </w:style>
  <w:style w:type="paragraph" w:customStyle="1" w:styleId="xl87">
    <w:name w:val="xl87"/>
    <w:basedOn w:val="Norml"/>
    <w:rsid w:val="005C0A3A"/>
    <w:pPr>
      <w:pBdr>
        <w:bottom w:val="single" w:sz="8" w:space="0" w:color="AEAEAE"/>
      </w:pBdr>
      <w:shd w:val="clear" w:color="000000" w:fill="F9F9FB"/>
      <w:spacing w:before="100" w:beforeAutospacing="1" w:after="100" w:afterAutospacing="1" w:line="240" w:lineRule="auto"/>
      <w:jc w:val="right"/>
      <w:textAlignment w:val="center"/>
    </w:pPr>
    <w:rPr>
      <w:rFonts w:ascii="Times New Roman" w:eastAsia="Times New Roman" w:hAnsi="Times New Roman" w:cs="Times New Roman"/>
      <w:color w:val="010205"/>
      <w:sz w:val="20"/>
      <w:szCs w:val="20"/>
      <w:lang w:val="en-GB" w:eastAsia="en-CA"/>
    </w:rPr>
  </w:style>
  <w:style w:type="paragraph" w:customStyle="1" w:styleId="xl88">
    <w:name w:val="xl88"/>
    <w:basedOn w:val="Norml"/>
    <w:rsid w:val="005C0A3A"/>
    <w:pPr>
      <w:pBdr>
        <w:bottom w:val="single" w:sz="8" w:space="0" w:color="152935"/>
        <w:right w:val="single" w:sz="8" w:space="0" w:color="E0E0E0"/>
      </w:pBdr>
      <w:shd w:val="clear" w:color="000000" w:fill="F9F9FB"/>
      <w:spacing w:before="100" w:beforeAutospacing="1" w:after="100" w:afterAutospacing="1" w:line="240" w:lineRule="auto"/>
      <w:jc w:val="right"/>
      <w:textAlignment w:val="center"/>
    </w:pPr>
    <w:rPr>
      <w:rFonts w:ascii="Times New Roman" w:eastAsia="Times New Roman" w:hAnsi="Times New Roman" w:cs="Times New Roman"/>
      <w:color w:val="010205"/>
      <w:sz w:val="20"/>
      <w:szCs w:val="20"/>
      <w:lang w:val="en-GB" w:eastAsia="en-CA"/>
    </w:rPr>
  </w:style>
  <w:style w:type="paragraph" w:customStyle="1" w:styleId="xl89">
    <w:name w:val="xl89"/>
    <w:basedOn w:val="Norml"/>
    <w:rsid w:val="005C0A3A"/>
    <w:pPr>
      <w:pBdr>
        <w:bottom w:val="single" w:sz="8" w:space="0" w:color="152935"/>
      </w:pBdr>
      <w:shd w:val="clear" w:color="000000" w:fill="F9F9FB"/>
      <w:spacing w:before="100" w:beforeAutospacing="1" w:after="100" w:afterAutospacing="1" w:line="240" w:lineRule="auto"/>
      <w:jc w:val="right"/>
      <w:textAlignment w:val="center"/>
    </w:pPr>
    <w:rPr>
      <w:rFonts w:ascii="Times New Roman" w:eastAsia="Times New Roman" w:hAnsi="Times New Roman" w:cs="Times New Roman"/>
      <w:color w:val="010205"/>
      <w:sz w:val="20"/>
      <w:szCs w:val="20"/>
      <w:lang w:val="en-GB" w:eastAsia="en-CA"/>
    </w:rPr>
  </w:style>
  <w:style w:type="paragraph" w:customStyle="1" w:styleId="xl73">
    <w:name w:val="xl73"/>
    <w:basedOn w:val="Norml"/>
    <w:rsid w:val="005C0A3A"/>
    <w:pPr>
      <w:pBdr>
        <w:bottom w:val="single" w:sz="8" w:space="0" w:color="152935"/>
      </w:pBdr>
      <w:shd w:val="clear" w:color="000000" w:fill="FFFFFF"/>
      <w:spacing w:before="100" w:beforeAutospacing="1" w:after="100" w:afterAutospacing="1" w:line="240" w:lineRule="auto"/>
      <w:textAlignment w:val="center"/>
    </w:pPr>
    <w:rPr>
      <w:rFonts w:ascii="Arial" w:eastAsia="Times New Roman" w:hAnsi="Arial" w:cs="Arial"/>
      <w:color w:val="264A60"/>
      <w:sz w:val="24"/>
      <w:szCs w:val="24"/>
      <w:lang w:val="en-GB" w:eastAsia="en-CA"/>
    </w:rPr>
  </w:style>
  <w:style w:type="paragraph" w:customStyle="1" w:styleId="xl74">
    <w:name w:val="xl74"/>
    <w:basedOn w:val="Norml"/>
    <w:rsid w:val="005C0A3A"/>
    <w:pPr>
      <w:pBdr>
        <w:bottom w:val="single" w:sz="8" w:space="0" w:color="152935"/>
        <w:right w:val="single" w:sz="8" w:space="0" w:color="E0E0E0"/>
      </w:pBdr>
      <w:shd w:val="clear" w:color="000000" w:fill="FFFFFF"/>
      <w:spacing w:before="100" w:beforeAutospacing="1" w:after="100" w:afterAutospacing="1" w:line="240" w:lineRule="auto"/>
      <w:jc w:val="center"/>
      <w:textAlignment w:val="center"/>
    </w:pPr>
    <w:rPr>
      <w:rFonts w:ascii="Arial" w:eastAsia="Times New Roman" w:hAnsi="Arial" w:cs="Arial"/>
      <w:color w:val="264A60"/>
      <w:sz w:val="24"/>
      <w:szCs w:val="24"/>
      <w:lang w:val="en-GB" w:eastAsia="en-CA"/>
    </w:rPr>
  </w:style>
  <w:style w:type="table" w:customStyle="1" w:styleId="TableGrid111">
    <w:name w:val="Table Grid111"/>
    <w:basedOn w:val="Normltblzat"/>
    <w:uiPriority w:val="39"/>
    <w:rsid w:val="005C0A3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uiPriority w:val="59"/>
    <w:rsid w:val="005C0A3A"/>
    <w:pPr>
      <w:spacing w:after="0" w:line="240" w:lineRule="auto"/>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59"/>
    <w:rsid w:val="005C0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qFormat/>
    <w:rsid w:val="003634B4"/>
    <w:pPr>
      <w:spacing w:before="180" w:after="180" w:line="240" w:lineRule="auto"/>
    </w:pPr>
    <w:rPr>
      <w:sz w:val="24"/>
      <w:szCs w:val="24"/>
    </w:rPr>
  </w:style>
  <w:style w:type="character" w:customStyle="1" w:styleId="SzvegtrzsChar">
    <w:name w:val="Szövegtörzs Char"/>
    <w:basedOn w:val="Bekezdsalapbettpusa"/>
    <w:link w:val="Szvegtrzs"/>
    <w:rsid w:val="003634B4"/>
    <w:rPr>
      <w:sz w:val="24"/>
      <w:szCs w:val="24"/>
      <w:lang w:val="en-US"/>
    </w:rPr>
  </w:style>
  <w:style w:type="paragraph" w:customStyle="1" w:styleId="FirstParagraph">
    <w:name w:val="First Paragraph"/>
    <w:basedOn w:val="Szvegtrzs"/>
    <w:next w:val="Szvegtrzs"/>
    <w:qFormat/>
    <w:rsid w:val="003634B4"/>
  </w:style>
  <w:style w:type="character" w:styleId="Vgjegyzet-hivatkozs">
    <w:name w:val="endnote reference"/>
    <w:basedOn w:val="Bekezdsalapbettpusa"/>
    <w:uiPriority w:val="99"/>
    <w:semiHidden/>
    <w:unhideWhenUsed/>
    <w:rsid w:val="003B37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906">
      <w:bodyDiv w:val="1"/>
      <w:marLeft w:val="0"/>
      <w:marRight w:val="0"/>
      <w:marTop w:val="0"/>
      <w:marBottom w:val="0"/>
      <w:divBdr>
        <w:top w:val="none" w:sz="0" w:space="0" w:color="auto"/>
        <w:left w:val="none" w:sz="0" w:space="0" w:color="auto"/>
        <w:bottom w:val="none" w:sz="0" w:space="0" w:color="auto"/>
        <w:right w:val="none" w:sz="0" w:space="0" w:color="auto"/>
      </w:divBdr>
    </w:div>
    <w:div w:id="191194423">
      <w:bodyDiv w:val="1"/>
      <w:marLeft w:val="0"/>
      <w:marRight w:val="0"/>
      <w:marTop w:val="0"/>
      <w:marBottom w:val="0"/>
      <w:divBdr>
        <w:top w:val="none" w:sz="0" w:space="0" w:color="auto"/>
        <w:left w:val="none" w:sz="0" w:space="0" w:color="auto"/>
        <w:bottom w:val="none" w:sz="0" w:space="0" w:color="auto"/>
        <w:right w:val="none" w:sz="0" w:space="0" w:color="auto"/>
      </w:divBdr>
      <w:divsChild>
        <w:div w:id="1608348847">
          <w:marLeft w:val="0"/>
          <w:marRight w:val="0"/>
          <w:marTop w:val="0"/>
          <w:marBottom w:val="0"/>
          <w:divBdr>
            <w:top w:val="none" w:sz="0" w:space="0" w:color="auto"/>
            <w:left w:val="none" w:sz="0" w:space="0" w:color="auto"/>
            <w:bottom w:val="none" w:sz="0" w:space="0" w:color="auto"/>
            <w:right w:val="none" w:sz="0" w:space="0" w:color="auto"/>
          </w:divBdr>
        </w:div>
        <w:div w:id="2105951546">
          <w:marLeft w:val="0"/>
          <w:marRight w:val="0"/>
          <w:marTop w:val="0"/>
          <w:marBottom w:val="0"/>
          <w:divBdr>
            <w:top w:val="none" w:sz="0" w:space="0" w:color="auto"/>
            <w:left w:val="none" w:sz="0" w:space="0" w:color="auto"/>
            <w:bottom w:val="none" w:sz="0" w:space="0" w:color="auto"/>
            <w:right w:val="none" w:sz="0" w:space="0" w:color="auto"/>
          </w:divBdr>
        </w:div>
        <w:div w:id="1618759515">
          <w:marLeft w:val="0"/>
          <w:marRight w:val="0"/>
          <w:marTop w:val="0"/>
          <w:marBottom w:val="0"/>
          <w:divBdr>
            <w:top w:val="none" w:sz="0" w:space="0" w:color="auto"/>
            <w:left w:val="none" w:sz="0" w:space="0" w:color="auto"/>
            <w:bottom w:val="none" w:sz="0" w:space="0" w:color="auto"/>
            <w:right w:val="none" w:sz="0" w:space="0" w:color="auto"/>
          </w:divBdr>
        </w:div>
        <w:div w:id="2016571530">
          <w:marLeft w:val="0"/>
          <w:marRight w:val="0"/>
          <w:marTop w:val="0"/>
          <w:marBottom w:val="0"/>
          <w:divBdr>
            <w:top w:val="none" w:sz="0" w:space="0" w:color="auto"/>
            <w:left w:val="none" w:sz="0" w:space="0" w:color="auto"/>
            <w:bottom w:val="none" w:sz="0" w:space="0" w:color="auto"/>
            <w:right w:val="none" w:sz="0" w:space="0" w:color="auto"/>
          </w:divBdr>
        </w:div>
        <w:div w:id="2070610923">
          <w:marLeft w:val="0"/>
          <w:marRight w:val="0"/>
          <w:marTop w:val="0"/>
          <w:marBottom w:val="0"/>
          <w:divBdr>
            <w:top w:val="none" w:sz="0" w:space="0" w:color="auto"/>
            <w:left w:val="none" w:sz="0" w:space="0" w:color="auto"/>
            <w:bottom w:val="none" w:sz="0" w:space="0" w:color="auto"/>
            <w:right w:val="none" w:sz="0" w:space="0" w:color="auto"/>
          </w:divBdr>
        </w:div>
        <w:div w:id="1214854758">
          <w:marLeft w:val="0"/>
          <w:marRight w:val="0"/>
          <w:marTop w:val="0"/>
          <w:marBottom w:val="0"/>
          <w:divBdr>
            <w:top w:val="none" w:sz="0" w:space="0" w:color="auto"/>
            <w:left w:val="none" w:sz="0" w:space="0" w:color="auto"/>
            <w:bottom w:val="none" w:sz="0" w:space="0" w:color="auto"/>
            <w:right w:val="none" w:sz="0" w:space="0" w:color="auto"/>
          </w:divBdr>
        </w:div>
        <w:div w:id="1871066344">
          <w:marLeft w:val="0"/>
          <w:marRight w:val="0"/>
          <w:marTop w:val="0"/>
          <w:marBottom w:val="0"/>
          <w:divBdr>
            <w:top w:val="none" w:sz="0" w:space="0" w:color="auto"/>
            <w:left w:val="none" w:sz="0" w:space="0" w:color="auto"/>
            <w:bottom w:val="none" w:sz="0" w:space="0" w:color="auto"/>
            <w:right w:val="none" w:sz="0" w:space="0" w:color="auto"/>
          </w:divBdr>
        </w:div>
        <w:div w:id="914127472">
          <w:marLeft w:val="0"/>
          <w:marRight w:val="0"/>
          <w:marTop w:val="0"/>
          <w:marBottom w:val="0"/>
          <w:divBdr>
            <w:top w:val="none" w:sz="0" w:space="0" w:color="auto"/>
            <w:left w:val="none" w:sz="0" w:space="0" w:color="auto"/>
            <w:bottom w:val="none" w:sz="0" w:space="0" w:color="auto"/>
            <w:right w:val="none" w:sz="0" w:space="0" w:color="auto"/>
          </w:divBdr>
        </w:div>
        <w:div w:id="1491366642">
          <w:marLeft w:val="0"/>
          <w:marRight w:val="0"/>
          <w:marTop w:val="0"/>
          <w:marBottom w:val="0"/>
          <w:divBdr>
            <w:top w:val="none" w:sz="0" w:space="0" w:color="auto"/>
            <w:left w:val="none" w:sz="0" w:space="0" w:color="auto"/>
            <w:bottom w:val="none" w:sz="0" w:space="0" w:color="auto"/>
            <w:right w:val="none" w:sz="0" w:space="0" w:color="auto"/>
          </w:divBdr>
        </w:div>
        <w:div w:id="1380979667">
          <w:marLeft w:val="0"/>
          <w:marRight w:val="0"/>
          <w:marTop w:val="0"/>
          <w:marBottom w:val="0"/>
          <w:divBdr>
            <w:top w:val="none" w:sz="0" w:space="0" w:color="auto"/>
            <w:left w:val="none" w:sz="0" w:space="0" w:color="auto"/>
            <w:bottom w:val="none" w:sz="0" w:space="0" w:color="auto"/>
            <w:right w:val="none" w:sz="0" w:space="0" w:color="auto"/>
          </w:divBdr>
        </w:div>
      </w:divsChild>
    </w:div>
    <w:div w:id="263920350">
      <w:bodyDiv w:val="1"/>
      <w:marLeft w:val="0"/>
      <w:marRight w:val="0"/>
      <w:marTop w:val="0"/>
      <w:marBottom w:val="0"/>
      <w:divBdr>
        <w:top w:val="none" w:sz="0" w:space="0" w:color="auto"/>
        <w:left w:val="none" w:sz="0" w:space="0" w:color="auto"/>
        <w:bottom w:val="none" w:sz="0" w:space="0" w:color="auto"/>
        <w:right w:val="none" w:sz="0" w:space="0" w:color="auto"/>
      </w:divBdr>
    </w:div>
    <w:div w:id="472256505">
      <w:bodyDiv w:val="1"/>
      <w:marLeft w:val="0"/>
      <w:marRight w:val="0"/>
      <w:marTop w:val="0"/>
      <w:marBottom w:val="0"/>
      <w:divBdr>
        <w:top w:val="none" w:sz="0" w:space="0" w:color="auto"/>
        <w:left w:val="none" w:sz="0" w:space="0" w:color="auto"/>
        <w:bottom w:val="none" w:sz="0" w:space="0" w:color="auto"/>
        <w:right w:val="none" w:sz="0" w:space="0" w:color="auto"/>
      </w:divBdr>
    </w:div>
    <w:div w:id="542328673">
      <w:bodyDiv w:val="1"/>
      <w:marLeft w:val="0"/>
      <w:marRight w:val="0"/>
      <w:marTop w:val="0"/>
      <w:marBottom w:val="0"/>
      <w:divBdr>
        <w:top w:val="none" w:sz="0" w:space="0" w:color="auto"/>
        <w:left w:val="none" w:sz="0" w:space="0" w:color="auto"/>
        <w:bottom w:val="none" w:sz="0" w:space="0" w:color="auto"/>
        <w:right w:val="none" w:sz="0" w:space="0" w:color="auto"/>
      </w:divBdr>
    </w:div>
    <w:div w:id="594630296">
      <w:bodyDiv w:val="1"/>
      <w:marLeft w:val="0"/>
      <w:marRight w:val="0"/>
      <w:marTop w:val="0"/>
      <w:marBottom w:val="0"/>
      <w:divBdr>
        <w:top w:val="none" w:sz="0" w:space="0" w:color="auto"/>
        <w:left w:val="none" w:sz="0" w:space="0" w:color="auto"/>
        <w:bottom w:val="none" w:sz="0" w:space="0" w:color="auto"/>
        <w:right w:val="none" w:sz="0" w:space="0" w:color="auto"/>
      </w:divBdr>
    </w:div>
    <w:div w:id="862981916">
      <w:bodyDiv w:val="1"/>
      <w:marLeft w:val="0"/>
      <w:marRight w:val="0"/>
      <w:marTop w:val="0"/>
      <w:marBottom w:val="0"/>
      <w:divBdr>
        <w:top w:val="none" w:sz="0" w:space="0" w:color="auto"/>
        <w:left w:val="none" w:sz="0" w:space="0" w:color="auto"/>
        <w:bottom w:val="none" w:sz="0" w:space="0" w:color="auto"/>
        <w:right w:val="none" w:sz="0" w:space="0" w:color="auto"/>
      </w:divBdr>
      <w:divsChild>
        <w:div w:id="537935139">
          <w:marLeft w:val="0"/>
          <w:marRight w:val="0"/>
          <w:marTop w:val="0"/>
          <w:marBottom w:val="0"/>
          <w:divBdr>
            <w:top w:val="none" w:sz="0" w:space="0" w:color="auto"/>
            <w:left w:val="none" w:sz="0" w:space="0" w:color="auto"/>
            <w:bottom w:val="none" w:sz="0" w:space="0" w:color="auto"/>
            <w:right w:val="none" w:sz="0" w:space="0" w:color="auto"/>
          </w:divBdr>
          <w:divsChild>
            <w:div w:id="12637312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2496969">
      <w:bodyDiv w:val="1"/>
      <w:marLeft w:val="0"/>
      <w:marRight w:val="0"/>
      <w:marTop w:val="0"/>
      <w:marBottom w:val="0"/>
      <w:divBdr>
        <w:top w:val="none" w:sz="0" w:space="0" w:color="auto"/>
        <w:left w:val="none" w:sz="0" w:space="0" w:color="auto"/>
        <w:bottom w:val="none" w:sz="0" w:space="0" w:color="auto"/>
        <w:right w:val="none" w:sz="0" w:space="0" w:color="auto"/>
      </w:divBdr>
      <w:divsChild>
        <w:div w:id="138152736">
          <w:marLeft w:val="0"/>
          <w:marRight w:val="0"/>
          <w:marTop w:val="0"/>
          <w:marBottom w:val="0"/>
          <w:divBdr>
            <w:top w:val="single" w:sz="12" w:space="0" w:color="auto"/>
            <w:left w:val="single" w:sz="12" w:space="0" w:color="auto"/>
            <w:bottom w:val="single" w:sz="12" w:space="0" w:color="auto"/>
            <w:right w:val="single" w:sz="12" w:space="0" w:color="auto"/>
          </w:divBdr>
          <w:divsChild>
            <w:div w:id="1475026124">
              <w:marLeft w:val="0"/>
              <w:marRight w:val="0"/>
              <w:marTop w:val="0"/>
              <w:marBottom w:val="0"/>
              <w:divBdr>
                <w:top w:val="single" w:sz="2" w:space="0" w:color="auto"/>
                <w:left w:val="single" w:sz="2" w:space="0" w:color="auto"/>
                <w:bottom w:val="single" w:sz="2" w:space="0" w:color="auto"/>
                <w:right w:val="single" w:sz="2" w:space="0" w:color="auto"/>
              </w:divBdr>
              <w:divsChild>
                <w:div w:id="804355677">
                  <w:marLeft w:val="0"/>
                  <w:marRight w:val="0"/>
                  <w:marTop w:val="0"/>
                  <w:marBottom w:val="0"/>
                  <w:divBdr>
                    <w:top w:val="single" w:sz="2" w:space="0" w:color="auto"/>
                    <w:left w:val="single" w:sz="2" w:space="0" w:color="auto"/>
                    <w:bottom w:val="single" w:sz="2" w:space="0" w:color="auto"/>
                    <w:right w:val="single" w:sz="2" w:space="0" w:color="auto"/>
                  </w:divBdr>
                </w:div>
              </w:divsChild>
            </w:div>
            <w:div w:id="15774765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2150488">
      <w:bodyDiv w:val="1"/>
      <w:marLeft w:val="0"/>
      <w:marRight w:val="0"/>
      <w:marTop w:val="0"/>
      <w:marBottom w:val="0"/>
      <w:divBdr>
        <w:top w:val="none" w:sz="0" w:space="0" w:color="auto"/>
        <w:left w:val="none" w:sz="0" w:space="0" w:color="auto"/>
        <w:bottom w:val="none" w:sz="0" w:space="0" w:color="auto"/>
        <w:right w:val="none" w:sz="0" w:space="0" w:color="auto"/>
      </w:divBdr>
    </w:div>
    <w:div w:id="1086657285">
      <w:bodyDiv w:val="1"/>
      <w:marLeft w:val="0"/>
      <w:marRight w:val="0"/>
      <w:marTop w:val="0"/>
      <w:marBottom w:val="0"/>
      <w:divBdr>
        <w:top w:val="none" w:sz="0" w:space="0" w:color="auto"/>
        <w:left w:val="none" w:sz="0" w:space="0" w:color="auto"/>
        <w:bottom w:val="none" w:sz="0" w:space="0" w:color="auto"/>
        <w:right w:val="none" w:sz="0" w:space="0" w:color="auto"/>
      </w:divBdr>
    </w:div>
    <w:div w:id="1380787472">
      <w:bodyDiv w:val="1"/>
      <w:marLeft w:val="0"/>
      <w:marRight w:val="0"/>
      <w:marTop w:val="0"/>
      <w:marBottom w:val="0"/>
      <w:divBdr>
        <w:top w:val="none" w:sz="0" w:space="0" w:color="auto"/>
        <w:left w:val="none" w:sz="0" w:space="0" w:color="auto"/>
        <w:bottom w:val="none" w:sz="0" w:space="0" w:color="auto"/>
        <w:right w:val="none" w:sz="0" w:space="0" w:color="auto"/>
      </w:divBdr>
      <w:divsChild>
        <w:div w:id="1893423443">
          <w:marLeft w:val="0"/>
          <w:marRight w:val="0"/>
          <w:marTop w:val="0"/>
          <w:marBottom w:val="0"/>
          <w:divBdr>
            <w:top w:val="none" w:sz="0" w:space="0" w:color="auto"/>
            <w:left w:val="none" w:sz="0" w:space="0" w:color="auto"/>
            <w:bottom w:val="none" w:sz="0" w:space="0" w:color="auto"/>
            <w:right w:val="none" w:sz="0" w:space="0" w:color="auto"/>
          </w:divBdr>
        </w:div>
        <w:div w:id="1619682743">
          <w:marLeft w:val="0"/>
          <w:marRight w:val="0"/>
          <w:marTop w:val="0"/>
          <w:marBottom w:val="0"/>
          <w:divBdr>
            <w:top w:val="none" w:sz="0" w:space="0" w:color="auto"/>
            <w:left w:val="none" w:sz="0" w:space="0" w:color="auto"/>
            <w:bottom w:val="none" w:sz="0" w:space="0" w:color="auto"/>
            <w:right w:val="none" w:sz="0" w:space="0" w:color="auto"/>
          </w:divBdr>
        </w:div>
        <w:div w:id="1240485412">
          <w:marLeft w:val="0"/>
          <w:marRight w:val="0"/>
          <w:marTop w:val="0"/>
          <w:marBottom w:val="0"/>
          <w:divBdr>
            <w:top w:val="none" w:sz="0" w:space="0" w:color="auto"/>
            <w:left w:val="none" w:sz="0" w:space="0" w:color="auto"/>
            <w:bottom w:val="none" w:sz="0" w:space="0" w:color="auto"/>
            <w:right w:val="none" w:sz="0" w:space="0" w:color="auto"/>
          </w:divBdr>
        </w:div>
        <w:div w:id="1353341271">
          <w:marLeft w:val="0"/>
          <w:marRight w:val="0"/>
          <w:marTop w:val="0"/>
          <w:marBottom w:val="0"/>
          <w:divBdr>
            <w:top w:val="none" w:sz="0" w:space="0" w:color="auto"/>
            <w:left w:val="none" w:sz="0" w:space="0" w:color="auto"/>
            <w:bottom w:val="none" w:sz="0" w:space="0" w:color="auto"/>
            <w:right w:val="none" w:sz="0" w:space="0" w:color="auto"/>
          </w:divBdr>
        </w:div>
        <w:div w:id="161823223">
          <w:marLeft w:val="0"/>
          <w:marRight w:val="0"/>
          <w:marTop w:val="0"/>
          <w:marBottom w:val="0"/>
          <w:divBdr>
            <w:top w:val="none" w:sz="0" w:space="0" w:color="auto"/>
            <w:left w:val="none" w:sz="0" w:space="0" w:color="auto"/>
            <w:bottom w:val="none" w:sz="0" w:space="0" w:color="auto"/>
            <w:right w:val="none" w:sz="0" w:space="0" w:color="auto"/>
          </w:divBdr>
        </w:div>
        <w:div w:id="1357659231">
          <w:marLeft w:val="0"/>
          <w:marRight w:val="0"/>
          <w:marTop w:val="0"/>
          <w:marBottom w:val="0"/>
          <w:divBdr>
            <w:top w:val="none" w:sz="0" w:space="0" w:color="auto"/>
            <w:left w:val="none" w:sz="0" w:space="0" w:color="auto"/>
            <w:bottom w:val="none" w:sz="0" w:space="0" w:color="auto"/>
            <w:right w:val="none" w:sz="0" w:space="0" w:color="auto"/>
          </w:divBdr>
        </w:div>
        <w:div w:id="416823856">
          <w:marLeft w:val="0"/>
          <w:marRight w:val="0"/>
          <w:marTop w:val="0"/>
          <w:marBottom w:val="0"/>
          <w:divBdr>
            <w:top w:val="none" w:sz="0" w:space="0" w:color="auto"/>
            <w:left w:val="none" w:sz="0" w:space="0" w:color="auto"/>
            <w:bottom w:val="none" w:sz="0" w:space="0" w:color="auto"/>
            <w:right w:val="none" w:sz="0" w:space="0" w:color="auto"/>
          </w:divBdr>
        </w:div>
        <w:div w:id="1652169987">
          <w:marLeft w:val="0"/>
          <w:marRight w:val="0"/>
          <w:marTop w:val="0"/>
          <w:marBottom w:val="0"/>
          <w:divBdr>
            <w:top w:val="none" w:sz="0" w:space="0" w:color="auto"/>
            <w:left w:val="none" w:sz="0" w:space="0" w:color="auto"/>
            <w:bottom w:val="none" w:sz="0" w:space="0" w:color="auto"/>
            <w:right w:val="none" w:sz="0" w:space="0" w:color="auto"/>
          </w:divBdr>
        </w:div>
        <w:div w:id="33115501">
          <w:marLeft w:val="0"/>
          <w:marRight w:val="0"/>
          <w:marTop w:val="0"/>
          <w:marBottom w:val="0"/>
          <w:divBdr>
            <w:top w:val="none" w:sz="0" w:space="0" w:color="auto"/>
            <w:left w:val="none" w:sz="0" w:space="0" w:color="auto"/>
            <w:bottom w:val="none" w:sz="0" w:space="0" w:color="auto"/>
            <w:right w:val="none" w:sz="0" w:space="0" w:color="auto"/>
          </w:divBdr>
        </w:div>
        <w:div w:id="1650354534">
          <w:marLeft w:val="0"/>
          <w:marRight w:val="0"/>
          <w:marTop w:val="0"/>
          <w:marBottom w:val="0"/>
          <w:divBdr>
            <w:top w:val="none" w:sz="0" w:space="0" w:color="auto"/>
            <w:left w:val="none" w:sz="0" w:space="0" w:color="auto"/>
            <w:bottom w:val="none" w:sz="0" w:space="0" w:color="auto"/>
            <w:right w:val="none" w:sz="0" w:space="0" w:color="auto"/>
          </w:divBdr>
        </w:div>
        <w:div w:id="538401245">
          <w:marLeft w:val="0"/>
          <w:marRight w:val="0"/>
          <w:marTop w:val="0"/>
          <w:marBottom w:val="0"/>
          <w:divBdr>
            <w:top w:val="none" w:sz="0" w:space="0" w:color="auto"/>
            <w:left w:val="none" w:sz="0" w:space="0" w:color="auto"/>
            <w:bottom w:val="none" w:sz="0" w:space="0" w:color="auto"/>
            <w:right w:val="none" w:sz="0" w:space="0" w:color="auto"/>
          </w:divBdr>
        </w:div>
        <w:div w:id="67579825">
          <w:marLeft w:val="0"/>
          <w:marRight w:val="0"/>
          <w:marTop w:val="0"/>
          <w:marBottom w:val="0"/>
          <w:divBdr>
            <w:top w:val="none" w:sz="0" w:space="0" w:color="auto"/>
            <w:left w:val="none" w:sz="0" w:space="0" w:color="auto"/>
            <w:bottom w:val="none" w:sz="0" w:space="0" w:color="auto"/>
            <w:right w:val="none" w:sz="0" w:space="0" w:color="auto"/>
          </w:divBdr>
        </w:div>
        <w:div w:id="1029718579">
          <w:marLeft w:val="0"/>
          <w:marRight w:val="0"/>
          <w:marTop w:val="0"/>
          <w:marBottom w:val="0"/>
          <w:divBdr>
            <w:top w:val="none" w:sz="0" w:space="0" w:color="auto"/>
            <w:left w:val="none" w:sz="0" w:space="0" w:color="auto"/>
            <w:bottom w:val="none" w:sz="0" w:space="0" w:color="auto"/>
            <w:right w:val="none" w:sz="0" w:space="0" w:color="auto"/>
          </w:divBdr>
        </w:div>
        <w:div w:id="780416074">
          <w:marLeft w:val="0"/>
          <w:marRight w:val="0"/>
          <w:marTop w:val="0"/>
          <w:marBottom w:val="0"/>
          <w:divBdr>
            <w:top w:val="none" w:sz="0" w:space="0" w:color="auto"/>
            <w:left w:val="none" w:sz="0" w:space="0" w:color="auto"/>
            <w:bottom w:val="none" w:sz="0" w:space="0" w:color="auto"/>
            <w:right w:val="none" w:sz="0" w:space="0" w:color="auto"/>
          </w:divBdr>
        </w:div>
        <w:div w:id="64884136">
          <w:marLeft w:val="0"/>
          <w:marRight w:val="0"/>
          <w:marTop w:val="0"/>
          <w:marBottom w:val="0"/>
          <w:divBdr>
            <w:top w:val="none" w:sz="0" w:space="0" w:color="auto"/>
            <w:left w:val="none" w:sz="0" w:space="0" w:color="auto"/>
            <w:bottom w:val="none" w:sz="0" w:space="0" w:color="auto"/>
            <w:right w:val="none" w:sz="0" w:space="0" w:color="auto"/>
          </w:divBdr>
        </w:div>
        <w:div w:id="1640069085">
          <w:marLeft w:val="0"/>
          <w:marRight w:val="0"/>
          <w:marTop w:val="0"/>
          <w:marBottom w:val="0"/>
          <w:divBdr>
            <w:top w:val="none" w:sz="0" w:space="0" w:color="auto"/>
            <w:left w:val="none" w:sz="0" w:space="0" w:color="auto"/>
            <w:bottom w:val="none" w:sz="0" w:space="0" w:color="auto"/>
            <w:right w:val="none" w:sz="0" w:space="0" w:color="auto"/>
          </w:divBdr>
        </w:div>
        <w:div w:id="58091026">
          <w:marLeft w:val="0"/>
          <w:marRight w:val="0"/>
          <w:marTop w:val="0"/>
          <w:marBottom w:val="0"/>
          <w:divBdr>
            <w:top w:val="none" w:sz="0" w:space="0" w:color="auto"/>
            <w:left w:val="none" w:sz="0" w:space="0" w:color="auto"/>
            <w:bottom w:val="none" w:sz="0" w:space="0" w:color="auto"/>
            <w:right w:val="none" w:sz="0" w:space="0" w:color="auto"/>
          </w:divBdr>
        </w:div>
        <w:div w:id="1988434368">
          <w:marLeft w:val="0"/>
          <w:marRight w:val="0"/>
          <w:marTop w:val="0"/>
          <w:marBottom w:val="0"/>
          <w:divBdr>
            <w:top w:val="none" w:sz="0" w:space="0" w:color="auto"/>
            <w:left w:val="none" w:sz="0" w:space="0" w:color="auto"/>
            <w:bottom w:val="none" w:sz="0" w:space="0" w:color="auto"/>
            <w:right w:val="none" w:sz="0" w:space="0" w:color="auto"/>
          </w:divBdr>
        </w:div>
        <w:div w:id="1628463287">
          <w:marLeft w:val="0"/>
          <w:marRight w:val="0"/>
          <w:marTop w:val="0"/>
          <w:marBottom w:val="0"/>
          <w:divBdr>
            <w:top w:val="none" w:sz="0" w:space="0" w:color="auto"/>
            <w:left w:val="none" w:sz="0" w:space="0" w:color="auto"/>
            <w:bottom w:val="none" w:sz="0" w:space="0" w:color="auto"/>
            <w:right w:val="none" w:sz="0" w:space="0" w:color="auto"/>
          </w:divBdr>
        </w:div>
        <w:div w:id="1803844278">
          <w:marLeft w:val="0"/>
          <w:marRight w:val="0"/>
          <w:marTop w:val="0"/>
          <w:marBottom w:val="0"/>
          <w:divBdr>
            <w:top w:val="none" w:sz="0" w:space="0" w:color="auto"/>
            <w:left w:val="none" w:sz="0" w:space="0" w:color="auto"/>
            <w:bottom w:val="none" w:sz="0" w:space="0" w:color="auto"/>
            <w:right w:val="none" w:sz="0" w:space="0" w:color="auto"/>
          </w:divBdr>
        </w:div>
        <w:div w:id="888230326">
          <w:marLeft w:val="0"/>
          <w:marRight w:val="0"/>
          <w:marTop w:val="0"/>
          <w:marBottom w:val="0"/>
          <w:divBdr>
            <w:top w:val="none" w:sz="0" w:space="0" w:color="auto"/>
            <w:left w:val="none" w:sz="0" w:space="0" w:color="auto"/>
            <w:bottom w:val="none" w:sz="0" w:space="0" w:color="auto"/>
            <w:right w:val="none" w:sz="0" w:space="0" w:color="auto"/>
          </w:divBdr>
        </w:div>
        <w:div w:id="1711569023">
          <w:marLeft w:val="0"/>
          <w:marRight w:val="0"/>
          <w:marTop w:val="0"/>
          <w:marBottom w:val="0"/>
          <w:divBdr>
            <w:top w:val="none" w:sz="0" w:space="0" w:color="auto"/>
            <w:left w:val="none" w:sz="0" w:space="0" w:color="auto"/>
            <w:bottom w:val="none" w:sz="0" w:space="0" w:color="auto"/>
            <w:right w:val="none" w:sz="0" w:space="0" w:color="auto"/>
          </w:divBdr>
        </w:div>
        <w:div w:id="1062022464">
          <w:marLeft w:val="0"/>
          <w:marRight w:val="0"/>
          <w:marTop w:val="0"/>
          <w:marBottom w:val="0"/>
          <w:divBdr>
            <w:top w:val="none" w:sz="0" w:space="0" w:color="auto"/>
            <w:left w:val="none" w:sz="0" w:space="0" w:color="auto"/>
            <w:bottom w:val="none" w:sz="0" w:space="0" w:color="auto"/>
            <w:right w:val="none" w:sz="0" w:space="0" w:color="auto"/>
          </w:divBdr>
        </w:div>
        <w:div w:id="408381392">
          <w:marLeft w:val="0"/>
          <w:marRight w:val="0"/>
          <w:marTop w:val="0"/>
          <w:marBottom w:val="0"/>
          <w:divBdr>
            <w:top w:val="none" w:sz="0" w:space="0" w:color="auto"/>
            <w:left w:val="none" w:sz="0" w:space="0" w:color="auto"/>
            <w:bottom w:val="none" w:sz="0" w:space="0" w:color="auto"/>
            <w:right w:val="none" w:sz="0" w:space="0" w:color="auto"/>
          </w:divBdr>
        </w:div>
        <w:div w:id="1066301243">
          <w:marLeft w:val="0"/>
          <w:marRight w:val="0"/>
          <w:marTop w:val="0"/>
          <w:marBottom w:val="0"/>
          <w:divBdr>
            <w:top w:val="none" w:sz="0" w:space="0" w:color="auto"/>
            <w:left w:val="none" w:sz="0" w:space="0" w:color="auto"/>
            <w:bottom w:val="none" w:sz="0" w:space="0" w:color="auto"/>
            <w:right w:val="none" w:sz="0" w:space="0" w:color="auto"/>
          </w:divBdr>
        </w:div>
        <w:div w:id="1200238385">
          <w:marLeft w:val="0"/>
          <w:marRight w:val="0"/>
          <w:marTop w:val="0"/>
          <w:marBottom w:val="0"/>
          <w:divBdr>
            <w:top w:val="none" w:sz="0" w:space="0" w:color="auto"/>
            <w:left w:val="none" w:sz="0" w:space="0" w:color="auto"/>
            <w:bottom w:val="none" w:sz="0" w:space="0" w:color="auto"/>
            <w:right w:val="none" w:sz="0" w:space="0" w:color="auto"/>
          </w:divBdr>
        </w:div>
        <w:div w:id="184757686">
          <w:marLeft w:val="0"/>
          <w:marRight w:val="0"/>
          <w:marTop w:val="0"/>
          <w:marBottom w:val="0"/>
          <w:divBdr>
            <w:top w:val="none" w:sz="0" w:space="0" w:color="auto"/>
            <w:left w:val="none" w:sz="0" w:space="0" w:color="auto"/>
            <w:bottom w:val="none" w:sz="0" w:space="0" w:color="auto"/>
            <w:right w:val="none" w:sz="0" w:space="0" w:color="auto"/>
          </w:divBdr>
        </w:div>
        <w:div w:id="803885386">
          <w:marLeft w:val="0"/>
          <w:marRight w:val="0"/>
          <w:marTop w:val="0"/>
          <w:marBottom w:val="0"/>
          <w:divBdr>
            <w:top w:val="none" w:sz="0" w:space="0" w:color="auto"/>
            <w:left w:val="none" w:sz="0" w:space="0" w:color="auto"/>
            <w:bottom w:val="none" w:sz="0" w:space="0" w:color="auto"/>
            <w:right w:val="none" w:sz="0" w:space="0" w:color="auto"/>
          </w:divBdr>
        </w:div>
        <w:div w:id="458038409">
          <w:marLeft w:val="0"/>
          <w:marRight w:val="0"/>
          <w:marTop w:val="0"/>
          <w:marBottom w:val="0"/>
          <w:divBdr>
            <w:top w:val="none" w:sz="0" w:space="0" w:color="auto"/>
            <w:left w:val="none" w:sz="0" w:space="0" w:color="auto"/>
            <w:bottom w:val="none" w:sz="0" w:space="0" w:color="auto"/>
            <w:right w:val="none" w:sz="0" w:space="0" w:color="auto"/>
          </w:divBdr>
        </w:div>
      </w:divsChild>
    </w:div>
    <w:div w:id="1554003275">
      <w:bodyDiv w:val="1"/>
      <w:marLeft w:val="0"/>
      <w:marRight w:val="0"/>
      <w:marTop w:val="0"/>
      <w:marBottom w:val="0"/>
      <w:divBdr>
        <w:top w:val="none" w:sz="0" w:space="0" w:color="auto"/>
        <w:left w:val="none" w:sz="0" w:space="0" w:color="auto"/>
        <w:bottom w:val="none" w:sz="0" w:space="0" w:color="auto"/>
        <w:right w:val="none" w:sz="0" w:space="0" w:color="auto"/>
      </w:divBdr>
    </w:div>
    <w:div w:id="1779373513">
      <w:bodyDiv w:val="1"/>
      <w:marLeft w:val="0"/>
      <w:marRight w:val="0"/>
      <w:marTop w:val="0"/>
      <w:marBottom w:val="0"/>
      <w:divBdr>
        <w:top w:val="none" w:sz="0" w:space="0" w:color="auto"/>
        <w:left w:val="none" w:sz="0" w:space="0" w:color="auto"/>
        <w:bottom w:val="none" w:sz="0" w:space="0" w:color="auto"/>
        <w:right w:val="none" w:sz="0" w:space="0" w:color="auto"/>
      </w:divBdr>
    </w:div>
    <w:div w:id="1811171239">
      <w:bodyDiv w:val="1"/>
      <w:marLeft w:val="0"/>
      <w:marRight w:val="0"/>
      <w:marTop w:val="0"/>
      <w:marBottom w:val="0"/>
      <w:divBdr>
        <w:top w:val="none" w:sz="0" w:space="0" w:color="auto"/>
        <w:left w:val="none" w:sz="0" w:space="0" w:color="auto"/>
        <w:bottom w:val="none" w:sz="0" w:space="0" w:color="auto"/>
        <w:right w:val="none" w:sz="0" w:space="0" w:color="auto"/>
      </w:divBdr>
    </w:div>
    <w:div w:id="1878663322">
      <w:bodyDiv w:val="1"/>
      <w:marLeft w:val="0"/>
      <w:marRight w:val="0"/>
      <w:marTop w:val="0"/>
      <w:marBottom w:val="0"/>
      <w:divBdr>
        <w:top w:val="none" w:sz="0" w:space="0" w:color="auto"/>
        <w:left w:val="none" w:sz="0" w:space="0" w:color="auto"/>
        <w:bottom w:val="none" w:sz="0" w:space="0" w:color="auto"/>
        <w:right w:val="none" w:sz="0" w:space="0" w:color="auto"/>
      </w:divBdr>
    </w:div>
    <w:div w:id="210869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gy.lena@ppk.elte.hu" TargetMode="External"/><Relationship Id="rId13" Type="http://schemas.openxmlformats.org/officeDocument/2006/relationships/hyperlink" Target="https://osf.io/jcz9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f.io/jb6ey/?view_only=0014d87bb2b546f7a2693543389b934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uyfra/?view_only=6e4f96b748be42d99363d58e32d511b8"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internationalsexsurvey.org/" TargetMode="External"/><Relationship Id="rId4" Type="http://schemas.openxmlformats.org/officeDocument/2006/relationships/settings" Target="settings.xml"/><Relationship Id="rId9" Type="http://schemas.openxmlformats.org/officeDocument/2006/relationships/hyperlink" Target="https://osf.io/e93kf" TargetMode="External"/><Relationship Id="rId14" Type="http://schemas.openxmlformats.org/officeDocument/2006/relationships/hyperlink" Target="https://osf.io/jcz96"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2598E-CA75-4CBD-B329-A72E9F4C5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5202</TotalTime>
  <Pages>47</Pages>
  <Words>45093</Words>
  <Characters>311147</Characters>
  <Application>Microsoft Office Word</Application>
  <DocSecurity>0</DocSecurity>
  <Lines>2592</Lines>
  <Paragraphs>711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ELTE</Company>
  <LinksUpToDate>false</LinksUpToDate>
  <CharactersWithSpaces>355529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Léna</dc:creator>
  <cp:keywords/>
  <dc:description/>
  <cp:lastModifiedBy>Nagy Léna</cp:lastModifiedBy>
  <cp:revision>529</cp:revision>
  <dcterms:created xsi:type="dcterms:W3CDTF">2023-09-12T12:47:00Z</dcterms:created>
  <dcterms:modified xsi:type="dcterms:W3CDTF">2025-07-12T07:48:00Z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e68fb78b19fe5b52fb78773097eefc66e2b70fe44f839af011d73838280d07ee</vt:lpwstr>
  </property>
  <property fmtid="{D5CDD505-2E9C-101B-9397-08002B2CF9AE}" pid="3" name="ZOTERO_PREF_2">
    <vt:lpwstr>alAbbreviations" value="true"/&gt;&lt;/prefs&gt;&lt;/data&gt;</vt:lpwstr>
  </property>
  <property fmtid="{D5CDD505-2E9C-101B-9397-08002B2CF9AE}" pid="4" name="ZOTERO_PREF_1">
    <vt:lpwstr>&lt;data data-version="3" zotero-version="6.0.36"&gt;&lt;session id="03p5bFTo"/&gt;&lt;style id="http://www.zotero.org/styles/apa" locale="en-GB" hasBibliography="1" bibliographyStyleHasBeenSet="1"/&gt;&lt;prefs&gt;&lt;pref name="fieldType" value="Field"/&gt;&lt;pref name="automaticJourn</vt:lpwstr>
  </property>
</Properties>
</file>