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A12A0" w14:textId="3D84AA0A" w:rsidR="009D48EC" w:rsidRDefault="009D48EC" w:rsidP="006B06E8">
      <w:pPr>
        <w:pStyle w:val="Heading1"/>
        <w:spacing w:before="0" w:line="360" w:lineRule="auto"/>
        <w:jc w:val="both"/>
        <w:rPr>
          <w:rFonts w:ascii="Calibri" w:hAnsi="Calibri" w:cs="Calibri"/>
          <w:color w:val="auto"/>
          <w:sz w:val="24"/>
          <w:szCs w:val="24"/>
        </w:rPr>
      </w:pPr>
      <w:bookmarkStart w:id="0" w:name="_Toc168393563"/>
      <w:r>
        <w:rPr>
          <w:rFonts w:ascii="Calibri" w:hAnsi="Calibri" w:cs="Calibri"/>
          <w:b/>
          <w:bCs/>
          <w:color w:val="000000" w:themeColor="text1"/>
          <w:sz w:val="22"/>
          <w:szCs w:val="22"/>
          <w:u w:val="single"/>
        </w:rPr>
        <w:t>TITLE</w:t>
      </w:r>
      <w:r w:rsidRPr="0032624A">
        <w:rPr>
          <w:rFonts w:ascii="Calibri" w:hAnsi="Calibri" w:cs="Calibri"/>
          <w:b/>
          <w:bCs/>
          <w:color w:val="000000" w:themeColor="text1"/>
          <w:sz w:val="22"/>
          <w:szCs w:val="22"/>
        </w:rPr>
        <w:t xml:space="preserve">: </w:t>
      </w:r>
      <w:r w:rsidR="00FE4820" w:rsidRPr="009677D0">
        <w:rPr>
          <w:rFonts w:ascii="Calibri" w:hAnsi="Calibri" w:cs="Calibri"/>
          <w:color w:val="auto"/>
          <w:sz w:val="24"/>
          <w:szCs w:val="24"/>
        </w:rPr>
        <w:t xml:space="preserve">Process Evaluation of the A2B randomised controlled trial: </w:t>
      </w:r>
      <w:r w:rsidR="00F60AE3" w:rsidRPr="009677D0">
        <w:rPr>
          <w:rFonts w:ascii="Calibri" w:hAnsi="Calibri" w:cs="Calibri"/>
          <w:color w:val="auto"/>
          <w:sz w:val="24"/>
          <w:szCs w:val="24"/>
        </w:rPr>
        <w:t>an exploration of the factors influencing successful</w:t>
      </w:r>
      <w:r w:rsidR="00FE4820" w:rsidRPr="009677D0">
        <w:rPr>
          <w:rFonts w:ascii="Calibri" w:hAnsi="Calibri" w:cs="Calibri"/>
          <w:color w:val="auto"/>
          <w:sz w:val="24"/>
          <w:szCs w:val="24"/>
        </w:rPr>
        <w:t xml:space="preserve"> implementation, delivery, and outcomes </w:t>
      </w:r>
      <w:r w:rsidR="00F60AE3" w:rsidRPr="009677D0">
        <w:rPr>
          <w:rFonts w:ascii="Calibri" w:hAnsi="Calibri" w:cs="Calibri"/>
          <w:color w:val="auto"/>
          <w:sz w:val="24"/>
          <w:szCs w:val="24"/>
        </w:rPr>
        <w:t>in</w:t>
      </w:r>
      <w:r w:rsidR="00FE4820" w:rsidRPr="009677D0">
        <w:rPr>
          <w:rFonts w:ascii="Calibri" w:hAnsi="Calibri" w:cs="Calibri"/>
          <w:color w:val="auto"/>
          <w:sz w:val="24"/>
          <w:szCs w:val="24"/>
        </w:rPr>
        <w:t xml:space="preserve"> </w:t>
      </w:r>
      <w:r w:rsidR="004E7434">
        <w:rPr>
          <w:rFonts w:ascii="Calibri" w:hAnsi="Calibri" w:cs="Calibri"/>
          <w:color w:val="auto"/>
          <w:sz w:val="24"/>
          <w:szCs w:val="24"/>
        </w:rPr>
        <w:t>an intensive care</w:t>
      </w:r>
      <w:r w:rsidR="00F60AE3" w:rsidRPr="009677D0">
        <w:rPr>
          <w:rFonts w:ascii="Calibri" w:hAnsi="Calibri" w:cs="Calibri"/>
          <w:color w:val="auto"/>
          <w:sz w:val="24"/>
          <w:szCs w:val="24"/>
        </w:rPr>
        <w:t xml:space="preserve"> sedation study</w:t>
      </w:r>
      <w:r w:rsidR="00FE4820" w:rsidRPr="009677D0">
        <w:rPr>
          <w:rFonts w:ascii="Calibri" w:hAnsi="Calibri" w:cs="Calibri"/>
          <w:color w:val="auto"/>
          <w:sz w:val="24"/>
          <w:szCs w:val="24"/>
        </w:rPr>
        <w:t xml:space="preserve">.  </w:t>
      </w:r>
    </w:p>
    <w:p w14:paraId="42F97498" w14:textId="77777777" w:rsidR="00FA69B5" w:rsidRDefault="00FA69B5" w:rsidP="00FA69B5"/>
    <w:p w14:paraId="76FACE59" w14:textId="77777777" w:rsidR="00FA69B5" w:rsidRPr="00FA69B5" w:rsidRDefault="00FA69B5" w:rsidP="00FA69B5"/>
    <w:p w14:paraId="6894653E" w14:textId="7B9E7DC7" w:rsidR="00467233" w:rsidRDefault="006A0004" w:rsidP="006A0004">
      <w:pPr>
        <w:rPr>
          <w:rFonts w:ascii="Calibri" w:hAnsi="Calibri" w:cs="Calibri"/>
        </w:rPr>
      </w:pPr>
      <w:r w:rsidRPr="00766F20">
        <w:rPr>
          <w:rFonts w:ascii="Calibri" w:hAnsi="Calibri" w:cs="Calibri"/>
        </w:rPr>
        <w:t>Leanne M Aitken</w:t>
      </w:r>
      <w:r w:rsidR="00080080" w:rsidRPr="00080080">
        <w:rPr>
          <w:rFonts w:ascii="Calibri" w:hAnsi="Calibri" w:cs="Calibri"/>
          <w:vertAlign w:val="superscript"/>
        </w:rPr>
        <w:t>1</w:t>
      </w:r>
      <w:r w:rsidR="00D2744A">
        <w:rPr>
          <w:rFonts w:ascii="Calibri" w:hAnsi="Calibri" w:cs="Calibri"/>
          <w:vertAlign w:val="superscript"/>
        </w:rPr>
        <w:t>*</w:t>
      </w:r>
      <w:r w:rsidR="00EF5108">
        <w:rPr>
          <w:rFonts w:ascii="Calibri" w:hAnsi="Calibri" w:cs="Calibri"/>
        </w:rPr>
        <w:t xml:space="preserve">, </w:t>
      </w:r>
      <w:r w:rsidR="00BB1D65" w:rsidRPr="00766F20">
        <w:rPr>
          <w:rFonts w:ascii="Calibri" w:hAnsi="Calibri" w:cs="Calibri"/>
        </w:rPr>
        <w:t>Lydia M Emerson</w:t>
      </w:r>
      <w:r w:rsidR="00BB1D65" w:rsidRPr="00BB1D65">
        <w:rPr>
          <w:rFonts w:ascii="Calibri" w:hAnsi="Calibri" w:cs="Calibri"/>
          <w:vertAlign w:val="superscript"/>
        </w:rPr>
        <w:t>1</w:t>
      </w:r>
      <w:r w:rsidR="00BB1D65">
        <w:rPr>
          <w:rFonts w:ascii="Calibri" w:hAnsi="Calibri" w:cs="Calibri"/>
        </w:rPr>
        <w:t xml:space="preserve">, </w:t>
      </w:r>
      <w:r w:rsidR="00EE208D" w:rsidRPr="00766F20">
        <w:rPr>
          <w:rFonts w:ascii="Calibri" w:hAnsi="Calibri" w:cs="Calibri"/>
        </w:rPr>
        <w:t>Kalliopi Kydonaki</w:t>
      </w:r>
      <w:r w:rsidR="00EE208D" w:rsidRPr="00EE208D">
        <w:rPr>
          <w:rFonts w:ascii="Calibri" w:hAnsi="Calibri" w:cs="Calibri"/>
          <w:vertAlign w:val="superscript"/>
        </w:rPr>
        <w:t>2</w:t>
      </w:r>
      <w:r w:rsidR="00EE208D">
        <w:rPr>
          <w:rFonts w:ascii="Calibri" w:hAnsi="Calibri" w:cs="Calibri"/>
        </w:rPr>
        <w:t xml:space="preserve">, </w:t>
      </w:r>
      <w:r w:rsidR="00EE208D" w:rsidRPr="00766F20">
        <w:rPr>
          <w:rFonts w:ascii="Calibri" w:hAnsi="Calibri" w:cs="Calibri"/>
        </w:rPr>
        <w:t>Bronagh Blackwood</w:t>
      </w:r>
      <w:r w:rsidR="00EE208D" w:rsidRPr="008D3EA1">
        <w:rPr>
          <w:rFonts w:ascii="Calibri" w:hAnsi="Calibri" w:cs="Calibri"/>
          <w:vertAlign w:val="superscript"/>
        </w:rPr>
        <w:t>3</w:t>
      </w:r>
      <w:r w:rsidR="00EE208D">
        <w:rPr>
          <w:rFonts w:ascii="Calibri" w:hAnsi="Calibri" w:cs="Calibri"/>
        </w:rPr>
        <w:t xml:space="preserve">, </w:t>
      </w:r>
      <w:r w:rsidR="001124E0" w:rsidRPr="00766F20">
        <w:rPr>
          <w:rFonts w:ascii="Calibri" w:hAnsi="Calibri" w:cs="Calibri"/>
        </w:rPr>
        <w:t>Ben Creagh-Brown</w:t>
      </w:r>
      <w:r w:rsidR="001124E0" w:rsidRPr="001124E0">
        <w:rPr>
          <w:rFonts w:ascii="Calibri" w:hAnsi="Calibri" w:cs="Calibri"/>
          <w:vertAlign w:val="superscript"/>
        </w:rPr>
        <w:t>4</w:t>
      </w:r>
      <w:r w:rsidR="001124E0">
        <w:rPr>
          <w:rFonts w:ascii="Calibri" w:hAnsi="Calibri" w:cs="Calibri"/>
        </w:rPr>
        <w:t>,</w:t>
      </w:r>
      <w:r w:rsidR="001124E0" w:rsidRPr="001124E0">
        <w:rPr>
          <w:rFonts w:ascii="Calibri" w:hAnsi="Calibri" w:cs="Calibri"/>
        </w:rPr>
        <w:t xml:space="preserve"> </w:t>
      </w:r>
      <w:r w:rsidR="001124E0" w:rsidRPr="00766F20">
        <w:rPr>
          <w:rFonts w:ascii="Calibri" w:hAnsi="Calibri" w:cs="Calibri"/>
        </w:rPr>
        <w:t>Nazir Lone</w:t>
      </w:r>
      <w:r w:rsidR="001124E0" w:rsidRPr="001124E0">
        <w:rPr>
          <w:rFonts w:ascii="Calibri" w:hAnsi="Calibri" w:cs="Calibri"/>
          <w:vertAlign w:val="superscript"/>
        </w:rPr>
        <w:t>5</w:t>
      </w:r>
      <w:r w:rsidR="001124E0">
        <w:rPr>
          <w:rFonts w:ascii="Calibri" w:hAnsi="Calibri" w:cs="Calibri"/>
        </w:rPr>
        <w:t>,</w:t>
      </w:r>
      <w:r w:rsidR="001124E0" w:rsidRPr="001124E0">
        <w:rPr>
          <w:rFonts w:ascii="Calibri" w:hAnsi="Calibri" w:cs="Calibri"/>
        </w:rPr>
        <w:t xml:space="preserve"> </w:t>
      </w:r>
      <w:r w:rsidR="001124E0" w:rsidRPr="00766F20">
        <w:rPr>
          <w:rFonts w:ascii="Calibri" w:hAnsi="Calibri" w:cs="Calibri"/>
        </w:rPr>
        <w:t>Cathrine McKenzie</w:t>
      </w:r>
      <w:r w:rsidR="001124E0" w:rsidRPr="001124E0">
        <w:rPr>
          <w:rFonts w:ascii="Calibri" w:hAnsi="Calibri" w:cs="Calibri"/>
          <w:vertAlign w:val="superscript"/>
        </w:rPr>
        <w:t>6</w:t>
      </w:r>
      <w:r w:rsidR="001124E0">
        <w:rPr>
          <w:rFonts w:ascii="Calibri" w:hAnsi="Calibri" w:cs="Calibri"/>
        </w:rPr>
        <w:t>,</w:t>
      </w:r>
      <w:r w:rsidR="001124E0" w:rsidRPr="001124E0">
        <w:rPr>
          <w:rFonts w:ascii="Calibri" w:hAnsi="Calibri" w:cs="Calibri"/>
        </w:rPr>
        <w:t xml:space="preserve"> </w:t>
      </w:r>
      <w:r w:rsidR="001124E0">
        <w:rPr>
          <w:rFonts w:ascii="Calibri" w:hAnsi="Calibri" w:cs="Calibri"/>
        </w:rPr>
        <w:t>Richard Parker</w:t>
      </w:r>
      <w:r w:rsidR="001124E0" w:rsidRPr="001124E0">
        <w:rPr>
          <w:rFonts w:ascii="Calibri" w:hAnsi="Calibri" w:cs="Calibri"/>
          <w:vertAlign w:val="superscript"/>
        </w:rPr>
        <w:t>7</w:t>
      </w:r>
      <w:r w:rsidR="001124E0">
        <w:rPr>
          <w:rFonts w:ascii="Calibri" w:hAnsi="Calibri" w:cs="Calibri"/>
        </w:rPr>
        <w:t xml:space="preserve">, </w:t>
      </w:r>
      <w:r w:rsidR="001E41D1" w:rsidRPr="00766F20">
        <w:rPr>
          <w:rFonts w:ascii="Calibri" w:hAnsi="Calibri" w:cs="Calibri"/>
        </w:rPr>
        <w:t>Michael C Reade</w:t>
      </w:r>
      <w:r w:rsidR="001E41D1" w:rsidRPr="001E41D1">
        <w:rPr>
          <w:rFonts w:ascii="Calibri" w:hAnsi="Calibri" w:cs="Calibri"/>
          <w:vertAlign w:val="superscript"/>
        </w:rPr>
        <w:t>8</w:t>
      </w:r>
      <w:r w:rsidR="001E41D1">
        <w:rPr>
          <w:rFonts w:ascii="Calibri" w:hAnsi="Calibri" w:cs="Calibri"/>
        </w:rPr>
        <w:t xml:space="preserve">, </w:t>
      </w:r>
      <w:r w:rsidR="001E41D1" w:rsidRPr="00766F20">
        <w:rPr>
          <w:rFonts w:ascii="Calibri" w:hAnsi="Calibri" w:cs="Calibri"/>
        </w:rPr>
        <w:t>Christopher J Weir</w:t>
      </w:r>
      <w:r w:rsidR="001E41D1" w:rsidRPr="001E41D1">
        <w:rPr>
          <w:rFonts w:ascii="Calibri" w:hAnsi="Calibri" w:cs="Calibri"/>
          <w:vertAlign w:val="superscript"/>
        </w:rPr>
        <w:t>9</w:t>
      </w:r>
      <w:r w:rsidR="001E41D1">
        <w:rPr>
          <w:rFonts w:ascii="Calibri" w:hAnsi="Calibri" w:cs="Calibri"/>
        </w:rPr>
        <w:t xml:space="preserve">, </w:t>
      </w:r>
      <w:r w:rsidR="00D968EF" w:rsidRPr="00766F20">
        <w:rPr>
          <w:rFonts w:ascii="Calibri" w:hAnsi="Calibri" w:cs="Calibri"/>
        </w:rPr>
        <w:t>Matt P Wise</w:t>
      </w:r>
      <w:r w:rsidR="00D968EF" w:rsidRPr="00D968EF">
        <w:rPr>
          <w:rFonts w:ascii="Calibri" w:hAnsi="Calibri" w:cs="Calibri"/>
          <w:vertAlign w:val="superscript"/>
        </w:rPr>
        <w:t>10</w:t>
      </w:r>
      <w:r w:rsidR="00D968EF">
        <w:rPr>
          <w:rFonts w:ascii="Calibri" w:hAnsi="Calibri" w:cs="Calibri"/>
        </w:rPr>
        <w:t>,</w:t>
      </w:r>
      <w:r w:rsidR="00D968EF" w:rsidRPr="00766F20">
        <w:rPr>
          <w:rFonts w:ascii="Calibri" w:hAnsi="Calibri" w:cs="Calibri"/>
        </w:rPr>
        <w:t xml:space="preserve"> Timothy S Walsh</w:t>
      </w:r>
      <w:r w:rsidR="00D968EF" w:rsidRPr="00D968EF">
        <w:rPr>
          <w:rFonts w:ascii="Calibri" w:hAnsi="Calibri" w:cs="Calibri"/>
          <w:vertAlign w:val="superscript"/>
        </w:rPr>
        <w:t>11</w:t>
      </w:r>
    </w:p>
    <w:p w14:paraId="0602823A" w14:textId="77777777" w:rsidR="00467233" w:rsidRDefault="00467233" w:rsidP="006A0004">
      <w:pPr>
        <w:rPr>
          <w:rFonts w:ascii="Calibri" w:hAnsi="Calibri" w:cs="Calibri"/>
        </w:rPr>
      </w:pPr>
    </w:p>
    <w:p w14:paraId="65F008A1" w14:textId="77777777" w:rsidR="00D2744A" w:rsidRDefault="00BB1D65" w:rsidP="00BB1D65">
      <w:pPr>
        <w:rPr>
          <w:rFonts w:ascii="Calibri" w:hAnsi="Calibri" w:cs="Calibri"/>
        </w:rPr>
      </w:pPr>
      <w:r w:rsidRPr="00BB1D65">
        <w:rPr>
          <w:rFonts w:ascii="Calibri" w:hAnsi="Calibri" w:cs="Calibri"/>
          <w:vertAlign w:val="superscript"/>
        </w:rPr>
        <w:t>1</w:t>
      </w:r>
      <w:r>
        <w:rPr>
          <w:rFonts w:ascii="Calibri" w:hAnsi="Calibri" w:cs="Calibri"/>
          <w:vertAlign w:val="superscript"/>
        </w:rPr>
        <w:t xml:space="preserve"> </w:t>
      </w:r>
      <w:r w:rsidR="006A0004" w:rsidRPr="00BB1D65">
        <w:rPr>
          <w:rFonts w:ascii="Calibri" w:hAnsi="Calibri" w:cs="Calibri"/>
        </w:rPr>
        <w:t xml:space="preserve">School of Health &amp; Psychological Sciences, City, University of London, London EC1V 0HB, UK </w:t>
      </w:r>
    </w:p>
    <w:p w14:paraId="0A86389B" w14:textId="2FC4B381" w:rsidR="00784853" w:rsidRPr="00766F20" w:rsidRDefault="00EE208D" w:rsidP="006A0004">
      <w:pPr>
        <w:rPr>
          <w:rFonts w:ascii="Calibri" w:hAnsi="Calibri" w:cs="Calibri"/>
        </w:rPr>
      </w:pPr>
      <w:r w:rsidRPr="00EE208D">
        <w:rPr>
          <w:rFonts w:ascii="Calibri" w:hAnsi="Calibri" w:cs="Calibri"/>
          <w:vertAlign w:val="superscript"/>
        </w:rPr>
        <w:t>2</w:t>
      </w:r>
      <w:r w:rsidR="008A29F7" w:rsidRPr="00766F20">
        <w:rPr>
          <w:rFonts w:ascii="Calibri" w:hAnsi="Calibri" w:cs="Calibri"/>
        </w:rPr>
        <w:t xml:space="preserve"> Faculty of Nursing, Nati</w:t>
      </w:r>
      <w:r w:rsidR="00C44CC2" w:rsidRPr="00766F20">
        <w:rPr>
          <w:rFonts w:ascii="Calibri" w:hAnsi="Calibri" w:cs="Calibri"/>
        </w:rPr>
        <w:t>o</w:t>
      </w:r>
      <w:r w:rsidR="008A29F7" w:rsidRPr="00766F20">
        <w:rPr>
          <w:rFonts w:ascii="Calibri" w:hAnsi="Calibri" w:cs="Calibri"/>
        </w:rPr>
        <w:t>nal and Kapodistrian, University of Athens, Greece</w:t>
      </w:r>
      <w:r w:rsidR="00DE7FBE">
        <w:rPr>
          <w:rFonts w:ascii="Calibri" w:hAnsi="Calibri" w:cs="Calibri"/>
        </w:rPr>
        <w:t xml:space="preserve"> </w:t>
      </w:r>
    </w:p>
    <w:p w14:paraId="6E652A18" w14:textId="7FA8B308" w:rsidR="00A220EB" w:rsidRPr="00766F20" w:rsidRDefault="00EE208D" w:rsidP="006A0004">
      <w:pPr>
        <w:rPr>
          <w:rFonts w:ascii="Calibri" w:hAnsi="Calibri" w:cs="Calibri"/>
        </w:rPr>
      </w:pPr>
      <w:r w:rsidRPr="00EE208D">
        <w:rPr>
          <w:rFonts w:ascii="Calibri" w:hAnsi="Calibri" w:cs="Calibri"/>
          <w:vertAlign w:val="superscript"/>
        </w:rPr>
        <w:t>3</w:t>
      </w:r>
      <w:r w:rsidR="006A0004" w:rsidRPr="00766F20">
        <w:rPr>
          <w:rFonts w:ascii="Calibri" w:hAnsi="Calibri" w:cs="Calibri"/>
        </w:rPr>
        <w:t xml:space="preserve">School of Medicine, Dentistry and Biomedical Sciences, Queens University Belfast, Belfast, UK </w:t>
      </w:r>
    </w:p>
    <w:p w14:paraId="3A0CD9CC" w14:textId="45AE98C0" w:rsidR="006A0004" w:rsidRPr="00766F20" w:rsidRDefault="001124E0" w:rsidP="006A0004">
      <w:pPr>
        <w:rPr>
          <w:rStyle w:val="Hyperlink"/>
          <w:rFonts w:ascii="Calibri" w:hAnsi="Calibri" w:cs="Calibri"/>
        </w:rPr>
      </w:pPr>
      <w:r w:rsidRPr="001124E0">
        <w:rPr>
          <w:rFonts w:ascii="Calibri" w:hAnsi="Calibri" w:cs="Calibri"/>
          <w:vertAlign w:val="superscript"/>
        </w:rPr>
        <w:t>4</w:t>
      </w:r>
      <w:r w:rsidR="006A0004" w:rsidRPr="00766F20">
        <w:rPr>
          <w:rFonts w:ascii="Calibri" w:hAnsi="Calibri" w:cs="Calibri"/>
        </w:rPr>
        <w:t xml:space="preserve">Dept Critical Care, Royal Surrey NHS Foundation Trust, Guildford, Surry GU2 7XX, UK </w:t>
      </w:r>
    </w:p>
    <w:p w14:paraId="638077CF" w14:textId="4BAC8CFA" w:rsidR="006A0004" w:rsidRPr="00766F20" w:rsidRDefault="001124E0" w:rsidP="006A0004">
      <w:pPr>
        <w:rPr>
          <w:rFonts w:ascii="Calibri" w:hAnsi="Calibri" w:cs="Calibri"/>
        </w:rPr>
      </w:pPr>
      <w:r w:rsidRPr="001124E0">
        <w:rPr>
          <w:rFonts w:ascii="Calibri" w:hAnsi="Calibri" w:cs="Calibri"/>
          <w:vertAlign w:val="superscript"/>
        </w:rPr>
        <w:t>5</w:t>
      </w:r>
      <w:r w:rsidR="006A0004" w:rsidRPr="00766F20">
        <w:rPr>
          <w:rFonts w:ascii="Calibri" w:hAnsi="Calibri" w:cs="Calibri"/>
        </w:rPr>
        <w:t xml:space="preserve">Dept of Anaesthesia, Critical Care and Pain Medicine, Usher Institute, University of Edinburgh, Edinburgh, EH16 4SA, UK </w:t>
      </w:r>
    </w:p>
    <w:p w14:paraId="40FB5ED6" w14:textId="2D1F8E42" w:rsidR="006A0004" w:rsidRPr="00766F20" w:rsidRDefault="001124E0" w:rsidP="006A0004">
      <w:pPr>
        <w:rPr>
          <w:rStyle w:val="Hyperlink"/>
          <w:rFonts w:ascii="Calibri" w:hAnsi="Calibri" w:cs="Calibri"/>
        </w:rPr>
      </w:pPr>
      <w:r w:rsidRPr="001124E0">
        <w:rPr>
          <w:rFonts w:ascii="Calibri" w:hAnsi="Calibri" w:cs="Calibri"/>
          <w:vertAlign w:val="superscript"/>
        </w:rPr>
        <w:t>6</w:t>
      </w:r>
      <w:r w:rsidR="006A0004" w:rsidRPr="00766F20">
        <w:rPr>
          <w:rFonts w:ascii="Calibri" w:hAnsi="Calibri" w:cs="Calibri"/>
        </w:rPr>
        <w:t>School of Medicine, University of Southampton, NIHR Biomedical Research Centre Southampton, Perioperative and Critical Care Theme, Department of Pharmacy and Critical Care, University Hospital Southampton</w:t>
      </w:r>
      <w:r>
        <w:rPr>
          <w:rFonts w:ascii="Calibri" w:hAnsi="Calibri" w:cs="Calibri"/>
        </w:rPr>
        <w:t>, UK</w:t>
      </w:r>
    </w:p>
    <w:p w14:paraId="70A1D4EA" w14:textId="616F0DF1" w:rsidR="00D82958" w:rsidRPr="00766F20" w:rsidRDefault="001124E0" w:rsidP="006A0004">
      <w:pPr>
        <w:rPr>
          <w:rFonts w:ascii="Calibri" w:hAnsi="Calibri" w:cs="Calibri"/>
        </w:rPr>
      </w:pPr>
      <w:r w:rsidRPr="001124E0">
        <w:rPr>
          <w:rFonts w:ascii="Calibri" w:hAnsi="Calibri" w:cs="Calibri"/>
          <w:vertAlign w:val="superscript"/>
        </w:rPr>
        <w:t>7</w:t>
      </w:r>
      <w:r w:rsidR="00B1110C" w:rsidRPr="00D76B27">
        <w:rPr>
          <w:rFonts w:ascii="Calibri" w:hAnsi="Calibri" w:cs="Calibri"/>
        </w:rPr>
        <w:t xml:space="preserve">Edinburgh Clinical Trials Unit, Usher Institute, University of Edinburgh, UK </w:t>
      </w:r>
    </w:p>
    <w:p w14:paraId="0B721BE2" w14:textId="088FC41D" w:rsidR="006A0004" w:rsidRPr="00766F20" w:rsidRDefault="001E41D1" w:rsidP="006A0004">
      <w:pPr>
        <w:rPr>
          <w:rFonts w:ascii="Calibri" w:hAnsi="Calibri" w:cs="Calibri"/>
        </w:rPr>
      </w:pPr>
      <w:r w:rsidRPr="001E41D1">
        <w:rPr>
          <w:rFonts w:ascii="Calibri" w:hAnsi="Calibri" w:cs="Calibri"/>
          <w:vertAlign w:val="superscript"/>
        </w:rPr>
        <w:t>8</w:t>
      </w:r>
      <w:r w:rsidR="006A0004" w:rsidRPr="00766F20">
        <w:rPr>
          <w:rFonts w:ascii="Calibri" w:hAnsi="Calibri" w:cs="Calibri"/>
        </w:rPr>
        <w:t xml:space="preserve">Medical School, University of Queensland, Brisbane, Queensland, Australia  </w:t>
      </w:r>
    </w:p>
    <w:p w14:paraId="5903B7B3" w14:textId="41D20B8F" w:rsidR="00A220EB" w:rsidRPr="00766F20" w:rsidRDefault="001E41D1" w:rsidP="006A0004">
      <w:pPr>
        <w:rPr>
          <w:rFonts w:ascii="Calibri" w:hAnsi="Calibri" w:cs="Calibri"/>
        </w:rPr>
      </w:pPr>
      <w:r w:rsidRPr="001E41D1">
        <w:rPr>
          <w:rFonts w:ascii="Calibri" w:hAnsi="Calibri" w:cs="Calibri"/>
          <w:vertAlign w:val="superscript"/>
        </w:rPr>
        <w:t>9</w:t>
      </w:r>
      <w:r w:rsidR="006A0004" w:rsidRPr="00766F20">
        <w:rPr>
          <w:rFonts w:ascii="Calibri" w:hAnsi="Calibri" w:cs="Calibri"/>
        </w:rPr>
        <w:t xml:space="preserve">Edinburgh Clinical Trials Unit, Usher Institute, University of Edinburgh, Edinburgh, UK </w:t>
      </w:r>
    </w:p>
    <w:p w14:paraId="09CE82AC" w14:textId="4420A7E4" w:rsidR="00A220EB" w:rsidRPr="00766F20" w:rsidRDefault="00D968EF" w:rsidP="006A0004">
      <w:pPr>
        <w:rPr>
          <w:rFonts w:ascii="Calibri" w:hAnsi="Calibri" w:cs="Calibri"/>
        </w:rPr>
      </w:pPr>
      <w:r w:rsidRPr="00D968EF">
        <w:rPr>
          <w:rFonts w:ascii="Calibri" w:hAnsi="Calibri" w:cs="Calibri"/>
          <w:vertAlign w:val="superscript"/>
        </w:rPr>
        <w:t>10</w:t>
      </w:r>
      <w:r w:rsidR="006A0004" w:rsidRPr="00766F20">
        <w:rPr>
          <w:rFonts w:ascii="Calibri" w:hAnsi="Calibri" w:cs="Calibri"/>
        </w:rPr>
        <w:t xml:space="preserve">Adult Critical Care, University Hospital of Wales, Cardiff, CF14 4XW, UK </w:t>
      </w:r>
    </w:p>
    <w:p w14:paraId="3307F949" w14:textId="7FBAC7E2" w:rsidR="006A0004" w:rsidRDefault="00D968EF" w:rsidP="00D968EF">
      <w:pPr>
        <w:rPr>
          <w:rFonts w:ascii="Calibri" w:hAnsi="Calibri" w:cs="Calibri"/>
        </w:rPr>
      </w:pPr>
      <w:r w:rsidRPr="00D968EF">
        <w:rPr>
          <w:rFonts w:ascii="Calibri" w:hAnsi="Calibri" w:cs="Calibri"/>
          <w:vertAlign w:val="superscript"/>
        </w:rPr>
        <w:t>11</w:t>
      </w:r>
      <w:r w:rsidR="006A0004" w:rsidRPr="00766F20">
        <w:rPr>
          <w:rFonts w:ascii="Calibri" w:hAnsi="Calibri" w:cs="Calibri"/>
        </w:rPr>
        <w:t xml:space="preserve">Dept of Anaesthesia, Critical Care and Pain Medicine, Usher Institute, University of Edinburgh, Edinburgh, EH16 4SA, UK </w:t>
      </w:r>
    </w:p>
    <w:p w14:paraId="61C6CFAA" w14:textId="77777777" w:rsidR="00D968EF" w:rsidRPr="00766F20" w:rsidRDefault="00D968EF" w:rsidP="00D968EF">
      <w:pPr>
        <w:rPr>
          <w:rFonts w:ascii="Calibri" w:hAnsi="Calibri" w:cs="Calibri"/>
        </w:rPr>
      </w:pPr>
    </w:p>
    <w:p w14:paraId="28221820" w14:textId="77777777" w:rsidR="00D968EF" w:rsidRDefault="00D968EF" w:rsidP="00D968EF">
      <w:pPr>
        <w:rPr>
          <w:rFonts w:ascii="Calibri" w:hAnsi="Calibri" w:cs="Calibri"/>
        </w:rPr>
      </w:pPr>
      <w:r>
        <w:rPr>
          <w:rFonts w:ascii="Calibri" w:hAnsi="Calibri" w:cs="Calibri"/>
        </w:rPr>
        <w:t xml:space="preserve">* Corresponding author email: </w:t>
      </w:r>
      <w:hyperlink r:id="rId11" w:history="1">
        <w:r w:rsidRPr="00825F9A">
          <w:rPr>
            <w:rStyle w:val="Hyperlink"/>
            <w:rFonts w:ascii="Calibri" w:hAnsi="Calibri" w:cs="Calibri"/>
          </w:rPr>
          <w:t>leanne.aitken.1@city.ac.uk</w:t>
        </w:r>
      </w:hyperlink>
      <w:r w:rsidRPr="00BB1D65">
        <w:rPr>
          <w:rFonts w:ascii="Calibri" w:hAnsi="Calibri" w:cs="Calibri"/>
        </w:rPr>
        <w:t xml:space="preserve"> </w:t>
      </w:r>
    </w:p>
    <w:p w14:paraId="53F3268E" w14:textId="77777777" w:rsidR="009D48EC" w:rsidRPr="00766F20" w:rsidRDefault="009D48EC" w:rsidP="006B06E8">
      <w:pPr>
        <w:pStyle w:val="Heading1"/>
        <w:spacing w:before="0" w:line="360" w:lineRule="auto"/>
        <w:jc w:val="both"/>
        <w:rPr>
          <w:rFonts w:ascii="Calibri" w:hAnsi="Calibri" w:cs="Calibri"/>
          <w:b/>
          <w:bCs/>
          <w:color w:val="000000" w:themeColor="text1"/>
          <w:sz w:val="24"/>
          <w:szCs w:val="24"/>
          <w:u w:val="single"/>
        </w:rPr>
      </w:pPr>
    </w:p>
    <w:p w14:paraId="2DA70D07" w14:textId="77777777" w:rsidR="00E02051" w:rsidRDefault="000A0DB6">
      <w:pPr>
        <w:rPr>
          <w:rFonts w:ascii="Calibri" w:hAnsi="Calibri" w:cs="Calibri"/>
          <w:color w:val="000000" w:themeColor="text1"/>
          <w:sz w:val="22"/>
          <w:szCs w:val="22"/>
          <w:u w:val="single"/>
        </w:rPr>
      </w:pPr>
      <w:r w:rsidRPr="0008400F">
        <w:rPr>
          <w:rFonts w:ascii="Calibri" w:hAnsi="Calibri" w:cs="Calibri"/>
          <w:color w:val="000000" w:themeColor="text1"/>
          <w:sz w:val="22"/>
          <w:szCs w:val="22"/>
          <w:u w:val="single"/>
        </w:rPr>
        <w:t xml:space="preserve">Keywords: </w:t>
      </w:r>
      <w:r w:rsidR="007B4C34" w:rsidRPr="0008400F">
        <w:rPr>
          <w:rFonts w:ascii="Calibri" w:hAnsi="Calibri" w:cs="Calibri"/>
          <w:color w:val="000000" w:themeColor="text1"/>
          <w:sz w:val="22"/>
          <w:szCs w:val="22"/>
          <w:u w:val="single"/>
        </w:rPr>
        <w:t xml:space="preserve">sedation, </w:t>
      </w:r>
      <w:r w:rsidR="00877CE6" w:rsidRPr="0008400F">
        <w:rPr>
          <w:rFonts w:ascii="Calibri" w:hAnsi="Calibri" w:cs="Calibri"/>
          <w:color w:val="000000" w:themeColor="text1"/>
          <w:sz w:val="22"/>
          <w:szCs w:val="22"/>
          <w:u w:val="single"/>
        </w:rPr>
        <w:t xml:space="preserve">process evaluation, randomised controlled trial, </w:t>
      </w:r>
      <w:r w:rsidR="0004684A">
        <w:rPr>
          <w:rFonts w:ascii="Calibri" w:hAnsi="Calibri" w:cs="Calibri"/>
          <w:color w:val="000000" w:themeColor="text1"/>
          <w:sz w:val="22"/>
          <w:szCs w:val="22"/>
          <w:u w:val="single"/>
        </w:rPr>
        <w:t>trial implementation</w:t>
      </w:r>
    </w:p>
    <w:p w14:paraId="321B08E7" w14:textId="7970F1EC" w:rsidR="006A0004" w:rsidRPr="0008400F" w:rsidRDefault="006A0004">
      <w:pPr>
        <w:rPr>
          <w:rFonts w:ascii="Calibri" w:eastAsiaTheme="majorEastAsia" w:hAnsi="Calibri" w:cs="Calibri"/>
          <w:color w:val="000000" w:themeColor="text1"/>
          <w:sz w:val="22"/>
          <w:szCs w:val="22"/>
          <w:u w:val="single"/>
        </w:rPr>
      </w:pPr>
    </w:p>
    <w:p w14:paraId="0AD3BB24" w14:textId="77777777" w:rsidR="0008400F" w:rsidRDefault="0008400F">
      <w:pPr>
        <w:rPr>
          <w:rFonts w:ascii="Calibri" w:eastAsiaTheme="majorEastAsia" w:hAnsi="Calibri" w:cs="Calibri"/>
          <w:b/>
          <w:bCs/>
          <w:color w:val="000000" w:themeColor="text1"/>
          <w:sz w:val="22"/>
          <w:szCs w:val="22"/>
          <w:u w:val="single"/>
        </w:rPr>
      </w:pPr>
      <w:r>
        <w:rPr>
          <w:rFonts w:ascii="Calibri" w:hAnsi="Calibri" w:cs="Calibri"/>
          <w:b/>
          <w:bCs/>
          <w:color w:val="000000" w:themeColor="text1"/>
          <w:sz w:val="22"/>
          <w:szCs w:val="22"/>
          <w:u w:val="single"/>
        </w:rPr>
        <w:br w:type="page"/>
      </w:r>
    </w:p>
    <w:p w14:paraId="52314E4C" w14:textId="5895EDE1" w:rsidR="00ED1E3F" w:rsidRDefault="00ED1E3F" w:rsidP="00ED1E3F">
      <w:pPr>
        <w:pStyle w:val="Heading1"/>
        <w:spacing w:before="0" w:line="360" w:lineRule="auto"/>
        <w:jc w:val="both"/>
        <w:rPr>
          <w:rFonts w:ascii="Calibri" w:hAnsi="Calibri" w:cs="Calibri"/>
          <w:color w:val="000000" w:themeColor="text1"/>
          <w:sz w:val="22"/>
          <w:szCs w:val="22"/>
        </w:rPr>
      </w:pPr>
      <w:r w:rsidRPr="00ED1E3F">
        <w:rPr>
          <w:rFonts w:ascii="Calibri" w:hAnsi="Calibri" w:cs="Calibri"/>
          <w:b/>
          <w:bCs/>
          <w:color w:val="000000" w:themeColor="text1"/>
          <w:sz w:val="22"/>
          <w:szCs w:val="22"/>
          <w:u w:val="single"/>
        </w:rPr>
        <w:lastRenderedPageBreak/>
        <w:t>ABSTRACT</w:t>
      </w:r>
      <w:r w:rsidRPr="000237C2">
        <w:rPr>
          <w:rFonts w:ascii="Calibri" w:hAnsi="Calibri" w:cs="Calibri"/>
          <w:color w:val="000000" w:themeColor="text1"/>
          <w:sz w:val="22"/>
          <w:szCs w:val="22"/>
        </w:rPr>
        <w:t xml:space="preserve"> </w:t>
      </w:r>
    </w:p>
    <w:p w14:paraId="77E2A2E0" w14:textId="2110423F" w:rsidR="00EC1D47" w:rsidRPr="00867EBE" w:rsidRDefault="00EC1D47" w:rsidP="00EC1D47">
      <w:pPr>
        <w:rPr>
          <w:rFonts w:ascii="Calibri" w:hAnsi="Calibri" w:cs="Calibri"/>
          <w:sz w:val="22"/>
          <w:szCs w:val="22"/>
        </w:rPr>
      </w:pPr>
      <w:r w:rsidRPr="0001737B">
        <w:rPr>
          <w:rFonts w:ascii="Calibri" w:hAnsi="Calibri" w:cs="Calibri"/>
          <w:b/>
          <w:bCs/>
          <w:sz w:val="22"/>
          <w:szCs w:val="22"/>
        </w:rPr>
        <w:t>Background</w:t>
      </w:r>
      <w:r w:rsidRPr="0001737B">
        <w:rPr>
          <w:rFonts w:ascii="Calibri" w:hAnsi="Calibri" w:cs="Calibri"/>
          <w:sz w:val="22"/>
          <w:szCs w:val="22"/>
        </w:rPr>
        <w:t xml:space="preserve">: </w:t>
      </w:r>
      <w:r>
        <w:rPr>
          <w:rFonts w:ascii="Calibri" w:hAnsi="Calibri" w:cs="Calibri"/>
          <w:sz w:val="22"/>
          <w:szCs w:val="22"/>
        </w:rPr>
        <w:t>Choice of s</w:t>
      </w:r>
      <w:r w:rsidRPr="00867EBE">
        <w:rPr>
          <w:rFonts w:ascii="Calibri" w:hAnsi="Calibri" w:cs="Calibri"/>
          <w:sz w:val="22"/>
          <w:szCs w:val="22"/>
        </w:rPr>
        <w:t>edation of critically ill patients is a core element of intensive care practice</w:t>
      </w:r>
      <w:r>
        <w:rPr>
          <w:rFonts w:ascii="Calibri" w:hAnsi="Calibri" w:cs="Calibri"/>
          <w:sz w:val="22"/>
          <w:szCs w:val="22"/>
        </w:rPr>
        <w:t>. T</w:t>
      </w:r>
      <w:r w:rsidRPr="00867EBE">
        <w:rPr>
          <w:rFonts w:ascii="Calibri" w:hAnsi="Calibri" w:cs="Calibri"/>
          <w:sz w:val="22"/>
          <w:szCs w:val="22"/>
        </w:rPr>
        <w:t xml:space="preserve">he A2B trial tested the effectiveness of </w:t>
      </w:r>
      <w:r>
        <w:rPr>
          <w:rFonts w:ascii="Calibri" w:hAnsi="Calibri" w:cs="Calibri"/>
          <w:sz w:val="22"/>
          <w:szCs w:val="22"/>
        </w:rPr>
        <w:t xml:space="preserve">two </w:t>
      </w:r>
      <w:r w:rsidRPr="00867EBE">
        <w:rPr>
          <w:rFonts w:ascii="Calibri" w:hAnsi="Calibri" w:cs="Calibri"/>
          <w:sz w:val="22"/>
          <w:szCs w:val="22"/>
        </w:rPr>
        <w:t xml:space="preserve">alpha agonist sedatives </w:t>
      </w:r>
      <w:r>
        <w:rPr>
          <w:rFonts w:ascii="Calibri" w:hAnsi="Calibri" w:cs="Calibri"/>
          <w:sz w:val="22"/>
          <w:szCs w:val="22"/>
        </w:rPr>
        <w:t xml:space="preserve">versus propofol </w:t>
      </w:r>
      <w:r w:rsidRPr="00867EBE">
        <w:rPr>
          <w:rFonts w:ascii="Calibri" w:hAnsi="Calibri" w:cs="Calibri"/>
          <w:sz w:val="22"/>
          <w:szCs w:val="22"/>
        </w:rPr>
        <w:t>in reducing time on mechanical ventilation</w:t>
      </w:r>
      <w:r>
        <w:rPr>
          <w:rFonts w:ascii="Calibri" w:hAnsi="Calibri" w:cs="Calibri"/>
          <w:sz w:val="22"/>
          <w:szCs w:val="22"/>
        </w:rPr>
        <w:t xml:space="preserve"> in 38 intensive care units (ICUs) in the United Kingdom (UK)</w:t>
      </w:r>
      <w:r w:rsidRPr="00867EBE">
        <w:rPr>
          <w:rFonts w:ascii="Calibri" w:hAnsi="Calibri" w:cs="Calibri"/>
          <w:sz w:val="22"/>
          <w:szCs w:val="22"/>
        </w:rPr>
        <w:t xml:space="preserve">. To evaluate </w:t>
      </w:r>
      <w:r w:rsidR="0077274D">
        <w:rPr>
          <w:rFonts w:ascii="Calibri" w:hAnsi="Calibri" w:cs="Calibri"/>
          <w:sz w:val="22"/>
          <w:szCs w:val="22"/>
        </w:rPr>
        <w:t xml:space="preserve">both </w:t>
      </w:r>
      <w:r w:rsidRPr="00867EBE">
        <w:rPr>
          <w:rFonts w:ascii="Calibri" w:hAnsi="Calibri" w:cs="Calibri"/>
          <w:sz w:val="22"/>
          <w:szCs w:val="22"/>
        </w:rPr>
        <w:t xml:space="preserve">how </w:t>
      </w:r>
      <w:r w:rsidR="0077274D">
        <w:rPr>
          <w:rFonts w:ascii="Calibri" w:hAnsi="Calibri" w:cs="Calibri"/>
          <w:sz w:val="22"/>
          <w:szCs w:val="22"/>
        </w:rPr>
        <w:t>this complex</w:t>
      </w:r>
      <w:r w:rsidRPr="00867EBE">
        <w:rPr>
          <w:rFonts w:ascii="Calibri" w:hAnsi="Calibri" w:cs="Calibri"/>
          <w:sz w:val="22"/>
          <w:szCs w:val="22"/>
        </w:rPr>
        <w:t xml:space="preserve"> trial was implemented and how </w:t>
      </w:r>
      <w:r w:rsidR="00280515">
        <w:rPr>
          <w:rFonts w:ascii="Calibri" w:hAnsi="Calibri" w:cs="Calibri"/>
          <w:sz w:val="22"/>
          <w:szCs w:val="22"/>
        </w:rPr>
        <w:t>this</w:t>
      </w:r>
      <w:r w:rsidRPr="00867EBE">
        <w:rPr>
          <w:rFonts w:ascii="Calibri" w:hAnsi="Calibri" w:cs="Calibri"/>
          <w:sz w:val="22"/>
          <w:szCs w:val="22"/>
        </w:rPr>
        <w:t xml:space="preserve"> may have influenced trial outcomes, an understanding of the contextual and practice variation across multiple sites was required. </w:t>
      </w:r>
    </w:p>
    <w:p w14:paraId="4C8F5FD0" w14:textId="708164F0" w:rsidR="00EC1D47" w:rsidRPr="0001737B" w:rsidRDefault="00EC1D47" w:rsidP="00EC1D47">
      <w:pPr>
        <w:rPr>
          <w:rFonts w:ascii="Calibri" w:hAnsi="Calibri" w:cs="Calibri"/>
          <w:sz w:val="22"/>
          <w:szCs w:val="22"/>
        </w:rPr>
      </w:pPr>
      <w:r>
        <w:rPr>
          <w:rFonts w:ascii="Calibri" w:hAnsi="Calibri" w:cs="Calibri"/>
          <w:b/>
          <w:bCs/>
          <w:sz w:val="22"/>
          <w:szCs w:val="22"/>
        </w:rPr>
        <w:t xml:space="preserve">Aim and </w:t>
      </w:r>
      <w:r w:rsidRPr="008E60F2">
        <w:rPr>
          <w:rFonts w:ascii="Calibri" w:hAnsi="Calibri" w:cs="Calibri"/>
          <w:b/>
          <w:bCs/>
          <w:sz w:val="22"/>
          <w:szCs w:val="22"/>
        </w:rPr>
        <w:t>Objectives:</w:t>
      </w:r>
      <w:r>
        <w:rPr>
          <w:rFonts w:ascii="Calibri" w:hAnsi="Calibri" w:cs="Calibri"/>
          <w:sz w:val="22"/>
          <w:szCs w:val="22"/>
        </w:rPr>
        <w:t xml:space="preserve"> </w:t>
      </w:r>
      <w:r w:rsidRPr="0001737B">
        <w:rPr>
          <w:rFonts w:ascii="Calibri" w:hAnsi="Calibri" w:cs="Calibri"/>
          <w:sz w:val="22"/>
          <w:szCs w:val="22"/>
        </w:rPr>
        <w:t>T</w:t>
      </w:r>
      <w:r>
        <w:rPr>
          <w:rFonts w:ascii="Calibri" w:hAnsi="Calibri" w:cs="Calibri"/>
          <w:sz w:val="22"/>
          <w:szCs w:val="22"/>
        </w:rPr>
        <w:t>he aim of t</w:t>
      </w:r>
      <w:r w:rsidRPr="0001737B">
        <w:rPr>
          <w:rFonts w:ascii="Calibri" w:hAnsi="Calibri" w:cs="Calibri"/>
          <w:sz w:val="22"/>
          <w:szCs w:val="22"/>
        </w:rPr>
        <w:t>h</w:t>
      </w:r>
      <w:r>
        <w:rPr>
          <w:rFonts w:ascii="Calibri" w:hAnsi="Calibri" w:cs="Calibri"/>
          <w:sz w:val="22"/>
          <w:szCs w:val="22"/>
        </w:rPr>
        <w:t>is</w:t>
      </w:r>
      <w:r w:rsidRPr="0001737B">
        <w:rPr>
          <w:rFonts w:ascii="Calibri" w:hAnsi="Calibri" w:cs="Calibri"/>
          <w:sz w:val="22"/>
          <w:szCs w:val="22"/>
        </w:rPr>
        <w:t xml:space="preserve"> process evaluation </w:t>
      </w:r>
      <w:r>
        <w:rPr>
          <w:rFonts w:ascii="Calibri" w:hAnsi="Calibri" w:cs="Calibri"/>
          <w:sz w:val="22"/>
          <w:szCs w:val="22"/>
        </w:rPr>
        <w:t xml:space="preserve">of the </w:t>
      </w:r>
      <w:r w:rsidRPr="0001737B">
        <w:rPr>
          <w:rFonts w:ascii="Calibri" w:hAnsi="Calibri" w:cs="Calibri"/>
          <w:sz w:val="22"/>
          <w:szCs w:val="22"/>
        </w:rPr>
        <w:t>A2B</w:t>
      </w:r>
      <w:r>
        <w:rPr>
          <w:rFonts w:ascii="Calibri" w:hAnsi="Calibri" w:cs="Calibri"/>
          <w:sz w:val="22"/>
          <w:szCs w:val="22"/>
        </w:rPr>
        <w:t xml:space="preserve"> </w:t>
      </w:r>
      <w:r w:rsidRPr="0001737B">
        <w:rPr>
          <w:rFonts w:ascii="Calibri" w:hAnsi="Calibri" w:cs="Calibri"/>
          <w:sz w:val="22"/>
          <w:szCs w:val="22"/>
        </w:rPr>
        <w:t xml:space="preserve">trial was to determine how the intervention was delivered, the extent to which it was delivered as intended, and the impact this had on outcomes. </w:t>
      </w:r>
      <w:r w:rsidR="00B7151B">
        <w:rPr>
          <w:rFonts w:ascii="Calibri" w:hAnsi="Calibri" w:cs="Calibri"/>
          <w:sz w:val="22"/>
          <w:szCs w:val="22"/>
        </w:rPr>
        <w:t>Specifically,</w:t>
      </w:r>
      <w:r w:rsidR="00197205">
        <w:rPr>
          <w:rFonts w:ascii="Calibri" w:hAnsi="Calibri" w:cs="Calibri"/>
          <w:sz w:val="22"/>
          <w:szCs w:val="22"/>
        </w:rPr>
        <w:t xml:space="preserve"> we aimed to</w:t>
      </w:r>
      <w:r w:rsidRPr="0001737B">
        <w:rPr>
          <w:rFonts w:ascii="Calibri" w:hAnsi="Calibri" w:cs="Calibri"/>
          <w:sz w:val="22"/>
          <w:szCs w:val="22"/>
        </w:rPr>
        <w:t xml:space="preserve">: </w:t>
      </w:r>
    </w:p>
    <w:p w14:paraId="335B92E5" w14:textId="23B58E78" w:rsidR="00EC1D47" w:rsidRPr="0001737B" w:rsidRDefault="00EC1D47" w:rsidP="00EC1D47">
      <w:pPr>
        <w:rPr>
          <w:rFonts w:ascii="Calibri" w:hAnsi="Calibri" w:cs="Calibri"/>
          <w:sz w:val="22"/>
          <w:szCs w:val="22"/>
        </w:rPr>
      </w:pPr>
      <w:r w:rsidRPr="0001737B">
        <w:rPr>
          <w:rFonts w:ascii="Calibri" w:hAnsi="Calibri" w:cs="Calibri"/>
          <w:sz w:val="22"/>
          <w:szCs w:val="22"/>
        </w:rPr>
        <w:t xml:space="preserve">1. </w:t>
      </w:r>
      <w:r w:rsidR="00197205">
        <w:rPr>
          <w:rFonts w:ascii="Calibri" w:hAnsi="Calibri" w:cs="Calibri"/>
          <w:sz w:val="22"/>
          <w:szCs w:val="22"/>
        </w:rPr>
        <w:t>Establish t</w:t>
      </w:r>
      <w:r w:rsidRPr="0001737B">
        <w:rPr>
          <w:rFonts w:ascii="Calibri" w:hAnsi="Calibri" w:cs="Calibri"/>
          <w:sz w:val="22"/>
          <w:szCs w:val="22"/>
        </w:rPr>
        <w:t>he degree to which the A2B intervention was delivered as intended, specifically in relation to fidelity, dose and reach</w:t>
      </w:r>
      <w:r w:rsidR="002A3C43">
        <w:rPr>
          <w:rFonts w:ascii="Calibri" w:hAnsi="Calibri" w:cs="Calibri"/>
          <w:sz w:val="22"/>
          <w:szCs w:val="22"/>
        </w:rPr>
        <w:t xml:space="preserve"> across patients</w:t>
      </w:r>
      <w:r w:rsidRPr="0001737B">
        <w:rPr>
          <w:rFonts w:ascii="Calibri" w:hAnsi="Calibri" w:cs="Calibri"/>
          <w:sz w:val="22"/>
          <w:szCs w:val="22"/>
        </w:rPr>
        <w:t>.</w:t>
      </w:r>
    </w:p>
    <w:p w14:paraId="5B1F16FC" w14:textId="1730F044" w:rsidR="00EC1D47" w:rsidRPr="0001737B" w:rsidRDefault="00EC1D47" w:rsidP="00EC1D47">
      <w:pPr>
        <w:rPr>
          <w:rFonts w:ascii="Calibri" w:hAnsi="Calibri" w:cs="Calibri"/>
          <w:sz w:val="22"/>
          <w:szCs w:val="22"/>
        </w:rPr>
      </w:pPr>
      <w:r w:rsidRPr="0001737B">
        <w:rPr>
          <w:rFonts w:ascii="Calibri" w:hAnsi="Calibri" w:cs="Calibri"/>
          <w:sz w:val="22"/>
          <w:szCs w:val="22"/>
        </w:rPr>
        <w:t xml:space="preserve">2. </w:t>
      </w:r>
      <w:r w:rsidR="00197205">
        <w:rPr>
          <w:rFonts w:ascii="Calibri" w:hAnsi="Calibri" w:cs="Calibri"/>
          <w:sz w:val="22"/>
          <w:szCs w:val="22"/>
        </w:rPr>
        <w:t>Understand f</w:t>
      </w:r>
      <w:r w:rsidRPr="0001737B">
        <w:rPr>
          <w:rFonts w:ascii="Calibri" w:hAnsi="Calibri" w:cs="Calibri"/>
          <w:sz w:val="22"/>
          <w:szCs w:val="22"/>
        </w:rPr>
        <w:t>actors that impacted on successful delivery of both the A2B intervention and trial, in relation to attitudes</w:t>
      </w:r>
      <w:r w:rsidR="008C033F">
        <w:rPr>
          <w:rFonts w:ascii="Calibri" w:hAnsi="Calibri" w:cs="Calibri"/>
          <w:sz w:val="22"/>
          <w:szCs w:val="22"/>
        </w:rPr>
        <w:t xml:space="preserve"> and</w:t>
      </w:r>
      <w:r w:rsidRPr="0001737B">
        <w:rPr>
          <w:rFonts w:ascii="Calibri" w:hAnsi="Calibri" w:cs="Calibri"/>
          <w:sz w:val="22"/>
          <w:szCs w:val="22"/>
        </w:rPr>
        <w:t xml:space="preserve"> perceptions</w:t>
      </w:r>
      <w:r w:rsidR="00333FCA">
        <w:rPr>
          <w:rFonts w:ascii="Calibri" w:hAnsi="Calibri" w:cs="Calibri"/>
          <w:sz w:val="22"/>
          <w:szCs w:val="22"/>
        </w:rPr>
        <w:t xml:space="preserve"> of staff, including </w:t>
      </w:r>
      <w:r w:rsidRPr="0001737B">
        <w:rPr>
          <w:rFonts w:ascii="Calibri" w:hAnsi="Calibri" w:cs="Calibri"/>
          <w:sz w:val="22"/>
          <w:szCs w:val="22"/>
        </w:rPr>
        <w:t xml:space="preserve">context </w:t>
      </w:r>
      <w:r>
        <w:rPr>
          <w:rFonts w:ascii="Calibri" w:hAnsi="Calibri" w:cs="Calibri"/>
          <w:sz w:val="22"/>
          <w:szCs w:val="22"/>
        </w:rPr>
        <w:t>and</w:t>
      </w:r>
      <w:r w:rsidRPr="0001737B">
        <w:rPr>
          <w:rFonts w:ascii="Calibri" w:hAnsi="Calibri" w:cs="Calibri"/>
          <w:sz w:val="22"/>
          <w:szCs w:val="22"/>
        </w:rPr>
        <w:t xml:space="preserve"> standard care.</w:t>
      </w:r>
    </w:p>
    <w:p w14:paraId="52C19970" w14:textId="354A85BB" w:rsidR="00EC1D47" w:rsidRPr="00B65196" w:rsidRDefault="00EC1D47" w:rsidP="00EC1D47">
      <w:pPr>
        <w:rPr>
          <w:rFonts w:ascii="Calibri" w:hAnsi="Calibri" w:cs="Calibri"/>
          <w:sz w:val="22"/>
          <w:szCs w:val="22"/>
        </w:rPr>
      </w:pPr>
      <w:r w:rsidRPr="001F4DF3">
        <w:rPr>
          <w:rFonts w:ascii="Calibri" w:hAnsi="Calibri" w:cs="Calibri"/>
          <w:b/>
          <w:bCs/>
          <w:sz w:val="22"/>
          <w:szCs w:val="22"/>
        </w:rPr>
        <w:t>Design and methods:</w:t>
      </w:r>
      <w:r w:rsidRPr="0001737B">
        <w:rPr>
          <w:rFonts w:ascii="Calibri" w:hAnsi="Calibri" w:cs="Calibri"/>
          <w:sz w:val="22"/>
          <w:szCs w:val="22"/>
        </w:rPr>
        <w:t xml:space="preserve"> A mixed-methods, multi-phase design was used following extensive pre-trial exploration of current practice. </w:t>
      </w:r>
      <w:r>
        <w:rPr>
          <w:rFonts w:ascii="Calibri" w:hAnsi="Calibri" w:cs="Calibri"/>
          <w:sz w:val="22"/>
          <w:szCs w:val="22"/>
        </w:rPr>
        <w:t xml:space="preserve">Quantitative data were drawn from the main trial database covering 38 sites to assess the intervention’s fidelity, dose and reach in each site. Data were analysed descriptively and provided a low-moderate-high rating. Qualitative data were collected by interviews mid-trial (phase 1) </w:t>
      </w:r>
      <w:r w:rsidRPr="0001737B">
        <w:rPr>
          <w:rFonts w:ascii="Calibri" w:hAnsi="Calibri" w:cs="Calibri"/>
          <w:sz w:val="22"/>
          <w:szCs w:val="22"/>
        </w:rPr>
        <w:t xml:space="preserve">and </w:t>
      </w:r>
      <w:r>
        <w:rPr>
          <w:rFonts w:ascii="Calibri" w:hAnsi="Calibri" w:cs="Calibri"/>
          <w:sz w:val="22"/>
          <w:szCs w:val="22"/>
        </w:rPr>
        <w:t>end of trial (phase2). P</w:t>
      </w:r>
      <w:r w:rsidRPr="0001737B">
        <w:rPr>
          <w:rFonts w:ascii="Calibri" w:hAnsi="Calibri" w:cs="Calibri"/>
          <w:sz w:val="22"/>
          <w:szCs w:val="22"/>
        </w:rPr>
        <w:t xml:space="preserve">articipants were recruited from a random sample of </w:t>
      </w:r>
      <w:r w:rsidRPr="00A73D84">
        <w:rPr>
          <w:rFonts w:ascii="Calibri" w:hAnsi="Calibri" w:cs="Calibri"/>
          <w:sz w:val="22"/>
          <w:szCs w:val="22"/>
        </w:rPr>
        <w:t xml:space="preserve">30 ICUs active at the time of sampling </w:t>
      </w:r>
      <w:r w:rsidRPr="0001737B">
        <w:rPr>
          <w:rFonts w:ascii="Calibri" w:hAnsi="Calibri" w:cs="Calibri"/>
          <w:sz w:val="22"/>
          <w:szCs w:val="22"/>
        </w:rPr>
        <w:t xml:space="preserve">and included the </w:t>
      </w:r>
      <w:r>
        <w:rPr>
          <w:rFonts w:ascii="Calibri" w:hAnsi="Calibri" w:cs="Calibri"/>
          <w:sz w:val="22"/>
          <w:szCs w:val="22"/>
        </w:rPr>
        <w:t>p</w:t>
      </w:r>
      <w:r w:rsidRPr="0001737B">
        <w:rPr>
          <w:rFonts w:ascii="Calibri" w:hAnsi="Calibri" w:cs="Calibri"/>
          <w:sz w:val="22"/>
          <w:szCs w:val="22"/>
        </w:rPr>
        <w:t>rincip</w:t>
      </w:r>
      <w:r>
        <w:rPr>
          <w:rFonts w:ascii="Calibri" w:hAnsi="Calibri" w:cs="Calibri"/>
          <w:sz w:val="22"/>
          <w:szCs w:val="22"/>
        </w:rPr>
        <w:t>al</w:t>
      </w:r>
      <w:r w:rsidRPr="0001737B">
        <w:rPr>
          <w:rFonts w:ascii="Calibri" w:hAnsi="Calibri" w:cs="Calibri"/>
          <w:sz w:val="22"/>
          <w:szCs w:val="22"/>
        </w:rPr>
        <w:t xml:space="preserve"> </w:t>
      </w:r>
      <w:r>
        <w:rPr>
          <w:rFonts w:ascii="Calibri" w:hAnsi="Calibri" w:cs="Calibri"/>
          <w:sz w:val="22"/>
          <w:szCs w:val="22"/>
        </w:rPr>
        <w:t>i</w:t>
      </w:r>
      <w:r w:rsidRPr="0001737B">
        <w:rPr>
          <w:rFonts w:ascii="Calibri" w:hAnsi="Calibri" w:cs="Calibri"/>
          <w:sz w:val="22"/>
          <w:szCs w:val="22"/>
        </w:rPr>
        <w:t xml:space="preserve">nvestigator, research nurses and clinical staff. Semi-structured interviews, informed by the trial’s logic model, lasted 45 – 60 minutes. </w:t>
      </w:r>
      <w:r>
        <w:rPr>
          <w:rFonts w:ascii="Calibri" w:hAnsi="Calibri" w:cs="Calibri"/>
          <w:sz w:val="22"/>
          <w:szCs w:val="22"/>
        </w:rPr>
        <w:t xml:space="preserve">Data collection focused on </w:t>
      </w:r>
      <w:r w:rsidRPr="0028648D">
        <w:rPr>
          <w:rFonts w:ascii="Calibri" w:hAnsi="Calibri" w:cs="Calibri"/>
          <w:color w:val="000000" w:themeColor="text1"/>
          <w:sz w:val="22"/>
          <w:szCs w:val="22"/>
        </w:rPr>
        <w:t>whether the intervention could be delivered as intended</w:t>
      </w:r>
      <w:r>
        <w:rPr>
          <w:rFonts w:ascii="Calibri" w:hAnsi="Calibri" w:cs="Calibri"/>
          <w:color w:val="000000" w:themeColor="text1"/>
          <w:sz w:val="22"/>
          <w:szCs w:val="22"/>
        </w:rPr>
        <w:t xml:space="preserve">, factors that impacted upon successful delivery and </w:t>
      </w:r>
      <w:r>
        <w:rPr>
          <w:rFonts w:ascii="Calibri" w:hAnsi="Calibri" w:cs="Calibri"/>
          <w:sz w:val="22"/>
          <w:szCs w:val="22"/>
        </w:rPr>
        <w:t xml:space="preserve">understanding </w:t>
      </w:r>
      <w:r w:rsidRPr="00B65196">
        <w:rPr>
          <w:rFonts w:ascii="Calibri" w:hAnsi="Calibri" w:cs="Calibri"/>
          <w:sz w:val="22"/>
          <w:szCs w:val="22"/>
        </w:rPr>
        <w:t xml:space="preserve">intervention adherence. Analysis used a framework approach based on the logic model. </w:t>
      </w:r>
      <w:r>
        <w:rPr>
          <w:rFonts w:ascii="Calibri" w:hAnsi="Calibri" w:cs="Calibri"/>
          <w:sz w:val="22"/>
          <w:szCs w:val="22"/>
        </w:rPr>
        <w:t>D</w:t>
      </w:r>
      <w:r w:rsidRPr="00B65196">
        <w:rPr>
          <w:rFonts w:ascii="Calibri" w:hAnsi="Calibri" w:cs="Calibri"/>
          <w:sz w:val="22"/>
          <w:szCs w:val="22"/>
        </w:rPr>
        <w:t xml:space="preserve">ata collection and </w:t>
      </w:r>
      <w:r w:rsidR="00633D99">
        <w:rPr>
          <w:rFonts w:ascii="Calibri" w:hAnsi="Calibri" w:cs="Calibri"/>
          <w:sz w:val="22"/>
          <w:szCs w:val="22"/>
        </w:rPr>
        <w:t xml:space="preserve">qualitative </w:t>
      </w:r>
      <w:r w:rsidRPr="00B65196">
        <w:rPr>
          <w:rFonts w:ascii="Calibri" w:hAnsi="Calibri" w:cs="Calibri"/>
          <w:sz w:val="22"/>
          <w:szCs w:val="22"/>
        </w:rPr>
        <w:t>analyses were completed prior to knowing the primary results of the trial.</w:t>
      </w:r>
    </w:p>
    <w:p w14:paraId="682839FF" w14:textId="6A307DCA" w:rsidR="00EC1D47" w:rsidRPr="008B153E" w:rsidRDefault="00EC1D47" w:rsidP="00EC1D47">
      <w:pPr>
        <w:rPr>
          <w:rFonts w:ascii="Calibri" w:hAnsi="Calibri" w:cs="Calibri"/>
          <w:color w:val="FF0000"/>
          <w:sz w:val="22"/>
          <w:szCs w:val="22"/>
        </w:rPr>
      </w:pPr>
      <w:r w:rsidRPr="00B65196">
        <w:rPr>
          <w:rFonts w:ascii="Calibri" w:hAnsi="Calibri" w:cs="Calibri"/>
          <w:b/>
          <w:bCs/>
          <w:sz w:val="22"/>
          <w:szCs w:val="22"/>
        </w:rPr>
        <w:t>Results</w:t>
      </w:r>
      <w:r w:rsidRPr="00B65196">
        <w:rPr>
          <w:rFonts w:ascii="Calibri" w:hAnsi="Calibri" w:cs="Calibri"/>
          <w:sz w:val="22"/>
          <w:szCs w:val="22"/>
        </w:rPr>
        <w:t xml:space="preserve">: </w:t>
      </w:r>
      <w:r w:rsidR="00434B60">
        <w:rPr>
          <w:rFonts w:ascii="Calibri" w:hAnsi="Calibri" w:cs="Calibri"/>
          <w:sz w:val="22"/>
          <w:szCs w:val="22"/>
        </w:rPr>
        <w:t>Site i</w:t>
      </w:r>
      <w:r>
        <w:rPr>
          <w:rFonts w:ascii="Calibri" w:hAnsi="Calibri" w:cs="Calibri"/>
          <w:sz w:val="22"/>
          <w:szCs w:val="22"/>
        </w:rPr>
        <w:t>ntervention adherence ratings for fidelity, dose and reach were low (4), moderate (20) and high (14).</w:t>
      </w:r>
      <w:r w:rsidRPr="00B65196">
        <w:rPr>
          <w:rFonts w:ascii="Calibri" w:hAnsi="Calibri" w:cs="Calibri"/>
          <w:sz w:val="22"/>
          <w:szCs w:val="22"/>
        </w:rPr>
        <w:t xml:space="preserve"> Participants from 12 ICUs in each of Phase 1 (33 staff) and 2 (36 staff) provided </w:t>
      </w:r>
      <w:r w:rsidRPr="008B153E">
        <w:rPr>
          <w:rFonts w:ascii="Calibri" w:hAnsi="Calibri" w:cs="Calibri"/>
          <w:sz w:val="22"/>
          <w:szCs w:val="22"/>
        </w:rPr>
        <w:t xml:space="preserve">qualitative data; participating ICUs differed between phases. Factors identified in Phase 1 focused on intervention delivery and trial </w:t>
      </w:r>
      <w:r w:rsidR="00B7151B" w:rsidRPr="008B153E">
        <w:rPr>
          <w:rFonts w:ascii="Calibri" w:hAnsi="Calibri" w:cs="Calibri"/>
          <w:sz w:val="22"/>
          <w:szCs w:val="22"/>
        </w:rPr>
        <w:t xml:space="preserve">conduct </w:t>
      </w:r>
      <w:r w:rsidRPr="008B153E">
        <w:rPr>
          <w:rFonts w:ascii="Calibri" w:hAnsi="Calibri" w:cs="Calibri"/>
          <w:sz w:val="22"/>
          <w:szCs w:val="22"/>
        </w:rPr>
        <w:t xml:space="preserve">and incorporated both organisational and participant-related factors. In Phase 2 participant-related factors included clinician preference, </w:t>
      </w:r>
      <w:r w:rsidR="00F66C41" w:rsidRPr="008B153E">
        <w:rPr>
          <w:rFonts w:ascii="Calibri" w:hAnsi="Calibri" w:cs="Calibri"/>
          <w:sz w:val="22"/>
          <w:szCs w:val="22"/>
        </w:rPr>
        <w:t xml:space="preserve">individual </w:t>
      </w:r>
      <w:r w:rsidRPr="008B153E">
        <w:rPr>
          <w:rFonts w:ascii="Calibri" w:hAnsi="Calibri" w:cs="Calibri"/>
          <w:sz w:val="22"/>
          <w:szCs w:val="22"/>
        </w:rPr>
        <w:t>equipoise, clinician resistance and staff capability and capacity, while A2B trial-related factors included concerns relating to safety and side effects, overnight deep sedation practice, patient comfort and trial documentation</w:t>
      </w:r>
      <w:r w:rsidR="00EB4DB1" w:rsidRPr="008B153E">
        <w:rPr>
          <w:rFonts w:ascii="Calibri" w:hAnsi="Calibri" w:cs="Calibri"/>
          <w:sz w:val="22"/>
          <w:szCs w:val="22"/>
        </w:rPr>
        <w:t xml:space="preserve">. Many of these factors were impacted by the </w:t>
      </w:r>
      <w:r w:rsidR="003B4085" w:rsidRPr="008B153E">
        <w:rPr>
          <w:rFonts w:ascii="Calibri" w:hAnsi="Calibri" w:cs="Calibri"/>
          <w:sz w:val="22"/>
          <w:szCs w:val="22"/>
        </w:rPr>
        <w:t xml:space="preserve">COVID-19 pandemic, particularly </w:t>
      </w:r>
      <w:proofErr w:type="gramStart"/>
      <w:r w:rsidR="003B4085" w:rsidRPr="008B153E">
        <w:rPr>
          <w:rFonts w:ascii="Calibri" w:hAnsi="Calibri" w:cs="Calibri"/>
          <w:sz w:val="22"/>
          <w:szCs w:val="22"/>
        </w:rPr>
        <w:t>in regard to</w:t>
      </w:r>
      <w:proofErr w:type="gramEnd"/>
      <w:r w:rsidR="003B4085" w:rsidRPr="008B153E">
        <w:rPr>
          <w:rFonts w:ascii="Calibri" w:hAnsi="Calibri" w:cs="Calibri"/>
          <w:sz w:val="22"/>
          <w:szCs w:val="22"/>
        </w:rPr>
        <w:t xml:space="preserve"> staffing numbers and experience</w:t>
      </w:r>
      <w:r w:rsidRPr="008B153E">
        <w:rPr>
          <w:rFonts w:ascii="Calibri" w:hAnsi="Calibri" w:cs="Calibri"/>
          <w:sz w:val="22"/>
          <w:szCs w:val="22"/>
        </w:rPr>
        <w:t xml:space="preserve">. </w:t>
      </w:r>
    </w:p>
    <w:p w14:paraId="6A45E372" w14:textId="46EE0DBD" w:rsidR="00EC1D47" w:rsidRPr="008B153E" w:rsidRDefault="00EC1D47" w:rsidP="00EC1D47">
      <w:pPr>
        <w:rPr>
          <w:rFonts w:ascii="Calibri" w:hAnsi="Calibri" w:cs="Calibri"/>
          <w:sz w:val="22"/>
          <w:szCs w:val="22"/>
        </w:rPr>
      </w:pPr>
      <w:r w:rsidRPr="008B153E">
        <w:rPr>
          <w:rFonts w:ascii="Calibri" w:hAnsi="Calibri" w:cs="Calibri"/>
          <w:b/>
          <w:bCs/>
          <w:sz w:val="22"/>
          <w:szCs w:val="22"/>
        </w:rPr>
        <w:t>Limitations</w:t>
      </w:r>
      <w:r w:rsidRPr="008B153E">
        <w:rPr>
          <w:rFonts w:ascii="Calibri" w:hAnsi="Calibri" w:cs="Calibri"/>
          <w:sz w:val="22"/>
          <w:szCs w:val="22"/>
        </w:rPr>
        <w:t xml:space="preserve">: Due to the </w:t>
      </w:r>
      <w:r w:rsidR="00A916ED" w:rsidRPr="008B153E">
        <w:rPr>
          <w:rFonts w:ascii="Calibri" w:hAnsi="Calibri" w:cs="Calibri"/>
          <w:sz w:val="22"/>
          <w:szCs w:val="22"/>
        </w:rPr>
        <w:t>impact</w:t>
      </w:r>
      <w:r w:rsidRPr="008B153E">
        <w:rPr>
          <w:rFonts w:ascii="Calibri" w:hAnsi="Calibri" w:cs="Calibri"/>
          <w:sz w:val="22"/>
          <w:szCs w:val="22"/>
        </w:rPr>
        <w:t xml:space="preserve"> of the COVID-19 pandemic most data collection occurred remotely through video-conferencing rather than planned </w:t>
      </w:r>
      <w:r w:rsidR="00A916ED" w:rsidRPr="008B153E">
        <w:rPr>
          <w:rFonts w:ascii="Calibri" w:hAnsi="Calibri" w:cs="Calibri"/>
          <w:sz w:val="22"/>
          <w:szCs w:val="22"/>
        </w:rPr>
        <w:t>at site</w:t>
      </w:r>
      <w:r w:rsidRPr="008B153E">
        <w:rPr>
          <w:rFonts w:ascii="Calibri" w:hAnsi="Calibri" w:cs="Calibri"/>
          <w:sz w:val="22"/>
          <w:szCs w:val="22"/>
        </w:rPr>
        <w:t xml:space="preserve"> observation and interviews. </w:t>
      </w:r>
    </w:p>
    <w:p w14:paraId="16337744" w14:textId="77777777" w:rsidR="00EC1D47" w:rsidRPr="008B153E" w:rsidRDefault="00EC1D47" w:rsidP="00EC1D47">
      <w:pPr>
        <w:rPr>
          <w:rFonts w:ascii="Calibri" w:hAnsi="Calibri" w:cs="Calibri"/>
          <w:color w:val="000000" w:themeColor="text1"/>
          <w:sz w:val="22"/>
          <w:szCs w:val="22"/>
        </w:rPr>
      </w:pPr>
      <w:r w:rsidRPr="008B153E">
        <w:rPr>
          <w:rFonts w:ascii="Calibri" w:hAnsi="Calibri" w:cs="Calibri"/>
          <w:b/>
          <w:bCs/>
          <w:color w:val="000000" w:themeColor="text1"/>
          <w:sz w:val="22"/>
          <w:szCs w:val="22"/>
        </w:rPr>
        <w:t>Conclusion:</w:t>
      </w:r>
      <w:r w:rsidRPr="008B153E">
        <w:rPr>
          <w:rFonts w:ascii="Calibri" w:hAnsi="Calibri" w:cs="Calibri"/>
          <w:color w:val="FF0000"/>
          <w:sz w:val="22"/>
          <w:szCs w:val="22"/>
        </w:rPr>
        <w:t xml:space="preserve"> </w:t>
      </w:r>
      <w:r w:rsidRPr="008B153E">
        <w:rPr>
          <w:rFonts w:ascii="Calibri" w:hAnsi="Calibri" w:cs="Calibri"/>
          <w:color w:val="000000" w:themeColor="text1"/>
          <w:sz w:val="22"/>
          <w:szCs w:val="22"/>
        </w:rPr>
        <w:t xml:space="preserve">Optimal sedation practice is influenced by multiple factors related to clinician perceptions, capacity and capability. Priorities in care focus on short term safety and comfort. Limitations in staffing mean that longer term consequences related to recovery and rehabilitation are second tier considerations. </w:t>
      </w:r>
    </w:p>
    <w:p w14:paraId="6C80DC24" w14:textId="34577C5B" w:rsidR="009C1D9E" w:rsidRPr="008B153E" w:rsidRDefault="00A93B28" w:rsidP="00EC1D47">
      <w:pPr>
        <w:rPr>
          <w:rFonts w:ascii="Calibri" w:hAnsi="Calibri" w:cs="Calibri"/>
          <w:color w:val="000000" w:themeColor="text1"/>
          <w:sz w:val="22"/>
          <w:szCs w:val="22"/>
        </w:rPr>
      </w:pPr>
      <w:r w:rsidRPr="008B153E">
        <w:rPr>
          <w:rFonts w:ascii="Calibri" w:hAnsi="Calibri" w:cs="Calibri"/>
          <w:color w:val="000000" w:themeColor="text1"/>
          <w:sz w:val="22"/>
          <w:szCs w:val="22"/>
        </w:rPr>
        <w:t xml:space="preserve">Future work: </w:t>
      </w:r>
      <w:r w:rsidR="003E7E42" w:rsidRPr="008B153E">
        <w:rPr>
          <w:rFonts w:ascii="Calibri" w:hAnsi="Calibri" w:cs="Calibri"/>
          <w:color w:val="000000" w:themeColor="text1"/>
          <w:sz w:val="22"/>
          <w:szCs w:val="22"/>
        </w:rPr>
        <w:t xml:space="preserve">Findings </w:t>
      </w:r>
      <w:r w:rsidR="00512DF7" w:rsidRPr="008B153E">
        <w:rPr>
          <w:rFonts w:ascii="Calibri" w:hAnsi="Calibri" w:cs="Calibri"/>
          <w:color w:val="000000" w:themeColor="text1"/>
          <w:sz w:val="22"/>
          <w:szCs w:val="22"/>
        </w:rPr>
        <w:t xml:space="preserve">highlight </w:t>
      </w:r>
      <w:r w:rsidR="006F4512" w:rsidRPr="008B153E">
        <w:rPr>
          <w:rFonts w:ascii="Calibri" w:hAnsi="Calibri" w:cs="Calibri"/>
          <w:color w:val="000000" w:themeColor="text1"/>
          <w:sz w:val="22"/>
          <w:szCs w:val="22"/>
        </w:rPr>
        <w:t xml:space="preserve">the multiple contextual factors, including both organisational and </w:t>
      </w:r>
      <w:r w:rsidR="22CDB71F" w:rsidRPr="008B153E">
        <w:rPr>
          <w:rFonts w:ascii="Calibri" w:hAnsi="Calibri" w:cs="Calibri"/>
          <w:color w:val="000000" w:themeColor="text1"/>
          <w:sz w:val="22"/>
          <w:szCs w:val="22"/>
        </w:rPr>
        <w:t xml:space="preserve">participant-related </w:t>
      </w:r>
      <w:r w:rsidR="006F4512" w:rsidRPr="008B153E">
        <w:rPr>
          <w:rFonts w:ascii="Calibri" w:hAnsi="Calibri" w:cs="Calibri"/>
          <w:color w:val="000000" w:themeColor="text1"/>
          <w:sz w:val="22"/>
          <w:szCs w:val="22"/>
        </w:rPr>
        <w:t xml:space="preserve">characteristics, that should be considered when planning both clinical trials and </w:t>
      </w:r>
      <w:r w:rsidR="009E6670" w:rsidRPr="008B153E">
        <w:rPr>
          <w:rFonts w:ascii="Calibri" w:hAnsi="Calibri" w:cs="Calibri"/>
          <w:color w:val="000000" w:themeColor="text1"/>
          <w:sz w:val="22"/>
          <w:szCs w:val="22"/>
        </w:rPr>
        <w:t xml:space="preserve">changes to routine care. Multiple strategies for achieving behaviour change when implementing complex interventions are essential. </w:t>
      </w:r>
    </w:p>
    <w:p w14:paraId="4C4274B7" w14:textId="77777777" w:rsidR="00593BFE" w:rsidRPr="008B153E" w:rsidRDefault="00593BFE" w:rsidP="00A916ED">
      <w:pPr>
        <w:jc w:val="both"/>
        <w:rPr>
          <w:rFonts w:ascii="Calibri" w:hAnsi="Calibri" w:cs="Calibri"/>
          <w:color w:val="FF0000"/>
          <w:sz w:val="22"/>
          <w:szCs w:val="22"/>
        </w:rPr>
      </w:pPr>
    </w:p>
    <w:p w14:paraId="725F35E2" w14:textId="1212CCBB" w:rsidR="00ED1E3F" w:rsidRPr="008B153E" w:rsidRDefault="00593BFE" w:rsidP="00ED1E3F">
      <w:pPr>
        <w:rPr>
          <w:rFonts w:ascii="Calibri" w:hAnsi="Calibri" w:cs="Calibri"/>
          <w:sz w:val="22"/>
          <w:szCs w:val="22"/>
        </w:rPr>
      </w:pPr>
      <w:r w:rsidRPr="008B153E">
        <w:rPr>
          <w:rFonts w:ascii="Calibri" w:hAnsi="Calibri" w:cs="Calibri"/>
          <w:b/>
          <w:bCs/>
          <w:sz w:val="22"/>
          <w:szCs w:val="22"/>
        </w:rPr>
        <w:t>Funding</w:t>
      </w:r>
      <w:r w:rsidRPr="008B153E">
        <w:rPr>
          <w:rFonts w:ascii="Calibri" w:hAnsi="Calibri" w:cs="Calibri"/>
          <w:sz w:val="22"/>
          <w:szCs w:val="22"/>
        </w:rPr>
        <w:t xml:space="preserve">: This project was funded by the National Institute for Health and Care Research (NIHR) </w:t>
      </w:r>
      <w:r w:rsidR="00A5582E" w:rsidRPr="008B153E">
        <w:rPr>
          <w:rFonts w:ascii="Calibri" w:hAnsi="Calibri" w:cs="Calibri"/>
          <w:sz w:val="22"/>
          <w:szCs w:val="22"/>
        </w:rPr>
        <w:t>Health Technology Assessment </w:t>
      </w:r>
      <w:r w:rsidRPr="008B153E">
        <w:rPr>
          <w:rFonts w:ascii="Calibri" w:hAnsi="Calibri" w:cs="Calibri"/>
          <w:sz w:val="22"/>
          <w:szCs w:val="22"/>
        </w:rPr>
        <w:t>programme </w:t>
      </w:r>
      <w:r w:rsidR="004372DE" w:rsidRPr="008B153E">
        <w:rPr>
          <w:rFonts w:ascii="Calibri" w:hAnsi="Calibri" w:cs="Calibri"/>
          <w:sz w:val="22"/>
          <w:szCs w:val="22"/>
        </w:rPr>
        <w:t xml:space="preserve">as part of the A2B trial (grant reference number: HTA 16/93/01) </w:t>
      </w:r>
      <w:r w:rsidRPr="008B153E">
        <w:rPr>
          <w:rFonts w:ascii="Calibri" w:hAnsi="Calibri" w:cs="Calibri"/>
          <w:sz w:val="22"/>
          <w:szCs w:val="22"/>
        </w:rPr>
        <w:t xml:space="preserve">and will be </w:t>
      </w:r>
      <w:r w:rsidRPr="008B153E">
        <w:rPr>
          <w:rFonts w:ascii="Calibri" w:hAnsi="Calibri" w:cs="Calibri"/>
          <w:color w:val="FF0000"/>
          <w:sz w:val="22"/>
          <w:szCs w:val="22"/>
        </w:rPr>
        <w:t>published in XXX Journal; Vol. XX, No. XX</w:t>
      </w:r>
      <w:r w:rsidRPr="008B153E">
        <w:rPr>
          <w:rFonts w:ascii="Calibri" w:hAnsi="Calibri" w:cs="Calibri"/>
          <w:sz w:val="22"/>
          <w:szCs w:val="22"/>
        </w:rPr>
        <w:t>. </w:t>
      </w:r>
      <w:r w:rsidR="00741D1C" w:rsidRPr="008B153E">
        <w:rPr>
          <w:rFonts w:ascii="Calibri" w:hAnsi="Calibri" w:cs="Calibri"/>
          <w:sz w:val="22"/>
          <w:szCs w:val="22"/>
        </w:rPr>
        <w:t>See the NIHR Journals Library website for further project information.</w:t>
      </w:r>
    </w:p>
    <w:p w14:paraId="49A323CD" w14:textId="77777777" w:rsidR="00A911E2" w:rsidRPr="008B153E" w:rsidRDefault="00A911E2" w:rsidP="00ED1E3F">
      <w:pPr>
        <w:rPr>
          <w:rFonts w:ascii="Calibri" w:hAnsi="Calibri" w:cs="Calibri"/>
          <w:sz w:val="22"/>
          <w:szCs w:val="22"/>
        </w:rPr>
      </w:pPr>
    </w:p>
    <w:p w14:paraId="4EBA686D" w14:textId="5696DEA0" w:rsidR="00FB494E" w:rsidRDefault="00EB10E1" w:rsidP="00ED1E3F">
      <w:pPr>
        <w:rPr>
          <w:rFonts w:ascii="Calibri" w:hAnsi="Calibri" w:cs="Calibri"/>
          <w:sz w:val="22"/>
          <w:szCs w:val="22"/>
        </w:rPr>
      </w:pPr>
      <w:r w:rsidRPr="008B153E">
        <w:rPr>
          <w:rFonts w:ascii="Calibri" w:hAnsi="Calibri" w:cs="Calibri"/>
          <w:b/>
          <w:bCs/>
          <w:sz w:val="22"/>
          <w:szCs w:val="22"/>
        </w:rPr>
        <w:t xml:space="preserve">Trial registration number: </w:t>
      </w:r>
      <w:r w:rsidRPr="008B153E">
        <w:rPr>
          <w:rFonts w:ascii="Calibri" w:hAnsi="Calibri" w:cs="Calibri"/>
          <w:sz w:val="22"/>
          <w:szCs w:val="22"/>
        </w:rPr>
        <w:t>NCT03653</w:t>
      </w:r>
      <w:r w:rsidR="00865820" w:rsidRPr="008B153E">
        <w:rPr>
          <w:rFonts w:ascii="Calibri" w:hAnsi="Calibri" w:cs="Calibri"/>
          <w:sz w:val="22"/>
          <w:szCs w:val="22"/>
        </w:rPr>
        <w:t>832</w:t>
      </w:r>
    </w:p>
    <w:p w14:paraId="6044FE2E" w14:textId="77777777" w:rsidR="003F4E82" w:rsidRDefault="003F4E82">
      <w:pPr>
        <w:rPr>
          <w:rFonts w:ascii="Calibri" w:hAnsi="Calibri" w:cs="Calibri"/>
          <w:b/>
          <w:bCs/>
          <w:sz w:val="22"/>
          <w:szCs w:val="22"/>
        </w:rPr>
      </w:pPr>
      <w:r>
        <w:rPr>
          <w:rFonts w:ascii="Calibri" w:hAnsi="Calibri" w:cs="Calibri"/>
          <w:b/>
          <w:bCs/>
          <w:sz w:val="22"/>
          <w:szCs w:val="22"/>
        </w:rPr>
        <w:br w:type="page"/>
      </w:r>
    </w:p>
    <w:p w14:paraId="51D809B8" w14:textId="4FF8DC87" w:rsidR="00FB494E" w:rsidRPr="00796E6F" w:rsidRDefault="00FB494E" w:rsidP="00ED1E3F">
      <w:pPr>
        <w:rPr>
          <w:rFonts w:ascii="Calibri" w:hAnsi="Calibri" w:cs="Calibri"/>
          <w:color w:val="FF0000"/>
          <w:sz w:val="22"/>
          <w:szCs w:val="22"/>
        </w:rPr>
      </w:pPr>
      <w:r w:rsidRPr="002B6D18">
        <w:rPr>
          <w:rFonts w:ascii="Calibri" w:hAnsi="Calibri" w:cs="Calibri"/>
          <w:b/>
          <w:bCs/>
          <w:sz w:val="22"/>
          <w:szCs w:val="22"/>
        </w:rPr>
        <w:lastRenderedPageBreak/>
        <w:t>Plain Language Statement</w:t>
      </w:r>
      <w:r w:rsidRPr="00796E6F">
        <w:rPr>
          <w:rFonts w:ascii="Calibri" w:hAnsi="Calibri" w:cs="Calibri"/>
          <w:color w:val="FF0000"/>
          <w:sz w:val="22"/>
          <w:szCs w:val="22"/>
        </w:rPr>
        <w:t xml:space="preserve"> </w:t>
      </w:r>
    </w:p>
    <w:p w14:paraId="39D240A7" w14:textId="77777777" w:rsidR="00902B45" w:rsidRDefault="00902B45" w:rsidP="00902B45">
      <w:pPr>
        <w:jc w:val="both"/>
        <w:rPr>
          <w:rFonts w:ascii="Calibri" w:hAnsi="Calibri" w:cs="Calibri"/>
          <w:sz w:val="22"/>
          <w:szCs w:val="22"/>
        </w:rPr>
      </w:pPr>
    </w:p>
    <w:p w14:paraId="70CE5577" w14:textId="26C857E3" w:rsidR="00902B45" w:rsidRDefault="00902B45" w:rsidP="000B7D82">
      <w:pPr>
        <w:spacing w:line="360" w:lineRule="auto"/>
        <w:rPr>
          <w:rFonts w:ascii="Calibri" w:hAnsi="Calibri" w:cs="Calibri"/>
          <w:sz w:val="22"/>
          <w:szCs w:val="22"/>
        </w:rPr>
      </w:pPr>
      <w:r>
        <w:rPr>
          <w:rFonts w:ascii="Calibri" w:hAnsi="Calibri" w:cs="Calibri"/>
          <w:sz w:val="22"/>
          <w:szCs w:val="22"/>
        </w:rPr>
        <w:t xml:space="preserve">Patients in the intensive care unit (ICU) receive pain-killers and sedatives to keep them comfortable and </w:t>
      </w:r>
      <w:r w:rsidR="0018174D">
        <w:rPr>
          <w:rFonts w:ascii="Calibri" w:hAnsi="Calibri" w:cs="Calibri"/>
          <w:sz w:val="22"/>
          <w:szCs w:val="22"/>
        </w:rPr>
        <w:t xml:space="preserve">reduce </w:t>
      </w:r>
      <w:r>
        <w:rPr>
          <w:rFonts w:ascii="Calibri" w:hAnsi="Calibri" w:cs="Calibri"/>
          <w:sz w:val="22"/>
          <w:szCs w:val="22"/>
        </w:rPr>
        <w:t xml:space="preserve">pain. However, some patients are more deeply sedated than needed, and improving sedation and pain management is difficult. The A2B trial compared the usual sedative prescribed in ICU (propofol) with </w:t>
      </w:r>
      <w:r w:rsidR="00C652AF">
        <w:rPr>
          <w:rFonts w:ascii="Calibri" w:hAnsi="Calibri" w:cs="Calibri"/>
          <w:sz w:val="22"/>
          <w:szCs w:val="22"/>
        </w:rPr>
        <w:t>medications</w:t>
      </w:r>
      <w:r>
        <w:rPr>
          <w:rFonts w:ascii="Calibri" w:hAnsi="Calibri" w:cs="Calibri"/>
          <w:sz w:val="22"/>
          <w:szCs w:val="22"/>
        </w:rPr>
        <w:t xml:space="preserve"> called ‘alpha-2 agonists’ that have both sedative and pain-killing actions. We wanted to see if patients were more awake and comfortable with alpha-2 agonists and whether they came off the breathing machine quicker. </w:t>
      </w:r>
    </w:p>
    <w:p w14:paraId="36B1A2BA" w14:textId="77777777" w:rsidR="00902B45" w:rsidRDefault="00902B45" w:rsidP="000B7D82">
      <w:pPr>
        <w:spacing w:line="360" w:lineRule="auto"/>
        <w:rPr>
          <w:rFonts w:ascii="Calibri" w:hAnsi="Calibri" w:cs="Calibri"/>
          <w:sz w:val="22"/>
          <w:szCs w:val="22"/>
        </w:rPr>
      </w:pPr>
    </w:p>
    <w:p w14:paraId="57BC9402" w14:textId="2FEDADF2" w:rsidR="00902B45" w:rsidRDefault="00902B45" w:rsidP="000B7D82">
      <w:pPr>
        <w:spacing w:line="360" w:lineRule="auto"/>
        <w:rPr>
          <w:rFonts w:ascii="Calibri" w:hAnsi="Calibri" w:cs="Calibri"/>
          <w:sz w:val="22"/>
          <w:szCs w:val="22"/>
        </w:rPr>
      </w:pPr>
      <w:r>
        <w:rPr>
          <w:rFonts w:ascii="Calibri" w:hAnsi="Calibri" w:cs="Calibri"/>
          <w:sz w:val="22"/>
          <w:szCs w:val="22"/>
        </w:rPr>
        <w:t xml:space="preserve">Alongside the trial we conducted a process evaluation to evaluate if study sedatives were given to patients as intended. We also wanted to evaluate if the usual sedative practice, staffing and other considerations affected how nurses and doctors delivered the sedatives. We conducted interviews with </w:t>
      </w:r>
      <w:r w:rsidRPr="00F90E7F">
        <w:rPr>
          <w:rFonts w:ascii="Calibri" w:hAnsi="Calibri" w:cs="Calibri"/>
          <w:sz w:val="22"/>
          <w:szCs w:val="22"/>
        </w:rPr>
        <w:t xml:space="preserve">nurses and doctors who cared for trial </w:t>
      </w:r>
      <w:r w:rsidR="00385B57">
        <w:rPr>
          <w:rFonts w:ascii="Calibri" w:hAnsi="Calibri" w:cs="Calibri"/>
          <w:sz w:val="22"/>
          <w:szCs w:val="22"/>
        </w:rPr>
        <w:t>participants</w:t>
      </w:r>
      <w:r w:rsidRPr="00F90E7F">
        <w:rPr>
          <w:rFonts w:ascii="Calibri" w:hAnsi="Calibri" w:cs="Calibri"/>
          <w:sz w:val="22"/>
          <w:szCs w:val="22"/>
        </w:rPr>
        <w:t xml:space="preserve">, and the research nurses and doctors involved in the trial to find out their opinion. </w:t>
      </w:r>
      <w:r>
        <w:rPr>
          <w:rFonts w:ascii="Calibri" w:hAnsi="Calibri" w:cs="Calibri"/>
          <w:sz w:val="22"/>
          <w:szCs w:val="22"/>
        </w:rPr>
        <w:t xml:space="preserve">Interviews were conducted mid-way through (phase 1) and at the end (phase 2) of the trial. </w:t>
      </w:r>
    </w:p>
    <w:p w14:paraId="7886F3C7" w14:textId="77777777" w:rsidR="00902B45" w:rsidRDefault="00902B45" w:rsidP="000B7D82">
      <w:pPr>
        <w:spacing w:line="360" w:lineRule="auto"/>
        <w:rPr>
          <w:rFonts w:ascii="Calibri" w:hAnsi="Calibri" w:cs="Calibri"/>
          <w:sz w:val="22"/>
          <w:szCs w:val="22"/>
        </w:rPr>
      </w:pPr>
    </w:p>
    <w:p w14:paraId="6C431E70" w14:textId="177BCCA0" w:rsidR="00902B45" w:rsidRDefault="00902B45" w:rsidP="000B7D82">
      <w:pPr>
        <w:spacing w:line="360" w:lineRule="auto"/>
        <w:rPr>
          <w:rFonts w:ascii="Calibri" w:hAnsi="Calibri" w:cs="Calibri"/>
          <w:sz w:val="22"/>
          <w:szCs w:val="22"/>
        </w:rPr>
      </w:pPr>
      <w:r>
        <w:rPr>
          <w:rFonts w:ascii="Calibri" w:hAnsi="Calibri" w:cs="Calibri"/>
          <w:sz w:val="22"/>
          <w:szCs w:val="22"/>
        </w:rPr>
        <w:t xml:space="preserve">Data </w:t>
      </w:r>
      <w:r w:rsidRPr="0029135B">
        <w:rPr>
          <w:rFonts w:ascii="Calibri" w:hAnsi="Calibri" w:cs="Calibri"/>
          <w:sz w:val="22"/>
          <w:szCs w:val="22"/>
        </w:rPr>
        <w:t xml:space="preserve">showed </w:t>
      </w:r>
      <w:r>
        <w:rPr>
          <w:rFonts w:ascii="Calibri" w:hAnsi="Calibri" w:cs="Calibri"/>
          <w:sz w:val="22"/>
          <w:szCs w:val="22"/>
        </w:rPr>
        <w:t xml:space="preserve">that from </w:t>
      </w:r>
      <w:r w:rsidR="00104CDB">
        <w:rPr>
          <w:rFonts w:ascii="Calibri" w:hAnsi="Calibri" w:cs="Calibri"/>
          <w:sz w:val="22"/>
          <w:szCs w:val="22"/>
        </w:rPr>
        <w:t>38</w:t>
      </w:r>
      <w:r>
        <w:rPr>
          <w:rFonts w:ascii="Calibri" w:hAnsi="Calibri" w:cs="Calibri"/>
          <w:sz w:val="22"/>
          <w:szCs w:val="22"/>
        </w:rPr>
        <w:t xml:space="preserve"> ICUs, </w:t>
      </w:r>
      <w:r w:rsidR="00104CDB">
        <w:rPr>
          <w:rFonts w:ascii="Calibri" w:hAnsi="Calibri" w:cs="Calibri"/>
          <w:sz w:val="22"/>
          <w:szCs w:val="22"/>
        </w:rPr>
        <w:t>3</w:t>
      </w:r>
      <w:r>
        <w:rPr>
          <w:rFonts w:ascii="Calibri" w:hAnsi="Calibri" w:cs="Calibri"/>
          <w:sz w:val="22"/>
          <w:szCs w:val="22"/>
        </w:rPr>
        <w:t>4 complied</w:t>
      </w:r>
      <w:r w:rsidRPr="00B65196">
        <w:rPr>
          <w:rFonts w:ascii="Calibri" w:hAnsi="Calibri" w:cs="Calibri"/>
          <w:sz w:val="22"/>
          <w:szCs w:val="22"/>
        </w:rPr>
        <w:t xml:space="preserve"> </w:t>
      </w:r>
      <w:r>
        <w:rPr>
          <w:rFonts w:ascii="Calibri" w:hAnsi="Calibri" w:cs="Calibri"/>
          <w:sz w:val="22"/>
          <w:szCs w:val="22"/>
        </w:rPr>
        <w:t xml:space="preserve">with delivering </w:t>
      </w:r>
      <w:r w:rsidRPr="00B65196">
        <w:rPr>
          <w:rFonts w:ascii="Calibri" w:hAnsi="Calibri" w:cs="Calibri"/>
          <w:sz w:val="22"/>
          <w:szCs w:val="22"/>
        </w:rPr>
        <w:t xml:space="preserve">the sedation care as </w:t>
      </w:r>
      <w:r>
        <w:rPr>
          <w:rFonts w:ascii="Calibri" w:hAnsi="Calibri" w:cs="Calibri"/>
          <w:sz w:val="22"/>
          <w:szCs w:val="22"/>
        </w:rPr>
        <w:t>it was</w:t>
      </w:r>
      <w:r w:rsidRPr="00B65196">
        <w:rPr>
          <w:rFonts w:ascii="Calibri" w:hAnsi="Calibri" w:cs="Calibri"/>
          <w:sz w:val="22"/>
          <w:szCs w:val="22"/>
        </w:rPr>
        <w:t xml:space="preserve"> intended</w:t>
      </w:r>
      <w:r>
        <w:rPr>
          <w:rFonts w:ascii="Calibri" w:hAnsi="Calibri" w:cs="Calibri"/>
          <w:sz w:val="22"/>
          <w:szCs w:val="22"/>
        </w:rPr>
        <w:t xml:space="preserve"> to a high or moderate level</w:t>
      </w:r>
      <w:r w:rsidRPr="00B65196">
        <w:rPr>
          <w:rFonts w:ascii="Calibri" w:hAnsi="Calibri" w:cs="Calibri"/>
          <w:sz w:val="22"/>
          <w:szCs w:val="22"/>
        </w:rPr>
        <w:t xml:space="preserve">. </w:t>
      </w:r>
      <w:r>
        <w:rPr>
          <w:rFonts w:ascii="Calibri" w:hAnsi="Calibri" w:cs="Calibri"/>
          <w:sz w:val="22"/>
          <w:szCs w:val="22"/>
        </w:rPr>
        <w:t>Interview topics from</w:t>
      </w:r>
      <w:r w:rsidRPr="00B65196">
        <w:rPr>
          <w:rFonts w:ascii="Calibri" w:hAnsi="Calibri" w:cs="Calibri"/>
          <w:sz w:val="22"/>
          <w:szCs w:val="22"/>
        </w:rPr>
        <w:t xml:space="preserve"> </w:t>
      </w:r>
      <w:r w:rsidRPr="00852C5D">
        <w:rPr>
          <w:rFonts w:ascii="Calibri" w:hAnsi="Calibri" w:cs="Calibri"/>
          <w:sz w:val="22"/>
          <w:szCs w:val="22"/>
        </w:rPr>
        <w:t>33 staff</w:t>
      </w:r>
      <w:r>
        <w:rPr>
          <w:rFonts w:ascii="Calibri" w:hAnsi="Calibri" w:cs="Calibri"/>
          <w:sz w:val="22"/>
          <w:szCs w:val="22"/>
        </w:rPr>
        <w:t xml:space="preserve"> in 12 ICUs</w:t>
      </w:r>
      <w:r w:rsidRPr="00852C5D">
        <w:rPr>
          <w:rFonts w:ascii="Calibri" w:hAnsi="Calibri" w:cs="Calibri"/>
          <w:sz w:val="22"/>
          <w:szCs w:val="22"/>
        </w:rPr>
        <w:t xml:space="preserve"> </w:t>
      </w:r>
      <w:r>
        <w:rPr>
          <w:rFonts w:ascii="Calibri" w:hAnsi="Calibri" w:cs="Calibri"/>
          <w:sz w:val="22"/>
          <w:szCs w:val="22"/>
        </w:rPr>
        <w:t>(</w:t>
      </w:r>
      <w:r w:rsidRPr="00B65196">
        <w:rPr>
          <w:rFonts w:ascii="Calibri" w:hAnsi="Calibri" w:cs="Calibri"/>
          <w:sz w:val="22"/>
          <w:szCs w:val="22"/>
        </w:rPr>
        <w:t>phase 1</w:t>
      </w:r>
      <w:r>
        <w:rPr>
          <w:rFonts w:ascii="Calibri" w:hAnsi="Calibri" w:cs="Calibri"/>
          <w:sz w:val="22"/>
          <w:szCs w:val="22"/>
        </w:rPr>
        <w:t xml:space="preserve">) provided a picture of </w:t>
      </w:r>
      <w:r w:rsidRPr="00B65196">
        <w:rPr>
          <w:rFonts w:ascii="Calibri" w:hAnsi="Calibri" w:cs="Calibri"/>
          <w:sz w:val="22"/>
          <w:szCs w:val="22"/>
        </w:rPr>
        <w:t xml:space="preserve">how the sedative </w:t>
      </w:r>
      <w:r w:rsidR="00472520">
        <w:rPr>
          <w:rFonts w:ascii="Calibri" w:hAnsi="Calibri" w:cs="Calibri"/>
          <w:sz w:val="22"/>
          <w:szCs w:val="22"/>
        </w:rPr>
        <w:t>medicines</w:t>
      </w:r>
      <w:r w:rsidRPr="00B65196">
        <w:rPr>
          <w:rFonts w:ascii="Calibri" w:hAnsi="Calibri" w:cs="Calibri"/>
          <w:sz w:val="22"/>
          <w:szCs w:val="22"/>
        </w:rPr>
        <w:t xml:space="preserve"> were delivered to patients and how the A2B trial was implemented. </w:t>
      </w:r>
      <w:r w:rsidRPr="00852C5D">
        <w:rPr>
          <w:rFonts w:ascii="Calibri" w:hAnsi="Calibri" w:cs="Calibri"/>
          <w:sz w:val="22"/>
          <w:szCs w:val="22"/>
        </w:rPr>
        <w:t>Interview topics from 3</w:t>
      </w:r>
      <w:r>
        <w:rPr>
          <w:rFonts w:ascii="Calibri" w:hAnsi="Calibri" w:cs="Calibri"/>
          <w:sz w:val="22"/>
          <w:szCs w:val="22"/>
        </w:rPr>
        <w:t>6</w:t>
      </w:r>
      <w:r w:rsidRPr="00852C5D">
        <w:rPr>
          <w:rFonts w:ascii="Calibri" w:hAnsi="Calibri" w:cs="Calibri"/>
          <w:sz w:val="22"/>
          <w:szCs w:val="22"/>
        </w:rPr>
        <w:t xml:space="preserve"> staff in 12 ICUs (phase </w:t>
      </w:r>
      <w:r>
        <w:rPr>
          <w:rFonts w:ascii="Calibri" w:hAnsi="Calibri" w:cs="Calibri"/>
          <w:sz w:val="22"/>
          <w:szCs w:val="22"/>
        </w:rPr>
        <w:t>2</w:t>
      </w:r>
      <w:r w:rsidRPr="00852C5D">
        <w:rPr>
          <w:rFonts w:ascii="Calibri" w:hAnsi="Calibri" w:cs="Calibri"/>
          <w:sz w:val="22"/>
          <w:szCs w:val="22"/>
        </w:rPr>
        <w:t xml:space="preserve">) </w:t>
      </w:r>
      <w:r>
        <w:rPr>
          <w:rFonts w:ascii="Calibri" w:hAnsi="Calibri" w:cs="Calibri"/>
          <w:sz w:val="22"/>
          <w:szCs w:val="22"/>
        </w:rPr>
        <w:t>described</w:t>
      </w:r>
      <w:r w:rsidRPr="00B65196">
        <w:rPr>
          <w:rFonts w:ascii="Calibri" w:hAnsi="Calibri" w:cs="Calibri"/>
          <w:sz w:val="22"/>
          <w:szCs w:val="22"/>
        </w:rPr>
        <w:t xml:space="preserve"> </w:t>
      </w:r>
      <w:r w:rsidRPr="00756B36">
        <w:rPr>
          <w:rFonts w:ascii="Calibri" w:hAnsi="Calibri" w:cs="Calibri"/>
          <w:sz w:val="22"/>
          <w:szCs w:val="22"/>
        </w:rPr>
        <w:t>the clinicians' sedative preferences,</w:t>
      </w:r>
      <w:r w:rsidRPr="00B65196">
        <w:rPr>
          <w:rFonts w:ascii="Calibri" w:hAnsi="Calibri" w:cs="Calibri"/>
          <w:sz w:val="22"/>
          <w:szCs w:val="22"/>
        </w:rPr>
        <w:t xml:space="preserve"> </w:t>
      </w:r>
      <w:r w:rsidRPr="00756B36">
        <w:rPr>
          <w:rFonts w:ascii="Calibri" w:hAnsi="Calibri" w:cs="Calibri"/>
          <w:sz w:val="22"/>
          <w:szCs w:val="22"/>
        </w:rPr>
        <w:t xml:space="preserve">their level of comfort with uncertainty, any resistance they had to the trial, and </w:t>
      </w:r>
      <w:r>
        <w:rPr>
          <w:rFonts w:ascii="Calibri" w:hAnsi="Calibri" w:cs="Calibri"/>
          <w:sz w:val="22"/>
          <w:szCs w:val="22"/>
        </w:rPr>
        <w:t>staff</w:t>
      </w:r>
      <w:r w:rsidRPr="00756B36">
        <w:rPr>
          <w:rFonts w:ascii="Calibri" w:hAnsi="Calibri" w:cs="Calibri"/>
          <w:sz w:val="22"/>
          <w:szCs w:val="22"/>
        </w:rPr>
        <w:t xml:space="preserve"> skills and knowledge.</w:t>
      </w:r>
      <w:r>
        <w:rPr>
          <w:rFonts w:ascii="Calibri" w:hAnsi="Calibri" w:cs="Calibri"/>
          <w:sz w:val="22"/>
          <w:szCs w:val="22"/>
        </w:rPr>
        <w:t xml:space="preserve"> Other topics </w:t>
      </w:r>
      <w:r w:rsidRPr="00756B36">
        <w:rPr>
          <w:rFonts w:ascii="Calibri" w:hAnsi="Calibri" w:cs="Calibri"/>
          <w:sz w:val="22"/>
          <w:szCs w:val="22"/>
        </w:rPr>
        <w:t>involved concerns about patient safety, possible side effects, practices for deep sedation overnight, patient comfort, and management of trial paperwork.</w:t>
      </w:r>
      <w:r>
        <w:rPr>
          <w:rFonts w:ascii="Calibri" w:hAnsi="Calibri" w:cs="Calibri"/>
          <w:sz w:val="22"/>
          <w:szCs w:val="22"/>
        </w:rPr>
        <w:t xml:space="preserve"> </w:t>
      </w:r>
    </w:p>
    <w:p w14:paraId="65F3A659" w14:textId="77777777" w:rsidR="00902B45" w:rsidRDefault="00902B45" w:rsidP="000B7D82">
      <w:pPr>
        <w:spacing w:line="360" w:lineRule="auto"/>
        <w:rPr>
          <w:rFonts w:ascii="Calibri" w:hAnsi="Calibri" w:cs="Calibri"/>
          <w:sz w:val="22"/>
          <w:szCs w:val="22"/>
        </w:rPr>
      </w:pPr>
    </w:p>
    <w:p w14:paraId="4F418151" w14:textId="5B0361B7" w:rsidR="00902B45" w:rsidRDefault="00902B45" w:rsidP="000B7D82">
      <w:pPr>
        <w:spacing w:line="360" w:lineRule="auto"/>
        <w:rPr>
          <w:rFonts w:ascii="Calibri" w:hAnsi="Calibri" w:cs="Calibri"/>
          <w:sz w:val="22"/>
          <w:szCs w:val="22"/>
        </w:rPr>
      </w:pPr>
      <w:r>
        <w:rPr>
          <w:rFonts w:ascii="Calibri" w:hAnsi="Calibri" w:cs="Calibri"/>
          <w:sz w:val="22"/>
          <w:szCs w:val="22"/>
        </w:rPr>
        <w:t xml:space="preserve">We concluded that </w:t>
      </w:r>
      <w:r w:rsidRPr="00852C5D">
        <w:rPr>
          <w:rFonts w:ascii="Calibri" w:hAnsi="Calibri" w:cs="Calibri"/>
          <w:sz w:val="22"/>
          <w:szCs w:val="22"/>
        </w:rPr>
        <w:t xml:space="preserve">sedation practice </w:t>
      </w:r>
      <w:r>
        <w:rPr>
          <w:rFonts w:ascii="Calibri" w:hAnsi="Calibri" w:cs="Calibri"/>
          <w:sz w:val="22"/>
          <w:szCs w:val="22"/>
        </w:rPr>
        <w:t>depends on</w:t>
      </w:r>
      <w:r w:rsidRPr="00852C5D">
        <w:rPr>
          <w:rFonts w:ascii="Calibri" w:hAnsi="Calibri" w:cs="Calibri"/>
          <w:sz w:val="22"/>
          <w:szCs w:val="22"/>
        </w:rPr>
        <w:t xml:space="preserve"> factors related to clinic</w:t>
      </w:r>
      <w:r>
        <w:rPr>
          <w:rFonts w:ascii="Calibri" w:hAnsi="Calibri" w:cs="Calibri"/>
          <w:sz w:val="22"/>
          <w:szCs w:val="22"/>
        </w:rPr>
        <w:t>al staff’s o</w:t>
      </w:r>
      <w:r w:rsidRPr="00852C5D">
        <w:rPr>
          <w:rFonts w:ascii="Calibri" w:hAnsi="Calibri" w:cs="Calibri"/>
          <w:sz w:val="22"/>
          <w:szCs w:val="22"/>
        </w:rPr>
        <w:t>pinions, staffing levels</w:t>
      </w:r>
      <w:r>
        <w:rPr>
          <w:rFonts w:ascii="Calibri" w:hAnsi="Calibri" w:cs="Calibri"/>
          <w:sz w:val="22"/>
          <w:szCs w:val="22"/>
        </w:rPr>
        <w:t>,</w:t>
      </w:r>
      <w:r w:rsidRPr="00852C5D">
        <w:rPr>
          <w:rFonts w:ascii="Calibri" w:hAnsi="Calibri" w:cs="Calibri"/>
          <w:sz w:val="22"/>
          <w:szCs w:val="22"/>
        </w:rPr>
        <w:t xml:space="preserve"> and skills</w:t>
      </w:r>
      <w:r>
        <w:rPr>
          <w:rFonts w:ascii="Calibri" w:hAnsi="Calibri" w:cs="Calibri"/>
          <w:sz w:val="22"/>
          <w:szCs w:val="22"/>
        </w:rPr>
        <w:t xml:space="preserve">. </w:t>
      </w:r>
      <w:r w:rsidRPr="00852C5D">
        <w:rPr>
          <w:rFonts w:ascii="Calibri" w:hAnsi="Calibri" w:cs="Calibri"/>
          <w:sz w:val="22"/>
          <w:szCs w:val="22"/>
        </w:rPr>
        <w:t xml:space="preserve"> </w:t>
      </w:r>
      <w:r>
        <w:rPr>
          <w:rFonts w:ascii="Calibri" w:hAnsi="Calibri" w:cs="Calibri"/>
          <w:sz w:val="22"/>
          <w:szCs w:val="22"/>
        </w:rPr>
        <w:t>The p</w:t>
      </w:r>
      <w:r w:rsidRPr="00852C5D">
        <w:rPr>
          <w:rFonts w:ascii="Calibri" w:hAnsi="Calibri" w:cs="Calibri"/>
          <w:sz w:val="22"/>
          <w:szCs w:val="22"/>
        </w:rPr>
        <w:t xml:space="preserve">riorities </w:t>
      </w:r>
      <w:r>
        <w:rPr>
          <w:rFonts w:ascii="Calibri" w:hAnsi="Calibri" w:cs="Calibri"/>
          <w:sz w:val="22"/>
          <w:szCs w:val="22"/>
        </w:rPr>
        <w:t>for</w:t>
      </w:r>
      <w:r w:rsidRPr="00852C5D">
        <w:rPr>
          <w:rFonts w:ascii="Calibri" w:hAnsi="Calibri" w:cs="Calibri"/>
          <w:sz w:val="22"/>
          <w:szCs w:val="22"/>
        </w:rPr>
        <w:t xml:space="preserve"> care </w:t>
      </w:r>
      <w:r w:rsidR="005E0F58">
        <w:rPr>
          <w:rFonts w:ascii="Calibri" w:hAnsi="Calibri" w:cs="Calibri"/>
          <w:sz w:val="22"/>
          <w:szCs w:val="22"/>
        </w:rPr>
        <w:t xml:space="preserve">raised </w:t>
      </w:r>
      <w:r w:rsidR="00F26B68">
        <w:rPr>
          <w:rFonts w:ascii="Calibri" w:hAnsi="Calibri" w:cs="Calibri"/>
          <w:sz w:val="22"/>
          <w:szCs w:val="22"/>
        </w:rPr>
        <w:t xml:space="preserve">by </w:t>
      </w:r>
      <w:r w:rsidR="005E0F58">
        <w:rPr>
          <w:rFonts w:ascii="Calibri" w:hAnsi="Calibri" w:cs="Calibri"/>
          <w:sz w:val="22"/>
          <w:szCs w:val="22"/>
        </w:rPr>
        <w:t xml:space="preserve">participants </w:t>
      </w:r>
      <w:r>
        <w:rPr>
          <w:rFonts w:ascii="Calibri" w:hAnsi="Calibri" w:cs="Calibri"/>
          <w:sz w:val="22"/>
          <w:szCs w:val="22"/>
        </w:rPr>
        <w:t>are</w:t>
      </w:r>
      <w:r w:rsidRPr="00852C5D">
        <w:rPr>
          <w:rFonts w:ascii="Calibri" w:hAnsi="Calibri" w:cs="Calibri"/>
          <w:sz w:val="22"/>
          <w:szCs w:val="22"/>
        </w:rPr>
        <w:t xml:space="preserve"> </w:t>
      </w:r>
      <w:r>
        <w:rPr>
          <w:rFonts w:ascii="Calibri" w:hAnsi="Calibri" w:cs="Calibri"/>
          <w:sz w:val="22"/>
          <w:szCs w:val="22"/>
        </w:rPr>
        <w:t xml:space="preserve">patient </w:t>
      </w:r>
      <w:r w:rsidRPr="00852C5D">
        <w:rPr>
          <w:rFonts w:ascii="Calibri" w:hAnsi="Calibri" w:cs="Calibri"/>
          <w:sz w:val="22"/>
          <w:szCs w:val="22"/>
        </w:rPr>
        <w:t xml:space="preserve">safety and comfort. </w:t>
      </w:r>
    </w:p>
    <w:p w14:paraId="510B7873" w14:textId="77777777" w:rsidR="00315681" w:rsidRDefault="00315681" w:rsidP="000B7D82">
      <w:pPr>
        <w:spacing w:line="480" w:lineRule="auto"/>
        <w:rPr>
          <w:rFonts w:ascii="Calibri" w:eastAsiaTheme="majorEastAsia" w:hAnsi="Calibri" w:cs="Calibri"/>
          <w:b/>
          <w:bCs/>
          <w:color w:val="000000" w:themeColor="text1"/>
          <w:sz w:val="22"/>
          <w:szCs w:val="22"/>
          <w:u w:val="single"/>
        </w:rPr>
      </w:pPr>
      <w:r>
        <w:rPr>
          <w:rFonts w:ascii="Calibri" w:hAnsi="Calibri" w:cs="Calibri"/>
          <w:b/>
          <w:bCs/>
          <w:color w:val="000000" w:themeColor="text1"/>
          <w:sz w:val="22"/>
          <w:szCs w:val="22"/>
          <w:u w:val="single"/>
        </w:rPr>
        <w:br w:type="page"/>
      </w:r>
    </w:p>
    <w:bookmarkEnd w:id="0"/>
    <w:p w14:paraId="4018B722" w14:textId="062FC478" w:rsidR="006B06E8" w:rsidRDefault="008C33E3" w:rsidP="002358F3">
      <w:pPr>
        <w:pStyle w:val="Heading1"/>
        <w:spacing w:before="0" w:after="200" w:line="360" w:lineRule="auto"/>
        <w:jc w:val="both"/>
        <w:rPr>
          <w:rFonts w:ascii="Calibri" w:hAnsi="Calibri" w:cs="Calibri"/>
          <w:color w:val="FF0000"/>
          <w:sz w:val="22"/>
          <w:szCs w:val="22"/>
        </w:rPr>
      </w:pPr>
      <w:r>
        <w:rPr>
          <w:rFonts w:ascii="Calibri" w:hAnsi="Calibri" w:cs="Calibri"/>
          <w:b/>
          <w:bCs/>
          <w:color w:val="000000" w:themeColor="text1"/>
          <w:sz w:val="22"/>
          <w:szCs w:val="22"/>
          <w:u w:val="single"/>
        </w:rPr>
        <w:lastRenderedPageBreak/>
        <w:t>BACKGROUND</w:t>
      </w:r>
    </w:p>
    <w:p w14:paraId="35330C0B" w14:textId="60E07C1C" w:rsidR="005312DF" w:rsidRPr="006B06E8" w:rsidRDefault="006B06E8" w:rsidP="002358F3">
      <w:pPr>
        <w:spacing w:after="200" w:line="360" w:lineRule="auto"/>
        <w:jc w:val="both"/>
        <w:rPr>
          <w:rFonts w:ascii="Calibri" w:hAnsi="Calibri" w:cs="Calibri"/>
          <w:sz w:val="22"/>
          <w:szCs w:val="22"/>
        </w:rPr>
      </w:pPr>
      <w:r w:rsidRPr="006B06E8">
        <w:rPr>
          <w:rFonts w:ascii="Calibri" w:hAnsi="Calibri" w:cs="Calibri"/>
          <w:sz w:val="22"/>
          <w:szCs w:val="22"/>
        </w:rPr>
        <w:t xml:space="preserve">Sedation of critically ill patients is a core element of intensive care </w:t>
      </w:r>
      <w:r w:rsidR="004C0382">
        <w:rPr>
          <w:rFonts w:ascii="Calibri" w:hAnsi="Calibri" w:cs="Calibri"/>
          <w:sz w:val="22"/>
          <w:szCs w:val="22"/>
        </w:rPr>
        <w:t xml:space="preserve">(ICU) </w:t>
      </w:r>
      <w:r w:rsidRPr="006B06E8">
        <w:rPr>
          <w:rFonts w:ascii="Calibri" w:hAnsi="Calibri" w:cs="Calibri"/>
          <w:sz w:val="22"/>
          <w:szCs w:val="22"/>
        </w:rPr>
        <w:t xml:space="preserve">practice, </w:t>
      </w:r>
      <w:r w:rsidR="004C0382">
        <w:rPr>
          <w:rFonts w:ascii="Calibri" w:hAnsi="Calibri" w:cs="Calibri"/>
          <w:sz w:val="22"/>
          <w:szCs w:val="22"/>
        </w:rPr>
        <w:t xml:space="preserve">which aims </w:t>
      </w:r>
      <w:r w:rsidRPr="006B06E8">
        <w:rPr>
          <w:rFonts w:ascii="Calibri" w:hAnsi="Calibri" w:cs="Calibri"/>
          <w:sz w:val="22"/>
          <w:szCs w:val="22"/>
        </w:rPr>
        <w:t>to enable patients to tolerate</w:t>
      </w:r>
      <w:r w:rsidR="004F5214">
        <w:rPr>
          <w:rFonts w:ascii="Calibri" w:hAnsi="Calibri" w:cs="Calibri"/>
          <w:sz w:val="22"/>
          <w:szCs w:val="22"/>
        </w:rPr>
        <w:t xml:space="preserve"> mechanical ventilation</w:t>
      </w:r>
      <w:r w:rsidR="001B539F">
        <w:rPr>
          <w:rFonts w:ascii="Calibri" w:hAnsi="Calibri" w:cs="Calibri"/>
          <w:sz w:val="22"/>
          <w:szCs w:val="22"/>
        </w:rPr>
        <w:t xml:space="preserve"> and other care</w:t>
      </w:r>
      <w:r w:rsidR="004F5214">
        <w:rPr>
          <w:rFonts w:ascii="Calibri" w:hAnsi="Calibri" w:cs="Calibri"/>
          <w:sz w:val="22"/>
          <w:szCs w:val="22"/>
        </w:rPr>
        <w:t>,</w:t>
      </w:r>
      <w:r w:rsidR="00C7345D">
        <w:rPr>
          <w:rFonts w:ascii="Calibri" w:hAnsi="Calibri" w:cs="Calibri"/>
          <w:sz w:val="22"/>
          <w:szCs w:val="22"/>
        </w:rPr>
        <w:t xml:space="preserve"> </w:t>
      </w:r>
      <w:r w:rsidRPr="006B06E8">
        <w:rPr>
          <w:rFonts w:ascii="Calibri" w:hAnsi="Calibri" w:cs="Calibri"/>
          <w:sz w:val="22"/>
          <w:szCs w:val="22"/>
        </w:rPr>
        <w:t>minimise discomfort</w:t>
      </w:r>
      <w:r w:rsidR="004F5214">
        <w:rPr>
          <w:rFonts w:ascii="Calibri" w:hAnsi="Calibri" w:cs="Calibri"/>
          <w:sz w:val="22"/>
          <w:szCs w:val="22"/>
        </w:rPr>
        <w:t xml:space="preserve">, </w:t>
      </w:r>
      <w:r w:rsidR="00CB0F59">
        <w:rPr>
          <w:rFonts w:ascii="Calibri" w:hAnsi="Calibri" w:cs="Calibri"/>
          <w:sz w:val="22"/>
          <w:szCs w:val="22"/>
        </w:rPr>
        <w:t xml:space="preserve">promote sleep </w:t>
      </w:r>
      <w:r w:rsidRPr="006B06E8">
        <w:rPr>
          <w:rFonts w:ascii="Calibri" w:hAnsi="Calibri" w:cs="Calibri"/>
          <w:sz w:val="22"/>
          <w:szCs w:val="22"/>
        </w:rPr>
        <w:t xml:space="preserve">and </w:t>
      </w:r>
      <w:r w:rsidR="004C0382">
        <w:rPr>
          <w:rFonts w:ascii="Calibri" w:hAnsi="Calibri" w:cs="Calibri"/>
          <w:sz w:val="22"/>
          <w:szCs w:val="22"/>
        </w:rPr>
        <w:t xml:space="preserve">avoid </w:t>
      </w:r>
      <w:r w:rsidRPr="006B06E8">
        <w:rPr>
          <w:rFonts w:ascii="Calibri" w:hAnsi="Calibri" w:cs="Calibri"/>
          <w:sz w:val="22"/>
          <w:szCs w:val="22"/>
        </w:rPr>
        <w:t xml:space="preserve">agitation. </w:t>
      </w:r>
      <w:r w:rsidR="004C0382">
        <w:rPr>
          <w:rFonts w:ascii="Calibri" w:hAnsi="Calibri" w:cs="Calibri"/>
          <w:sz w:val="22"/>
          <w:szCs w:val="22"/>
        </w:rPr>
        <w:t>D</w:t>
      </w:r>
      <w:r w:rsidR="00C67E83">
        <w:rPr>
          <w:rFonts w:ascii="Calibri" w:hAnsi="Calibri" w:cs="Calibri"/>
          <w:sz w:val="22"/>
          <w:szCs w:val="22"/>
        </w:rPr>
        <w:t xml:space="preserve">eep sedation </w:t>
      </w:r>
      <w:r w:rsidR="004C0382">
        <w:rPr>
          <w:rFonts w:ascii="Calibri" w:hAnsi="Calibri" w:cs="Calibri"/>
          <w:sz w:val="22"/>
          <w:szCs w:val="22"/>
        </w:rPr>
        <w:t>is associated with</w:t>
      </w:r>
      <w:r w:rsidR="00C67E83">
        <w:rPr>
          <w:rFonts w:ascii="Calibri" w:hAnsi="Calibri" w:cs="Calibri"/>
          <w:sz w:val="22"/>
          <w:szCs w:val="22"/>
        </w:rPr>
        <w:t xml:space="preserve"> </w:t>
      </w:r>
      <w:r w:rsidR="00911951">
        <w:rPr>
          <w:rFonts w:ascii="Calibri" w:hAnsi="Calibri" w:cs="Calibri"/>
          <w:sz w:val="22"/>
          <w:szCs w:val="22"/>
        </w:rPr>
        <w:t xml:space="preserve">poorer </w:t>
      </w:r>
      <w:r w:rsidR="006A5642">
        <w:rPr>
          <w:rFonts w:ascii="Calibri" w:hAnsi="Calibri" w:cs="Calibri"/>
          <w:sz w:val="22"/>
          <w:szCs w:val="22"/>
        </w:rPr>
        <w:t>short-term</w:t>
      </w:r>
      <w:r w:rsidR="00C67E83">
        <w:rPr>
          <w:rFonts w:ascii="Calibri" w:hAnsi="Calibri" w:cs="Calibri"/>
          <w:sz w:val="22"/>
          <w:szCs w:val="22"/>
        </w:rPr>
        <w:t xml:space="preserve"> outcomes</w:t>
      </w:r>
      <w:r w:rsidR="00593F83">
        <w:rPr>
          <w:rFonts w:ascii="Calibri" w:hAnsi="Calibri" w:cs="Calibri"/>
          <w:sz w:val="22"/>
          <w:szCs w:val="22"/>
        </w:rPr>
        <w:t>,</w:t>
      </w:r>
      <w:r w:rsidR="005B23B0" w:rsidRPr="00EC6C09">
        <w:rPr>
          <w:rFonts w:ascii="Calibri" w:hAnsi="Calibri" w:cs="Calibri"/>
          <w:noProof/>
          <w:sz w:val="22"/>
          <w:szCs w:val="22"/>
          <w:vertAlign w:val="superscript"/>
        </w:rPr>
        <w:t>1</w:t>
      </w:r>
      <w:r w:rsidR="00593F83">
        <w:rPr>
          <w:rFonts w:ascii="Calibri" w:hAnsi="Calibri" w:cs="Calibri"/>
          <w:sz w:val="22"/>
          <w:szCs w:val="22"/>
        </w:rPr>
        <w:t xml:space="preserve"> </w:t>
      </w:r>
      <w:r w:rsidR="00DC3176">
        <w:rPr>
          <w:rFonts w:ascii="Calibri" w:hAnsi="Calibri" w:cs="Calibri"/>
          <w:sz w:val="22"/>
          <w:szCs w:val="22"/>
        </w:rPr>
        <w:t xml:space="preserve">but </w:t>
      </w:r>
      <w:r w:rsidR="00DE163F">
        <w:rPr>
          <w:rFonts w:ascii="Calibri" w:hAnsi="Calibri" w:cs="Calibri"/>
          <w:sz w:val="22"/>
          <w:szCs w:val="22"/>
        </w:rPr>
        <w:t xml:space="preserve">lighter sedation may </w:t>
      </w:r>
      <w:r w:rsidR="004A7103">
        <w:rPr>
          <w:rFonts w:ascii="Calibri" w:hAnsi="Calibri" w:cs="Calibri"/>
          <w:sz w:val="22"/>
          <w:szCs w:val="22"/>
        </w:rPr>
        <w:t xml:space="preserve">be </w:t>
      </w:r>
      <w:r w:rsidR="00A4165D">
        <w:rPr>
          <w:rFonts w:ascii="Calibri" w:hAnsi="Calibri" w:cs="Calibri"/>
          <w:sz w:val="22"/>
          <w:szCs w:val="22"/>
        </w:rPr>
        <w:t>deleterious</w:t>
      </w:r>
      <w:r w:rsidR="004C0382">
        <w:rPr>
          <w:rFonts w:ascii="Calibri" w:hAnsi="Calibri" w:cs="Calibri"/>
          <w:sz w:val="22"/>
          <w:szCs w:val="22"/>
        </w:rPr>
        <w:t>, including</w:t>
      </w:r>
      <w:r w:rsidR="00191E9C">
        <w:rPr>
          <w:rFonts w:ascii="Calibri" w:hAnsi="Calibri" w:cs="Calibri"/>
          <w:sz w:val="22"/>
          <w:szCs w:val="22"/>
        </w:rPr>
        <w:t xml:space="preserve"> </w:t>
      </w:r>
      <w:r w:rsidR="004C0382">
        <w:rPr>
          <w:rFonts w:ascii="Calibri" w:hAnsi="Calibri" w:cs="Calibri"/>
          <w:sz w:val="22"/>
          <w:szCs w:val="22"/>
        </w:rPr>
        <w:t xml:space="preserve">long-term </w:t>
      </w:r>
      <w:r w:rsidR="00911951">
        <w:rPr>
          <w:rFonts w:ascii="Calibri" w:hAnsi="Calibri" w:cs="Calibri"/>
          <w:sz w:val="22"/>
          <w:szCs w:val="22"/>
        </w:rPr>
        <w:t xml:space="preserve">psychological </w:t>
      </w:r>
      <w:r w:rsidR="004C0382">
        <w:rPr>
          <w:rFonts w:ascii="Calibri" w:hAnsi="Calibri" w:cs="Calibri"/>
          <w:sz w:val="22"/>
          <w:szCs w:val="22"/>
        </w:rPr>
        <w:t>well-being</w:t>
      </w:r>
      <w:r w:rsidR="00A320E9">
        <w:rPr>
          <w:rFonts w:ascii="Calibri" w:hAnsi="Calibri" w:cs="Calibri"/>
          <w:sz w:val="22"/>
          <w:szCs w:val="22"/>
        </w:rPr>
        <w:t>.</w:t>
      </w:r>
      <w:r w:rsidR="005B23B0" w:rsidRPr="00EC6C09">
        <w:rPr>
          <w:rFonts w:ascii="Calibri" w:hAnsi="Calibri" w:cs="Calibri"/>
          <w:noProof/>
          <w:sz w:val="22"/>
          <w:szCs w:val="22"/>
          <w:vertAlign w:val="superscript"/>
        </w:rPr>
        <w:t>2, 3</w:t>
      </w:r>
      <w:r w:rsidR="00191E9C">
        <w:rPr>
          <w:rFonts w:ascii="Calibri" w:hAnsi="Calibri" w:cs="Calibri"/>
          <w:sz w:val="22"/>
          <w:szCs w:val="22"/>
        </w:rPr>
        <w:t xml:space="preserve"> </w:t>
      </w:r>
      <w:r w:rsidR="004C0382">
        <w:rPr>
          <w:rFonts w:ascii="Calibri" w:hAnsi="Calibri" w:cs="Calibri"/>
          <w:sz w:val="22"/>
          <w:szCs w:val="22"/>
        </w:rPr>
        <w:t>P</w:t>
      </w:r>
      <w:r w:rsidR="00AC18DA">
        <w:rPr>
          <w:rFonts w:ascii="Calibri" w:hAnsi="Calibri" w:cs="Calibri"/>
          <w:sz w:val="22"/>
          <w:szCs w:val="22"/>
        </w:rPr>
        <w:t xml:space="preserve">ropofol is recommended </w:t>
      </w:r>
      <w:r w:rsidR="004D4ACE">
        <w:rPr>
          <w:rFonts w:ascii="Calibri" w:hAnsi="Calibri" w:cs="Calibri"/>
          <w:sz w:val="22"/>
          <w:szCs w:val="22"/>
        </w:rPr>
        <w:t xml:space="preserve">in guidelines </w:t>
      </w:r>
      <w:r w:rsidR="004C0382">
        <w:rPr>
          <w:rFonts w:ascii="Calibri" w:hAnsi="Calibri" w:cs="Calibri"/>
          <w:sz w:val="22"/>
          <w:szCs w:val="22"/>
        </w:rPr>
        <w:t xml:space="preserve">as a </w:t>
      </w:r>
      <w:r w:rsidR="00791B2B">
        <w:rPr>
          <w:rFonts w:ascii="Calibri" w:hAnsi="Calibri" w:cs="Calibri"/>
          <w:sz w:val="22"/>
          <w:szCs w:val="22"/>
        </w:rPr>
        <w:t>first line</w:t>
      </w:r>
      <w:r w:rsidR="00AC18DA">
        <w:rPr>
          <w:rFonts w:ascii="Calibri" w:hAnsi="Calibri" w:cs="Calibri"/>
          <w:sz w:val="22"/>
          <w:szCs w:val="22"/>
        </w:rPr>
        <w:t xml:space="preserve"> </w:t>
      </w:r>
      <w:r w:rsidR="004C0382">
        <w:rPr>
          <w:rFonts w:ascii="Calibri" w:hAnsi="Calibri" w:cs="Calibri"/>
          <w:sz w:val="22"/>
          <w:szCs w:val="22"/>
        </w:rPr>
        <w:t>sedative</w:t>
      </w:r>
      <w:r w:rsidR="004D4ACE">
        <w:rPr>
          <w:rFonts w:ascii="Calibri" w:hAnsi="Calibri" w:cs="Calibri"/>
          <w:sz w:val="22"/>
          <w:szCs w:val="22"/>
        </w:rPr>
        <w:t xml:space="preserve">, </w:t>
      </w:r>
      <w:r w:rsidR="004F5214">
        <w:rPr>
          <w:rFonts w:ascii="Calibri" w:hAnsi="Calibri" w:cs="Calibri"/>
          <w:sz w:val="22"/>
          <w:szCs w:val="22"/>
        </w:rPr>
        <w:t>typically</w:t>
      </w:r>
      <w:r w:rsidR="00723914">
        <w:rPr>
          <w:rFonts w:ascii="Calibri" w:hAnsi="Calibri" w:cs="Calibri"/>
          <w:sz w:val="22"/>
          <w:szCs w:val="22"/>
        </w:rPr>
        <w:t xml:space="preserve"> alongside an</w:t>
      </w:r>
      <w:r w:rsidR="004F5214">
        <w:rPr>
          <w:rFonts w:ascii="Calibri" w:hAnsi="Calibri" w:cs="Calibri"/>
          <w:sz w:val="22"/>
          <w:szCs w:val="22"/>
        </w:rPr>
        <w:t xml:space="preserve"> intravenous </w:t>
      </w:r>
      <w:r w:rsidR="004D4ACE">
        <w:rPr>
          <w:rFonts w:ascii="Calibri" w:hAnsi="Calibri" w:cs="Calibri"/>
          <w:sz w:val="22"/>
          <w:szCs w:val="22"/>
        </w:rPr>
        <w:t>opioid</w:t>
      </w:r>
      <w:r w:rsidR="00A2505D">
        <w:rPr>
          <w:rFonts w:ascii="Calibri" w:hAnsi="Calibri" w:cs="Calibri"/>
          <w:sz w:val="22"/>
          <w:szCs w:val="22"/>
        </w:rPr>
        <w:t xml:space="preserve"> infusio</w:t>
      </w:r>
      <w:r w:rsidR="00E0330F">
        <w:rPr>
          <w:rFonts w:ascii="Calibri" w:hAnsi="Calibri" w:cs="Calibri"/>
          <w:sz w:val="22"/>
          <w:szCs w:val="22"/>
        </w:rPr>
        <w:t>n</w:t>
      </w:r>
      <w:r w:rsidR="00CF58D1">
        <w:rPr>
          <w:rFonts w:ascii="Calibri" w:hAnsi="Calibri" w:cs="Calibri"/>
          <w:sz w:val="22"/>
          <w:szCs w:val="22"/>
        </w:rPr>
        <w:t>.</w:t>
      </w:r>
      <w:r w:rsidR="005B23B0" w:rsidRPr="00EC6C09">
        <w:rPr>
          <w:rFonts w:ascii="Calibri" w:hAnsi="Calibri" w:cs="Calibri"/>
          <w:noProof/>
          <w:sz w:val="22"/>
          <w:szCs w:val="22"/>
          <w:vertAlign w:val="superscript"/>
        </w:rPr>
        <w:t>4</w:t>
      </w:r>
      <w:r w:rsidR="00CF58D1">
        <w:rPr>
          <w:rFonts w:ascii="Calibri" w:hAnsi="Calibri" w:cs="Calibri"/>
          <w:sz w:val="22"/>
          <w:szCs w:val="22"/>
        </w:rPr>
        <w:t xml:space="preserve"> </w:t>
      </w:r>
      <w:r w:rsidR="00723914">
        <w:rPr>
          <w:rFonts w:ascii="Calibri" w:hAnsi="Calibri" w:cs="Calibri"/>
          <w:sz w:val="22"/>
          <w:szCs w:val="22"/>
        </w:rPr>
        <w:t>The a</w:t>
      </w:r>
      <w:r w:rsidR="00CF58D1">
        <w:rPr>
          <w:rFonts w:ascii="Calibri" w:hAnsi="Calibri" w:cs="Calibri"/>
          <w:sz w:val="22"/>
          <w:szCs w:val="22"/>
        </w:rPr>
        <w:t>lpha-2 agonist dexmedetomidine</w:t>
      </w:r>
      <w:r w:rsidR="004F5214">
        <w:rPr>
          <w:rFonts w:ascii="Calibri" w:hAnsi="Calibri" w:cs="Calibri"/>
          <w:sz w:val="22"/>
          <w:szCs w:val="22"/>
        </w:rPr>
        <w:t xml:space="preserve"> is </w:t>
      </w:r>
      <w:r w:rsidR="004C0382">
        <w:rPr>
          <w:rFonts w:ascii="Calibri" w:hAnsi="Calibri" w:cs="Calibri"/>
          <w:sz w:val="22"/>
          <w:szCs w:val="22"/>
        </w:rPr>
        <w:t xml:space="preserve">also </w:t>
      </w:r>
      <w:r w:rsidR="004F5214">
        <w:rPr>
          <w:rFonts w:ascii="Calibri" w:hAnsi="Calibri" w:cs="Calibri"/>
          <w:sz w:val="22"/>
          <w:szCs w:val="22"/>
        </w:rPr>
        <w:t>widely used internationally. Clonidine</w:t>
      </w:r>
      <w:r w:rsidR="00403600">
        <w:rPr>
          <w:rFonts w:ascii="Calibri" w:hAnsi="Calibri" w:cs="Calibri"/>
          <w:sz w:val="22"/>
          <w:szCs w:val="22"/>
        </w:rPr>
        <w:t>,</w:t>
      </w:r>
      <w:r w:rsidR="004F5214">
        <w:rPr>
          <w:rFonts w:ascii="Calibri" w:hAnsi="Calibri" w:cs="Calibri"/>
          <w:sz w:val="22"/>
          <w:szCs w:val="22"/>
        </w:rPr>
        <w:t xml:space="preserve"> a</w:t>
      </w:r>
      <w:r w:rsidR="004C0382">
        <w:rPr>
          <w:rFonts w:ascii="Calibri" w:hAnsi="Calibri" w:cs="Calibri"/>
          <w:sz w:val="22"/>
          <w:szCs w:val="22"/>
        </w:rPr>
        <w:t>n</w:t>
      </w:r>
      <w:r w:rsidR="004F5214">
        <w:rPr>
          <w:rFonts w:ascii="Calibri" w:hAnsi="Calibri" w:cs="Calibri"/>
          <w:sz w:val="22"/>
          <w:szCs w:val="22"/>
        </w:rPr>
        <w:t xml:space="preserve"> o</w:t>
      </w:r>
      <w:r w:rsidR="00363311">
        <w:rPr>
          <w:rFonts w:ascii="Calibri" w:hAnsi="Calibri" w:cs="Calibri"/>
          <w:sz w:val="22"/>
          <w:szCs w:val="22"/>
        </w:rPr>
        <w:t>l</w:t>
      </w:r>
      <w:r w:rsidR="004F5214">
        <w:rPr>
          <w:rFonts w:ascii="Calibri" w:hAnsi="Calibri" w:cs="Calibri"/>
          <w:sz w:val="22"/>
          <w:szCs w:val="22"/>
        </w:rPr>
        <w:t>der alpha-2 agonist</w:t>
      </w:r>
      <w:r w:rsidR="004C0382">
        <w:rPr>
          <w:rFonts w:ascii="Calibri" w:hAnsi="Calibri" w:cs="Calibri"/>
          <w:sz w:val="22"/>
          <w:szCs w:val="22"/>
        </w:rPr>
        <w:t xml:space="preserve"> with much lower alpha</w:t>
      </w:r>
      <w:r w:rsidR="002644D0">
        <w:rPr>
          <w:rFonts w:ascii="Calibri" w:hAnsi="Calibri" w:cs="Calibri"/>
          <w:sz w:val="22"/>
          <w:szCs w:val="22"/>
        </w:rPr>
        <w:t>-</w:t>
      </w:r>
      <w:r w:rsidR="004C0382">
        <w:rPr>
          <w:rFonts w:ascii="Calibri" w:hAnsi="Calibri" w:cs="Calibri"/>
          <w:sz w:val="22"/>
          <w:szCs w:val="22"/>
        </w:rPr>
        <w:t>2-receptor selectivity</w:t>
      </w:r>
      <w:r w:rsidR="00403600">
        <w:rPr>
          <w:rFonts w:ascii="Calibri" w:hAnsi="Calibri" w:cs="Calibri"/>
          <w:sz w:val="22"/>
          <w:szCs w:val="22"/>
        </w:rPr>
        <w:t>,</w:t>
      </w:r>
      <w:r w:rsidR="004F5214">
        <w:rPr>
          <w:rFonts w:ascii="Calibri" w:hAnsi="Calibri" w:cs="Calibri"/>
          <w:sz w:val="22"/>
          <w:szCs w:val="22"/>
        </w:rPr>
        <w:t xml:space="preserve"> is used widely in the UK.</w:t>
      </w:r>
      <w:r w:rsidR="005B23B0" w:rsidRPr="00EC6C09">
        <w:rPr>
          <w:rFonts w:ascii="Calibri" w:hAnsi="Calibri" w:cs="Calibri"/>
          <w:noProof/>
          <w:sz w:val="22"/>
          <w:szCs w:val="22"/>
          <w:vertAlign w:val="superscript"/>
        </w:rPr>
        <w:t>5</w:t>
      </w:r>
      <w:r w:rsidR="004F5214">
        <w:rPr>
          <w:rFonts w:ascii="Calibri" w:hAnsi="Calibri" w:cs="Calibri"/>
          <w:sz w:val="22"/>
          <w:szCs w:val="22"/>
        </w:rPr>
        <w:t xml:space="preserve"> Alpha-2-agonists are reported to </w:t>
      </w:r>
      <w:r w:rsidR="004C0382">
        <w:rPr>
          <w:rFonts w:ascii="Calibri" w:hAnsi="Calibri" w:cs="Calibri"/>
          <w:sz w:val="22"/>
          <w:szCs w:val="22"/>
        </w:rPr>
        <w:t>enable</w:t>
      </w:r>
      <w:r w:rsidR="004F5214">
        <w:rPr>
          <w:rFonts w:ascii="Calibri" w:hAnsi="Calibri" w:cs="Calibri"/>
          <w:sz w:val="22"/>
          <w:szCs w:val="22"/>
        </w:rPr>
        <w:t xml:space="preserve"> light sedation </w:t>
      </w:r>
      <w:r w:rsidR="004C0382">
        <w:rPr>
          <w:rFonts w:ascii="Calibri" w:hAnsi="Calibri" w:cs="Calibri"/>
          <w:sz w:val="22"/>
          <w:szCs w:val="22"/>
        </w:rPr>
        <w:t>with easily arousable patients</w:t>
      </w:r>
      <w:r w:rsidR="004F5214">
        <w:rPr>
          <w:rFonts w:ascii="Calibri" w:hAnsi="Calibri" w:cs="Calibri"/>
          <w:sz w:val="22"/>
          <w:szCs w:val="22"/>
        </w:rPr>
        <w:t xml:space="preserve"> and</w:t>
      </w:r>
      <w:r w:rsidR="004C0382">
        <w:rPr>
          <w:rFonts w:ascii="Calibri" w:hAnsi="Calibri" w:cs="Calibri"/>
          <w:sz w:val="22"/>
          <w:szCs w:val="22"/>
        </w:rPr>
        <w:t xml:space="preserve"> unlike propofol also</w:t>
      </w:r>
      <w:r w:rsidR="004F5214">
        <w:rPr>
          <w:rFonts w:ascii="Calibri" w:hAnsi="Calibri" w:cs="Calibri"/>
          <w:sz w:val="22"/>
          <w:szCs w:val="22"/>
        </w:rPr>
        <w:t xml:space="preserve"> </w:t>
      </w:r>
      <w:r w:rsidR="00CD38F3">
        <w:rPr>
          <w:rFonts w:ascii="Calibri" w:hAnsi="Calibri" w:cs="Calibri"/>
          <w:sz w:val="22"/>
          <w:szCs w:val="22"/>
        </w:rPr>
        <w:t>have</w:t>
      </w:r>
      <w:r w:rsidR="004F5214">
        <w:rPr>
          <w:rFonts w:ascii="Calibri" w:hAnsi="Calibri" w:cs="Calibri"/>
          <w:sz w:val="22"/>
          <w:szCs w:val="22"/>
        </w:rPr>
        <w:t xml:space="preserve"> </w:t>
      </w:r>
      <w:r w:rsidR="00CD38F3">
        <w:rPr>
          <w:rFonts w:ascii="Calibri" w:hAnsi="Calibri" w:cs="Calibri"/>
          <w:sz w:val="22"/>
          <w:szCs w:val="22"/>
        </w:rPr>
        <w:t xml:space="preserve">analgesic properties, </w:t>
      </w:r>
      <w:r w:rsidR="004F5214" w:rsidRPr="008B153E">
        <w:rPr>
          <w:rFonts w:ascii="Calibri" w:hAnsi="Calibri" w:cs="Calibri"/>
          <w:sz w:val="22"/>
          <w:szCs w:val="22"/>
        </w:rPr>
        <w:t xml:space="preserve">that </w:t>
      </w:r>
      <w:r w:rsidR="00363311" w:rsidRPr="008B153E">
        <w:rPr>
          <w:rFonts w:ascii="Calibri" w:hAnsi="Calibri" w:cs="Calibri"/>
          <w:sz w:val="22"/>
          <w:szCs w:val="22"/>
        </w:rPr>
        <w:t>could</w:t>
      </w:r>
      <w:r w:rsidR="004F5214" w:rsidRPr="008B153E">
        <w:rPr>
          <w:rFonts w:ascii="Calibri" w:hAnsi="Calibri" w:cs="Calibri"/>
          <w:sz w:val="22"/>
          <w:szCs w:val="22"/>
        </w:rPr>
        <w:t xml:space="preserve"> limit </w:t>
      </w:r>
      <w:r w:rsidR="00830631" w:rsidRPr="008B153E">
        <w:rPr>
          <w:rFonts w:ascii="Calibri" w:hAnsi="Calibri" w:cs="Calibri"/>
          <w:sz w:val="22"/>
          <w:szCs w:val="22"/>
        </w:rPr>
        <w:t>opioid</w:t>
      </w:r>
      <w:r w:rsidR="00CD38F3" w:rsidRPr="008B153E">
        <w:rPr>
          <w:rFonts w:ascii="Calibri" w:hAnsi="Calibri" w:cs="Calibri"/>
          <w:sz w:val="22"/>
          <w:szCs w:val="22"/>
        </w:rPr>
        <w:t xml:space="preserve"> use</w:t>
      </w:r>
      <w:r w:rsidR="004516D0" w:rsidRPr="008B153E">
        <w:rPr>
          <w:rFonts w:ascii="Calibri" w:hAnsi="Calibri" w:cs="Calibri"/>
          <w:sz w:val="22"/>
          <w:szCs w:val="22"/>
        </w:rPr>
        <w:t xml:space="preserve"> although evidence is inconclusive</w:t>
      </w:r>
      <w:r w:rsidR="00A83075" w:rsidRPr="008B153E">
        <w:rPr>
          <w:rFonts w:ascii="Calibri" w:hAnsi="Calibri" w:cs="Calibri"/>
          <w:sz w:val="22"/>
          <w:szCs w:val="22"/>
        </w:rPr>
        <w:t>.</w:t>
      </w:r>
      <w:r w:rsidR="005B23B0" w:rsidRPr="008B153E">
        <w:rPr>
          <w:rFonts w:ascii="Calibri" w:hAnsi="Calibri" w:cs="Calibri"/>
          <w:noProof/>
          <w:sz w:val="22"/>
          <w:szCs w:val="22"/>
          <w:vertAlign w:val="superscript"/>
        </w:rPr>
        <w:t>6, 7</w:t>
      </w:r>
      <w:r w:rsidR="00DB104E" w:rsidRPr="008B153E">
        <w:rPr>
          <w:rFonts w:ascii="Calibri" w:hAnsi="Calibri" w:cs="Calibri"/>
          <w:sz w:val="22"/>
          <w:szCs w:val="22"/>
        </w:rPr>
        <w:t xml:space="preserve"> </w:t>
      </w:r>
      <w:r w:rsidRPr="008B153E">
        <w:rPr>
          <w:rFonts w:ascii="Calibri" w:hAnsi="Calibri" w:cs="Calibri"/>
          <w:sz w:val="22"/>
          <w:szCs w:val="22"/>
        </w:rPr>
        <w:t xml:space="preserve">The </w:t>
      </w:r>
      <w:r w:rsidR="004C0382" w:rsidRPr="008B153E">
        <w:rPr>
          <w:rFonts w:ascii="Calibri" w:hAnsi="Calibri" w:cs="Calibri"/>
          <w:i/>
          <w:iCs/>
          <w:sz w:val="22"/>
          <w:szCs w:val="22"/>
        </w:rPr>
        <w:t>‘A</w:t>
      </w:r>
      <w:r w:rsidRPr="008B153E">
        <w:rPr>
          <w:rFonts w:ascii="Calibri" w:hAnsi="Calibri" w:cs="Calibri"/>
          <w:i/>
          <w:iCs/>
          <w:sz w:val="22"/>
          <w:szCs w:val="22"/>
        </w:rPr>
        <w:t>lpha</w:t>
      </w:r>
      <w:r w:rsidR="0011774F" w:rsidRPr="008B153E">
        <w:rPr>
          <w:rFonts w:ascii="Calibri" w:hAnsi="Calibri" w:cs="Calibri"/>
          <w:i/>
          <w:iCs/>
          <w:sz w:val="22"/>
          <w:szCs w:val="22"/>
        </w:rPr>
        <w:t>-</w:t>
      </w:r>
      <w:r w:rsidRPr="008B153E">
        <w:rPr>
          <w:rFonts w:ascii="Calibri" w:hAnsi="Calibri" w:cs="Calibri"/>
          <w:i/>
          <w:iCs/>
          <w:sz w:val="22"/>
          <w:szCs w:val="22"/>
        </w:rPr>
        <w:t>2 agonists for sedation to produce better outcomes from critical illness (A2B)</w:t>
      </w:r>
      <w:r w:rsidR="004C0382" w:rsidRPr="008B153E">
        <w:rPr>
          <w:rFonts w:ascii="Calibri" w:hAnsi="Calibri" w:cs="Calibri"/>
          <w:i/>
          <w:iCs/>
          <w:sz w:val="22"/>
          <w:szCs w:val="22"/>
        </w:rPr>
        <w:t>’</w:t>
      </w:r>
      <w:r w:rsidRPr="008B153E">
        <w:rPr>
          <w:rFonts w:ascii="Calibri" w:hAnsi="Calibri" w:cs="Calibri"/>
          <w:sz w:val="22"/>
          <w:szCs w:val="22"/>
        </w:rPr>
        <w:t xml:space="preserve"> multisite open-label </w:t>
      </w:r>
      <w:r w:rsidR="0090339F" w:rsidRPr="008B153E">
        <w:rPr>
          <w:rFonts w:ascii="Calibri" w:hAnsi="Calibri" w:cs="Calibri"/>
          <w:sz w:val="22"/>
          <w:szCs w:val="22"/>
        </w:rPr>
        <w:t xml:space="preserve">3-arm </w:t>
      </w:r>
      <w:r w:rsidRPr="008B153E">
        <w:rPr>
          <w:rFonts w:ascii="Calibri" w:hAnsi="Calibri" w:cs="Calibri"/>
          <w:sz w:val="22"/>
          <w:szCs w:val="22"/>
        </w:rPr>
        <w:t xml:space="preserve">randomised controlled trial was designed to examine the effectiveness of </w:t>
      </w:r>
      <w:r w:rsidR="001945CB" w:rsidRPr="008B153E">
        <w:rPr>
          <w:rFonts w:ascii="Calibri" w:hAnsi="Calibri" w:cs="Calibri"/>
          <w:sz w:val="22"/>
          <w:szCs w:val="22"/>
        </w:rPr>
        <w:t>d</w:t>
      </w:r>
      <w:r w:rsidRPr="008B153E">
        <w:rPr>
          <w:rFonts w:ascii="Calibri" w:hAnsi="Calibri" w:cs="Calibri"/>
          <w:sz w:val="22"/>
          <w:szCs w:val="22"/>
        </w:rPr>
        <w:t>exmedetomi</w:t>
      </w:r>
      <w:r w:rsidR="009F7B9F" w:rsidRPr="008B153E">
        <w:rPr>
          <w:rFonts w:ascii="Calibri" w:hAnsi="Calibri" w:cs="Calibri"/>
          <w:sz w:val="22"/>
          <w:szCs w:val="22"/>
        </w:rPr>
        <w:t>din</w:t>
      </w:r>
      <w:r w:rsidRPr="008B153E">
        <w:rPr>
          <w:rFonts w:ascii="Calibri" w:hAnsi="Calibri" w:cs="Calibri"/>
          <w:sz w:val="22"/>
          <w:szCs w:val="22"/>
        </w:rPr>
        <w:t xml:space="preserve">e </w:t>
      </w:r>
      <w:r w:rsidR="003A77D6" w:rsidRPr="008B153E">
        <w:rPr>
          <w:rFonts w:ascii="Calibri" w:hAnsi="Calibri" w:cs="Calibri"/>
          <w:sz w:val="22"/>
          <w:szCs w:val="22"/>
        </w:rPr>
        <w:t xml:space="preserve">or </w:t>
      </w:r>
      <w:r w:rsidR="001945CB" w:rsidRPr="008B153E">
        <w:rPr>
          <w:rFonts w:ascii="Calibri" w:hAnsi="Calibri" w:cs="Calibri"/>
          <w:sz w:val="22"/>
          <w:szCs w:val="22"/>
        </w:rPr>
        <w:t>c</w:t>
      </w:r>
      <w:r w:rsidRPr="008B153E">
        <w:rPr>
          <w:rFonts w:ascii="Calibri" w:hAnsi="Calibri" w:cs="Calibri"/>
          <w:sz w:val="22"/>
          <w:szCs w:val="22"/>
        </w:rPr>
        <w:t>lonidine, compared to usual sedation practice</w:t>
      </w:r>
      <w:r w:rsidR="00363311" w:rsidRPr="008B153E">
        <w:rPr>
          <w:rFonts w:ascii="Calibri" w:hAnsi="Calibri" w:cs="Calibri"/>
          <w:sz w:val="22"/>
          <w:szCs w:val="22"/>
        </w:rPr>
        <w:t xml:space="preserve"> (propofol)</w:t>
      </w:r>
      <w:r w:rsidRPr="008B153E">
        <w:rPr>
          <w:rFonts w:ascii="Calibri" w:hAnsi="Calibri" w:cs="Calibri"/>
          <w:sz w:val="22"/>
          <w:szCs w:val="22"/>
        </w:rPr>
        <w:t>.</w:t>
      </w:r>
      <w:r w:rsidR="002A6C56" w:rsidRPr="008B153E">
        <w:rPr>
          <w:rFonts w:ascii="Calibri" w:hAnsi="Calibri" w:cs="Calibri"/>
          <w:sz w:val="22"/>
          <w:szCs w:val="22"/>
        </w:rPr>
        <w:t xml:space="preserve"> Patients were randomised to receive </w:t>
      </w:r>
      <w:r w:rsidR="009279DA" w:rsidRPr="008B153E">
        <w:rPr>
          <w:rFonts w:ascii="Calibri" w:hAnsi="Calibri" w:cs="Calibri"/>
          <w:sz w:val="22"/>
          <w:szCs w:val="22"/>
        </w:rPr>
        <w:t xml:space="preserve">either dexmedetomidine-based sedation or clonidine-based sedation or </w:t>
      </w:r>
      <w:r w:rsidR="00B229E7" w:rsidRPr="008B153E">
        <w:rPr>
          <w:rFonts w:ascii="Calibri" w:hAnsi="Calibri" w:cs="Calibri"/>
          <w:sz w:val="22"/>
          <w:szCs w:val="22"/>
        </w:rPr>
        <w:t>usual (propofol-based) sedation as their primary sedative.</w:t>
      </w:r>
      <w:r w:rsidRPr="008B153E">
        <w:rPr>
          <w:rFonts w:ascii="Calibri" w:hAnsi="Calibri" w:cs="Calibri"/>
          <w:sz w:val="22"/>
          <w:szCs w:val="22"/>
        </w:rPr>
        <w:t xml:space="preserve"> </w:t>
      </w:r>
      <w:r w:rsidR="005312DF" w:rsidRPr="008B153E">
        <w:rPr>
          <w:rFonts w:ascii="Calibri" w:hAnsi="Calibri" w:cs="Calibri"/>
          <w:sz w:val="22"/>
          <w:szCs w:val="22"/>
        </w:rPr>
        <w:t>The primary outcome was ‘time to successful extubation’. A range of hospital-based secondary outcomes were measured, including mortality, time to ICU discharge, measures of sedation quality, rates of delirium, and rates of daily cardiovascular adverse events (severe bradycardia, cardiac arrhythmias, and cardiac arrest).</w:t>
      </w:r>
      <w:r w:rsidR="005312DF">
        <w:rPr>
          <w:rFonts w:ascii="Calibri" w:hAnsi="Calibri" w:cs="Calibri"/>
          <w:sz w:val="22"/>
          <w:szCs w:val="22"/>
        </w:rPr>
        <w:t xml:space="preserve"> </w:t>
      </w:r>
    </w:p>
    <w:p w14:paraId="0261D971" w14:textId="5880FB0F" w:rsidR="006B06E8" w:rsidRPr="00E97C3C" w:rsidRDefault="00EF35A6" w:rsidP="002358F3">
      <w:pPr>
        <w:spacing w:after="200" w:line="360" w:lineRule="auto"/>
        <w:jc w:val="both"/>
        <w:rPr>
          <w:rFonts w:ascii="Calibri" w:hAnsi="Calibri" w:cs="Calibri"/>
          <w:sz w:val="22"/>
          <w:szCs w:val="22"/>
        </w:rPr>
      </w:pPr>
      <w:r w:rsidRPr="00E97C3C">
        <w:rPr>
          <w:rFonts w:ascii="Calibri" w:hAnsi="Calibri" w:cs="Calibri"/>
          <w:sz w:val="22"/>
          <w:szCs w:val="22"/>
        </w:rPr>
        <w:t xml:space="preserve">Given the complexity of </w:t>
      </w:r>
      <w:r w:rsidR="006B06E8" w:rsidRPr="00E97C3C">
        <w:rPr>
          <w:rFonts w:ascii="Calibri" w:hAnsi="Calibri" w:cs="Calibri"/>
          <w:sz w:val="22"/>
          <w:szCs w:val="22"/>
        </w:rPr>
        <w:t>ICU sedation practice</w:t>
      </w:r>
      <w:r w:rsidR="00885BB2" w:rsidRPr="00E97C3C">
        <w:rPr>
          <w:rFonts w:ascii="Calibri" w:hAnsi="Calibri" w:cs="Calibri"/>
          <w:sz w:val="22"/>
          <w:szCs w:val="22"/>
        </w:rPr>
        <w:t>,</w:t>
      </w:r>
      <w:r w:rsidRPr="00E97C3C">
        <w:rPr>
          <w:rFonts w:ascii="Calibri" w:hAnsi="Calibri" w:cs="Calibri"/>
          <w:sz w:val="22"/>
          <w:szCs w:val="22"/>
        </w:rPr>
        <w:t xml:space="preserve"> the contextual differences between ICUs</w:t>
      </w:r>
      <w:r w:rsidR="00885BB2" w:rsidRPr="00E97C3C">
        <w:rPr>
          <w:rFonts w:ascii="Calibri" w:hAnsi="Calibri" w:cs="Calibri"/>
          <w:sz w:val="22"/>
          <w:szCs w:val="22"/>
        </w:rPr>
        <w:t xml:space="preserve">, </w:t>
      </w:r>
      <w:r w:rsidR="00F63BA4" w:rsidRPr="00E97C3C">
        <w:rPr>
          <w:rFonts w:ascii="Calibri" w:hAnsi="Calibri" w:cs="Calibri"/>
          <w:sz w:val="22"/>
          <w:szCs w:val="22"/>
        </w:rPr>
        <w:t>and likely variations in both</w:t>
      </w:r>
      <w:r w:rsidR="006B06E8" w:rsidRPr="00E97C3C">
        <w:rPr>
          <w:rFonts w:ascii="Calibri" w:hAnsi="Calibri" w:cs="Calibri"/>
          <w:sz w:val="22"/>
          <w:szCs w:val="22"/>
        </w:rPr>
        <w:t xml:space="preserve"> </w:t>
      </w:r>
      <w:r w:rsidR="00F63BA4" w:rsidRPr="00E97C3C">
        <w:rPr>
          <w:rFonts w:ascii="Calibri" w:hAnsi="Calibri" w:cs="Calibri"/>
          <w:sz w:val="22"/>
          <w:szCs w:val="22"/>
        </w:rPr>
        <w:t xml:space="preserve">organisational </w:t>
      </w:r>
      <w:r w:rsidR="005C02D0" w:rsidRPr="00E97C3C">
        <w:rPr>
          <w:rFonts w:ascii="Calibri" w:hAnsi="Calibri" w:cs="Calibri"/>
          <w:sz w:val="22"/>
          <w:szCs w:val="22"/>
        </w:rPr>
        <w:t xml:space="preserve">(i.e. unit culture and structure, resources) </w:t>
      </w:r>
      <w:r w:rsidR="00F63BA4" w:rsidRPr="00E97C3C">
        <w:rPr>
          <w:rFonts w:ascii="Calibri" w:hAnsi="Calibri" w:cs="Calibri"/>
          <w:sz w:val="22"/>
          <w:szCs w:val="22"/>
        </w:rPr>
        <w:t xml:space="preserve">and participant-related factors </w:t>
      </w:r>
      <w:r w:rsidR="005C02D0" w:rsidRPr="00E97C3C">
        <w:rPr>
          <w:rFonts w:ascii="Calibri" w:hAnsi="Calibri" w:cs="Calibri"/>
          <w:sz w:val="22"/>
          <w:szCs w:val="22"/>
        </w:rPr>
        <w:t xml:space="preserve">(i.e. </w:t>
      </w:r>
      <w:r w:rsidR="00F63BA4" w:rsidRPr="00E97C3C">
        <w:rPr>
          <w:rFonts w:ascii="Calibri" w:hAnsi="Calibri" w:cs="Calibri"/>
          <w:sz w:val="22"/>
          <w:szCs w:val="22"/>
        </w:rPr>
        <w:t>usual practice</w:t>
      </w:r>
      <w:r w:rsidR="00410FD2" w:rsidRPr="00E97C3C">
        <w:rPr>
          <w:rFonts w:ascii="Calibri" w:hAnsi="Calibri" w:cs="Calibri"/>
          <w:sz w:val="22"/>
          <w:szCs w:val="22"/>
        </w:rPr>
        <w:t>, clinical decision making, perceptions of risk</w:t>
      </w:r>
      <w:r w:rsidR="00F63BA4" w:rsidRPr="00E97C3C">
        <w:rPr>
          <w:rFonts w:ascii="Calibri" w:hAnsi="Calibri" w:cs="Calibri"/>
          <w:sz w:val="22"/>
          <w:szCs w:val="22"/>
        </w:rPr>
        <w:t>)</w:t>
      </w:r>
      <w:r w:rsidR="000C1236" w:rsidRPr="00E97C3C">
        <w:rPr>
          <w:rFonts w:ascii="Calibri" w:hAnsi="Calibri" w:cs="Calibri"/>
          <w:sz w:val="22"/>
          <w:szCs w:val="22"/>
        </w:rPr>
        <w:t>,</w:t>
      </w:r>
      <w:r w:rsidR="004C0382">
        <w:rPr>
          <w:rFonts w:ascii="Calibri" w:hAnsi="Calibri" w:cs="Calibri"/>
          <w:sz w:val="22"/>
          <w:szCs w:val="22"/>
        </w:rPr>
        <w:t xml:space="preserve"> </w:t>
      </w:r>
      <w:r w:rsidR="000C1236" w:rsidRPr="00E97C3C">
        <w:rPr>
          <w:rFonts w:ascii="Calibri" w:hAnsi="Calibri" w:cs="Calibri"/>
          <w:sz w:val="22"/>
          <w:szCs w:val="22"/>
        </w:rPr>
        <w:t xml:space="preserve">multi-centre trials such as this require </w:t>
      </w:r>
      <w:r w:rsidR="001D30D3" w:rsidRPr="00E97C3C">
        <w:rPr>
          <w:rFonts w:ascii="Calibri" w:hAnsi="Calibri" w:cs="Calibri"/>
          <w:sz w:val="22"/>
          <w:szCs w:val="22"/>
        </w:rPr>
        <w:t xml:space="preserve">exploration of the context and </w:t>
      </w:r>
      <w:r w:rsidR="000C1236" w:rsidRPr="00E97C3C">
        <w:rPr>
          <w:rFonts w:ascii="Calibri" w:hAnsi="Calibri" w:cs="Calibri"/>
          <w:sz w:val="22"/>
          <w:szCs w:val="22"/>
        </w:rPr>
        <w:t xml:space="preserve">assessment of </w:t>
      </w:r>
      <w:r w:rsidR="004C0382">
        <w:rPr>
          <w:rFonts w:ascii="Calibri" w:hAnsi="Calibri" w:cs="Calibri"/>
          <w:sz w:val="22"/>
          <w:szCs w:val="22"/>
        </w:rPr>
        <w:t>intervention</w:t>
      </w:r>
      <w:r w:rsidR="000C1236" w:rsidRPr="00E97C3C">
        <w:rPr>
          <w:rFonts w:ascii="Calibri" w:hAnsi="Calibri" w:cs="Calibri"/>
          <w:sz w:val="22"/>
          <w:szCs w:val="22"/>
        </w:rPr>
        <w:t xml:space="preserve"> fidelity to better </w:t>
      </w:r>
      <w:r w:rsidR="00363311" w:rsidRPr="00E97C3C">
        <w:rPr>
          <w:rFonts w:ascii="Calibri" w:hAnsi="Calibri" w:cs="Calibri"/>
          <w:sz w:val="22"/>
          <w:szCs w:val="22"/>
        </w:rPr>
        <w:t>interpret the findings</w:t>
      </w:r>
      <w:r w:rsidR="000C1236" w:rsidRPr="00E97C3C">
        <w:rPr>
          <w:rFonts w:ascii="Calibri" w:hAnsi="Calibri" w:cs="Calibri"/>
          <w:sz w:val="22"/>
          <w:szCs w:val="22"/>
        </w:rPr>
        <w:t xml:space="preserve">. For the A2B trial, we embedded a bi-phase process evaluation to </w:t>
      </w:r>
      <w:r w:rsidR="00C36DAA">
        <w:rPr>
          <w:rFonts w:ascii="Calibri" w:hAnsi="Calibri" w:cs="Calibri"/>
          <w:sz w:val="22"/>
          <w:szCs w:val="22"/>
        </w:rPr>
        <w:t>assess</w:t>
      </w:r>
      <w:r w:rsidR="000C1236" w:rsidRPr="00E97C3C">
        <w:rPr>
          <w:rFonts w:ascii="Calibri" w:hAnsi="Calibri" w:cs="Calibri"/>
          <w:sz w:val="22"/>
          <w:szCs w:val="22"/>
        </w:rPr>
        <w:t xml:space="preserve"> </w:t>
      </w:r>
      <w:r w:rsidR="000F32EB">
        <w:rPr>
          <w:rFonts w:ascii="Calibri" w:hAnsi="Calibri" w:cs="Calibri"/>
          <w:sz w:val="22"/>
          <w:szCs w:val="22"/>
        </w:rPr>
        <w:t xml:space="preserve">variation and perceived impact of the above factors when </w:t>
      </w:r>
      <w:r w:rsidR="00F0653B" w:rsidRPr="00E97C3C">
        <w:rPr>
          <w:rFonts w:ascii="Calibri" w:hAnsi="Calibri" w:cs="Calibri"/>
          <w:sz w:val="22"/>
          <w:szCs w:val="22"/>
        </w:rPr>
        <w:t>implementing a three-</w:t>
      </w:r>
      <w:r w:rsidR="00FB6D02" w:rsidRPr="00E97C3C">
        <w:rPr>
          <w:rFonts w:ascii="Calibri" w:hAnsi="Calibri" w:cs="Calibri"/>
          <w:sz w:val="22"/>
          <w:szCs w:val="22"/>
        </w:rPr>
        <w:t>arm</w:t>
      </w:r>
      <w:r w:rsidR="00F0653B" w:rsidRPr="00E97C3C">
        <w:rPr>
          <w:rFonts w:ascii="Calibri" w:hAnsi="Calibri" w:cs="Calibri"/>
          <w:sz w:val="22"/>
          <w:szCs w:val="22"/>
        </w:rPr>
        <w:t xml:space="preserve"> sedati</w:t>
      </w:r>
      <w:r w:rsidR="00FB6D02" w:rsidRPr="00E97C3C">
        <w:rPr>
          <w:rFonts w:ascii="Calibri" w:hAnsi="Calibri" w:cs="Calibri"/>
          <w:sz w:val="22"/>
          <w:szCs w:val="22"/>
        </w:rPr>
        <w:t>on</w:t>
      </w:r>
      <w:r w:rsidR="00F0653B" w:rsidRPr="00E97C3C">
        <w:rPr>
          <w:rFonts w:ascii="Calibri" w:hAnsi="Calibri" w:cs="Calibri"/>
          <w:sz w:val="22"/>
          <w:szCs w:val="22"/>
        </w:rPr>
        <w:t xml:space="preserve"> intervention</w:t>
      </w:r>
      <w:r w:rsidR="009719DA">
        <w:rPr>
          <w:rFonts w:ascii="Calibri" w:hAnsi="Calibri" w:cs="Calibri"/>
          <w:sz w:val="22"/>
          <w:szCs w:val="22"/>
        </w:rPr>
        <w:t>al trial</w:t>
      </w:r>
      <w:r w:rsidR="00FB6D02" w:rsidRPr="00E97C3C">
        <w:rPr>
          <w:rFonts w:ascii="Calibri" w:hAnsi="Calibri" w:cs="Calibri"/>
          <w:sz w:val="22"/>
          <w:szCs w:val="22"/>
        </w:rPr>
        <w:t xml:space="preserve"> and the </w:t>
      </w:r>
      <w:r w:rsidR="00270C6F" w:rsidRPr="00E97C3C">
        <w:rPr>
          <w:rFonts w:ascii="Calibri" w:hAnsi="Calibri" w:cs="Calibri"/>
          <w:sz w:val="22"/>
          <w:szCs w:val="22"/>
        </w:rPr>
        <w:t xml:space="preserve">likely impact </w:t>
      </w:r>
      <w:r w:rsidR="009719DA">
        <w:rPr>
          <w:rFonts w:ascii="Calibri" w:hAnsi="Calibri" w:cs="Calibri"/>
          <w:sz w:val="22"/>
          <w:szCs w:val="22"/>
        </w:rPr>
        <w:t xml:space="preserve">of this </w:t>
      </w:r>
      <w:r w:rsidR="00270C6F" w:rsidRPr="00E97C3C">
        <w:rPr>
          <w:rFonts w:ascii="Calibri" w:hAnsi="Calibri" w:cs="Calibri"/>
          <w:sz w:val="22"/>
          <w:szCs w:val="22"/>
        </w:rPr>
        <w:t xml:space="preserve">on </w:t>
      </w:r>
      <w:r w:rsidR="00627E58">
        <w:rPr>
          <w:rFonts w:ascii="Calibri" w:hAnsi="Calibri" w:cs="Calibri"/>
          <w:sz w:val="22"/>
          <w:szCs w:val="22"/>
        </w:rPr>
        <w:t xml:space="preserve">trial </w:t>
      </w:r>
      <w:r w:rsidR="00270C6F" w:rsidRPr="00E97C3C">
        <w:rPr>
          <w:rFonts w:ascii="Calibri" w:hAnsi="Calibri" w:cs="Calibri"/>
          <w:sz w:val="22"/>
          <w:szCs w:val="22"/>
        </w:rPr>
        <w:t>outcome</w:t>
      </w:r>
      <w:r w:rsidR="00F0653B" w:rsidRPr="00E97C3C">
        <w:rPr>
          <w:rFonts w:ascii="Calibri" w:hAnsi="Calibri" w:cs="Calibri"/>
          <w:sz w:val="22"/>
          <w:szCs w:val="22"/>
        </w:rPr>
        <w:t xml:space="preserve">. </w:t>
      </w:r>
    </w:p>
    <w:p w14:paraId="7EDF768D" w14:textId="77777777" w:rsidR="008C33E3" w:rsidRPr="009B3B97" w:rsidRDefault="008C33E3" w:rsidP="002358F3">
      <w:pPr>
        <w:spacing w:after="200" w:line="360" w:lineRule="auto"/>
        <w:jc w:val="both"/>
        <w:rPr>
          <w:rFonts w:ascii="Calibri" w:hAnsi="Calibri" w:cs="Calibri"/>
          <w:sz w:val="22"/>
          <w:szCs w:val="22"/>
        </w:rPr>
      </w:pPr>
      <w:r>
        <w:rPr>
          <w:rFonts w:ascii="Calibri" w:hAnsi="Calibri" w:cs="Calibri"/>
          <w:b/>
          <w:bCs/>
          <w:color w:val="000000" w:themeColor="text1"/>
          <w:sz w:val="22"/>
          <w:szCs w:val="22"/>
          <w:u w:val="single"/>
        </w:rPr>
        <w:t xml:space="preserve">AIMS AND </w:t>
      </w:r>
      <w:r w:rsidRPr="009B3B97">
        <w:rPr>
          <w:rFonts w:ascii="Calibri" w:hAnsi="Calibri" w:cs="Calibri"/>
          <w:b/>
          <w:bCs/>
          <w:sz w:val="22"/>
          <w:szCs w:val="22"/>
          <w:u w:val="single"/>
        </w:rPr>
        <w:t>OBJECTIVES</w:t>
      </w:r>
      <w:r w:rsidR="004E7153" w:rsidRPr="009B3B97">
        <w:rPr>
          <w:rFonts w:ascii="Calibri" w:hAnsi="Calibri" w:cs="Calibri"/>
          <w:sz w:val="22"/>
          <w:szCs w:val="22"/>
        </w:rPr>
        <w:t xml:space="preserve"> </w:t>
      </w:r>
    </w:p>
    <w:p w14:paraId="5DD3E966" w14:textId="77777777" w:rsidR="006B06E8" w:rsidRPr="006B06E8" w:rsidRDefault="006B06E8" w:rsidP="002358F3">
      <w:pPr>
        <w:spacing w:after="200" w:line="360" w:lineRule="auto"/>
        <w:jc w:val="both"/>
        <w:rPr>
          <w:rFonts w:ascii="Calibri" w:hAnsi="Calibri" w:cs="Calibri"/>
          <w:color w:val="000000" w:themeColor="text1"/>
          <w:sz w:val="22"/>
          <w:szCs w:val="22"/>
        </w:rPr>
      </w:pPr>
      <w:r w:rsidRPr="006B06E8">
        <w:rPr>
          <w:rFonts w:ascii="Calibri" w:hAnsi="Calibri" w:cs="Calibri"/>
          <w:color w:val="000000" w:themeColor="text1"/>
          <w:sz w:val="22"/>
          <w:szCs w:val="22"/>
        </w:rPr>
        <w:t xml:space="preserve">The purpose of the process evaluation was to determine how the intervention was delivered, the extent to which it was delivered as intended, and the impact this had on </w:t>
      </w:r>
      <w:r w:rsidR="00363311">
        <w:rPr>
          <w:rFonts w:ascii="Calibri" w:hAnsi="Calibri" w:cs="Calibri"/>
          <w:color w:val="000000" w:themeColor="text1"/>
          <w:sz w:val="22"/>
          <w:szCs w:val="22"/>
        </w:rPr>
        <w:t xml:space="preserve">trial </w:t>
      </w:r>
      <w:r w:rsidRPr="006B06E8">
        <w:rPr>
          <w:rFonts w:ascii="Calibri" w:hAnsi="Calibri" w:cs="Calibri"/>
          <w:color w:val="000000" w:themeColor="text1"/>
          <w:sz w:val="22"/>
          <w:szCs w:val="22"/>
        </w:rPr>
        <w:t xml:space="preserve">outcomes. The specific aims of the A2B process evaluation </w:t>
      </w:r>
      <w:r w:rsidR="005663CE">
        <w:rPr>
          <w:rFonts w:ascii="Calibri" w:hAnsi="Calibri" w:cs="Calibri"/>
          <w:color w:val="000000" w:themeColor="text1"/>
          <w:sz w:val="22"/>
          <w:szCs w:val="22"/>
        </w:rPr>
        <w:t xml:space="preserve">addressed in this publication </w:t>
      </w:r>
      <w:r w:rsidRPr="006B06E8">
        <w:rPr>
          <w:rFonts w:ascii="Calibri" w:hAnsi="Calibri" w:cs="Calibri"/>
          <w:color w:val="000000" w:themeColor="text1"/>
          <w:sz w:val="22"/>
          <w:szCs w:val="22"/>
        </w:rPr>
        <w:t xml:space="preserve">were: </w:t>
      </w:r>
    </w:p>
    <w:p w14:paraId="25ADC74C" w14:textId="0622593A" w:rsidR="006B06E8" w:rsidRPr="006B06E8" w:rsidRDefault="006B06E8" w:rsidP="002358F3">
      <w:pPr>
        <w:spacing w:after="200" w:line="360" w:lineRule="auto"/>
        <w:jc w:val="both"/>
        <w:rPr>
          <w:rFonts w:ascii="Calibri" w:hAnsi="Calibri" w:cs="Calibri"/>
          <w:color w:val="000000" w:themeColor="text1"/>
          <w:sz w:val="22"/>
          <w:szCs w:val="22"/>
        </w:rPr>
      </w:pPr>
      <w:r w:rsidRPr="006B06E8">
        <w:rPr>
          <w:rFonts w:ascii="Calibri" w:hAnsi="Calibri" w:cs="Calibri"/>
          <w:color w:val="000000" w:themeColor="text1"/>
          <w:sz w:val="22"/>
          <w:szCs w:val="22"/>
        </w:rPr>
        <w:t xml:space="preserve">1. To establish the degree to which the A2B intervention </w:t>
      </w:r>
      <w:r w:rsidR="0011774F">
        <w:rPr>
          <w:rFonts w:ascii="Calibri" w:hAnsi="Calibri" w:cs="Calibri"/>
          <w:color w:val="000000" w:themeColor="text1"/>
          <w:sz w:val="22"/>
          <w:szCs w:val="22"/>
        </w:rPr>
        <w:t>was</w:t>
      </w:r>
      <w:r w:rsidRPr="006B06E8">
        <w:rPr>
          <w:rFonts w:ascii="Calibri" w:hAnsi="Calibri" w:cs="Calibri"/>
          <w:color w:val="000000" w:themeColor="text1"/>
          <w:sz w:val="22"/>
          <w:szCs w:val="22"/>
        </w:rPr>
        <w:t xml:space="preserve"> delivered as intended, over time and between ICUs, specifically in relation to fidelity, dose and reach across patients.</w:t>
      </w:r>
    </w:p>
    <w:p w14:paraId="16C36EE7" w14:textId="77777777" w:rsidR="006B06E8" w:rsidRPr="006B06E8" w:rsidRDefault="006B06E8" w:rsidP="002358F3">
      <w:pPr>
        <w:spacing w:after="200" w:line="360" w:lineRule="auto"/>
        <w:jc w:val="both"/>
        <w:rPr>
          <w:rFonts w:ascii="Calibri" w:hAnsi="Calibri" w:cs="Calibri"/>
          <w:color w:val="000000" w:themeColor="text1"/>
          <w:sz w:val="22"/>
          <w:szCs w:val="22"/>
        </w:rPr>
      </w:pPr>
      <w:r w:rsidRPr="006B06E8">
        <w:rPr>
          <w:rFonts w:ascii="Calibri" w:hAnsi="Calibri" w:cs="Calibri"/>
          <w:color w:val="000000" w:themeColor="text1"/>
          <w:sz w:val="22"/>
          <w:szCs w:val="22"/>
        </w:rPr>
        <w:lastRenderedPageBreak/>
        <w:t>2. To understand factors that impact</w:t>
      </w:r>
      <w:r w:rsidR="0011774F">
        <w:rPr>
          <w:rFonts w:ascii="Calibri" w:hAnsi="Calibri" w:cs="Calibri"/>
          <w:color w:val="000000" w:themeColor="text1"/>
          <w:sz w:val="22"/>
          <w:szCs w:val="22"/>
        </w:rPr>
        <w:t>ed</w:t>
      </w:r>
      <w:r w:rsidRPr="006B06E8">
        <w:rPr>
          <w:rFonts w:ascii="Calibri" w:hAnsi="Calibri" w:cs="Calibri"/>
          <w:color w:val="000000" w:themeColor="text1"/>
          <w:sz w:val="22"/>
          <w:szCs w:val="22"/>
        </w:rPr>
        <w:t xml:space="preserve"> </w:t>
      </w:r>
      <w:r w:rsidR="009B7D77">
        <w:rPr>
          <w:rFonts w:ascii="Calibri" w:hAnsi="Calibri" w:cs="Calibri"/>
          <w:color w:val="000000" w:themeColor="text1"/>
          <w:sz w:val="22"/>
          <w:szCs w:val="22"/>
        </w:rPr>
        <w:t xml:space="preserve">on </w:t>
      </w:r>
      <w:r w:rsidRPr="006B06E8">
        <w:rPr>
          <w:rFonts w:ascii="Calibri" w:hAnsi="Calibri" w:cs="Calibri"/>
          <w:color w:val="000000" w:themeColor="text1"/>
          <w:sz w:val="22"/>
          <w:szCs w:val="22"/>
        </w:rPr>
        <w:t xml:space="preserve">successful delivery of both the A2B intervention and trial, over time and between ICUs, </w:t>
      </w:r>
      <w:r w:rsidR="00F51CA5">
        <w:rPr>
          <w:rFonts w:ascii="Calibri" w:hAnsi="Calibri" w:cs="Calibri"/>
          <w:color w:val="000000" w:themeColor="text1"/>
          <w:sz w:val="22"/>
          <w:szCs w:val="22"/>
        </w:rPr>
        <w:t>with specific focus on</w:t>
      </w:r>
      <w:r w:rsidRPr="006B06E8">
        <w:rPr>
          <w:rFonts w:ascii="Calibri" w:hAnsi="Calibri" w:cs="Calibri"/>
          <w:color w:val="000000" w:themeColor="text1"/>
          <w:sz w:val="22"/>
          <w:szCs w:val="22"/>
        </w:rPr>
        <w:t xml:space="preserve"> attitudes, perceptions and context, including</w:t>
      </w:r>
      <w:r w:rsidR="00F51CA5">
        <w:rPr>
          <w:rFonts w:ascii="Calibri" w:hAnsi="Calibri" w:cs="Calibri"/>
          <w:color w:val="000000" w:themeColor="text1"/>
          <w:sz w:val="22"/>
          <w:szCs w:val="22"/>
        </w:rPr>
        <w:t xml:space="preserve"> </w:t>
      </w:r>
      <w:r w:rsidRPr="006B06E8">
        <w:rPr>
          <w:rFonts w:ascii="Calibri" w:hAnsi="Calibri" w:cs="Calibri"/>
          <w:color w:val="000000" w:themeColor="text1"/>
          <w:sz w:val="22"/>
          <w:szCs w:val="22"/>
        </w:rPr>
        <w:t>standard care</w:t>
      </w:r>
      <w:r w:rsidR="00FB7194">
        <w:rPr>
          <w:rFonts w:ascii="Calibri" w:hAnsi="Calibri" w:cs="Calibri"/>
          <w:color w:val="000000" w:themeColor="text1"/>
          <w:sz w:val="22"/>
          <w:szCs w:val="22"/>
        </w:rPr>
        <w:t xml:space="preserve"> (i.e. propofol based sedation)</w:t>
      </w:r>
      <w:r w:rsidRPr="006B06E8">
        <w:rPr>
          <w:rFonts w:ascii="Calibri" w:hAnsi="Calibri" w:cs="Calibri"/>
          <w:color w:val="000000" w:themeColor="text1"/>
          <w:sz w:val="22"/>
          <w:szCs w:val="22"/>
        </w:rPr>
        <w:t>.</w:t>
      </w:r>
    </w:p>
    <w:p w14:paraId="6282418C" w14:textId="77777777" w:rsidR="006B06E8" w:rsidRPr="002D606D" w:rsidRDefault="00C10D68" w:rsidP="002358F3">
      <w:pPr>
        <w:spacing w:after="200" w:line="360" w:lineRule="auto"/>
        <w:jc w:val="both"/>
        <w:rPr>
          <w:rFonts w:ascii="Calibri" w:hAnsi="Calibri" w:cs="Calibri"/>
          <w:color w:val="000000" w:themeColor="text1"/>
          <w:sz w:val="22"/>
          <w:szCs w:val="22"/>
        </w:rPr>
      </w:pPr>
      <w:r w:rsidRPr="00B30514">
        <w:rPr>
          <w:rFonts w:ascii="Calibri" w:hAnsi="Calibri" w:cs="Calibri"/>
          <w:b/>
          <w:bCs/>
          <w:color w:val="000000" w:themeColor="text1"/>
          <w:sz w:val="22"/>
          <w:szCs w:val="22"/>
          <w:u w:val="single"/>
        </w:rPr>
        <w:t>METHODS</w:t>
      </w:r>
      <w:r w:rsidR="004E7153" w:rsidRPr="004E7153">
        <w:rPr>
          <w:rFonts w:ascii="Calibri" w:hAnsi="Calibri" w:cs="Calibri"/>
          <w:b/>
          <w:bCs/>
          <w:color w:val="000000" w:themeColor="text1"/>
          <w:sz w:val="22"/>
          <w:szCs w:val="22"/>
        </w:rPr>
        <w:t xml:space="preserve"> </w:t>
      </w:r>
    </w:p>
    <w:p w14:paraId="3A198974" w14:textId="77777777" w:rsidR="006B06E8" w:rsidRPr="00C10D68" w:rsidRDefault="006B06E8" w:rsidP="002358F3">
      <w:pPr>
        <w:spacing w:after="200" w:line="360" w:lineRule="auto"/>
        <w:jc w:val="both"/>
        <w:rPr>
          <w:rFonts w:ascii="Calibri" w:hAnsi="Calibri" w:cs="Calibri"/>
          <w:b/>
          <w:bCs/>
          <w:color w:val="000000" w:themeColor="text1"/>
          <w:sz w:val="22"/>
          <w:szCs w:val="22"/>
        </w:rPr>
      </w:pPr>
      <w:r w:rsidRPr="00C10D68">
        <w:rPr>
          <w:rFonts w:ascii="Calibri" w:hAnsi="Calibri" w:cs="Calibri"/>
          <w:b/>
          <w:bCs/>
          <w:color w:val="000000" w:themeColor="text1"/>
          <w:sz w:val="22"/>
          <w:szCs w:val="22"/>
        </w:rPr>
        <w:t xml:space="preserve">Design </w:t>
      </w:r>
    </w:p>
    <w:p w14:paraId="00BAE8B5" w14:textId="5BA30C0B" w:rsidR="006B06E8" w:rsidRDefault="006B06E8" w:rsidP="002358F3">
      <w:pPr>
        <w:spacing w:after="200" w:line="360" w:lineRule="auto"/>
        <w:jc w:val="both"/>
        <w:rPr>
          <w:rFonts w:ascii="Calibri" w:hAnsi="Calibri" w:cs="Calibri"/>
          <w:color w:val="000000" w:themeColor="text1"/>
          <w:sz w:val="22"/>
          <w:szCs w:val="22"/>
        </w:rPr>
      </w:pPr>
      <w:r w:rsidRPr="006B06E8">
        <w:rPr>
          <w:rFonts w:ascii="Calibri" w:hAnsi="Calibri" w:cs="Calibri"/>
          <w:color w:val="000000" w:themeColor="text1"/>
          <w:sz w:val="22"/>
          <w:szCs w:val="22"/>
        </w:rPr>
        <w:t>A mixed</w:t>
      </w:r>
      <w:r w:rsidR="005B639F">
        <w:rPr>
          <w:rFonts w:ascii="Calibri" w:hAnsi="Calibri" w:cs="Calibri"/>
          <w:color w:val="000000" w:themeColor="text1"/>
          <w:sz w:val="22"/>
          <w:szCs w:val="22"/>
        </w:rPr>
        <w:t>-</w:t>
      </w:r>
      <w:r w:rsidRPr="006B06E8">
        <w:rPr>
          <w:rFonts w:ascii="Calibri" w:hAnsi="Calibri" w:cs="Calibri"/>
          <w:color w:val="000000" w:themeColor="text1"/>
          <w:sz w:val="22"/>
          <w:szCs w:val="22"/>
        </w:rPr>
        <w:t xml:space="preserve">methods, multi-phase design was used. </w:t>
      </w:r>
      <w:r w:rsidR="00057E92">
        <w:rPr>
          <w:rFonts w:ascii="Calibri" w:hAnsi="Calibri" w:cs="Calibri"/>
          <w:color w:val="000000" w:themeColor="text1"/>
          <w:sz w:val="22"/>
          <w:szCs w:val="22"/>
        </w:rPr>
        <w:t xml:space="preserve">We </w:t>
      </w:r>
      <w:r w:rsidR="00F15678">
        <w:rPr>
          <w:rFonts w:ascii="Calibri" w:hAnsi="Calibri" w:cs="Calibri"/>
          <w:color w:val="000000" w:themeColor="text1"/>
          <w:sz w:val="22"/>
          <w:szCs w:val="22"/>
        </w:rPr>
        <w:t>followed MRC guidance to plan, design, conduct, analyse and report the process evaluation.</w:t>
      </w:r>
      <w:r w:rsidR="005B23B0" w:rsidRPr="00EC6C09">
        <w:rPr>
          <w:rFonts w:ascii="Calibri" w:hAnsi="Calibri" w:cs="Calibri"/>
          <w:noProof/>
          <w:color w:val="000000" w:themeColor="text1"/>
          <w:sz w:val="22"/>
          <w:szCs w:val="22"/>
          <w:vertAlign w:val="superscript"/>
        </w:rPr>
        <w:t>8</w:t>
      </w:r>
      <w:r w:rsidR="003962B4">
        <w:rPr>
          <w:rFonts w:ascii="Calibri" w:hAnsi="Calibri" w:cs="Calibri"/>
          <w:color w:val="000000" w:themeColor="text1"/>
          <w:sz w:val="22"/>
          <w:szCs w:val="22"/>
        </w:rPr>
        <w:t xml:space="preserve"> A logic model </w:t>
      </w:r>
      <w:r w:rsidR="00566E17" w:rsidRPr="00566E17">
        <w:rPr>
          <w:rFonts w:ascii="Calibri" w:hAnsi="Calibri" w:cs="Calibri"/>
          <w:color w:val="000000" w:themeColor="text1"/>
          <w:sz w:val="22"/>
          <w:szCs w:val="22"/>
        </w:rPr>
        <w:t>was developed for the A2B intervention to guide the process evaluation (Figure 1). The model displays the main components of the intervention and the assumptions by which the components work to achieve trial outcomes. The process evaluation evaluated the validity of the assumptions shown in the logic model in the interviews with ICU staff.</w:t>
      </w:r>
      <w:r w:rsidR="00566E17">
        <w:rPr>
          <w:rFonts w:ascii="Calibri" w:hAnsi="Calibri" w:cs="Calibri"/>
          <w:color w:val="000000" w:themeColor="text1"/>
          <w:sz w:val="22"/>
          <w:szCs w:val="22"/>
        </w:rPr>
        <w:t xml:space="preserve"> </w:t>
      </w:r>
      <w:r w:rsidRPr="006B06E8">
        <w:rPr>
          <w:rFonts w:ascii="Calibri" w:hAnsi="Calibri" w:cs="Calibri"/>
          <w:color w:val="000000" w:themeColor="text1"/>
          <w:sz w:val="22"/>
          <w:szCs w:val="22"/>
        </w:rPr>
        <w:t xml:space="preserve">To assist with planning the A2B trial and embedded process evaluation, extensive pre-trial exploration of the current UK critical care setting was undertaken. This involved understanding organisational and participant-related factors </w:t>
      </w:r>
      <w:r w:rsidR="004F1474">
        <w:rPr>
          <w:rFonts w:ascii="Calibri" w:hAnsi="Calibri" w:cs="Calibri"/>
          <w:color w:val="000000" w:themeColor="text1"/>
          <w:sz w:val="22"/>
          <w:szCs w:val="22"/>
        </w:rPr>
        <w:t>that</w:t>
      </w:r>
      <w:r w:rsidRPr="006B06E8">
        <w:rPr>
          <w:rFonts w:ascii="Calibri" w:hAnsi="Calibri" w:cs="Calibri"/>
          <w:color w:val="000000" w:themeColor="text1"/>
          <w:sz w:val="22"/>
          <w:szCs w:val="22"/>
        </w:rPr>
        <w:t xml:space="preserve"> </w:t>
      </w:r>
      <w:r w:rsidRPr="0028648D">
        <w:rPr>
          <w:rFonts w:ascii="Calibri" w:hAnsi="Calibri" w:cs="Calibri"/>
          <w:color w:val="000000" w:themeColor="text1"/>
          <w:sz w:val="22"/>
          <w:szCs w:val="22"/>
        </w:rPr>
        <w:t>had potential to impact delivery of the A2B intervention and wider trial processes. Details of this pre-trial exploration have been reported</w:t>
      </w:r>
      <w:r w:rsidR="005B23B0" w:rsidRPr="00EC6C09">
        <w:rPr>
          <w:rFonts w:ascii="Calibri" w:hAnsi="Calibri" w:cs="Calibri"/>
          <w:noProof/>
          <w:color w:val="000000" w:themeColor="text1"/>
          <w:sz w:val="22"/>
          <w:szCs w:val="22"/>
          <w:vertAlign w:val="superscript"/>
        </w:rPr>
        <w:t>9</w:t>
      </w:r>
      <w:r w:rsidRPr="0028648D">
        <w:rPr>
          <w:rFonts w:ascii="Calibri" w:hAnsi="Calibri" w:cs="Calibri"/>
          <w:color w:val="000000" w:themeColor="text1"/>
          <w:sz w:val="22"/>
          <w:szCs w:val="22"/>
        </w:rPr>
        <w:t xml:space="preserve"> and were used to inform the methodology of the process evaluation. </w:t>
      </w:r>
    </w:p>
    <w:p w14:paraId="63120491" w14:textId="27D32220" w:rsidR="00A2123C" w:rsidRPr="0028648D" w:rsidRDefault="0088208E" w:rsidP="002358F3">
      <w:pPr>
        <w:spacing w:after="200" w:line="360" w:lineRule="auto"/>
        <w:jc w:val="both"/>
        <w:rPr>
          <w:rFonts w:ascii="Calibri" w:hAnsi="Calibri" w:cs="Calibri"/>
          <w:color w:val="000000" w:themeColor="text1"/>
          <w:sz w:val="22"/>
          <w:szCs w:val="22"/>
        </w:rPr>
      </w:pPr>
      <w:r w:rsidRPr="0070501E">
        <w:rPr>
          <w:rFonts w:ascii="Times New Roman" w:eastAsia="Times New Roman" w:hAnsi="Times New Roman" w:cs="Times New Roman"/>
          <w:noProof/>
          <w:kern w:val="0"/>
          <w:lang w:eastAsia="en-GB"/>
          <w14:ligatures w14:val="none"/>
        </w:rPr>
        <w:drawing>
          <wp:inline distT="0" distB="0" distL="0" distR="0" wp14:anchorId="69D0E84F" wp14:editId="610B7AC8">
            <wp:extent cx="5731510" cy="4311664"/>
            <wp:effectExtent l="0" t="0" r="2540" b="0"/>
            <wp:docPr id="1483877955" name="Picture 1483877955" descr="A diagram of a business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877955" name="Picture 1483877955" descr="A diagram of a business proces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4311664"/>
                    </a:xfrm>
                    <a:prstGeom prst="rect">
                      <a:avLst/>
                    </a:prstGeom>
                    <a:noFill/>
                    <a:ln>
                      <a:noFill/>
                    </a:ln>
                  </pic:spPr>
                </pic:pic>
              </a:graphicData>
            </a:graphic>
          </wp:inline>
        </w:drawing>
      </w:r>
    </w:p>
    <w:p w14:paraId="0AB42571" w14:textId="506F738E" w:rsidR="0088208E" w:rsidRPr="00AE2231" w:rsidRDefault="0088208E" w:rsidP="00F218EE">
      <w:pPr>
        <w:spacing w:line="360" w:lineRule="auto"/>
        <w:jc w:val="both"/>
        <w:rPr>
          <w:rFonts w:ascii="Calibri" w:hAnsi="Calibri" w:cs="Calibri"/>
          <w:sz w:val="22"/>
          <w:szCs w:val="22"/>
        </w:rPr>
      </w:pPr>
      <w:bookmarkStart w:id="1" w:name="_Toc143004821"/>
      <w:bookmarkStart w:id="2" w:name="_Toc168393565"/>
      <w:r w:rsidRPr="008B153E">
        <w:rPr>
          <w:rFonts w:ascii="Calibri" w:hAnsi="Calibri" w:cs="Calibri"/>
          <w:sz w:val="22"/>
          <w:szCs w:val="22"/>
        </w:rPr>
        <w:lastRenderedPageBreak/>
        <w:t>Figure 1: A2B (alpha-2 agonists for sedation in critical care) logic model (</w:t>
      </w:r>
      <w:r w:rsidR="0052310C" w:rsidRPr="008B153E">
        <w:rPr>
          <w:rFonts w:ascii="Calibri" w:hAnsi="Calibri" w:cs="Calibri"/>
          <w:sz w:val="22"/>
          <w:szCs w:val="22"/>
        </w:rPr>
        <w:t>this figure is reproduced from an Open Access article previously published by the research team</w:t>
      </w:r>
      <w:r w:rsidR="00BB43B8" w:rsidRPr="008B153E">
        <w:rPr>
          <w:rFonts w:ascii="Calibri" w:hAnsi="Calibri" w:cs="Calibri"/>
          <w:sz w:val="22"/>
          <w:szCs w:val="22"/>
        </w:rPr>
        <w:t xml:space="preserve"> (see </w:t>
      </w:r>
      <w:r w:rsidR="004E3536" w:rsidRPr="008B153E">
        <w:rPr>
          <w:rFonts w:ascii="Calibri" w:hAnsi="Calibri" w:cs="Calibri"/>
          <w:sz w:val="22"/>
          <w:szCs w:val="22"/>
        </w:rPr>
        <w:t>Aitken et al</w:t>
      </w:r>
      <w:r w:rsidR="00F218EE" w:rsidRPr="008B153E">
        <w:rPr>
          <w:rFonts w:ascii="Calibri" w:hAnsi="Calibri" w:cs="Calibri"/>
          <w:sz w:val="22"/>
          <w:szCs w:val="22"/>
        </w:rPr>
        <w:t>. 2024, BMJ Open</w:t>
      </w:r>
      <w:r w:rsidR="005B23B0" w:rsidRPr="008B153E">
        <w:rPr>
          <w:rFonts w:ascii="Calibri" w:hAnsi="Calibri" w:cs="Calibri"/>
          <w:noProof/>
          <w:sz w:val="22"/>
          <w:szCs w:val="22"/>
          <w:vertAlign w:val="superscript"/>
        </w:rPr>
        <w:t>9</w:t>
      </w:r>
      <w:r w:rsidRPr="008B153E">
        <w:rPr>
          <w:rFonts w:ascii="Calibri" w:hAnsi="Calibri" w:cs="Calibri"/>
          <w:sz w:val="22"/>
          <w:szCs w:val="22"/>
        </w:rPr>
        <w:t>)</w:t>
      </w:r>
      <w:r w:rsidR="00F218EE" w:rsidRPr="008B153E">
        <w:rPr>
          <w:rFonts w:ascii="Calibri" w:hAnsi="Calibri" w:cs="Calibri"/>
          <w:sz w:val="22"/>
          <w:szCs w:val="22"/>
        </w:rPr>
        <w:t xml:space="preserve"> This article is published under license to BMJ. This is an open-access article distributed in accordance with the Creative Commons Attribution Non Commercial (CC BY-NC 4.0) license, which permits the author and any non-commercial bodies to reuse the material in any non-commercial way they choose under the terms of the licence, without acquiring permission from BMJ (see: http://creativecommons.org/licenses/by-nc/4.0/).'</w:t>
      </w:r>
      <w:r w:rsidRPr="008B153E">
        <w:rPr>
          <w:rFonts w:ascii="Calibri" w:hAnsi="Calibri" w:cs="Calibri"/>
          <w:sz w:val="22"/>
          <w:szCs w:val="22"/>
        </w:rPr>
        <w:t>.</w:t>
      </w:r>
      <w:r w:rsidR="00506A12" w:rsidRPr="00AE2231">
        <w:rPr>
          <w:rFonts w:ascii="Calibri" w:hAnsi="Calibri" w:cs="Calibri"/>
          <w:sz w:val="22"/>
          <w:szCs w:val="22"/>
        </w:rPr>
        <w:t xml:space="preserve"> </w:t>
      </w:r>
    </w:p>
    <w:p w14:paraId="22ABF56F" w14:textId="77777777" w:rsidR="00506A12" w:rsidRPr="00F218EE" w:rsidRDefault="00506A12" w:rsidP="0088208E">
      <w:pPr>
        <w:spacing w:line="360" w:lineRule="auto"/>
        <w:jc w:val="both"/>
        <w:rPr>
          <w:rFonts w:ascii="Calibri" w:hAnsi="Calibri" w:cs="Calibri"/>
          <w:color w:val="EE0000"/>
          <w:sz w:val="22"/>
          <w:szCs w:val="22"/>
        </w:rPr>
      </w:pPr>
    </w:p>
    <w:p w14:paraId="1D7E18C2" w14:textId="1A3E4509" w:rsidR="001E0CDD" w:rsidRPr="00C10D68" w:rsidRDefault="006B06E8" w:rsidP="002358F3">
      <w:pPr>
        <w:spacing w:after="200" w:line="360" w:lineRule="auto"/>
        <w:jc w:val="both"/>
        <w:rPr>
          <w:rFonts w:ascii="Calibri" w:hAnsi="Calibri" w:cs="Calibri"/>
          <w:b/>
          <w:bCs/>
          <w:color w:val="000000" w:themeColor="text1"/>
          <w:sz w:val="22"/>
          <w:szCs w:val="22"/>
        </w:rPr>
      </w:pPr>
      <w:r w:rsidRPr="00C10D68">
        <w:rPr>
          <w:rFonts w:ascii="Calibri" w:hAnsi="Calibri" w:cs="Calibri"/>
          <w:b/>
          <w:bCs/>
          <w:color w:val="000000" w:themeColor="text1"/>
          <w:sz w:val="22"/>
          <w:szCs w:val="22"/>
        </w:rPr>
        <w:t>Data collection</w:t>
      </w:r>
      <w:bookmarkEnd w:id="1"/>
      <w:bookmarkEnd w:id="2"/>
    </w:p>
    <w:p w14:paraId="09889C61" w14:textId="77777777" w:rsidR="00137821" w:rsidRDefault="00137821" w:rsidP="002358F3">
      <w:pPr>
        <w:spacing w:after="200" w:line="360" w:lineRule="auto"/>
        <w:jc w:val="both"/>
        <w:rPr>
          <w:rFonts w:ascii="Calibri" w:hAnsi="Calibri" w:cs="Calibri"/>
          <w:color w:val="000000" w:themeColor="text1"/>
          <w:sz w:val="22"/>
          <w:szCs w:val="22"/>
        </w:rPr>
      </w:pPr>
      <w:r>
        <w:rPr>
          <w:rFonts w:ascii="Calibri" w:hAnsi="Calibri" w:cs="Calibri"/>
          <w:color w:val="000000" w:themeColor="text1"/>
          <w:sz w:val="22"/>
          <w:szCs w:val="22"/>
        </w:rPr>
        <w:t>Participants</w:t>
      </w:r>
    </w:p>
    <w:p w14:paraId="58E3E24E" w14:textId="5FC1B763" w:rsidR="00137821" w:rsidRDefault="008A54FE" w:rsidP="002358F3">
      <w:pPr>
        <w:spacing w:after="200" w:line="360" w:lineRule="auto"/>
        <w:jc w:val="both"/>
        <w:rPr>
          <w:rFonts w:ascii="Calibri" w:hAnsi="Calibri" w:cs="Calibri"/>
          <w:color w:val="000000" w:themeColor="text1"/>
          <w:sz w:val="22"/>
          <w:szCs w:val="22"/>
        </w:rPr>
      </w:pPr>
      <w:r w:rsidRPr="00F24716">
        <w:rPr>
          <w:rFonts w:ascii="Calibri" w:hAnsi="Calibri" w:cs="Calibri"/>
          <w:sz w:val="22"/>
          <w:szCs w:val="22"/>
        </w:rPr>
        <w:t>For quantitative analysis</w:t>
      </w:r>
      <w:r w:rsidR="00282835">
        <w:rPr>
          <w:rFonts w:ascii="Calibri" w:hAnsi="Calibri" w:cs="Calibri"/>
          <w:sz w:val="22"/>
          <w:szCs w:val="22"/>
        </w:rPr>
        <w:t>,</w:t>
      </w:r>
      <w:r w:rsidRPr="00F24716">
        <w:rPr>
          <w:rFonts w:ascii="Calibri" w:hAnsi="Calibri" w:cs="Calibri"/>
          <w:sz w:val="22"/>
          <w:szCs w:val="22"/>
        </w:rPr>
        <w:t xml:space="preserve"> data from all patients</w:t>
      </w:r>
      <w:r w:rsidR="00B177E9">
        <w:rPr>
          <w:rFonts w:ascii="Calibri" w:hAnsi="Calibri" w:cs="Calibri"/>
          <w:sz w:val="22"/>
          <w:szCs w:val="22"/>
        </w:rPr>
        <w:t xml:space="preserve"> (n=1437)</w:t>
      </w:r>
      <w:r w:rsidRPr="00F24716">
        <w:rPr>
          <w:rFonts w:ascii="Calibri" w:hAnsi="Calibri" w:cs="Calibri"/>
          <w:sz w:val="22"/>
          <w:szCs w:val="22"/>
        </w:rPr>
        <w:t xml:space="preserve"> enrolled in the A2B trial were extracted from the trial database</w:t>
      </w:r>
      <w:r w:rsidR="00C27B8C">
        <w:rPr>
          <w:rFonts w:ascii="Calibri" w:hAnsi="Calibri" w:cs="Calibri"/>
          <w:sz w:val="22"/>
          <w:szCs w:val="22"/>
        </w:rPr>
        <w:t xml:space="preserve">. </w:t>
      </w:r>
      <w:r>
        <w:rPr>
          <w:rFonts w:ascii="Calibri" w:hAnsi="Calibri" w:cs="Calibri"/>
          <w:color w:val="000000" w:themeColor="text1"/>
          <w:sz w:val="22"/>
          <w:szCs w:val="22"/>
        </w:rPr>
        <w:t>For qualitative analysis, a</w:t>
      </w:r>
      <w:r w:rsidR="00BA113E">
        <w:rPr>
          <w:rFonts w:ascii="Calibri" w:hAnsi="Calibri" w:cs="Calibri"/>
          <w:color w:val="000000" w:themeColor="text1"/>
          <w:sz w:val="22"/>
          <w:szCs w:val="22"/>
        </w:rPr>
        <w:t xml:space="preserve">lthough </w:t>
      </w:r>
      <w:r w:rsidR="000666DB">
        <w:rPr>
          <w:rFonts w:ascii="Calibri" w:hAnsi="Calibri" w:cs="Calibri"/>
          <w:color w:val="000000" w:themeColor="text1"/>
          <w:sz w:val="22"/>
          <w:szCs w:val="22"/>
        </w:rPr>
        <w:t>38</w:t>
      </w:r>
      <w:r w:rsidR="00BA113E">
        <w:rPr>
          <w:rFonts w:ascii="Calibri" w:hAnsi="Calibri" w:cs="Calibri"/>
          <w:color w:val="000000" w:themeColor="text1"/>
          <w:sz w:val="22"/>
          <w:szCs w:val="22"/>
        </w:rPr>
        <w:t xml:space="preserve"> units </w:t>
      </w:r>
      <w:r w:rsidR="000666DB">
        <w:rPr>
          <w:rFonts w:ascii="Calibri" w:hAnsi="Calibri" w:cs="Calibri"/>
          <w:color w:val="000000" w:themeColor="text1"/>
          <w:sz w:val="22"/>
          <w:szCs w:val="22"/>
        </w:rPr>
        <w:t xml:space="preserve">recruited patients </w:t>
      </w:r>
      <w:r w:rsidR="00BA113E">
        <w:rPr>
          <w:rFonts w:ascii="Calibri" w:hAnsi="Calibri" w:cs="Calibri"/>
          <w:color w:val="000000" w:themeColor="text1"/>
          <w:sz w:val="22"/>
          <w:szCs w:val="22"/>
        </w:rPr>
        <w:t xml:space="preserve">to the trial, 30 were active at the time of sampling for Phases </w:t>
      </w:r>
      <w:r w:rsidR="00937919">
        <w:rPr>
          <w:rFonts w:ascii="Calibri" w:hAnsi="Calibri" w:cs="Calibri"/>
          <w:color w:val="000000" w:themeColor="text1"/>
          <w:sz w:val="22"/>
          <w:szCs w:val="22"/>
        </w:rPr>
        <w:t>1</w:t>
      </w:r>
      <w:r w:rsidR="00BA113E">
        <w:rPr>
          <w:rFonts w:ascii="Calibri" w:hAnsi="Calibri" w:cs="Calibri"/>
          <w:color w:val="000000" w:themeColor="text1"/>
          <w:sz w:val="22"/>
          <w:szCs w:val="22"/>
        </w:rPr>
        <w:t xml:space="preserve"> and </w:t>
      </w:r>
      <w:r w:rsidR="00937919">
        <w:rPr>
          <w:rFonts w:ascii="Calibri" w:hAnsi="Calibri" w:cs="Calibri"/>
          <w:color w:val="000000" w:themeColor="text1"/>
          <w:sz w:val="22"/>
          <w:szCs w:val="22"/>
        </w:rPr>
        <w:t>2</w:t>
      </w:r>
      <w:r w:rsidR="00BA113E">
        <w:rPr>
          <w:rFonts w:ascii="Calibri" w:hAnsi="Calibri" w:cs="Calibri"/>
          <w:color w:val="000000" w:themeColor="text1"/>
          <w:sz w:val="22"/>
          <w:szCs w:val="22"/>
        </w:rPr>
        <w:t xml:space="preserve"> of the process evaluation. </w:t>
      </w:r>
      <w:r w:rsidR="00137821" w:rsidRPr="00137821">
        <w:rPr>
          <w:rFonts w:ascii="Calibri" w:hAnsi="Calibri" w:cs="Calibri"/>
          <w:color w:val="000000" w:themeColor="text1"/>
          <w:sz w:val="22"/>
          <w:szCs w:val="22"/>
        </w:rPr>
        <w:t xml:space="preserve">Participants were </w:t>
      </w:r>
      <w:r w:rsidR="00972779">
        <w:rPr>
          <w:rFonts w:ascii="Calibri" w:hAnsi="Calibri" w:cs="Calibri"/>
          <w:color w:val="000000" w:themeColor="text1"/>
          <w:sz w:val="22"/>
          <w:szCs w:val="22"/>
        </w:rPr>
        <w:t>individuals</w:t>
      </w:r>
      <w:r w:rsidR="00137821" w:rsidRPr="00137821">
        <w:rPr>
          <w:rFonts w:ascii="Calibri" w:hAnsi="Calibri" w:cs="Calibri"/>
          <w:color w:val="000000" w:themeColor="text1"/>
          <w:sz w:val="22"/>
          <w:szCs w:val="22"/>
        </w:rPr>
        <w:t xml:space="preserve"> integral to the implementation and delivery of the A2B trial and/or intervention. Inclusion criteria </w:t>
      </w:r>
      <w:r w:rsidR="00D271E6" w:rsidRPr="00137821">
        <w:rPr>
          <w:rFonts w:ascii="Calibri" w:hAnsi="Calibri" w:cs="Calibri"/>
          <w:color w:val="000000" w:themeColor="text1"/>
          <w:sz w:val="22"/>
          <w:szCs w:val="22"/>
        </w:rPr>
        <w:t>were</w:t>
      </w:r>
      <w:r w:rsidR="00D271E6">
        <w:rPr>
          <w:rFonts w:ascii="Calibri" w:hAnsi="Calibri" w:cs="Calibri"/>
          <w:color w:val="000000" w:themeColor="text1"/>
          <w:sz w:val="22"/>
          <w:szCs w:val="22"/>
        </w:rPr>
        <w:t xml:space="preserve">: </w:t>
      </w:r>
      <w:r w:rsidR="00973494">
        <w:rPr>
          <w:rFonts w:ascii="Calibri" w:hAnsi="Calibri" w:cs="Calibri"/>
          <w:color w:val="000000" w:themeColor="text1"/>
          <w:sz w:val="22"/>
          <w:szCs w:val="22"/>
        </w:rPr>
        <w:t>P</w:t>
      </w:r>
      <w:r w:rsidR="00E27782">
        <w:rPr>
          <w:rFonts w:ascii="Calibri" w:hAnsi="Calibri" w:cs="Calibri"/>
          <w:color w:val="000000" w:themeColor="text1"/>
          <w:sz w:val="22"/>
          <w:szCs w:val="22"/>
        </w:rPr>
        <w:t xml:space="preserve">rincipal </w:t>
      </w:r>
      <w:r w:rsidR="00973494">
        <w:rPr>
          <w:rFonts w:ascii="Calibri" w:hAnsi="Calibri" w:cs="Calibri"/>
          <w:color w:val="000000" w:themeColor="text1"/>
          <w:sz w:val="22"/>
          <w:szCs w:val="22"/>
        </w:rPr>
        <w:t>I</w:t>
      </w:r>
      <w:r w:rsidR="00E27782">
        <w:rPr>
          <w:rFonts w:ascii="Calibri" w:hAnsi="Calibri" w:cs="Calibri"/>
          <w:color w:val="000000" w:themeColor="text1"/>
          <w:sz w:val="22"/>
          <w:szCs w:val="22"/>
        </w:rPr>
        <w:t>nvestigator</w:t>
      </w:r>
      <w:r w:rsidR="00137821" w:rsidRPr="00137821">
        <w:rPr>
          <w:rFonts w:ascii="Calibri" w:hAnsi="Calibri" w:cs="Calibri"/>
          <w:color w:val="000000" w:themeColor="text1"/>
          <w:sz w:val="22"/>
          <w:szCs w:val="22"/>
        </w:rPr>
        <w:t xml:space="preserve"> </w:t>
      </w:r>
      <w:r w:rsidR="00101A7E">
        <w:rPr>
          <w:rFonts w:ascii="Calibri" w:hAnsi="Calibri" w:cs="Calibri"/>
          <w:color w:val="000000" w:themeColor="text1"/>
          <w:sz w:val="22"/>
          <w:szCs w:val="22"/>
        </w:rPr>
        <w:t xml:space="preserve">(PI) </w:t>
      </w:r>
      <w:r w:rsidR="00137821" w:rsidRPr="00137821">
        <w:rPr>
          <w:rFonts w:ascii="Calibri" w:hAnsi="Calibri" w:cs="Calibri"/>
          <w:color w:val="000000" w:themeColor="text1"/>
          <w:sz w:val="22"/>
          <w:szCs w:val="22"/>
        </w:rPr>
        <w:t>at each unit; research nurse</w:t>
      </w:r>
      <w:r w:rsidR="00973494">
        <w:rPr>
          <w:rFonts w:ascii="Calibri" w:hAnsi="Calibri" w:cs="Calibri"/>
          <w:color w:val="000000" w:themeColor="text1"/>
          <w:sz w:val="22"/>
          <w:szCs w:val="22"/>
        </w:rPr>
        <w:t xml:space="preserve">s </w:t>
      </w:r>
      <w:r w:rsidR="00137821" w:rsidRPr="00137821">
        <w:rPr>
          <w:rFonts w:ascii="Calibri" w:hAnsi="Calibri" w:cs="Calibri"/>
          <w:color w:val="000000" w:themeColor="text1"/>
          <w:sz w:val="22"/>
          <w:szCs w:val="22"/>
        </w:rPr>
        <w:t>responsible for coordinating implementation (</w:t>
      </w:r>
      <w:r w:rsidR="00E70047">
        <w:rPr>
          <w:rFonts w:ascii="Calibri" w:hAnsi="Calibri" w:cs="Calibri"/>
          <w:color w:val="000000" w:themeColor="text1"/>
          <w:sz w:val="22"/>
          <w:szCs w:val="22"/>
        </w:rPr>
        <w:t>≥</w:t>
      </w:r>
      <w:r w:rsidR="00137821" w:rsidRPr="00137821">
        <w:rPr>
          <w:rFonts w:ascii="Calibri" w:hAnsi="Calibri" w:cs="Calibri"/>
          <w:color w:val="000000" w:themeColor="text1"/>
          <w:sz w:val="22"/>
          <w:szCs w:val="22"/>
        </w:rPr>
        <w:t xml:space="preserve">1 at each unit); and clinical staff responsible for delivering the intervention to patients (2-4 per unit). </w:t>
      </w:r>
      <w:r w:rsidR="00776EB7">
        <w:rPr>
          <w:rFonts w:ascii="Calibri" w:hAnsi="Calibri" w:cs="Calibri"/>
          <w:color w:val="000000" w:themeColor="text1"/>
          <w:sz w:val="22"/>
          <w:szCs w:val="22"/>
        </w:rPr>
        <w:t>W</w:t>
      </w:r>
      <w:r w:rsidR="00A47793">
        <w:rPr>
          <w:rFonts w:ascii="Calibri" w:hAnsi="Calibri" w:cs="Calibri"/>
          <w:color w:val="000000" w:themeColor="text1"/>
          <w:sz w:val="22"/>
          <w:szCs w:val="22"/>
        </w:rPr>
        <w:t xml:space="preserve">here the term ‘clinician’ is used throughout this paper it refers to any health care professional from any discipline involved in clinical care of ICU patients; ‘nurse’ </w:t>
      </w:r>
      <w:r w:rsidR="008F3D9B">
        <w:rPr>
          <w:rFonts w:ascii="Calibri" w:hAnsi="Calibri" w:cs="Calibri"/>
          <w:color w:val="000000" w:themeColor="text1"/>
          <w:sz w:val="22"/>
          <w:szCs w:val="22"/>
        </w:rPr>
        <w:t>refers to any member of the nursing team; ‘consultant’ refers to ICU medical consultant</w:t>
      </w:r>
      <w:r w:rsidR="00592D13">
        <w:rPr>
          <w:rFonts w:ascii="Calibri" w:hAnsi="Calibri" w:cs="Calibri"/>
          <w:color w:val="000000" w:themeColor="text1"/>
          <w:sz w:val="22"/>
          <w:szCs w:val="22"/>
        </w:rPr>
        <w:t xml:space="preserve">. </w:t>
      </w:r>
      <w:r w:rsidR="00D1531A">
        <w:rPr>
          <w:rFonts w:ascii="Calibri" w:hAnsi="Calibri" w:cs="Calibri"/>
          <w:color w:val="000000" w:themeColor="text1"/>
          <w:sz w:val="22"/>
          <w:szCs w:val="22"/>
        </w:rPr>
        <w:t>Where</w:t>
      </w:r>
      <w:r w:rsidR="00592D13">
        <w:rPr>
          <w:rFonts w:ascii="Calibri" w:hAnsi="Calibri" w:cs="Calibri"/>
          <w:color w:val="000000" w:themeColor="text1"/>
          <w:sz w:val="22"/>
          <w:szCs w:val="22"/>
        </w:rPr>
        <w:t xml:space="preserve"> results relate to specific sub-groups of participants the additional detail is provided.</w:t>
      </w:r>
      <w:r w:rsidR="00A47793" w:rsidRPr="00137821">
        <w:rPr>
          <w:rFonts w:ascii="Calibri" w:hAnsi="Calibri" w:cs="Calibri"/>
          <w:color w:val="000000" w:themeColor="text1"/>
          <w:sz w:val="22"/>
          <w:szCs w:val="22"/>
        </w:rPr>
        <w:t xml:space="preserve"> </w:t>
      </w:r>
      <w:r w:rsidR="00137821" w:rsidRPr="00137821">
        <w:rPr>
          <w:rFonts w:ascii="Calibri" w:hAnsi="Calibri" w:cs="Calibri"/>
          <w:color w:val="000000" w:themeColor="text1"/>
          <w:sz w:val="22"/>
          <w:szCs w:val="22"/>
        </w:rPr>
        <w:t>The PI and research nurse were responsible for recruiting members of the clinical and research staff and negotiating suitable times for interview.</w:t>
      </w:r>
      <w:r w:rsidR="000D04E0" w:rsidRPr="000D04E0">
        <w:rPr>
          <w:rFonts w:ascii="Calibri" w:hAnsi="Calibri" w:cs="Calibri"/>
          <w:color w:val="000000" w:themeColor="text1"/>
          <w:sz w:val="22"/>
          <w:szCs w:val="22"/>
        </w:rPr>
        <w:t xml:space="preserve"> </w:t>
      </w:r>
      <w:r w:rsidR="000D04E0" w:rsidRPr="00CD0C03">
        <w:rPr>
          <w:rFonts w:ascii="Calibri" w:hAnsi="Calibri" w:cs="Calibri"/>
          <w:color w:val="000000" w:themeColor="text1"/>
          <w:sz w:val="22"/>
          <w:szCs w:val="22"/>
        </w:rPr>
        <w:t>Interviews</w:t>
      </w:r>
      <w:r w:rsidR="008D10A9">
        <w:rPr>
          <w:rFonts w:ascii="Calibri" w:hAnsi="Calibri" w:cs="Calibri"/>
          <w:color w:val="000000" w:themeColor="text1"/>
          <w:sz w:val="22"/>
          <w:szCs w:val="22"/>
        </w:rPr>
        <w:t xml:space="preserve"> were conducted online using videoconferencing software (Microsoft Teams</w:t>
      </w:r>
      <w:r w:rsidR="00630945">
        <w:rPr>
          <w:rFonts w:ascii="Calibri" w:hAnsi="Calibri" w:cs="Calibri"/>
          <w:color w:val="000000" w:themeColor="text1"/>
          <w:sz w:val="22"/>
          <w:szCs w:val="22"/>
        </w:rPr>
        <w:t>),</w:t>
      </w:r>
      <w:r w:rsidR="000D04E0" w:rsidRPr="00CD0C03">
        <w:rPr>
          <w:rFonts w:ascii="Calibri" w:hAnsi="Calibri" w:cs="Calibri"/>
          <w:color w:val="000000" w:themeColor="text1"/>
          <w:sz w:val="22"/>
          <w:szCs w:val="22"/>
        </w:rPr>
        <w:t xml:space="preserve"> </w:t>
      </w:r>
      <w:r w:rsidR="000D04E0">
        <w:rPr>
          <w:rFonts w:ascii="Calibri" w:hAnsi="Calibri" w:cs="Calibri"/>
          <w:color w:val="000000" w:themeColor="text1"/>
          <w:sz w:val="22"/>
          <w:szCs w:val="22"/>
        </w:rPr>
        <w:t xml:space="preserve">lasted 45-60 </w:t>
      </w:r>
      <w:r w:rsidR="000D04E0" w:rsidRPr="002442B2">
        <w:rPr>
          <w:rFonts w:ascii="Calibri" w:hAnsi="Calibri" w:cs="Calibri"/>
          <w:sz w:val="22"/>
          <w:szCs w:val="22"/>
        </w:rPr>
        <w:t xml:space="preserve">minutes; were recorded using an encrypted recorder; and </w:t>
      </w:r>
      <w:r w:rsidR="000D04E0" w:rsidRPr="00CD0C03">
        <w:rPr>
          <w:rFonts w:ascii="Calibri" w:hAnsi="Calibri" w:cs="Calibri"/>
          <w:color w:val="000000" w:themeColor="text1"/>
          <w:sz w:val="22"/>
          <w:szCs w:val="22"/>
        </w:rPr>
        <w:t xml:space="preserve">transcribed verbatim by a </w:t>
      </w:r>
      <w:r w:rsidR="00630945" w:rsidRPr="00CD0C03">
        <w:rPr>
          <w:rFonts w:ascii="Calibri" w:hAnsi="Calibri" w:cs="Calibri"/>
          <w:color w:val="000000" w:themeColor="text1"/>
          <w:sz w:val="22"/>
          <w:szCs w:val="22"/>
        </w:rPr>
        <w:t xml:space="preserve">study sponsor approved </w:t>
      </w:r>
      <w:r w:rsidR="000D04E0" w:rsidRPr="00CD0C03">
        <w:rPr>
          <w:rFonts w:ascii="Calibri" w:hAnsi="Calibri" w:cs="Calibri"/>
          <w:color w:val="000000" w:themeColor="text1"/>
          <w:sz w:val="22"/>
          <w:szCs w:val="22"/>
        </w:rPr>
        <w:t>transcription company.</w:t>
      </w:r>
      <w:r w:rsidR="00BA113E">
        <w:rPr>
          <w:rFonts w:ascii="Calibri" w:hAnsi="Calibri" w:cs="Calibri"/>
          <w:color w:val="000000" w:themeColor="text1"/>
          <w:sz w:val="22"/>
          <w:szCs w:val="22"/>
        </w:rPr>
        <w:t xml:space="preserve"> </w:t>
      </w:r>
    </w:p>
    <w:p w14:paraId="396DC136" w14:textId="77777777" w:rsidR="00C27B8C" w:rsidRPr="00471231" w:rsidRDefault="00C27B8C" w:rsidP="002358F3">
      <w:pPr>
        <w:spacing w:after="200" w:line="360" w:lineRule="auto"/>
        <w:jc w:val="both"/>
        <w:rPr>
          <w:rFonts w:ascii="Calibri" w:hAnsi="Calibri" w:cs="Calibri"/>
          <w:i/>
          <w:iCs/>
          <w:color w:val="000000" w:themeColor="text1"/>
          <w:sz w:val="22"/>
          <w:szCs w:val="22"/>
        </w:rPr>
      </w:pPr>
      <w:r w:rsidRPr="00471231">
        <w:rPr>
          <w:rFonts w:ascii="Calibri" w:hAnsi="Calibri" w:cs="Calibri"/>
          <w:i/>
          <w:iCs/>
          <w:color w:val="000000" w:themeColor="text1"/>
          <w:sz w:val="22"/>
          <w:szCs w:val="22"/>
        </w:rPr>
        <w:t>Throughout trial: quantitative data</w:t>
      </w:r>
    </w:p>
    <w:p w14:paraId="429A01F1" w14:textId="41185125" w:rsidR="00C27B8C" w:rsidRPr="008B153E" w:rsidRDefault="00C27B8C" w:rsidP="002358F3">
      <w:pPr>
        <w:spacing w:after="200" w:line="360" w:lineRule="auto"/>
        <w:jc w:val="both"/>
        <w:rPr>
          <w:rFonts w:ascii="Calibri" w:hAnsi="Calibri" w:cs="Calibri"/>
          <w:sz w:val="22"/>
          <w:szCs w:val="22"/>
        </w:rPr>
      </w:pPr>
      <w:r>
        <w:rPr>
          <w:rFonts w:ascii="Calibri" w:hAnsi="Calibri" w:cs="Calibri"/>
          <w:sz w:val="22"/>
          <w:szCs w:val="22"/>
        </w:rPr>
        <w:t>Details of the main A2B trial are published elsewhere including the protocol</w:t>
      </w:r>
      <w:r w:rsidR="005B23B0" w:rsidRPr="00EC6C09">
        <w:rPr>
          <w:rFonts w:ascii="Calibri" w:hAnsi="Calibri" w:cs="Calibri"/>
          <w:noProof/>
          <w:sz w:val="22"/>
          <w:szCs w:val="22"/>
          <w:vertAlign w:val="superscript"/>
        </w:rPr>
        <w:t>4</w:t>
      </w:r>
      <w:r>
        <w:rPr>
          <w:rFonts w:ascii="Calibri" w:hAnsi="Calibri" w:cs="Calibri"/>
          <w:sz w:val="22"/>
          <w:szCs w:val="22"/>
        </w:rPr>
        <w:t xml:space="preserve"> and the results</w:t>
      </w:r>
      <w:r w:rsidR="006762CB">
        <w:rPr>
          <w:rFonts w:ascii="Calibri" w:hAnsi="Calibri" w:cs="Calibri"/>
          <w:sz w:val="22"/>
          <w:szCs w:val="22"/>
        </w:rPr>
        <w:t>.</w:t>
      </w:r>
      <w:r w:rsidR="005B23B0" w:rsidRPr="00EC6C09">
        <w:rPr>
          <w:rFonts w:ascii="Calibri" w:hAnsi="Calibri" w:cs="Calibri"/>
          <w:noProof/>
          <w:sz w:val="22"/>
          <w:szCs w:val="22"/>
          <w:vertAlign w:val="superscript"/>
        </w:rPr>
        <w:t>10</w:t>
      </w:r>
      <w:r w:rsidR="004E07A2">
        <w:rPr>
          <w:rFonts w:ascii="Calibri" w:hAnsi="Calibri" w:cs="Calibri"/>
          <w:sz w:val="22"/>
          <w:szCs w:val="22"/>
        </w:rPr>
        <w:t xml:space="preserve"> </w:t>
      </w:r>
      <w:r>
        <w:rPr>
          <w:rFonts w:ascii="Calibri" w:hAnsi="Calibri" w:cs="Calibri"/>
          <w:sz w:val="22"/>
          <w:szCs w:val="22"/>
        </w:rPr>
        <w:t xml:space="preserve">Briefly, data collected on a daily basis included sedatives administered, frequency of assessment and sedative depth using the Richmond Agitation-Sedation Scale </w:t>
      </w:r>
      <w:r w:rsidR="00D963F7">
        <w:rPr>
          <w:rFonts w:ascii="Calibri" w:hAnsi="Calibri" w:cs="Calibri"/>
          <w:sz w:val="22"/>
          <w:szCs w:val="22"/>
        </w:rPr>
        <w:t xml:space="preserve">(RASS) </w:t>
      </w:r>
      <w:r>
        <w:rPr>
          <w:rFonts w:ascii="Calibri" w:hAnsi="Calibri" w:cs="Calibri"/>
          <w:sz w:val="22"/>
          <w:szCs w:val="22"/>
        </w:rPr>
        <w:t>and number of eligible patients recruited</w:t>
      </w:r>
      <w:r w:rsidR="00DA206E">
        <w:rPr>
          <w:rFonts w:ascii="Calibri" w:hAnsi="Calibri" w:cs="Calibri"/>
          <w:sz w:val="22"/>
          <w:szCs w:val="22"/>
        </w:rPr>
        <w:t xml:space="preserve">. </w:t>
      </w:r>
      <w:r w:rsidR="00DA206E" w:rsidRPr="008B153E">
        <w:rPr>
          <w:rFonts w:ascii="Calibri" w:hAnsi="Calibri" w:cs="Calibri"/>
          <w:sz w:val="22"/>
          <w:szCs w:val="22"/>
        </w:rPr>
        <w:t xml:space="preserve">These </w:t>
      </w:r>
      <w:r w:rsidR="006178E1" w:rsidRPr="008B153E">
        <w:rPr>
          <w:rFonts w:ascii="Calibri" w:hAnsi="Calibri" w:cs="Calibri"/>
          <w:sz w:val="22"/>
          <w:szCs w:val="22"/>
        </w:rPr>
        <w:t xml:space="preserve">were used to understand </w:t>
      </w:r>
      <w:r w:rsidR="00DA206E" w:rsidRPr="008B153E">
        <w:rPr>
          <w:rFonts w:ascii="Calibri" w:hAnsi="Calibri" w:cs="Calibri"/>
          <w:sz w:val="22"/>
          <w:szCs w:val="22"/>
        </w:rPr>
        <w:t xml:space="preserve">intervention and </w:t>
      </w:r>
      <w:r w:rsidR="006541B5" w:rsidRPr="008B153E">
        <w:rPr>
          <w:rFonts w:ascii="Calibri" w:hAnsi="Calibri" w:cs="Calibri"/>
          <w:sz w:val="22"/>
          <w:szCs w:val="22"/>
        </w:rPr>
        <w:t>recruitment compliance</w:t>
      </w:r>
      <w:r w:rsidR="006178E1" w:rsidRPr="008B153E">
        <w:rPr>
          <w:rFonts w:ascii="Calibri" w:hAnsi="Calibri" w:cs="Calibri"/>
          <w:sz w:val="22"/>
          <w:szCs w:val="22"/>
        </w:rPr>
        <w:t>.</w:t>
      </w:r>
    </w:p>
    <w:p w14:paraId="226327DB" w14:textId="2C2E7324" w:rsidR="00C80937" w:rsidRPr="008B153E" w:rsidRDefault="00C80937" w:rsidP="002358F3">
      <w:pPr>
        <w:spacing w:after="200" w:line="360" w:lineRule="auto"/>
        <w:jc w:val="both"/>
        <w:rPr>
          <w:rFonts w:ascii="Calibri" w:hAnsi="Calibri" w:cs="Calibri"/>
          <w:sz w:val="22"/>
          <w:szCs w:val="22"/>
        </w:rPr>
      </w:pPr>
      <w:r w:rsidRPr="008B153E">
        <w:rPr>
          <w:rFonts w:ascii="Calibri" w:hAnsi="Calibri" w:cs="Calibri"/>
          <w:sz w:val="22"/>
          <w:szCs w:val="22"/>
        </w:rPr>
        <w:t xml:space="preserve">This work uses data provided by patients and collected by the NHS as part of their care and support. Using patient data is vital to improve health and care for everyone. There is huge potential to make better use of information from people’s patient records, to understand more about disease, develop </w:t>
      </w:r>
      <w:r w:rsidRPr="008B153E">
        <w:rPr>
          <w:rFonts w:ascii="Calibri" w:hAnsi="Calibri" w:cs="Calibri"/>
          <w:sz w:val="22"/>
          <w:szCs w:val="22"/>
        </w:rPr>
        <w:lastRenderedPageBreak/>
        <w:t>new treatments, monitor safety, and plan NHS services. Patient data should be kept safe and secure, to protect everyone’s privacy, and it’s important that there are safeguards to make sure that it is stored and used responsibly. Everyone should be able to find out about how patient data is used. #datasaveslives You can find out more about the background to this citation here: https://understandingpatientdata.org.uk/datacitation</w:t>
      </w:r>
    </w:p>
    <w:p w14:paraId="294965C6" w14:textId="77777777" w:rsidR="003C09B6" w:rsidRPr="008B153E" w:rsidRDefault="003C09B6" w:rsidP="002358F3">
      <w:pPr>
        <w:spacing w:after="200" w:line="360" w:lineRule="auto"/>
        <w:jc w:val="both"/>
        <w:rPr>
          <w:rFonts w:ascii="Calibri" w:hAnsi="Calibri" w:cs="Calibri"/>
          <w:i/>
          <w:iCs/>
          <w:color w:val="000000" w:themeColor="text1"/>
          <w:sz w:val="22"/>
          <w:szCs w:val="22"/>
        </w:rPr>
      </w:pPr>
      <w:r w:rsidRPr="008B153E">
        <w:rPr>
          <w:rFonts w:ascii="Calibri" w:hAnsi="Calibri" w:cs="Calibri"/>
          <w:i/>
          <w:iCs/>
          <w:color w:val="000000" w:themeColor="text1"/>
          <w:sz w:val="22"/>
          <w:szCs w:val="22"/>
        </w:rPr>
        <w:t xml:space="preserve">Phase </w:t>
      </w:r>
      <w:r w:rsidR="00D35C4E" w:rsidRPr="008B153E">
        <w:rPr>
          <w:rFonts w:ascii="Calibri" w:hAnsi="Calibri" w:cs="Calibri"/>
          <w:i/>
          <w:iCs/>
          <w:color w:val="000000" w:themeColor="text1"/>
          <w:sz w:val="22"/>
          <w:szCs w:val="22"/>
        </w:rPr>
        <w:t>1</w:t>
      </w:r>
      <w:r w:rsidR="00C61999" w:rsidRPr="008B153E">
        <w:rPr>
          <w:rFonts w:ascii="Calibri" w:hAnsi="Calibri" w:cs="Calibri"/>
          <w:i/>
          <w:iCs/>
          <w:color w:val="000000" w:themeColor="text1"/>
          <w:sz w:val="22"/>
          <w:szCs w:val="22"/>
        </w:rPr>
        <w:t>: mid-trial</w:t>
      </w:r>
      <w:r w:rsidR="00F24716" w:rsidRPr="008B153E">
        <w:rPr>
          <w:rFonts w:ascii="Calibri" w:hAnsi="Calibri" w:cs="Calibri"/>
          <w:i/>
          <w:iCs/>
          <w:color w:val="000000" w:themeColor="text1"/>
          <w:sz w:val="22"/>
          <w:szCs w:val="22"/>
        </w:rPr>
        <w:t xml:space="preserve"> qualitative data</w:t>
      </w:r>
    </w:p>
    <w:p w14:paraId="7FD233FE" w14:textId="77777777" w:rsidR="006B06E8" w:rsidRPr="008B153E" w:rsidRDefault="006B06E8" w:rsidP="002358F3">
      <w:pPr>
        <w:spacing w:after="200" w:line="360" w:lineRule="auto"/>
        <w:jc w:val="both"/>
        <w:rPr>
          <w:rFonts w:ascii="Calibri" w:hAnsi="Calibri" w:cs="Calibri"/>
          <w:color w:val="000000" w:themeColor="text1"/>
          <w:sz w:val="22"/>
          <w:szCs w:val="22"/>
        </w:rPr>
      </w:pPr>
      <w:r w:rsidRPr="008B153E">
        <w:rPr>
          <w:rFonts w:ascii="Calibri" w:hAnsi="Calibri" w:cs="Calibri"/>
          <w:color w:val="000000" w:themeColor="text1"/>
          <w:sz w:val="22"/>
          <w:szCs w:val="22"/>
        </w:rPr>
        <w:t xml:space="preserve">During Phase </w:t>
      </w:r>
      <w:r w:rsidR="00D35C4E" w:rsidRPr="008B153E">
        <w:rPr>
          <w:rFonts w:ascii="Calibri" w:hAnsi="Calibri" w:cs="Calibri"/>
          <w:color w:val="000000" w:themeColor="text1"/>
          <w:sz w:val="22"/>
          <w:szCs w:val="22"/>
        </w:rPr>
        <w:t>1</w:t>
      </w:r>
      <w:r w:rsidRPr="008B153E">
        <w:rPr>
          <w:rFonts w:ascii="Calibri" w:hAnsi="Calibri" w:cs="Calibri"/>
          <w:color w:val="000000" w:themeColor="text1"/>
          <w:sz w:val="22"/>
          <w:szCs w:val="22"/>
        </w:rPr>
        <w:t>, multi-disciplinary clinicians</w:t>
      </w:r>
      <w:r w:rsidR="00872EC9" w:rsidRPr="008B153E">
        <w:rPr>
          <w:rFonts w:ascii="Calibri" w:hAnsi="Calibri" w:cs="Calibri"/>
          <w:color w:val="000000" w:themeColor="text1"/>
          <w:sz w:val="22"/>
          <w:szCs w:val="22"/>
        </w:rPr>
        <w:t xml:space="preserve"> </w:t>
      </w:r>
      <w:r w:rsidRPr="008B153E">
        <w:rPr>
          <w:rFonts w:ascii="Calibri" w:hAnsi="Calibri" w:cs="Calibri"/>
          <w:color w:val="000000" w:themeColor="text1"/>
          <w:sz w:val="22"/>
          <w:szCs w:val="22"/>
        </w:rPr>
        <w:t xml:space="preserve">were interviewed to </w:t>
      </w:r>
      <w:r w:rsidR="00E10DAB" w:rsidRPr="008B153E">
        <w:rPr>
          <w:rFonts w:ascii="Calibri" w:hAnsi="Calibri" w:cs="Calibri"/>
          <w:color w:val="000000" w:themeColor="text1"/>
          <w:sz w:val="22"/>
          <w:szCs w:val="22"/>
        </w:rPr>
        <w:t>explore</w:t>
      </w:r>
      <w:r w:rsidR="00E2574C" w:rsidRPr="008B153E">
        <w:rPr>
          <w:rFonts w:ascii="Calibri" w:hAnsi="Calibri" w:cs="Calibri"/>
          <w:color w:val="000000" w:themeColor="text1"/>
          <w:sz w:val="22"/>
          <w:szCs w:val="22"/>
        </w:rPr>
        <w:t xml:space="preserve"> </w:t>
      </w:r>
      <w:r w:rsidRPr="008B153E">
        <w:rPr>
          <w:rFonts w:ascii="Calibri" w:hAnsi="Calibri" w:cs="Calibri"/>
          <w:color w:val="000000" w:themeColor="text1"/>
          <w:sz w:val="22"/>
          <w:szCs w:val="22"/>
        </w:rPr>
        <w:t>whether the intervention could be delivered as intended</w:t>
      </w:r>
      <w:r w:rsidR="0099000D" w:rsidRPr="008B153E">
        <w:rPr>
          <w:rFonts w:ascii="Calibri" w:hAnsi="Calibri" w:cs="Calibri"/>
          <w:color w:val="000000" w:themeColor="text1"/>
          <w:sz w:val="22"/>
          <w:szCs w:val="22"/>
        </w:rPr>
        <w:t xml:space="preserve"> </w:t>
      </w:r>
      <w:r w:rsidR="00E2574C" w:rsidRPr="008B153E">
        <w:rPr>
          <w:rFonts w:ascii="Calibri" w:hAnsi="Calibri" w:cs="Calibri"/>
          <w:color w:val="000000" w:themeColor="text1"/>
          <w:sz w:val="22"/>
          <w:szCs w:val="22"/>
        </w:rPr>
        <w:t xml:space="preserve">and factors that impacted </w:t>
      </w:r>
      <w:r w:rsidR="00E10DAB" w:rsidRPr="008B153E">
        <w:rPr>
          <w:rFonts w:ascii="Calibri" w:hAnsi="Calibri" w:cs="Calibri"/>
          <w:color w:val="000000" w:themeColor="text1"/>
          <w:sz w:val="22"/>
          <w:szCs w:val="22"/>
        </w:rPr>
        <w:t>upon successful delivery</w:t>
      </w:r>
      <w:r w:rsidR="00C10C85" w:rsidRPr="008B153E">
        <w:rPr>
          <w:rFonts w:ascii="Calibri" w:hAnsi="Calibri" w:cs="Calibri"/>
          <w:color w:val="000000" w:themeColor="text1"/>
          <w:sz w:val="22"/>
          <w:szCs w:val="22"/>
        </w:rPr>
        <w:t xml:space="preserve">. </w:t>
      </w:r>
      <w:r w:rsidR="002C5A38" w:rsidRPr="008B153E">
        <w:rPr>
          <w:rFonts w:ascii="Calibri" w:hAnsi="Calibri" w:cs="Calibri"/>
          <w:color w:val="000000" w:themeColor="text1"/>
          <w:sz w:val="22"/>
          <w:szCs w:val="22"/>
        </w:rPr>
        <w:t>Semi-structured interview guides</w:t>
      </w:r>
      <w:r w:rsidR="006F1C00" w:rsidRPr="008B153E">
        <w:rPr>
          <w:rFonts w:ascii="Calibri" w:hAnsi="Calibri" w:cs="Calibri"/>
          <w:color w:val="000000" w:themeColor="text1"/>
          <w:sz w:val="22"/>
          <w:szCs w:val="22"/>
        </w:rPr>
        <w:t>, informed by the logic model</w:t>
      </w:r>
      <w:r w:rsidR="00001793" w:rsidRPr="008B153E">
        <w:rPr>
          <w:rFonts w:ascii="Calibri" w:hAnsi="Calibri" w:cs="Calibri"/>
          <w:color w:val="000000" w:themeColor="text1"/>
          <w:sz w:val="22"/>
          <w:szCs w:val="22"/>
        </w:rPr>
        <w:t xml:space="preserve"> and pre-trial data</w:t>
      </w:r>
      <w:r w:rsidR="006F1C00" w:rsidRPr="008B153E">
        <w:rPr>
          <w:rFonts w:ascii="Calibri" w:hAnsi="Calibri" w:cs="Calibri"/>
          <w:color w:val="000000" w:themeColor="text1"/>
          <w:sz w:val="22"/>
          <w:szCs w:val="22"/>
        </w:rPr>
        <w:t>,</w:t>
      </w:r>
      <w:r w:rsidR="002C5A38" w:rsidRPr="008B153E">
        <w:rPr>
          <w:rFonts w:ascii="Calibri" w:hAnsi="Calibri" w:cs="Calibri"/>
          <w:color w:val="000000" w:themeColor="text1"/>
          <w:sz w:val="22"/>
          <w:szCs w:val="22"/>
        </w:rPr>
        <w:t xml:space="preserve"> were used</w:t>
      </w:r>
      <w:r w:rsidR="008D10A9" w:rsidRPr="008B153E">
        <w:rPr>
          <w:rFonts w:ascii="Calibri" w:hAnsi="Calibri" w:cs="Calibri"/>
          <w:color w:val="000000" w:themeColor="text1"/>
          <w:sz w:val="22"/>
          <w:szCs w:val="22"/>
        </w:rPr>
        <w:t xml:space="preserve">. </w:t>
      </w:r>
      <w:r w:rsidR="00ED6C24" w:rsidRPr="008B153E">
        <w:rPr>
          <w:rFonts w:ascii="Calibri" w:hAnsi="Calibri" w:cs="Calibri"/>
          <w:color w:val="000000" w:themeColor="text1"/>
          <w:sz w:val="22"/>
          <w:szCs w:val="22"/>
        </w:rPr>
        <w:t>Data collection commenced once units</w:t>
      </w:r>
      <w:r w:rsidR="00F60265" w:rsidRPr="008B153E">
        <w:rPr>
          <w:rFonts w:ascii="Calibri" w:hAnsi="Calibri" w:cs="Calibri"/>
          <w:color w:val="000000" w:themeColor="text1"/>
          <w:sz w:val="22"/>
          <w:szCs w:val="22"/>
        </w:rPr>
        <w:t xml:space="preserve"> had been recruiting patients for at least 3 months</w:t>
      </w:r>
      <w:r w:rsidR="00E27782" w:rsidRPr="008B153E">
        <w:rPr>
          <w:rFonts w:ascii="Calibri" w:hAnsi="Calibri" w:cs="Calibri"/>
          <w:color w:val="000000" w:themeColor="text1"/>
          <w:sz w:val="22"/>
          <w:szCs w:val="22"/>
        </w:rPr>
        <w:t xml:space="preserve"> to ensure exposure to the intervention</w:t>
      </w:r>
      <w:r w:rsidR="00F60265" w:rsidRPr="008B153E">
        <w:rPr>
          <w:rFonts w:ascii="Calibri" w:hAnsi="Calibri" w:cs="Calibri"/>
          <w:color w:val="000000" w:themeColor="text1"/>
          <w:sz w:val="22"/>
          <w:szCs w:val="22"/>
        </w:rPr>
        <w:t xml:space="preserve">. </w:t>
      </w:r>
      <w:r w:rsidR="00995A1F" w:rsidRPr="008B153E">
        <w:rPr>
          <w:rFonts w:ascii="Calibri" w:hAnsi="Calibri" w:cs="Calibri"/>
          <w:color w:val="000000" w:themeColor="text1"/>
          <w:sz w:val="22"/>
          <w:szCs w:val="22"/>
        </w:rPr>
        <w:t>Pre-trial d</w:t>
      </w:r>
      <w:r w:rsidRPr="008B153E">
        <w:rPr>
          <w:rFonts w:ascii="Calibri" w:hAnsi="Calibri" w:cs="Calibri"/>
          <w:color w:val="000000" w:themeColor="text1"/>
          <w:sz w:val="22"/>
          <w:szCs w:val="22"/>
        </w:rPr>
        <w:t xml:space="preserve">ata were used in combination with unit-level factors to develop a sampling matrix and select a purposive sample of units for participation in Phase </w:t>
      </w:r>
      <w:r w:rsidR="00C61999" w:rsidRPr="008B153E">
        <w:rPr>
          <w:rFonts w:ascii="Calibri" w:hAnsi="Calibri" w:cs="Calibri"/>
          <w:color w:val="000000" w:themeColor="text1"/>
          <w:sz w:val="22"/>
          <w:szCs w:val="22"/>
        </w:rPr>
        <w:t>I</w:t>
      </w:r>
      <w:r w:rsidRPr="008B153E">
        <w:rPr>
          <w:rFonts w:ascii="Calibri" w:hAnsi="Calibri" w:cs="Calibri"/>
          <w:color w:val="000000" w:themeColor="text1"/>
          <w:sz w:val="22"/>
          <w:szCs w:val="22"/>
        </w:rPr>
        <w:t xml:space="preserve">. </w:t>
      </w:r>
      <w:r w:rsidR="00F17B3C" w:rsidRPr="008B153E">
        <w:rPr>
          <w:rFonts w:ascii="Calibri" w:hAnsi="Calibri" w:cs="Calibri"/>
          <w:color w:val="000000" w:themeColor="text1"/>
          <w:sz w:val="22"/>
          <w:szCs w:val="22"/>
        </w:rPr>
        <w:t xml:space="preserve">Each unit was allocated </w:t>
      </w:r>
      <w:r w:rsidR="00D011AF" w:rsidRPr="008B153E">
        <w:rPr>
          <w:rFonts w:ascii="Calibri" w:hAnsi="Calibri" w:cs="Calibri"/>
          <w:color w:val="000000" w:themeColor="text1"/>
          <w:sz w:val="22"/>
          <w:szCs w:val="22"/>
        </w:rPr>
        <w:t>to</w:t>
      </w:r>
      <w:r w:rsidR="00F17B3C" w:rsidRPr="008B153E">
        <w:rPr>
          <w:rFonts w:ascii="Calibri" w:hAnsi="Calibri" w:cs="Calibri"/>
          <w:color w:val="000000" w:themeColor="text1"/>
          <w:sz w:val="22"/>
          <w:szCs w:val="22"/>
        </w:rPr>
        <w:t xml:space="preserve"> the matrix according to 4 characteristics: i) recruitment rate, ii) usual practice relating to sedation target use, iii) ICU-specific research nurse resource, and iv) unit size. Units were allocated anonymous identifiers and </w:t>
      </w:r>
      <w:r w:rsidR="003829C0" w:rsidRPr="008B153E">
        <w:rPr>
          <w:rFonts w:ascii="Calibri" w:hAnsi="Calibri" w:cs="Calibri"/>
          <w:color w:val="000000" w:themeColor="text1"/>
          <w:sz w:val="22"/>
          <w:szCs w:val="22"/>
        </w:rPr>
        <w:t>selected</w:t>
      </w:r>
      <w:r w:rsidR="00F17B3C" w:rsidRPr="008B153E">
        <w:rPr>
          <w:rFonts w:ascii="Calibri" w:hAnsi="Calibri" w:cs="Calibri"/>
          <w:color w:val="000000" w:themeColor="text1"/>
          <w:sz w:val="22"/>
          <w:szCs w:val="22"/>
        </w:rPr>
        <w:t xml:space="preserve"> from the matrix by an independent member of the research team.</w:t>
      </w:r>
      <w:r w:rsidR="006E1070" w:rsidRPr="008B153E">
        <w:rPr>
          <w:rFonts w:ascii="Calibri" w:hAnsi="Calibri" w:cs="Calibri"/>
          <w:color w:val="000000" w:themeColor="text1"/>
          <w:sz w:val="22"/>
          <w:szCs w:val="22"/>
        </w:rPr>
        <w:t xml:space="preserve"> </w:t>
      </w:r>
    </w:p>
    <w:p w14:paraId="3E219A06" w14:textId="77777777" w:rsidR="00DD003F" w:rsidRPr="008B153E" w:rsidRDefault="0028648D" w:rsidP="002358F3">
      <w:pPr>
        <w:spacing w:after="200" w:line="360" w:lineRule="auto"/>
        <w:jc w:val="both"/>
        <w:rPr>
          <w:rFonts w:ascii="Calibri" w:hAnsi="Calibri" w:cs="Calibri"/>
          <w:i/>
          <w:iCs/>
          <w:sz w:val="22"/>
          <w:szCs w:val="22"/>
        </w:rPr>
      </w:pPr>
      <w:r w:rsidRPr="008B153E">
        <w:rPr>
          <w:rFonts w:ascii="Calibri" w:hAnsi="Calibri" w:cs="Calibri"/>
          <w:i/>
          <w:iCs/>
          <w:sz w:val="22"/>
          <w:szCs w:val="22"/>
        </w:rPr>
        <w:t>Phase</w:t>
      </w:r>
      <w:r w:rsidR="00E23014" w:rsidRPr="008B153E">
        <w:rPr>
          <w:rFonts w:ascii="Calibri" w:hAnsi="Calibri" w:cs="Calibri"/>
          <w:i/>
          <w:iCs/>
          <w:sz w:val="22"/>
          <w:szCs w:val="22"/>
        </w:rPr>
        <w:t xml:space="preserve"> 2</w:t>
      </w:r>
      <w:r w:rsidR="00C61999" w:rsidRPr="008B153E">
        <w:rPr>
          <w:rFonts w:ascii="Calibri" w:hAnsi="Calibri" w:cs="Calibri"/>
          <w:i/>
          <w:iCs/>
          <w:sz w:val="22"/>
          <w:szCs w:val="22"/>
        </w:rPr>
        <w:t>: end of trial</w:t>
      </w:r>
      <w:r w:rsidR="00F24716" w:rsidRPr="008B153E">
        <w:rPr>
          <w:rFonts w:ascii="Calibri" w:hAnsi="Calibri" w:cs="Calibri"/>
          <w:i/>
          <w:iCs/>
          <w:sz w:val="22"/>
          <w:szCs w:val="22"/>
        </w:rPr>
        <w:t xml:space="preserve"> qualitative data</w:t>
      </w:r>
    </w:p>
    <w:p w14:paraId="2A1EB0AC" w14:textId="66DB4082" w:rsidR="002370C7" w:rsidRDefault="00E11CB4" w:rsidP="002358F3">
      <w:pPr>
        <w:spacing w:after="200" w:line="360" w:lineRule="auto"/>
        <w:jc w:val="both"/>
        <w:rPr>
          <w:rFonts w:ascii="Calibri" w:hAnsi="Calibri" w:cs="Calibri"/>
          <w:sz w:val="22"/>
          <w:szCs w:val="22"/>
        </w:rPr>
      </w:pPr>
      <w:r w:rsidRPr="008B153E">
        <w:rPr>
          <w:rFonts w:ascii="Calibri" w:hAnsi="Calibri" w:cs="Calibri"/>
          <w:sz w:val="22"/>
          <w:szCs w:val="22"/>
        </w:rPr>
        <w:t xml:space="preserve">Phase </w:t>
      </w:r>
      <w:r w:rsidR="00E23014" w:rsidRPr="008B153E">
        <w:rPr>
          <w:rFonts w:ascii="Calibri" w:hAnsi="Calibri" w:cs="Calibri"/>
          <w:sz w:val="22"/>
          <w:szCs w:val="22"/>
        </w:rPr>
        <w:t>2</w:t>
      </w:r>
      <w:r w:rsidRPr="008B153E">
        <w:rPr>
          <w:rFonts w:ascii="Calibri" w:hAnsi="Calibri" w:cs="Calibri"/>
          <w:sz w:val="22"/>
          <w:szCs w:val="22"/>
        </w:rPr>
        <w:t xml:space="preserve"> involved in-depth semi-structured interviews</w:t>
      </w:r>
      <w:r w:rsidR="00577916" w:rsidRPr="008B153E">
        <w:rPr>
          <w:rFonts w:ascii="Calibri" w:hAnsi="Calibri" w:cs="Calibri"/>
          <w:sz w:val="22"/>
          <w:szCs w:val="22"/>
        </w:rPr>
        <w:t xml:space="preserve"> within the l</w:t>
      </w:r>
      <w:r w:rsidR="00577916">
        <w:rPr>
          <w:rFonts w:ascii="Calibri" w:hAnsi="Calibri" w:cs="Calibri"/>
          <w:sz w:val="22"/>
          <w:szCs w:val="22"/>
        </w:rPr>
        <w:t>ast 6 months of the trial</w:t>
      </w:r>
      <w:r w:rsidRPr="00E11CB4">
        <w:rPr>
          <w:rFonts w:ascii="Calibri" w:hAnsi="Calibri" w:cs="Calibri"/>
          <w:sz w:val="22"/>
          <w:szCs w:val="22"/>
        </w:rPr>
        <w:t xml:space="preserve"> with clinicians</w:t>
      </w:r>
      <w:r w:rsidR="00576ADA">
        <w:rPr>
          <w:rFonts w:ascii="Calibri" w:hAnsi="Calibri" w:cs="Calibri"/>
          <w:sz w:val="22"/>
          <w:szCs w:val="22"/>
        </w:rPr>
        <w:t xml:space="preserve"> from a range of disciplines</w:t>
      </w:r>
      <w:r w:rsidRPr="00E11CB4">
        <w:rPr>
          <w:rFonts w:ascii="Calibri" w:hAnsi="Calibri" w:cs="Calibri"/>
          <w:sz w:val="22"/>
          <w:szCs w:val="22"/>
        </w:rPr>
        <w:t xml:space="preserve">. </w:t>
      </w:r>
      <w:r w:rsidR="00C9567D">
        <w:rPr>
          <w:rFonts w:ascii="Calibri" w:hAnsi="Calibri" w:cs="Calibri"/>
          <w:sz w:val="22"/>
          <w:szCs w:val="22"/>
        </w:rPr>
        <w:t xml:space="preserve">Units were sampled in the same manner as Phase </w:t>
      </w:r>
      <w:r w:rsidR="00E23014">
        <w:rPr>
          <w:rFonts w:ascii="Calibri" w:hAnsi="Calibri" w:cs="Calibri"/>
          <w:sz w:val="22"/>
          <w:szCs w:val="22"/>
        </w:rPr>
        <w:t>1.</w:t>
      </w:r>
      <w:r w:rsidR="00DA249E">
        <w:rPr>
          <w:rFonts w:ascii="Calibri" w:hAnsi="Calibri" w:cs="Calibri"/>
          <w:sz w:val="22"/>
          <w:szCs w:val="22"/>
        </w:rPr>
        <w:t xml:space="preserve"> However, o</w:t>
      </w:r>
      <w:r w:rsidRPr="00E11CB4">
        <w:rPr>
          <w:rFonts w:ascii="Calibri" w:hAnsi="Calibri" w:cs="Calibri"/>
          <w:sz w:val="22"/>
          <w:szCs w:val="22"/>
        </w:rPr>
        <w:t>nly units that had enrolled patients into A2B within 3 months prior to being contacted were selected</w:t>
      </w:r>
      <w:r w:rsidR="00553295">
        <w:rPr>
          <w:rFonts w:ascii="Calibri" w:hAnsi="Calibri" w:cs="Calibri"/>
          <w:sz w:val="22"/>
          <w:szCs w:val="22"/>
        </w:rPr>
        <w:t>,</w:t>
      </w:r>
      <w:r w:rsidRPr="00E11CB4">
        <w:rPr>
          <w:rFonts w:ascii="Calibri" w:hAnsi="Calibri" w:cs="Calibri"/>
          <w:sz w:val="22"/>
          <w:szCs w:val="22"/>
        </w:rPr>
        <w:t xml:space="preserve"> to optimise recall of factors related to intervention delivery. Interview data were used to explore organisational and participant-related factors </w:t>
      </w:r>
      <w:r w:rsidR="0060069D">
        <w:rPr>
          <w:rFonts w:ascii="Calibri" w:hAnsi="Calibri" w:cs="Calibri"/>
          <w:sz w:val="22"/>
          <w:szCs w:val="22"/>
        </w:rPr>
        <w:t>that</w:t>
      </w:r>
      <w:r w:rsidRPr="00E11CB4">
        <w:rPr>
          <w:rFonts w:ascii="Calibri" w:hAnsi="Calibri" w:cs="Calibri"/>
          <w:sz w:val="22"/>
          <w:szCs w:val="22"/>
        </w:rPr>
        <w:t xml:space="preserve"> acted as barriers or facilitators to successful intervention and trial delivery. They also explored reflections on use of the trial protocol</w:t>
      </w:r>
      <w:r w:rsidR="00B07E7B">
        <w:rPr>
          <w:rFonts w:ascii="Calibri" w:hAnsi="Calibri" w:cs="Calibri"/>
          <w:sz w:val="22"/>
          <w:szCs w:val="22"/>
        </w:rPr>
        <w:t>,</w:t>
      </w:r>
      <w:r w:rsidRPr="00E11CB4">
        <w:rPr>
          <w:rFonts w:ascii="Calibri" w:hAnsi="Calibri" w:cs="Calibri"/>
          <w:sz w:val="22"/>
          <w:szCs w:val="22"/>
        </w:rPr>
        <w:t xml:space="preserve"> </w:t>
      </w:r>
      <w:r w:rsidR="00B07E7B">
        <w:rPr>
          <w:rFonts w:ascii="Calibri" w:hAnsi="Calibri" w:cs="Calibri"/>
          <w:sz w:val="22"/>
          <w:szCs w:val="22"/>
        </w:rPr>
        <w:t>medication</w:t>
      </w:r>
      <w:r w:rsidR="00F560A2">
        <w:rPr>
          <w:rFonts w:ascii="Calibri" w:hAnsi="Calibri" w:cs="Calibri"/>
          <w:sz w:val="22"/>
          <w:szCs w:val="22"/>
        </w:rPr>
        <w:t>s</w:t>
      </w:r>
      <w:r w:rsidRPr="00E11CB4">
        <w:rPr>
          <w:rFonts w:ascii="Calibri" w:hAnsi="Calibri" w:cs="Calibri"/>
          <w:sz w:val="22"/>
          <w:szCs w:val="22"/>
        </w:rPr>
        <w:t>, and clinical decision-making processes.</w:t>
      </w:r>
    </w:p>
    <w:p w14:paraId="766C7DD0" w14:textId="77777777" w:rsidR="00EC71F5" w:rsidRPr="004E612C" w:rsidRDefault="00EC71F5" w:rsidP="002358F3">
      <w:pPr>
        <w:spacing w:after="200" w:line="360" w:lineRule="auto"/>
        <w:jc w:val="both"/>
        <w:rPr>
          <w:rFonts w:ascii="Calibri" w:hAnsi="Calibri" w:cs="Calibri"/>
          <w:b/>
          <w:bCs/>
          <w:sz w:val="22"/>
          <w:szCs w:val="22"/>
        </w:rPr>
      </w:pPr>
      <w:r w:rsidRPr="004E612C">
        <w:rPr>
          <w:rFonts w:ascii="Calibri" w:hAnsi="Calibri" w:cs="Calibri"/>
          <w:b/>
          <w:bCs/>
          <w:sz w:val="22"/>
          <w:szCs w:val="22"/>
        </w:rPr>
        <w:t xml:space="preserve">Patient and public involvement </w:t>
      </w:r>
      <w:r w:rsidR="00694C50">
        <w:rPr>
          <w:rFonts w:ascii="Calibri" w:hAnsi="Calibri" w:cs="Calibri"/>
          <w:b/>
          <w:bCs/>
          <w:sz w:val="22"/>
          <w:szCs w:val="22"/>
        </w:rPr>
        <w:t>(PPI)</w:t>
      </w:r>
    </w:p>
    <w:p w14:paraId="3B2391C5" w14:textId="66E8120A" w:rsidR="00EC71F5" w:rsidRPr="008B153E" w:rsidRDefault="00EC71F5" w:rsidP="002358F3">
      <w:pPr>
        <w:spacing w:after="200" w:line="360" w:lineRule="auto"/>
        <w:jc w:val="both"/>
        <w:rPr>
          <w:rFonts w:ascii="Calibri" w:hAnsi="Calibri" w:cs="Calibri"/>
          <w:sz w:val="22"/>
          <w:szCs w:val="22"/>
        </w:rPr>
      </w:pPr>
      <w:r>
        <w:rPr>
          <w:rFonts w:ascii="Calibri" w:hAnsi="Calibri" w:cs="Calibri"/>
          <w:sz w:val="22"/>
          <w:szCs w:val="22"/>
        </w:rPr>
        <w:t xml:space="preserve">Former ICU patients and </w:t>
      </w:r>
      <w:r w:rsidR="00F80EB0">
        <w:rPr>
          <w:rFonts w:ascii="Calibri" w:hAnsi="Calibri" w:cs="Calibri"/>
          <w:sz w:val="22"/>
          <w:szCs w:val="22"/>
        </w:rPr>
        <w:t>family members</w:t>
      </w:r>
      <w:r>
        <w:rPr>
          <w:rFonts w:ascii="Calibri" w:hAnsi="Calibri" w:cs="Calibri"/>
          <w:sz w:val="22"/>
          <w:szCs w:val="22"/>
        </w:rPr>
        <w:t xml:space="preserve"> </w:t>
      </w:r>
      <w:r w:rsidR="009A7DBF">
        <w:rPr>
          <w:rFonts w:ascii="Calibri" w:hAnsi="Calibri" w:cs="Calibri"/>
          <w:sz w:val="22"/>
          <w:szCs w:val="22"/>
        </w:rPr>
        <w:t xml:space="preserve">were involved at multiple points of the </w:t>
      </w:r>
      <w:r w:rsidR="00C4440C">
        <w:rPr>
          <w:rFonts w:ascii="Calibri" w:hAnsi="Calibri" w:cs="Calibri"/>
          <w:sz w:val="22"/>
          <w:szCs w:val="22"/>
        </w:rPr>
        <w:t xml:space="preserve">trial </w:t>
      </w:r>
      <w:r w:rsidR="009A7DBF">
        <w:rPr>
          <w:rFonts w:ascii="Calibri" w:hAnsi="Calibri" w:cs="Calibri"/>
          <w:sz w:val="22"/>
          <w:szCs w:val="22"/>
        </w:rPr>
        <w:t xml:space="preserve">design and conduct including the </w:t>
      </w:r>
      <w:r w:rsidR="00B544AC">
        <w:rPr>
          <w:rFonts w:ascii="Calibri" w:hAnsi="Calibri" w:cs="Calibri"/>
          <w:sz w:val="22"/>
          <w:szCs w:val="22"/>
        </w:rPr>
        <w:t>embedded process evaluation</w:t>
      </w:r>
      <w:r w:rsidR="009227F3">
        <w:rPr>
          <w:rFonts w:ascii="Calibri" w:hAnsi="Calibri" w:cs="Calibri"/>
          <w:sz w:val="22"/>
          <w:szCs w:val="22"/>
        </w:rPr>
        <w:t xml:space="preserve">. </w:t>
      </w:r>
      <w:r w:rsidR="00694C50">
        <w:rPr>
          <w:rFonts w:ascii="Calibri" w:hAnsi="Calibri" w:cs="Calibri"/>
          <w:sz w:val="22"/>
          <w:szCs w:val="22"/>
        </w:rPr>
        <w:t>One member of the PPI group was a co</w:t>
      </w:r>
      <w:r w:rsidR="00471236">
        <w:rPr>
          <w:rFonts w:ascii="Calibri" w:hAnsi="Calibri" w:cs="Calibri"/>
          <w:sz w:val="22"/>
          <w:szCs w:val="22"/>
        </w:rPr>
        <w:t>-</w:t>
      </w:r>
      <w:r w:rsidR="00ED196C">
        <w:rPr>
          <w:rFonts w:ascii="Calibri" w:hAnsi="Calibri" w:cs="Calibri"/>
          <w:sz w:val="22"/>
          <w:szCs w:val="22"/>
        </w:rPr>
        <w:t>applicant</w:t>
      </w:r>
      <w:r w:rsidR="00471236">
        <w:rPr>
          <w:rFonts w:ascii="Calibri" w:hAnsi="Calibri" w:cs="Calibri"/>
          <w:sz w:val="22"/>
          <w:szCs w:val="22"/>
        </w:rPr>
        <w:t xml:space="preserve"> </w:t>
      </w:r>
      <w:r w:rsidR="00471236" w:rsidRPr="008B153E">
        <w:rPr>
          <w:rFonts w:ascii="Calibri" w:hAnsi="Calibri" w:cs="Calibri"/>
          <w:sz w:val="22"/>
          <w:szCs w:val="22"/>
        </w:rPr>
        <w:t xml:space="preserve">on the grant application and </w:t>
      </w:r>
      <w:r w:rsidR="00FB169F" w:rsidRPr="008B153E">
        <w:rPr>
          <w:rFonts w:ascii="Calibri" w:hAnsi="Calibri" w:cs="Calibri"/>
          <w:sz w:val="22"/>
          <w:szCs w:val="22"/>
        </w:rPr>
        <w:t xml:space="preserve">advised </w:t>
      </w:r>
      <w:r w:rsidR="00471236" w:rsidRPr="008B153E">
        <w:rPr>
          <w:rFonts w:ascii="Calibri" w:hAnsi="Calibri" w:cs="Calibri"/>
          <w:sz w:val="22"/>
          <w:szCs w:val="22"/>
        </w:rPr>
        <w:t xml:space="preserve">the Trial </w:t>
      </w:r>
      <w:r w:rsidR="001D66EE" w:rsidRPr="008B153E">
        <w:rPr>
          <w:rFonts w:ascii="Calibri" w:hAnsi="Calibri" w:cs="Calibri"/>
          <w:sz w:val="22"/>
          <w:szCs w:val="22"/>
        </w:rPr>
        <w:t>Management Group</w:t>
      </w:r>
      <w:r w:rsidR="00EB4215" w:rsidRPr="008B153E">
        <w:rPr>
          <w:rFonts w:ascii="Calibri" w:hAnsi="Calibri" w:cs="Calibri"/>
          <w:sz w:val="22"/>
          <w:szCs w:val="22"/>
        </w:rPr>
        <w:t>,</w:t>
      </w:r>
      <w:r w:rsidR="00471236" w:rsidRPr="008B153E">
        <w:rPr>
          <w:rFonts w:ascii="Calibri" w:hAnsi="Calibri" w:cs="Calibri"/>
          <w:sz w:val="22"/>
          <w:szCs w:val="22"/>
        </w:rPr>
        <w:t xml:space="preserve"> </w:t>
      </w:r>
      <w:r w:rsidR="001D66EE" w:rsidRPr="008B153E">
        <w:rPr>
          <w:rFonts w:ascii="Calibri" w:hAnsi="Calibri" w:cs="Calibri"/>
          <w:sz w:val="22"/>
          <w:szCs w:val="22"/>
        </w:rPr>
        <w:t>where</w:t>
      </w:r>
      <w:r w:rsidR="00586A7A" w:rsidRPr="008B153E">
        <w:rPr>
          <w:rFonts w:ascii="Calibri" w:hAnsi="Calibri" w:cs="Calibri"/>
          <w:sz w:val="22"/>
          <w:szCs w:val="22"/>
        </w:rPr>
        <w:t xml:space="preserve"> the plan and results of the process evaluation were discussed on an ongoing basis</w:t>
      </w:r>
      <w:r w:rsidR="00EB4215" w:rsidRPr="008B153E">
        <w:rPr>
          <w:rFonts w:ascii="Calibri" w:hAnsi="Calibri" w:cs="Calibri"/>
          <w:sz w:val="22"/>
          <w:szCs w:val="22"/>
        </w:rPr>
        <w:t>,</w:t>
      </w:r>
      <w:r w:rsidR="00586A7A" w:rsidRPr="008B153E">
        <w:rPr>
          <w:rFonts w:ascii="Calibri" w:hAnsi="Calibri" w:cs="Calibri"/>
          <w:sz w:val="22"/>
          <w:szCs w:val="22"/>
        </w:rPr>
        <w:t xml:space="preserve"> throughout the trial. </w:t>
      </w:r>
      <w:r w:rsidR="00356127" w:rsidRPr="008B153E">
        <w:rPr>
          <w:rFonts w:ascii="Calibri" w:hAnsi="Calibri" w:cs="Calibri"/>
          <w:sz w:val="22"/>
          <w:szCs w:val="22"/>
        </w:rPr>
        <w:t>A former patient was an independent member of the Trial Steering Group.</w:t>
      </w:r>
    </w:p>
    <w:p w14:paraId="526D6B4E" w14:textId="77777777" w:rsidR="00703C30" w:rsidRPr="008B153E" w:rsidRDefault="00703C30" w:rsidP="00703C30">
      <w:pPr>
        <w:rPr>
          <w:rFonts w:ascii="Calibri" w:hAnsi="Calibri" w:cs="Calibri"/>
          <w:b/>
          <w:bCs/>
          <w:sz w:val="22"/>
          <w:szCs w:val="22"/>
        </w:rPr>
      </w:pPr>
      <w:r w:rsidRPr="008B153E">
        <w:rPr>
          <w:rFonts w:ascii="Calibri" w:hAnsi="Calibri" w:cs="Calibri"/>
          <w:b/>
          <w:bCs/>
          <w:sz w:val="22"/>
          <w:szCs w:val="22"/>
        </w:rPr>
        <w:t>Equality, Diversity and Inclusion (EDI)</w:t>
      </w:r>
    </w:p>
    <w:p w14:paraId="4ABA6102" w14:textId="77777777" w:rsidR="00703C30" w:rsidRPr="008B153E" w:rsidRDefault="00703C30" w:rsidP="00703C30">
      <w:pPr>
        <w:spacing w:line="360" w:lineRule="auto"/>
        <w:rPr>
          <w:rFonts w:ascii="Calibri" w:hAnsi="Calibri" w:cs="Calibri"/>
          <w:sz w:val="22"/>
          <w:szCs w:val="22"/>
        </w:rPr>
      </w:pPr>
      <w:r w:rsidRPr="008B153E">
        <w:rPr>
          <w:rFonts w:ascii="Calibri" w:hAnsi="Calibri" w:cs="Calibri"/>
          <w:sz w:val="22"/>
          <w:szCs w:val="22"/>
        </w:rPr>
        <w:lastRenderedPageBreak/>
        <w:t>This pre-planned process evaluation was part of the overall A2B trial programme of work. We reflect on EDI in several important areas: project focus, research team, and PPI involvement. We also reflect on the weaknesses and areas for improvement based on the trial. Of relevance, the INCLUDE framework (</w:t>
      </w:r>
      <w:hyperlink r:id="rId13" w:history="1">
        <w:r w:rsidRPr="008B153E">
          <w:rPr>
            <w:rFonts w:ascii="Calibri" w:hAnsi="Calibri" w:cs="Calibri"/>
            <w:color w:val="0000FF"/>
            <w:sz w:val="22"/>
            <w:szCs w:val="22"/>
            <w:u w:val="single"/>
          </w:rPr>
          <w:t>INCLUDE - Guidance (google.com)</w:t>
        </w:r>
      </w:hyperlink>
      <w:r w:rsidRPr="008B153E">
        <w:rPr>
          <w:rFonts w:ascii="Calibri" w:hAnsi="Calibri" w:cs="Calibri"/>
          <w:sz w:val="22"/>
          <w:szCs w:val="22"/>
        </w:rPr>
        <w:t>) post-dates the funding and planning of the A2B trial.</w:t>
      </w:r>
    </w:p>
    <w:p w14:paraId="6B28631D" w14:textId="77777777" w:rsidR="00703C30" w:rsidRPr="008B153E" w:rsidRDefault="00703C30" w:rsidP="00703C30">
      <w:pPr>
        <w:spacing w:line="360" w:lineRule="auto"/>
        <w:rPr>
          <w:rFonts w:ascii="Calibri" w:hAnsi="Calibri" w:cs="Calibri"/>
          <w:sz w:val="22"/>
          <w:szCs w:val="22"/>
        </w:rPr>
      </w:pPr>
      <w:r w:rsidRPr="008B153E">
        <w:rPr>
          <w:rFonts w:ascii="Calibri" w:hAnsi="Calibri" w:cs="Calibri"/>
          <w:sz w:val="22"/>
          <w:szCs w:val="22"/>
        </w:rPr>
        <w:t xml:space="preserve">The A2B trial was a commissioned call, and as such had progressed through NIHR prioritisation processes. The brief stipulated the intervention (‘alpha2-agonists’), the patient groups (‘adults admitted to ICU who require mechanical ventilation’), the setting (‘intensive care’), and a range of important outcomes. Intensive Care is a service/place and not a disease, and we recognised the need to define the population carefully to include patients for whom sedation may have the greatest clinical impact. ICU populations are heterogeneous in multiple domains, including demographics, pre-existing health, and illness aetiology and severity. ICU services may also vary in their structure, staffing, and culture. </w:t>
      </w:r>
    </w:p>
    <w:p w14:paraId="076F4421" w14:textId="77777777" w:rsidR="00703C30" w:rsidRPr="008B153E" w:rsidRDefault="00703C30" w:rsidP="00703C30">
      <w:pPr>
        <w:spacing w:line="360" w:lineRule="auto"/>
        <w:rPr>
          <w:rFonts w:ascii="Calibri" w:hAnsi="Calibri" w:cs="Calibri"/>
          <w:sz w:val="22"/>
          <w:szCs w:val="22"/>
        </w:rPr>
      </w:pPr>
      <w:r w:rsidRPr="008B153E">
        <w:rPr>
          <w:rFonts w:ascii="Calibri" w:hAnsi="Calibri" w:cs="Calibri"/>
          <w:sz w:val="22"/>
          <w:szCs w:val="22"/>
        </w:rPr>
        <w:t xml:space="preserve">We believe we recruited a diverse heterogeneous population typical of UK critical care. Specifically, the age and gender profile were typical of populations described in national audits. Importantly, we included patients with significant co-morbidity, also typical of UK ICU admissions. The majority of patients were emergency/unscheduled admissions, with a ‘medical’/’surgical/’trauma’ split similar to UK audit data. Because recruitment occurred </w:t>
      </w:r>
      <w:r w:rsidRPr="008B153E">
        <w:rPr>
          <w:rFonts w:ascii="Calibri" w:hAnsi="Calibri" w:cs="Calibri"/>
          <w:i/>
          <w:iCs/>
          <w:sz w:val="22"/>
          <w:szCs w:val="22"/>
        </w:rPr>
        <w:t>after</w:t>
      </w:r>
      <w:r w:rsidRPr="008B153E">
        <w:rPr>
          <w:rFonts w:ascii="Calibri" w:hAnsi="Calibri" w:cs="Calibri"/>
          <w:sz w:val="22"/>
          <w:szCs w:val="22"/>
        </w:rPr>
        <w:t xml:space="preserve"> ICU admission, the population had already been ‘selected’ as appropriate for ICU care based on clinical practice, so that although some patient groups would not be included, for example severe frailty, this was representative of standard NHS care. Our inclusion criteria were very broad and focussed on the need for ICU sedation and likely longer periods of MV; as such they were unlikely to exclude under-served groups. The exclusions were mainly related to brain injury, because for these patients the exposure-outcome relationship was likely to be dominated mainly by the underlying condition. We are clear that our conclusions should not be applied to this or other excluded groups.</w:t>
      </w:r>
    </w:p>
    <w:p w14:paraId="52954B60" w14:textId="46E03764" w:rsidR="00703C30" w:rsidRPr="008B153E" w:rsidRDefault="00703C30" w:rsidP="00703C30">
      <w:pPr>
        <w:spacing w:line="360" w:lineRule="auto"/>
        <w:rPr>
          <w:rFonts w:ascii="Calibri" w:hAnsi="Calibri" w:cs="Calibri"/>
          <w:sz w:val="22"/>
          <w:szCs w:val="22"/>
        </w:rPr>
      </w:pPr>
      <w:r w:rsidRPr="008B153E">
        <w:rPr>
          <w:rFonts w:ascii="Calibri" w:hAnsi="Calibri" w:cs="Calibri"/>
          <w:sz w:val="22"/>
          <w:szCs w:val="22"/>
        </w:rPr>
        <w:t>We included &gt;40 ICUs across the UK (around 15% of all ICUs), which were from all geographical regions including all four nations. ICUs were also from a mixture of academic and other tertiary hospitals, through to smaller district general hospitals. Served communities included diverse populations in terms of socio-economic status, ethnicity, and urban/rural setting. This also applied to the staffing of the services, which is relevant given the key input from clinical staff delivering the intervention. The sampling of ICUs undertaken for the PE ensured we captured relevant diversity across these issues both in terms of setting and the staff interviewed. We did not record ethnicity or socio-economic status</w:t>
      </w:r>
      <w:r w:rsidR="00982B47">
        <w:rPr>
          <w:rFonts w:ascii="Calibri" w:hAnsi="Calibri" w:cs="Calibri"/>
          <w:sz w:val="22"/>
          <w:szCs w:val="22"/>
        </w:rPr>
        <w:t xml:space="preserve"> for patients in the A2B study, or for </w:t>
      </w:r>
      <w:r w:rsidRPr="008B153E">
        <w:rPr>
          <w:rFonts w:ascii="Calibri" w:hAnsi="Calibri" w:cs="Calibri"/>
          <w:sz w:val="22"/>
          <w:szCs w:val="22"/>
        </w:rPr>
        <w:t>interviewees</w:t>
      </w:r>
      <w:r w:rsidR="00982B47">
        <w:rPr>
          <w:rFonts w:ascii="Calibri" w:hAnsi="Calibri" w:cs="Calibri"/>
          <w:sz w:val="22"/>
          <w:szCs w:val="22"/>
        </w:rPr>
        <w:t xml:space="preserve"> in this process evaluation</w:t>
      </w:r>
      <w:r w:rsidRPr="008B153E">
        <w:rPr>
          <w:rFonts w:ascii="Calibri" w:hAnsi="Calibri" w:cs="Calibri"/>
          <w:sz w:val="22"/>
          <w:szCs w:val="22"/>
        </w:rPr>
        <w:t>, which was a weakness of our data collection.</w:t>
      </w:r>
    </w:p>
    <w:p w14:paraId="0737E2DE" w14:textId="77777777" w:rsidR="00703C30" w:rsidRPr="008B153E" w:rsidRDefault="00703C30" w:rsidP="00703C30">
      <w:pPr>
        <w:spacing w:line="360" w:lineRule="auto"/>
        <w:rPr>
          <w:rFonts w:ascii="Calibri" w:hAnsi="Calibri" w:cs="Calibri"/>
          <w:sz w:val="22"/>
          <w:szCs w:val="22"/>
        </w:rPr>
      </w:pPr>
      <w:r w:rsidRPr="008B153E">
        <w:rPr>
          <w:rFonts w:ascii="Calibri" w:hAnsi="Calibri" w:cs="Calibri"/>
          <w:sz w:val="22"/>
          <w:szCs w:val="22"/>
        </w:rPr>
        <w:lastRenderedPageBreak/>
        <w:t xml:space="preserve">Our research team included diverse clinicians involved in care (ICU doctors, elderly medicine doctors, nurses, pharmacists), although we did not include physiotherapists, occupational therapists or psychologists who may have added additional value. We included senior academics, but some co-applicants were junior academic and clinical investigators. We had an active Associate PI programme which provided experience and training opportunities. Patients were involved throughout our work. However, we did not proactively seek PPI involvement from diverse groups relevant to EDI, and future research should consider this.  </w:t>
      </w:r>
    </w:p>
    <w:p w14:paraId="06070CCF" w14:textId="77777777" w:rsidR="00703C30" w:rsidRPr="00FB3A3E" w:rsidRDefault="00703C30" w:rsidP="00703C30">
      <w:pPr>
        <w:spacing w:line="360" w:lineRule="auto"/>
        <w:rPr>
          <w:rFonts w:ascii="Calibri" w:hAnsi="Calibri" w:cs="Calibri"/>
          <w:sz w:val="22"/>
          <w:szCs w:val="22"/>
        </w:rPr>
      </w:pPr>
      <w:r w:rsidRPr="008B153E">
        <w:rPr>
          <w:rFonts w:ascii="Calibri" w:hAnsi="Calibri" w:cs="Calibri"/>
          <w:sz w:val="22"/>
          <w:szCs w:val="22"/>
        </w:rPr>
        <w:t>Finally, our embedded process evaluation specifically considered the context of the research, and acquired data from a diverse range of clinical and research staff in participating sites. The focus of these interviews, which included a range of domains relevant to designing, conducting and interpreting ICU sedation (and other) trials, has provided rich additional data to help us understand our findings and their relevance to future practice.</w:t>
      </w:r>
      <w:r w:rsidRPr="00FB3A3E">
        <w:rPr>
          <w:rFonts w:ascii="Calibri" w:hAnsi="Calibri" w:cs="Calibri"/>
          <w:sz w:val="22"/>
          <w:szCs w:val="22"/>
        </w:rPr>
        <w:t xml:space="preserve"> </w:t>
      </w:r>
    </w:p>
    <w:p w14:paraId="719DC50F" w14:textId="77777777" w:rsidR="00703C30" w:rsidRPr="00474A2F" w:rsidRDefault="00703C30" w:rsidP="002358F3">
      <w:pPr>
        <w:spacing w:after="200" w:line="360" w:lineRule="auto"/>
        <w:jc w:val="both"/>
        <w:rPr>
          <w:rFonts w:ascii="Calibri" w:hAnsi="Calibri" w:cs="Calibri"/>
          <w:sz w:val="22"/>
          <w:szCs w:val="22"/>
        </w:rPr>
      </w:pPr>
    </w:p>
    <w:p w14:paraId="5E9BFA1F" w14:textId="77777777" w:rsidR="00292417" w:rsidRDefault="0065349B" w:rsidP="002358F3">
      <w:pPr>
        <w:spacing w:after="200" w:line="360" w:lineRule="auto"/>
        <w:jc w:val="both"/>
        <w:rPr>
          <w:rFonts w:ascii="Calibri" w:hAnsi="Calibri" w:cs="Calibri"/>
          <w:b/>
          <w:bCs/>
          <w:sz w:val="22"/>
          <w:szCs w:val="22"/>
        </w:rPr>
      </w:pPr>
      <w:r>
        <w:rPr>
          <w:rFonts w:ascii="Calibri" w:hAnsi="Calibri" w:cs="Calibri"/>
          <w:b/>
          <w:bCs/>
          <w:sz w:val="22"/>
          <w:szCs w:val="22"/>
        </w:rPr>
        <w:t xml:space="preserve">Data </w:t>
      </w:r>
      <w:r w:rsidR="009F7B9F">
        <w:rPr>
          <w:rFonts w:ascii="Calibri" w:hAnsi="Calibri" w:cs="Calibri"/>
          <w:b/>
          <w:bCs/>
          <w:sz w:val="22"/>
          <w:szCs w:val="22"/>
        </w:rPr>
        <w:t>a</w:t>
      </w:r>
      <w:r w:rsidR="007F5B58" w:rsidRPr="003C09B6">
        <w:rPr>
          <w:rFonts w:ascii="Calibri" w:hAnsi="Calibri" w:cs="Calibri"/>
          <w:b/>
          <w:bCs/>
          <w:sz w:val="22"/>
          <w:szCs w:val="22"/>
        </w:rPr>
        <w:t>nalysis</w:t>
      </w:r>
    </w:p>
    <w:p w14:paraId="20D76303" w14:textId="2FD4515D" w:rsidR="00BC4783" w:rsidRPr="00CD441F" w:rsidRDefault="00BC4783" w:rsidP="002358F3">
      <w:pPr>
        <w:spacing w:after="200" w:line="360" w:lineRule="auto"/>
        <w:jc w:val="both"/>
        <w:rPr>
          <w:rFonts w:ascii="Calibri" w:hAnsi="Calibri" w:cs="Calibri"/>
          <w:sz w:val="22"/>
          <w:szCs w:val="22"/>
        </w:rPr>
      </w:pPr>
      <w:r w:rsidRPr="00CD441F">
        <w:rPr>
          <w:rFonts w:ascii="Calibri" w:hAnsi="Calibri" w:cs="Calibri"/>
          <w:sz w:val="22"/>
          <w:szCs w:val="22"/>
        </w:rPr>
        <w:t xml:space="preserve">The analysis sought to identify </w:t>
      </w:r>
      <w:r w:rsidR="00C27B8C" w:rsidRPr="00CD441F">
        <w:rPr>
          <w:rFonts w:ascii="Calibri" w:hAnsi="Calibri" w:cs="Calibri"/>
          <w:sz w:val="22"/>
          <w:szCs w:val="22"/>
        </w:rPr>
        <w:t xml:space="preserve">the extent to which the A2B intervention was implemented as intended, and </w:t>
      </w:r>
      <w:r w:rsidRPr="00CD441F">
        <w:rPr>
          <w:rFonts w:ascii="Calibri" w:hAnsi="Calibri" w:cs="Calibri"/>
          <w:sz w:val="22"/>
          <w:szCs w:val="22"/>
        </w:rPr>
        <w:t>barriers and facilitators of implementing and delivering the A2B trial and intervention. The data were used to inform interpretation of the main trial</w:t>
      </w:r>
      <w:r w:rsidR="00E32FDC">
        <w:rPr>
          <w:rFonts w:ascii="Calibri" w:hAnsi="Calibri" w:cs="Calibri"/>
          <w:sz w:val="22"/>
          <w:szCs w:val="22"/>
        </w:rPr>
        <w:t>’s</w:t>
      </w:r>
      <w:r w:rsidRPr="00CD441F">
        <w:rPr>
          <w:rFonts w:ascii="Calibri" w:hAnsi="Calibri" w:cs="Calibri"/>
          <w:sz w:val="22"/>
          <w:szCs w:val="22"/>
        </w:rPr>
        <w:t xml:space="preserve"> findings</w:t>
      </w:r>
      <w:r w:rsidR="001823E7">
        <w:rPr>
          <w:rFonts w:ascii="Calibri" w:hAnsi="Calibri" w:cs="Calibri"/>
          <w:sz w:val="22"/>
          <w:szCs w:val="22"/>
        </w:rPr>
        <w:t xml:space="preserve"> for </w:t>
      </w:r>
      <w:r w:rsidRPr="00CD441F">
        <w:rPr>
          <w:rFonts w:ascii="Calibri" w:hAnsi="Calibri" w:cs="Calibri"/>
          <w:sz w:val="22"/>
          <w:szCs w:val="22"/>
        </w:rPr>
        <w:t>the primary and secondary outcomes.</w:t>
      </w:r>
      <w:r w:rsidR="00A42066" w:rsidRPr="00CD441F">
        <w:rPr>
          <w:rFonts w:ascii="Calibri" w:hAnsi="Calibri" w:cs="Calibri"/>
          <w:sz w:val="22"/>
          <w:szCs w:val="22"/>
        </w:rPr>
        <w:t xml:space="preserve"> </w:t>
      </w:r>
      <w:r w:rsidR="00622C94">
        <w:rPr>
          <w:rFonts w:ascii="Calibri" w:hAnsi="Calibri" w:cs="Calibri"/>
          <w:sz w:val="22"/>
          <w:szCs w:val="22"/>
        </w:rPr>
        <w:t>D</w:t>
      </w:r>
      <w:r w:rsidR="00622C94" w:rsidRPr="00B65196">
        <w:rPr>
          <w:rFonts w:ascii="Calibri" w:hAnsi="Calibri" w:cs="Calibri"/>
          <w:sz w:val="22"/>
          <w:szCs w:val="22"/>
        </w:rPr>
        <w:t xml:space="preserve">ata collection and </w:t>
      </w:r>
      <w:r w:rsidR="00901377">
        <w:rPr>
          <w:rFonts w:ascii="Calibri" w:hAnsi="Calibri" w:cs="Calibri"/>
          <w:sz w:val="22"/>
          <w:szCs w:val="22"/>
        </w:rPr>
        <w:t xml:space="preserve">qualitative </w:t>
      </w:r>
      <w:r w:rsidR="00622C94" w:rsidRPr="00B65196">
        <w:rPr>
          <w:rFonts w:ascii="Calibri" w:hAnsi="Calibri" w:cs="Calibri"/>
          <w:sz w:val="22"/>
          <w:szCs w:val="22"/>
        </w:rPr>
        <w:t>analyses were completed prior to knowing the primary results of the trial</w:t>
      </w:r>
      <w:r w:rsidR="000778EF" w:rsidRPr="00CD441F">
        <w:rPr>
          <w:rFonts w:ascii="Calibri" w:hAnsi="Calibri" w:cs="Calibri"/>
          <w:sz w:val="22"/>
          <w:szCs w:val="22"/>
        </w:rPr>
        <w:t xml:space="preserve"> to </w:t>
      </w:r>
      <w:r w:rsidR="00C16AD2" w:rsidRPr="00CD441F">
        <w:rPr>
          <w:rFonts w:ascii="Calibri" w:hAnsi="Calibri" w:cs="Calibri"/>
          <w:sz w:val="22"/>
          <w:szCs w:val="22"/>
        </w:rPr>
        <w:t xml:space="preserve">ensure blinding </w:t>
      </w:r>
      <w:r w:rsidR="00491F39" w:rsidRPr="00CD441F">
        <w:rPr>
          <w:rFonts w:ascii="Calibri" w:hAnsi="Calibri" w:cs="Calibri"/>
          <w:sz w:val="22"/>
          <w:szCs w:val="22"/>
        </w:rPr>
        <w:t xml:space="preserve">to the trial outcomes. </w:t>
      </w:r>
    </w:p>
    <w:p w14:paraId="01FE2536" w14:textId="684982C9" w:rsidR="00E22117" w:rsidRPr="00CD441F" w:rsidRDefault="00C27B8C" w:rsidP="002358F3">
      <w:pPr>
        <w:spacing w:after="200" w:line="360" w:lineRule="auto"/>
        <w:jc w:val="both"/>
        <w:rPr>
          <w:rFonts w:ascii="Calibri" w:hAnsi="Calibri" w:cs="Calibri"/>
          <w:sz w:val="22"/>
          <w:szCs w:val="22"/>
        </w:rPr>
      </w:pPr>
      <w:r w:rsidRPr="00CD441F">
        <w:rPr>
          <w:rFonts w:ascii="Calibri" w:hAnsi="Calibri" w:cs="Calibri"/>
          <w:sz w:val="22"/>
          <w:szCs w:val="22"/>
        </w:rPr>
        <w:t xml:space="preserve">Quantitative data extracted from the main A2B trial database were summarised descriptively </w:t>
      </w:r>
      <w:r w:rsidR="00EE440A" w:rsidRPr="00CD441F">
        <w:rPr>
          <w:rFonts w:ascii="Calibri" w:hAnsi="Calibri" w:cs="Calibri"/>
          <w:sz w:val="22"/>
          <w:szCs w:val="22"/>
        </w:rPr>
        <w:t xml:space="preserve">and </w:t>
      </w:r>
      <w:r w:rsidR="00E22117" w:rsidRPr="00CD441F">
        <w:rPr>
          <w:rFonts w:ascii="Calibri" w:hAnsi="Calibri" w:cs="Calibri"/>
          <w:sz w:val="22"/>
          <w:szCs w:val="22"/>
        </w:rPr>
        <w:t xml:space="preserve">each study site was </w:t>
      </w:r>
      <w:r w:rsidR="00EE440A" w:rsidRPr="00CD441F">
        <w:rPr>
          <w:rFonts w:ascii="Calibri" w:hAnsi="Calibri" w:cs="Calibri"/>
          <w:sz w:val="22"/>
          <w:szCs w:val="22"/>
        </w:rPr>
        <w:t>assigned a</w:t>
      </w:r>
      <w:r w:rsidR="00A345D4" w:rsidRPr="00CD441F">
        <w:rPr>
          <w:rFonts w:ascii="Calibri" w:hAnsi="Calibri" w:cs="Calibri"/>
          <w:sz w:val="22"/>
          <w:szCs w:val="22"/>
        </w:rPr>
        <w:t xml:space="preserve"> </w:t>
      </w:r>
      <w:r w:rsidR="00E22117" w:rsidRPr="00CD441F">
        <w:rPr>
          <w:rFonts w:ascii="Calibri" w:hAnsi="Calibri" w:cs="Calibri"/>
          <w:sz w:val="22"/>
          <w:szCs w:val="22"/>
        </w:rPr>
        <w:t xml:space="preserve">Red-Amber-Green (RAG) score </w:t>
      </w:r>
      <w:r w:rsidR="00DA18A9" w:rsidRPr="00CD441F">
        <w:rPr>
          <w:rFonts w:ascii="Calibri" w:hAnsi="Calibri" w:cs="Calibri"/>
          <w:sz w:val="22"/>
          <w:szCs w:val="22"/>
        </w:rPr>
        <w:t>based on level of adherence</w:t>
      </w:r>
      <w:r w:rsidR="00E22117" w:rsidRPr="00CD441F">
        <w:rPr>
          <w:rFonts w:ascii="Calibri" w:hAnsi="Calibri" w:cs="Calibri"/>
          <w:sz w:val="22"/>
          <w:szCs w:val="22"/>
        </w:rPr>
        <w:t xml:space="preserve"> for each of the following</w:t>
      </w:r>
      <w:r w:rsidR="007B68FA">
        <w:rPr>
          <w:rFonts w:ascii="Calibri" w:hAnsi="Calibri" w:cs="Calibri"/>
          <w:sz w:val="22"/>
          <w:szCs w:val="22"/>
        </w:rPr>
        <w:t xml:space="preserve"> </w:t>
      </w:r>
      <w:r w:rsidR="00D85D16">
        <w:rPr>
          <w:rFonts w:ascii="Calibri" w:hAnsi="Calibri" w:cs="Calibri"/>
          <w:sz w:val="22"/>
          <w:szCs w:val="22"/>
        </w:rPr>
        <w:t xml:space="preserve">measures of intervention </w:t>
      </w:r>
      <w:r w:rsidR="001608CF">
        <w:rPr>
          <w:rFonts w:ascii="Calibri" w:hAnsi="Calibri" w:cs="Calibri"/>
          <w:sz w:val="22"/>
          <w:szCs w:val="22"/>
        </w:rPr>
        <w:t xml:space="preserve">delivery </w:t>
      </w:r>
      <w:r w:rsidR="00D85D16">
        <w:rPr>
          <w:rFonts w:ascii="Calibri" w:hAnsi="Calibri" w:cs="Calibri"/>
          <w:sz w:val="22"/>
          <w:szCs w:val="22"/>
        </w:rPr>
        <w:t>outlined by Moore et al</w:t>
      </w:r>
      <w:r w:rsidR="00E22117" w:rsidRPr="00CD441F">
        <w:rPr>
          <w:rFonts w:ascii="Calibri" w:hAnsi="Calibri" w:cs="Calibri"/>
          <w:sz w:val="22"/>
          <w:szCs w:val="22"/>
        </w:rPr>
        <w:t>:</w:t>
      </w:r>
      <w:r w:rsidR="005B23B0" w:rsidRPr="00EC6C09">
        <w:rPr>
          <w:rFonts w:ascii="Calibri" w:hAnsi="Calibri" w:cs="Calibri"/>
          <w:noProof/>
          <w:sz w:val="22"/>
          <w:szCs w:val="22"/>
          <w:vertAlign w:val="superscript"/>
        </w:rPr>
        <w:t>8</w:t>
      </w:r>
    </w:p>
    <w:p w14:paraId="0DE64829" w14:textId="77777777" w:rsidR="00E22117" w:rsidRPr="00CD441F" w:rsidRDefault="00E22117" w:rsidP="002358F3">
      <w:pPr>
        <w:pStyle w:val="ListParagraph"/>
        <w:numPr>
          <w:ilvl w:val="0"/>
          <w:numId w:val="13"/>
        </w:numPr>
        <w:spacing w:after="200" w:line="360" w:lineRule="auto"/>
        <w:jc w:val="both"/>
        <w:rPr>
          <w:rFonts w:ascii="Calibri" w:hAnsi="Calibri" w:cs="Calibri"/>
          <w:sz w:val="22"/>
          <w:szCs w:val="22"/>
        </w:rPr>
      </w:pPr>
      <w:r w:rsidRPr="00CD441F">
        <w:rPr>
          <w:rFonts w:ascii="Calibri" w:hAnsi="Calibri" w:cs="Calibri"/>
          <w:sz w:val="22"/>
          <w:szCs w:val="22"/>
        </w:rPr>
        <w:t>Fidelity: % of patients with correct treatment every day during first 4 days</w:t>
      </w:r>
    </w:p>
    <w:p w14:paraId="566B0192" w14:textId="2A3F1E0B" w:rsidR="00E22117" w:rsidRPr="00CD441F" w:rsidRDefault="00E22117" w:rsidP="002358F3">
      <w:pPr>
        <w:pStyle w:val="ListParagraph"/>
        <w:numPr>
          <w:ilvl w:val="0"/>
          <w:numId w:val="13"/>
        </w:numPr>
        <w:spacing w:after="200" w:line="360" w:lineRule="auto"/>
        <w:jc w:val="both"/>
        <w:rPr>
          <w:rFonts w:ascii="Calibri" w:hAnsi="Calibri" w:cs="Calibri"/>
          <w:sz w:val="22"/>
          <w:szCs w:val="22"/>
        </w:rPr>
      </w:pPr>
      <w:r w:rsidRPr="00CD441F">
        <w:rPr>
          <w:rFonts w:ascii="Calibri" w:hAnsi="Calibri" w:cs="Calibri"/>
          <w:sz w:val="22"/>
          <w:szCs w:val="22"/>
        </w:rPr>
        <w:t xml:space="preserve">Fidelity: % of patients with RASS -2 </w:t>
      </w:r>
      <w:r w:rsidR="00A824F6">
        <w:rPr>
          <w:rFonts w:ascii="Calibri" w:hAnsi="Calibri" w:cs="Calibri"/>
          <w:sz w:val="22"/>
          <w:szCs w:val="22"/>
        </w:rPr>
        <w:t xml:space="preserve">or lighter </w:t>
      </w:r>
      <w:r w:rsidRPr="00CD441F">
        <w:rPr>
          <w:rFonts w:ascii="Calibri" w:hAnsi="Calibri" w:cs="Calibri"/>
          <w:sz w:val="22"/>
          <w:szCs w:val="22"/>
        </w:rPr>
        <w:t xml:space="preserve">at any point during first 4 days  </w:t>
      </w:r>
    </w:p>
    <w:p w14:paraId="6228231E" w14:textId="1F82A7FB" w:rsidR="00E22117" w:rsidRPr="00CD441F" w:rsidRDefault="00E22117" w:rsidP="002358F3">
      <w:pPr>
        <w:pStyle w:val="ListParagraph"/>
        <w:numPr>
          <w:ilvl w:val="0"/>
          <w:numId w:val="13"/>
        </w:numPr>
        <w:spacing w:after="200" w:line="360" w:lineRule="auto"/>
        <w:jc w:val="both"/>
        <w:rPr>
          <w:rFonts w:ascii="Calibri" w:hAnsi="Calibri" w:cs="Calibri"/>
          <w:sz w:val="22"/>
          <w:szCs w:val="22"/>
        </w:rPr>
      </w:pPr>
      <w:r w:rsidRPr="00CD441F">
        <w:rPr>
          <w:rFonts w:ascii="Calibri" w:hAnsi="Calibri" w:cs="Calibri"/>
          <w:sz w:val="22"/>
          <w:szCs w:val="22"/>
        </w:rPr>
        <w:t>Dose: % of patients with RASS assessment at least once</w:t>
      </w:r>
      <w:r w:rsidR="00DC45D9">
        <w:rPr>
          <w:rFonts w:ascii="Calibri" w:hAnsi="Calibri" w:cs="Calibri"/>
          <w:sz w:val="22"/>
          <w:szCs w:val="22"/>
        </w:rPr>
        <w:t xml:space="preserve"> per </w:t>
      </w:r>
      <w:r w:rsidRPr="00CD441F">
        <w:rPr>
          <w:rFonts w:ascii="Calibri" w:hAnsi="Calibri" w:cs="Calibri"/>
          <w:sz w:val="22"/>
          <w:szCs w:val="22"/>
        </w:rPr>
        <w:t>day during first 4 days</w:t>
      </w:r>
    </w:p>
    <w:p w14:paraId="38D81103" w14:textId="77777777" w:rsidR="00E22117" w:rsidRPr="00CD441F" w:rsidRDefault="00E22117" w:rsidP="002358F3">
      <w:pPr>
        <w:pStyle w:val="ListParagraph"/>
        <w:numPr>
          <w:ilvl w:val="0"/>
          <w:numId w:val="13"/>
        </w:numPr>
        <w:spacing w:after="200" w:line="360" w:lineRule="auto"/>
        <w:jc w:val="both"/>
        <w:rPr>
          <w:rFonts w:ascii="Calibri" w:hAnsi="Calibri" w:cs="Calibri"/>
          <w:sz w:val="22"/>
          <w:szCs w:val="22"/>
        </w:rPr>
      </w:pPr>
      <w:r w:rsidRPr="00CD441F">
        <w:rPr>
          <w:rFonts w:ascii="Calibri" w:hAnsi="Calibri" w:cs="Calibri"/>
          <w:sz w:val="22"/>
          <w:szCs w:val="22"/>
        </w:rPr>
        <w:t xml:space="preserve">Reach: % of eligible patients proceeding to randomisation. </w:t>
      </w:r>
    </w:p>
    <w:p w14:paraId="54117522" w14:textId="1B2B6A31" w:rsidR="00C27B8C" w:rsidRPr="00AF1A5D" w:rsidRDefault="00380C8E" w:rsidP="002358F3">
      <w:pPr>
        <w:spacing w:after="200" w:line="360" w:lineRule="auto"/>
        <w:jc w:val="both"/>
        <w:rPr>
          <w:rFonts w:ascii="Calibri" w:hAnsi="Calibri" w:cs="Calibri"/>
          <w:sz w:val="22"/>
          <w:szCs w:val="22"/>
        </w:rPr>
      </w:pPr>
      <w:r w:rsidRPr="00CD441F">
        <w:rPr>
          <w:rFonts w:ascii="Calibri" w:hAnsi="Calibri" w:cs="Calibri"/>
          <w:sz w:val="22"/>
          <w:szCs w:val="22"/>
        </w:rPr>
        <w:t>RAG scores were 0: &lt;40% adherence; 1</w:t>
      </w:r>
      <w:r w:rsidR="001A7928" w:rsidRPr="00CD441F">
        <w:rPr>
          <w:rFonts w:ascii="Calibri" w:hAnsi="Calibri" w:cs="Calibri"/>
          <w:sz w:val="22"/>
          <w:szCs w:val="22"/>
        </w:rPr>
        <w:t xml:space="preserve">: 40–59% adherence; 2: 60–79% adherence; and 3: </w:t>
      </w:r>
      <w:r w:rsidR="00E575CA" w:rsidRPr="00CD441F">
        <w:rPr>
          <w:rFonts w:ascii="Calibri" w:hAnsi="Calibri" w:cs="Calibri"/>
          <w:sz w:val="22"/>
          <w:szCs w:val="22"/>
        </w:rPr>
        <w:t xml:space="preserve">≥80% adherence. </w:t>
      </w:r>
      <w:r w:rsidR="006F0459">
        <w:rPr>
          <w:rFonts w:ascii="Calibri" w:hAnsi="Calibri" w:cs="Calibri"/>
          <w:sz w:val="22"/>
          <w:szCs w:val="22"/>
        </w:rPr>
        <w:t xml:space="preserve">Scores for each </w:t>
      </w:r>
      <w:r w:rsidR="005B54B5">
        <w:rPr>
          <w:rFonts w:ascii="Calibri" w:hAnsi="Calibri" w:cs="Calibri"/>
          <w:sz w:val="22"/>
          <w:szCs w:val="22"/>
        </w:rPr>
        <w:t>adherence parameter listed above were then summed to create t</w:t>
      </w:r>
      <w:r w:rsidR="008B1902" w:rsidRPr="00CD441F">
        <w:rPr>
          <w:rFonts w:ascii="Calibri" w:hAnsi="Calibri" w:cs="Calibri"/>
          <w:sz w:val="22"/>
          <w:szCs w:val="22"/>
        </w:rPr>
        <w:t xml:space="preserve">otal </w:t>
      </w:r>
      <w:r w:rsidR="0047085D" w:rsidRPr="00CD441F">
        <w:rPr>
          <w:rFonts w:ascii="Calibri" w:hAnsi="Calibri" w:cs="Calibri"/>
          <w:sz w:val="22"/>
          <w:szCs w:val="22"/>
        </w:rPr>
        <w:t>RAG</w:t>
      </w:r>
      <w:r w:rsidR="00573DF5" w:rsidRPr="00CD441F">
        <w:rPr>
          <w:rFonts w:ascii="Calibri" w:hAnsi="Calibri" w:cs="Calibri"/>
          <w:sz w:val="22"/>
          <w:szCs w:val="22"/>
        </w:rPr>
        <w:t xml:space="preserve"> scores</w:t>
      </w:r>
      <w:r w:rsidR="008B1902" w:rsidRPr="00CD441F">
        <w:rPr>
          <w:rFonts w:ascii="Calibri" w:hAnsi="Calibri" w:cs="Calibri"/>
          <w:sz w:val="22"/>
          <w:szCs w:val="22"/>
        </w:rPr>
        <w:t xml:space="preserve"> </w:t>
      </w:r>
      <w:r w:rsidR="005B54B5">
        <w:rPr>
          <w:rFonts w:ascii="Calibri" w:hAnsi="Calibri" w:cs="Calibri"/>
          <w:sz w:val="22"/>
          <w:szCs w:val="22"/>
        </w:rPr>
        <w:t>for</w:t>
      </w:r>
      <w:r w:rsidR="008B1902" w:rsidRPr="00CD441F">
        <w:rPr>
          <w:rFonts w:ascii="Calibri" w:hAnsi="Calibri" w:cs="Calibri"/>
          <w:sz w:val="22"/>
          <w:szCs w:val="22"/>
        </w:rPr>
        <w:t xml:space="preserve"> each study site</w:t>
      </w:r>
      <w:r w:rsidR="004C1FEC">
        <w:rPr>
          <w:rFonts w:ascii="Calibri" w:hAnsi="Calibri" w:cs="Calibri"/>
          <w:sz w:val="22"/>
          <w:szCs w:val="22"/>
        </w:rPr>
        <w:t xml:space="preserve">, with equal weighting given to each adherence </w:t>
      </w:r>
      <w:r w:rsidR="004C1FEC" w:rsidRPr="00AF1A5D">
        <w:rPr>
          <w:rFonts w:ascii="Calibri" w:hAnsi="Calibri" w:cs="Calibri"/>
          <w:sz w:val="22"/>
          <w:szCs w:val="22"/>
        </w:rPr>
        <w:t>parameter</w:t>
      </w:r>
      <w:r w:rsidR="008B1902" w:rsidRPr="00AF1A5D">
        <w:rPr>
          <w:rFonts w:ascii="Calibri" w:hAnsi="Calibri" w:cs="Calibri"/>
          <w:sz w:val="22"/>
          <w:szCs w:val="22"/>
        </w:rPr>
        <w:t>.</w:t>
      </w:r>
      <w:r w:rsidR="001758A1" w:rsidRPr="00AF1A5D">
        <w:rPr>
          <w:rFonts w:ascii="Calibri" w:hAnsi="Calibri" w:cs="Calibri"/>
          <w:sz w:val="22"/>
          <w:szCs w:val="22"/>
        </w:rPr>
        <w:t xml:space="preserve"> Measuring reach across staff was planned but not able to be </w:t>
      </w:r>
      <w:r w:rsidR="00E71461" w:rsidRPr="00AF1A5D">
        <w:rPr>
          <w:rFonts w:ascii="Calibri" w:hAnsi="Calibri" w:cs="Calibri"/>
          <w:sz w:val="22"/>
          <w:szCs w:val="22"/>
        </w:rPr>
        <w:t xml:space="preserve">achieved. </w:t>
      </w:r>
    </w:p>
    <w:p w14:paraId="3CC77969" w14:textId="34BA2FEE" w:rsidR="00531BEB" w:rsidRPr="00CD441F" w:rsidRDefault="00162832" w:rsidP="002358F3">
      <w:pPr>
        <w:spacing w:after="200" w:line="360" w:lineRule="auto"/>
        <w:jc w:val="both"/>
        <w:rPr>
          <w:rFonts w:ascii="Calibri" w:hAnsi="Calibri" w:cs="Calibri"/>
          <w:sz w:val="22"/>
          <w:szCs w:val="22"/>
        </w:rPr>
      </w:pPr>
      <w:r w:rsidRPr="00CD441F">
        <w:rPr>
          <w:rFonts w:ascii="Calibri" w:hAnsi="Calibri" w:cs="Calibri"/>
          <w:sz w:val="22"/>
          <w:szCs w:val="22"/>
        </w:rPr>
        <w:lastRenderedPageBreak/>
        <w:t>I</w:t>
      </w:r>
      <w:r w:rsidR="003B0B41" w:rsidRPr="00CD441F">
        <w:rPr>
          <w:rFonts w:ascii="Calibri" w:hAnsi="Calibri" w:cs="Calibri"/>
          <w:sz w:val="22"/>
          <w:szCs w:val="22"/>
        </w:rPr>
        <w:t xml:space="preserve">nterviews were </w:t>
      </w:r>
      <w:r w:rsidR="00176007" w:rsidRPr="00CD441F">
        <w:rPr>
          <w:rFonts w:ascii="Calibri" w:hAnsi="Calibri" w:cs="Calibri"/>
          <w:sz w:val="22"/>
          <w:szCs w:val="22"/>
        </w:rPr>
        <w:t>analysed using a 7-step Framework approach.</w:t>
      </w:r>
      <w:r w:rsidR="005B23B0" w:rsidRPr="00EC6C09">
        <w:rPr>
          <w:rFonts w:ascii="Calibri" w:hAnsi="Calibri" w:cs="Calibri"/>
          <w:noProof/>
          <w:sz w:val="22"/>
          <w:szCs w:val="22"/>
          <w:vertAlign w:val="superscript"/>
        </w:rPr>
        <w:t>11</w:t>
      </w:r>
      <w:r w:rsidR="00176007" w:rsidRPr="00CD441F">
        <w:rPr>
          <w:rFonts w:ascii="Calibri" w:hAnsi="Calibri" w:cs="Calibri"/>
          <w:sz w:val="22"/>
          <w:szCs w:val="22"/>
        </w:rPr>
        <w:t xml:space="preserve"> This involved coding data</w:t>
      </w:r>
      <w:r w:rsidR="007E0236" w:rsidRPr="00CD441F">
        <w:rPr>
          <w:rFonts w:ascii="Calibri" w:hAnsi="Calibri" w:cs="Calibri"/>
          <w:sz w:val="22"/>
          <w:szCs w:val="22"/>
        </w:rPr>
        <w:t xml:space="preserve"> using a</w:t>
      </w:r>
      <w:r w:rsidR="00176007" w:rsidRPr="00CD441F">
        <w:rPr>
          <w:rFonts w:ascii="Calibri" w:hAnsi="Calibri" w:cs="Calibri"/>
          <w:sz w:val="22"/>
          <w:szCs w:val="22"/>
        </w:rPr>
        <w:t xml:space="preserve"> deductive analytical framework which allowed for themes emerging from the data to be used as indexing categories. </w:t>
      </w:r>
      <w:r w:rsidR="005C757B" w:rsidRPr="00CD441F">
        <w:rPr>
          <w:rFonts w:ascii="Calibri" w:hAnsi="Calibri" w:cs="Calibri"/>
          <w:sz w:val="22"/>
          <w:szCs w:val="22"/>
        </w:rPr>
        <w:t xml:space="preserve">Conducting a deductive thematic analysis using a pre-defined theoretical framework, allowed in-depth understanding and exploration at Phase II of the concepts of interest identified in Phase I. </w:t>
      </w:r>
    </w:p>
    <w:p w14:paraId="4B8985BD" w14:textId="77777777" w:rsidR="00D26A8E" w:rsidRPr="00CD441F" w:rsidRDefault="00176007" w:rsidP="002358F3">
      <w:pPr>
        <w:spacing w:after="200" w:line="360" w:lineRule="auto"/>
        <w:jc w:val="both"/>
        <w:rPr>
          <w:rFonts w:ascii="Calibri" w:hAnsi="Calibri" w:cs="Calibri"/>
          <w:sz w:val="22"/>
          <w:szCs w:val="22"/>
        </w:rPr>
      </w:pPr>
      <w:r w:rsidRPr="00CD441F">
        <w:rPr>
          <w:rFonts w:ascii="Calibri" w:hAnsi="Calibri" w:cs="Calibri"/>
          <w:sz w:val="22"/>
          <w:szCs w:val="22"/>
        </w:rPr>
        <w:t>The analytical framework was applied to a sample of transcripts, and a second</w:t>
      </w:r>
      <w:r w:rsidR="00364A9D" w:rsidRPr="00CD441F">
        <w:rPr>
          <w:rFonts w:ascii="Calibri" w:hAnsi="Calibri" w:cs="Calibri"/>
          <w:sz w:val="22"/>
          <w:szCs w:val="22"/>
        </w:rPr>
        <w:t xml:space="preserve"> researcher</w:t>
      </w:r>
      <w:r w:rsidR="00CB6779" w:rsidRPr="00CD441F">
        <w:rPr>
          <w:rFonts w:ascii="Calibri" w:hAnsi="Calibri" w:cs="Calibri"/>
          <w:sz w:val="22"/>
          <w:szCs w:val="22"/>
        </w:rPr>
        <w:t xml:space="preserve"> </w:t>
      </w:r>
      <w:r w:rsidRPr="00CD441F">
        <w:rPr>
          <w:rFonts w:ascii="Calibri" w:hAnsi="Calibri" w:cs="Calibri"/>
          <w:sz w:val="22"/>
          <w:szCs w:val="22"/>
        </w:rPr>
        <w:t xml:space="preserve">reviewed the thematic framework as </w:t>
      </w:r>
      <w:r w:rsidR="00364A9D" w:rsidRPr="00CD441F">
        <w:rPr>
          <w:rFonts w:ascii="Calibri" w:hAnsi="Calibri" w:cs="Calibri"/>
          <w:sz w:val="22"/>
          <w:szCs w:val="22"/>
        </w:rPr>
        <w:t>applied to the</w:t>
      </w:r>
      <w:r w:rsidRPr="00CD441F">
        <w:rPr>
          <w:rFonts w:ascii="Calibri" w:hAnsi="Calibri" w:cs="Calibri"/>
          <w:sz w:val="22"/>
          <w:szCs w:val="22"/>
        </w:rPr>
        <w:t xml:space="preserve"> data. Data were then mapped </w:t>
      </w:r>
      <w:r w:rsidR="00DC5C0E" w:rsidRPr="00CD441F">
        <w:rPr>
          <w:rFonts w:ascii="Calibri" w:hAnsi="Calibri" w:cs="Calibri"/>
          <w:sz w:val="22"/>
          <w:szCs w:val="22"/>
        </w:rPr>
        <w:t>o</w:t>
      </w:r>
      <w:r w:rsidRPr="00CD441F">
        <w:rPr>
          <w:rFonts w:ascii="Calibri" w:hAnsi="Calibri" w:cs="Calibri"/>
          <w:sz w:val="22"/>
          <w:szCs w:val="22"/>
        </w:rPr>
        <w:t xml:space="preserve">nto the framework. Unallocated data were examined inductively, and revised iteratively until all data were allocated. The research team discussed the codes and themes to achieve consensus, and interpretation of the data was reviewed to construct overall explanations. An advantage of the framework approach was that researchers’ interpretations of participants’ experiences were transparent. This approach to analysis was useful because of the large dataset, as it provided an intuitively structured overview of all summarised data with a clear audit trail from raw data to </w:t>
      </w:r>
      <w:r w:rsidR="00B13075" w:rsidRPr="00CD441F">
        <w:rPr>
          <w:rFonts w:ascii="Calibri" w:hAnsi="Calibri" w:cs="Calibri"/>
          <w:sz w:val="22"/>
          <w:szCs w:val="22"/>
        </w:rPr>
        <w:t>the</w:t>
      </w:r>
      <w:r w:rsidRPr="00CD441F">
        <w:rPr>
          <w:rFonts w:ascii="Calibri" w:hAnsi="Calibri" w:cs="Calibri"/>
          <w:sz w:val="22"/>
          <w:szCs w:val="22"/>
        </w:rPr>
        <w:t xml:space="preserve"> final themes.</w:t>
      </w:r>
      <w:r w:rsidR="00B935F4" w:rsidRPr="00CD441F">
        <w:rPr>
          <w:rFonts w:ascii="Calibri" w:hAnsi="Calibri" w:cs="Calibri"/>
          <w:sz w:val="22"/>
          <w:szCs w:val="22"/>
        </w:rPr>
        <w:t xml:space="preserve"> </w:t>
      </w:r>
      <w:r w:rsidR="00C27B8C" w:rsidRPr="00CD441F">
        <w:rPr>
          <w:rFonts w:ascii="Calibri" w:hAnsi="Calibri" w:cs="Calibri"/>
          <w:sz w:val="22"/>
          <w:szCs w:val="22"/>
        </w:rPr>
        <w:t xml:space="preserve">Results from the quantitative and qualitative components were then synthesised to inform understanding of </w:t>
      </w:r>
      <w:r w:rsidR="00986ADE" w:rsidRPr="00CD441F">
        <w:rPr>
          <w:rFonts w:ascii="Calibri" w:hAnsi="Calibri" w:cs="Calibri"/>
          <w:sz w:val="22"/>
          <w:szCs w:val="22"/>
        </w:rPr>
        <w:t xml:space="preserve">the extent and challenges in implementing the A2B intervention. </w:t>
      </w:r>
    </w:p>
    <w:p w14:paraId="75DC8045" w14:textId="77777777" w:rsidR="00FE2E88" w:rsidRPr="00CD441F" w:rsidRDefault="009F7B9F" w:rsidP="002358F3">
      <w:pPr>
        <w:spacing w:after="200" w:line="360" w:lineRule="auto"/>
        <w:jc w:val="both"/>
        <w:rPr>
          <w:rFonts w:ascii="Calibri" w:hAnsi="Calibri" w:cs="Calibri"/>
          <w:sz w:val="22"/>
          <w:szCs w:val="22"/>
        </w:rPr>
      </w:pPr>
      <w:r w:rsidRPr="00CD441F">
        <w:rPr>
          <w:rFonts w:ascii="Calibri" w:hAnsi="Calibri" w:cs="Calibri"/>
          <w:b/>
          <w:bCs/>
          <w:sz w:val="22"/>
          <w:szCs w:val="22"/>
          <w:u w:val="single"/>
        </w:rPr>
        <w:t>RESULTS</w:t>
      </w:r>
      <w:r w:rsidR="00F80477" w:rsidRPr="00CD441F">
        <w:rPr>
          <w:rFonts w:ascii="Calibri" w:hAnsi="Calibri" w:cs="Calibri"/>
          <w:b/>
          <w:bCs/>
          <w:sz w:val="22"/>
          <w:szCs w:val="22"/>
        </w:rPr>
        <w:t xml:space="preserve"> </w:t>
      </w:r>
    </w:p>
    <w:p w14:paraId="2731C463" w14:textId="13285116" w:rsidR="00A16B3E" w:rsidRPr="007D72BB" w:rsidRDefault="00A16B3E" w:rsidP="002358F3">
      <w:pPr>
        <w:spacing w:after="200" w:line="360" w:lineRule="auto"/>
        <w:jc w:val="both"/>
        <w:rPr>
          <w:rFonts w:ascii="Calibri" w:hAnsi="Calibri" w:cs="Calibri"/>
          <w:sz w:val="22"/>
          <w:szCs w:val="22"/>
        </w:rPr>
      </w:pPr>
      <w:r w:rsidRPr="00796A19">
        <w:rPr>
          <w:rFonts w:ascii="Calibri" w:hAnsi="Calibri" w:cs="Calibri"/>
          <w:sz w:val="22"/>
          <w:szCs w:val="22"/>
        </w:rPr>
        <w:t xml:space="preserve">Trial recruitment took place between December 2018 </w:t>
      </w:r>
      <w:r>
        <w:rPr>
          <w:rFonts w:ascii="Calibri" w:hAnsi="Calibri" w:cs="Calibri"/>
          <w:sz w:val="22"/>
          <w:szCs w:val="22"/>
        </w:rPr>
        <w:t>and</w:t>
      </w:r>
      <w:r w:rsidRPr="007D72BB">
        <w:rPr>
          <w:rFonts w:ascii="Calibri" w:hAnsi="Calibri" w:cs="Calibri"/>
          <w:sz w:val="22"/>
          <w:szCs w:val="22"/>
        </w:rPr>
        <w:t xml:space="preserve"> October 2023</w:t>
      </w:r>
      <w:r w:rsidR="00B24679">
        <w:rPr>
          <w:rFonts w:ascii="Calibri" w:hAnsi="Calibri" w:cs="Calibri"/>
          <w:sz w:val="22"/>
          <w:szCs w:val="22"/>
        </w:rPr>
        <w:t>.</w:t>
      </w:r>
    </w:p>
    <w:p w14:paraId="3B47E467" w14:textId="77777777" w:rsidR="007B4123" w:rsidRPr="00CD441F" w:rsidRDefault="007B4123" w:rsidP="002358F3">
      <w:pPr>
        <w:spacing w:after="200" w:line="360" w:lineRule="auto"/>
        <w:jc w:val="both"/>
        <w:rPr>
          <w:rFonts w:ascii="Calibri" w:hAnsi="Calibri" w:cs="Calibri"/>
          <w:b/>
          <w:bCs/>
          <w:sz w:val="22"/>
          <w:szCs w:val="22"/>
        </w:rPr>
      </w:pPr>
      <w:r w:rsidRPr="00CD441F">
        <w:rPr>
          <w:rFonts w:ascii="Calibri" w:hAnsi="Calibri" w:cs="Calibri"/>
          <w:b/>
          <w:bCs/>
          <w:sz w:val="22"/>
          <w:szCs w:val="22"/>
        </w:rPr>
        <w:t xml:space="preserve">Quantitative data </w:t>
      </w:r>
    </w:p>
    <w:p w14:paraId="50122679" w14:textId="592B40E8" w:rsidR="001D2A62" w:rsidRPr="008B153E" w:rsidRDefault="001D2A62" w:rsidP="002358F3">
      <w:pPr>
        <w:spacing w:after="200" w:line="360" w:lineRule="auto"/>
        <w:jc w:val="both"/>
        <w:rPr>
          <w:rFonts w:ascii="Calibri" w:hAnsi="Calibri" w:cs="Calibri"/>
          <w:sz w:val="22"/>
          <w:szCs w:val="22"/>
        </w:rPr>
      </w:pPr>
      <w:r w:rsidRPr="00CD441F">
        <w:rPr>
          <w:rFonts w:ascii="Calibri" w:hAnsi="Calibri" w:cs="Calibri"/>
          <w:sz w:val="22"/>
          <w:szCs w:val="22"/>
        </w:rPr>
        <w:t xml:space="preserve">Implementation of the A2B </w:t>
      </w:r>
      <w:r w:rsidRPr="008B153E">
        <w:rPr>
          <w:rFonts w:ascii="Calibri" w:hAnsi="Calibri" w:cs="Calibri"/>
          <w:sz w:val="22"/>
          <w:szCs w:val="22"/>
        </w:rPr>
        <w:t xml:space="preserve">trial intervention was summarised against </w:t>
      </w:r>
      <w:r w:rsidR="001A5CED" w:rsidRPr="008B153E">
        <w:rPr>
          <w:rFonts w:ascii="Calibri" w:hAnsi="Calibri" w:cs="Calibri"/>
          <w:sz w:val="22"/>
          <w:szCs w:val="22"/>
        </w:rPr>
        <w:t>intervention</w:t>
      </w:r>
      <w:r w:rsidR="00D77362" w:rsidRPr="008B153E">
        <w:rPr>
          <w:rFonts w:ascii="Calibri" w:hAnsi="Calibri" w:cs="Calibri"/>
          <w:sz w:val="22"/>
          <w:szCs w:val="22"/>
        </w:rPr>
        <w:t xml:space="preserve"> characteristics including fidelity</w:t>
      </w:r>
      <w:r w:rsidR="00DD6E1D" w:rsidRPr="008B153E">
        <w:rPr>
          <w:rFonts w:ascii="Calibri" w:hAnsi="Calibri" w:cs="Calibri"/>
          <w:sz w:val="22"/>
          <w:szCs w:val="22"/>
        </w:rPr>
        <w:t xml:space="preserve">, dose and reach </w:t>
      </w:r>
      <w:r w:rsidR="00416A8B" w:rsidRPr="008B153E">
        <w:rPr>
          <w:rFonts w:ascii="Calibri" w:hAnsi="Calibri" w:cs="Calibri"/>
          <w:sz w:val="22"/>
          <w:szCs w:val="22"/>
        </w:rPr>
        <w:t xml:space="preserve">(Table </w:t>
      </w:r>
      <w:r w:rsidR="002E39D9" w:rsidRPr="008B153E">
        <w:rPr>
          <w:rFonts w:ascii="Calibri" w:hAnsi="Calibri" w:cs="Calibri"/>
          <w:sz w:val="22"/>
          <w:szCs w:val="22"/>
        </w:rPr>
        <w:t>1</w:t>
      </w:r>
      <w:r w:rsidR="0049386B" w:rsidRPr="008B153E">
        <w:rPr>
          <w:rFonts w:ascii="Calibri" w:hAnsi="Calibri" w:cs="Calibri"/>
          <w:sz w:val="22"/>
          <w:szCs w:val="22"/>
        </w:rPr>
        <w:t>, Figure 2</w:t>
      </w:r>
      <w:r w:rsidR="00410E4B" w:rsidRPr="008B153E">
        <w:rPr>
          <w:rFonts w:ascii="Calibri" w:hAnsi="Calibri" w:cs="Calibri"/>
          <w:sz w:val="22"/>
          <w:szCs w:val="22"/>
        </w:rPr>
        <w:t xml:space="preserve"> and Supplementary </w:t>
      </w:r>
      <w:r w:rsidR="009202FD" w:rsidRPr="008B153E">
        <w:rPr>
          <w:rFonts w:ascii="Calibri" w:hAnsi="Calibri" w:cs="Calibri"/>
          <w:sz w:val="22"/>
          <w:szCs w:val="22"/>
        </w:rPr>
        <w:t>Materials 2</w:t>
      </w:r>
      <w:r w:rsidR="00416A8B" w:rsidRPr="008B153E">
        <w:rPr>
          <w:rFonts w:ascii="Calibri" w:hAnsi="Calibri" w:cs="Calibri"/>
          <w:sz w:val="22"/>
          <w:szCs w:val="22"/>
        </w:rPr>
        <w:t xml:space="preserve">). </w:t>
      </w:r>
      <w:r w:rsidR="00173B04" w:rsidRPr="008B153E">
        <w:rPr>
          <w:rFonts w:ascii="Calibri" w:hAnsi="Calibri" w:cs="Calibri"/>
          <w:sz w:val="22"/>
          <w:szCs w:val="22"/>
        </w:rPr>
        <w:t xml:space="preserve">The percentage of patients </w:t>
      </w:r>
      <w:r w:rsidR="00B24679" w:rsidRPr="008B153E">
        <w:rPr>
          <w:rFonts w:ascii="Calibri" w:hAnsi="Calibri" w:cs="Calibri"/>
          <w:sz w:val="22"/>
          <w:szCs w:val="22"/>
        </w:rPr>
        <w:t xml:space="preserve">at each site </w:t>
      </w:r>
      <w:r w:rsidR="00173B04" w:rsidRPr="008B153E">
        <w:rPr>
          <w:rFonts w:ascii="Calibri" w:hAnsi="Calibri" w:cs="Calibri"/>
          <w:sz w:val="22"/>
          <w:szCs w:val="22"/>
        </w:rPr>
        <w:t>with the correct treatment administered every day during</w:t>
      </w:r>
      <w:r w:rsidR="00173B04" w:rsidRPr="00CD441F">
        <w:rPr>
          <w:rFonts w:ascii="Calibri" w:hAnsi="Calibri" w:cs="Calibri"/>
          <w:sz w:val="22"/>
          <w:szCs w:val="22"/>
        </w:rPr>
        <w:t xml:space="preserve"> the first 4 days ranged from </w:t>
      </w:r>
      <w:r w:rsidR="006B08AC" w:rsidRPr="00CD441F">
        <w:rPr>
          <w:rFonts w:ascii="Calibri" w:hAnsi="Calibri" w:cs="Calibri"/>
          <w:sz w:val="22"/>
          <w:szCs w:val="22"/>
        </w:rPr>
        <w:t>0</w:t>
      </w:r>
      <w:r w:rsidR="00B36475" w:rsidRPr="00CD441F">
        <w:rPr>
          <w:rFonts w:ascii="Calibri" w:hAnsi="Calibri" w:cs="Calibri"/>
          <w:sz w:val="22"/>
          <w:szCs w:val="22"/>
        </w:rPr>
        <w:t xml:space="preserve">–100%. The </w:t>
      </w:r>
      <w:r w:rsidR="00FA0DF4" w:rsidRPr="00CD441F">
        <w:rPr>
          <w:rFonts w:ascii="Calibri" w:hAnsi="Calibri" w:cs="Calibri"/>
          <w:sz w:val="22"/>
          <w:szCs w:val="22"/>
        </w:rPr>
        <w:t>percentage</w:t>
      </w:r>
      <w:r w:rsidR="00B36475" w:rsidRPr="00CD441F">
        <w:rPr>
          <w:rFonts w:ascii="Calibri" w:hAnsi="Calibri" w:cs="Calibri"/>
          <w:sz w:val="22"/>
          <w:szCs w:val="22"/>
        </w:rPr>
        <w:t xml:space="preserve"> of patients with </w:t>
      </w:r>
      <w:r w:rsidR="00D74C98" w:rsidRPr="00CD441F">
        <w:rPr>
          <w:rFonts w:ascii="Calibri" w:hAnsi="Calibri" w:cs="Calibri"/>
          <w:sz w:val="22"/>
          <w:szCs w:val="22"/>
        </w:rPr>
        <w:t xml:space="preserve">RASS </w:t>
      </w:r>
      <w:r w:rsidR="00D25E31" w:rsidRPr="00CD441F">
        <w:rPr>
          <w:rFonts w:ascii="Calibri" w:hAnsi="Calibri" w:cs="Calibri"/>
          <w:sz w:val="22"/>
          <w:szCs w:val="22"/>
        </w:rPr>
        <w:t>≥</w:t>
      </w:r>
      <w:r w:rsidR="00D74C98" w:rsidRPr="00CD441F">
        <w:rPr>
          <w:rFonts w:ascii="Calibri" w:hAnsi="Calibri" w:cs="Calibri"/>
          <w:sz w:val="22"/>
          <w:szCs w:val="22"/>
        </w:rPr>
        <w:t>-2 at any point during the first 4 days ranged from</w:t>
      </w:r>
      <w:r w:rsidR="001F10D5">
        <w:rPr>
          <w:rFonts w:ascii="Calibri" w:hAnsi="Calibri" w:cs="Calibri"/>
          <w:sz w:val="22"/>
          <w:szCs w:val="22"/>
        </w:rPr>
        <w:t xml:space="preserve"> 40</w:t>
      </w:r>
      <w:r w:rsidR="00EF24FF" w:rsidRPr="00CD441F">
        <w:rPr>
          <w:rFonts w:ascii="Calibri" w:hAnsi="Calibri" w:cs="Calibri"/>
          <w:sz w:val="22"/>
          <w:szCs w:val="22"/>
        </w:rPr>
        <w:t>–100%. The percentage of patients with a RASS assessment at least once per day du</w:t>
      </w:r>
      <w:r w:rsidR="00FA0DF4" w:rsidRPr="00CD441F">
        <w:rPr>
          <w:rFonts w:ascii="Calibri" w:hAnsi="Calibri" w:cs="Calibri"/>
          <w:sz w:val="22"/>
          <w:szCs w:val="22"/>
        </w:rPr>
        <w:t xml:space="preserve">ring the first 4 days ranged from </w:t>
      </w:r>
      <w:r w:rsidR="001F10D5">
        <w:rPr>
          <w:rFonts w:ascii="Calibri" w:hAnsi="Calibri" w:cs="Calibri"/>
          <w:sz w:val="22"/>
          <w:szCs w:val="22"/>
        </w:rPr>
        <w:t>67</w:t>
      </w:r>
      <w:r w:rsidR="00FA0DF4" w:rsidRPr="00CD441F">
        <w:rPr>
          <w:rFonts w:ascii="Calibri" w:hAnsi="Calibri" w:cs="Calibri"/>
          <w:sz w:val="22"/>
          <w:szCs w:val="22"/>
        </w:rPr>
        <w:t xml:space="preserve">–100%. The percentage of eligible patients proceeding to randomisation ranged from </w:t>
      </w:r>
      <w:r w:rsidR="00982B17" w:rsidRPr="00CD441F">
        <w:rPr>
          <w:rFonts w:ascii="Calibri" w:hAnsi="Calibri" w:cs="Calibri"/>
          <w:sz w:val="22"/>
          <w:szCs w:val="22"/>
        </w:rPr>
        <w:t xml:space="preserve">7–100%. </w:t>
      </w:r>
      <w:r w:rsidR="006D340A" w:rsidRPr="00CD441F">
        <w:rPr>
          <w:rFonts w:ascii="Calibri" w:hAnsi="Calibri" w:cs="Calibri"/>
          <w:sz w:val="22"/>
          <w:szCs w:val="22"/>
        </w:rPr>
        <w:t xml:space="preserve">Overall RAG </w:t>
      </w:r>
      <w:r w:rsidR="00B479C9" w:rsidRPr="00CD441F">
        <w:rPr>
          <w:rFonts w:ascii="Calibri" w:hAnsi="Calibri" w:cs="Calibri"/>
          <w:sz w:val="22"/>
          <w:szCs w:val="22"/>
        </w:rPr>
        <w:t>scores</w:t>
      </w:r>
      <w:r w:rsidR="006D340A" w:rsidRPr="00CD441F">
        <w:rPr>
          <w:rFonts w:ascii="Calibri" w:hAnsi="Calibri" w:cs="Calibri"/>
          <w:sz w:val="22"/>
          <w:szCs w:val="22"/>
        </w:rPr>
        <w:t xml:space="preserve"> ranged from </w:t>
      </w:r>
      <w:r w:rsidR="00577E72" w:rsidRPr="00CD441F">
        <w:rPr>
          <w:rFonts w:ascii="Calibri" w:hAnsi="Calibri" w:cs="Calibri"/>
          <w:sz w:val="22"/>
          <w:szCs w:val="22"/>
        </w:rPr>
        <w:t xml:space="preserve">6–12 with </w:t>
      </w:r>
      <w:r w:rsidR="00D67223" w:rsidRPr="00CD441F">
        <w:rPr>
          <w:rFonts w:ascii="Calibri" w:hAnsi="Calibri" w:cs="Calibri"/>
          <w:sz w:val="22"/>
          <w:szCs w:val="22"/>
        </w:rPr>
        <w:t>14 sites</w:t>
      </w:r>
      <w:r w:rsidR="00577E72" w:rsidRPr="00CD441F">
        <w:rPr>
          <w:rFonts w:ascii="Calibri" w:hAnsi="Calibri" w:cs="Calibri"/>
          <w:sz w:val="22"/>
          <w:szCs w:val="22"/>
        </w:rPr>
        <w:t xml:space="preserve"> </w:t>
      </w:r>
      <w:r w:rsidR="00C4537B">
        <w:rPr>
          <w:rFonts w:ascii="Calibri" w:hAnsi="Calibri" w:cs="Calibri"/>
          <w:sz w:val="22"/>
          <w:szCs w:val="22"/>
        </w:rPr>
        <w:t xml:space="preserve">(37%) </w:t>
      </w:r>
      <w:r w:rsidR="00577E72" w:rsidRPr="00CD441F">
        <w:rPr>
          <w:rFonts w:ascii="Calibri" w:hAnsi="Calibri" w:cs="Calibri"/>
          <w:sz w:val="22"/>
          <w:szCs w:val="22"/>
        </w:rPr>
        <w:t>rated high adherence (RAG 10–12)</w:t>
      </w:r>
      <w:r w:rsidR="00B927F6" w:rsidRPr="00CD441F">
        <w:rPr>
          <w:rFonts w:ascii="Calibri" w:hAnsi="Calibri" w:cs="Calibri"/>
          <w:sz w:val="22"/>
          <w:szCs w:val="22"/>
        </w:rPr>
        <w:t xml:space="preserve">, </w:t>
      </w:r>
      <w:r w:rsidR="00D67223" w:rsidRPr="00CD441F">
        <w:rPr>
          <w:rFonts w:ascii="Calibri" w:hAnsi="Calibri" w:cs="Calibri"/>
          <w:sz w:val="22"/>
          <w:szCs w:val="22"/>
        </w:rPr>
        <w:t>20 sites</w:t>
      </w:r>
      <w:r w:rsidR="003A6B48" w:rsidRPr="00CD441F">
        <w:rPr>
          <w:rFonts w:ascii="Calibri" w:hAnsi="Calibri" w:cs="Calibri"/>
          <w:sz w:val="22"/>
          <w:szCs w:val="22"/>
        </w:rPr>
        <w:t xml:space="preserve"> </w:t>
      </w:r>
      <w:r w:rsidR="00C4537B">
        <w:rPr>
          <w:rFonts w:ascii="Calibri" w:hAnsi="Calibri" w:cs="Calibri"/>
          <w:sz w:val="22"/>
          <w:szCs w:val="22"/>
        </w:rPr>
        <w:t xml:space="preserve">(53%) </w:t>
      </w:r>
      <w:r w:rsidR="003A6B48" w:rsidRPr="00CD441F">
        <w:rPr>
          <w:rFonts w:ascii="Calibri" w:hAnsi="Calibri" w:cs="Calibri"/>
          <w:sz w:val="22"/>
          <w:szCs w:val="22"/>
        </w:rPr>
        <w:t>rated</w:t>
      </w:r>
      <w:r w:rsidR="00B927F6" w:rsidRPr="00CD441F">
        <w:rPr>
          <w:rFonts w:ascii="Calibri" w:hAnsi="Calibri" w:cs="Calibri"/>
          <w:sz w:val="22"/>
          <w:szCs w:val="22"/>
        </w:rPr>
        <w:t xml:space="preserve"> moderate </w:t>
      </w:r>
      <w:r w:rsidR="00B927F6" w:rsidRPr="008B153E">
        <w:rPr>
          <w:rFonts w:ascii="Calibri" w:hAnsi="Calibri" w:cs="Calibri"/>
          <w:sz w:val="22"/>
          <w:szCs w:val="22"/>
        </w:rPr>
        <w:t xml:space="preserve">adherence (RAG 8–9) and </w:t>
      </w:r>
      <w:r w:rsidR="003A6B48" w:rsidRPr="008B153E">
        <w:rPr>
          <w:rFonts w:ascii="Calibri" w:hAnsi="Calibri" w:cs="Calibri"/>
          <w:sz w:val="22"/>
          <w:szCs w:val="22"/>
        </w:rPr>
        <w:t xml:space="preserve">4 sites </w:t>
      </w:r>
      <w:r w:rsidR="00C4537B" w:rsidRPr="008B153E">
        <w:rPr>
          <w:rFonts w:ascii="Calibri" w:hAnsi="Calibri" w:cs="Calibri"/>
          <w:sz w:val="22"/>
          <w:szCs w:val="22"/>
        </w:rPr>
        <w:t xml:space="preserve">(11%) </w:t>
      </w:r>
      <w:r w:rsidR="003A6B48" w:rsidRPr="008B153E">
        <w:rPr>
          <w:rFonts w:ascii="Calibri" w:hAnsi="Calibri" w:cs="Calibri"/>
          <w:sz w:val="22"/>
          <w:szCs w:val="22"/>
        </w:rPr>
        <w:t>rated</w:t>
      </w:r>
      <w:r w:rsidR="00B927F6" w:rsidRPr="008B153E">
        <w:rPr>
          <w:rFonts w:ascii="Calibri" w:hAnsi="Calibri" w:cs="Calibri"/>
          <w:sz w:val="22"/>
          <w:szCs w:val="22"/>
        </w:rPr>
        <w:t xml:space="preserve"> lowe</w:t>
      </w:r>
      <w:r w:rsidR="00AD187C" w:rsidRPr="008B153E">
        <w:rPr>
          <w:rFonts w:ascii="Calibri" w:hAnsi="Calibri" w:cs="Calibri"/>
          <w:sz w:val="22"/>
          <w:szCs w:val="22"/>
        </w:rPr>
        <w:t>s</w:t>
      </w:r>
      <w:r w:rsidR="00B927F6" w:rsidRPr="008B153E">
        <w:rPr>
          <w:rFonts w:ascii="Calibri" w:hAnsi="Calibri" w:cs="Calibri"/>
          <w:sz w:val="22"/>
          <w:szCs w:val="22"/>
        </w:rPr>
        <w:t xml:space="preserve">t adherence (RAG </w:t>
      </w:r>
      <w:r w:rsidR="0095178C" w:rsidRPr="008B153E">
        <w:rPr>
          <w:rFonts w:ascii="Calibri" w:hAnsi="Calibri" w:cs="Calibri"/>
          <w:sz w:val="22"/>
          <w:szCs w:val="22"/>
        </w:rPr>
        <w:t xml:space="preserve">6–7). </w:t>
      </w:r>
      <w:r w:rsidR="00A15485" w:rsidRPr="008B153E">
        <w:rPr>
          <w:rFonts w:ascii="Calibri" w:hAnsi="Calibri" w:cs="Calibri"/>
          <w:sz w:val="22"/>
          <w:szCs w:val="22"/>
        </w:rPr>
        <w:t>Overall,</w:t>
      </w:r>
      <w:r w:rsidR="001F10D5" w:rsidRPr="008B153E">
        <w:rPr>
          <w:rFonts w:ascii="Calibri" w:hAnsi="Calibri" w:cs="Calibri"/>
          <w:sz w:val="22"/>
          <w:szCs w:val="22"/>
        </w:rPr>
        <w:t xml:space="preserve"> </w:t>
      </w:r>
      <w:r w:rsidR="00BF147B" w:rsidRPr="008B153E">
        <w:rPr>
          <w:rFonts w:ascii="Calibri" w:hAnsi="Calibri" w:cs="Calibri"/>
          <w:sz w:val="22"/>
          <w:szCs w:val="22"/>
        </w:rPr>
        <w:t>9</w:t>
      </w:r>
      <w:r w:rsidR="001F10D5" w:rsidRPr="008B153E">
        <w:rPr>
          <w:rFonts w:ascii="Calibri" w:hAnsi="Calibri" w:cs="Calibri"/>
          <w:sz w:val="22"/>
          <w:szCs w:val="22"/>
        </w:rPr>
        <w:t xml:space="preserve"> sites </w:t>
      </w:r>
      <w:r w:rsidR="00C4537B" w:rsidRPr="008B153E">
        <w:rPr>
          <w:rFonts w:ascii="Calibri" w:hAnsi="Calibri" w:cs="Calibri"/>
          <w:sz w:val="22"/>
          <w:szCs w:val="22"/>
        </w:rPr>
        <w:t>randomised</w:t>
      </w:r>
      <w:r w:rsidR="001734BA" w:rsidRPr="008B153E">
        <w:rPr>
          <w:rFonts w:ascii="Calibri" w:hAnsi="Calibri" w:cs="Calibri"/>
          <w:sz w:val="22"/>
          <w:szCs w:val="22"/>
        </w:rPr>
        <w:t xml:space="preserve"> fewer</w:t>
      </w:r>
      <w:r w:rsidR="00C4537B" w:rsidRPr="008B153E">
        <w:rPr>
          <w:rFonts w:ascii="Calibri" w:hAnsi="Calibri" w:cs="Calibri"/>
          <w:sz w:val="22"/>
          <w:szCs w:val="22"/>
        </w:rPr>
        <w:t xml:space="preserve"> than</w:t>
      </w:r>
      <w:r w:rsidR="001F10D5" w:rsidRPr="008B153E">
        <w:rPr>
          <w:rFonts w:ascii="Calibri" w:hAnsi="Calibri" w:cs="Calibri"/>
          <w:sz w:val="22"/>
          <w:szCs w:val="22"/>
        </w:rPr>
        <w:t xml:space="preserve"> 10 patients </w:t>
      </w:r>
      <w:r w:rsidR="00C4537B" w:rsidRPr="008B153E">
        <w:rPr>
          <w:rFonts w:ascii="Calibri" w:hAnsi="Calibri" w:cs="Calibri"/>
          <w:sz w:val="22"/>
          <w:szCs w:val="22"/>
        </w:rPr>
        <w:t>(&lt;5 patients in 3 sites)</w:t>
      </w:r>
      <w:r w:rsidR="00A16B3E" w:rsidRPr="008B153E">
        <w:rPr>
          <w:rFonts w:ascii="Calibri" w:hAnsi="Calibri" w:cs="Calibri"/>
          <w:sz w:val="22"/>
          <w:szCs w:val="22"/>
        </w:rPr>
        <w:t xml:space="preserve">; the </w:t>
      </w:r>
      <w:r w:rsidR="006616B2" w:rsidRPr="008B153E">
        <w:rPr>
          <w:rFonts w:ascii="Calibri" w:hAnsi="Calibri" w:cs="Calibri"/>
          <w:sz w:val="22"/>
          <w:szCs w:val="22"/>
        </w:rPr>
        <w:t xml:space="preserve">4 </w:t>
      </w:r>
      <w:r w:rsidR="00A16B3E" w:rsidRPr="008B153E">
        <w:rPr>
          <w:rFonts w:ascii="Calibri" w:hAnsi="Calibri" w:cs="Calibri"/>
          <w:sz w:val="22"/>
          <w:szCs w:val="22"/>
        </w:rPr>
        <w:t>sites with lowest adherence were all in this group</w:t>
      </w:r>
      <w:r w:rsidR="001F10D5" w:rsidRPr="008B153E">
        <w:rPr>
          <w:rFonts w:ascii="Calibri" w:hAnsi="Calibri" w:cs="Calibri"/>
          <w:sz w:val="22"/>
          <w:szCs w:val="22"/>
        </w:rPr>
        <w:t>.</w:t>
      </w:r>
    </w:p>
    <w:p w14:paraId="635ACEBD" w14:textId="322CB526" w:rsidR="00C11CF5" w:rsidRPr="00CD441F" w:rsidRDefault="00C11CF5" w:rsidP="002358F3">
      <w:pPr>
        <w:spacing w:after="200" w:line="360" w:lineRule="auto"/>
        <w:jc w:val="both"/>
        <w:rPr>
          <w:rFonts w:ascii="Calibri" w:hAnsi="Calibri" w:cs="Calibri"/>
          <w:b/>
          <w:bCs/>
          <w:sz w:val="22"/>
          <w:szCs w:val="22"/>
        </w:rPr>
      </w:pPr>
      <w:r w:rsidRPr="008B153E">
        <w:rPr>
          <w:rFonts w:ascii="Calibri" w:hAnsi="Calibri" w:cs="Calibri"/>
          <w:b/>
          <w:bCs/>
          <w:sz w:val="22"/>
          <w:szCs w:val="22"/>
        </w:rPr>
        <w:t xml:space="preserve">Table </w:t>
      </w:r>
      <w:r w:rsidR="002E39D9" w:rsidRPr="008B153E">
        <w:rPr>
          <w:rFonts w:ascii="Calibri" w:hAnsi="Calibri" w:cs="Calibri"/>
          <w:b/>
          <w:bCs/>
          <w:sz w:val="22"/>
          <w:szCs w:val="22"/>
        </w:rPr>
        <w:t>1</w:t>
      </w:r>
      <w:r w:rsidRPr="008B153E">
        <w:rPr>
          <w:rFonts w:ascii="Calibri" w:hAnsi="Calibri" w:cs="Calibri"/>
          <w:b/>
          <w:bCs/>
          <w:sz w:val="22"/>
          <w:szCs w:val="22"/>
        </w:rPr>
        <w:t xml:space="preserve">: </w:t>
      </w:r>
      <w:r w:rsidR="00A62FA1" w:rsidRPr="008B153E">
        <w:rPr>
          <w:rFonts w:ascii="Calibri" w:hAnsi="Calibri" w:cs="Calibri"/>
          <w:b/>
          <w:bCs/>
          <w:sz w:val="22"/>
          <w:szCs w:val="22"/>
        </w:rPr>
        <w:t xml:space="preserve">RAG </w:t>
      </w:r>
      <w:r w:rsidR="00B479C9" w:rsidRPr="008B153E">
        <w:rPr>
          <w:rFonts w:ascii="Calibri" w:hAnsi="Calibri" w:cs="Calibri"/>
          <w:b/>
          <w:bCs/>
          <w:sz w:val="22"/>
          <w:szCs w:val="22"/>
        </w:rPr>
        <w:t>scores</w:t>
      </w:r>
      <w:r w:rsidR="00A62FA1" w:rsidRPr="008B153E">
        <w:rPr>
          <w:rFonts w:ascii="Calibri" w:hAnsi="Calibri" w:cs="Calibri"/>
          <w:b/>
          <w:bCs/>
          <w:sz w:val="22"/>
          <w:szCs w:val="22"/>
        </w:rPr>
        <w:t xml:space="preserve"> </w:t>
      </w:r>
      <w:r w:rsidR="00D77362" w:rsidRPr="008B153E">
        <w:rPr>
          <w:rFonts w:ascii="Calibri" w:hAnsi="Calibri" w:cs="Calibri"/>
          <w:b/>
          <w:bCs/>
          <w:sz w:val="22"/>
          <w:szCs w:val="22"/>
        </w:rPr>
        <w:t>of A2B implementation characteristics</w:t>
      </w:r>
      <w:r w:rsidR="00BA7586" w:rsidRPr="008B153E">
        <w:rPr>
          <w:rFonts w:ascii="Calibri" w:hAnsi="Calibri" w:cs="Calibri"/>
          <w:b/>
          <w:bCs/>
          <w:sz w:val="22"/>
          <w:szCs w:val="22"/>
        </w:rPr>
        <w:t xml:space="preserve"> (n = 38 sites</w:t>
      </w:r>
      <w:r w:rsidR="00E6636A" w:rsidRPr="008B153E">
        <w:rPr>
          <w:rFonts w:ascii="Calibri" w:hAnsi="Calibri" w:cs="Calibri"/>
          <w:b/>
          <w:bCs/>
          <w:sz w:val="22"/>
          <w:szCs w:val="22"/>
        </w:rPr>
        <w:t xml:space="preserve"> [29 sites enrolled ≥10 patients</w:t>
      </w:r>
      <w:r w:rsidR="00300B3B" w:rsidRPr="008B153E">
        <w:rPr>
          <w:rFonts w:ascii="Calibri" w:hAnsi="Calibri" w:cs="Calibri"/>
          <w:b/>
          <w:bCs/>
          <w:sz w:val="22"/>
          <w:szCs w:val="22"/>
        </w:rPr>
        <w:t>])</w:t>
      </w:r>
    </w:p>
    <w:tbl>
      <w:tblPr>
        <w:tblStyle w:val="TableGrid"/>
        <w:tblW w:w="9351" w:type="dxa"/>
        <w:tblLook w:val="04A0" w:firstRow="1" w:lastRow="0" w:firstColumn="1" w:lastColumn="0" w:noHBand="0" w:noVBand="1"/>
      </w:tblPr>
      <w:tblGrid>
        <w:gridCol w:w="4106"/>
        <w:gridCol w:w="1134"/>
        <w:gridCol w:w="1418"/>
        <w:gridCol w:w="1417"/>
        <w:gridCol w:w="1276"/>
      </w:tblGrid>
      <w:tr w:rsidR="00CD441F" w:rsidRPr="00CD441F" w14:paraId="45FEE73B" w14:textId="77777777" w:rsidTr="00755735">
        <w:tc>
          <w:tcPr>
            <w:tcW w:w="4106" w:type="dxa"/>
          </w:tcPr>
          <w:p w14:paraId="2DBA203F" w14:textId="77777777" w:rsidR="00416A8B" w:rsidRPr="00CD441F" w:rsidRDefault="00416A8B" w:rsidP="002358F3">
            <w:pPr>
              <w:spacing w:after="200" w:line="360" w:lineRule="auto"/>
              <w:jc w:val="right"/>
              <w:rPr>
                <w:rFonts w:ascii="Calibri" w:hAnsi="Calibri" w:cs="Calibri"/>
                <w:b/>
                <w:bCs/>
                <w:sz w:val="22"/>
                <w:szCs w:val="22"/>
              </w:rPr>
            </w:pPr>
            <w:r w:rsidRPr="00CD441F">
              <w:rPr>
                <w:rFonts w:ascii="Calibri" w:hAnsi="Calibri" w:cs="Calibri"/>
                <w:b/>
                <w:bCs/>
                <w:sz w:val="22"/>
                <w:szCs w:val="22"/>
              </w:rPr>
              <w:lastRenderedPageBreak/>
              <w:t xml:space="preserve">RAG </w:t>
            </w:r>
            <w:r w:rsidR="00897F46" w:rsidRPr="00CD441F">
              <w:rPr>
                <w:rFonts w:ascii="Calibri" w:hAnsi="Calibri" w:cs="Calibri"/>
                <w:b/>
                <w:bCs/>
                <w:sz w:val="22"/>
                <w:szCs w:val="22"/>
              </w:rPr>
              <w:t>Score</w:t>
            </w:r>
          </w:p>
        </w:tc>
        <w:tc>
          <w:tcPr>
            <w:tcW w:w="1134" w:type="dxa"/>
          </w:tcPr>
          <w:p w14:paraId="5873E6D4" w14:textId="77777777" w:rsidR="00416A8B" w:rsidRPr="00CD441F" w:rsidRDefault="00416A8B" w:rsidP="002358F3">
            <w:pPr>
              <w:spacing w:after="200" w:line="360" w:lineRule="auto"/>
              <w:jc w:val="both"/>
              <w:rPr>
                <w:rFonts w:ascii="Calibri" w:hAnsi="Calibri" w:cs="Calibri"/>
                <w:sz w:val="22"/>
                <w:szCs w:val="22"/>
              </w:rPr>
            </w:pPr>
            <w:r w:rsidRPr="00CD441F">
              <w:rPr>
                <w:rFonts w:ascii="Calibri" w:hAnsi="Calibri" w:cs="Calibri"/>
                <w:sz w:val="22"/>
                <w:szCs w:val="22"/>
              </w:rPr>
              <w:t>0</w:t>
            </w:r>
            <w:r w:rsidR="00755735" w:rsidRPr="00CD441F">
              <w:rPr>
                <w:rFonts w:ascii="Calibri" w:hAnsi="Calibri" w:cs="Calibri"/>
                <w:sz w:val="22"/>
                <w:szCs w:val="22"/>
              </w:rPr>
              <w:t xml:space="preserve"> (&lt;40%)</w:t>
            </w:r>
          </w:p>
        </w:tc>
        <w:tc>
          <w:tcPr>
            <w:tcW w:w="1418" w:type="dxa"/>
          </w:tcPr>
          <w:p w14:paraId="716B39F7" w14:textId="77777777" w:rsidR="00416A8B" w:rsidRPr="00CD441F" w:rsidRDefault="00416A8B" w:rsidP="002358F3">
            <w:pPr>
              <w:spacing w:after="200" w:line="360" w:lineRule="auto"/>
              <w:jc w:val="both"/>
              <w:rPr>
                <w:rFonts w:ascii="Calibri" w:hAnsi="Calibri" w:cs="Calibri"/>
                <w:sz w:val="22"/>
                <w:szCs w:val="22"/>
              </w:rPr>
            </w:pPr>
            <w:r w:rsidRPr="00CD441F">
              <w:rPr>
                <w:rFonts w:ascii="Calibri" w:hAnsi="Calibri" w:cs="Calibri"/>
                <w:sz w:val="22"/>
                <w:szCs w:val="22"/>
              </w:rPr>
              <w:t>1</w:t>
            </w:r>
            <w:r w:rsidR="00755735" w:rsidRPr="00CD441F">
              <w:rPr>
                <w:rFonts w:ascii="Calibri" w:hAnsi="Calibri" w:cs="Calibri"/>
                <w:sz w:val="22"/>
                <w:szCs w:val="22"/>
              </w:rPr>
              <w:t xml:space="preserve"> (40–59%)</w:t>
            </w:r>
          </w:p>
        </w:tc>
        <w:tc>
          <w:tcPr>
            <w:tcW w:w="1417" w:type="dxa"/>
          </w:tcPr>
          <w:p w14:paraId="399BA899" w14:textId="77777777" w:rsidR="00416A8B" w:rsidRPr="00CD441F" w:rsidRDefault="00416A8B" w:rsidP="002358F3">
            <w:pPr>
              <w:spacing w:after="200" w:line="360" w:lineRule="auto"/>
              <w:jc w:val="both"/>
              <w:rPr>
                <w:rFonts w:ascii="Calibri" w:hAnsi="Calibri" w:cs="Calibri"/>
                <w:sz w:val="22"/>
                <w:szCs w:val="22"/>
              </w:rPr>
            </w:pPr>
            <w:r w:rsidRPr="00CD441F">
              <w:rPr>
                <w:rFonts w:ascii="Calibri" w:hAnsi="Calibri" w:cs="Calibri"/>
                <w:sz w:val="22"/>
                <w:szCs w:val="22"/>
              </w:rPr>
              <w:t>2</w:t>
            </w:r>
            <w:r w:rsidR="00755735" w:rsidRPr="00CD441F">
              <w:rPr>
                <w:rFonts w:ascii="Calibri" w:hAnsi="Calibri" w:cs="Calibri"/>
                <w:sz w:val="22"/>
                <w:szCs w:val="22"/>
              </w:rPr>
              <w:t xml:space="preserve"> (60–79%)</w:t>
            </w:r>
          </w:p>
        </w:tc>
        <w:tc>
          <w:tcPr>
            <w:tcW w:w="1276" w:type="dxa"/>
          </w:tcPr>
          <w:p w14:paraId="239FD6C4" w14:textId="77777777" w:rsidR="00416A8B" w:rsidRPr="00CD441F" w:rsidRDefault="00416A8B" w:rsidP="002358F3">
            <w:pPr>
              <w:spacing w:after="200" w:line="360" w:lineRule="auto"/>
              <w:jc w:val="both"/>
              <w:rPr>
                <w:rFonts w:ascii="Calibri" w:hAnsi="Calibri" w:cs="Calibri"/>
                <w:sz w:val="22"/>
                <w:szCs w:val="22"/>
              </w:rPr>
            </w:pPr>
            <w:r w:rsidRPr="00CD441F">
              <w:rPr>
                <w:rFonts w:ascii="Calibri" w:hAnsi="Calibri" w:cs="Calibri"/>
                <w:sz w:val="22"/>
                <w:szCs w:val="22"/>
              </w:rPr>
              <w:t>3</w:t>
            </w:r>
            <w:r w:rsidR="00755735" w:rsidRPr="00CD441F">
              <w:rPr>
                <w:rFonts w:ascii="Calibri" w:hAnsi="Calibri" w:cs="Calibri"/>
                <w:sz w:val="22"/>
                <w:szCs w:val="22"/>
              </w:rPr>
              <w:t xml:space="preserve"> (≥80%)</w:t>
            </w:r>
          </w:p>
        </w:tc>
      </w:tr>
      <w:tr w:rsidR="00CD441F" w:rsidRPr="00CD441F" w14:paraId="2B935C95" w14:textId="77777777" w:rsidTr="00EA1263">
        <w:tc>
          <w:tcPr>
            <w:tcW w:w="9351" w:type="dxa"/>
            <w:gridSpan w:val="5"/>
          </w:tcPr>
          <w:p w14:paraId="5EF9ADF4" w14:textId="77777777" w:rsidR="0092152B" w:rsidRPr="00CD441F" w:rsidRDefault="0092152B" w:rsidP="002358F3">
            <w:pPr>
              <w:spacing w:after="200" w:line="360" w:lineRule="auto"/>
              <w:jc w:val="both"/>
              <w:rPr>
                <w:rFonts w:ascii="Calibri" w:hAnsi="Calibri" w:cs="Calibri"/>
                <w:sz w:val="22"/>
                <w:szCs w:val="22"/>
              </w:rPr>
            </w:pPr>
            <w:r w:rsidRPr="00CD441F">
              <w:rPr>
                <w:rFonts w:ascii="Calibri" w:hAnsi="Calibri" w:cs="Calibri"/>
                <w:b/>
                <w:bCs/>
                <w:sz w:val="22"/>
                <w:szCs w:val="22"/>
              </w:rPr>
              <w:t>Implementation characteristic</w:t>
            </w:r>
          </w:p>
        </w:tc>
      </w:tr>
      <w:tr w:rsidR="00CD441F" w:rsidRPr="00CD441F" w14:paraId="448291BC" w14:textId="77777777" w:rsidTr="00755735">
        <w:tc>
          <w:tcPr>
            <w:tcW w:w="4106" w:type="dxa"/>
          </w:tcPr>
          <w:p w14:paraId="4F538C08" w14:textId="77777777" w:rsidR="00416A8B" w:rsidRPr="00CD441F" w:rsidRDefault="00416A8B" w:rsidP="002358F3">
            <w:pPr>
              <w:spacing w:after="200"/>
              <w:jc w:val="both"/>
              <w:rPr>
                <w:rFonts w:ascii="Calibri" w:hAnsi="Calibri" w:cs="Calibri"/>
                <w:sz w:val="22"/>
                <w:szCs w:val="22"/>
              </w:rPr>
            </w:pPr>
            <w:r w:rsidRPr="00CD441F">
              <w:rPr>
                <w:rFonts w:ascii="Calibri" w:hAnsi="Calibri" w:cs="Calibri"/>
                <w:sz w:val="22"/>
                <w:szCs w:val="22"/>
              </w:rPr>
              <w:t xml:space="preserve">Fidelity: % of patients with correct treatment every day during first 4 days </w:t>
            </w:r>
          </w:p>
        </w:tc>
        <w:tc>
          <w:tcPr>
            <w:tcW w:w="1134" w:type="dxa"/>
          </w:tcPr>
          <w:p w14:paraId="532FE8D2" w14:textId="77777777" w:rsidR="002E66B6" w:rsidRDefault="00AC0581" w:rsidP="002E66B6">
            <w:pPr>
              <w:jc w:val="both"/>
              <w:rPr>
                <w:rFonts w:ascii="Calibri" w:hAnsi="Calibri" w:cs="Calibri"/>
                <w:sz w:val="22"/>
                <w:szCs w:val="22"/>
              </w:rPr>
            </w:pPr>
            <w:r w:rsidRPr="00CD441F">
              <w:rPr>
                <w:rFonts w:ascii="Calibri" w:hAnsi="Calibri" w:cs="Calibri"/>
                <w:sz w:val="22"/>
                <w:szCs w:val="22"/>
              </w:rPr>
              <w:t>1 site</w:t>
            </w:r>
            <w:r w:rsidR="002E66B6">
              <w:rPr>
                <w:rFonts w:ascii="Calibri" w:hAnsi="Calibri" w:cs="Calibri"/>
                <w:sz w:val="22"/>
                <w:szCs w:val="22"/>
              </w:rPr>
              <w:t xml:space="preserve"> </w:t>
            </w:r>
          </w:p>
          <w:p w14:paraId="700398ED" w14:textId="77777777" w:rsidR="00416A8B" w:rsidRPr="00CD441F" w:rsidRDefault="002E66B6" w:rsidP="002E66B6">
            <w:pPr>
              <w:jc w:val="both"/>
              <w:rPr>
                <w:rFonts w:ascii="Calibri" w:hAnsi="Calibri" w:cs="Calibri"/>
                <w:sz w:val="22"/>
                <w:szCs w:val="22"/>
              </w:rPr>
            </w:pPr>
            <w:r>
              <w:rPr>
                <w:rFonts w:ascii="Calibri" w:hAnsi="Calibri" w:cs="Calibri"/>
                <w:sz w:val="22"/>
                <w:szCs w:val="22"/>
              </w:rPr>
              <w:t>[Nil]</w:t>
            </w:r>
            <w:r w:rsidR="00AC0581" w:rsidRPr="00CD441F">
              <w:rPr>
                <w:rFonts w:ascii="Calibri" w:hAnsi="Calibri" w:cs="Calibri"/>
                <w:sz w:val="22"/>
                <w:szCs w:val="22"/>
              </w:rPr>
              <w:t xml:space="preserve"> </w:t>
            </w:r>
          </w:p>
        </w:tc>
        <w:tc>
          <w:tcPr>
            <w:tcW w:w="1418" w:type="dxa"/>
          </w:tcPr>
          <w:p w14:paraId="550EB7BA" w14:textId="63369584" w:rsidR="00416A8B" w:rsidRPr="00CD441F" w:rsidRDefault="004C7624" w:rsidP="002E66B6">
            <w:pPr>
              <w:jc w:val="both"/>
              <w:rPr>
                <w:rFonts w:ascii="Calibri" w:hAnsi="Calibri" w:cs="Calibri"/>
                <w:sz w:val="22"/>
                <w:szCs w:val="22"/>
              </w:rPr>
            </w:pPr>
            <w:r w:rsidRPr="00CD441F">
              <w:rPr>
                <w:rFonts w:ascii="Calibri" w:hAnsi="Calibri" w:cs="Calibri"/>
                <w:sz w:val="22"/>
                <w:szCs w:val="22"/>
              </w:rPr>
              <w:t>Nil</w:t>
            </w:r>
            <w:r w:rsidR="002E66B6">
              <w:rPr>
                <w:rFonts w:ascii="Calibri" w:hAnsi="Calibri" w:cs="Calibri"/>
                <w:sz w:val="22"/>
                <w:szCs w:val="22"/>
              </w:rPr>
              <w:t xml:space="preserve"> </w:t>
            </w:r>
          </w:p>
        </w:tc>
        <w:tc>
          <w:tcPr>
            <w:tcW w:w="1417" w:type="dxa"/>
          </w:tcPr>
          <w:p w14:paraId="30AB4FAF" w14:textId="77777777" w:rsidR="002E66B6" w:rsidRDefault="004C7624" w:rsidP="002E66B6">
            <w:pPr>
              <w:jc w:val="both"/>
              <w:rPr>
                <w:rFonts w:ascii="Calibri" w:hAnsi="Calibri" w:cs="Calibri"/>
                <w:sz w:val="22"/>
                <w:szCs w:val="22"/>
              </w:rPr>
            </w:pPr>
            <w:r w:rsidRPr="00CD441F">
              <w:rPr>
                <w:rFonts w:ascii="Calibri" w:hAnsi="Calibri" w:cs="Calibri"/>
                <w:sz w:val="22"/>
                <w:szCs w:val="22"/>
              </w:rPr>
              <w:t>14 sites</w:t>
            </w:r>
            <w:r w:rsidR="002E66B6">
              <w:rPr>
                <w:rFonts w:ascii="Calibri" w:hAnsi="Calibri" w:cs="Calibri"/>
                <w:sz w:val="22"/>
                <w:szCs w:val="22"/>
              </w:rPr>
              <w:t xml:space="preserve"> </w:t>
            </w:r>
          </w:p>
          <w:p w14:paraId="371CC2BE" w14:textId="77777777" w:rsidR="00416A8B" w:rsidRPr="00CD441F" w:rsidRDefault="002E66B6" w:rsidP="002E66B6">
            <w:pPr>
              <w:jc w:val="both"/>
              <w:rPr>
                <w:rFonts w:ascii="Calibri" w:hAnsi="Calibri" w:cs="Calibri"/>
                <w:sz w:val="22"/>
                <w:szCs w:val="22"/>
              </w:rPr>
            </w:pPr>
            <w:r>
              <w:rPr>
                <w:rFonts w:ascii="Calibri" w:hAnsi="Calibri" w:cs="Calibri"/>
                <w:sz w:val="22"/>
                <w:szCs w:val="22"/>
              </w:rPr>
              <w:t>[11 sites]</w:t>
            </w:r>
            <w:r w:rsidR="004C7624" w:rsidRPr="00CD441F">
              <w:rPr>
                <w:rFonts w:ascii="Calibri" w:hAnsi="Calibri" w:cs="Calibri"/>
                <w:sz w:val="22"/>
                <w:szCs w:val="22"/>
              </w:rPr>
              <w:t xml:space="preserve"> </w:t>
            </w:r>
          </w:p>
        </w:tc>
        <w:tc>
          <w:tcPr>
            <w:tcW w:w="1276" w:type="dxa"/>
          </w:tcPr>
          <w:p w14:paraId="6567C884" w14:textId="77777777" w:rsidR="002E66B6" w:rsidRDefault="004C7624" w:rsidP="002E66B6">
            <w:pPr>
              <w:jc w:val="both"/>
              <w:rPr>
                <w:rFonts w:ascii="Calibri" w:hAnsi="Calibri" w:cs="Calibri"/>
                <w:sz w:val="22"/>
                <w:szCs w:val="22"/>
              </w:rPr>
            </w:pPr>
            <w:r w:rsidRPr="00CD441F">
              <w:rPr>
                <w:rFonts w:ascii="Calibri" w:hAnsi="Calibri" w:cs="Calibri"/>
                <w:sz w:val="22"/>
                <w:szCs w:val="22"/>
              </w:rPr>
              <w:t xml:space="preserve">23 sites </w:t>
            </w:r>
          </w:p>
          <w:p w14:paraId="59845375" w14:textId="77777777" w:rsidR="00416A8B" w:rsidRPr="00CD441F" w:rsidRDefault="002E66B6" w:rsidP="002E66B6">
            <w:pPr>
              <w:jc w:val="both"/>
              <w:rPr>
                <w:rFonts w:ascii="Calibri" w:hAnsi="Calibri" w:cs="Calibri"/>
                <w:sz w:val="22"/>
                <w:szCs w:val="22"/>
              </w:rPr>
            </w:pPr>
            <w:r>
              <w:rPr>
                <w:rFonts w:ascii="Calibri" w:hAnsi="Calibri" w:cs="Calibri"/>
                <w:sz w:val="22"/>
                <w:szCs w:val="22"/>
              </w:rPr>
              <w:t>[18 sites]</w:t>
            </w:r>
          </w:p>
        </w:tc>
      </w:tr>
      <w:tr w:rsidR="00CD441F" w:rsidRPr="00CD441F" w14:paraId="5AF9F142" w14:textId="77777777" w:rsidTr="00755735">
        <w:tc>
          <w:tcPr>
            <w:tcW w:w="4106" w:type="dxa"/>
          </w:tcPr>
          <w:p w14:paraId="601DB828" w14:textId="77777777" w:rsidR="00416A8B" w:rsidRPr="00CD441F" w:rsidRDefault="00416A8B" w:rsidP="002358F3">
            <w:pPr>
              <w:spacing w:after="200"/>
              <w:jc w:val="both"/>
              <w:rPr>
                <w:rFonts w:ascii="Calibri" w:hAnsi="Calibri" w:cs="Calibri"/>
                <w:sz w:val="22"/>
                <w:szCs w:val="22"/>
              </w:rPr>
            </w:pPr>
            <w:r w:rsidRPr="00CD441F">
              <w:rPr>
                <w:rFonts w:ascii="Calibri" w:hAnsi="Calibri" w:cs="Calibri"/>
                <w:sz w:val="22"/>
                <w:szCs w:val="22"/>
              </w:rPr>
              <w:t xml:space="preserve">Fidelity: % of patients with RASS ≥-2 at any point during first 4 days  </w:t>
            </w:r>
          </w:p>
        </w:tc>
        <w:tc>
          <w:tcPr>
            <w:tcW w:w="1134" w:type="dxa"/>
          </w:tcPr>
          <w:p w14:paraId="6F2EAEB8" w14:textId="77777777" w:rsidR="00416A8B" w:rsidRPr="00CD441F" w:rsidRDefault="00C72869" w:rsidP="002E66B6">
            <w:pPr>
              <w:jc w:val="both"/>
              <w:rPr>
                <w:rFonts w:ascii="Calibri" w:hAnsi="Calibri" w:cs="Calibri"/>
                <w:sz w:val="22"/>
                <w:szCs w:val="22"/>
              </w:rPr>
            </w:pPr>
            <w:r w:rsidRPr="00CD441F">
              <w:rPr>
                <w:rFonts w:ascii="Calibri" w:hAnsi="Calibri" w:cs="Calibri"/>
                <w:sz w:val="22"/>
                <w:szCs w:val="22"/>
              </w:rPr>
              <w:t xml:space="preserve">Nil </w:t>
            </w:r>
          </w:p>
        </w:tc>
        <w:tc>
          <w:tcPr>
            <w:tcW w:w="1418" w:type="dxa"/>
          </w:tcPr>
          <w:p w14:paraId="6CF1C107" w14:textId="77777777" w:rsidR="002E66B6" w:rsidRDefault="00A805BD" w:rsidP="002E66B6">
            <w:pPr>
              <w:jc w:val="both"/>
              <w:rPr>
                <w:rFonts w:ascii="Calibri" w:hAnsi="Calibri" w:cs="Calibri"/>
                <w:sz w:val="22"/>
                <w:szCs w:val="22"/>
              </w:rPr>
            </w:pPr>
            <w:r w:rsidRPr="00CD441F">
              <w:rPr>
                <w:rFonts w:ascii="Calibri" w:hAnsi="Calibri" w:cs="Calibri"/>
                <w:sz w:val="22"/>
                <w:szCs w:val="22"/>
              </w:rPr>
              <w:t xml:space="preserve">1 site </w:t>
            </w:r>
          </w:p>
          <w:p w14:paraId="118710DF" w14:textId="77777777" w:rsidR="00416A8B" w:rsidRPr="00CD441F" w:rsidRDefault="002E66B6" w:rsidP="002E66B6">
            <w:pPr>
              <w:jc w:val="both"/>
              <w:rPr>
                <w:rFonts w:ascii="Calibri" w:hAnsi="Calibri" w:cs="Calibri"/>
                <w:sz w:val="22"/>
                <w:szCs w:val="22"/>
              </w:rPr>
            </w:pPr>
            <w:r>
              <w:rPr>
                <w:rFonts w:ascii="Calibri" w:hAnsi="Calibri" w:cs="Calibri"/>
                <w:sz w:val="22"/>
                <w:szCs w:val="22"/>
              </w:rPr>
              <w:t>[Nil]</w:t>
            </w:r>
          </w:p>
        </w:tc>
        <w:tc>
          <w:tcPr>
            <w:tcW w:w="1417" w:type="dxa"/>
          </w:tcPr>
          <w:p w14:paraId="059F0113" w14:textId="77777777" w:rsidR="002E66B6" w:rsidRDefault="00A805BD" w:rsidP="002E66B6">
            <w:pPr>
              <w:jc w:val="both"/>
              <w:rPr>
                <w:rFonts w:ascii="Calibri" w:hAnsi="Calibri" w:cs="Calibri"/>
                <w:sz w:val="22"/>
                <w:szCs w:val="22"/>
              </w:rPr>
            </w:pPr>
            <w:r w:rsidRPr="00CD441F">
              <w:rPr>
                <w:rFonts w:ascii="Calibri" w:hAnsi="Calibri" w:cs="Calibri"/>
                <w:sz w:val="22"/>
                <w:szCs w:val="22"/>
              </w:rPr>
              <w:t xml:space="preserve">11 sites </w:t>
            </w:r>
          </w:p>
          <w:p w14:paraId="3FF8E302" w14:textId="77777777" w:rsidR="00416A8B" w:rsidRPr="00CD441F" w:rsidRDefault="002E66B6" w:rsidP="002E66B6">
            <w:pPr>
              <w:jc w:val="both"/>
              <w:rPr>
                <w:rFonts w:ascii="Calibri" w:hAnsi="Calibri" w:cs="Calibri"/>
                <w:sz w:val="22"/>
                <w:szCs w:val="22"/>
              </w:rPr>
            </w:pPr>
            <w:r>
              <w:rPr>
                <w:rFonts w:ascii="Calibri" w:hAnsi="Calibri" w:cs="Calibri"/>
                <w:sz w:val="22"/>
                <w:szCs w:val="22"/>
              </w:rPr>
              <w:t>[9 sites]</w:t>
            </w:r>
          </w:p>
        </w:tc>
        <w:tc>
          <w:tcPr>
            <w:tcW w:w="1276" w:type="dxa"/>
          </w:tcPr>
          <w:p w14:paraId="4A29AAE7" w14:textId="77777777" w:rsidR="002E66B6" w:rsidRDefault="00A805BD" w:rsidP="002E66B6">
            <w:pPr>
              <w:jc w:val="both"/>
              <w:rPr>
                <w:rFonts w:ascii="Calibri" w:hAnsi="Calibri" w:cs="Calibri"/>
                <w:sz w:val="22"/>
                <w:szCs w:val="22"/>
              </w:rPr>
            </w:pPr>
            <w:r w:rsidRPr="00CD441F">
              <w:rPr>
                <w:rFonts w:ascii="Calibri" w:hAnsi="Calibri" w:cs="Calibri"/>
                <w:sz w:val="22"/>
                <w:szCs w:val="22"/>
              </w:rPr>
              <w:t xml:space="preserve">26 sites </w:t>
            </w:r>
          </w:p>
          <w:p w14:paraId="3B8E3E54" w14:textId="77777777" w:rsidR="00416A8B" w:rsidRPr="00CD441F" w:rsidRDefault="002E66B6" w:rsidP="002E66B6">
            <w:pPr>
              <w:jc w:val="both"/>
              <w:rPr>
                <w:rFonts w:ascii="Calibri" w:hAnsi="Calibri" w:cs="Calibri"/>
                <w:sz w:val="22"/>
                <w:szCs w:val="22"/>
              </w:rPr>
            </w:pPr>
            <w:r>
              <w:rPr>
                <w:rFonts w:ascii="Calibri" w:hAnsi="Calibri" w:cs="Calibri"/>
                <w:sz w:val="22"/>
                <w:szCs w:val="22"/>
              </w:rPr>
              <w:t>[20 sites]</w:t>
            </w:r>
          </w:p>
        </w:tc>
      </w:tr>
      <w:tr w:rsidR="00CD441F" w:rsidRPr="00CD441F" w14:paraId="3F145159" w14:textId="77777777" w:rsidTr="00755735">
        <w:tc>
          <w:tcPr>
            <w:tcW w:w="4106" w:type="dxa"/>
          </w:tcPr>
          <w:p w14:paraId="41A95B86" w14:textId="77777777" w:rsidR="00416A8B" w:rsidRPr="00CD441F" w:rsidRDefault="00416A8B" w:rsidP="002358F3">
            <w:pPr>
              <w:spacing w:after="200"/>
              <w:jc w:val="both"/>
              <w:rPr>
                <w:rFonts w:ascii="Calibri" w:hAnsi="Calibri" w:cs="Calibri"/>
                <w:sz w:val="22"/>
                <w:szCs w:val="22"/>
              </w:rPr>
            </w:pPr>
            <w:r w:rsidRPr="00CD441F">
              <w:rPr>
                <w:rFonts w:ascii="Calibri" w:hAnsi="Calibri" w:cs="Calibri"/>
                <w:sz w:val="22"/>
                <w:szCs w:val="22"/>
              </w:rPr>
              <w:t>Dose: % of patients with RASS assessment at least once/day during first 4 days</w:t>
            </w:r>
          </w:p>
        </w:tc>
        <w:tc>
          <w:tcPr>
            <w:tcW w:w="1134" w:type="dxa"/>
          </w:tcPr>
          <w:p w14:paraId="192908C3" w14:textId="77777777" w:rsidR="00416A8B" w:rsidRPr="00CD441F" w:rsidRDefault="00832EFF" w:rsidP="002E66B6">
            <w:pPr>
              <w:jc w:val="both"/>
              <w:rPr>
                <w:rFonts w:ascii="Calibri" w:hAnsi="Calibri" w:cs="Calibri"/>
                <w:sz w:val="22"/>
                <w:szCs w:val="22"/>
              </w:rPr>
            </w:pPr>
            <w:r w:rsidRPr="00CD441F">
              <w:rPr>
                <w:rFonts w:ascii="Calibri" w:hAnsi="Calibri" w:cs="Calibri"/>
                <w:sz w:val="22"/>
                <w:szCs w:val="22"/>
              </w:rPr>
              <w:t xml:space="preserve">Nil </w:t>
            </w:r>
          </w:p>
        </w:tc>
        <w:tc>
          <w:tcPr>
            <w:tcW w:w="1418" w:type="dxa"/>
          </w:tcPr>
          <w:p w14:paraId="5641D597" w14:textId="77777777" w:rsidR="00416A8B" w:rsidRPr="00CD441F" w:rsidRDefault="00832EFF" w:rsidP="002E66B6">
            <w:pPr>
              <w:jc w:val="both"/>
              <w:rPr>
                <w:rFonts w:ascii="Calibri" w:hAnsi="Calibri" w:cs="Calibri"/>
                <w:sz w:val="22"/>
                <w:szCs w:val="22"/>
              </w:rPr>
            </w:pPr>
            <w:r w:rsidRPr="00CD441F">
              <w:rPr>
                <w:rFonts w:ascii="Calibri" w:hAnsi="Calibri" w:cs="Calibri"/>
                <w:sz w:val="22"/>
                <w:szCs w:val="22"/>
              </w:rPr>
              <w:t xml:space="preserve">Nil </w:t>
            </w:r>
          </w:p>
        </w:tc>
        <w:tc>
          <w:tcPr>
            <w:tcW w:w="1417" w:type="dxa"/>
          </w:tcPr>
          <w:p w14:paraId="36ABD6E6" w14:textId="77777777" w:rsidR="002E66B6" w:rsidRDefault="00832EFF" w:rsidP="002E66B6">
            <w:pPr>
              <w:jc w:val="both"/>
              <w:rPr>
                <w:rFonts w:ascii="Calibri" w:hAnsi="Calibri" w:cs="Calibri"/>
                <w:sz w:val="22"/>
                <w:szCs w:val="22"/>
              </w:rPr>
            </w:pPr>
            <w:r w:rsidRPr="00CD441F">
              <w:rPr>
                <w:rFonts w:ascii="Calibri" w:hAnsi="Calibri" w:cs="Calibri"/>
                <w:sz w:val="22"/>
                <w:szCs w:val="22"/>
              </w:rPr>
              <w:t xml:space="preserve">2 sites </w:t>
            </w:r>
          </w:p>
          <w:p w14:paraId="7960159C" w14:textId="77777777" w:rsidR="00416A8B" w:rsidRPr="00CD441F" w:rsidRDefault="002E66B6" w:rsidP="002E66B6">
            <w:pPr>
              <w:jc w:val="both"/>
              <w:rPr>
                <w:rFonts w:ascii="Calibri" w:hAnsi="Calibri" w:cs="Calibri"/>
                <w:sz w:val="22"/>
                <w:szCs w:val="22"/>
              </w:rPr>
            </w:pPr>
            <w:r>
              <w:rPr>
                <w:rFonts w:ascii="Calibri" w:hAnsi="Calibri" w:cs="Calibri"/>
                <w:sz w:val="22"/>
                <w:szCs w:val="22"/>
              </w:rPr>
              <w:t>[Nil]</w:t>
            </w:r>
          </w:p>
        </w:tc>
        <w:tc>
          <w:tcPr>
            <w:tcW w:w="1276" w:type="dxa"/>
          </w:tcPr>
          <w:p w14:paraId="7629FCA0" w14:textId="77777777" w:rsidR="002E66B6" w:rsidRDefault="00832EFF" w:rsidP="002E66B6">
            <w:pPr>
              <w:jc w:val="both"/>
              <w:rPr>
                <w:rFonts w:ascii="Calibri" w:hAnsi="Calibri" w:cs="Calibri"/>
                <w:sz w:val="22"/>
                <w:szCs w:val="22"/>
              </w:rPr>
            </w:pPr>
            <w:r w:rsidRPr="00CD441F">
              <w:rPr>
                <w:rFonts w:ascii="Calibri" w:hAnsi="Calibri" w:cs="Calibri"/>
                <w:sz w:val="22"/>
                <w:szCs w:val="22"/>
              </w:rPr>
              <w:t xml:space="preserve">36 sites </w:t>
            </w:r>
          </w:p>
          <w:p w14:paraId="43CD892D" w14:textId="77777777" w:rsidR="00416A8B" w:rsidRPr="00CD441F" w:rsidRDefault="002E66B6" w:rsidP="002E66B6">
            <w:pPr>
              <w:jc w:val="both"/>
              <w:rPr>
                <w:rFonts w:ascii="Calibri" w:hAnsi="Calibri" w:cs="Calibri"/>
                <w:sz w:val="22"/>
                <w:szCs w:val="22"/>
              </w:rPr>
            </w:pPr>
            <w:r>
              <w:rPr>
                <w:rFonts w:ascii="Calibri" w:hAnsi="Calibri" w:cs="Calibri"/>
                <w:sz w:val="22"/>
                <w:szCs w:val="22"/>
              </w:rPr>
              <w:t>[29 sites]</w:t>
            </w:r>
          </w:p>
        </w:tc>
      </w:tr>
      <w:tr w:rsidR="00CD441F" w:rsidRPr="00CD441F" w14:paraId="0FB94993" w14:textId="77777777" w:rsidTr="00755735">
        <w:tc>
          <w:tcPr>
            <w:tcW w:w="4106" w:type="dxa"/>
          </w:tcPr>
          <w:p w14:paraId="0981A08C" w14:textId="77777777" w:rsidR="00416A8B" w:rsidRPr="00CD441F" w:rsidRDefault="00416A8B" w:rsidP="002358F3">
            <w:pPr>
              <w:spacing w:after="200"/>
              <w:jc w:val="both"/>
              <w:rPr>
                <w:rFonts w:ascii="Calibri" w:hAnsi="Calibri" w:cs="Calibri"/>
                <w:sz w:val="22"/>
                <w:szCs w:val="22"/>
              </w:rPr>
            </w:pPr>
            <w:r w:rsidRPr="00CD441F">
              <w:rPr>
                <w:rFonts w:ascii="Calibri" w:hAnsi="Calibri" w:cs="Calibri"/>
                <w:sz w:val="22"/>
                <w:szCs w:val="22"/>
              </w:rPr>
              <w:t>Reach: % of eligible patients proceeding to randomisation</w:t>
            </w:r>
          </w:p>
        </w:tc>
        <w:tc>
          <w:tcPr>
            <w:tcW w:w="1134" w:type="dxa"/>
          </w:tcPr>
          <w:p w14:paraId="4CF8CCD6" w14:textId="77777777" w:rsidR="00416A8B" w:rsidRPr="00CD441F" w:rsidRDefault="00A72DED" w:rsidP="002E66B6">
            <w:pPr>
              <w:jc w:val="both"/>
              <w:rPr>
                <w:rFonts w:ascii="Calibri" w:hAnsi="Calibri" w:cs="Calibri"/>
                <w:sz w:val="22"/>
                <w:szCs w:val="22"/>
              </w:rPr>
            </w:pPr>
            <w:r w:rsidRPr="00CD441F">
              <w:rPr>
                <w:rFonts w:ascii="Calibri" w:hAnsi="Calibri" w:cs="Calibri"/>
                <w:sz w:val="22"/>
                <w:szCs w:val="22"/>
              </w:rPr>
              <w:t>16 sites</w:t>
            </w:r>
            <w:r w:rsidR="002E66B6">
              <w:rPr>
                <w:rFonts w:ascii="Calibri" w:hAnsi="Calibri" w:cs="Calibri"/>
                <w:sz w:val="22"/>
                <w:szCs w:val="22"/>
              </w:rPr>
              <w:t xml:space="preserve"> [11 sites]</w:t>
            </w:r>
            <w:r w:rsidRPr="00CD441F">
              <w:rPr>
                <w:rFonts w:ascii="Calibri" w:hAnsi="Calibri" w:cs="Calibri"/>
                <w:sz w:val="22"/>
                <w:szCs w:val="22"/>
              </w:rPr>
              <w:t xml:space="preserve"> </w:t>
            </w:r>
          </w:p>
        </w:tc>
        <w:tc>
          <w:tcPr>
            <w:tcW w:w="1418" w:type="dxa"/>
          </w:tcPr>
          <w:p w14:paraId="7FD70D7F" w14:textId="77777777" w:rsidR="002E66B6" w:rsidRDefault="006D340A" w:rsidP="002E66B6">
            <w:pPr>
              <w:jc w:val="both"/>
              <w:rPr>
                <w:rFonts w:ascii="Calibri" w:hAnsi="Calibri" w:cs="Calibri"/>
                <w:sz w:val="22"/>
                <w:szCs w:val="22"/>
              </w:rPr>
            </w:pPr>
            <w:r w:rsidRPr="00CD441F">
              <w:rPr>
                <w:rFonts w:ascii="Calibri" w:hAnsi="Calibri" w:cs="Calibri"/>
                <w:sz w:val="22"/>
                <w:szCs w:val="22"/>
              </w:rPr>
              <w:t xml:space="preserve">9 sites </w:t>
            </w:r>
          </w:p>
          <w:p w14:paraId="782DC695" w14:textId="77777777" w:rsidR="00416A8B" w:rsidRPr="00CD441F" w:rsidRDefault="002E66B6" w:rsidP="002E66B6">
            <w:pPr>
              <w:jc w:val="both"/>
              <w:rPr>
                <w:rFonts w:ascii="Calibri" w:hAnsi="Calibri" w:cs="Calibri"/>
                <w:sz w:val="22"/>
                <w:szCs w:val="22"/>
              </w:rPr>
            </w:pPr>
            <w:r>
              <w:rPr>
                <w:rFonts w:ascii="Calibri" w:hAnsi="Calibri" w:cs="Calibri"/>
                <w:sz w:val="22"/>
                <w:szCs w:val="22"/>
              </w:rPr>
              <w:t>[8 sites]</w:t>
            </w:r>
          </w:p>
        </w:tc>
        <w:tc>
          <w:tcPr>
            <w:tcW w:w="1417" w:type="dxa"/>
          </w:tcPr>
          <w:p w14:paraId="0F282F4E" w14:textId="77777777" w:rsidR="002E66B6" w:rsidRDefault="006D340A" w:rsidP="002E66B6">
            <w:pPr>
              <w:jc w:val="both"/>
              <w:rPr>
                <w:rFonts w:ascii="Calibri" w:hAnsi="Calibri" w:cs="Calibri"/>
                <w:sz w:val="22"/>
                <w:szCs w:val="22"/>
              </w:rPr>
            </w:pPr>
            <w:r w:rsidRPr="00CD441F">
              <w:rPr>
                <w:rFonts w:ascii="Calibri" w:hAnsi="Calibri" w:cs="Calibri"/>
                <w:sz w:val="22"/>
                <w:szCs w:val="22"/>
              </w:rPr>
              <w:t xml:space="preserve">9 sites </w:t>
            </w:r>
          </w:p>
          <w:p w14:paraId="13AB697A" w14:textId="77777777" w:rsidR="00416A8B" w:rsidRPr="00CD441F" w:rsidRDefault="002E66B6" w:rsidP="002E66B6">
            <w:pPr>
              <w:jc w:val="both"/>
              <w:rPr>
                <w:rFonts w:ascii="Calibri" w:hAnsi="Calibri" w:cs="Calibri"/>
                <w:sz w:val="22"/>
                <w:szCs w:val="22"/>
              </w:rPr>
            </w:pPr>
            <w:r>
              <w:rPr>
                <w:rFonts w:ascii="Calibri" w:hAnsi="Calibri" w:cs="Calibri"/>
                <w:sz w:val="22"/>
                <w:szCs w:val="22"/>
              </w:rPr>
              <w:t>[8 sites]</w:t>
            </w:r>
          </w:p>
        </w:tc>
        <w:tc>
          <w:tcPr>
            <w:tcW w:w="1276" w:type="dxa"/>
          </w:tcPr>
          <w:p w14:paraId="31FA3241" w14:textId="77777777" w:rsidR="002E66B6" w:rsidRDefault="006D340A" w:rsidP="002E66B6">
            <w:pPr>
              <w:jc w:val="both"/>
              <w:rPr>
                <w:rFonts w:ascii="Calibri" w:hAnsi="Calibri" w:cs="Calibri"/>
                <w:sz w:val="22"/>
                <w:szCs w:val="22"/>
              </w:rPr>
            </w:pPr>
            <w:r w:rsidRPr="00CD441F">
              <w:rPr>
                <w:rFonts w:ascii="Calibri" w:hAnsi="Calibri" w:cs="Calibri"/>
                <w:sz w:val="22"/>
                <w:szCs w:val="22"/>
              </w:rPr>
              <w:t xml:space="preserve">4 sites </w:t>
            </w:r>
          </w:p>
          <w:p w14:paraId="6666C5A5" w14:textId="77777777" w:rsidR="00416A8B" w:rsidRPr="00CD441F" w:rsidRDefault="002E66B6" w:rsidP="002E66B6">
            <w:pPr>
              <w:jc w:val="both"/>
              <w:rPr>
                <w:rFonts w:ascii="Calibri" w:hAnsi="Calibri" w:cs="Calibri"/>
                <w:sz w:val="22"/>
                <w:szCs w:val="22"/>
              </w:rPr>
            </w:pPr>
            <w:r>
              <w:rPr>
                <w:rFonts w:ascii="Calibri" w:hAnsi="Calibri" w:cs="Calibri"/>
                <w:sz w:val="22"/>
                <w:szCs w:val="22"/>
              </w:rPr>
              <w:t>[2 sites]</w:t>
            </w:r>
          </w:p>
        </w:tc>
      </w:tr>
    </w:tbl>
    <w:p w14:paraId="52483ED4" w14:textId="77777777" w:rsidR="0032608C" w:rsidRDefault="0032608C" w:rsidP="000D7628">
      <w:pPr>
        <w:jc w:val="both"/>
        <w:rPr>
          <w:rFonts w:ascii="Calibri" w:hAnsi="Calibri" w:cs="Calibri"/>
          <w:sz w:val="22"/>
          <w:szCs w:val="22"/>
        </w:rPr>
      </w:pPr>
      <w:r w:rsidRPr="00CD441F">
        <w:rPr>
          <w:rFonts w:ascii="Calibri" w:hAnsi="Calibri" w:cs="Calibri"/>
          <w:sz w:val="22"/>
          <w:szCs w:val="22"/>
        </w:rPr>
        <w:t>RAG: Red-Amber-Green; RASS: Richmond Agitation-Sedation Scale</w:t>
      </w:r>
      <w:r w:rsidR="000D7628">
        <w:rPr>
          <w:rFonts w:ascii="Calibri" w:hAnsi="Calibri" w:cs="Calibri"/>
          <w:sz w:val="22"/>
          <w:szCs w:val="22"/>
        </w:rPr>
        <w:t>. Number in brackets excludes sites with fewer than 10 patients.</w:t>
      </w:r>
    </w:p>
    <w:p w14:paraId="42318CF4" w14:textId="77777777" w:rsidR="0049386B" w:rsidRDefault="0049386B" w:rsidP="000D7628">
      <w:pPr>
        <w:jc w:val="both"/>
        <w:rPr>
          <w:rFonts w:ascii="Calibri" w:hAnsi="Calibri" w:cs="Calibri"/>
          <w:sz w:val="22"/>
          <w:szCs w:val="22"/>
        </w:rPr>
      </w:pPr>
    </w:p>
    <w:p w14:paraId="53DAE54D" w14:textId="77777777" w:rsidR="0049386B" w:rsidRDefault="0049386B" w:rsidP="000D7628">
      <w:pPr>
        <w:jc w:val="both"/>
        <w:rPr>
          <w:rFonts w:ascii="Calibri" w:hAnsi="Calibri" w:cs="Calibri"/>
          <w:sz w:val="22"/>
          <w:szCs w:val="22"/>
        </w:rPr>
      </w:pPr>
    </w:p>
    <w:p w14:paraId="420FC572" w14:textId="62488192" w:rsidR="00AE2231" w:rsidRDefault="00AE2231" w:rsidP="000D7628">
      <w:pPr>
        <w:jc w:val="both"/>
        <w:rPr>
          <w:rFonts w:ascii="Calibri" w:hAnsi="Calibri" w:cs="Calibri"/>
          <w:sz w:val="22"/>
          <w:szCs w:val="22"/>
        </w:rPr>
      </w:pPr>
      <w:r>
        <w:rPr>
          <w:rFonts w:ascii="Calibri" w:hAnsi="Calibri" w:cs="Calibri"/>
          <w:noProof/>
          <w:sz w:val="22"/>
          <w:szCs w:val="22"/>
        </w:rPr>
        <w:drawing>
          <wp:inline distT="0" distB="0" distL="0" distR="0" wp14:anchorId="129F9CFA" wp14:editId="45FCEBA1">
            <wp:extent cx="5731510" cy="3630930"/>
            <wp:effectExtent l="0" t="0" r="2540" b="7620"/>
            <wp:docPr id="1738218571" name="Picture 1" descr="A graph of a number of different colored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218571" name="Picture 1" descr="A graph of a number of different colored bar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3630930"/>
                    </a:xfrm>
                    <a:prstGeom prst="rect">
                      <a:avLst/>
                    </a:prstGeom>
                  </pic:spPr>
                </pic:pic>
              </a:graphicData>
            </a:graphic>
          </wp:inline>
        </w:drawing>
      </w:r>
    </w:p>
    <w:p w14:paraId="65BB9E57" w14:textId="77777777" w:rsidR="00AE2231" w:rsidRDefault="00AE2231" w:rsidP="000D7628">
      <w:pPr>
        <w:jc w:val="both"/>
        <w:rPr>
          <w:rFonts w:ascii="Calibri" w:hAnsi="Calibri" w:cs="Calibri"/>
          <w:sz w:val="22"/>
          <w:szCs w:val="22"/>
        </w:rPr>
      </w:pPr>
    </w:p>
    <w:p w14:paraId="16736F4E" w14:textId="77777777" w:rsidR="00AE2231" w:rsidRDefault="00AE2231" w:rsidP="000D7628">
      <w:pPr>
        <w:jc w:val="both"/>
        <w:rPr>
          <w:rFonts w:ascii="Calibri" w:hAnsi="Calibri" w:cs="Calibri"/>
          <w:sz w:val="22"/>
          <w:szCs w:val="22"/>
        </w:rPr>
      </w:pPr>
    </w:p>
    <w:p w14:paraId="3F2EFA21" w14:textId="77777777" w:rsidR="00AE2231" w:rsidRDefault="00AE2231" w:rsidP="000D7628">
      <w:pPr>
        <w:jc w:val="both"/>
        <w:rPr>
          <w:rFonts w:ascii="Calibri" w:hAnsi="Calibri" w:cs="Calibri"/>
          <w:sz w:val="22"/>
          <w:szCs w:val="22"/>
        </w:rPr>
      </w:pPr>
    </w:p>
    <w:p w14:paraId="615AB933" w14:textId="5B74F3E6" w:rsidR="0049386B" w:rsidRPr="00AE2231" w:rsidRDefault="0049386B" w:rsidP="000D7628">
      <w:pPr>
        <w:jc w:val="both"/>
        <w:rPr>
          <w:rFonts w:ascii="Calibri" w:hAnsi="Calibri" w:cs="Calibri"/>
          <w:b/>
          <w:bCs/>
          <w:sz w:val="22"/>
          <w:szCs w:val="22"/>
        </w:rPr>
      </w:pPr>
      <w:r w:rsidRPr="00AE2231">
        <w:rPr>
          <w:rFonts w:ascii="Calibri" w:hAnsi="Calibri" w:cs="Calibri"/>
          <w:b/>
          <w:bCs/>
          <w:sz w:val="22"/>
          <w:szCs w:val="22"/>
        </w:rPr>
        <w:t>Figure 2</w:t>
      </w:r>
      <w:r w:rsidR="00AE2231" w:rsidRPr="00AE2231">
        <w:rPr>
          <w:rFonts w:ascii="Calibri" w:hAnsi="Calibri" w:cs="Calibri"/>
          <w:b/>
          <w:bCs/>
          <w:sz w:val="22"/>
          <w:szCs w:val="22"/>
        </w:rPr>
        <w:t xml:space="preserve">: Measures of intervention fidelity in the A2B trial </w:t>
      </w:r>
    </w:p>
    <w:p w14:paraId="75DC7D3B" w14:textId="77777777" w:rsidR="00AE2231" w:rsidRDefault="00AE2231" w:rsidP="000D7628">
      <w:pPr>
        <w:jc w:val="both"/>
        <w:rPr>
          <w:rFonts w:ascii="Calibri" w:hAnsi="Calibri" w:cs="Calibri"/>
          <w:sz w:val="22"/>
          <w:szCs w:val="22"/>
        </w:rPr>
      </w:pPr>
    </w:p>
    <w:p w14:paraId="49FB9DC6" w14:textId="77777777" w:rsidR="00795FF9" w:rsidRDefault="00795FF9" w:rsidP="000D7628">
      <w:pPr>
        <w:jc w:val="both"/>
        <w:rPr>
          <w:rFonts w:ascii="Calibri" w:hAnsi="Calibri" w:cs="Calibri"/>
          <w:sz w:val="22"/>
          <w:szCs w:val="22"/>
        </w:rPr>
      </w:pPr>
    </w:p>
    <w:p w14:paraId="55700DD2" w14:textId="55E5A6B2" w:rsidR="00795FF9" w:rsidRPr="008B153E" w:rsidRDefault="00795FF9" w:rsidP="000D7628">
      <w:pPr>
        <w:jc w:val="both"/>
        <w:rPr>
          <w:rFonts w:ascii="Calibri" w:hAnsi="Calibri" w:cs="Calibri"/>
          <w:b/>
          <w:bCs/>
          <w:sz w:val="22"/>
          <w:szCs w:val="22"/>
        </w:rPr>
      </w:pPr>
      <w:r w:rsidRPr="008B153E">
        <w:rPr>
          <w:rFonts w:ascii="Calibri" w:hAnsi="Calibri" w:cs="Calibri"/>
          <w:b/>
          <w:bCs/>
          <w:sz w:val="22"/>
          <w:szCs w:val="22"/>
        </w:rPr>
        <w:t>Qualitative data</w:t>
      </w:r>
    </w:p>
    <w:p w14:paraId="389F2E39" w14:textId="77777777" w:rsidR="000D7628" w:rsidRPr="008B153E" w:rsidRDefault="000D7628" w:rsidP="002E66B6">
      <w:pPr>
        <w:jc w:val="both"/>
        <w:rPr>
          <w:rFonts w:ascii="Calibri" w:hAnsi="Calibri" w:cs="Calibri"/>
          <w:sz w:val="22"/>
          <w:szCs w:val="22"/>
        </w:rPr>
      </w:pPr>
    </w:p>
    <w:p w14:paraId="4DBD0710" w14:textId="77777777" w:rsidR="00686633" w:rsidRPr="008B153E" w:rsidRDefault="00D01AE7" w:rsidP="002358F3">
      <w:pPr>
        <w:spacing w:after="200" w:line="360" w:lineRule="auto"/>
        <w:jc w:val="both"/>
        <w:rPr>
          <w:rFonts w:ascii="Calibri" w:hAnsi="Calibri" w:cs="Calibri"/>
          <w:b/>
          <w:bCs/>
          <w:i/>
          <w:iCs/>
          <w:sz w:val="22"/>
          <w:szCs w:val="22"/>
        </w:rPr>
      </w:pPr>
      <w:r w:rsidRPr="008B153E">
        <w:rPr>
          <w:rFonts w:ascii="Calibri" w:hAnsi="Calibri" w:cs="Calibri"/>
          <w:b/>
          <w:bCs/>
          <w:i/>
          <w:iCs/>
          <w:sz w:val="22"/>
          <w:szCs w:val="22"/>
        </w:rPr>
        <w:t xml:space="preserve">Phase </w:t>
      </w:r>
      <w:r w:rsidR="00267DAD" w:rsidRPr="008B153E">
        <w:rPr>
          <w:rFonts w:ascii="Calibri" w:hAnsi="Calibri" w:cs="Calibri"/>
          <w:b/>
          <w:bCs/>
          <w:i/>
          <w:iCs/>
          <w:sz w:val="22"/>
          <w:szCs w:val="22"/>
        </w:rPr>
        <w:t>1</w:t>
      </w:r>
    </w:p>
    <w:p w14:paraId="67C4E027" w14:textId="11438524" w:rsidR="0042051D" w:rsidRPr="00CD441F" w:rsidRDefault="0076392B" w:rsidP="002358F3">
      <w:pPr>
        <w:spacing w:after="200" w:line="360" w:lineRule="auto"/>
        <w:jc w:val="both"/>
        <w:rPr>
          <w:rFonts w:ascii="Calibri" w:hAnsi="Calibri" w:cs="Calibri"/>
          <w:sz w:val="22"/>
          <w:szCs w:val="22"/>
        </w:rPr>
      </w:pPr>
      <w:r w:rsidRPr="008B153E">
        <w:rPr>
          <w:rFonts w:ascii="Calibri" w:hAnsi="Calibri" w:cs="Calibri"/>
          <w:sz w:val="22"/>
          <w:szCs w:val="22"/>
        </w:rPr>
        <w:lastRenderedPageBreak/>
        <w:t xml:space="preserve">Phase </w:t>
      </w:r>
      <w:r w:rsidR="00267DAD" w:rsidRPr="008B153E">
        <w:rPr>
          <w:rFonts w:ascii="Calibri" w:hAnsi="Calibri" w:cs="Calibri"/>
          <w:sz w:val="22"/>
          <w:szCs w:val="22"/>
        </w:rPr>
        <w:t>1</w:t>
      </w:r>
      <w:r w:rsidRPr="008B153E">
        <w:rPr>
          <w:rFonts w:ascii="Calibri" w:hAnsi="Calibri" w:cs="Calibri"/>
          <w:sz w:val="22"/>
          <w:szCs w:val="22"/>
        </w:rPr>
        <w:t xml:space="preserve"> data were collected January-April 2023. Twelve ICUs </w:t>
      </w:r>
      <w:r w:rsidR="008459AB" w:rsidRPr="008B153E">
        <w:rPr>
          <w:rFonts w:ascii="Calibri" w:hAnsi="Calibri" w:cs="Calibri"/>
          <w:sz w:val="22"/>
          <w:szCs w:val="22"/>
        </w:rPr>
        <w:t xml:space="preserve">(out of 30 active units) </w:t>
      </w:r>
      <w:r w:rsidRPr="008B153E">
        <w:rPr>
          <w:rFonts w:ascii="Calibri" w:hAnsi="Calibri" w:cs="Calibri"/>
          <w:sz w:val="22"/>
          <w:szCs w:val="22"/>
        </w:rPr>
        <w:t xml:space="preserve">were purposively selected </w:t>
      </w:r>
      <w:r w:rsidR="00957E55" w:rsidRPr="008B153E">
        <w:rPr>
          <w:rFonts w:ascii="Calibri" w:hAnsi="Calibri" w:cs="Calibri"/>
          <w:sz w:val="22"/>
          <w:szCs w:val="22"/>
        </w:rPr>
        <w:t>(</w:t>
      </w:r>
      <w:r w:rsidR="002754F7" w:rsidRPr="008B153E">
        <w:rPr>
          <w:rFonts w:ascii="Calibri" w:hAnsi="Calibri" w:cs="Calibri"/>
          <w:sz w:val="22"/>
          <w:szCs w:val="22"/>
        </w:rPr>
        <w:t xml:space="preserve">based on recruitment rate, routine use of sedation targets, </w:t>
      </w:r>
      <w:r w:rsidR="00957E55" w:rsidRPr="008B153E">
        <w:rPr>
          <w:rFonts w:ascii="Calibri" w:hAnsi="Calibri" w:cs="Calibri"/>
          <w:sz w:val="22"/>
          <w:szCs w:val="22"/>
        </w:rPr>
        <w:t xml:space="preserve">research nurse numbers and unit size) </w:t>
      </w:r>
      <w:r w:rsidRPr="008B153E">
        <w:rPr>
          <w:rFonts w:ascii="Calibri" w:hAnsi="Calibri" w:cs="Calibri"/>
          <w:sz w:val="22"/>
          <w:szCs w:val="22"/>
        </w:rPr>
        <w:t xml:space="preserve">to ensure </w:t>
      </w:r>
      <w:r w:rsidR="00A142D8" w:rsidRPr="008B153E">
        <w:rPr>
          <w:rFonts w:ascii="Calibri" w:hAnsi="Calibri" w:cs="Calibri"/>
          <w:sz w:val="22"/>
          <w:szCs w:val="22"/>
        </w:rPr>
        <w:t xml:space="preserve">a </w:t>
      </w:r>
      <w:r w:rsidRPr="008B153E">
        <w:rPr>
          <w:rFonts w:ascii="Calibri" w:hAnsi="Calibri" w:cs="Calibri"/>
          <w:sz w:val="22"/>
          <w:szCs w:val="22"/>
        </w:rPr>
        <w:t>maximum variation sample.</w:t>
      </w:r>
      <w:r w:rsidR="002C3627" w:rsidRPr="008B153E">
        <w:rPr>
          <w:rFonts w:ascii="Calibri" w:hAnsi="Calibri" w:cs="Calibri"/>
          <w:sz w:val="22"/>
          <w:szCs w:val="22"/>
        </w:rPr>
        <w:t xml:space="preserve"> Thirty-three staff participated in </w:t>
      </w:r>
      <w:r w:rsidR="002B1690" w:rsidRPr="008B153E">
        <w:rPr>
          <w:rFonts w:ascii="Calibri" w:hAnsi="Calibri" w:cs="Calibri"/>
          <w:sz w:val="22"/>
          <w:szCs w:val="22"/>
        </w:rPr>
        <w:t>P</w:t>
      </w:r>
      <w:r w:rsidR="002C3627" w:rsidRPr="008B153E">
        <w:rPr>
          <w:rFonts w:ascii="Calibri" w:hAnsi="Calibri" w:cs="Calibri"/>
          <w:sz w:val="22"/>
          <w:szCs w:val="22"/>
        </w:rPr>
        <w:t>hase I interviews</w:t>
      </w:r>
      <w:r w:rsidR="007879CA" w:rsidRPr="008B153E">
        <w:rPr>
          <w:rFonts w:ascii="Calibri" w:hAnsi="Calibri" w:cs="Calibri"/>
          <w:sz w:val="22"/>
          <w:szCs w:val="22"/>
        </w:rPr>
        <w:t xml:space="preserve"> including </w:t>
      </w:r>
      <w:r w:rsidR="002C3627" w:rsidRPr="008B153E">
        <w:rPr>
          <w:rFonts w:ascii="Calibri" w:hAnsi="Calibri" w:cs="Calibri"/>
          <w:sz w:val="22"/>
          <w:szCs w:val="22"/>
        </w:rPr>
        <w:t>20 research nurses</w:t>
      </w:r>
      <w:r w:rsidR="007879CA" w:rsidRPr="008B153E">
        <w:rPr>
          <w:rFonts w:ascii="Calibri" w:hAnsi="Calibri" w:cs="Calibri"/>
          <w:sz w:val="22"/>
          <w:szCs w:val="22"/>
        </w:rPr>
        <w:t xml:space="preserve"> (</w:t>
      </w:r>
      <w:r w:rsidR="002C3627" w:rsidRPr="008B153E">
        <w:rPr>
          <w:rFonts w:ascii="Calibri" w:hAnsi="Calibri" w:cs="Calibri"/>
          <w:sz w:val="22"/>
          <w:szCs w:val="22"/>
        </w:rPr>
        <w:t>17</w:t>
      </w:r>
      <w:r w:rsidR="007879CA" w:rsidRPr="008B153E">
        <w:rPr>
          <w:rFonts w:ascii="Calibri" w:hAnsi="Calibri" w:cs="Calibri"/>
          <w:sz w:val="22"/>
          <w:szCs w:val="22"/>
        </w:rPr>
        <w:t xml:space="preserve"> with</w:t>
      </w:r>
      <w:r w:rsidR="002C3627" w:rsidRPr="008B153E">
        <w:rPr>
          <w:rFonts w:ascii="Calibri" w:hAnsi="Calibri" w:cs="Calibri"/>
          <w:sz w:val="22"/>
          <w:szCs w:val="22"/>
        </w:rPr>
        <w:t xml:space="preserve"> </w:t>
      </w:r>
      <w:r w:rsidR="00CD32D9" w:rsidRPr="008B153E">
        <w:rPr>
          <w:rFonts w:ascii="Calibri" w:hAnsi="Calibri" w:cs="Calibri"/>
          <w:sz w:val="22"/>
          <w:szCs w:val="22"/>
        </w:rPr>
        <w:t xml:space="preserve">current or past </w:t>
      </w:r>
      <w:r w:rsidR="002C3627" w:rsidRPr="008B153E">
        <w:rPr>
          <w:rFonts w:ascii="Calibri" w:hAnsi="Calibri" w:cs="Calibri"/>
          <w:sz w:val="22"/>
          <w:szCs w:val="22"/>
        </w:rPr>
        <w:t>clinical ICU experience</w:t>
      </w:r>
      <w:r w:rsidR="007879CA" w:rsidRPr="008B153E">
        <w:rPr>
          <w:rFonts w:ascii="Calibri" w:hAnsi="Calibri" w:cs="Calibri"/>
          <w:sz w:val="22"/>
          <w:szCs w:val="22"/>
        </w:rPr>
        <w:t>)</w:t>
      </w:r>
      <w:r w:rsidR="004A2700" w:rsidRPr="008B153E">
        <w:rPr>
          <w:rFonts w:ascii="Calibri" w:hAnsi="Calibri" w:cs="Calibri"/>
          <w:sz w:val="22"/>
          <w:szCs w:val="22"/>
        </w:rPr>
        <w:t xml:space="preserve">, </w:t>
      </w:r>
      <w:r w:rsidR="002C3627" w:rsidRPr="008B153E">
        <w:rPr>
          <w:rFonts w:ascii="Calibri" w:hAnsi="Calibri" w:cs="Calibri"/>
          <w:sz w:val="22"/>
          <w:szCs w:val="22"/>
        </w:rPr>
        <w:t xml:space="preserve">5 staff nurses, and 8 </w:t>
      </w:r>
      <w:r w:rsidR="004A2700" w:rsidRPr="008B153E">
        <w:rPr>
          <w:rFonts w:ascii="Calibri" w:hAnsi="Calibri" w:cs="Calibri"/>
          <w:sz w:val="22"/>
          <w:szCs w:val="22"/>
        </w:rPr>
        <w:t>PIs</w:t>
      </w:r>
      <w:r w:rsidR="006B1E79" w:rsidRPr="008B153E">
        <w:rPr>
          <w:rFonts w:ascii="Calibri" w:hAnsi="Calibri" w:cs="Calibri"/>
          <w:sz w:val="22"/>
          <w:szCs w:val="22"/>
        </w:rPr>
        <w:t xml:space="preserve"> (</w:t>
      </w:r>
      <w:r w:rsidR="00314F53" w:rsidRPr="008B153E">
        <w:rPr>
          <w:rFonts w:ascii="Calibri" w:hAnsi="Calibri" w:cs="Calibri"/>
          <w:sz w:val="22"/>
          <w:szCs w:val="22"/>
        </w:rPr>
        <w:t xml:space="preserve">ICU medical consultants </w:t>
      </w:r>
      <w:r w:rsidR="003C439C" w:rsidRPr="008B153E">
        <w:rPr>
          <w:rFonts w:ascii="Calibri" w:hAnsi="Calibri" w:cs="Calibri"/>
          <w:sz w:val="22"/>
          <w:szCs w:val="22"/>
        </w:rPr>
        <w:t xml:space="preserve">working clinically and </w:t>
      </w:r>
      <w:r w:rsidR="00314F53" w:rsidRPr="008B153E">
        <w:rPr>
          <w:rFonts w:ascii="Calibri" w:hAnsi="Calibri" w:cs="Calibri"/>
          <w:sz w:val="22"/>
          <w:szCs w:val="22"/>
        </w:rPr>
        <w:t xml:space="preserve">taking on the role of local </w:t>
      </w:r>
      <w:r w:rsidR="003C439C" w:rsidRPr="008B153E">
        <w:rPr>
          <w:rFonts w:ascii="Calibri" w:hAnsi="Calibri" w:cs="Calibri"/>
          <w:sz w:val="22"/>
          <w:szCs w:val="22"/>
        </w:rPr>
        <w:t>site-based PIs)</w:t>
      </w:r>
      <w:r w:rsidR="002C3627" w:rsidRPr="008B153E">
        <w:rPr>
          <w:rFonts w:ascii="Calibri" w:hAnsi="Calibri" w:cs="Calibri"/>
          <w:sz w:val="22"/>
          <w:szCs w:val="22"/>
        </w:rPr>
        <w:t>.</w:t>
      </w:r>
      <w:r w:rsidR="00121144" w:rsidRPr="008B153E">
        <w:rPr>
          <w:rFonts w:ascii="Calibri" w:hAnsi="Calibri" w:cs="Calibri"/>
          <w:sz w:val="22"/>
          <w:szCs w:val="22"/>
        </w:rPr>
        <w:t xml:space="preserve"> </w:t>
      </w:r>
      <w:r w:rsidR="002B1690" w:rsidRPr="008B153E">
        <w:rPr>
          <w:rFonts w:ascii="Calibri" w:hAnsi="Calibri" w:cs="Calibri"/>
          <w:sz w:val="22"/>
          <w:szCs w:val="22"/>
        </w:rPr>
        <w:t xml:space="preserve">Semi-structured </w:t>
      </w:r>
      <w:r w:rsidR="00B24679" w:rsidRPr="008B153E">
        <w:rPr>
          <w:rFonts w:ascii="Calibri" w:hAnsi="Calibri" w:cs="Calibri"/>
          <w:sz w:val="22"/>
          <w:szCs w:val="22"/>
        </w:rPr>
        <w:t>i</w:t>
      </w:r>
      <w:r w:rsidR="00BF1791" w:rsidRPr="008B153E">
        <w:rPr>
          <w:rFonts w:ascii="Calibri" w:hAnsi="Calibri" w:cs="Calibri"/>
          <w:sz w:val="22"/>
          <w:szCs w:val="22"/>
        </w:rPr>
        <w:t>nterview</w:t>
      </w:r>
      <w:r w:rsidR="000E05EB" w:rsidRPr="008B153E">
        <w:rPr>
          <w:rFonts w:ascii="Calibri" w:hAnsi="Calibri" w:cs="Calibri"/>
          <w:sz w:val="22"/>
          <w:szCs w:val="22"/>
        </w:rPr>
        <w:t xml:space="preserve">s </w:t>
      </w:r>
      <w:r w:rsidR="00FD4827" w:rsidRPr="008B153E">
        <w:rPr>
          <w:rFonts w:ascii="Calibri" w:hAnsi="Calibri" w:cs="Calibri"/>
          <w:sz w:val="22"/>
          <w:szCs w:val="22"/>
        </w:rPr>
        <w:t xml:space="preserve">were used to explore emerging issues </w:t>
      </w:r>
      <w:r w:rsidR="004162C7" w:rsidRPr="008B153E">
        <w:rPr>
          <w:rFonts w:ascii="Calibri" w:hAnsi="Calibri" w:cs="Calibri"/>
          <w:sz w:val="22"/>
          <w:szCs w:val="22"/>
        </w:rPr>
        <w:t>with intervention</w:t>
      </w:r>
      <w:r w:rsidR="00403937" w:rsidRPr="008B153E">
        <w:rPr>
          <w:rFonts w:ascii="Calibri" w:hAnsi="Calibri" w:cs="Calibri"/>
          <w:sz w:val="22"/>
          <w:szCs w:val="22"/>
        </w:rPr>
        <w:t xml:space="preserve"> delivery, including </w:t>
      </w:r>
      <w:r w:rsidR="002B1690" w:rsidRPr="008B153E">
        <w:rPr>
          <w:rFonts w:ascii="Calibri" w:hAnsi="Calibri" w:cs="Calibri"/>
          <w:sz w:val="22"/>
          <w:szCs w:val="22"/>
        </w:rPr>
        <w:t>intervention</w:t>
      </w:r>
      <w:r w:rsidR="004162C7" w:rsidRPr="008B153E">
        <w:rPr>
          <w:rFonts w:ascii="Calibri" w:hAnsi="Calibri" w:cs="Calibri"/>
          <w:sz w:val="22"/>
          <w:szCs w:val="22"/>
        </w:rPr>
        <w:t xml:space="preserve"> fidelity</w:t>
      </w:r>
      <w:r w:rsidR="0077000F" w:rsidRPr="008B153E">
        <w:rPr>
          <w:rFonts w:ascii="Calibri" w:hAnsi="Calibri" w:cs="Calibri"/>
          <w:sz w:val="22"/>
          <w:szCs w:val="22"/>
        </w:rPr>
        <w:t xml:space="preserve">, </w:t>
      </w:r>
      <w:r w:rsidR="004162C7" w:rsidRPr="008B153E">
        <w:rPr>
          <w:rFonts w:ascii="Calibri" w:hAnsi="Calibri" w:cs="Calibri"/>
          <w:sz w:val="22"/>
          <w:szCs w:val="22"/>
        </w:rPr>
        <w:t xml:space="preserve">staff </w:t>
      </w:r>
      <w:r w:rsidR="0077000F" w:rsidRPr="008B153E">
        <w:rPr>
          <w:rFonts w:ascii="Calibri" w:hAnsi="Calibri" w:cs="Calibri"/>
          <w:sz w:val="22"/>
          <w:szCs w:val="22"/>
        </w:rPr>
        <w:t xml:space="preserve">perceptions and </w:t>
      </w:r>
      <w:r w:rsidR="003523EB" w:rsidRPr="008B153E">
        <w:rPr>
          <w:rFonts w:ascii="Calibri" w:hAnsi="Calibri" w:cs="Calibri"/>
          <w:sz w:val="22"/>
          <w:szCs w:val="22"/>
        </w:rPr>
        <w:t xml:space="preserve">standard care </w:t>
      </w:r>
      <w:r w:rsidR="00FD4827" w:rsidRPr="008B153E">
        <w:rPr>
          <w:rFonts w:ascii="Calibri" w:hAnsi="Calibri" w:cs="Calibri"/>
          <w:sz w:val="22"/>
          <w:szCs w:val="22"/>
        </w:rPr>
        <w:t xml:space="preserve">and identify concepts </w:t>
      </w:r>
      <w:r w:rsidR="004C4AB9" w:rsidRPr="008B153E">
        <w:rPr>
          <w:rFonts w:ascii="Calibri" w:hAnsi="Calibri" w:cs="Calibri"/>
          <w:sz w:val="22"/>
          <w:szCs w:val="22"/>
        </w:rPr>
        <w:t>of</w:t>
      </w:r>
      <w:r w:rsidR="00FD4827" w:rsidRPr="008B153E">
        <w:rPr>
          <w:rFonts w:ascii="Calibri" w:hAnsi="Calibri" w:cs="Calibri"/>
          <w:sz w:val="22"/>
          <w:szCs w:val="22"/>
        </w:rPr>
        <w:t xml:space="preserve"> interest</w:t>
      </w:r>
      <w:r w:rsidR="0042051D" w:rsidRPr="008B153E">
        <w:rPr>
          <w:rFonts w:ascii="Calibri" w:hAnsi="Calibri" w:cs="Calibri"/>
          <w:sz w:val="22"/>
          <w:szCs w:val="22"/>
        </w:rPr>
        <w:t xml:space="preserve">. </w:t>
      </w:r>
      <w:r w:rsidR="006F1650" w:rsidRPr="008B153E">
        <w:rPr>
          <w:rFonts w:ascii="Calibri" w:hAnsi="Calibri" w:cs="Calibri"/>
          <w:sz w:val="22"/>
          <w:szCs w:val="22"/>
        </w:rPr>
        <w:t xml:space="preserve">Two broad sets of factors emerged </w:t>
      </w:r>
      <w:r w:rsidR="00800F99" w:rsidRPr="008B153E">
        <w:rPr>
          <w:rFonts w:ascii="Calibri" w:hAnsi="Calibri" w:cs="Calibri"/>
          <w:sz w:val="22"/>
          <w:szCs w:val="22"/>
        </w:rPr>
        <w:t xml:space="preserve">during Phase </w:t>
      </w:r>
      <w:r w:rsidR="00267DAD" w:rsidRPr="008B153E">
        <w:rPr>
          <w:rFonts w:ascii="Calibri" w:hAnsi="Calibri" w:cs="Calibri"/>
          <w:sz w:val="22"/>
          <w:szCs w:val="22"/>
        </w:rPr>
        <w:t>1</w:t>
      </w:r>
      <w:r w:rsidR="00800F99" w:rsidRPr="008B153E">
        <w:rPr>
          <w:rFonts w:ascii="Calibri" w:hAnsi="Calibri" w:cs="Calibri"/>
          <w:sz w:val="22"/>
          <w:szCs w:val="22"/>
        </w:rPr>
        <w:t>: those impacting upon delivery of</w:t>
      </w:r>
      <w:r w:rsidR="00800F99" w:rsidRPr="33404A3E">
        <w:rPr>
          <w:rFonts w:ascii="Calibri" w:hAnsi="Calibri" w:cs="Calibri"/>
          <w:sz w:val="22"/>
          <w:szCs w:val="22"/>
        </w:rPr>
        <w:t xml:space="preserve"> the intervention, and those impacting on wider trial delivery. </w:t>
      </w:r>
    </w:p>
    <w:p w14:paraId="06D8353A" w14:textId="77777777" w:rsidR="005870B3" w:rsidRPr="00CD441F" w:rsidRDefault="00A94F85" w:rsidP="002358F3">
      <w:pPr>
        <w:pStyle w:val="ListParagraph"/>
        <w:numPr>
          <w:ilvl w:val="0"/>
          <w:numId w:val="3"/>
        </w:numPr>
        <w:spacing w:after="200" w:line="360" w:lineRule="auto"/>
        <w:jc w:val="both"/>
        <w:rPr>
          <w:rFonts w:ascii="Calibri" w:hAnsi="Calibri" w:cs="Calibri"/>
          <w:sz w:val="22"/>
          <w:szCs w:val="22"/>
        </w:rPr>
      </w:pPr>
      <w:r w:rsidRPr="00CD441F">
        <w:rPr>
          <w:rFonts w:ascii="Calibri" w:hAnsi="Calibri" w:cs="Calibri"/>
          <w:sz w:val="22"/>
          <w:szCs w:val="22"/>
        </w:rPr>
        <w:t>Factors impacting intervention delivery</w:t>
      </w:r>
    </w:p>
    <w:p w14:paraId="2F7EAB9E" w14:textId="77777777" w:rsidR="005C70B0" w:rsidRPr="00CD441F" w:rsidRDefault="005C70B0" w:rsidP="002358F3">
      <w:pPr>
        <w:pStyle w:val="ListParagraph"/>
        <w:numPr>
          <w:ilvl w:val="1"/>
          <w:numId w:val="3"/>
        </w:numPr>
        <w:spacing w:after="200" w:line="360" w:lineRule="auto"/>
        <w:jc w:val="both"/>
        <w:rPr>
          <w:rFonts w:ascii="Calibri" w:hAnsi="Calibri" w:cs="Calibri"/>
          <w:sz w:val="22"/>
          <w:szCs w:val="22"/>
        </w:rPr>
      </w:pPr>
      <w:r w:rsidRPr="00CD441F">
        <w:rPr>
          <w:rFonts w:ascii="Calibri" w:hAnsi="Calibri" w:cs="Calibri"/>
          <w:sz w:val="22"/>
          <w:szCs w:val="22"/>
        </w:rPr>
        <w:t xml:space="preserve">Organisational </w:t>
      </w:r>
      <w:r w:rsidR="00BD088E" w:rsidRPr="00CD441F">
        <w:rPr>
          <w:rFonts w:ascii="Calibri" w:hAnsi="Calibri" w:cs="Calibri"/>
          <w:sz w:val="22"/>
          <w:szCs w:val="22"/>
        </w:rPr>
        <w:t>factors</w:t>
      </w:r>
      <w:r w:rsidR="00E25D33" w:rsidRPr="00CD441F">
        <w:rPr>
          <w:rFonts w:ascii="Calibri" w:hAnsi="Calibri" w:cs="Calibri"/>
          <w:sz w:val="22"/>
          <w:szCs w:val="22"/>
        </w:rPr>
        <w:t>: Research nurse</w:t>
      </w:r>
      <w:r w:rsidR="001B08DE" w:rsidRPr="00CD441F">
        <w:rPr>
          <w:rFonts w:ascii="Calibri" w:hAnsi="Calibri" w:cs="Calibri"/>
          <w:sz w:val="22"/>
          <w:szCs w:val="22"/>
        </w:rPr>
        <w:t>/</w:t>
      </w:r>
      <w:r w:rsidR="00E25D33" w:rsidRPr="00CD441F">
        <w:rPr>
          <w:rFonts w:ascii="Calibri" w:hAnsi="Calibri" w:cs="Calibri"/>
          <w:sz w:val="22"/>
          <w:szCs w:val="22"/>
        </w:rPr>
        <w:t>team support; usual practice</w:t>
      </w:r>
      <w:r w:rsidR="006B7931" w:rsidRPr="00CD441F">
        <w:rPr>
          <w:rFonts w:ascii="Calibri" w:hAnsi="Calibri" w:cs="Calibri"/>
          <w:sz w:val="22"/>
          <w:szCs w:val="22"/>
        </w:rPr>
        <w:t xml:space="preserve"> including the presence of a sedation policy or guideline</w:t>
      </w:r>
      <w:r w:rsidR="00E25D33" w:rsidRPr="00CD441F">
        <w:rPr>
          <w:rFonts w:ascii="Calibri" w:hAnsi="Calibri" w:cs="Calibri"/>
          <w:sz w:val="22"/>
          <w:szCs w:val="22"/>
        </w:rPr>
        <w:t>.</w:t>
      </w:r>
    </w:p>
    <w:p w14:paraId="298A930F" w14:textId="77777777" w:rsidR="005870B3" w:rsidRPr="00CD441F" w:rsidRDefault="001674DE" w:rsidP="002358F3">
      <w:pPr>
        <w:pStyle w:val="ListParagraph"/>
        <w:numPr>
          <w:ilvl w:val="1"/>
          <w:numId w:val="3"/>
        </w:numPr>
        <w:spacing w:after="200" w:line="360" w:lineRule="auto"/>
        <w:jc w:val="both"/>
        <w:rPr>
          <w:rFonts w:ascii="Calibri" w:hAnsi="Calibri" w:cs="Calibri"/>
          <w:sz w:val="22"/>
          <w:szCs w:val="22"/>
        </w:rPr>
      </w:pPr>
      <w:r w:rsidRPr="00CD441F">
        <w:rPr>
          <w:rFonts w:ascii="Calibri" w:hAnsi="Calibri" w:cs="Calibri"/>
          <w:sz w:val="22"/>
          <w:szCs w:val="22"/>
        </w:rPr>
        <w:t>Participant-related factors</w:t>
      </w:r>
      <w:r w:rsidR="00E25D33" w:rsidRPr="00CD441F">
        <w:rPr>
          <w:rFonts w:ascii="Calibri" w:hAnsi="Calibri" w:cs="Calibri"/>
          <w:sz w:val="22"/>
          <w:szCs w:val="22"/>
        </w:rPr>
        <w:t xml:space="preserve">: </w:t>
      </w:r>
      <w:r w:rsidR="00343FED" w:rsidRPr="00CD441F">
        <w:rPr>
          <w:rFonts w:ascii="Calibri" w:hAnsi="Calibri" w:cs="Calibri"/>
          <w:sz w:val="22"/>
          <w:szCs w:val="22"/>
        </w:rPr>
        <w:t xml:space="preserve">Risk perceptions; skill mix. </w:t>
      </w:r>
      <w:r w:rsidRPr="00CD441F">
        <w:rPr>
          <w:rFonts w:ascii="Calibri" w:hAnsi="Calibri" w:cs="Calibri"/>
          <w:sz w:val="22"/>
          <w:szCs w:val="22"/>
        </w:rPr>
        <w:t xml:space="preserve"> </w:t>
      </w:r>
    </w:p>
    <w:p w14:paraId="443864F1" w14:textId="77777777" w:rsidR="00A94F85" w:rsidRPr="00CD441F" w:rsidRDefault="005870B3" w:rsidP="002358F3">
      <w:pPr>
        <w:pStyle w:val="ListParagraph"/>
        <w:numPr>
          <w:ilvl w:val="0"/>
          <w:numId w:val="3"/>
        </w:numPr>
        <w:spacing w:after="200" w:line="360" w:lineRule="auto"/>
        <w:jc w:val="both"/>
        <w:rPr>
          <w:rFonts w:ascii="Calibri" w:hAnsi="Calibri" w:cs="Calibri"/>
          <w:sz w:val="22"/>
          <w:szCs w:val="22"/>
        </w:rPr>
      </w:pPr>
      <w:r w:rsidRPr="00CD441F">
        <w:rPr>
          <w:rFonts w:ascii="Calibri" w:hAnsi="Calibri" w:cs="Calibri"/>
          <w:sz w:val="22"/>
          <w:szCs w:val="22"/>
        </w:rPr>
        <w:t>Factors impacting the trial</w:t>
      </w:r>
      <w:r w:rsidR="00982030" w:rsidRPr="00CD441F">
        <w:rPr>
          <w:rFonts w:ascii="Calibri" w:hAnsi="Calibri" w:cs="Calibri"/>
          <w:sz w:val="22"/>
          <w:szCs w:val="22"/>
        </w:rPr>
        <w:t xml:space="preserve"> delivery</w:t>
      </w:r>
    </w:p>
    <w:p w14:paraId="428537C2" w14:textId="77777777" w:rsidR="003D33C5" w:rsidRPr="00CD441F" w:rsidRDefault="00611AE2" w:rsidP="002358F3">
      <w:pPr>
        <w:pStyle w:val="ListParagraph"/>
        <w:numPr>
          <w:ilvl w:val="1"/>
          <w:numId w:val="3"/>
        </w:numPr>
        <w:spacing w:after="200" w:line="360" w:lineRule="auto"/>
        <w:jc w:val="both"/>
        <w:rPr>
          <w:rFonts w:ascii="Calibri" w:hAnsi="Calibri" w:cs="Calibri"/>
          <w:sz w:val="22"/>
          <w:szCs w:val="22"/>
        </w:rPr>
      </w:pPr>
      <w:r w:rsidRPr="00CD441F">
        <w:rPr>
          <w:rFonts w:ascii="Calibri" w:hAnsi="Calibri" w:cs="Calibri"/>
          <w:sz w:val="22"/>
          <w:szCs w:val="22"/>
        </w:rPr>
        <w:t xml:space="preserve">Organisational factors: </w:t>
      </w:r>
      <w:r w:rsidR="008F7A9D" w:rsidRPr="00CD441F">
        <w:rPr>
          <w:rFonts w:ascii="Calibri" w:hAnsi="Calibri" w:cs="Calibri"/>
          <w:sz w:val="22"/>
          <w:szCs w:val="22"/>
        </w:rPr>
        <w:t xml:space="preserve">COVID-19; resources. </w:t>
      </w:r>
    </w:p>
    <w:p w14:paraId="0BB8EEE3" w14:textId="6081D329" w:rsidR="008F7A9D" w:rsidRPr="00CD441F" w:rsidRDefault="008F7A9D" w:rsidP="002358F3">
      <w:pPr>
        <w:pStyle w:val="ListParagraph"/>
        <w:numPr>
          <w:ilvl w:val="1"/>
          <w:numId w:val="3"/>
        </w:numPr>
        <w:spacing w:after="200" w:line="360" w:lineRule="auto"/>
        <w:jc w:val="both"/>
        <w:rPr>
          <w:rFonts w:ascii="Calibri" w:hAnsi="Calibri" w:cs="Calibri"/>
          <w:sz w:val="22"/>
          <w:szCs w:val="22"/>
        </w:rPr>
      </w:pPr>
      <w:r w:rsidRPr="00CD441F">
        <w:rPr>
          <w:rFonts w:ascii="Calibri" w:hAnsi="Calibri" w:cs="Calibri"/>
          <w:sz w:val="22"/>
          <w:szCs w:val="22"/>
        </w:rPr>
        <w:t xml:space="preserve">Participant-related factors: Family participation; the </w:t>
      </w:r>
      <w:r w:rsidRPr="008B153E">
        <w:rPr>
          <w:rFonts w:ascii="Calibri" w:hAnsi="Calibri" w:cs="Calibri"/>
          <w:sz w:val="22"/>
          <w:szCs w:val="22"/>
        </w:rPr>
        <w:t xml:space="preserve">SPICE III </w:t>
      </w:r>
      <w:r w:rsidR="001B0A7D" w:rsidRPr="008B153E">
        <w:rPr>
          <w:rFonts w:ascii="Calibri" w:hAnsi="Calibri" w:cs="Calibri"/>
          <w:sz w:val="22"/>
          <w:szCs w:val="22"/>
        </w:rPr>
        <w:t>trial;</w:t>
      </w:r>
      <w:r w:rsidR="005B23B0" w:rsidRPr="008B153E">
        <w:rPr>
          <w:rFonts w:ascii="Calibri" w:hAnsi="Calibri" w:cs="Calibri"/>
          <w:noProof/>
          <w:sz w:val="22"/>
          <w:szCs w:val="22"/>
          <w:vertAlign w:val="superscript"/>
        </w:rPr>
        <w:t>7</w:t>
      </w:r>
      <w:r w:rsidR="001B0A7D" w:rsidRPr="008B153E">
        <w:rPr>
          <w:rFonts w:ascii="Calibri" w:hAnsi="Calibri" w:cs="Calibri"/>
          <w:sz w:val="22"/>
          <w:szCs w:val="22"/>
        </w:rPr>
        <w:t xml:space="preserve"> </w:t>
      </w:r>
      <w:r w:rsidR="00232245" w:rsidRPr="008B153E">
        <w:rPr>
          <w:rFonts w:ascii="Calibri" w:hAnsi="Calibri" w:cs="Calibri"/>
          <w:sz w:val="22"/>
          <w:szCs w:val="22"/>
        </w:rPr>
        <w:t xml:space="preserve">individual </w:t>
      </w:r>
      <w:r w:rsidR="001B0A7D" w:rsidRPr="008B153E">
        <w:rPr>
          <w:rFonts w:ascii="Calibri" w:hAnsi="Calibri" w:cs="Calibri"/>
          <w:sz w:val="22"/>
          <w:szCs w:val="22"/>
        </w:rPr>
        <w:t>equipoise</w:t>
      </w:r>
      <w:r w:rsidR="001B0A7D" w:rsidRPr="00CD441F">
        <w:rPr>
          <w:rFonts w:ascii="Calibri" w:hAnsi="Calibri" w:cs="Calibri"/>
          <w:sz w:val="22"/>
          <w:szCs w:val="22"/>
        </w:rPr>
        <w:t xml:space="preserve"> and knowledge deficits. </w:t>
      </w:r>
    </w:p>
    <w:p w14:paraId="50B13309" w14:textId="294F8850" w:rsidR="00CC5E25" w:rsidRDefault="00C511EF" w:rsidP="002358F3">
      <w:pPr>
        <w:spacing w:after="200" w:line="360" w:lineRule="auto"/>
        <w:jc w:val="both"/>
        <w:rPr>
          <w:rFonts w:ascii="Calibri" w:hAnsi="Calibri" w:cs="Calibri"/>
          <w:sz w:val="22"/>
          <w:szCs w:val="22"/>
        </w:rPr>
      </w:pPr>
      <w:r w:rsidRPr="00CD441F">
        <w:rPr>
          <w:rFonts w:ascii="Calibri" w:hAnsi="Calibri" w:cs="Calibri"/>
          <w:sz w:val="22"/>
          <w:szCs w:val="22"/>
        </w:rPr>
        <w:t>F</w:t>
      </w:r>
      <w:r w:rsidR="00752E4F" w:rsidRPr="00CD441F">
        <w:rPr>
          <w:rFonts w:ascii="Calibri" w:hAnsi="Calibri" w:cs="Calibri"/>
          <w:sz w:val="22"/>
          <w:szCs w:val="22"/>
        </w:rPr>
        <w:t xml:space="preserve">actors </w:t>
      </w:r>
      <w:r w:rsidR="00C73444" w:rsidRPr="00CD441F">
        <w:rPr>
          <w:rFonts w:ascii="Calibri" w:hAnsi="Calibri" w:cs="Calibri"/>
          <w:sz w:val="22"/>
          <w:szCs w:val="22"/>
        </w:rPr>
        <w:t xml:space="preserve">identified during Phase I were used to inform subsequent development of study implementation </w:t>
      </w:r>
      <w:r w:rsidR="00093079" w:rsidRPr="00CD441F">
        <w:rPr>
          <w:rFonts w:ascii="Calibri" w:hAnsi="Calibri" w:cs="Calibri"/>
          <w:sz w:val="22"/>
          <w:szCs w:val="22"/>
        </w:rPr>
        <w:t xml:space="preserve">materials, </w:t>
      </w:r>
      <w:r w:rsidR="00865D6C" w:rsidRPr="00CD441F">
        <w:rPr>
          <w:rFonts w:ascii="Calibri" w:hAnsi="Calibri" w:cs="Calibri"/>
          <w:sz w:val="22"/>
          <w:szCs w:val="22"/>
        </w:rPr>
        <w:t xml:space="preserve">and were explored in more depth during </w:t>
      </w:r>
      <w:r w:rsidR="00752E4F" w:rsidRPr="00CD441F">
        <w:rPr>
          <w:rFonts w:ascii="Calibri" w:hAnsi="Calibri" w:cs="Calibri"/>
          <w:sz w:val="22"/>
          <w:szCs w:val="22"/>
        </w:rPr>
        <w:t xml:space="preserve">Phase 2 data </w:t>
      </w:r>
      <w:r w:rsidR="00752E4F">
        <w:rPr>
          <w:rFonts w:ascii="Calibri" w:hAnsi="Calibri" w:cs="Calibri"/>
          <w:sz w:val="22"/>
          <w:szCs w:val="22"/>
        </w:rPr>
        <w:t xml:space="preserve">collection </w:t>
      </w:r>
      <w:r w:rsidR="00865D6C">
        <w:rPr>
          <w:rFonts w:ascii="Calibri" w:hAnsi="Calibri" w:cs="Calibri"/>
          <w:sz w:val="22"/>
          <w:szCs w:val="22"/>
        </w:rPr>
        <w:t xml:space="preserve">– </w:t>
      </w:r>
      <w:r>
        <w:rPr>
          <w:rFonts w:ascii="Calibri" w:hAnsi="Calibri" w:cs="Calibri"/>
          <w:sz w:val="22"/>
          <w:szCs w:val="22"/>
        </w:rPr>
        <w:t xml:space="preserve">consequently </w:t>
      </w:r>
      <w:r w:rsidR="00107E39">
        <w:rPr>
          <w:rFonts w:ascii="Calibri" w:hAnsi="Calibri" w:cs="Calibri"/>
          <w:sz w:val="22"/>
          <w:szCs w:val="22"/>
        </w:rPr>
        <w:t xml:space="preserve">these factors have not been described in greater detail </w:t>
      </w:r>
      <w:r w:rsidR="00107E39" w:rsidRPr="004A3DCA">
        <w:rPr>
          <w:rFonts w:ascii="Calibri" w:hAnsi="Calibri" w:cs="Calibri"/>
          <w:sz w:val="22"/>
          <w:szCs w:val="22"/>
        </w:rPr>
        <w:t xml:space="preserve">here. </w:t>
      </w:r>
      <w:r w:rsidR="00074317" w:rsidRPr="004A3DCA">
        <w:rPr>
          <w:rFonts w:ascii="Calibri" w:hAnsi="Calibri" w:cs="Calibri"/>
          <w:sz w:val="22"/>
          <w:szCs w:val="22"/>
        </w:rPr>
        <w:t>It should be noted that the results of the SPICE III trial</w:t>
      </w:r>
      <w:r w:rsidR="005B23B0" w:rsidRPr="00EC6C09">
        <w:rPr>
          <w:rFonts w:ascii="Calibri" w:hAnsi="Calibri" w:cs="Calibri"/>
          <w:noProof/>
          <w:sz w:val="22"/>
          <w:szCs w:val="22"/>
          <w:vertAlign w:val="superscript"/>
        </w:rPr>
        <w:t>7</w:t>
      </w:r>
      <w:r w:rsidR="00074317" w:rsidRPr="004A3DCA">
        <w:rPr>
          <w:rFonts w:ascii="Calibri" w:hAnsi="Calibri" w:cs="Calibri"/>
          <w:sz w:val="22"/>
          <w:szCs w:val="22"/>
        </w:rPr>
        <w:t xml:space="preserve"> were released </w:t>
      </w:r>
      <w:r w:rsidR="00323728" w:rsidRPr="004A3DCA">
        <w:rPr>
          <w:rFonts w:ascii="Calibri" w:hAnsi="Calibri" w:cs="Calibri"/>
          <w:sz w:val="22"/>
          <w:szCs w:val="22"/>
        </w:rPr>
        <w:t xml:space="preserve">during the early phase of conducting the A2B trial. In </w:t>
      </w:r>
      <w:r w:rsidR="00A23194" w:rsidRPr="004A3DCA">
        <w:rPr>
          <w:rFonts w:ascii="Calibri" w:hAnsi="Calibri" w:cs="Calibri"/>
          <w:sz w:val="22"/>
          <w:szCs w:val="22"/>
        </w:rPr>
        <w:t xml:space="preserve">summary SPICE III </w:t>
      </w:r>
      <w:r w:rsidR="00740379" w:rsidRPr="004A3DCA">
        <w:rPr>
          <w:rFonts w:ascii="Calibri" w:hAnsi="Calibri" w:cs="Calibri"/>
          <w:sz w:val="22"/>
          <w:szCs w:val="22"/>
        </w:rPr>
        <w:t>demonstrated a similar 90</w:t>
      </w:r>
      <w:r w:rsidR="00B24679">
        <w:rPr>
          <w:rFonts w:ascii="Calibri" w:hAnsi="Calibri" w:cs="Calibri"/>
          <w:sz w:val="22"/>
          <w:szCs w:val="22"/>
        </w:rPr>
        <w:t>-</w:t>
      </w:r>
      <w:r w:rsidR="00740379" w:rsidRPr="004A3DCA">
        <w:rPr>
          <w:rFonts w:ascii="Calibri" w:hAnsi="Calibri" w:cs="Calibri"/>
          <w:sz w:val="22"/>
          <w:szCs w:val="22"/>
        </w:rPr>
        <w:t xml:space="preserve">day mortality rate </w:t>
      </w:r>
      <w:r w:rsidR="001937C4" w:rsidRPr="004A3DCA">
        <w:rPr>
          <w:rFonts w:ascii="Calibri" w:hAnsi="Calibri" w:cs="Calibri"/>
          <w:sz w:val="22"/>
          <w:szCs w:val="22"/>
        </w:rPr>
        <w:t xml:space="preserve">in patients receiving dexmedetomidine and usual sedation, but raised questions </w:t>
      </w:r>
      <w:r w:rsidR="0031094C" w:rsidRPr="004A3DCA">
        <w:rPr>
          <w:rFonts w:ascii="Calibri" w:hAnsi="Calibri" w:cs="Calibri"/>
          <w:sz w:val="22"/>
          <w:szCs w:val="22"/>
        </w:rPr>
        <w:t xml:space="preserve">in </w:t>
      </w:r>
      <w:r w:rsidR="00B24679" w:rsidRPr="00121D9E">
        <w:rPr>
          <w:rFonts w:ascii="Calibri" w:hAnsi="Calibri" w:cs="Calibri"/>
          <w:sz w:val="22"/>
          <w:szCs w:val="22"/>
        </w:rPr>
        <w:t>a prespecified subgroup</w:t>
      </w:r>
      <w:r w:rsidR="0031094C" w:rsidRPr="00B24679">
        <w:rPr>
          <w:rFonts w:ascii="Calibri" w:hAnsi="Calibri" w:cs="Calibri"/>
          <w:sz w:val="22"/>
          <w:szCs w:val="22"/>
        </w:rPr>
        <w:t xml:space="preserve"> analysis</w:t>
      </w:r>
      <w:r w:rsidR="0031094C" w:rsidRPr="004A3DCA">
        <w:rPr>
          <w:rFonts w:ascii="Calibri" w:hAnsi="Calibri" w:cs="Calibri"/>
          <w:sz w:val="22"/>
          <w:szCs w:val="22"/>
        </w:rPr>
        <w:t xml:space="preserve"> about differential effect</w:t>
      </w:r>
      <w:r w:rsidR="00D2113A" w:rsidRPr="004A3DCA">
        <w:rPr>
          <w:rFonts w:ascii="Calibri" w:hAnsi="Calibri" w:cs="Calibri"/>
          <w:sz w:val="22"/>
          <w:szCs w:val="22"/>
        </w:rPr>
        <w:t>s</w:t>
      </w:r>
      <w:r w:rsidR="0031094C" w:rsidRPr="004A3DCA">
        <w:rPr>
          <w:rFonts w:ascii="Calibri" w:hAnsi="Calibri" w:cs="Calibri"/>
          <w:sz w:val="22"/>
          <w:szCs w:val="22"/>
        </w:rPr>
        <w:t xml:space="preserve"> on mortality across </w:t>
      </w:r>
      <w:r w:rsidR="00A23194" w:rsidRPr="004A3DCA">
        <w:rPr>
          <w:rFonts w:ascii="Calibri" w:hAnsi="Calibri" w:cs="Calibri"/>
          <w:sz w:val="22"/>
          <w:szCs w:val="22"/>
        </w:rPr>
        <w:t>age-groups</w:t>
      </w:r>
      <w:r w:rsidR="00D2113A" w:rsidRPr="004A3DCA">
        <w:rPr>
          <w:rFonts w:ascii="Calibri" w:hAnsi="Calibri" w:cs="Calibri"/>
          <w:sz w:val="22"/>
          <w:szCs w:val="22"/>
        </w:rPr>
        <w:t>, with higher mortality in younger patients and lower mortality in older patients</w:t>
      </w:r>
      <w:r w:rsidR="00A23194" w:rsidRPr="004A3DCA">
        <w:rPr>
          <w:rFonts w:ascii="Calibri" w:hAnsi="Calibri" w:cs="Calibri"/>
          <w:sz w:val="22"/>
          <w:szCs w:val="22"/>
        </w:rPr>
        <w:t>.</w:t>
      </w:r>
      <w:r w:rsidR="005B23B0" w:rsidRPr="00EC6C09">
        <w:rPr>
          <w:rFonts w:ascii="Calibri" w:hAnsi="Calibri" w:cs="Calibri"/>
          <w:noProof/>
          <w:sz w:val="22"/>
          <w:szCs w:val="22"/>
          <w:vertAlign w:val="superscript"/>
        </w:rPr>
        <w:t>7, 12</w:t>
      </w:r>
    </w:p>
    <w:p w14:paraId="38FFBF6E" w14:textId="77777777" w:rsidR="00CC5E25" w:rsidRPr="001263A2" w:rsidRDefault="00CC5E25" w:rsidP="002358F3">
      <w:pPr>
        <w:spacing w:after="200" w:line="360" w:lineRule="auto"/>
        <w:jc w:val="both"/>
        <w:rPr>
          <w:rFonts w:ascii="Calibri" w:hAnsi="Calibri" w:cs="Calibri"/>
          <w:b/>
          <w:bCs/>
          <w:i/>
          <w:iCs/>
          <w:sz w:val="22"/>
          <w:szCs w:val="22"/>
        </w:rPr>
      </w:pPr>
      <w:r w:rsidRPr="001263A2">
        <w:rPr>
          <w:rFonts w:ascii="Calibri" w:hAnsi="Calibri" w:cs="Calibri"/>
          <w:b/>
          <w:bCs/>
          <w:i/>
          <w:iCs/>
          <w:sz w:val="22"/>
          <w:szCs w:val="22"/>
        </w:rPr>
        <w:t xml:space="preserve">Phase </w:t>
      </w:r>
      <w:r w:rsidR="00267DAD" w:rsidRPr="001263A2">
        <w:rPr>
          <w:rFonts w:ascii="Calibri" w:hAnsi="Calibri" w:cs="Calibri"/>
          <w:b/>
          <w:bCs/>
          <w:i/>
          <w:iCs/>
          <w:sz w:val="22"/>
          <w:szCs w:val="22"/>
        </w:rPr>
        <w:t>2</w:t>
      </w:r>
      <w:r w:rsidRPr="001263A2">
        <w:rPr>
          <w:rFonts w:ascii="Calibri" w:hAnsi="Calibri" w:cs="Calibri"/>
          <w:b/>
          <w:bCs/>
          <w:i/>
          <w:iCs/>
          <w:sz w:val="22"/>
          <w:szCs w:val="22"/>
        </w:rPr>
        <w:t xml:space="preserve"> </w:t>
      </w:r>
    </w:p>
    <w:p w14:paraId="465FACA9" w14:textId="2C88858C" w:rsidR="002370C7" w:rsidRPr="008B153E" w:rsidRDefault="0049540B" w:rsidP="002358F3">
      <w:pPr>
        <w:spacing w:after="200" w:line="360" w:lineRule="auto"/>
        <w:jc w:val="both"/>
        <w:rPr>
          <w:rFonts w:ascii="Calibri" w:hAnsi="Calibri" w:cs="Calibri"/>
          <w:color w:val="000000"/>
          <w:kern w:val="0"/>
          <w:sz w:val="22"/>
          <w:szCs w:val="22"/>
        </w:rPr>
      </w:pPr>
      <w:r>
        <w:rPr>
          <w:rFonts w:ascii="Calibri" w:hAnsi="Calibri" w:cs="Calibri"/>
          <w:sz w:val="22"/>
          <w:szCs w:val="22"/>
        </w:rPr>
        <w:t xml:space="preserve">Phase </w:t>
      </w:r>
      <w:r w:rsidR="00267DAD">
        <w:rPr>
          <w:rFonts w:ascii="Calibri" w:hAnsi="Calibri" w:cs="Calibri"/>
          <w:sz w:val="22"/>
          <w:szCs w:val="22"/>
        </w:rPr>
        <w:t>2</w:t>
      </w:r>
      <w:r>
        <w:rPr>
          <w:rFonts w:ascii="Calibri" w:hAnsi="Calibri" w:cs="Calibri"/>
          <w:sz w:val="22"/>
          <w:szCs w:val="22"/>
        </w:rPr>
        <w:t xml:space="preserve"> data were collected </w:t>
      </w:r>
      <w:r w:rsidR="00A54877">
        <w:rPr>
          <w:rFonts w:ascii="Calibri" w:hAnsi="Calibri" w:cs="Calibri"/>
          <w:sz w:val="22"/>
          <w:szCs w:val="22"/>
        </w:rPr>
        <w:t>September</w:t>
      </w:r>
      <w:r w:rsidR="00896038">
        <w:rPr>
          <w:rFonts w:ascii="Calibri" w:hAnsi="Calibri" w:cs="Calibri"/>
          <w:sz w:val="22"/>
          <w:szCs w:val="22"/>
        </w:rPr>
        <w:t>-</w:t>
      </w:r>
      <w:r w:rsidR="00A54877">
        <w:rPr>
          <w:rFonts w:ascii="Calibri" w:hAnsi="Calibri" w:cs="Calibri"/>
          <w:sz w:val="22"/>
          <w:szCs w:val="22"/>
        </w:rPr>
        <w:t>December 2023</w:t>
      </w:r>
      <w:r w:rsidR="00745601">
        <w:rPr>
          <w:rFonts w:ascii="Calibri" w:hAnsi="Calibri" w:cs="Calibri"/>
          <w:sz w:val="22"/>
          <w:szCs w:val="22"/>
        </w:rPr>
        <w:t xml:space="preserve">. Fifteen </w:t>
      </w:r>
      <w:r w:rsidR="001F119F">
        <w:rPr>
          <w:rFonts w:ascii="Calibri" w:hAnsi="Calibri" w:cs="Calibri"/>
          <w:sz w:val="22"/>
          <w:szCs w:val="22"/>
        </w:rPr>
        <w:t>ICUs</w:t>
      </w:r>
      <w:r w:rsidR="00745601">
        <w:rPr>
          <w:rFonts w:ascii="Calibri" w:hAnsi="Calibri" w:cs="Calibri"/>
          <w:sz w:val="22"/>
          <w:szCs w:val="22"/>
        </w:rPr>
        <w:t xml:space="preserve"> </w:t>
      </w:r>
      <w:r w:rsidR="008459AB">
        <w:rPr>
          <w:rFonts w:ascii="Calibri" w:hAnsi="Calibri" w:cs="Calibri"/>
          <w:sz w:val="22"/>
          <w:szCs w:val="22"/>
        </w:rPr>
        <w:t xml:space="preserve">(out of 30 active units) </w:t>
      </w:r>
      <w:r w:rsidR="001F119F" w:rsidRPr="0076392B">
        <w:rPr>
          <w:rFonts w:ascii="Calibri" w:hAnsi="Calibri" w:cs="Calibri"/>
          <w:sz w:val="22"/>
          <w:szCs w:val="22"/>
        </w:rPr>
        <w:t xml:space="preserve">were purposively selected from </w:t>
      </w:r>
      <w:r w:rsidR="001F119F">
        <w:rPr>
          <w:rFonts w:ascii="Calibri" w:hAnsi="Calibri" w:cs="Calibri"/>
          <w:sz w:val="22"/>
          <w:szCs w:val="22"/>
        </w:rPr>
        <w:t>the</w:t>
      </w:r>
      <w:r w:rsidR="001F119F" w:rsidRPr="0076392B">
        <w:rPr>
          <w:rFonts w:ascii="Calibri" w:hAnsi="Calibri" w:cs="Calibri"/>
          <w:sz w:val="22"/>
          <w:szCs w:val="22"/>
        </w:rPr>
        <w:t xml:space="preserve"> sampling matrix to ensure a maximum variation sample.</w:t>
      </w:r>
      <w:r w:rsidR="001F119F">
        <w:rPr>
          <w:rFonts w:ascii="Calibri" w:hAnsi="Calibri" w:cs="Calibri"/>
          <w:sz w:val="22"/>
          <w:szCs w:val="22"/>
        </w:rPr>
        <w:t xml:space="preserve"> </w:t>
      </w:r>
      <w:r w:rsidR="00A16B3E">
        <w:rPr>
          <w:rFonts w:ascii="Calibri" w:hAnsi="Calibri" w:cs="Calibri"/>
          <w:sz w:val="22"/>
          <w:szCs w:val="22"/>
        </w:rPr>
        <w:t>Of these, t</w:t>
      </w:r>
      <w:r w:rsidR="001F119F">
        <w:rPr>
          <w:rFonts w:ascii="Calibri" w:hAnsi="Calibri" w:cs="Calibri"/>
          <w:sz w:val="22"/>
          <w:szCs w:val="22"/>
        </w:rPr>
        <w:t xml:space="preserve">hree units </w:t>
      </w:r>
      <w:r w:rsidR="00521FEF">
        <w:rPr>
          <w:rFonts w:ascii="Calibri" w:hAnsi="Calibri" w:cs="Calibri"/>
          <w:sz w:val="22"/>
          <w:szCs w:val="22"/>
        </w:rPr>
        <w:t>declined to</w:t>
      </w:r>
      <w:r w:rsidR="001F119F">
        <w:rPr>
          <w:rFonts w:ascii="Calibri" w:hAnsi="Calibri" w:cs="Calibri"/>
          <w:sz w:val="22"/>
          <w:szCs w:val="22"/>
        </w:rPr>
        <w:t xml:space="preserve"> participate </w:t>
      </w:r>
      <w:r w:rsidR="00521FEF">
        <w:rPr>
          <w:rFonts w:ascii="Calibri" w:hAnsi="Calibri" w:cs="Calibri"/>
          <w:sz w:val="22"/>
          <w:szCs w:val="22"/>
        </w:rPr>
        <w:t>due to staffing and workload issues</w:t>
      </w:r>
      <w:r w:rsidR="00813EEA">
        <w:rPr>
          <w:rFonts w:ascii="Calibri" w:hAnsi="Calibri" w:cs="Calibri"/>
          <w:sz w:val="22"/>
          <w:szCs w:val="22"/>
        </w:rPr>
        <w:t xml:space="preserve">. </w:t>
      </w:r>
      <w:r w:rsidR="00013365" w:rsidRPr="00013365">
        <w:rPr>
          <w:rFonts w:ascii="Calibri" w:hAnsi="Calibri" w:cs="Calibri"/>
          <w:sz w:val="22"/>
          <w:szCs w:val="22"/>
        </w:rPr>
        <w:t xml:space="preserve">Thirty-six staff participated in the Phase </w:t>
      </w:r>
      <w:r w:rsidR="00B00B6A">
        <w:rPr>
          <w:rFonts w:ascii="Calibri" w:hAnsi="Calibri" w:cs="Calibri"/>
          <w:sz w:val="22"/>
          <w:szCs w:val="22"/>
        </w:rPr>
        <w:t>2</w:t>
      </w:r>
      <w:r w:rsidR="00013365" w:rsidRPr="00013365">
        <w:rPr>
          <w:rFonts w:ascii="Calibri" w:hAnsi="Calibri" w:cs="Calibri"/>
          <w:sz w:val="22"/>
          <w:szCs w:val="22"/>
        </w:rPr>
        <w:t xml:space="preserve"> interviews</w:t>
      </w:r>
      <w:r w:rsidR="00A16B3E">
        <w:rPr>
          <w:rFonts w:ascii="Calibri" w:hAnsi="Calibri" w:cs="Calibri"/>
          <w:sz w:val="22"/>
          <w:szCs w:val="22"/>
        </w:rPr>
        <w:t xml:space="preserve"> across the 12 ICUs</w:t>
      </w:r>
      <w:r w:rsidR="00013365" w:rsidRPr="00013365">
        <w:rPr>
          <w:rFonts w:ascii="Calibri" w:hAnsi="Calibri" w:cs="Calibri"/>
          <w:sz w:val="22"/>
          <w:szCs w:val="22"/>
        </w:rPr>
        <w:t xml:space="preserve"> comprising 20 research nurses (almost all of whom had clinical ICU experience), 5 staff nurses, 10 PIs, and 1 clinical trials assistant. </w:t>
      </w:r>
      <w:r w:rsidR="003D41FA">
        <w:rPr>
          <w:rFonts w:ascii="Calibri" w:hAnsi="Calibri" w:cs="Calibri"/>
          <w:color w:val="000000" w:themeColor="text1"/>
          <w:sz w:val="22"/>
          <w:szCs w:val="22"/>
        </w:rPr>
        <w:t xml:space="preserve">Phase </w:t>
      </w:r>
      <w:r w:rsidR="005D37C6">
        <w:rPr>
          <w:rFonts w:ascii="Calibri" w:hAnsi="Calibri" w:cs="Calibri"/>
          <w:color w:val="000000" w:themeColor="text1"/>
          <w:sz w:val="22"/>
          <w:szCs w:val="22"/>
        </w:rPr>
        <w:t>2</w:t>
      </w:r>
      <w:r w:rsidR="003D41FA">
        <w:rPr>
          <w:rFonts w:ascii="Calibri" w:hAnsi="Calibri" w:cs="Calibri"/>
          <w:color w:val="000000" w:themeColor="text1"/>
          <w:sz w:val="22"/>
          <w:szCs w:val="22"/>
        </w:rPr>
        <w:t xml:space="preserve"> </w:t>
      </w:r>
      <w:r w:rsidR="003D41FA" w:rsidRPr="001C65D3">
        <w:rPr>
          <w:rFonts w:ascii="Calibri" w:hAnsi="Calibri" w:cs="Calibri"/>
          <w:color w:val="000000" w:themeColor="text1"/>
          <w:sz w:val="22"/>
          <w:szCs w:val="22"/>
        </w:rPr>
        <w:t xml:space="preserve">interviews focused on uncovering factors </w:t>
      </w:r>
      <w:r w:rsidR="00F93387">
        <w:rPr>
          <w:rFonts w:ascii="Calibri" w:hAnsi="Calibri" w:cs="Calibri"/>
          <w:color w:val="000000" w:themeColor="text1"/>
          <w:sz w:val="22"/>
          <w:szCs w:val="22"/>
        </w:rPr>
        <w:t>relating to</w:t>
      </w:r>
      <w:r w:rsidR="00A33A78">
        <w:rPr>
          <w:rFonts w:ascii="Calibri" w:hAnsi="Calibri" w:cs="Calibri"/>
          <w:color w:val="000000" w:themeColor="text1"/>
          <w:sz w:val="22"/>
          <w:szCs w:val="22"/>
        </w:rPr>
        <w:t xml:space="preserve"> </w:t>
      </w:r>
      <w:r w:rsidR="00591663">
        <w:rPr>
          <w:rFonts w:ascii="Calibri" w:hAnsi="Calibri" w:cs="Calibri"/>
          <w:color w:val="000000" w:themeColor="text1"/>
          <w:sz w:val="22"/>
          <w:szCs w:val="22"/>
        </w:rPr>
        <w:t>the trial, staff a</w:t>
      </w:r>
      <w:r w:rsidR="00F93387">
        <w:rPr>
          <w:rFonts w:ascii="Calibri" w:hAnsi="Calibri" w:cs="Calibri"/>
          <w:color w:val="000000" w:themeColor="text1"/>
          <w:sz w:val="22"/>
          <w:szCs w:val="22"/>
        </w:rPr>
        <w:t xml:space="preserve">nd organisations </w:t>
      </w:r>
      <w:r w:rsidR="003D41FA" w:rsidRPr="001C65D3">
        <w:rPr>
          <w:rFonts w:ascii="Calibri" w:hAnsi="Calibri" w:cs="Calibri"/>
          <w:color w:val="000000" w:themeColor="text1"/>
          <w:sz w:val="22"/>
          <w:szCs w:val="22"/>
        </w:rPr>
        <w:t xml:space="preserve">that may have acted as barriers or </w:t>
      </w:r>
      <w:r w:rsidR="003D41FA" w:rsidRPr="008B153E">
        <w:rPr>
          <w:rFonts w:ascii="Calibri" w:hAnsi="Calibri" w:cs="Calibri"/>
          <w:color w:val="000000" w:themeColor="text1"/>
          <w:sz w:val="22"/>
          <w:szCs w:val="22"/>
        </w:rPr>
        <w:lastRenderedPageBreak/>
        <w:t xml:space="preserve">facilitators to successful intervention and trial delivery. They also explored reflections on use of the trial protocol and trial </w:t>
      </w:r>
      <w:r w:rsidR="008C35DA" w:rsidRPr="008B153E">
        <w:rPr>
          <w:rFonts w:ascii="Calibri" w:hAnsi="Calibri" w:cs="Calibri"/>
          <w:color w:val="000000" w:themeColor="text1"/>
          <w:sz w:val="22"/>
          <w:szCs w:val="22"/>
        </w:rPr>
        <w:t>medication</w:t>
      </w:r>
      <w:r w:rsidR="003D41FA" w:rsidRPr="008B153E">
        <w:rPr>
          <w:rFonts w:ascii="Calibri" w:hAnsi="Calibri" w:cs="Calibri"/>
          <w:color w:val="000000" w:themeColor="text1"/>
          <w:sz w:val="22"/>
          <w:szCs w:val="22"/>
        </w:rPr>
        <w:t>, and clinical decision-making processes.</w:t>
      </w:r>
      <w:r w:rsidR="009A6006" w:rsidRPr="008B153E">
        <w:rPr>
          <w:rFonts w:ascii="Calibri" w:hAnsi="Calibri" w:cs="Calibri"/>
          <w:color w:val="000000"/>
          <w:kern w:val="0"/>
          <w:sz w:val="22"/>
          <w:szCs w:val="22"/>
        </w:rPr>
        <w:t xml:space="preserve"> Two broad sets of factors emerged</w:t>
      </w:r>
      <w:r w:rsidR="000072C5" w:rsidRPr="008B153E">
        <w:rPr>
          <w:rFonts w:ascii="Calibri" w:hAnsi="Calibri" w:cs="Calibri"/>
          <w:color w:val="000000"/>
          <w:kern w:val="0"/>
          <w:sz w:val="22"/>
          <w:szCs w:val="22"/>
        </w:rPr>
        <w:t xml:space="preserve"> during Phase </w:t>
      </w:r>
      <w:r w:rsidR="002F6E1F" w:rsidRPr="008B153E">
        <w:rPr>
          <w:rFonts w:ascii="Calibri" w:hAnsi="Calibri" w:cs="Calibri"/>
          <w:color w:val="000000"/>
          <w:kern w:val="0"/>
          <w:sz w:val="22"/>
          <w:szCs w:val="22"/>
        </w:rPr>
        <w:t>2</w:t>
      </w:r>
      <w:r w:rsidR="00E67CFA" w:rsidRPr="008B153E">
        <w:rPr>
          <w:rFonts w:ascii="Calibri" w:hAnsi="Calibri" w:cs="Calibri"/>
          <w:color w:val="000000" w:themeColor="text1"/>
          <w:sz w:val="22"/>
          <w:szCs w:val="22"/>
        </w:rPr>
        <w:t>. Theme 1 included factors</w:t>
      </w:r>
      <w:r w:rsidR="00AD5243" w:rsidRPr="008B153E">
        <w:rPr>
          <w:rFonts w:ascii="Calibri" w:hAnsi="Calibri" w:cs="Calibri"/>
          <w:color w:val="000000"/>
          <w:kern w:val="0"/>
          <w:sz w:val="22"/>
          <w:szCs w:val="22"/>
        </w:rPr>
        <w:t xml:space="preserve"> related to </w:t>
      </w:r>
      <w:r w:rsidR="00121F63" w:rsidRPr="008B153E">
        <w:rPr>
          <w:rFonts w:ascii="Calibri" w:hAnsi="Calibri" w:cs="Calibri"/>
          <w:color w:val="000000"/>
          <w:kern w:val="0"/>
          <w:sz w:val="22"/>
          <w:szCs w:val="22"/>
        </w:rPr>
        <w:t xml:space="preserve">clinicians and research nurses participating in </w:t>
      </w:r>
      <w:r w:rsidR="00AD5243" w:rsidRPr="008B153E">
        <w:rPr>
          <w:rFonts w:ascii="Calibri" w:hAnsi="Calibri" w:cs="Calibri"/>
          <w:color w:val="000000"/>
          <w:kern w:val="0"/>
          <w:sz w:val="22"/>
          <w:szCs w:val="22"/>
        </w:rPr>
        <w:t xml:space="preserve">the </w:t>
      </w:r>
      <w:r w:rsidR="005C519C" w:rsidRPr="008B153E">
        <w:rPr>
          <w:rFonts w:ascii="Calibri" w:hAnsi="Calibri" w:cs="Calibri"/>
          <w:color w:val="000000"/>
          <w:kern w:val="0"/>
          <w:sz w:val="22"/>
          <w:szCs w:val="22"/>
        </w:rPr>
        <w:t>process evaluation</w:t>
      </w:r>
      <w:r w:rsidR="00E67CFA" w:rsidRPr="008B153E">
        <w:rPr>
          <w:rFonts w:ascii="Calibri" w:hAnsi="Calibri" w:cs="Calibri"/>
          <w:color w:val="000000" w:themeColor="text1"/>
          <w:sz w:val="22"/>
          <w:szCs w:val="22"/>
        </w:rPr>
        <w:t xml:space="preserve"> and included a) </w:t>
      </w:r>
      <w:r w:rsidR="006B57DC" w:rsidRPr="008B153E">
        <w:rPr>
          <w:rFonts w:ascii="Calibri" w:hAnsi="Calibri" w:cs="Calibri"/>
          <w:color w:val="000000" w:themeColor="text1"/>
          <w:sz w:val="22"/>
          <w:szCs w:val="22"/>
        </w:rPr>
        <w:t xml:space="preserve">clinician preference, b) </w:t>
      </w:r>
      <w:r w:rsidR="00232245" w:rsidRPr="008B153E">
        <w:rPr>
          <w:rFonts w:ascii="Calibri" w:hAnsi="Calibri" w:cs="Calibri"/>
          <w:sz w:val="22"/>
          <w:szCs w:val="22"/>
        </w:rPr>
        <w:t xml:space="preserve">individual </w:t>
      </w:r>
      <w:r w:rsidR="006B57DC" w:rsidRPr="008B153E">
        <w:rPr>
          <w:rFonts w:ascii="Calibri" w:hAnsi="Calibri" w:cs="Calibri"/>
          <w:color w:val="000000" w:themeColor="text1"/>
          <w:sz w:val="22"/>
          <w:szCs w:val="22"/>
        </w:rPr>
        <w:t xml:space="preserve">equipoise, c) clinician resistance, and d) staff capability and capacity. </w:t>
      </w:r>
      <w:r w:rsidR="00BE0827" w:rsidRPr="008B153E">
        <w:rPr>
          <w:rFonts w:ascii="Calibri" w:hAnsi="Calibri" w:cs="Calibri"/>
          <w:color w:val="000000" w:themeColor="text1"/>
          <w:sz w:val="22"/>
          <w:szCs w:val="22"/>
        </w:rPr>
        <w:t xml:space="preserve">For the purposes of this process evaluation </w:t>
      </w:r>
      <w:r w:rsidR="00291FAD" w:rsidRPr="008B153E">
        <w:rPr>
          <w:rFonts w:ascii="Calibri" w:hAnsi="Calibri" w:cs="Calibri"/>
          <w:color w:val="000000" w:themeColor="text1"/>
          <w:sz w:val="22"/>
          <w:szCs w:val="22"/>
        </w:rPr>
        <w:t xml:space="preserve">participants are the clinical and research staff who were interviewed in each of the phases. </w:t>
      </w:r>
      <w:r w:rsidR="006B57DC" w:rsidRPr="008B153E">
        <w:rPr>
          <w:rFonts w:ascii="Calibri" w:hAnsi="Calibri" w:cs="Calibri"/>
          <w:color w:val="000000" w:themeColor="text1"/>
          <w:sz w:val="22"/>
          <w:szCs w:val="22"/>
        </w:rPr>
        <w:t xml:space="preserve">Theme 2 included factors that </w:t>
      </w:r>
      <w:r w:rsidR="006D16CB" w:rsidRPr="008B153E">
        <w:rPr>
          <w:rFonts w:ascii="Calibri" w:hAnsi="Calibri" w:cs="Calibri"/>
          <w:color w:val="000000"/>
          <w:kern w:val="0"/>
          <w:sz w:val="22"/>
          <w:szCs w:val="22"/>
        </w:rPr>
        <w:t xml:space="preserve">specifically </w:t>
      </w:r>
      <w:r w:rsidR="00183C4B" w:rsidRPr="008B153E">
        <w:rPr>
          <w:rFonts w:ascii="Calibri" w:hAnsi="Calibri" w:cs="Calibri"/>
          <w:color w:val="000000"/>
          <w:kern w:val="0"/>
          <w:sz w:val="22"/>
          <w:szCs w:val="22"/>
        </w:rPr>
        <w:t>concentrated</w:t>
      </w:r>
      <w:r w:rsidR="009B611D" w:rsidRPr="008B153E">
        <w:rPr>
          <w:rFonts w:ascii="Calibri" w:hAnsi="Calibri" w:cs="Calibri"/>
          <w:color w:val="000000"/>
          <w:kern w:val="0"/>
          <w:sz w:val="22"/>
          <w:szCs w:val="22"/>
        </w:rPr>
        <w:t xml:space="preserve"> on </w:t>
      </w:r>
      <w:r w:rsidR="00183C4B" w:rsidRPr="008B153E">
        <w:rPr>
          <w:rFonts w:ascii="Calibri" w:hAnsi="Calibri" w:cs="Calibri"/>
          <w:color w:val="000000"/>
          <w:kern w:val="0"/>
          <w:sz w:val="22"/>
          <w:szCs w:val="22"/>
        </w:rPr>
        <w:t xml:space="preserve">the </w:t>
      </w:r>
      <w:r w:rsidR="7DAA5A9F" w:rsidRPr="008B153E">
        <w:rPr>
          <w:rFonts w:ascii="Calibri" w:hAnsi="Calibri" w:cs="Calibri"/>
          <w:color w:val="000000"/>
          <w:kern w:val="0"/>
          <w:sz w:val="22"/>
          <w:szCs w:val="22"/>
        </w:rPr>
        <w:t xml:space="preserve">implementation and delivery </w:t>
      </w:r>
      <w:r w:rsidR="00183C4B" w:rsidRPr="008B153E">
        <w:rPr>
          <w:rFonts w:ascii="Calibri" w:hAnsi="Calibri" w:cs="Calibri"/>
          <w:color w:val="000000"/>
          <w:kern w:val="0"/>
          <w:sz w:val="22"/>
          <w:szCs w:val="22"/>
        </w:rPr>
        <w:t>of the A2B trial</w:t>
      </w:r>
      <w:r w:rsidR="006B57DC" w:rsidRPr="008B153E">
        <w:rPr>
          <w:rFonts w:ascii="Calibri" w:hAnsi="Calibri" w:cs="Calibri"/>
          <w:color w:val="000000" w:themeColor="text1"/>
          <w:sz w:val="22"/>
          <w:szCs w:val="22"/>
        </w:rPr>
        <w:t xml:space="preserve"> and included a) concerns relating to safety and side effects, b) overnight deep sedation practice, c) patient comfort, and d) trial documentation</w:t>
      </w:r>
      <w:r w:rsidR="00183C4B" w:rsidRPr="008B153E">
        <w:rPr>
          <w:rFonts w:ascii="Calibri" w:hAnsi="Calibri" w:cs="Calibri"/>
          <w:color w:val="000000"/>
          <w:kern w:val="0"/>
          <w:sz w:val="22"/>
          <w:szCs w:val="22"/>
        </w:rPr>
        <w:t xml:space="preserve">. </w:t>
      </w:r>
      <w:r w:rsidR="00A83FE0" w:rsidRPr="008B153E">
        <w:rPr>
          <w:rFonts w:ascii="Calibri" w:hAnsi="Calibri" w:cs="Calibri"/>
          <w:color w:val="000000"/>
          <w:kern w:val="0"/>
          <w:sz w:val="22"/>
          <w:szCs w:val="22"/>
        </w:rPr>
        <w:t xml:space="preserve">Detailed quotes related to all factors are located within Supplementary Materials </w:t>
      </w:r>
      <w:r w:rsidR="004D0970" w:rsidRPr="008B153E">
        <w:rPr>
          <w:rFonts w:ascii="Calibri" w:hAnsi="Calibri" w:cs="Calibri"/>
          <w:color w:val="000000"/>
          <w:kern w:val="0"/>
          <w:sz w:val="22"/>
          <w:szCs w:val="22"/>
        </w:rPr>
        <w:t>3</w:t>
      </w:r>
      <w:r w:rsidR="00A83FE0" w:rsidRPr="008B153E">
        <w:rPr>
          <w:rFonts w:ascii="Calibri" w:hAnsi="Calibri" w:cs="Calibri"/>
          <w:color w:val="000000"/>
          <w:kern w:val="0"/>
          <w:sz w:val="22"/>
          <w:szCs w:val="22"/>
        </w:rPr>
        <w:t>.</w:t>
      </w:r>
    </w:p>
    <w:p w14:paraId="32CEFA95" w14:textId="77777777" w:rsidR="00DA506E" w:rsidRPr="008B153E" w:rsidRDefault="00DA506E" w:rsidP="002358F3">
      <w:pPr>
        <w:keepNext/>
        <w:keepLines/>
        <w:spacing w:after="200" w:line="360" w:lineRule="auto"/>
        <w:jc w:val="both"/>
        <w:outlineLvl w:val="1"/>
        <w:rPr>
          <w:rFonts w:ascii="Calibri" w:eastAsiaTheme="majorEastAsia" w:hAnsi="Calibri" w:cs="Calibri"/>
          <w:b/>
          <w:bCs/>
          <w:color w:val="000000" w:themeColor="text1"/>
          <w:sz w:val="22"/>
          <w:szCs w:val="22"/>
        </w:rPr>
      </w:pPr>
      <w:bookmarkStart w:id="3" w:name="_Toc168393569"/>
      <w:r w:rsidRPr="008B153E">
        <w:rPr>
          <w:rFonts w:ascii="Calibri" w:eastAsiaTheme="majorEastAsia" w:hAnsi="Calibri" w:cs="Calibri"/>
          <w:b/>
          <w:bCs/>
          <w:color w:val="000000" w:themeColor="text1"/>
          <w:sz w:val="22"/>
          <w:szCs w:val="22"/>
        </w:rPr>
        <w:t>Participant-related factors</w:t>
      </w:r>
      <w:bookmarkEnd w:id="3"/>
    </w:p>
    <w:p w14:paraId="497000B8" w14:textId="5FFDEF1B" w:rsidR="00DA506E" w:rsidRPr="00DA506E" w:rsidRDefault="00DA506E" w:rsidP="002358F3">
      <w:pPr>
        <w:spacing w:after="200" w:line="360" w:lineRule="auto"/>
        <w:jc w:val="both"/>
        <w:rPr>
          <w:rFonts w:ascii="Calibri" w:hAnsi="Calibri" w:cs="Calibri"/>
          <w:sz w:val="22"/>
          <w:szCs w:val="22"/>
        </w:rPr>
      </w:pPr>
      <w:r w:rsidRPr="008B153E">
        <w:rPr>
          <w:rFonts w:ascii="Calibri" w:hAnsi="Calibri" w:cs="Calibri"/>
          <w:sz w:val="22"/>
          <w:szCs w:val="22"/>
        </w:rPr>
        <w:t xml:space="preserve">Participant-related factors included clinician preference, </w:t>
      </w:r>
      <w:r w:rsidR="00232245" w:rsidRPr="008B153E">
        <w:rPr>
          <w:rFonts w:ascii="Calibri" w:hAnsi="Calibri" w:cs="Calibri"/>
          <w:sz w:val="22"/>
          <w:szCs w:val="22"/>
        </w:rPr>
        <w:t xml:space="preserve">individual </w:t>
      </w:r>
      <w:r w:rsidRPr="008B153E">
        <w:rPr>
          <w:rFonts w:ascii="Calibri" w:hAnsi="Calibri" w:cs="Calibri"/>
          <w:sz w:val="22"/>
          <w:szCs w:val="22"/>
        </w:rPr>
        <w:t xml:space="preserve">equipoise, clinician resistance and staff capability. Clinician preference related to the preference for one sedative agent over another, and </w:t>
      </w:r>
      <w:r w:rsidR="00BA3BAB" w:rsidRPr="008B153E">
        <w:rPr>
          <w:rFonts w:ascii="Calibri" w:hAnsi="Calibri" w:cs="Calibri"/>
          <w:sz w:val="22"/>
          <w:szCs w:val="22"/>
        </w:rPr>
        <w:t>their</w:t>
      </w:r>
      <w:r w:rsidR="00584A5E" w:rsidRPr="008B153E">
        <w:rPr>
          <w:rFonts w:ascii="Calibri" w:hAnsi="Calibri" w:cs="Calibri"/>
          <w:sz w:val="22"/>
          <w:szCs w:val="22"/>
        </w:rPr>
        <w:t xml:space="preserve"> perception of the</w:t>
      </w:r>
      <w:r w:rsidRPr="008B153E">
        <w:rPr>
          <w:rFonts w:ascii="Calibri" w:hAnsi="Calibri" w:cs="Calibri"/>
          <w:sz w:val="22"/>
          <w:szCs w:val="22"/>
        </w:rPr>
        <w:t xml:space="preserve"> impact of alpha-2 agonist use in usual practice on uptake of the new intervention. </w:t>
      </w:r>
      <w:r w:rsidR="00232245" w:rsidRPr="008B153E">
        <w:rPr>
          <w:rFonts w:ascii="Calibri" w:hAnsi="Calibri" w:cs="Calibri"/>
          <w:sz w:val="22"/>
          <w:szCs w:val="22"/>
        </w:rPr>
        <w:t xml:space="preserve">Individual equipoise </w:t>
      </w:r>
      <w:r w:rsidR="00696621" w:rsidRPr="008B153E">
        <w:rPr>
          <w:rFonts w:ascii="Calibri" w:hAnsi="Calibri" w:cs="Calibri"/>
          <w:sz w:val="22"/>
          <w:szCs w:val="22"/>
        </w:rPr>
        <w:t>focused on</w:t>
      </w:r>
      <w:r w:rsidR="00E322FD" w:rsidRPr="008B153E">
        <w:rPr>
          <w:rFonts w:ascii="Calibri" w:hAnsi="Calibri" w:cs="Calibri"/>
          <w:sz w:val="22"/>
          <w:szCs w:val="22"/>
        </w:rPr>
        <w:t xml:space="preserve"> the presence or absence of equipoise</w:t>
      </w:r>
      <w:r w:rsidR="00E0601E" w:rsidRPr="008B153E">
        <w:rPr>
          <w:rFonts w:ascii="Calibri" w:hAnsi="Calibri" w:cs="Calibri"/>
          <w:sz w:val="22"/>
          <w:szCs w:val="22"/>
        </w:rPr>
        <w:t xml:space="preserve"> by each individual clinician</w:t>
      </w:r>
      <w:r w:rsidR="00696621" w:rsidRPr="008B153E">
        <w:rPr>
          <w:rFonts w:ascii="Calibri" w:hAnsi="Calibri" w:cs="Calibri"/>
          <w:sz w:val="22"/>
          <w:szCs w:val="22"/>
        </w:rPr>
        <w:t xml:space="preserve"> and how that </w:t>
      </w:r>
      <w:r w:rsidR="0070143D" w:rsidRPr="008B153E">
        <w:rPr>
          <w:rFonts w:ascii="Calibri" w:hAnsi="Calibri" w:cs="Calibri"/>
          <w:sz w:val="22"/>
          <w:szCs w:val="22"/>
        </w:rPr>
        <w:t xml:space="preserve">impacted on </w:t>
      </w:r>
      <w:r w:rsidR="001E1F8A" w:rsidRPr="008B153E">
        <w:rPr>
          <w:rFonts w:ascii="Calibri" w:hAnsi="Calibri" w:cs="Calibri"/>
          <w:sz w:val="22"/>
          <w:szCs w:val="22"/>
        </w:rPr>
        <w:t>implementation of the A2B intervention</w:t>
      </w:r>
      <w:r w:rsidR="0070143D" w:rsidRPr="008B153E">
        <w:rPr>
          <w:rFonts w:ascii="Calibri" w:hAnsi="Calibri" w:cs="Calibri"/>
          <w:sz w:val="22"/>
          <w:szCs w:val="22"/>
        </w:rPr>
        <w:t xml:space="preserve"> and</w:t>
      </w:r>
      <w:r w:rsidRPr="008B153E">
        <w:rPr>
          <w:rFonts w:ascii="Calibri" w:hAnsi="Calibri" w:cs="Calibri"/>
          <w:sz w:val="22"/>
          <w:szCs w:val="22"/>
        </w:rPr>
        <w:t xml:space="preserve"> was closely connected to clinician preference. Clinician resistance related to change</w:t>
      </w:r>
      <w:r w:rsidR="00C9650D" w:rsidRPr="008B153E">
        <w:rPr>
          <w:rFonts w:ascii="Calibri" w:hAnsi="Calibri" w:cs="Calibri"/>
          <w:sz w:val="22"/>
          <w:szCs w:val="22"/>
        </w:rPr>
        <w:t xml:space="preserve"> in what </w:t>
      </w:r>
      <w:r w:rsidR="004D4FD5" w:rsidRPr="008B153E">
        <w:rPr>
          <w:rFonts w:ascii="Calibri" w:hAnsi="Calibri" w:cs="Calibri"/>
          <w:sz w:val="22"/>
          <w:szCs w:val="22"/>
        </w:rPr>
        <w:t xml:space="preserve">and how </w:t>
      </w:r>
      <w:r w:rsidR="00C9650D" w:rsidRPr="008B153E">
        <w:rPr>
          <w:rFonts w:ascii="Calibri" w:hAnsi="Calibri" w:cs="Calibri"/>
          <w:sz w:val="22"/>
          <w:szCs w:val="22"/>
        </w:rPr>
        <w:t>sedatives were used</w:t>
      </w:r>
      <w:r w:rsidR="004D4FD5" w:rsidRPr="008B153E">
        <w:rPr>
          <w:rFonts w:ascii="Calibri" w:hAnsi="Calibri" w:cs="Calibri"/>
          <w:sz w:val="22"/>
          <w:szCs w:val="22"/>
        </w:rPr>
        <w:t xml:space="preserve"> and included resistance to use of specific </w:t>
      </w:r>
      <w:r w:rsidR="00C9138D" w:rsidRPr="008B153E">
        <w:rPr>
          <w:rFonts w:ascii="Calibri" w:hAnsi="Calibri" w:cs="Calibri"/>
          <w:sz w:val="22"/>
          <w:szCs w:val="22"/>
        </w:rPr>
        <w:t xml:space="preserve">A2B </w:t>
      </w:r>
      <w:r w:rsidR="004D4FD5" w:rsidRPr="008B153E">
        <w:rPr>
          <w:rFonts w:ascii="Calibri" w:hAnsi="Calibri" w:cs="Calibri"/>
          <w:sz w:val="22"/>
          <w:szCs w:val="22"/>
        </w:rPr>
        <w:t xml:space="preserve">medications in </w:t>
      </w:r>
      <w:r w:rsidRPr="008B153E">
        <w:rPr>
          <w:rFonts w:ascii="Calibri" w:hAnsi="Calibri" w:cs="Calibri"/>
          <w:sz w:val="22"/>
          <w:szCs w:val="22"/>
        </w:rPr>
        <w:t xml:space="preserve">some patient sub-groups. Staff capability related to experience </w:t>
      </w:r>
      <w:r w:rsidR="005D4069" w:rsidRPr="008B153E">
        <w:rPr>
          <w:rFonts w:ascii="Calibri" w:hAnsi="Calibri" w:cs="Calibri"/>
          <w:sz w:val="22"/>
          <w:szCs w:val="22"/>
        </w:rPr>
        <w:t xml:space="preserve">in </w:t>
      </w:r>
      <w:r w:rsidRPr="008B153E">
        <w:rPr>
          <w:rFonts w:ascii="Calibri" w:hAnsi="Calibri" w:cs="Calibri"/>
          <w:sz w:val="22"/>
          <w:szCs w:val="22"/>
        </w:rPr>
        <w:t>using alpha-2 agonist</w:t>
      </w:r>
      <w:r w:rsidR="00A91712" w:rsidRPr="008B153E">
        <w:rPr>
          <w:rFonts w:ascii="Calibri" w:hAnsi="Calibri" w:cs="Calibri"/>
          <w:sz w:val="22"/>
          <w:szCs w:val="22"/>
        </w:rPr>
        <w:t>s,</w:t>
      </w:r>
      <w:r w:rsidRPr="008B153E">
        <w:rPr>
          <w:rFonts w:ascii="Calibri" w:hAnsi="Calibri" w:cs="Calibri"/>
          <w:sz w:val="22"/>
          <w:szCs w:val="22"/>
        </w:rPr>
        <w:t xml:space="preserve"> titrating and weaning sedation as well as the influx of new and inexperienced staff during and after the COVID</w:t>
      </w:r>
      <w:r w:rsidRPr="00DA506E">
        <w:rPr>
          <w:rFonts w:ascii="Calibri" w:hAnsi="Calibri" w:cs="Calibri"/>
          <w:sz w:val="22"/>
          <w:szCs w:val="22"/>
        </w:rPr>
        <w:t>-19 pandemic, and the impact of research team support.</w:t>
      </w:r>
    </w:p>
    <w:p w14:paraId="68D85D78" w14:textId="77777777" w:rsidR="00DA506E" w:rsidRPr="00471231" w:rsidRDefault="00DA506E" w:rsidP="002358F3">
      <w:pPr>
        <w:keepNext/>
        <w:keepLines/>
        <w:spacing w:after="200" w:line="360" w:lineRule="auto"/>
        <w:jc w:val="both"/>
        <w:outlineLvl w:val="2"/>
        <w:rPr>
          <w:rFonts w:ascii="Calibri" w:eastAsiaTheme="majorEastAsia" w:hAnsi="Calibri" w:cs="Calibri"/>
          <w:i/>
          <w:iCs/>
          <w:color w:val="000000" w:themeColor="text1"/>
          <w:sz w:val="22"/>
          <w:szCs w:val="22"/>
        </w:rPr>
      </w:pPr>
      <w:bookmarkStart w:id="4" w:name="_Toc168393570"/>
      <w:r w:rsidRPr="00471231">
        <w:rPr>
          <w:rFonts w:ascii="Calibri" w:eastAsiaTheme="majorEastAsia" w:hAnsi="Calibri" w:cs="Calibri"/>
          <w:i/>
          <w:iCs/>
          <w:color w:val="000000" w:themeColor="text1"/>
          <w:sz w:val="22"/>
          <w:szCs w:val="22"/>
        </w:rPr>
        <w:t>Clinician preference</w:t>
      </w:r>
      <w:bookmarkEnd w:id="4"/>
    </w:p>
    <w:p w14:paraId="4F86C180" w14:textId="0D8485B1" w:rsidR="00DA506E" w:rsidRDefault="00DA506E" w:rsidP="002358F3">
      <w:pPr>
        <w:spacing w:after="200" w:line="360" w:lineRule="auto"/>
        <w:jc w:val="both"/>
        <w:rPr>
          <w:rFonts w:ascii="Calibri" w:hAnsi="Calibri" w:cs="Calibri"/>
          <w:sz w:val="22"/>
          <w:szCs w:val="22"/>
        </w:rPr>
      </w:pPr>
      <w:r w:rsidRPr="00DA506E">
        <w:rPr>
          <w:rFonts w:ascii="Calibri" w:hAnsi="Calibri" w:cs="Calibri"/>
          <w:sz w:val="22"/>
          <w:szCs w:val="22"/>
        </w:rPr>
        <w:t xml:space="preserve">Staff at </w:t>
      </w:r>
      <w:r w:rsidR="00B04642">
        <w:rPr>
          <w:rFonts w:ascii="Calibri" w:hAnsi="Calibri" w:cs="Calibri"/>
          <w:sz w:val="22"/>
          <w:szCs w:val="22"/>
        </w:rPr>
        <w:t xml:space="preserve">half </w:t>
      </w:r>
      <w:r w:rsidRPr="00DA506E">
        <w:rPr>
          <w:rFonts w:ascii="Calibri" w:hAnsi="Calibri" w:cs="Calibri"/>
          <w:sz w:val="22"/>
          <w:szCs w:val="22"/>
        </w:rPr>
        <w:t xml:space="preserve">of the units reported that there was no preference for one sedative over another. This was attributed to both dexmedetomidine and clonidine being routinely </w:t>
      </w:r>
      <w:r w:rsidR="0027447F" w:rsidRPr="00DA506E">
        <w:rPr>
          <w:rFonts w:ascii="Calibri" w:hAnsi="Calibri" w:cs="Calibri"/>
          <w:sz w:val="22"/>
          <w:szCs w:val="22"/>
        </w:rPr>
        <w:t xml:space="preserve">used </w:t>
      </w:r>
      <w:r w:rsidRPr="00DA506E">
        <w:rPr>
          <w:rFonts w:ascii="Calibri" w:hAnsi="Calibri" w:cs="Calibri"/>
          <w:sz w:val="22"/>
          <w:szCs w:val="22"/>
        </w:rPr>
        <w:t>in practice</w:t>
      </w:r>
      <w:r w:rsidR="00873E8C">
        <w:rPr>
          <w:rFonts w:ascii="Calibri" w:hAnsi="Calibri" w:cs="Calibri"/>
          <w:sz w:val="22"/>
          <w:szCs w:val="22"/>
        </w:rPr>
        <w:t xml:space="preserve"> in many ICUs</w:t>
      </w:r>
      <w:r w:rsidR="00E56257">
        <w:rPr>
          <w:rFonts w:ascii="Calibri" w:hAnsi="Calibri" w:cs="Calibri"/>
          <w:sz w:val="22"/>
          <w:szCs w:val="22"/>
        </w:rPr>
        <w:t xml:space="preserve">, usually </w:t>
      </w:r>
      <w:r w:rsidRPr="00DA506E">
        <w:rPr>
          <w:rFonts w:ascii="Calibri" w:hAnsi="Calibri" w:cs="Calibri"/>
          <w:sz w:val="22"/>
          <w:szCs w:val="22"/>
        </w:rPr>
        <w:t xml:space="preserve">as an adjunct when waking </w:t>
      </w:r>
      <w:r w:rsidR="008C35DA">
        <w:rPr>
          <w:rFonts w:ascii="Calibri" w:hAnsi="Calibri" w:cs="Calibri"/>
          <w:sz w:val="22"/>
          <w:szCs w:val="22"/>
        </w:rPr>
        <w:t xml:space="preserve">or weaning </w:t>
      </w:r>
      <w:r w:rsidRPr="00DA506E">
        <w:rPr>
          <w:rFonts w:ascii="Calibri" w:hAnsi="Calibri" w:cs="Calibri"/>
          <w:sz w:val="22"/>
          <w:szCs w:val="22"/>
        </w:rPr>
        <w:t>agitated patients. This meant that</w:t>
      </w:r>
      <w:r w:rsidR="005A40C2">
        <w:rPr>
          <w:rFonts w:ascii="Calibri" w:hAnsi="Calibri" w:cs="Calibri"/>
          <w:sz w:val="22"/>
          <w:szCs w:val="22"/>
        </w:rPr>
        <w:t xml:space="preserve">, although </w:t>
      </w:r>
      <w:r w:rsidR="00A24AB2">
        <w:rPr>
          <w:rFonts w:ascii="Calibri" w:hAnsi="Calibri" w:cs="Calibri"/>
          <w:sz w:val="22"/>
          <w:szCs w:val="22"/>
        </w:rPr>
        <w:t>alpha-2 agonist</w:t>
      </w:r>
      <w:r w:rsidR="005A40C2">
        <w:rPr>
          <w:rFonts w:ascii="Calibri" w:hAnsi="Calibri" w:cs="Calibri"/>
          <w:sz w:val="22"/>
          <w:szCs w:val="22"/>
        </w:rPr>
        <w:t>s were not normally used as first line sedatives,</w:t>
      </w:r>
      <w:r w:rsidRPr="00DA506E">
        <w:rPr>
          <w:rFonts w:ascii="Calibri" w:hAnsi="Calibri" w:cs="Calibri"/>
          <w:sz w:val="22"/>
          <w:szCs w:val="22"/>
        </w:rPr>
        <w:t xml:space="preserve"> nurses were familiar with the </w:t>
      </w:r>
      <w:r w:rsidR="009B0E38">
        <w:rPr>
          <w:rFonts w:ascii="Calibri" w:hAnsi="Calibri" w:cs="Calibri"/>
          <w:sz w:val="22"/>
          <w:szCs w:val="22"/>
        </w:rPr>
        <w:t>medication</w:t>
      </w:r>
      <w:r w:rsidR="00920D2A">
        <w:rPr>
          <w:rFonts w:ascii="Calibri" w:hAnsi="Calibri" w:cs="Calibri"/>
          <w:sz w:val="22"/>
          <w:szCs w:val="22"/>
        </w:rPr>
        <w:t>s</w:t>
      </w:r>
      <w:r w:rsidRPr="00DA506E">
        <w:rPr>
          <w:rFonts w:ascii="Calibri" w:hAnsi="Calibri" w:cs="Calibri"/>
          <w:sz w:val="22"/>
          <w:szCs w:val="22"/>
        </w:rPr>
        <w:t xml:space="preserve"> and were confident titrat</w:t>
      </w:r>
      <w:r w:rsidR="00FE470E">
        <w:rPr>
          <w:rFonts w:ascii="Calibri" w:hAnsi="Calibri" w:cs="Calibri"/>
          <w:sz w:val="22"/>
          <w:szCs w:val="22"/>
        </w:rPr>
        <w:t>ing</w:t>
      </w:r>
      <w:r w:rsidRPr="00DA506E">
        <w:rPr>
          <w:rFonts w:ascii="Calibri" w:hAnsi="Calibri" w:cs="Calibri"/>
          <w:sz w:val="22"/>
          <w:szCs w:val="22"/>
        </w:rPr>
        <w:t xml:space="preserve"> them </w:t>
      </w:r>
      <w:r w:rsidR="009B0E38">
        <w:rPr>
          <w:rFonts w:ascii="Calibri" w:hAnsi="Calibri" w:cs="Calibri"/>
          <w:sz w:val="22"/>
          <w:szCs w:val="22"/>
        </w:rPr>
        <w:t xml:space="preserve">according to </w:t>
      </w:r>
      <w:r w:rsidR="00920D2A">
        <w:rPr>
          <w:rFonts w:ascii="Calibri" w:hAnsi="Calibri" w:cs="Calibri"/>
          <w:sz w:val="22"/>
          <w:szCs w:val="22"/>
        </w:rPr>
        <w:t>the</w:t>
      </w:r>
      <w:r w:rsidRPr="00DA506E">
        <w:rPr>
          <w:rFonts w:ascii="Calibri" w:hAnsi="Calibri" w:cs="Calibri"/>
          <w:sz w:val="22"/>
          <w:szCs w:val="22"/>
        </w:rPr>
        <w:t xml:space="preserve"> protocol. When asked their preferences between alpha-2 agonists, staff at one third of units reported a preference for clonidine over dexmedetomidine</w:t>
      </w:r>
      <w:r w:rsidR="00156D9E">
        <w:rPr>
          <w:rFonts w:ascii="Calibri" w:hAnsi="Calibri" w:cs="Calibri"/>
          <w:sz w:val="22"/>
          <w:szCs w:val="22"/>
        </w:rPr>
        <w:t xml:space="preserve">, with the remaining staff </w:t>
      </w:r>
      <w:r w:rsidR="00796AC6">
        <w:rPr>
          <w:rFonts w:ascii="Calibri" w:hAnsi="Calibri" w:cs="Calibri"/>
          <w:sz w:val="22"/>
          <w:szCs w:val="22"/>
        </w:rPr>
        <w:t>describing no preference</w:t>
      </w:r>
      <w:r w:rsidRPr="00DA506E">
        <w:rPr>
          <w:rFonts w:ascii="Calibri" w:hAnsi="Calibri" w:cs="Calibri"/>
          <w:sz w:val="22"/>
          <w:szCs w:val="22"/>
        </w:rPr>
        <w:t xml:space="preserve">. </w:t>
      </w:r>
      <w:r w:rsidR="005D28BF">
        <w:rPr>
          <w:rFonts w:ascii="Calibri" w:hAnsi="Calibri" w:cs="Calibri"/>
          <w:sz w:val="22"/>
          <w:szCs w:val="22"/>
        </w:rPr>
        <w:t>T</w:t>
      </w:r>
      <w:r w:rsidRPr="00DA506E">
        <w:rPr>
          <w:rFonts w:ascii="Calibri" w:hAnsi="Calibri" w:cs="Calibri"/>
          <w:sz w:val="22"/>
          <w:szCs w:val="22"/>
        </w:rPr>
        <w:t xml:space="preserve">his was predominantly the view of </w:t>
      </w:r>
      <w:r w:rsidR="005D28BF" w:rsidRPr="00DA506E">
        <w:rPr>
          <w:rFonts w:ascii="Calibri" w:hAnsi="Calibri" w:cs="Calibri"/>
          <w:sz w:val="22"/>
          <w:szCs w:val="22"/>
        </w:rPr>
        <w:t xml:space="preserve">bedside </w:t>
      </w:r>
      <w:r w:rsidRPr="00DA506E">
        <w:rPr>
          <w:rFonts w:ascii="Calibri" w:hAnsi="Calibri" w:cs="Calibri"/>
          <w:sz w:val="22"/>
          <w:szCs w:val="22"/>
        </w:rPr>
        <w:t>nurses because they perceived that</w:t>
      </w:r>
      <w:r w:rsidR="00346E5C">
        <w:rPr>
          <w:rFonts w:ascii="Calibri" w:hAnsi="Calibri" w:cs="Calibri"/>
          <w:sz w:val="22"/>
          <w:szCs w:val="22"/>
        </w:rPr>
        <w:t xml:space="preserve"> </w:t>
      </w:r>
      <w:r w:rsidRPr="00DA506E">
        <w:rPr>
          <w:rFonts w:ascii="Calibri" w:hAnsi="Calibri" w:cs="Calibri"/>
          <w:sz w:val="22"/>
          <w:szCs w:val="22"/>
        </w:rPr>
        <w:t xml:space="preserve">patients had less bradycardias when </w:t>
      </w:r>
      <w:r w:rsidR="00995F3E">
        <w:rPr>
          <w:rFonts w:ascii="Calibri" w:hAnsi="Calibri" w:cs="Calibri"/>
          <w:sz w:val="22"/>
          <w:szCs w:val="22"/>
        </w:rPr>
        <w:t>receiving</w:t>
      </w:r>
      <w:r w:rsidRPr="00DA506E">
        <w:rPr>
          <w:rFonts w:ascii="Calibri" w:hAnsi="Calibri" w:cs="Calibri"/>
          <w:sz w:val="22"/>
          <w:szCs w:val="22"/>
        </w:rPr>
        <w:t xml:space="preserve"> clonidine. </w:t>
      </w:r>
    </w:p>
    <w:p w14:paraId="7FBA1D78" w14:textId="5FDD8D95" w:rsidR="00B51960" w:rsidRPr="00DA506E" w:rsidRDefault="00B51960" w:rsidP="002358F3">
      <w:pPr>
        <w:spacing w:after="200" w:line="360" w:lineRule="auto"/>
        <w:ind w:left="567" w:right="567"/>
        <w:jc w:val="both"/>
        <w:rPr>
          <w:rFonts w:ascii="Calibri" w:hAnsi="Calibri" w:cs="Calibri"/>
          <w:sz w:val="22"/>
          <w:szCs w:val="22"/>
        </w:rPr>
      </w:pPr>
      <w:r w:rsidRPr="00DA506E">
        <w:rPr>
          <w:rFonts w:ascii="Calibri" w:hAnsi="Calibri" w:cs="Calibri"/>
          <w:i/>
          <w:iCs/>
          <w:sz w:val="22"/>
          <w:szCs w:val="22"/>
        </w:rPr>
        <w:lastRenderedPageBreak/>
        <w:t>“…they're probably happier with clonidine. But you just get less bradycardia with it…</w:t>
      </w:r>
      <w:r w:rsidR="00BD092B">
        <w:rPr>
          <w:rFonts w:ascii="Calibri" w:hAnsi="Calibri" w:cs="Calibri"/>
          <w:i/>
          <w:iCs/>
          <w:sz w:val="22"/>
          <w:szCs w:val="22"/>
        </w:rPr>
        <w:t xml:space="preserve"> </w:t>
      </w:r>
      <w:r w:rsidRPr="00DA506E">
        <w:rPr>
          <w:rFonts w:ascii="Calibri" w:hAnsi="Calibri" w:cs="Calibri"/>
          <w:i/>
          <w:iCs/>
          <w:sz w:val="22"/>
          <w:szCs w:val="22"/>
        </w:rPr>
        <w:t>even though that might end up being an important result</w:t>
      </w:r>
      <w:r w:rsidR="00BD092B">
        <w:rPr>
          <w:rFonts w:ascii="Calibri" w:hAnsi="Calibri" w:cs="Calibri"/>
          <w:i/>
          <w:iCs/>
          <w:sz w:val="22"/>
          <w:szCs w:val="22"/>
        </w:rPr>
        <w:t xml:space="preserve">… </w:t>
      </w:r>
      <w:r w:rsidRPr="00DA506E">
        <w:rPr>
          <w:rFonts w:ascii="Calibri" w:hAnsi="Calibri" w:cs="Calibri"/>
          <w:i/>
          <w:iCs/>
          <w:sz w:val="22"/>
          <w:szCs w:val="22"/>
        </w:rPr>
        <w:t>it’s definitely the dex arm that’s been the most challenging…”</w:t>
      </w:r>
      <w:r w:rsidRPr="00DA506E">
        <w:rPr>
          <w:rFonts w:ascii="Calibri" w:hAnsi="Calibri" w:cs="Calibri"/>
          <w:sz w:val="22"/>
          <w:szCs w:val="22"/>
        </w:rPr>
        <w:t xml:space="preserve"> PI06/11</w:t>
      </w:r>
    </w:p>
    <w:p w14:paraId="220979DC" w14:textId="7E20D81C" w:rsidR="00DA506E" w:rsidRDefault="00DA506E" w:rsidP="002358F3">
      <w:pPr>
        <w:spacing w:after="200" w:line="360" w:lineRule="auto"/>
        <w:jc w:val="both"/>
        <w:rPr>
          <w:rFonts w:ascii="Calibri" w:hAnsi="Calibri" w:cs="Calibri"/>
          <w:sz w:val="22"/>
          <w:szCs w:val="22"/>
        </w:rPr>
      </w:pPr>
      <w:r w:rsidRPr="00DA506E">
        <w:rPr>
          <w:rFonts w:ascii="Calibri" w:hAnsi="Calibri" w:cs="Calibri"/>
          <w:sz w:val="22"/>
          <w:szCs w:val="22"/>
        </w:rPr>
        <w:t xml:space="preserve">However, staff at two units reported that familiarity with alpha-2 agonists and their use in usual practice sometimes posed a challenge to </w:t>
      </w:r>
      <w:r w:rsidR="00EB0A4B">
        <w:rPr>
          <w:rFonts w:ascii="Calibri" w:hAnsi="Calibri" w:cs="Calibri"/>
          <w:sz w:val="22"/>
          <w:szCs w:val="22"/>
        </w:rPr>
        <w:t xml:space="preserve">protocol </w:t>
      </w:r>
      <w:r w:rsidRPr="00DA506E">
        <w:rPr>
          <w:rFonts w:ascii="Calibri" w:hAnsi="Calibri" w:cs="Calibri"/>
          <w:sz w:val="22"/>
          <w:szCs w:val="22"/>
        </w:rPr>
        <w:t xml:space="preserve">adherence when patients were randomised to propofol. Usual </w:t>
      </w:r>
      <w:r w:rsidR="009A1FC9">
        <w:rPr>
          <w:rFonts w:ascii="Calibri" w:hAnsi="Calibri" w:cs="Calibri"/>
          <w:sz w:val="22"/>
          <w:szCs w:val="22"/>
        </w:rPr>
        <w:t xml:space="preserve">non-trial </w:t>
      </w:r>
      <w:r w:rsidRPr="00DA506E">
        <w:rPr>
          <w:rFonts w:ascii="Calibri" w:hAnsi="Calibri" w:cs="Calibri"/>
          <w:sz w:val="22"/>
          <w:szCs w:val="22"/>
        </w:rPr>
        <w:t xml:space="preserve">practice involved introducing an alpha-2 agonist alongside propofol when weaning agitated patients and PIs discussed how it was difficult to not do this when patients were enrolled in the trial. This led to protocol deviations by the introduction of alpha-2 agonists when patients had been randomised to </w:t>
      </w:r>
      <w:r w:rsidR="00AA38B6">
        <w:rPr>
          <w:rFonts w:ascii="Calibri" w:hAnsi="Calibri" w:cs="Calibri"/>
          <w:sz w:val="22"/>
          <w:szCs w:val="22"/>
        </w:rPr>
        <w:t xml:space="preserve">the </w:t>
      </w:r>
      <w:r w:rsidR="000A0159">
        <w:rPr>
          <w:rFonts w:ascii="Calibri" w:hAnsi="Calibri" w:cs="Calibri"/>
          <w:sz w:val="22"/>
          <w:szCs w:val="22"/>
        </w:rPr>
        <w:t>p</w:t>
      </w:r>
      <w:r w:rsidR="00AA38B6">
        <w:rPr>
          <w:rFonts w:ascii="Calibri" w:hAnsi="Calibri" w:cs="Calibri"/>
          <w:sz w:val="22"/>
          <w:szCs w:val="22"/>
        </w:rPr>
        <w:t>ropofol arm</w:t>
      </w:r>
      <w:r w:rsidRPr="00DA506E">
        <w:rPr>
          <w:rFonts w:ascii="Calibri" w:hAnsi="Calibri" w:cs="Calibri"/>
          <w:sz w:val="22"/>
          <w:szCs w:val="22"/>
        </w:rPr>
        <w:t xml:space="preserve">. A PI at a third unit </w:t>
      </w:r>
      <w:r w:rsidR="000C1424">
        <w:rPr>
          <w:rFonts w:ascii="Calibri" w:hAnsi="Calibri" w:cs="Calibri"/>
          <w:sz w:val="22"/>
          <w:szCs w:val="22"/>
        </w:rPr>
        <w:t>indicated</w:t>
      </w:r>
      <w:r w:rsidRPr="00DA506E">
        <w:rPr>
          <w:rFonts w:ascii="Calibri" w:hAnsi="Calibri" w:cs="Calibri"/>
          <w:sz w:val="22"/>
          <w:szCs w:val="22"/>
        </w:rPr>
        <w:t xml:space="preserve"> the focus on lighter sedation was much easier when patients were not randomised to propofol. They felt familiarity with propofol as a first-line sedative</w:t>
      </w:r>
      <w:r w:rsidR="004B682C">
        <w:rPr>
          <w:rFonts w:ascii="Calibri" w:hAnsi="Calibri" w:cs="Calibri"/>
          <w:sz w:val="22"/>
          <w:szCs w:val="22"/>
        </w:rPr>
        <w:t xml:space="preserve"> prevented clinicians from adhering to the protocol</w:t>
      </w:r>
      <w:r w:rsidRPr="00DA506E">
        <w:rPr>
          <w:rFonts w:ascii="Calibri" w:hAnsi="Calibri" w:cs="Calibri"/>
          <w:sz w:val="22"/>
          <w:szCs w:val="22"/>
        </w:rPr>
        <w:t xml:space="preserve"> and</w:t>
      </w:r>
      <w:r w:rsidR="004B682C">
        <w:rPr>
          <w:rFonts w:ascii="Calibri" w:hAnsi="Calibri" w:cs="Calibri"/>
          <w:sz w:val="22"/>
          <w:szCs w:val="22"/>
        </w:rPr>
        <w:t xml:space="preserve"> </w:t>
      </w:r>
      <w:r w:rsidR="000E2CE6">
        <w:rPr>
          <w:rFonts w:ascii="Calibri" w:hAnsi="Calibri" w:cs="Calibri"/>
          <w:sz w:val="22"/>
          <w:szCs w:val="22"/>
        </w:rPr>
        <w:t>challenged</w:t>
      </w:r>
      <w:r w:rsidRPr="00DA506E">
        <w:rPr>
          <w:rFonts w:ascii="Calibri" w:hAnsi="Calibri" w:cs="Calibri"/>
          <w:sz w:val="22"/>
          <w:szCs w:val="22"/>
        </w:rPr>
        <w:t xml:space="preserve"> the</w:t>
      </w:r>
      <w:r w:rsidR="004B682C">
        <w:rPr>
          <w:rFonts w:ascii="Calibri" w:hAnsi="Calibri" w:cs="Calibri"/>
          <w:sz w:val="22"/>
          <w:szCs w:val="22"/>
        </w:rPr>
        <w:t>ir</w:t>
      </w:r>
      <w:r w:rsidRPr="00DA506E">
        <w:rPr>
          <w:rFonts w:ascii="Calibri" w:hAnsi="Calibri" w:cs="Calibri"/>
          <w:sz w:val="22"/>
          <w:szCs w:val="22"/>
        </w:rPr>
        <w:t xml:space="preserve"> tendency to over-sedate patients</w:t>
      </w:r>
      <w:r w:rsidR="004B682C">
        <w:rPr>
          <w:rFonts w:ascii="Calibri" w:hAnsi="Calibri" w:cs="Calibri"/>
          <w:sz w:val="22"/>
          <w:szCs w:val="22"/>
        </w:rPr>
        <w:t>. In contrast,</w:t>
      </w:r>
      <w:r w:rsidR="00DD7BBC">
        <w:rPr>
          <w:rFonts w:ascii="Calibri" w:hAnsi="Calibri" w:cs="Calibri"/>
          <w:sz w:val="22"/>
          <w:szCs w:val="22"/>
        </w:rPr>
        <w:t xml:space="preserve"> a small number of</w:t>
      </w:r>
      <w:r w:rsidR="004B682C">
        <w:rPr>
          <w:rFonts w:ascii="Calibri" w:hAnsi="Calibri" w:cs="Calibri"/>
          <w:sz w:val="22"/>
          <w:szCs w:val="22"/>
        </w:rPr>
        <w:t xml:space="preserve"> clinicians found </w:t>
      </w:r>
      <w:r w:rsidR="00953B12">
        <w:rPr>
          <w:rFonts w:ascii="Calibri" w:hAnsi="Calibri" w:cs="Calibri"/>
          <w:sz w:val="22"/>
          <w:szCs w:val="22"/>
        </w:rPr>
        <w:t xml:space="preserve">it </w:t>
      </w:r>
      <w:r w:rsidRPr="00DA506E">
        <w:rPr>
          <w:rFonts w:ascii="Calibri" w:hAnsi="Calibri" w:cs="Calibri"/>
          <w:sz w:val="22"/>
          <w:szCs w:val="22"/>
        </w:rPr>
        <w:t xml:space="preserve">easier to focus on the aim of the trial and adhere to the protocol when patients were randomised to either alpha-2 agonist.  </w:t>
      </w:r>
    </w:p>
    <w:p w14:paraId="6094AABC" w14:textId="638C3B46" w:rsidR="00265658" w:rsidRPr="007B4123" w:rsidRDefault="00265658" w:rsidP="002358F3">
      <w:pPr>
        <w:spacing w:after="200" w:line="360" w:lineRule="auto"/>
        <w:ind w:left="567" w:right="567"/>
        <w:jc w:val="both"/>
        <w:rPr>
          <w:rFonts w:ascii="Calibri" w:hAnsi="Calibri" w:cs="Calibri"/>
          <w:i/>
          <w:iCs/>
          <w:sz w:val="22"/>
          <w:szCs w:val="22"/>
        </w:rPr>
      </w:pPr>
      <w:r w:rsidRPr="003E095F">
        <w:rPr>
          <w:rFonts w:ascii="Calibri" w:hAnsi="Calibri" w:cs="Calibri"/>
          <w:i/>
          <w:iCs/>
          <w:sz w:val="22"/>
          <w:szCs w:val="22"/>
        </w:rPr>
        <w:t>“I think the only danger with the propofol is…</w:t>
      </w:r>
      <w:r w:rsidR="00D21F88">
        <w:rPr>
          <w:rFonts w:ascii="Calibri" w:hAnsi="Calibri" w:cs="Calibri"/>
          <w:i/>
          <w:iCs/>
          <w:sz w:val="22"/>
          <w:szCs w:val="22"/>
        </w:rPr>
        <w:t xml:space="preserve"> </w:t>
      </w:r>
      <w:r w:rsidRPr="003E095F">
        <w:rPr>
          <w:rFonts w:ascii="Calibri" w:hAnsi="Calibri" w:cs="Calibri"/>
          <w:i/>
          <w:iCs/>
          <w:sz w:val="22"/>
          <w:szCs w:val="22"/>
        </w:rPr>
        <w:t>there’s just a tendency and a global tendency to over sedate patients. I think on the treatment arms if you like, maybe there’s a little bit more focus. But sometimes on the propofol arm, it’s easy just to sit back</w:t>
      </w:r>
      <w:r w:rsidR="00002C21">
        <w:rPr>
          <w:rFonts w:ascii="Calibri" w:hAnsi="Calibri" w:cs="Calibri"/>
          <w:i/>
          <w:iCs/>
          <w:sz w:val="22"/>
          <w:szCs w:val="22"/>
        </w:rPr>
        <w:t xml:space="preserve">… </w:t>
      </w:r>
      <w:r w:rsidR="00800991">
        <w:rPr>
          <w:rFonts w:ascii="Calibri" w:hAnsi="Calibri" w:cs="Calibri"/>
          <w:i/>
          <w:iCs/>
          <w:sz w:val="22"/>
          <w:szCs w:val="22"/>
        </w:rPr>
        <w:t>a</w:t>
      </w:r>
      <w:r w:rsidRPr="003E095F">
        <w:rPr>
          <w:rFonts w:ascii="Calibri" w:hAnsi="Calibri" w:cs="Calibri"/>
          <w:i/>
          <w:iCs/>
          <w:sz w:val="22"/>
          <w:szCs w:val="22"/>
        </w:rPr>
        <w:t xml:space="preserve"> side effect almost of the fact that people are doing what they normally do</w:t>
      </w:r>
      <w:r w:rsidR="00002C21">
        <w:rPr>
          <w:rFonts w:ascii="Calibri" w:hAnsi="Calibri" w:cs="Calibri"/>
          <w:i/>
          <w:iCs/>
          <w:sz w:val="22"/>
          <w:szCs w:val="22"/>
        </w:rPr>
        <w:t xml:space="preserve">… </w:t>
      </w:r>
      <w:r w:rsidRPr="003E095F">
        <w:rPr>
          <w:rFonts w:ascii="Calibri" w:hAnsi="Calibri" w:cs="Calibri"/>
          <w:i/>
          <w:iCs/>
          <w:sz w:val="22"/>
          <w:szCs w:val="22"/>
        </w:rPr>
        <w:t>rather than trying to hit the RASS.”</w:t>
      </w:r>
      <w:r w:rsidRPr="007B4123">
        <w:rPr>
          <w:rFonts w:ascii="Calibri" w:hAnsi="Calibri" w:cs="Calibri"/>
          <w:i/>
          <w:iCs/>
          <w:sz w:val="22"/>
          <w:szCs w:val="22"/>
        </w:rPr>
        <w:t xml:space="preserve"> PI05/19</w:t>
      </w:r>
    </w:p>
    <w:p w14:paraId="4266E8E1" w14:textId="77777777" w:rsidR="00FF07F5" w:rsidRPr="008B153E" w:rsidRDefault="00DA506E" w:rsidP="002358F3">
      <w:pPr>
        <w:spacing w:after="200" w:line="360" w:lineRule="auto"/>
        <w:jc w:val="both"/>
        <w:rPr>
          <w:rFonts w:ascii="Calibri" w:hAnsi="Calibri" w:cs="Calibri"/>
          <w:sz w:val="22"/>
          <w:szCs w:val="22"/>
        </w:rPr>
      </w:pPr>
      <w:r w:rsidRPr="00DA506E">
        <w:rPr>
          <w:rFonts w:ascii="Calibri" w:hAnsi="Calibri" w:cs="Calibri"/>
          <w:sz w:val="22"/>
          <w:szCs w:val="22"/>
        </w:rPr>
        <w:t xml:space="preserve">Staff at one third of units reported a preference for usual care (propofol). This opinion was held predominantly by </w:t>
      </w:r>
      <w:r w:rsidR="008D172E">
        <w:rPr>
          <w:rFonts w:ascii="Calibri" w:hAnsi="Calibri" w:cs="Calibri"/>
          <w:sz w:val="22"/>
          <w:szCs w:val="22"/>
        </w:rPr>
        <w:t xml:space="preserve">bedside nurses </w:t>
      </w:r>
      <w:r w:rsidRPr="00DA506E">
        <w:rPr>
          <w:rFonts w:ascii="Calibri" w:hAnsi="Calibri" w:cs="Calibri"/>
          <w:sz w:val="22"/>
          <w:szCs w:val="22"/>
        </w:rPr>
        <w:t xml:space="preserve">who </w:t>
      </w:r>
      <w:r w:rsidR="00695787">
        <w:rPr>
          <w:rFonts w:ascii="Calibri" w:hAnsi="Calibri" w:cs="Calibri"/>
          <w:sz w:val="22"/>
          <w:szCs w:val="22"/>
        </w:rPr>
        <w:t xml:space="preserve">preferred </w:t>
      </w:r>
      <w:r w:rsidRPr="00DA506E">
        <w:rPr>
          <w:rFonts w:ascii="Calibri" w:hAnsi="Calibri" w:cs="Calibri"/>
          <w:sz w:val="22"/>
          <w:szCs w:val="22"/>
        </w:rPr>
        <w:t xml:space="preserve">the </w:t>
      </w:r>
      <w:r w:rsidR="008D172E">
        <w:rPr>
          <w:rFonts w:ascii="Calibri" w:hAnsi="Calibri" w:cs="Calibri"/>
          <w:sz w:val="22"/>
          <w:szCs w:val="22"/>
        </w:rPr>
        <w:t xml:space="preserve">medication </w:t>
      </w:r>
      <w:r w:rsidRPr="00DA506E">
        <w:rPr>
          <w:rFonts w:ascii="Calibri" w:hAnsi="Calibri" w:cs="Calibri"/>
          <w:sz w:val="22"/>
          <w:szCs w:val="22"/>
        </w:rPr>
        <w:t xml:space="preserve">they were most familiar with, and a preference for the </w:t>
      </w:r>
      <w:r w:rsidR="008D172E">
        <w:rPr>
          <w:rFonts w:ascii="Calibri" w:hAnsi="Calibri" w:cs="Calibri"/>
          <w:sz w:val="22"/>
          <w:szCs w:val="22"/>
        </w:rPr>
        <w:t>rapid onset somnolen</w:t>
      </w:r>
      <w:r w:rsidR="00AC52F1">
        <w:rPr>
          <w:rFonts w:ascii="Calibri" w:hAnsi="Calibri" w:cs="Calibri"/>
          <w:sz w:val="22"/>
          <w:szCs w:val="22"/>
        </w:rPr>
        <w:t>ce and sedation that</w:t>
      </w:r>
      <w:r w:rsidRPr="00DA506E">
        <w:rPr>
          <w:rFonts w:ascii="Calibri" w:hAnsi="Calibri" w:cs="Calibri"/>
          <w:sz w:val="22"/>
          <w:szCs w:val="22"/>
        </w:rPr>
        <w:t xml:space="preserve"> propofol offer</w:t>
      </w:r>
      <w:r w:rsidR="00AC52F1">
        <w:rPr>
          <w:rFonts w:ascii="Calibri" w:hAnsi="Calibri" w:cs="Calibri"/>
          <w:sz w:val="22"/>
          <w:szCs w:val="22"/>
        </w:rPr>
        <w:t>s</w:t>
      </w:r>
      <w:r w:rsidRPr="00DA506E">
        <w:rPr>
          <w:rFonts w:ascii="Calibri" w:hAnsi="Calibri" w:cs="Calibri"/>
          <w:sz w:val="22"/>
          <w:szCs w:val="22"/>
        </w:rPr>
        <w:t>. Furthermore, they also</w:t>
      </w:r>
      <w:r w:rsidR="00C84AA0">
        <w:rPr>
          <w:rFonts w:ascii="Calibri" w:hAnsi="Calibri" w:cs="Calibri"/>
          <w:sz w:val="22"/>
          <w:szCs w:val="22"/>
        </w:rPr>
        <w:t xml:space="preserve"> </w:t>
      </w:r>
      <w:r w:rsidR="00060980">
        <w:rPr>
          <w:rFonts w:ascii="Calibri" w:hAnsi="Calibri" w:cs="Calibri"/>
          <w:sz w:val="22"/>
          <w:szCs w:val="22"/>
        </w:rPr>
        <w:t>described</w:t>
      </w:r>
      <w:r w:rsidR="00060980" w:rsidRPr="00DA506E">
        <w:rPr>
          <w:rFonts w:ascii="Calibri" w:hAnsi="Calibri" w:cs="Calibri"/>
          <w:sz w:val="22"/>
          <w:szCs w:val="22"/>
        </w:rPr>
        <w:t xml:space="preserve"> </w:t>
      </w:r>
      <w:r w:rsidRPr="00DA506E">
        <w:rPr>
          <w:rFonts w:ascii="Calibri" w:hAnsi="Calibri" w:cs="Calibri"/>
          <w:sz w:val="22"/>
          <w:szCs w:val="22"/>
        </w:rPr>
        <w:t xml:space="preserve">a lower tolerance for risk and </w:t>
      </w:r>
      <w:r w:rsidR="00FC0024">
        <w:rPr>
          <w:rFonts w:ascii="Calibri" w:hAnsi="Calibri" w:cs="Calibri"/>
          <w:sz w:val="22"/>
          <w:szCs w:val="22"/>
        </w:rPr>
        <w:t xml:space="preserve">thus </w:t>
      </w:r>
      <w:r w:rsidRPr="00DA506E">
        <w:rPr>
          <w:rFonts w:ascii="Calibri" w:hAnsi="Calibri" w:cs="Calibri"/>
          <w:sz w:val="22"/>
          <w:szCs w:val="22"/>
        </w:rPr>
        <w:t xml:space="preserve">patients </w:t>
      </w:r>
      <w:r w:rsidR="00FC0024">
        <w:rPr>
          <w:rFonts w:ascii="Calibri" w:hAnsi="Calibri" w:cs="Calibri"/>
          <w:sz w:val="22"/>
          <w:szCs w:val="22"/>
        </w:rPr>
        <w:t xml:space="preserve">were </w:t>
      </w:r>
      <w:r w:rsidRPr="00DA506E">
        <w:rPr>
          <w:rFonts w:ascii="Calibri" w:hAnsi="Calibri" w:cs="Calibri"/>
          <w:sz w:val="22"/>
          <w:szCs w:val="22"/>
        </w:rPr>
        <w:t xml:space="preserve">more deeply sedated than mandated in </w:t>
      </w:r>
      <w:r w:rsidRPr="008B153E">
        <w:rPr>
          <w:rFonts w:ascii="Calibri" w:hAnsi="Calibri" w:cs="Calibri"/>
          <w:sz w:val="22"/>
          <w:szCs w:val="22"/>
        </w:rPr>
        <w:t xml:space="preserve">the protocol by supplementing the alpha-2 agonists with additional propofol. </w:t>
      </w:r>
    </w:p>
    <w:p w14:paraId="0100DFE0" w14:textId="63F9B2D4" w:rsidR="00DA506E" w:rsidRPr="008B153E" w:rsidRDefault="00E0601E" w:rsidP="002358F3">
      <w:pPr>
        <w:keepNext/>
        <w:keepLines/>
        <w:spacing w:after="200" w:line="360" w:lineRule="auto"/>
        <w:jc w:val="both"/>
        <w:outlineLvl w:val="2"/>
        <w:rPr>
          <w:rFonts w:ascii="Calibri" w:eastAsiaTheme="majorEastAsia" w:hAnsi="Calibri" w:cs="Calibri"/>
          <w:i/>
          <w:iCs/>
          <w:color w:val="000000" w:themeColor="text1"/>
          <w:sz w:val="22"/>
          <w:szCs w:val="22"/>
        </w:rPr>
      </w:pPr>
      <w:bookmarkStart w:id="5" w:name="_Toc168393571"/>
      <w:r w:rsidRPr="008B153E">
        <w:rPr>
          <w:rFonts w:ascii="Calibri" w:eastAsiaTheme="majorEastAsia" w:hAnsi="Calibri" w:cs="Calibri"/>
          <w:i/>
          <w:iCs/>
          <w:color w:val="000000" w:themeColor="text1"/>
          <w:sz w:val="22"/>
          <w:szCs w:val="22"/>
        </w:rPr>
        <w:t>Individual e</w:t>
      </w:r>
      <w:r w:rsidR="00DA506E" w:rsidRPr="008B153E">
        <w:rPr>
          <w:rFonts w:ascii="Calibri" w:eastAsiaTheme="majorEastAsia" w:hAnsi="Calibri" w:cs="Calibri"/>
          <w:i/>
          <w:iCs/>
          <w:color w:val="000000" w:themeColor="text1"/>
          <w:sz w:val="22"/>
          <w:szCs w:val="22"/>
        </w:rPr>
        <w:t>quipoise</w:t>
      </w:r>
      <w:bookmarkEnd w:id="5"/>
      <w:r w:rsidR="00DA506E" w:rsidRPr="008B153E">
        <w:rPr>
          <w:rFonts w:ascii="Calibri" w:eastAsiaTheme="majorEastAsia" w:hAnsi="Calibri" w:cs="Calibri"/>
          <w:i/>
          <w:iCs/>
          <w:color w:val="000000" w:themeColor="text1"/>
          <w:sz w:val="22"/>
          <w:szCs w:val="22"/>
        </w:rPr>
        <w:t xml:space="preserve"> </w:t>
      </w:r>
    </w:p>
    <w:p w14:paraId="19994994" w14:textId="3E35D800" w:rsidR="0006435B" w:rsidRPr="008B153E" w:rsidRDefault="00DA506E" w:rsidP="002358F3">
      <w:pPr>
        <w:spacing w:after="200" w:line="360" w:lineRule="auto"/>
        <w:jc w:val="both"/>
        <w:rPr>
          <w:rFonts w:ascii="Calibri" w:hAnsi="Calibri" w:cs="Calibri"/>
          <w:sz w:val="22"/>
          <w:szCs w:val="22"/>
        </w:rPr>
      </w:pPr>
      <w:r w:rsidRPr="008B153E">
        <w:rPr>
          <w:rFonts w:ascii="Calibri" w:hAnsi="Calibri" w:cs="Calibri"/>
          <w:sz w:val="22"/>
          <w:szCs w:val="22"/>
        </w:rPr>
        <w:t xml:space="preserve">Staff at over half of the units reported equipoise </w:t>
      </w:r>
      <w:r w:rsidR="00DD6615" w:rsidRPr="008B153E">
        <w:rPr>
          <w:rFonts w:ascii="Calibri" w:hAnsi="Calibri" w:cs="Calibri"/>
          <w:sz w:val="22"/>
          <w:szCs w:val="22"/>
        </w:rPr>
        <w:t>related to sedative use</w:t>
      </w:r>
      <w:r w:rsidR="008D0AE1" w:rsidRPr="008B153E">
        <w:rPr>
          <w:rFonts w:ascii="Calibri" w:hAnsi="Calibri" w:cs="Calibri"/>
          <w:sz w:val="22"/>
          <w:szCs w:val="22"/>
        </w:rPr>
        <w:t xml:space="preserve">, while staff at a third of units said there was not sufficient </w:t>
      </w:r>
      <w:r w:rsidR="00D27087" w:rsidRPr="008B153E">
        <w:rPr>
          <w:rFonts w:ascii="Calibri" w:hAnsi="Calibri" w:cs="Calibri"/>
          <w:sz w:val="22"/>
          <w:szCs w:val="22"/>
        </w:rPr>
        <w:t xml:space="preserve">individual </w:t>
      </w:r>
      <w:r w:rsidR="008D0AE1" w:rsidRPr="008B153E">
        <w:rPr>
          <w:rFonts w:ascii="Calibri" w:hAnsi="Calibri" w:cs="Calibri"/>
          <w:sz w:val="22"/>
          <w:szCs w:val="22"/>
        </w:rPr>
        <w:t xml:space="preserve">equipoise on this topic at their unit to deliver the </w:t>
      </w:r>
      <w:r w:rsidR="00D822D4" w:rsidRPr="008B153E">
        <w:rPr>
          <w:rFonts w:ascii="Calibri" w:hAnsi="Calibri" w:cs="Calibri"/>
          <w:sz w:val="22"/>
          <w:szCs w:val="22"/>
        </w:rPr>
        <w:t>trial</w:t>
      </w:r>
      <w:r w:rsidR="008D0AE1" w:rsidRPr="008B153E">
        <w:rPr>
          <w:rFonts w:ascii="Calibri" w:hAnsi="Calibri" w:cs="Calibri"/>
          <w:sz w:val="22"/>
          <w:szCs w:val="22"/>
        </w:rPr>
        <w:t xml:space="preserve"> without</w:t>
      </w:r>
      <w:r w:rsidR="00CB28BF" w:rsidRPr="008B153E">
        <w:rPr>
          <w:rFonts w:ascii="Calibri" w:hAnsi="Calibri" w:cs="Calibri"/>
          <w:sz w:val="22"/>
          <w:szCs w:val="22"/>
        </w:rPr>
        <w:t xml:space="preserve"> clinician</w:t>
      </w:r>
      <w:r w:rsidR="008D0AE1" w:rsidRPr="008B153E">
        <w:rPr>
          <w:rFonts w:ascii="Calibri" w:hAnsi="Calibri" w:cs="Calibri"/>
          <w:sz w:val="22"/>
          <w:szCs w:val="22"/>
        </w:rPr>
        <w:t xml:space="preserve"> resistance</w:t>
      </w:r>
      <w:r w:rsidRPr="008B153E">
        <w:rPr>
          <w:rFonts w:ascii="Calibri" w:hAnsi="Calibri" w:cs="Calibri"/>
          <w:sz w:val="22"/>
          <w:szCs w:val="22"/>
        </w:rPr>
        <w:t>.</w:t>
      </w:r>
      <w:r w:rsidR="002454F5" w:rsidRPr="008B153E">
        <w:rPr>
          <w:rFonts w:ascii="Calibri" w:hAnsi="Calibri" w:cs="Calibri"/>
          <w:sz w:val="22"/>
          <w:szCs w:val="22"/>
        </w:rPr>
        <w:t xml:space="preserve"> </w:t>
      </w:r>
      <w:r w:rsidRPr="008B153E">
        <w:rPr>
          <w:rFonts w:ascii="Calibri" w:hAnsi="Calibri" w:cs="Calibri"/>
          <w:sz w:val="22"/>
          <w:szCs w:val="22"/>
        </w:rPr>
        <w:t>The core reasons relate</w:t>
      </w:r>
      <w:r w:rsidR="00F331FE" w:rsidRPr="008B153E">
        <w:rPr>
          <w:rFonts w:ascii="Calibri" w:hAnsi="Calibri" w:cs="Calibri"/>
          <w:sz w:val="22"/>
          <w:szCs w:val="22"/>
        </w:rPr>
        <w:t>d</w:t>
      </w:r>
      <w:r w:rsidRPr="008B153E">
        <w:rPr>
          <w:rFonts w:ascii="Calibri" w:hAnsi="Calibri" w:cs="Calibri"/>
          <w:sz w:val="22"/>
          <w:szCs w:val="22"/>
        </w:rPr>
        <w:t xml:space="preserve"> to preference for, or </w:t>
      </w:r>
      <w:r w:rsidR="003E34D6" w:rsidRPr="008B153E">
        <w:rPr>
          <w:rFonts w:ascii="Calibri" w:hAnsi="Calibri" w:cs="Calibri"/>
          <w:sz w:val="22"/>
          <w:szCs w:val="22"/>
        </w:rPr>
        <w:t xml:space="preserve">personal </w:t>
      </w:r>
      <w:r w:rsidRPr="008B153E">
        <w:rPr>
          <w:rFonts w:ascii="Calibri" w:hAnsi="Calibri" w:cs="Calibri"/>
          <w:sz w:val="22"/>
          <w:szCs w:val="22"/>
        </w:rPr>
        <w:t>dislike of,</w:t>
      </w:r>
      <w:r w:rsidR="003E34D6" w:rsidRPr="008B153E">
        <w:rPr>
          <w:rFonts w:ascii="Calibri" w:hAnsi="Calibri" w:cs="Calibri"/>
          <w:sz w:val="22"/>
          <w:szCs w:val="22"/>
        </w:rPr>
        <w:t xml:space="preserve"> </w:t>
      </w:r>
      <w:r w:rsidR="00865D11" w:rsidRPr="008B153E">
        <w:rPr>
          <w:rFonts w:ascii="Calibri" w:hAnsi="Calibri" w:cs="Calibri"/>
          <w:sz w:val="22"/>
          <w:szCs w:val="22"/>
        </w:rPr>
        <w:t>specific</w:t>
      </w:r>
      <w:r w:rsidR="003E34D6" w:rsidRPr="008B153E">
        <w:rPr>
          <w:rFonts w:ascii="Calibri" w:hAnsi="Calibri" w:cs="Calibri"/>
          <w:sz w:val="22"/>
          <w:szCs w:val="22"/>
        </w:rPr>
        <w:t xml:space="preserve"> medicatio</w:t>
      </w:r>
      <w:r w:rsidR="00865D11" w:rsidRPr="008B153E">
        <w:rPr>
          <w:rFonts w:ascii="Calibri" w:hAnsi="Calibri" w:cs="Calibri"/>
          <w:sz w:val="22"/>
          <w:szCs w:val="22"/>
        </w:rPr>
        <w:t>ns</w:t>
      </w:r>
      <w:r w:rsidR="0006435B" w:rsidRPr="008B153E">
        <w:rPr>
          <w:rFonts w:ascii="Calibri" w:hAnsi="Calibri" w:cs="Calibri"/>
          <w:sz w:val="22"/>
          <w:szCs w:val="22"/>
        </w:rPr>
        <w:t>, with examples including:</w:t>
      </w:r>
    </w:p>
    <w:p w14:paraId="28A864E5" w14:textId="79312751" w:rsidR="00F66C96" w:rsidRPr="008B153E" w:rsidRDefault="00F66C96" w:rsidP="002358F3">
      <w:pPr>
        <w:pStyle w:val="ListParagraph"/>
        <w:numPr>
          <w:ilvl w:val="0"/>
          <w:numId w:val="9"/>
        </w:numPr>
        <w:spacing w:after="200" w:line="360" w:lineRule="auto"/>
        <w:jc w:val="both"/>
        <w:rPr>
          <w:rFonts w:ascii="Calibri" w:hAnsi="Calibri" w:cs="Calibri"/>
          <w:sz w:val="22"/>
          <w:szCs w:val="22"/>
        </w:rPr>
      </w:pPr>
      <w:r w:rsidRPr="008B153E">
        <w:rPr>
          <w:rFonts w:ascii="Calibri" w:hAnsi="Calibri" w:cs="Calibri"/>
          <w:sz w:val="22"/>
          <w:szCs w:val="22"/>
        </w:rPr>
        <w:t xml:space="preserve">In a </w:t>
      </w:r>
      <w:r w:rsidR="00DA506E" w:rsidRPr="008B153E">
        <w:rPr>
          <w:rFonts w:ascii="Calibri" w:hAnsi="Calibri" w:cs="Calibri"/>
          <w:sz w:val="22"/>
          <w:szCs w:val="22"/>
        </w:rPr>
        <w:t xml:space="preserve">unit </w:t>
      </w:r>
      <w:r w:rsidR="00BB10BD" w:rsidRPr="008B153E">
        <w:rPr>
          <w:rFonts w:ascii="Calibri" w:hAnsi="Calibri" w:cs="Calibri"/>
          <w:sz w:val="22"/>
          <w:szCs w:val="22"/>
        </w:rPr>
        <w:t xml:space="preserve">with </w:t>
      </w:r>
      <w:r w:rsidR="00DA506E" w:rsidRPr="008B153E">
        <w:rPr>
          <w:rFonts w:ascii="Calibri" w:hAnsi="Calibri" w:cs="Calibri"/>
          <w:sz w:val="22"/>
          <w:szCs w:val="22"/>
        </w:rPr>
        <w:t>a high proportion of cardiac intensiv</w:t>
      </w:r>
      <w:r w:rsidR="009A2F01" w:rsidRPr="008B153E">
        <w:rPr>
          <w:rFonts w:ascii="Calibri" w:hAnsi="Calibri" w:cs="Calibri"/>
          <w:sz w:val="22"/>
          <w:szCs w:val="22"/>
        </w:rPr>
        <w:t xml:space="preserve">e care consultants </w:t>
      </w:r>
      <w:r w:rsidR="00DA506E" w:rsidRPr="008B153E">
        <w:rPr>
          <w:rFonts w:ascii="Calibri" w:hAnsi="Calibri" w:cs="Calibri"/>
          <w:sz w:val="22"/>
          <w:szCs w:val="22"/>
        </w:rPr>
        <w:t xml:space="preserve">it was perceived they had a </w:t>
      </w:r>
      <w:r w:rsidR="005F2A42" w:rsidRPr="008B153E">
        <w:rPr>
          <w:rFonts w:ascii="Calibri" w:hAnsi="Calibri" w:cs="Calibri"/>
          <w:sz w:val="22"/>
          <w:szCs w:val="22"/>
        </w:rPr>
        <w:t xml:space="preserve">lower </w:t>
      </w:r>
      <w:r w:rsidR="00DA506E" w:rsidRPr="008B153E">
        <w:rPr>
          <w:rFonts w:ascii="Calibri" w:hAnsi="Calibri" w:cs="Calibri"/>
          <w:sz w:val="22"/>
          <w:szCs w:val="22"/>
        </w:rPr>
        <w:t>threshold for risk relating to cardiovascular instability and thus reticence to have patients on alpha-2 agonists as first line sedation</w:t>
      </w:r>
    </w:p>
    <w:p w14:paraId="5F337806" w14:textId="7A847694" w:rsidR="00CC4E8B" w:rsidRPr="008B153E" w:rsidRDefault="006E331E" w:rsidP="002358F3">
      <w:pPr>
        <w:pStyle w:val="ListParagraph"/>
        <w:numPr>
          <w:ilvl w:val="0"/>
          <w:numId w:val="9"/>
        </w:numPr>
        <w:spacing w:after="200" w:line="360" w:lineRule="auto"/>
        <w:jc w:val="both"/>
        <w:rPr>
          <w:rFonts w:ascii="Calibri" w:hAnsi="Calibri" w:cs="Calibri"/>
          <w:sz w:val="22"/>
          <w:szCs w:val="22"/>
        </w:rPr>
      </w:pPr>
      <w:r w:rsidRPr="008B153E">
        <w:rPr>
          <w:rFonts w:ascii="Calibri" w:hAnsi="Calibri" w:cs="Calibri"/>
          <w:sz w:val="22"/>
          <w:szCs w:val="22"/>
        </w:rPr>
        <w:lastRenderedPageBreak/>
        <w:t>A</w:t>
      </w:r>
      <w:r w:rsidR="000C2F69" w:rsidRPr="008B153E">
        <w:rPr>
          <w:rFonts w:ascii="Calibri" w:hAnsi="Calibri" w:cs="Calibri"/>
          <w:sz w:val="22"/>
          <w:szCs w:val="22"/>
        </w:rPr>
        <w:t xml:space="preserve"> </w:t>
      </w:r>
      <w:r w:rsidR="00DA506E" w:rsidRPr="008B153E">
        <w:rPr>
          <w:rFonts w:ascii="Calibri" w:hAnsi="Calibri" w:cs="Calibri"/>
          <w:sz w:val="22"/>
          <w:szCs w:val="22"/>
        </w:rPr>
        <w:t xml:space="preserve">consultant </w:t>
      </w:r>
      <w:r w:rsidR="00CC4E8B" w:rsidRPr="008B153E">
        <w:rPr>
          <w:rFonts w:ascii="Calibri" w:hAnsi="Calibri" w:cs="Calibri"/>
          <w:sz w:val="22"/>
          <w:szCs w:val="22"/>
        </w:rPr>
        <w:t xml:space="preserve">who </w:t>
      </w:r>
      <w:r w:rsidR="00DA506E" w:rsidRPr="008B153E">
        <w:rPr>
          <w:rFonts w:ascii="Calibri" w:hAnsi="Calibri" w:cs="Calibri"/>
          <w:sz w:val="22"/>
          <w:szCs w:val="22"/>
        </w:rPr>
        <w:t xml:space="preserve">voiced a strong dislike of dexmedetomidine and had a very low threshold for stopping </w:t>
      </w:r>
      <w:r w:rsidR="00147411" w:rsidRPr="008B153E">
        <w:rPr>
          <w:rFonts w:ascii="Calibri" w:hAnsi="Calibri" w:cs="Calibri"/>
          <w:sz w:val="22"/>
          <w:szCs w:val="22"/>
        </w:rPr>
        <w:t xml:space="preserve">trial medications </w:t>
      </w:r>
      <w:r w:rsidR="00DA506E" w:rsidRPr="008B153E">
        <w:rPr>
          <w:rFonts w:ascii="Calibri" w:hAnsi="Calibri" w:cs="Calibri"/>
          <w:sz w:val="22"/>
          <w:szCs w:val="22"/>
        </w:rPr>
        <w:t>in A2B patients if they deteriorated</w:t>
      </w:r>
      <w:r w:rsidR="00245430" w:rsidRPr="008B153E">
        <w:rPr>
          <w:rFonts w:ascii="Calibri" w:hAnsi="Calibri" w:cs="Calibri"/>
          <w:sz w:val="22"/>
          <w:szCs w:val="22"/>
        </w:rPr>
        <w:t>,</w:t>
      </w:r>
      <w:r w:rsidR="00CC4E8B" w:rsidRPr="008B153E">
        <w:rPr>
          <w:rFonts w:ascii="Calibri" w:hAnsi="Calibri" w:cs="Calibri"/>
          <w:sz w:val="22"/>
          <w:szCs w:val="22"/>
        </w:rPr>
        <w:t xml:space="preserve"> with </w:t>
      </w:r>
      <w:r w:rsidR="00DA506E" w:rsidRPr="008B153E">
        <w:rPr>
          <w:rFonts w:ascii="Calibri" w:hAnsi="Calibri" w:cs="Calibri"/>
          <w:sz w:val="22"/>
          <w:szCs w:val="22"/>
        </w:rPr>
        <w:t>no patients recruited to A2B when this consultant was on duty</w:t>
      </w:r>
    </w:p>
    <w:p w14:paraId="549063AB" w14:textId="4527F2B0" w:rsidR="00E376DD" w:rsidRPr="008B153E" w:rsidRDefault="003A27E7" w:rsidP="002358F3">
      <w:pPr>
        <w:pStyle w:val="ListParagraph"/>
        <w:numPr>
          <w:ilvl w:val="0"/>
          <w:numId w:val="9"/>
        </w:numPr>
        <w:spacing w:after="200" w:line="360" w:lineRule="auto"/>
        <w:jc w:val="both"/>
        <w:rPr>
          <w:rFonts w:ascii="Calibri" w:hAnsi="Calibri" w:cs="Calibri"/>
          <w:sz w:val="22"/>
          <w:szCs w:val="22"/>
        </w:rPr>
      </w:pPr>
      <w:r w:rsidRPr="008B153E">
        <w:rPr>
          <w:rFonts w:ascii="Calibri" w:hAnsi="Calibri" w:cs="Calibri"/>
          <w:sz w:val="22"/>
          <w:szCs w:val="22"/>
        </w:rPr>
        <w:t>Medical doctors at more than half the sites</w:t>
      </w:r>
      <w:r w:rsidR="00360366" w:rsidRPr="008B153E">
        <w:rPr>
          <w:rFonts w:ascii="Calibri" w:hAnsi="Calibri" w:cs="Calibri"/>
          <w:sz w:val="22"/>
          <w:szCs w:val="22"/>
        </w:rPr>
        <w:t xml:space="preserve"> </w:t>
      </w:r>
      <w:r w:rsidR="00DA506E" w:rsidRPr="008B153E">
        <w:rPr>
          <w:rFonts w:ascii="Calibri" w:hAnsi="Calibri" w:cs="Calibri"/>
          <w:sz w:val="22"/>
          <w:szCs w:val="22"/>
        </w:rPr>
        <w:t>had strong preferences for usual care</w:t>
      </w:r>
    </w:p>
    <w:p w14:paraId="424C856A" w14:textId="1420D13E" w:rsidR="000601EB" w:rsidRDefault="006C5654" w:rsidP="002358F3">
      <w:pPr>
        <w:pStyle w:val="ListParagraph"/>
        <w:numPr>
          <w:ilvl w:val="0"/>
          <w:numId w:val="9"/>
        </w:numPr>
        <w:spacing w:after="200" w:line="360" w:lineRule="auto"/>
        <w:jc w:val="both"/>
        <w:rPr>
          <w:rFonts w:ascii="Calibri" w:hAnsi="Calibri" w:cs="Calibri"/>
          <w:sz w:val="22"/>
          <w:szCs w:val="22"/>
        </w:rPr>
      </w:pPr>
      <w:r w:rsidRPr="008B153E">
        <w:rPr>
          <w:rFonts w:ascii="Calibri" w:hAnsi="Calibri" w:cs="Calibri"/>
          <w:sz w:val="22"/>
          <w:szCs w:val="22"/>
        </w:rPr>
        <w:t xml:space="preserve">A </w:t>
      </w:r>
      <w:r w:rsidR="00DA506E" w:rsidRPr="008B153E">
        <w:rPr>
          <w:rFonts w:ascii="Calibri" w:hAnsi="Calibri" w:cs="Calibri"/>
          <w:sz w:val="22"/>
          <w:szCs w:val="22"/>
        </w:rPr>
        <w:t xml:space="preserve">consultant on the delegation log who lacked </w:t>
      </w:r>
      <w:r w:rsidR="00D27087" w:rsidRPr="008B153E">
        <w:rPr>
          <w:rFonts w:ascii="Calibri" w:hAnsi="Calibri" w:cs="Calibri"/>
          <w:sz w:val="22"/>
          <w:szCs w:val="22"/>
        </w:rPr>
        <w:t xml:space="preserve">individual </w:t>
      </w:r>
      <w:r w:rsidR="00DA506E" w:rsidRPr="008B153E">
        <w:rPr>
          <w:rFonts w:ascii="Calibri" w:hAnsi="Calibri" w:cs="Calibri"/>
          <w:sz w:val="22"/>
          <w:szCs w:val="22"/>
        </w:rPr>
        <w:t>equipoise</w:t>
      </w:r>
      <w:r w:rsidR="00DA506E" w:rsidRPr="00B2593F">
        <w:rPr>
          <w:rFonts w:ascii="Calibri" w:hAnsi="Calibri" w:cs="Calibri"/>
          <w:sz w:val="22"/>
          <w:szCs w:val="22"/>
        </w:rPr>
        <w:t xml:space="preserve"> </w:t>
      </w:r>
      <w:r w:rsidR="000601EB">
        <w:rPr>
          <w:rFonts w:ascii="Calibri" w:hAnsi="Calibri" w:cs="Calibri"/>
          <w:sz w:val="22"/>
          <w:szCs w:val="22"/>
        </w:rPr>
        <w:t>and wanted</w:t>
      </w:r>
      <w:r w:rsidR="00DA506E" w:rsidRPr="00B2593F">
        <w:rPr>
          <w:rFonts w:ascii="Calibri" w:hAnsi="Calibri" w:cs="Calibri"/>
          <w:sz w:val="22"/>
          <w:szCs w:val="22"/>
        </w:rPr>
        <w:t xml:space="preserve"> to use whichever </w:t>
      </w:r>
      <w:r w:rsidR="00182DCE">
        <w:rPr>
          <w:rFonts w:ascii="Calibri" w:hAnsi="Calibri" w:cs="Calibri"/>
          <w:sz w:val="22"/>
          <w:szCs w:val="22"/>
        </w:rPr>
        <w:t>medication</w:t>
      </w:r>
      <w:r w:rsidR="00075788">
        <w:rPr>
          <w:rFonts w:ascii="Calibri" w:hAnsi="Calibri" w:cs="Calibri"/>
          <w:sz w:val="22"/>
          <w:szCs w:val="22"/>
        </w:rPr>
        <w:t xml:space="preserve"> </w:t>
      </w:r>
      <w:r w:rsidR="00DA506E" w:rsidRPr="00B2593F">
        <w:rPr>
          <w:rFonts w:ascii="Calibri" w:hAnsi="Calibri" w:cs="Calibri"/>
          <w:sz w:val="22"/>
          <w:szCs w:val="22"/>
        </w:rPr>
        <w:t xml:space="preserve">they </w:t>
      </w:r>
      <w:r w:rsidR="00182DCE">
        <w:rPr>
          <w:rFonts w:ascii="Calibri" w:hAnsi="Calibri" w:cs="Calibri"/>
          <w:sz w:val="22"/>
          <w:szCs w:val="22"/>
        </w:rPr>
        <w:t>believed</w:t>
      </w:r>
      <w:r w:rsidR="00DA506E" w:rsidRPr="00B2593F">
        <w:rPr>
          <w:rFonts w:ascii="Calibri" w:hAnsi="Calibri" w:cs="Calibri"/>
          <w:sz w:val="22"/>
          <w:szCs w:val="22"/>
        </w:rPr>
        <w:t xml:space="preserve"> was most suitable for certain patients/groups. This </w:t>
      </w:r>
      <w:r w:rsidR="00F07865">
        <w:rPr>
          <w:rFonts w:ascii="Calibri" w:hAnsi="Calibri" w:cs="Calibri"/>
          <w:sz w:val="22"/>
          <w:szCs w:val="22"/>
        </w:rPr>
        <w:t>presented recruitment challenges</w:t>
      </w:r>
      <w:r w:rsidR="00DA506E" w:rsidRPr="00B2593F">
        <w:rPr>
          <w:rFonts w:ascii="Calibri" w:hAnsi="Calibri" w:cs="Calibri"/>
          <w:sz w:val="22"/>
          <w:szCs w:val="22"/>
        </w:rPr>
        <w:t xml:space="preserve"> </w:t>
      </w:r>
      <w:r w:rsidR="00964F05">
        <w:rPr>
          <w:rFonts w:ascii="Calibri" w:hAnsi="Calibri" w:cs="Calibri"/>
          <w:sz w:val="22"/>
          <w:szCs w:val="22"/>
        </w:rPr>
        <w:t>with limited</w:t>
      </w:r>
      <w:r w:rsidR="00F07865">
        <w:rPr>
          <w:rFonts w:ascii="Calibri" w:hAnsi="Calibri" w:cs="Calibri"/>
          <w:sz w:val="22"/>
          <w:szCs w:val="22"/>
        </w:rPr>
        <w:t xml:space="preserve"> </w:t>
      </w:r>
      <w:r w:rsidR="00DA506E" w:rsidRPr="00B2593F">
        <w:rPr>
          <w:rFonts w:ascii="Calibri" w:hAnsi="Calibri" w:cs="Calibri"/>
          <w:sz w:val="22"/>
          <w:szCs w:val="22"/>
        </w:rPr>
        <w:t xml:space="preserve">recruitment </w:t>
      </w:r>
      <w:r w:rsidR="00964F05">
        <w:rPr>
          <w:rFonts w:ascii="Calibri" w:hAnsi="Calibri" w:cs="Calibri"/>
          <w:sz w:val="22"/>
          <w:szCs w:val="22"/>
        </w:rPr>
        <w:t>proceeding</w:t>
      </w:r>
      <w:r w:rsidR="00DA506E" w:rsidRPr="00B2593F">
        <w:rPr>
          <w:rFonts w:ascii="Calibri" w:hAnsi="Calibri" w:cs="Calibri"/>
          <w:sz w:val="22"/>
          <w:szCs w:val="22"/>
        </w:rPr>
        <w:t>.</w:t>
      </w:r>
    </w:p>
    <w:p w14:paraId="0CA71BBD" w14:textId="77777777" w:rsidR="00DA506E" w:rsidRPr="00E71DC1" w:rsidRDefault="00964F05" w:rsidP="002358F3">
      <w:pPr>
        <w:pStyle w:val="ListParagraph"/>
        <w:numPr>
          <w:ilvl w:val="0"/>
          <w:numId w:val="9"/>
        </w:numPr>
        <w:spacing w:after="200" w:line="360" w:lineRule="auto"/>
        <w:jc w:val="both"/>
        <w:rPr>
          <w:rFonts w:ascii="Calibri" w:hAnsi="Calibri" w:cs="Calibri"/>
          <w:sz w:val="22"/>
          <w:szCs w:val="22"/>
        </w:rPr>
      </w:pPr>
      <w:r>
        <w:rPr>
          <w:rFonts w:ascii="Calibri" w:hAnsi="Calibri" w:cs="Calibri"/>
          <w:sz w:val="22"/>
          <w:szCs w:val="22"/>
        </w:rPr>
        <w:t>A</w:t>
      </w:r>
      <w:r w:rsidR="009D697A">
        <w:rPr>
          <w:rFonts w:ascii="Calibri" w:hAnsi="Calibri" w:cs="Calibri"/>
          <w:sz w:val="22"/>
          <w:szCs w:val="22"/>
        </w:rPr>
        <w:t xml:space="preserve"> perception</w:t>
      </w:r>
      <w:r w:rsidR="00CC0301">
        <w:rPr>
          <w:rFonts w:ascii="Calibri" w:hAnsi="Calibri" w:cs="Calibri"/>
          <w:sz w:val="22"/>
          <w:szCs w:val="22"/>
        </w:rPr>
        <w:t xml:space="preserve"> by those interviewed </w:t>
      </w:r>
      <w:r w:rsidR="009D697A">
        <w:rPr>
          <w:rFonts w:ascii="Calibri" w:hAnsi="Calibri" w:cs="Calibri"/>
          <w:sz w:val="22"/>
          <w:szCs w:val="22"/>
        </w:rPr>
        <w:t>that</w:t>
      </w:r>
      <w:r w:rsidR="00DA506E" w:rsidRPr="00E71DC1">
        <w:rPr>
          <w:rFonts w:ascii="Calibri" w:hAnsi="Calibri" w:cs="Calibri"/>
          <w:sz w:val="22"/>
          <w:szCs w:val="22"/>
        </w:rPr>
        <w:t xml:space="preserve"> nurses had very strong preferences for usual care. </w:t>
      </w:r>
    </w:p>
    <w:p w14:paraId="01DFC82D" w14:textId="62F53E2F" w:rsidR="00DA506E" w:rsidRPr="00DA506E" w:rsidRDefault="00DA506E" w:rsidP="002358F3">
      <w:pPr>
        <w:spacing w:after="200" w:line="360" w:lineRule="auto"/>
        <w:jc w:val="both"/>
        <w:rPr>
          <w:rFonts w:ascii="Calibri" w:hAnsi="Calibri" w:cs="Calibri"/>
          <w:sz w:val="22"/>
          <w:szCs w:val="22"/>
        </w:rPr>
      </w:pPr>
      <w:r w:rsidRPr="00DA506E">
        <w:rPr>
          <w:rFonts w:ascii="Calibri" w:hAnsi="Calibri" w:cs="Calibri"/>
          <w:sz w:val="22"/>
          <w:szCs w:val="22"/>
        </w:rPr>
        <w:t xml:space="preserve">Research nurses at </w:t>
      </w:r>
      <w:r w:rsidR="00B7151B">
        <w:rPr>
          <w:rFonts w:ascii="Calibri" w:hAnsi="Calibri" w:cs="Calibri"/>
          <w:sz w:val="22"/>
          <w:szCs w:val="22"/>
        </w:rPr>
        <w:t>two</w:t>
      </w:r>
      <w:r w:rsidRPr="00DA506E">
        <w:rPr>
          <w:rFonts w:ascii="Calibri" w:hAnsi="Calibri" w:cs="Calibri"/>
          <w:sz w:val="22"/>
          <w:szCs w:val="22"/>
        </w:rPr>
        <w:t xml:space="preserve"> units disc</w:t>
      </w:r>
      <w:r w:rsidR="00467CEC">
        <w:rPr>
          <w:rFonts w:ascii="Calibri" w:hAnsi="Calibri" w:cs="Calibri"/>
          <w:sz w:val="22"/>
          <w:szCs w:val="22"/>
        </w:rPr>
        <w:t xml:space="preserve">losed </w:t>
      </w:r>
      <w:r w:rsidRPr="00DA506E">
        <w:rPr>
          <w:rFonts w:ascii="Calibri" w:hAnsi="Calibri" w:cs="Calibri"/>
          <w:sz w:val="22"/>
          <w:szCs w:val="22"/>
        </w:rPr>
        <w:t>a broad dislike of dexmedetomidine amongst both nursing and medical colleagues</w:t>
      </w:r>
      <w:r w:rsidR="005873EE">
        <w:rPr>
          <w:rFonts w:ascii="Calibri" w:hAnsi="Calibri" w:cs="Calibri"/>
          <w:sz w:val="22"/>
          <w:szCs w:val="22"/>
        </w:rPr>
        <w:t>:</w:t>
      </w:r>
      <w:r w:rsidRPr="00DA506E">
        <w:rPr>
          <w:rFonts w:ascii="Calibri" w:hAnsi="Calibri" w:cs="Calibri"/>
          <w:sz w:val="22"/>
          <w:szCs w:val="22"/>
        </w:rPr>
        <w:t xml:space="preserve"> </w:t>
      </w:r>
    </w:p>
    <w:p w14:paraId="010F27C4" w14:textId="711A8613" w:rsidR="00DA506E" w:rsidRPr="00DA506E" w:rsidRDefault="00DA506E" w:rsidP="002358F3">
      <w:pPr>
        <w:spacing w:after="200" w:line="360" w:lineRule="auto"/>
        <w:ind w:left="567" w:right="567"/>
        <w:jc w:val="both"/>
        <w:rPr>
          <w:rFonts w:ascii="Calibri" w:hAnsi="Calibri" w:cs="Calibri"/>
          <w:sz w:val="22"/>
          <w:szCs w:val="22"/>
        </w:rPr>
      </w:pPr>
      <w:r w:rsidRPr="00DA506E">
        <w:rPr>
          <w:rFonts w:ascii="Calibri" w:hAnsi="Calibri" w:cs="Calibri"/>
          <w:i/>
          <w:iCs/>
          <w:sz w:val="22"/>
          <w:szCs w:val="22"/>
        </w:rPr>
        <w:t xml:space="preserve">“…we have to tell them, you know, we can’t choose, it’s randomised by computer, so they could go into </w:t>
      </w:r>
      <w:r w:rsidR="00642A01">
        <w:rPr>
          <w:rFonts w:ascii="Calibri" w:hAnsi="Calibri" w:cs="Calibri"/>
          <w:i/>
          <w:iCs/>
          <w:sz w:val="22"/>
          <w:szCs w:val="22"/>
        </w:rPr>
        <w:t>p</w:t>
      </w:r>
      <w:r w:rsidRPr="00DA506E">
        <w:rPr>
          <w:rFonts w:ascii="Calibri" w:hAnsi="Calibri" w:cs="Calibri"/>
          <w:i/>
          <w:iCs/>
          <w:sz w:val="22"/>
          <w:szCs w:val="22"/>
        </w:rPr>
        <w:t xml:space="preserve">ropofol, </w:t>
      </w:r>
      <w:r w:rsidR="00642A01">
        <w:rPr>
          <w:rFonts w:ascii="Calibri" w:hAnsi="Calibri" w:cs="Calibri"/>
          <w:i/>
          <w:iCs/>
          <w:sz w:val="22"/>
          <w:szCs w:val="22"/>
        </w:rPr>
        <w:t>c</w:t>
      </w:r>
      <w:r w:rsidRPr="00DA506E">
        <w:rPr>
          <w:rFonts w:ascii="Calibri" w:hAnsi="Calibri" w:cs="Calibri"/>
          <w:i/>
          <w:iCs/>
          <w:sz w:val="22"/>
          <w:szCs w:val="22"/>
        </w:rPr>
        <w:t xml:space="preserve">lonidine or </w:t>
      </w:r>
      <w:r w:rsidR="00642A01">
        <w:rPr>
          <w:rFonts w:ascii="Calibri" w:hAnsi="Calibri" w:cs="Calibri"/>
          <w:i/>
          <w:iCs/>
          <w:sz w:val="22"/>
          <w:szCs w:val="22"/>
        </w:rPr>
        <w:t>d</w:t>
      </w:r>
      <w:r w:rsidRPr="00DA506E">
        <w:rPr>
          <w:rFonts w:ascii="Calibri" w:hAnsi="Calibri" w:cs="Calibri"/>
          <w:i/>
          <w:iCs/>
          <w:sz w:val="22"/>
          <w:szCs w:val="22"/>
        </w:rPr>
        <w:t>exmedetomidine, and they’re like, oh if there’s a risk they’re in Dex, absolutely not”</w:t>
      </w:r>
      <w:r w:rsidRPr="00DA506E">
        <w:rPr>
          <w:rFonts w:ascii="Calibri" w:hAnsi="Calibri" w:cs="Calibri"/>
          <w:sz w:val="22"/>
          <w:szCs w:val="22"/>
        </w:rPr>
        <w:t xml:space="preserve"> ResN05/02</w:t>
      </w:r>
    </w:p>
    <w:p w14:paraId="3D752D46" w14:textId="77777777" w:rsidR="00580132" w:rsidRPr="00471231" w:rsidRDefault="00DA506E" w:rsidP="002358F3">
      <w:pPr>
        <w:keepNext/>
        <w:keepLines/>
        <w:spacing w:after="200" w:line="360" w:lineRule="auto"/>
        <w:jc w:val="both"/>
        <w:outlineLvl w:val="2"/>
        <w:rPr>
          <w:rFonts w:ascii="Calibri" w:eastAsiaTheme="majorEastAsia" w:hAnsi="Calibri" w:cs="Calibri"/>
          <w:i/>
          <w:iCs/>
          <w:color w:val="000000" w:themeColor="text1"/>
          <w:sz w:val="22"/>
          <w:szCs w:val="22"/>
        </w:rPr>
      </w:pPr>
      <w:bookmarkStart w:id="6" w:name="_Toc168393572"/>
      <w:r w:rsidRPr="00471231">
        <w:rPr>
          <w:rFonts w:ascii="Calibri" w:eastAsiaTheme="majorEastAsia" w:hAnsi="Calibri" w:cs="Calibri"/>
          <w:i/>
          <w:iCs/>
          <w:color w:val="000000" w:themeColor="text1"/>
          <w:sz w:val="22"/>
          <w:szCs w:val="22"/>
        </w:rPr>
        <w:t>Clinician resistance</w:t>
      </w:r>
      <w:bookmarkEnd w:id="6"/>
    </w:p>
    <w:p w14:paraId="5356A134" w14:textId="77777777" w:rsidR="00DA506E" w:rsidRPr="00580132" w:rsidRDefault="00DA506E" w:rsidP="002358F3">
      <w:pPr>
        <w:keepNext/>
        <w:keepLines/>
        <w:spacing w:after="200" w:line="360" w:lineRule="auto"/>
        <w:jc w:val="both"/>
        <w:outlineLvl w:val="2"/>
        <w:rPr>
          <w:rFonts w:ascii="Calibri" w:eastAsiaTheme="majorEastAsia" w:hAnsi="Calibri" w:cs="Calibri"/>
          <w:i/>
          <w:iCs/>
          <w:color w:val="000000" w:themeColor="text1"/>
          <w:sz w:val="22"/>
          <w:szCs w:val="22"/>
          <w:u w:val="single"/>
        </w:rPr>
      </w:pPr>
      <w:r w:rsidRPr="00DA506E">
        <w:rPr>
          <w:rFonts w:ascii="Calibri" w:hAnsi="Calibri" w:cs="Calibri"/>
          <w:sz w:val="22"/>
          <w:szCs w:val="22"/>
        </w:rPr>
        <w:t xml:space="preserve">Staff at two thirds of units reported clinician resistance at consultant-level. There were </w:t>
      </w:r>
      <w:r w:rsidR="00355361">
        <w:rPr>
          <w:rFonts w:ascii="Calibri" w:hAnsi="Calibri" w:cs="Calibri"/>
          <w:sz w:val="22"/>
          <w:szCs w:val="22"/>
        </w:rPr>
        <w:t>three</w:t>
      </w:r>
      <w:r w:rsidRPr="00DA506E">
        <w:rPr>
          <w:rFonts w:ascii="Calibri" w:hAnsi="Calibri" w:cs="Calibri"/>
          <w:sz w:val="22"/>
          <w:szCs w:val="22"/>
        </w:rPr>
        <w:t xml:space="preserve"> core reasons that consultants either openly opposed or did not engage with A2B</w:t>
      </w:r>
      <w:r w:rsidR="00FF07F5">
        <w:rPr>
          <w:rFonts w:ascii="Calibri" w:hAnsi="Calibri" w:cs="Calibri"/>
          <w:sz w:val="22"/>
          <w:szCs w:val="22"/>
        </w:rPr>
        <w:t xml:space="preserve">: resistance to change, </w:t>
      </w:r>
      <w:r w:rsidR="00580132">
        <w:rPr>
          <w:rFonts w:ascii="Calibri" w:hAnsi="Calibri" w:cs="Calibri"/>
          <w:sz w:val="22"/>
          <w:szCs w:val="22"/>
        </w:rPr>
        <w:t>r</w:t>
      </w:r>
      <w:r w:rsidR="00FF07F5" w:rsidRPr="00DA506E">
        <w:rPr>
          <w:rFonts w:ascii="Calibri" w:hAnsi="Calibri" w:cs="Calibri"/>
          <w:sz w:val="22"/>
          <w:szCs w:val="22"/>
        </w:rPr>
        <w:t>esistance to including some patient sub-groups</w:t>
      </w:r>
      <w:r w:rsidR="00580132">
        <w:rPr>
          <w:rFonts w:ascii="Calibri" w:hAnsi="Calibri" w:cs="Calibri"/>
          <w:sz w:val="22"/>
          <w:szCs w:val="22"/>
        </w:rPr>
        <w:t>, or r</w:t>
      </w:r>
      <w:r w:rsidR="00580132" w:rsidRPr="00580132">
        <w:rPr>
          <w:rFonts w:ascii="Calibri" w:hAnsi="Calibri" w:cs="Calibri"/>
          <w:sz w:val="22"/>
          <w:szCs w:val="22"/>
        </w:rPr>
        <w:t xml:space="preserve">esistance to </w:t>
      </w:r>
      <w:r w:rsidR="00580132">
        <w:rPr>
          <w:rFonts w:ascii="Calibri" w:hAnsi="Calibri" w:cs="Calibri"/>
          <w:sz w:val="22"/>
          <w:szCs w:val="22"/>
        </w:rPr>
        <w:t xml:space="preserve">using a </w:t>
      </w:r>
      <w:r w:rsidR="00580132" w:rsidRPr="00580132">
        <w:rPr>
          <w:rFonts w:ascii="Calibri" w:hAnsi="Calibri" w:cs="Calibri"/>
          <w:sz w:val="22"/>
          <w:szCs w:val="22"/>
        </w:rPr>
        <w:t xml:space="preserve">specific </w:t>
      </w:r>
      <w:r w:rsidR="0034346B">
        <w:rPr>
          <w:rFonts w:ascii="Calibri" w:hAnsi="Calibri" w:cs="Calibri"/>
          <w:sz w:val="22"/>
          <w:szCs w:val="22"/>
        </w:rPr>
        <w:t>medication</w:t>
      </w:r>
      <w:r w:rsidR="00580132">
        <w:rPr>
          <w:rFonts w:ascii="Calibri" w:hAnsi="Calibri" w:cs="Calibri"/>
          <w:sz w:val="22"/>
          <w:szCs w:val="22"/>
        </w:rPr>
        <w:t xml:space="preserve"> or </w:t>
      </w:r>
      <w:r w:rsidR="00580132" w:rsidRPr="00580132">
        <w:rPr>
          <w:rFonts w:ascii="Calibri" w:hAnsi="Calibri" w:cs="Calibri"/>
          <w:sz w:val="22"/>
          <w:szCs w:val="22"/>
        </w:rPr>
        <w:t>regimen</w:t>
      </w:r>
      <w:r w:rsidR="00580132">
        <w:rPr>
          <w:rFonts w:ascii="Calibri" w:hAnsi="Calibri" w:cs="Calibri"/>
          <w:sz w:val="22"/>
          <w:szCs w:val="22"/>
        </w:rPr>
        <w:t xml:space="preserve">. </w:t>
      </w:r>
    </w:p>
    <w:p w14:paraId="3D731943" w14:textId="77777777" w:rsidR="00DA506E" w:rsidRPr="00DA506E" w:rsidRDefault="00DA506E" w:rsidP="002358F3">
      <w:pPr>
        <w:numPr>
          <w:ilvl w:val="0"/>
          <w:numId w:val="5"/>
        </w:numPr>
        <w:spacing w:after="200" w:line="360" w:lineRule="auto"/>
        <w:ind w:left="0"/>
        <w:contextualSpacing/>
        <w:jc w:val="both"/>
        <w:rPr>
          <w:rFonts w:ascii="Calibri" w:hAnsi="Calibri" w:cs="Calibri"/>
          <w:sz w:val="22"/>
          <w:szCs w:val="22"/>
        </w:rPr>
      </w:pPr>
      <w:r w:rsidRPr="00DA506E">
        <w:rPr>
          <w:rFonts w:ascii="Calibri" w:hAnsi="Calibri" w:cs="Calibri"/>
          <w:sz w:val="22"/>
          <w:szCs w:val="22"/>
        </w:rPr>
        <w:t>Resistance to change</w:t>
      </w:r>
    </w:p>
    <w:p w14:paraId="039D0339" w14:textId="77777777" w:rsidR="00DA506E" w:rsidRPr="00DA506E" w:rsidRDefault="00DA506E" w:rsidP="002358F3">
      <w:pPr>
        <w:spacing w:after="200" w:line="360" w:lineRule="auto"/>
        <w:jc w:val="both"/>
        <w:rPr>
          <w:rFonts w:ascii="Calibri" w:hAnsi="Calibri" w:cs="Calibri"/>
          <w:sz w:val="22"/>
          <w:szCs w:val="22"/>
        </w:rPr>
      </w:pPr>
      <w:r w:rsidRPr="00DA506E">
        <w:rPr>
          <w:rFonts w:ascii="Calibri" w:hAnsi="Calibri" w:cs="Calibri"/>
          <w:sz w:val="22"/>
          <w:szCs w:val="22"/>
        </w:rPr>
        <w:t>Research nurses and PIs at a third of units reported</w:t>
      </w:r>
      <w:r w:rsidR="00AA29F0">
        <w:rPr>
          <w:rFonts w:ascii="Calibri" w:hAnsi="Calibri" w:cs="Calibri"/>
          <w:sz w:val="22"/>
          <w:szCs w:val="22"/>
        </w:rPr>
        <w:t xml:space="preserve"> </w:t>
      </w:r>
      <w:r w:rsidRPr="00DA506E">
        <w:rPr>
          <w:rFonts w:ascii="Calibri" w:hAnsi="Calibri" w:cs="Calibri"/>
          <w:sz w:val="22"/>
          <w:szCs w:val="22"/>
        </w:rPr>
        <w:t xml:space="preserve">consultants who were </w:t>
      </w:r>
      <w:r w:rsidR="00A66F5B" w:rsidRPr="00DA506E">
        <w:rPr>
          <w:rFonts w:ascii="Calibri" w:hAnsi="Calibri" w:cs="Calibri"/>
          <w:sz w:val="22"/>
          <w:szCs w:val="22"/>
        </w:rPr>
        <w:t xml:space="preserve">not willing to engage with the </w:t>
      </w:r>
      <w:r w:rsidR="00712870">
        <w:rPr>
          <w:rFonts w:ascii="Calibri" w:hAnsi="Calibri" w:cs="Calibri"/>
          <w:sz w:val="22"/>
          <w:szCs w:val="22"/>
        </w:rPr>
        <w:t>A2B trial</w:t>
      </w:r>
      <w:r w:rsidR="00A66F5B" w:rsidRPr="00DA506E">
        <w:rPr>
          <w:rFonts w:ascii="Calibri" w:hAnsi="Calibri" w:cs="Calibri"/>
          <w:sz w:val="22"/>
          <w:szCs w:val="22"/>
        </w:rPr>
        <w:t xml:space="preserve"> or permit patient recruitment when they were the clinical lead </w:t>
      </w:r>
      <w:r w:rsidRPr="00DA506E">
        <w:rPr>
          <w:rFonts w:ascii="Calibri" w:hAnsi="Calibri" w:cs="Calibri"/>
          <w:sz w:val="22"/>
          <w:szCs w:val="22"/>
        </w:rPr>
        <w:t xml:space="preserve">because they preferred </w:t>
      </w:r>
      <w:r w:rsidR="004E62F7">
        <w:rPr>
          <w:rFonts w:ascii="Calibri" w:hAnsi="Calibri" w:cs="Calibri"/>
          <w:sz w:val="22"/>
          <w:szCs w:val="22"/>
        </w:rPr>
        <w:t>usual practice</w:t>
      </w:r>
      <w:r w:rsidR="009F6CC3">
        <w:rPr>
          <w:rFonts w:ascii="Calibri" w:hAnsi="Calibri" w:cs="Calibri"/>
          <w:sz w:val="22"/>
          <w:szCs w:val="22"/>
        </w:rPr>
        <w:t>.</w:t>
      </w:r>
      <w:r w:rsidRPr="00DA506E">
        <w:rPr>
          <w:rFonts w:ascii="Calibri" w:hAnsi="Calibri" w:cs="Calibri"/>
          <w:sz w:val="22"/>
          <w:szCs w:val="22"/>
        </w:rPr>
        <w:t xml:space="preserve"> Staff at one unit described how some consultant colleagues were generally less engaged with research as a whole. When these clinicians were on duty it was unlikely that patients would be recruited into A2B, or to other studies. </w:t>
      </w:r>
      <w:r w:rsidR="00580132" w:rsidRPr="00DA506E">
        <w:rPr>
          <w:rFonts w:ascii="Calibri" w:hAnsi="Calibri" w:cs="Calibri"/>
          <w:sz w:val="22"/>
          <w:szCs w:val="22"/>
        </w:rPr>
        <w:t>One of these units also experienced resistance from the nurses working at the bedside</w:t>
      </w:r>
      <w:r w:rsidR="00E42C07">
        <w:rPr>
          <w:rFonts w:ascii="Calibri" w:hAnsi="Calibri" w:cs="Calibri"/>
          <w:sz w:val="22"/>
          <w:szCs w:val="22"/>
        </w:rPr>
        <w:t xml:space="preserve">, with </w:t>
      </w:r>
      <w:r w:rsidR="00580132" w:rsidRPr="00DA506E">
        <w:rPr>
          <w:rFonts w:ascii="Calibri" w:hAnsi="Calibri" w:cs="Calibri"/>
          <w:sz w:val="22"/>
          <w:szCs w:val="22"/>
        </w:rPr>
        <w:t>research nurses describ</w:t>
      </w:r>
      <w:r w:rsidR="00722DAB">
        <w:rPr>
          <w:rFonts w:ascii="Calibri" w:hAnsi="Calibri" w:cs="Calibri"/>
          <w:sz w:val="22"/>
          <w:szCs w:val="22"/>
        </w:rPr>
        <w:t>ing</w:t>
      </w:r>
      <w:r w:rsidR="00580132" w:rsidRPr="00DA506E">
        <w:rPr>
          <w:rFonts w:ascii="Calibri" w:hAnsi="Calibri" w:cs="Calibri"/>
          <w:sz w:val="22"/>
          <w:szCs w:val="22"/>
        </w:rPr>
        <w:t xml:space="preserve"> negativity </w:t>
      </w:r>
      <w:r w:rsidR="00722DAB">
        <w:rPr>
          <w:rFonts w:ascii="Calibri" w:hAnsi="Calibri" w:cs="Calibri"/>
          <w:sz w:val="22"/>
          <w:szCs w:val="22"/>
        </w:rPr>
        <w:t>towards research:</w:t>
      </w:r>
    </w:p>
    <w:p w14:paraId="39915A0E" w14:textId="6B5A8F75" w:rsidR="00DA506E" w:rsidRDefault="00DA506E" w:rsidP="002358F3">
      <w:pPr>
        <w:spacing w:after="200" w:line="360" w:lineRule="auto"/>
        <w:ind w:left="567" w:right="567"/>
        <w:jc w:val="both"/>
        <w:rPr>
          <w:rFonts w:ascii="Calibri" w:hAnsi="Calibri" w:cs="Calibri"/>
          <w:sz w:val="22"/>
          <w:szCs w:val="22"/>
        </w:rPr>
      </w:pPr>
      <w:r w:rsidRPr="00DA506E">
        <w:rPr>
          <w:rFonts w:ascii="Calibri" w:hAnsi="Calibri" w:cs="Calibri"/>
          <w:i/>
          <w:iCs/>
          <w:sz w:val="22"/>
          <w:szCs w:val="22"/>
        </w:rPr>
        <w:t xml:space="preserve">“…they're set in their ways, they want to keep them on </w:t>
      </w:r>
      <w:r w:rsidR="007B6195">
        <w:rPr>
          <w:rFonts w:ascii="Calibri" w:hAnsi="Calibri" w:cs="Calibri"/>
          <w:i/>
          <w:iCs/>
          <w:sz w:val="22"/>
          <w:szCs w:val="22"/>
        </w:rPr>
        <w:t>p</w:t>
      </w:r>
      <w:r w:rsidRPr="00DA506E">
        <w:rPr>
          <w:rFonts w:ascii="Calibri" w:hAnsi="Calibri" w:cs="Calibri"/>
          <w:i/>
          <w:iCs/>
          <w:sz w:val="22"/>
          <w:szCs w:val="22"/>
        </w:rPr>
        <w:t xml:space="preserve">ropofol and </w:t>
      </w:r>
      <w:r w:rsidR="007B6195">
        <w:rPr>
          <w:rFonts w:ascii="Calibri" w:hAnsi="Calibri" w:cs="Calibri"/>
          <w:i/>
          <w:iCs/>
          <w:sz w:val="22"/>
          <w:szCs w:val="22"/>
        </w:rPr>
        <w:t>a</w:t>
      </w:r>
      <w:r w:rsidRPr="00DA506E">
        <w:rPr>
          <w:rFonts w:ascii="Calibri" w:hAnsi="Calibri" w:cs="Calibri"/>
          <w:i/>
          <w:iCs/>
          <w:sz w:val="22"/>
          <w:szCs w:val="22"/>
        </w:rPr>
        <w:t>lfentanil. So, there would be a portion of patients who weren't recruited just because the consultant refused, even though they were eligible, so…they don't necessarily even have to give a reason, they just say, no</w:t>
      </w:r>
      <w:r w:rsidR="008D2949">
        <w:rPr>
          <w:rFonts w:ascii="Calibri" w:hAnsi="Calibri" w:cs="Calibri"/>
          <w:i/>
          <w:iCs/>
          <w:sz w:val="22"/>
          <w:szCs w:val="22"/>
        </w:rPr>
        <w:t>.</w:t>
      </w:r>
      <w:r w:rsidRPr="00DA506E">
        <w:rPr>
          <w:rFonts w:ascii="Calibri" w:hAnsi="Calibri" w:cs="Calibri"/>
          <w:i/>
          <w:iCs/>
          <w:sz w:val="22"/>
          <w:szCs w:val="22"/>
        </w:rPr>
        <w:t>”</w:t>
      </w:r>
      <w:r w:rsidRPr="00DA506E">
        <w:rPr>
          <w:rFonts w:ascii="Calibri" w:hAnsi="Calibri" w:cs="Calibri"/>
          <w:sz w:val="22"/>
          <w:szCs w:val="22"/>
        </w:rPr>
        <w:t xml:space="preserve"> PI08/23</w:t>
      </w:r>
    </w:p>
    <w:p w14:paraId="18389558" w14:textId="77777777" w:rsidR="00DA506E" w:rsidRPr="00DA506E" w:rsidRDefault="00DA506E" w:rsidP="002358F3">
      <w:pPr>
        <w:numPr>
          <w:ilvl w:val="0"/>
          <w:numId w:val="5"/>
        </w:numPr>
        <w:spacing w:after="200" w:line="360" w:lineRule="auto"/>
        <w:ind w:left="0"/>
        <w:contextualSpacing/>
        <w:jc w:val="both"/>
        <w:rPr>
          <w:rFonts w:ascii="Calibri" w:hAnsi="Calibri" w:cs="Calibri"/>
          <w:sz w:val="22"/>
          <w:szCs w:val="22"/>
        </w:rPr>
      </w:pPr>
      <w:r w:rsidRPr="00DA506E">
        <w:rPr>
          <w:rFonts w:ascii="Calibri" w:hAnsi="Calibri" w:cs="Calibri"/>
          <w:sz w:val="22"/>
          <w:szCs w:val="22"/>
        </w:rPr>
        <w:t>Resistance to including some patient sub-groups in A2B</w:t>
      </w:r>
    </w:p>
    <w:p w14:paraId="4DC604AB" w14:textId="17DB98C1" w:rsidR="00DA506E" w:rsidRPr="00DA506E" w:rsidRDefault="00DA506E" w:rsidP="002358F3">
      <w:pPr>
        <w:spacing w:after="200" w:line="360" w:lineRule="auto"/>
        <w:jc w:val="both"/>
        <w:rPr>
          <w:rFonts w:ascii="Calibri" w:hAnsi="Calibri" w:cs="Calibri"/>
          <w:sz w:val="22"/>
          <w:szCs w:val="22"/>
        </w:rPr>
      </w:pPr>
      <w:r w:rsidRPr="00DA506E">
        <w:rPr>
          <w:rFonts w:ascii="Calibri" w:hAnsi="Calibri" w:cs="Calibri"/>
          <w:sz w:val="22"/>
          <w:szCs w:val="22"/>
        </w:rPr>
        <w:lastRenderedPageBreak/>
        <w:t xml:space="preserve">Research nurses at </w:t>
      </w:r>
      <w:r w:rsidR="00B7151B">
        <w:rPr>
          <w:rFonts w:ascii="Calibri" w:hAnsi="Calibri" w:cs="Calibri"/>
          <w:sz w:val="22"/>
          <w:szCs w:val="22"/>
        </w:rPr>
        <w:t>two</w:t>
      </w:r>
      <w:r w:rsidRPr="00DA506E">
        <w:rPr>
          <w:rFonts w:ascii="Calibri" w:hAnsi="Calibri" w:cs="Calibri"/>
          <w:sz w:val="22"/>
          <w:szCs w:val="22"/>
        </w:rPr>
        <w:t xml:space="preserve"> units discussed how some consultants were </w:t>
      </w:r>
      <w:r w:rsidR="007B4123">
        <w:rPr>
          <w:rFonts w:ascii="Calibri" w:hAnsi="Calibri" w:cs="Calibri"/>
          <w:sz w:val="22"/>
          <w:szCs w:val="22"/>
        </w:rPr>
        <w:t>resistant</w:t>
      </w:r>
      <w:r w:rsidRPr="00DA506E">
        <w:rPr>
          <w:rFonts w:ascii="Calibri" w:hAnsi="Calibri" w:cs="Calibri"/>
          <w:sz w:val="22"/>
          <w:szCs w:val="22"/>
        </w:rPr>
        <w:t xml:space="preserve"> to recruit</w:t>
      </w:r>
      <w:r w:rsidR="007B4123">
        <w:rPr>
          <w:rFonts w:ascii="Calibri" w:hAnsi="Calibri" w:cs="Calibri"/>
          <w:sz w:val="22"/>
          <w:szCs w:val="22"/>
        </w:rPr>
        <w:t>ing</w:t>
      </w:r>
      <w:r w:rsidRPr="00DA506E">
        <w:rPr>
          <w:rFonts w:ascii="Calibri" w:hAnsi="Calibri" w:cs="Calibri"/>
          <w:sz w:val="22"/>
          <w:szCs w:val="22"/>
        </w:rPr>
        <w:t xml:space="preserve"> patients with bowel-related issues. </w:t>
      </w:r>
      <w:r w:rsidRPr="007B4123">
        <w:rPr>
          <w:rFonts w:ascii="Calibri" w:hAnsi="Calibri" w:cs="Calibri"/>
          <w:sz w:val="22"/>
          <w:szCs w:val="22"/>
        </w:rPr>
        <w:t>They described how, although patients were eligible to participate, these consultants had a high threshold for recruiting patients and a low threshold for withdrawing this sub-group of patients from the study.</w:t>
      </w:r>
      <w:r w:rsidRPr="00DA506E">
        <w:rPr>
          <w:rFonts w:ascii="Calibri" w:hAnsi="Calibri" w:cs="Calibri"/>
          <w:sz w:val="22"/>
          <w:szCs w:val="22"/>
        </w:rPr>
        <w:t xml:space="preserve"> One discussed how they perceived hypervigilance for bowel-related complications when patients were randomised to alpha-2 agonists</w:t>
      </w:r>
      <w:r w:rsidR="00F0729B">
        <w:rPr>
          <w:rFonts w:ascii="Calibri" w:hAnsi="Calibri" w:cs="Calibri"/>
          <w:sz w:val="22"/>
          <w:szCs w:val="22"/>
        </w:rPr>
        <w:t xml:space="preserve"> – this vigilance was</w:t>
      </w:r>
      <w:r w:rsidRPr="00DA506E">
        <w:rPr>
          <w:rFonts w:ascii="Calibri" w:hAnsi="Calibri" w:cs="Calibri"/>
          <w:sz w:val="22"/>
          <w:szCs w:val="22"/>
        </w:rPr>
        <w:t xml:space="preserve"> less evident in </w:t>
      </w:r>
      <w:r w:rsidR="00432678">
        <w:rPr>
          <w:rFonts w:ascii="Calibri" w:hAnsi="Calibri" w:cs="Calibri"/>
          <w:sz w:val="22"/>
          <w:szCs w:val="22"/>
        </w:rPr>
        <w:t xml:space="preserve">non-trial </w:t>
      </w:r>
      <w:r w:rsidRPr="00DA506E">
        <w:rPr>
          <w:rFonts w:ascii="Calibri" w:hAnsi="Calibri" w:cs="Calibri"/>
          <w:sz w:val="22"/>
          <w:szCs w:val="22"/>
        </w:rPr>
        <w:t xml:space="preserve">patients. </w:t>
      </w:r>
    </w:p>
    <w:p w14:paraId="40ADFAB3" w14:textId="77777777" w:rsidR="00DA506E" w:rsidRPr="00DA506E" w:rsidRDefault="00DA506E" w:rsidP="002358F3">
      <w:pPr>
        <w:numPr>
          <w:ilvl w:val="0"/>
          <w:numId w:val="5"/>
        </w:numPr>
        <w:spacing w:after="200" w:line="360" w:lineRule="auto"/>
        <w:ind w:left="0"/>
        <w:contextualSpacing/>
        <w:jc w:val="both"/>
        <w:rPr>
          <w:rFonts w:ascii="Calibri" w:hAnsi="Calibri" w:cs="Calibri"/>
          <w:sz w:val="22"/>
          <w:szCs w:val="22"/>
        </w:rPr>
      </w:pPr>
      <w:r w:rsidRPr="00DA506E">
        <w:rPr>
          <w:rFonts w:ascii="Calibri" w:hAnsi="Calibri" w:cs="Calibri"/>
          <w:sz w:val="22"/>
          <w:szCs w:val="22"/>
        </w:rPr>
        <w:t>Resistance to specific drug/regimen in A2B</w:t>
      </w:r>
    </w:p>
    <w:p w14:paraId="6D77720D" w14:textId="3667BE3D" w:rsidR="00DA506E" w:rsidRPr="00DA506E" w:rsidRDefault="00DA506E" w:rsidP="002358F3">
      <w:pPr>
        <w:spacing w:after="200" w:line="360" w:lineRule="auto"/>
        <w:jc w:val="both"/>
        <w:rPr>
          <w:rFonts w:ascii="Calibri" w:hAnsi="Calibri" w:cs="Calibri"/>
          <w:sz w:val="22"/>
          <w:szCs w:val="22"/>
        </w:rPr>
      </w:pPr>
      <w:r w:rsidRPr="00DA506E">
        <w:rPr>
          <w:rFonts w:ascii="Calibri" w:hAnsi="Calibri" w:cs="Calibri"/>
          <w:sz w:val="22"/>
          <w:szCs w:val="22"/>
        </w:rPr>
        <w:t xml:space="preserve">PIs at </w:t>
      </w:r>
      <w:r w:rsidR="00B7151B">
        <w:rPr>
          <w:rFonts w:ascii="Calibri" w:hAnsi="Calibri" w:cs="Calibri"/>
          <w:sz w:val="22"/>
          <w:szCs w:val="22"/>
        </w:rPr>
        <w:t>two</w:t>
      </w:r>
      <w:r w:rsidRPr="00DA506E">
        <w:rPr>
          <w:rFonts w:ascii="Calibri" w:hAnsi="Calibri" w:cs="Calibri"/>
          <w:sz w:val="22"/>
          <w:szCs w:val="22"/>
        </w:rPr>
        <w:t xml:space="preserve"> units described how some consultants disliked having to commit to a specific </w:t>
      </w:r>
      <w:r w:rsidR="00776B03">
        <w:rPr>
          <w:rFonts w:ascii="Calibri" w:hAnsi="Calibri" w:cs="Calibri"/>
          <w:sz w:val="22"/>
          <w:szCs w:val="22"/>
        </w:rPr>
        <w:t>medication</w:t>
      </w:r>
      <w:r w:rsidRPr="00DA506E">
        <w:rPr>
          <w:rFonts w:ascii="Calibri" w:hAnsi="Calibri" w:cs="Calibri"/>
          <w:sz w:val="22"/>
          <w:szCs w:val="22"/>
        </w:rPr>
        <w:t xml:space="preserve"> regimen within the trial, and not have the autonomy to make decisions on a case-by-case basis. This related partly to </w:t>
      </w:r>
      <w:r w:rsidR="0086427D">
        <w:rPr>
          <w:rFonts w:ascii="Calibri" w:hAnsi="Calibri" w:cs="Calibri"/>
          <w:sz w:val="22"/>
          <w:szCs w:val="22"/>
        </w:rPr>
        <w:t>the choice of</w:t>
      </w:r>
      <w:r w:rsidRPr="00DA506E">
        <w:rPr>
          <w:rFonts w:ascii="Calibri" w:hAnsi="Calibri" w:cs="Calibri"/>
          <w:sz w:val="22"/>
          <w:szCs w:val="22"/>
        </w:rPr>
        <w:t xml:space="preserve"> multiple sedative</w:t>
      </w:r>
      <w:r w:rsidR="00282075">
        <w:rPr>
          <w:rFonts w:ascii="Calibri" w:hAnsi="Calibri" w:cs="Calibri"/>
          <w:sz w:val="22"/>
          <w:szCs w:val="22"/>
        </w:rPr>
        <w:t>s</w:t>
      </w:r>
      <w:r w:rsidRPr="00DA506E">
        <w:rPr>
          <w:rFonts w:ascii="Calibri" w:hAnsi="Calibri" w:cs="Calibri"/>
          <w:sz w:val="22"/>
          <w:szCs w:val="22"/>
        </w:rPr>
        <w:t xml:space="preserve"> in challenging patient groups, and partly to being able to adequately control patients and their sedation</w:t>
      </w:r>
      <w:r w:rsidR="006A020E">
        <w:rPr>
          <w:rFonts w:ascii="Calibri" w:hAnsi="Calibri" w:cs="Calibri"/>
          <w:sz w:val="22"/>
          <w:szCs w:val="22"/>
        </w:rPr>
        <w:t>:</w:t>
      </w:r>
      <w:r w:rsidRPr="00DA506E">
        <w:rPr>
          <w:rFonts w:ascii="Calibri" w:hAnsi="Calibri" w:cs="Calibri"/>
          <w:sz w:val="22"/>
          <w:szCs w:val="22"/>
        </w:rPr>
        <w:t xml:space="preserve"> </w:t>
      </w:r>
    </w:p>
    <w:p w14:paraId="1A5F5270" w14:textId="6805B985" w:rsidR="00DA506E" w:rsidRPr="00580132" w:rsidRDefault="00DA506E" w:rsidP="002358F3">
      <w:pPr>
        <w:spacing w:after="200" w:line="360" w:lineRule="auto"/>
        <w:ind w:left="567" w:right="567"/>
        <w:jc w:val="both"/>
        <w:rPr>
          <w:rFonts w:ascii="Calibri" w:hAnsi="Calibri" w:cs="Calibri"/>
          <w:sz w:val="22"/>
          <w:szCs w:val="22"/>
        </w:rPr>
      </w:pPr>
      <w:r w:rsidRPr="00DA506E">
        <w:rPr>
          <w:rFonts w:ascii="Calibri" w:hAnsi="Calibri" w:cs="Calibri"/>
          <w:i/>
          <w:iCs/>
          <w:sz w:val="22"/>
          <w:szCs w:val="22"/>
        </w:rPr>
        <w:t>“…you could have had somebody who was an alcoholic and you wanted to have all the options for sedation, you didn’t want to have your hands tied in a difficult to sedate patient… you know, you wanted to discuss it with the team and they didn’t want to have their therapeutic armamentarium, you know, limited because the patient would end up...</w:t>
      </w:r>
      <w:r w:rsidR="00FB19E7">
        <w:rPr>
          <w:rFonts w:ascii="Calibri" w:hAnsi="Calibri" w:cs="Calibri"/>
          <w:i/>
          <w:iCs/>
          <w:sz w:val="22"/>
          <w:szCs w:val="22"/>
        </w:rPr>
        <w:t xml:space="preserve"> </w:t>
      </w:r>
      <w:r w:rsidRPr="00DA506E">
        <w:rPr>
          <w:rFonts w:ascii="Calibri" w:hAnsi="Calibri" w:cs="Calibri"/>
          <w:i/>
          <w:iCs/>
          <w:sz w:val="22"/>
          <w:szCs w:val="22"/>
        </w:rPr>
        <w:t>might be randomised to no alpha 2 agent.”</w:t>
      </w:r>
      <w:r w:rsidRPr="00DA506E">
        <w:rPr>
          <w:rFonts w:ascii="Calibri" w:hAnsi="Calibri" w:cs="Calibri"/>
          <w:sz w:val="22"/>
          <w:szCs w:val="22"/>
        </w:rPr>
        <w:t xml:space="preserve"> PI03/32</w:t>
      </w:r>
    </w:p>
    <w:p w14:paraId="55EA53F3" w14:textId="77777777" w:rsidR="00DA506E" w:rsidRPr="00471231" w:rsidRDefault="00DA506E" w:rsidP="002358F3">
      <w:pPr>
        <w:keepNext/>
        <w:keepLines/>
        <w:spacing w:after="200" w:line="360" w:lineRule="auto"/>
        <w:jc w:val="both"/>
        <w:outlineLvl w:val="2"/>
        <w:rPr>
          <w:rFonts w:ascii="Calibri" w:eastAsiaTheme="majorEastAsia" w:hAnsi="Calibri" w:cs="Calibri"/>
          <w:i/>
          <w:iCs/>
          <w:color w:val="000000" w:themeColor="text1"/>
          <w:sz w:val="22"/>
          <w:szCs w:val="22"/>
        </w:rPr>
      </w:pPr>
      <w:bookmarkStart w:id="7" w:name="_Toc168393573"/>
      <w:r w:rsidRPr="00471231">
        <w:rPr>
          <w:rFonts w:ascii="Calibri" w:eastAsiaTheme="majorEastAsia" w:hAnsi="Calibri" w:cs="Calibri"/>
          <w:i/>
          <w:iCs/>
          <w:color w:val="000000" w:themeColor="text1"/>
          <w:sz w:val="22"/>
          <w:szCs w:val="22"/>
        </w:rPr>
        <w:t>Staff capability and capacity</w:t>
      </w:r>
      <w:bookmarkEnd w:id="7"/>
    </w:p>
    <w:p w14:paraId="19A37323" w14:textId="73A908CD" w:rsidR="00DA506E" w:rsidRPr="00DA506E" w:rsidRDefault="00DA506E" w:rsidP="002358F3">
      <w:pPr>
        <w:spacing w:after="200" w:line="360" w:lineRule="auto"/>
        <w:jc w:val="both"/>
        <w:rPr>
          <w:rFonts w:ascii="Calibri" w:hAnsi="Calibri" w:cs="Calibri"/>
          <w:sz w:val="22"/>
          <w:szCs w:val="22"/>
        </w:rPr>
      </w:pPr>
      <w:r w:rsidRPr="00DA506E">
        <w:rPr>
          <w:rFonts w:ascii="Calibri" w:hAnsi="Calibri" w:cs="Calibri"/>
          <w:sz w:val="22"/>
          <w:szCs w:val="22"/>
        </w:rPr>
        <w:t xml:space="preserve">Staff at most units reported that both senior and more experienced staff nurses were more competent and confident caring for A2B patients. They discussed </w:t>
      </w:r>
      <w:r w:rsidR="00846F7B">
        <w:rPr>
          <w:rFonts w:ascii="Calibri" w:hAnsi="Calibri" w:cs="Calibri"/>
          <w:sz w:val="22"/>
          <w:szCs w:val="22"/>
        </w:rPr>
        <w:t>four</w:t>
      </w:r>
      <w:r w:rsidRPr="00DA506E">
        <w:rPr>
          <w:rFonts w:ascii="Calibri" w:hAnsi="Calibri" w:cs="Calibri"/>
          <w:sz w:val="22"/>
          <w:szCs w:val="22"/>
        </w:rPr>
        <w:t xml:space="preserve"> main factors relating to staff capability and capacity which impacted their ability to deliver the intervention: experience using alpha-2 agonists, experience titrating and weaning s</w:t>
      </w:r>
      <w:r w:rsidR="00C94532">
        <w:rPr>
          <w:rFonts w:ascii="Calibri" w:hAnsi="Calibri" w:cs="Calibri"/>
          <w:sz w:val="22"/>
          <w:szCs w:val="22"/>
        </w:rPr>
        <w:t>edation</w:t>
      </w:r>
      <w:r w:rsidRPr="00DA506E">
        <w:rPr>
          <w:rFonts w:ascii="Calibri" w:hAnsi="Calibri" w:cs="Calibri"/>
          <w:sz w:val="22"/>
          <w:szCs w:val="22"/>
        </w:rPr>
        <w:t xml:space="preserve">, the COVID-19 pandemic influx of inexperienced staff, and research team support. </w:t>
      </w:r>
    </w:p>
    <w:p w14:paraId="2E84C1BC" w14:textId="77777777" w:rsidR="00DA506E" w:rsidRPr="00DA506E" w:rsidRDefault="00DA506E" w:rsidP="002358F3">
      <w:pPr>
        <w:numPr>
          <w:ilvl w:val="0"/>
          <w:numId w:val="6"/>
        </w:numPr>
        <w:spacing w:after="200" w:line="360" w:lineRule="auto"/>
        <w:ind w:left="0"/>
        <w:contextualSpacing/>
        <w:jc w:val="both"/>
        <w:rPr>
          <w:rFonts w:ascii="Calibri" w:hAnsi="Calibri" w:cs="Calibri"/>
          <w:sz w:val="22"/>
          <w:szCs w:val="22"/>
        </w:rPr>
      </w:pPr>
      <w:r w:rsidRPr="00DA506E">
        <w:rPr>
          <w:rFonts w:ascii="Calibri" w:hAnsi="Calibri" w:cs="Calibri"/>
          <w:sz w:val="22"/>
          <w:szCs w:val="22"/>
        </w:rPr>
        <w:t>Experience using alpha-2 agonists</w:t>
      </w:r>
    </w:p>
    <w:p w14:paraId="36090FBB" w14:textId="588F3D3F" w:rsidR="00DA506E" w:rsidRPr="00DA506E" w:rsidRDefault="00DA506E" w:rsidP="002358F3">
      <w:pPr>
        <w:spacing w:after="200" w:line="360" w:lineRule="auto"/>
        <w:jc w:val="both"/>
        <w:rPr>
          <w:rFonts w:ascii="Calibri" w:hAnsi="Calibri" w:cs="Calibri"/>
          <w:sz w:val="22"/>
          <w:szCs w:val="22"/>
        </w:rPr>
      </w:pPr>
      <w:r w:rsidRPr="00DA506E">
        <w:rPr>
          <w:rFonts w:ascii="Calibri" w:hAnsi="Calibri" w:cs="Calibri"/>
          <w:sz w:val="22"/>
          <w:szCs w:val="22"/>
        </w:rPr>
        <w:t xml:space="preserve">Staff at </w:t>
      </w:r>
      <w:r w:rsidR="00CB1CD3">
        <w:rPr>
          <w:rFonts w:ascii="Calibri" w:hAnsi="Calibri" w:cs="Calibri"/>
          <w:sz w:val="22"/>
          <w:szCs w:val="22"/>
        </w:rPr>
        <w:t>two</w:t>
      </w:r>
      <w:r w:rsidR="00A64456">
        <w:rPr>
          <w:rFonts w:ascii="Calibri" w:hAnsi="Calibri" w:cs="Calibri"/>
          <w:sz w:val="22"/>
          <w:szCs w:val="22"/>
        </w:rPr>
        <w:t xml:space="preserve"> </w:t>
      </w:r>
      <w:r w:rsidRPr="00DA506E">
        <w:rPr>
          <w:rFonts w:ascii="Calibri" w:hAnsi="Calibri" w:cs="Calibri"/>
          <w:sz w:val="22"/>
          <w:szCs w:val="22"/>
        </w:rPr>
        <w:t xml:space="preserve">units discussed how less experienced staff nurses appeared to struggle when allocated patients randomised to alpha-2 agonists. Although these </w:t>
      </w:r>
      <w:r w:rsidR="00A64456">
        <w:rPr>
          <w:rFonts w:ascii="Calibri" w:hAnsi="Calibri" w:cs="Calibri"/>
          <w:sz w:val="22"/>
          <w:szCs w:val="22"/>
        </w:rPr>
        <w:t>medication</w:t>
      </w:r>
      <w:r w:rsidR="007B4123">
        <w:rPr>
          <w:rFonts w:ascii="Calibri" w:hAnsi="Calibri" w:cs="Calibri"/>
          <w:sz w:val="22"/>
          <w:szCs w:val="22"/>
        </w:rPr>
        <w:t>s</w:t>
      </w:r>
      <w:r w:rsidRPr="00DA506E">
        <w:rPr>
          <w:rFonts w:ascii="Calibri" w:hAnsi="Calibri" w:cs="Calibri"/>
          <w:sz w:val="22"/>
          <w:szCs w:val="22"/>
        </w:rPr>
        <w:t xml:space="preserve"> were used routinely in </w:t>
      </w:r>
      <w:r w:rsidR="00A64456">
        <w:rPr>
          <w:rFonts w:ascii="Calibri" w:hAnsi="Calibri" w:cs="Calibri"/>
          <w:sz w:val="22"/>
          <w:szCs w:val="22"/>
        </w:rPr>
        <w:t>clinical</w:t>
      </w:r>
      <w:r w:rsidRPr="00DA506E">
        <w:rPr>
          <w:rFonts w:ascii="Calibri" w:hAnsi="Calibri" w:cs="Calibri"/>
          <w:sz w:val="22"/>
          <w:szCs w:val="22"/>
        </w:rPr>
        <w:t xml:space="preserve"> practice, they were not first line sedatives and less experienced nurses required support and education to optimise adherence </w:t>
      </w:r>
      <w:r w:rsidR="00750060">
        <w:rPr>
          <w:rFonts w:ascii="Calibri" w:hAnsi="Calibri" w:cs="Calibri"/>
          <w:sz w:val="22"/>
          <w:szCs w:val="22"/>
        </w:rPr>
        <w:t>with</w:t>
      </w:r>
      <w:r w:rsidRPr="00DA506E">
        <w:rPr>
          <w:rFonts w:ascii="Calibri" w:hAnsi="Calibri" w:cs="Calibri"/>
          <w:sz w:val="22"/>
          <w:szCs w:val="22"/>
        </w:rPr>
        <w:t xml:space="preserve"> the protocol. </w:t>
      </w:r>
      <w:r w:rsidR="004E6526">
        <w:rPr>
          <w:rFonts w:ascii="Calibri" w:hAnsi="Calibri" w:cs="Calibri"/>
          <w:sz w:val="22"/>
          <w:szCs w:val="22"/>
        </w:rPr>
        <w:t>E</w:t>
      </w:r>
      <w:r w:rsidRPr="00DA506E">
        <w:rPr>
          <w:rFonts w:ascii="Calibri" w:hAnsi="Calibri" w:cs="Calibri"/>
          <w:sz w:val="22"/>
          <w:szCs w:val="22"/>
        </w:rPr>
        <w:t xml:space="preserve">xperienced staff nurses were more comfortable changing </w:t>
      </w:r>
      <w:r w:rsidR="00A64456">
        <w:rPr>
          <w:rFonts w:ascii="Calibri" w:hAnsi="Calibri" w:cs="Calibri"/>
          <w:sz w:val="22"/>
          <w:szCs w:val="22"/>
        </w:rPr>
        <w:t>medication</w:t>
      </w:r>
      <w:r w:rsidRPr="00DA506E">
        <w:rPr>
          <w:rFonts w:ascii="Calibri" w:hAnsi="Calibri" w:cs="Calibri"/>
          <w:sz w:val="22"/>
          <w:szCs w:val="22"/>
        </w:rPr>
        <w:t>s and titrating sedation in accordance with bedside algorithms because they have had more experience with</w:t>
      </w:r>
      <w:r w:rsidR="00A64456">
        <w:rPr>
          <w:rFonts w:ascii="Calibri" w:hAnsi="Calibri" w:cs="Calibri"/>
          <w:sz w:val="22"/>
          <w:szCs w:val="22"/>
        </w:rPr>
        <w:t xml:space="preserve"> ICU medication</w:t>
      </w:r>
      <w:r w:rsidRPr="00DA506E">
        <w:rPr>
          <w:rFonts w:ascii="Calibri" w:hAnsi="Calibri" w:cs="Calibri"/>
          <w:sz w:val="22"/>
          <w:szCs w:val="22"/>
        </w:rPr>
        <w:t>s, and more autonomous experience assessing and weaning patients</w:t>
      </w:r>
      <w:r w:rsidR="0069747C">
        <w:rPr>
          <w:rFonts w:ascii="Calibri" w:hAnsi="Calibri" w:cs="Calibri"/>
          <w:sz w:val="22"/>
          <w:szCs w:val="22"/>
        </w:rPr>
        <w:t>:</w:t>
      </w:r>
      <w:r w:rsidRPr="00DA506E">
        <w:rPr>
          <w:rFonts w:ascii="Calibri" w:hAnsi="Calibri" w:cs="Calibri"/>
          <w:sz w:val="22"/>
          <w:szCs w:val="22"/>
        </w:rPr>
        <w:t xml:space="preserve"> </w:t>
      </w:r>
    </w:p>
    <w:p w14:paraId="14AD48E3" w14:textId="753FC792" w:rsidR="00DA506E" w:rsidRPr="00DA506E" w:rsidRDefault="00DA506E" w:rsidP="002358F3">
      <w:pPr>
        <w:spacing w:after="200" w:line="360" w:lineRule="auto"/>
        <w:ind w:left="567" w:right="567"/>
        <w:jc w:val="both"/>
        <w:rPr>
          <w:rFonts w:ascii="Calibri" w:hAnsi="Calibri" w:cs="Calibri"/>
          <w:sz w:val="22"/>
          <w:szCs w:val="22"/>
        </w:rPr>
      </w:pPr>
      <w:r w:rsidRPr="00DA506E">
        <w:rPr>
          <w:rFonts w:ascii="Calibri" w:hAnsi="Calibri" w:cs="Calibri"/>
          <w:i/>
          <w:iCs/>
          <w:sz w:val="22"/>
          <w:szCs w:val="22"/>
        </w:rPr>
        <w:t>“…in this case I think it was definitely because of the clinical experience the nurse had. They were very comfortable with the drugs</w:t>
      </w:r>
      <w:r w:rsidR="004220E1">
        <w:rPr>
          <w:rFonts w:ascii="Calibri" w:hAnsi="Calibri" w:cs="Calibri"/>
          <w:i/>
          <w:iCs/>
          <w:sz w:val="22"/>
          <w:szCs w:val="22"/>
        </w:rPr>
        <w:t>…</w:t>
      </w:r>
      <w:r w:rsidRPr="00DA506E">
        <w:rPr>
          <w:rFonts w:ascii="Calibri" w:hAnsi="Calibri" w:cs="Calibri"/>
          <w:i/>
          <w:iCs/>
          <w:sz w:val="22"/>
          <w:szCs w:val="22"/>
        </w:rPr>
        <w:t xml:space="preserve"> very comfortable weaning and assessing the patient</w:t>
      </w:r>
      <w:r w:rsidR="00563C9F">
        <w:rPr>
          <w:rFonts w:ascii="Calibri" w:hAnsi="Calibri" w:cs="Calibri"/>
          <w:i/>
          <w:iCs/>
          <w:sz w:val="22"/>
          <w:szCs w:val="22"/>
        </w:rPr>
        <w:t>..</w:t>
      </w:r>
      <w:r w:rsidRPr="00DA506E">
        <w:rPr>
          <w:rFonts w:ascii="Calibri" w:hAnsi="Calibri" w:cs="Calibri"/>
          <w:i/>
          <w:iCs/>
          <w:sz w:val="22"/>
          <w:szCs w:val="22"/>
        </w:rPr>
        <w:t xml:space="preserve">. Whereas if you’ve got a junior band five who’s absolutely terrified on a daily </w:t>
      </w:r>
      <w:r w:rsidRPr="00DA506E">
        <w:rPr>
          <w:rFonts w:ascii="Calibri" w:hAnsi="Calibri" w:cs="Calibri"/>
          <w:i/>
          <w:iCs/>
          <w:sz w:val="22"/>
          <w:szCs w:val="22"/>
        </w:rPr>
        <w:lastRenderedPageBreak/>
        <w:t xml:space="preserve">basis at the bedside and they haven’t quite developed the skills to be comfortable in changing medication like an experienced band six would be.” </w:t>
      </w:r>
      <w:r w:rsidRPr="00DA506E">
        <w:rPr>
          <w:rFonts w:ascii="Calibri" w:hAnsi="Calibri" w:cs="Calibri"/>
          <w:sz w:val="22"/>
          <w:szCs w:val="22"/>
        </w:rPr>
        <w:t>PI01/26</w:t>
      </w:r>
    </w:p>
    <w:p w14:paraId="56D1D8AC" w14:textId="77777777" w:rsidR="00DA506E" w:rsidRPr="00DA506E" w:rsidRDefault="00DA506E" w:rsidP="002358F3">
      <w:pPr>
        <w:numPr>
          <w:ilvl w:val="0"/>
          <w:numId w:val="6"/>
        </w:numPr>
        <w:spacing w:after="200" w:line="360" w:lineRule="auto"/>
        <w:ind w:left="0"/>
        <w:contextualSpacing/>
        <w:jc w:val="both"/>
        <w:rPr>
          <w:rFonts w:ascii="Calibri" w:hAnsi="Calibri" w:cs="Calibri"/>
          <w:sz w:val="22"/>
          <w:szCs w:val="22"/>
        </w:rPr>
      </w:pPr>
      <w:r w:rsidRPr="00DA506E">
        <w:rPr>
          <w:rFonts w:ascii="Calibri" w:hAnsi="Calibri" w:cs="Calibri"/>
          <w:sz w:val="22"/>
          <w:szCs w:val="22"/>
        </w:rPr>
        <w:t>Experience titrating and weaning sedation</w:t>
      </w:r>
    </w:p>
    <w:p w14:paraId="4B721EC4" w14:textId="77777777" w:rsidR="00DA506E" w:rsidRPr="00DA506E" w:rsidRDefault="00DA506E" w:rsidP="002358F3">
      <w:pPr>
        <w:spacing w:after="200" w:line="360" w:lineRule="auto"/>
        <w:jc w:val="both"/>
        <w:rPr>
          <w:rFonts w:ascii="Calibri" w:hAnsi="Calibri" w:cs="Calibri"/>
          <w:sz w:val="22"/>
          <w:szCs w:val="22"/>
        </w:rPr>
      </w:pPr>
      <w:r w:rsidRPr="00DA506E">
        <w:rPr>
          <w:rFonts w:ascii="Calibri" w:hAnsi="Calibri" w:cs="Calibri"/>
          <w:sz w:val="22"/>
          <w:szCs w:val="22"/>
        </w:rPr>
        <w:t xml:space="preserve">Both </w:t>
      </w:r>
      <w:r w:rsidR="00B82A1C">
        <w:rPr>
          <w:rFonts w:ascii="Calibri" w:hAnsi="Calibri" w:cs="Calibri"/>
          <w:sz w:val="22"/>
          <w:szCs w:val="22"/>
        </w:rPr>
        <w:t>clinical</w:t>
      </w:r>
      <w:r w:rsidRPr="00DA506E">
        <w:rPr>
          <w:rFonts w:ascii="Calibri" w:hAnsi="Calibri" w:cs="Calibri"/>
          <w:sz w:val="22"/>
          <w:szCs w:val="22"/>
        </w:rPr>
        <w:t xml:space="preserve"> and research nurses described how seniority and experience of </w:t>
      </w:r>
      <w:r w:rsidR="00B82A1C" w:rsidRPr="00DA506E">
        <w:rPr>
          <w:rFonts w:ascii="Calibri" w:hAnsi="Calibri" w:cs="Calibri"/>
          <w:sz w:val="22"/>
          <w:szCs w:val="22"/>
        </w:rPr>
        <w:t xml:space="preserve">bedside </w:t>
      </w:r>
      <w:r w:rsidRPr="00DA506E">
        <w:rPr>
          <w:rFonts w:ascii="Calibri" w:hAnsi="Calibri" w:cs="Calibri"/>
          <w:sz w:val="22"/>
          <w:szCs w:val="22"/>
        </w:rPr>
        <w:t>nurse</w:t>
      </w:r>
      <w:r w:rsidR="00B82A1C">
        <w:rPr>
          <w:rFonts w:ascii="Calibri" w:hAnsi="Calibri" w:cs="Calibri"/>
          <w:sz w:val="22"/>
          <w:szCs w:val="22"/>
        </w:rPr>
        <w:t>s</w:t>
      </w:r>
      <w:r w:rsidRPr="00DA506E">
        <w:rPr>
          <w:rFonts w:ascii="Calibri" w:hAnsi="Calibri" w:cs="Calibri"/>
          <w:sz w:val="22"/>
          <w:szCs w:val="22"/>
        </w:rPr>
        <w:t xml:space="preserve"> correlated </w:t>
      </w:r>
      <w:r w:rsidR="00753598">
        <w:rPr>
          <w:rFonts w:ascii="Calibri" w:hAnsi="Calibri" w:cs="Calibri"/>
          <w:sz w:val="22"/>
          <w:szCs w:val="22"/>
        </w:rPr>
        <w:t>with</w:t>
      </w:r>
      <w:r w:rsidRPr="00DA506E">
        <w:rPr>
          <w:rFonts w:ascii="Calibri" w:hAnsi="Calibri" w:cs="Calibri"/>
          <w:sz w:val="22"/>
          <w:szCs w:val="22"/>
        </w:rPr>
        <w:t xml:space="preserve"> confidence when caring for patients randomised to alpha-2 agonists. The more experienced the </w:t>
      </w:r>
      <w:r w:rsidR="004D22D0" w:rsidRPr="00DA506E">
        <w:rPr>
          <w:rFonts w:ascii="Calibri" w:hAnsi="Calibri" w:cs="Calibri"/>
          <w:sz w:val="22"/>
          <w:szCs w:val="22"/>
        </w:rPr>
        <w:t xml:space="preserve">bedside </w:t>
      </w:r>
      <w:r w:rsidRPr="00DA506E">
        <w:rPr>
          <w:rFonts w:ascii="Calibri" w:hAnsi="Calibri" w:cs="Calibri"/>
          <w:sz w:val="22"/>
          <w:szCs w:val="22"/>
        </w:rPr>
        <w:t>nurse the smo</w:t>
      </w:r>
      <w:r w:rsidR="00753598">
        <w:rPr>
          <w:rFonts w:ascii="Calibri" w:hAnsi="Calibri" w:cs="Calibri"/>
          <w:sz w:val="22"/>
          <w:szCs w:val="22"/>
        </w:rPr>
        <w:t>o</w:t>
      </w:r>
      <w:r w:rsidRPr="00DA506E">
        <w:rPr>
          <w:rFonts w:ascii="Calibri" w:hAnsi="Calibri" w:cs="Calibri"/>
          <w:sz w:val="22"/>
          <w:szCs w:val="22"/>
        </w:rPr>
        <w:t xml:space="preserve">ther the process of delivering the intervention. Staff </w:t>
      </w:r>
      <w:r w:rsidR="00AE4309">
        <w:rPr>
          <w:rFonts w:ascii="Calibri" w:hAnsi="Calibri" w:cs="Calibri"/>
          <w:sz w:val="22"/>
          <w:szCs w:val="22"/>
        </w:rPr>
        <w:t>noted that</w:t>
      </w:r>
      <w:r w:rsidRPr="00DA506E">
        <w:rPr>
          <w:rFonts w:ascii="Calibri" w:hAnsi="Calibri" w:cs="Calibri"/>
          <w:sz w:val="22"/>
          <w:szCs w:val="22"/>
        </w:rPr>
        <w:t xml:space="preserve"> even if experienced nurses were not familiar with using alpha-2 agonists in this</w:t>
      </w:r>
      <w:r w:rsidR="00A64456">
        <w:rPr>
          <w:rFonts w:ascii="Calibri" w:hAnsi="Calibri" w:cs="Calibri"/>
          <w:sz w:val="22"/>
          <w:szCs w:val="22"/>
        </w:rPr>
        <w:t xml:space="preserve"> manner</w:t>
      </w:r>
      <w:r w:rsidRPr="00DA506E">
        <w:rPr>
          <w:rFonts w:ascii="Calibri" w:hAnsi="Calibri" w:cs="Calibri"/>
          <w:sz w:val="22"/>
          <w:szCs w:val="22"/>
        </w:rPr>
        <w:t xml:space="preserve"> experience gave them the confidence to deal with unpredictable or challenging situations which may arise</w:t>
      </w:r>
      <w:r w:rsidR="00E76634">
        <w:rPr>
          <w:rFonts w:ascii="Calibri" w:hAnsi="Calibri" w:cs="Calibri"/>
          <w:sz w:val="22"/>
          <w:szCs w:val="22"/>
        </w:rPr>
        <w:t>:</w:t>
      </w:r>
      <w:r w:rsidRPr="00DA506E">
        <w:rPr>
          <w:rFonts w:ascii="Calibri" w:hAnsi="Calibri" w:cs="Calibri"/>
          <w:sz w:val="22"/>
          <w:szCs w:val="22"/>
        </w:rPr>
        <w:t xml:space="preserve">  </w:t>
      </w:r>
    </w:p>
    <w:p w14:paraId="74132EB3" w14:textId="070B7D98" w:rsidR="00DA506E" w:rsidRPr="00DA506E" w:rsidRDefault="00DA506E" w:rsidP="002358F3">
      <w:pPr>
        <w:spacing w:after="200" w:line="360" w:lineRule="auto"/>
        <w:ind w:left="567" w:right="567"/>
        <w:jc w:val="both"/>
        <w:rPr>
          <w:rFonts w:ascii="Calibri" w:hAnsi="Calibri" w:cs="Calibri"/>
          <w:sz w:val="22"/>
          <w:szCs w:val="22"/>
        </w:rPr>
      </w:pPr>
      <w:r w:rsidRPr="00DA506E">
        <w:rPr>
          <w:rFonts w:ascii="Calibri" w:hAnsi="Calibri" w:cs="Calibri"/>
          <w:i/>
          <w:iCs/>
          <w:sz w:val="22"/>
          <w:szCs w:val="22"/>
        </w:rPr>
        <w:t xml:space="preserve">“Like the more experienced you are, the more confident in it, I suppose. And the more exposure you’ve had to sedated patients as a whole, the more confident you are with your sedation” </w:t>
      </w:r>
      <w:r w:rsidRPr="00DA506E">
        <w:rPr>
          <w:rFonts w:ascii="Calibri" w:hAnsi="Calibri" w:cs="Calibri"/>
          <w:sz w:val="22"/>
          <w:szCs w:val="22"/>
        </w:rPr>
        <w:t>RN01/15</w:t>
      </w:r>
    </w:p>
    <w:p w14:paraId="1EF37FA4" w14:textId="77777777" w:rsidR="00DA506E" w:rsidRPr="00DA506E" w:rsidRDefault="00DA506E" w:rsidP="002358F3">
      <w:pPr>
        <w:numPr>
          <w:ilvl w:val="0"/>
          <w:numId w:val="6"/>
        </w:numPr>
        <w:spacing w:after="200" w:line="360" w:lineRule="auto"/>
        <w:ind w:left="0"/>
        <w:contextualSpacing/>
        <w:jc w:val="both"/>
        <w:rPr>
          <w:rFonts w:ascii="Calibri" w:hAnsi="Calibri" w:cs="Calibri"/>
          <w:sz w:val="22"/>
          <w:szCs w:val="22"/>
        </w:rPr>
      </w:pPr>
      <w:r w:rsidRPr="00DA506E">
        <w:rPr>
          <w:rFonts w:ascii="Calibri" w:hAnsi="Calibri" w:cs="Calibri"/>
          <w:sz w:val="22"/>
          <w:szCs w:val="22"/>
        </w:rPr>
        <w:t>COVID-19 pandemic influx of inexperienced staff</w:t>
      </w:r>
    </w:p>
    <w:p w14:paraId="7E747EBB" w14:textId="61E01A8E" w:rsidR="00DA506E" w:rsidRPr="00DA506E" w:rsidRDefault="00DA506E" w:rsidP="002358F3">
      <w:pPr>
        <w:spacing w:after="200" w:line="360" w:lineRule="auto"/>
        <w:jc w:val="both"/>
        <w:rPr>
          <w:rFonts w:ascii="Calibri" w:hAnsi="Calibri" w:cs="Calibri"/>
          <w:sz w:val="22"/>
          <w:szCs w:val="22"/>
        </w:rPr>
      </w:pPr>
      <w:r w:rsidRPr="00DA506E">
        <w:rPr>
          <w:rFonts w:ascii="Calibri" w:hAnsi="Calibri" w:cs="Calibri"/>
          <w:sz w:val="22"/>
          <w:szCs w:val="22"/>
        </w:rPr>
        <w:t>Staff at around half of all units discussed the detrimental impact the COVID-19 pandemic had on staff retention, and the subsequent influx of new and junior nurses. They felt strongly that this significantly impacted upon nurses’ capabilities to deliver the A2B intervention as intended</w:t>
      </w:r>
      <w:r w:rsidR="00C325E8">
        <w:rPr>
          <w:rFonts w:ascii="Calibri" w:hAnsi="Calibri" w:cs="Calibri"/>
          <w:sz w:val="22"/>
          <w:szCs w:val="22"/>
        </w:rPr>
        <w:t xml:space="preserve">, both because of </w:t>
      </w:r>
      <w:r w:rsidRPr="00DA506E">
        <w:rPr>
          <w:rFonts w:ascii="Calibri" w:hAnsi="Calibri" w:cs="Calibri"/>
          <w:sz w:val="22"/>
          <w:szCs w:val="22"/>
        </w:rPr>
        <w:t>a lack of experience of using alpha-2 agonists, and a lack of experience in titrating and weaning sedation</w:t>
      </w:r>
      <w:r w:rsidR="00C325E8">
        <w:rPr>
          <w:rFonts w:ascii="Calibri" w:hAnsi="Calibri" w:cs="Calibri"/>
          <w:sz w:val="22"/>
          <w:szCs w:val="22"/>
        </w:rPr>
        <w:t>. In addition</w:t>
      </w:r>
      <w:r w:rsidRPr="00DA506E">
        <w:rPr>
          <w:rFonts w:ascii="Calibri" w:hAnsi="Calibri" w:cs="Calibri"/>
          <w:sz w:val="22"/>
          <w:szCs w:val="22"/>
        </w:rPr>
        <w:t xml:space="preserve">, </w:t>
      </w:r>
      <w:r w:rsidR="00C325E8">
        <w:rPr>
          <w:rFonts w:ascii="Calibri" w:hAnsi="Calibri" w:cs="Calibri"/>
          <w:sz w:val="22"/>
          <w:szCs w:val="22"/>
        </w:rPr>
        <w:t>b</w:t>
      </w:r>
      <w:r w:rsidRPr="00DA506E">
        <w:rPr>
          <w:rFonts w:ascii="Calibri" w:hAnsi="Calibri" w:cs="Calibri"/>
          <w:sz w:val="22"/>
          <w:szCs w:val="22"/>
        </w:rPr>
        <w:t xml:space="preserve">oth PIs and research nurses described how sedation practice during the pandemic changed whereby patients with COVID-19 were commonly </w:t>
      </w:r>
      <w:r w:rsidR="002B6CC7">
        <w:rPr>
          <w:rFonts w:ascii="Calibri" w:hAnsi="Calibri" w:cs="Calibri"/>
          <w:sz w:val="22"/>
          <w:szCs w:val="22"/>
        </w:rPr>
        <w:t xml:space="preserve">deeply </w:t>
      </w:r>
      <w:r w:rsidRPr="00DA506E">
        <w:rPr>
          <w:rFonts w:ascii="Calibri" w:hAnsi="Calibri" w:cs="Calibri"/>
          <w:sz w:val="22"/>
          <w:szCs w:val="22"/>
        </w:rPr>
        <w:t xml:space="preserve">sedated using non-routine drugs (such as midazolam) due to </w:t>
      </w:r>
      <w:r w:rsidR="00642A01">
        <w:rPr>
          <w:rFonts w:ascii="Calibri" w:hAnsi="Calibri" w:cs="Calibri"/>
          <w:sz w:val="22"/>
          <w:szCs w:val="22"/>
        </w:rPr>
        <w:t>medication shortages</w:t>
      </w:r>
      <w:r w:rsidR="00B1325B">
        <w:rPr>
          <w:rFonts w:ascii="Calibri" w:hAnsi="Calibri" w:cs="Calibri"/>
          <w:sz w:val="22"/>
          <w:szCs w:val="22"/>
        </w:rPr>
        <w:t xml:space="preserve"> and need for deep sedation</w:t>
      </w:r>
      <w:r w:rsidRPr="00DA506E">
        <w:rPr>
          <w:rFonts w:ascii="Calibri" w:hAnsi="Calibri" w:cs="Calibri"/>
          <w:sz w:val="22"/>
          <w:szCs w:val="22"/>
        </w:rPr>
        <w:t xml:space="preserve">. This deep sedation practice commonly crossed over into all patients and proactive titrating and weaning from sedation did not happen. </w:t>
      </w:r>
    </w:p>
    <w:p w14:paraId="562EC910" w14:textId="479A8B15" w:rsidR="00DA506E" w:rsidRPr="00DA506E" w:rsidRDefault="00DA506E" w:rsidP="002358F3">
      <w:pPr>
        <w:spacing w:after="200" w:line="360" w:lineRule="auto"/>
        <w:jc w:val="both"/>
        <w:rPr>
          <w:rFonts w:ascii="Calibri" w:hAnsi="Calibri" w:cs="Calibri"/>
          <w:sz w:val="22"/>
          <w:szCs w:val="22"/>
        </w:rPr>
      </w:pPr>
      <w:r w:rsidRPr="00DA506E">
        <w:rPr>
          <w:rFonts w:ascii="Calibri" w:hAnsi="Calibri" w:cs="Calibri"/>
          <w:sz w:val="22"/>
          <w:szCs w:val="22"/>
        </w:rPr>
        <w:t xml:space="preserve">At the same time, the new junior and inexperienced nurses who started working in ICU during this time had only witnessed deep sedation practice, </w:t>
      </w:r>
      <w:r w:rsidR="00525E57" w:rsidRPr="00DA506E">
        <w:rPr>
          <w:rFonts w:ascii="Calibri" w:hAnsi="Calibri" w:cs="Calibri"/>
          <w:sz w:val="22"/>
          <w:szCs w:val="22"/>
        </w:rPr>
        <w:t>often</w:t>
      </w:r>
      <w:r w:rsidRPr="00DA506E">
        <w:rPr>
          <w:rFonts w:ascii="Calibri" w:hAnsi="Calibri" w:cs="Calibri"/>
          <w:sz w:val="22"/>
          <w:szCs w:val="22"/>
        </w:rPr>
        <w:t xml:space="preserve"> </w:t>
      </w:r>
      <w:r w:rsidR="00D6094A">
        <w:rPr>
          <w:rFonts w:ascii="Calibri" w:hAnsi="Calibri" w:cs="Calibri"/>
          <w:sz w:val="22"/>
          <w:szCs w:val="22"/>
        </w:rPr>
        <w:t>with</w:t>
      </w:r>
      <w:r w:rsidR="00D6094A" w:rsidRPr="00DA506E">
        <w:rPr>
          <w:rFonts w:ascii="Calibri" w:hAnsi="Calibri" w:cs="Calibri"/>
          <w:sz w:val="22"/>
          <w:szCs w:val="22"/>
        </w:rPr>
        <w:t xml:space="preserve"> </w:t>
      </w:r>
      <w:r w:rsidRPr="00DA506E">
        <w:rPr>
          <w:rFonts w:ascii="Calibri" w:hAnsi="Calibri" w:cs="Calibri"/>
          <w:sz w:val="22"/>
          <w:szCs w:val="22"/>
        </w:rPr>
        <w:t xml:space="preserve">no previous experience of nursing </w:t>
      </w:r>
      <w:r w:rsidR="003B3412">
        <w:rPr>
          <w:rFonts w:ascii="Calibri" w:hAnsi="Calibri" w:cs="Calibri"/>
          <w:sz w:val="22"/>
          <w:szCs w:val="22"/>
        </w:rPr>
        <w:t xml:space="preserve">lightly </w:t>
      </w:r>
      <w:r w:rsidRPr="00DA506E">
        <w:rPr>
          <w:rFonts w:ascii="Calibri" w:hAnsi="Calibri" w:cs="Calibri"/>
          <w:sz w:val="22"/>
          <w:szCs w:val="22"/>
        </w:rPr>
        <w:t xml:space="preserve">sedated patients and autonomously titrating and weaning sedation. These </w:t>
      </w:r>
      <w:r w:rsidR="00CB1CD3">
        <w:rPr>
          <w:rFonts w:ascii="Calibri" w:hAnsi="Calibri" w:cs="Calibri"/>
          <w:sz w:val="22"/>
          <w:szCs w:val="22"/>
        </w:rPr>
        <w:t>two</w:t>
      </w:r>
      <w:r w:rsidRPr="00DA506E">
        <w:rPr>
          <w:rFonts w:ascii="Calibri" w:hAnsi="Calibri" w:cs="Calibri"/>
          <w:sz w:val="22"/>
          <w:szCs w:val="22"/>
        </w:rPr>
        <w:t xml:space="preserve"> factors in combination meant </w:t>
      </w:r>
      <w:r w:rsidR="00247096" w:rsidRPr="00DA506E">
        <w:rPr>
          <w:rFonts w:ascii="Calibri" w:hAnsi="Calibri" w:cs="Calibri"/>
          <w:sz w:val="22"/>
          <w:szCs w:val="22"/>
        </w:rPr>
        <w:t xml:space="preserve">this group of nurses </w:t>
      </w:r>
      <w:r w:rsidR="00247096">
        <w:rPr>
          <w:rFonts w:ascii="Calibri" w:hAnsi="Calibri" w:cs="Calibri"/>
          <w:sz w:val="22"/>
          <w:szCs w:val="22"/>
        </w:rPr>
        <w:t xml:space="preserve">considered </w:t>
      </w:r>
      <w:r w:rsidRPr="00DA506E">
        <w:rPr>
          <w:rFonts w:ascii="Calibri" w:hAnsi="Calibri" w:cs="Calibri"/>
          <w:sz w:val="22"/>
          <w:szCs w:val="22"/>
        </w:rPr>
        <w:t xml:space="preserve">deep sedation practice normal and </w:t>
      </w:r>
      <w:r w:rsidR="00247096">
        <w:rPr>
          <w:rFonts w:ascii="Calibri" w:hAnsi="Calibri" w:cs="Calibri"/>
          <w:sz w:val="22"/>
          <w:szCs w:val="22"/>
        </w:rPr>
        <w:t xml:space="preserve">found it </w:t>
      </w:r>
      <w:r w:rsidRPr="00DA506E">
        <w:rPr>
          <w:rFonts w:ascii="Calibri" w:hAnsi="Calibri" w:cs="Calibri"/>
          <w:sz w:val="22"/>
          <w:szCs w:val="22"/>
        </w:rPr>
        <w:t>challenging to change in the post-pandemic context</w:t>
      </w:r>
      <w:r w:rsidR="003B3412">
        <w:rPr>
          <w:rFonts w:ascii="Calibri" w:hAnsi="Calibri" w:cs="Calibri"/>
          <w:sz w:val="22"/>
          <w:szCs w:val="22"/>
        </w:rPr>
        <w:t>:</w:t>
      </w:r>
      <w:r w:rsidRPr="00DA506E">
        <w:rPr>
          <w:rFonts w:ascii="Calibri" w:hAnsi="Calibri" w:cs="Calibri"/>
          <w:sz w:val="22"/>
          <w:szCs w:val="22"/>
        </w:rPr>
        <w:t xml:space="preserve"> </w:t>
      </w:r>
    </w:p>
    <w:p w14:paraId="5BE451D6" w14:textId="3D0C08C9" w:rsidR="00DA506E" w:rsidRPr="00DA506E" w:rsidRDefault="00DA506E" w:rsidP="002358F3">
      <w:pPr>
        <w:spacing w:after="200" w:line="360" w:lineRule="auto"/>
        <w:ind w:left="567" w:right="567"/>
        <w:jc w:val="both"/>
        <w:rPr>
          <w:rFonts w:ascii="Calibri" w:hAnsi="Calibri" w:cs="Calibri"/>
          <w:sz w:val="22"/>
          <w:szCs w:val="22"/>
        </w:rPr>
      </w:pPr>
      <w:r w:rsidRPr="00DA506E">
        <w:rPr>
          <w:rFonts w:ascii="Calibri" w:hAnsi="Calibri" w:cs="Calibri"/>
          <w:i/>
          <w:iCs/>
          <w:sz w:val="22"/>
          <w:szCs w:val="22"/>
        </w:rPr>
        <w:t>“So COVID…</w:t>
      </w:r>
      <w:r w:rsidR="00806BEC">
        <w:rPr>
          <w:rFonts w:ascii="Calibri" w:hAnsi="Calibri" w:cs="Calibri"/>
          <w:i/>
          <w:iCs/>
          <w:sz w:val="22"/>
          <w:szCs w:val="22"/>
        </w:rPr>
        <w:t xml:space="preserve"> </w:t>
      </w:r>
      <w:r w:rsidRPr="00DA506E">
        <w:rPr>
          <w:rFonts w:ascii="Calibri" w:hAnsi="Calibri" w:cs="Calibri"/>
          <w:i/>
          <w:iCs/>
          <w:sz w:val="22"/>
          <w:szCs w:val="22"/>
        </w:rPr>
        <w:t>a culture of deeper sedation slipped in and there were many reasons for it, but also so did lots of ARDS, and then also things like drug unavailability… Another thing that changed quite a bit is nursing contingent.  We lost quite a lot of our very senior nurses so we had suddenly quite a few more junior nurses and some of them came in during the time when the sedation was deeper.  So that made quite a big difference.”</w:t>
      </w:r>
      <w:r w:rsidRPr="00DA506E">
        <w:rPr>
          <w:rFonts w:ascii="Calibri" w:hAnsi="Calibri" w:cs="Calibri"/>
          <w:sz w:val="22"/>
          <w:szCs w:val="22"/>
        </w:rPr>
        <w:t xml:space="preserve"> PI09/27   </w:t>
      </w:r>
    </w:p>
    <w:p w14:paraId="61247594" w14:textId="288F7C7B" w:rsidR="00DA506E" w:rsidRPr="00DA506E" w:rsidRDefault="00CF7DC9" w:rsidP="002358F3">
      <w:pPr>
        <w:spacing w:after="200" w:line="360" w:lineRule="auto"/>
        <w:jc w:val="both"/>
        <w:rPr>
          <w:rFonts w:ascii="Calibri" w:hAnsi="Calibri" w:cs="Calibri"/>
          <w:sz w:val="22"/>
          <w:szCs w:val="22"/>
        </w:rPr>
      </w:pPr>
      <w:r>
        <w:rPr>
          <w:rFonts w:ascii="Calibri" w:hAnsi="Calibri" w:cs="Calibri"/>
          <w:sz w:val="22"/>
          <w:szCs w:val="22"/>
        </w:rPr>
        <w:lastRenderedPageBreak/>
        <w:t>Participants perceived competence in different ways.</w:t>
      </w:r>
      <w:r w:rsidR="0069171E">
        <w:rPr>
          <w:rFonts w:ascii="Calibri" w:hAnsi="Calibri" w:cs="Calibri"/>
          <w:sz w:val="22"/>
          <w:szCs w:val="22"/>
        </w:rPr>
        <w:t xml:space="preserve"> </w:t>
      </w:r>
      <w:r w:rsidR="00DA506E" w:rsidRPr="00DA506E">
        <w:rPr>
          <w:rFonts w:ascii="Calibri" w:hAnsi="Calibri" w:cs="Calibri"/>
          <w:sz w:val="22"/>
          <w:szCs w:val="22"/>
        </w:rPr>
        <w:t xml:space="preserve">Staff at </w:t>
      </w:r>
      <w:r w:rsidR="00B7151B">
        <w:rPr>
          <w:rFonts w:ascii="Calibri" w:hAnsi="Calibri" w:cs="Calibri"/>
          <w:sz w:val="22"/>
          <w:szCs w:val="22"/>
        </w:rPr>
        <w:t>three</w:t>
      </w:r>
      <w:r w:rsidR="00DA506E" w:rsidRPr="00DA506E">
        <w:rPr>
          <w:rFonts w:ascii="Calibri" w:hAnsi="Calibri" w:cs="Calibri"/>
          <w:sz w:val="22"/>
          <w:szCs w:val="22"/>
        </w:rPr>
        <w:t xml:space="preserve"> units </w:t>
      </w:r>
      <w:r w:rsidR="0069171E">
        <w:rPr>
          <w:rFonts w:ascii="Calibri" w:hAnsi="Calibri" w:cs="Calibri"/>
          <w:sz w:val="22"/>
          <w:szCs w:val="22"/>
        </w:rPr>
        <w:t xml:space="preserve">felt </w:t>
      </w:r>
      <w:r w:rsidR="00C325E8">
        <w:rPr>
          <w:rFonts w:ascii="Calibri" w:hAnsi="Calibri" w:cs="Calibri"/>
          <w:sz w:val="22"/>
          <w:szCs w:val="22"/>
        </w:rPr>
        <w:t xml:space="preserve">clinical </w:t>
      </w:r>
      <w:r w:rsidR="00DA506E" w:rsidRPr="00DA506E">
        <w:rPr>
          <w:rFonts w:ascii="Calibri" w:hAnsi="Calibri" w:cs="Calibri"/>
          <w:sz w:val="22"/>
          <w:szCs w:val="22"/>
        </w:rPr>
        <w:t>competen</w:t>
      </w:r>
      <w:r>
        <w:rPr>
          <w:rFonts w:ascii="Calibri" w:hAnsi="Calibri" w:cs="Calibri"/>
          <w:sz w:val="22"/>
          <w:szCs w:val="22"/>
        </w:rPr>
        <w:t>ce</w:t>
      </w:r>
      <w:r w:rsidR="00DA506E" w:rsidRPr="00DA506E">
        <w:rPr>
          <w:rFonts w:ascii="Calibri" w:hAnsi="Calibri" w:cs="Calibri"/>
          <w:sz w:val="22"/>
          <w:szCs w:val="22"/>
        </w:rPr>
        <w:t xml:space="preserve"> to deliver the </w:t>
      </w:r>
      <w:r w:rsidR="00C325E8">
        <w:rPr>
          <w:rFonts w:ascii="Calibri" w:hAnsi="Calibri" w:cs="Calibri"/>
          <w:sz w:val="22"/>
          <w:szCs w:val="22"/>
        </w:rPr>
        <w:t>A2B intervention</w:t>
      </w:r>
      <w:r w:rsidR="00DA506E" w:rsidRPr="00DA506E">
        <w:rPr>
          <w:rFonts w:ascii="Calibri" w:hAnsi="Calibri" w:cs="Calibri"/>
          <w:sz w:val="22"/>
          <w:szCs w:val="22"/>
        </w:rPr>
        <w:t xml:space="preserve"> was </w:t>
      </w:r>
      <w:r w:rsidR="0069171E">
        <w:rPr>
          <w:rFonts w:ascii="Calibri" w:hAnsi="Calibri" w:cs="Calibri"/>
          <w:sz w:val="22"/>
          <w:szCs w:val="22"/>
        </w:rPr>
        <w:t xml:space="preserve">not </w:t>
      </w:r>
      <w:r w:rsidR="00DA506E" w:rsidRPr="00DA506E">
        <w:rPr>
          <w:rFonts w:ascii="Calibri" w:hAnsi="Calibri" w:cs="Calibri"/>
          <w:sz w:val="22"/>
          <w:szCs w:val="22"/>
        </w:rPr>
        <w:t>related to seniority or experience</w:t>
      </w:r>
      <w:r w:rsidR="00821BA6">
        <w:rPr>
          <w:rFonts w:ascii="Calibri" w:hAnsi="Calibri" w:cs="Calibri"/>
          <w:sz w:val="22"/>
          <w:szCs w:val="22"/>
        </w:rPr>
        <w:t>, but that</w:t>
      </w:r>
      <w:r w:rsidR="00DA506E" w:rsidRPr="00DA506E">
        <w:rPr>
          <w:rFonts w:ascii="Calibri" w:hAnsi="Calibri" w:cs="Calibri"/>
          <w:sz w:val="22"/>
          <w:szCs w:val="22"/>
        </w:rPr>
        <w:t xml:space="preserve"> it was more dependent on the personality of the </w:t>
      </w:r>
      <w:r w:rsidR="000602FB" w:rsidRPr="00DA506E">
        <w:rPr>
          <w:rFonts w:ascii="Calibri" w:hAnsi="Calibri" w:cs="Calibri"/>
          <w:sz w:val="22"/>
          <w:szCs w:val="22"/>
        </w:rPr>
        <w:t xml:space="preserve">bedside </w:t>
      </w:r>
      <w:r w:rsidR="00DA506E" w:rsidRPr="00DA506E">
        <w:rPr>
          <w:rFonts w:ascii="Calibri" w:hAnsi="Calibri" w:cs="Calibri"/>
          <w:sz w:val="22"/>
          <w:szCs w:val="22"/>
        </w:rPr>
        <w:t xml:space="preserve">nurse </w:t>
      </w:r>
      <w:r w:rsidR="00291DEF">
        <w:rPr>
          <w:rFonts w:ascii="Calibri" w:hAnsi="Calibri" w:cs="Calibri"/>
          <w:sz w:val="22"/>
          <w:szCs w:val="22"/>
        </w:rPr>
        <w:t>or</w:t>
      </w:r>
      <w:r w:rsidR="00DA506E" w:rsidRPr="00DA506E">
        <w:rPr>
          <w:rFonts w:ascii="Calibri" w:hAnsi="Calibri" w:cs="Calibri"/>
          <w:sz w:val="22"/>
          <w:szCs w:val="22"/>
        </w:rPr>
        <w:t xml:space="preserve"> that nurse experience or grade was not a relevant factor for delivering this trial. This was because</w:t>
      </w:r>
      <w:r w:rsidR="00C325E8">
        <w:rPr>
          <w:rFonts w:ascii="Calibri" w:hAnsi="Calibri" w:cs="Calibri"/>
          <w:sz w:val="22"/>
          <w:szCs w:val="22"/>
        </w:rPr>
        <w:t xml:space="preserve">, in many ICUs, </w:t>
      </w:r>
      <w:r w:rsidR="00DA506E" w:rsidRPr="00DA506E">
        <w:rPr>
          <w:rFonts w:ascii="Calibri" w:hAnsi="Calibri" w:cs="Calibri"/>
          <w:sz w:val="22"/>
          <w:szCs w:val="22"/>
        </w:rPr>
        <w:t xml:space="preserve">nurses at the bedside were heavily supported by the research nurse team (all of whom were senior ICU nurses), who conducted the majority of the work and intervention delivery. </w:t>
      </w:r>
    </w:p>
    <w:p w14:paraId="4EBF8BC0" w14:textId="77777777" w:rsidR="00DA506E" w:rsidRPr="00DA506E" w:rsidRDefault="00DA506E" w:rsidP="002358F3">
      <w:pPr>
        <w:numPr>
          <w:ilvl w:val="0"/>
          <w:numId w:val="6"/>
        </w:numPr>
        <w:spacing w:after="200" w:line="360" w:lineRule="auto"/>
        <w:contextualSpacing/>
        <w:jc w:val="both"/>
        <w:rPr>
          <w:rFonts w:ascii="Calibri" w:hAnsi="Calibri" w:cs="Calibri"/>
          <w:sz w:val="22"/>
          <w:szCs w:val="22"/>
        </w:rPr>
      </w:pPr>
      <w:r w:rsidRPr="00DA506E">
        <w:rPr>
          <w:rFonts w:ascii="Calibri" w:hAnsi="Calibri" w:cs="Calibri"/>
          <w:sz w:val="22"/>
          <w:szCs w:val="22"/>
        </w:rPr>
        <w:t>Research team support</w:t>
      </w:r>
    </w:p>
    <w:p w14:paraId="25612E8D" w14:textId="77777777" w:rsidR="00DA506E" w:rsidRPr="00DA506E" w:rsidRDefault="00DA506E" w:rsidP="002358F3">
      <w:pPr>
        <w:spacing w:after="200" w:line="360" w:lineRule="auto"/>
        <w:jc w:val="both"/>
        <w:rPr>
          <w:rFonts w:ascii="Calibri" w:hAnsi="Calibri" w:cs="Calibri"/>
          <w:sz w:val="22"/>
          <w:szCs w:val="22"/>
        </w:rPr>
      </w:pPr>
      <w:r w:rsidRPr="00DA506E">
        <w:rPr>
          <w:rFonts w:ascii="Calibri" w:hAnsi="Calibri" w:cs="Calibri"/>
          <w:sz w:val="22"/>
          <w:szCs w:val="22"/>
        </w:rPr>
        <w:t xml:space="preserve">All units reported that the research team provided substantial support to </w:t>
      </w:r>
      <w:r w:rsidR="00DD5091" w:rsidRPr="00DA506E">
        <w:rPr>
          <w:rFonts w:ascii="Calibri" w:hAnsi="Calibri" w:cs="Calibri"/>
          <w:sz w:val="22"/>
          <w:szCs w:val="22"/>
        </w:rPr>
        <w:t xml:space="preserve">bedside </w:t>
      </w:r>
      <w:r w:rsidRPr="00DA506E">
        <w:rPr>
          <w:rFonts w:ascii="Calibri" w:hAnsi="Calibri" w:cs="Calibri"/>
          <w:sz w:val="22"/>
          <w:szCs w:val="22"/>
        </w:rPr>
        <w:t xml:space="preserve">nurses. This support </w:t>
      </w:r>
      <w:r w:rsidR="00DD5091">
        <w:rPr>
          <w:rFonts w:ascii="Calibri" w:hAnsi="Calibri" w:cs="Calibri"/>
          <w:sz w:val="22"/>
          <w:szCs w:val="22"/>
        </w:rPr>
        <w:t>included</w:t>
      </w:r>
      <w:r w:rsidRPr="00DA506E">
        <w:rPr>
          <w:rFonts w:ascii="Calibri" w:hAnsi="Calibri" w:cs="Calibri"/>
          <w:sz w:val="22"/>
          <w:szCs w:val="22"/>
        </w:rPr>
        <w:t xml:space="preserve"> clinical bedside support by research nurses, use of bedside education and reminders, and PI/associate PI presence. This was primarily enabled by every unit having at least one research nurse </w:t>
      </w:r>
      <w:r w:rsidR="007E5B0D">
        <w:rPr>
          <w:rFonts w:ascii="Calibri" w:hAnsi="Calibri" w:cs="Calibri"/>
          <w:sz w:val="22"/>
          <w:szCs w:val="22"/>
        </w:rPr>
        <w:t>with</w:t>
      </w:r>
      <w:r w:rsidRPr="00DA506E">
        <w:rPr>
          <w:rFonts w:ascii="Calibri" w:hAnsi="Calibri" w:cs="Calibri"/>
          <w:sz w:val="22"/>
          <w:szCs w:val="22"/>
        </w:rPr>
        <w:t xml:space="preserve"> previous clinical </w:t>
      </w:r>
      <w:r w:rsidR="007E5B0D">
        <w:rPr>
          <w:rFonts w:ascii="Calibri" w:hAnsi="Calibri" w:cs="Calibri"/>
          <w:sz w:val="22"/>
          <w:szCs w:val="22"/>
        </w:rPr>
        <w:t xml:space="preserve">ICU </w:t>
      </w:r>
      <w:r w:rsidRPr="00DA506E">
        <w:rPr>
          <w:rFonts w:ascii="Calibri" w:hAnsi="Calibri" w:cs="Calibri"/>
          <w:sz w:val="22"/>
          <w:szCs w:val="22"/>
        </w:rPr>
        <w:t xml:space="preserve">experience. Only 1 unit reported serious organisational capacity issues which directly impacted their ability to deliver the trial. They operated 3 separate ICUs within </w:t>
      </w:r>
      <w:r w:rsidR="006F577D">
        <w:rPr>
          <w:rFonts w:ascii="Calibri" w:hAnsi="Calibri" w:cs="Calibri"/>
          <w:sz w:val="22"/>
          <w:szCs w:val="22"/>
        </w:rPr>
        <w:t>1</w:t>
      </w:r>
      <w:r w:rsidRPr="00DA506E">
        <w:rPr>
          <w:rFonts w:ascii="Calibri" w:hAnsi="Calibri" w:cs="Calibri"/>
          <w:sz w:val="22"/>
          <w:szCs w:val="22"/>
        </w:rPr>
        <w:t xml:space="preserve"> Trust, with both research nurse and clinical staff working across all sites. They described issues with nurse retention and high staff turnover, high sickness rates, and widespread staffing challenges. Delivering on research was considered an additional onerous burden on staff. </w:t>
      </w:r>
    </w:p>
    <w:p w14:paraId="1C439CFC" w14:textId="77777777" w:rsidR="00DA506E" w:rsidRPr="00DA506E" w:rsidRDefault="00DA506E" w:rsidP="002358F3">
      <w:pPr>
        <w:spacing w:after="200" w:line="360" w:lineRule="auto"/>
        <w:jc w:val="both"/>
        <w:rPr>
          <w:rFonts w:ascii="Calibri" w:hAnsi="Calibri" w:cs="Calibri"/>
          <w:sz w:val="22"/>
          <w:szCs w:val="22"/>
        </w:rPr>
      </w:pPr>
      <w:r w:rsidRPr="00DA506E">
        <w:rPr>
          <w:rFonts w:ascii="Calibri" w:hAnsi="Calibri" w:cs="Calibri"/>
          <w:sz w:val="22"/>
          <w:szCs w:val="22"/>
        </w:rPr>
        <w:t xml:space="preserve">Research nurses with clinical ICU experience were able to </w:t>
      </w:r>
      <w:r w:rsidR="00A64456">
        <w:rPr>
          <w:rFonts w:ascii="Calibri" w:hAnsi="Calibri" w:cs="Calibri"/>
          <w:sz w:val="22"/>
          <w:szCs w:val="22"/>
        </w:rPr>
        <w:t>prepare and admin</w:t>
      </w:r>
      <w:r w:rsidR="00C325E8">
        <w:rPr>
          <w:rFonts w:ascii="Calibri" w:hAnsi="Calibri" w:cs="Calibri"/>
          <w:sz w:val="22"/>
          <w:szCs w:val="22"/>
        </w:rPr>
        <w:t>i</w:t>
      </w:r>
      <w:r w:rsidR="00A64456">
        <w:rPr>
          <w:rFonts w:ascii="Calibri" w:hAnsi="Calibri" w:cs="Calibri"/>
          <w:sz w:val="22"/>
          <w:szCs w:val="22"/>
        </w:rPr>
        <w:t>ster trial medication for bedside</w:t>
      </w:r>
      <w:r w:rsidRPr="00DA506E">
        <w:rPr>
          <w:rFonts w:ascii="Calibri" w:hAnsi="Calibri" w:cs="Calibri"/>
          <w:sz w:val="22"/>
          <w:szCs w:val="22"/>
        </w:rPr>
        <w:t xml:space="preserve"> nurses. They often stayed until an appropriate rate</w:t>
      </w:r>
      <w:r w:rsidR="00C325E8">
        <w:rPr>
          <w:rFonts w:ascii="Calibri" w:hAnsi="Calibri" w:cs="Calibri"/>
          <w:sz w:val="22"/>
          <w:szCs w:val="22"/>
        </w:rPr>
        <w:t xml:space="preserve"> and dose had been achieved </w:t>
      </w:r>
      <w:r w:rsidRPr="00DA506E">
        <w:rPr>
          <w:rFonts w:ascii="Calibri" w:hAnsi="Calibri" w:cs="Calibri"/>
          <w:sz w:val="22"/>
          <w:szCs w:val="22"/>
        </w:rPr>
        <w:t>and, when randomised to either alpha-2 agonist, they encouraged down-titration of propofol. Research nurses viewed this a</w:t>
      </w:r>
      <w:r w:rsidR="00AF49E6">
        <w:rPr>
          <w:rFonts w:ascii="Calibri" w:hAnsi="Calibri" w:cs="Calibri"/>
          <w:sz w:val="22"/>
          <w:szCs w:val="22"/>
        </w:rPr>
        <w:t>s</w:t>
      </w:r>
      <w:r w:rsidRPr="00DA506E">
        <w:rPr>
          <w:rFonts w:ascii="Calibri" w:hAnsi="Calibri" w:cs="Calibri"/>
          <w:sz w:val="22"/>
          <w:szCs w:val="22"/>
        </w:rPr>
        <w:t xml:space="preserve"> critical to optimising </w:t>
      </w:r>
      <w:r w:rsidR="002760CA" w:rsidRPr="00DA506E">
        <w:rPr>
          <w:rFonts w:ascii="Calibri" w:hAnsi="Calibri" w:cs="Calibri"/>
          <w:sz w:val="22"/>
          <w:szCs w:val="22"/>
        </w:rPr>
        <w:t xml:space="preserve">protocol </w:t>
      </w:r>
      <w:r w:rsidRPr="00DA506E">
        <w:rPr>
          <w:rFonts w:ascii="Calibri" w:hAnsi="Calibri" w:cs="Calibri"/>
          <w:sz w:val="22"/>
          <w:szCs w:val="22"/>
        </w:rPr>
        <w:t xml:space="preserve">adherence, as it took pressure off </w:t>
      </w:r>
      <w:r w:rsidR="00AF49E6">
        <w:rPr>
          <w:rFonts w:ascii="Calibri" w:hAnsi="Calibri" w:cs="Calibri"/>
          <w:sz w:val="22"/>
          <w:szCs w:val="22"/>
        </w:rPr>
        <w:t xml:space="preserve">the </w:t>
      </w:r>
      <w:r w:rsidR="003B5EA0" w:rsidRPr="00DA506E">
        <w:rPr>
          <w:rFonts w:ascii="Calibri" w:hAnsi="Calibri" w:cs="Calibri"/>
          <w:sz w:val="22"/>
          <w:szCs w:val="22"/>
        </w:rPr>
        <w:t xml:space="preserve">bedside </w:t>
      </w:r>
      <w:r w:rsidRPr="00DA506E">
        <w:rPr>
          <w:rFonts w:ascii="Calibri" w:hAnsi="Calibri" w:cs="Calibri"/>
          <w:sz w:val="22"/>
          <w:szCs w:val="22"/>
        </w:rPr>
        <w:t>nurses</w:t>
      </w:r>
      <w:r w:rsidR="003B5EA0">
        <w:rPr>
          <w:rFonts w:ascii="Calibri" w:hAnsi="Calibri" w:cs="Calibri"/>
          <w:sz w:val="22"/>
          <w:szCs w:val="22"/>
        </w:rPr>
        <w:t>:</w:t>
      </w:r>
      <w:r w:rsidRPr="00DA506E">
        <w:rPr>
          <w:rFonts w:ascii="Calibri" w:hAnsi="Calibri" w:cs="Calibri"/>
          <w:sz w:val="22"/>
          <w:szCs w:val="22"/>
        </w:rPr>
        <w:t xml:space="preserve"> </w:t>
      </w:r>
    </w:p>
    <w:p w14:paraId="68EA2724" w14:textId="77777777" w:rsidR="00AE5073" w:rsidRDefault="00DA506E" w:rsidP="002358F3">
      <w:pPr>
        <w:spacing w:after="200" w:line="360" w:lineRule="auto"/>
        <w:ind w:left="567" w:right="567"/>
        <w:jc w:val="both"/>
        <w:rPr>
          <w:rFonts w:ascii="Calibri" w:hAnsi="Calibri" w:cs="Calibri"/>
          <w:sz w:val="22"/>
          <w:szCs w:val="22"/>
        </w:rPr>
      </w:pPr>
      <w:r w:rsidRPr="00DA506E">
        <w:rPr>
          <w:rFonts w:ascii="Calibri" w:hAnsi="Calibri" w:cs="Calibri"/>
          <w:i/>
          <w:iCs/>
          <w:sz w:val="22"/>
          <w:szCs w:val="22"/>
        </w:rPr>
        <w:t>“As you know research nurses are the actual linchpins in the process.”</w:t>
      </w:r>
      <w:r w:rsidRPr="00DA506E">
        <w:rPr>
          <w:rFonts w:ascii="Calibri" w:hAnsi="Calibri" w:cs="Calibri"/>
          <w:sz w:val="22"/>
          <w:szCs w:val="22"/>
        </w:rPr>
        <w:t xml:space="preserve"> PI09/27</w:t>
      </w:r>
    </w:p>
    <w:p w14:paraId="79EC87BC" w14:textId="78B5DD06" w:rsidR="00DA506E" w:rsidRPr="00DA506E" w:rsidRDefault="00DA506E" w:rsidP="002358F3">
      <w:pPr>
        <w:spacing w:after="200" w:line="360" w:lineRule="auto"/>
        <w:jc w:val="both"/>
        <w:rPr>
          <w:rFonts w:ascii="Calibri" w:hAnsi="Calibri" w:cs="Calibri"/>
          <w:sz w:val="22"/>
          <w:szCs w:val="22"/>
        </w:rPr>
      </w:pPr>
      <w:r w:rsidRPr="00DA506E">
        <w:rPr>
          <w:rFonts w:ascii="Calibri" w:hAnsi="Calibri" w:cs="Calibri"/>
          <w:sz w:val="22"/>
          <w:szCs w:val="22"/>
        </w:rPr>
        <w:t xml:space="preserve">Research nurses also provided education to </w:t>
      </w:r>
      <w:r w:rsidR="00033E9A" w:rsidRPr="00DA506E">
        <w:rPr>
          <w:rFonts w:ascii="Calibri" w:hAnsi="Calibri" w:cs="Calibri"/>
          <w:sz w:val="22"/>
          <w:szCs w:val="22"/>
        </w:rPr>
        <w:t xml:space="preserve">bedside </w:t>
      </w:r>
      <w:r w:rsidRPr="00DA506E">
        <w:rPr>
          <w:rFonts w:ascii="Calibri" w:hAnsi="Calibri" w:cs="Calibri"/>
          <w:sz w:val="22"/>
          <w:szCs w:val="22"/>
        </w:rPr>
        <w:t xml:space="preserve">nurses </w:t>
      </w:r>
      <w:r w:rsidR="00033E9A">
        <w:rPr>
          <w:rFonts w:ascii="Calibri" w:hAnsi="Calibri" w:cs="Calibri"/>
          <w:sz w:val="22"/>
          <w:szCs w:val="22"/>
        </w:rPr>
        <w:t>when</w:t>
      </w:r>
      <w:r w:rsidRPr="00DA506E">
        <w:rPr>
          <w:rFonts w:ascii="Calibri" w:hAnsi="Calibri" w:cs="Calibri"/>
          <w:sz w:val="22"/>
          <w:szCs w:val="22"/>
        </w:rPr>
        <w:t xml:space="preserve"> caring for A2B patients. This </w:t>
      </w:r>
      <w:r w:rsidR="00E272F4" w:rsidRPr="00DA506E">
        <w:rPr>
          <w:rFonts w:ascii="Calibri" w:hAnsi="Calibri" w:cs="Calibri"/>
          <w:sz w:val="22"/>
          <w:szCs w:val="22"/>
        </w:rPr>
        <w:t>was</w:t>
      </w:r>
      <w:r w:rsidRPr="00DA506E">
        <w:rPr>
          <w:rFonts w:ascii="Calibri" w:hAnsi="Calibri" w:cs="Calibri"/>
          <w:sz w:val="22"/>
          <w:szCs w:val="22"/>
        </w:rPr>
        <w:t xml:space="preserve"> a</w:t>
      </w:r>
      <w:r w:rsidR="00AC4E33">
        <w:rPr>
          <w:rFonts w:ascii="Calibri" w:hAnsi="Calibri" w:cs="Calibri"/>
          <w:sz w:val="22"/>
          <w:szCs w:val="22"/>
        </w:rPr>
        <w:t>n</w:t>
      </w:r>
      <w:r w:rsidRPr="00DA506E">
        <w:rPr>
          <w:rFonts w:ascii="Calibri" w:hAnsi="Calibri" w:cs="Calibri"/>
          <w:sz w:val="22"/>
          <w:szCs w:val="22"/>
        </w:rPr>
        <w:t xml:space="preserve"> effective approach to educating appropriate staff and maintaining </w:t>
      </w:r>
      <w:r w:rsidR="00AC4E33">
        <w:rPr>
          <w:rFonts w:ascii="Calibri" w:hAnsi="Calibri" w:cs="Calibri"/>
          <w:sz w:val="22"/>
          <w:szCs w:val="22"/>
        </w:rPr>
        <w:t>trial</w:t>
      </w:r>
      <w:r w:rsidR="00AC4E33" w:rsidRPr="00DA506E">
        <w:rPr>
          <w:rFonts w:ascii="Calibri" w:hAnsi="Calibri" w:cs="Calibri"/>
          <w:sz w:val="22"/>
          <w:szCs w:val="22"/>
        </w:rPr>
        <w:t xml:space="preserve"> </w:t>
      </w:r>
      <w:r w:rsidRPr="00DA506E">
        <w:rPr>
          <w:rFonts w:ascii="Calibri" w:hAnsi="Calibri" w:cs="Calibri"/>
          <w:sz w:val="22"/>
          <w:szCs w:val="22"/>
        </w:rPr>
        <w:t xml:space="preserve">awareness. Many units reported high turnover and so having infrequent larger scale teaching sessions was not efficient </w:t>
      </w:r>
      <w:r w:rsidR="00033E9A">
        <w:rPr>
          <w:rFonts w:ascii="Calibri" w:hAnsi="Calibri" w:cs="Calibri"/>
          <w:sz w:val="22"/>
          <w:szCs w:val="22"/>
        </w:rPr>
        <w:t>in</w:t>
      </w:r>
      <w:r w:rsidRPr="00DA506E">
        <w:rPr>
          <w:rFonts w:ascii="Calibri" w:hAnsi="Calibri" w:cs="Calibri"/>
          <w:sz w:val="22"/>
          <w:szCs w:val="22"/>
        </w:rPr>
        <w:t xml:space="preserve"> maintaining awareness due to </w:t>
      </w:r>
      <w:r w:rsidR="00BD298C">
        <w:rPr>
          <w:rFonts w:ascii="Calibri" w:hAnsi="Calibri" w:cs="Calibri"/>
          <w:sz w:val="22"/>
          <w:szCs w:val="22"/>
        </w:rPr>
        <w:t>infrequent</w:t>
      </w:r>
      <w:r w:rsidRPr="00DA506E">
        <w:rPr>
          <w:rFonts w:ascii="Calibri" w:hAnsi="Calibri" w:cs="Calibri"/>
          <w:sz w:val="22"/>
          <w:szCs w:val="22"/>
        </w:rPr>
        <w:t xml:space="preserve"> A2B patients. </w:t>
      </w:r>
      <w:r w:rsidR="00E36CB2">
        <w:rPr>
          <w:rFonts w:ascii="Calibri" w:hAnsi="Calibri" w:cs="Calibri"/>
          <w:sz w:val="22"/>
          <w:szCs w:val="22"/>
        </w:rPr>
        <w:t>M</w:t>
      </w:r>
      <w:r w:rsidRPr="00DA506E">
        <w:rPr>
          <w:rFonts w:ascii="Calibri" w:hAnsi="Calibri" w:cs="Calibri"/>
          <w:sz w:val="22"/>
          <w:szCs w:val="22"/>
        </w:rPr>
        <w:t xml:space="preserve">any research teams developed methods of reminding </w:t>
      </w:r>
      <w:r w:rsidR="00E36CB2" w:rsidRPr="00DA506E">
        <w:rPr>
          <w:rFonts w:ascii="Calibri" w:hAnsi="Calibri" w:cs="Calibri"/>
          <w:sz w:val="22"/>
          <w:szCs w:val="22"/>
        </w:rPr>
        <w:t xml:space="preserve">bedside </w:t>
      </w:r>
      <w:r w:rsidRPr="00DA506E">
        <w:rPr>
          <w:rFonts w:ascii="Calibri" w:hAnsi="Calibri" w:cs="Calibri"/>
          <w:sz w:val="22"/>
          <w:szCs w:val="22"/>
        </w:rPr>
        <w:t xml:space="preserve">staff that patients were in A2B. This included brightly coloured reminders in patients’ notes, signage, and pre-prepared packs containing relevant paperwork and contact information for nurses. </w:t>
      </w:r>
    </w:p>
    <w:p w14:paraId="02203A93" w14:textId="0EC6EEED" w:rsidR="00DA506E" w:rsidRPr="00DA506E" w:rsidRDefault="00DA506E" w:rsidP="002358F3">
      <w:pPr>
        <w:spacing w:after="200" w:line="360" w:lineRule="auto"/>
        <w:jc w:val="both"/>
        <w:rPr>
          <w:rFonts w:ascii="Calibri" w:hAnsi="Calibri" w:cs="Calibri"/>
          <w:sz w:val="22"/>
          <w:szCs w:val="22"/>
        </w:rPr>
      </w:pPr>
      <w:r w:rsidRPr="00DA506E">
        <w:rPr>
          <w:rFonts w:ascii="Calibri" w:hAnsi="Calibri" w:cs="Calibri"/>
          <w:sz w:val="22"/>
          <w:szCs w:val="22"/>
        </w:rPr>
        <w:t xml:space="preserve">Staff at a third of units reported having either a PI or associate PI who collaborated closely with the research nurse team to optimise engagement and recruitment. Research nurses at </w:t>
      </w:r>
      <w:r w:rsidR="00CB1CD3">
        <w:rPr>
          <w:rFonts w:ascii="Calibri" w:hAnsi="Calibri" w:cs="Calibri"/>
          <w:sz w:val="22"/>
          <w:szCs w:val="22"/>
        </w:rPr>
        <w:t>one</w:t>
      </w:r>
      <w:r w:rsidRPr="00DA506E">
        <w:rPr>
          <w:rFonts w:ascii="Calibri" w:hAnsi="Calibri" w:cs="Calibri"/>
          <w:sz w:val="22"/>
          <w:szCs w:val="22"/>
        </w:rPr>
        <w:t xml:space="preserve"> unit discussed how their PI was ‘hands on’ at the consent and recruitment stage of the study</w:t>
      </w:r>
      <w:r w:rsidR="00C964EB">
        <w:rPr>
          <w:rFonts w:ascii="Calibri" w:hAnsi="Calibri" w:cs="Calibri"/>
          <w:sz w:val="22"/>
          <w:szCs w:val="22"/>
        </w:rPr>
        <w:t xml:space="preserve">, </w:t>
      </w:r>
      <w:r w:rsidR="00426351">
        <w:rPr>
          <w:rFonts w:ascii="Calibri" w:hAnsi="Calibri" w:cs="Calibri"/>
          <w:sz w:val="22"/>
          <w:szCs w:val="22"/>
        </w:rPr>
        <w:t>but this was not described by other units</w:t>
      </w:r>
      <w:r w:rsidRPr="00DA506E">
        <w:rPr>
          <w:rFonts w:ascii="Calibri" w:hAnsi="Calibri" w:cs="Calibri"/>
          <w:sz w:val="22"/>
          <w:szCs w:val="22"/>
        </w:rPr>
        <w:t xml:space="preserve">. They perceived that families were more inclined to give consent when the PI or a consultant colleague spoke to them regarding participation, than when </w:t>
      </w:r>
      <w:r w:rsidR="003A293A">
        <w:rPr>
          <w:rFonts w:ascii="Calibri" w:hAnsi="Calibri" w:cs="Calibri"/>
          <w:sz w:val="22"/>
          <w:szCs w:val="22"/>
        </w:rPr>
        <w:t xml:space="preserve">a research nurse made </w:t>
      </w:r>
      <w:r w:rsidRPr="00DA506E">
        <w:rPr>
          <w:rFonts w:ascii="Calibri" w:hAnsi="Calibri" w:cs="Calibri"/>
          <w:sz w:val="22"/>
          <w:szCs w:val="22"/>
        </w:rPr>
        <w:t xml:space="preserve">the </w:t>
      </w:r>
      <w:r w:rsidRPr="00DA506E">
        <w:rPr>
          <w:rFonts w:ascii="Calibri" w:hAnsi="Calibri" w:cs="Calibri"/>
          <w:sz w:val="22"/>
          <w:szCs w:val="22"/>
        </w:rPr>
        <w:lastRenderedPageBreak/>
        <w:t xml:space="preserve">approach. Staff at </w:t>
      </w:r>
      <w:r w:rsidR="00B7151B">
        <w:rPr>
          <w:rFonts w:ascii="Calibri" w:hAnsi="Calibri" w:cs="Calibri"/>
          <w:sz w:val="22"/>
          <w:szCs w:val="22"/>
        </w:rPr>
        <w:t>three</w:t>
      </w:r>
      <w:r w:rsidRPr="00DA506E">
        <w:rPr>
          <w:rFonts w:ascii="Calibri" w:hAnsi="Calibri" w:cs="Calibri"/>
          <w:sz w:val="22"/>
          <w:szCs w:val="22"/>
        </w:rPr>
        <w:t xml:space="preserve"> units </w:t>
      </w:r>
      <w:r w:rsidR="00D676A6">
        <w:rPr>
          <w:rFonts w:ascii="Calibri" w:hAnsi="Calibri" w:cs="Calibri"/>
          <w:sz w:val="22"/>
          <w:szCs w:val="22"/>
        </w:rPr>
        <w:t>described</w:t>
      </w:r>
      <w:r w:rsidRPr="00DA506E">
        <w:rPr>
          <w:rFonts w:ascii="Calibri" w:hAnsi="Calibri" w:cs="Calibri"/>
          <w:sz w:val="22"/>
          <w:szCs w:val="22"/>
        </w:rPr>
        <w:t xml:space="preserve"> how the associate PI scheme improved engagement by the doctors</w:t>
      </w:r>
      <w:r w:rsidR="00D676A6">
        <w:rPr>
          <w:rFonts w:ascii="Calibri" w:hAnsi="Calibri" w:cs="Calibri"/>
          <w:sz w:val="22"/>
          <w:szCs w:val="22"/>
        </w:rPr>
        <w:t xml:space="preserve"> </w:t>
      </w:r>
      <w:r w:rsidR="008C42EE">
        <w:rPr>
          <w:rFonts w:ascii="Calibri" w:hAnsi="Calibri" w:cs="Calibri"/>
          <w:sz w:val="22"/>
          <w:szCs w:val="22"/>
        </w:rPr>
        <w:t xml:space="preserve">– their more frequent </w:t>
      </w:r>
      <w:r w:rsidR="006E4F78" w:rsidRPr="00DA506E">
        <w:rPr>
          <w:rFonts w:ascii="Calibri" w:hAnsi="Calibri" w:cs="Calibri"/>
          <w:sz w:val="22"/>
          <w:szCs w:val="22"/>
        </w:rPr>
        <w:t>presence and availability to talk to and educate junior doctors boosted study awareness</w:t>
      </w:r>
      <w:r w:rsidRPr="00DA506E">
        <w:rPr>
          <w:rFonts w:ascii="Calibri" w:hAnsi="Calibri" w:cs="Calibri"/>
          <w:sz w:val="22"/>
          <w:szCs w:val="22"/>
        </w:rPr>
        <w:t xml:space="preserve">. </w:t>
      </w:r>
    </w:p>
    <w:p w14:paraId="2973D5DF" w14:textId="77777777" w:rsidR="00DA506E" w:rsidRPr="00DA506E" w:rsidRDefault="00DA506E" w:rsidP="002358F3">
      <w:pPr>
        <w:spacing w:after="200" w:line="360" w:lineRule="auto"/>
        <w:contextualSpacing/>
        <w:jc w:val="both"/>
        <w:outlineLvl w:val="1"/>
        <w:rPr>
          <w:rFonts w:ascii="Calibri" w:hAnsi="Calibri" w:cs="Calibri"/>
          <w:b/>
          <w:bCs/>
          <w:sz w:val="22"/>
          <w:szCs w:val="22"/>
        </w:rPr>
      </w:pPr>
      <w:bookmarkStart w:id="8" w:name="_Toc168393574"/>
      <w:r w:rsidRPr="00DA506E">
        <w:rPr>
          <w:rFonts w:ascii="Calibri" w:hAnsi="Calibri" w:cs="Calibri"/>
          <w:b/>
          <w:bCs/>
          <w:sz w:val="22"/>
          <w:szCs w:val="22"/>
        </w:rPr>
        <w:t>A2B trial-related factors</w:t>
      </w:r>
      <w:bookmarkEnd w:id="8"/>
    </w:p>
    <w:p w14:paraId="5BE095E4" w14:textId="68766D8E" w:rsidR="00DA506E" w:rsidRPr="00DA506E" w:rsidRDefault="00DA506E" w:rsidP="002358F3">
      <w:pPr>
        <w:spacing w:after="200" w:line="360" w:lineRule="auto"/>
        <w:jc w:val="both"/>
        <w:rPr>
          <w:rFonts w:ascii="Calibri" w:hAnsi="Calibri" w:cs="Calibri"/>
          <w:sz w:val="22"/>
          <w:szCs w:val="22"/>
        </w:rPr>
      </w:pPr>
      <w:r w:rsidRPr="00DA506E">
        <w:rPr>
          <w:rFonts w:ascii="Calibri" w:hAnsi="Calibri" w:cs="Calibri"/>
          <w:sz w:val="22"/>
          <w:szCs w:val="22"/>
        </w:rPr>
        <w:t>A2B trial-related factors identified included those related to safety and side effect concerns, overnight deep sedation practice, patient comfort, and trial documents. Concerns relating to safety and side effects focused on cardiovascular instability, bowel/ileus concerns, patient agitation/safety, and the implications of SPICE III trial findings relating to dexmedetomidine.</w:t>
      </w:r>
      <w:r w:rsidR="005B23B0" w:rsidRPr="00EC6C09">
        <w:rPr>
          <w:rFonts w:ascii="Calibri" w:hAnsi="Calibri" w:cs="Calibri"/>
          <w:noProof/>
          <w:sz w:val="22"/>
          <w:szCs w:val="22"/>
          <w:vertAlign w:val="superscript"/>
        </w:rPr>
        <w:t>7</w:t>
      </w:r>
      <w:r w:rsidRPr="00DA506E">
        <w:rPr>
          <w:rFonts w:ascii="Calibri" w:hAnsi="Calibri" w:cs="Calibri"/>
          <w:sz w:val="22"/>
          <w:szCs w:val="22"/>
        </w:rPr>
        <w:t xml:space="preserve"> Overnight deep sedation practice related to deep</w:t>
      </w:r>
      <w:r w:rsidR="00A64456">
        <w:rPr>
          <w:rFonts w:ascii="Calibri" w:hAnsi="Calibri" w:cs="Calibri"/>
          <w:sz w:val="22"/>
          <w:szCs w:val="22"/>
        </w:rPr>
        <w:t>er</w:t>
      </w:r>
      <w:r w:rsidRPr="00DA506E">
        <w:rPr>
          <w:rFonts w:ascii="Calibri" w:hAnsi="Calibri" w:cs="Calibri"/>
          <w:sz w:val="22"/>
          <w:szCs w:val="22"/>
        </w:rPr>
        <w:t xml:space="preserve"> sedation overnight and the role that staffing and support played. Patient comfort related to the analgesic properties of alpha-2 agonists, and eas</w:t>
      </w:r>
      <w:r w:rsidR="00A64456">
        <w:rPr>
          <w:rFonts w:ascii="Calibri" w:hAnsi="Calibri" w:cs="Calibri"/>
          <w:sz w:val="22"/>
          <w:szCs w:val="22"/>
        </w:rPr>
        <w:t>e</w:t>
      </w:r>
      <w:r w:rsidRPr="00DA506E">
        <w:rPr>
          <w:rFonts w:ascii="Calibri" w:hAnsi="Calibri" w:cs="Calibri"/>
          <w:sz w:val="22"/>
          <w:szCs w:val="22"/>
        </w:rPr>
        <w:t xml:space="preserve"> or difficult</w:t>
      </w:r>
      <w:r w:rsidR="00D27708">
        <w:rPr>
          <w:rFonts w:ascii="Calibri" w:hAnsi="Calibri" w:cs="Calibri"/>
          <w:sz w:val="22"/>
          <w:szCs w:val="22"/>
        </w:rPr>
        <w:t>y</w:t>
      </w:r>
      <w:r w:rsidRPr="00DA506E">
        <w:rPr>
          <w:rFonts w:ascii="Calibri" w:hAnsi="Calibri" w:cs="Calibri"/>
          <w:sz w:val="22"/>
          <w:szCs w:val="22"/>
        </w:rPr>
        <w:t xml:space="preserve"> </w:t>
      </w:r>
      <w:r w:rsidR="009655B2">
        <w:rPr>
          <w:rFonts w:ascii="Calibri" w:hAnsi="Calibri" w:cs="Calibri"/>
          <w:sz w:val="22"/>
          <w:szCs w:val="22"/>
        </w:rPr>
        <w:t xml:space="preserve">of </w:t>
      </w:r>
      <w:r w:rsidRPr="00DA506E">
        <w:rPr>
          <w:rFonts w:ascii="Calibri" w:hAnsi="Calibri" w:cs="Calibri"/>
          <w:sz w:val="22"/>
          <w:szCs w:val="22"/>
        </w:rPr>
        <w:t>manag</w:t>
      </w:r>
      <w:r w:rsidR="009655B2">
        <w:rPr>
          <w:rFonts w:ascii="Calibri" w:hAnsi="Calibri" w:cs="Calibri"/>
          <w:sz w:val="22"/>
          <w:szCs w:val="22"/>
        </w:rPr>
        <w:t xml:space="preserve">ing </w:t>
      </w:r>
      <w:r w:rsidRPr="00DA506E">
        <w:rPr>
          <w:rFonts w:ascii="Calibri" w:hAnsi="Calibri" w:cs="Calibri"/>
          <w:sz w:val="22"/>
          <w:szCs w:val="22"/>
        </w:rPr>
        <w:t xml:space="preserve">patient sub-groups. Trial documents related to the importance of supporting paperwork, particularly when research teams were not present on units. </w:t>
      </w:r>
    </w:p>
    <w:p w14:paraId="51E3406A" w14:textId="77777777" w:rsidR="00DA506E" w:rsidRPr="00471231" w:rsidRDefault="00DA506E" w:rsidP="002358F3">
      <w:pPr>
        <w:keepNext/>
        <w:keepLines/>
        <w:spacing w:after="200" w:line="360" w:lineRule="auto"/>
        <w:jc w:val="both"/>
        <w:outlineLvl w:val="2"/>
        <w:rPr>
          <w:rFonts w:ascii="Calibri" w:eastAsiaTheme="majorEastAsia" w:hAnsi="Calibri" w:cs="Calibri"/>
          <w:i/>
          <w:iCs/>
          <w:color w:val="0F4761" w:themeColor="accent1" w:themeShade="BF"/>
          <w:sz w:val="22"/>
          <w:szCs w:val="22"/>
        </w:rPr>
      </w:pPr>
      <w:bookmarkStart w:id="9" w:name="_Toc168393575"/>
      <w:r w:rsidRPr="00471231">
        <w:rPr>
          <w:rFonts w:ascii="Calibri" w:eastAsiaTheme="majorEastAsia" w:hAnsi="Calibri" w:cs="Calibri"/>
          <w:i/>
          <w:iCs/>
          <w:color w:val="000000" w:themeColor="text1"/>
          <w:sz w:val="22"/>
          <w:szCs w:val="22"/>
        </w:rPr>
        <w:t>Concerns relating to safety and side effects</w:t>
      </w:r>
      <w:bookmarkEnd w:id="9"/>
    </w:p>
    <w:p w14:paraId="162B14A0" w14:textId="77777777" w:rsidR="00DA506E" w:rsidRPr="00DA506E" w:rsidRDefault="00DA506E" w:rsidP="002358F3">
      <w:pPr>
        <w:spacing w:after="200" w:line="360" w:lineRule="auto"/>
        <w:jc w:val="both"/>
        <w:rPr>
          <w:rFonts w:ascii="Calibri" w:hAnsi="Calibri" w:cs="Calibri"/>
          <w:sz w:val="22"/>
          <w:szCs w:val="22"/>
        </w:rPr>
      </w:pPr>
      <w:r w:rsidRPr="00DA506E">
        <w:rPr>
          <w:rFonts w:ascii="Calibri" w:hAnsi="Calibri" w:cs="Calibri"/>
          <w:sz w:val="22"/>
          <w:szCs w:val="22"/>
        </w:rPr>
        <w:t xml:space="preserve">Staff at </w:t>
      </w:r>
      <w:r w:rsidR="007103B4">
        <w:rPr>
          <w:rFonts w:ascii="Calibri" w:hAnsi="Calibri" w:cs="Calibri"/>
          <w:sz w:val="22"/>
          <w:szCs w:val="22"/>
        </w:rPr>
        <w:t>most</w:t>
      </w:r>
      <w:r w:rsidRPr="00DA506E">
        <w:rPr>
          <w:rFonts w:ascii="Calibri" w:hAnsi="Calibri" w:cs="Calibri"/>
          <w:sz w:val="22"/>
          <w:szCs w:val="22"/>
        </w:rPr>
        <w:t xml:space="preserve"> units discussed safety concerns relating to potential cardiovascular instability from </w:t>
      </w:r>
      <w:r w:rsidR="005A1433">
        <w:rPr>
          <w:rFonts w:ascii="Calibri" w:hAnsi="Calibri" w:cs="Calibri"/>
          <w:sz w:val="22"/>
          <w:szCs w:val="22"/>
        </w:rPr>
        <w:t xml:space="preserve">the use of </w:t>
      </w:r>
      <w:r w:rsidRPr="00DA506E">
        <w:rPr>
          <w:rFonts w:ascii="Calibri" w:hAnsi="Calibri" w:cs="Calibri"/>
          <w:sz w:val="22"/>
          <w:szCs w:val="22"/>
        </w:rPr>
        <w:t>alpha-2 agonists</w:t>
      </w:r>
      <w:r w:rsidR="00B37A36">
        <w:rPr>
          <w:rFonts w:ascii="Calibri" w:hAnsi="Calibri" w:cs="Calibri"/>
          <w:sz w:val="22"/>
          <w:szCs w:val="22"/>
        </w:rPr>
        <w:t xml:space="preserve">, primarily </w:t>
      </w:r>
      <w:r w:rsidRPr="00DA506E">
        <w:rPr>
          <w:rFonts w:ascii="Calibri" w:hAnsi="Calibri" w:cs="Calibri"/>
          <w:sz w:val="22"/>
          <w:szCs w:val="22"/>
        </w:rPr>
        <w:t>bradycardia</w:t>
      </w:r>
      <w:r w:rsidR="00B37A36">
        <w:rPr>
          <w:rFonts w:ascii="Calibri" w:hAnsi="Calibri" w:cs="Calibri"/>
          <w:sz w:val="22"/>
          <w:szCs w:val="22"/>
        </w:rPr>
        <w:t xml:space="preserve"> and </w:t>
      </w:r>
      <w:r w:rsidRPr="00DA506E">
        <w:rPr>
          <w:rFonts w:ascii="Calibri" w:hAnsi="Calibri" w:cs="Calibri"/>
          <w:sz w:val="22"/>
          <w:szCs w:val="22"/>
        </w:rPr>
        <w:t xml:space="preserve">hypotension. Research nurses described hypervigilance </w:t>
      </w:r>
      <w:r w:rsidR="00ED1A64">
        <w:rPr>
          <w:rFonts w:ascii="Calibri" w:hAnsi="Calibri" w:cs="Calibri"/>
          <w:sz w:val="22"/>
          <w:szCs w:val="22"/>
        </w:rPr>
        <w:t>by</w:t>
      </w:r>
      <w:r w:rsidRPr="00DA506E">
        <w:rPr>
          <w:rFonts w:ascii="Calibri" w:hAnsi="Calibri" w:cs="Calibri"/>
          <w:sz w:val="22"/>
          <w:szCs w:val="22"/>
        </w:rPr>
        <w:t xml:space="preserve"> </w:t>
      </w:r>
      <w:r w:rsidR="00ED1A64" w:rsidRPr="00DA506E">
        <w:rPr>
          <w:rFonts w:ascii="Calibri" w:hAnsi="Calibri" w:cs="Calibri"/>
          <w:sz w:val="22"/>
          <w:szCs w:val="22"/>
        </w:rPr>
        <w:t xml:space="preserve">bedside </w:t>
      </w:r>
      <w:r w:rsidRPr="00DA506E">
        <w:rPr>
          <w:rFonts w:ascii="Calibri" w:hAnsi="Calibri" w:cs="Calibri"/>
          <w:sz w:val="22"/>
          <w:szCs w:val="22"/>
        </w:rPr>
        <w:t xml:space="preserve">nurses </w:t>
      </w:r>
      <w:r w:rsidR="005A1433" w:rsidRPr="00DA506E">
        <w:rPr>
          <w:rFonts w:ascii="Calibri" w:hAnsi="Calibri" w:cs="Calibri"/>
          <w:sz w:val="22"/>
          <w:szCs w:val="22"/>
        </w:rPr>
        <w:t xml:space="preserve">for bradycardia </w:t>
      </w:r>
      <w:r w:rsidRPr="00DA506E">
        <w:rPr>
          <w:rFonts w:ascii="Calibri" w:hAnsi="Calibri" w:cs="Calibri"/>
          <w:sz w:val="22"/>
          <w:szCs w:val="22"/>
        </w:rPr>
        <w:t>when patients were randomised to alpha-2 agonist</w:t>
      </w:r>
      <w:r w:rsidR="000A15F2">
        <w:rPr>
          <w:rFonts w:ascii="Calibri" w:hAnsi="Calibri" w:cs="Calibri"/>
          <w:sz w:val="22"/>
          <w:szCs w:val="22"/>
        </w:rPr>
        <w:t>s</w:t>
      </w:r>
      <w:r w:rsidR="00B54251">
        <w:rPr>
          <w:rFonts w:ascii="Calibri" w:hAnsi="Calibri" w:cs="Calibri"/>
          <w:sz w:val="22"/>
          <w:szCs w:val="22"/>
        </w:rPr>
        <w:t xml:space="preserve"> with a perception </w:t>
      </w:r>
      <w:r w:rsidRPr="00DA506E">
        <w:rPr>
          <w:rFonts w:ascii="Calibri" w:hAnsi="Calibri" w:cs="Calibri"/>
          <w:sz w:val="22"/>
          <w:szCs w:val="22"/>
        </w:rPr>
        <w:t xml:space="preserve">this hypervigilance was more pronounced in </w:t>
      </w:r>
      <w:r w:rsidR="00E85002">
        <w:rPr>
          <w:rFonts w:ascii="Calibri" w:hAnsi="Calibri" w:cs="Calibri"/>
          <w:sz w:val="22"/>
          <w:szCs w:val="22"/>
        </w:rPr>
        <w:t xml:space="preserve">A2B trial </w:t>
      </w:r>
      <w:r w:rsidRPr="00DA506E">
        <w:rPr>
          <w:rFonts w:ascii="Calibri" w:hAnsi="Calibri" w:cs="Calibri"/>
          <w:sz w:val="22"/>
          <w:szCs w:val="22"/>
        </w:rPr>
        <w:t xml:space="preserve">patients </w:t>
      </w:r>
      <w:r w:rsidR="00430225">
        <w:rPr>
          <w:rFonts w:ascii="Calibri" w:hAnsi="Calibri" w:cs="Calibri"/>
          <w:sz w:val="22"/>
          <w:szCs w:val="22"/>
        </w:rPr>
        <w:t>than other patients:</w:t>
      </w:r>
      <w:r w:rsidRPr="00DA506E">
        <w:rPr>
          <w:rFonts w:ascii="Calibri" w:hAnsi="Calibri" w:cs="Calibri"/>
          <w:sz w:val="22"/>
          <w:szCs w:val="22"/>
        </w:rPr>
        <w:t xml:space="preserve"> </w:t>
      </w:r>
    </w:p>
    <w:p w14:paraId="0DC30A1B" w14:textId="77777777" w:rsidR="00DA506E" w:rsidRPr="00471231" w:rsidRDefault="00DA506E" w:rsidP="002358F3">
      <w:pPr>
        <w:spacing w:after="200" w:line="360" w:lineRule="auto"/>
        <w:ind w:left="567" w:right="567"/>
        <w:jc w:val="both"/>
        <w:rPr>
          <w:rFonts w:ascii="Calibri" w:eastAsia="Calibri" w:hAnsi="Calibri" w:cs="Calibri"/>
          <w:sz w:val="22"/>
          <w:szCs w:val="22"/>
        </w:rPr>
      </w:pPr>
      <w:r w:rsidRPr="00DA506E">
        <w:rPr>
          <w:rFonts w:ascii="Calibri" w:eastAsia="Calibri" w:hAnsi="Calibri" w:cs="Calibri"/>
          <w:i/>
          <w:iCs/>
          <w:sz w:val="22"/>
          <w:szCs w:val="22"/>
        </w:rPr>
        <w:t>“There was a lot of fear …tended only to be around the Dexdor, even though it happened, yes, with clonidine, it tended only to be with the Dexdor, oh but he is bradycardic, or, you can't put him on, his heart rate’s only 60…</w:t>
      </w:r>
      <w:r w:rsidRPr="00DA506E">
        <w:rPr>
          <w:rFonts w:ascii="Calibri" w:eastAsia="Calibri" w:hAnsi="Calibri" w:cs="Calibri"/>
          <w:sz w:val="22"/>
          <w:szCs w:val="22"/>
        </w:rPr>
        <w:t xml:space="preserve"> ResN14/38</w:t>
      </w:r>
    </w:p>
    <w:p w14:paraId="0E676855" w14:textId="77777777" w:rsidR="00DA506E" w:rsidRPr="00DA506E" w:rsidRDefault="00DA506E" w:rsidP="002358F3">
      <w:pPr>
        <w:spacing w:after="200" w:line="360" w:lineRule="auto"/>
        <w:jc w:val="both"/>
        <w:rPr>
          <w:rFonts w:ascii="Calibri" w:hAnsi="Calibri" w:cs="Calibri"/>
          <w:sz w:val="22"/>
          <w:szCs w:val="22"/>
        </w:rPr>
      </w:pPr>
      <w:r w:rsidRPr="00DA506E">
        <w:rPr>
          <w:rFonts w:ascii="Calibri" w:hAnsi="Calibri" w:cs="Calibri"/>
          <w:sz w:val="22"/>
          <w:szCs w:val="22"/>
        </w:rPr>
        <w:t>One PI reported that they planned to continue with usual practice after the trial, regardless of the results</w:t>
      </w:r>
      <w:r w:rsidR="00472F3D">
        <w:rPr>
          <w:rFonts w:ascii="Calibri" w:hAnsi="Calibri" w:cs="Calibri"/>
          <w:sz w:val="22"/>
          <w:szCs w:val="22"/>
        </w:rPr>
        <w:t xml:space="preserve"> because of </w:t>
      </w:r>
      <w:r w:rsidRPr="00DA506E">
        <w:rPr>
          <w:rFonts w:ascii="Calibri" w:hAnsi="Calibri" w:cs="Calibri"/>
          <w:sz w:val="22"/>
          <w:szCs w:val="22"/>
        </w:rPr>
        <w:t xml:space="preserve">a dislike of the cardiovascular side effects </w:t>
      </w:r>
      <w:r w:rsidR="00AE44D6">
        <w:rPr>
          <w:rFonts w:ascii="Calibri" w:hAnsi="Calibri" w:cs="Calibri"/>
          <w:sz w:val="22"/>
          <w:szCs w:val="22"/>
        </w:rPr>
        <w:t>of</w:t>
      </w:r>
      <w:r w:rsidRPr="00DA506E">
        <w:rPr>
          <w:rFonts w:ascii="Calibri" w:hAnsi="Calibri" w:cs="Calibri"/>
          <w:sz w:val="22"/>
          <w:szCs w:val="22"/>
        </w:rPr>
        <w:t xml:space="preserve"> dexmedetomidine. Research nurses at another unit </w:t>
      </w:r>
      <w:r w:rsidR="00C21BE1">
        <w:rPr>
          <w:rFonts w:ascii="Calibri" w:hAnsi="Calibri" w:cs="Calibri"/>
          <w:sz w:val="22"/>
          <w:szCs w:val="22"/>
        </w:rPr>
        <w:t xml:space="preserve">described </w:t>
      </w:r>
      <w:r w:rsidR="00AE44D6">
        <w:rPr>
          <w:rFonts w:ascii="Calibri" w:hAnsi="Calibri" w:cs="Calibri"/>
          <w:sz w:val="22"/>
          <w:szCs w:val="22"/>
        </w:rPr>
        <w:t>that</w:t>
      </w:r>
      <w:r w:rsidRPr="00DA506E">
        <w:rPr>
          <w:rFonts w:ascii="Calibri" w:hAnsi="Calibri" w:cs="Calibri"/>
          <w:sz w:val="22"/>
          <w:szCs w:val="22"/>
        </w:rPr>
        <w:t xml:space="preserve"> </w:t>
      </w:r>
      <w:r w:rsidR="00C21BE1" w:rsidRPr="00DA506E">
        <w:rPr>
          <w:rFonts w:ascii="Calibri" w:hAnsi="Calibri" w:cs="Calibri"/>
          <w:sz w:val="22"/>
          <w:szCs w:val="22"/>
        </w:rPr>
        <w:t>bedside</w:t>
      </w:r>
      <w:r w:rsidRPr="00DA506E">
        <w:rPr>
          <w:rFonts w:ascii="Calibri" w:hAnsi="Calibri" w:cs="Calibri"/>
          <w:sz w:val="22"/>
          <w:szCs w:val="22"/>
        </w:rPr>
        <w:t xml:space="preserve"> nurses </w:t>
      </w:r>
      <w:r w:rsidR="00D204C8">
        <w:rPr>
          <w:rFonts w:ascii="Calibri" w:hAnsi="Calibri" w:cs="Calibri"/>
          <w:sz w:val="22"/>
          <w:szCs w:val="22"/>
        </w:rPr>
        <w:t xml:space="preserve">felt uncomfortable </w:t>
      </w:r>
      <w:r w:rsidRPr="00DA506E">
        <w:rPr>
          <w:rFonts w:ascii="Calibri" w:hAnsi="Calibri" w:cs="Calibri"/>
          <w:sz w:val="22"/>
          <w:szCs w:val="22"/>
        </w:rPr>
        <w:t>when patients were on clonidine</w:t>
      </w:r>
      <w:r w:rsidR="006A3323">
        <w:rPr>
          <w:rFonts w:ascii="Calibri" w:hAnsi="Calibri" w:cs="Calibri"/>
          <w:sz w:val="22"/>
          <w:szCs w:val="22"/>
        </w:rPr>
        <w:t xml:space="preserve">, with </w:t>
      </w:r>
      <w:r w:rsidRPr="00DA506E">
        <w:rPr>
          <w:rFonts w:ascii="Calibri" w:hAnsi="Calibri" w:cs="Calibri"/>
          <w:sz w:val="22"/>
          <w:szCs w:val="22"/>
        </w:rPr>
        <w:t xml:space="preserve">the primary concern </w:t>
      </w:r>
      <w:r w:rsidR="006A3323">
        <w:rPr>
          <w:rFonts w:ascii="Calibri" w:hAnsi="Calibri" w:cs="Calibri"/>
          <w:sz w:val="22"/>
          <w:szCs w:val="22"/>
        </w:rPr>
        <w:t>being</w:t>
      </w:r>
      <w:r w:rsidRPr="00DA506E">
        <w:rPr>
          <w:rFonts w:ascii="Calibri" w:hAnsi="Calibri" w:cs="Calibri"/>
          <w:sz w:val="22"/>
          <w:szCs w:val="22"/>
        </w:rPr>
        <w:t xml:space="preserve"> hypotension because of previously witnessed episodes. </w:t>
      </w:r>
      <w:r w:rsidR="00C91898">
        <w:rPr>
          <w:rFonts w:ascii="Calibri" w:hAnsi="Calibri" w:cs="Calibri"/>
          <w:sz w:val="22"/>
          <w:szCs w:val="22"/>
        </w:rPr>
        <w:t>Another</w:t>
      </w:r>
      <w:r w:rsidRPr="00DA506E">
        <w:rPr>
          <w:rFonts w:ascii="Calibri" w:hAnsi="Calibri" w:cs="Calibri"/>
          <w:sz w:val="22"/>
          <w:szCs w:val="22"/>
        </w:rPr>
        <w:t xml:space="preserve"> </w:t>
      </w:r>
      <w:r w:rsidR="00AE44D6">
        <w:rPr>
          <w:rFonts w:ascii="Calibri" w:hAnsi="Calibri" w:cs="Calibri"/>
          <w:sz w:val="22"/>
          <w:szCs w:val="22"/>
        </w:rPr>
        <w:t xml:space="preserve">research nurse </w:t>
      </w:r>
      <w:r w:rsidRPr="00DA506E">
        <w:rPr>
          <w:rFonts w:ascii="Calibri" w:hAnsi="Calibri" w:cs="Calibri"/>
          <w:sz w:val="22"/>
          <w:szCs w:val="22"/>
        </w:rPr>
        <w:t xml:space="preserve">discussed how, having had a </w:t>
      </w:r>
      <w:r w:rsidR="00A47669">
        <w:rPr>
          <w:rFonts w:ascii="Calibri" w:hAnsi="Calibri" w:cs="Calibri"/>
          <w:sz w:val="22"/>
          <w:szCs w:val="22"/>
        </w:rPr>
        <w:t xml:space="preserve">(cardiovascular instability) </w:t>
      </w:r>
      <w:r w:rsidR="00206416">
        <w:rPr>
          <w:rFonts w:ascii="Calibri" w:hAnsi="Calibri" w:cs="Calibri"/>
          <w:sz w:val="22"/>
          <w:szCs w:val="22"/>
        </w:rPr>
        <w:t>Suspected Unexpected Serious Adverse Reaction (</w:t>
      </w:r>
      <w:r w:rsidRPr="00DA506E">
        <w:rPr>
          <w:rFonts w:ascii="Calibri" w:hAnsi="Calibri" w:cs="Calibri"/>
          <w:sz w:val="22"/>
          <w:szCs w:val="22"/>
        </w:rPr>
        <w:t>SUSAR</w:t>
      </w:r>
      <w:r w:rsidR="00206416">
        <w:rPr>
          <w:rFonts w:ascii="Calibri" w:hAnsi="Calibri" w:cs="Calibri"/>
          <w:sz w:val="22"/>
          <w:szCs w:val="22"/>
        </w:rPr>
        <w:t>)</w:t>
      </w:r>
      <w:r w:rsidRPr="00DA506E">
        <w:rPr>
          <w:rFonts w:ascii="Calibri" w:hAnsi="Calibri" w:cs="Calibri"/>
          <w:sz w:val="22"/>
          <w:szCs w:val="22"/>
        </w:rPr>
        <w:t>, they developed plans</w:t>
      </w:r>
      <w:r w:rsidR="008846B7">
        <w:rPr>
          <w:rFonts w:ascii="Calibri" w:hAnsi="Calibri" w:cs="Calibri"/>
          <w:sz w:val="22"/>
          <w:szCs w:val="22"/>
        </w:rPr>
        <w:t>,</w:t>
      </w:r>
      <w:r w:rsidRPr="00DA506E">
        <w:rPr>
          <w:rFonts w:ascii="Calibri" w:hAnsi="Calibri" w:cs="Calibri"/>
          <w:sz w:val="22"/>
          <w:szCs w:val="22"/>
        </w:rPr>
        <w:t xml:space="preserve"> </w:t>
      </w:r>
      <w:r w:rsidR="00A23F41">
        <w:rPr>
          <w:rFonts w:ascii="Calibri" w:hAnsi="Calibri" w:cs="Calibri"/>
          <w:sz w:val="22"/>
          <w:szCs w:val="22"/>
        </w:rPr>
        <w:t>including reassurance and guidance</w:t>
      </w:r>
      <w:r w:rsidR="008846B7">
        <w:rPr>
          <w:rFonts w:ascii="Calibri" w:hAnsi="Calibri" w:cs="Calibri"/>
          <w:sz w:val="22"/>
          <w:szCs w:val="22"/>
        </w:rPr>
        <w:t>,</w:t>
      </w:r>
      <w:r w:rsidR="00A23F41">
        <w:rPr>
          <w:rFonts w:ascii="Calibri" w:hAnsi="Calibri" w:cs="Calibri"/>
          <w:sz w:val="22"/>
          <w:szCs w:val="22"/>
        </w:rPr>
        <w:t xml:space="preserve"> </w:t>
      </w:r>
      <w:r w:rsidRPr="00DA506E">
        <w:rPr>
          <w:rFonts w:ascii="Calibri" w:hAnsi="Calibri" w:cs="Calibri"/>
          <w:sz w:val="22"/>
          <w:szCs w:val="22"/>
        </w:rPr>
        <w:t>for the management of future incidents</w:t>
      </w:r>
      <w:r w:rsidR="00460030">
        <w:rPr>
          <w:rFonts w:ascii="Calibri" w:hAnsi="Calibri" w:cs="Calibri"/>
          <w:sz w:val="22"/>
          <w:szCs w:val="22"/>
        </w:rPr>
        <w:t xml:space="preserve"> as</w:t>
      </w:r>
      <w:r w:rsidRPr="00DA506E">
        <w:rPr>
          <w:rFonts w:ascii="Calibri" w:hAnsi="Calibri" w:cs="Calibri"/>
          <w:sz w:val="22"/>
          <w:szCs w:val="22"/>
        </w:rPr>
        <w:t xml:space="preserve"> nurses were reluctant to continue managing patients as per the protocol</w:t>
      </w:r>
      <w:r w:rsidR="00A47669">
        <w:rPr>
          <w:rFonts w:ascii="Calibri" w:hAnsi="Calibri" w:cs="Calibri"/>
          <w:sz w:val="22"/>
          <w:szCs w:val="22"/>
        </w:rPr>
        <w:t xml:space="preserve">; this </w:t>
      </w:r>
      <w:r w:rsidRPr="00DA506E">
        <w:rPr>
          <w:rFonts w:ascii="Calibri" w:hAnsi="Calibri" w:cs="Calibri"/>
          <w:sz w:val="22"/>
          <w:szCs w:val="22"/>
        </w:rPr>
        <w:t xml:space="preserve">improved </w:t>
      </w:r>
      <w:r w:rsidR="00415D68" w:rsidRPr="00DA506E">
        <w:rPr>
          <w:rFonts w:ascii="Calibri" w:hAnsi="Calibri" w:cs="Calibri"/>
          <w:sz w:val="22"/>
          <w:szCs w:val="22"/>
        </w:rPr>
        <w:t>subsequent</w:t>
      </w:r>
      <w:r w:rsidRPr="00DA506E">
        <w:rPr>
          <w:rFonts w:ascii="Calibri" w:hAnsi="Calibri" w:cs="Calibri"/>
          <w:sz w:val="22"/>
          <w:szCs w:val="22"/>
        </w:rPr>
        <w:t xml:space="preserve"> </w:t>
      </w:r>
      <w:r w:rsidR="00682FD0">
        <w:rPr>
          <w:rFonts w:ascii="Calibri" w:hAnsi="Calibri" w:cs="Calibri"/>
          <w:sz w:val="22"/>
          <w:szCs w:val="22"/>
        </w:rPr>
        <w:t>protocol adherence</w:t>
      </w:r>
      <w:r w:rsidRPr="00DA506E">
        <w:rPr>
          <w:rFonts w:ascii="Calibri" w:hAnsi="Calibri" w:cs="Calibri"/>
          <w:sz w:val="22"/>
          <w:szCs w:val="22"/>
        </w:rPr>
        <w:t xml:space="preserve">. </w:t>
      </w:r>
    </w:p>
    <w:p w14:paraId="301A3309" w14:textId="51E33246" w:rsidR="00DA506E" w:rsidRPr="00DA506E" w:rsidRDefault="00DA506E" w:rsidP="002358F3">
      <w:pPr>
        <w:spacing w:after="200" w:line="360" w:lineRule="auto"/>
        <w:jc w:val="both"/>
        <w:rPr>
          <w:rFonts w:ascii="Calibri" w:hAnsi="Calibri" w:cs="Calibri"/>
          <w:sz w:val="22"/>
          <w:szCs w:val="22"/>
        </w:rPr>
      </w:pPr>
      <w:r w:rsidRPr="00DA506E">
        <w:rPr>
          <w:rFonts w:ascii="Calibri" w:hAnsi="Calibri" w:cs="Calibri"/>
          <w:sz w:val="22"/>
          <w:szCs w:val="22"/>
        </w:rPr>
        <w:t xml:space="preserve">Research and staff nurses at over half of </w:t>
      </w:r>
      <w:r w:rsidR="00FE2EA4">
        <w:rPr>
          <w:rFonts w:ascii="Calibri" w:hAnsi="Calibri" w:cs="Calibri"/>
          <w:sz w:val="22"/>
          <w:szCs w:val="22"/>
        </w:rPr>
        <w:t xml:space="preserve">the </w:t>
      </w:r>
      <w:r w:rsidRPr="00DA506E">
        <w:rPr>
          <w:rFonts w:ascii="Calibri" w:hAnsi="Calibri" w:cs="Calibri"/>
          <w:sz w:val="22"/>
          <w:szCs w:val="22"/>
        </w:rPr>
        <w:t xml:space="preserve">units reported </w:t>
      </w:r>
      <w:r w:rsidR="007E1760">
        <w:rPr>
          <w:rFonts w:ascii="Calibri" w:hAnsi="Calibri" w:cs="Calibri"/>
          <w:sz w:val="22"/>
          <w:szCs w:val="22"/>
        </w:rPr>
        <w:t>three</w:t>
      </w:r>
      <w:r w:rsidRPr="00DA506E">
        <w:rPr>
          <w:rFonts w:ascii="Calibri" w:hAnsi="Calibri" w:cs="Calibri"/>
          <w:sz w:val="22"/>
          <w:szCs w:val="22"/>
        </w:rPr>
        <w:t xml:space="preserve"> interconnected safety concerns. These related to i) patients being more awake and potentially agitated and unmanageable; ii) </w:t>
      </w:r>
      <w:r w:rsidR="00215A75">
        <w:rPr>
          <w:rFonts w:ascii="Calibri" w:hAnsi="Calibri" w:cs="Calibri"/>
          <w:sz w:val="22"/>
          <w:szCs w:val="22"/>
        </w:rPr>
        <w:t xml:space="preserve">the risk of </w:t>
      </w:r>
      <w:r w:rsidRPr="00DA506E">
        <w:rPr>
          <w:rFonts w:ascii="Calibri" w:hAnsi="Calibri" w:cs="Calibri"/>
          <w:sz w:val="22"/>
          <w:szCs w:val="22"/>
        </w:rPr>
        <w:t xml:space="preserve">self-extubation or </w:t>
      </w:r>
      <w:r w:rsidR="00215A75">
        <w:rPr>
          <w:rFonts w:ascii="Calibri" w:hAnsi="Calibri" w:cs="Calibri"/>
          <w:sz w:val="22"/>
          <w:szCs w:val="22"/>
        </w:rPr>
        <w:t>causing</w:t>
      </w:r>
      <w:r w:rsidRPr="00DA506E">
        <w:rPr>
          <w:rFonts w:ascii="Calibri" w:hAnsi="Calibri" w:cs="Calibri"/>
          <w:sz w:val="22"/>
          <w:szCs w:val="22"/>
        </w:rPr>
        <w:t xml:space="preserve"> harm; and iii) </w:t>
      </w:r>
      <w:r w:rsidR="00215A75">
        <w:rPr>
          <w:rFonts w:ascii="Calibri" w:hAnsi="Calibri" w:cs="Calibri"/>
          <w:sz w:val="22"/>
          <w:szCs w:val="22"/>
        </w:rPr>
        <w:t>the</w:t>
      </w:r>
      <w:r w:rsidRPr="00DA506E">
        <w:rPr>
          <w:rFonts w:ascii="Calibri" w:hAnsi="Calibri" w:cs="Calibri"/>
          <w:sz w:val="22"/>
          <w:szCs w:val="22"/>
        </w:rPr>
        <w:t xml:space="preserve"> lack of support or inadequate staffing to safely manage these incidents. These safety concerns </w:t>
      </w:r>
      <w:r w:rsidR="0083545A">
        <w:rPr>
          <w:rFonts w:ascii="Calibri" w:hAnsi="Calibri" w:cs="Calibri"/>
          <w:sz w:val="22"/>
          <w:szCs w:val="22"/>
        </w:rPr>
        <w:t xml:space="preserve">did not relate to a </w:t>
      </w:r>
      <w:r w:rsidR="00B7151B">
        <w:rPr>
          <w:rFonts w:ascii="Calibri" w:hAnsi="Calibri" w:cs="Calibri"/>
          <w:sz w:val="22"/>
          <w:szCs w:val="22"/>
        </w:rPr>
        <w:t>specific study drug</w:t>
      </w:r>
      <w:r w:rsidR="00D204E2">
        <w:rPr>
          <w:rFonts w:ascii="Calibri" w:hAnsi="Calibri" w:cs="Calibri"/>
          <w:sz w:val="22"/>
          <w:szCs w:val="22"/>
        </w:rPr>
        <w:t>, were</w:t>
      </w:r>
      <w:r w:rsidRPr="00DA506E">
        <w:rPr>
          <w:rFonts w:ascii="Calibri" w:hAnsi="Calibri" w:cs="Calibri"/>
          <w:sz w:val="22"/>
          <w:szCs w:val="22"/>
        </w:rPr>
        <w:t xml:space="preserve"> perceived </w:t>
      </w:r>
      <w:r w:rsidR="00D204E2">
        <w:rPr>
          <w:rFonts w:ascii="Calibri" w:hAnsi="Calibri" w:cs="Calibri"/>
          <w:sz w:val="22"/>
          <w:szCs w:val="22"/>
        </w:rPr>
        <w:t>and</w:t>
      </w:r>
      <w:r w:rsidRPr="00DA506E">
        <w:rPr>
          <w:rFonts w:ascii="Calibri" w:hAnsi="Calibri" w:cs="Calibri"/>
          <w:sz w:val="22"/>
          <w:szCs w:val="22"/>
        </w:rPr>
        <w:t xml:space="preserve"> did </w:t>
      </w:r>
      <w:r w:rsidRPr="00DA506E">
        <w:rPr>
          <w:rFonts w:ascii="Calibri" w:hAnsi="Calibri" w:cs="Calibri"/>
          <w:sz w:val="22"/>
          <w:szCs w:val="22"/>
        </w:rPr>
        <w:lastRenderedPageBreak/>
        <w:t>not arise from actual occurrences. Only one unit reported an incident of self-extubation for a patient randomised to a</w:t>
      </w:r>
      <w:r w:rsidR="00415D68">
        <w:rPr>
          <w:rFonts w:ascii="Calibri" w:hAnsi="Calibri" w:cs="Calibri"/>
          <w:sz w:val="22"/>
          <w:szCs w:val="22"/>
        </w:rPr>
        <w:t>n</w:t>
      </w:r>
      <w:r w:rsidRPr="00DA506E">
        <w:rPr>
          <w:rFonts w:ascii="Calibri" w:hAnsi="Calibri" w:cs="Calibri"/>
          <w:sz w:val="22"/>
          <w:szCs w:val="22"/>
        </w:rPr>
        <w:t xml:space="preserve"> alpha-2 agonist, </w:t>
      </w:r>
      <w:r w:rsidR="00A64456">
        <w:rPr>
          <w:rFonts w:ascii="Calibri" w:hAnsi="Calibri" w:cs="Calibri"/>
          <w:sz w:val="22"/>
          <w:szCs w:val="22"/>
        </w:rPr>
        <w:t xml:space="preserve">this </w:t>
      </w:r>
      <w:r w:rsidRPr="00DA506E">
        <w:rPr>
          <w:rFonts w:ascii="Calibri" w:hAnsi="Calibri" w:cs="Calibri"/>
          <w:sz w:val="22"/>
          <w:szCs w:val="22"/>
        </w:rPr>
        <w:t>patient was able to maintain their own airway and remain</w:t>
      </w:r>
      <w:r w:rsidR="00A64456">
        <w:rPr>
          <w:rFonts w:ascii="Calibri" w:hAnsi="Calibri" w:cs="Calibri"/>
          <w:sz w:val="22"/>
          <w:szCs w:val="22"/>
        </w:rPr>
        <w:t xml:space="preserve">ed </w:t>
      </w:r>
      <w:r w:rsidRPr="00DA506E">
        <w:rPr>
          <w:rFonts w:ascii="Calibri" w:hAnsi="Calibri" w:cs="Calibri"/>
          <w:sz w:val="22"/>
          <w:szCs w:val="22"/>
        </w:rPr>
        <w:t xml:space="preserve">extubated. Ultimately, the fear relating to potential adverse events and </w:t>
      </w:r>
      <w:r w:rsidR="003B52C8">
        <w:rPr>
          <w:rFonts w:ascii="Calibri" w:hAnsi="Calibri" w:cs="Calibri"/>
          <w:sz w:val="22"/>
          <w:szCs w:val="22"/>
        </w:rPr>
        <w:t>the</w:t>
      </w:r>
      <w:r w:rsidRPr="00DA506E">
        <w:rPr>
          <w:rFonts w:ascii="Calibri" w:hAnsi="Calibri" w:cs="Calibri"/>
          <w:sz w:val="22"/>
          <w:szCs w:val="22"/>
        </w:rPr>
        <w:t xml:space="preserve"> </w:t>
      </w:r>
      <w:r w:rsidR="00A05D89">
        <w:rPr>
          <w:rFonts w:ascii="Calibri" w:hAnsi="Calibri" w:cs="Calibri"/>
          <w:sz w:val="22"/>
          <w:szCs w:val="22"/>
        </w:rPr>
        <w:t xml:space="preserve">perceived </w:t>
      </w:r>
      <w:r w:rsidRPr="00DA506E">
        <w:rPr>
          <w:rFonts w:ascii="Calibri" w:hAnsi="Calibri" w:cs="Calibri"/>
          <w:sz w:val="22"/>
          <w:szCs w:val="22"/>
        </w:rPr>
        <w:t xml:space="preserve">lack of support led nurses to opt for usual care </w:t>
      </w:r>
      <w:r w:rsidR="00E70BF4">
        <w:rPr>
          <w:rFonts w:ascii="Calibri" w:hAnsi="Calibri" w:cs="Calibri"/>
          <w:sz w:val="22"/>
          <w:szCs w:val="22"/>
        </w:rPr>
        <w:t>(</w:t>
      </w:r>
      <w:r w:rsidRPr="00DA506E">
        <w:rPr>
          <w:rFonts w:ascii="Calibri" w:hAnsi="Calibri" w:cs="Calibri"/>
          <w:sz w:val="22"/>
          <w:szCs w:val="22"/>
        </w:rPr>
        <w:t>propofol</w:t>
      </w:r>
      <w:r w:rsidR="00E70BF4">
        <w:rPr>
          <w:rFonts w:ascii="Calibri" w:hAnsi="Calibri" w:cs="Calibri"/>
          <w:sz w:val="22"/>
          <w:szCs w:val="22"/>
        </w:rPr>
        <w:t>)</w:t>
      </w:r>
      <w:r w:rsidRPr="00DA506E">
        <w:rPr>
          <w:rFonts w:ascii="Calibri" w:hAnsi="Calibri" w:cs="Calibri"/>
          <w:sz w:val="22"/>
          <w:szCs w:val="22"/>
        </w:rPr>
        <w:t xml:space="preserve"> and deep sedation</w:t>
      </w:r>
      <w:r w:rsidR="008B267B">
        <w:rPr>
          <w:rFonts w:ascii="Calibri" w:hAnsi="Calibri" w:cs="Calibri"/>
          <w:sz w:val="22"/>
          <w:szCs w:val="22"/>
        </w:rPr>
        <w:t xml:space="preserve"> regardless of </w:t>
      </w:r>
      <w:r w:rsidR="008F08EB">
        <w:rPr>
          <w:rFonts w:ascii="Calibri" w:hAnsi="Calibri" w:cs="Calibri"/>
          <w:sz w:val="22"/>
          <w:szCs w:val="22"/>
        </w:rPr>
        <w:t>which intervention patients were randomised to</w:t>
      </w:r>
      <w:r w:rsidR="0005402B">
        <w:rPr>
          <w:rFonts w:ascii="Calibri" w:hAnsi="Calibri" w:cs="Calibri"/>
          <w:sz w:val="22"/>
          <w:szCs w:val="22"/>
        </w:rPr>
        <w:t xml:space="preserve">. </w:t>
      </w:r>
      <w:r w:rsidRPr="00DA506E">
        <w:rPr>
          <w:rFonts w:ascii="Calibri" w:hAnsi="Calibri" w:cs="Calibri"/>
          <w:sz w:val="22"/>
          <w:szCs w:val="22"/>
        </w:rPr>
        <w:t xml:space="preserve">These safety concerns </w:t>
      </w:r>
      <w:r w:rsidR="00415D68">
        <w:rPr>
          <w:rFonts w:ascii="Calibri" w:hAnsi="Calibri" w:cs="Calibri"/>
          <w:sz w:val="22"/>
          <w:szCs w:val="22"/>
        </w:rPr>
        <w:t>reduced the likelihood of nurses managing</w:t>
      </w:r>
      <w:r w:rsidRPr="00DA506E">
        <w:rPr>
          <w:rFonts w:ascii="Calibri" w:hAnsi="Calibri" w:cs="Calibri"/>
          <w:sz w:val="22"/>
          <w:szCs w:val="22"/>
        </w:rPr>
        <w:t xml:space="preserve"> patients in accordance with the protocol. </w:t>
      </w:r>
    </w:p>
    <w:p w14:paraId="7824B5E9" w14:textId="77777777" w:rsidR="00DA506E" w:rsidRPr="00DA506E" w:rsidRDefault="00DA506E" w:rsidP="002358F3">
      <w:pPr>
        <w:spacing w:after="200" w:line="360" w:lineRule="auto"/>
        <w:ind w:left="567" w:right="567"/>
        <w:jc w:val="both"/>
        <w:rPr>
          <w:rFonts w:ascii="Calibri" w:hAnsi="Calibri" w:cs="Calibri"/>
          <w:sz w:val="22"/>
          <w:szCs w:val="22"/>
        </w:rPr>
      </w:pPr>
      <w:r w:rsidRPr="00DA506E">
        <w:rPr>
          <w:rFonts w:ascii="Calibri" w:hAnsi="Calibri" w:cs="Calibri"/>
          <w:i/>
          <w:iCs/>
          <w:sz w:val="22"/>
          <w:szCs w:val="22"/>
        </w:rPr>
        <w:t xml:space="preserve">“…you would say to them, </w:t>
      </w:r>
      <w:r w:rsidR="0071283C">
        <w:rPr>
          <w:rFonts w:ascii="Calibri" w:hAnsi="Calibri" w:cs="Calibri"/>
          <w:i/>
          <w:iCs/>
          <w:sz w:val="22"/>
          <w:szCs w:val="22"/>
        </w:rPr>
        <w:t>…</w:t>
      </w:r>
      <w:r w:rsidRPr="00DA506E">
        <w:rPr>
          <w:rFonts w:ascii="Calibri" w:hAnsi="Calibri" w:cs="Calibri"/>
          <w:i/>
          <w:iCs/>
          <w:sz w:val="22"/>
          <w:szCs w:val="22"/>
        </w:rPr>
        <w:t xml:space="preserve"> why did we not do this there, you know, and they always…it’s always patient safety overnight, I think a lot of them would give you that, you know, say, but he was agitated through…there’s less people around and it’s…patient safety would always be brought up as a thing of, but we didn't do it because…to keep the patient safe and agitation.”</w:t>
      </w:r>
      <w:r w:rsidRPr="00DA506E">
        <w:rPr>
          <w:rFonts w:ascii="Calibri" w:hAnsi="Calibri" w:cs="Calibri"/>
          <w:sz w:val="22"/>
          <w:szCs w:val="22"/>
        </w:rPr>
        <w:t xml:space="preserve"> ResN14/38</w:t>
      </w:r>
    </w:p>
    <w:p w14:paraId="33639D16" w14:textId="77777777" w:rsidR="00854B99" w:rsidRDefault="00C87E78" w:rsidP="002358F3">
      <w:pPr>
        <w:spacing w:after="200" w:line="360" w:lineRule="auto"/>
        <w:jc w:val="both"/>
        <w:rPr>
          <w:rFonts w:ascii="Calibri" w:hAnsi="Calibri" w:cs="Calibri"/>
          <w:sz w:val="22"/>
          <w:szCs w:val="22"/>
        </w:rPr>
      </w:pPr>
      <w:r>
        <w:rPr>
          <w:rFonts w:ascii="Calibri" w:hAnsi="Calibri" w:cs="Calibri"/>
          <w:sz w:val="22"/>
          <w:szCs w:val="22"/>
        </w:rPr>
        <w:t>It should be noted these perceptions of low protocol adherence were generally not reflected in the measure of protocol fidelity</w:t>
      </w:r>
      <w:r w:rsidRPr="00DA506E">
        <w:rPr>
          <w:rFonts w:ascii="Calibri" w:hAnsi="Calibri" w:cs="Calibri"/>
          <w:sz w:val="22"/>
          <w:szCs w:val="22"/>
        </w:rPr>
        <w:t>.</w:t>
      </w:r>
    </w:p>
    <w:p w14:paraId="0F8E2F22" w14:textId="77777777" w:rsidR="00DA506E" w:rsidRPr="00DA506E" w:rsidRDefault="00854B99" w:rsidP="002358F3">
      <w:pPr>
        <w:spacing w:after="200" w:line="360" w:lineRule="auto"/>
        <w:jc w:val="both"/>
        <w:rPr>
          <w:rFonts w:ascii="Calibri" w:hAnsi="Calibri" w:cs="Calibri"/>
          <w:sz w:val="22"/>
          <w:szCs w:val="22"/>
        </w:rPr>
      </w:pPr>
      <w:r>
        <w:rPr>
          <w:rFonts w:ascii="Calibri" w:hAnsi="Calibri" w:cs="Calibri"/>
          <w:sz w:val="22"/>
          <w:szCs w:val="22"/>
        </w:rPr>
        <w:t>A</w:t>
      </w:r>
      <w:r w:rsidR="004D109C">
        <w:rPr>
          <w:rFonts w:ascii="Calibri" w:hAnsi="Calibri" w:cs="Calibri"/>
          <w:sz w:val="22"/>
          <w:szCs w:val="22"/>
        </w:rPr>
        <w:t xml:space="preserve"> PI</w:t>
      </w:r>
      <w:r>
        <w:rPr>
          <w:rFonts w:ascii="Calibri" w:hAnsi="Calibri" w:cs="Calibri"/>
          <w:sz w:val="22"/>
          <w:szCs w:val="22"/>
        </w:rPr>
        <w:t xml:space="preserve"> </w:t>
      </w:r>
      <w:r w:rsidR="00BF7AFC">
        <w:rPr>
          <w:rFonts w:ascii="Calibri" w:hAnsi="Calibri" w:cs="Calibri"/>
          <w:sz w:val="22"/>
          <w:szCs w:val="22"/>
        </w:rPr>
        <w:t xml:space="preserve">at one unit </w:t>
      </w:r>
      <w:r w:rsidR="00DA506E" w:rsidRPr="00DA506E">
        <w:rPr>
          <w:rFonts w:ascii="Calibri" w:hAnsi="Calibri" w:cs="Calibri"/>
          <w:sz w:val="22"/>
          <w:szCs w:val="22"/>
        </w:rPr>
        <w:t xml:space="preserve">discussed how the SPICE III trial results and the formal caution relating to the use of dexmedetomidine in young people had impacted his practice both in A2B </w:t>
      </w:r>
      <w:r w:rsidR="004D109C">
        <w:rPr>
          <w:rFonts w:ascii="Calibri" w:hAnsi="Calibri" w:cs="Calibri"/>
          <w:sz w:val="22"/>
          <w:szCs w:val="22"/>
        </w:rPr>
        <w:t xml:space="preserve">trial </w:t>
      </w:r>
      <w:r w:rsidR="00DA506E" w:rsidRPr="00DA506E">
        <w:rPr>
          <w:rFonts w:ascii="Calibri" w:hAnsi="Calibri" w:cs="Calibri"/>
          <w:sz w:val="22"/>
          <w:szCs w:val="22"/>
        </w:rPr>
        <w:t xml:space="preserve">and usual practice. </w:t>
      </w:r>
      <w:r w:rsidR="00B92FF3">
        <w:rPr>
          <w:rFonts w:ascii="Calibri" w:hAnsi="Calibri" w:cs="Calibri"/>
          <w:sz w:val="22"/>
          <w:szCs w:val="22"/>
        </w:rPr>
        <w:t>Elsewhere</w:t>
      </w:r>
      <w:r w:rsidR="00DA506E" w:rsidRPr="00DA506E">
        <w:rPr>
          <w:rFonts w:ascii="Calibri" w:hAnsi="Calibri" w:cs="Calibri"/>
          <w:sz w:val="22"/>
          <w:szCs w:val="22"/>
        </w:rPr>
        <w:t>, another PI described how the same results had no impact upon practice or attitudes towards the trial</w:t>
      </w:r>
      <w:r w:rsidR="007C7CB0">
        <w:rPr>
          <w:rFonts w:ascii="Calibri" w:hAnsi="Calibri" w:cs="Calibri"/>
          <w:sz w:val="22"/>
          <w:szCs w:val="22"/>
        </w:rPr>
        <w:t xml:space="preserve"> despite</w:t>
      </w:r>
      <w:r w:rsidR="00DA506E" w:rsidRPr="00DA506E">
        <w:rPr>
          <w:rFonts w:ascii="Calibri" w:hAnsi="Calibri" w:cs="Calibri"/>
          <w:sz w:val="22"/>
          <w:szCs w:val="22"/>
        </w:rPr>
        <w:t xml:space="preserve"> everyone </w:t>
      </w:r>
      <w:r w:rsidR="007C7CB0">
        <w:rPr>
          <w:rFonts w:ascii="Calibri" w:hAnsi="Calibri" w:cs="Calibri"/>
          <w:sz w:val="22"/>
          <w:szCs w:val="22"/>
        </w:rPr>
        <w:t>being</w:t>
      </w:r>
      <w:r w:rsidR="007C7CB0" w:rsidRPr="00DA506E">
        <w:rPr>
          <w:rFonts w:ascii="Calibri" w:hAnsi="Calibri" w:cs="Calibri"/>
          <w:sz w:val="22"/>
          <w:szCs w:val="22"/>
        </w:rPr>
        <w:t xml:space="preserve"> </w:t>
      </w:r>
      <w:r w:rsidR="00DA506E" w:rsidRPr="00DA506E">
        <w:rPr>
          <w:rFonts w:ascii="Calibri" w:hAnsi="Calibri" w:cs="Calibri"/>
          <w:sz w:val="22"/>
          <w:szCs w:val="22"/>
        </w:rPr>
        <w:t>made aware of the results. This was despite</w:t>
      </w:r>
      <w:r w:rsidR="00945853">
        <w:rPr>
          <w:rFonts w:ascii="Calibri" w:hAnsi="Calibri" w:cs="Calibri"/>
          <w:sz w:val="22"/>
          <w:szCs w:val="22"/>
        </w:rPr>
        <w:t xml:space="preserve"> patients in</w:t>
      </w:r>
      <w:r w:rsidR="00DA506E" w:rsidRPr="00DA506E">
        <w:rPr>
          <w:rFonts w:ascii="Calibri" w:hAnsi="Calibri" w:cs="Calibri"/>
          <w:sz w:val="22"/>
          <w:szCs w:val="22"/>
        </w:rPr>
        <w:t xml:space="preserve"> this unit experiencing multiple significant bradycardias and a </w:t>
      </w:r>
      <w:r w:rsidR="00A64456">
        <w:rPr>
          <w:rFonts w:ascii="Calibri" w:hAnsi="Calibri" w:cs="Calibri"/>
          <w:sz w:val="22"/>
          <w:szCs w:val="22"/>
        </w:rPr>
        <w:t xml:space="preserve">pulseless electrical activity (PEA) </w:t>
      </w:r>
      <w:r w:rsidR="00DA506E" w:rsidRPr="00DA506E">
        <w:rPr>
          <w:rFonts w:ascii="Calibri" w:hAnsi="Calibri" w:cs="Calibri"/>
          <w:sz w:val="22"/>
          <w:szCs w:val="22"/>
        </w:rPr>
        <w:t xml:space="preserve">arrest. </w:t>
      </w:r>
    </w:p>
    <w:p w14:paraId="5CB2F288" w14:textId="77777777" w:rsidR="00DA506E" w:rsidRPr="00DA506E" w:rsidRDefault="00DA506E" w:rsidP="002358F3">
      <w:pPr>
        <w:spacing w:after="200" w:line="360" w:lineRule="auto"/>
        <w:ind w:left="567" w:right="567"/>
        <w:jc w:val="both"/>
        <w:rPr>
          <w:rFonts w:ascii="Calibri" w:hAnsi="Calibri" w:cs="Calibri"/>
          <w:sz w:val="22"/>
          <w:szCs w:val="22"/>
        </w:rPr>
      </w:pPr>
      <w:r w:rsidRPr="00DA506E">
        <w:rPr>
          <w:rFonts w:ascii="Calibri" w:hAnsi="Calibri" w:cs="Calibri"/>
          <w:i/>
          <w:iCs/>
          <w:sz w:val="22"/>
          <w:szCs w:val="22"/>
        </w:rPr>
        <w:t>“…we certainly discussed it at a local level, so everybody was aware of this potential safety signal, and I think even then people were aware that actually the best way to know if that was true is to enrol into this study. So I think people were cautious and vigilant for complications, but I don’t think it put anybody off enrolling.”</w:t>
      </w:r>
      <w:r w:rsidRPr="00DA506E">
        <w:rPr>
          <w:rFonts w:ascii="Calibri" w:hAnsi="Calibri" w:cs="Calibri"/>
          <w:sz w:val="22"/>
          <w:szCs w:val="22"/>
        </w:rPr>
        <w:t xml:space="preserve"> PI01/26</w:t>
      </w:r>
    </w:p>
    <w:p w14:paraId="580F3AAC" w14:textId="77777777" w:rsidR="00DA506E" w:rsidRPr="00471231" w:rsidRDefault="00DA506E" w:rsidP="002358F3">
      <w:pPr>
        <w:keepNext/>
        <w:keepLines/>
        <w:spacing w:after="200" w:line="360" w:lineRule="auto"/>
        <w:jc w:val="both"/>
        <w:outlineLvl w:val="2"/>
        <w:rPr>
          <w:rFonts w:ascii="Calibri" w:eastAsiaTheme="majorEastAsia" w:hAnsi="Calibri" w:cs="Calibri"/>
          <w:color w:val="0F4761" w:themeColor="accent1" w:themeShade="BF"/>
          <w:sz w:val="22"/>
          <w:szCs w:val="22"/>
        </w:rPr>
      </w:pPr>
      <w:bookmarkStart w:id="10" w:name="_Toc168393576"/>
      <w:r w:rsidRPr="00471231">
        <w:rPr>
          <w:rFonts w:ascii="Calibri" w:eastAsiaTheme="majorEastAsia" w:hAnsi="Calibri" w:cs="Calibri"/>
          <w:i/>
          <w:iCs/>
          <w:color w:val="000000" w:themeColor="text1"/>
          <w:sz w:val="22"/>
          <w:szCs w:val="22"/>
        </w:rPr>
        <w:t>Overnight deep sedation practice</w:t>
      </w:r>
      <w:bookmarkEnd w:id="10"/>
      <w:r w:rsidRPr="00471231">
        <w:rPr>
          <w:rFonts w:ascii="Calibri" w:eastAsiaTheme="majorEastAsia" w:hAnsi="Calibri" w:cs="Calibri"/>
          <w:i/>
          <w:iCs/>
          <w:color w:val="000000" w:themeColor="text1"/>
          <w:sz w:val="22"/>
          <w:szCs w:val="22"/>
        </w:rPr>
        <w:t xml:space="preserve"> </w:t>
      </w:r>
    </w:p>
    <w:p w14:paraId="5B4ACE92" w14:textId="77777777" w:rsidR="00DA506E" w:rsidRDefault="00DA506E" w:rsidP="002358F3">
      <w:pPr>
        <w:spacing w:after="200" w:line="360" w:lineRule="auto"/>
        <w:jc w:val="both"/>
        <w:rPr>
          <w:rFonts w:ascii="Calibri" w:hAnsi="Calibri" w:cs="Calibri"/>
          <w:sz w:val="22"/>
          <w:szCs w:val="22"/>
        </w:rPr>
      </w:pPr>
      <w:r w:rsidRPr="00680D8F">
        <w:rPr>
          <w:rFonts w:ascii="Calibri" w:hAnsi="Calibri" w:cs="Calibri"/>
          <w:sz w:val="22"/>
          <w:szCs w:val="22"/>
        </w:rPr>
        <w:t xml:space="preserve">Staff at over half </w:t>
      </w:r>
      <w:r w:rsidR="007B7E83">
        <w:rPr>
          <w:rFonts w:ascii="Calibri" w:hAnsi="Calibri" w:cs="Calibri"/>
          <w:sz w:val="22"/>
          <w:szCs w:val="22"/>
        </w:rPr>
        <w:t>the</w:t>
      </w:r>
      <w:r w:rsidRPr="00680D8F">
        <w:rPr>
          <w:rFonts w:ascii="Calibri" w:hAnsi="Calibri" w:cs="Calibri"/>
          <w:sz w:val="22"/>
          <w:szCs w:val="22"/>
        </w:rPr>
        <w:t xml:space="preserve"> units reported </w:t>
      </w:r>
      <w:r w:rsidR="006102DB" w:rsidRPr="00680D8F">
        <w:rPr>
          <w:rFonts w:ascii="Calibri" w:hAnsi="Calibri" w:cs="Calibri"/>
          <w:sz w:val="22"/>
          <w:szCs w:val="22"/>
        </w:rPr>
        <w:t xml:space="preserve">sedating patients </w:t>
      </w:r>
      <w:r w:rsidRPr="00680D8F">
        <w:rPr>
          <w:rFonts w:ascii="Calibri" w:hAnsi="Calibri" w:cs="Calibri"/>
          <w:sz w:val="22"/>
          <w:szCs w:val="22"/>
        </w:rPr>
        <w:t>more deeply overnight.</w:t>
      </w:r>
      <w:r w:rsidR="00FE4A13" w:rsidRPr="00680D8F">
        <w:rPr>
          <w:rFonts w:ascii="Calibri" w:hAnsi="Calibri" w:cs="Calibri"/>
          <w:sz w:val="22"/>
          <w:szCs w:val="22"/>
        </w:rPr>
        <w:t xml:space="preserve"> </w:t>
      </w:r>
      <w:r w:rsidR="00CF70C3" w:rsidRPr="00680D8F">
        <w:rPr>
          <w:rFonts w:ascii="Calibri" w:hAnsi="Calibri" w:cs="Calibri"/>
          <w:sz w:val="22"/>
          <w:szCs w:val="22"/>
        </w:rPr>
        <w:t xml:space="preserve">Although deep sedation </w:t>
      </w:r>
      <w:r w:rsidR="00FE4A13" w:rsidRPr="00680D8F">
        <w:rPr>
          <w:rFonts w:ascii="Calibri" w:hAnsi="Calibri" w:cs="Calibri"/>
          <w:sz w:val="22"/>
          <w:szCs w:val="22"/>
        </w:rPr>
        <w:t xml:space="preserve">is part of usual </w:t>
      </w:r>
      <w:r w:rsidR="001C062D" w:rsidRPr="00680D8F">
        <w:rPr>
          <w:rFonts w:ascii="Calibri" w:hAnsi="Calibri" w:cs="Calibri"/>
          <w:sz w:val="22"/>
          <w:szCs w:val="22"/>
        </w:rPr>
        <w:t xml:space="preserve">practice, it has </w:t>
      </w:r>
      <w:r w:rsidR="00CF70C3" w:rsidRPr="00680D8F">
        <w:rPr>
          <w:rFonts w:ascii="Calibri" w:hAnsi="Calibri" w:cs="Calibri"/>
          <w:sz w:val="22"/>
          <w:szCs w:val="22"/>
        </w:rPr>
        <w:t>been included as a trial related factor</w:t>
      </w:r>
      <w:r w:rsidR="00680D8F" w:rsidRPr="00680D8F">
        <w:rPr>
          <w:rFonts w:ascii="Calibri" w:hAnsi="Calibri" w:cs="Calibri"/>
          <w:sz w:val="22"/>
          <w:szCs w:val="22"/>
        </w:rPr>
        <w:t xml:space="preserve"> </w:t>
      </w:r>
      <w:r w:rsidR="001C062D" w:rsidRPr="00680D8F">
        <w:rPr>
          <w:rFonts w:ascii="Calibri" w:hAnsi="Calibri" w:cs="Calibri"/>
          <w:sz w:val="22"/>
          <w:szCs w:val="22"/>
        </w:rPr>
        <w:t>due to A2B being a trial about sedation</w:t>
      </w:r>
      <w:r w:rsidR="00D166C8" w:rsidRPr="00680D8F">
        <w:rPr>
          <w:rFonts w:ascii="Calibri" w:hAnsi="Calibri" w:cs="Calibri"/>
          <w:sz w:val="22"/>
          <w:szCs w:val="22"/>
        </w:rPr>
        <w:t xml:space="preserve">. </w:t>
      </w:r>
      <w:r w:rsidR="006C6A57">
        <w:rPr>
          <w:rFonts w:ascii="Calibri" w:hAnsi="Calibri" w:cs="Calibri"/>
          <w:sz w:val="22"/>
          <w:szCs w:val="22"/>
        </w:rPr>
        <w:t xml:space="preserve">Deep sedation was </w:t>
      </w:r>
      <w:r w:rsidR="00A654E5">
        <w:rPr>
          <w:rFonts w:ascii="Calibri" w:hAnsi="Calibri" w:cs="Calibri"/>
          <w:sz w:val="22"/>
          <w:szCs w:val="22"/>
        </w:rPr>
        <w:t>described</w:t>
      </w:r>
      <w:r w:rsidR="006C6A57">
        <w:rPr>
          <w:rFonts w:ascii="Calibri" w:hAnsi="Calibri" w:cs="Calibri"/>
          <w:sz w:val="22"/>
          <w:szCs w:val="22"/>
        </w:rPr>
        <w:t xml:space="preserve"> as being </w:t>
      </w:r>
      <w:r w:rsidRPr="00680D8F">
        <w:rPr>
          <w:rFonts w:ascii="Calibri" w:hAnsi="Calibri" w:cs="Calibri"/>
          <w:sz w:val="22"/>
          <w:szCs w:val="22"/>
        </w:rPr>
        <w:t xml:space="preserve">in the interests of patient safety due to inadequate </w:t>
      </w:r>
      <w:r w:rsidR="00A654E5">
        <w:rPr>
          <w:rFonts w:ascii="Calibri" w:hAnsi="Calibri" w:cs="Calibri"/>
          <w:sz w:val="22"/>
          <w:szCs w:val="22"/>
        </w:rPr>
        <w:t>clinical</w:t>
      </w:r>
      <w:r w:rsidR="00BA5DCC" w:rsidRPr="00680D8F">
        <w:rPr>
          <w:rFonts w:ascii="Calibri" w:hAnsi="Calibri" w:cs="Calibri"/>
          <w:sz w:val="22"/>
          <w:szCs w:val="22"/>
        </w:rPr>
        <w:t xml:space="preserve"> </w:t>
      </w:r>
      <w:r w:rsidRPr="00680D8F">
        <w:rPr>
          <w:rFonts w:ascii="Calibri" w:hAnsi="Calibri" w:cs="Calibri"/>
          <w:sz w:val="22"/>
          <w:szCs w:val="22"/>
        </w:rPr>
        <w:t>staffing</w:t>
      </w:r>
      <w:r w:rsidR="00BA5DCC" w:rsidRPr="00680D8F">
        <w:rPr>
          <w:rFonts w:ascii="Calibri" w:hAnsi="Calibri" w:cs="Calibri"/>
          <w:sz w:val="22"/>
          <w:szCs w:val="22"/>
        </w:rPr>
        <w:t xml:space="preserve"> (numbers and seniority)</w:t>
      </w:r>
      <w:r w:rsidRPr="00680D8F">
        <w:rPr>
          <w:rFonts w:ascii="Calibri" w:hAnsi="Calibri" w:cs="Calibri"/>
          <w:sz w:val="22"/>
          <w:szCs w:val="22"/>
        </w:rPr>
        <w:t xml:space="preserve"> and associated perceived risks</w:t>
      </w:r>
      <w:r w:rsidR="00803124" w:rsidRPr="00680D8F">
        <w:rPr>
          <w:rFonts w:ascii="Calibri" w:hAnsi="Calibri" w:cs="Calibri"/>
          <w:sz w:val="22"/>
          <w:szCs w:val="22"/>
        </w:rPr>
        <w:t xml:space="preserve"> or to prevent patients </w:t>
      </w:r>
      <w:r w:rsidR="00803124">
        <w:rPr>
          <w:rFonts w:ascii="Calibri" w:hAnsi="Calibri" w:cs="Calibri"/>
          <w:sz w:val="22"/>
          <w:szCs w:val="22"/>
        </w:rPr>
        <w:t>becoming agitated or unmanageable</w:t>
      </w:r>
      <w:r w:rsidRPr="00DA506E">
        <w:rPr>
          <w:rFonts w:ascii="Calibri" w:hAnsi="Calibri" w:cs="Calibri"/>
          <w:sz w:val="22"/>
          <w:szCs w:val="22"/>
        </w:rPr>
        <w:t xml:space="preserve">. </w:t>
      </w:r>
      <w:r w:rsidR="0020462F">
        <w:rPr>
          <w:rFonts w:ascii="Calibri" w:hAnsi="Calibri" w:cs="Calibri"/>
          <w:sz w:val="22"/>
          <w:szCs w:val="22"/>
        </w:rPr>
        <w:t xml:space="preserve">There was a perception that </w:t>
      </w:r>
      <w:r w:rsidR="00E24E62">
        <w:rPr>
          <w:rFonts w:ascii="Calibri" w:hAnsi="Calibri" w:cs="Calibri"/>
          <w:sz w:val="22"/>
          <w:szCs w:val="22"/>
        </w:rPr>
        <w:t>p</w:t>
      </w:r>
      <w:r w:rsidRPr="00DA506E">
        <w:rPr>
          <w:rFonts w:ascii="Calibri" w:hAnsi="Calibri" w:cs="Calibri"/>
          <w:sz w:val="22"/>
          <w:szCs w:val="22"/>
        </w:rPr>
        <w:t xml:space="preserve">ropofol infusions were regularly turned up overnight, regardless of which sedative patients were randomised to. This was one of the main factors impacting upon </w:t>
      </w:r>
      <w:r w:rsidR="00D3237B" w:rsidRPr="00DA506E">
        <w:rPr>
          <w:rFonts w:ascii="Calibri" w:hAnsi="Calibri" w:cs="Calibri"/>
          <w:sz w:val="22"/>
          <w:szCs w:val="22"/>
        </w:rPr>
        <w:t xml:space="preserve">protocol </w:t>
      </w:r>
      <w:r w:rsidRPr="00DA506E">
        <w:rPr>
          <w:rFonts w:ascii="Calibri" w:hAnsi="Calibri" w:cs="Calibri"/>
          <w:sz w:val="22"/>
          <w:szCs w:val="22"/>
        </w:rPr>
        <w:t xml:space="preserve">adherence and reduction in sedation level/RASS score. </w:t>
      </w:r>
      <w:r w:rsidR="00291752">
        <w:rPr>
          <w:rFonts w:ascii="Calibri" w:hAnsi="Calibri" w:cs="Calibri"/>
          <w:sz w:val="22"/>
          <w:szCs w:val="22"/>
        </w:rPr>
        <w:t>R</w:t>
      </w:r>
      <w:r w:rsidRPr="00DA506E">
        <w:rPr>
          <w:rFonts w:ascii="Calibri" w:hAnsi="Calibri" w:cs="Calibri"/>
          <w:sz w:val="22"/>
          <w:szCs w:val="22"/>
        </w:rPr>
        <w:t xml:space="preserve">esearch nurses felt deep sedation and deviation from the trial protocol was more pronounced overnight partly because there was no research team present to support clinical staff. </w:t>
      </w:r>
      <w:r w:rsidR="00E24E62">
        <w:rPr>
          <w:rFonts w:ascii="Calibri" w:hAnsi="Calibri" w:cs="Calibri"/>
          <w:sz w:val="22"/>
          <w:szCs w:val="22"/>
        </w:rPr>
        <w:t>Bedside</w:t>
      </w:r>
      <w:r w:rsidRPr="00DA506E">
        <w:rPr>
          <w:rFonts w:ascii="Calibri" w:hAnsi="Calibri" w:cs="Calibri"/>
          <w:sz w:val="22"/>
          <w:szCs w:val="22"/>
        </w:rPr>
        <w:t xml:space="preserve"> nurses corroborated this by </w:t>
      </w:r>
      <w:r w:rsidRPr="00DA506E">
        <w:rPr>
          <w:rFonts w:ascii="Calibri" w:hAnsi="Calibri" w:cs="Calibri"/>
          <w:sz w:val="22"/>
          <w:szCs w:val="22"/>
        </w:rPr>
        <w:lastRenderedPageBreak/>
        <w:t xml:space="preserve">discussing how they were more reluctant to care for A2B patients overnight due to </w:t>
      </w:r>
      <w:r w:rsidR="00E24E62">
        <w:rPr>
          <w:rFonts w:ascii="Calibri" w:hAnsi="Calibri" w:cs="Calibri"/>
          <w:sz w:val="22"/>
          <w:szCs w:val="22"/>
        </w:rPr>
        <w:t>research team absence</w:t>
      </w:r>
      <w:r w:rsidR="0084123A">
        <w:rPr>
          <w:rFonts w:ascii="Calibri" w:hAnsi="Calibri" w:cs="Calibri"/>
          <w:sz w:val="22"/>
          <w:szCs w:val="22"/>
        </w:rPr>
        <w:t xml:space="preserve">. </w:t>
      </w:r>
      <w:r w:rsidR="00AA3D57">
        <w:rPr>
          <w:rFonts w:ascii="Calibri" w:hAnsi="Calibri" w:cs="Calibri"/>
          <w:sz w:val="22"/>
          <w:szCs w:val="22"/>
        </w:rPr>
        <w:t>C</w:t>
      </w:r>
      <w:r w:rsidR="00AA3D57" w:rsidRPr="00DA506E">
        <w:rPr>
          <w:rFonts w:ascii="Calibri" w:hAnsi="Calibri" w:cs="Calibri"/>
          <w:sz w:val="22"/>
          <w:szCs w:val="22"/>
        </w:rPr>
        <w:t xml:space="preserve">rossover </w:t>
      </w:r>
      <w:r w:rsidRPr="00DA506E">
        <w:rPr>
          <w:rFonts w:ascii="Calibri" w:hAnsi="Calibri" w:cs="Calibri"/>
          <w:sz w:val="22"/>
          <w:szCs w:val="22"/>
        </w:rPr>
        <w:t>in practice from cohorts of patients who required deep sedation to all patients</w:t>
      </w:r>
      <w:r w:rsidR="00AA3D57">
        <w:rPr>
          <w:rFonts w:ascii="Calibri" w:hAnsi="Calibri" w:cs="Calibri"/>
          <w:sz w:val="22"/>
          <w:szCs w:val="22"/>
        </w:rPr>
        <w:t xml:space="preserve"> was another reason for normalisation of overnight deep sedation</w:t>
      </w:r>
      <w:r w:rsidRPr="00DA506E">
        <w:rPr>
          <w:rFonts w:ascii="Calibri" w:hAnsi="Calibri" w:cs="Calibri"/>
          <w:sz w:val="22"/>
          <w:szCs w:val="22"/>
        </w:rPr>
        <w:t>. A PI at one unit described how they had high numbers of post-operative neurology patients and that the deep sedation practice in those patients tended to be carried over into all patients. However, they also highlighted how participating in the trial made them recognise this and think more about their general sedation practice.</w:t>
      </w:r>
    </w:p>
    <w:p w14:paraId="5FE39B11" w14:textId="54D16297" w:rsidR="00DA506E" w:rsidRPr="00DA506E" w:rsidRDefault="00DA506E" w:rsidP="002358F3">
      <w:pPr>
        <w:spacing w:after="200" w:line="360" w:lineRule="auto"/>
        <w:jc w:val="both"/>
        <w:rPr>
          <w:rFonts w:ascii="Calibri" w:hAnsi="Calibri" w:cs="Calibri"/>
          <w:sz w:val="22"/>
          <w:szCs w:val="22"/>
        </w:rPr>
      </w:pPr>
      <w:r w:rsidRPr="00DA506E">
        <w:rPr>
          <w:rFonts w:ascii="Calibri" w:hAnsi="Calibri" w:cs="Calibri"/>
          <w:sz w:val="22"/>
          <w:szCs w:val="22"/>
        </w:rPr>
        <w:t xml:space="preserve">Staff at a second unit discussed how </w:t>
      </w:r>
      <w:r w:rsidR="004472E3">
        <w:rPr>
          <w:rFonts w:ascii="Calibri" w:hAnsi="Calibri" w:cs="Calibri"/>
          <w:sz w:val="22"/>
          <w:szCs w:val="22"/>
        </w:rPr>
        <w:t>deep sedation</w:t>
      </w:r>
      <w:r w:rsidR="004472E3" w:rsidRPr="00DA506E">
        <w:rPr>
          <w:rFonts w:ascii="Calibri" w:hAnsi="Calibri" w:cs="Calibri"/>
          <w:sz w:val="22"/>
          <w:szCs w:val="22"/>
        </w:rPr>
        <w:t xml:space="preserve"> </w:t>
      </w:r>
      <w:r w:rsidRPr="00DA506E">
        <w:rPr>
          <w:rFonts w:ascii="Calibri" w:hAnsi="Calibri" w:cs="Calibri"/>
          <w:sz w:val="22"/>
          <w:szCs w:val="22"/>
        </w:rPr>
        <w:t xml:space="preserve">happened in </w:t>
      </w:r>
      <w:r w:rsidR="00485B62">
        <w:rPr>
          <w:rFonts w:ascii="Calibri" w:hAnsi="Calibri" w:cs="Calibri"/>
          <w:sz w:val="22"/>
          <w:szCs w:val="22"/>
        </w:rPr>
        <w:t xml:space="preserve">the </w:t>
      </w:r>
      <w:r w:rsidRPr="00DA506E">
        <w:rPr>
          <w:rFonts w:ascii="Calibri" w:hAnsi="Calibri" w:cs="Calibri"/>
          <w:sz w:val="22"/>
          <w:szCs w:val="22"/>
        </w:rPr>
        <w:t>aftermath of the</w:t>
      </w:r>
      <w:r w:rsidR="00E24E62">
        <w:rPr>
          <w:rFonts w:ascii="Calibri" w:hAnsi="Calibri" w:cs="Calibri"/>
          <w:sz w:val="22"/>
          <w:szCs w:val="22"/>
        </w:rPr>
        <w:t xml:space="preserve"> C</w:t>
      </w:r>
      <w:r w:rsidR="00A26A60">
        <w:rPr>
          <w:rFonts w:ascii="Calibri" w:hAnsi="Calibri" w:cs="Calibri"/>
          <w:sz w:val="22"/>
          <w:szCs w:val="22"/>
        </w:rPr>
        <w:t>OVID</w:t>
      </w:r>
      <w:r w:rsidR="00E24E62">
        <w:rPr>
          <w:rFonts w:ascii="Calibri" w:hAnsi="Calibri" w:cs="Calibri"/>
          <w:sz w:val="22"/>
          <w:szCs w:val="22"/>
        </w:rPr>
        <w:t>-19</w:t>
      </w:r>
      <w:r w:rsidRPr="00DA506E">
        <w:rPr>
          <w:rFonts w:ascii="Calibri" w:hAnsi="Calibri" w:cs="Calibri"/>
          <w:sz w:val="22"/>
          <w:szCs w:val="22"/>
        </w:rPr>
        <w:t xml:space="preserve"> pandemic. They described </w:t>
      </w:r>
      <w:r w:rsidR="00E24E62">
        <w:rPr>
          <w:rFonts w:ascii="Calibri" w:hAnsi="Calibri" w:cs="Calibri"/>
          <w:sz w:val="22"/>
          <w:szCs w:val="22"/>
        </w:rPr>
        <w:t xml:space="preserve">that </w:t>
      </w:r>
      <w:r w:rsidRPr="00DA506E">
        <w:rPr>
          <w:rFonts w:ascii="Calibri" w:hAnsi="Calibri" w:cs="Calibri"/>
          <w:sz w:val="22"/>
          <w:szCs w:val="22"/>
        </w:rPr>
        <w:t>nurses were no longer accustomed to having lightly sedated ventilated patients and that practice had</w:t>
      </w:r>
      <w:r w:rsidR="00EB7861">
        <w:rPr>
          <w:rFonts w:ascii="Calibri" w:hAnsi="Calibri" w:cs="Calibri"/>
          <w:sz w:val="22"/>
          <w:szCs w:val="22"/>
        </w:rPr>
        <w:t xml:space="preserve"> not</w:t>
      </w:r>
      <w:r w:rsidRPr="00DA506E">
        <w:rPr>
          <w:rFonts w:ascii="Calibri" w:hAnsi="Calibri" w:cs="Calibri"/>
          <w:sz w:val="22"/>
          <w:szCs w:val="22"/>
        </w:rPr>
        <w:t xml:space="preserve"> returned to the pre-pandemic </w:t>
      </w:r>
      <w:r w:rsidR="00E24E62">
        <w:rPr>
          <w:rFonts w:ascii="Calibri" w:hAnsi="Calibri" w:cs="Calibri"/>
          <w:sz w:val="22"/>
          <w:szCs w:val="22"/>
        </w:rPr>
        <w:t>methods and the difficulties in implementing change</w:t>
      </w:r>
      <w:r w:rsidRPr="00DA506E">
        <w:rPr>
          <w:rFonts w:ascii="Calibri" w:hAnsi="Calibri" w:cs="Calibri"/>
          <w:sz w:val="22"/>
          <w:szCs w:val="22"/>
        </w:rPr>
        <w:t xml:space="preserve"> </w:t>
      </w:r>
    </w:p>
    <w:p w14:paraId="39C0C7D3" w14:textId="77777777" w:rsidR="00DA506E" w:rsidRPr="00DA506E" w:rsidRDefault="00DA506E" w:rsidP="002358F3">
      <w:pPr>
        <w:spacing w:after="200" w:line="360" w:lineRule="auto"/>
        <w:ind w:left="567" w:right="567"/>
        <w:jc w:val="both"/>
        <w:rPr>
          <w:rFonts w:ascii="Calibri" w:hAnsi="Calibri" w:cs="Calibri"/>
          <w:sz w:val="22"/>
          <w:szCs w:val="22"/>
        </w:rPr>
      </w:pPr>
      <w:r w:rsidRPr="00DA506E">
        <w:rPr>
          <w:rFonts w:ascii="Calibri" w:hAnsi="Calibri" w:cs="Calibri"/>
          <w:i/>
          <w:iCs/>
          <w:sz w:val="22"/>
          <w:szCs w:val="22"/>
        </w:rPr>
        <w:t>“But, you know, staff have to get used to patients being awake with a breathing tube, again. You know, for years, it was abnormal to have patients deeply sedated, because we've gone past that.”</w:t>
      </w:r>
      <w:r w:rsidRPr="00DA506E">
        <w:rPr>
          <w:rFonts w:ascii="Calibri" w:hAnsi="Calibri" w:cs="Calibri"/>
          <w:sz w:val="22"/>
          <w:szCs w:val="22"/>
        </w:rPr>
        <w:t xml:space="preserve"> ResN07/30</w:t>
      </w:r>
    </w:p>
    <w:p w14:paraId="33BEABAA" w14:textId="77777777" w:rsidR="00DA506E" w:rsidRPr="00471231" w:rsidRDefault="00DA506E" w:rsidP="002358F3">
      <w:pPr>
        <w:keepNext/>
        <w:keepLines/>
        <w:spacing w:after="200" w:line="360" w:lineRule="auto"/>
        <w:jc w:val="both"/>
        <w:outlineLvl w:val="2"/>
        <w:rPr>
          <w:rFonts w:ascii="Calibri" w:eastAsiaTheme="majorEastAsia" w:hAnsi="Calibri" w:cs="Calibri"/>
          <w:i/>
          <w:iCs/>
          <w:color w:val="000000" w:themeColor="text1"/>
          <w:sz w:val="22"/>
          <w:szCs w:val="22"/>
        </w:rPr>
      </w:pPr>
      <w:bookmarkStart w:id="11" w:name="_Toc168393577"/>
      <w:r w:rsidRPr="00471231">
        <w:rPr>
          <w:rFonts w:ascii="Calibri" w:eastAsiaTheme="majorEastAsia" w:hAnsi="Calibri" w:cs="Calibri"/>
          <w:i/>
          <w:iCs/>
          <w:color w:val="000000" w:themeColor="text1"/>
          <w:sz w:val="22"/>
          <w:szCs w:val="22"/>
        </w:rPr>
        <w:t>Patient comfort</w:t>
      </w:r>
      <w:bookmarkEnd w:id="11"/>
    </w:p>
    <w:p w14:paraId="34CC7392" w14:textId="77777777" w:rsidR="00DA506E" w:rsidRPr="00DA506E" w:rsidRDefault="00DA506E" w:rsidP="002358F3">
      <w:pPr>
        <w:spacing w:after="200" w:line="360" w:lineRule="auto"/>
        <w:jc w:val="both"/>
        <w:rPr>
          <w:rFonts w:ascii="Calibri" w:hAnsi="Calibri" w:cs="Calibri"/>
          <w:sz w:val="22"/>
          <w:szCs w:val="22"/>
        </w:rPr>
      </w:pPr>
      <w:r w:rsidRPr="00DA506E">
        <w:rPr>
          <w:rFonts w:ascii="Calibri" w:hAnsi="Calibri" w:cs="Calibri"/>
          <w:sz w:val="22"/>
          <w:szCs w:val="22"/>
        </w:rPr>
        <w:t xml:space="preserve">There were mixed views about </w:t>
      </w:r>
      <w:r w:rsidR="003862F7" w:rsidRPr="00DA506E">
        <w:rPr>
          <w:rFonts w:ascii="Calibri" w:hAnsi="Calibri" w:cs="Calibri"/>
          <w:sz w:val="22"/>
          <w:szCs w:val="22"/>
        </w:rPr>
        <w:t xml:space="preserve">the analgesic properties of alpha-2 agonists and </w:t>
      </w:r>
      <w:r w:rsidR="002A3FFD">
        <w:rPr>
          <w:rFonts w:ascii="Calibri" w:hAnsi="Calibri" w:cs="Calibri"/>
          <w:sz w:val="22"/>
          <w:szCs w:val="22"/>
        </w:rPr>
        <w:t>pain management</w:t>
      </w:r>
      <w:r w:rsidRPr="00DA506E">
        <w:rPr>
          <w:rFonts w:ascii="Calibri" w:hAnsi="Calibri" w:cs="Calibri"/>
          <w:sz w:val="22"/>
          <w:szCs w:val="22"/>
        </w:rPr>
        <w:t xml:space="preserve">. Staff at over half </w:t>
      </w:r>
      <w:r w:rsidR="00944766">
        <w:rPr>
          <w:rFonts w:ascii="Calibri" w:hAnsi="Calibri" w:cs="Calibri"/>
          <w:sz w:val="22"/>
          <w:szCs w:val="22"/>
        </w:rPr>
        <w:t xml:space="preserve">the </w:t>
      </w:r>
      <w:r w:rsidRPr="00DA506E">
        <w:rPr>
          <w:rFonts w:ascii="Calibri" w:hAnsi="Calibri" w:cs="Calibri"/>
          <w:sz w:val="22"/>
          <w:szCs w:val="22"/>
        </w:rPr>
        <w:t xml:space="preserve">units </w:t>
      </w:r>
      <w:r w:rsidR="00944766">
        <w:rPr>
          <w:rFonts w:ascii="Calibri" w:hAnsi="Calibri" w:cs="Calibri"/>
          <w:sz w:val="22"/>
          <w:szCs w:val="22"/>
        </w:rPr>
        <w:t>were not aware of</w:t>
      </w:r>
      <w:r w:rsidRPr="00DA506E">
        <w:rPr>
          <w:rFonts w:ascii="Calibri" w:hAnsi="Calibri" w:cs="Calibri"/>
          <w:sz w:val="22"/>
          <w:szCs w:val="22"/>
        </w:rPr>
        <w:t xml:space="preserve"> the analgesic properties of alpha-2 agonists. They did not adjust normal analgesia practice accordingly, and specifically discussed how normal analgesia practice continued </w:t>
      </w:r>
      <w:r w:rsidR="00B40DB6">
        <w:rPr>
          <w:rFonts w:ascii="Calibri" w:hAnsi="Calibri" w:cs="Calibri"/>
          <w:sz w:val="22"/>
          <w:szCs w:val="22"/>
        </w:rPr>
        <w:t>with</w:t>
      </w:r>
      <w:r w:rsidRPr="00DA506E">
        <w:rPr>
          <w:rFonts w:ascii="Calibri" w:hAnsi="Calibri" w:cs="Calibri"/>
          <w:sz w:val="22"/>
          <w:szCs w:val="22"/>
        </w:rPr>
        <w:t xml:space="preserve"> all 3 sedative</w:t>
      </w:r>
      <w:r w:rsidR="007810D1">
        <w:rPr>
          <w:rFonts w:ascii="Calibri" w:hAnsi="Calibri" w:cs="Calibri"/>
          <w:sz w:val="22"/>
          <w:szCs w:val="22"/>
        </w:rPr>
        <w:t>s</w:t>
      </w:r>
      <w:r w:rsidRPr="00DA506E">
        <w:rPr>
          <w:rFonts w:ascii="Calibri" w:hAnsi="Calibri" w:cs="Calibri"/>
          <w:sz w:val="22"/>
          <w:szCs w:val="22"/>
        </w:rPr>
        <w:t xml:space="preserve"> within the </w:t>
      </w:r>
      <w:r w:rsidR="00D96FB6">
        <w:rPr>
          <w:rFonts w:ascii="Calibri" w:hAnsi="Calibri" w:cs="Calibri"/>
          <w:sz w:val="22"/>
          <w:szCs w:val="22"/>
        </w:rPr>
        <w:t>trial</w:t>
      </w:r>
      <w:r w:rsidRPr="00DA506E">
        <w:rPr>
          <w:rFonts w:ascii="Calibri" w:hAnsi="Calibri" w:cs="Calibri"/>
          <w:sz w:val="22"/>
          <w:szCs w:val="22"/>
        </w:rPr>
        <w:t>. Consequently, at these units, staff did not report any differences in patient</w:t>
      </w:r>
      <w:r w:rsidR="00F07646">
        <w:rPr>
          <w:rFonts w:ascii="Calibri" w:hAnsi="Calibri" w:cs="Calibri"/>
          <w:sz w:val="22"/>
          <w:szCs w:val="22"/>
        </w:rPr>
        <w:t>s’</w:t>
      </w:r>
      <w:r w:rsidRPr="00DA506E">
        <w:rPr>
          <w:rFonts w:ascii="Calibri" w:hAnsi="Calibri" w:cs="Calibri"/>
          <w:sz w:val="22"/>
          <w:szCs w:val="22"/>
        </w:rPr>
        <w:t xml:space="preserve"> </w:t>
      </w:r>
      <w:r w:rsidR="00F07646">
        <w:rPr>
          <w:rFonts w:ascii="Calibri" w:hAnsi="Calibri" w:cs="Calibri"/>
          <w:sz w:val="22"/>
          <w:szCs w:val="22"/>
        </w:rPr>
        <w:t>perceived pain</w:t>
      </w:r>
      <w:r w:rsidR="00F07646" w:rsidRPr="00DA506E">
        <w:rPr>
          <w:rFonts w:ascii="Calibri" w:hAnsi="Calibri" w:cs="Calibri"/>
          <w:sz w:val="22"/>
          <w:szCs w:val="22"/>
        </w:rPr>
        <w:t xml:space="preserve"> </w:t>
      </w:r>
      <w:r w:rsidRPr="00DA506E">
        <w:rPr>
          <w:rFonts w:ascii="Calibri" w:hAnsi="Calibri" w:cs="Calibri"/>
          <w:sz w:val="22"/>
          <w:szCs w:val="22"/>
        </w:rPr>
        <w:t xml:space="preserve">whilst sedated on </w:t>
      </w:r>
      <w:r w:rsidR="00E24E62">
        <w:rPr>
          <w:rFonts w:ascii="Calibri" w:hAnsi="Calibri" w:cs="Calibri"/>
          <w:sz w:val="22"/>
          <w:szCs w:val="22"/>
        </w:rPr>
        <w:t>an</w:t>
      </w:r>
      <w:r w:rsidRPr="00DA506E">
        <w:rPr>
          <w:rFonts w:ascii="Calibri" w:hAnsi="Calibri" w:cs="Calibri"/>
          <w:sz w:val="22"/>
          <w:szCs w:val="22"/>
        </w:rPr>
        <w:t xml:space="preserve"> alpha-2 agonist. Conversely, staff from a quarter of units recognised the analgesic properties of alpha-2 agonists and took steps to address this amongst clinical staff. The research nurses discussed how </w:t>
      </w:r>
      <w:r w:rsidR="00316443" w:rsidRPr="00DA506E">
        <w:rPr>
          <w:rFonts w:ascii="Calibri" w:hAnsi="Calibri" w:cs="Calibri"/>
          <w:sz w:val="22"/>
          <w:szCs w:val="22"/>
        </w:rPr>
        <w:t xml:space="preserve">bedside </w:t>
      </w:r>
      <w:r w:rsidRPr="00DA506E">
        <w:rPr>
          <w:rFonts w:ascii="Calibri" w:hAnsi="Calibri" w:cs="Calibri"/>
          <w:sz w:val="22"/>
          <w:szCs w:val="22"/>
        </w:rPr>
        <w:t xml:space="preserve">nurses had a preference to keep fentanyl running alongside </w:t>
      </w:r>
      <w:r w:rsidR="00911DF8">
        <w:rPr>
          <w:rFonts w:ascii="Calibri" w:hAnsi="Calibri" w:cs="Calibri"/>
          <w:sz w:val="22"/>
          <w:szCs w:val="22"/>
        </w:rPr>
        <w:t>the trial</w:t>
      </w:r>
      <w:r w:rsidR="00911DF8" w:rsidRPr="00DA506E">
        <w:rPr>
          <w:rFonts w:ascii="Calibri" w:hAnsi="Calibri" w:cs="Calibri"/>
          <w:sz w:val="22"/>
          <w:szCs w:val="22"/>
        </w:rPr>
        <w:t xml:space="preserve"> sedati</w:t>
      </w:r>
      <w:r w:rsidR="00911DF8">
        <w:rPr>
          <w:rFonts w:ascii="Calibri" w:hAnsi="Calibri" w:cs="Calibri"/>
          <w:sz w:val="22"/>
          <w:szCs w:val="22"/>
        </w:rPr>
        <w:t>ve</w:t>
      </w:r>
      <w:r w:rsidRPr="00DA506E">
        <w:rPr>
          <w:rFonts w:ascii="Calibri" w:hAnsi="Calibri" w:cs="Calibri"/>
          <w:sz w:val="22"/>
          <w:szCs w:val="22"/>
        </w:rPr>
        <w:t xml:space="preserve">. </w:t>
      </w:r>
      <w:r w:rsidR="008E4440">
        <w:rPr>
          <w:rFonts w:ascii="Calibri" w:hAnsi="Calibri" w:cs="Calibri"/>
          <w:sz w:val="22"/>
          <w:szCs w:val="22"/>
        </w:rPr>
        <w:t>C</w:t>
      </w:r>
      <w:r w:rsidRPr="00DA506E">
        <w:rPr>
          <w:rFonts w:ascii="Calibri" w:hAnsi="Calibri" w:cs="Calibri"/>
          <w:sz w:val="22"/>
          <w:szCs w:val="22"/>
        </w:rPr>
        <w:t>oncerns about patients being in pain or uncomfortable made them reluctant to down-titrate propofol and analgesia</w:t>
      </w:r>
      <w:r w:rsidR="008E4440">
        <w:rPr>
          <w:rFonts w:ascii="Calibri" w:hAnsi="Calibri" w:cs="Calibri"/>
          <w:sz w:val="22"/>
          <w:szCs w:val="22"/>
        </w:rPr>
        <w:t>:</w:t>
      </w:r>
      <w:r w:rsidRPr="00DA506E">
        <w:rPr>
          <w:rFonts w:ascii="Calibri" w:hAnsi="Calibri" w:cs="Calibri"/>
          <w:sz w:val="22"/>
          <w:szCs w:val="22"/>
        </w:rPr>
        <w:t xml:space="preserve"> </w:t>
      </w:r>
    </w:p>
    <w:p w14:paraId="227A8793" w14:textId="77777777" w:rsidR="00DA506E" w:rsidRPr="00DA506E" w:rsidRDefault="00DA506E" w:rsidP="002358F3">
      <w:pPr>
        <w:spacing w:after="200" w:line="360" w:lineRule="auto"/>
        <w:ind w:left="567" w:right="567"/>
        <w:jc w:val="both"/>
        <w:rPr>
          <w:rFonts w:ascii="Calibri" w:hAnsi="Calibri" w:cs="Calibri"/>
          <w:sz w:val="22"/>
          <w:szCs w:val="22"/>
        </w:rPr>
      </w:pPr>
      <w:r w:rsidRPr="00DA506E">
        <w:rPr>
          <w:rFonts w:ascii="Calibri" w:hAnsi="Calibri" w:cs="Calibri"/>
          <w:i/>
          <w:iCs/>
          <w:sz w:val="22"/>
          <w:szCs w:val="22"/>
        </w:rPr>
        <w:t>“And it was also trying to educate them that actually, you know, trying to wean down maybe the fentanyl, because, you know, these analgesic effects from some of those drugs…I mean, I think for the main part, a lot of patients seemed quite comfortable no matter what, you know, sedation they had.”</w:t>
      </w:r>
      <w:r w:rsidRPr="00DA506E">
        <w:rPr>
          <w:rFonts w:ascii="Calibri" w:hAnsi="Calibri" w:cs="Calibri"/>
          <w:sz w:val="22"/>
          <w:szCs w:val="22"/>
        </w:rPr>
        <w:t xml:space="preserve"> ResN20/17</w:t>
      </w:r>
    </w:p>
    <w:p w14:paraId="51AFDC95" w14:textId="38B10ED2" w:rsidR="00DA506E" w:rsidRDefault="00DA506E" w:rsidP="002358F3">
      <w:pPr>
        <w:spacing w:after="200" w:line="360" w:lineRule="auto"/>
        <w:jc w:val="both"/>
        <w:rPr>
          <w:rFonts w:ascii="Calibri" w:hAnsi="Calibri" w:cs="Calibri"/>
          <w:sz w:val="22"/>
          <w:szCs w:val="22"/>
        </w:rPr>
      </w:pPr>
      <w:r w:rsidRPr="00DA506E">
        <w:rPr>
          <w:rFonts w:ascii="Calibri" w:hAnsi="Calibri" w:cs="Calibri"/>
          <w:sz w:val="22"/>
          <w:szCs w:val="22"/>
        </w:rPr>
        <w:t>There were conflicting views about sub-groups of patients who staff felt were either easier or more challenging to manage on first-line alpha-2 agonist sedation. Staff at one unit discussed how they found patients with high alcohol or opi</w:t>
      </w:r>
      <w:r w:rsidR="00E24E62">
        <w:rPr>
          <w:rFonts w:ascii="Calibri" w:hAnsi="Calibri" w:cs="Calibri"/>
          <w:sz w:val="22"/>
          <w:szCs w:val="22"/>
        </w:rPr>
        <w:t>oid</w:t>
      </w:r>
      <w:r w:rsidRPr="00DA506E">
        <w:rPr>
          <w:rFonts w:ascii="Calibri" w:hAnsi="Calibri" w:cs="Calibri"/>
          <w:sz w:val="22"/>
          <w:szCs w:val="22"/>
        </w:rPr>
        <w:t xml:space="preserve"> use pre-admission easier to sedate, whilst staff at </w:t>
      </w:r>
      <w:r w:rsidR="00B7151B">
        <w:rPr>
          <w:rFonts w:ascii="Calibri" w:hAnsi="Calibri" w:cs="Calibri"/>
          <w:sz w:val="22"/>
          <w:szCs w:val="22"/>
        </w:rPr>
        <w:t>two</w:t>
      </w:r>
      <w:r w:rsidRPr="00DA506E">
        <w:rPr>
          <w:rFonts w:ascii="Calibri" w:hAnsi="Calibri" w:cs="Calibri"/>
          <w:sz w:val="22"/>
          <w:szCs w:val="22"/>
        </w:rPr>
        <w:t xml:space="preserve"> further units reported this sub-group of patients as more challenging to sedate on first line alpha-2 agonis</w:t>
      </w:r>
      <w:r w:rsidR="00D96FB6">
        <w:rPr>
          <w:rFonts w:ascii="Calibri" w:hAnsi="Calibri" w:cs="Calibri"/>
          <w:sz w:val="22"/>
          <w:szCs w:val="22"/>
        </w:rPr>
        <w:t>ts.</w:t>
      </w:r>
      <w:r w:rsidRPr="00DA506E">
        <w:rPr>
          <w:rFonts w:ascii="Calibri" w:hAnsi="Calibri" w:cs="Calibri"/>
          <w:sz w:val="22"/>
          <w:szCs w:val="22"/>
        </w:rPr>
        <w:t xml:space="preserve"> Staff at an additional </w:t>
      </w:r>
      <w:r w:rsidR="00D81B67">
        <w:rPr>
          <w:rFonts w:ascii="Calibri" w:hAnsi="Calibri" w:cs="Calibri"/>
          <w:sz w:val="22"/>
          <w:szCs w:val="22"/>
        </w:rPr>
        <w:t>two</w:t>
      </w:r>
      <w:r w:rsidRPr="00DA506E">
        <w:rPr>
          <w:rFonts w:ascii="Calibri" w:hAnsi="Calibri" w:cs="Calibri"/>
          <w:sz w:val="22"/>
          <w:szCs w:val="22"/>
        </w:rPr>
        <w:t xml:space="preserve"> units reported how patients with respiratory failure and those who </w:t>
      </w:r>
      <w:r w:rsidRPr="00DA506E">
        <w:rPr>
          <w:rFonts w:ascii="Calibri" w:hAnsi="Calibri" w:cs="Calibri"/>
          <w:sz w:val="22"/>
          <w:szCs w:val="22"/>
        </w:rPr>
        <w:lastRenderedPageBreak/>
        <w:t>were agitated pre-intubation were easier to manage on first line alpha-2 agonist</w:t>
      </w:r>
      <w:r w:rsidR="00E24E62">
        <w:rPr>
          <w:rFonts w:ascii="Calibri" w:hAnsi="Calibri" w:cs="Calibri"/>
          <w:sz w:val="22"/>
          <w:szCs w:val="22"/>
        </w:rPr>
        <w:t>s</w:t>
      </w:r>
      <w:r w:rsidRPr="00DA506E">
        <w:rPr>
          <w:rFonts w:ascii="Calibri" w:hAnsi="Calibri" w:cs="Calibri"/>
          <w:sz w:val="22"/>
          <w:szCs w:val="22"/>
        </w:rPr>
        <w:t xml:space="preserve">. However, staff at remaining units were </w:t>
      </w:r>
      <w:r w:rsidR="00724B6B">
        <w:rPr>
          <w:rFonts w:ascii="Calibri" w:hAnsi="Calibri" w:cs="Calibri"/>
          <w:sz w:val="22"/>
          <w:szCs w:val="22"/>
        </w:rPr>
        <w:t>un</w:t>
      </w:r>
      <w:r w:rsidRPr="00DA506E">
        <w:rPr>
          <w:rFonts w:ascii="Calibri" w:hAnsi="Calibri" w:cs="Calibri"/>
          <w:sz w:val="22"/>
          <w:szCs w:val="22"/>
        </w:rPr>
        <w:t>sure what the most suitable patient groups were for adequate alpha-2 sedation</w:t>
      </w:r>
      <w:r w:rsidR="0054626C">
        <w:rPr>
          <w:rFonts w:ascii="Calibri" w:hAnsi="Calibri" w:cs="Calibri"/>
          <w:sz w:val="22"/>
          <w:szCs w:val="22"/>
        </w:rPr>
        <w:t>, instead believing that</w:t>
      </w:r>
      <w:r w:rsidRPr="00DA506E">
        <w:rPr>
          <w:rFonts w:ascii="Calibri" w:hAnsi="Calibri" w:cs="Calibri"/>
          <w:sz w:val="22"/>
          <w:szCs w:val="22"/>
        </w:rPr>
        <w:t xml:space="preserve"> alpha-2 agonists worked well on some patients and not others. They described a high heterogeneity and an inability to predict how patients would perform on alpha-2 agonist</w:t>
      </w:r>
      <w:r w:rsidR="00E24E62">
        <w:rPr>
          <w:rFonts w:ascii="Calibri" w:hAnsi="Calibri" w:cs="Calibri"/>
          <w:sz w:val="22"/>
          <w:szCs w:val="22"/>
        </w:rPr>
        <w:t>s</w:t>
      </w:r>
      <w:r w:rsidRPr="00DA506E">
        <w:rPr>
          <w:rFonts w:ascii="Calibri" w:hAnsi="Calibri" w:cs="Calibri"/>
          <w:sz w:val="22"/>
          <w:szCs w:val="22"/>
        </w:rPr>
        <w:t xml:space="preserve">. </w:t>
      </w:r>
    </w:p>
    <w:p w14:paraId="62AE1339" w14:textId="77777777" w:rsidR="00DA506E" w:rsidRPr="00DA506E" w:rsidRDefault="00DA506E" w:rsidP="002358F3">
      <w:pPr>
        <w:spacing w:after="200" w:line="360" w:lineRule="auto"/>
        <w:jc w:val="both"/>
        <w:rPr>
          <w:rFonts w:ascii="Calibri" w:hAnsi="Calibri" w:cs="Calibri"/>
          <w:sz w:val="22"/>
          <w:szCs w:val="22"/>
        </w:rPr>
      </w:pPr>
      <w:r w:rsidRPr="00DA506E">
        <w:rPr>
          <w:rFonts w:ascii="Calibri" w:hAnsi="Calibri" w:cs="Calibri"/>
          <w:sz w:val="22"/>
          <w:szCs w:val="22"/>
        </w:rPr>
        <w:t xml:space="preserve">In relation to perceived patient comfort, staff at a quarter of units reported that patients seemed more awake and comfortable on alpha-2 agonist sedation. Specifically, the research and staff nurses discussed how they felt patients were calmer and more consistently comfortable on either of the alpha-2 agonists, in contrast to </w:t>
      </w:r>
      <w:r w:rsidR="006C44D9">
        <w:rPr>
          <w:rFonts w:ascii="Calibri" w:hAnsi="Calibri" w:cs="Calibri"/>
          <w:sz w:val="22"/>
          <w:szCs w:val="22"/>
        </w:rPr>
        <w:t xml:space="preserve">periods of being either </w:t>
      </w:r>
      <w:r w:rsidR="00F40E3F">
        <w:rPr>
          <w:rFonts w:ascii="Calibri" w:hAnsi="Calibri" w:cs="Calibri"/>
          <w:sz w:val="22"/>
          <w:szCs w:val="22"/>
        </w:rPr>
        <w:t xml:space="preserve">heavily sedated or wide awake when on propofol – staff felt finding the </w:t>
      </w:r>
      <w:r w:rsidR="00F22351">
        <w:rPr>
          <w:rFonts w:ascii="Calibri" w:hAnsi="Calibri" w:cs="Calibri"/>
          <w:sz w:val="22"/>
          <w:szCs w:val="22"/>
        </w:rPr>
        <w:t xml:space="preserve">‘middle ground’ was more difficult </w:t>
      </w:r>
      <w:r w:rsidR="005D02AB">
        <w:rPr>
          <w:rFonts w:ascii="Calibri" w:hAnsi="Calibri" w:cs="Calibri"/>
          <w:sz w:val="22"/>
          <w:szCs w:val="22"/>
        </w:rPr>
        <w:t>in the usual care group</w:t>
      </w:r>
      <w:r w:rsidRPr="00DA506E">
        <w:rPr>
          <w:rFonts w:ascii="Calibri" w:hAnsi="Calibri" w:cs="Calibri"/>
          <w:sz w:val="22"/>
          <w:szCs w:val="22"/>
        </w:rPr>
        <w:t xml:space="preserve">. Staff at only one unit described patients on alpha-2 agonist sedation as appearing less comfortable. This was reported by the </w:t>
      </w:r>
      <w:r w:rsidR="00185D39">
        <w:rPr>
          <w:rFonts w:ascii="Calibri" w:hAnsi="Calibri" w:cs="Calibri"/>
          <w:sz w:val="22"/>
          <w:szCs w:val="22"/>
        </w:rPr>
        <w:t>bedside</w:t>
      </w:r>
      <w:r w:rsidRPr="00DA506E">
        <w:rPr>
          <w:rFonts w:ascii="Calibri" w:hAnsi="Calibri" w:cs="Calibri"/>
          <w:sz w:val="22"/>
          <w:szCs w:val="22"/>
        </w:rPr>
        <w:t xml:space="preserve"> and research nurses, but the PI felt that there were no observable differences. </w:t>
      </w:r>
    </w:p>
    <w:p w14:paraId="4B245C68" w14:textId="77777777" w:rsidR="00DA506E" w:rsidRPr="00DA506E" w:rsidRDefault="00DA506E" w:rsidP="002358F3">
      <w:pPr>
        <w:spacing w:after="200" w:line="360" w:lineRule="auto"/>
        <w:jc w:val="both"/>
        <w:rPr>
          <w:rFonts w:ascii="Calibri" w:hAnsi="Calibri" w:cs="Calibri"/>
          <w:sz w:val="22"/>
          <w:szCs w:val="22"/>
        </w:rPr>
      </w:pPr>
      <w:r w:rsidRPr="00DA506E">
        <w:rPr>
          <w:rFonts w:ascii="Calibri" w:hAnsi="Calibri" w:cs="Calibri"/>
          <w:sz w:val="22"/>
          <w:szCs w:val="22"/>
        </w:rPr>
        <w:t xml:space="preserve">Staff at one unit reported an issue related to the usability of dexmedetomidine. The research team felt strongly that it was difficult for </w:t>
      </w:r>
      <w:r w:rsidR="00E24E62">
        <w:rPr>
          <w:rFonts w:ascii="Calibri" w:hAnsi="Calibri" w:cs="Calibri"/>
          <w:sz w:val="22"/>
          <w:szCs w:val="22"/>
        </w:rPr>
        <w:t>bedside</w:t>
      </w:r>
      <w:r w:rsidR="007810D1">
        <w:rPr>
          <w:rFonts w:ascii="Calibri" w:hAnsi="Calibri" w:cs="Calibri"/>
          <w:sz w:val="22"/>
          <w:szCs w:val="22"/>
        </w:rPr>
        <w:t xml:space="preserve"> </w:t>
      </w:r>
      <w:r w:rsidRPr="00DA506E">
        <w:rPr>
          <w:rFonts w:ascii="Calibri" w:hAnsi="Calibri" w:cs="Calibri"/>
          <w:sz w:val="22"/>
          <w:szCs w:val="22"/>
        </w:rPr>
        <w:t xml:space="preserve">nurses to titrate it effectively, and that patients remained agitated despite being on maximum doses. Conversely, a second unit described how, once </w:t>
      </w:r>
      <w:r w:rsidR="002A40B2">
        <w:rPr>
          <w:rFonts w:ascii="Calibri" w:hAnsi="Calibri" w:cs="Calibri"/>
          <w:sz w:val="22"/>
          <w:szCs w:val="22"/>
        </w:rPr>
        <w:t>bedside</w:t>
      </w:r>
      <w:r w:rsidRPr="00DA506E">
        <w:rPr>
          <w:rFonts w:ascii="Calibri" w:hAnsi="Calibri" w:cs="Calibri"/>
          <w:sz w:val="22"/>
          <w:szCs w:val="22"/>
        </w:rPr>
        <w:t xml:space="preserve"> nurses began to see patients being comfortably sedated on dexmedetomidine, it helped challenge negative opinions and staff began to view it more favourably.</w:t>
      </w:r>
    </w:p>
    <w:p w14:paraId="4CF9CE6F" w14:textId="77777777" w:rsidR="00DA506E" w:rsidRPr="00471231" w:rsidRDefault="00DA506E" w:rsidP="002358F3">
      <w:pPr>
        <w:keepNext/>
        <w:keepLines/>
        <w:spacing w:after="200" w:line="360" w:lineRule="auto"/>
        <w:jc w:val="both"/>
        <w:outlineLvl w:val="2"/>
        <w:rPr>
          <w:rFonts w:ascii="Calibri" w:eastAsiaTheme="majorEastAsia" w:hAnsi="Calibri" w:cs="Calibri"/>
          <w:i/>
          <w:iCs/>
          <w:color w:val="000000" w:themeColor="text1"/>
          <w:sz w:val="22"/>
          <w:szCs w:val="22"/>
        </w:rPr>
      </w:pPr>
      <w:bookmarkStart w:id="12" w:name="_Toc168393578"/>
      <w:r w:rsidRPr="00471231">
        <w:rPr>
          <w:rFonts w:ascii="Calibri" w:eastAsiaTheme="majorEastAsia" w:hAnsi="Calibri" w:cs="Calibri"/>
          <w:i/>
          <w:iCs/>
          <w:color w:val="000000" w:themeColor="text1"/>
          <w:sz w:val="22"/>
          <w:szCs w:val="22"/>
        </w:rPr>
        <w:t>Trial documents</w:t>
      </w:r>
      <w:bookmarkEnd w:id="12"/>
    </w:p>
    <w:p w14:paraId="26714B32" w14:textId="77777777" w:rsidR="00DA506E" w:rsidRPr="00DA506E" w:rsidRDefault="00DA506E" w:rsidP="002358F3">
      <w:pPr>
        <w:spacing w:after="200" w:line="360" w:lineRule="auto"/>
        <w:jc w:val="both"/>
        <w:rPr>
          <w:rFonts w:ascii="Calibri" w:hAnsi="Calibri" w:cs="Calibri"/>
          <w:sz w:val="22"/>
          <w:szCs w:val="22"/>
        </w:rPr>
      </w:pPr>
      <w:r w:rsidRPr="00DA506E">
        <w:rPr>
          <w:rFonts w:ascii="Calibri" w:hAnsi="Calibri" w:cs="Calibri"/>
          <w:sz w:val="22"/>
          <w:szCs w:val="22"/>
        </w:rPr>
        <w:t>Staff at half of all units cited the bedside algorithm documents provided by trial management as an important tool to optimise intervention delivery</w:t>
      </w:r>
      <w:r w:rsidR="00DA35FB">
        <w:rPr>
          <w:rFonts w:ascii="Calibri" w:hAnsi="Calibri" w:cs="Calibri"/>
          <w:sz w:val="22"/>
          <w:szCs w:val="22"/>
        </w:rPr>
        <w:t xml:space="preserve">, </w:t>
      </w:r>
      <w:r w:rsidRPr="00DA506E">
        <w:rPr>
          <w:rFonts w:ascii="Calibri" w:hAnsi="Calibri" w:cs="Calibri"/>
          <w:sz w:val="22"/>
          <w:szCs w:val="22"/>
        </w:rPr>
        <w:t>particularly out of hours</w:t>
      </w:r>
      <w:r w:rsidR="00E24E62">
        <w:rPr>
          <w:rFonts w:ascii="Calibri" w:hAnsi="Calibri" w:cs="Calibri"/>
          <w:sz w:val="22"/>
          <w:szCs w:val="22"/>
        </w:rPr>
        <w:t>.</w:t>
      </w:r>
      <w:r w:rsidRPr="00DA506E">
        <w:rPr>
          <w:rFonts w:ascii="Calibri" w:hAnsi="Calibri" w:cs="Calibri"/>
          <w:sz w:val="22"/>
          <w:szCs w:val="22"/>
        </w:rPr>
        <w:t xml:space="preserve"> However, staff at </w:t>
      </w:r>
      <w:r w:rsidR="00DA35FB">
        <w:rPr>
          <w:rFonts w:ascii="Calibri" w:hAnsi="Calibri" w:cs="Calibri"/>
          <w:sz w:val="22"/>
          <w:szCs w:val="22"/>
        </w:rPr>
        <w:t>the remaining</w:t>
      </w:r>
      <w:r w:rsidR="00DA35FB" w:rsidRPr="00DA506E">
        <w:rPr>
          <w:rFonts w:ascii="Calibri" w:hAnsi="Calibri" w:cs="Calibri"/>
          <w:sz w:val="22"/>
          <w:szCs w:val="22"/>
        </w:rPr>
        <w:t xml:space="preserve"> </w:t>
      </w:r>
      <w:r w:rsidRPr="00DA506E">
        <w:rPr>
          <w:rFonts w:ascii="Calibri" w:hAnsi="Calibri" w:cs="Calibri"/>
          <w:sz w:val="22"/>
          <w:szCs w:val="22"/>
        </w:rPr>
        <w:t xml:space="preserve">units discussed how there was often at least one member of the research team working clinically over the weekend and so there was less dependence on the bedside support tools. </w:t>
      </w:r>
    </w:p>
    <w:p w14:paraId="635E92F5" w14:textId="71861F6F" w:rsidR="00DA506E" w:rsidRPr="00DA506E" w:rsidRDefault="00DA506E" w:rsidP="002358F3">
      <w:pPr>
        <w:spacing w:after="200" w:line="360" w:lineRule="auto"/>
        <w:jc w:val="both"/>
        <w:rPr>
          <w:rFonts w:ascii="Calibri" w:hAnsi="Calibri" w:cs="Calibri"/>
          <w:sz w:val="22"/>
          <w:szCs w:val="22"/>
        </w:rPr>
      </w:pPr>
      <w:r w:rsidRPr="00DA506E">
        <w:rPr>
          <w:rFonts w:ascii="Calibri" w:hAnsi="Calibri" w:cs="Calibri"/>
          <w:sz w:val="22"/>
          <w:szCs w:val="22"/>
        </w:rPr>
        <w:t xml:space="preserve">Staff at half of units </w:t>
      </w:r>
      <w:r w:rsidR="00C9683C">
        <w:rPr>
          <w:rFonts w:ascii="Calibri" w:hAnsi="Calibri" w:cs="Calibri"/>
          <w:sz w:val="22"/>
          <w:szCs w:val="22"/>
        </w:rPr>
        <w:t xml:space="preserve">reported </w:t>
      </w:r>
      <w:r w:rsidR="00B51AF6">
        <w:rPr>
          <w:rFonts w:ascii="Calibri" w:hAnsi="Calibri" w:cs="Calibri"/>
          <w:sz w:val="22"/>
          <w:szCs w:val="22"/>
        </w:rPr>
        <w:t>that completing the data collection form each shift w</w:t>
      </w:r>
      <w:r w:rsidRPr="00DA506E">
        <w:rPr>
          <w:rFonts w:ascii="Calibri" w:hAnsi="Calibri" w:cs="Calibri"/>
          <w:sz w:val="22"/>
          <w:szCs w:val="22"/>
        </w:rPr>
        <w:t xml:space="preserve">as very challenging and burdensome </w:t>
      </w:r>
      <w:r w:rsidR="00FA06A0">
        <w:rPr>
          <w:rFonts w:ascii="Calibri" w:hAnsi="Calibri" w:cs="Calibri"/>
          <w:sz w:val="22"/>
          <w:szCs w:val="22"/>
        </w:rPr>
        <w:t>for bedside nurses</w:t>
      </w:r>
      <w:r w:rsidR="00CD1574">
        <w:rPr>
          <w:rFonts w:ascii="Calibri" w:hAnsi="Calibri" w:cs="Calibri"/>
          <w:sz w:val="22"/>
          <w:szCs w:val="22"/>
        </w:rPr>
        <w:t xml:space="preserve">, primarily </w:t>
      </w:r>
      <w:r w:rsidRPr="00DA506E">
        <w:rPr>
          <w:rFonts w:ascii="Calibri" w:hAnsi="Calibri" w:cs="Calibri"/>
          <w:sz w:val="22"/>
          <w:szCs w:val="22"/>
        </w:rPr>
        <w:t xml:space="preserve">because of the heavy workload, and </w:t>
      </w:r>
      <w:r w:rsidR="00FA06A0">
        <w:rPr>
          <w:rFonts w:ascii="Calibri" w:hAnsi="Calibri" w:cs="Calibri"/>
          <w:sz w:val="22"/>
          <w:szCs w:val="22"/>
        </w:rPr>
        <w:t xml:space="preserve">nurses’ perception </w:t>
      </w:r>
      <w:r w:rsidRPr="00DA506E">
        <w:rPr>
          <w:rFonts w:ascii="Calibri" w:hAnsi="Calibri" w:cs="Calibri"/>
          <w:sz w:val="22"/>
          <w:szCs w:val="22"/>
        </w:rPr>
        <w:t>that research-related documentation was less important than clinical care</w:t>
      </w:r>
      <w:r w:rsidR="00E03ED9">
        <w:rPr>
          <w:rFonts w:ascii="Calibri" w:hAnsi="Calibri" w:cs="Calibri"/>
          <w:sz w:val="22"/>
          <w:szCs w:val="22"/>
        </w:rPr>
        <w:t>,</w:t>
      </w:r>
      <w:r w:rsidRPr="00DA506E">
        <w:rPr>
          <w:rFonts w:ascii="Calibri" w:hAnsi="Calibri" w:cs="Calibri"/>
          <w:sz w:val="22"/>
          <w:szCs w:val="22"/>
        </w:rPr>
        <w:t xml:space="preserve"> observations and documentation. At those units where staff did not report any challenges in shift form completion, it is worth noting that research nurses commonly alluded to assisting with and completing the shift forms on </w:t>
      </w:r>
      <w:r w:rsidR="00D96FB6">
        <w:rPr>
          <w:rFonts w:ascii="Calibri" w:hAnsi="Calibri" w:cs="Calibri"/>
          <w:sz w:val="22"/>
          <w:szCs w:val="22"/>
        </w:rPr>
        <w:t>bedside</w:t>
      </w:r>
      <w:r w:rsidRPr="00DA506E">
        <w:rPr>
          <w:rFonts w:ascii="Calibri" w:hAnsi="Calibri" w:cs="Calibri"/>
          <w:sz w:val="22"/>
          <w:szCs w:val="22"/>
        </w:rPr>
        <w:t xml:space="preserve"> nurse’s behalf</w:t>
      </w:r>
      <w:r w:rsidR="00D96FB6">
        <w:rPr>
          <w:rFonts w:ascii="Calibri" w:hAnsi="Calibri" w:cs="Calibri"/>
          <w:sz w:val="22"/>
          <w:szCs w:val="22"/>
        </w:rPr>
        <w:t>; t</w:t>
      </w:r>
      <w:r w:rsidRPr="00DA506E">
        <w:rPr>
          <w:rFonts w:ascii="Calibri" w:hAnsi="Calibri" w:cs="Calibri"/>
          <w:sz w:val="22"/>
          <w:szCs w:val="22"/>
        </w:rPr>
        <w:t xml:space="preserve">hey were often able to gather most of the data for the shift form from the nursing/electronic notes. </w:t>
      </w:r>
    </w:p>
    <w:p w14:paraId="3E389A05" w14:textId="6E10D25B" w:rsidR="00DA506E" w:rsidRPr="00DA506E" w:rsidRDefault="008D6419" w:rsidP="002358F3">
      <w:pPr>
        <w:spacing w:after="200" w:line="360" w:lineRule="auto"/>
        <w:jc w:val="both"/>
        <w:rPr>
          <w:rFonts w:ascii="Calibri" w:hAnsi="Calibri" w:cs="Calibri"/>
          <w:sz w:val="22"/>
          <w:szCs w:val="22"/>
        </w:rPr>
      </w:pPr>
      <w:r>
        <w:rPr>
          <w:rFonts w:ascii="Calibri" w:hAnsi="Calibri" w:cs="Calibri"/>
          <w:sz w:val="22"/>
          <w:szCs w:val="22"/>
        </w:rPr>
        <w:t>Completing the s</w:t>
      </w:r>
      <w:r w:rsidR="00DA506E" w:rsidRPr="00DA506E">
        <w:rPr>
          <w:rFonts w:ascii="Calibri" w:hAnsi="Calibri" w:cs="Calibri"/>
          <w:sz w:val="22"/>
          <w:szCs w:val="22"/>
        </w:rPr>
        <w:t xml:space="preserve">hift form was reported as </w:t>
      </w:r>
      <w:r w:rsidR="009B652C">
        <w:rPr>
          <w:rFonts w:ascii="Calibri" w:hAnsi="Calibri" w:cs="Calibri"/>
          <w:sz w:val="22"/>
          <w:szCs w:val="22"/>
        </w:rPr>
        <w:t>especially</w:t>
      </w:r>
      <w:r w:rsidR="00DA506E" w:rsidRPr="00DA506E">
        <w:rPr>
          <w:rFonts w:ascii="Calibri" w:hAnsi="Calibri" w:cs="Calibri"/>
          <w:sz w:val="22"/>
          <w:szCs w:val="22"/>
        </w:rPr>
        <w:t xml:space="preserve"> challenging when patients were randomised to </w:t>
      </w:r>
      <w:r w:rsidR="009B652C">
        <w:rPr>
          <w:rFonts w:ascii="Calibri" w:hAnsi="Calibri" w:cs="Calibri"/>
          <w:sz w:val="22"/>
          <w:szCs w:val="22"/>
        </w:rPr>
        <w:t xml:space="preserve">receive the usual sedative, propofol. This difficulty persisted even after </w:t>
      </w:r>
      <w:r w:rsidR="00DA506E" w:rsidRPr="00DA506E">
        <w:rPr>
          <w:rFonts w:ascii="Calibri" w:hAnsi="Calibri" w:cs="Calibri"/>
          <w:sz w:val="22"/>
          <w:szCs w:val="22"/>
        </w:rPr>
        <w:t xml:space="preserve">patients </w:t>
      </w:r>
      <w:r w:rsidR="00830BAC">
        <w:rPr>
          <w:rFonts w:ascii="Calibri" w:hAnsi="Calibri" w:cs="Calibri"/>
          <w:sz w:val="22"/>
          <w:szCs w:val="22"/>
        </w:rPr>
        <w:t>were</w:t>
      </w:r>
      <w:r w:rsidR="00DA506E" w:rsidRPr="00DA506E">
        <w:rPr>
          <w:rFonts w:ascii="Calibri" w:hAnsi="Calibri" w:cs="Calibri"/>
          <w:sz w:val="22"/>
          <w:szCs w:val="22"/>
        </w:rPr>
        <w:t xml:space="preserve"> extubated</w:t>
      </w:r>
      <w:r w:rsidR="007E1760">
        <w:rPr>
          <w:rFonts w:ascii="Calibri" w:hAnsi="Calibri" w:cs="Calibri"/>
          <w:sz w:val="22"/>
          <w:szCs w:val="22"/>
        </w:rPr>
        <w:t>,</w:t>
      </w:r>
      <w:r w:rsidR="00830BAC">
        <w:rPr>
          <w:rFonts w:ascii="Calibri" w:hAnsi="Calibri" w:cs="Calibri"/>
          <w:sz w:val="22"/>
          <w:szCs w:val="22"/>
        </w:rPr>
        <w:t xml:space="preserve"> as it was not always clear </w:t>
      </w:r>
      <w:r w:rsidR="00DA506E" w:rsidRPr="00DA506E">
        <w:rPr>
          <w:rFonts w:ascii="Calibri" w:hAnsi="Calibri" w:cs="Calibri"/>
          <w:sz w:val="22"/>
          <w:szCs w:val="22"/>
        </w:rPr>
        <w:t xml:space="preserve">to clinical staff that </w:t>
      </w:r>
      <w:r w:rsidR="00830BAC">
        <w:rPr>
          <w:rFonts w:ascii="Calibri" w:hAnsi="Calibri" w:cs="Calibri"/>
          <w:sz w:val="22"/>
          <w:szCs w:val="22"/>
        </w:rPr>
        <w:t xml:space="preserve">these </w:t>
      </w:r>
      <w:r w:rsidR="00906762">
        <w:rPr>
          <w:rFonts w:ascii="Calibri" w:hAnsi="Calibri" w:cs="Calibri"/>
          <w:sz w:val="22"/>
          <w:szCs w:val="22"/>
        </w:rPr>
        <w:t>patients</w:t>
      </w:r>
      <w:r w:rsidR="00DA506E" w:rsidRPr="00DA506E">
        <w:rPr>
          <w:rFonts w:ascii="Calibri" w:hAnsi="Calibri" w:cs="Calibri"/>
          <w:sz w:val="22"/>
          <w:szCs w:val="22"/>
        </w:rPr>
        <w:t xml:space="preserve"> were </w:t>
      </w:r>
      <w:r w:rsidR="00830BAC">
        <w:rPr>
          <w:rFonts w:ascii="Calibri" w:hAnsi="Calibri" w:cs="Calibri"/>
          <w:sz w:val="22"/>
          <w:szCs w:val="22"/>
        </w:rPr>
        <w:t xml:space="preserve">participating </w:t>
      </w:r>
      <w:r w:rsidR="00DA506E" w:rsidRPr="00DA506E">
        <w:rPr>
          <w:rFonts w:ascii="Calibri" w:hAnsi="Calibri" w:cs="Calibri"/>
          <w:sz w:val="22"/>
          <w:szCs w:val="22"/>
        </w:rPr>
        <w:t>in an interventional study</w:t>
      </w:r>
      <w:r w:rsidR="00D96C47">
        <w:rPr>
          <w:rFonts w:ascii="Calibri" w:hAnsi="Calibri" w:cs="Calibri"/>
          <w:sz w:val="22"/>
          <w:szCs w:val="22"/>
        </w:rPr>
        <w:t>:</w:t>
      </w:r>
    </w:p>
    <w:p w14:paraId="1C798391" w14:textId="77777777" w:rsidR="00DA506E" w:rsidRPr="00DA506E" w:rsidRDefault="00DA506E" w:rsidP="002358F3">
      <w:pPr>
        <w:spacing w:after="200" w:line="360" w:lineRule="auto"/>
        <w:ind w:left="567" w:right="567"/>
        <w:jc w:val="both"/>
        <w:rPr>
          <w:rFonts w:ascii="Calibri" w:hAnsi="Calibri" w:cs="Calibri"/>
          <w:sz w:val="22"/>
          <w:szCs w:val="22"/>
        </w:rPr>
      </w:pPr>
      <w:r w:rsidRPr="00DA506E">
        <w:rPr>
          <w:rFonts w:ascii="Calibri" w:hAnsi="Calibri" w:cs="Calibri"/>
          <w:i/>
          <w:iCs/>
          <w:sz w:val="22"/>
          <w:szCs w:val="22"/>
        </w:rPr>
        <w:lastRenderedPageBreak/>
        <w:t>“I think, where we struggled a little bit was when it was standard care, funnily enough.  In terms of getting the bedside shift forms completed. I think because it was normal practice, they don't always, you know, remember to do it. And also, when patients are extubated, it's re-emphasising that they're still on the study for another 48 hours.”</w:t>
      </w:r>
      <w:r w:rsidRPr="00DA506E">
        <w:rPr>
          <w:rFonts w:ascii="Calibri" w:hAnsi="Calibri" w:cs="Calibri"/>
          <w:sz w:val="22"/>
          <w:szCs w:val="22"/>
        </w:rPr>
        <w:t xml:space="preserve"> ResN07/30</w:t>
      </w:r>
    </w:p>
    <w:p w14:paraId="7CB90BAB" w14:textId="77777777" w:rsidR="00DA506E" w:rsidRPr="009A2CF3" w:rsidRDefault="00E84BE4" w:rsidP="002358F3">
      <w:pPr>
        <w:spacing w:after="200" w:line="360" w:lineRule="auto"/>
        <w:contextualSpacing/>
        <w:jc w:val="both"/>
        <w:outlineLvl w:val="0"/>
        <w:rPr>
          <w:rFonts w:ascii="Calibri" w:hAnsi="Calibri" w:cs="Calibri"/>
          <w:sz w:val="22"/>
          <w:szCs w:val="22"/>
        </w:rPr>
      </w:pPr>
      <w:bookmarkStart w:id="13" w:name="_Toc168393579"/>
      <w:r w:rsidRPr="00CA7A28">
        <w:rPr>
          <w:rFonts w:ascii="Calibri" w:hAnsi="Calibri" w:cs="Calibri"/>
          <w:b/>
          <w:bCs/>
          <w:sz w:val="22"/>
          <w:szCs w:val="22"/>
          <w:u w:val="single"/>
        </w:rPr>
        <w:t>DISCUSSION</w:t>
      </w:r>
      <w:bookmarkEnd w:id="13"/>
      <w:r w:rsidRPr="009A2CF3">
        <w:rPr>
          <w:rFonts w:ascii="Calibri" w:hAnsi="Calibri" w:cs="Calibri"/>
          <w:sz w:val="22"/>
          <w:szCs w:val="22"/>
        </w:rPr>
        <w:t xml:space="preserve"> </w:t>
      </w:r>
    </w:p>
    <w:p w14:paraId="62018F96" w14:textId="16002B7E" w:rsidR="00DA506E" w:rsidRPr="001571C9" w:rsidRDefault="00260BD5" w:rsidP="002358F3">
      <w:pPr>
        <w:spacing w:after="200" w:line="360" w:lineRule="auto"/>
        <w:jc w:val="both"/>
        <w:rPr>
          <w:rFonts w:ascii="Calibri" w:eastAsia="Calibri" w:hAnsi="Calibri" w:cs="Calibri"/>
          <w:sz w:val="22"/>
          <w:szCs w:val="22"/>
        </w:rPr>
      </w:pPr>
      <w:r>
        <w:rPr>
          <w:rFonts w:ascii="Calibri" w:eastAsia="Calibri" w:hAnsi="Calibri" w:cs="Calibri"/>
          <w:color w:val="000000" w:themeColor="text1"/>
          <w:sz w:val="22"/>
          <w:szCs w:val="22"/>
        </w:rPr>
        <w:t>Sedation practice is a</w:t>
      </w:r>
      <w:r w:rsidR="00E24E62">
        <w:rPr>
          <w:rFonts w:ascii="Calibri" w:eastAsia="Calibri" w:hAnsi="Calibri" w:cs="Calibri"/>
          <w:color w:val="000000" w:themeColor="text1"/>
          <w:sz w:val="22"/>
          <w:szCs w:val="22"/>
        </w:rPr>
        <w:t xml:space="preserve"> challenging area to research and implement change</w:t>
      </w:r>
      <w:r w:rsidR="008F7590">
        <w:rPr>
          <w:rFonts w:ascii="Calibri" w:eastAsia="Calibri" w:hAnsi="Calibri" w:cs="Calibri"/>
          <w:color w:val="000000" w:themeColor="text1"/>
          <w:sz w:val="22"/>
          <w:szCs w:val="22"/>
        </w:rPr>
        <w:t xml:space="preserve">, however the potential improvements in patient outcome </w:t>
      </w:r>
      <w:r w:rsidR="00870EEF">
        <w:rPr>
          <w:rFonts w:ascii="Calibri" w:eastAsia="Calibri" w:hAnsi="Calibri" w:cs="Calibri"/>
          <w:color w:val="000000" w:themeColor="text1"/>
          <w:sz w:val="22"/>
          <w:szCs w:val="22"/>
        </w:rPr>
        <w:t xml:space="preserve">are significant </w:t>
      </w:r>
      <w:r w:rsidR="00E8473A">
        <w:rPr>
          <w:rFonts w:ascii="Calibri" w:eastAsia="Calibri" w:hAnsi="Calibri" w:cs="Calibri"/>
          <w:color w:val="000000" w:themeColor="text1"/>
          <w:sz w:val="22"/>
          <w:szCs w:val="22"/>
        </w:rPr>
        <w:t>when sedation practice</w:t>
      </w:r>
      <w:r w:rsidR="00416AA1">
        <w:rPr>
          <w:rFonts w:ascii="Calibri" w:eastAsia="Calibri" w:hAnsi="Calibri" w:cs="Calibri"/>
          <w:color w:val="000000" w:themeColor="text1"/>
          <w:sz w:val="22"/>
          <w:szCs w:val="22"/>
        </w:rPr>
        <w:t xml:space="preserve"> </w:t>
      </w:r>
      <w:r w:rsidR="00E8473A">
        <w:rPr>
          <w:rFonts w:ascii="Calibri" w:eastAsia="Calibri" w:hAnsi="Calibri" w:cs="Calibri"/>
          <w:color w:val="000000" w:themeColor="text1"/>
          <w:sz w:val="22"/>
          <w:szCs w:val="22"/>
        </w:rPr>
        <w:t>is optimised</w:t>
      </w:r>
      <w:r w:rsidR="00C85744">
        <w:rPr>
          <w:rFonts w:ascii="Calibri" w:eastAsia="Calibri" w:hAnsi="Calibri" w:cs="Calibri"/>
          <w:color w:val="000000" w:themeColor="text1"/>
          <w:sz w:val="22"/>
          <w:szCs w:val="22"/>
        </w:rPr>
        <w:t xml:space="preserve">. </w:t>
      </w:r>
      <w:r w:rsidR="00153D17">
        <w:rPr>
          <w:rFonts w:ascii="Calibri" w:eastAsia="Calibri" w:hAnsi="Calibri" w:cs="Calibri"/>
          <w:color w:val="000000" w:themeColor="text1"/>
          <w:sz w:val="22"/>
          <w:szCs w:val="22"/>
        </w:rPr>
        <w:t>C</w:t>
      </w:r>
      <w:r w:rsidR="00C85744">
        <w:rPr>
          <w:rFonts w:ascii="Calibri" w:eastAsia="Calibri" w:hAnsi="Calibri" w:cs="Calibri"/>
          <w:color w:val="000000" w:themeColor="text1"/>
          <w:sz w:val="22"/>
          <w:szCs w:val="22"/>
        </w:rPr>
        <w:t>hallenge</w:t>
      </w:r>
      <w:r w:rsidR="00153D17">
        <w:rPr>
          <w:rFonts w:ascii="Calibri" w:eastAsia="Calibri" w:hAnsi="Calibri" w:cs="Calibri"/>
          <w:color w:val="000000" w:themeColor="text1"/>
          <w:sz w:val="22"/>
          <w:szCs w:val="22"/>
        </w:rPr>
        <w:t>s</w:t>
      </w:r>
      <w:r w:rsidR="00C85744">
        <w:rPr>
          <w:rFonts w:ascii="Calibri" w:eastAsia="Calibri" w:hAnsi="Calibri" w:cs="Calibri"/>
          <w:color w:val="000000" w:themeColor="text1"/>
          <w:sz w:val="22"/>
          <w:szCs w:val="22"/>
        </w:rPr>
        <w:t xml:space="preserve"> arise due to multiple factors </w:t>
      </w:r>
      <w:r w:rsidR="009A2ECB">
        <w:rPr>
          <w:rFonts w:ascii="Calibri" w:eastAsia="Calibri" w:hAnsi="Calibri" w:cs="Calibri"/>
          <w:color w:val="000000" w:themeColor="text1"/>
          <w:sz w:val="22"/>
          <w:szCs w:val="22"/>
        </w:rPr>
        <w:t xml:space="preserve">that </w:t>
      </w:r>
      <w:r w:rsidR="0008006C">
        <w:rPr>
          <w:rFonts w:ascii="Calibri" w:eastAsia="Calibri" w:hAnsi="Calibri" w:cs="Calibri"/>
          <w:color w:val="000000" w:themeColor="text1"/>
          <w:sz w:val="22"/>
          <w:szCs w:val="22"/>
        </w:rPr>
        <w:t>are created by</w:t>
      </w:r>
      <w:r w:rsidR="00335083">
        <w:rPr>
          <w:rFonts w:ascii="Calibri" w:eastAsia="Calibri" w:hAnsi="Calibri" w:cs="Calibri"/>
          <w:color w:val="000000" w:themeColor="text1"/>
          <w:sz w:val="22"/>
          <w:szCs w:val="22"/>
        </w:rPr>
        <w:t xml:space="preserve"> the focus on</w:t>
      </w:r>
      <w:r w:rsidR="00C85744">
        <w:rPr>
          <w:rFonts w:ascii="Calibri" w:eastAsia="Calibri" w:hAnsi="Calibri" w:cs="Calibri"/>
          <w:color w:val="000000" w:themeColor="text1"/>
          <w:sz w:val="22"/>
          <w:szCs w:val="22"/>
        </w:rPr>
        <w:t xml:space="preserve"> patient</w:t>
      </w:r>
      <w:r w:rsidR="00E24E62">
        <w:rPr>
          <w:rFonts w:ascii="Calibri" w:eastAsia="Calibri" w:hAnsi="Calibri" w:cs="Calibri"/>
          <w:color w:val="000000" w:themeColor="text1"/>
          <w:sz w:val="22"/>
          <w:szCs w:val="22"/>
        </w:rPr>
        <w:t xml:space="preserve"> comfort</w:t>
      </w:r>
      <w:r w:rsidR="00463086" w:rsidRPr="00463086">
        <w:rPr>
          <w:rFonts w:ascii="Calibri" w:eastAsia="Calibri" w:hAnsi="Calibri" w:cs="Calibri"/>
          <w:color w:val="000000" w:themeColor="text1"/>
          <w:sz w:val="22"/>
          <w:szCs w:val="22"/>
        </w:rPr>
        <w:t xml:space="preserve"> </w:t>
      </w:r>
      <w:r w:rsidR="00463086">
        <w:rPr>
          <w:rFonts w:ascii="Calibri" w:eastAsia="Calibri" w:hAnsi="Calibri" w:cs="Calibri"/>
          <w:color w:val="000000" w:themeColor="text1"/>
          <w:sz w:val="22"/>
          <w:szCs w:val="22"/>
        </w:rPr>
        <w:t>and the associated emotional elements of staff and family</w:t>
      </w:r>
      <w:r w:rsidR="000C104D">
        <w:rPr>
          <w:rFonts w:ascii="Calibri" w:eastAsia="Calibri" w:hAnsi="Calibri" w:cs="Calibri"/>
          <w:color w:val="000000" w:themeColor="text1"/>
          <w:sz w:val="22"/>
          <w:szCs w:val="22"/>
        </w:rPr>
        <w:t xml:space="preserve"> members</w:t>
      </w:r>
      <w:r w:rsidR="00463086">
        <w:rPr>
          <w:rFonts w:ascii="Calibri" w:eastAsia="Calibri" w:hAnsi="Calibri" w:cs="Calibri"/>
          <w:color w:val="000000" w:themeColor="text1"/>
          <w:sz w:val="22"/>
          <w:szCs w:val="22"/>
        </w:rPr>
        <w:t xml:space="preserve"> </w:t>
      </w:r>
      <w:r w:rsidR="00E24E62">
        <w:rPr>
          <w:rFonts w:ascii="Calibri" w:eastAsia="Calibri" w:hAnsi="Calibri" w:cs="Calibri"/>
          <w:color w:val="000000" w:themeColor="text1"/>
          <w:sz w:val="22"/>
          <w:szCs w:val="22"/>
        </w:rPr>
        <w:t xml:space="preserve">observing </w:t>
      </w:r>
      <w:r w:rsidR="00463086">
        <w:rPr>
          <w:rFonts w:ascii="Calibri" w:eastAsia="Calibri" w:hAnsi="Calibri" w:cs="Calibri"/>
          <w:color w:val="000000" w:themeColor="text1"/>
          <w:sz w:val="22"/>
          <w:szCs w:val="22"/>
        </w:rPr>
        <w:t xml:space="preserve">a patient </w:t>
      </w:r>
      <w:r w:rsidR="007E7319">
        <w:rPr>
          <w:rFonts w:ascii="Calibri" w:eastAsia="Calibri" w:hAnsi="Calibri" w:cs="Calibri"/>
          <w:color w:val="000000" w:themeColor="text1"/>
          <w:sz w:val="22"/>
          <w:szCs w:val="22"/>
        </w:rPr>
        <w:t xml:space="preserve">who is </w:t>
      </w:r>
      <w:r w:rsidR="00463086">
        <w:rPr>
          <w:rFonts w:ascii="Calibri" w:eastAsia="Calibri" w:hAnsi="Calibri" w:cs="Calibri"/>
          <w:color w:val="000000" w:themeColor="text1"/>
          <w:sz w:val="22"/>
          <w:szCs w:val="22"/>
        </w:rPr>
        <w:t>agitated or in pain</w:t>
      </w:r>
      <w:r w:rsidR="00E24E62">
        <w:rPr>
          <w:rFonts w:ascii="Calibri" w:eastAsia="Calibri" w:hAnsi="Calibri" w:cs="Calibri"/>
          <w:color w:val="000000" w:themeColor="text1"/>
          <w:sz w:val="22"/>
          <w:szCs w:val="22"/>
        </w:rPr>
        <w:t xml:space="preserve">. </w:t>
      </w:r>
      <w:r w:rsidR="009F5B60">
        <w:rPr>
          <w:rFonts w:ascii="Calibri" w:eastAsia="Calibri" w:hAnsi="Calibri" w:cs="Calibri"/>
          <w:sz w:val="22"/>
          <w:szCs w:val="22"/>
        </w:rPr>
        <w:t>W</w:t>
      </w:r>
      <w:r w:rsidR="009543BD" w:rsidRPr="000A695F">
        <w:rPr>
          <w:rFonts w:ascii="Calibri" w:eastAsia="Calibri" w:hAnsi="Calibri" w:cs="Calibri"/>
          <w:sz w:val="22"/>
          <w:szCs w:val="22"/>
        </w:rPr>
        <w:t>e identified a range of both patient related and trial related factors that potentially impacted on the conduct of th</w:t>
      </w:r>
      <w:r w:rsidR="009543BD">
        <w:rPr>
          <w:rFonts w:ascii="Calibri" w:eastAsia="Calibri" w:hAnsi="Calibri" w:cs="Calibri"/>
          <w:sz w:val="22"/>
          <w:szCs w:val="22"/>
        </w:rPr>
        <w:t xml:space="preserve">e A2B trial and the extent </w:t>
      </w:r>
      <w:r w:rsidR="00DB447B">
        <w:rPr>
          <w:rFonts w:ascii="Calibri" w:eastAsia="Calibri" w:hAnsi="Calibri" w:cs="Calibri"/>
          <w:sz w:val="22"/>
          <w:szCs w:val="22"/>
        </w:rPr>
        <w:t xml:space="preserve">and fidelity </w:t>
      </w:r>
      <w:r w:rsidR="009543BD">
        <w:rPr>
          <w:rFonts w:ascii="Calibri" w:eastAsia="Calibri" w:hAnsi="Calibri" w:cs="Calibri"/>
          <w:sz w:val="22"/>
          <w:szCs w:val="22"/>
        </w:rPr>
        <w:t xml:space="preserve">of </w:t>
      </w:r>
      <w:r w:rsidR="004335A5">
        <w:rPr>
          <w:rFonts w:ascii="Calibri" w:eastAsia="Calibri" w:hAnsi="Calibri" w:cs="Calibri"/>
          <w:sz w:val="22"/>
          <w:szCs w:val="22"/>
        </w:rPr>
        <w:t xml:space="preserve">intended </w:t>
      </w:r>
      <w:r w:rsidR="009543BD" w:rsidRPr="001571C9">
        <w:rPr>
          <w:rFonts w:ascii="Calibri" w:eastAsia="Calibri" w:hAnsi="Calibri" w:cs="Calibri"/>
          <w:sz w:val="22"/>
          <w:szCs w:val="22"/>
        </w:rPr>
        <w:t>intervention delivery.</w:t>
      </w:r>
      <w:r w:rsidR="008C2FE4" w:rsidRPr="001571C9">
        <w:rPr>
          <w:rFonts w:ascii="Calibri" w:eastAsia="Calibri" w:hAnsi="Calibri" w:cs="Calibri"/>
          <w:sz w:val="22"/>
          <w:szCs w:val="22"/>
        </w:rPr>
        <w:t xml:space="preserve"> </w:t>
      </w:r>
      <w:r w:rsidR="00E24E62" w:rsidRPr="001571C9">
        <w:rPr>
          <w:rFonts w:ascii="Calibri" w:eastAsia="Calibri" w:hAnsi="Calibri" w:cs="Calibri"/>
          <w:sz w:val="22"/>
          <w:szCs w:val="22"/>
        </w:rPr>
        <w:t>Strong</w:t>
      </w:r>
      <w:r w:rsidR="00C85744" w:rsidRPr="001571C9">
        <w:rPr>
          <w:rFonts w:ascii="Calibri" w:eastAsia="Calibri" w:hAnsi="Calibri" w:cs="Calibri"/>
          <w:sz w:val="22"/>
          <w:szCs w:val="22"/>
        </w:rPr>
        <w:t xml:space="preserve"> </w:t>
      </w:r>
      <w:r w:rsidR="00E24E62" w:rsidRPr="001571C9">
        <w:rPr>
          <w:rFonts w:ascii="Calibri" w:eastAsia="Calibri" w:hAnsi="Calibri" w:cs="Calibri"/>
          <w:sz w:val="22"/>
          <w:szCs w:val="22"/>
        </w:rPr>
        <w:t xml:space="preserve">personal </w:t>
      </w:r>
      <w:r w:rsidR="00C85744" w:rsidRPr="001571C9">
        <w:rPr>
          <w:rFonts w:ascii="Calibri" w:eastAsia="Calibri" w:hAnsi="Calibri" w:cs="Calibri"/>
          <w:sz w:val="22"/>
          <w:szCs w:val="22"/>
        </w:rPr>
        <w:t xml:space="preserve">opinions of clinicians </w:t>
      </w:r>
      <w:r w:rsidR="002459BE" w:rsidRPr="001571C9">
        <w:rPr>
          <w:rFonts w:ascii="Calibri" w:eastAsia="Calibri" w:hAnsi="Calibri" w:cs="Calibri"/>
          <w:sz w:val="22"/>
          <w:szCs w:val="22"/>
        </w:rPr>
        <w:t>regarding effective</w:t>
      </w:r>
      <w:r w:rsidR="00E24E62" w:rsidRPr="001571C9">
        <w:rPr>
          <w:rFonts w:ascii="Calibri" w:eastAsia="Calibri" w:hAnsi="Calibri" w:cs="Calibri"/>
          <w:sz w:val="22"/>
          <w:szCs w:val="22"/>
        </w:rPr>
        <w:t>ness of</w:t>
      </w:r>
      <w:r w:rsidR="002459BE" w:rsidRPr="001571C9">
        <w:rPr>
          <w:rFonts w:ascii="Calibri" w:eastAsia="Calibri" w:hAnsi="Calibri" w:cs="Calibri"/>
          <w:sz w:val="22"/>
          <w:szCs w:val="22"/>
        </w:rPr>
        <w:t xml:space="preserve"> pharmaco</w:t>
      </w:r>
      <w:r w:rsidR="00E24E62" w:rsidRPr="001571C9">
        <w:rPr>
          <w:rFonts w:ascii="Calibri" w:eastAsia="Calibri" w:hAnsi="Calibri" w:cs="Calibri"/>
          <w:sz w:val="22"/>
          <w:szCs w:val="22"/>
        </w:rPr>
        <w:t xml:space="preserve">therapy </w:t>
      </w:r>
      <w:r w:rsidR="002459BE" w:rsidRPr="001571C9">
        <w:rPr>
          <w:rFonts w:ascii="Calibri" w:eastAsia="Calibri" w:hAnsi="Calibri" w:cs="Calibri"/>
          <w:sz w:val="22"/>
          <w:szCs w:val="22"/>
        </w:rPr>
        <w:t xml:space="preserve">or </w:t>
      </w:r>
      <w:r w:rsidR="00F84B49" w:rsidRPr="001571C9">
        <w:rPr>
          <w:rFonts w:ascii="Calibri" w:eastAsia="Calibri" w:hAnsi="Calibri" w:cs="Calibri"/>
          <w:sz w:val="22"/>
          <w:szCs w:val="22"/>
        </w:rPr>
        <w:t xml:space="preserve">sedative </w:t>
      </w:r>
      <w:r w:rsidR="002459BE" w:rsidRPr="001571C9">
        <w:rPr>
          <w:rFonts w:ascii="Calibri" w:eastAsia="Calibri" w:hAnsi="Calibri" w:cs="Calibri"/>
          <w:sz w:val="22"/>
          <w:szCs w:val="22"/>
        </w:rPr>
        <w:t>strategies</w:t>
      </w:r>
      <w:r w:rsidR="00C279B0" w:rsidRPr="001571C9">
        <w:rPr>
          <w:rFonts w:ascii="Calibri" w:eastAsia="Calibri" w:hAnsi="Calibri" w:cs="Calibri"/>
          <w:sz w:val="22"/>
          <w:szCs w:val="22"/>
        </w:rPr>
        <w:t xml:space="preserve"> and</w:t>
      </w:r>
      <w:r w:rsidR="00A06E93" w:rsidRPr="001571C9">
        <w:rPr>
          <w:rFonts w:ascii="Calibri" w:eastAsia="Calibri" w:hAnsi="Calibri" w:cs="Calibri"/>
          <w:sz w:val="22"/>
          <w:szCs w:val="22"/>
        </w:rPr>
        <w:t xml:space="preserve"> a degree of variation in standard sedation </w:t>
      </w:r>
      <w:r w:rsidR="00406571">
        <w:rPr>
          <w:rFonts w:ascii="Calibri" w:eastAsia="Calibri" w:hAnsi="Calibri" w:cs="Calibri"/>
          <w:sz w:val="22"/>
          <w:szCs w:val="22"/>
        </w:rPr>
        <w:t xml:space="preserve">and opioids </w:t>
      </w:r>
      <w:r w:rsidR="00F84B49" w:rsidRPr="001571C9">
        <w:rPr>
          <w:rFonts w:ascii="Calibri" w:eastAsia="Calibri" w:hAnsi="Calibri" w:cs="Calibri"/>
          <w:sz w:val="22"/>
          <w:szCs w:val="22"/>
        </w:rPr>
        <w:t>contribute</w:t>
      </w:r>
      <w:r w:rsidR="00766368">
        <w:rPr>
          <w:rFonts w:ascii="Calibri" w:eastAsia="Calibri" w:hAnsi="Calibri" w:cs="Calibri"/>
          <w:sz w:val="22"/>
          <w:szCs w:val="22"/>
        </w:rPr>
        <w:t>d</w:t>
      </w:r>
      <w:r w:rsidR="00F84B49" w:rsidRPr="001571C9">
        <w:rPr>
          <w:rFonts w:ascii="Calibri" w:eastAsia="Calibri" w:hAnsi="Calibri" w:cs="Calibri"/>
          <w:sz w:val="22"/>
          <w:szCs w:val="22"/>
        </w:rPr>
        <w:t xml:space="preserve"> to </w:t>
      </w:r>
      <w:r w:rsidR="009F5B60">
        <w:rPr>
          <w:rFonts w:ascii="Calibri" w:eastAsia="Calibri" w:hAnsi="Calibri" w:cs="Calibri"/>
          <w:sz w:val="22"/>
          <w:szCs w:val="22"/>
        </w:rPr>
        <w:t>implementation</w:t>
      </w:r>
      <w:r w:rsidR="00A874AD">
        <w:rPr>
          <w:rFonts w:ascii="Calibri" w:eastAsia="Calibri" w:hAnsi="Calibri" w:cs="Calibri"/>
          <w:sz w:val="22"/>
          <w:szCs w:val="22"/>
        </w:rPr>
        <w:t xml:space="preserve"> challenges</w:t>
      </w:r>
      <w:r w:rsidR="004C2938">
        <w:rPr>
          <w:rFonts w:ascii="Calibri" w:eastAsia="Calibri" w:hAnsi="Calibri" w:cs="Calibri"/>
          <w:sz w:val="22"/>
          <w:szCs w:val="22"/>
        </w:rPr>
        <w:t xml:space="preserve"> </w:t>
      </w:r>
      <w:r w:rsidR="009F5B60">
        <w:rPr>
          <w:rFonts w:ascii="Calibri" w:eastAsia="Calibri" w:hAnsi="Calibri" w:cs="Calibri"/>
          <w:sz w:val="22"/>
          <w:szCs w:val="22"/>
        </w:rPr>
        <w:t>and are compounded</w:t>
      </w:r>
      <w:r w:rsidR="00A06E93" w:rsidRPr="001571C9">
        <w:rPr>
          <w:rFonts w:ascii="Calibri" w:eastAsia="Calibri" w:hAnsi="Calibri" w:cs="Calibri"/>
          <w:sz w:val="22"/>
          <w:szCs w:val="22"/>
        </w:rPr>
        <w:t xml:space="preserve"> </w:t>
      </w:r>
      <w:r w:rsidR="00F84B49" w:rsidRPr="001571C9">
        <w:rPr>
          <w:rFonts w:ascii="Calibri" w:eastAsia="Calibri" w:hAnsi="Calibri" w:cs="Calibri"/>
          <w:sz w:val="22"/>
          <w:szCs w:val="22"/>
        </w:rPr>
        <w:t>by</w:t>
      </w:r>
      <w:r w:rsidR="00DA506E" w:rsidRPr="001571C9">
        <w:rPr>
          <w:rFonts w:ascii="Calibri" w:eastAsia="Calibri" w:hAnsi="Calibri" w:cs="Calibri"/>
          <w:sz w:val="22"/>
          <w:szCs w:val="22"/>
        </w:rPr>
        <w:t xml:space="preserve"> </w:t>
      </w:r>
      <w:r w:rsidR="00DA506E" w:rsidRPr="008B153E">
        <w:rPr>
          <w:rFonts w:ascii="Calibri" w:eastAsia="Calibri" w:hAnsi="Calibri" w:cs="Calibri"/>
          <w:sz w:val="22"/>
          <w:szCs w:val="22"/>
        </w:rPr>
        <w:t xml:space="preserve">challenges </w:t>
      </w:r>
      <w:r w:rsidR="00471A89" w:rsidRPr="008B153E">
        <w:rPr>
          <w:rFonts w:ascii="Calibri" w:eastAsia="Calibri" w:hAnsi="Calibri" w:cs="Calibri"/>
          <w:sz w:val="22"/>
          <w:szCs w:val="22"/>
        </w:rPr>
        <w:t>of</w:t>
      </w:r>
      <w:r w:rsidR="00DA506E" w:rsidRPr="008B153E">
        <w:rPr>
          <w:rFonts w:ascii="Calibri" w:eastAsia="Calibri" w:hAnsi="Calibri" w:cs="Calibri"/>
          <w:sz w:val="22"/>
          <w:szCs w:val="22"/>
        </w:rPr>
        <w:t xml:space="preserve"> conduct</w:t>
      </w:r>
      <w:r w:rsidR="00471A89" w:rsidRPr="008B153E">
        <w:rPr>
          <w:rFonts w:ascii="Calibri" w:eastAsia="Calibri" w:hAnsi="Calibri" w:cs="Calibri"/>
          <w:sz w:val="22"/>
          <w:szCs w:val="22"/>
        </w:rPr>
        <w:t>ing</w:t>
      </w:r>
      <w:r w:rsidR="00DA506E" w:rsidRPr="008B153E">
        <w:rPr>
          <w:rFonts w:ascii="Calibri" w:eastAsia="Calibri" w:hAnsi="Calibri" w:cs="Calibri"/>
          <w:sz w:val="22"/>
          <w:szCs w:val="22"/>
        </w:rPr>
        <w:t xml:space="preserve"> complex critical care trial</w:t>
      </w:r>
      <w:r w:rsidR="009A2ECB" w:rsidRPr="008B153E">
        <w:rPr>
          <w:rFonts w:ascii="Calibri" w:eastAsia="Calibri" w:hAnsi="Calibri" w:cs="Calibri"/>
          <w:sz w:val="22"/>
          <w:szCs w:val="22"/>
        </w:rPr>
        <w:t>s</w:t>
      </w:r>
      <w:r w:rsidR="00A06E93" w:rsidRPr="008B153E">
        <w:rPr>
          <w:rFonts w:ascii="Calibri" w:eastAsia="Calibri" w:hAnsi="Calibri" w:cs="Calibri"/>
          <w:sz w:val="22"/>
          <w:szCs w:val="22"/>
        </w:rPr>
        <w:t>. In the A2</w:t>
      </w:r>
      <w:r w:rsidR="00E11BB6" w:rsidRPr="008B153E">
        <w:rPr>
          <w:rFonts w:ascii="Calibri" w:eastAsia="Calibri" w:hAnsi="Calibri" w:cs="Calibri"/>
          <w:sz w:val="22"/>
          <w:szCs w:val="22"/>
        </w:rPr>
        <w:t>B</w:t>
      </w:r>
      <w:r w:rsidR="00A06E93" w:rsidRPr="008B153E">
        <w:rPr>
          <w:rFonts w:ascii="Calibri" w:eastAsia="Calibri" w:hAnsi="Calibri" w:cs="Calibri"/>
          <w:sz w:val="22"/>
          <w:szCs w:val="22"/>
        </w:rPr>
        <w:t xml:space="preserve"> trial this was further </w:t>
      </w:r>
      <w:r w:rsidR="00425CE1" w:rsidRPr="008B153E">
        <w:rPr>
          <w:rFonts w:ascii="Calibri" w:eastAsia="Calibri" w:hAnsi="Calibri" w:cs="Calibri"/>
          <w:sz w:val="22"/>
          <w:szCs w:val="22"/>
        </w:rPr>
        <w:t xml:space="preserve">exacerbated by </w:t>
      </w:r>
      <w:r w:rsidR="005F5E7C" w:rsidRPr="008B153E">
        <w:rPr>
          <w:rFonts w:ascii="Calibri" w:eastAsia="Calibri" w:hAnsi="Calibri" w:cs="Calibri"/>
          <w:sz w:val="22"/>
          <w:szCs w:val="22"/>
        </w:rPr>
        <w:t>the COVID-19 pandemic</w:t>
      </w:r>
      <w:r w:rsidR="00DA506E" w:rsidRPr="008B153E">
        <w:rPr>
          <w:rFonts w:ascii="Calibri" w:eastAsia="Calibri" w:hAnsi="Calibri" w:cs="Calibri"/>
          <w:sz w:val="22"/>
          <w:szCs w:val="22"/>
        </w:rPr>
        <w:t>.</w:t>
      </w:r>
      <w:r w:rsidR="008F762F" w:rsidRPr="008B153E">
        <w:rPr>
          <w:rFonts w:ascii="Calibri" w:eastAsia="Calibri" w:hAnsi="Calibri" w:cs="Calibri"/>
          <w:sz w:val="22"/>
          <w:szCs w:val="22"/>
        </w:rPr>
        <w:t xml:space="preserve"> These factors may have contributed to the </w:t>
      </w:r>
      <w:r w:rsidR="00D42779" w:rsidRPr="008B153E">
        <w:rPr>
          <w:rFonts w:ascii="Calibri" w:eastAsia="Calibri" w:hAnsi="Calibri" w:cs="Calibri"/>
          <w:sz w:val="22"/>
          <w:szCs w:val="22"/>
        </w:rPr>
        <w:t>high number of sites randomising &lt;60% of eligible patients.</w:t>
      </w:r>
      <w:r w:rsidR="00D70B57" w:rsidRPr="008B153E">
        <w:rPr>
          <w:rFonts w:ascii="Calibri" w:eastAsia="Calibri" w:hAnsi="Calibri" w:cs="Calibri"/>
          <w:sz w:val="22"/>
          <w:szCs w:val="22"/>
        </w:rPr>
        <w:t xml:space="preserve"> </w:t>
      </w:r>
      <w:r w:rsidR="0058149F" w:rsidRPr="008B153E">
        <w:rPr>
          <w:rFonts w:ascii="Calibri" w:eastAsia="Calibri" w:hAnsi="Calibri" w:cs="Calibri"/>
          <w:sz w:val="22"/>
          <w:szCs w:val="22"/>
        </w:rPr>
        <w:t xml:space="preserve">Despite these </w:t>
      </w:r>
      <w:r w:rsidR="009F5B60" w:rsidRPr="008B153E">
        <w:rPr>
          <w:rFonts w:ascii="Calibri" w:eastAsia="Calibri" w:hAnsi="Calibri" w:cs="Calibri"/>
          <w:sz w:val="22"/>
          <w:szCs w:val="22"/>
        </w:rPr>
        <w:t>difficulties</w:t>
      </w:r>
      <w:r w:rsidR="0058149F" w:rsidRPr="008B153E">
        <w:rPr>
          <w:rFonts w:ascii="Calibri" w:eastAsia="Calibri" w:hAnsi="Calibri" w:cs="Calibri"/>
          <w:sz w:val="22"/>
          <w:szCs w:val="22"/>
        </w:rPr>
        <w:t>,</w:t>
      </w:r>
      <w:r w:rsidR="003764D4" w:rsidRPr="008B153E">
        <w:rPr>
          <w:rFonts w:ascii="Calibri" w:eastAsia="Calibri" w:hAnsi="Calibri" w:cs="Calibri"/>
          <w:sz w:val="22"/>
          <w:szCs w:val="22"/>
        </w:rPr>
        <w:t xml:space="preserve"> </w:t>
      </w:r>
      <w:r w:rsidR="00C34292" w:rsidRPr="008B153E">
        <w:rPr>
          <w:rFonts w:ascii="Calibri" w:eastAsia="Calibri" w:hAnsi="Calibri" w:cs="Calibri"/>
          <w:sz w:val="22"/>
          <w:szCs w:val="22"/>
        </w:rPr>
        <w:t xml:space="preserve">adherence to the </w:t>
      </w:r>
      <w:r w:rsidR="003764D4" w:rsidRPr="008B153E">
        <w:rPr>
          <w:rFonts w:ascii="Calibri" w:eastAsia="Calibri" w:hAnsi="Calibri" w:cs="Calibri"/>
          <w:sz w:val="22"/>
          <w:szCs w:val="22"/>
        </w:rPr>
        <w:t xml:space="preserve">A2B intervention </w:t>
      </w:r>
      <w:r w:rsidR="00C34292" w:rsidRPr="008B153E">
        <w:rPr>
          <w:rFonts w:ascii="Calibri" w:eastAsia="Calibri" w:hAnsi="Calibri" w:cs="Calibri"/>
          <w:sz w:val="22"/>
          <w:szCs w:val="22"/>
        </w:rPr>
        <w:t xml:space="preserve">was moderate or high across </w:t>
      </w:r>
      <w:r w:rsidR="00F46908" w:rsidRPr="008B153E">
        <w:rPr>
          <w:rFonts w:ascii="Calibri" w:eastAsia="Calibri" w:hAnsi="Calibri" w:cs="Calibri"/>
          <w:sz w:val="22"/>
          <w:szCs w:val="22"/>
        </w:rPr>
        <w:t>90% of the study sites</w:t>
      </w:r>
      <w:r w:rsidR="0053519A" w:rsidRPr="008B153E">
        <w:rPr>
          <w:rFonts w:ascii="Calibri" w:eastAsia="Calibri" w:hAnsi="Calibri" w:cs="Calibri"/>
          <w:sz w:val="22"/>
          <w:szCs w:val="22"/>
        </w:rPr>
        <w:t xml:space="preserve">, </w:t>
      </w:r>
      <w:r w:rsidR="00DB447B" w:rsidRPr="008B153E">
        <w:rPr>
          <w:rFonts w:ascii="Calibri" w:eastAsia="Calibri" w:hAnsi="Calibri" w:cs="Calibri"/>
          <w:sz w:val="22"/>
          <w:szCs w:val="22"/>
        </w:rPr>
        <w:t xml:space="preserve">using the pre-defined metrics chosen, </w:t>
      </w:r>
      <w:r w:rsidR="0053519A" w:rsidRPr="008B153E">
        <w:rPr>
          <w:rFonts w:ascii="Calibri" w:eastAsia="Calibri" w:hAnsi="Calibri" w:cs="Calibri"/>
          <w:sz w:val="22"/>
          <w:szCs w:val="22"/>
        </w:rPr>
        <w:t>and across all sites recruiting more than 10 patients</w:t>
      </w:r>
      <w:r w:rsidR="00C50B09" w:rsidRPr="008B153E">
        <w:rPr>
          <w:rFonts w:ascii="Calibri" w:eastAsia="Calibri" w:hAnsi="Calibri" w:cs="Calibri"/>
          <w:sz w:val="22"/>
          <w:szCs w:val="22"/>
        </w:rPr>
        <w:t>.</w:t>
      </w:r>
      <w:r w:rsidR="000465BA" w:rsidRPr="008B153E">
        <w:rPr>
          <w:rFonts w:ascii="Calibri" w:eastAsia="Calibri" w:hAnsi="Calibri" w:cs="Calibri"/>
          <w:sz w:val="22"/>
          <w:szCs w:val="22"/>
        </w:rPr>
        <w:t xml:space="preserve"> </w:t>
      </w:r>
      <w:r w:rsidR="00A06E93" w:rsidRPr="008B153E">
        <w:rPr>
          <w:rFonts w:ascii="Calibri" w:eastAsia="Calibri" w:hAnsi="Calibri" w:cs="Calibri"/>
          <w:sz w:val="22"/>
          <w:szCs w:val="22"/>
        </w:rPr>
        <w:t>The</w:t>
      </w:r>
      <w:r w:rsidR="00A06E93" w:rsidRPr="001571C9">
        <w:rPr>
          <w:rFonts w:ascii="Calibri" w:eastAsia="Calibri" w:hAnsi="Calibri" w:cs="Calibri"/>
          <w:sz w:val="22"/>
          <w:szCs w:val="22"/>
        </w:rPr>
        <w:t xml:space="preserve"> finding</w:t>
      </w:r>
      <w:r w:rsidR="00574EF5" w:rsidRPr="001571C9">
        <w:rPr>
          <w:rFonts w:ascii="Calibri" w:eastAsia="Calibri" w:hAnsi="Calibri" w:cs="Calibri"/>
          <w:sz w:val="22"/>
          <w:szCs w:val="22"/>
        </w:rPr>
        <w:t>s</w:t>
      </w:r>
      <w:r w:rsidR="00A06E93" w:rsidRPr="001571C9">
        <w:rPr>
          <w:rFonts w:ascii="Calibri" w:eastAsia="Calibri" w:hAnsi="Calibri" w:cs="Calibri"/>
          <w:sz w:val="22"/>
          <w:szCs w:val="22"/>
        </w:rPr>
        <w:t xml:space="preserve"> of this </w:t>
      </w:r>
      <w:r w:rsidR="00574EF5" w:rsidRPr="001571C9">
        <w:rPr>
          <w:rFonts w:ascii="Calibri" w:eastAsia="Calibri" w:hAnsi="Calibri" w:cs="Calibri"/>
          <w:sz w:val="22"/>
          <w:szCs w:val="22"/>
        </w:rPr>
        <w:t>process evaluation</w:t>
      </w:r>
      <w:r w:rsidR="00A06E93" w:rsidRPr="001571C9">
        <w:rPr>
          <w:rFonts w:ascii="Calibri" w:eastAsia="Calibri" w:hAnsi="Calibri" w:cs="Calibri"/>
          <w:sz w:val="22"/>
          <w:szCs w:val="22"/>
        </w:rPr>
        <w:t xml:space="preserve"> </w:t>
      </w:r>
      <w:r w:rsidR="00574EF5" w:rsidRPr="001571C9">
        <w:rPr>
          <w:rFonts w:ascii="Calibri" w:eastAsia="Calibri" w:hAnsi="Calibri" w:cs="Calibri"/>
          <w:sz w:val="22"/>
          <w:szCs w:val="22"/>
        </w:rPr>
        <w:t>are</w:t>
      </w:r>
      <w:r w:rsidR="00A06E93" w:rsidRPr="001571C9">
        <w:rPr>
          <w:rFonts w:ascii="Calibri" w:eastAsia="Calibri" w:hAnsi="Calibri" w:cs="Calibri"/>
          <w:sz w:val="22"/>
          <w:szCs w:val="22"/>
        </w:rPr>
        <w:t xml:space="preserve"> vital in </w:t>
      </w:r>
      <w:r w:rsidR="00574EF5" w:rsidRPr="001571C9">
        <w:rPr>
          <w:rFonts w:ascii="Calibri" w:eastAsia="Calibri" w:hAnsi="Calibri" w:cs="Calibri"/>
          <w:sz w:val="22"/>
          <w:szCs w:val="22"/>
        </w:rPr>
        <w:t xml:space="preserve">both </w:t>
      </w:r>
      <w:r w:rsidR="00C45D04" w:rsidRPr="001571C9">
        <w:rPr>
          <w:rFonts w:ascii="Calibri" w:eastAsia="Calibri" w:hAnsi="Calibri" w:cs="Calibri"/>
          <w:sz w:val="22"/>
          <w:szCs w:val="22"/>
        </w:rPr>
        <w:t>address</w:t>
      </w:r>
      <w:r w:rsidR="00A06E93" w:rsidRPr="001571C9">
        <w:rPr>
          <w:rFonts w:ascii="Calibri" w:eastAsia="Calibri" w:hAnsi="Calibri" w:cs="Calibri"/>
          <w:sz w:val="22"/>
          <w:szCs w:val="22"/>
        </w:rPr>
        <w:t>ing</w:t>
      </w:r>
      <w:r w:rsidR="00C45D04" w:rsidRPr="001571C9">
        <w:rPr>
          <w:rFonts w:ascii="Calibri" w:eastAsia="Calibri" w:hAnsi="Calibri" w:cs="Calibri"/>
          <w:sz w:val="22"/>
          <w:szCs w:val="22"/>
        </w:rPr>
        <w:t xml:space="preserve"> </w:t>
      </w:r>
      <w:r w:rsidR="000B3096" w:rsidRPr="001571C9">
        <w:rPr>
          <w:rFonts w:ascii="Calibri" w:eastAsia="Calibri" w:hAnsi="Calibri" w:cs="Calibri"/>
          <w:sz w:val="22"/>
          <w:szCs w:val="22"/>
        </w:rPr>
        <w:t>how to best implement and sustain evidence-based interventions</w:t>
      </w:r>
      <w:sdt>
        <w:sdtPr>
          <w:rPr>
            <w:rFonts w:ascii="Calibri" w:eastAsia="Calibri" w:hAnsi="Calibri" w:cs="Calibri"/>
            <w:sz w:val="22"/>
            <w:szCs w:val="22"/>
            <w:highlight w:val="white"/>
          </w:rPr>
          <w:alias w:val="Citation"/>
          <w:tag w:val="{&quot;referencesIds&quot;:[&quot;doc:64e47efe8244f35ad3b2abd2&quot;],&quot;referencesOptions&quot;:{&quot;doc:64e47efe8244f35ad3b2abd2&quot;:{&quot;author&quot;:true,&quot;year&quot;:true,&quot;pageReplace&quot;:&quot;&quot;,&quot;prefix&quot;:&quot;&quot;,&quot;suffix&quot;:&quot;&quot;}},&quot;hasBrokenReferences&quot;:false,&quot;hasManualEdits&quot;:false,&quot;citationType&quot;:&quot;inline&quot;,&quot;id&quot;:-1647349630,&quot;citationText&quot;:&quot;&lt;span style=\&quot;font-family:Calibri;font-size:14.666666666666666px;color:#000000\&quot;&gt;&lt;sup&gt;11&lt;/sup&gt;&lt;/span&gt;&quot;}"/>
          <w:id w:val="-1647349630"/>
          <w:placeholder>
            <w:docPart w:val="26437490C268D0419EBC969C01FAE001"/>
          </w:placeholder>
        </w:sdtPr>
        <w:sdtContent>
          <w:r w:rsidR="00A06E93" w:rsidRPr="001571C9">
            <w:rPr>
              <w:rFonts w:ascii="Calibri" w:eastAsia="Calibri" w:hAnsi="Calibri" w:cs="Calibri"/>
              <w:sz w:val="22"/>
              <w:szCs w:val="22"/>
            </w:rPr>
            <w:t xml:space="preserve">, </w:t>
          </w:r>
          <w:r w:rsidR="00574EF5" w:rsidRPr="001571C9">
            <w:rPr>
              <w:rFonts w:ascii="Calibri" w:eastAsia="Calibri" w:hAnsi="Calibri" w:cs="Calibri"/>
              <w:sz w:val="22"/>
              <w:szCs w:val="22"/>
            </w:rPr>
            <w:t xml:space="preserve">as well as </w:t>
          </w:r>
          <w:r w:rsidR="00A06E93" w:rsidRPr="001571C9">
            <w:rPr>
              <w:rFonts w:ascii="Calibri" w:eastAsia="Calibri" w:hAnsi="Calibri" w:cs="Calibri"/>
              <w:sz w:val="22"/>
              <w:szCs w:val="22"/>
            </w:rPr>
            <w:t>how to deliver future sedative and opioid trials in ICU</w:t>
          </w:r>
        </w:sdtContent>
      </w:sdt>
      <w:r w:rsidR="000B3096" w:rsidRPr="001571C9">
        <w:rPr>
          <w:rFonts w:ascii="Calibri" w:eastAsia="Calibri" w:hAnsi="Calibri" w:cs="Calibri"/>
          <w:sz w:val="22"/>
          <w:szCs w:val="22"/>
        </w:rPr>
        <w:t>.</w:t>
      </w:r>
      <w:r w:rsidR="005B23B0" w:rsidRPr="00EC6C09">
        <w:rPr>
          <w:rFonts w:ascii="Calibri" w:eastAsia="Calibri" w:hAnsi="Calibri" w:cs="Calibri"/>
          <w:noProof/>
          <w:sz w:val="22"/>
          <w:szCs w:val="22"/>
          <w:vertAlign w:val="superscript"/>
        </w:rPr>
        <w:t>13</w:t>
      </w:r>
      <w:r w:rsidR="000B3096" w:rsidRPr="001571C9">
        <w:rPr>
          <w:rFonts w:ascii="Calibri" w:eastAsia="Calibri" w:hAnsi="Calibri" w:cs="Calibri"/>
          <w:sz w:val="22"/>
          <w:szCs w:val="22"/>
        </w:rPr>
        <w:t xml:space="preserve"> </w:t>
      </w:r>
    </w:p>
    <w:p w14:paraId="70EE600E" w14:textId="0D207184" w:rsidR="001E4BA5" w:rsidRDefault="00DA506E" w:rsidP="002358F3">
      <w:pPr>
        <w:spacing w:after="200" w:line="360" w:lineRule="auto"/>
        <w:jc w:val="both"/>
        <w:rPr>
          <w:rFonts w:ascii="Calibri" w:eastAsia="Calibri" w:hAnsi="Calibri" w:cs="Calibri"/>
          <w:color w:val="000000" w:themeColor="text1"/>
          <w:sz w:val="22"/>
          <w:szCs w:val="22"/>
        </w:rPr>
      </w:pPr>
      <w:r w:rsidRPr="00DA506E">
        <w:rPr>
          <w:rFonts w:ascii="Calibri" w:eastAsia="Calibri" w:hAnsi="Calibri" w:cs="Calibri"/>
          <w:color w:val="000000" w:themeColor="text1"/>
          <w:sz w:val="22"/>
          <w:szCs w:val="22"/>
        </w:rPr>
        <w:t>In complex and dynamic healthcare environments such as critical care, up to 70% of all change efforts fail to fully implement desired interventions</w:t>
      </w:r>
      <w:r w:rsidR="007370D3">
        <w:rPr>
          <w:rFonts w:ascii="Calibri" w:eastAsia="Calibri" w:hAnsi="Calibri" w:cs="Calibri"/>
          <w:color w:val="000000" w:themeColor="text1"/>
          <w:sz w:val="22"/>
          <w:szCs w:val="22"/>
        </w:rPr>
        <w:t>.</w:t>
      </w:r>
      <w:r w:rsidR="005B23B0" w:rsidRPr="00EC6C09">
        <w:rPr>
          <w:rFonts w:ascii="Calibri" w:eastAsia="Calibri" w:hAnsi="Calibri" w:cs="Calibri"/>
          <w:noProof/>
          <w:color w:val="000000" w:themeColor="text1"/>
          <w:sz w:val="22"/>
          <w:szCs w:val="22"/>
          <w:vertAlign w:val="superscript"/>
        </w:rPr>
        <w:t>14, 15</w:t>
      </w:r>
      <w:r w:rsidRPr="00DA506E">
        <w:rPr>
          <w:rFonts w:ascii="Calibri" w:eastAsia="Calibri" w:hAnsi="Calibri" w:cs="Calibri"/>
          <w:color w:val="000000" w:themeColor="text1"/>
          <w:sz w:val="22"/>
          <w:szCs w:val="22"/>
        </w:rPr>
        <w:t xml:space="preserve"> There are various reasons why </w:t>
      </w:r>
      <w:r w:rsidR="00255534">
        <w:rPr>
          <w:rFonts w:ascii="Calibri" w:eastAsia="Calibri" w:hAnsi="Calibri" w:cs="Calibri"/>
          <w:color w:val="000000" w:themeColor="text1"/>
          <w:sz w:val="22"/>
          <w:szCs w:val="22"/>
        </w:rPr>
        <w:t xml:space="preserve">results of clinical trials </w:t>
      </w:r>
      <w:r w:rsidR="005152C5">
        <w:rPr>
          <w:rFonts w:ascii="Calibri" w:eastAsia="Calibri" w:hAnsi="Calibri" w:cs="Calibri"/>
          <w:color w:val="000000" w:themeColor="text1"/>
          <w:sz w:val="22"/>
          <w:szCs w:val="22"/>
        </w:rPr>
        <w:t xml:space="preserve">often fail to translate into clinical practice, and </w:t>
      </w:r>
      <w:r w:rsidRPr="00DA506E">
        <w:rPr>
          <w:rFonts w:ascii="Calibri" w:eastAsia="Calibri" w:hAnsi="Calibri" w:cs="Calibri"/>
          <w:color w:val="000000" w:themeColor="text1"/>
          <w:sz w:val="22"/>
          <w:szCs w:val="22"/>
        </w:rPr>
        <w:t xml:space="preserve">critical care research </w:t>
      </w:r>
      <w:r w:rsidR="005152C5">
        <w:rPr>
          <w:rFonts w:ascii="Calibri" w:eastAsia="Calibri" w:hAnsi="Calibri" w:cs="Calibri"/>
          <w:color w:val="000000" w:themeColor="text1"/>
          <w:sz w:val="22"/>
          <w:szCs w:val="22"/>
        </w:rPr>
        <w:t xml:space="preserve">is no different. In this context, understanding </w:t>
      </w:r>
      <w:r w:rsidR="00B37B29">
        <w:rPr>
          <w:rFonts w:ascii="Calibri" w:eastAsia="Calibri" w:hAnsi="Calibri" w:cs="Calibri"/>
          <w:color w:val="000000" w:themeColor="text1"/>
          <w:sz w:val="22"/>
          <w:szCs w:val="22"/>
        </w:rPr>
        <w:t>the barriers and facilitators to successful delivery of any intervention is essential</w:t>
      </w:r>
      <w:r w:rsidR="009F5B60">
        <w:rPr>
          <w:rFonts w:ascii="Calibri" w:eastAsia="Calibri" w:hAnsi="Calibri" w:cs="Calibri"/>
          <w:color w:val="000000" w:themeColor="text1"/>
          <w:sz w:val="22"/>
          <w:szCs w:val="22"/>
        </w:rPr>
        <w:t>.</w:t>
      </w:r>
      <w:r w:rsidR="00B37B29">
        <w:rPr>
          <w:rFonts w:ascii="Calibri" w:eastAsia="Calibri" w:hAnsi="Calibri" w:cs="Calibri"/>
          <w:color w:val="000000" w:themeColor="text1"/>
          <w:sz w:val="22"/>
          <w:szCs w:val="22"/>
        </w:rPr>
        <w:t xml:space="preserve"> </w:t>
      </w:r>
    </w:p>
    <w:p w14:paraId="03E7EEE1" w14:textId="5B841052" w:rsidR="0014615A" w:rsidRPr="00B3567A" w:rsidRDefault="00FF19C2" w:rsidP="002358F3">
      <w:pPr>
        <w:spacing w:after="200" w:line="360" w:lineRule="auto"/>
        <w:jc w:val="both"/>
        <w:rPr>
          <w:rFonts w:ascii="Calibri" w:eastAsia="Calibri" w:hAnsi="Calibri" w:cs="Calibri"/>
          <w:sz w:val="22"/>
          <w:szCs w:val="22"/>
        </w:rPr>
      </w:pPr>
      <w:r>
        <w:rPr>
          <w:rFonts w:ascii="Calibri" w:eastAsia="Calibri" w:hAnsi="Calibri" w:cs="Calibri"/>
          <w:sz w:val="22"/>
          <w:szCs w:val="22"/>
        </w:rPr>
        <w:t xml:space="preserve">When considering the multiple </w:t>
      </w:r>
      <w:r w:rsidR="00393491">
        <w:rPr>
          <w:rFonts w:ascii="Calibri" w:eastAsia="Calibri" w:hAnsi="Calibri" w:cs="Calibri"/>
          <w:sz w:val="22"/>
          <w:szCs w:val="22"/>
        </w:rPr>
        <w:t>participant</w:t>
      </w:r>
      <w:r>
        <w:rPr>
          <w:rFonts w:ascii="Calibri" w:eastAsia="Calibri" w:hAnsi="Calibri" w:cs="Calibri"/>
          <w:sz w:val="22"/>
          <w:szCs w:val="22"/>
        </w:rPr>
        <w:t xml:space="preserve"> related factors identified, the challenge of addressing clinician behaviour </w:t>
      </w:r>
      <w:r w:rsidR="00313961">
        <w:rPr>
          <w:rFonts w:ascii="Calibri" w:eastAsia="Calibri" w:hAnsi="Calibri" w:cs="Calibri"/>
          <w:sz w:val="22"/>
          <w:szCs w:val="22"/>
        </w:rPr>
        <w:t>was</w:t>
      </w:r>
      <w:r w:rsidR="00A06E93">
        <w:rPr>
          <w:rFonts w:ascii="Calibri" w:eastAsia="Calibri" w:hAnsi="Calibri" w:cs="Calibri"/>
          <w:sz w:val="22"/>
          <w:szCs w:val="22"/>
        </w:rPr>
        <w:t xml:space="preserve"> </w:t>
      </w:r>
      <w:r>
        <w:rPr>
          <w:rFonts w:ascii="Calibri" w:eastAsia="Calibri" w:hAnsi="Calibri" w:cs="Calibri"/>
          <w:sz w:val="22"/>
          <w:szCs w:val="22"/>
        </w:rPr>
        <w:t>emphasised</w:t>
      </w:r>
      <w:r w:rsidR="00313961">
        <w:rPr>
          <w:rFonts w:ascii="Calibri" w:eastAsia="Calibri" w:hAnsi="Calibri" w:cs="Calibri"/>
          <w:sz w:val="22"/>
          <w:szCs w:val="22"/>
        </w:rPr>
        <w:t xml:space="preserve"> </w:t>
      </w:r>
      <w:r w:rsidR="00A06E93">
        <w:rPr>
          <w:rFonts w:ascii="Calibri" w:eastAsia="Calibri" w:hAnsi="Calibri" w:cs="Calibri"/>
          <w:sz w:val="22"/>
          <w:szCs w:val="22"/>
        </w:rPr>
        <w:t xml:space="preserve">throughout the </w:t>
      </w:r>
      <w:r w:rsidR="00FF22B6">
        <w:rPr>
          <w:rFonts w:ascii="Calibri" w:eastAsia="Calibri" w:hAnsi="Calibri" w:cs="Calibri"/>
          <w:sz w:val="22"/>
          <w:szCs w:val="22"/>
        </w:rPr>
        <w:t>process evaluation</w:t>
      </w:r>
      <w:r>
        <w:rPr>
          <w:rFonts w:ascii="Calibri" w:eastAsia="Calibri" w:hAnsi="Calibri" w:cs="Calibri"/>
          <w:sz w:val="22"/>
          <w:szCs w:val="22"/>
        </w:rPr>
        <w:t xml:space="preserve">. </w:t>
      </w:r>
      <w:r w:rsidR="00313961">
        <w:rPr>
          <w:rFonts w:ascii="Calibri" w:eastAsia="Calibri" w:hAnsi="Calibri" w:cs="Calibri"/>
          <w:color w:val="000000" w:themeColor="text1"/>
          <w:sz w:val="22"/>
          <w:szCs w:val="22"/>
        </w:rPr>
        <w:t>Considerations</w:t>
      </w:r>
      <w:r w:rsidR="00920BE9">
        <w:rPr>
          <w:rFonts w:ascii="Calibri" w:eastAsia="Calibri" w:hAnsi="Calibri" w:cs="Calibri"/>
          <w:color w:val="000000" w:themeColor="text1"/>
          <w:sz w:val="22"/>
          <w:szCs w:val="22"/>
        </w:rPr>
        <w:t xml:space="preserve"> such as </w:t>
      </w:r>
      <w:r w:rsidR="00265002">
        <w:rPr>
          <w:rFonts w:ascii="Calibri" w:eastAsia="Calibri" w:hAnsi="Calibri" w:cs="Calibri"/>
          <w:sz w:val="22"/>
          <w:szCs w:val="22"/>
        </w:rPr>
        <w:t xml:space="preserve">clinician </w:t>
      </w:r>
      <w:r w:rsidR="00265002" w:rsidRPr="008B153E">
        <w:rPr>
          <w:rFonts w:ascii="Calibri" w:eastAsia="Calibri" w:hAnsi="Calibri" w:cs="Calibri"/>
          <w:sz w:val="22"/>
          <w:szCs w:val="22"/>
        </w:rPr>
        <w:t xml:space="preserve">preference, </w:t>
      </w:r>
      <w:r w:rsidR="00A42787" w:rsidRPr="008B153E">
        <w:rPr>
          <w:rFonts w:ascii="Calibri" w:hAnsi="Calibri" w:cs="Calibri"/>
          <w:sz w:val="22"/>
          <w:szCs w:val="22"/>
        </w:rPr>
        <w:t xml:space="preserve">individual </w:t>
      </w:r>
      <w:r w:rsidR="00265002" w:rsidRPr="008B153E">
        <w:rPr>
          <w:rFonts w:ascii="Calibri" w:eastAsia="Calibri" w:hAnsi="Calibri" w:cs="Calibri"/>
          <w:sz w:val="22"/>
          <w:szCs w:val="22"/>
        </w:rPr>
        <w:t>equipoise</w:t>
      </w:r>
      <w:r w:rsidR="00920BE9" w:rsidRPr="008B153E">
        <w:rPr>
          <w:rFonts w:ascii="Calibri" w:eastAsia="Calibri" w:hAnsi="Calibri" w:cs="Calibri"/>
          <w:sz w:val="22"/>
          <w:szCs w:val="22"/>
        </w:rPr>
        <w:t xml:space="preserve"> and </w:t>
      </w:r>
      <w:r w:rsidR="00265002" w:rsidRPr="008B153E">
        <w:rPr>
          <w:rFonts w:ascii="Calibri" w:eastAsia="Calibri" w:hAnsi="Calibri" w:cs="Calibri"/>
          <w:sz w:val="22"/>
          <w:szCs w:val="22"/>
        </w:rPr>
        <w:t xml:space="preserve">clinician resistance </w:t>
      </w:r>
      <w:r w:rsidR="00B244B2" w:rsidRPr="008B153E">
        <w:rPr>
          <w:rFonts w:ascii="Calibri" w:eastAsia="Calibri" w:hAnsi="Calibri" w:cs="Calibri"/>
          <w:color w:val="000000" w:themeColor="text1"/>
          <w:sz w:val="22"/>
          <w:szCs w:val="22"/>
        </w:rPr>
        <w:t xml:space="preserve">were largely driven by usual practice, staffs’ previous experiences with the </w:t>
      </w:r>
      <w:r w:rsidR="00A06E93" w:rsidRPr="008B153E">
        <w:rPr>
          <w:rFonts w:ascii="Calibri" w:eastAsia="Calibri" w:hAnsi="Calibri" w:cs="Calibri"/>
          <w:color w:val="000000" w:themeColor="text1"/>
          <w:sz w:val="22"/>
          <w:szCs w:val="22"/>
        </w:rPr>
        <w:t>medication</w:t>
      </w:r>
      <w:r w:rsidR="00B244B2" w:rsidRPr="008B153E">
        <w:rPr>
          <w:rFonts w:ascii="Calibri" w:eastAsia="Calibri" w:hAnsi="Calibri" w:cs="Calibri"/>
          <w:color w:val="000000" w:themeColor="text1"/>
          <w:sz w:val="22"/>
          <w:szCs w:val="22"/>
        </w:rPr>
        <w:t xml:space="preserve">s and sedation management, and whether they had pre-defined ideas </w:t>
      </w:r>
      <w:r w:rsidR="00DB447B" w:rsidRPr="008B153E">
        <w:rPr>
          <w:rFonts w:ascii="Calibri" w:eastAsia="Calibri" w:hAnsi="Calibri" w:cs="Calibri"/>
          <w:color w:val="000000" w:themeColor="text1"/>
          <w:sz w:val="22"/>
          <w:szCs w:val="22"/>
        </w:rPr>
        <w:t xml:space="preserve">and beliefs </w:t>
      </w:r>
      <w:r w:rsidR="00B244B2" w:rsidRPr="008B153E">
        <w:rPr>
          <w:rFonts w:ascii="Calibri" w:eastAsia="Calibri" w:hAnsi="Calibri" w:cs="Calibri"/>
          <w:color w:val="000000" w:themeColor="text1"/>
          <w:sz w:val="22"/>
          <w:szCs w:val="22"/>
        </w:rPr>
        <w:t>about treatment preferences.</w:t>
      </w:r>
      <w:r w:rsidR="003C52EB" w:rsidRPr="008B153E">
        <w:rPr>
          <w:rFonts w:ascii="Calibri" w:eastAsia="Calibri" w:hAnsi="Calibri" w:cs="Calibri"/>
          <w:color w:val="000000" w:themeColor="text1"/>
          <w:sz w:val="22"/>
          <w:szCs w:val="22"/>
        </w:rPr>
        <w:t xml:space="preserve"> </w:t>
      </w:r>
      <w:r w:rsidR="00B7151B" w:rsidRPr="008B153E">
        <w:rPr>
          <w:rFonts w:ascii="Calibri" w:eastAsia="Calibri" w:hAnsi="Calibri" w:cs="Calibri"/>
          <w:color w:val="000000" w:themeColor="text1"/>
          <w:sz w:val="22"/>
          <w:szCs w:val="22"/>
        </w:rPr>
        <w:t>During</w:t>
      </w:r>
      <w:r w:rsidR="0018580A" w:rsidRPr="008B153E">
        <w:rPr>
          <w:rFonts w:ascii="Calibri" w:eastAsia="Calibri" w:hAnsi="Calibri" w:cs="Calibri"/>
          <w:color w:val="000000" w:themeColor="text1"/>
          <w:sz w:val="22"/>
          <w:szCs w:val="22"/>
        </w:rPr>
        <w:t xml:space="preserve"> A2B t</w:t>
      </w:r>
      <w:r w:rsidR="003C52EB" w:rsidRPr="008B153E">
        <w:rPr>
          <w:rFonts w:ascii="Calibri" w:eastAsia="Calibri" w:hAnsi="Calibri" w:cs="Calibri"/>
          <w:color w:val="000000" w:themeColor="text1"/>
          <w:sz w:val="22"/>
          <w:szCs w:val="22"/>
        </w:rPr>
        <w:t>hese factors were</w:t>
      </w:r>
      <w:r w:rsidR="00A06E93" w:rsidRPr="008B153E">
        <w:rPr>
          <w:rFonts w:ascii="Calibri" w:eastAsia="Calibri" w:hAnsi="Calibri" w:cs="Calibri"/>
          <w:color w:val="000000" w:themeColor="text1"/>
          <w:sz w:val="22"/>
          <w:szCs w:val="22"/>
        </w:rPr>
        <w:t xml:space="preserve"> </w:t>
      </w:r>
      <w:r w:rsidR="00D67308" w:rsidRPr="008B153E">
        <w:rPr>
          <w:rFonts w:ascii="Calibri" w:eastAsia="Calibri" w:hAnsi="Calibri" w:cs="Calibri"/>
          <w:color w:val="000000" w:themeColor="text1"/>
          <w:sz w:val="22"/>
          <w:szCs w:val="22"/>
        </w:rPr>
        <w:t>exacerbated</w:t>
      </w:r>
      <w:r w:rsidR="003C52EB" w:rsidRPr="008B153E">
        <w:rPr>
          <w:rFonts w:ascii="Calibri" w:eastAsia="Calibri" w:hAnsi="Calibri" w:cs="Calibri"/>
          <w:color w:val="000000" w:themeColor="text1"/>
          <w:sz w:val="22"/>
          <w:szCs w:val="22"/>
        </w:rPr>
        <w:t xml:space="preserve"> by </w:t>
      </w:r>
      <w:r w:rsidR="00D67308" w:rsidRPr="008B153E">
        <w:rPr>
          <w:rFonts w:ascii="Calibri" w:eastAsia="Calibri" w:hAnsi="Calibri" w:cs="Calibri"/>
          <w:color w:val="000000" w:themeColor="text1"/>
          <w:sz w:val="22"/>
          <w:szCs w:val="22"/>
        </w:rPr>
        <w:t>the publication of the SPICE III results</w:t>
      </w:r>
      <w:r w:rsidR="005B23B0" w:rsidRPr="008B153E">
        <w:rPr>
          <w:rFonts w:ascii="Calibri" w:eastAsia="Calibri" w:hAnsi="Calibri" w:cs="Calibri"/>
          <w:noProof/>
          <w:color w:val="000000" w:themeColor="text1"/>
          <w:sz w:val="22"/>
          <w:szCs w:val="22"/>
          <w:vertAlign w:val="superscript"/>
        </w:rPr>
        <w:t>7</w:t>
      </w:r>
      <w:r w:rsidR="00897E86" w:rsidRPr="008B153E">
        <w:rPr>
          <w:rFonts w:ascii="Calibri" w:eastAsia="Calibri" w:hAnsi="Calibri" w:cs="Calibri"/>
          <w:color w:val="000000" w:themeColor="text1"/>
          <w:sz w:val="22"/>
          <w:szCs w:val="22"/>
        </w:rPr>
        <w:t xml:space="preserve"> </w:t>
      </w:r>
      <w:r w:rsidR="008065FC" w:rsidRPr="008B153E">
        <w:rPr>
          <w:rFonts w:ascii="Calibri" w:eastAsia="Calibri" w:hAnsi="Calibri" w:cs="Calibri"/>
          <w:color w:val="000000" w:themeColor="text1"/>
          <w:sz w:val="22"/>
          <w:szCs w:val="22"/>
        </w:rPr>
        <w:t>mid</w:t>
      </w:r>
      <w:r w:rsidR="0053519A" w:rsidRPr="008B153E">
        <w:rPr>
          <w:rFonts w:ascii="Calibri" w:eastAsia="Calibri" w:hAnsi="Calibri" w:cs="Calibri"/>
          <w:color w:val="000000" w:themeColor="text1"/>
          <w:sz w:val="22"/>
          <w:szCs w:val="22"/>
        </w:rPr>
        <w:t>-</w:t>
      </w:r>
      <w:r w:rsidR="008065FC" w:rsidRPr="008B153E">
        <w:rPr>
          <w:rFonts w:ascii="Calibri" w:eastAsia="Calibri" w:hAnsi="Calibri" w:cs="Calibri"/>
          <w:color w:val="000000" w:themeColor="text1"/>
          <w:sz w:val="22"/>
          <w:szCs w:val="22"/>
        </w:rPr>
        <w:t>tri</w:t>
      </w:r>
      <w:r w:rsidR="008065FC" w:rsidRPr="008B153E">
        <w:rPr>
          <w:rFonts w:ascii="Calibri" w:eastAsia="Calibri" w:hAnsi="Calibri" w:cs="Calibri"/>
          <w:sz w:val="22"/>
          <w:szCs w:val="22"/>
        </w:rPr>
        <w:t xml:space="preserve">al and questions </w:t>
      </w:r>
      <w:r w:rsidR="008351F6" w:rsidRPr="008B153E">
        <w:rPr>
          <w:rFonts w:ascii="Calibri" w:eastAsia="Calibri" w:hAnsi="Calibri" w:cs="Calibri"/>
          <w:sz w:val="22"/>
          <w:szCs w:val="22"/>
        </w:rPr>
        <w:t xml:space="preserve">were </w:t>
      </w:r>
      <w:r w:rsidR="008065FC" w:rsidRPr="008B153E">
        <w:rPr>
          <w:rFonts w:ascii="Calibri" w:eastAsia="Calibri" w:hAnsi="Calibri" w:cs="Calibri"/>
          <w:sz w:val="22"/>
          <w:szCs w:val="22"/>
        </w:rPr>
        <w:t xml:space="preserve">raised </w:t>
      </w:r>
      <w:r w:rsidR="008351F6" w:rsidRPr="008B153E">
        <w:rPr>
          <w:rFonts w:ascii="Calibri" w:eastAsia="Calibri" w:hAnsi="Calibri" w:cs="Calibri"/>
          <w:sz w:val="22"/>
          <w:szCs w:val="22"/>
        </w:rPr>
        <w:t xml:space="preserve">about the </w:t>
      </w:r>
      <w:r w:rsidR="00C31990" w:rsidRPr="008B153E">
        <w:rPr>
          <w:rFonts w:ascii="Calibri" w:eastAsia="Calibri" w:hAnsi="Calibri" w:cs="Calibri"/>
          <w:sz w:val="22"/>
          <w:szCs w:val="22"/>
        </w:rPr>
        <w:t>effectiveness and safety</w:t>
      </w:r>
      <w:r w:rsidR="00A221EA" w:rsidRPr="008B153E">
        <w:rPr>
          <w:rFonts w:ascii="Calibri" w:eastAsia="Calibri" w:hAnsi="Calibri" w:cs="Calibri"/>
          <w:sz w:val="22"/>
          <w:szCs w:val="22"/>
        </w:rPr>
        <w:t xml:space="preserve"> of a</w:t>
      </w:r>
      <w:r w:rsidR="00333BC9" w:rsidRPr="008B153E">
        <w:rPr>
          <w:rFonts w:ascii="Calibri" w:eastAsia="Calibri" w:hAnsi="Calibri" w:cs="Calibri"/>
          <w:sz w:val="22"/>
          <w:szCs w:val="22"/>
        </w:rPr>
        <w:t>lpha-</w:t>
      </w:r>
      <w:r w:rsidR="00A221EA" w:rsidRPr="008B153E">
        <w:rPr>
          <w:rFonts w:ascii="Calibri" w:eastAsia="Calibri" w:hAnsi="Calibri" w:cs="Calibri"/>
          <w:sz w:val="22"/>
          <w:szCs w:val="22"/>
        </w:rPr>
        <w:t>2 agonists</w:t>
      </w:r>
      <w:r w:rsidR="0014615A" w:rsidRPr="008B153E">
        <w:rPr>
          <w:rFonts w:ascii="Calibri" w:eastAsia="Calibri" w:hAnsi="Calibri" w:cs="Calibri"/>
          <w:sz w:val="22"/>
          <w:szCs w:val="22"/>
        </w:rPr>
        <w:t>, specifically dexmedetomidine</w:t>
      </w:r>
      <w:r w:rsidR="00C31990" w:rsidRPr="008B153E">
        <w:rPr>
          <w:rFonts w:ascii="Calibri" w:eastAsia="Calibri" w:hAnsi="Calibri" w:cs="Calibri"/>
          <w:sz w:val="22"/>
          <w:szCs w:val="22"/>
        </w:rPr>
        <w:t xml:space="preserve">. </w:t>
      </w:r>
      <w:r w:rsidR="003F2AAE" w:rsidRPr="008B153E">
        <w:rPr>
          <w:rFonts w:ascii="Calibri" w:eastAsia="Calibri" w:hAnsi="Calibri" w:cs="Calibri"/>
          <w:sz w:val="22"/>
          <w:szCs w:val="22"/>
        </w:rPr>
        <w:t>Clinicians often frame their decision-making around the benefit versus risk of an intervention, including time required, complexity, and competing clinical commitments</w:t>
      </w:r>
      <w:r w:rsidR="00790933" w:rsidRPr="008B153E">
        <w:rPr>
          <w:rFonts w:ascii="Calibri" w:eastAsia="Calibri" w:hAnsi="Calibri" w:cs="Calibri"/>
          <w:sz w:val="22"/>
          <w:szCs w:val="22"/>
        </w:rPr>
        <w:t>.</w:t>
      </w:r>
      <w:r w:rsidR="005B23B0" w:rsidRPr="008B153E">
        <w:rPr>
          <w:rFonts w:ascii="Calibri" w:eastAsia="Calibri" w:hAnsi="Calibri" w:cs="Calibri"/>
          <w:noProof/>
          <w:sz w:val="22"/>
          <w:szCs w:val="22"/>
          <w:vertAlign w:val="superscript"/>
        </w:rPr>
        <w:t>16</w:t>
      </w:r>
      <w:r w:rsidR="00790933" w:rsidRPr="008B153E">
        <w:rPr>
          <w:rFonts w:ascii="Calibri" w:eastAsia="Calibri" w:hAnsi="Calibri" w:cs="Calibri"/>
          <w:sz w:val="22"/>
          <w:szCs w:val="22"/>
        </w:rPr>
        <w:t xml:space="preserve"> </w:t>
      </w:r>
      <w:r w:rsidR="0014615A" w:rsidRPr="008B153E">
        <w:rPr>
          <w:rFonts w:ascii="Calibri" w:eastAsia="Calibri" w:hAnsi="Calibri" w:cs="Calibri"/>
          <w:sz w:val="22"/>
          <w:szCs w:val="22"/>
        </w:rPr>
        <w:t xml:space="preserve">The increased mortality reported in younger patients in the </w:t>
      </w:r>
      <w:r w:rsidR="0014615A" w:rsidRPr="008B153E">
        <w:rPr>
          <w:rFonts w:ascii="Calibri" w:eastAsia="Calibri" w:hAnsi="Calibri" w:cs="Calibri"/>
          <w:sz w:val="22"/>
          <w:szCs w:val="22"/>
        </w:rPr>
        <w:lastRenderedPageBreak/>
        <w:t xml:space="preserve">dexmedetomidine arm of the SPICE </w:t>
      </w:r>
      <w:r w:rsidR="00613477" w:rsidRPr="008B153E">
        <w:rPr>
          <w:rFonts w:ascii="Calibri" w:eastAsia="Calibri" w:hAnsi="Calibri" w:cs="Calibri"/>
          <w:sz w:val="22"/>
          <w:szCs w:val="22"/>
        </w:rPr>
        <w:t xml:space="preserve">III </w:t>
      </w:r>
      <w:r w:rsidR="0014615A" w:rsidRPr="008B153E">
        <w:rPr>
          <w:rFonts w:ascii="Calibri" w:eastAsia="Calibri" w:hAnsi="Calibri" w:cs="Calibri"/>
          <w:sz w:val="22"/>
          <w:szCs w:val="22"/>
        </w:rPr>
        <w:t>trial</w:t>
      </w:r>
      <w:r w:rsidR="00A00247" w:rsidRPr="008B153E">
        <w:rPr>
          <w:rFonts w:ascii="Calibri" w:eastAsia="Calibri" w:hAnsi="Calibri" w:cs="Calibri"/>
          <w:sz w:val="22"/>
          <w:szCs w:val="22"/>
        </w:rPr>
        <w:t>, along with</w:t>
      </w:r>
      <w:r w:rsidR="0014615A" w:rsidRPr="008B153E">
        <w:rPr>
          <w:rFonts w:ascii="Calibri" w:eastAsia="Calibri" w:hAnsi="Calibri" w:cs="Calibri"/>
          <w:sz w:val="22"/>
          <w:szCs w:val="22"/>
        </w:rPr>
        <w:t xml:space="preserve"> the subsequent </w:t>
      </w:r>
      <w:r w:rsidR="00CB6FF2" w:rsidRPr="008B153E">
        <w:rPr>
          <w:rFonts w:ascii="Calibri" w:eastAsia="Calibri" w:hAnsi="Calibri" w:cs="Calibri"/>
          <w:sz w:val="22"/>
          <w:szCs w:val="22"/>
        </w:rPr>
        <w:t xml:space="preserve">European Medicines </w:t>
      </w:r>
      <w:r w:rsidR="0036502C" w:rsidRPr="008B153E">
        <w:rPr>
          <w:rFonts w:ascii="Calibri" w:eastAsia="Calibri" w:hAnsi="Calibri" w:cs="Calibri"/>
          <w:sz w:val="22"/>
          <w:szCs w:val="22"/>
        </w:rPr>
        <w:t>Agency</w:t>
      </w:r>
      <w:r w:rsidR="00CB6FF2" w:rsidRPr="008B153E">
        <w:rPr>
          <w:rFonts w:ascii="Calibri" w:eastAsia="Calibri" w:hAnsi="Calibri" w:cs="Calibri"/>
          <w:sz w:val="22"/>
          <w:szCs w:val="22"/>
        </w:rPr>
        <w:t xml:space="preserve"> advice</w:t>
      </w:r>
      <w:r w:rsidR="005B23B0" w:rsidRPr="008B153E">
        <w:rPr>
          <w:rFonts w:ascii="Calibri" w:eastAsia="Calibri" w:hAnsi="Calibri" w:cs="Calibri"/>
          <w:noProof/>
          <w:sz w:val="22"/>
          <w:szCs w:val="22"/>
          <w:vertAlign w:val="superscript"/>
        </w:rPr>
        <w:t>17</w:t>
      </w:r>
      <w:r w:rsidR="00A00247" w:rsidRPr="008B153E">
        <w:t xml:space="preserve"> </w:t>
      </w:r>
      <w:r w:rsidR="00F92D3A" w:rsidRPr="008B153E">
        <w:rPr>
          <w:rFonts w:ascii="Calibri" w:hAnsi="Calibri" w:cs="Calibri"/>
        </w:rPr>
        <w:t>regarding</w:t>
      </w:r>
      <w:r w:rsidR="0014615A" w:rsidRPr="008B153E">
        <w:rPr>
          <w:rFonts w:ascii="Calibri" w:eastAsia="Calibri" w:hAnsi="Calibri" w:cs="Calibri"/>
          <w:sz w:val="22"/>
          <w:szCs w:val="22"/>
        </w:rPr>
        <w:t xml:space="preserve"> potential patient harm from dexmedetomidine</w:t>
      </w:r>
      <w:r w:rsidR="002F6DDF" w:rsidRPr="008B153E">
        <w:rPr>
          <w:rFonts w:ascii="Calibri" w:eastAsia="Calibri" w:hAnsi="Calibri" w:cs="Calibri"/>
          <w:sz w:val="22"/>
          <w:szCs w:val="22"/>
        </w:rPr>
        <w:t xml:space="preserve">, concerned clinicians </w:t>
      </w:r>
      <w:r w:rsidR="00D71BB5" w:rsidRPr="008B153E">
        <w:rPr>
          <w:rFonts w:ascii="Calibri" w:eastAsia="Calibri" w:hAnsi="Calibri" w:cs="Calibri"/>
          <w:sz w:val="22"/>
          <w:szCs w:val="22"/>
        </w:rPr>
        <w:t xml:space="preserve">about </w:t>
      </w:r>
      <w:r w:rsidR="0014615A" w:rsidRPr="008B153E">
        <w:rPr>
          <w:rFonts w:ascii="Calibri" w:eastAsia="Calibri" w:hAnsi="Calibri" w:cs="Calibri"/>
          <w:sz w:val="22"/>
          <w:szCs w:val="22"/>
        </w:rPr>
        <w:t xml:space="preserve">increased risk of patient harm from early dexmedetomidine use. </w:t>
      </w:r>
      <w:r w:rsidR="003F2AAE" w:rsidRPr="008B153E">
        <w:rPr>
          <w:rFonts w:ascii="Calibri" w:eastAsia="Calibri" w:hAnsi="Calibri" w:cs="Calibri"/>
          <w:sz w:val="22"/>
          <w:szCs w:val="22"/>
        </w:rPr>
        <w:t>This likely ha</w:t>
      </w:r>
      <w:r w:rsidR="007B1356" w:rsidRPr="008B153E">
        <w:rPr>
          <w:rFonts w:ascii="Calibri" w:eastAsia="Calibri" w:hAnsi="Calibri" w:cs="Calibri"/>
          <w:sz w:val="22"/>
          <w:szCs w:val="22"/>
        </w:rPr>
        <w:t>d</w:t>
      </w:r>
      <w:r w:rsidR="003F2AAE" w:rsidRPr="008B153E">
        <w:rPr>
          <w:rFonts w:ascii="Calibri" w:eastAsia="Calibri" w:hAnsi="Calibri" w:cs="Calibri"/>
          <w:sz w:val="22"/>
          <w:szCs w:val="22"/>
        </w:rPr>
        <w:t xml:space="preserve"> a</w:t>
      </w:r>
      <w:r w:rsidR="00CE02A6" w:rsidRPr="008B153E">
        <w:rPr>
          <w:rFonts w:ascii="Calibri" w:eastAsia="Calibri" w:hAnsi="Calibri" w:cs="Calibri"/>
          <w:sz w:val="22"/>
          <w:szCs w:val="22"/>
        </w:rPr>
        <w:t>n</w:t>
      </w:r>
      <w:r w:rsidR="003F2AAE" w:rsidRPr="008B153E">
        <w:rPr>
          <w:rFonts w:ascii="Calibri" w:eastAsia="Calibri" w:hAnsi="Calibri" w:cs="Calibri"/>
          <w:sz w:val="22"/>
          <w:szCs w:val="22"/>
        </w:rPr>
        <w:t xml:space="preserve"> impact upon the degree to which they engage</w:t>
      </w:r>
      <w:r w:rsidR="007B1356" w:rsidRPr="008B153E">
        <w:rPr>
          <w:rFonts w:ascii="Calibri" w:eastAsia="Calibri" w:hAnsi="Calibri" w:cs="Calibri"/>
          <w:sz w:val="22"/>
          <w:szCs w:val="22"/>
        </w:rPr>
        <w:t>d</w:t>
      </w:r>
      <w:r w:rsidR="003F2AAE" w:rsidRPr="008B153E">
        <w:rPr>
          <w:rFonts w:ascii="Calibri" w:eastAsia="Calibri" w:hAnsi="Calibri" w:cs="Calibri"/>
          <w:sz w:val="22"/>
          <w:szCs w:val="22"/>
        </w:rPr>
        <w:t xml:space="preserve"> with </w:t>
      </w:r>
      <w:r w:rsidR="00921421" w:rsidRPr="008B153E">
        <w:rPr>
          <w:rFonts w:ascii="Calibri" w:eastAsia="Calibri" w:hAnsi="Calibri" w:cs="Calibri"/>
          <w:sz w:val="22"/>
          <w:szCs w:val="22"/>
        </w:rPr>
        <w:t>the</w:t>
      </w:r>
      <w:r w:rsidR="003F2AAE" w:rsidRPr="008B153E">
        <w:rPr>
          <w:rFonts w:ascii="Calibri" w:eastAsia="Calibri" w:hAnsi="Calibri" w:cs="Calibri"/>
          <w:sz w:val="22"/>
          <w:szCs w:val="22"/>
        </w:rPr>
        <w:t xml:space="preserve"> trial and deliver</w:t>
      </w:r>
      <w:r w:rsidR="00921421" w:rsidRPr="008B153E">
        <w:rPr>
          <w:rFonts w:ascii="Calibri" w:eastAsia="Calibri" w:hAnsi="Calibri" w:cs="Calibri"/>
          <w:sz w:val="22"/>
          <w:szCs w:val="22"/>
        </w:rPr>
        <w:t>ed</w:t>
      </w:r>
      <w:r w:rsidR="003F2AAE" w:rsidRPr="008B153E">
        <w:rPr>
          <w:rFonts w:ascii="Calibri" w:eastAsia="Calibri" w:hAnsi="Calibri" w:cs="Calibri"/>
          <w:sz w:val="22"/>
          <w:szCs w:val="22"/>
        </w:rPr>
        <w:t xml:space="preserve"> th</w:t>
      </w:r>
      <w:r w:rsidR="00921421" w:rsidRPr="008B153E">
        <w:rPr>
          <w:rFonts w:ascii="Calibri" w:eastAsia="Calibri" w:hAnsi="Calibri" w:cs="Calibri"/>
          <w:sz w:val="22"/>
          <w:szCs w:val="22"/>
        </w:rPr>
        <w:t>e</w:t>
      </w:r>
      <w:r w:rsidR="003F2AAE" w:rsidRPr="008B153E">
        <w:rPr>
          <w:rFonts w:ascii="Calibri" w:eastAsia="Calibri" w:hAnsi="Calibri" w:cs="Calibri"/>
          <w:sz w:val="22"/>
          <w:szCs w:val="22"/>
        </w:rPr>
        <w:t xml:space="preserve"> intervention as intended</w:t>
      </w:r>
      <w:r w:rsidR="0014615A" w:rsidRPr="008B153E">
        <w:rPr>
          <w:rFonts w:ascii="Calibri" w:eastAsia="Calibri" w:hAnsi="Calibri" w:cs="Calibri"/>
          <w:sz w:val="22"/>
          <w:szCs w:val="22"/>
        </w:rPr>
        <w:t>.</w:t>
      </w:r>
      <w:r w:rsidR="00D64BBA" w:rsidRPr="008B153E">
        <w:rPr>
          <w:rFonts w:ascii="Calibri" w:eastAsia="Calibri" w:hAnsi="Calibri" w:cs="Calibri"/>
          <w:sz w:val="22"/>
          <w:szCs w:val="22"/>
        </w:rPr>
        <w:t xml:space="preserve"> </w:t>
      </w:r>
      <w:r w:rsidR="00CA3343" w:rsidRPr="008B153E">
        <w:rPr>
          <w:rFonts w:ascii="Calibri" w:eastAsia="Calibri" w:hAnsi="Calibri" w:cs="Calibri"/>
          <w:sz w:val="22"/>
          <w:szCs w:val="22"/>
        </w:rPr>
        <w:t xml:space="preserve">As outlined, </w:t>
      </w:r>
      <w:r w:rsidR="00DA0969" w:rsidRPr="008B153E">
        <w:rPr>
          <w:rFonts w:ascii="Calibri" w:eastAsia="Calibri" w:hAnsi="Calibri" w:cs="Calibri"/>
          <w:sz w:val="22"/>
          <w:szCs w:val="22"/>
        </w:rPr>
        <w:t xml:space="preserve">significant numbers of clinical staff lacked </w:t>
      </w:r>
      <w:r w:rsidR="00A42787" w:rsidRPr="008B153E">
        <w:rPr>
          <w:rFonts w:ascii="Calibri" w:hAnsi="Calibri" w:cs="Calibri"/>
          <w:sz w:val="22"/>
          <w:szCs w:val="22"/>
        </w:rPr>
        <w:t xml:space="preserve">individual </w:t>
      </w:r>
      <w:r w:rsidR="00DA0969" w:rsidRPr="008B153E">
        <w:rPr>
          <w:rFonts w:ascii="Calibri" w:eastAsia="Calibri" w:hAnsi="Calibri" w:cs="Calibri"/>
          <w:sz w:val="22"/>
          <w:szCs w:val="22"/>
        </w:rPr>
        <w:t xml:space="preserve">equipoise </w:t>
      </w:r>
      <w:r w:rsidR="00FC2970" w:rsidRPr="008B153E">
        <w:rPr>
          <w:rFonts w:ascii="Calibri" w:eastAsia="Calibri" w:hAnsi="Calibri" w:cs="Calibri"/>
          <w:sz w:val="22"/>
          <w:szCs w:val="22"/>
        </w:rPr>
        <w:t xml:space="preserve">and many units indicated some medical consultants </w:t>
      </w:r>
      <w:r w:rsidR="00C97100" w:rsidRPr="008B153E">
        <w:rPr>
          <w:rFonts w:ascii="Calibri" w:eastAsia="Calibri" w:hAnsi="Calibri" w:cs="Calibri"/>
          <w:sz w:val="22"/>
          <w:szCs w:val="22"/>
        </w:rPr>
        <w:t xml:space="preserve">resisted the study. </w:t>
      </w:r>
      <w:r w:rsidR="00DB447B" w:rsidRPr="008B153E">
        <w:rPr>
          <w:rFonts w:ascii="Calibri" w:eastAsia="Calibri" w:hAnsi="Calibri" w:cs="Calibri"/>
          <w:sz w:val="22"/>
          <w:szCs w:val="22"/>
        </w:rPr>
        <w:t>Of interest, the mechanisms of potential harm in younger patients are uncertain, although post-hoc analyses of the SPICE III trial support the hypothesis these may be dose-dependent.</w:t>
      </w:r>
      <w:r w:rsidR="005B23B0" w:rsidRPr="008B153E">
        <w:rPr>
          <w:rFonts w:ascii="Calibri" w:eastAsia="Calibri" w:hAnsi="Calibri" w:cs="Calibri"/>
          <w:noProof/>
          <w:sz w:val="22"/>
          <w:szCs w:val="22"/>
          <w:vertAlign w:val="superscript"/>
        </w:rPr>
        <w:t>18</w:t>
      </w:r>
      <w:r w:rsidR="00DB447B" w:rsidRPr="008B153E">
        <w:rPr>
          <w:rFonts w:ascii="Calibri" w:eastAsia="Calibri" w:hAnsi="Calibri" w:cs="Calibri"/>
          <w:sz w:val="22"/>
          <w:szCs w:val="22"/>
        </w:rPr>
        <w:t xml:space="preserve"> For staff, the most ‘visible’ adverse effects</w:t>
      </w:r>
      <w:r w:rsidR="00DB447B">
        <w:rPr>
          <w:rFonts w:ascii="Calibri" w:eastAsia="Calibri" w:hAnsi="Calibri" w:cs="Calibri"/>
          <w:sz w:val="22"/>
          <w:szCs w:val="22"/>
        </w:rPr>
        <w:t xml:space="preserve"> were bradycardia and hypotension, and risk</w:t>
      </w:r>
      <w:r w:rsidR="0026757E">
        <w:rPr>
          <w:rFonts w:ascii="Calibri" w:eastAsia="Calibri" w:hAnsi="Calibri" w:cs="Calibri"/>
          <w:sz w:val="22"/>
          <w:szCs w:val="22"/>
        </w:rPr>
        <w:t xml:space="preserve">s from agitation. These factors likely limited intervention fidelity, but could equally be considered appropriate responses in a pragmatic trial. </w:t>
      </w:r>
    </w:p>
    <w:p w14:paraId="73C3CF87" w14:textId="67383D96" w:rsidR="00FB494A" w:rsidRPr="008B153E" w:rsidRDefault="0014615A" w:rsidP="002358F3">
      <w:pPr>
        <w:spacing w:after="200" w:line="360" w:lineRule="auto"/>
        <w:jc w:val="both"/>
        <w:rPr>
          <w:rFonts w:ascii="Calibri" w:eastAsia="Calibri" w:hAnsi="Calibri" w:cs="Calibri"/>
          <w:sz w:val="22"/>
          <w:szCs w:val="22"/>
        </w:rPr>
      </w:pPr>
      <w:r>
        <w:rPr>
          <w:rFonts w:ascii="Calibri" w:eastAsia="Calibri" w:hAnsi="Calibri" w:cs="Calibri"/>
          <w:sz w:val="22"/>
          <w:szCs w:val="22"/>
        </w:rPr>
        <w:t xml:space="preserve">The findings </w:t>
      </w:r>
      <w:r w:rsidRPr="004A3DCA">
        <w:rPr>
          <w:rFonts w:ascii="Calibri" w:eastAsia="Calibri" w:hAnsi="Calibri" w:cs="Calibri"/>
          <w:sz w:val="22"/>
          <w:szCs w:val="22"/>
        </w:rPr>
        <w:t xml:space="preserve">from this </w:t>
      </w:r>
      <w:r w:rsidR="007A615D" w:rsidRPr="004A3DCA">
        <w:rPr>
          <w:rFonts w:ascii="Calibri" w:eastAsia="Calibri" w:hAnsi="Calibri" w:cs="Calibri"/>
          <w:sz w:val="22"/>
          <w:szCs w:val="22"/>
        </w:rPr>
        <w:t>p</w:t>
      </w:r>
      <w:r w:rsidRPr="004A3DCA">
        <w:rPr>
          <w:rFonts w:ascii="Calibri" w:eastAsia="Calibri" w:hAnsi="Calibri" w:cs="Calibri"/>
          <w:sz w:val="22"/>
          <w:szCs w:val="22"/>
        </w:rPr>
        <w:t xml:space="preserve">rocess evaluation </w:t>
      </w:r>
      <w:r w:rsidR="007A615D" w:rsidRPr="004A3DCA">
        <w:rPr>
          <w:rFonts w:ascii="Calibri" w:eastAsia="Calibri" w:hAnsi="Calibri" w:cs="Calibri"/>
          <w:sz w:val="22"/>
          <w:szCs w:val="22"/>
        </w:rPr>
        <w:t>indicated</w:t>
      </w:r>
      <w:r w:rsidRPr="004A3DCA">
        <w:rPr>
          <w:rFonts w:ascii="Calibri" w:eastAsia="Calibri" w:hAnsi="Calibri" w:cs="Calibri"/>
          <w:sz w:val="22"/>
          <w:szCs w:val="22"/>
        </w:rPr>
        <w:t xml:space="preserve"> that autonomy in sedative selection by the consultant impacted the decision on whether </w:t>
      </w:r>
      <w:r w:rsidR="00CA24B9" w:rsidRPr="004A3DCA">
        <w:rPr>
          <w:rFonts w:ascii="Calibri" w:eastAsia="Calibri" w:hAnsi="Calibri" w:cs="Calibri"/>
          <w:sz w:val="22"/>
          <w:szCs w:val="22"/>
        </w:rPr>
        <w:t>all</w:t>
      </w:r>
      <w:r w:rsidRPr="004A3DCA">
        <w:rPr>
          <w:rFonts w:ascii="Calibri" w:eastAsia="Calibri" w:hAnsi="Calibri" w:cs="Calibri"/>
          <w:sz w:val="22"/>
          <w:szCs w:val="22"/>
        </w:rPr>
        <w:t xml:space="preserve"> eligible patient</w:t>
      </w:r>
      <w:r w:rsidR="00CA24B9" w:rsidRPr="004A3DCA">
        <w:rPr>
          <w:rFonts w:ascii="Calibri" w:eastAsia="Calibri" w:hAnsi="Calibri" w:cs="Calibri"/>
          <w:sz w:val="22"/>
          <w:szCs w:val="22"/>
        </w:rPr>
        <w:t>s were</w:t>
      </w:r>
      <w:r w:rsidRPr="004A3DCA">
        <w:rPr>
          <w:rFonts w:ascii="Calibri" w:eastAsia="Calibri" w:hAnsi="Calibri" w:cs="Calibri"/>
          <w:sz w:val="22"/>
          <w:szCs w:val="22"/>
        </w:rPr>
        <w:t xml:space="preserve"> recruited into the A2B trial. </w:t>
      </w:r>
      <w:r w:rsidR="0028044C" w:rsidRPr="004A3DCA">
        <w:rPr>
          <w:rFonts w:ascii="Calibri" w:eastAsia="Calibri" w:hAnsi="Calibri" w:cs="Calibri"/>
          <w:sz w:val="22"/>
          <w:szCs w:val="22"/>
        </w:rPr>
        <w:t xml:space="preserve">Staff in </w:t>
      </w:r>
      <w:r w:rsidR="005F0D49" w:rsidRPr="004A3DCA">
        <w:rPr>
          <w:rFonts w:ascii="Calibri" w:eastAsia="Calibri" w:hAnsi="Calibri" w:cs="Calibri"/>
          <w:sz w:val="22"/>
          <w:szCs w:val="22"/>
        </w:rPr>
        <w:t>six</w:t>
      </w:r>
      <w:r w:rsidR="0028044C" w:rsidRPr="004A3DCA">
        <w:rPr>
          <w:rFonts w:ascii="Calibri" w:eastAsia="Calibri" w:hAnsi="Calibri" w:cs="Calibri"/>
          <w:sz w:val="22"/>
          <w:szCs w:val="22"/>
        </w:rPr>
        <w:t xml:space="preserve"> sites raised the issue of </w:t>
      </w:r>
      <w:r w:rsidR="002B1767" w:rsidRPr="004A3DCA">
        <w:rPr>
          <w:rFonts w:ascii="Calibri" w:eastAsia="Calibri" w:hAnsi="Calibri" w:cs="Calibri"/>
          <w:sz w:val="22"/>
          <w:szCs w:val="22"/>
        </w:rPr>
        <w:t xml:space="preserve">inaccuracy in </w:t>
      </w:r>
      <w:r w:rsidR="008E77C8" w:rsidRPr="004A3DCA">
        <w:rPr>
          <w:rFonts w:ascii="Calibri" w:eastAsia="Calibri" w:hAnsi="Calibri" w:cs="Calibri"/>
          <w:sz w:val="22"/>
          <w:szCs w:val="22"/>
        </w:rPr>
        <w:t>predict</w:t>
      </w:r>
      <w:r w:rsidR="002B1767" w:rsidRPr="004A3DCA">
        <w:rPr>
          <w:rFonts w:ascii="Calibri" w:eastAsia="Calibri" w:hAnsi="Calibri" w:cs="Calibri"/>
          <w:sz w:val="22"/>
          <w:szCs w:val="22"/>
        </w:rPr>
        <w:t>ing whether</w:t>
      </w:r>
      <w:r w:rsidR="008E77C8" w:rsidRPr="004A3DCA">
        <w:rPr>
          <w:rFonts w:ascii="Calibri" w:eastAsia="Calibri" w:hAnsi="Calibri" w:cs="Calibri"/>
          <w:sz w:val="22"/>
          <w:szCs w:val="22"/>
        </w:rPr>
        <w:t xml:space="preserve"> a further 48 hours of mechanical ventilation was required</w:t>
      </w:r>
      <w:r w:rsidR="002B1767" w:rsidRPr="004A3DCA">
        <w:rPr>
          <w:rFonts w:ascii="Calibri" w:eastAsia="Calibri" w:hAnsi="Calibri" w:cs="Calibri"/>
          <w:sz w:val="22"/>
          <w:szCs w:val="22"/>
        </w:rPr>
        <w:t xml:space="preserve"> and </w:t>
      </w:r>
      <w:r w:rsidR="005F0D49" w:rsidRPr="004A3DCA">
        <w:rPr>
          <w:rFonts w:ascii="Calibri" w:eastAsia="Calibri" w:hAnsi="Calibri" w:cs="Calibri"/>
          <w:sz w:val="22"/>
          <w:szCs w:val="22"/>
        </w:rPr>
        <w:t>one site conducted a retrospective chart review</w:t>
      </w:r>
      <w:r w:rsidR="000376F6">
        <w:rPr>
          <w:rFonts w:ascii="Calibri" w:eastAsia="Calibri" w:hAnsi="Calibri" w:cs="Calibri"/>
          <w:sz w:val="22"/>
          <w:szCs w:val="22"/>
        </w:rPr>
        <w:t xml:space="preserve">, finding </w:t>
      </w:r>
      <w:r w:rsidR="005F0D49" w:rsidRPr="004A3DCA">
        <w:rPr>
          <w:rFonts w:ascii="Calibri" w:eastAsia="Calibri" w:hAnsi="Calibri" w:cs="Calibri"/>
          <w:sz w:val="22"/>
          <w:szCs w:val="22"/>
        </w:rPr>
        <w:t xml:space="preserve">that 49 of 50 patients excluded for this reason received </w:t>
      </w:r>
      <w:r w:rsidR="00491B84">
        <w:rPr>
          <w:rFonts w:ascii="Calibri" w:eastAsia="Calibri" w:hAnsi="Calibri" w:cs="Calibri"/>
          <w:sz w:val="22"/>
          <w:szCs w:val="22"/>
        </w:rPr>
        <w:t>&gt;</w:t>
      </w:r>
      <w:r w:rsidR="005F0D49" w:rsidRPr="004A3DCA">
        <w:rPr>
          <w:rFonts w:ascii="Calibri" w:eastAsia="Calibri" w:hAnsi="Calibri" w:cs="Calibri"/>
          <w:sz w:val="22"/>
          <w:szCs w:val="22"/>
        </w:rPr>
        <w:t>48 hours of mechanical ventilation</w:t>
      </w:r>
      <w:r w:rsidR="008E77C8" w:rsidRPr="004A3DCA">
        <w:rPr>
          <w:rFonts w:ascii="Calibri" w:eastAsia="Calibri" w:hAnsi="Calibri" w:cs="Calibri"/>
          <w:sz w:val="22"/>
          <w:szCs w:val="22"/>
        </w:rPr>
        <w:t xml:space="preserve">. </w:t>
      </w:r>
      <w:r w:rsidRPr="004A3DCA">
        <w:rPr>
          <w:rFonts w:ascii="Calibri" w:eastAsia="Calibri" w:hAnsi="Calibri" w:cs="Calibri"/>
          <w:sz w:val="22"/>
          <w:szCs w:val="22"/>
        </w:rPr>
        <w:t xml:space="preserve">It is impossible to establish fully if this influenced the overall outcome of A2B, but </w:t>
      </w:r>
      <w:r w:rsidR="00137853" w:rsidRPr="004A3DCA">
        <w:rPr>
          <w:rFonts w:ascii="Calibri" w:eastAsia="Calibri" w:hAnsi="Calibri" w:cs="Calibri"/>
          <w:sz w:val="22"/>
          <w:szCs w:val="22"/>
        </w:rPr>
        <w:t>in a pragmatic effectiveness trial likely represents ‘real world’ variation in clinical judgement which would</w:t>
      </w:r>
      <w:r w:rsidR="00137853">
        <w:rPr>
          <w:rFonts w:ascii="Calibri" w:eastAsia="Calibri" w:hAnsi="Calibri" w:cs="Calibri"/>
          <w:sz w:val="22"/>
          <w:szCs w:val="22"/>
        </w:rPr>
        <w:t xml:space="preserve"> be relevant to alpha2-agonist use </w:t>
      </w:r>
      <w:r w:rsidR="005D2231">
        <w:rPr>
          <w:rFonts w:ascii="Calibri" w:eastAsia="Calibri" w:hAnsi="Calibri" w:cs="Calibri"/>
          <w:sz w:val="22"/>
          <w:szCs w:val="22"/>
        </w:rPr>
        <w:t>in</w:t>
      </w:r>
      <w:r w:rsidR="00137853">
        <w:rPr>
          <w:rFonts w:ascii="Calibri" w:eastAsia="Calibri" w:hAnsi="Calibri" w:cs="Calibri"/>
          <w:sz w:val="22"/>
          <w:szCs w:val="22"/>
        </w:rPr>
        <w:t xml:space="preserve"> routine care. Issues such as this should be considered</w:t>
      </w:r>
      <w:r>
        <w:rPr>
          <w:rFonts w:ascii="Calibri" w:eastAsia="Calibri" w:hAnsi="Calibri" w:cs="Calibri"/>
          <w:sz w:val="22"/>
          <w:szCs w:val="22"/>
        </w:rPr>
        <w:t xml:space="preserve"> in future sedation research and clinical practice</w:t>
      </w:r>
      <w:r w:rsidR="003F2AAE" w:rsidRPr="00C860A0">
        <w:rPr>
          <w:rFonts w:ascii="Calibri" w:eastAsia="Calibri" w:hAnsi="Calibri" w:cs="Calibri"/>
          <w:sz w:val="22"/>
          <w:szCs w:val="22"/>
        </w:rPr>
        <w:t>.</w:t>
      </w:r>
      <w:r w:rsidR="005B23B0" w:rsidRPr="00EC6C09">
        <w:rPr>
          <w:rFonts w:ascii="Calibri" w:eastAsia="Calibri" w:hAnsi="Calibri" w:cs="Calibri"/>
          <w:noProof/>
          <w:sz w:val="22"/>
          <w:szCs w:val="22"/>
          <w:vertAlign w:val="superscript"/>
        </w:rPr>
        <w:t>19</w:t>
      </w:r>
      <w:r w:rsidR="003F2AAE" w:rsidRPr="00C860A0">
        <w:rPr>
          <w:rFonts w:ascii="Calibri" w:eastAsia="Calibri" w:hAnsi="Calibri" w:cs="Calibri"/>
          <w:sz w:val="22"/>
          <w:szCs w:val="22"/>
        </w:rPr>
        <w:t xml:space="preserve"> In the A2B trial, the intervention was largely nurse-</w:t>
      </w:r>
      <w:r w:rsidR="00CA24B9">
        <w:rPr>
          <w:rFonts w:ascii="Calibri" w:eastAsia="Calibri" w:hAnsi="Calibri" w:cs="Calibri"/>
          <w:sz w:val="22"/>
          <w:szCs w:val="22"/>
        </w:rPr>
        <w:t>delivered</w:t>
      </w:r>
      <w:r>
        <w:rPr>
          <w:rFonts w:ascii="Calibri" w:eastAsia="Calibri" w:hAnsi="Calibri" w:cs="Calibri"/>
          <w:sz w:val="22"/>
          <w:szCs w:val="22"/>
        </w:rPr>
        <w:t xml:space="preserve"> </w:t>
      </w:r>
      <w:r w:rsidR="003F2AAE" w:rsidRPr="00C860A0">
        <w:rPr>
          <w:rFonts w:ascii="Calibri" w:eastAsia="Calibri" w:hAnsi="Calibri" w:cs="Calibri"/>
          <w:sz w:val="22"/>
          <w:szCs w:val="22"/>
        </w:rPr>
        <w:t>at the patient bedside</w:t>
      </w:r>
      <w:r w:rsidR="00511FDC">
        <w:rPr>
          <w:rFonts w:ascii="Calibri" w:eastAsia="Calibri" w:hAnsi="Calibri" w:cs="Calibri"/>
          <w:sz w:val="22"/>
          <w:szCs w:val="22"/>
        </w:rPr>
        <w:t xml:space="preserve">; despite </w:t>
      </w:r>
      <w:r w:rsidR="00511FDC" w:rsidRPr="008B153E">
        <w:rPr>
          <w:rFonts w:ascii="Calibri" w:eastAsia="Calibri" w:hAnsi="Calibri" w:cs="Calibri"/>
          <w:sz w:val="22"/>
          <w:szCs w:val="22"/>
        </w:rPr>
        <w:t>this</w:t>
      </w:r>
      <w:r w:rsidR="00D95E98" w:rsidRPr="008B153E">
        <w:rPr>
          <w:rFonts w:ascii="Calibri" w:eastAsia="Calibri" w:hAnsi="Calibri" w:cs="Calibri"/>
          <w:sz w:val="22"/>
          <w:szCs w:val="22"/>
        </w:rPr>
        <w:t>,</w:t>
      </w:r>
      <w:r w:rsidR="00511FDC" w:rsidRPr="008B153E">
        <w:rPr>
          <w:rFonts w:ascii="Calibri" w:eastAsia="Calibri" w:hAnsi="Calibri" w:cs="Calibri"/>
          <w:sz w:val="22"/>
          <w:szCs w:val="22"/>
        </w:rPr>
        <w:t xml:space="preserve"> nurse autonomy in tailoring sedation practice </w:t>
      </w:r>
      <w:r w:rsidR="00B621B1" w:rsidRPr="008B153E">
        <w:rPr>
          <w:rFonts w:ascii="Calibri" w:eastAsia="Calibri" w:hAnsi="Calibri" w:cs="Calibri"/>
          <w:sz w:val="22"/>
          <w:szCs w:val="22"/>
        </w:rPr>
        <w:t>was not described</w:t>
      </w:r>
      <w:r w:rsidR="007356D2" w:rsidRPr="008B153E">
        <w:rPr>
          <w:rFonts w:ascii="Calibri" w:eastAsia="Calibri" w:hAnsi="Calibri" w:cs="Calibri"/>
          <w:sz w:val="22"/>
          <w:szCs w:val="22"/>
        </w:rPr>
        <w:t xml:space="preserve"> by the participants during the interviews</w:t>
      </w:r>
      <w:r w:rsidR="00B621B1" w:rsidRPr="008B153E">
        <w:rPr>
          <w:rFonts w:ascii="Calibri" w:eastAsia="Calibri" w:hAnsi="Calibri" w:cs="Calibri"/>
          <w:sz w:val="22"/>
          <w:szCs w:val="22"/>
        </w:rPr>
        <w:t xml:space="preserve">. </w:t>
      </w:r>
      <w:r w:rsidR="0015684F" w:rsidRPr="008B153E">
        <w:rPr>
          <w:rFonts w:ascii="Calibri" w:eastAsia="Calibri" w:hAnsi="Calibri" w:cs="Calibri"/>
          <w:sz w:val="22"/>
          <w:szCs w:val="22"/>
        </w:rPr>
        <w:t xml:space="preserve">Autonomy in practice </w:t>
      </w:r>
      <w:r w:rsidR="00E92274" w:rsidRPr="008B153E">
        <w:rPr>
          <w:rFonts w:ascii="Calibri" w:eastAsia="Calibri" w:hAnsi="Calibri" w:cs="Calibri"/>
          <w:sz w:val="22"/>
          <w:szCs w:val="22"/>
        </w:rPr>
        <w:t xml:space="preserve">relies on </w:t>
      </w:r>
      <w:r w:rsidR="005714A4" w:rsidRPr="008B153E">
        <w:rPr>
          <w:rFonts w:ascii="Calibri" w:eastAsia="Calibri" w:hAnsi="Calibri" w:cs="Calibri"/>
          <w:sz w:val="22"/>
          <w:szCs w:val="22"/>
        </w:rPr>
        <w:t xml:space="preserve">a clear understanding of nurses’ appropriate role in sedation, </w:t>
      </w:r>
      <w:r w:rsidR="00E92274" w:rsidRPr="008B153E">
        <w:rPr>
          <w:rFonts w:ascii="Calibri" w:eastAsia="Calibri" w:hAnsi="Calibri" w:cs="Calibri"/>
          <w:sz w:val="22"/>
          <w:szCs w:val="22"/>
        </w:rPr>
        <w:t xml:space="preserve">strong </w:t>
      </w:r>
      <w:r w:rsidR="0015684F" w:rsidRPr="008B153E">
        <w:rPr>
          <w:rFonts w:ascii="Calibri" w:eastAsia="Calibri" w:hAnsi="Calibri" w:cs="Calibri"/>
          <w:sz w:val="22"/>
          <w:szCs w:val="22"/>
        </w:rPr>
        <w:t>inter-professional relationships</w:t>
      </w:r>
      <w:r w:rsidR="00133228" w:rsidRPr="008B153E">
        <w:rPr>
          <w:rFonts w:ascii="Calibri" w:eastAsia="Calibri" w:hAnsi="Calibri" w:cs="Calibri"/>
          <w:sz w:val="22"/>
          <w:szCs w:val="22"/>
        </w:rPr>
        <w:t>,</w:t>
      </w:r>
      <w:r w:rsidR="0015684F" w:rsidRPr="008B153E">
        <w:rPr>
          <w:rFonts w:ascii="Calibri" w:eastAsia="Calibri" w:hAnsi="Calibri" w:cs="Calibri"/>
          <w:sz w:val="22"/>
          <w:szCs w:val="22"/>
        </w:rPr>
        <w:t xml:space="preserve"> </w:t>
      </w:r>
      <w:r w:rsidR="00E92274" w:rsidRPr="008B153E">
        <w:rPr>
          <w:rFonts w:ascii="Calibri" w:eastAsia="Calibri" w:hAnsi="Calibri" w:cs="Calibri"/>
          <w:sz w:val="22"/>
          <w:szCs w:val="22"/>
        </w:rPr>
        <w:t>adequate</w:t>
      </w:r>
      <w:r w:rsidR="00C47E26" w:rsidRPr="008B153E">
        <w:rPr>
          <w:rFonts w:ascii="Calibri" w:eastAsia="Calibri" w:hAnsi="Calibri" w:cs="Calibri"/>
          <w:sz w:val="22"/>
          <w:szCs w:val="22"/>
        </w:rPr>
        <w:t xml:space="preserve"> education and</w:t>
      </w:r>
      <w:r w:rsidR="0015684F" w:rsidRPr="008B153E">
        <w:rPr>
          <w:rFonts w:ascii="Calibri" w:eastAsia="Calibri" w:hAnsi="Calibri" w:cs="Calibri"/>
          <w:sz w:val="22"/>
          <w:szCs w:val="22"/>
        </w:rPr>
        <w:t xml:space="preserve"> support provided</w:t>
      </w:r>
      <w:r w:rsidR="00133228" w:rsidRPr="008B153E">
        <w:rPr>
          <w:rFonts w:ascii="Calibri" w:eastAsia="Calibri" w:hAnsi="Calibri" w:cs="Calibri"/>
          <w:sz w:val="22"/>
          <w:szCs w:val="22"/>
        </w:rPr>
        <w:t xml:space="preserve"> and a culture that fost</w:t>
      </w:r>
      <w:r w:rsidR="00876562" w:rsidRPr="008B153E">
        <w:rPr>
          <w:rFonts w:ascii="Calibri" w:eastAsia="Calibri" w:hAnsi="Calibri" w:cs="Calibri"/>
          <w:sz w:val="22"/>
          <w:szCs w:val="22"/>
        </w:rPr>
        <w:t>er</w:t>
      </w:r>
      <w:r w:rsidR="00133228" w:rsidRPr="008B153E">
        <w:rPr>
          <w:rFonts w:ascii="Calibri" w:eastAsia="Calibri" w:hAnsi="Calibri" w:cs="Calibri"/>
          <w:sz w:val="22"/>
          <w:szCs w:val="22"/>
        </w:rPr>
        <w:t>s critical thinking, questioning and leadership</w:t>
      </w:r>
      <w:r w:rsidR="005725F2" w:rsidRPr="008B153E">
        <w:rPr>
          <w:rFonts w:ascii="Calibri" w:eastAsia="Calibri" w:hAnsi="Calibri" w:cs="Calibri"/>
          <w:sz w:val="22"/>
          <w:szCs w:val="22"/>
        </w:rPr>
        <w:t>.</w:t>
      </w:r>
      <w:r w:rsidR="005B23B0" w:rsidRPr="008B153E">
        <w:rPr>
          <w:rFonts w:ascii="Calibri" w:eastAsia="Calibri" w:hAnsi="Calibri" w:cs="Calibri"/>
          <w:noProof/>
          <w:sz w:val="22"/>
          <w:szCs w:val="22"/>
          <w:vertAlign w:val="superscript"/>
        </w:rPr>
        <w:t>20</w:t>
      </w:r>
      <w:r w:rsidR="00C656F8" w:rsidRPr="008B153E">
        <w:rPr>
          <w:rFonts w:ascii="Calibri" w:eastAsia="Calibri" w:hAnsi="Calibri" w:cs="Calibri"/>
          <w:noProof/>
          <w:sz w:val="22"/>
          <w:szCs w:val="22"/>
          <w:vertAlign w:val="superscript"/>
        </w:rPr>
        <w:t xml:space="preserve"> </w:t>
      </w:r>
      <w:r w:rsidR="00C656F8" w:rsidRPr="008B153E">
        <w:rPr>
          <w:rFonts w:ascii="Calibri" w:eastAsia="Calibri" w:hAnsi="Calibri" w:cs="Calibri"/>
          <w:sz w:val="22"/>
          <w:szCs w:val="22"/>
        </w:rPr>
        <w:t xml:space="preserve">Further exploration of the </w:t>
      </w:r>
      <w:r w:rsidR="007C4480" w:rsidRPr="008B153E">
        <w:rPr>
          <w:rFonts w:ascii="Calibri" w:eastAsia="Calibri" w:hAnsi="Calibri" w:cs="Calibri"/>
          <w:sz w:val="22"/>
          <w:szCs w:val="22"/>
        </w:rPr>
        <w:t xml:space="preserve">role of autonomy in practice, and how it supports or limits practice improvement, is warranted. </w:t>
      </w:r>
    </w:p>
    <w:p w14:paraId="39FD6B2D" w14:textId="47DCE6DE" w:rsidR="003F2AAE" w:rsidRPr="008B153E" w:rsidRDefault="003F2AAE" w:rsidP="002358F3">
      <w:pPr>
        <w:spacing w:after="200" w:line="360" w:lineRule="auto"/>
        <w:jc w:val="both"/>
        <w:rPr>
          <w:rFonts w:ascii="Calibri" w:eastAsia="Calibri" w:hAnsi="Calibri" w:cs="Calibri"/>
          <w:sz w:val="22"/>
          <w:szCs w:val="22"/>
        </w:rPr>
      </w:pPr>
      <w:r w:rsidRPr="008B153E">
        <w:rPr>
          <w:rFonts w:ascii="Calibri" w:eastAsia="Calibri" w:hAnsi="Calibri" w:cs="Calibri"/>
          <w:sz w:val="22"/>
          <w:szCs w:val="22"/>
        </w:rPr>
        <w:t>A lack of awareness of poorer patient outcomes associated with prolonged deep</w:t>
      </w:r>
      <w:r w:rsidRPr="00C860A0">
        <w:rPr>
          <w:rFonts w:ascii="Calibri" w:eastAsia="Calibri" w:hAnsi="Calibri" w:cs="Calibri"/>
          <w:sz w:val="22"/>
          <w:szCs w:val="22"/>
        </w:rPr>
        <w:t xml:space="preserve"> sedation was evident. The practice focus was not on proactively titrating and weaning sedation but centred around patient safety and deep sedation as a necessary means of</w:t>
      </w:r>
      <w:r w:rsidR="00991CCC">
        <w:rPr>
          <w:rFonts w:ascii="Calibri" w:eastAsia="Calibri" w:hAnsi="Calibri" w:cs="Calibri"/>
          <w:sz w:val="22"/>
          <w:szCs w:val="22"/>
        </w:rPr>
        <w:t xml:space="preserve"> maint</w:t>
      </w:r>
      <w:r w:rsidR="008C4581">
        <w:rPr>
          <w:rFonts w:ascii="Calibri" w:eastAsia="Calibri" w:hAnsi="Calibri" w:cs="Calibri"/>
          <w:sz w:val="22"/>
          <w:szCs w:val="22"/>
        </w:rPr>
        <w:t>ain</w:t>
      </w:r>
      <w:r w:rsidR="00991CCC">
        <w:rPr>
          <w:rFonts w:ascii="Calibri" w:eastAsia="Calibri" w:hAnsi="Calibri" w:cs="Calibri"/>
          <w:sz w:val="22"/>
          <w:szCs w:val="22"/>
        </w:rPr>
        <w:t xml:space="preserve">ing </w:t>
      </w:r>
      <w:r w:rsidRPr="00C860A0">
        <w:rPr>
          <w:rFonts w:ascii="Calibri" w:eastAsia="Calibri" w:hAnsi="Calibri" w:cs="Calibri"/>
          <w:sz w:val="22"/>
          <w:szCs w:val="22"/>
        </w:rPr>
        <w:t>patients and staff safe</w:t>
      </w:r>
      <w:r w:rsidR="005B78D3">
        <w:rPr>
          <w:rFonts w:ascii="Calibri" w:eastAsia="Calibri" w:hAnsi="Calibri" w:cs="Calibri"/>
          <w:sz w:val="22"/>
          <w:szCs w:val="22"/>
        </w:rPr>
        <w:t>ty</w:t>
      </w:r>
      <w:r w:rsidR="00B41F9D">
        <w:rPr>
          <w:rFonts w:ascii="Calibri" w:eastAsia="Calibri" w:hAnsi="Calibri" w:cs="Calibri"/>
          <w:sz w:val="22"/>
          <w:szCs w:val="22"/>
        </w:rPr>
        <w:t>;</w:t>
      </w:r>
      <w:r w:rsidR="00991CCC">
        <w:rPr>
          <w:rFonts w:ascii="Calibri" w:eastAsia="Calibri" w:hAnsi="Calibri" w:cs="Calibri"/>
          <w:sz w:val="22"/>
          <w:szCs w:val="22"/>
        </w:rPr>
        <w:t xml:space="preserve"> staff shortages due to the </w:t>
      </w:r>
      <w:r w:rsidR="00500743">
        <w:rPr>
          <w:rFonts w:ascii="Calibri" w:eastAsia="Calibri" w:hAnsi="Calibri" w:cs="Calibri"/>
          <w:sz w:val="22"/>
          <w:szCs w:val="22"/>
        </w:rPr>
        <w:t>COVID-19</w:t>
      </w:r>
      <w:r w:rsidR="00991CCC">
        <w:rPr>
          <w:rFonts w:ascii="Calibri" w:eastAsia="Calibri" w:hAnsi="Calibri" w:cs="Calibri"/>
          <w:sz w:val="22"/>
          <w:szCs w:val="22"/>
        </w:rPr>
        <w:t xml:space="preserve"> pandemic </w:t>
      </w:r>
      <w:r w:rsidR="00891491">
        <w:rPr>
          <w:rFonts w:ascii="Calibri" w:eastAsia="Calibri" w:hAnsi="Calibri" w:cs="Calibri"/>
          <w:sz w:val="22"/>
          <w:szCs w:val="22"/>
        </w:rPr>
        <w:t>may</w:t>
      </w:r>
      <w:r w:rsidR="00991CCC">
        <w:rPr>
          <w:rFonts w:ascii="Calibri" w:eastAsia="Calibri" w:hAnsi="Calibri" w:cs="Calibri"/>
          <w:sz w:val="22"/>
          <w:szCs w:val="22"/>
        </w:rPr>
        <w:t xml:space="preserve"> have </w:t>
      </w:r>
      <w:r w:rsidR="00E56FB0">
        <w:rPr>
          <w:rFonts w:ascii="Calibri" w:eastAsia="Calibri" w:hAnsi="Calibri" w:cs="Calibri"/>
          <w:sz w:val="22"/>
          <w:szCs w:val="22"/>
        </w:rPr>
        <w:t>exacerbated</w:t>
      </w:r>
      <w:r w:rsidR="00991CCC">
        <w:rPr>
          <w:rFonts w:ascii="Calibri" w:eastAsia="Calibri" w:hAnsi="Calibri" w:cs="Calibri"/>
          <w:sz w:val="22"/>
          <w:szCs w:val="22"/>
        </w:rPr>
        <w:t xml:space="preserve"> this</w:t>
      </w:r>
      <w:r w:rsidR="00B41F9D">
        <w:rPr>
          <w:rFonts w:ascii="Calibri" w:eastAsia="Calibri" w:hAnsi="Calibri" w:cs="Calibri"/>
          <w:sz w:val="22"/>
          <w:szCs w:val="22"/>
        </w:rPr>
        <w:t>.</w:t>
      </w:r>
      <w:r w:rsidRPr="00C860A0">
        <w:rPr>
          <w:rFonts w:ascii="Calibri" w:eastAsia="Calibri" w:hAnsi="Calibri" w:cs="Calibri"/>
          <w:sz w:val="22"/>
          <w:szCs w:val="22"/>
        </w:rPr>
        <w:t xml:space="preserve"> </w:t>
      </w:r>
      <w:r w:rsidR="006377EB" w:rsidRPr="00C860A0">
        <w:rPr>
          <w:rFonts w:ascii="Calibri" w:eastAsia="Calibri" w:hAnsi="Calibri" w:cs="Calibri"/>
          <w:sz w:val="22"/>
          <w:szCs w:val="22"/>
        </w:rPr>
        <w:t xml:space="preserve">Implementing trial interventions that </w:t>
      </w:r>
      <w:r w:rsidR="00A141C7" w:rsidRPr="00C860A0">
        <w:rPr>
          <w:rFonts w:ascii="Calibri" w:eastAsia="Calibri" w:hAnsi="Calibri" w:cs="Calibri"/>
          <w:sz w:val="22"/>
          <w:szCs w:val="22"/>
        </w:rPr>
        <w:t xml:space="preserve">directly </w:t>
      </w:r>
      <w:r w:rsidR="00A141C7" w:rsidRPr="008B153E">
        <w:rPr>
          <w:rFonts w:ascii="Calibri" w:eastAsia="Calibri" w:hAnsi="Calibri" w:cs="Calibri"/>
          <w:sz w:val="22"/>
          <w:szCs w:val="22"/>
        </w:rPr>
        <w:t xml:space="preserve">challenged </w:t>
      </w:r>
      <w:r w:rsidR="00991CCC" w:rsidRPr="008B153E">
        <w:rPr>
          <w:rFonts w:ascii="Calibri" w:eastAsia="Calibri" w:hAnsi="Calibri" w:cs="Calibri"/>
          <w:sz w:val="22"/>
          <w:szCs w:val="22"/>
        </w:rPr>
        <w:t>embedded clinical</w:t>
      </w:r>
      <w:r w:rsidR="00A141C7" w:rsidRPr="008B153E">
        <w:rPr>
          <w:rFonts w:ascii="Calibri" w:eastAsia="Calibri" w:hAnsi="Calibri" w:cs="Calibri"/>
          <w:sz w:val="22"/>
          <w:szCs w:val="22"/>
        </w:rPr>
        <w:t xml:space="preserve"> practice through articulating a goal of lighter sedation </w:t>
      </w:r>
      <w:r w:rsidR="00AB3C65" w:rsidRPr="008B153E">
        <w:rPr>
          <w:rFonts w:ascii="Calibri" w:eastAsia="Calibri" w:hAnsi="Calibri" w:cs="Calibri"/>
          <w:sz w:val="22"/>
          <w:szCs w:val="22"/>
        </w:rPr>
        <w:t xml:space="preserve">was </w:t>
      </w:r>
      <w:r w:rsidR="00E56FB0" w:rsidRPr="008B153E">
        <w:rPr>
          <w:rFonts w:ascii="Calibri" w:eastAsia="Calibri" w:hAnsi="Calibri" w:cs="Calibri"/>
          <w:sz w:val="22"/>
          <w:szCs w:val="22"/>
        </w:rPr>
        <w:t>consequently</w:t>
      </w:r>
      <w:r w:rsidR="00991CCC" w:rsidRPr="008B153E">
        <w:rPr>
          <w:rFonts w:ascii="Calibri" w:eastAsia="Calibri" w:hAnsi="Calibri" w:cs="Calibri"/>
          <w:sz w:val="22"/>
          <w:szCs w:val="22"/>
        </w:rPr>
        <w:t xml:space="preserve"> </w:t>
      </w:r>
      <w:r w:rsidR="00D62C02" w:rsidRPr="008B153E">
        <w:rPr>
          <w:rFonts w:ascii="Calibri" w:eastAsia="Calibri" w:hAnsi="Calibri" w:cs="Calibri"/>
          <w:sz w:val="22"/>
          <w:szCs w:val="22"/>
        </w:rPr>
        <w:t>challenging</w:t>
      </w:r>
      <w:r w:rsidR="00AB3C65" w:rsidRPr="008B153E">
        <w:rPr>
          <w:rFonts w:ascii="Calibri" w:eastAsia="Calibri" w:hAnsi="Calibri" w:cs="Calibri"/>
          <w:sz w:val="22"/>
          <w:szCs w:val="22"/>
        </w:rPr>
        <w:t>.</w:t>
      </w:r>
      <w:r w:rsidRPr="008B153E">
        <w:rPr>
          <w:rFonts w:ascii="Calibri" w:eastAsia="Calibri" w:hAnsi="Calibri" w:cs="Calibri"/>
          <w:sz w:val="22"/>
          <w:szCs w:val="22"/>
        </w:rPr>
        <w:t xml:space="preserve"> </w:t>
      </w:r>
      <w:r w:rsidR="00A0730F" w:rsidRPr="008B153E">
        <w:rPr>
          <w:rFonts w:ascii="Calibri" w:eastAsia="Calibri" w:hAnsi="Calibri" w:cs="Calibri"/>
          <w:sz w:val="22"/>
          <w:szCs w:val="22"/>
        </w:rPr>
        <w:t>T</w:t>
      </w:r>
      <w:r w:rsidRPr="008B153E">
        <w:rPr>
          <w:rFonts w:ascii="Calibri" w:eastAsia="Calibri" w:hAnsi="Calibri" w:cs="Calibri"/>
          <w:sz w:val="22"/>
          <w:szCs w:val="22"/>
        </w:rPr>
        <w:t xml:space="preserve">his was </w:t>
      </w:r>
      <w:r w:rsidR="00566F08" w:rsidRPr="008B153E">
        <w:rPr>
          <w:rFonts w:ascii="Calibri" w:eastAsia="Calibri" w:hAnsi="Calibri" w:cs="Calibri"/>
          <w:sz w:val="22"/>
          <w:szCs w:val="22"/>
        </w:rPr>
        <w:t>amplified</w:t>
      </w:r>
      <w:r w:rsidRPr="008B153E">
        <w:rPr>
          <w:rFonts w:ascii="Calibri" w:eastAsia="Calibri" w:hAnsi="Calibri" w:cs="Calibri"/>
          <w:sz w:val="22"/>
          <w:szCs w:val="22"/>
        </w:rPr>
        <w:t xml:space="preserve"> by a lack of </w:t>
      </w:r>
      <w:r w:rsidR="00E56FB0" w:rsidRPr="008B153E">
        <w:rPr>
          <w:rFonts w:ascii="Calibri" w:eastAsia="Calibri" w:hAnsi="Calibri" w:cs="Calibri"/>
          <w:sz w:val="22"/>
          <w:szCs w:val="22"/>
        </w:rPr>
        <w:t xml:space="preserve">staff </w:t>
      </w:r>
      <w:r w:rsidRPr="008B153E">
        <w:rPr>
          <w:rFonts w:ascii="Calibri" w:eastAsia="Calibri" w:hAnsi="Calibri" w:cs="Calibri"/>
          <w:sz w:val="22"/>
          <w:szCs w:val="22"/>
        </w:rPr>
        <w:t xml:space="preserve">familiarity with alpha-2 agents as first line </w:t>
      </w:r>
      <w:r w:rsidR="00B7151B" w:rsidRPr="008B153E">
        <w:rPr>
          <w:rFonts w:ascii="Calibri" w:eastAsia="Calibri" w:hAnsi="Calibri" w:cs="Calibri"/>
          <w:sz w:val="22"/>
          <w:szCs w:val="22"/>
        </w:rPr>
        <w:t>sedatives and</w:t>
      </w:r>
      <w:r w:rsidRPr="008B153E">
        <w:rPr>
          <w:rFonts w:ascii="Calibri" w:eastAsia="Calibri" w:hAnsi="Calibri" w:cs="Calibri"/>
          <w:sz w:val="22"/>
          <w:szCs w:val="22"/>
        </w:rPr>
        <w:t xml:space="preserve"> keeping patients lightly </w:t>
      </w:r>
      <w:r w:rsidR="00566F08" w:rsidRPr="008B153E">
        <w:rPr>
          <w:rFonts w:ascii="Calibri" w:eastAsia="Calibri" w:hAnsi="Calibri" w:cs="Calibri"/>
          <w:sz w:val="22"/>
          <w:szCs w:val="22"/>
        </w:rPr>
        <w:t>and</w:t>
      </w:r>
      <w:r w:rsidRPr="008B153E">
        <w:rPr>
          <w:rFonts w:ascii="Calibri" w:eastAsia="Calibri" w:hAnsi="Calibri" w:cs="Calibri"/>
          <w:sz w:val="22"/>
          <w:szCs w:val="22"/>
        </w:rPr>
        <w:t xml:space="preserve"> comfortably sedated. </w:t>
      </w:r>
      <w:r w:rsidR="00622823" w:rsidRPr="008B153E">
        <w:rPr>
          <w:rFonts w:ascii="Calibri" w:eastAsia="Calibri" w:hAnsi="Calibri" w:cs="Calibri"/>
          <w:sz w:val="22"/>
          <w:szCs w:val="22"/>
        </w:rPr>
        <w:t>T</w:t>
      </w:r>
      <w:r w:rsidRPr="008B153E">
        <w:rPr>
          <w:rFonts w:ascii="Calibri" w:eastAsia="Calibri" w:hAnsi="Calibri" w:cs="Calibri"/>
          <w:sz w:val="22"/>
          <w:szCs w:val="22"/>
        </w:rPr>
        <w:t xml:space="preserve">o overcome this </w:t>
      </w:r>
      <w:r w:rsidR="00C860A0" w:rsidRPr="008B153E">
        <w:rPr>
          <w:rFonts w:ascii="Calibri" w:eastAsia="Calibri" w:hAnsi="Calibri" w:cs="Calibri"/>
          <w:sz w:val="22"/>
          <w:szCs w:val="22"/>
        </w:rPr>
        <w:t xml:space="preserve">type of complex </w:t>
      </w:r>
      <w:r w:rsidRPr="008B153E">
        <w:rPr>
          <w:rFonts w:ascii="Calibri" w:eastAsia="Calibri" w:hAnsi="Calibri" w:cs="Calibri"/>
          <w:sz w:val="22"/>
          <w:szCs w:val="22"/>
        </w:rPr>
        <w:t xml:space="preserve">challenge, multidimensional change strategies </w:t>
      </w:r>
      <w:r w:rsidR="00D061E3" w:rsidRPr="008B153E">
        <w:rPr>
          <w:rFonts w:ascii="Calibri" w:eastAsia="Calibri" w:hAnsi="Calibri" w:cs="Calibri"/>
          <w:sz w:val="22"/>
          <w:szCs w:val="22"/>
        </w:rPr>
        <w:t xml:space="preserve">that </w:t>
      </w:r>
      <w:r w:rsidR="00BE7520" w:rsidRPr="008B153E">
        <w:rPr>
          <w:rFonts w:ascii="Calibri" w:eastAsia="Calibri" w:hAnsi="Calibri" w:cs="Calibri"/>
          <w:sz w:val="22"/>
          <w:szCs w:val="22"/>
        </w:rPr>
        <w:t xml:space="preserve">use a variety of different methods and address </w:t>
      </w:r>
      <w:r w:rsidR="00BE7520" w:rsidRPr="008B153E">
        <w:rPr>
          <w:rFonts w:ascii="Calibri" w:eastAsia="Calibri" w:hAnsi="Calibri" w:cs="Calibri"/>
          <w:sz w:val="22"/>
          <w:szCs w:val="22"/>
        </w:rPr>
        <w:lastRenderedPageBreak/>
        <w:t>change from multiple perspectives</w:t>
      </w:r>
      <w:r w:rsidR="006E3173" w:rsidRPr="008B153E">
        <w:rPr>
          <w:rFonts w:ascii="Calibri" w:eastAsia="Calibri" w:hAnsi="Calibri" w:cs="Calibri"/>
          <w:sz w:val="22"/>
          <w:szCs w:val="22"/>
        </w:rPr>
        <w:t xml:space="preserve"> </w:t>
      </w:r>
      <w:r w:rsidRPr="008B153E">
        <w:rPr>
          <w:rFonts w:ascii="Calibri" w:eastAsia="Calibri" w:hAnsi="Calibri" w:cs="Calibri"/>
          <w:sz w:val="22"/>
          <w:szCs w:val="22"/>
        </w:rPr>
        <w:t>are needed</w:t>
      </w:r>
      <w:r w:rsidR="00AB1F6D" w:rsidRPr="008B153E">
        <w:rPr>
          <w:rFonts w:ascii="Calibri" w:eastAsia="Calibri" w:hAnsi="Calibri" w:cs="Calibri"/>
          <w:sz w:val="22"/>
          <w:szCs w:val="22"/>
        </w:rPr>
        <w:t xml:space="preserve"> in future similar studies</w:t>
      </w:r>
      <w:r w:rsidRPr="008B153E">
        <w:rPr>
          <w:rFonts w:ascii="Calibri" w:eastAsia="Calibri" w:hAnsi="Calibri" w:cs="Calibri"/>
          <w:sz w:val="22"/>
          <w:szCs w:val="22"/>
        </w:rPr>
        <w:t>.</w:t>
      </w:r>
      <w:r w:rsidR="00087649" w:rsidRPr="008B153E">
        <w:rPr>
          <w:rFonts w:ascii="Calibri" w:eastAsia="Calibri" w:hAnsi="Calibri" w:cs="Calibri"/>
          <w:sz w:val="22"/>
          <w:szCs w:val="22"/>
        </w:rPr>
        <w:t xml:space="preserve"> </w:t>
      </w:r>
      <w:r w:rsidR="008E10FD" w:rsidRPr="008B153E">
        <w:rPr>
          <w:rFonts w:ascii="Calibri" w:eastAsia="Calibri" w:hAnsi="Calibri" w:cs="Calibri"/>
          <w:sz w:val="22"/>
          <w:szCs w:val="22"/>
        </w:rPr>
        <w:t>The challenges associated with complex or time-consuming documentation should also be noted, and abbreviated wherever possible.</w:t>
      </w:r>
    </w:p>
    <w:p w14:paraId="4A055E03" w14:textId="17ED1C87" w:rsidR="00C30FEC" w:rsidRPr="009467CF" w:rsidRDefault="00C30FEC" w:rsidP="002358F3">
      <w:pPr>
        <w:spacing w:after="200" w:line="360" w:lineRule="auto"/>
        <w:jc w:val="both"/>
        <w:rPr>
          <w:rFonts w:ascii="Calibri" w:eastAsia="Calibri" w:hAnsi="Calibri" w:cs="Calibri"/>
          <w:sz w:val="22"/>
          <w:szCs w:val="22"/>
        </w:rPr>
      </w:pPr>
      <w:r w:rsidRPr="008B153E">
        <w:rPr>
          <w:rFonts w:ascii="Calibri" w:eastAsia="Calibri" w:hAnsi="Calibri" w:cs="Calibri"/>
          <w:sz w:val="22"/>
          <w:szCs w:val="22"/>
        </w:rPr>
        <w:t xml:space="preserve">While education is an essential component </w:t>
      </w:r>
      <w:r w:rsidR="002F23CA" w:rsidRPr="008B153E">
        <w:rPr>
          <w:rFonts w:ascii="Calibri" w:eastAsia="Calibri" w:hAnsi="Calibri" w:cs="Calibri"/>
          <w:sz w:val="22"/>
          <w:szCs w:val="22"/>
        </w:rPr>
        <w:t>of behaviour change, it is rarely sufficient in isolation to produce sustained change, particularly in a complex environment</w:t>
      </w:r>
      <w:r w:rsidR="00363BF7" w:rsidRPr="008B153E">
        <w:rPr>
          <w:rFonts w:ascii="Calibri" w:eastAsia="Calibri" w:hAnsi="Calibri" w:cs="Calibri"/>
          <w:sz w:val="22"/>
          <w:szCs w:val="22"/>
        </w:rPr>
        <w:t>.</w:t>
      </w:r>
      <w:r w:rsidR="005B23B0" w:rsidRPr="008B153E">
        <w:rPr>
          <w:rFonts w:ascii="Calibri" w:eastAsia="Calibri" w:hAnsi="Calibri" w:cs="Calibri"/>
          <w:noProof/>
          <w:sz w:val="22"/>
          <w:szCs w:val="22"/>
          <w:vertAlign w:val="superscript"/>
        </w:rPr>
        <w:t>21</w:t>
      </w:r>
      <w:r w:rsidR="00363BF7" w:rsidRPr="008B153E">
        <w:rPr>
          <w:rFonts w:ascii="Calibri" w:eastAsia="Calibri" w:hAnsi="Calibri" w:cs="Calibri"/>
          <w:sz w:val="22"/>
          <w:szCs w:val="22"/>
        </w:rPr>
        <w:t xml:space="preserve"> </w:t>
      </w:r>
      <w:r w:rsidR="002A1EB0" w:rsidRPr="008B153E">
        <w:rPr>
          <w:rFonts w:ascii="Calibri" w:eastAsia="Calibri" w:hAnsi="Calibri" w:cs="Calibri"/>
          <w:sz w:val="22"/>
          <w:szCs w:val="22"/>
        </w:rPr>
        <w:t xml:space="preserve">In the context of A2B, education to increase the knowledge and awareness of the impact of deep and protracted sedation on long term patient outcomes </w:t>
      </w:r>
      <w:r w:rsidR="00155C9D" w:rsidRPr="008B153E">
        <w:rPr>
          <w:rFonts w:ascii="Calibri" w:eastAsia="Calibri" w:hAnsi="Calibri" w:cs="Calibri"/>
          <w:sz w:val="22"/>
          <w:szCs w:val="22"/>
        </w:rPr>
        <w:t xml:space="preserve">was described as </w:t>
      </w:r>
      <w:r w:rsidR="002A1EB0" w:rsidRPr="008B153E">
        <w:rPr>
          <w:rFonts w:ascii="Calibri" w:eastAsia="Calibri" w:hAnsi="Calibri" w:cs="Calibri"/>
          <w:sz w:val="22"/>
          <w:szCs w:val="22"/>
        </w:rPr>
        <w:t>beneficial for some clinicians.</w:t>
      </w:r>
      <w:r w:rsidR="006E47DC" w:rsidRPr="008B153E">
        <w:rPr>
          <w:rFonts w:ascii="Calibri" w:eastAsia="Calibri" w:hAnsi="Calibri" w:cs="Calibri"/>
          <w:sz w:val="22"/>
          <w:szCs w:val="22"/>
        </w:rPr>
        <w:t xml:space="preserve"> </w:t>
      </w:r>
      <w:r w:rsidR="00153045" w:rsidRPr="008B153E">
        <w:rPr>
          <w:rFonts w:ascii="Calibri" w:eastAsia="Calibri" w:hAnsi="Calibri" w:cs="Calibri"/>
          <w:sz w:val="22"/>
          <w:szCs w:val="22"/>
        </w:rPr>
        <w:t>A</w:t>
      </w:r>
      <w:r w:rsidR="00681CBF" w:rsidRPr="008B153E">
        <w:rPr>
          <w:rFonts w:ascii="Calibri" w:eastAsia="Calibri" w:hAnsi="Calibri" w:cs="Calibri"/>
          <w:sz w:val="22"/>
          <w:szCs w:val="22"/>
        </w:rPr>
        <w:t>dditional</w:t>
      </w:r>
      <w:r w:rsidR="009A11E8" w:rsidRPr="008B153E">
        <w:rPr>
          <w:rFonts w:ascii="Calibri" w:eastAsia="Calibri" w:hAnsi="Calibri" w:cs="Calibri"/>
          <w:sz w:val="22"/>
          <w:szCs w:val="22"/>
        </w:rPr>
        <w:t xml:space="preserve"> </w:t>
      </w:r>
      <w:r w:rsidR="006E47DC" w:rsidRPr="008B153E">
        <w:rPr>
          <w:rFonts w:ascii="Calibri" w:eastAsia="Calibri" w:hAnsi="Calibri" w:cs="Calibri"/>
          <w:sz w:val="22"/>
          <w:szCs w:val="22"/>
        </w:rPr>
        <w:t>elements</w:t>
      </w:r>
      <w:r w:rsidR="00153045" w:rsidRPr="008B153E">
        <w:rPr>
          <w:rFonts w:ascii="Calibri" w:eastAsia="Calibri" w:hAnsi="Calibri" w:cs="Calibri"/>
          <w:sz w:val="22"/>
          <w:szCs w:val="22"/>
        </w:rPr>
        <w:t xml:space="preserve"> </w:t>
      </w:r>
      <w:r w:rsidR="00454B58" w:rsidRPr="008B153E">
        <w:rPr>
          <w:rFonts w:ascii="Calibri" w:eastAsia="Calibri" w:hAnsi="Calibri" w:cs="Calibri"/>
          <w:sz w:val="22"/>
          <w:szCs w:val="22"/>
        </w:rPr>
        <w:t xml:space="preserve">to target </w:t>
      </w:r>
      <w:r w:rsidR="00153045" w:rsidRPr="008B153E">
        <w:rPr>
          <w:rFonts w:ascii="Calibri" w:eastAsia="Calibri" w:hAnsi="Calibri" w:cs="Calibri"/>
          <w:sz w:val="22"/>
          <w:szCs w:val="22"/>
        </w:rPr>
        <w:t xml:space="preserve">identified in the A2B process </w:t>
      </w:r>
      <w:r w:rsidR="00454B58" w:rsidRPr="008B153E">
        <w:rPr>
          <w:rFonts w:ascii="Calibri" w:eastAsia="Calibri" w:hAnsi="Calibri" w:cs="Calibri"/>
          <w:sz w:val="22"/>
          <w:szCs w:val="22"/>
        </w:rPr>
        <w:t>evaluation</w:t>
      </w:r>
      <w:r w:rsidR="009A11E8" w:rsidRPr="008B153E">
        <w:rPr>
          <w:rFonts w:ascii="Calibri" w:eastAsia="Calibri" w:hAnsi="Calibri" w:cs="Calibri"/>
          <w:sz w:val="22"/>
          <w:szCs w:val="22"/>
        </w:rPr>
        <w:t xml:space="preserve"> </w:t>
      </w:r>
      <w:r w:rsidR="00E858AB" w:rsidRPr="008B153E">
        <w:rPr>
          <w:rFonts w:ascii="Calibri" w:eastAsia="Calibri" w:hAnsi="Calibri" w:cs="Calibri"/>
          <w:sz w:val="22"/>
          <w:szCs w:val="22"/>
        </w:rPr>
        <w:t xml:space="preserve">include </w:t>
      </w:r>
      <w:r w:rsidR="00BE4418" w:rsidRPr="008B153E">
        <w:rPr>
          <w:rFonts w:ascii="Calibri" w:eastAsia="Calibri" w:hAnsi="Calibri" w:cs="Calibri"/>
          <w:sz w:val="22"/>
          <w:szCs w:val="22"/>
        </w:rPr>
        <w:t xml:space="preserve">beliefs about </w:t>
      </w:r>
      <w:r w:rsidR="00EE6839" w:rsidRPr="008B153E">
        <w:rPr>
          <w:rFonts w:ascii="Calibri" w:eastAsia="Calibri" w:hAnsi="Calibri" w:cs="Calibri"/>
          <w:sz w:val="22"/>
          <w:szCs w:val="22"/>
        </w:rPr>
        <w:t>consequences or impact</w:t>
      </w:r>
      <w:r w:rsidR="00EE6839" w:rsidRPr="009467CF">
        <w:rPr>
          <w:rFonts w:ascii="Calibri" w:eastAsia="Calibri" w:hAnsi="Calibri" w:cs="Calibri"/>
          <w:sz w:val="22"/>
          <w:szCs w:val="22"/>
        </w:rPr>
        <w:t xml:space="preserve"> of care, perceived roles in the health care team, </w:t>
      </w:r>
      <w:r w:rsidR="00016C6F" w:rsidRPr="009467CF">
        <w:rPr>
          <w:rFonts w:ascii="Calibri" w:eastAsia="Calibri" w:hAnsi="Calibri" w:cs="Calibri"/>
          <w:sz w:val="22"/>
          <w:szCs w:val="22"/>
        </w:rPr>
        <w:t>social influences from other members of the health care team and resourcing, particularly numbers and experience of clinical staff</w:t>
      </w:r>
      <w:r w:rsidR="00A17168">
        <w:rPr>
          <w:rFonts w:ascii="Calibri" w:eastAsia="Calibri" w:hAnsi="Calibri" w:cs="Calibri"/>
          <w:sz w:val="22"/>
          <w:szCs w:val="22"/>
        </w:rPr>
        <w:t>.</w:t>
      </w:r>
      <w:r w:rsidR="005B23B0" w:rsidRPr="00EC6C09">
        <w:rPr>
          <w:rFonts w:ascii="Calibri" w:eastAsia="Calibri" w:hAnsi="Calibri" w:cs="Calibri"/>
          <w:noProof/>
          <w:sz w:val="22"/>
          <w:szCs w:val="22"/>
          <w:vertAlign w:val="superscript"/>
        </w:rPr>
        <w:t>22</w:t>
      </w:r>
      <w:r w:rsidR="00B544E2" w:rsidRPr="00B544E2">
        <w:rPr>
          <w:rFonts w:ascii="Calibri" w:eastAsia="Calibri" w:hAnsi="Calibri" w:cs="Calibri"/>
          <w:sz w:val="22"/>
          <w:szCs w:val="22"/>
        </w:rPr>
        <w:t xml:space="preserve">  </w:t>
      </w:r>
    </w:p>
    <w:p w14:paraId="35CCCB69" w14:textId="63EB20A3" w:rsidR="00DA506E" w:rsidRDefault="00DA506E" w:rsidP="002358F3">
      <w:pPr>
        <w:spacing w:after="200" w:line="360" w:lineRule="auto"/>
        <w:jc w:val="both"/>
        <w:rPr>
          <w:rFonts w:ascii="Calibri" w:eastAsia="Calibri" w:hAnsi="Calibri" w:cs="Calibri"/>
          <w:sz w:val="22"/>
          <w:szCs w:val="22"/>
        </w:rPr>
      </w:pPr>
      <w:r w:rsidRPr="00E915D7">
        <w:rPr>
          <w:rFonts w:ascii="Calibri" w:eastAsia="Calibri" w:hAnsi="Calibri" w:cs="Calibri"/>
          <w:sz w:val="22"/>
          <w:szCs w:val="22"/>
        </w:rPr>
        <w:t>Two core challenges presented during the A2B trial related to the COVID-19 pandemic. The first relate</w:t>
      </w:r>
      <w:r w:rsidR="00436459" w:rsidRPr="00E915D7">
        <w:rPr>
          <w:rFonts w:ascii="Calibri" w:eastAsia="Calibri" w:hAnsi="Calibri" w:cs="Calibri"/>
          <w:sz w:val="22"/>
          <w:szCs w:val="22"/>
        </w:rPr>
        <w:t>d</w:t>
      </w:r>
      <w:r w:rsidRPr="00E915D7">
        <w:rPr>
          <w:rFonts w:ascii="Calibri" w:eastAsia="Calibri" w:hAnsi="Calibri" w:cs="Calibri"/>
          <w:sz w:val="22"/>
          <w:szCs w:val="22"/>
        </w:rPr>
        <w:t xml:space="preserve"> to staff capabilities for delivering the intervention. Due to pressures on staff many senior and experienced staff left critical care. There were high staff turnover rates and an influx of new and inexperienced staff. Many nurses were also redeployed to critical care and, although experienced in other specialties, had not nursed in this environment before. Consequently, these staff had little or no experience of i) sedation management, and ii) alpha-2 agonist use. They required extensive support to deliver the study, particularly </w:t>
      </w:r>
      <w:r w:rsidR="0091749B">
        <w:rPr>
          <w:rFonts w:ascii="Calibri" w:eastAsia="Calibri" w:hAnsi="Calibri" w:cs="Calibri"/>
          <w:sz w:val="22"/>
          <w:szCs w:val="22"/>
        </w:rPr>
        <w:t>in</w:t>
      </w:r>
      <w:r w:rsidRPr="00E915D7">
        <w:rPr>
          <w:rFonts w:ascii="Calibri" w:eastAsia="Calibri" w:hAnsi="Calibri" w:cs="Calibri"/>
          <w:sz w:val="22"/>
          <w:szCs w:val="22"/>
        </w:rPr>
        <w:t xml:space="preserve"> the early stages, and adherence was compromised when that support was often removed out of hours. Second, COVID</w:t>
      </w:r>
      <w:r w:rsidR="00991CCC">
        <w:rPr>
          <w:rFonts w:ascii="Calibri" w:eastAsia="Calibri" w:hAnsi="Calibri" w:cs="Calibri"/>
          <w:sz w:val="22"/>
          <w:szCs w:val="22"/>
        </w:rPr>
        <w:t>-19</w:t>
      </w:r>
      <w:r w:rsidRPr="00E915D7">
        <w:rPr>
          <w:rFonts w:ascii="Calibri" w:eastAsia="Calibri" w:hAnsi="Calibri" w:cs="Calibri"/>
          <w:sz w:val="22"/>
          <w:szCs w:val="22"/>
        </w:rPr>
        <w:t xml:space="preserve"> patients were commonly much more deeply sedated than would have been routine pre-</w:t>
      </w:r>
      <w:r w:rsidRPr="00ED4C1B">
        <w:rPr>
          <w:rFonts w:ascii="Calibri" w:eastAsia="Calibri" w:hAnsi="Calibri" w:cs="Calibri"/>
          <w:sz w:val="22"/>
          <w:szCs w:val="22"/>
        </w:rPr>
        <w:t>pandemic.</w:t>
      </w:r>
      <w:r w:rsidR="005B23B0" w:rsidRPr="00EC6C09">
        <w:rPr>
          <w:rFonts w:ascii="Calibri" w:eastAsia="Calibri" w:hAnsi="Calibri" w:cs="Calibri"/>
          <w:noProof/>
          <w:sz w:val="22"/>
          <w:szCs w:val="22"/>
          <w:vertAlign w:val="superscript"/>
        </w:rPr>
        <w:t>23</w:t>
      </w:r>
      <w:r w:rsidRPr="00ED4C1B">
        <w:rPr>
          <w:rFonts w:ascii="Calibri" w:eastAsia="Calibri" w:hAnsi="Calibri" w:cs="Calibri"/>
          <w:sz w:val="22"/>
          <w:szCs w:val="22"/>
        </w:rPr>
        <w:t xml:space="preserve"> This meant</w:t>
      </w:r>
      <w:r w:rsidRPr="00E915D7">
        <w:rPr>
          <w:rFonts w:ascii="Calibri" w:eastAsia="Calibri" w:hAnsi="Calibri" w:cs="Calibri"/>
          <w:sz w:val="22"/>
          <w:szCs w:val="22"/>
        </w:rPr>
        <w:t xml:space="preserve"> that staff</w:t>
      </w:r>
      <w:r w:rsidR="00F5466C">
        <w:rPr>
          <w:rFonts w:ascii="Calibri" w:eastAsia="Calibri" w:hAnsi="Calibri" w:cs="Calibri"/>
          <w:sz w:val="22"/>
          <w:szCs w:val="22"/>
        </w:rPr>
        <w:t xml:space="preserve"> new to critical care</w:t>
      </w:r>
      <w:r w:rsidRPr="00E915D7">
        <w:rPr>
          <w:rFonts w:ascii="Calibri" w:eastAsia="Calibri" w:hAnsi="Calibri" w:cs="Calibri"/>
          <w:sz w:val="22"/>
          <w:szCs w:val="22"/>
        </w:rPr>
        <w:t xml:space="preserve"> perceived this as normal practice. There was crossover</w:t>
      </w:r>
      <w:r w:rsidR="00B01C57" w:rsidRPr="00E915D7">
        <w:rPr>
          <w:rFonts w:ascii="Calibri" w:eastAsia="Calibri" w:hAnsi="Calibri" w:cs="Calibri"/>
          <w:sz w:val="22"/>
          <w:szCs w:val="22"/>
        </w:rPr>
        <w:t xml:space="preserve"> of this </w:t>
      </w:r>
      <w:r w:rsidR="0015633D" w:rsidRPr="00E915D7">
        <w:rPr>
          <w:rFonts w:ascii="Calibri" w:eastAsia="Calibri" w:hAnsi="Calibri" w:cs="Calibri"/>
          <w:sz w:val="22"/>
          <w:szCs w:val="22"/>
        </w:rPr>
        <w:t>deep sedation practice</w:t>
      </w:r>
      <w:r w:rsidRPr="00E915D7">
        <w:rPr>
          <w:rFonts w:ascii="Calibri" w:eastAsia="Calibri" w:hAnsi="Calibri" w:cs="Calibri"/>
          <w:sz w:val="22"/>
          <w:szCs w:val="22"/>
        </w:rPr>
        <w:t xml:space="preserve"> into non-COVID</w:t>
      </w:r>
      <w:r w:rsidR="00095266">
        <w:rPr>
          <w:rFonts w:ascii="Calibri" w:eastAsia="Calibri" w:hAnsi="Calibri" w:cs="Calibri"/>
          <w:sz w:val="22"/>
          <w:szCs w:val="22"/>
        </w:rPr>
        <w:t>-19</w:t>
      </w:r>
      <w:r w:rsidRPr="00E915D7">
        <w:rPr>
          <w:rFonts w:ascii="Calibri" w:eastAsia="Calibri" w:hAnsi="Calibri" w:cs="Calibri"/>
          <w:sz w:val="22"/>
          <w:szCs w:val="22"/>
        </w:rPr>
        <w:t xml:space="preserve"> patients and </w:t>
      </w:r>
      <w:r w:rsidR="00E728CC">
        <w:rPr>
          <w:rFonts w:ascii="Calibri" w:eastAsia="Calibri" w:hAnsi="Calibri" w:cs="Calibri"/>
          <w:sz w:val="22"/>
          <w:szCs w:val="22"/>
        </w:rPr>
        <w:t xml:space="preserve">a continuation </w:t>
      </w:r>
      <w:r w:rsidRPr="00E915D7">
        <w:rPr>
          <w:rFonts w:ascii="Calibri" w:eastAsia="Calibri" w:hAnsi="Calibri" w:cs="Calibri"/>
          <w:sz w:val="22"/>
          <w:szCs w:val="22"/>
        </w:rPr>
        <w:t xml:space="preserve">into usual practice post-pandemic. </w:t>
      </w:r>
    </w:p>
    <w:p w14:paraId="0CA440E8" w14:textId="7CC0777E" w:rsidR="00DA506E" w:rsidRDefault="00DA506E" w:rsidP="002358F3">
      <w:pPr>
        <w:spacing w:after="200" w:line="360" w:lineRule="auto"/>
        <w:jc w:val="both"/>
        <w:rPr>
          <w:rFonts w:ascii="Calibri" w:eastAsia="Calibri" w:hAnsi="Calibri" w:cs="Calibri"/>
          <w:sz w:val="22"/>
          <w:szCs w:val="22"/>
        </w:rPr>
      </w:pPr>
      <w:r w:rsidRPr="00BD7093">
        <w:rPr>
          <w:rFonts w:ascii="Calibri" w:eastAsia="Calibri" w:hAnsi="Calibri" w:cs="Calibri"/>
          <w:sz w:val="22"/>
          <w:szCs w:val="22"/>
        </w:rPr>
        <w:t xml:space="preserve">In contrast to the negative impacts and challenges, many clinical and research staff discussed the upside of conducting research during the pandemic. Whilst most research in critical care was paused, COVID-19 trials were expediated. Trial findings were rapidly published, and evidence-based interventions implemented into clinical practice. Many clinical staff discussed how this raised the profile of research on their units. They felt that the rapid process meant clinical staff who had delivered trials were more engaged because they got to see how effective interventions are implemented into real world practice. They contrasted this to the often-lengthy timeline of trials they typically deliver which can take years from conception to publication and implementation. As a result, many clinical and research staff felt the pandemic research process actually improved research culture and engagement. </w:t>
      </w:r>
    </w:p>
    <w:p w14:paraId="145ABBE2" w14:textId="4E6A3F4A" w:rsidR="00C35260" w:rsidRDefault="00706BDC" w:rsidP="002358F3">
      <w:pPr>
        <w:spacing w:after="200" w:line="360" w:lineRule="auto"/>
        <w:jc w:val="both"/>
        <w:rPr>
          <w:rFonts w:ascii="Calibri" w:eastAsia="Calibri" w:hAnsi="Calibri" w:cs="Calibri"/>
          <w:sz w:val="22"/>
          <w:szCs w:val="22"/>
        </w:rPr>
      </w:pPr>
      <w:r>
        <w:rPr>
          <w:rFonts w:ascii="Calibri" w:eastAsia="Calibri" w:hAnsi="Calibri" w:cs="Calibri"/>
          <w:sz w:val="22"/>
          <w:szCs w:val="22"/>
        </w:rPr>
        <w:t>The strengths of this</w:t>
      </w:r>
      <w:r w:rsidR="00E518A0">
        <w:rPr>
          <w:rFonts w:ascii="Calibri" w:eastAsia="Calibri" w:hAnsi="Calibri" w:cs="Calibri"/>
          <w:sz w:val="22"/>
          <w:szCs w:val="22"/>
        </w:rPr>
        <w:t xml:space="preserve"> process evaluation </w:t>
      </w:r>
      <w:r>
        <w:rPr>
          <w:rFonts w:ascii="Calibri" w:eastAsia="Calibri" w:hAnsi="Calibri" w:cs="Calibri"/>
          <w:sz w:val="22"/>
          <w:szCs w:val="22"/>
        </w:rPr>
        <w:t xml:space="preserve">include that it was conducted across the duration of the A2B trial, with participation from personnel in a random </w:t>
      </w:r>
      <w:r w:rsidR="00AE3BD7">
        <w:rPr>
          <w:rFonts w:ascii="Calibri" w:eastAsia="Calibri" w:hAnsi="Calibri" w:cs="Calibri"/>
          <w:sz w:val="22"/>
          <w:szCs w:val="22"/>
        </w:rPr>
        <w:t xml:space="preserve">selection of trial sites. </w:t>
      </w:r>
      <w:r w:rsidR="00787671">
        <w:rPr>
          <w:rFonts w:ascii="Calibri" w:eastAsia="Calibri" w:hAnsi="Calibri" w:cs="Calibri"/>
          <w:sz w:val="22"/>
          <w:szCs w:val="22"/>
        </w:rPr>
        <w:t xml:space="preserve">A mixed methods approach </w:t>
      </w:r>
      <w:r w:rsidR="003379C6">
        <w:rPr>
          <w:rFonts w:ascii="Calibri" w:eastAsia="Calibri" w:hAnsi="Calibri" w:cs="Calibri"/>
          <w:sz w:val="22"/>
          <w:szCs w:val="22"/>
        </w:rPr>
        <w:lastRenderedPageBreak/>
        <w:t>underpinned by a validated framewo</w:t>
      </w:r>
      <w:r w:rsidR="00514CCF">
        <w:rPr>
          <w:rFonts w:ascii="Calibri" w:eastAsia="Calibri" w:hAnsi="Calibri" w:cs="Calibri"/>
          <w:sz w:val="22"/>
          <w:szCs w:val="22"/>
        </w:rPr>
        <w:t>rk and</w:t>
      </w:r>
      <w:r w:rsidR="003379C6">
        <w:rPr>
          <w:rFonts w:ascii="Calibri" w:eastAsia="Calibri" w:hAnsi="Calibri" w:cs="Calibri"/>
          <w:sz w:val="22"/>
          <w:szCs w:val="22"/>
        </w:rPr>
        <w:t xml:space="preserve"> pre-defined </w:t>
      </w:r>
      <w:r w:rsidR="00514CCF">
        <w:rPr>
          <w:rFonts w:ascii="Calibri" w:eastAsia="Calibri" w:hAnsi="Calibri" w:cs="Calibri"/>
          <w:sz w:val="22"/>
          <w:szCs w:val="22"/>
        </w:rPr>
        <w:t xml:space="preserve">logic model </w:t>
      </w:r>
      <w:r w:rsidR="00787671">
        <w:rPr>
          <w:rFonts w:ascii="Calibri" w:eastAsia="Calibri" w:hAnsi="Calibri" w:cs="Calibri"/>
          <w:sz w:val="22"/>
          <w:szCs w:val="22"/>
        </w:rPr>
        <w:t>was used, and a</w:t>
      </w:r>
      <w:r w:rsidR="00AE3BD7">
        <w:rPr>
          <w:rFonts w:ascii="Calibri" w:eastAsia="Calibri" w:hAnsi="Calibri" w:cs="Calibri"/>
          <w:sz w:val="22"/>
          <w:szCs w:val="22"/>
        </w:rPr>
        <w:t>ll</w:t>
      </w:r>
      <w:r w:rsidR="0091749B">
        <w:rPr>
          <w:rFonts w:ascii="Calibri" w:eastAsia="Calibri" w:hAnsi="Calibri" w:cs="Calibri"/>
          <w:sz w:val="22"/>
          <w:szCs w:val="22"/>
        </w:rPr>
        <w:t xml:space="preserve"> qualitative</w:t>
      </w:r>
      <w:r w:rsidR="00AE3BD7">
        <w:rPr>
          <w:rFonts w:ascii="Calibri" w:eastAsia="Calibri" w:hAnsi="Calibri" w:cs="Calibri"/>
          <w:sz w:val="22"/>
          <w:szCs w:val="22"/>
        </w:rPr>
        <w:t xml:space="preserve"> data collection and analysis was completed prior to knowing the primary results of the trial. </w:t>
      </w:r>
      <w:r w:rsidR="001D38D2">
        <w:rPr>
          <w:rFonts w:ascii="Calibri" w:eastAsia="Calibri" w:hAnsi="Calibri" w:cs="Calibri"/>
          <w:sz w:val="22"/>
          <w:szCs w:val="22"/>
        </w:rPr>
        <w:t xml:space="preserve">Despite the strengths, there are also limitations associated with this process evaluation. </w:t>
      </w:r>
      <w:r w:rsidR="00235028">
        <w:rPr>
          <w:rFonts w:ascii="Calibri" w:eastAsia="Calibri" w:hAnsi="Calibri" w:cs="Calibri"/>
          <w:sz w:val="22"/>
          <w:szCs w:val="22"/>
        </w:rPr>
        <w:t>Due to the implications of the</w:t>
      </w:r>
      <w:r w:rsidR="00281AB4">
        <w:rPr>
          <w:rFonts w:ascii="Calibri" w:eastAsia="Calibri" w:hAnsi="Calibri" w:cs="Calibri"/>
          <w:sz w:val="22"/>
          <w:szCs w:val="22"/>
        </w:rPr>
        <w:t xml:space="preserve"> </w:t>
      </w:r>
      <w:r w:rsidR="00235028">
        <w:rPr>
          <w:rFonts w:ascii="Calibri" w:eastAsia="Calibri" w:hAnsi="Calibri" w:cs="Calibri"/>
          <w:sz w:val="22"/>
          <w:szCs w:val="22"/>
        </w:rPr>
        <w:t>COVID-19 pandemic, the majority of data collection occurred remotely through video-conferencing, rather than with observations and interviews conducted in</w:t>
      </w:r>
      <w:r w:rsidR="00D5039A">
        <w:rPr>
          <w:rFonts w:ascii="Calibri" w:eastAsia="Calibri" w:hAnsi="Calibri" w:cs="Calibri"/>
          <w:sz w:val="22"/>
          <w:szCs w:val="22"/>
        </w:rPr>
        <w:t xml:space="preserve"> </w:t>
      </w:r>
      <w:r w:rsidR="00235028">
        <w:rPr>
          <w:rFonts w:ascii="Calibri" w:eastAsia="Calibri" w:hAnsi="Calibri" w:cs="Calibri"/>
          <w:sz w:val="22"/>
          <w:szCs w:val="22"/>
        </w:rPr>
        <w:t xml:space="preserve">situ – this </w:t>
      </w:r>
      <w:r w:rsidR="00A51FF2">
        <w:rPr>
          <w:rFonts w:ascii="Calibri" w:eastAsia="Calibri" w:hAnsi="Calibri" w:cs="Calibri"/>
          <w:sz w:val="22"/>
          <w:szCs w:val="22"/>
        </w:rPr>
        <w:t>possibly</w:t>
      </w:r>
      <w:r w:rsidR="00235028">
        <w:rPr>
          <w:rFonts w:ascii="Calibri" w:eastAsia="Calibri" w:hAnsi="Calibri" w:cs="Calibri"/>
          <w:sz w:val="22"/>
          <w:szCs w:val="22"/>
        </w:rPr>
        <w:t xml:space="preserve"> limited the </w:t>
      </w:r>
      <w:r w:rsidR="00281AB4">
        <w:rPr>
          <w:rFonts w:ascii="Calibri" w:eastAsia="Calibri" w:hAnsi="Calibri" w:cs="Calibri"/>
          <w:sz w:val="22"/>
          <w:szCs w:val="22"/>
        </w:rPr>
        <w:t xml:space="preserve">depth of some data, but had the added benefit of broadening the number of potential participants as interviews could be </w:t>
      </w:r>
      <w:r w:rsidR="00281AB4" w:rsidRPr="004A3DCA">
        <w:rPr>
          <w:rFonts w:ascii="Calibri" w:eastAsia="Calibri" w:hAnsi="Calibri" w:cs="Calibri"/>
          <w:sz w:val="22"/>
          <w:szCs w:val="22"/>
        </w:rPr>
        <w:t xml:space="preserve">conducted on multiple days. </w:t>
      </w:r>
      <w:r w:rsidR="00B8455F" w:rsidRPr="004A3DCA">
        <w:rPr>
          <w:rFonts w:ascii="Calibri" w:eastAsia="Calibri" w:hAnsi="Calibri" w:cs="Calibri"/>
          <w:sz w:val="22"/>
          <w:szCs w:val="22"/>
        </w:rPr>
        <w:t>A further limitation is that t</w:t>
      </w:r>
      <w:r w:rsidR="003317C5" w:rsidRPr="004A3DCA">
        <w:rPr>
          <w:rFonts w:ascii="Calibri" w:eastAsia="Calibri" w:hAnsi="Calibri" w:cs="Calibri"/>
          <w:sz w:val="22"/>
          <w:szCs w:val="22"/>
        </w:rPr>
        <w:t xml:space="preserve">he measures of intervention fidelity </w:t>
      </w:r>
      <w:r w:rsidR="00B8455F" w:rsidRPr="004A3DCA">
        <w:rPr>
          <w:rFonts w:ascii="Calibri" w:eastAsia="Calibri" w:hAnsi="Calibri" w:cs="Calibri"/>
          <w:sz w:val="22"/>
          <w:szCs w:val="22"/>
        </w:rPr>
        <w:t>may not fully capture the complexity of the intervention</w:t>
      </w:r>
      <w:r w:rsidR="00E14692" w:rsidRPr="004A3DCA">
        <w:rPr>
          <w:rFonts w:ascii="Calibri" w:eastAsia="Calibri" w:hAnsi="Calibri" w:cs="Calibri"/>
          <w:sz w:val="22"/>
          <w:szCs w:val="22"/>
        </w:rPr>
        <w:t xml:space="preserve">, the differences between sites and the individual preferences or willingness to engage in the aims of the intervention – in this case to reduce </w:t>
      </w:r>
      <w:r w:rsidR="00E14692" w:rsidRPr="00AF1A5D">
        <w:rPr>
          <w:rFonts w:ascii="Calibri" w:eastAsia="Calibri" w:hAnsi="Calibri" w:cs="Calibri"/>
          <w:sz w:val="22"/>
          <w:szCs w:val="22"/>
        </w:rPr>
        <w:t>propofol</w:t>
      </w:r>
      <w:r w:rsidR="009D1A26" w:rsidRPr="00AF1A5D">
        <w:rPr>
          <w:rFonts w:ascii="Calibri" w:eastAsia="Calibri" w:hAnsi="Calibri" w:cs="Calibri"/>
          <w:sz w:val="22"/>
          <w:szCs w:val="22"/>
        </w:rPr>
        <w:t>.</w:t>
      </w:r>
      <w:r w:rsidR="00D149C2" w:rsidRPr="00AF1A5D">
        <w:rPr>
          <w:rFonts w:ascii="Calibri" w:eastAsia="Calibri" w:hAnsi="Calibri" w:cs="Calibri"/>
          <w:sz w:val="22"/>
          <w:szCs w:val="22"/>
        </w:rPr>
        <w:t xml:space="preserve"> A</w:t>
      </w:r>
      <w:r w:rsidR="00C54A1B" w:rsidRPr="00AF1A5D">
        <w:rPr>
          <w:rFonts w:ascii="Calibri" w:eastAsia="Calibri" w:hAnsi="Calibri" w:cs="Calibri"/>
          <w:sz w:val="22"/>
          <w:szCs w:val="22"/>
        </w:rPr>
        <w:t xml:space="preserve">lternative measures of </w:t>
      </w:r>
      <w:r w:rsidR="00D149C2" w:rsidRPr="00AF1A5D">
        <w:rPr>
          <w:rFonts w:ascii="Calibri" w:eastAsia="Calibri" w:hAnsi="Calibri" w:cs="Calibri"/>
          <w:sz w:val="22"/>
          <w:szCs w:val="22"/>
        </w:rPr>
        <w:t>intervention fidelity may prove more appropriate.</w:t>
      </w:r>
      <w:r w:rsidR="009D1A26" w:rsidRPr="00AF1A5D">
        <w:rPr>
          <w:rFonts w:ascii="Calibri" w:eastAsia="Calibri" w:hAnsi="Calibri" w:cs="Calibri"/>
          <w:sz w:val="22"/>
          <w:szCs w:val="22"/>
        </w:rPr>
        <w:t xml:space="preserve"> </w:t>
      </w:r>
      <w:r w:rsidR="009D1A26" w:rsidRPr="004A3DCA">
        <w:rPr>
          <w:rFonts w:ascii="Calibri" w:eastAsia="Calibri" w:hAnsi="Calibri" w:cs="Calibri"/>
          <w:sz w:val="22"/>
          <w:szCs w:val="22"/>
        </w:rPr>
        <w:t xml:space="preserve">These </w:t>
      </w:r>
      <w:r w:rsidR="00F568CD" w:rsidRPr="004A3DCA">
        <w:rPr>
          <w:rFonts w:ascii="Calibri" w:eastAsia="Calibri" w:hAnsi="Calibri" w:cs="Calibri"/>
          <w:sz w:val="22"/>
          <w:szCs w:val="22"/>
        </w:rPr>
        <w:t>quantita</w:t>
      </w:r>
      <w:r w:rsidR="00922FDB" w:rsidRPr="004A3DCA">
        <w:rPr>
          <w:rFonts w:ascii="Calibri" w:eastAsia="Calibri" w:hAnsi="Calibri" w:cs="Calibri"/>
          <w:sz w:val="22"/>
          <w:szCs w:val="22"/>
        </w:rPr>
        <w:t>tiv</w:t>
      </w:r>
      <w:r w:rsidR="00F568CD" w:rsidRPr="004A3DCA">
        <w:rPr>
          <w:rFonts w:ascii="Calibri" w:eastAsia="Calibri" w:hAnsi="Calibri" w:cs="Calibri"/>
          <w:sz w:val="22"/>
          <w:szCs w:val="22"/>
        </w:rPr>
        <w:t xml:space="preserve">e data </w:t>
      </w:r>
      <w:r w:rsidR="00B7151B" w:rsidRPr="004A3DCA">
        <w:rPr>
          <w:rFonts w:ascii="Calibri" w:eastAsia="Calibri" w:hAnsi="Calibri" w:cs="Calibri"/>
          <w:sz w:val="22"/>
          <w:szCs w:val="22"/>
        </w:rPr>
        <w:t>may also</w:t>
      </w:r>
      <w:r w:rsidR="009D1A26" w:rsidRPr="004A3DCA">
        <w:rPr>
          <w:rFonts w:ascii="Calibri" w:eastAsia="Calibri" w:hAnsi="Calibri" w:cs="Calibri"/>
          <w:sz w:val="22"/>
          <w:szCs w:val="22"/>
        </w:rPr>
        <w:t xml:space="preserve"> </w:t>
      </w:r>
      <w:r w:rsidR="00695EFF" w:rsidRPr="004A3DCA">
        <w:rPr>
          <w:rFonts w:ascii="Calibri" w:eastAsia="Calibri" w:hAnsi="Calibri" w:cs="Calibri"/>
          <w:sz w:val="22"/>
          <w:szCs w:val="22"/>
        </w:rPr>
        <w:t xml:space="preserve">be compromised </w:t>
      </w:r>
      <w:r w:rsidR="00125D3F" w:rsidRPr="004A3DCA">
        <w:rPr>
          <w:rFonts w:ascii="Calibri" w:eastAsia="Calibri" w:hAnsi="Calibri" w:cs="Calibri"/>
          <w:sz w:val="22"/>
          <w:szCs w:val="22"/>
        </w:rPr>
        <w:t xml:space="preserve">as a result of how the data </w:t>
      </w:r>
      <w:r w:rsidR="00922FDB" w:rsidRPr="004A3DCA">
        <w:rPr>
          <w:rFonts w:ascii="Calibri" w:eastAsia="Calibri" w:hAnsi="Calibri" w:cs="Calibri"/>
          <w:sz w:val="22"/>
          <w:szCs w:val="22"/>
        </w:rPr>
        <w:t>were</w:t>
      </w:r>
      <w:r w:rsidR="00125D3F" w:rsidRPr="004A3DCA">
        <w:rPr>
          <w:rFonts w:ascii="Calibri" w:eastAsia="Calibri" w:hAnsi="Calibri" w:cs="Calibri"/>
          <w:sz w:val="22"/>
          <w:szCs w:val="22"/>
        </w:rPr>
        <w:t xml:space="preserve"> collected, for example different sites record</w:t>
      </w:r>
      <w:r w:rsidR="00922FDB" w:rsidRPr="004A3DCA">
        <w:rPr>
          <w:rFonts w:ascii="Calibri" w:eastAsia="Calibri" w:hAnsi="Calibri" w:cs="Calibri"/>
          <w:sz w:val="22"/>
          <w:szCs w:val="22"/>
        </w:rPr>
        <w:t>ed</w:t>
      </w:r>
      <w:r w:rsidR="00125D3F" w:rsidRPr="004A3DCA">
        <w:rPr>
          <w:rFonts w:ascii="Calibri" w:eastAsia="Calibri" w:hAnsi="Calibri" w:cs="Calibri"/>
          <w:sz w:val="22"/>
          <w:szCs w:val="22"/>
        </w:rPr>
        <w:t xml:space="preserve"> eligible</w:t>
      </w:r>
      <w:r w:rsidR="00125D3F">
        <w:rPr>
          <w:rFonts w:ascii="Calibri" w:eastAsia="Calibri" w:hAnsi="Calibri" w:cs="Calibri"/>
          <w:sz w:val="22"/>
          <w:szCs w:val="22"/>
        </w:rPr>
        <w:t xml:space="preserve"> patients onto the </w:t>
      </w:r>
      <w:r w:rsidR="008E636D">
        <w:rPr>
          <w:rFonts w:ascii="Calibri" w:eastAsia="Calibri" w:hAnsi="Calibri" w:cs="Calibri"/>
          <w:sz w:val="22"/>
          <w:szCs w:val="22"/>
        </w:rPr>
        <w:t>recruitment</w:t>
      </w:r>
      <w:r w:rsidR="00125D3F">
        <w:rPr>
          <w:rFonts w:ascii="Calibri" w:eastAsia="Calibri" w:hAnsi="Calibri" w:cs="Calibri"/>
          <w:sz w:val="22"/>
          <w:szCs w:val="22"/>
        </w:rPr>
        <w:t xml:space="preserve"> log at different points in the screening process – therefore in</w:t>
      </w:r>
      <w:r w:rsidR="008E636D">
        <w:rPr>
          <w:rFonts w:ascii="Calibri" w:eastAsia="Calibri" w:hAnsi="Calibri" w:cs="Calibri"/>
          <w:sz w:val="22"/>
          <w:szCs w:val="22"/>
        </w:rPr>
        <w:t xml:space="preserve">fluencing the recorded rate of </w:t>
      </w:r>
      <w:r w:rsidR="009136DA">
        <w:rPr>
          <w:rFonts w:ascii="Calibri" w:eastAsia="Calibri" w:hAnsi="Calibri" w:cs="Calibri"/>
          <w:sz w:val="22"/>
          <w:szCs w:val="22"/>
        </w:rPr>
        <w:t xml:space="preserve">recruitment of eligible patients. </w:t>
      </w:r>
    </w:p>
    <w:p w14:paraId="77E67808" w14:textId="77777777" w:rsidR="00DA506E" w:rsidRPr="00E84BE4" w:rsidRDefault="00E84BE4" w:rsidP="002358F3">
      <w:pPr>
        <w:spacing w:after="200" w:line="360" w:lineRule="auto"/>
        <w:jc w:val="both"/>
        <w:rPr>
          <w:rFonts w:ascii="Calibri" w:hAnsi="Calibri" w:cs="Calibri"/>
          <w:b/>
          <w:bCs/>
          <w:sz w:val="22"/>
          <w:szCs w:val="22"/>
          <w:u w:val="single"/>
        </w:rPr>
      </w:pPr>
      <w:r w:rsidRPr="00E84BE4">
        <w:rPr>
          <w:rFonts w:ascii="Calibri" w:hAnsi="Calibri" w:cs="Calibri"/>
          <w:b/>
          <w:bCs/>
          <w:sz w:val="22"/>
          <w:szCs w:val="22"/>
          <w:u w:val="single"/>
        </w:rPr>
        <w:t>CONCLUSION</w:t>
      </w:r>
    </w:p>
    <w:p w14:paraId="2F5FBCFB" w14:textId="2AB957E4" w:rsidR="00C27380" w:rsidRDefault="00890173" w:rsidP="002358F3">
      <w:pPr>
        <w:spacing w:after="200" w:line="360" w:lineRule="auto"/>
        <w:jc w:val="both"/>
        <w:divId w:val="1527862831"/>
        <w:rPr>
          <w:rFonts w:ascii="Calibri" w:eastAsia="Calibri" w:hAnsi="Calibri" w:cs="Calibri"/>
          <w:sz w:val="22"/>
          <w:szCs w:val="22"/>
        </w:rPr>
      </w:pPr>
      <w:r>
        <w:rPr>
          <w:rFonts w:ascii="Calibri" w:eastAsia="Calibri" w:hAnsi="Calibri" w:cs="Calibri"/>
          <w:sz w:val="22"/>
          <w:szCs w:val="22"/>
        </w:rPr>
        <w:t>T</w:t>
      </w:r>
      <w:r w:rsidR="00074228" w:rsidRPr="00882770">
        <w:rPr>
          <w:rFonts w:ascii="Calibri" w:eastAsia="Calibri" w:hAnsi="Calibri" w:cs="Calibri"/>
          <w:sz w:val="22"/>
          <w:szCs w:val="22"/>
        </w:rPr>
        <w:t xml:space="preserve">he majority of ICUs </w:t>
      </w:r>
      <w:r w:rsidR="00342142">
        <w:rPr>
          <w:rFonts w:ascii="Calibri" w:eastAsia="Calibri" w:hAnsi="Calibri" w:cs="Calibri"/>
          <w:sz w:val="22"/>
          <w:szCs w:val="22"/>
        </w:rPr>
        <w:t xml:space="preserve">participating in the A2B trial </w:t>
      </w:r>
      <w:r w:rsidR="00074228" w:rsidRPr="006C3633">
        <w:rPr>
          <w:rFonts w:ascii="Calibri" w:eastAsia="Calibri" w:hAnsi="Calibri" w:cs="Calibri"/>
          <w:sz w:val="22"/>
          <w:szCs w:val="22"/>
        </w:rPr>
        <w:t xml:space="preserve">adhered to the study protocol and delivered the intervention </w:t>
      </w:r>
      <w:r w:rsidR="00CE6141">
        <w:rPr>
          <w:rFonts w:ascii="Calibri" w:eastAsia="Calibri" w:hAnsi="Calibri" w:cs="Calibri"/>
          <w:sz w:val="22"/>
          <w:szCs w:val="22"/>
        </w:rPr>
        <w:t xml:space="preserve">broadly </w:t>
      </w:r>
      <w:r w:rsidR="00074228" w:rsidRPr="006C3633">
        <w:rPr>
          <w:rFonts w:ascii="Calibri" w:eastAsia="Calibri" w:hAnsi="Calibri" w:cs="Calibri"/>
          <w:sz w:val="22"/>
          <w:szCs w:val="22"/>
        </w:rPr>
        <w:t>as intended</w:t>
      </w:r>
      <w:r w:rsidR="00F37C20">
        <w:rPr>
          <w:rFonts w:ascii="Calibri" w:eastAsia="Calibri" w:hAnsi="Calibri" w:cs="Calibri"/>
          <w:sz w:val="22"/>
          <w:szCs w:val="22"/>
        </w:rPr>
        <w:t xml:space="preserve"> as measured through quantitative measures of fidelity. Despite this, </w:t>
      </w:r>
      <w:r w:rsidR="00A04DA2">
        <w:rPr>
          <w:rFonts w:ascii="Calibri" w:eastAsia="Calibri" w:hAnsi="Calibri" w:cs="Calibri"/>
          <w:sz w:val="22"/>
          <w:szCs w:val="22"/>
        </w:rPr>
        <w:t xml:space="preserve">interviews during this process evaluation revealed </w:t>
      </w:r>
      <w:r w:rsidR="00741132">
        <w:rPr>
          <w:rFonts w:ascii="Calibri" w:eastAsia="Calibri" w:hAnsi="Calibri" w:cs="Calibri"/>
          <w:sz w:val="22"/>
          <w:szCs w:val="22"/>
        </w:rPr>
        <w:t>multiple</w:t>
      </w:r>
      <w:r w:rsidR="00176E73">
        <w:rPr>
          <w:rFonts w:ascii="Calibri" w:eastAsia="Calibri" w:hAnsi="Calibri" w:cs="Calibri"/>
          <w:sz w:val="22"/>
          <w:szCs w:val="22"/>
        </w:rPr>
        <w:t xml:space="preserve"> contextual factors at the ICU</w:t>
      </w:r>
      <w:r w:rsidR="00AC6329">
        <w:rPr>
          <w:rFonts w:ascii="Calibri" w:eastAsia="Calibri" w:hAnsi="Calibri" w:cs="Calibri"/>
          <w:sz w:val="22"/>
          <w:szCs w:val="22"/>
        </w:rPr>
        <w:t xml:space="preserve"> and individual staff and patient level</w:t>
      </w:r>
      <w:r w:rsidR="00A04DA2">
        <w:rPr>
          <w:rFonts w:ascii="Calibri" w:eastAsia="Calibri" w:hAnsi="Calibri" w:cs="Calibri"/>
          <w:sz w:val="22"/>
          <w:szCs w:val="22"/>
        </w:rPr>
        <w:t xml:space="preserve"> that </w:t>
      </w:r>
      <w:r w:rsidR="00BA0017">
        <w:rPr>
          <w:rFonts w:ascii="Calibri" w:eastAsia="Calibri" w:hAnsi="Calibri" w:cs="Calibri"/>
          <w:sz w:val="22"/>
          <w:szCs w:val="22"/>
        </w:rPr>
        <w:t>prompted</w:t>
      </w:r>
      <w:r w:rsidR="00A04DA2">
        <w:rPr>
          <w:rFonts w:ascii="Calibri" w:eastAsia="Calibri" w:hAnsi="Calibri" w:cs="Calibri"/>
          <w:sz w:val="22"/>
          <w:szCs w:val="22"/>
        </w:rPr>
        <w:t xml:space="preserve"> local </w:t>
      </w:r>
      <w:r w:rsidR="00840915">
        <w:rPr>
          <w:rFonts w:ascii="Calibri" w:eastAsia="Calibri" w:hAnsi="Calibri" w:cs="Calibri"/>
          <w:sz w:val="22"/>
          <w:szCs w:val="22"/>
        </w:rPr>
        <w:t>adaption in specific circumstances</w:t>
      </w:r>
      <w:r w:rsidR="00AC6329">
        <w:rPr>
          <w:rFonts w:ascii="Calibri" w:eastAsia="Calibri" w:hAnsi="Calibri" w:cs="Calibri"/>
          <w:sz w:val="22"/>
          <w:szCs w:val="22"/>
        </w:rPr>
        <w:t xml:space="preserve">. </w:t>
      </w:r>
      <w:r w:rsidR="00B9042A">
        <w:rPr>
          <w:rFonts w:ascii="Calibri" w:eastAsia="Calibri" w:hAnsi="Calibri" w:cs="Calibri"/>
          <w:sz w:val="22"/>
          <w:szCs w:val="22"/>
        </w:rPr>
        <w:t xml:space="preserve">These contextual factors </w:t>
      </w:r>
      <w:r w:rsidR="00E228AB">
        <w:rPr>
          <w:rFonts w:ascii="Calibri" w:eastAsia="Calibri" w:hAnsi="Calibri" w:cs="Calibri"/>
          <w:sz w:val="22"/>
          <w:szCs w:val="22"/>
        </w:rPr>
        <w:t>capture</w:t>
      </w:r>
      <w:r w:rsidR="00BA0017">
        <w:rPr>
          <w:rFonts w:ascii="Calibri" w:eastAsia="Calibri" w:hAnsi="Calibri" w:cs="Calibri"/>
          <w:sz w:val="22"/>
          <w:szCs w:val="22"/>
        </w:rPr>
        <w:t>d</w:t>
      </w:r>
      <w:r w:rsidR="00E228AB">
        <w:rPr>
          <w:rFonts w:ascii="Calibri" w:eastAsia="Calibri" w:hAnsi="Calibri" w:cs="Calibri"/>
          <w:sz w:val="22"/>
          <w:szCs w:val="22"/>
        </w:rPr>
        <w:t xml:space="preserve"> both organisational and human </w:t>
      </w:r>
      <w:r w:rsidR="004127CC">
        <w:rPr>
          <w:rFonts w:ascii="Calibri" w:eastAsia="Calibri" w:hAnsi="Calibri" w:cs="Calibri"/>
          <w:sz w:val="22"/>
          <w:szCs w:val="22"/>
        </w:rPr>
        <w:t>characteristics</w:t>
      </w:r>
      <w:r w:rsidR="007A6F82">
        <w:rPr>
          <w:rFonts w:ascii="Calibri" w:eastAsia="Calibri" w:hAnsi="Calibri" w:cs="Calibri"/>
          <w:sz w:val="22"/>
          <w:szCs w:val="22"/>
        </w:rPr>
        <w:t xml:space="preserve"> and</w:t>
      </w:r>
      <w:r w:rsidR="00E228AB">
        <w:rPr>
          <w:rFonts w:ascii="Calibri" w:eastAsia="Calibri" w:hAnsi="Calibri" w:cs="Calibri"/>
          <w:sz w:val="22"/>
          <w:szCs w:val="22"/>
        </w:rPr>
        <w:t xml:space="preserve"> </w:t>
      </w:r>
      <w:r w:rsidR="00B9042A">
        <w:rPr>
          <w:rFonts w:ascii="Calibri" w:eastAsia="Calibri" w:hAnsi="Calibri" w:cs="Calibri"/>
          <w:sz w:val="22"/>
          <w:szCs w:val="22"/>
        </w:rPr>
        <w:t>represent</w:t>
      </w:r>
      <w:r w:rsidR="00BA0017">
        <w:rPr>
          <w:rFonts w:ascii="Calibri" w:eastAsia="Calibri" w:hAnsi="Calibri" w:cs="Calibri"/>
          <w:sz w:val="22"/>
          <w:szCs w:val="22"/>
        </w:rPr>
        <w:t>ed</w:t>
      </w:r>
      <w:r w:rsidR="00B9042A">
        <w:rPr>
          <w:rFonts w:ascii="Calibri" w:eastAsia="Calibri" w:hAnsi="Calibri" w:cs="Calibri"/>
          <w:sz w:val="22"/>
          <w:szCs w:val="22"/>
        </w:rPr>
        <w:t xml:space="preserve"> the complexity of real world ICU practice </w:t>
      </w:r>
      <w:r w:rsidR="0052260E">
        <w:rPr>
          <w:rFonts w:ascii="Calibri" w:eastAsia="Calibri" w:hAnsi="Calibri" w:cs="Calibri"/>
          <w:sz w:val="22"/>
          <w:szCs w:val="22"/>
        </w:rPr>
        <w:t xml:space="preserve">that needs to be </w:t>
      </w:r>
      <w:r w:rsidR="00D64431">
        <w:rPr>
          <w:rFonts w:ascii="Calibri" w:eastAsia="Calibri" w:hAnsi="Calibri" w:cs="Calibri"/>
          <w:sz w:val="22"/>
          <w:szCs w:val="22"/>
        </w:rPr>
        <w:t>considered</w:t>
      </w:r>
      <w:r w:rsidR="0052260E">
        <w:rPr>
          <w:rFonts w:ascii="Calibri" w:eastAsia="Calibri" w:hAnsi="Calibri" w:cs="Calibri"/>
          <w:sz w:val="22"/>
          <w:szCs w:val="22"/>
        </w:rPr>
        <w:t xml:space="preserve"> </w:t>
      </w:r>
      <w:r w:rsidR="00E51054">
        <w:rPr>
          <w:rFonts w:ascii="Calibri" w:eastAsia="Calibri" w:hAnsi="Calibri" w:cs="Calibri"/>
          <w:sz w:val="22"/>
          <w:szCs w:val="22"/>
        </w:rPr>
        <w:t xml:space="preserve">in both clinical trials and routine care. </w:t>
      </w:r>
      <w:r w:rsidR="001D2E6B">
        <w:rPr>
          <w:rFonts w:ascii="Calibri" w:eastAsia="Calibri" w:hAnsi="Calibri" w:cs="Calibri"/>
          <w:sz w:val="22"/>
          <w:szCs w:val="22"/>
        </w:rPr>
        <w:t xml:space="preserve">In the A2B trial these factors were exacerbated by the </w:t>
      </w:r>
      <w:r w:rsidRPr="00882770">
        <w:rPr>
          <w:rFonts w:ascii="Calibri" w:eastAsia="Calibri" w:hAnsi="Calibri" w:cs="Calibri"/>
          <w:sz w:val="22"/>
          <w:szCs w:val="22"/>
        </w:rPr>
        <w:t xml:space="preserve">challenging </w:t>
      </w:r>
      <w:r w:rsidR="001D2E6B">
        <w:rPr>
          <w:rFonts w:ascii="Calibri" w:eastAsia="Calibri" w:hAnsi="Calibri" w:cs="Calibri"/>
          <w:sz w:val="22"/>
          <w:szCs w:val="22"/>
        </w:rPr>
        <w:t>context</w:t>
      </w:r>
      <w:r w:rsidRPr="00882770">
        <w:rPr>
          <w:rFonts w:ascii="Calibri" w:eastAsia="Calibri" w:hAnsi="Calibri" w:cs="Calibri"/>
          <w:sz w:val="22"/>
          <w:szCs w:val="22"/>
        </w:rPr>
        <w:t xml:space="preserve"> of the COVID-19 pandemic</w:t>
      </w:r>
      <w:r>
        <w:rPr>
          <w:rFonts w:ascii="Calibri" w:eastAsia="Calibri" w:hAnsi="Calibri" w:cs="Calibri"/>
          <w:sz w:val="22"/>
          <w:szCs w:val="22"/>
        </w:rPr>
        <w:t xml:space="preserve">. </w:t>
      </w:r>
    </w:p>
    <w:p w14:paraId="5DCD9D8A" w14:textId="39E09AF7" w:rsidR="00A167BA" w:rsidRDefault="00DA5BFC" w:rsidP="002358F3">
      <w:pPr>
        <w:spacing w:after="200" w:line="360" w:lineRule="auto"/>
        <w:jc w:val="both"/>
        <w:divId w:val="1527862831"/>
        <w:rPr>
          <w:rFonts w:ascii="Calibri" w:eastAsia="Calibri" w:hAnsi="Calibri" w:cs="Calibri"/>
          <w:sz w:val="22"/>
          <w:szCs w:val="22"/>
        </w:rPr>
      </w:pPr>
      <w:r w:rsidRPr="006C3633">
        <w:rPr>
          <w:rFonts w:ascii="Calibri" w:eastAsia="Calibri" w:hAnsi="Calibri" w:cs="Calibri"/>
          <w:sz w:val="22"/>
          <w:szCs w:val="22"/>
        </w:rPr>
        <w:t>The</w:t>
      </w:r>
      <w:r w:rsidR="00E450FD" w:rsidRPr="006C3633">
        <w:rPr>
          <w:rFonts w:ascii="Calibri" w:eastAsia="Calibri" w:hAnsi="Calibri" w:cs="Calibri"/>
          <w:sz w:val="22"/>
          <w:szCs w:val="22"/>
        </w:rPr>
        <w:t xml:space="preserve"> </w:t>
      </w:r>
      <w:r w:rsidRPr="006C3633">
        <w:rPr>
          <w:rFonts w:ascii="Calibri" w:eastAsia="Calibri" w:hAnsi="Calibri" w:cs="Calibri"/>
          <w:sz w:val="22"/>
          <w:szCs w:val="22"/>
        </w:rPr>
        <w:t xml:space="preserve">focus on </w:t>
      </w:r>
      <w:r w:rsidR="00E450FD" w:rsidRPr="006C3633">
        <w:rPr>
          <w:rFonts w:ascii="Calibri" w:eastAsia="Calibri" w:hAnsi="Calibri" w:cs="Calibri"/>
          <w:sz w:val="22"/>
          <w:szCs w:val="22"/>
        </w:rPr>
        <w:t>pri</w:t>
      </w:r>
      <w:r w:rsidR="00264249" w:rsidRPr="006C3633">
        <w:rPr>
          <w:rFonts w:ascii="Calibri" w:eastAsia="Calibri" w:hAnsi="Calibri" w:cs="Calibri"/>
          <w:sz w:val="22"/>
          <w:szCs w:val="22"/>
        </w:rPr>
        <w:t xml:space="preserve">orities in care </w:t>
      </w:r>
      <w:r w:rsidR="00E450FD" w:rsidRPr="006C3633">
        <w:rPr>
          <w:rFonts w:ascii="Calibri" w:eastAsia="Calibri" w:hAnsi="Calibri" w:cs="Calibri"/>
          <w:sz w:val="22"/>
          <w:szCs w:val="22"/>
        </w:rPr>
        <w:t xml:space="preserve">were </w:t>
      </w:r>
      <w:r w:rsidR="00264249" w:rsidRPr="006C3633">
        <w:rPr>
          <w:rFonts w:ascii="Calibri" w:eastAsia="Calibri" w:hAnsi="Calibri" w:cs="Calibri"/>
          <w:sz w:val="22"/>
          <w:szCs w:val="22"/>
        </w:rPr>
        <w:t>on short term safety and comfort</w:t>
      </w:r>
      <w:r w:rsidR="00E450FD" w:rsidRPr="006C3633">
        <w:rPr>
          <w:rFonts w:ascii="Calibri" w:eastAsia="Calibri" w:hAnsi="Calibri" w:cs="Calibri"/>
          <w:sz w:val="22"/>
          <w:szCs w:val="22"/>
        </w:rPr>
        <w:t xml:space="preserve"> </w:t>
      </w:r>
      <w:r w:rsidR="00437042" w:rsidRPr="006C3633">
        <w:rPr>
          <w:rFonts w:ascii="Calibri" w:eastAsia="Calibri" w:hAnsi="Calibri" w:cs="Calibri"/>
          <w:sz w:val="22"/>
          <w:szCs w:val="22"/>
        </w:rPr>
        <w:t xml:space="preserve">– this </w:t>
      </w:r>
      <w:r w:rsidR="00467BEE" w:rsidRPr="006C3633">
        <w:rPr>
          <w:rFonts w:ascii="Calibri" w:eastAsia="Calibri" w:hAnsi="Calibri" w:cs="Calibri"/>
          <w:sz w:val="22"/>
          <w:szCs w:val="22"/>
        </w:rPr>
        <w:t xml:space="preserve">was frequently attributed to </w:t>
      </w:r>
      <w:r w:rsidR="00AD5015" w:rsidRPr="006C3633">
        <w:rPr>
          <w:rFonts w:ascii="Calibri" w:eastAsia="Calibri" w:hAnsi="Calibri" w:cs="Calibri"/>
          <w:sz w:val="22"/>
          <w:szCs w:val="22"/>
        </w:rPr>
        <w:t>staffing capacity and capability</w:t>
      </w:r>
      <w:r w:rsidR="00E81104" w:rsidRPr="006C3633">
        <w:rPr>
          <w:rFonts w:ascii="Calibri" w:eastAsia="Calibri" w:hAnsi="Calibri" w:cs="Calibri"/>
          <w:sz w:val="22"/>
          <w:szCs w:val="22"/>
        </w:rPr>
        <w:t xml:space="preserve"> </w:t>
      </w:r>
      <w:r w:rsidR="00CB2F8D" w:rsidRPr="006C3633">
        <w:rPr>
          <w:rFonts w:ascii="Calibri" w:eastAsia="Calibri" w:hAnsi="Calibri" w:cs="Calibri"/>
          <w:sz w:val="22"/>
          <w:szCs w:val="22"/>
        </w:rPr>
        <w:t>and a clear understanding of the potential safety consequences</w:t>
      </w:r>
      <w:r w:rsidR="00437042" w:rsidRPr="006C3633">
        <w:rPr>
          <w:rFonts w:ascii="Calibri" w:eastAsia="Calibri" w:hAnsi="Calibri" w:cs="Calibri"/>
          <w:sz w:val="22"/>
          <w:szCs w:val="22"/>
        </w:rPr>
        <w:t xml:space="preserve"> if sedation </w:t>
      </w:r>
      <w:r w:rsidR="000C6DE9" w:rsidRPr="006C3633">
        <w:rPr>
          <w:rFonts w:ascii="Calibri" w:eastAsia="Calibri" w:hAnsi="Calibri" w:cs="Calibri"/>
          <w:sz w:val="22"/>
          <w:szCs w:val="22"/>
        </w:rPr>
        <w:t>was too light for the patient</w:t>
      </w:r>
      <w:r w:rsidR="00CB2F8D" w:rsidRPr="006C3633">
        <w:rPr>
          <w:rFonts w:ascii="Calibri" w:eastAsia="Calibri" w:hAnsi="Calibri" w:cs="Calibri"/>
          <w:sz w:val="22"/>
          <w:szCs w:val="22"/>
        </w:rPr>
        <w:t xml:space="preserve">. In contrast, the </w:t>
      </w:r>
      <w:r w:rsidR="006B0DC2" w:rsidRPr="006C3633">
        <w:rPr>
          <w:rFonts w:ascii="Calibri" w:eastAsia="Calibri" w:hAnsi="Calibri" w:cs="Calibri"/>
          <w:sz w:val="22"/>
          <w:szCs w:val="22"/>
        </w:rPr>
        <w:t>detrimental</w:t>
      </w:r>
      <w:r w:rsidR="004F6883" w:rsidRPr="006C3633">
        <w:rPr>
          <w:rFonts w:ascii="Calibri" w:eastAsia="Calibri" w:hAnsi="Calibri" w:cs="Calibri"/>
          <w:sz w:val="22"/>
          <w:szCs w:val="22"/>
        </w:rPr>
        <w:t xml:space="preserve"> consequences </w:t>
      </w:r>
      <w:r w:rsidR="0056144B" w:rsidRPr="006C3633">
        <w:rPr>
          <w:rFonts w:ascii="Calibri" w:eastAsia="Calibri" w:hAnsi="Calibri" w:cs="Calibri"/>
          <w:sz w:val="22"/>
          <w:szCs w:val="22"/>
        </w:rPr>
        <w:t>of</w:t>
      </w:r>
      <w:r w:rsidR="004F6883" w:rsidRPr="006C3633">
        <w:rPr>
          <w:rFonts w:ascii="Calibri" w:eastAsia="Calibri" w:hAnsi="Calibri" w:cs="Calibri"/>
          <w:sz w:val="22"/>
          <w:szCs w:val="22"/>
        </w:rPr>
        <w:t xml:space="preserve"> </w:t>
      </w:r>
      <w:r w:rsidR="000C6DE9" w:rsidRPr="006C3633">
        <w:rPr>
          <w:rFonts w:ascii="Calibri" w:eastAsia="Calibri" w:hAnsi="Calibri" w:cs="Calibri"/>
          <w:sz w:val="22"/>
          <w:szCs w:val="22"/>
        </w:rPr>
        <w:t>deeper</w:t>
      </w:r>
      <w:r w:rsidR="004F6883" w:rsidRPr="006C3633">
        <w:rPr>
          <w:rFonts w:ascii="Calibri" w:eastAsia="Calibri" w:hAnsi="Calibri" w:cs="Calibri"/>
          <w:sz w:val="22"/>
          <w:szCs w:val="22"/>
        </w:rPr>
        <w:t xml:space="preserve"> sedation </w:t>
      </w:r>
      <w:r w:rsidR="000C6DE9" w:rsidRPr="006C3633">
        <w:rPr>
          <w:rFonts w:ascii="Calibri" w:eastAsia="Calibri" w:hAnsi="Calibri" w:cs="Calibri"/>
          <w:sz w:val="22"/>
          <w:szCs w:val="22"/>
        </w:rPr>
        <w:t>on</w:t>
      </w:r>
      <w:r w:rsidR="004F6883" w:rsidRPr="006C3633">
        <w:rPr>
          <w:rFonts w:ascii="Calibri" w:eastAsia="Calibri" w:hAnsi="Calibri" w:cs="Calibri"/>
          <w:sz w:val="22"/>
          <w:szCs w:val="22"/>
        </w:rPr>
        <w:t xml:space="preserve"> recovery </w:t>
      </w:r>
      <w:r w:rsidR="000C6DE9" w:rsidRPr="006C3633">
        <w:rPr>
          <w:rFonts w:ascii="Calibri" w:eastAsia="Calibri" w:hAnsi="Calibri" w:cs="Calibri"/>
          <w:sz w:val="22"/>
          <w:szCs w:val="22"/>
        </w:rPr>
        <w:t xml:space="preserve">and rehabilitation </w:t>
      </w:r>
      <w:r w:rsidR="004F6883" w:rsidRPr="006C3633">
        <w:rPr>
          <w:rFonts w:ascii="Calibri" w:eastAsia="Calibri" w:hAnsi="Calibri" w:cs="Calibri"/>
          <w:sz w:val="22"/>
          <w:szCs w:val="22"/>
        </w:rPr>
        <w:t xml:space="preserve">were not so apparent, and </w:t>
      </w:r>
      <w:r w:rsidR="00E27CB8" w:rsidRPr="006C3633">
        <w:rPr>
          <w:rFonts w:ascii="Calibri" w:eastAsia="Calibri" w:hAnsi="Calibri" w:cs="Calibri"/>
          <w:sz w:val="22"/>
          <w:szCs w:val="22"/>
        </w:rPr>
        <w:t xml:space="preserve">therefore received less attention. Improvements in ICU </w:t>
      </w:r>
      <w:r w:rsidR="006B0DC2" w:rsidRPr="006C3633">
        <w:rPr>
          <w:rFonts w:ascii="Calibri" w:eastAsia="Calibri" w:hAnsi="Calibri" w:cs="Calibri"/>
          <w:sz w:val="22"/>
          <w:szCs w:val="22"/>
        </w:rPr>
        <w:t>sedation</w:t>
      </w:r>
      <w:r w:rsidR="00E27CB8" w:rsidRPr="006C3633">
        <w:rPr>
          <w:rFonts w:ascii="Calibri" w:eastAsia="Calibri" w:hAnsi="Calibri" w:cs="Calibri"/>
          <w:sz w:val="22"/>
          <w:szCs w:val="22"/>
        </w:rPr>
        <w:t xml:space="preserve"> practice </w:t>
      </w:r>
      <w:r w:rsidR="00C213A0">
        <w:rPr>
          <w:rFonts w:ascii="Calibri" w:eastAsia="Calibri" w:hAnsi="Calibri" w:cs="Calibri"/>
          <w:sz w:val="22"/>
          <w:szCs w:val="22"/>
        </w:rPr>
        <w:t xml:space="preserve">should </w:t>
      </w:r>
      <w:r w:rsidR="001F5A28">
        <w:rPr>
          <w:rFonts w:ascii="Calibri" w:eastAsia="Calibri" w:hAnsi="Calibri" w:cs="Calibri"/>
          <w:sz w:val="22"/>
          <w:szCs w:val="22"/>
        </w:rPr>
        <w:t xml:space="preserve">be </w:t>
      </w:r>
      <w:r w:rsidR="00C213A0">
        <w:rPr>
          <w:rFonts w:ascii="Calibri" w:eastAsia="Calibri" w:hAnsi="Calibri" w:cs="Calibri"/>
          <w:sz w:val="22"/>
          <w:szCs w:val="22"/>
        </w:rPr>
        <w:t>a priority of intensive care</w:t>
      </w:r>
      <w:r w:rsidR="00E27CB8" w:rsidRPr="006C3633">
        <w:rPr>
          <w:rFonts w:ascii="Calibri" w:eastAsia="Calibri" w:hAnsi="Calibri" w:cs="Calibri"/>
          <w:sz w:val="22"/>
          <w:szCs w:val="22"/>
        </w:rPr>
        <w:t xml:space="preserve"> and </w:t>
      </w:r>
      <w:r w:rsidR="00704E75" w:rsidRPr="006C3633">
        <w:rPr>
          <w:rFonts w:ascii="Calibri" w:eastAsia="Calibri" w:hAnsi="Calibri" w:cs="Calibri"/>
          <w:sz w:val="22"/>
          <w:szCs w:val="22"/>
        </w:rPr>
        <w:t xml:space="preserve">require </w:t>
      </w:r>
      <w:r w:rsidR="00E27CB8" w:rsidRPr="006C3633">
        <w:rPr>
          <w:rFonts w:ascii="Calibri" w:eastAsia="Calibri" w:hAnsi="Calibri" w:cs="Calibri"/>
          <w:sz w:val="22"/>
          <w:szCs w:val="22"/>
        </w:rPr>
        <w:t xml:space="preserve">recognition of </w:t>
      </w:r>
      <w:r w:rsidR="00704E75" w:rsidRPr="006C3633">
        <w:rPr>
          <w:rFonts w:ascii="Calibri" w:eastAsia="Calibri" w:hAnsi="Calibri" w:cs="Calibri"/>
          <w:sz w:val="22"/>
          <w:szCs w:val="22"/>
        </w:rPr>
        <w:t>both short and long</w:t>
      </w:r>
      <w:r w:rsidR="00D5039A">
        <w:rPr>
          <w:rFonts w:ascii="Calibri" w:eastAsia="Calibri" w:hAnsi="Calibri" w:cs="Calibri"/>
          <w:sz w:val="22"/>
          <w:szCs w:val="22"/>
        </w:rPr>
        <w:t>-</w:t>
      </w:r>
      <w:r w:rsidR="00704E75" w:rsidRPr="006C3633">
        <w:rPr>
          <w:rFonts w:ascii="Calibri" w:eastAsia="Calibri" w:hAnsi="Calibri" w:cs="Calibri"/>
          <w:sz w:val="22"/>
          <w:szCs w:val="22"/>
        </w:rPr>
        <w:t xml:space="preserve">term consequences </w:t>
      </w:r>
      <w:r w:rsidR="00AE3BE7" w:rsidRPr="006C3633">
        <w:rPr>
          <w:rFonts w:ascii="Calibri" w:eastAsia="Calibri" w:hAnsi="Calibri" w:cs="Calibri"/>
          <w:sz w:val="22"/>
          <w:szCs w:val="22"/>
        </w:rPr>
        <w:t>of care in the context of a resource constrained environment</w:t>
      </w:r>
      <w:r w:rsidR="00AD5015" w:rsidRPr="006C3633">
        <w:rPr>
          <w:rFonts w:ascii="Calibri" w:eastAsia="Calibri" w:hAnsi="Calibri" w:cs="Calibri"/>
          <w:sz w:val="22"/>
          <w:szCs w:val="22"/>
        </w:rPr>
        <w:t xml:space="preserve">. </w:t>
      </w:r>
    </w:p>
    <w:p w14:paraId="3421A760" w14:textId="77777777" w:rsidR="00A167BA" w:rsidRDefault="00A167BA">
      <w:pPr>
        <w:rPr>
          <w:rFonts w:ascii="Calibri" w:eastAsia="Calibri" w:hAnsi="Calibri" w:cs="Calibri"/>
          <w:sz w:val="22"/>
          <w:szCs w:val="22"/>
        </w:rPr>
      </w:pPr>
      <w:r>
        <w:rPr>
          <w:rFonts w:ascii="Calibri" w:eastAsia="Calibri" w:hAnsi="Calibri" w:cs="Calibri"/>
          <w:sz w:val="22"/>
          <w:szCs w:val="22"/>
        </w:rPr>
        <w:br w:type="page"/>
      </w:r>
    </w:p>
    <w:p w14:paraId="0A1EEB77" w14:textId="77777777" w:rsidR="00A167BA" w:rsidRPr="008B153E" w:rsidRDefault="00A167BA" w:rsidP="00E748BB">
      <w:pPr>
        <w:spacing w:after="200" w:line="360" w:lineRule="auto"/>
        <w:jc w:val="both"/>
        <w:divId w:val="1527862831"/>
        <w:rPr>
          <w:rFonts w:ascii="Calibri" w:eastAsia="Calibri" w:hAnsi="Calibri" w:cs="Calibri"/>
          <w:b/>
          <w:bCs/>
          <w:sz w:val="22"/>
          <w:szCs w:val="22"/>
          <w:u w:val="single"/>
        </w:rPr>
      </w:pPr>
      <w:r w:rsidRPr="008B153E">
        <w:rPr>
          <w:rFonts w:ascii="Calibri" w:eastAsia="Calibri" w:hAnsi="Calibri" w:cs="Calibri"/>
          <w:b/>
          <w:bCs/>
          <w:sz w:val="22"/>
          <w:szCs w:val="22"/>
          <w:u w:val="single"/>
        </w:rPr>
        <w:lastRenderedPageBreak/>
        <w:t xml:space="preserve">Disclosure of </w:t>
      </w:r>
      <w:r w:rsidR="00193AA4" w:rsidRPr="008B153E">
        <w:rPr>
          <w:rFonts w:ascii="Calibri" w:eastAsia="Calibri" w:hAnsi="Calibri" w:cs="Calibri"/>
          <w:b/>
          <w:bCs/>
          <w:sz w:val="22"/>
          <w:szCs w:val="22"/>
          <w:u w:val="single"/>
        </w:rPr>
        <w:t>c</w:t>
      </w:r>
      <w:r w:rsidRPr="008B153E">
        <w:rPr>
          <w:rFonts w:ascii="Calibri" w:eastAsia="Calibri" w:hAnsi="Calibri" w:cs="Calibri"/>
          <w:b/>
          <w:bCs/>
          <w:sz w:val="22"/>
          <w:szCs w:val="22"/>
          <w:u w:val="single"/>
        </w:rPr>
        <w:t xml:space="preserve">onflicts of interest </w:t>
      </w:r>
    </w:p>
    <w:p w14:paraId="6C385D3A" w14:textId="784E74EF" w:rsidR="00595B04" w:rsidRPr="008B153E" w:rsidRDefault="00595B04" w:rsidP="00B0121B">
      <w:pPr>
        <w:spacing w:after="200" w:line="360" w:lineRule="auto"/>
        <w:jc w:val="both"/>
        <w:divId w:val="1527862831"/>
        <w:rPr>
          <w:rFonts w:ascii="Calibri" w:eastAsia="Calibri" w:hAnsi="Calibri" w:cs="Calibri"/>
          <w:sz w:val="22"/>
          <w:szCs w:val="22"/>
        </w:rPr>
      </w:pPr>
      <w:r w:rsidRPr="008B153E">
        <w:rPr>
          <w:rFonts w:ascii="Calibri" w:eastAsia="Calibri" w:hAnsi="Calibri" w:cs="Calibri"/>
          <w:sz w:val="22"/>
          <w:szCs w:val="22"/>
        </w:rPr>
        <w:t xml:space="preserve">The following conflicts of interest are declared: </w:t>
      </w:r>
    </w:p>
    <w:p w14:paraId="452C6CA2" w14:textId="77777777" w:rsidR="00BF2AA0" w:rsidRPr="008B153E" w:rsidRDefault="00BF2AA0" w:rsidP="0040585A">
      <w:pPr>
        <w:pStyle w:val="ListParagraph"/>
        <w:numPr>
          <w:ilvl w:val="0"/>
          <w:numId w:val="16"/>
        </w:numPr>
        <w:spacing w:after="200" w:line="360" w:lineRule="auto"/>
        <w:jc w:val="both"/>
        <w:divId w:val="1527862831"/>
        <w:rPr>
          <w:rFonts w:ascii="Calibri" w:eastAsia="Calibri" w:hAnsi="Calibri" w:cs="Calibri"/>
          <w:sz w:val="22"/>
          <w:szCs w:val="22"/>
        </w:rPr>
      </w:pPr>
      <w:r w:rsidRPr="008B153E">
        <w:rPr>
          <w:rFonts w:ascii="Calibri" w:eastAsia="Calibri" w:hAnsi="Calibri" w:cs="Calibri"/>
          <w:sz w:val="22"/>
          <w:szCs w:val="22"/>
        </w:rPr>
        <w:t>Bronagh Blackwood - Grant from NIHR Health Technology Assessment Agency; Ref NIHR164012 Paediatric Intensive Care Adaptive Platform Trial (PIVOTAL)</w:t>
      </w:r>
    </w:p>
    <w:p w14:paraId="27767375" w14:textId="77777777" w:rsidR="00021FB7" w:rsidRPr="008B153E" w:rsidRDefault="00021FB7" w:rsidP="0040585A">
      <w:pPr>
        <w:pStyle w:val="ListParagraph"/>
        <w:numPr>
          <w:ilvl w:val="0"/>
          <w:numId w:val="16"/>
        </w:numPr>
        <w:spacing w:after="200" w:line="360" w:lineRule="auto"/>
        <w:jc w:val="both"/>
        <w:divId w:val="1527862831"/>
        <w:rPr>
          <w:rFonts w:ascii="Calibri" w:eastAsia="Calibri" w:hAnsi="Calibri" w:cs="Calibri"/>
          <w:sz w:val="22"/>
          <w:szCs w:val="22"/>
        </w:rPr>
      </w:pPr>
      <w:r w:rsidRPr="008B153E">
        <w:rPr>
          <w:rFonts w:ascii="Calibri" w:eastAsia="Calibri" w:hAnsi="Calibri" w:cs="Calibri"/>
          <w:sz w:val="22"/>
          <w:szCs w:val="22"/>
        </w:rPr>
        <w:t>Cathrine McKenzie - NIHR Senior Clinical Practitioner Research Award; NIHR Wessex Applied Research Collaborative.</w:t>
      </w:r>
    </w:p>
    <w:p w14:paraId="3C85D1E3" w14:textId="77777777" w:rsidR="00EC0A44" w:rsidRPr="008B153E" w:rsidRDefault="00EC0A44" w:rsidP="002D1896">
      <w:pPr>
        <w:pStyle w:val="ListParagraph"/>
        <w:numPr>
          <w:ilvl w:val="0"/>
          <w:numId w:val="16"/>
        </w:numPr>
        <w:spacing w:after="200" w:line="360" w:lineRule="auto"/>
        <w:jc w:val="both"/>
        <w:divId w:val="1527862831"/>
        <w:rPr>
          <w:rFonts w:ascii="Calibri" w:eastAsia="Calibri" w:hAnsi="Calibri" w:cs="Calibri"/>
          <w:sz w:val="22"/>
          <w:szCs w:val="22"/>
        </w:rPr>
      </w:pPr>
      <w:r w:rsidRPr="008B153E">
        <w:rPr>
          <w:rFonts w:ascii="Calibri" w:eastAsia="Calibri" w:hAnsi="Calibri" w:cs="Calibri"/>
          <w:sz w:val="22"/>
          <w:szCs w:val="22"/>
        </w:rPr>
        <w:t>Richard Parker - HS&amp;DR Associate Board Members 31/07/2013 to 31/05/2018.</w:t>
      </w:r>
    </w:p>
    <w:p w14:paraId="6A2B06DE" w14:textId="64F2067E" w:rsidR="00192EF5" w:rsidRPr="008B153E" w:rsidRDefault="00192EF5" w:rsidP="002D1896">
      <w:pPr>
        <w:pStyle w:val="ListParagraph"/>
        <w:numPr>
          <w:ilvl w:val="0"/>
          <w:numId w:val="16"/>
        </w:numPr>
        <w:spacing w:after="200" w:line="360" w:lineRule="auto"/>
        <w:jc w:val="both"/>
        <w:divId w:val="1527862831"/>
        <w:rPr>
          <w:rFonts w:ascii="Calibri" w:eastAsia="Calibri" w:hAnsi="Calibri" w:cs="Calibri"/>
          <w:sz w:val="22"/>
          <w:szCs w:val="22"/>
        </w:rPr>
      </w:pPr>
      <w:r w:rsidRPr="008B153E">
        <w:rPr>
          <w:rFonts w:ascii="Calibri" w:eastAsia="Calibri" w:hAnsi="Calibri" w:cs="Calibri"/>
          <w:sz w:val="22"/>
          <w:szCs w:val="22"/>
        </w:rPr>
        <w:t>Christopher Wei</w:t>
      </w:r>
      <w:r w:rsidR="00B02E82" w:rsidRPr="008B153E">
        <w:rPr>
          <w:rFonts w:ascii="Calibri" w:eastAsia="Calibri" w:hAnsi="Calibri" w:cs="Calibri"/>
          <w:sz w:val="22"/>
          <w:szCs w:val="22"/>
        </w:rPr>
        <w:t>r</w:t>
      </w:r>
      <w:r w:rsidRPr="008B153E">
        <w:rPr>
          <w:rFonts w:ascii="Calibri" w:eastAsia="Calibri" w:hAnsi="Calibri" w:cs="Calibri"/>
          <w:sz w:val="22"/>
          <w:szCs w:val="22"/>
        </w:rPr>
        <w:t xml:space="preserve"> - HS&amp;DR Commissioned - Board Members 31/07/2013 to 01/03/2016; HS&amp;DR Commissioned R&amp;R (Bird) Sub Board 31/07/2013 to 01/05/2016; HS&amp;DR Funding Committee Members 31/07/2013 to 31/01/2018; EME - Funding Committee Members 01/07/2018 to 01/07/2022.</w:t>
      </w:r>
    </w:p>
    <w:p w14:paraId="37CA056B" w14:textId="77777777" w:rsidR="00021FB7" w:rsidRPr="008B153E" w:rsidRDefault="00021FB7" w:rsidP="0040585A">
      <w:pPr>
        <w:pStyle w:val="ListParagraph"/>
        <w:numPr>
          <w:ilvl w:val="0"/>
          <w:numId w:val="16"/>
        </w:numPr>
        <w:spacing w:after="200" w:line="360" w:lineRule="auto"/>
        <w:jc w:val="both"/>
        <w:divId w:val="1527862831"/>
        <w:rPr>
          <w:rFonts w:ascii="Calibri" w:eastAsia="Calibri" w:hAnsi="Calibri" w:cs="Calibri"/>
          <w:sz w:val="22"/>
          <w:szCs w:val="22"/>
        </w:rPr>
      </w:pPr>
      <w:r w:rsidRPr="008B153E">
        <w:rPr>
          <w:rFonts w:ascii="Calibri" w:eastAsia="Calibri" w:hAnsi="Calibri" w:cs="Calibri"/>
          <w:sz w:val="22"/>
          <w:szCs w:val="22"/>
        </w:rPr>
        <w:t>Matt P. Wise - 22/114 NIHR NICE Rolling Call (HTA Programme: Sept 22 - Jan 23</w:t>
      </w:r>
    </w:p>
    <w:p w14:paraId="16DA519A" w14:textId="296EADFF" w:rsidR="00595B04" w:rsidRPr="008B153E" w:rsidRDefault="001500E5" w:rsidP="0040585A">
      <w:pPr>
        <w:pStyle w:val="ListParagraph"/>
        <w:numPr>
          <w:ilvl w:val="0"/>
          <w:numId w:val="16"/>
        </w:numPr>
        <w:spacing w:after="200" w:line="360" w:lineRule="auto"/>
        <w:jc w:val="both"/>
        <w:divId w:val="1527862831"/>
        <w:rPr>
          <w:rFonts w:ascii="Calibri" w:eastAsia="Calibri" w:hAnsi="Calibri" w:cs="Calibri"/>
          <w:sz w:val="22"/>
          <w:szCs w:val="22"/>
        </w:rPr>
      </w:pPr>
      <w:r w:rsidRPr="008B153E">
        <w:rPr>
          <w:rFonts w:ascii="Calibri" w:eastAsia="Calibri" w:hAnsi="Calibri" w:cs="Calibri"/>
          <w:sz w:val="22"/>
          <w:szCs w:val="22"/>
        </w:rPr>
        <w:t>Timothy S Walsh - Grant from NIHR EME Board, Coapplicant – funding for my time to University of Edinburgh; Grant from NIHR Programme Board, Coapplicant – grant award holder is University of Edinburgh</w:t>
      </w:r>
      <w:r w:rsidR="007A5878" w:rsidRPr="008B153E">
        <w:rPr>
          <w:rFonts w:ascii="Calibri" w:eastAsia="Calibri" w:hAnsi="Calibri" w:cs="Calibri"/>
          <w:sz w:val="22"/>
          <w:szCs w:val="22"/>
        </w:rPr>
        <w:t>.</w:t>
      </w:r>
    </w:p>
    <w:p w14:paraId="5F3BE2AF" w14:textId="0B1D54B5" w:rsidR="00A167BA" w:rsidRPr="00E748BB" w:rsidRDefault="00A167BA" w:rsidP="00B0121B">
      <w:pPr>
        <w:spacing w:after="200" w:line="360" w:lineRule="auto"/>
        <w:jc w:val="both"/>
        <w:divId w:val="1527862831"/>
        <w:rPr>
          <w:rFonts w:ascii="Calibri" w:eastAsia="Calibri" w:hAnsi="Calibri" w:cs="Calibri"/>
          <w:sz w:val="22"/>
          <w:szCs w:val="22"/>
        </w:rPr>
      </w:pPr>
      <w:r w:rsidRPr="00E748BB">
        <w:rPr>
          <w:rFonts w:ascii="Calibri" w:eastAsia="Calibri" w:hAnsi="Calibri" w:cs="Calibri"/>
          <w:sz w:val="22"/>
          <w:szCs w:val="22"/>
        </w:rPr>
        <w:t xml:space="preserve">None of the authors report any competing interests in relation to commercial companies or entities relevant to the A2B trial. No authors report any similar competing interests for spouses or children. </w:t>
      </w:r>
    </w:p>
    <w:p w14:paraId="1E1CBB94" w14:textId="77777777" w:rsidR="00B0121B" w:rsidRPr="00B0121B" w:rsidRDefault="00B0121B" w:rsidP="00B0121B">
      <w:pPr>
        <w:spacing w:line="360" w:lineRule="auto"/>
        <w:divId w:val="1527862831"/>
        <w:rPr>
          <w:i/>
          <w:iCs/>
        </w:rPr>
      </w:pPr>
      <w:r w:rsidRPr="00B0121B">
        <w:rPr>
          <w:rStyle w:val="Emphasis"/>
          <w:rFonts w:ascii="Calibri" w:hAnsi="Calibri" w:cs="Calibri"/>
          <w:i w:val="0"/>
          <w:iCs w:val="0"/>
          <w:color w:val="000000"/>
          <w:sz w:val="22"/>
          <w:szCs w:val="22"/>
        </w:rPr>
        <w:t>This publication presents independent research commissioned by the National Institute for Health and Care Research (NIHR). The views and opinions expressed by authors in this publication are those of the authors and do not necessarily reflect those of the NHS, the NIHR, MRC, NIHR Coordinating Centre, the Health Technology Assessment programme or the Department of Health and Social Care.</w:t>
      </w:r>
    </w:p>
    <w:p w14:paraId="17744518" w14:textId="23C57BC2" w:rsidR="00193AA4" w:rsidRDefault="00193AA4" w:rsidP="00B0121B">
      <w:pPr>
        <w:spacing w:after="200" w:line="360" w:lineRule="auto"/>
        <w:jc w:val="both"/>
        <w:divId w:val="1527862831"/>
        <w:rPr>
          <w:rFonts w:ascii="Calibri" w:eastAsia="Calibri" w:hAnsi="Calibri" w:cs="Calibri"/>
          <w:sz w:val="22"/>
          <w:szCs w:val="22"/>
        </w:rPr>
      </w:pPr>
    </w:p>
    <w:p w14:paraId="62BDE097" w14:textId="77777777" w:rsidR="00302920" w:rsidRPr="008B153E" w:rsidRDefault="00302920" w:rsidP="00B0121B">
      <w:pPr>
        <w:divId w:val="1527862831"/>
        <w:rPr>
          <w:rFonts w:ascii="Calibri" w:hAnsi="Calibri" w:cs="Calibri"/>
          <w:b/>
          <w:bCs/>
          <w:u w:val="single"/>
        </w:rPr>
      </w:pPr>
      <w:bookmarkStart w:id="14" w:name="_Toc184141959"/>
      <w:r w:rsidRPr="008B153E">
        <w:rPr>
          <w:rFonts w:ascii="Calibri" w:hAnsi="Calibri" w:cs="Calibri"/>
          <w:b/>
          <w:bCs/>
          <w:u w:val="single"/>
        </w:rPr>
        <w:t>Additional information</w:t>
      </w:r>
      <w:bookmarkEnd w:id="14"/>
    </w:p>
    <w:p w14:paraId="0C7AC34C" w14:textId="77777777" w:rsidR="00B726B9" w:rsidRPr="008B153E" w:rsidRDefault="00B726B9" w:rsidP="00B726B9">
      <w:pPr>
        <w:divId w:val="1527862831"/>
      </w:pPr>
    </w:p>
    <w:p w14:paraId="6C6CC409" w14:textId="51FFAF53" w:rsidR="00B414AE" w:rsidRPr="008B153E" w:rsidRDefault="00B414AE" w:rsidP="00B414AE">
      <w:pPr>
        <w:divId w:val="1527862831"/>
        <w:rPr>
          <w:rFonts w:ascii="Calibri" w:hAnsi="Calibri" w:cs="Calibri"/>
        </w:rPr>
      </w:pPr>
      <w:r w:rsidRPr="008B153E">
        <w:rPr>
          <w:rFonts w:ascii="Calibri" w:hAnsi="Calibri" w:cs="Calibri"/>
          <w:b/>
          <w:bCs/>
        </w:rPr>
        <w:t>Leanne M Aitken</w:t>
      </w:r>
      <w:r w:rsidR="005B07E7" w:rsidRPr="008B153E">
        <w:rPr>
          <w:rFonts w:ascii="Calibri" w:hAnsi="Calibri" w:cs="Calibri"/>
        </w:rPr>
        <w:t>: Conceptualisation (equal)</w:t>
      </w:r>
      <w:r w:rsidR="0065455B" w:rsidRPr="008B153E">
        <w:rPr>
          <w:rFonts w:ascii="Calibri" w:hAnsi="Calibri" w:cs="Calibri"/>
        </w:rPr>
        <w:t xml:space="preserve">, Data curation (supporting), </w:t>
      </w:r>
      <w:r w:rsidR="008A75C9" w:rsidRPr="008B153E">
        <w:rPr>
          <w:rFonts w:ascii="Calibri" w:hAnsi="Calibri" w:cs="Calibri"/>
        </w:rPr>
        <w:t xml:space="preserve">Formal analysis (supporting), </w:t>
      </w:r>
      <w:r w:rsidR="00411E31" w:rsidRPr="008B153E">
        <w:rPr>
          <w:rFonts w:ascii="Calibri" w:hAnsi="Calibri" w:cs="Calibri"/>
        </w:rPr>
        <w:t xml:space="preserve">Funding Acquisition (supporting), </w:t>
      </w:r>
      <w:r w:rsidR="0089722B" w:rsidRPr="008B153E">
        <w:rPr>
          <w:rFonts w:ascii="Calibri" w:hAnsi="Calibri" w:cs="Calibri"/>
        </w:rPr>
        <w:t>Investigation (supporting),</w:t>
      </w:r>
      <w:r w:rsidR="00F0300E" w:rsidRPr="008B153E">
        <w:rPr>
          <w:rFonts w:ascii="Calibri" w:hAnsi="Calibri" w:cs="Calibri"/>
        </w:rPr>
        <w:t xml:space="preserve"> Methodology (</w:t>
      </w:r>
      <w:r w:rsidR="005625E7" w:rsidRPr="008B153E">
        <w:rPr>
          <w:rFonts w:ascii="Calibri" w:hAnsi="Calibri" w:cs="Calibri"/>
        </w:rPr>
        <w:t>lead</w:t>
      </w:r>
      <w:r w:rsidR="00F0300E" w:rsidRPr="008B153E">
        <w:rPr>
          <w:rFonts w:ascii="Calibri" w:hAnsi="Calibri" w:cs="Calibri"/>
        </w:rPr>
        <w:t>),</w:t>
      </w:r>
      <w:r w:rsidR="005625E7" w:rsidRPr="008B153E">
        <w:rPr>
          <w:rFonts w:ascii="Calibri" w:hAnsi="Calibri" w:cs="Calibri"/>
        </w:rPr>
        <w:t xml:space="preserve"> Project Administration (lead), </w:t>
      </w:r>
      <w:r w:rsidR="003F4837" w:rsidRPr="008B153E">
        <w:rPr>
          <w:rFonts w:ascii="Calibri" w:hAnsi="Calibri" w:cs="Calibri"/>
        </w:rPr>
        <w:t xml:space="preserve">Resources (lead), </w:t>
      </w:r>
      <w:r w:rsidR="00A50EFA" w:rsidRPr="008B153E">
        <w:rPr>
          <w:rFonts w:ascii="Calibri" w:hAnsi="Calibri" w:cs="Calibri"/>
        </w:rPr>
        <w:t>Supervision (lead), Validation (lead), Visualisation (lead), Writing – original draft (lead), Writing</w:t>
      </w:r>
      <w:r w:rsidR="007E34E6" w:rsidRPr="008B153E">
        <w:rPr>
          <w:rFonts w:ascii="Calibri" w:hAnsi="Calibri" w:cs="Calibri"/>
        </w:rPr>
        <w:t xml:space="preserve"> – reviewing and editing (lead)</w:t>
      </w:r>
    </w:p>
    <w:p w14:paraId="27161894" w14:textId="0459ECEE" w:rsidR="00A50EFA" w:rsidRPr="008B153E" w:rsidRDefault="00B414AE" w:rsidP="00A50EFA">
      <w:pPr>
        <w:divId w:val="1527862831"/>
        <w:rPr>
          <w:rFonts w:ascii="Calibri" w:hAnsi="Calibri" w:cs="Calibri"/>
        </w:rPr>
      </w:pPr>
      <w:r w:rsidRPr="008B153E">
        <w:rPr>
          <w:rFonts w:ascii="Calibri" w:hAnsi="Calibri" w:cs="Calibri"/>
          <w:b/>
          <w:bCs/>
        </w:rPr>
        <w:t>Lydia M Emerson</w:t>
      </w:r>
      <w:r w:rsidR="005B07E7" w:rsidRPr="008B153E">
        <w:rPr>
          <w:rFonts w:ascii="Calibri" w:hAnsi="Calibri" w:cs="Calibri"/>
        </w:rPr>
        <w:t>: Conceptualisation (equal)</w:t>
      </w:r>
      <w:r w:rsidR="0065455B" w:rsidRPr="008B153E">
        <w:rPr>
          <w:rFonts w:ascii="Calibri" w:hAnsi="Calibri" w:cs="Calibri"/>
        </w:rPr>
        <w:t xml:space="preserve">, Data curation (lead), </w:t>
      </w:r>
      <w:r w:rsidR="008A75C9" w:rsidRPr="008B153E">
        <w:rPr>
          <w:rFonts w:ascii="Calibri" w:hAnsi="Calibri" w:cs="Calibri"/>
        </w:rPr>
        <w:t xml:space="preserve">Formal analysis (lead), </w:t>
      </w:r>
      <w:r w:rsidR="0089722B" w:rsidRPr="008B153E">
        <w:rPr>
          <w:rFonts w:ascii="Calibri" w:hAnsi="Calibri" w:cs="Calibri"/>
        </w:rPr>
        <w:t>Investigation (lead),</w:t>
      </w:r>
      <w:r w:rsidR="00F0300E" w:rsidRPr="008B153E">
        <w:rPr>
          <w:rFonts w:ascii="Calibri" w:hAnsi="Calibri" w:cs="Calibri"/>
        </w:rPr>
        <w:t xml:space="preserve"> Methodology (lead),</w:t>
      </w:r>
      <w:r w:rsidR="005625E7" w:rsidRPr="008B153E">
        <w:rPr>
          <w:rFonts w:ascii="Calibri" w:hAnsi="Calibri" w:cs="Calibri"/>
        </w:rPr>
        <w:t xml:space="preserve"> Project Administration (lead), </w:t>
      </w:r>
      <w:r w:rsidR="003F4837" w:rsidRPr="008B153E">
        <w:rPr>
          <w:rFonts w:ascii="Calibri" w:hAnsi="Calibri" w:cs="Calibri"/>
        </w:rPr>
        <w:t>Resources (lead),</w:t>
      </w:r>
      <w:r w:rsidR="00A50EFA" w:rsidRPr="008B153E">
        <w:rPr>
          <w:rFonts w:ascii="Calibri" w:hAnsi="Calibri" w:cs="Calibri"/>
        </w:rPr>
        <w:t xml:space="preserve"> Validation (lead), Visualisation (lead), </w:t>
      </w:r>
      <w:r w:rsidR="007E34E6" w:rsidRPr="008B153E">
        <w:rPr>
          <w:rFonts w:ascii="Calibri" w:hAnsi="Calibri" w:cs="Calibri"/>
        </w:rPr>
        <w:t>Writing – reviewing and editing (supporting)</w:t>
      </w:r>
    </w:p>
    <w:p w14:paraId="7EA6C11F" w14:textId="660EE792" w:rsidR="00E36874" w:rsidRPr="008B153E" w:rsidRDefault="00B414AE" w:rsidP="00E36874">
      <w:pPr>
        <w:divId w:val="1527862831"/>
        <w:rPr>
          <w:rFonts w:ascii="Calibri" w:hAnsi="Calibri" w:cs="Calibri"/>
        </w:rPr>
      </w:pPr>
      <w:r w:rsidRPr="008B153E">
        <w:rPr>
          <w:rFonts w:ascii="Calibri" w:hAnsi="Calibri" w:cs="Calibri"/>
          <w:b/>
          <w:bCs/>
        </w:rPr>
        <w:t>Kalliopi Kydonaki</w:t>
      </w:r>
      <w:r w:rsidR="005B07E7" w:rsidRPr="008B153E">
        <w:rPr>
          <w:rFonts w:ascii="Calibri" w:hAnsi="Calibri" w:cs="Calibri"/>
        </w:rPr>
        <w:t>: Conceptualisation (supporting)</w:t>
      </w:r>
      <w:r w:rsidR="00411E31" w:rsidRPr="008B153E">
        <w:rPr>
          <w:rFonts w:ascii="Calibri" w:hAnsi="Calibri" w:cs="Calibri"/>
        </w:rPr>
        <w:t>, Funding Acquisition (supporting),</w:t>
      </w:r>
      <w:r w:rsidR="002C0114" w:rsidRPr="008B153E">
        <w:rPr>
          <w:rFonts w:ascii="Calibri" w:hAnsi="Calibri" w:cs="Calibri"/>
        </w:rPr>
        <w:t xml:space="preserve"> Investigation (supporting),</w:t>
      </w:r>
      <w:r w:rsidR="00F0300E" w:rsidRPr="008B153E">
        <w:rPr>
          <w:rFonts w:ascii="Calibri" w:hAnsi="Calibri" w:cs="Calibri"/>
        </w:rPr>
        <w:t xml:space="preserve"> Methodology (supporting),</w:t>
      </w:r>
      <w:r w:rsidR="00E36874" w:rsidRPr="008B153E">
        <w:rPr>
          <w:rFonts w:ascii="Calibri" w:hAnsi="Calibri" w:cs="Calibri"/>
        </w:rPr>
        <w:t xml:space="preserve"> Project Administration (supporting), </w:t>
      </w:r>
      <w:r w:rsidR="007E34E6" w:rsidRPr="008B153E">
        <w:rPr>
          <w:rFonts w:ascii="Calibri" w:hAnsi="Calibri" w:cs="Calibri"/>
        </w:rPr>
        <w:t>Writing – reviewing and editing (</w:t>
      </w:r>
      <w:r w:rsidR="005A4320" w:rsidRPr="008B153E">
        <w:rPr>
          <w:rFonts w:ascii="Calibri" w:hAnsi="Calibri" w:cs="Calibri"/>
        </w:rPr>
        <w:t>supporting</w:t>
      </w:r>
      <w:r w:rsidR="007E34E6" w:rsidRPr="008B153E">
        <w:rPr>
          <w:rFonts w:ascii="Calibri" w:hAnsi="Calibri" w:cs="Calibri"/>
        </w:rPr>
        <w:t>)</w:t>
      </w:r>
    </w:p>
    <w:p w14:paraId="77127808" w14:textId="1BC24CF4" w:rsidR="00B414AE" w:rsidRPr="008B153E" w:rsidRDefault="00B414AE" w:rsidP="00B414AE">
      <w:pPr>
        <w:divId w:val="1527862831"/>
        <w:rPr>
          <w:rFonts w:ascii="Calibri" w:hAnsi="Calibri" w:cs="Calibri"/>
        </w:rPr>
      </w:pPr>
      <w:r w:rsidRPr="008B153E">
        <w:rPr>
          <w:rFonts w:ascii="Calibri" w:hAnsi="Calibri" w:cs="Calibri"/>
          <w:b/>
          <w:bCs/>
        </w:rPr>
        <w:lastRenderedPageBreak/>
        <w:t>Bronagh Blackwood</w:t>
      </w:r>
      <w:r w:rsidR="005B07E7" w:rsidRPr="008B153E">
        <w:rPr>
          <w:rFonts w:ascii="Calibri" w:hAnsi="Calibri" w:cs="Calibri"/>
        </w:rPr>
        <w:t>: Conceptualisation (supporting)</w:t>
      </w:r>
      <w:r w:rsidR="00184A72" w:rsidRPr="008B153E">
        <w:rPr>
          <w:rFonts w:ascii="Calibri" w:hAnsi="Calibri" w:cs="Calibri"/>
        </w:rPr>
        <w:t>, Funding Acquisition (supporting),</w:t>
      </w:r>
      <w:r w:rsidR="002C0114" w:rsidRPr="008B153E">
        <w:rPr>
          <w:rFonts w:ascii="Calibri" w:hAnsi="Calibri" w:cs="Calibri"/>
        </w:rPr>
        <w:t xml:space="preserve"> Investigation (supporting),</w:t>
      </w:r>
      <w:r w:rsidR="00F0300E" w:rsidRPr="008B153E">
        <w:rPr>
          <w:rFonts w:ascii="Calibri" w:hAnsi="Calibri" w:cs="Calibri"/>
        </w:rPr>
        <w:t xml:space="preserve"> Methodology (supporting),</w:t>
      </w:r>
      <w:r w:rsidR="005A4320" w:rsidRPr="008B153E">
        <w:rPr>
          <w:rFonts w:ascii="Calibri" w:hAnsi="Calibri" w:cs="Calibri"/>
        </w:rPr>
        <w:t xml:space="preserve"> Writing – reviewing and editing (supporting)</w:t>
      </w:r>
    </w:p>
    <w:p w14:paraId="36A6729C" w14:textId="5C8EFA28" w:rsidR="00B414AE" w:rsidRPr="008B153E" w:rsidRDefault="00B414AE" w:rsidP="00B414AE">
      <w:pPr>
        <w:divId w:val="1527862831"/>
        <w:rPr>
          <w:rFonts w:ascii="Calibri" w:hAnsi="Calibri" w:cs="Calibri"/>
        </w:rPr>
      </w:pPr>
      <w:r w:rsidRPr="008B153E">
        <w:rPr>
          <w:rFonts w:ascii="Calibri" w:hAnsi="Calibri" w:cs="Calibri"/>
          <w:b/>
          <w:bCs/>
        </w:rPr>
        <w:t>Ben Creagh-Brown</w:t>
      </w:r>
      <w:r w:rsidR="00411E31" w:rsidRPr="008B153E">
        <w:rPr>
          <w:rFonts w:ascii="Calibri" w:hAnsi="Calibri" w:cs="Calibri"/>
        </w:rPr>
        <w:t>: Funding Acquisition (supporting),</w:t>
      </w:r>
      <w:r w:rsidR="002C0114" w:rsidRPr="008B153E">
        <w:rPr>
          <w:rFonts w:ascii="Calibri" w:hAnsi="Calibri" w:cs="Calibri"/>
        </w:rPr>
        <w:t xml:space="preserve"> Investigation (supporting),</w:t>
      </w:r>
      <w:r w:rsidR="005A4320" w:rsidRPr="008B153E">
        <w:rPr>
          <w:rFonts w:ascii="Calibri" w:hAnsi="Calibri" w:cs="Calibri"/>
        </w:rPr>
        <w:t xml:space="preserve"> Writing – reviewing and editing (supporting)</w:t>
      </w:r>
    </w:p>
    <w:p w14:paraId="020B55D9" w14:textId="59B967ED" w:rsidR="00B414AE" w:rsidRPr="008B153E" w:rsidRDefault="00B414AE" w:rsidP="00B414AE">
      <w:pPr>
        <w:divId w:val="1527862831"/>
        <w:rPr>
          <w:rFonts w:ascii="Calibri" w:hAnsi="Calibri" w:cs="Calibri"/>
        </w:rPr>
      </w:pPr>
      <w:r w:rsidRPr="008B153E">
        <w:rPr>
          <w:rFonts w:ascii="Calibri" w:hAnsi="Calibri" w:cs="Calibri"/>
          <w:b/>
          <w:bCs/>
        </w:rPr>
        <w:t>Nazir Lone</w:t>
      </w:r>
      <w:r w:rsidR="00184A72" w:rsidRPr="008B153E">
        <w:rPr>
          <w:rFonts w:ascii="Calibri" w:hAnsi="Calibri" w:cs="Calibri"/>
        </w:rPr>
        <w:t>: Funding Acquisition (supporting),</w:t>
      </w:r>
      <w:r w:rsidR="002C0114" w:rsidRPr="008B153E">
        <w:rPr>
          <w:rFonts w:ascii="Calibri" w:hAnsi="Calibri" w:cs="Calibri"/>
        </w:rPr>
        <w:t xml:space="preserve"> Investigation (supporting),</w:t>
      </w:r>
      <w:r w:rsidR="003F4837" w:rsidRPr="008B153E">
        <w:rPr>
          <w:rFonts w:ascii="Calibri" w:hAnsi="Calibri" w:cs="Calibri"/>
        </w:rPr>
        <w:t xml:space="preserve"> Project Administration (supporting), </w:t>
      </w:r>
      <w:r w:rsidR="005A4320" w:rsidRPr="008B153E">
        <w:rPr>
          <w:rFonts w:ascii="Calibri" w:hAnsi="Calibri" w:cs="Calibri"/>
        </w:rPr>
        <w:t>Writing – reviewing and editing (supporting)</w:t>
      </w:r>
    </w:p>
    <w:p w14:paraId="4635FFD5" w14:textId="174213DA" w:rsidR="00B414AE" w:rsidRPr="008B153E" w:rsidRDefault="00B414AE" w:rsidP="00B414AE">
      <w:pPr>
        <w:divId w:val="1527862831"/>
        <w:rPr>
          <w:rFonts w:ascii="Calibri" w:hAnsi="Calibri" w:cs="Calibri"/>
        </w:rPr>
      </w:pPr>
      <w:r w:rsidRPr="008B153E">
        <w:rPr>
          <w:rFonts w:ascii="Calibri" w:hAnsi="Calibri" w:cs="Calibri"/>
          <w:b/>
          <w:bCs/>
        </w:rPr>
        <w:t>Cathrine McKenzie</w:t>
      </w:r>
      <w:r w:rsidR="00411E31" w:rsidRPr="008B153E">
        <w:rPr>
          <w:rFonts w:ascii="Calibri" w:hAnsi="Calibri" w:cs="Calibri"/>
        </w:rPr>
        <w:t>: Funding Acquisition (supporting),</w:t>
      </w:r>
      <w:r w:rsidR="002C0114" w:rsidRPr="008B153E">
        <w:rPr>
          <w:rFonts w:ascii="Calibri" w:hAnsi="Calibri" w:cs="Calibri"/>
        </w:rPr>
        <w:t xml:space="preserve"> Investigation (supporting),</w:t>
      </w:r>
      <w:r w:rsidR="003F4837" w:rsidRPr="008B153E">
        <w:rPr>
          <w:rFonts w:ascii="Calibri" w:hAnsi="Calibri" w:cs="Calibri"/>
        </w:rPr>
        <w:t xml:space="preserve"> Project Administration (supporting), </w:t>
      </w:r>
      <w:r w:rsidR="005A4320" w:rsidRPr="008B153E">
        <w:rPr>
          <w:rFonts w:ascii="Calibri" w:hAnsi="Calibri" w:cs="Calibri"/>
        </w:rPr>
        <w:t>Writing – reviewing and editing (supporting)</w:t>
      </w:r>
    </w:p>
    <w:p w14:paraId="2884B34E" w14:textId="12A90272" w:rsidR="008A75C9" w:rsidRPr="008B153E" w:rsidRDefault="00B414AE" w:rsidP="008A75C9">
      <w:pPr>
        <w:divId w:val="1527862831"/>
        <w:rPr>
          <w:rFonts w:ascii="Calibri" w:hAnsi="Calibri" w:cs="Calibri"/>
        </w:rPr>
      </w:pPr>
      <w:r w:rsidRPr="008B153E">
        <w:rPr>
          <w:rFonts w:ascii="Calibri" w:hAnsi="Calibri" w:cs="Calibri"/>
          <w:b/>
          <w:bCs/>
        </w:rPr>
        <w:t>Richard Parker</w:t>
      </w:r>
      <w:r w:rsidR="0065455B" w:rsidRPr="008B153E">
        <w:rPr>
          <w:rFonts w:ascii="Calibri" w:hAnsi="Calibri" w:cs="Calibri"/>
        </w:rPr>
        <w:t>: Data curation (supporting)</w:t>
      </w:r>
      <w:r w:rsidR="008A75C9" w:rsidRPr="008B153E">
        <w:rPr>
          <w:rFonts w:ascii="Calibri" w:hAnsi="Calibri" w:cs="Calibri"/>
        </w:rPr>
        <w:t xml:space="preserve">, Formal analysis (supporting), </w:t>
      </w:r>
      <w:r w:rsidR="00411E31" w:rsidRPr="008B153E">
        <w:rPr>
          <w:rFonts w:ascii="Calibri" w:hAnsi="Calibri" w:cs="Calibri"/>
        </w:rPr>
        <w:t>Funding Acquisition (supporting),</w:t>
      </w:r>
      <w:r w:rsidR="002C0114" w:rsidRPr="008B153E">
        <w:rPr>
          <w:rFonts w:ascii="Calibri" w:hAnsi="Calibri" w:cs="Calibri"/>
        </w:rPr>
        <w:t xml:space="preserve"> Investigation (supporting),</w:t>
      </w:r>
      <w:r w:rsidR="00E36874" w:rsidRPr="008B153E">
        <w:rPr>
          <w:rFonts w:ascii="Calibri" w:hAnsi="Calibri" w:cs="Calibri"/>
        </w:rPr>
        <w:t xml:space="preserve"> Project Administration (supporting),</w:t>
      </w:r>
      <w:r w:rsidR="003F4837" w:rsidRPr="008B153E">
        <w:rPr>
          <w:rFonts w:ascii="Calibri" w:hAnsi="Calibri" w:cs="Calibri"/>
        </w:rPr>
        <w:t xml:space="preserve"> </w:t>
      </w:r>
      <w:r w:rsidR="005A4320" w:rsidRPr="008B153E">
        <w:rPr>
          <w:rFonts w:ascii="Calibri" w:hAnsi="Calibri" w:cs="Calibri"/>
        </w:rPr>
        <w:t>Writing – reviewing and editing (supporting)</w:t>
      </w:r>
    </w:p>
    <w:p w14:paraId="658C0275" w14:textId="77777777" w:rsidR="005A4320" w:rsidRPr="008B153E" w:rsidRDefault="00B414AE" w:rsidP="005A4320">
      <w:pPr>
        <w:divId w:val="1527862831"/>
        <w:rPr>
          <w:rFonts w:ascii="Calibri" w:hAnsi="Calibri" w:cs="Calibri"/>
        </w:rPr>
      </w:pPr>
      <w:r w:rsidRPr="008B153E">
        <w:rPr>
          <w:rFonts w:ascii="Calibri" w:hAnsi="Calibri" w:cs="Calibri"/>
          <w:b/>
          <w:bCs/>
        </w:rPr>
        <w:t>Michael C Reade</w:t>
      </w:r>
      <w:r w:rsidR="00184A72" w:rsidRPr="008B153E">
        <w:rPr>
          <w:rFonts w:ascii="Calibri" w:hAnsi="Calibri" w:cs="Calibri"/>
        </w:rPr>
        <w:t>: Funding Acquisition (supporting),</w:t>
      </w:r>
      <w:r w:rsidR="002C0114" w:rsidRPr="008B153E">
        <w:rPr>
          <w:rFonts w:ascii="Calibri" w:hAnsi="Calibri" w:cs="Calibri"/>
        </w:rPr>
        <w:t xml:space="preserve"> Investigation (supporting),</w:t>
      </w:r>
      <w:r w:rsidR="005A4320" w:rsidRPr="008B153E">
        <w:rPr>
          <w:rFonts w:ascii="Calibri" w:hAnsi="Calibri" w:cs="Calibri"/>
        </w:rPr>
        <w:t xml:space="preserve"> Writing – reviewing and editing (supporting)</w:t>
      </w:r>
    </w:p>
    <w:p w14:paraId="0E610EB2" w14:textId="77777777" w:rsidR="005A4320" w:rsidRPr="008B153E" w:rsidRDefault="00B414AE" w:rsidP="005A4320">
      <w:pPr>
        <w:divId w:val="1527862831"/>
        <w:rPr>
          <w:rFonts w:ascii="Calibri" w:hAnsi="Calibri" w:cs="Calibri"/>
        </w:rPr>
      </w:pPr>
      <w:r w:rsidRPr="008B153E">
        <w:rPr>
          <w:rFonts w:ascii="Calibri" w:hAnsi="Calibri" w:cs="Calibri"/>
          <w:b/>
          <w:bCs/>
        </w:rPr>
        <w:t>Christopher J Weir</w:t>
      </w:r>
      <w:r w:rsidR="00184A72" w:rsidRPr="008B153E">
        <w:rPr>
          <w:rFonts w:ascii="Calibri" w:hAnsi="Calibri" w:cs="Calibri"/>
        </w:rPr>
        <w:t>: Funding Acquisition (supporting),</w:t>
      </w:r>
      <w:r w:rsidR="002C0114" w:rsidRPr="008B153E">
        <w:rPr>
          <w:rFonts w:ascii="Calibri" w:hAnsi="Calibri" w:cs="Calibri"/>
        </w:rPr>
        <w:t xml:space="preserve"> Investigation (supporting),</w:t>
      </w:r>
      <w:r w:rsidR="003F4837" w:rsidRPr="008B153E">
        <w:rPr>
          <w:rFonts w:ascii="Calibri" w:hAnsi="Calibri" w:cs="Calibri"/>
        </w:rPr>
        <w:t xml:space="preserve"> Project Administration (supporting),</w:t>
      </w:r>
      <w:r w:rsidR="00A50EFA" w:rsidRPr="008B153E">
        <w:rPr>
          <w:rFonts w:ascii="Calibri" w:hAnsi="Calibri" w:cs="Calibri"/>
        </w:rPr>
        <w:t xml:space="preserve"> Supervision (supporting), </w:t>
      </w:r>
      <w:r w:rsidR="005A4320" w:rsidRPr="008B153E">
        <w:rPr>
          <w:rFonts w:ascii="Calibri" w:hAnsi="Calibri" w:cs="Calibri"/>
        </w:rPr>
        <w:t>Writing – reviewing and editing (supporting)</w:t>
      </w:r>
    </w:p>
    <w:p w14:paraId="5E9E1A8F" w14:textId="77777777" w:rsidR="005A4320" w:rsidRPr="008B153E" w:rsidRDefault="00B414AE" w:rsidP="005A4320">
      <w:pPr>
        <w:divId w:val="1527862831"/>
        <w:rPr>
          <w:rFonts w:ascii="Calibri" w:hAnsi="Calibri" w:cs="Calibri"/>
        </w:rPr>
      </w:pPr>
      <w:r w:rsidRPr="008B153E">
        <w:rPr>
          <w:rFonts w:ascii="Calibri" w:hAnsi="Calibri" w:cs="Calibri"/>
          <w:b/>
          <w:bCs/>
        </w:rPr>
        <w:t>Matt P Wise</w:t>
      </w:r>
      <w:r w:rsidR="00184A72" w:rsidRPr="008B153E">
        <w:rPr>
          <w:rFonts w:ascii="Calibri" w:hAnsi="Calibri" w:cs="Calibri"/>
        </w:rPr>
        <w:t>: Funding Acquisition (supporting),</w:t>
      </w:r>
      <w:r w:rsidR="002C0114" w:rsidRPr="008B153E">
        <w:rPr>
          <w:rFonts w:ascii="Calibri" w:hAnsi="Calibri" w:cs="Calibri"/>
        </w:rPr>
        <w:t xml:space="preserve"> Investigation (supporting),</w:t>
      </w:r>
      <w:r w:rsidR="005A4320" w:rsidRPr="008B153E">
        <w:rPr>
          <w:rFonts w:ascii="Calibri" w:hAnsi="Calibri" w:cs="Calibri"/>
        </w:rPr>
        <w:t xml:space="preserve"> Writing – reviewing and editing (supporting)</w:t>
      </w:r>
    </w:p>
    <w:p w14:paraId="2D7DDC08" w14:textId="77777777" w:rsidR="005A4320" w:rsidRPr="008B153E" w:rsidRDefault="00B414AE" w:rsidP="005A4320">
      <w:pPr>
        <w:divId w:val="1527862831"/>
        <w:rPr>
          <w:rFonts w:ascii="Calibri" w:hAnsi="Calibri" w:cs="Calibri"/>
        </w:rPr>
      </w:pPr>
      <w:r w:rsidRPr="008B153E">
        <w:rPr>
          <w:rFonts w:ascii="Calibri" w:hAnsi="Calibri" w:cs="Calibri"/>
          <w:b/>
          <w:bCs/>
        </w:rPr>
        <w:t>Timothy S Walsh</w:t>
      </w:r>
      <w:r w:rsidR="005B07E7" w:rsidRPr="008B153E">
        <w:rPr>
          <w:rFonts w:ascii="Calibri" w:hAnsi="Calibri" w:cs="Calibri"/>
        </w:rPr>
        <w:t>: Conceptualisation (supporting)</w:t>
      </w:r>
      <w:r w:rsidR="008A75C9" w:rsidRPr="008B153E">
        <w:rPr>
          <w:rFonts w:ascii="Calibri" w:hAnsi="Calibri" w:cs="Calibri"/>
        </w:rPr>
        <w:t xml:space="preserve">, Formal analysis (supporting), </w:t>
      </w:r>
      <w:r w:rsidR="00184A72" w:rsidRPr="008B153E">
        <w:rPr>
          <w:rFonts w:ascii="Calibri" w:hAnsi="Calibri" w:cs="Calibri"/>
        </w:rPr>
        <w:t>Funding Acquisition (lead),</w:t>
      </w:r>
      <w:r w:rsidR="002C0114" w:rsidRPr="008B153E">
        <w:rPr>
          <w:rFonts w:ascii="Calibri" w:hAnsi="Calibri" w:cs="Calibri"/>
        </w:rPr>
        <w:t xml:space="preserve"> Investigation (supporting), </w:t>
      </w:r>
      <w:r w:rsidR="00F0300E" w:rsidRPr="008B153E">
        <w:rPr>
          <w:rFonts w:ascii="Calibri" w:hAnsi="Calibri" w:cs="Calibri"/>
        </w:rPr>
        <w:t xml:space="preserve">Methodology (supporting), </w:t>
      </w:r>
      <w:r w:rsidR="00E36874" w:rsidRPr="008B153E">
        <w:rPr>
          <w:rFonts w:ascii="Calibri" w:hAnsi="Calibri" w:cs="Calibri"/>
        </w:rPr>
        <w:t>Project Administration (supporting),</w:t>
      </w:r>
      <w:r w:rsidR="00A50EFA" w:rsidRPr="008B153E">
        <w:rPr>
          <w:rFonts w:ascii="Calibri" w:hAnsi="Calibri" w:cs="Calibri"/>
        </w:rPr>
        <w:t xml:space="preserve"> Supervision (lead), Visualisation (supporting), </w:t>
      </w:r>
      <w:r w:rsidR="005A4320" w:rsidRPr="008B153E">
        <w:rPr>
          <w:rFonts w:ascii="Calibri" w:hAnsi="Calibri" w:cs="Calibri"/>
        </w:rPr>
        <w:t>Writing – reviewing and editing (supporting)</w:t>
      </w:r>
    </w:p>
    <w:p w14:paraId="7D6F8021" w14:textId="77777777" w:rsidR="005D623F" w:rsidRPr="008B153E" w:rsidRDefault="005D623F" w:rsidP="00261F01">
      <w:pPr>
        <w:divId w:val="1527862831"/>
        <w:rPr>
          <w:rFonts w:ascii="Calibri" w:hAnsi="Calibri" w:cs="Calibri"/>
        </w:rPr>
      </w:pPr>
    </w:p>
    <w:p w14:paraId="1D3A5FF0" w14:textId="77777777" w:rsidR="0024656B" w:rsidRPr="0024656B" w:rsidRDefault="0024656B" w:rsidP="0024656B">
      <w:pPr>
        <w:divId w:val="1527862831"/>
        <w:rPr>
          <w:rFonts w:ascii="Calibri" w:hAnsi="Calibri" w:cs="Calibri"/>
          <w:b/>
          <w:bCs/>
        </w:rPr>
      </w:pPr>
      <w:r w:rsidRPr="0024656B">
        <w:rPr>
          <w:rFonts w:ascii="Calibri" w:hAnsi="Calibri" w:cs="Calibri"/>
          <w:b/>
          <w:bCs/>
        </w:rPr>
        <w:t>Acknowledgements</w:t>
      </w:r>
    </w:p>
    <w:p w14:paraId="637F4544" w14:textId="77777777" w:rsidR="0024656B" w:rsidRDefault="0024656B" w:rsidP="0024656B">
      <w:pPr>
        <w:divId w:val="1527862831"/>
        <w:rPr>
          <w:rFonts w:ascii="Calibri" w:hAnsi="Calibri" w:cs="Calibri"/>
        </w:rPr>
      </w:pPr>
      <w:r w:rsidRPr="0024656B">
        <w:rPr>
          <w:rFonts w:ascii="Calibri" w:hAnsi="Calibri" w:cs="Calibri"/>
        </w:rPr>
        <w:t>This manuscript is produced for the A2B trial investigators (see Supplementary Materials 1)</w:t>
      </w:r>
    </w:p>
    <w:p w14:paraId="1DDDDB7A" w14:textId="0154ADE7" w:rsidR="008A75C9" w:rsidRPr="008B153E" w:rsidRDefault="008A75C9" w:rsidP="008A75C9">
      <w:pPr>
        <w:divId w:val="1527862831"/>
        <w:rPr>
          <w:rFonts w:ascii="Calibri" w:hAnsi="Calibri" w:cs="Calibri"/>
        </w:rPr>
      </w:pPr>
    </w:p>
    <w:p w14:paraId="0B1176DB" w14:textId="77777777" w:rsidR="00302920" w:rsidRPr="008B153E" w:rsidRDefault="00302920" w:rsidP="00B0121B">
      <w:pPr>
        <w:spacing w:line="360" w:lineRule="auto"/>
        <w:divId w:val="1527862831"/>
        <w:rPr>
          <w:rFonts w:ascii="Calibri" w:hAnsi="Calibri" w:cs="Calibri"/>
          <w:b/>
          <w:bCs/>
        </w:rPr>
      </w:pPr>
      <w:bookmarkStart w:id="15" w:name="_Toc184141961"/>
      <w:r w:rsidRPr="008B153E">
        <w:rPr>
          <w:rFonts w:ascii="Calibri" w:hAnsi="Calibri" w:cs="Calibri"/>
          <w:b/>
          <w:bCs/>
        </w:rPr>
        <w:t>Data-sharing statement</w:t>
      </w:r>
      <w:bookmarkEnd w:id="15"/>
      <w:r w:rsidRPr="008B153E">
        <w:rPr>
          <w:rFonts w:ascii="Calibri" w:hAnsi="Calibri" w:cs="Calibri"/>
          <w:b/>
          <w:bCs/>
        </w:rPr>
        <w:t> </w:t>
      </w:r>
    </w:p>
    <w:p w14:paraId="67EBCFA6" w14:textId="3A6269AC" w:rsidR="002C2121" w:rsidRPr="008B153E" w:rsidRDefault="002C2121" w:rsidP="00B0121B">
      <w:pPr>
        <w:spacing w:line="360" w:lineRule="auto"/>
        <w:divId w:val="1527862831"/>
        <w:rPr>
          <w:b/>
          <w:bCs/>
        </w:rPr>
      </w:pPr>
      <w:bookmarkStart w:id="16" w:name="_Toc184141962"/>
      <w:r w:rsidRPr="008B153E">
        <w:t>All data requests should be submitted to the corresponding author for consideration. Access to anonymised data may be granted following review</w:t>
      </w:r>
      <w:r w:rsidRPr="008B153E">
        <w:rPr>
          <w:b/>
          <w:bCs/>
        </w:rPr>
        <w:t>.</w:t>
      </w:r>
    </w:p>
    <w:p w14:paraId="03CA5C95" w14:textId="77777777" w:rsidR="002C2121" w:rsidRPr="008B153E" w:rsidRDefault="002C2121" w:rsidP="00B0121B">
      <w:pPr>
        <w:spacing w:line="360" w:lineRule="auto"/>
        <w:divId w:val="1527862831"/>
        <w:rPr>
          <w:b/>
          <w:bCs/>
        </w:rPr>
      </w:pPr>
    </w:p>
    <w:p w14:paraId="5B1502D8" w14:textId="57C2D17F" w:rsidR="00302920" w:rsidRPr="008B153E" w:rsidRDefault="00302920" w:rsidP="00B0121B">
      <w:pPr>
        <w:spacing w:line="360" w:lineRule="auto"/>
        <w:divId w:val="1527862831"/>
        <w:rPr>
          <w:b/>
          <w:bCs/>
        </w:rPr>
      </w:pPr>
      <w:r w:rsidRPr="008B153E">
        <w:rPr>
          <w:b/>
          <w:bCs/>
        </w:rPr>
        <w:t>Ethics statement</w:t>
      </w:r>
      <w:bookmarkEnd w:id="16"/>
      <w:r w:rsidRPr="008B153E">
        <w:rPr>
          <w:b/>
          <w:bCs/>
        </w:rPr>
        <w:t> </w:t>
      </w:r>
    </w:p>
    <w:p w14:paraId="501B0EB4" w14:textId="793884D7" w:rsidR="00302920" w:rsidRPr="008B153E" w:rsidRDefault="00302920" w:rsidP="00B0121B">
      <w:pPr>
        <w:spacing w:line="360" w:lineRule="auto"/>
        <w:divId w:val="1527862831"/>
        <w:rPr>
          <w:rFonts w:cstheme="minorHAnsi"/>
          <w:color w:val="000000"/>
          <w:shd w:val="clear" w:color="auto" w:fill="FFFFFF"/>
        </w:rPr>
      </w:pPr>
      <w:r w:rsidRPr="008B153E">
        <w:rPr>
          <w:rFonts w:cstheme="minorHAnsi"/>
        </w:rPr>
        <w:t xml:space="preserve">The A2B trial received ethical approval </w:t>
      </w:r>
      <w:r w:rsidR="000F5195" w:rsidRPr="008B153E">
        <w:rPr>
          <w:rFonts w:cstheme="minorHAnsi"/>
        </w:rPr>
        <w:t xml:space="preserve">(21/08/2018) </w:t>
      </w:r>
      <w:r w:rsidRPr="008B153E">
        <w:rPr>
          <w:rFonts w:cstheme="minorHAnsi"/>
        </w:rPr>
        <w:t>from the Scotland A REC (18/SS/0085)</w:t>
      </w:r>
      <w:r w:rsidR="00A433D1" w:rsidRPr="008B153E">
        <w:rPr>
          <w:rFonts w:cstheme="minorHAnsi"/>
        </w:rPr>
        <w:t>; the protocol evaluation was included as a component of this approval</w:t>
      </w:r>
      <w:r w:rsidRPr="008B153E">
        <w:rPr>
          <w:rFonts w:cstheme="minorHAnsi"/>
        </w:rPr>
        <w:t>.</w:t>
      </w:r>
    </w:p>
    <w:p w14:paraId="1674E970" w14:textId="77777777" w:rsidR="00B0121B" w:rsidRPr="008B153E" w:rsidRDefault="00B0121B" w:rsidP="00B0121B">
      <w:pPr>
        <w:spacing w:line="360" w:lineRule="auto"/>
        <w:divId w:val="1527862831"/>
        <w:rPr>
          <w:rFonts w:ascii="Calibri" w:hAnsi="Calibri" w:cs="Calibri"/>
          <w:b/>
          <w:bCs/>
        </w:rPr>
      </w:pPr>
      <w:bookmarkStart w:id="17" w:name="_Toc184141963"/>
    </w:p>
    <w:p w14:paraId="3910015B" w14:textId="4F15E812" w:rsidR="00302920" w:rsidRPr="008B153E" w:rsidRDefault="00302920" w:rsidP="00B0121B">
      <w:pPr>
        <w:spacing w:line="360" w:lineRule="auto"/>
        <w:divId w:val="1527862831"/>
        <w:rPr>
          <w:rFonts w:ascii="Calibri" w:hAnsi="Calibri" w:cs="Calibri"/>
          <w:b/>
          <w:bCs/>
        </w:rPr>
      </w:pPr>
      <w:r w:rsidRPr="008B153E">
        <w:rPr>
          <w:rFonts w:ascii="Calibri" w:hAnsi="Calibri" w:cs="Calibri"/>
          <w:b/>
          <w:bCs/>
        </w:rPr>
        <w:t>Information Governance statement</w:t>
      </w:r>
      <w:bookmarkEnd w:id="17"/>
      <w:r w:rsidRPr="008B153E">
        <w:rPr>
          <w:rFonts w:ascii="Calibri" w:hAnsi="Calibri" w:cs="Calibri"/>
          <w:b/>
          <w:bCs/>
        </w:rPr>
        <w:t> </w:t>
      </w:r>
    </w:p>
    <w:p w14:paraId="3610E477" w14:textId="77777777" w:rsidR="00302920" w:rsidRPr="008B153E" w:rsidRDefault="00302920" w:rsidP="00B0121B">
      <w:pPr>
        <w:spacing w:line="360" w:lineRule="auto"/>
        <w:divId w:val="1527862831"/>
        <w:rPr>
          <w:rFonts w:cstheme="minorHAnsi"/>
        </w:rPr>
      </w:pPr>
      <w:r w:rsidRPr="008B153E">
        <w:rPr>
          <w:rFonts w:cstheme="minorHAnsi"/>
        </w:rPr>
        <w:t xml:space="preserve">The University of Edinburgh an NHS Lothian (Co-sponsors) are committed to handling all personal information in line with the UK Data Protection Act (2018) and the General Data Protection Regulation (EU GDPR) 2016/679.  </w:t>
      </w:r>
    </w:p>
    <w:p w14:paraId="41196BFE" w14:textId="77777777" w:rsidR="00302920" w:rsidRPr="00B27763" w:rsidRDefault="00302920" w:rsidP="00B0121B">
      <w:pPr>
        <w:spacing w:line="360" w:lineRule="auto"/>
        <w:divId w:val="1527862831"/>
        <w:rPr>
          <w:rFonts w:cstheme="minorHAnsi"/>
        </w:rPr>
      </w:pPr>
      <w:r w:rsidRPr="008B153E">
        <w:rPr>
          <w:rFonts w:cstheme="minorHAnsi"/>
        </w:rPr>
        <w:t>Under the Data Protection legislation, the University of Edinburgh is the Data Controller, and you can find out more about how we handle personal data, including</w:t>
      </w:r>
      <w:r w:rsidRPr="00B27763">
        <w:rPr>
          <w:rFonts w:cstheme="minorHAnsi"/>
        </w:rPr>
        <w:t xml:space="preserve"> how to </w:t>
      </w:r>
      <w:r w:rsidRPr="00B27763">
        <w:rPr>
          <w:rFonts w:cstheme="minorHAnsi"/>
        </w:rPr>
        <w:lastRenderedPageBreak/>
        <w:t>exercise your individual rights and the contact details for our Data Protection Officer here (</w:t>
      </w:r>
      <w:hyperlink r:id="rId15" w:history="1">
        <w:r w:rsidRPr="0045670F">
          <w:rPr>
            <w:rStyle w:val="Hyperlink"/>
            <w:rFonts w:cstheme="minorHAnsi"/>
          </w:rPr>
          <w:t>https://data-protection.ed.ac.uk/contact</w:t>
        </w:r>
      </w:hyperlink>
      <w:r w:rsidRPr="00B27763">
        <w:rPr>
          <w:rFonts w:cstheme="minorHAnsi"/>
        </w:rPr>
        <w:t>)</w:t>
      </w:r>
      <w:r>
        <w:rPr>
          <w:rFonts w:cstheme="minorHAnsi"/>
        </w:rPr>
        <w:t>. The University of Edinburgh is also the Data Processor</w:t>
      </w:r>
    </w:p>
    <w:p w14:paraId="0750C30C" w14:textId="77777777" w:rsidR="00302920" w:rsidRPr="00B27763" w:rsidRDefault="00302920" w:rsidP="00302920">
      <w:pPr>
        <w:spacing w:line="480" w:lineRule="auto"/>
        <w:divId w:val="1527862831"/>
        <w:rPr>
          <w:rFonts w:cstheme="minorHAnsi"/>
        </w:rPr>
      </w:pPr>
    </w:p>
    <w:p w14:paraId="077DEEC0" w14:textId="77777777" w:rsidR="00A167BA" w:rsidRPr="00E748BB" w:rsidRDefault="00A167BA" w:rsidP="00E748BB">
      <w:pPr>
        <w:spacing w:after="200" w:line="360" w:lineRule="auto"/>
        <w:jc w:val="both"/>
        <w:divId w:val="1527862831"/>
        <w:rPr>
          <w:rFonts w:ascii="Calibri" w:eastAsia="Calibri" w:hAnsi="Calibri" w:cs="Calibri"/>
          <w:sz w:val="22"/>
          <w:szCs w:val="22"/>
        </w:rPr>
      </w:pPr>
    </w:p>
    <w:p w14:paraId="053CE0D8" w14:textId="77777777" w:rsidR="00A167BA" w:rsidRPr="00E748BB" w:rsidRDefault="00A167BA" w:rsidP="00E748BB">
      <w:pPr>
        <w:spacing w:after="200" w:line="360" w:lineRule="auto"/>
        <w:jc w:val="both"/>
        <w:divId w:val="1527862831"/>
        <w:rPr>
          <w:rFonts w:ascii="Calibri" w:eastAsia="Calibri" w:hAnsi="Calibri" w:cs="Calibri"/>
          <w:sz w:val="22"/>
          <w:szCs w:val="22"/>
        </w:rPr>
      </w:pPr>
    </w:p>
    <w:p w14:paraId="0B8A6E94" w14:textId="77777777" w:rsidR="009F1D5C" w:rsidRPr="006C3633" w:rsidRDefault="009F1D5C" w:rsidP="002358F3">
      <w:pPr>
        <w:spacing w:after="200" w:line="360" w:lineRule="auto"/>
        <w:jc w:val="both"/>
        <w:divId w:val="1527862831"/>
        <w:rPr>
          <w:rFonts w:ascii="Calibri" w:hAnsi="Calibri" w:cs="Calibri"/>
          <w:sz w:val="22"/>
          <w:szCs w:val="22"/>
        </w:rPr>
      </w:pPr>
    </w:p>
    <w:p w14:paraId="58C0C868" w14:textId="77777777" w:rsidR="00AE3BE7" w:rsidRDefault="00AE3BE7">
      <w:pPr>
        <w:rPr>
          <w:rFonts w:ascii="Calibri" w:hAnsi="Calibri" w:cs="Calibri"/>
          <w:b/>
          <w:bCs/>
          <w:sz w:val="22"/>
          <w:szCs w:val="22"/>
        </w:rPr>
      </w:pPr>
      <w:r>
        <w:rPr>
          <w:rFonts w:ascii="Calibri" w:hAnsi="Calibri" w:cs="Calibri"/>
          <w:b/>
          <w:bCs/>
          <w:sz w:val="22"/>
          <w:szCs w:val="22"/>
        </w:rPr>
        <w:br w:type="page"/>
      </w:r>
    </w:p>
    <w:p w14:paraId="76D510CC" w14:textId="77777777" w:rsidR="00426373" w:rsidRPr="00AE3BE7" w:rsidRDefault="00AE3BE7" w:rsidP="00D26D73">
      <w:pPr>
        <w:spacing w:line="360" w:lineRule="auto"/>
        <w:jc w:val="both"/>
        <w:rPr>
          <w:rFonts w:ascii="Calibri" w:hAnsi="Calibri" w:cs="Calibri"/>
          <w:b/>
          <w:bCs/>
          <w:sz w:val="22"/>
          <w:szCs w:val="22"/>
        </w:rPr>
      </w:pPr>
      <w:r w:rsidRPr="00AE3BE7">
        <w:rPr>
          <w:rFonts w:ascii="Calibri" w:hAnsi="Calibri" w:cs="Calibri"/>
          <w:b/>
          <w:bCs/>
          <w:sz w:val="22"/>
          <w:szCs w:val="22"/>
        </w:rPr>
        <w:lastRenderedPageBreak/>
        <w:t>REFERENCES</w:t>
      </w:r>
    </w:p>
    <w:p w14:paraId="591D28A9" w14:textId="1EA6B172" w:rsidR="00EC6C09" w:rsidRPr="00EC6C09" w:rsidRDefault="00EC6C09" w:rsidP="00EC6C09">
      <w:pPr>
        <w:pStyle w:val="EndNoteBibliography"/>
      </w:pPr>
      <w:r w:rsidRPr="00EC6C09">
        <w:t>1.</w:t>
      </w:r>
      <w:r w:rsidRPr="00EC6C09">
        <w:tab/>
        <w:t xml:space="preserve">Jackson DL, Proudfoot CW, Cann KF, Walsh T. A systematic review of the impact of sedation practice in the ICU on resource use, costs and patient safety. </w:t>
      </w:r>
      <w:r w:rsidRPr="00EC6C09">
        <w:rPr>
          <w:i/>
        </w:rPr>
        <w:t>Crit Care</w:t>
      </w:r>
      <w:r w:rsidRPr="00EC6C09">
        <w:t xml:space="preserve"> 2010;</w:t>
      </w:r>
      <w:r w:rsidRPr="00EC6C09">
        <w:rPr>
          <w:b/>
        </w:rPr>
        <w:t>14</w:t>
      </w:r>
      <w:r w:rsidRPr="00EC6C09">
        <w:t>:R59.</w:t>
      </w:r>
    </w:p>
    <w:p w14:paraId="7F01E85F" w14:textId="27C1F07E" w:rsidR="00EC6C09" w:rsidRPr="00EC6C09" w:rsidRDefault="00EC6C09" w:rsidP="00EC6C09">
      <w:pPr>
        <w:pStyle w:val="EndNoteBibliography"/>
      </w:pPr>
      <w:r w:rsidRPr="00EC6C09">
        <w:t>2.</w:t>
      </w:r>
      <w:r w:rsidRPr="00EC6C09">
        <w:tab/>
        <w:t xml:space="preserve">Parker AM, Sricharoenchai T, Raparla S, Schneck KW, Bienvenu OJ, Needham DM. Posttraumatic stress disorder in critical illness survivors: a metaanalysis. </w:t>
      </w:r>
      <w:r w:rsidRPr="00EC6C09">
        <w:rPr>
          <w:i/>
        </w:rPr>
        <w:t>Crit Care Med</w:t>
      </w:r>
      <w:r w:rsidRPr="00EC6C09">
        <w:t xml:space="preserve"> 2015;</w:t>
      </w:r>
      <w:r w:rsidRPr="00EC6C09">
        <w:rPr>
          <w:b/>
        </w:rPr>
        <w:t>43</w:t>
      </w:r>
      <w:r w:rsidRPr="00EC6C09">
        <w:t xml:space="preserve">:1121-9. </w:t>
      </w:r>
      <w:r w:rsidRPr="005B23B0">
        <w:t>https://doi.org/10.1097/ccm.0000000000000882</w:t>
      </w:r>
    </w:p>
    <w:p w14:paraId="0150B925" w14:textId="4FF96D5B" w:rsidR="00EC6C09" w:rsidRPr="00EC6C09" w:rsidRDefault="00EC6C09" w:rsidP="00EC6C09">
      <w:pPr>
        <w:pStyle w:val="EndNoteBibliography"/>
      </w:pPr>
      <w:r w:rsidRPr="00EC6C09">
        <w:t>3.</w:t>
      </w:r>
      <w:r w:rsidRPr="00EC6C09">
        <w:tab/>
        <w:t>Olsen HT, Nedergaard HK, Strøm T, Oxlund J, Wian KA, Ytrebø LM</w:t>
      </w:r>
      <w:r w:rsidRPr="00EC6C09">
        <w:rPr>
          <w:i/>
        </w:rPr>
        <w:t>, et al.</w:t>
      </w:r>
      <w:r w:rsidRPr="00EC6C09">
        <w:t xml:space="preserve"> Nonsedation or Light Sedation in Critically Ill, Mechanically Ventilated Patients. </w:t>
      </w:r>
      <w:r w:rsidRPr="00EC6C09">
        <w:rPr>
          <w:i/>
        </w:rPr>
        <w:t>N Engl J Med</w:t>
      </w:r>
      <w:r w:rsidRPr="00EC6C09">
        <w:t xml:space="preserve"> 2020;</w:t>
      </w:r>
      <w:r w:rsidRPr="00EC6C09">
        <w:rPr>
          <w:b/>
        </w:rPr>
        <w:t>382</w:t>
      </w:r>
      <w:r w:rsidRPr="00EC6C09">
        <w:t xml:space="preserve">:1103-11. </w:t>
      </w:r>
      <w:r w:rsidRPr="005B23B0">
        <w:t>https://doi.org/10.1056/NEJMoa1906759</w:t>
      </w:r>
    </w:p>
    <w:p w14:paraId="6325C273" w14:textId="5D871BA2" w:rsidR="00EC6C09" w:rsidRPr="00EC6C09" w:rsidRDefault="00EC6C09" w:rsidP="00EC6C09">
      <w:pPr>
        <w:pStyle w:val="EndNoteBibliography"/>
      </w:pPr>
      <w:r w:rsidRPr="00EC6C09">
        <w:t>4.</w:t>
      </w:r>
      <w:r w:rsidRPr="00EC6C09">
        <w:tab/>
        <w:t>Walsh TS, Aitken LM, McKenzie CA, Boyd J, Macdonald A, Giddings A</w:t>
      </w:r>
      <w:r w:rsidRPr="00EC6C09">
        <w:rPr>
          <w:i/>
        </w:rPr>
        <w:t>, et al.</w:t>
      </w:r>
      <w:r w:rsidRPr="00EC6C09">
        <w:t xml:space="preserve"> Alpha 2 agonists for sedation to produce better outcomes from critical illness (A2B Trial): protocol for a multicentre phase 3 pragmatic clinical and cost-effectiveness randomised trial in the UK. </w:t>
      </w:r>
      <w:r w:rsidRPr="00EC6C09">
        <w:rPr>
          <w:i/>
        </w:rPr>
        <w:t>BMJ open</w:t>
      </w:r>
      <w:r w:rsidRPr="00EC6C09">
        <w:t xml:space="preserve"> 2023;</w:t>
      </w:r>
      <w:r w:rsidRPr="00EC6C09">
        <w:rPr>
          <w:b/>
        </w:rPr>
        <w:t>13</w:t>
      </w:r>
      <w:r w:rsidRPr="00EC6C09">
        <w:t xml:space="preserve">:e078645. </w:t>
      </w:r>
      <w:r w:rsidRPr="005B23B0">
        <w:t>https://doi.org/10.1136/bmjopen-2023-078645</w:t>
      </w:r>
    </w:p>
    <w:p w14:paraId="43F1960E" w14:textId="2208830D" w:rsidR="00EC6C09" w:rsidRPr="00EC6C09" w:rsidRDefault="00EC6C09" w:rsidP="00EC6C09">
      <w:pPr>
        <w:pStyle w:val="EndNoteBibliography"/>
      </w:pPr>
      <w:r w:rsidRPr="00EC6C09">
        <w:t>5.</w:t>
      </w:r>
      <w:r w:rsidRPr="00EC6C09">
        <w:tab/>
        <w:t>Eadie R, McKenzie C, Emerson L, Blackwood B, Aitken L, Hope D</w:t>
      </w:r>
      <w:r w:rsidRPr="00EC6C09">
        <w:rPr>
          <w:i/>
        </w:rPr>
        <w:t>, et al.</w:t>
      </w:r>
      <w:r w:rsidRPr="00EC6C09">
        <w:t xml:space="preserve"> Clinical pharmacist’s views on the role of alpha-2- agonists in practice and research for the management of agitation, sedation, and delirium (ASD). </w:t>
      </w:r>
      <w:r w:rsidRPr="00EC6C09">
        <w:rPr>
          <w:i/>
        </w:rPr>
        <w:t>Journal of the Intensive Care Society</w:t>
      </w:r>
      <w:r w:rsidRPr="00EC6C09">
        <w:t xml:space="preserve"> 2022;</w:t>
      </w:r>
      <w:r w:rsidRPr="00EC6C09">
        <w:rPr>
          <w:b/>
        </w:rPr>
        <w:t>23</w:t>
      </w:r>
      <w:r w:rsidRPr="00EC6C09">
        <w:t xml:space="preserve">:1-210. </w:t>
      </w:r>
      <w:r w:rsidRPr="005B23B0">
        <w:t>https://doi.org/10.1177/17511437221095122</w:t>
      </w:r>
    </w:p>
    <w:p w14:paraId="4627E392" w14:textId="74059676" w:rsidR="00EC6C09" w:rsidRPr="00EC6C09" w:rsidRDefault="00EC6C09" w:rsidP="00EC6C09">
      <w:pPr>
        <w:pStyle w:val="EndNoteBibliography"/>
      </w:pPr>
      <w:r w:rsidRPr="00EC6C09">
        <w:t>6.</w:t>
      </w:r>
      <w:r w:rsidRPr="00EC6C09">
        <w:tab/>
        <w:t xml:space="preserve">Nguyen V, Tiemann D, Park E, Salehi A. Alpha-2 Agonists. </w:t>
      </w:r>
      <w:r w:rsidRPr="00EC6C09">
        <w:rPr>
          <w:i/>
        </w:rPr>
        <w:t>Anesthesiol Clin</w:t>
      </w:r>
      <w:r w:rsidRPr="00EC6C09">
        <w:t xml:space="preserve"> 2017;</w:t>
      </w:r>
      <w:r w:rsidRPr="00EC6C09">
        <w:rPr>
          <w:b/>
        </w:rPr>
        <w:t>35</w:t>
      </w:r>
      <w:r w:rsidRPr="00EC6C09">
        <w:t xml:space="preserve">:233-45. </w:t>
      </w:r>
      <w:r w:rsidRPr="005B23B0">
        <w:t>https://doi.org/10.1016/j.anclin.2017.01.009</w:t>
      </w:r>
    </w:p>
    <w:p w14:paraId="7CE42875" w14:textId="47140818" w:rsidR="00EC6C09" w:rsidRPr="00EC6C09" w:rsidRDefault="00EC6C09" w:rsidP="00EC6C09">
      <w:pPr>
        <w:pStyle w:val="EndNoteBibliography"/>
      </w:pPr>
      <w:r w:rsidRPr="00EC6C09">
        <w:t>7.</w:t>
      </w:r>
      <w:r w:rsidRPr="00EC6C09">
        <w:tab/>
        <w:t>Shehabi Y, Howe BD, Bellomo R, Arabi YM, Bailey M, Bass FE</w:t>
      </w:r>
      <w:r w:rsidRPr="00EC6C09">
        <w:rPr>
          <w:i/>
        </w:rPr>
        <w:t>, et al.</w:t>
      </w:r>
      <w:r w:rsidRPr="00EC6C09">
        <w:t xml:space="preserve"> Early Sedation with Dexmedetomidine in Critically Ill Patients. </w:t>
      </w:r>
      <w:r w:rsidRPr="00EC6C09">
        <w:rPr>
          <w:i/>
        </w:rPr>
        <w:t>N Engl J Med</w:t>
      </w:r>
      <w:r w:rsidRPr="00EC6C09">
        <w:t xml:space="preserve"> 2019;</w:t>
      </w:r>
      <w:r w:rsidRPr="00EC6C09">
        <w:rPr>
          <w:b/>
        </w:rPr>
        <w:t>380</w:t>
      </w:r>
      <w:r w:rsidRPr="00EC6C09">
        <w:t xml:space="preserve">:2506-17. </w:t>
      </w:r>
      <w:r w:rsidRPr="005B23B0">
        <w:t>https://doi.org/10.1056/NEJMoa1904710</w:t>
      </w:r>
    </w:p>
    <w:p w14:paraId="7ED7EA86" w14:textId="5E398F0C" w:rsidR="00EC6C09" w:rsidRPr="00EC6C09" w:rsidRDefault="00EC6C09" w:rsidP="00EC6C09">
      <w:pPr>
        <w:pStyle w:val="EndNoteBibliography"/>
      </w:pPr>
      <w:r w:rsidRPr="00EC6C09">
        <w:t>8.</w:t>
      </w:r>
      <w:r w:rsidRPr="00EC6C09">
        <w:tab/>
        <w:t>Moore GF, Audrey S, Barker M, Bond L, Bonell C, Hardeman W</w:t>
      </w:r>
      <w:r w:rsidRPr="00EC6C09">
        <w:rPr>
          <w:i/>
        </w:rPr>
        <w:t>, et al.</w:t>
      </w:r>
      <w:r w:rsidRPr="00EC6C09">
        <w:t xml:space="preserve"> Process evaluation of complex interventions: Medical Research Council guidance. </w:t>
      </w:r>
      <w:r w:rsidRPr="00EC6C09">
        <w:rPr>
          <w:i/>
        </w:rPr>
        <w:t>BMJ</w:t>
      </w:r>
      <w:r w:rsidRPr="00EC6C09">
        <w:t xml:space="preserve"> 2015;</w:t>
      </w:r>
      <w:r w:rsidRPr="00EC6C09">
        <w:rPr>
          <w:b/>
        </w:rPr>
        <w:t>350</w:t>
      </w:r>
      <w:r w:rsidRPr="00EC6C09">
        <w:t xml:space="preserve">:h1258. </w:t>
      </w:r>
      <w:r w:rsidRPr="005B23B0">
        <w:t>https://doi.org/10.1136/bmj.h1258</w:t>
      </w:r>
    </w:p>
    <w:p w14:paraId="6F872DE8" w14:textId="0FD28079" w:rsidR="00EC6C09" w:rsidRPr="00EC6C09" w:rsidRDefault="00EC6C09" w:rsidP="00EC6C09">
      <w:pPr>
        <w:pStyle w:val="EndNoteBibliography"/>
      </w:pPr>
      <w:r w:rsidRPr="00EC6C09">
        <w:t>9.</w:t>
      </w:r>
      <w:r w:rsidRPr="00EC6C09">
        <w:tab/>
        <w:t>Aitken LM, Emerson LM, Kydonaki K, Blackwood B, Creagh-Brown B, Lone NI</w:t>
      </w:r>
      <w:r w:rsidRPr="00EC6C09">
        <w:rPr>
          <w:i/>
        </w:rPr>
        <w:t>, et al.</w:t>
      </w:r>
      <w:r w:rsidRPr="00EC6C09">
        <w:t xml:space="preserve"> Alpha 2 agonists for sedation to produce better outcomes from critical illness (A2B trial): protocol for a mixed-methods process evaluation of a randomised controlled trial. </w:t>
      </w:r>
      <w:r w:rsidRPr="00EC6C09">
        <w:rPr>
          <w:i/>
        </w:rPr>
        <w:t>BMJ open</w:t>
      </w:r>
      <w:r w:rsidRPr="00EC6C09">
        <w:t xml:space="preserve"> 2024;</w:t>
      </w:r>
      <w:r w:rsidRPr="00EC6C09">
        <w:rPr>
          <w:b/>
        </w:rPr>
        <w:t>14</w:t>
      </w:r>
      <w:r w:rsidRPr="00EC6C09">
        <w:t xml:space="preserve">:e081637. </w:t>
      </w:r>
      <w:r w:rsidRPr="005B23B0">
        <w:t>https://doi.org/10.1136/bmjopen-2023-081637</w:t>
      </w:r>
    </w:p>
    <w:p w14:paraId="2632F0A7" w14:textId="113254AE" w:rsidR="00EC6C09" w:rsidRPr="00EC6C09" w:rsidRDefault="00EC6C09" w:rsidP="00EC6C09">
      <w:pPr>
        <w:pStyle w:val="EndNoteBibliography"/>
      </w:pPr>
      <w:r w:rsidRPr="00EC6C09">
        <w:t>10.</w:t>
      </w:r>
      <w:r w:rsidRPr="00EC6C09">
        <w:tab/>
        <w:t>Walsh TS, Parker RA, Aitken LM, McKenzie CA, Emerson L, Boyd J</w:t>
      </w:r>
      <w:r w:rsidRPr="00EC6C09">
        <w:rPr>
          <w:i/>
        </w:rPr>
        <w:t>, et al.</w:t>
      </w:r>
      <w:r w:rsidRPr="00EC6C09">
        <w:t xml:space="preserve"> Dexmedetomidine- or Clonidine-Based Sedation Compared With Propofol in Critically Ill Patients: The A2B Randomized Clinical Trial. </w:t>
      </w:r>
      <w:r w:rsidRPr="00EC6C09">
        <w:rPr>
          <w:i/>
        </w:rPr>
        <w:t>JAMA</w:t>
      </w:r>
      <w:r w:rsidRPr="00EC6C09">
        <w:t xml:space="preserve"> 2025; 10.1001/jama.2025.7200. </w:t>
      </w:r>
      <w:r w:rsidRPr="005B23B0">
        <w:t>https://doi.org/10.1001/jama.2025.7200</w:t>
      </w:r>
    </w:p>
    <w:p w14:paraId="2A4DAB82" w14:textId="6EC74D60" w:rsidR="00EC6C09" w:rsidRPr="00EC6C09" w:rsidRDefault="00EC6C09" w:rsidP="00EC6C09">
      <w:pPr>
        <w:pStyle w:val="EndNoteBibliography"/>
      </w:pPr>
      <w:r w:rsidRPr="00EC6C09">
        <w:t>11.</w:t>
      </w:r>
      <w:r w:rsidRPr="00EC6C09">
        <w:tab/>
        <w:t xml:space="preserve">Furber C. Framework analysis: a method for analysing qualitative data. </w:t>
      </w:r>
      <w:r w:rsidRPr="00EC6C09">
        <w:rPr>
          <w:i/>
        </w:rPr>
        <w:t>African Journal of Midwifery and Women's Health</w:t>
      </w:r>
      <w:r w:rsidRPr="00EC6C09">
        <w:t xml:space="preserve"> 2010;</w:t>
      </w:r>
      <w:r w:rsidRPr="00EC6C09">
        <w:rPr>
          <w:b/>
        </w:rPr>
        <w:t>4</w:t>
      </w:r>
      <w:r w:rsidRPr="00EC6C09">
        <w:t xml:space="preserve">:97-100. </w:t>
      </w:r>
      <w:r w:rsidRPr="005B23B0">
        <w:t>https://doi.org/10.12968/ajmw.2010.4.2.47612</w:t>
      </w:r>
    </w:p>
    <w:p w14:paraId="40AA06F9" w14:textId="79CF7490" w:rsidR="00EC6C09" w:rsidRPr="00EC6C09" w:rsidRDefault="00EC6C09" w:rsidP="00EC6C09">
      <w:pPr>
        <w:pStyle w:val="EndNoteBibliography"/>
      </w:pPr>
      <w:r w:rsidRPr="00EC6C09">
        <w:t>12.</w:t>
      </w:r>
      <w:r w:rsidRPr="00EC6C09">
        <w:tab/>
        <w:t>Shehabi Y, Serpa Neto A, Howe BD, Bellomo R, Arabi YM, Bailey M</w:t>
      </w:r>
      <w:r w:rsidRPr="00EC6C09">
        <w:rPr>
          <w:i/>
        </w:rPr>
        <w:t>, et al.</w:t>
      </w:r>
      <w:r w:rsidRPr="00EC6C09">
        <w:t xml:space="preserve"> Early sedation with dexmedetomidine in ventilated critically ill patients and heterogeneity of treatment effect in the SPICE III randomised controlled trial. </w:t>
      </w:r>
      <w:r w:rsidRPr="00EC6C09">
        <w:rPr>
          <w:i/>
        </w:rPr>
        <w:t>Intensive Care Med</w:t>
      </w:r>
      <w:r w:rsidRPr="00EC6C09">
        <w:t xml:space="preserve"> 2021;</w:t>
      </w:r>
      <w:r w:rsidRPr="00EC6C09">
        <w:rPr>
          <w:b/>
        </w:rPr>
        <w:t>47</w:t>
      </w:r>
      <w:r w:rsidRPr="00EC6C09">
        <w:t xml:space="preserve">:455-66. </w:t>
      </w:r>
      <w:r w:rsidRPr="005B23B0">
        <w:t>https://doi.org/10.1007/s00134-021-06356-8</w:t>
      </w:r>
    </w:p>
    <w:p w14:paraId="292B4396" w14:textId="4F371469" w:rsidR="00EC6C09" w:rsidRPr="00EC6C09" w:rsidRDefault="00EC6C09" w:rsidP="00EC6C09">
      <w:pPr>
        <w:pStyle w:val="EndNoteBibliography"/>
      </w:pPr>
      <w:r w:rsidRPr="00EC6C09">
        <w:t>13.</w:t>
      </w:r>
      <w:r w:rsidRPr="00EC6C09">
        <w:tab/>
        <w:t xml:space="preserve">McNett M, O'Mathúna D, Tucker S, Roberts H, Mion LC, Balas MC. A Scoping Review of Implementation Science in Adult Critical Care Settings. </w:t>
      </w:r>
      <w:r w:rsidRPr="00EC6C09">
        <w:rPr>
          <w:i/>
        </w:rPr>
        <w:t>Crit Care Explor</w:t>
      </w:r>
      <w:r w:rsidRPr="00EC6C09">
        <w:t xml:space="preserve"> 2020;</w:t>
      </w:r>
      <w:r w:rsidRPr="00EC6C09">
        <w:rPr>
          <w:b/>
        </w:rPr>
        <w:t>2</w:t>
      </w:r>
      <w:r w:rsidRPr="00EC6C09">
        <w:t xml:space="preserve">:e0301. </w:t>
      </w:r>
      <w:r w:rsidRPr="005B23B0">
        <w:t>https://doi.org/10.1097/cce.0000000000000301</w:t>
      </w:r>
    </w:p>
    <w:p w14:paraId="72BC513E" w14:textId="77777777" w:rsidR="00EC6C09" w:rsidRPr="00EC6C09" w:rsidRDefault="00EC6C09" w:rsidP="00EC6C09">
      <w:pPr>
        <w:pStyle w:val="EndNoteBibliography"/>
      </w:pPr>
      <w:r w:rsidRPr="00EC6C09">
        <w:t>14.</w:t>
      </w:r>
      <w:r w:rsidRPr="00EC6C09">
        <w:tab/>
        <w:t xml:space="preserve">Beer M, Nohria N. Cracking the code of change. </w:t>
      </w:r>
      <w:r w:rsidRPr="00EC6C09">
        <w:rPr>
          <w:i/>
        </w:rPr>
        <w:t>Harv Bus Rev</w:t>
      </w:r>
      <w:r w:rsidRPr="00EC6C09">
        <w:t xml:space="preserve"> 2000;</w:t>
      </w:r>
      <w:r w:rsidRPr="00EC6C09">
        <w:rPr>
          <w:b/>
        </w:rPr>
        <w:t>78</w:t>
      </w:r>
      <w:r w:rsidRPr="00EC6C09">
        <w:t>:133-41, 216.</w:t>
      </w:r>
    </w:p>
    <w:p w14:paraId="4FA2E3E7" w14:textId="1C98CD65" w:rsidR="00EC6C09" w:rsidRPr="00EC6C09" w:rsidRDefault="00EC6C09" w:rsidP="00EC6C09">
      <w:pPr>
        <w:pStyle w:val="EndNoteBibliography"/>
      </w:pPr>
      <w:r w:rsidRPr="00EC6C09">
        <w:lastRenderedPageBreak/>
        <w:t>15.</w:t>
      </w:r>
      <w:r w:rsidRPr="00EC6C09">
        <w:tab/>
        <w:t xml:space="preserve">Burnes B. Emergent change and planned change – competitors or allies? </w:t>
      </w:r>
      <w:r w:rsidRPr="00EC6C09">
        <w:rPr>
          <w:i/>
        </w:rPr>
        <w:t>International Journal of Operations &amp; Production Management</w:t>
      </w:r>
      <w:r w:rsidRPr="00EC6C09">
        <w:t xml:space="preserve"> 2004;</w:t>
      </w:r>
      <w:r w:rsidRPr="00EC6C09">
        <w:rPr>
          <w:b/>
        </w:rPr>
        <w:t>24</w:t>
      </w:r>
      <w:r w:rsidRPr="00EC6C09">
        <w:t xml:space="preserve">:886-902. </w:t>
      </w:r>
      <w:r w:rsidRPr="005B23B0">
        <w:t>https://doi.org/10.1108/01443570410552108</w:t>
      </w:r>
    </w:p>
    <w:p w14:paraId="1CA064C9" w14:textId="41CD9BFC" w:rsidR="00EC6C09" w:rsidRPr="00EC6C09" w:rsidRDefault="00EC6C09" w:rsidP="00EC6C09">
      <w:pPr>
        <w:pStyle w:val="EndNoteBibliography"/>
      </w:pPr>
      <w:r w:rsidRPr="00EC6C09">
        <w:t>16.</w:t>
      </w:r>
      <w:r w:rsidRPr="00EC6C09">
        <w:tab/>
        <w:t xml:space="preserve">Pattison N, Arulkumaran N, Humphreys S, Walsh T. Exploring obstacles to critical care trials in the UK: A qualitative investigation. </w:t>
      </w:r>
      <w:r w:rsidRPr="00EC6C09">
        <w:rPr>
          <w:i/>
        </w:rPr>
        <w:t>J Intensive Care Soc</w:t>
      </w:r>
      <w:r w:rsidRPr="00EC6C09">
        <w:t xml:space="preserve"> 2017;</w:t>
      </w:r>
      <w:r w:rsidRPr="00EC6C09">
        <w:rPr>
          <w:b/>
        </w:rPr>
        <w:t>18</w:t>
      </w:r>
      <w:r w:rsidRPr="00EC6C09">
        <w:t xml:space="preserve">:36-46. </w:t>
      </w:r>
      <w:r w:rsidRPr="005B23B0">
        <w:t>https://doi.org/10.1177/1751143716663749</w:t>
      </w:r>
    </w:p>
    <w:p w14:paraId="586B1BF7" w14:textId="320C6568" w:rsidR="00EC6C09" w:rsidRPr="00EC6C09" w:rsidRDefault="00EC6C09" w:rsidP="00EC6C09">
      <w:pPr>
        <w:pStyle w:val="EndNoteBibliography"/>
      </w:pPr>
      <w:r w:rsidRPr="00EC6C09">
        <w:t>17.</w:t>
      </w:r>
      <w:r w:rsidRPr="00EC6C09">
        <w:tab/>
        <w:t xml:space="preserve">European Medicines Agency. </w:t>
      </w:r>
      <w:r w:rsidRPr="00EC6C09">
        <w:rPr>
          <w:i/>
        </w:rPr>
        <w:t>Dexdor - direct healthcare professional communication(DHPC)</w:t>
      </w:r>
      <w:r w:rsidRPr="00EC6C09">
        <w:t xml:space="preserve">.2022.URL: </w:t>
      </w:r>
      <w:r w:rsidRPr="005B23B0">
        <w:t>https://www.ema.europa.eu/en/medicines/dhpc/dexdor</w:t>
      </w:r>
      <w:r w:rsidRPr="00EC6C09">
        <w:t xml:space="preserve"> (</w:t>
      </w:r>
      <w:r w:rsidR="00A649B8">
        <w:t xml:space="preserve">last </w:t>
      </w:r>
      <w:r w:rsidR="00A649B8" w:rsidRPr="00EC6C09">
        <w:t>accessed</w:t>
      </w:r>
      <w:r w:rsidR="00A649B8">
        <w:t xml:space="preserve"> 15/11/24</w:t>
      </w:r>
      <w:r w:rsidRPr="00EC6C09">
        <w:t>).</w:t>
      </w:r>
    </w:p>
    <w:p w14:paraId="383C75DD" w14:textId="3FF395D8" w:rsidR="00EC6C09" w:rsidRPr="00EC6C09" w:rsidRDefault="00EC6C09" w:rsidP="00EC6C09">
      <w:pPr>
        <w:pStyle w:val="EndNoteBibliography"/>
      </w:pPr>
      <w:r w:rsidRPr="00EC6C09">
        <w:t>18.</w:t>
      </w:r>
      <w:r w:rsidRPr="00EC6C09">
        <w:tab/>
        <w:t>Shehabi Y, Serpa Neto A, Bellomo R, Howe BD, Arabi YM, Bailey M</w:t>
      </w:r>
      <w:r w:rsidRPr="00EC6C09">
        <w:rPr>
          <w:i/>
        </w:rPr>
        <w:t>, et al.</w:t>
      </w:r>
      <w:r w:rsidRPr="00EC6C09">
        <w:t xml:space="preserve"> Dexmedetomidine and Propofol Sedation in Critically Ill Patients and Dose-associated 90-Day Mortality: A Secondary Cohort Analysis of a Randomized Controlled Trial (SPICE III). </w:t>
      </w:r>
      <w:r w:rsidRPr="00EC6C09">
        <w:rPr>
          <w:i/>
        </w:rPr>
        <w:t>Am J Respir Crit Care Med</w:t>
      </w:r>
      <w:r w:rsidRPr="00EC6C09">
        <w:t xml:space="preserve"> 2023;</w:t>
      </w:r>
      <w:r w:rsidRPr="00EC6C09">
        <w:rPr>
          <w:b/>
        </w:rPr>
        <w:t>207</w:t>
      </w:r>
      <w:r w:rsidRPr="00EC6C09">
        <w:t xml:space="preserve">:876-86. </w:t>
      </w:r>
      <w:r w:rsidRPr="005B23B0">
        <w:t>https://doi.org/10.1164/rccm.202206-1208OC</w:t>
      </w:r>
    </w:p>
    <w:p w14:paraId="79706FC2" w14:textId="3F9FBB01" w:rsidR="00EC6C09" w:rsidRPr="00EC6C09" w:rsidRDefault="00EC6C09" w:rsidP="00EC6C09">
      <w:pPr>
        <w:pStyle w:val="EndNoteBibliography"/>
      </w:pPr>
      <w:r w:rsidRPr="00EC6C09">
        <w:t>19.</w:t>
      </w:r>
      <w:r w:rsidRPr="00EC6C09">
        <w:tab/>
        <w:t xml:space="preserve">Kristensen N, Nymann C, Konradsen H. Implementing research results in clinical practice- the experiences of healthcare professionals. </w:t>
      </w:r>
      <w:r w:rsidRPr="00EC6C09">
        <w:rPr>
          <w:i/>
        </w:rPr>
        <w:t>BMC Health Serv Res</w:t>
      </w:r>
      <w:r w:rsidRPr="00EC6C09">
        <w:t xml:space="preserve"> 2016;</w:t>
      </w:r>
      <w:r w:rsidRPr="00EC6C09">
        <w:rPr>
          <w:b/>
        </w:rPr>
        <w:t>16</w:t>
      </w:r>
      <w:r w:rsidRPr="00EC6C09">
        <w:t xml:space="preserve">:48. </w:t>
      </w:r>
      <w:r w:rsidRPr="005B23B0">
        <w:t>https://doi.org/10.1186/s12913-016-1292-y</w:t>
      </w:r>
    </w:p>
    <w:p w14:paraId="055D4BB3" w14:textId="37144F7A" w:rsidR="00EC6C09" w:rsidRPr="00EC6C09" w:rsidRDefault="00EC6C09" w:rsidP="00EC6C09">
      <w:pPr>
        <w:pStyle w:val="EndNoteBibliography"/>
      </w:pPr>
      <w:r w:rsidRPr="00EC6C09">
        <w:t>20.</w:t>
      </w:r>
      <w:r w:rsidRPr="00EC6C09">
        <w:tab/>
        <w:t xml:space="preserve">Gottlieb LN, Gottlieb B, Bitzas V. Creating Empowering Conditions for Nurses with Workplace Autonomy and Agency: How Healthcare Leaders Could Be Guided by Strengths-Based Nursing and Healthcare Leadership (SBNH-L). </w:t>
      </w:r>
      <w:r w:rsidRPr="00EC6C09">
        <w:rPr>
          <w:i/>
        </w:rPr>
        <w:t>J Healthc Leadersh</w:t>
      </w:r>
      <w:r w:rsidRPr="00EC6C09">
        <w:t xml:space="preserve"> 2021;</w:t>
      </w:r>
      <w:r w:rsidRPr="00EC6C09">
        <w:rPr>
          <w:b/>
        </w:rPr>
        <w:t>13</w:t>
      </w:r>
      <w:r w:rsidRPr="00EC6C09">
        <w:t xml:space="preserve">:169-81. </w:t>
      </w:r>
      <w:r w:rsidRPr="005B23B0">
        <w:t>https://doi.org/10.2147/jhl.S221141</w:t>
      </w:r>
    </w:p>
    <w:p w14:paraId="5FA312B1" w14:textId="369A423D" w:rsidR="00EC6C09" w:rsidRPr="00EC6C09" w:rsidRDefault="00EC6C09" w:rsidP="00EC6C09">
      <w:pPr>
        <w:pStyle w:val="EndNoteBibliography"/>
      </w:pPr>
      <w:r w:rsidRPr="00EC6C09">
        <w:t>21.</w:t>
      </w:r>
      <w:r w:rsidRPr="00EC6C09">
        <w:tab/>
        <w:t xml:space="preserve">Arlinghaus KR, Johnston CA. Advocating for Behavior Change With Education. </w:t>
      </w:r>
      <w:r w:rsidRPr="00EC6C09">
        <w:rPr>
          <w:i/>
        </w:rPr>
        <w:t>Am J Lifestyle Med</w:t>
      </w:r>
      <w:r w:rsidRPr="00EC6C09">
        <w:t xml:space="preserve"> 2018;</w:t>
      </w:r>
      <w:r w:rsidRPr="00EC6C09">
        <w:rPr>
          <w:b/>
        </w:rPr>
        <w:t>12</w:t>
      </w:r>
      <w:r w:rsidRPr="00EC6C09">
        <w:t xml:space="preserve">:113-6. </w:t>
      </w:r>
      <w:r w:rsidRPr="005B23B0">
        <w:t>https://doi.org/10.1177/1559827617745479</w:t>
      </w:r>
    </w:p>
    <w:p w14:paraId="5FD8C886" w14:textId="271599F9" w:rsidR="00EC6C09" w:rsidRPr="00EC6C09" w:rsidRDefault="00EC6C09" w:rsidP="00EC6C09">
      <w:pPr>
        <w:pStyle w:val="EndNoteBibliography"/>
      </w:pPr>
      <w:r w:rsidRPr="00EC6C09">
        <w:t>22.</w:t>
      </w:r>
      <w:r w:rsidRPr="00EC6C09">
        <w:tab/>
        <w:t>Atkins L, Francis J, Islam R, O’Connor D, Patey A, Ivers N</w:t>
      </w:r>
      <w:r w:rsidRPr="00EC6C09">
        <w:rPr>
          <w:i/>
        </w:rPr>
        <w:t>, et al.</w:t>
      </w:r>
      <w:r w:rsidRPr="00EC6C09">
        <w:t xml:space="preserve"> A guide to using the Theoretical Domains Framework of behaviour change to investigate implementation problems. </w:t>
      </w:r>
      <w:r w:rsidRPr="00EC6C09">
        <w:rPr>
          <w:i/>
        </w:rPr>
        <w:t>Implementation Science</w:t>
      </w:r>
      <w:r w:rsidRPr="00EC6C09">
        <w:t xml:space="preserve"> 2017;</w:t>
      </w:r>
      <w:r w:rsidRPr="00EC6C09">
        <w:rPr>
          <w:b/>
        </w:rPr>
        <w:t>12</w:t>
      </w:r>
      <w:r w:rsidRPr="00EC6C09">
        <w:t xml:space="preserve">:77. </w:t>
      </w:r>
      <w:r w:rsidRPr="005B23B0">
        <w:t>https://doi.org/10.1186/s13012-017-0605-9</w:t>
      </w:r>
    </w:p>
    <w:p w14:paraId="47485623" w14:textId="6E8765E8" w:rsidR="00EC6C09" w:rsidRPr="00EC6C09" w:rsidRDefault="00EC6C09" w:rsidP="00EC6C09">
      <w:pPr>
        <w:pStyle w:val="EndNoteBibliography"/>
      </w:pPr>
      <w:r w:rsidRPr="00EC6C09">
        <w:t>23.</w:t>
      </w:r>
      <w:r w:rsidRPr="00EC6C09">
        <w:tab/>
        <w:t>Balakrishna A, Walsh EC, Hamidi A, Berg S, Austin D, Pino RM</w:t>
      </w:r>
      <w:r w:rsidRPr="00EC6C09">
        <w:rPr>
          <w:i/>
        </w:rPr>
        <w:t>, et al.</w:t>
      </w:r>
      <w:r w:rsidRPr="00EC6C09">
        <w:t xml:space="preserve"> An examination of sedation requirements and practices for mechanically ventilated critically ill patients with COVID-19. </w:t>
      </w:r>
      <w:r w:rsidRPr="00EC6C09">
        <w:rPr>
          <w:i/>
        </w:rPr>
        <w:t>Am J Health Syst Pharm</w:t>
      </w:r>
      <w:r w:rsidRPr="00EC6C09">
        <w:t xml:space="preserve"> 2021;</w:t>
      </w:r>
      <w:r w:rsidRPr="00EC6C09">
        <w:rPr>
          <w:b/>
        </w:rPr>
        <w:t>78</w:t>
      </w:r>
      <w:r w:rsidRPr="00EC6C09">
        <w:t xml:space="preserve">:1952-61. </w:t>
      </w:r>
      <w:r w:rsidRPr="005B23B0">
        <w:t>https://doi.org/10.1093/ajhp/zxab202</w:t>
      </w:r>
    </w:p>
    <w:p w14:paraId="3A1E98F3" w14:textId="5633DCB3" w:rsidR="000E6163" w:rsidRDefault="000E6163" w:rsidP="00506A12">
      <w:pPr>
        <w:rPr>
          <w:rFonts w:ascii="Calibri" w:hAnsi="Calibri" w:cs="Calibri"/>
          <w:sz w:val="22"/>
          <w:szCs w:val="22"/>
        </w:rPr>
      </w:pPr>
    </w:p>
    <w:sectPr w:rsidR="000E6163" w:rsidSect="00506A12">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B6D56" w14:textId="77777777" w:rsidR="00277EFA" w:rsidRDefault="00277EFA" w:rsidP="00745601">
      <w:r>
        <w:separator/>
      </w:r>
    </w:p>
  </w:endnote>
  <w:endnote w:type="continuationSeparator" w:id="0">
    <w:p w14:paraId="48CED5D6" w14:textId="77777777" w:rsidR="00277EFA" w:rsidRDefault="00277EFA" w:rsidP="0074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8947813"/>
      <w:docPartObj>
        <w:docPartGallery w:val="Page Numbers (Bottom of Page)"/>
        <w:docPartUnique/>
      </w:docPartObj>
    </w:sdtPr>
    <w:sdtContent>
      <w:p w14:paraId="2AAAC5AC" w14:textId="77777777" w:rsidR="00962C8F" w:rsidRDefault="00962C8F" w:rsidP="000978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6E1659" w14:textId="77777777" w:rsidR="00962C8F" w:rsidRDefault="00962C8F" w:rsidP="007456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4925572"/>
      <w:docPartObj>
        <w:docPartGallery w:val="Page Numbers (Bottom of Page)"/>
        <w:docPartUnique/>
      </w:docPartObj>
    </w:sdtPr>
    <w:sdtContent>
      <w:p w14:paraId="73ABA58D" w14:textId="77777777" w:rsidR="00962C8F" w:rsidRDefault="00962C8F" w:rsidP="000978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sdtContent>
  </w:sdt>
  <w:p w14:paraId="1AFB00F8" w14:textId="77777777" w:rsidR="00962C8F" w:rsidRDefault="00962C8F" w:rsidP="007456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C998B" w14:textId="77777777" w:rsidR="00277EFA" w:rsidRDefault="00277EFA" w:rsidP="00745601">
      <w:r>
        <w:separator/>
      </w:r>
    </w:p>
  </w:footnote>
  <w:footnote w:type="continuationSeparator" w:id="0">
    <w:p w14:paraId="6D68D7F5" w14:textId="77777777" w:rsidR="00277EFA" w:rsidRDefault="00277EFA" w:rsidP="00745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DCB"/>
    <w:multiLevelType w:val="hybridMultilevel"/>
    <w:tmpl w:val="E28CA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265D9"/>
    <w:multiLevelType w:val="multilevel"/>
    <w:tmpl w:val="E29287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D334D"/>
    <w:multiLevelType w:val="hybridMultilevel"/>
    <w:tmpl w:val="972AD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F421F"/>
    <w:multiLevelType w:val="multilevel"/>
    <w:tmpl w:val="ADAE8E9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B55C6C"/>
    <w:multiLevelType w:val="multilevel"/>
    <w:tmpl w:val="DF88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96A71"/>
    <w:multiLevelType w:val="hybridMultilevel"/>
    <w:tmpl w:val="120252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E35739"/>
    <w:multiLevelType w:val="hybridMultilevel"/>
    <w:tmpl w:val="8BE0AB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5F7713D"/>
    <w:multiLevelType w:val="hybridMultilevel"/>
    <w:tmpl w:val="4AF634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8772F5"/>
    <w:multiLevelType w:val="hybridMultilevel"/>
    <w:tmpl w:val="D11A6EC4"/>
    <w:lvl w:ilvl="0" w:tplc="D81890AC">
      <w:start w:val="1"/>
      <w:numFmt w:val="decimal"/>
      <w:lvlText w:val="%1."/>
      <w:lvlJc w:val="left"/>
      <w:pPr>
        <w:ind w:left="720" w:hanging="360"/>
      </w:pPr>
    </w:lvl>
    <w:lvl w:ilvl="1" w:tplc="878A4B8A">
      <w:start w:val="1"/>
      <w:numFmt w:val="decimal"/>
      <w:lvlText w:val="%2."/>
      <w:lvlJc w:val="left"/>
      <w:pPr>
        <w:ind w:left="720" w:hanging="360"/>
      </w:pPr>
    </w:lvl>
    <w:lvl w:ilvl="2" w:tplc="43E40DBC">
      <w:start w:val="1"/>
      <w:numFmt w:val="decimal"/>
      <w:lvlText w:val="%3."/>
      <w:lvlJc w:val="left"/>
      <w:pPr>
        <w:ind w:left="720" w:hanging="360"/>
      </w:pPr>
    </w:lvl>
    <w:lvl w:ilvl="3" w:tplc="69D0C932">
      <w:start w:val="1"/>
      <w:numFmt w:val="decimal"/>
      <w:lvlText w:val="%4."/>
      <w:lvlJc w:val="left"/>
      <w:pPr>
        <w:ind w:left="720" w:hanging="360"/>
      </w:pPr>
    </w:lvl>
    <w:lvl w:ilvl="4" w:tplc="09E86D3A">
      <w:start w:val="1"/>
      <w:numFmt w:val="decimal"/>
      <w:lvlText w:val="%5."/>
      <w:lvlJc w:val="left"/>
      <w:pPr>
        <w:ind w:left="720" w:hanging="360"/>
      </w:pPr>
    </w:lvl>
    <w:lvl w:ilvl="5" w:tplc="E856C18C">
      <w:start w:val="1"/>
      <w:numFmt w:val="decimal"/>
      <w:lvlText w:val="%6."/>
      <w:lvlJc w:val="left"/>
      <w:pPr>
        <w:ind w:left="720" w:hanging="360"/>
      </w:pPr>
    </w:lvl>
    <w:lvl w:ilvl="6" w:tplc="9AEA7A58">
      <w:start w:val="1"/>
      <w:numFmt w:val="decimal"/>
      <w:lvlText w:val="%7."/>
      <w:lvlJc w:val="left"/>
      <w:pPr>
        <w:ind w:left="720" w:hanging="360"/>
      </w:pPr>
    </w:lvl>
    <w:lvl w:ilvl="7" w:tplc="0BCE2A70">
      <w:start w:val="1"/>
      <w:numFmt w:val="decimal"/>
      <w:lvlText w:val="%8."/>
      <w:lvlJc w:val="left"/>
      <w:pPr>
        <w:ind w:left="720" w:hanging="360"/>
      </w:pPr>
    </w:lvl>
    <w:lvl w:ilvl="8" w:tplc="71CC2360">
      <w:start w:val="1"/>
      <w:numFmt w:val="decimal"/>
      <w:lvlText w:val="%9."/>
      <w:lvlJc w:val="left"/>
      <w:pPr>
        <w:ind w:left="720" w:hanging="360"/>
      </w:pPr>
    </w:lvl>
  </w:abstractNum>
  <w:abstractNum w:abstractNumId="9" w15:restartNumberingAfterBreak="0">
    <w:nsid w:val="3BEA4BCB"/>
    <w:multiLevelType w:val="hybridMultilevel"/>
    <w:tmpl w:val="DF600226"/>
    <w:lvl w:ilvl="0" w:tplc="C5E0D3B6">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FD5FE0"/>
    <w:multiLevelType w:val="hybridMultilevel"/>
    <w:tmpl w:val="1A6860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9C738C"/>
    <w:multiLevelType w:val="hybridMultilevel"/>
    <w:tmpl w:val="8A9CED4A"/>
    <w:lvl w:ilvl="0" w:tplc="E288FA22">
      <w:start w:val="1"/>
      <w:numFmt w:val="decimal"/>
      <w:lvlText w:val="%1."/>
      <w:lvlJc w:val="left"/>
      <w:pPr>
        <w:ind w:left="360" w:hanging="360"/>
      </w:pPr>
      <w:rPr>
        <w:rFonts w:hint="default"/>
        <w:b w:val="0"/>
        <w:color w:val="00000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FDE180D"/>
    <w:multiLevelType w:val="hybridMultilevel"/>
    <w:tmpl w:val="16CA943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5CE5C9A"/>
    <w:multiLevelType w:val="hybridMultilevel"/>
    <w:tmpl w:val="5B60C8C6"/>
    <w:lvl w:ilvl="0" w:tplc="02421F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8343D7"/>
    <w:multiLevelType w:val="hybridMultilevel"/>
    <w:tmpl w:val="3DAC4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AB54B6"/>
    <w:multiLevelType w:val="hybridMultilevel"/>
    <w:tmpl w:val="83A0F9DC"/>
    <w:lvl w:ilvl="0" w:tplc="8584A0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12550609">
    <w:abstractNumId w:val="1"/>
  </w:num>
  <w:num w:numId="2" w16cid:durableId="1790664792">
    <w:abstractNumId w:val="3"/>
  </w:num>
  <w:num w:numId="3" w16cid:durableId="597103212">
    <w:abstractNumId w:val="12"/>
  </w:num>
  <w:num w:numId="4" w16cid:durableId="1982231679">
    <w:abstractNumId w:val="11"/>
  </w:num>
  <w:num w:numId="5" w16cid:durableId="615059303">
    <w:abstractNumId w:val="5"/>
  </w:num>
  <w:num w:numId="6" w16cid:durableId="582571691">
    <w:abstractNumId w:val="6"/>
  </w:num>
  <w:num w:numId="7" w16cid:durableId="1387992013">
    <w:abstractNumId w:val="7"/>
  </w:num>
  <w:num w:numId="8" w16cid:durableId="18747145">
    <w:abstractNumId w:val="9"/>
  </w:num>
  <w:num w:numId="9" w16cid:durableId="1766919990">
    <w:abstractNumId w:val="13"/>
  </w:num>
  <w:num w:numId="10" w16cid:durableId="2090955118">
    <w:abstractNumId w:val="4"/>
  </w:num>
  <w:num w:numId="11" w16cid:durableId="1089428309">
    <w:abstractNumId w:val="10"/>
  </w:num>
  <w:num w:numId="12" w16cid:durableId="74477836">
    <w:abstractNumId w:val="8"/>
  </w:num>
  <w:num w:numId="13" w16cid:durableId="214438874">
    <w:abstractNumId w:val="2"/>
  </w:num>
  <w:num w:numId="14" w16cid:durableId="1410345510">
    <w:abstractNumId w:val="14"/>
  </w:num>
  <w:num w:numId="15" w16cid:durableId="939995897">
    <w:abstractNumId w:val="15"/>
  </w:num>
  <w:num w:numId="16" w16cid:durableId="1939870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ihr journals library&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9wads59f200xkee09rxv055sp2vef50f9sf&quot;&gt;Universal Library_v10_LA Converted-2022-02082022&lt;record-ids&gt;&lt;item&gt;31895&lt;/item&gt;&lt;item&gt;32792&lt;/item&gt;&lt;item&gt;34073&lt;/item&gt;&lt;item&gt;34133&lt;/item&gt;&lt;item&gt;34149&lt;/item&gt;&lt;item&gt;34160&lt;/item&gt;&lt;item&gt;34161&lt;/item&gt;&lt;item&gt;34166&lt;/item&gt;&lt;item&gt;34168&lt;/item&gt;&lt;item&gt;34169&lt;/item&gt;&lt;item&gt;34170&lt;/item&gt;&lt;item&gt;34171&lt;/item&gt;&lt;item&gt;34172&lt;/item&gt;&lt;item&gt;34173&lt;/item&gt;&lt;item&gt;34174&lt;/item&gt;&lt;item&gt;34175&lt;/item&gt;&lt;item&gt;34176&lt;/item&gt;&lt;item&gt;34177&lt;/item&gt;&lt;item&gt;34179&lt;/item&gt;&lt;item&gt;34181&lt;/item&gt;&lt;item&gt;34182&lt;/item&gt;&lt;item&gt;34183&lt;/item&gt;&lt;item&gt;34199&lt;/item&gt;&lt;/record-ids&gt;&lt;/item&gt;&lt;/Libraries&gt;"/>
  </w:docVars>
  <w:rsids>
    <w:rsidRoot w:val="00C213A0"/>
    <w:rsid w:val="000013F6"/>
    <w:rsid w:val="00001793"/>
    <w:rsid w:val="00002C21"/>
    <w:rsid w:val="0000379B"/>
    <w:rsid w:val="00004108"/>
    <w:rsid w:val="00005729"/>
    <w:rsid w:val="000072C5"/>
    <w:rsid w:val="000117CD"/>
    <w:rsid w:val="00012BF7"/>
    <w:rsid w:val="00013365"/>
    <w:rsid w:val="00016775"/>
    <w:rsid w:val="00016C6F"/>
    <w:rsid w:val="0001737B"/>
    <w:rsid w:val="0001799F"/>
    <w:rsid w:val="00017C80"/>
    <w:rsid w:val="00017C82"/>
    <w:rsid w:val="000210BD"/>
    <w:rsid w:val="00021685"/>
    <w:rsid w:val="00021FB7"/>
    <w:rsid w:val="00023726"/>
    <w:rsid w:val="000237C2"/>
    <w:rsid w:val="000238A3"/>
    <w:rsid w:val="00025019"/>
    <w:rsid w:val="00033E9A"/>
    <w:rsid w:val="00034944"/>
    <w:rsid w:val="00035EAE"/>
    <w:rsid w:val="000376F6"/>
    <w:rsid w:val="000437AD"/>
    <w:rsid w:val="000444C7"/>
    <w:rsid w:val="00044A76"/>
    <w:rsid w:val="000451D6"/>
    <w:rsid w:val="000465BA"/>
    <w:rsid w:val="0004684A"/>
    <w:rsid w:val="00046B10"/>
    <w:rsid w:val="00050B56"/>
    <w:rsid w:val="0005357F"/>
    <w:rsid w:val="0005402B"/>
    <w:rsid w:val="00054386"/>
    <w:rsid w:val="00057E92"/>
    <w:rsid w:val="000601EB"/>
    <w:rsid w:val="000602D7"/>
    <w:rsid w:val="000602FB"/>
    <w:rsid w:val="00060980"/>
    <w:rsid w:val="0006148F"/>
    <w:rsid w:val="000623CB"/>
    <w:rsid w:val="000624A3"/>
    <w:rsid w:val="00063800"/>
    <w:rsid w:val="0006435B"/>
    <w:rsid w:val="000666DB"/>
    <w:rsid w:val="0006788B"/>
    <w:rsid w:val="0007181D"/>
    <w:rsid w:val="00074228"/>
    <w:rsid w:val="00074317"/>
    <w:rsid w:val="00075788"/>
    <w:rsid w:val="00075BE2"/>
    <w:rsid w:val="0007651B"/>
    <w:rsid w:val="0007778B"/>
    <w:rsid w:val="00077853"/>
    <w:rsid w:val="000778EF"/>
    <w:rsid w:val="00077D72"/>
    <w:rsid w:val="0008006C"/>
    <w:rsid w:val="00080080"/>
    <w:rsid w:val="0008400F"/>
    <w:rsid w:val="000845CE"/>
    <w:rsid w:val="00084E90"/>
    <w:rsid w:val="0008544D"/>
    <w:rsid w:val="00085A32"/>
    <w:rsid w:val="00085F88"/>
    <w:rsid w:val="00087649"/>
    <w:rsid w:val="00087A3C"/>
    <w:rsid w:val="00090586"/>
    <w:rsid w:val="000908EF"/>
    <w:rsid w:val="00093079"/>
    <w:rsid w:val="0009501F"/>
    <w:rsid w:val="00095266"/>
    <w:rsid w:val="00095B0C"/>
    <w:rsid w:val="0009641F"/>
    <w:rsid w:val="000970B5"/>
    <w:rsid w:val="00097862"/>
    <w:rsid w:val="000A0159"/>
    <w:rsid w:val="000A099F"/>
    <w:rsid w:val="000A0DB6"/>
    <w:rsid w:val="000A10A1"/>
    <w:rsid w:val="000A15F2"/>
    <w:rsid w:val="000A5288"/>
    <w:rsid w:val="000A553B"/>
    <w:rsid w:val="000A695F"/>
    <w:rsid w:val="000B2738"/>
    <w:rsid w:val="000B3096"/>
    <w:rsid w:val="000B34C2"/>
    <w:rsid w:val="000B5A1E"/>
    <w:rsid w:val="000B6C0F"/>
    <w:rsid w:val="000B6E1D"/>
    <w:rsid w:val="000B765A"/>
    <w:rsid w:val="000B7D82"/>
    <w:rsid w:val="000C08CA"/>
    <w:rsid w:val="000C104D"/>
    <w:rsid w:val="000C1236"/>
    <w:rsid w:val="000C1424"/>
    <w:rsid w:val="000C1E82"/>
    <w:rsid w:val="000C2F69"/>
    <w:rsid w:val="000C3CE9"/>
    <w:rsid w:val="000C5833"/>
    <w:rsid w:val="000C6DE9"/>
    <w:rsid w:val="000C7D71"/>
    <w:rsid w:val="000D04E0"/>
    <w:rsid w:val="000D3E4F"/>
    <w:rsid w:val="000D5464"/>
    <w:rsid w:val="000D7628"/>
    <w:rsid w:val="000E05EB"/>
    <w:rsid w:val="000E167F"/>
    <w:rsid w:val="000E2CE6"/>
    <w:rsid w:val="000E35F5"/>
    <w:rsid w:val="000E39C2"/>
    <w:rsid w:val="000E3A7E"/>
    <w:rsid w:val="000E6163"/>
    <w:rsid w:val="000F07B4"/>
    <w:rsid w:val="000F1FEB"/>
    <w:rsid w:val="000F32EB"/>
    <w:rsid w:val="000F5195"/>
    <w:rsid w:val="00101A7E"/>
    <w:rsid w:val="00102C0B"/>
    <w:rsid w:val="00103D43"/>
    <w:rsid w:val="00104CDB"/>
    <w:rsid w:val="001063B3"/>
    <w:rsid w:val="00107E39"/>
    <w:rsid w:val="00111408"/>
    <w:rsid w:val="001124E0"/>
    <w:rsid w:val="0011512D"/>
    <w:rsid w:val="00116DA9"/>
    <w:rsid w:val="00116FA0"/>
    <w:rsid w:val="0011774F"/>
    <w:rsid w:val="00120612"/>
    <w:rsid w:val="00121144"/>
    <w:rsid w:val="00121D9E"/>
    <w:rsid w:val="00121F63"/>
    <w:rsid w:val="00122DDF"/>
    <w:rsid w:val="001249F2"/>
    <w:rsid w:val="001253D6"/>
    <w:rsid w:val="00125D3F"/>
    <w:rsid w:val="001263A2"/>
    <w:rsid w:val="00127220"/>
    <w:rsid w:val="00133228"/>
    <w:rsid w:val="00133405"/>
    <w:rsid w:val="00134893"/>
    <w:rsid w:val="00136B06"/>
    <w:rsid w:val="00136FA5"/>
    <w:rsid w:val="00137821"/>
    <w:rsid w:val="00137853"/>
    <w:rsid w:val="00142423"/>
    <w:rsid w:val="00143E3C"/>
    <w:rsid w:val="001440CC"/>
    <w:rsid w:val="00145D87"/>
    <w:rsid w:val="0014615A"/>
    <w:rsid w:val="0014690E"/>
    <w:rsid w:val="00147411"/>
    <w:rsid w:val="001500E5"/>
    <w:rsid w:val="00153045"/>
    <w:rsid w:val="001533FF"/>
    <w:rsid w:val="00153D17"/>
    <w:rsid w:val="00155C9D"/>
    <w:rsid w:val="0015633D"/>
    <w:rsid w:val="0015684F"/>
    <w:rsid w:val="00156D9E"/>
    <w:rsid w:val="001571C9"/>
    <w:rsid w:val="0015767D"/>
    <w:rsid w:val="001608CF"/>
    <w:rsid w:val="00162832"/>
    <w:rsid w:val="0016369D"/>
    <w:rsid w:val="0016463D"/>
    <w:rsid w:val="00164FF9"/>
    <w:rsid w:val="001674B8"/>
    <w:rsid w:val="001674DE"/>
    <w:rsid w:val="00167D52"/>
    <w:rsid w:val="00170324"/>
    <w:rsid w:val="00170803"/>
    <w:rsid w:val="00170C9D"/>
    <w:rsid w:val="00170D18"/>
    <w:rsid w:val="001719BC"/>
    <w:rsid w:val="001723B5"/>
    <w:rsid w:val="00172B72"/>
    <w:rsid w:val="001734BA"/>
    <w:rsid w:val="00173B04"/>
    <w:rsid w:val="00174E5D"/>
    <w:rsid w:val="001758A1"/>
    <w:rsid w:val="00176007"/>
    <w:rsid w:val="001766BA"/>
    <w:rsid w:val="00176AAF"/>
    <w:rsid w:val="00176E73"/>
    <w:rsid w:val="0018174D"/>
    <w:rsid w:val="001823E7"/>
    <w:rsid w:val="001828D5"/>
    <w:rsid w:val="00182DCE"/>
    <w:rsid w:val="00183C4B"/>
    <w:rsid w:val="00183F0A"/>
    <w:rsid w:val="00184A72"/>
    <w:rsid w:val="0018580A"/>
    <w:rsid w:val="00185D39"/>
    <w:rsid w:val="00186C2D"/>
    <w:rsid w:val="00187C86"/>
    <w:rsid w:val="00190D1F"/>
    <w:rsid w:val="00191E9C"/>
    <w:rsid w:val="00192EF5"/>
    <w:rsid w:val="001937C4"/>
    <w:rsid w:val="00193AA4"/>
    <w:rsid w:val="001945CB"/>
    <w:rsid w:val="001961DB"/>
    <w:rsid w:val="001964F3"/>
    <w:rsid w:val="00197205"/>
    <w:rsid w:val="00197A53"/>
    <w:rsid w:val="001A028D"/>
    <w:rsid w:val="001A228E"/>
    <w:rsid w:val="001A5CE7"/>
    <w:rsid w:val="001A5CED"/>
    <w:rsid w:val="001A7928"/>
    <w:rsid w:val="001A7963"/>
    <w:rsid w:val="001A7A7F"/>
    <w:rsid w:val="001B01E0"/>
    <w:rsid w:val="001B08DE"/>
    <w:rsid w:val="001B0A7D"/>
    <w:rsid w:val="001B1093"/>
    <w:rsid w:val="001B1834"/>
    <w:rsid w:val="001B2024"/>
    <w:rsid w:val="001B4FFA"/>
    <w:rsid w:val="001B539F"/>
    <w:rsid w:val="001C062D"/>
    <w:rsid w:val="001C0DC7"/>
    <w:rsid w:val="001C26E5"/>
    <w:rsid w:val="001C4802"/>
    <w:rsid w:val="001C539E"/>
    <w:rsid w:val="001C672F"/>
    <w:rsid w:val="001C7A06"/>
    <w:rsid w:val="001D0ACF"/>
    <w:rsid w:val="001D2A62"/>
    <w:rsid w:val="001D2BF0"/>
    <w:rsid w:val="001D2E6B"/>
    <w:rsid w:val="001D30D3"/>
    <w:rsid w:val="001D38D2"/>
    <w:rsid w:val="001D6170"/>
    <w:rsid w:val="001D66EE"/>
    <w:rsid w:val="001D787E"/>
    <w:rsid w:val="001E05E9"/>
    <w:rsid w:val="001E0B88"/>
    <w:rsid w:val="001E0CDD"/>
    <w:rsid w:val="001E1F8A"/>
    <w:rsid w:val="001E2896"/>
    <w:rsid w:val="001E41D1"/>
    <w:rsid w:val="001E4BA5"/>
    <w:rsid w:val="001E53E0"/>
    <w:rsid w:val="001E7D4C"/>
    <w:rsid w:val="001F0F2A"/>
    <w:rsid w:val="001F1010"/>
    <w:rsid w:val="001F10D5"/>
    <w:rsid w:val="001F119F"/>
    <w:rsid w:val="001F15AD"/>
    <w:rsid w:val="001F22A2"/>
    <w:rsid w:val="001F4DF3"/>
    <w:rsid w:val="001F5401"/>
    <w:rsid w:val="001F5A28"/>
    <w:rsid w:val="001F7A7A"/>
    <w:rsid w:val="002001E5"/>
    <w:rsid w:val="002003CA"/>
    <w:rsid w:val="00203926"/>
    <w:rsid w:val="0020462F"/>
    <w:rsid w:val="00204FDC"/>
    <w:rsid w:val="00206416"/>
    <w:rsid w:val="002120EF"/>
    <w:rsid w:val="002121FF"/>
    <w:rsid w:val="00212DD9"/>
    <w:rsid w:val="00213076"/>
    <w:rsid w:val="00215A75"/>
    <w:rsid w:val="00221650"/>
    <w:rsid w:val="0022468D"/>
    <w:rsid w:val="00225025"/>
    <w:rsid w:val="00226C39"/>
    <w:rsid w:val="0023211A"/>
    <w:rsid w:val="00232245"/>
    <w:rsid w:val="00235028"/>
    <w:rsid w:val="002358F3"/>
    <w:rsid w:val="002370C7"/>
    <w:rsid w:val="00237355"/>
    <w:rsid w:val="00243384"/>
    <w:rsid w:val="00243A36"/>
    <w:rsid w:val="0024406D"/>
    <w:rsid w:val="002442B2"/>
    <w:rsid w:val="00245430"/>
    <w:rsid w:val="002454F5"/>
    <w:rsid w:val="002459BE"/>
    <w:rsid w:val="0024656B"/>
    <w:rsid w:val="00246ACA"/>
    <w:rsid w:val="00246E19"/>
    <w:rsid w:val="00247096"/>
    <w:rsid w:val="00250862"/>
    <w:rsid w:val="0025342E"/>
    <w:rsid w:val="002536D6"/>
    <w:rsid w:val="00255534"/>
    <w:rsid w:val="00260BD5"/>
    <w:rsid w:val="00261DAE"/>
    <w:rsid w:val="00261F01"/>
    <w:rsid w:val="00264249"/>
    <w:rsid w:val="002644D0"/>
    <w:rsid w:val="00265002"/>
    <w:rsid w:val="00265658"/>
    <w:rsid w:val="0026757E"/>
    <w:rsid w:val="00267DAD"/>
    <w:rsid w:val="00270C6F"/>
    <w:rsid w:val="00271CD6"/>
    <w:rsid w:val="0027447F"/>
    <w:rsid w:val="002754F7"/>
    <w:rsid w:val="0027587C"/>
    <w:rsid w:val="0027594C"/>
    <w:rsid w:val="002760CA"/>
    <w:rsid w:val="0027721D"/>
    <w:rsid w:val="00277DD4"/>
    <w:rsid w:val="00277EFA"/>
    <w:rsid w:val="0028044C"/>
    <w:rsid w:val="00280515"/>
    <w:rsid w:val="002810A1"/>
    <w:rsid w:val="00281AB4"/>
    <w:rsid w:val="00282075"/>
    <w:rsid w:val="002823F7"/>
    <w:rsid w:val="00282835"/>
    <w:rsid w:val="002830CF"/>
    <w:rsid w:val="0028332B"/>
    <w:rsid w:val="00283EB4"/>
    <w:rsid w:val="00284966"/>
    <w:rsid w:val="0028648D"/>
    <w:rsid w:val="00290B5C"/>
    <w:rsid w:val="00291752"/>
    <w:rsid w:val="00291DEF"/>
    <w:rsid w:val="00291FAD"/>
    <w:rsid w:val="00292417"/>
    <w:rsid w:val="00292B97"/>
    <w:rsid w:val="002940B8"/>
    <w:rsid w:val="00297841"/>
    <w:rsid w:val="002A0B0D"/>
    <w:rsid w:val="002A0FEB"/>
    <w:rsid w:val="002A1EB0"/>
    <w:rsid w:val="002A2131"/>
    <w:rsid w:val="002A3C43"/>
    <w:rsid w:val="002A3FFD"/>
    <w:rsid w:val="002A40B2"/>
    <w:rsid w:val="002A6C56"/>
    <w:rsid w:val="002B0B76"/>
    <w:rsid w:val="002B1690"/>
    <w:rsid w:val="002B1767"/>
    <w:rsid w:val="002B25B1"/>
    <w:rsid w:val="002B3E38"/>
    <w:rsid w:val="002B4498"/>
    <w:rsid w:val="002B4521"/>
    <w:rsid w:val="002B63E5"/>
    <w:rsid w:val="002B6CC7"/>
    <w:rsid w:val="002B6D18"/>
    <w:rsid w:val="002B7F01"/>
    <w:rsid w:val="002C0114"/>
    <w:rsid w:val="002C02C7"/>
    <w:rsid w:val="002C09E6"/>
    <w:rsid w:val="002C2121"/>
    <w:rsid w:val="002C2816"/>
    <w:rsid w:val="002C3129"/>
    <w:rsid w:val="002C3216"/>
    <w:rsid w:val="002C3627"/>
    <w:rsid w:val="002C5A38"/>
    <w:rsid w:val="002C6AAD"/>
    <w:rsid w:val="002D0AF1"/>
    <w:rsid w:val="002D1896"/>
    <w:rsid w:val="002D606D"/>
    <w:rsid w:val="002D6F7B"/>
    <w:rsid w:val="002D77CD"/>
    <w:rsid w:val="002D7C61"/>
    <w:rsid w:val="002E0E2D"/>
    <w:rsid w:val="002E1ABF"/>
    <w:rsid w:val="002E39D9"/>
    <w:rsid w:val="002E51EA"/>
    <w:rsid w:val="002E5CE8"/>
    <w:rsid w:val="002E5F2A"/>
    <w:rsid w:val="002E66B6"/>
    <w:rsid w:val="002E6E63"/>
    <w:rsid w:val="002E76AA"/>
    <w:rsid w:val="002F0567"/>
    <w:rsid w:val="002F2304"/>
    <w:rsid w:val="002F23CA"/>
    <w:rsid w:val="002F293F"/>
    <w:rsid w:val="002F5BD4"/>
    <w:rsid w:val="002F6547"/>
    <w:rsid w:val="002F67F5"/>
    <w:rsid w:val="002F6D66"/>
    <w:rsid w:val="002F6DDF"/>
    <w:rsid w:val="002F6E1F"/>
    <w:rsid w:val="00300B3B"/>
    <w:rsid w:val="00300D1B"/>
    <w:rsid w:val="00302920"/>
    <w:rsid w:val="003035B1"/>
    <w:rsid w:val="00305944"/>
    <w:rsid w:val="00307F49"/>
    <w:rsid w:val="0031094C"/>
    <w:rsid w:val="003136C9"/>
    <w:rsid w:val="00313961"/>
    <w:rsid w:val="003142CB"/>
    <w:rsid w:val="00314F53"/>
    <w:rsid w:val="00315681"/>
    <w:rsid w:val="00315F4C"/>
    <w:rsid w:val="00316443"/>
    <w:rsid w:val="00317111"/>
    <w:rsid w:val="003226B1"/>
    <w:rsid w:val="00323728"/>
    <w:rsid w:val="00324278"/>
    <w:rsid w:val="00324B10"/>
    <w:rsid w:val="0032608C"/>
    <w:rsid w:val="0032624A"/>
    <w:rsid w:val="003314F0"/>
    <w:rsid w:val="003317C5"/>
    <w:rsid w:val="00333BC9"/>
    <w:rsid w:val="00333FCA"/>
    <w:rsid w:val="00335083"/>
    <w:rsid w:val="003379C6"/>
    <w:rsid w:val="0034176F"/>
    <w:rsid w:val="00341E40"/>
    <w:rsid w:val="00342142"/>
    <w:rsid w:val="0034345D"/>
    <w:rsid w:val="0034346B"/>
    <w:rsid w:val="00343FED"/>
    <w:rsid w:val="003446F6"/>
    <w:rsid w:val="00345678"/>
    <w:rsid w:val="0034665C"/>
    <w:rsid w:val="00346E5C"/>
    <w:rsid w:val="003476A9"/>
    <w:rsid w:val="00351207"/>
    <w:rsid w:val="003522FF"/>
    <w:rsid w:val="003523EB"/>
    <w:rsid w:val="00355361"/>
    <w:rsid w:val="003556BF"/>
    <w:rsid w:val="00356127"/>
    <w:rsid w:val="00360078"/>
    <w:rsid w:val="00360366"/>
    <w:rsid w:val="0036068E"/>
    <w:rsid w:val="00360E97"/>
    <w:rsid w:val="00363311"/>
    <w:rsid w:val="00363B81"/>
    <w:rsid w:val="00363BF7"/>
    <w:rsid w:val="00364A9D"/>
    <w:rsid w:val="0036502C"/>
    <w:rsid w:val="003749D8"/>
    <w:rsid w:val="0037542D"/>
    <w:rsid w:val="00375BB2"/>
    <w:rsid w:val="003764D4"/>
    <w:rsid w:val="00380C8E"/>
    <w:rsid w:val="00381FC4"/>
    <w:rsid w:val="003829C0"/>
    <w:rsid w:val="00383EB6"/>
    <w:rsid w:val="00384013"/>
    <w:rsid w:val="00385B57"/>
    <w:rsid w:val="00386295"/>
    <w:rsid w:val="003862F7"/>
    <w:rsid w:val="003866EB"/>
    <w:rsid w:val="0038792C"/>
    <w:rsid w:val="003902B7"/>
    <w:rsid w:val="00392661"/>
    <w:rsid w:val="003926AC"/>
    <w:rsid w:val="00393491"/>
    <w:rsid w:val="00394778"/>
    <w:rsid w:val="0039587B"/>
    <w:rsid w:val="003962B4"/>
    <w:rsid w:val="003974C2"/>
    <w:rsid w:val="003A0C39"/>
    <w:rsid w:val="003A0DE3"/>
    <w:rsid w:val="003A189B"/>
    <w:rsid w:val="003A1B5B"/>
    <w:rsid w:val="003A27E7"/>
    <w:rsid w:val="003A293A"/>
    <w:rsid w:val="003A336C"/>
    <w:rsid w:val="003A427B"/>
    <w:rsid w:val="003A4D99"/>
    <w:rsid w:val="003A503A"/>
    <w:rsid w:val="003A524E"/>
    <w:rsid w:val="003A6B48"/>
    <w:rsid w:val="003A77D6"/>
    <w:rsid w:val="003B0B41"/>
    <w:rsid w:val="003B3412"/>
    <w:rsid w:val="003B4085"/>
    <w:rsid w:val="003B52C8"/>
    <w:rsid w:val="003B5D2E"/>
    <w:rsid w:val="003B5EA0"/>
    <w:rsid w:val="003B7687"/>
    <w:rsid w:val="003C09B6"/>
    <w:rsid w:val="003C1DFC"/>
    <w:rsid w:val="003C439C"/>
    <w:rsid w:val="003C52EB"/>
    <w:rsid w:val="003C61A0"/>
    <w:rsid w:val="003C7160"/>
    <w:rsid w:val="003C78DE"/>
    <w:rsid w:val="003D027A"/>
    <w:rsid w:val="003D33C5"/>
    <w:rsid w:val="003D41FA"/>
    <w:rsid w:val="003D56E0"/>
    <w:rsid w:val="003D6156"/>
    <w:rsid w:val="003D7944"/>
    <w:rsid w:val="003E0B49"/>
    <w:rsid w:val="003E2C02"/>
    <w:rsid w:val="003E2F50"/>
    <w:rsid w:val="003E34D6"/>
    <w:rsid w:val="003E5630"/>
    <w:rsid w:val="003E60C3"/>
    <w:rsid w:val="003E724A"/>
    <w:rsid w:val="003E7E42"/>
    <w:rsid w:val="003F2AAE"/>
    <w:rsid w:val="003F4837"/>
    <w:rsid w:val="003F4A53"/>
    <w:rsid w:val="003F4E82"/>
    <w:rsid w:val="003F719C"/>
    <w:rsid w:val="003F7CC4"/>
    <w:rsid w:val="004029FA"/>
    <w:rsid w:val="0040356F"/>
    <w:rsid w:val="00403600"/>
    <w:rsid w:val="0040374A"/>
    <w:rsid w:val="00403937"/>
    <w:rsid w:val="00404739"/>
    <w:rsid w:val="0040585A"/>
    <w:rsid w:val="00406571"/>
    <w:rsid w:val="00407045"/>
    <w:rsid w:val="00410279"/>
    <w:rsid w:val="00410984"/>
    <w:rsid w:val="00410E4B"/>
    <w:rsid w:val="00410FD2"/>
    <w:rsid w:val="00411E31"/>
    <w:rsid w:val="004127CC"/>
    <w:rsid w:val="00415D68"/>
    <w:rsid w:val="004162C7"/>
    <w:rsid w:val="00416A8B"/>
    <w:rsid w:val="00416AA1"/>
    <w:rsid w:val="004173EB"/>
    <w:rsid w:val="0042051D"/>
    <w:rsid w:val="00421070"/>
    <w:rsid w:val="004220E1"/>
    <w:rsid w:val="00422489"/>
    <w:rsid w:val="00425CE1"/>
    <w:rsid w:val="0042626B"/>
    <w:rsid w:val="00426351"/>
    <w:rsid w:val="00426373"/>
    <w:rsid w:val="0042676F"/>
    <w:rsid w:val="00426C41"/>
    <w:rsid w:val="00427E97"/>
    <w:rsid w:val="00430225"/>
    <w:rsid w:val="004322ED"/>
    <w:rsid w:val="00432678"/>
    <w:rsid w:val="004335A5"/>
    <w:rsid w:val="004341D8"/>
    <w:rsid w:val="00434752"/>
    <w:rsid w:val="00434B60"/>
    <w:rsid w:val="004350D6"/>
    <w:rsid w:val="00435DCA"/>
    <w:rsid w:val="00435EEA"/>
    <w:rsid w:val="00436459"/>
    <w:rsid w:val="00436588"/>
    <w:rsid w:val="004367F2"/>
    <w:rsid w:val="00437042"/>
    <w:rsid w:val="00437232"/>
    <w:rsid w:val="004372DE"/>
    <w:rsid w:val="00437E4C"/>
    <w:rsid w:val="004406BD"/>
    <w:rsid w:val="00443033"/>
    <w:rsid w:val="00443AAC"/>
    <w:rsid w:val="004445CD"/>
    <w:rsid w:val="00445601"/>
    <w:rsid w:val="004465F1"/>
    <w:rsid w:val="00447240"/>
    <w:rsid w:val="004472E3"/>
    <w:rsid w:val="00447456"/>
    <w:rsid w:val="0044768D"/>
    <w:rsid w:val="00450FBC"/>
    <w:rsid w:val="004516D0"/>
    <w:rsid w:val="00451820"/>
    <w:rsid w:val="004540D3"/>
    <w:rsid w:val="00454B58"/>
    <w:rsid w:val="00455834"/>
    <w:rsid w:val="00457B00"/>
    <w:rsid w:val="00460030"/>
    <w:rsid w:val="00460452"/>
    <w:rsid w:val="004606DA"/>
    <w:rsid w:val="00460B6F"/>
    <w:rsid w:val="00461512"/>
    <w:rsid w:val="00462775"/>
    <w:rsid w:val="00463086"/>
    <w:rsid w:val="00463E80"/>
    <w:rsid w:val="00464E11"/>
    <w:rsid w:val="004669DC"/>
    <w:rsid w:val="00467233"/>
    <w:rsid w:val="00467BEE"/>
    <w:rsid w:val="00467CEC"/>
    <w:rsid w:val="0047085D"/>
    <w:rsid w:val="00471231"/>
    <w:rsid w:val="00471236"/>
    <w:rsid w:val="004715C9"/>
    <w:rsid w:val="00471A89"/>
    <w:rsid w:val="00472520"/>
    <w:rsid w:val="00472F3D"/>
    <w:rsid w:val="00474A2F"/>
    <w:rsid w:val="00474D71"/>
    <w:rsid w:val="004838C4"/>
    <w:rsid w:val="00483961"/>
    <w:rsid w:val="00485342"/>
    <w:rsid w:val="00485B62"/>
    <w:rsid w:val="00490750"/>
    <w:rsid w:val="00491B84"/>
    <w:rsid w:val="00491F39"/>
    <w:rsid w:val="0049386B"/>
    <w:rsid w:val="00493AEB"/>
    <w:rsid w:val="00493B44"/>
    <w:rsid w:val="00493CEC"/>
    <w:rsid w:val="00494B9D"/>
    <w:rsid w:val="0049540B"/>
    <w:rsid w:val="004A2700"/>
    <w:rsid w:val="004A3862"/>
    <w:rsid w:val="004A3934"/>
    <w:rsid w:val="004A3DCA"/>
    <w:rsid w:val="004A59E9"/>
    <w:rsid w:val="004A7103"/>
    <w:rsid w:val="004A78BF"/>
    <w:rsid w:val="004B052B"/>
    <w:rsid w:val="004B0E1F"/>
    <w:rsid w:val="004B389C"/>
    <w:rsid w:val="004B40FA"/>
    <w:rsid w:val="004B60B5"/>
    <w:rsid w:val="004B682C"/>
    <w:rsid w:val="004B6BAD"/>
    <w:rsid w:val="004C014B"/>
    <w:rsid w:val="004C0382"/>
    <w:rsid w:val="004C07B7"/>
    <w:rsid w:val="004C1FEC"/>
    <w:rsid w:val="004C2938"/>
    <w:rsid w:val="004C2AA5"/>
    <w:rsid w:val="004C30EA"/>
    <w:rsid w:val="004C341E"/>
    <w:rsid w:val="004C4AB9"/>
    <w:rsid w:val="004C7624"/>
    <w:rsid w:val="004C7E74"/>
    <w:rsid w:val="004D0359"/>
    <w:rsid w:val="004D0970"/>
    <w:rsid w:val="004D109C"/>
    <w:rsid w:val="004D15C6"/>
    <w:rsid w:val="004D1BBD"/>
    <w:rsid w:val="004D22D0"/>
    <w:rsid w:val="004D2769"/>
    <w:rsid w:val="004D4ACE"/>
    <w:rsid w:val="004D4FD5"/>
    <w:rsid w:val="004D51D8"/>
    <w:rsid w:val="004E07A2"/>
    <w:rsid w:val="004E300E"/>
    <w:rsid w:val="004E3536"/>
    <w:rsid w:val="004E612C"/>
    <w:rsid w:val="004E62F7"/>
    <w:rsid w:val="004E6526"/>
    <w:rsid w:val="004E7095"/>
    <w:rsid w:val="004E7153"/>
    <w:rsid w:val="004E7434"/>
    <w:rsid w:val="004E79E6"/>
    <w:rsid w:val="004F09CB"/>
    <w:rsid w:val="004F1474"/>
    <w:rsid w:val="004F33FC"/>
    <w:rsid w:val="004F3434"/>
    <w:rsid w:val="004F5214"/>
    <w:rsid w:val="004F55D3"/>
    <w:rsid w:val="004F583F"/>
    <w:rsid w:val="004F5D6D"/>
    <w:rsid w:val="004F6188"/>
    <w:rsid w:val="004F64E4"/>
    <w:rsid w:val="004F67F1"/>
    <w:rsid w:val="004F6883"/>
    <w:rsid w:val="004F71A1"/>
    <w:rsid w:val="005003D2"/>
    <w:rsid w:val="00500743"/>
    <w:rsid w:val="005036C1"/>
    <w:rsid w:val="00506A12"/>
    <w:rsid w:val="00507F35"/>
    <w:rsid w:val="00511F60"/>
    <w:rsid w:val="00511FDC"/>
    <w:rsid w:val="0051235D"/>
    <w:rsid w:val="00512DF7"/>
    <w:rsid w:val="00514383"/>
    <w:rsid w:val="00514699"/>
    <w:rsid w:val="00514736"/>
    <w:rsid w:val="00514CCF"/>
    <w:rsid w:val="005152C5"/>
    <w:rsid w:val="00517613"/>
    <w:rsid w:val="00520EFD"/>
    <w:rsid w:val="00521FEF"/>
    <w:rsid w:val="0052260E"/>
    <w:rsid w:val="0052310C"/>
    <w:rsid w:val="00525E57"/>
    <w:rsid w:val="00526360"/>
    <w:rsid w:val="00527C2B"/>
    <w:rsid w:val="005312DF"/>
    <w:rsid w:val="00531BEB"/>
    <w:rsid w:val="00535178"/>
    <w:rsid w:val="0053519A"/>
    <w:rsid w:val="00537826"/>
    <w:rsid w:val="00540110"/>
    <w:rsid w:val="00540734"/>
    <w:rsid w:val="005421EB"/>
    <w:rsid w:val="0054509E"/>
    <w:rsid w:val="00545B11"/>
    <w:rsid w:val="0054626C"/>
    <w:rsid w:val="005472A8"/>
    <w:rsid w:val="005520B0"/>
    <w:rsid w:val="00553295"/>
    <w:rsid w:val="00555BC8"/>
    <w:rsid w:val="005577AD"/>
    <w:rsid w:val="0056144B"/>
    <w:rsid w:val="005620B5"/>
    <w:rsid w:val="005625E7"/>
    <w:rsid w:val="00563C9F"/>
    <w:rsid w:val="0056478F"/>
    <w:rsid w:val="00565849"/>
    <w:rsid w:val="005663CE"/>
    <w:rsid w:val="00566E17"/>
    <w:rsid w:val="00566F08"/>
    <w:rsid w:val="00567E4B"/>
    <w:rsid w:val="005708D7"/>
    <w:rsid w:val="005714A4"/>
    <w:rsid w:val="00571EDB"/>
    <w:rsid w:val="005725F2"/>
    <w:rsid w:val="00572802"/>
    <w:rsid w:val="005738FE"/>
    <w:rsid w:val="00573DF5"/>
    <w:rsid w:val="00574EF5"/>
    <w:rsid w:val="00574F01"/>
    <w:rsid w:val="00576ADA"/>
    <w:rsid w:val="005772C8"/>
    <w:rsid w:val="00577916"/>
    <w:rsid w:val="00577E72"/>
    <w:rsid w:val="00580132"/>
    <w:rsid w:val="005805BF"/>
    <w:rsid w:val="00580F6F"/>
    <w:rsid w:val="0058149F"/>
    <w:rsid w:val="00581FE1"/>
    <w:rsid w:val="00584908"/>
    <w:rsid w:val="00584A5E"/>
    <w:rsid w:val="00584D22"/>
    <w:rsid w:val="00585917"/>
    <w:rsid w:val="00586A7A"/>
    <w:rsid w:val="00586E99"/>
    <w:rsid w:val="005870B3"/>
    <w:rsid w:val="005873EE"/>
    <w:rsid w:val="00590462"/>
    <w:rsid w:val="00591663"/>
    <w:rsid w:val="00592D13"/>
    <w:rsid w:val="005931F0"/>
    <w:rsid w:val="00593BFE"/>
    <w:rsid w:val="00593F83"/>
    <w:rsid w:val="00594F82"/>
    <w:rsid w:val="00595631"/>
    <w:rsid w:val="005957AB"/>
    <w:rsid w:val="00595B04"/>
    <w:rsid w:val="00597755"/>
    <w:rsid w:val="005A0726"/>
    <w:rsid w:val="005A1433"/>
    <w:rsid w:val="005A211E"/>
    <w:rsid w:val="005A40C2"/>
    <w:rsid w:val="005A4320"/>
    <w:rsid w:val="005A5AB1"/>
    <w:rsid w:val="005A6057"/>
    <w:rsid w:val="005A6967"/>
    <w:rsid w:val="005A6979"/>
    <w:rsid w:val="005B032D"/>
    <w:rsid w:val="005B059D"/>
    <w:rsid w:val="005B07E7"/>
    <w:rsid w:val="005B23B0"/>
    <w:rsid w:val="005B54B5"/>
    <w:rsid w:val="005B62C5"/>
    <w:rsid w:val="005B639F"/>
    <w:rsid w:val="005B71AA"/>
    <w:rsid w:val="005B78D3"/>
    <w:rsid w:val="005C02D0"/>
    <w:rsid w:val="005C182F"/>
    <w:rsid w:val="005C2CCB"/>
    <w:rsid w:val="005C35D8"/>
    <w:rsid w:val="005C519C"/>
    <w:rsid w:val="005C57D6"/>
    <w:rsid w:val="005C70B0"/>
    <w:rsid w:val="005C757B"/>
    <w:rsid w:val="005D02AB"/>
    <w:rsid w:val="005D2231"/>
    <w:rsid w:val="005D275B"/>
    <w:rsid w:val="005D28BF"/>
    <w:rsid w:val="005D37C6"/>
    <w:rsid w:val="005D4069"/>
    <w:rsid w:val="005D4245"/>
    <w:rsid w:val="005D5134"/>
    <w:rsid w:val="005D5533"/>
    <w:rsid w:val="005D623F"/>
    <w:rsid w:val="005D7AA9"/>
    <w:rsid w:val="005E0F58"/>
    <w:rsid w:val="005E1D1A"/>
    <w:rsid w:val="005E3AE4"/>
    <w:rsid w:val="005E3F87"/>
    <w:rsid w:val="005E4318"/>
    <w:rsid w:val="005E4339"/>
    <w:rsid w:val="005E487E"/>
    <w:rsid w:val="005E7926"/>
    <w:rsid w:val="005F07F7"/>
    <w:rsid w:val="005F0D49"/>
    <w:rsid w:val="005F2A42"/>
    <w:rsid w:val="005F353C"/>
    <w:rsid w:val="005F5E7C"/>
    <w:rsid w:val="005F6933"/>
    <w:rsid w:val="0060069D"/>
    <w:rsid w:val="00601B96"/>
    <w:rsid w:val="00602C5B"/>
    <w:rsid w:val="0060560B"/>
    <w:rsid w:val="00606711"/>
    <w:rsid w:val="006102DB"/>
    <w:rsid w:val="00611AE2"/>
    <w:rsid w:val="00613477"/>
    <w:rsid w:val="00613620"/>
    <w:rsid w:val="00613A28"/>
    <w:rsid w:val="00613F6B"/>
    <w:rsid w:val="0061551A"/>
    <w:rsid w:val="006178E1"/>
    <w:rsid w:val="00620374"/>
    <w:rsid w:val="00621B5B"/>
    <w:rsid w:val="00622533"/>
    <w:rsid w:val="00622823"/>
    <w:rsid w:val="00622C94"/>
    <w:rsid w:val="0062358E"/>
    <w:rsid w:val="00623AC1"/>
    <w:rsid w:val="006269E7"/>
    <w:rsid w:val="00627E58"/>
    <w:rsid w:val="00630614"/>
    <w:rsid w:val="00630945"/>
    <w:rsid w:val="00633D99"/>
    <w:rsid w:val="00637151"/>
    <w:rsid w:val="006377EB"/>
    <w:rsid w:val="00642A01"/>
    <w:rsid w:val="00643274"/>
    <w:rsid w:val="00646634"/>
    <w:rsid w:val="00646ECF"/>
    <w:rsid w:val="00650EFE"/>
    <w:rsid w:val="00652B71"/>
    <w:rsid w:val="0065349B"/>
    <w:rsid w:val="00653923"/>
    <w:rsid w:val="00653D50"/>
    <w:rsid w:val="006541B5"/>
    <w:rsid w:val="0065455B"/>
    <w:rsid w:val="006545A6"/>
    <w:rsid w:val="006547B7"/>
    <w:rsid w:val="006616B2"/>
    <w:rsid w:val="006650CE"/>
    <w:rsid w:val="00667580"/>
    <w:rsid w:val="0067067C"/>
    <w:rsid w:val="006709E2"/>
    <w:rsid w:val="00670FFB"/>
    <w:rsid w:val="00672B25"/>
    <w:rsid w:val="00673E38"/>
    <w:rsid w:val="006746CA"/>
    <w:rsid w:val="006762CB"/>
    <w:rsid w:val="00676B65"/>
    <w:rsid w:val="00680D8F"/>
    <w:rsid w:val="00681CBF"/>
    <w:rsid w:val="00681D2E"/>
    <w:rsid w:val="00682FD0"/>
    <w:rsid w:val="006840BF"/>
    <w:rsid w:val="00686633"/>
    <w:rsid w:val="00687267"/>
    <w:rsid w:val="00687F6D"/>
    <w:rsid w:val="0069171E"/>
    <w:rsid w:val="00694240"/>
    <w:rsid w:val="00694C50"/>
    <w:rsid w:val="00695787"/>
    <w:rsid w:val="00695EFF"/>
    <w:rsid w:val="006962B9"/>
    <w:rsid w:val="00696621"/>
    <w:rsid w:val="0069747C"/>
    <w:rsid w:val="00697706"/>
    <w:rsid w:val="006A0004"/>
    <w:rsid w:val="006A020E"/>
    <w:rsid w:val="006A0AA4"/>
    <w:rsid w:val="006A16FE"/>
    <w:rsid w:val="006A3323"/>
    <w:rsid w:val="006A3C3B"/>
    <w:rsid w:val="006A5642"/>
    <w:rsid w:val="006B05B1"/>
    <w:rsid w:val="006B06E8"/>
    <w:rsid w:val="006B08AC"/>
    <w:rsid w:val="006B0DC2"/>
    <w:rsid w:val="006B0F56"/>
    <w:rsid w:val="006B1E79"/>
    <w:rsid w:val="006B2C40"/>
    <w:rsid w:val="006B3B43"/>
    <w:rsid w:val="006B44C2"/>
    <w:rsid w:val="006B57DC"/>
    <w:rsid w:val="006B638D"/>
    <w:rsid w:val="006B7931"/>
    <w:rsid w:val="006C0207"/>
    <w:rsid w:val="006C0D14"/>
    <w:rsid w:val="006C2EC9"/>
    <w:rsid w:val="006C3633"/>
    <w:rsid w:val="006C3B26"/>
    <w:rsid w:val="006C4177"/>
    <w:rsid w:val="006C44D9"/>
    <w:rsid w:val="006C51A9"/>
    <w:rsid w:val="006C5654"/>
    <w:rsid w:val="006C5C30"/>
    <w:rsid w:val="006C608B"/>
    <w:rsid w:val="006C6A57"/>
    <w:rsid w:val="006C73DE"/>
    <w:rsid w:val="006D0070"/>
    <w:rsid w:val="006D0DAE"/>
    <w:rsid w:val="006D1420"/>
    <w:rsid w:val="006D16CB"/>
    <w:rsid w:val="006D1DF6"/>
    <w:rsid w:val="006D340A"/>
    <w:rsid w:val="006D4816"/>
    <w:rsid w:val="006D6004"/>
    <w:rsid w:val="006D7CE7"/>
    <w:rsid w:val="006E1070"/>
    <w:rsid w:val="006E1A1A"/>
    <w:rsid w:val="006E1DF8"/>
    <w:rsid w:val="006E1E5C"/>
    <w:rsid w:val="006E3173"/>
    <w:rsid w:val="006E331E"/>
    <w:rsid w:val="006E47DC"/>
    <w:rsid w:val="006E4E18"/>
    <w:rsid w:val="006E4F78"/>
    <w:rsid w:val="006F0459"/>
    <w:rsid w:val="006F05B2"/>
    <w:rsid w:val="006F1650"/>
    <w:rsid w:val="006F1C00"/>
    <w:rsid w:val="006F261F"/>
    <w:rsid w:val="006F2B23"/>
    <w:rsid w:val="006F2B9F"/>
    <w:rsid w:val="006F3AF0"/>
    <w:rsid w:val="006F4512"/>
    <w:rsid w:val="006F577D"/>
    <w:rsid w:val="006F5B41"/>
    <w:rsid w:val="006F7AB4"/>
    <w:rsid w:val="006F7CED"/>
    <w:rsid w:val="00700289"/>
    <w:rsid w:val="00700445"/>
    <w:rsid w:val="007007FC"/>
    <w:rsid w:val="00700BF7"/>
    <w:rsid w:val="00700E71"/>
    <w:rsid w:val="0070143D"/>
    <w:rsid w:val="00701C62"/>
    <w:rsid w:val="00703C30"/>
    <w:rsid w:val="007048B2"/>
    <w:rsid w:val="00704E75"/>
    <w:rsid w:val="0070501E"/>
    <w:rsid w:val="00706BDC"/>
    <w:rsid w:val="007103B4"/>
    <w:rsid w:val="007118DD"/>
    <w:rsid w:val="0071283C"/>
    <w:rsid w:val="00712870"/>
    <w:rsid w:val="00713B12"/>
    <w:rsid w:val="00715836"/>
    <w:rsid w:val="00717939"/>
    <w:rsid w:val="007179C7"/>
    <w:rsid w:val="00722DAB"/>
    <w:rsid w:val="00722FF3"/>
    <w:rsid w:val="00723914"/>
    <w:rsid w:val="00724B6B"/>
    <w:rsid w:val="00726657"/>
    <w:rsid w:val="007273D3"/>
    <w:rsid w:val="00730162"/>
    <w:rsid w:val="00730459"/>
    <w:rsid w:val="00732B0A"/>
    <w:rsid w:val="007356D2"/>
    <w:rsid w:val="00736C2F"/>
    <w:rsid w:val="007370C3"/>
    <w:rsid w:val="007370D3"/>
    <w:rsid w:val="00740379"/>
    <w:rsid w:val="00740405"/>
    <w:rsid w:val="00741132"/>
    <w:rsid w:val="00741D1C"/>
    <w:rsid w:val="00742CCC"/>
    <w:rsid w:val="00743736"/>
    <w:rsid w:val="00744718"/>
    <w:rsid w:val="00745601"/>
    <w:rsid w:val="00746BBB"/>
    <w:rsid w:val="00750060"/>
    <w:rsid w:val="00750B32"/>
    <w:rsid w:val="00750C8B"/>
    <w:rsid w:val="00752C20"/>
    <w:rsid w:val="00752E4F"/>
    <w:rsid w:val="00753598"/>
    <w:rsid w:val="00753F7A"/>
    <w:rsid w:val="00755147"/>
    <w:rsid w:val="00755735"/>
    <w:rsid w:val="00755D7D"/>
    <w:rsid w:val="007575D0"/>
    <w:rsid w:val="00760325"/>
    <w:rsid w:val="00760532"/>
    <w:rsid w:val="007609D9"/>
    <w:rsid w:val="00760E32"/>
    <w:rsid w:val="0076392B"/>
    <w:rsid w:val="007655D5"/>
    <w:rsid w:val="00766368"/>
    <w:rsid w:val="00766F20"/>
    <w:rsid w:val="00767C72"/>
    <w:rsid w:val="0077000F"/>
    <w:rsid w:val="0077274D"/>
    <w:rsid w:val="00774784"/>
    <w:rsid w:val="00775904"/>
    <w:rsid w:val="00776B03"/>
    <w:rsid w:val="00776EB7"/>
    <w:rsid w:val="007810D1"/>
    <w:rsid w:val="00784853"/>
    <w:rsid w:val="00785BD8"/>
    <w:rsid w:val="00787671"/>
    <w:rsid w:val="007879CA"/>
    <w:rsid w:val="00790933"/>
    <w:rsid w:val="00790997"/>
    <w:rsid w:val="00791012"/>
    <w:rsid w:val="00791B2B"/>
    <w:rsid w:val="00793D05"/>
    <w:rsid w:val="00795FF9"/>
    <w:rsid w:val="00796A19"/>
    <w:rsid w:val="00796AC6"/>
    <w:rsid w:val="00796E6F"/>
    <w:rsid w:val="007A0270"/>
    <w:rsid w:val="007A2A8C"/>
    <w:rsid w:val="007A3A1D"/>
    <w:rsid w:val="007A4D57"/>
    <w:rsid w:val="007A4F99"/>
    <w:rsid w:val="007A5878"/>
    <w:rsid w:val="007A5C05"/>
    <w:rsid w:val="007A615D"/>
    <w:rsid w:val="007A67CB"/>
    <w:rsid w:val="007A6F82"/>
    <w:rsid w:val="007B1356"/>
    <w:rsid w:val="007B23D9"/>
    <w:rsid w:val="007B4123"/>
    <w:rsid w:val="007B4C34"/>
    <w:rsid w:val="007B6195"/>
    <w:rsid w:val="007B68FA"/>
    <w:rsid w:val="007B7E83"/>
    <w:rsid w:val="007C092C"/>
    <w:rsid w:val="007C1138"/>
    <w:rsid w:val="007C4480"/>
    <w:rsid w:val="007C479A"/>
    <w:rsid w:val="007C4B37"/>
    <w:rsid w:val="007C5BD0"/>
    <w:rsid w:val="007C5EAC"/>
    <w:rsid w:val="007C6340"/>
    <w:rsid w:val="007C6951"/>
    <w:rsid w:val="007C7CB0"/>
    <w:rsid w:val="007C7F6F"/>
    <w:rsid w:val="007D03BD"/>
    <w:rsid w:val="007D47A7"/>
    <w:rsid w:val="007D639E"/>
    <w:rsid w:val="007D72BB"/>
    <w:rsid w:val="007E0236"/>
    <w:rsid w:val="007E0379"/>
    <w:rsid w:val="007E1760"/>
    <w:rsid w:val="007E231D"/>
    <w:rsid w:val="007E27A6"/>
    <w:rsid w:val="007E34E6"/>
    <w:rsid w:val="007E5B0D"/>
    <w:rsid w:val="007E6AA1"/>
    <w:rsid w:val="007E7319"/>
    <w:rsid w:val="007E7C5A"/>
    <w:rsid w:val="007F1810"/>
    <w:rsid w:val="007F25EE"/>
    <w:rsid w:val="007F28FF"/>
    <w:rsid w:val="007F4D6A"/>
    <w:rsid w:val="007F5B58"/>
    <w:rsid w:val="007F6D21"/>
    <w:rsid w:val="007F7C2A"/>
    <w:rsid w:val="00800991"/>
    <w:rsid w:val="00800F99"/>
    <w:rsid w:val="00801009"/>
    <w:rsid w:val="00803124"/>
    <w:rsid w:val="008065FC"/>
    <w:rsid w:val="00806647"/>
    <w:rsid w:val="00806BEC"/>
    <w:rsid w:val="00810460"/>
    <w:rsid w:val="00813BE8"/>
    <w:rsid w:val="00813EEA"/>
    <w:rsid w:val="00813FDB"/>
    <w:rsid w:val="00815D21"/>
    <w:rsid w:val="00820395"/>
    <w:rsid w:val="00821BA6"/>
    <w:rsid w:val="00822239"/>
    <w:rsid w:val="0082354A"/>
    <w:rsid w:val="008252D2"/>
    <w:rsid w:val="0082562A"/>
    <w:rsid w:val="00825AA9"/>
    <w:rsid w:val="00827BB4"/>
    <w:rsid w:val="00830631"/>
    <w:rsid w:val="00830BAC"/>
    <w:rsid w:val="00832EFF"/>
    <w:rsid w:val="00834B7E"/>
    <w:rsid w:val="008351F6"/>
    <w:rsid w:val="0083545A"/>
    <w:rsid w:val="00836292"/>
    <w:rsid w:val="0083798F"/>
    <w:rsid w:val="00837FCD"/>
    <w:rsid w:val="00840792"/>
    <w:rsid w:val="00840915"/>
    <w:rsid w:val="0084123A"/>
    <w:rsid w:val="008427E9"/>
    <w:rsid w:val="00842ECA"/>
    <w:rsid w:val="00842FEA"/>
    <w:rsid w:val="008459AB"/>
    <w:rsid w:val="00845D7B"/>
    <w:rsid w:val="00846A57"/>
    <w:rsid w:val="00846F7B"/>
    <w:rsid w:val="00847E6D"/>
    <w:rsid w:val="00850947"/>
    <w:rsid w:val="00851B04"/>
    <w:rsid w:val="00851F6C"/>
    <w:rsid w:val="0085233B"/>
    <w:rsid w:val="00854B99"/>
    <w:rsid w:val="00855691"/>
    <w:rsid w:val="008618F5"/>
    <w:rsid w:val="0086427D"/>
    <w:rsid w:val="00864D7B"/>
    <w:rsid w:val="00865560"/>
    <w:rsid w:val="00865820"/>
    <w:rsid w:val="00865D11"/>
    <w:rsid w:val="00865D6C"/>
    <w:rsid w:val="0086634F"/>
    <w:rsid w:val="00867EBE"/>
    <w:rsid w:val="00870EEF"/>
    <w:rsid w:val="00871BE0"/>
    <w:rsid w:val="00872EC9"/>
    <w:rsid w:val="00873E8C"/>
    <w:rsid w:val="0087425D"/>
    <w:rsid w:val="00876562"/>
    <w:rsid w:val="00876B4D"/>
    <w:rsid w:val="00877CE6"/>
    <w:rsid w:val="00877F78"/>
    <w:rsid w:val="00881602"/>
    <w:rsid w:val="0088208E"/>
    <w:rsid w:val="00882614"/>
    <w:rsid w:val="00882770"/>
    <w:rsid w:val="008846B7"/>
    <w:rsid w:val="00884CD6"/>
    <w:rsid w:val="00885BB2"/>
    <w:rsid w:val="00890173"/>
    <w:rsid w:val="0089030E"/>
    <w:rsid w:val="008903F8"/>
    <w:rsid w:val="00891491"/>
    <w:rsid w:val="008926BD"/>
    <w:rsid w:val="00892857"/>
    <w:rsid w:val="00895AAB"/>
    <w:rsid w:val="00896038"/>
    <w:rsid w:val="008966CE"/>
    <w:rsid w:val="00896F41"/>
    <w:rsid w:val="0089722B"/>
    <w:rsid w:val="0089795E"/>
    <w:rsid w:val="00897E86"/>
    <w:rsid w:val="00897F46"/>
    <w:rsid w:val="008A160F"/>
    <w:rsid w:val="008A1C51"/>
    <w:rsid w:val="008A29F7"/>
    <w:rsid w:val="008A54FE"/>
    <w:rsid w:val="008A5CDE"/>
    <w:rsid w:val="008A7212"/>
    <w:rsid w:val="008A75C9"/>
    <w:rsid w:val="008B1262"/>
    <w:rsid w:val="008B1390"/>
    <w:rsid w:val="008B153E"/>
    <w:rsid w:val="008B1902"/>
    <w:rsid w:val="008B267B"/>
    <w:rsid w:val="008B2856"/>
    <w:rsid w:val="008B34FD"/>
    <w:rsid w:val="008B61B9"/>
    <w:rsid w:val="008B7EA9"/>
    <w:rsid w:val="008C033F"/>
    <w:rsid w:val="008C1A34"/>
    <w:rsid w:val="008C2A05"/>
    <w:rsid w:val="008C2FE4"/>
    <w:rsid w:val="008C33E3"/>
    <w:rsid w:val="008C35AE"/>
    <w:rsid w:val="008C35DA"/>
    <w:rsid w:val="008C42EE"/>
    <w:rsid w:val="008C4361"/>
    <w:rsid w:val="008C4581"/>
    <w:rsid w:val="008C5001"/>
    <w:rsid w:val="008C7A09"/>
    <w:rsid w:val="008D0303"/>
    <w:rsid w:val="008D0AE1"/>
    <w:rsid w:val="008D0B01"/>
    <w:rsid w:val="008D10A9"/>
    <w:rsid w:val="008D172E"/>
    <w:rsid w:val="008D1D11"/>
    <w:rsid w:val="008D2949"/>
    <w:rsid w:val="008D2ECC"/>
    <w:rsid w:val="008D3EA1"/>
    <w:rsid w:val="008D5B34"/>
    <w:rsid w:val="008D6419"/>
    <w:rsid w:val="008D7BE8"/>
    <w:rsid w:val="008D7D04"/>
    <w:rsid w:val="008E10FA"/>
    <w:rsid w:val="008E10FD"/>
    <w:rsid w:val="008E3589"/>
    <w:rsid w:val="008E3FE4"/>
    <w:rsid w:val="008E4440"/>
    <w:rsid w:val="008E4F48"/>
    <w:rsid w:val="008E5B0B"/>
    <w:rsid w:val="008E60F2"/>
    <w:rsid w:val="008E636D"/>
    <w:rsid w:val="008E77C8"/>
    <w:rsid w:val="008F02EC"/>
    <w:rsid w:val="008F08EB"/>
    <w:rsid w:val="008F2396"/>
    <w:rsid w:val="008F38EF"/>
    <w:rsid w:val="008F3D9B"/>
    <w:rsid w:val="008F4DB7"/>
    <w:rsid w:val="008F69DC"/>
    <w:rsid w:val="008F7590"/>
    <w:rsid w:val="008F762F"/>
    <w:rsid w:val="008F7A9D"/>
    <w:rsid w:val="00901377"/>
    <w:rsid w:val="00902B45"/>
    <w:rsid w:val="0090339F"/>
    <w:rsid w:val="00904B49"/>
    <w:rsid w:val="00904FC7"/>
    <w:rsid w:val="009057AC"/>
    <w:rsid w:val="00906050"/>
    <w:rsid w:val="00906762"/>
    <w:rsid w:val="00911951"/>
    <w:rsid w:val="00911DF8"/>
    <w:rsid w:val="00911ED5"/>
    <w:rsid w:val="009136DA"/>
    <w:rsid w:val="00914797"/>
    <w:rsid w:val="00914EA9"/>
    <w:rsid w:val="00917432"/>
    <w:rsid w:val="0091749B"/>
    <w:rsid w:val="009177B6"/>
    <w:rsid w:val="009202FD"/>
    <w:rsid w:val="00920BE9"/>
    <w:rsid w:val="00920D2A"/>
    <w:rsid w:val="00921421"/>
    <w:rsid w:val="0092152B"/>
    <w:rsid w:val="00922062"/>
    <w:rsid w:val="009227F3"/>
    <w:rsid w:val="00922FDB"/>
    <w:rsid w:val="009234B9"/>
    <w:rsid w:val="00925EC1"/>
    <w:rsid w:val="00927090"/>
    <w:rsid w:val="009279DA"/>
    <w:rsid w:val="00927E5C"/>
    <w:rsid w:val="0093451D"/>
    <w:rsid w:val="00934F2A"/>
    <w:rsid w:val="00935804"/>
    <w:rsid w:val="00937919"/>
    <w:rsid w:val="009409E1"/>
    <w:rsid w:val="00940A1E"/>
    <w:rsid w:val="009437BB"/>
    <w:rsid w:val="00944766"/>
    <w:rsid w:val="00945853"/>
    <w:rsid w:val="00945A21"/>
    <w:rsid w:val="00946495"/>
    <w:rsid w:val="009467CF"/>
    <w:rsid w:val="009516F6"/>
    <w:rsid w:val="0095178C"/>
    <w:rsid w:val="00952519"/>
    <w:rsid w:val="00953B12"/>
    <w:rsid w:val="00953B8E"/>
    <w:rsid w:val="009543BD"/>
    <w:rsid w:val="00956F15"/>
    <w:rsid w:val="00957E55"/>
    <w:rsid w:val="009602AD"/>
    <w:rsid w:val="00962C8F"/>
    <w:rsid w:val="00963CF5"/>
    <w:rsid w:val="00964F05"/>
    <w:rsid w:val="009655B2"/>
    <w:rsid w:val="00966207"/>
    <w:rsid w:val="009677D0"/>
    <w:rsid w:val="00970EF8"/>
    <w:rsid w:val="009719DA"/>
    <w:rsid w:val="00972168"/>
    <w:rsid w:val="00972779"/>
    <w:rsid w:val="00972B79"/>
    <w:rsid w:val="00973494"/>
    <w:rsid w:val="00980472"/>
    <w:rsid w:val="00980AD8"/>
    <w:rsid w:val="00981F88"/>
    <w:rsid w:val="00982030"/>
    <w:rsid w:val="00982B17"/>
    <w:rsid w:val="00982B47"/>
    <w:rsid w:val="009838F0"/>
    <w:rsid w:val="00984504"/>
    <w:rsid w:val="009849EB"/>
    <w:rsid w:val="00984E81"/>
    <w:rsid w:val="00985650"/>
    <w:rsid w:val="00986ADE"/>
    <w:rsid w:val="00987670"/>
    <w:rsid w:val="00987769"/>
    <w:rsid w:val="0099000D"/>
    <w:rsid w:val="009901D7"/>
    <w:rsid w:val="00990A15"/>
    <w:rsid w:val="00990D4F"/>
    <w:rsid w:val="00991436"/>
    <w:rsid w:val="00991CCC"/>
    <w:rsid w:val="0099456B"/>
    <w:rsid w:val="00995A1F"/>
    <w:rsid w:val="00995F3E"/>
    <w:rsid w:val="00996378"/>
    <w:rsid w:val="009A0F26"/>
    <w:rsid w:val="009A11E8"/>
    <w:rsid w:val="009A1A6C"/>
    <w:rsid w:val="009A1FC9"/>
    <w:rsid w:val="009A2CF3"/>
    <w:rsid w:val="009A2ECB"/>
    <w:rsid w:val="009A2F01"/>
    <w:rsid w:val="009A374D"/>
    <w:rsid w:val="009A42C9"/>
    <w:rsid w:val="009A494B"/>
    <w:rsid w:val="009A6006"/>
    <w:rsid w:val="009A71CA"/>
    <w:rsid w:val="009A7DBF"/>
    <w:rsid w:val="009A7E32"/>
    <w:rsid w:val="009B0E38"/>
    <w:rsid w:val="009B1488"/>
    <w:rsid w:val="009B309D"/>
    <w:rsid w:val="009B3B97"/>
    <w:rsid w:val="009B3E94"/>
    <w:rsid w:val="009B4B4E"/>
    <w:rsid w:val="009B5106"/>
    <w:rsid w:val="009B60A7"/>
    <w:rsid w:val="009B60E8"/>
    <w:rsid w:val="009B611D"/>
    <w:rsid w:val="009B652C"/>
    <w:rsid w:val="009B74E9"/>
    <w:rsid w:val="009B7D77"/>
    <w:rsid w:val="009B7E29"/>
    <w:rsid w:val="009C1D9E"/>
    <w:rsid w:val="009C3EFF"/>
    <w:rsid w:val="009D05B7"/>
    <w:rsid w:val="009D0E25"/>
    <w:rsid w:val="009D1A26"/>
    <w:rsid w:val="009D37C3"/>
    <w:rsid w:val="009D3860"/>
    <w:rsid w:val="009D4828"/>
    <w:rsid w:val="009D48EC"/>
    <w:rsid w:val="009D4EA2"/>
    <w:rsid w:val="009D59C4"/>
    <w:rsid w:val="009D60B2"/>
    <w:rsid w:val="009D697A"/>
    <w:rsid w:val="009D6F12"/>
    <w:rsid w:val="009E33FB"/>
    <w:rsid w:val="009E4310"/>
    <w:rsid w:val="009E483B"/>
    <w:rsid w:val="009E4987"/>
    <w:rsid w:val="009E6670"/>
    <w:rsid w:val="009E7261"/>
    <w:rsid w:val="009E7BE5"/>
    <w:rsid w:val="009F1D5C"/>
    <w:rsid w:val="009F4B3C"/>
    <w:rsid w:val="009F597E"/>
    <w:rsid w:val="009F5B60"/>
    <w:rsid w:val="009F697F"/>
    <w:rsid w:val="009F6CC3"/>
    <w:rsid w:val="009F7B9F"/>
    <w:rsid w:val="00A00247"/>
    <w:rsid w:val="00A00BB6"/>
    <w:rsid w:val="00A02D86"/>
    <w:rsid w:val="00A02E91"/>
    <w:rsid w:val="00A0465A"/>
    <w:rsid w:val="00A04DA2"/>
    <w:rsid w:val="00A05D89"/>
    <w:rsid w:val="00A06E93"/>
    <w:rsid w:val="00A0730F"/>
    <w:rsid w:val="00A07807"/>
    <w:rsid w:val="00A12B60"/>
    <w:rsid w:val="00A1414A"/>
    <w:rsid w:val="00A141C7"/>
    <w:rsid w:val="00A142D8"/>
    <w:rsid w:val="00A15485"/>
    <w:rsid w:val="00A15EA9"/>
    <w:rsid w:val="00A167BA"/>
    <w:rsid w:val="00A16B3E"/>
    <w:rsid w:val="00A17168"/>
    <w:rsid w:val="00A20658"/>
    <w:rsid w:val="00A2123C"/>
    <w:rsid w:val="00A220EB"/>
    <w:rsid w:val="00A221EA"/>
    <w:rsid w:val="00A222B0"/>
    <w:rsid w:val="00A23194"/>
    <w:rsid w:val="00A23761"/>
    <w:rsid w:val="00A23826"/>
    <w:rsid w:val="00A23AE3"/>
    <w:rsid w:val="00A23F41"/>
    <w:rsid w:val="00A23FF7"/>
    <w:rsid w:val="00A24AB2"/>
    <w:rsid w:val="00A2505D"/>
    <w:rsid w:val="00A257A7"/>
    <w:rsid w:val="00A26477"/>
    <w:rsid w:val="00A26A60"/>
    <w:rsid w:val="00A26BAB"/>
    <w:rsid w:val="00A30CE2"/>
    <w:rsid w:val="00A320E9"/>
    <w:rsid w:val="00A33A78"/>
    <w:rsid w:val="00A345D4"/>
    <w:rsid w:val="00A34EE0"/>
    <w:rsid w:val="00A351DC"/>
    <w:rsid w:val="00A40716"/>
    <w:rsid w:val="00A40FAD"/>
    <w:rsid w:val="00A4165D"/>
    <w:rsid w:val="00A42066"/>
    <w:rsid w:val="00A42503"/>
    <w:rsid w:val="00A42787"/>
    <w:rsid w:val="00A433D1"/>
    <w:rsid w:val="00A447C2"/>
    <w:rsid w:val="00A44DF3"/>
    <w:rsid w:val="00A46F98"/>
    <w:rsid w:val="00A47669"/>
    <w:rsid w:val="00A47793"/>
    <w:rsid w:val="00A50EFA"/>
    <w:rsid w:val="00A51FF2"/>
    <w:rsid w:val="00A52642"/>
    <w:rsid w:val="00A54155"/>
    <w:rsid w:val="00A54877"/>
    <w:rsid w:val="00A54DDE"/>
    <w:rsid w:val="00A5582E"/>
    <w:rsid w:val="00A55D99"/>
    <w:rsid w:val="00A56147"/>
    <w:rsid w:val="00A56AD9"/>
    <w:rsid w:val="00A56C33"/>
    <w:rsid w:val="00A607DA"/>
    <w:rsid w:val="00A60979"/>
    <w:rsid w:val="00A61B15"/>
    <w:rsid w:val="00A62FA1"/>
    <w:rsid w:val="00A63050"/>
    <w:rsid w:val="00A64456"/>
    <w:rsid w:val="00A64516"/>
    <w:rsid w:val="00A649B8"/>
    <w:rsid w:val="00A65326"/>
    <w:rsid w:val="00A654E5"/>
    <w:rsid w:val="00A65511"/>
    <w:rsid w:val="00A66F5B"/>
    <w:rsid w:val="00A67503"/>
    <w:rsid w:val="00A72AAA"/>
    <w:rsid w:val="00A72DED"/>
    <w:rsid w:val="00A75808"/>
    <w:rsid w:val="00A75F29"/>
    <w:rsid w:val="00A76269"/>
    <w:rsid w:val="00A77C65"/>
    <w:rsid w:val="00A805BD"/>
    <w:rsid w:val="00A80F8E"/>
    <w:rsid w:val="00A823AC"/>
    <w:rsid w:val="00A824F6"/>
    <w:rsid w:val="00A83075"/>
    <w:rsid w:val="00A83AD5"/>
    <w:rsid w:val="00A83FE0"/>
    <w:rsid w:val="00A840B0"/>
    <w:rsid w:val="00A85A28"/>
    <w:rsid w:val="00A874AD"/>
    <w:rsid w:val="00A87D3A"/>
    <w:rsid w:val="00A90BEB"/>
    <w:rsid w:val="00A911E2"/>
    <w:rsid w:val="00A916ED"/>
    <w:rsid w:val="00A91712"/>
    <w:rsid w:val="00A92D12"/>
    <w:rsid w:val="00A93B28"/>
    <w:rsid w:val="00A94280"/>
    <w:rsid w:val="00A94AF7"/>
    <w:rsid w:val="00A94F75"/>
    <w:rsid w:val="00A94F85"/>
    <w:rsid w:val="00AA269E"/>
    <w:rsid w:val="00AA29F0"/>
    <w:rsid w:val="00AA38B6"/>
    <w:rsid w:val="00AA3D57"/>
    <w:rsid w:val="00AA4739"/>
    <w:rsid w:val="00AA720C"/>
    <w:rsid w:val="00AA774C"/>
    <w:rsid w:val="00AB1F6D"/>
    <w:rsid w:val="00AB228C"/>
    <w:rsid w:val="00AB3C65"/>
    <w:rsid w:val="00AB6220"/>
    <w:rsid w:val="00AC0581"/>
    <w:rsid w:val="00AC1480"/>
    <w:rsid w:val="00AC18DA"/>
    <w:rsid w:val="00AC249C"/>
    <w:rsid w:val="00AC4E33"/>
    <w:rsid w:val="00AC52F1"/>
    <w:rsid w:val="00AC5F72"/>
    <w:rsid w:val="00AC6040"/>
    <w:rsid w:val="00AC6329"/>
    <w:rsid w:val="00AD024A"/>
    <w:rsid w:val="00AD187C"/>
    <w:rsid w:val="00AD2A51"/>
    <w:rsid w:val="00AD33E7"/>
    <w:rsid w:val="00AD5015"/>
    <w:rsid w:val="00AD5243"/>
    <w:rsid w:val="00AD6920"/>
    <w:rsid w:val="00AE2033"/>
    <w:rsid w:val="00AE2231"/>
    <w:rsid w:val="00AE2D89"/>
    <w:rsid w:val="00AE3883"/>
    <w:rsid w:val="00AE3BD7"/>
    <w:rsid w:val="00AE3BE7"/>
    <w:rsid w:val="00AE4309"/>
    <w:rsid w:val="00AE44D6"/>
    <w:rsid w:val="00AE5073"/>
    <w:rsid w:val="00AF0A62"/>
    <w:rsid w:val="00AF0D02"/>
    <w:rsid w:val="00AF13D8"/>
    <w:rsid w:val="00AF1A5D"/>
    <w:rsid w:val="00AF27A7"/>
    <w:rsid w:val="00AF3756"/>
    <w:rsid w:val="00AF49E6"/>
    <w:rsid w:val="00AF4B2F"/>
    <w:rsid w:val="00AF6801"/>
    <w:rsid w:val="00B00B6A"/>
    <w:rsid w:val="00B0121B"/>
    <w:rsid w:val="00B01C57"/>
    <w:rsid w:val="00B02E82"/>
    <w:rsid w:val="00B044F0"/>
    <w:rsid w:val="00B04642"/>
    <w:rsid w:val="00B05B20"/>
    <w:rsid w:val="00B07E7B"/>
    <w:rsid w:val="00B10769"/>
    <w:rsid w:val="00B107BF"/>
    <w:rsid w:val="00B1110C"/>
    <w:rsid w:val="00B13075"/>
    <w:rsid w:val="00B1325B"/>
    <w:rsid w:val="00B177E9"/>
    <w:rsid w:val="00B21D31"/>
    <w:rsid w:val="00B229E7"/>
    <w:rsid w:val="00B244B2"/>
    <w:rsid w:val="00B24679"/>
    <w:rsid w:val="00B2593F"/>
    <w:rsid w:val="00B265A1"/>
    <w:rsid w:val="00B30514"/>
    <w:rsid w:val="00B31A3E"/>
    <w:rsid w:val="00B31B33"/>
    <w:rsid w:val="00B31F88"/>
    <w:rsid w:val="00B33BEC"/>
    <w:rsid w:val="00B3567A"/>
    <w:rsid w:val="00B36475"/>
    <w:rsid w:val="00B37A36"/>
    <w:rsid w:val="00B37B29"/>
    <w:rsid w:val="00B40DB6"/>
    <w:rsid w:val="00B414AE"/>
    <w:rsid w:val="00B41C3D"/>
    <w:rsid w:val="00B41F9D"/>
    <w:rsid w:val="00B43577"/>
    <w:rsid w:val="00B479C9"/>
    <w:rsid w:val="00B51960"/>
    <w:rsid w:val="00B51AF6"/>
    <w:rsid w:val="00B53164"/>
    <w:rsid w:val="00B53A6E"/>
    <w:rsid w:val="00B54251"/>
    <w:rsid w:val="00B544AC"/>
    <w:rsid w:val="00B544E2"/>
    <w:rsid w:val="00B545BA"/>
    <w:rsid w:val="00B61F50"/>
    <w:rsid w:val="00B621B1"/>
    <w:rsid w:val="00B65196"/>
    <w:rsid w:val="00B66666"/>
    <w:rsid w:val="00B71279"/>
    <w:rsid w:val="00B7151B"/>
    <w:rsid w:val="00B726B9"/>
    <w:rsid w:val="00B72AA2"/>
    <w:rsid w:val="00B72B04"/>
    <w:rsid w:val="00B72BD1"/>
    <w:rsid w:val="00B7410B"/>
    <w:rsid w:val="00B82A1C"/>
    <w:rsid w:val="00B8455F"/>
    <w:rsid w:val="00B84B2B"/>
    <w:rsid w:val="00B86CEA"/>
    <w:rsid w:val="00B9042A"/>
    <w:rsid w:val="00B90FEF"/>
    <w:rsid w:val="00B927F6"/>
    <w:rsid w:val="00B92FF3"/>
    <w:rsid w:val="00B935F4"/>
    <w:rsid w:val="00B95640"/>
    <w:rsid w:val="00B95D78"/>
    <w:rsid w:val="00B97891"/>
    <w:rsid w:val="00BA0017"/>
    <w:rsid w:val="00BA113E"/>
    <w:rsid w:val="00BA3BAB"/>
    <w:rsid w:val="00BA4A4F"/>
    <w:rsid w:val="00BA5019"/>
    <w:rsid w:val="00BA5DCC"/>
    <w:rsid w:val="00BA5F73"/>
    <w:rsid w:val="00BA7586"/>
    <w:rsid w:val="00BB10BD"/>
    <w:rsid w:val="00BB1D65"/>
    <w:rsid w:val="00BB43B8"/>
    <w:rsid w:val="00BB527C"/>
    <w:rsid w:val="00BB6425"/>
    <w:rsid w:val="00BB6897"/>
    <w:rsid w:val="00BC1DD6"/>
    <w:rsid w:val="00BC28D1"/>
    <w:rsid w:val="00BC3315"/>
    <w:rsid w:val="00BC4783"/>
    <w:rsid w:val="00BD088E"/>
    <w:rsid w:val="00BD092B"/>
    <w:rsid w:val="00BD0B19"/>
    <w:rsid w:val="00BD1BA3"/>
    <w:rsid w:val="00BD22AC"/>
    <w:rsid w:val="00BD298C"/>
    <w:rsid w:val="00BD3C85"/>
    <w:rsid w:val="00BD566D"/>
    <w:rsid w:val="00BD622B"/>
    <w:rsid w:val="00BD6790"/>
    <w:rsid w:val="00BD7093"/>
    <w:rsid w:val="00BD78EA"/>
    <w:rsid w:val="00BE0827"/>
    <w:rsid w:val="00BE0D36"/>
    <w:rsid w:val="00BE4418"/>
    <w:rsid w:val="00BE460D"/>
    <w:rsid w:val="00BE54EB"/>
    <w:rsid w:val="00BE6954"/>
    <w:rsid w:val="00BE7268"/>
    <w:rsid w:val="00BE7520"/>
    <w:rsid w:val="00BE77C0"/>
    <w:rsid w:val="00BF147B"/>
    <w:rsid w:val="00BF1791"/>
    <w:rsid w:val="00BF2AA0"/>
    <w:rsid w:val="00BF4F80"/>
    <w:rsid w:val="00BF7AFC"/>
    <w:rsid w:val="00C02BEB"/>
    <w:rsid w:val="00C05E69"/>
    <w:rsid w:val="00C10C85"/>
    <w:rsid w:val="00C10D68"/>
    <w:rsid w:val="00C11CF5"/>
    <w:rsid w:val="00C12456"/>
    <w:rsid w:val="00C14228"/>
    <w:rsid w:val="00C14250"/>
    <w:rsid w:val="00C14FFA"/>
    <w:rsid w:val="00C152A3"/>
    <w:rsid w:val="00C167B5"/>
    <w:rsid w:val="00C16AD2"/>
    <w:rsid w:val="00C213A0"/>
    <w:rsid w:val="00C21BE1"/>
    <w:rsid w:val="00C247F8"/>
    <w:rsid w:val="00C25DD4"/>
    <w:rsid w:val="00C26A53"/>
    <w:rsid w:val="00C27380"/>
    <w:rsid w:val="00C279B0"/>
    <w:rsid w:val="00C27B8C"/>
    <w:rsid w:val="00C30658"/>
    <w:rsid w:val="00C30FEC"/>
    <w:rsid w:val="00C31990"/>
    <w:rsid w:val="00C31AF1"/>
    <w:rsid w:val="00C325E8"/>
    <w:rsid w:val="00C33429"/>
    <w:rsid w:val="00C3387E"/>
    <w:rsid w:val="00C33CAE"/>
    <w:rsid w:val="00C34292"/>
    <w:rsid w:val="00C35260"/>
    <w:rsid w:val="00C35FB3"/>
    <w:rsid w:val="00C3692C"/>
    <w:rsid w:val="00C36DAA"/>
    <w:rsid w:val="00C42B26"/>
    <w:rsid w:val="00C43A5C"/>
    <w:rsid w:val="00C4440C"/>
    <w:rsid w:val="00C44CC2"/>
    <w:rsid w:val="00C4537B"/>
    <w:rsid w:val="00C45B20"/>
    <w:rsid w:val="00C45D04"/>
    <w:rsid w:val="00C472B5"/>
    <w:rsid w:val="00C47671"/>
    <w:rsid w:val="00C47E26"/>
    <w:rsid w:val="00C50B09"/>
    <w:rsid w:val="00C511EF"/>
    <w:rsid w:val="00C5311D"/>
    <w:rsid w:val="00C53321"/>
    <w:rsid w:val="00C5440E"/>
    <w:rsid w:val="00C54A1B"/>
    <w:rsid w:val="00C571E0"/>
    <w:rsid w:val="00C57CBA"/>
    <w:rsid w:val="00C60605"/>
    <w:rsid w:val="00C61999"/>
    <w:rsid w:val="00C6407A"/>
    <w:rsid w:val="00C652AF"/>
    <w:rsid w:val="00C656F8"/>
    <w:rsid w:val="00C665C5"/>
    <w:rsid w:val="00C6768F"/>
    <w:rsid w:val="00C67D49"/>
    <w:rsid w:val="00C67E83"/>
    <w:rsid w:val="00C70226"/>
    <w:rsid w:val="00C72869"/>
    <w:rsid w:val="00C73444"/>
    <w:rsid w:val="00C7345D"/>
    <w:rsid w:val="00C76A4E"/>
    <w:rsid w:val="00C80937"/>
    <w:rsid w:val="00C8183D"/>
    <w:rsid w:val="00C84AA0"/>
    <w:rsid w:val="00C85744"/>
    <w:rsid w:val="00C860A0"/>
    <w:rsid w:val="00C86D43"/>
    <w:rsid w:val="00C87E78"/>
    <w:rsid w:val="00C90689"/>
    <w:rsid w:val="00C90842"/>
    <w:rsid w:val="00C90F3F"/>
    <w:rsid w:val="00C9138D"/>
    <w:rsid w:val="00C91898"/>
    <w:rsid w:val="00C937CB"/>
    <w:rsid w:val="00C94532"/>
    <w:rsid w:val="00C9567D"/>
    <w:rsid w:val="00C964EB"/>
    <w:rsid w:val="00C9650D"/>
    <w:rsid w:val="00C9683C"/>
    <w:rsid w:val="00C96A91"/>
    <w:rsid w:val="00C97100"/>
    <w:rsid w:val="00CA1411"/>
    <w:rsid w:val="00CA24B9"/>
    <w:rsid w:val="00CA3343"/>
    <w:rsid w:val="00CA39DB"/>
    <w:rsid w:val="00CA3F92"/>
    <w:rsid w:val="00CA61EE"/>
    <w:rsid w:val="00CA669E"/>
    <w:rsid w:val="00CA7A28"/>
    <w:rsid w:val="00CB0F59"/>
    <w:rsid w:val="00CB1CD3"/>
    <w:rsid w:val="00CB2340"/>
    <w:rsid w:val="00CB28BF"/>
    <w:rsid w:val="00CB2F8D"/>
    <w:rsid w:val="00CB4534"/>
    <w:rsid w:val="00CB5546"/>
    <w:rsid w:val="00CB6779"/>
    <w:rsid w:val="00CB6FF2"/>
    <w:rsid w:val="00CC0301"/>
    <w:rsid w:val="00CC211E"/>
    <w:rsid w:val="00CC2DA6"/>
    <w:rsid w:val="00CC3A75"/>
    <w:rsid w:val="00CC3B69"/>
    <w:rsid w:val="00CC4E8B"/>
    <w:rsid w:val="00CC52BE"/>
    <w:rsid w:val="00CC5E25"/>
    <w:rsid w:val="00CC64B8"/>
    <w:rsid w:val="00CC73AB"/>
    <w:rsid w:val="00CD1574"/>
    <w:rsid w:val="00CD23B3"/>
    <w:rsid w:val="00CD32D9"/>
    <w:rsid w:val="00CD33B0"/>
    <w:rsid w:val="00CD34BD"/>
    <w:rsid w:val="00CD38F3"/>
    <w:rsid w:val="00CD441F"/>
    <w:rsid w:val="00CD6D22"/>
    <w:rsid w:val="00CE02A6"/>
    <w:rsid w:val="00CE2371"/>
    <w:rsid w:val="00CE6141"/>
    <w:rsid w:val="00CE6306"/>
    <w:rsid w:val="00CE6798"/>
    <w:rsid w:val="00CF3147"/>
    <w:rsid w:val="00CF4E33"/>
    <w:rsid w:val="00CF4E3E"/>
    <w:rsid w:val="00CF4EE0"/>
    <w:rsid w:val="00CF58D1"/>
    <w:rsid w:val="00CF5B82"/>
    <w:rsid w:val="00CF70C3"/>
    <w:rsid w:val="00CF7377"/>
    <w:rsid w:val="00CF7DC9"/>
    <w:rsid w:val="00CF7E14"/>
    <w:rsid w:val="00D011AF"/>
    <w:rsid w:val="00D01AE7"/>
    <w:rsid w:val="00D0324D"/>
    <w:rsid w:val="00D03C93"/>
    <w:rsid w:val="00D061E3"/>
    <w:rsid w:val="00D12897"/>
    <w:rsid w:val="00D13A1C"/>
    <w:rsid w:val="00D149C2"/>
    <w:rsid w:val="00D1531A"/>
    <w:rsid w:val="00D160BB"/>
    <w:rsid w:val="00D164FC"/>
    <w:rsid w:val="00D166C8"/>
    <w:rsid w:val="00D204C8"/>
    <w:rsid w:val="00D204E2"/>
    <w:rsid w:val="00D20857"/>
    <w:rsid w:val="00D2113A"/>
    <w:rsid w:val="00D21F88"/>
    <w:rsid w:val="00D23489"/>
    <w:rsid w:val="00D25E31"/>
    <w:rsid w:val="00D26A8E"/>
    <w:rsid w:val="00D26D73"/>
    <w:rsid w:val="00D27087"/>
    <w:rsid w:val="00D271E6"/>
    <w:rsid w:val="00D2744A"/>
    <w:rsid w:val="00D27708"/>
    <w:rsid w:val="00D306D2"/>
    <w:rsid w:val="00D321B8"/>
    <w:rsid w:val="00D3237B"/>
    <w:rsid w:val="00D33387"/>
    <w:rsid w:val="00D33726"/>
    <w:rsid w:val="00D35080"/>
    <w:rsid w:val="00D3541F"/>
    <w:rsid w:val="00D35C4E"/>
    <w:rsid w:val="00D35F32"/>
    <w:rsid w:val="00D36D7C"/>
    <w:rsid w:val="00D40EC9"/>
    <w:rsid w:val="00D419DE"/>
    <w:rsid w:val="00D42779"/>
    <w:rsid w:val="00D42995"/>
    <w:rsid w:val="00D44B50"/>
    <w:rsid w:val="00D461C0"/>
    <w:rsid w:val="00D46373"/>
    <w:rsid w:val="00D47595"/>
    <w:rsid w:val="00D500A7"/>
    <w:rsid w:val="00D501F3"/>
    <w:rsid w:val="00D5039A"/>
    <w:rsid w:val="00D52366"/>
    <w:rsid w:val="00D526DE"/>
    <w:rsid w:val="00D53380"/>
    <w:rsid w:val="00D545C3"/>
    <w:rsid w:val="00D563BB"/>
    <w:rsid w:val="00D56AF9"/>
    <w:rsid w:val="00D575D4"/>
    <w:rsid w:val="00D6094A"/>
    <w:rsid w:val="00D616CC"/>
    <w:rsid w:val="00D62C02"/>
    <w:rsid w:val="00D636A6"/>
    <w:rsid w:val="00D63FF9"/>
    <w:rsid w:val="00D64431"/>
    <w:rsid w:val="00D64BBA"/>
    <w:rsid w:val="00D66868"/>
    <w:rsid w:val="00D67223"/>
    <w:rsid w:val="00D67308"/>
    <w:rsid w:val="00D676A6"/>
    <w:rsid w:val="00D70460"/>
    <w:rsid w:val="00D70B57"/>
    <w:rsid w:val="00D7155D"/>
    <w:rsid w:val="00D71BB5"/>
    <w:rsid w:val="00D72C34"/>
    <w:rsid w:val="00D72F10"/>
    <w:rsid w:val="00D731F0"/>
    <w:rsid w:val="00D74C98"/>
    <w:rsid w:val="00D755B8"/>
    <w:rsid w:val="00D76B27"/>
    <w:rsid w:val="00D77362"/>
    <w:rsid w:val="00D8063C"/>
    <w:rsid w:val="00D818D1"/>
    <w:rsid w:val="00D81B67"/>
    <w:rsid w:val="00D822D4"/>
    <w:rsid w:val="00D82958"/>
    <w:rsid w:val="00D836BD"/>
    <w:rsid w:val="00D851C8"/>
    <w:rsid w:val="00D85D16"/>
    <w:rsid w:val="00D938C1"/>
    <w:rsid w:val="00D93C34"/>
    <w:rsid w:val="00D95E98"/>
    <w:rsid w:val="00D963F7"/>
    <w:rsid w:val="00D968EF"/>
    <w:rsid w:val="00D96C47"/>
    <w:rsid w:val="00D96FB6"/>
    <w:rsid w:val="00D979E5"/>
    <w:rsid w:val="00DA0969"/>
    <w:rsid w:val="00DA18A9"/>
    <w:rsid w:val="00DA206E"/>
    <w:rsid w:val="00DA249E"/>
    <w:rsid w:val="00DA2E51"/>
    <w:rsid w:val="00DA35FB"/>
    <w:rsid w:val="00DA3D5B"/>
    <w:rsid w:val="00DA4F74"/>
    <w:rsid w:val="00DA506E"/>
    <w:rsid w:val="00DA5BFC"/>
    <w:rsid w:val="00DA6B47"/>
    <w:rsid w:val="00DA7672"/>
    <w:rsid w:val="00DB104E"/>
    <w:rsid w:val="00DB447B"/>
    <w:rsid w:val="00DB5B9D"/>
    <w:rsid w:val="00DC3176"/>
    <w:rsid w:val="00DC45D9"/>
    <w:rsid w:val="00DC4DC7"/>
    <w:rsid w:val="00DC4DDE"/>
    <w:rsid w:val="00DC5C0E"/>
    <w:rsid w:val="00DD003F"/>
    <w:rsid w:val="00DD0D57"/>
    <w:rsid w:val="00DD372F"/>
    <w:rsid w:val="00DD3E48"/>
    <w:rsid w:val="00DD4AEB"/>
    <w:rsid w:val="00DD5091"/>
    <w:rsid w:val="00DD6615"/>
    <w:rsid w:val="00DD6C55"/>
    <w:rsid w:val="00DD6E1D"/>
    <w:rsid w:val="00DD711B"/>
    <w:rsid w:val="00DD7946"/>
    <w:rsid w:val="00DD7BBC"/>
    <w:rsid w:val="00DE163F"/>
    <w:rsid w:val="00DE3A43"/>
    <w:rsid w:val="00DE7330"/>
    <w:rsid w:val="00DE7FBE"/>
    <w:rsid w:val="00DF1922"/>
    <w:rsid w:val="00DF1CF5"/>
    <w:rsid w:val="00DF2E8F"/>
    <w:rsid w:val="00DF3461"/>
    <w:rsid w:val="00DF3B58"/>
    <w:rsid w:val="00DF528B"/>
    <w:rsid w:val="00DF55F1"/>
    <w:rsid w:val="00DF6219"/>
    <w:rsid w:val="00E01BED"/>
    <w:rsid w:val="00E02051"/>
    <w:rsid w:val="00E0330F"/>
    <w:rsid w:val="00E03967"/>
    <w:rsid w:val="00E03ED9"/>
    <w:rsid w:val="00E04310"/>
    <w:rsid w:val="00E04694"/>
    <w:rsid w:val="00E047A0"/>
    <w:rsid w:val="00E05797"/>
    <w:rsid w:val="00E0601E"/>
    <w:rsid w:val="00E077DE"/>
    <w:rsid w:val="00E10DAB"/>
    <w:rsid w:val="00E11BB6"/>
    <w:rsid w:val="00E11CA9"/>
    <w:rsid w:val="00E11CB4"/>
    <w:rsid w:val="00E13ACD"/>
    <w:rsid w:val="00E14692"/>
    <w:rsid w:val="00E1791C"/>
    <w:rsid w:val="00E21C08"/>
    <w:rsid w:val="00E22117"/>
    <w:rsid w:val="00E228AB"/>
    <w:rsid w:val="00E23014"/>
    <w:rsid w:val="00E24E62"/>
    <w:rsid w:val="00E255C1"/>
    <w:rsid w:val="00E2574C"/>
    <w:rsid w:val="00E25D33"/>
    <w:rsid w:val="00E269BA"/>
    <w:rsid w:val="00E272F4"/>
    <w:rsid w:val="00E27782"/>
    <w:rsid w:val="00E27B9B"/>
    <w:rsid w:val="00E27CB8"/>
    <w:rsid w:val="00E30299"/>
    <w:rsid w:val="00E306E1"/>
    <w:rsid w:val="00E31620"/>
    <w:rsid w:val="00E322D0"/>
    <w:rsid w:val="00E322FD"/>
    <w:rsid w:val="00E32FDC"/>
    <w:rsid w:val="00E33570"/>
    <w:rsid w:val="00E36874"/>
    <w:rsid w:val="00E36CB2"/>
    <w:rsid w:val="00E376DD"/>
    <w:rsid w:val="00E42551"/>
    <w:rsid w:val="00E42C07"/>
    <w:rsid w:val="00E450FD"/>
    <w:rsid w:val="00E46076"/>
    <w:rsid w:val="00E51054"/>
    <w:rsid w:val="00E5109B"/>
    <w:rsid w:val="00E518A0"/>
    <w:rsid w:val="00E54542"/>
    <w:rsid w:val="00E549BB"/>
    <w:rsid w:val="00E55E58"/>
    <w:rsid w:val="00E56257"/>
    <w:rsid w:val="00E5642A"/>
    <w:rsid w:val="00E56FB0"/>
    <w:rsid w:val="00E575CA"/>
    <w:rsid w:val="00E6240A"/>
    <w:rsid w:val="00E62534"/>
    <w:rsid w:val="00E639A8"/>
    <w:rsid w:val="00E65D04"/>
    <w:rsid w:val="00E6636A"/>
    <w:rsid w:val="00E66EC4"/>
    <w:rsid w:val="00E67CFA"/>
    <w:rsid w:val="00E70047"/>
    <w:rsid w:val="00E70BF4"/>
    <w:rsid w:val="00E71461"/>
    <w:rsid w:val="00E71DC1"/>
    <w:rsid w:val="00E7281C"/>
    <w:rsid w:val="00E728CC"/>
    <w:rsid w:val="00E744B6"/>
    <w:rsid w:val="00E748BB"/>
    <w:rsid w:val="00E7565D"/>
    <w:rsid w:val="00E7584B"/>
    <w:rsid w:val="00E76634"/>
    <w:rsid w:val="00E8028E"/>
    <w:rsid w:val="00E81104"/>
    <w:rsid w:val="00E844BF"/>
    <w:rsid w:val="00E8473A"/>
    <w:rsid w:val="00E84BE4"/>
    <w:rsid w:val="00E85002"/>
    <w:rsid w:val="00E85474"/>
    <w:rsid w:val="00E858AB"/>
    <w:rsid w:val="00E873D1"/>
    <w:rsid w:val="00E8742B"/>
    <w:rsid w:val="00E876A4"/>
    <w:rsid w:val="00E90614"/>
    <w:rsid w:val="00E910C5"/>
    <w:rsid w:val="00E915D7"/>
    <w:rsid w:val="00E92274"/>
    <w:rsid w:val="00E9354F"/>
    <w:rsid w:val="00E97921"/>
    <w:rsid w:val="00E97A66"/>
    <w:rsid w:val="00E97C3C"/>
    <w:rsid w:val="00EA1263"/>
    <w:rsid w:val="00EA617E"/>
    <w:rsid w:val="00EA63D2"/>
    <w:rsid w:val="00EA643B"/>
    <w:rsid w:val="00EB0A4B"/>
    <w:rsid w:val="00EB10E1"/>
    <w:rsid w:val="00EB33EA"/>
    <w:rsid w:val="00EB4215"/>
    <w:rsid w:val="00EB4C90"/>
    <w:rsid w:val="00EB4DB1"/>
    <w:rsid w:val="00EB7861"/>
    <w:rsid w:val="00EC02E8"/>
    <w:rsid w:val="00EC0A44"/>
    <w:rsid w:val="00EC1D47"/>
    <w:rsid w:val="00EC2298"/>
    <w:rsid w:val="00EC3F42"/>
    <w:rsid w:val="00EC4A99"/>
    <w:rsid w:val="00EC4E68"/>
    <w:rsid w:val="00EC5ADF"/>
    <w:rsid w:val="00EC6C09"/>
    <w:rsid w:val="00EC71F5"/>
    <w:rsid w:val="00EC7F32"/>
    <w:rsid w:val="00ED196C"/>
    <w:rsid w:val="00ED1A64"/>
    <w:rsid w:val="00ED1E3F"/>
    <w:rsid w:val="00ED279A"/>
    <w:rsid w:val="00ED2B70"/>
    <w:rsid w:val="00ED4C1B"/>
    <w:rsid w:val="00ED6C24"/>
    <w:rsid w:val="00EE0095"/>
    <w:rsid w:val="00EE208D"/>
    <w:rsid w:val="00EE31A3"/>
    <w:rsid w:val="00EE440A"/>
    <w:rsid w:val="00EE6839"/>
    <w:rsid w:val="00EF24FF"/>
    <w:rsid w:val="00EF35A6"/>
    <w:rsid w:val="00EF35F8"/>
    <w:rsid w:val="00EF5108"/>
    <w:rsid w:val="00EF71AB"/>
    <w:rsid w:val="00EF75A9"/>
    <w:rsid w:val="00EF7B1D"/>
    <w:rsid w:val="00EF7B93"/>
    <w:rsid w:val="00F00DD4"/>
    <w:rsid w:val="00F01B25"/>
    <w:rsid w:val="00F02E97"/>
    <w:rsid w:val="00F0300E"/>
    <w:rsid w:val="00F056B6"/>
    <w:rsid w:val="00F0653B"/>
    <w:rsid w:val="00F06D40"/>
    <w:rsid w:val="00F0729B"/>
    <w:rsid w:val="00F07646"/>
    <w:rsid w:val="00F07865"/>
    <w:rsid w:val="00F15678"/>
    <w:rsid w:val="00F16890"/>
    <w:rsid w:val="00F17B3C"/>
    <w:rsid w:val="00F20FDB"/>
    <w:rsid w:val="00F218EE"/>
    <w:rsid w:val="00F22351"/>
    <w:rsid w:val="00F24716"/>
    <w:rsid w:val="00F26B68"/>
    <w:rsid w:val="00F31101"/>
    <w:rsid w:val="00F331FE"/>
    <w:rsid w:val="00F33630"/>
    <w:rsid w:val="00F35B48"/>
    <w:rsid w:val="00F3797F"/>
    <w:rsid w:val="00F37C20"/>
    <w:rsid w:val="00F37F42"/>
    <w:rsid w:val="00F40E3F"/>
    <w:rsid w:val="00F46908"/>
    <w:rsid w:val="00F46C83"/>
    <w:rsid w:val="00F50236"/>
    <w:rsid w:val="00F516CA"/>
    <w:rsid w:val="00F51CA5"/>
    <w:rsid w:val="00F52F52"/>
    <w:rsid w:val="00F53DD3"/>
    <w:rsid w:val="00F543A7"/>
    <w:rsid w:val="00F5466C"/>
    <w:rsid w:val="00F560A2"/>
    <w:rsid w:val="00F568CD"/>
    <w:rsid w:val="00F56E23"/>
    <w:rsid w:val="00F57E36"/>
    <w:rsid w:val="00F60265"/>
    <w:rsid w:val="00F60AE3"/>
    <w:rsid w:val="00F63891"/>
    <w:rsid w:val="00F63BA4"/>
    <w:rsid w:val="00F64FB8"/>
    <w:rsid w:val="00F65757"/>
    <w:rsid w:val="00F66322"/>
    <w:rsid w:val="00F66C41"/>
    <w:rsid w:val="00F66C96"/>
    <w:rsid w:val="00F701BD"/>
    <w:rsid w:val="00F71311"/>
    <w:rsid w:val="00F7517A"/>
    <w:rsid w:val="00F77FB2"/>
    <w:rsid w:val="00F80477"/>
    <w:rsid w:val="00F80EB0"/>
    <w:rsid w:val="00F84B49"/>
    <w:rsid w:val="00F85032"/>
    <w:rsid w:val="00F85740"/>
    <w:rsid w:val="00F85CAC"/>
    <w:rsid w:val="00F861A2"/>
    <w:rsid w:val="00F91A2B"/>
    <w:rsid w:val="00F92D3A"/>
    <w:rsid w:val="00F93387"/>
    <w:rsid w:val="00F93C0A"/>
    <w:rsid w:val="00F93DE7"/>
    <w:rsid w:val="00FA06A0"/>
    <w:rsid w:val="00FA0DF4"/>
    <w:rsid w:val="00FA15E4"/>
    <w:rsid w:val="00FA16C0"/>
    <w:rsid w:val="00FA446A"/>
    <w:rsid w:val="00FA49DC"/>
    <w:rsid w:val="00FA69B5"/>
    <w:rsid w:val="00FA6BD8"/>
    <w:rsid w:val="00FB169F"/>
    <w:rsid w:val="00FB18FA"/>
    <w:rsid w:val="00FB19E7"/>
    <w:rsid w:val="00FB3A3E"/>
    <w:rsid w:val="00FB3E5D"/>
    <w:rsid w:val="00FB4343"/>
    <w:rsid w:val="00FB4801"/>
    <w:rsid w:val="00FB494A"/>
    <w:rsid w:val="00FB494E"/>
    <w:rsid w:val="00FB50B3"/>
    <w:rsid w:val="00FB6617"/>
    <w:rsid w:val="00FB6D02"/>
    <w:rsid w:val="00FB7194"/>
    <w:rsid w:val="00FB730B"/>
    <w:rsid w:val="00FB7525"/>
    <w:rsid w:val="00FB7619"/>
    <w:rsid w:val="00FB7B85"/>
    <w:rsid w:val="00FC0024"/>
    <w:rsid w:val="00FC2970"/>
    <w:rsid w:val="00FC464F"/>
    <w:rsid w:val="00FC474F"/>
    <w:rsid w:val="00FC63AD"/>
    <w:rsid w:val="00FC7F45"/>
    <w:rsid w:val="00FD06C6"/>
    <w:rsid w:val="00FD08C9"/>
    <w:rsid w:val="00FD17F7"/>
    <w:rsid w:val="00FD2226"/>
    <w:rsid w:val="00FD2237"/>
    <w:rsid w:val="00FD34C8"/>
    <w:rsid w:val="00FD4827"/>
    <w:rsid w:val="00FD490A"/>
    <w:rsid w:val="00FD5BE3"/>
    <w:rsid w:val="00FE16CE"/>
    <w:rsid w:val="00FE2E88"/>
    <w:rsid w:val="00FE2EA4"/>
    <w:rsid w:val="00FE31C7"/>
    <w:rsid w:val="00FE3920"/>
    <w:rsid w:val="00FE3CCB"/>
    <w:rsid w:val="00FE470E"/>
    <w:rsid w:val="00FE4820"/>
    <w:rsid w:val="00FE4A13"/>
    <w:rsid w:val="00FE7302"/>
    <w:rsid w:val="00FE766D"/>
    <w:rsid w:val="00FF07F5"/>
    <w:rsid w:val="00FF19C2"/>
    <w:rsid w:val="00FF22B6"/>
    <w:rsid w:val="00FF3BBA"/>
    <w:rsid w:val="00FF5F1F"/>
    <w:rsid w:val="00FF6237"/>
    <w:rsid w:val="20F79319"/>
    <w:rsid w:val="22CDB71F"/>
    <w:rsid w:val="33404A3E"/>
    <w:rsid w:val="379A8EEB"/>
    <w:rsid w:val="3ED4260C"/>
    <w:rsid w:val="5B212939"/>
    <w:rsid w:val="67141B0B"/>
    <w:rsid w:val="683B56BB"/>
    <w:rsid w:val="6C9E2B62"/>
    <w:rsid w:val="6F46B7C4"/>
    <w:rsid w:val="7DAA5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33A1B"/>
  <w15:chartTrackingRefBased/>
  <w15:docId w15:val="{A5A1BABF-A01E-D242-BD3C-6BF58EB5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B06E8"/>
  </w:style>
  <w:style w:type="paragraph" w:styleId="Heading1">
    <w:name w:val="heading 1"/>
    <w:basedOn w:val="Normal"/>
    <w:next w:val="Normal"/>
    <w:link w:val="Heading1Char"/>
    <w:uiPriority w:val="9"/>
    <w:qFormat/>
    <w:rsid w:val="006B0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06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06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06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6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6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6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6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6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6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06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06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06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6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6E8"/>
    <w:rPr>
      <w:rFonts w:eastAsiaTheme="majorEastAsia" w:cstheme="majorBidi"/>
      <w:color w:val="272727" w:themeColor="text1" w:themeTint="D8"/>
    </w:rPr>
  </w:style>
  <w:style w:type="paragraph" w:styleId="Title">
    <w:name w:val="Title"/>
    <w:basedOn w:val="Normal"/>
    <w:next w:val="Normal"/>
    <w:link w:val="TitleChar"/>
    <w:uiPriority w:val="10"/>
    <w:qFormat/>
    <w:rsid w:val="006B06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6E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6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06E8"/>
    <w:rPr>
      <w:i/>
      <w:iCs/>
      <w:color w:val="404040" w:themeColor="text1" w:themeTint="BF"/>
    </w:rPr>
  </w:style>
  <w:style w:type="paragraph" w:styleId="ListParagraph">
    <w:name w:val="List Paragraph"/>
    <w:basedOn w:val="Normal"/>
    <w:uiPriority w:val="34"/>
    <w:qFormat/>
    <w:rsid w:val="006B06E8"/>
    <w:pPr>
      <w:ind w:left="720"/>
      <w:contextualSpacing/>
    </w:pPr>
  </w:style>
  <w:style w:type="character" w:styleId="IntenseEmphasis">
    <w:name w:val="Intense Emphasis"/>
    <w:basedOn w:val="DefaultParagraphFont"/>
    <w:uiPriority w:val="21"/>
    <w:qFormat/>
    <w:rsid w:val="006B06E8"/>
    <w:rPr>
      <w:i/>
      <w:iCs/>
      <w:color w:val="0F4761" w:themeColor="accent1" w:themeShade="BF"/>
    </w:rPr>
  </w:style>
  <w:style w:type="paragraph" w:styleId="IntenseQuote">
    <w:name w:val="Intense Quote"/>
    <w:basedOn w:val="Normal"/>
    <w:next w:val="Normal"/>
    <w:link w:val="IntenseQuoteChar"/>
    <w:uiPriority w:val="30"/>
    <w:qFormat/>
    <w:rsid w:val="006B0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6E8"/>
    <w:rPr>
      <w:i/>
      <w:iCs/>
      <w:color w:val="0F4761" w:themeColor="accent1" w:themeShade="BF"/>
    </w:rPr>
  </w:style>
  <w:style w:type="character" w:styleId="IntenseReference">
    <w:name w:val="Intense Reference"/>
    <w:basedOn w:val="DefaultParagraphFont"/>
    <w:uiPriority w:val="32"/>
    <w:qFormat/>
    <w:rsid w:val="006B06E8"/>
    <w:rPr>
      <w:b/>
      <w:bCs/>
      <w:smallCaps/>
      <w:color w:val="0F4761" w:themeColor="accent1" w:themeShade="BF"/>
      <w:spacing w:val="5"/>
    </w:rPr>
  </w:style>
  <w:style w:type="character" w:styleId="CommentReference">
    <w:name w:val="annotation reference"/>
    <w:basedOn w:val="DefaultParagraphFont"/>
    <w:uiPriority w:val="99"/>
    <w:semiHidden/>
    <w:unhideWhenUsed/>
    <w:rsid w:val="006B06E8"/>
    <w:rPr>
      <w:sz w:val="16"/>
      <w:szCs w:val="16"/>
    </w:rPr>
  </w:style>
  <w:style w:type="paragraph" w:styleId="CommentText">
    <w:name w:val="annotation text"/>
    <w:basedOn w:val="Normal"/>
    <w:link w:val="CommentTextChar"/>
    <w:uiPriority w:val="99"/>
    <w:unhideWhenUsed/>
    <w:rsid w:val="006B06E8"/>
    <w:rPr>
      <w:sz w:val="20"/>
      <w:szCs w:val="20"/>
    </w:rPr>
  </w:style>
  <w:style w:type="character" w:customStyle="1" w:styleId="CommentTextChar">
    <w:name w:val="Comment Text Char"/>
    <w:basedOn w:val="DefaultParagraphFont"/>
    <w:link w:val="CommentText"/>
    <w:uiPriority w:val="99"/>
    <w:rsid w:val="006B06E8"/>
    <w:rPr>
      <w:sz w:val="20"/>
      <w:szCs w:val="20"/>
    </w:rPr>
  </w:style>
  <w:style w:type="character" w:styleId="PlaceholderText">
    <w:name w:val="Placeholder Text"/>
    <w:basedOn w:val="DefaultParagraphFont"/>
    <w:uiPriority w:val="99"/>
    <w:semiHidden/>
    <w:rsid w:val="0028648D"/>
    <w:rPr>
      <w:color w:val="666666"/>
    </w:rPr>
  </w:style>
  <w:style w:type="paragraph" w:styleId="Footer">
    <w:name w:val="footer"/>
    <w:basedOn w:val="Normal"/>
    <w:link w:val="FooterChar"/>
    <w:uiPriority w:val="99"/>
    <w:unhideWhenUsed/>
    <w:rsid w:val="00745601"/>
    <w:pPr>
      <w:tabs>
        <w:tab w:val="center" w:pos="4513"/>
        <w:tab w:val="right" w:pos="9026"/>
      </w:tabs>
    </w:pPr>
  </w:style>
  <w:style w:type="character" w:customStyle="1" w:styleId="FooterChar">
    <w:name w:val="Footer Char"/>
    <w:basedOn w:val="DefaultParagraphFont"/>
    <w:link w:val="Footer"/>
    <w:uiPriority w:val="99"/>
    <w:rsid w:val="00745601"/>
  </w:style>
  <w:style w:type="character" w:styleId="PageNumber">
    <w:name w:val="page number"/>
    <w:basedOn w:val="DefaultParagraphFont"/>
    <w:uiPriority w:val="99"/>
    <w:semiHidden/>
    <w:unhideWhenUsed/>
    <w:rsid w:val="00745601"/>
  </w:style>
  <w:style w:type="paragraph" w:styleId="NormalWeb">
    <w:name w:val="Normal (Web)"/>
    <w:basedOn w:val="Normal"/>
    <w:uiPriority w:val="99"/>
    <w:unhideWhenUsed/>
    <w:rsid w:val="00172B72"/>
    <w:pPr>
      <w:spacing w:before="100" w:beforeAutospacing="1" w:after="100" w:afterAutospacing="1"/>
    </w:pPr>
    <w:rPr>
      <w:rFonts w:ascii="Times New Roman" w:eastAsiaTheme="minorEastAsia" w:hAnsi="Times New Roman" w:cs="Times New Roman"/>
      <w:kern w:val="0"/>
      <w:lang w:eastAsia="en-GB"/>
      <w14:ligatures w14:val="none"/>
    </w:rPr>
  </w:style>
  <w:style w:type="character" w:styleId="Hyperlink">
    <w:name w:val="Hyperlink"/>
    <w:basedOn w:val="DefaultParagraphFont"/>
    <w:uiPriority w:val="99"/>
    <w:unhideWhenUsed/>
    <w:rsid w:val="00172B72"/>
    <w:rPr>
      <w:color w:val="0000FF"/>
      <w:u w:val="single"/>
    </w:rPr>
  </w:style>
  <w:style w:type="paragraph" w:styleId="CommentSubject">
    <w:name w:val="annotation subject"/>
    <w:basedOn w:val="CommentText"/>
    <w:next w:val="CommentText"/>
    <w:link w:val="CommentSubjectChar"/>
    <w:uiPriority w:val="99"/>
    <w:semiHidden/>
    <w:unhideWhenUsed/>
    <w:rsid w:val="00DA2E51"/>
    <w:rPr>
      <w:b/>
      <w:bCs/>
    </w:rPr>
  </w:style>
  <w:style w:type="character" w:customStyle="1" w:styleId="CommentSubjectChar">
    <w:name w:val="Comment Subject Char"/>
    <w:basedOn w:val="CommentTextChar"/>
    <w:link w:val="CommentSubject"/>
    <w:uiPriority w:val="99"/>
    <w:semiHidden/>
    <w:rsid w:val="00DA2E51"/>
    <w:rPr>
      <w:b/>
      <w:bCs/>
      <w:sz w:val="20"/>
      <w:szCs w:val="20"/>
    </w:rPr>
  </w:style>
  <w:style w:type="paragraph" w:styleId="Revision">
    <w:name w:val="Revision"/>
    <w:hidden/>
    <w:uiPriority w:val="99"/>
    <w:semiHidden/>
    <w:rsid w:val="00A23AE3"/>
  </w:style>
  <w:style w:type="character" w:customStyle="1" w:styleId="UnresolvedMention1">
    <w:name w:val="Unresolved Mention1"/>
    <w:basedOn w:val="DefaultParagraphFont"/>
    <w:uiPriority w:val="99"/>
    <w:semiHidden/>
    <w:unhideWhenUsed/>
    <w:rsid w:val="009901D7"/>
    <w:rPr>
      <w:color w:val="605E5C"/>
      <w:shd w:val="clear" w:color="auto" w:fill="E1DFDD"/>
    </w:rPr>
  </w:style>
  <w:style w:type="paragraph" w:styleId="BalloonText">
    <w:name w:val="Balloon Text"/>
    <w:basedOn w:val="Normal"/>
    <w:link w:val="BalloonTextChar"/>
    <w:uiPriority w:val="99"/>
    <w:semiHidden/>
    <w:unhideWhenUsed/>
    <w:rsid w:val="00D419D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19DE"/>
    <w:rPr>
      <w:rFonts w:ascii="Times New Roman" w:hAnsi="Times New Roman" w:cs="Times New Roman"/>
      <w:sz w:val="18"/>
      <w:szCs w:val="18"/>
    </w:rPr>
  </w:style>
  <w:style w:type="character" w:styleId="UnresolvedMention">
    <w:name w:val="Unresolved Mention"/>
    <w:basedOn w:val="DefaultParagraphFont"/>
    <w:uiPriority w:val="99"/>
    <w:rsid w:val="00E24E62"/>
    <w:rPr>
      <w:color w:val="605E5C"/>
      <w:shd w:val="clear" w:color="auto" w:fill="E1DFDD"/>
    </w:rPr>
  </w:style>
  <w:style w:type="paragraph" w:customStyle="1" w:styleId="EndNoteBibliographyTitle">
    <w:name w:val="EndNote Bibliography Title"/>
    <w:basedOn w:val="Normal"/>
    <w:link w:val="EndNoteBibliographyTitleChar"/>
    <w:rsid w:val="00426373"/>
    <w:pPr>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426373"/>
    <w:rPr>
      <w:rFonts w:ascii="Aptos" w:hAnsi="Aptos"/>
      <w:noProof/>
      <w:lang w:val="en-US"/>
    </w:rPr>
  </w:style>
  <w:style w:type="paragraph" w:customStyle="1" w:styleId="EndNoteBibliography">
    <w:name w:val="EndNote Bibliography"/>
    <w:basedOn w:val="Normal"/>
    <w:link w:val="EndNoteBibliographyChar"/>
    <w:rsid w:val="00426373"/>
    <w:pPr>
      <w:jc w:val="both"/>
    </w:pPr>
    <w:rPr>
      <w:rFonts w:ascii="Aptos" w:hAnsi="Aptos"/>
      <w:noProof/>
      <w:lang w:val="en-US"/>
    </w:rPr>
  </w:style>
  <w:style w:type="character" w:customStyle="1" w:styleId="EndNoteBibliographyChar">
    <w:name w:val="EndNote Bibliography Char"/>
    <w:basedOn w:val="DefaultParagraphFont"/>
    <w:link w:val="EndNoteBibliography"/>
    <w:rsid w:val="00426373"/>
    <w:rPr>
      <w:rFonts w:ascii="Aptos" w:hAnsi="Aptos"/>
      <w:noProof/>
      <w:lang w:val="en-US"/>
    </w:rPr>
  </w:style>
  <w:style w:type="table" w:styleId="TableGrid">
    <w:name w:val="Table Grid"/>
    <w:basedOn w:val="TableNormal"/>
    <w:uiPriority w:val="39"/>
    <w:rsid w:val="002E7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1325B"/>
    <w:rPr>
      <w:color w:val="96607D" w:themeColor="followedHyperlink"/>
      <w:u w:val="single"/>
    </w:rPr>
  </w:style>
  <w:style w:type="character" w:styleId="Emphasis">
    <w:name w:val="Emphasis"/>
    <w:basedOn w:val="DefaultParagraphFont"/>
    <w:uiPriority w:val="20"/>
    <w:qFormat/>
    <w:rsid w:val="00302920"/>
    <w:rPr>
      <w:i/>
      <w:iCs/>
    </w:rPr>
  </w:style>
  <w:style w:type="paragraph" w:styleId="Header">
    <w:name w:val="header"/>
    <w:basedOn w:val="Normal"/>
    <w:link w:val="HeaderChar"/>
    <w:uiPriority w:val="99"/>
    <w:semiHidden/>
    <w:unhideWhenUsed/>
    <w:rsid w:val="00CD34BD"/>
    <w:pPr>
      <w:tabs>
        <w:tab w:val="center" w:pos="4513"/>
        <w:tab w:val="right" w:pos="9026"/>
      </w:tabs>
    </w:pPr>
  </w:style>
  <w:style w:type="character" w:customStyle="1" w:styleId="HeaderChar">
    <w:name w:val="Header Char"/>
    <w:basedOn w:val="DefaultParagraphFont"/>
    <w:link w:val="Header"/>
    <w:uiPriority w:val="99"/>
    <w:semiHidden/>
    <w:rsid w:val="00CD3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240">
      <w:bodyDiv w:val="1"/>
      <w:marLeft w:val="0"/>
      <w:marRight w:val="0"/>
      <w:marTop w:val="0"/>
      <w:marBottom w:val="0"/>
      <w:divBdr>
        <w:top w:val="none" w:sz="0" w:space="0" w:color="auto"/>
        <w:left w:val="none" w:sz="0" w:space="0" w:color="auto"/>
        <w:bottom w:val="none" w:sz="0" w:space="0" w:color="auto"/>
        <w:right w:val="none" w:sz="0" w:space="0" w:color="auto"/>
      </w:divBdr>
    </w:div>
    <w:div w:id="21252137">
      <w:bodyDiv w:val="1"/>
      <w:marLeft w:val="0"/>
      <w:marRight w:val="0"/>
      <w:marTop w:val="0"/>
      <w:marBottom w:val="0"/>
      <w:divBdr>
        <w:top w:val="none" w:sz="0" w:space="0" w:color="auto"/>
        <w:left w:val="none" w:sz="0" w:space="0" w:color="auto"/>
        <w:bottom w:val="none" w:sz="0" w:space="0" w:color="auto"/>
        <w:right w:val="none" w:sz="0" w:space="0" w:color="auto"/>
      </w:divBdr>
    </w:div>
    <w:div w:id="28265263">
      <w:bodyDiv w:val="1"/>
      <w:marLeft w:val="0"/>
      <w:marRight w:val="0"/>
      <w:marTop w:val="0"/>
      <w:marBottom w:val="0"/>
      <w:divBdr>
        <w:top w:val="none" w:sz="0" w:space="0" w:color="auto"/>
        <w:left w:val="none" w:sz="0" w:space="0" w:color="auto"/>
        <w:bottom w:val="none" w:sz="0" w:space="0" w:color="auto"/>
        <w:right w:val="none" w:sz="0" w:space="0" w:color="auto"/>
      </w:divBdr>
    </w:div>
    <w:div w:id="35542825">
      <w:bodyDiv w:val="1"/>
      <w:marLeft w:val="0"/>
      <w:marRight w:val="0"/>
      <w:marTop w:val="0"/>
      <w:marBottom w:val="0"/>
      <w:divBdr>
        <w:top w:val="none" w:sz="0" w:space="0" w:color="auto"/>
        <w:left w:val="none" w:sz="0" w:space="0" w:color="auto"/>
        <w:bottom w:val="none" w:sz="0" w:space="0" w:color="auto"/>
        <w:right w:val="none" w:sz="0" w:space="0" w:color="auto"/>
      </w:divBdr>
    </w:div>
    <w:div w:id="46341054">
      <w:bodyDiv w:val="1"/>
      <w:marLeft w:val="0"/>
      <w:marRight w:val="0"/>
      <w:marTop w:val="0"/>
      <w:marBottom w:val="0"/>
      <w:divBdr>
        <w:top w:val="none" w:sz="0" w:space="0" w:color="auto"/>
        <w:left w:val="none" w:sz="0" w:space="0" w:color="auto"/>
        <w:bottom w:val="none" w:sz="0" w:space="0" w:color="auto"/>
        <w:right w:val="none" w:sz="0" w:space="0" w:color="auto"/>
      </w:divBdr>
    </w:div>
    <w:div w:id="66078977">
      <w:bodyDiv w:val="1"/>
      <w:marLeft w:val="0"/>
      <w:marRight w:val="0"/>
      <w:marTop w:val="0"/>
      <w:marBottom w:val="0"/>
      <w:divBdr>
        <w:top w:val="none" w:sz="0" w:space="0" w:color="auto"/>
        <w:left w:val="none" w:sz="0" w:space="0" w:color="auto"/>
        <w:bottom w:val="none" w:sz="0" w:space="0" w:color="auto"/>
        <w:right w:val="none" w:sz="0" w:space="0" w:color="auto"/>
      </w:divBdr>
    </w:div>
    <w:div w:id="67578562">
      <w:bodyDiv w:val="1"/>
      <w:marLeft w:val="0"/>
      <w:marRight w:val="0"/>
      <w:marTop w:val="0"/>
      <w:marBottom w:val="0"/>
      <w:divBdr>
        <w:top w:val="none" w:sz="0" w:space="0" w:color="auto"/>
        <w:left w:val="none" w:sz="0" w:space="0" w:color="auto"/>
        <w:bottom w:val="none" w:sz="0" w:space="0" w:color="auto"/>
        <w:right w:val="none" w:sz="0" w:space="0" w:color="auto"/>
      </w:divBdr>
    </w:div>
    <w:div w:id="102118394">
      <w:bodyDiv w:val="1"/>
      <w:marLeft w:val="0"/>
      <w:marRight w:val="0"/>
      <w:marTop w:val="0"/>
      <w:marBottom w:val="0"/>
      <w:divBdr>
        <w:top w:val="none" w:sz="0" w:space="0" w:color="auto"/>
        <w:left w:val="none" w:sz="0" w:space="0" w:color="auto"/>
        <w:bottom w:val="none" w:sz="0" w:space="0" w:color="auto"/>
        <w:right w:val="none" w:sz="0" w:space="0" w:color="auto"/>
      </w:divBdr>
    </w:div>
    <w:div w:id="106779608">
      <w:bodyDiv w:val="1"/>
      <w:marLeft w:val="0"/>
      <w:marRight w:val="0"/>
      <w:marTop w:val="0"/>
      <w:marBottom w:val="0"/>
      <w:divBdr>
        <w:top w:val="none" w:sz="0" w:space="0" w:color="auto"/>
        <w:left w:val="none" w:sz="0" w:space="0" w:color="auto"/>
        <w:bottom w:val="none" w:sz="0" w:space="0" w:color="auto"/>
        <w:right w:val="none" w:sz="0" w:space="0" w:color="auto"/>
      </w:divBdr>
    </w:div>
    <w:div w:id="138961564">
      <w:bodyDiv w:val="1"/>
      <w:marLeft w:val="0"/>
      <w:marRight w:val="0"/>
      <w:marTop w:val="0"/>
      <w:marBottom w:val="0"/>
      <w:divBdr>
        <w:top w:val="none" w:sz="0" w:space="0" w:color="auto"/>
        <w:left w:val="none" w:sz="0" w:space="0" w:color="auto"/>
        <w:bottom w:val="none" w:sz="0" w:space="0" w:color="auto"/>
        <w:right w:val="none" w:sz="0" w:space="0" w:color="auto"/>
      </w:divBdr>
    </w:div>
    <w:div w:id="148406163">
      <w:bodyDiv w:val="1"/>
      <w:marLeft w:val="0"/>
      <w:marRight w:val="0"/>
      <w:marTop w:val="0"/>
      <w:marBottom w:val="0"/>
      <w:divBdr>
        <w:top w:val="none" w:sz="0" w:space="0" w:color="auto"/>
        <w:left w:val="none" w:sz="0" w:space="0" w:color="auto"/>
        <w:bottom w:val="none" w:sz="0" w:space="0" w:color="auto"/>
        <w:right w:val="none" w:sz="0" w:space="0" w:color="auto"/>
      </w:divBdr>
    </w:div>
    <w:div w:id="159741065">
      <w:bodyDiv w:val="1"/>
      <w:marLeft w:val="0"/>
      <w:marRight w:val="0"/>
      <w:marTop w:val="0"/>
      <w:marBottom w:val="0"/>
      <w:divBdr>
        <w:top w:val="none" w:sz="0" w:space="0" w:color="auto"/>
        <w:left w:val="none" w:sz="0" w:space="0" w:color="auto"/>
        <w:bottom w:val="none" w:sz="0" w:space="0" w:color="auto"/>
        <w:right w:val="none" w:sz="0" w:space="0" w:color="auto"/>
      </w:divBdr>
    </w:div>
    <w:div w:id="166334099">
      <w:bodyDiv w:val="1"/>
      <w:marLeft w:val="0"/>
      <w:marRight w:val="0"/>
      <w:marTop w:val="0"/>
      <w:marBottom w:val="0"/>
      <w:divBdr>
        <w:top w:val="none" w:sz="0" w:space="0" w:color="auto"/>
        <w:left w:val="none" w:sz="0" w:space="0" w:color="auto"/>
        <w:bottom w:val="none" w:sz="0" w:space="0" w:color="auto"/>
        <w:right w:val="none" w:sz="0" w:space="0" w:color="auto"/>
      </w:divBdr>
    </w:div>
    <w:div w:id="172770593">
      <w:bodyDiv w:val="1"/>
      <w:marLeft w:val="0"/>
      <w:marRight w:val="0"/>
      <w:marTop w:val="0"/>
      <w:marBottom w:val="0"/>
      <w:divBdr>
        <w:top w:val="none" w:sz="0" w:space="0" w:color="auto"/>
        <w:left w:val="none" w:sz="0" w:space="0" w:color="auto"/>
        <w:bottom w:val="none" w:sz="0" w:space="0" w:color="auto"/>
        <w:right w:val="none" w:sz="0" w:space="0" w:color="auto"/>
      </w:divBdr>
    </w:div>
    <w:div w:id="194658195">
      <w:bodyDiv w:val="1"/>
      <w:marLeft w:val="0"/>
      <w:marRight w:val="0"/>
      <w:marTop w:val="0"/>
      <w:marBottom w:val="0"/>
      <w:divBdr>
        <w:top w:val="none" w:sz="0" w:space="0" w:color="auto"/>
        <w:left w:val="none" w:sz="0" w:space="0" w:color="auto"/>
        <w:bottom w:val="none" w:sz="0" w:space="0" w:color="auto"/>
        <w:right w:val="none" w:sz="0" w:space="0" w:color="auto"/>
      </w:divBdr>
    </w:div>
    <w:div w:id="207227874">
      <w:bodyDiv w:val="1"/>
      <w:marLeft w:val="0"/>
      <w:marRight w:val="0"/>
      <w:marTop w:val="0"/>
      <w:marBottom w:val="0"/>
      <w:divBdr>
        <w:top w:val="none" w:sz="0" w:space="0" w:color="auto"/>
        <w:left w:val="none" w:sz="0" w:space="0" w:color="auto"/>
        <w:bottom w:val="none" w:sz="0" w:space="0" w:color="auto"/>
        <w:right w:val="none" w:sz="0" w:space="0" w:color="auto"/>
      </w:divBdr>
    </w:div>
    <w:div w:id="245042268">
      <w:bodyDiv w:val="1"/>
      <w:marLeft w:val="0"/>
      <w:marRight w:val="0"/>
      <w:marTop w:val="0"/>
      <w:marBottom w:val="0"/>
      <w:divBdr>
        <w:top w:val="none" w:sz="0" w:space="0" w:color="auto"/>
        <w:left w:val="none" w:sz="0" w:space="0" w:color="auto"/>
        <w:bottom w:val="none" w:sz="0" w:space="0" w:color="auto"/>
        <w:right w:val="none" w:sz="0" w:space="0" w:color="auto"/>
      </w:divBdr>
    </w:div>
    <w:div w:id="306474618">
      <w:bodyDiv w:val="1"/>
      <w:marLeft w:val="0"/>
      <w:marRight w:val="0"/>
      <w:marTop w:val="0"/>
      <w:marBottom w:val="0"/>
      <w:divBdr>
        <w:top w:val="none" w:sz="0" w:space="0" w:color="auto"/>
        <w:left w:val="none" w:sz="0" w:space="0" w:color="auto"/>
        <w:bottom w:val="none" w:sz="0" w:space="0" w:color="auto"/>
        <w:right w:val="none" w:sz="0" w:space="0" w:color="auto"/>
      </w:divBdr>
    </w:div>
    <w:div w:id="323320883">
      <w:bodyDiv w:val="1"/>
      <w:marLeft w:val="0"/>
      <w:marRight w:val="0"/>
      <w:marTop w:val="0"/>
      <w:marBottom w:val="0"/>
      <w:divBdr>
        <w:top w:val="none" w:sz="0" w:space="0" w:color="auto"/>
        <w:left w:val="none" w:sz="0" w:space="0" w:color="auto"/>
        <w:bottom w:val="none" w:sz="0" w:space="0" w:color="auto"/>
        <w:right w:val="none" w:sz="0" w:space="0" w:color="auto"/>
      </w:divBdr>
    </w:div>
    <w:div w:id="329262426">
      <w:bodyDiv w:val="1"/>
      <w:marLeft w:val="0"/>
      <w:marRight w:val="0"/>
      <w:marTop w:val="0"/>
      <w:marBottom w:val="0"/>
      <w:divBdr>
        <w:top w:val="none" w:sz="0" w:space="0" w:color="auto"/>
        <w:left w:val="none" w:sz="0" w:space="0" w:color="auto"/>
        <w:bottom w:val="none" w:sz="0" w:space="0" w:color="auto"/>
        <w:right w:val="none" w:sz="0" w:space="0" w:color="auto"/>
      </w:divBdr>
    </w:div>
    <w:div w:id="349920286">
      <w:bodyDiv w:val="1"/>
      <w:marLeft w:val="0"/>
      <w:marRight w:val="0"/>
      <w:marTop w:val="0"/>
      <w:marBottom w:val="0"/>
      <w:divBdr>
        <w:top w:val="none" w:sz="0" w:space="0" w:color="auto"/>
        <w:left w:val="none" w:sz="0" w:space="0" w:color="auto"/>
        <w:bottom w:val="none" w:sz="0" w:space="0" w:color="auto"/>
        <w:right w:val="none" w:sz="0" w:space="0" w:color="auto"/>
      </w:divBdr>
    </w:div>
    <w:div w:id="354306589">
      <w:bodyDiv w:val="1"/>
      <w:marLeft w:val="0"/>
      <w:marRight w:val="0"/>
      <w:marTop w:val="0"/>
      <w:marBottom w:val="0"/>
      <w:divBdr>
        <w:top w:val="none" w:sz="0" w:space="0" w:color="auto"/>
        <w:left w:val="none" w:sz="0" w:space="0" w:color="auto"/>
        <w:bottom w:val="none" w:sz="0" w:space="0" w:color="auto"/>
        <w:right w:val="none" w:sz="0" w:space="0" w:color="auto"/>
      </w:divBdr>
    </w:div>
    <w:div w:id="370151040">
      <w:bodyDiv w:val="1"/>
      <w:marLeft w:val="0"/>
      <w:marRight w:val="0"/>
      <w:marTop w:val="0"/>
      <w:marBottom w:val="0"/>
      <w:divBdr>
        <w:top w:val="none" w:sz="0" w:space="0" w:color="auto"/>
        <w:left w:val="none" w:sz="0" w:space="0" w:color="auto"/>
        <w:bottom w:val="none" w:sz="0" w:space="0" w:color="auto"/>
        <w:right w:val="none" w:sz="0" w:space="0" w:color="auto"/>
      </w:divBdr>
    </w:div>
    <w:div w:id="391119265">
      <w:bodyDiv w:val="1"/>
      <w:marLeft w:val="0"/>
      <w:marRight w:val="0"/>
      <w:marTop w:val="0"/>
      <w:marBottom w:val="0"/>
      <w:divBdr>
        <w:top w:val="none" w:sz="0" w:space="0" w:color="auto"/>
        <w:left w:val="none" w:sz="0" w:space="0" w:color="auto"/>
        <w:bottom w:val="none" w:sz="0" w:space="0" w:color="auto"/>
        <w:right w:val="none" w:sz="0" w:space="0" w:color="auto"/>
      </w:divBdr>
    </w:div>
    <w:div w:id="397243204">
      <w:bodyDiv w:val="1"/>
      <w:marLeft w:val="0"/>
      <w:marRight w:val="0"/>
      <w:marTop w:val="0"/>
      <w:marBottom w:val="0"/>
      <w:divBdr>
        <w:top w:val="none" w:sz="0" w:space="0" w:color="auto"/>
        <w:left w:val="none" w:sz="0" w:space="0" w:color="auto"/>
        <w:bottom w:val="none" w:sz="0" w:space="0" w:color="auto"/>
        <w:right w:val="none" w:sz="0" w:space="0" w:color="auto"/>
      </w:divBdr>
    </w:div>
    <w:div w:id="397752385">
      <w:bodyDiv w:val="1"/>
      <w:marLeft w:val="0"/>
      <w:marRight w:val="0"/>
      <w:marTop w:val="0"/>
      <w:marBottom w:val="0"/>
      <w:divBdr>
        <w:top w:val="none" w:sz="0" w:space="0" w:color="auto"/>
        <w:left w:val="none" w:sz="0" w:space="0" w:color="auto"/>
        <w:bottom w:val="none" w:sz="0" w:space="0" w:color="auto"/>
        <w:right w:val="none" w:sz="0" w:space="0" w:color="auto"/>
      </w:divBdr>
    </w:div>
    <w:div w:id="409158090">
      <w:bodyDiv w:val="1"/>
      <w:marLeft w:val="0"/>
      <w:marRight w:val="0"/>
      <w:marTop w:val="0"/>
      <w:marBottom w:val="0"/>
      <w:divBdr>
        <w:top w:val="none" w:sz="0" w:space="0" w:color="auto"/>
        <w:left w:val="none" w:sz="0" w:space="0" w:color="auto"/>
        <w:bottom w:val="none" w:sz="0" w:space="0" w:color="auto"/>
        <w:right w:val="none" w:sz="0" w:space="0" w:color="auto"/>
      </w:divBdr>
    </w:div>
    <w:div w:id="413936719">
      <w:bodyDiv w:val="1"/>
      <w:marLeft w:val="0"/>
      <w:marRight w:val="0"/>
      <w:marTop w:val="0"/>
      <w:marBottom w:val="0"/>
      <w:divBdr>
        <w:top w:val="none" w:sz="0" w:space="0" w:color="auto"/>
        <w:left w:val="none" w:sz="0" w:space="0" w:color="auto"/>
        <w:bottom w:val="none" w:sz="0" w:space="0" w:color="auto"/>
        <w:right w:val="none" w:sz="0" w:space="0" w:color="auto"/>
      </w:divBdr>
    </w:div>
    <w:div w:id="422646519">
      <w:bodyDiv w:val="1"/>
      <w:marLeft w:val="0"/>
      <w:marRight w:val="0"/>
      <w:marTop w:val="0"/>
      <w:marBottom w:val="0"/>
      <w:divBdr>
        <w:top w:val="none" w:sz="0" w:space="0" w:color="auto"/>
        <w:left w:val="none" w:sz="0" w:space="0" w:color="auto"/>
        <w:bottom w:val="none" w:sz="0" w:space="0" w:color="auto"/>
        <w:right w:val="none" w:sz="0" w:space="0" w:color="auto"/>
      </w:divBdr>
    </w:div>
    <w:div w:id="426968123">
      <w:bodyDiv w:val="1"/>
      <w:marLeft w:val="0"/>
      <w:marRight w:val="0"/>
      <w:marTop w:val="0"/>
      <w:marBottom w:val="0"/>
      <w:divBdr>
        <w:top w:val="none" w:sz="0" w:space="0" w:color="auto"/>
        <w:left w:val="none" w:sz="0" w:space="0" w:color="auto"/>
        <w:bottom w:val="none" w:sz="0" w:space="0" w:color="auto"/>
        <w:right w:val="none" w:sz="0" w:space="0" w:color="auto"/>
      </w:divBdr>
    </w:div>
    <w:div w:id="459569682">
      <w:bodyDiv w:val="1"/>
      <w:marLeft w:val="0"/>
      <w:marRight w:val="0"/>
      <w:marTop w:val="0"/>
      <w:marBottom w:val="0"/>
      <w:divBdr>
        <w:top w:val="none" w:sz="0" w:space="0" w:color="auto"/>
        <w:left w:val="none" w:sz="0" w:space="0" w:color="auto"/>
        <w:bottom w:val="none" w:sz="0" w:space="0" w:color="auto"/>
        <w:right w:val="none" w:sz="0" w:space="0" w:color="auto"/>
      </w:divBdr>
    </w:div>
    <w:div w:id="459617019">
      <w:bodyDiv w:val="1"/>
      <w:marLeft w:val="0"/>
      <w:marRight w:val="0"/>
      <w:marTop w:val="0"/>
      <w:marBottom w:val="0"/>
      <w:divBdr>
        <w:top w:val="none" w:sz="0" w:space="0" w:color="auto"/>
        <w:left w:val="none" w:sz="0" w:space="0" w:color="auto"/>
        <w:bottom w:val="none" w:sz="0" w:space="0" w:color="auto"/>
        <w:right w:val="none" w:sz="0" w:space="0" w:color="auto"/>
      </w:divBdr>
    </w:div>
    <w:div w:id="486097437">
      <w:bodyDiv w:val="1"/>
      <w:marLeft w:val="0"/>
      <w:marRight w:val="0"/>
      <w:marTop w:val="0"/>
      <w:marBottom w:val="0"/>
      <w:divBdr>
        <w:top w:val="none" w:sz="0" w:space="0" w:color="auto"/>
        <w:left w:val="none" w:sz="0" w:space="0" w:color="auto"/>
        <w:bottom w:val="none" w:sz="0" w:space="0" w:color="auto"/>
        <w:right w:val="none" w:sz="0" w:space="0" w:color="auto"/>
      </w:divBdr>
    </w:div>
    <w:div w:id="489948309">
      <w:bodyDiv w:val="1"/>
      <w:marLeft w:val="0"/>
      <w:marRight w:val="0"/>
      <w:marTop w:val="0"/>
      <w:marBottom w:val="0"/>
      <w:divBdr>
        <w:top w:val="none" w:sz="0" w:space="0" w:color="auto"/>
        <w:left w:val="none" w:sz="0" w:space="0" w:color="auto"/>
        <w:bottom w:val="none" w:sz="0" w:space="0" w:color="auto"/>
        <w:right w:val="none" w:sz="0" w:space="0" w:color="auto"/>
      </w:divBdr>
    </w:div>
    <w:div w:id="511068321">
      <w:bodyDiv w:val="1"/>
      <w:marLeft w:val="0"/>
      <w:marRight w:val="0"/>
      <w:marTop w:val="0"/>
      <w:marBottom w:val="0"/>
      <w:divBdr>
        <w:top w:val="none" w:sz="0" w:space="0" w:color="auto"/>
        <w:left w:val="none" w:sz="0" w:space="0" w:color="auto"/>
        <w:bottom w:val="none" w:sz="0" w:space="0" w:color="auto"/>
        <w:right w:val="none" w:sz="0" w:space="0" w:color="auto"/>
      </w:divBdr>
    </w:div>
    <w:div w:id="518812983">
      <w:bodyDiv w:val="1"/>
      <w:marLeft w:val="0"/>
      <w:marRight w:val="0"/>
      <w:marTop w:val="0"/>
      <w:marBottom w:val="0"/>
      <w:divBdr>
        <w:top w:val="none" w:sz="0" w:space="0" w:color="auto"/>
        <w:left w:val="none" w:sz="0" w:space="0" w:color="auto"/>
        <w:bottom w:val="none" w:sz="0" w:space="0" w:color="auto"/>
        <w:right w:val="none" w:sz="0" w:space="0" w:color="auto"/>
      </w:divBdr>
    </w:div>
    <w:div w:id="533620895">
      <w:bodyDiv w:val="1"/>
      <w:marLeft w:val="0"/>
      <w:marRight w:val="0"/>
      <w:marTop w:val="0"/>
      <w:marBottom w:val="0"/>
      <w:divBdr>
        <w:top w:val="none" w:sz="0" w:space="0" w:color="auto"/>
        <w:left w:val="none" w:sz="0" w:space="0" w:color="auto"/>
        <w:bottom w:val="none" w:sz="0" w:space="0" w:color="auto"/>
        <w:right w:val="none" w:sz="0" w:space="0" w:color="auto"/>
      </w:divBdr>
    </w:div>
    <w:div w:id="546381719">
      <w:bodyDiv w:val="1"/>
      <w:marLeft w:val="0"/>
      <w:marRight w:val="0"/>
      <w:marTop w:val="0"/>
      <w:marBottom w:val="0"/>
      <w:divBdr>
        <w:top w:val="none" w:sz="0" w:space="0" w:color="auto"/>
        <w:left w:val="none" w:sz="0" w:space="0" w:color="auto"/>
        <w:bottom w:val="none" w:sz="0" w:space="0" w:color="auto"/>
        <w:right w:val="none" w:sz="0" w:space="0" w:color="auto"/>
      </w:divBdr>
    </w:div>
    <w:div w:id="608926652">
      <w:bodyDiv w:val="1"/>
      <w:marLeft w:val="0"/>
      <w:marRight w:val="0"/>
      <w:marTop w:val="0"/>
      <w:marBottom w:val="0"/>
      <w:divBdr>
        <w:top w:val="none" w:sz="0" w:space="0" w:color="auto"/>
        <w:left w:val="none" w:sz="0" w:space="0" w:color="auto"/>
        <w:bottom w:val="none" w:sz="0" w:space="0" w:color="auto"/>
        <w:right w:val="none" w:sz="0" w:space="0" w:color="auto"/>
      </w:divBdr>
    </w:div>
    <w:div w:id="655113192">
      <w:bodyDiv w:val="1"/>
      <w:marLeft w:val="0"/>
      <w:marRight w:val="0"/>
      <w:marTop w:val="0"/>
      <w:marBottom w:val="0"/>
      <w:divBdr>
        <w:top w:val="none" w:sz="0" w:space="0" w:color="auto"/>
        <w:left w:val="none" w:sz="0" w:space="0" w:color="auto"/>
        <w:bottom w:val="none" w:sz="0" w:space="0" w:color="auto"/>
        <w:right w:val="none" w:sz="0" w:space="0" w:color="auto"/>
      </w:divBdr>
    </w:div>
    <w:div w:id="723993001">
      <w:bodyDiv w:val="1"/>
      <w:marLeft w:val="0"/>
      <w:marRight w:val="0"/>
      <w:marTop w:val="0"/>
      <w:marBottom w:val="0"/>
      <w:divBdr>
        <w:top w:val="none" w:sz="0" w:space="0" w:color="auto"/>
        <w:left w:val="none" w:sz="0" w:space="0" w:color="auto"/>
        <w:bottom w:val="none" w:sz="0" w:space="0" w:color="auto"/>
        <w:right w:val="none" w:sz="0" w:space="0" w:color="auto"/>
      </w:divBdr>
    </w:div>
    <w:div w:id="727607218">
      <w:bodyDiv w:val="1"/>
      <w:marLeft w:val="0"/>
      <w:marRight w:val="0"/>
      <w:marTop w:val="0"/>
      <w:marBottom w:val="0"/>
      <w:divBdr>
        <w:top w:val="none" w:sz="0" w:space="0" w:color="auto"/>
        <w:left w:val="none" w:sz="0" w:space="0" w:color="auto"/>
        <w:bottom w:val="none" w:sz="0" w:space="0" w:color="auto"/>
        <w:right w:val="none" w:sz="0" w:space="0" w:color="auto"/>
      </w:divBdr>
    </w:div>
    <w:div w:id="738819994">
      <w:bodyDiv w:val="1"/>
      <w:marLeft w:val="0"/>
      <w:marRight w:val="0"/>
      <w:marTop w:val="0"/>
      <w:marBottom w:val="0"/>
      <w:divBdr>
        <w:top w:val="none" w:sz="0" w:space="0" w:color="auto"/>
        <w:left w:val="none" w:sz="0" w:space="0" w:color="auto"/>
        <w:bottom w:val="none" w:sz="0" w:space="0" w:color="auto"/>
        <w:right w:val="none" w:sz="0" w:space="0" w:color="auto"/>
      </w:divBdr>
    </w:div>
    <w:div w:id="763065389">
      <w:bodyDiv w:val="1"/>
      <w:marLeft w:val="0"/>
      <w:marRight w:val="0"/>
      <w:marTop w:val="0"/>
      <w:marBottom w:val="0"/>
      <w:divBdr>
        <w:top w:val="none" w:sz="0" w:space="0" w:color="auto"/>
        <w:left w:val="none" w:sz="0" w:space="0" w:color="auto"/>
        <w:bottom w:val="none" w:sz="0" w:space="0" w:color="auto"/>
        <w:right w:val="none" w:sz="0" w:space="0" w:color="auto"/>
      </w:divBdr>
    </w:div>
    <w:div w:id="780993191">
      <w:bodyDiv w:val="1"/>
      <w:marLeft w:val="0"/>
      <w:marRight w:val="0"/>
      <w:marTop w:val="0"/>
      <w:marBottom w:val="0"/>
      <w:divBdr>
        <w:top w:val="none" w:sz="0" w:space="0" w:color="auto"/>
        <w:left w:val="none" w:sz="0" w:space="0" w:color="auto"/>
        <w:bottom w:val="none" w:sz="0" w:space="0" w:color="auto"/>
        <w:right w:val="none" w:sz="0" w:space="0" w:color="auto"/>
      </w:divBdr>
    </w:div>
    <w:div w:id="811823658">
      <w:bodyDiv w:val="1"/>
      <w:marLeft w:val="0"/>
      <w:marRight w:val="0"/>
      <w:marTop w:val="0"/>
      <w:marBottom w:val="0"/>
      <w:divBdr>
        <w:top w:val="none" w:sz="0" w:space="0" w:color="auto"/>
        <w:left w:val="none" w:sz="0" w:space="0" w:color="auto"/>
        <w:bottom w:val="none" w:sz="0" w:space="0" w:color="auto"/>
        <w:right w:val="none" w:sz="0" w:space="0" w:color="auto"/>
      </w:divBdr>
    </w:div>
    <w:div w:id="828595398">
      <w:bodyDiv w:val="1"/>
      <w:marLeft w:val="0"/>
      <w:marRight w:val="0"/>
      <w:marTop w:val="0"/>
      <w:marBottom w:val="0"/>
      <w:divBdr>
        <w:top w:val="none" w:sz="0" w:space="0" w:color="auto"/>
        <w:left w:val="none" w:sz="0" w:space="0" w:color="auto"/>
        <w:bottom w:val="none" w:sz="0" w:space="0" w:color="auto"/>
        <w:right w:val="none" w:sz="0" w:space="0" w:color="auto"/>
      </w:divBdr>
    </w:div>
    <w:div w:id="834151261">
      <w:bodyDiv w:val="1"/>
      <w:marLeft w:val="0"/>
      <w:marRight w:val="0"/>
      <w:marTop w:val="0"/>
      <w:marBottom w:val="0"/>
      <w:divBdr>
        <w:top w:val="none" w:sz="0" w:space="0" w:color="auto"/>
        <w:left w:val="none" w:sz="0" w:space="0" w:color="auto"/>
        <w:bottom w:val="none" w:sz="0" w:space="0" w:color="auto"/>
        <w:right w:val="none" w:sz="0" w:space="0" w:color="auto"/>
      </w:divBdr>
    </w:div>
    <w:div w:id="857159506">
      <w:bodyDiv w:val="1"/>
      <w:marLeft w:val="0"/>
      <w:marRight w:val="0"/>
      <w:marTop w:val="0"/>
      <w:marBottom w:val="0"/>
      <w:divBdr>
        <w:top w:val="none" w:sz="0" w:space="0" w:color="auto"/>
        <w:left w:val="none" w:sz="0" w:space="0" w:color="auto"/>
        <w:bottom w:val="none" w:sz="0" w:space="0" w:color="auto"/>
        <w:right w:val="none" w:sz="0" w:space="0" w:color="auto"/>
      </w:divBdr>
    </w:div>
    <w:div w:id="863514363">
      <w:bodyDiv w:val="1"/>
      <w:marLeft w:val="0"/>
      <w:marRight w:val="0"/>
      <w:marTop w:val="0"/>
      <w:marBottom w:val="0"/>
      <w:divBdr>
        <w:top w:val="none" w:sz="0" w:space="0" w:color="auto"/>
        <w:left w:val="none" w:sz="0" w:space="0" w:color="auto"/>
        <w:bottom w:val="none" w:sz="0" w:space="0" w:color="auto"/>
        <w:right w:val="none" w:sz="0" w:space="0" w:color="auto"/>
      </w:divBdr>
    </w:div>
    <w:div w:id="907883836">
      <w:bodyDiv w:val="1"/>
      <w:marLeft w:val="0"/>
      <w:marRight w:val="0"/>
      <w:marTop w:val="0"/>
      <w:marBottom w:val="0"/>
      <w:divBdr>
        <w:top w:val="none" w:sz="0" w:space="0" w:color="auto"/>
        <w:left w:val="none" w:sz="0" w:space="0" w:color="auto"/>
        <w:bottom w:val="none" w:sz="0" w:space="0" w:color="auto"/>
        <w:right w:val="none" w:sz="0" w:space="0" w:color="auto"/>
      </w:divBdr>
    </w:div>
    <w:div w:id="908610368">
      <w:bodyDiv w:val="1"/>
      <w:marLeft w:val="0"/>
      <w:marRight w:val="0"/>
      <w:marTop w:val="0"/>
      <w:marBottom w:val="0"/>
      <w:divBdr>
        <w:top w:val="none" w:sz="0" w:space="0" w:color="auto"/>
        <w:left w:val="none" w:sz="0" w:space="0" w:color="auto"/>
        <w:bottom w:val="none" w:sz="0" w:space="0" w:color="auto"/>
        <w:right w:val="none" w:sz="0" w:space="0" w:color="auto"/>
      </w:divBdr>
    </w:div>
    <w:div w:id="911936422">
      <w:bodyDiv w:val="1"/>
      <w:marLeft w:val="0"/>
      <w:marRight w:val="0"/>
      <w:marTop w:val="0"/>
      <w:marBottom w:val="0"/>
      <w:divBdr>
        <w:top w:val="none" w:sz="0" w:space="0" w:color="auto"/>
        <w:left w:val="none" w:sz="0" w:space="0" w:color="auto"/>
        <w:bottom w:val="none" w:sz="0" w:space="0" w:color="auto"/>
        <w:right w:val="none" w:sz="0" w:space="0" w:color="auto"/>
      </w:divBdr>
    </w:div>
    <w:div w:id="919556847">
      <w:bodyDiv w:val="1"/>
      <w:marLeft w:val="0"/>
      <w:marRight w:val="0"/>
      <w:marTop w:val="0"/>
      <w:marBottom w:val="0"/>
      <w:divBdr>
        <w:top w:val="none" w:sz="0" w:space="0" w:color="auto"/>
        <w:left w:val="none" w:sz="0" w:space="0" w:color="auto"/>
        <w:bottom w:val="none" w:sz="0" w:space="0" w:color="auto"/>
        <w:right w:val="none" w:sz="0" w:space="0" w:color="auto"/>
      </w:divBdr>
    </w:div>
    <w:div w:id="930310365">
      <w:bodyDiv w:val="1"/>
      <w:marLeft w:val="0"/>
      <w:marRight w:val="0"/>
      <w:marTop w:val="0"/>
      <w:marBottom w:val="0"/>
      <w:divBdr>
        <w:top w:val="none" w:sz="0" w:space="0" w:color="auto"/>
        <w:left w:val="none" w:sz="0" w:space="0" w:color="auto"/>
        <w:bottom w:val="none" w:sz="0" w:space="0" w:color="auto"/>
        <w:right w:val="none" w:sz="0" w:space="0" w:color="auto"/>
      </w:divBdr>
    </w:div>
    <w:div w:id="944459657">
      <w:bodyDiv w:val="1"/>
      <w:marLeft w:val="0"/>
      <w:marRight w:val="0"/>
      <w:marTop w:val="0"/>
      <w:marBottom w:val="0"/>
      <w:divBdr>
        <w:top w:val="none" w:sz="0" w:space="0" w:color="auto"/>
        <w:left w:val="none" w:sz="0" w:space="0" w:color="auto"/>
        <w:bottom w:val="none" w:sz="0" w:space="0" w:color="auto"/>
        <w:right w:val="none" w:sz="0" w:space="0" w:color="auto"/>
      </w:divBdr>
    </w:div>
    <w:div w:id="966157903">
      <w:bodyDiv w:val="1"/>
      <w:marLeft w:val="0"/>
      <w:marRight w:val="0"/>
      <w:marTop w:val="0"/>
      <w:marBottom w:val="0"/>
      <w:divBdr>
        <w:top w:val="none" w:sz="0" w:space="0" w:color="auto"/>
        <w:left w:val="none" w:sz="0" w:space="0" w:color="auto"/>
        <w:bottom w:val="none" w:sz="0" w:space="0" w:color="auto"/>
        <w:right w:val="none" w:sz="0" w:space="0" w:color="auto"/>
      </w:divBdr>
    </w:div>
    <w:div w:id="972906395">
      <w:bodyDiv w:val="1"/>
      <w:marLeft w:val="0"/>
      <w:marRight w:val="0"/>
      <w:marTop w:val="0"/>
      <w:marBottom w:val="0"/>
      <w:divBdr>
        <w:top w:val="none" w:sz="0" w:space="0" w:color="auto"/>
        <w:left w:val="none" w:sz="0" w:space="0" w:color="auto"/>
        <w:bottom w:val="none" w:sz="0" w:space="0" w:color="auto"/>
        <w:right w:val="none" w:sz="0" w:space="0" w:color="auto"/>
      </w:divBdr>
    </w:div>
    <w:div w:id="985477018">
      <w:bodyDiv w:val="1"/>
      <w:marLeft w:val="0"/>
      <w:marRight w:val="0"/>
      <w:marTop w:val="0"/>
      <w:marBottom w:val="0"/>
      <w:divBdr>
        <w:top w:val="none" w:sz="0" w:space="0" w:color="auto"/>
        <w:left w:val="none" w:sz="0" w:space="0" w:color="auto"/>
        <w:bottom w:val="none" w:sz="0" w:space="0" w:color="auto"/>
        <w:right w:val="none" w:sz="0" w:space="0" w:color="auto"/>
      </w:divBdr>
    </w:div>
    <w:div w:id="999962303">
      <w:bodyDiv w:val="1"/>
      <w:marLeft w:val="0"/>
      <w:marRight w:val="0"/>
      <w:marTop w:val="0"/>
      <w:marBottom w:val="0"/>
      <w:divBdr>
        <w:top w:val="none" w:sz="0" w:space="0" w:color="auto"/>
        <w:left w:val="none" w:sz="0" w:space="0" w:color="auto"/>
        <w:bottom w:val="none" w:sz="0" w:space="0" w:color="auto"/>
        <w:right w:val="none" w:sz="0" w:space="0" w:color="auto"/>
      </w:divBdr>
    </w:div>
    <w:div w:id="1016881844">
      <w:bodyDiv w:val="1"/>
      <w:marLeft w:val="0"/>
      <w:marRight w:val="0"/>
      <w:marTop w:val="0"/>
      <w:marBottom w:val="0"/>
      <w:divBdr>
        <w:top w:val="none" w:sz="0" w:space="0" w:color="auto"/>
        <w:left w:val="none" w:sz="0" w:space="0" w:color="auto"/>
        <w:bottom w:val="none" w:sz="0" w:space="0" w:color="auto"/>
        <w:right w:val="none" w:sz="0" w:space="0" w:color="auto"/>
      </w:divBdr>
    </w:div>
    <w:div w:id="1025401728">
      <w:bodyDiv w:val="1"/>
      <w:marLeft w:val="0"/>
      <w:marRight w:val="0"/>
      <w:marTop w:val="0"/>
      <w:marBottom w:val="0"/>
      <w:divBdr>
        <w:top w:val="none" w:sz="0" w:space="0" w:color="auto"/>
        <w:left w:val="none" w:sz="0" w:space="0" w:color="auto"/>
        <w:bottom w:val="none" w:sz="0" w:space="0" w:color="auto"/>
        <w:right w:val="none" w:sz="0" w:space="0" w:color="auto"/>
      </w:divBdr>
    </w:div>
    <w:div w:id="1032539010">
      <w:bodyDiv w:val="1"/>
      <w:marLeft w:val="0"/>
      <w:marRight w:val="0"/>
      <w:marTop w:val="0"/>
      <w:marBottom w:val="0"/>
      <w:divBdr>
        <w:top w:val="none" w:sz="0" w:space="0" w:color="auto"/>
        <w:left w:val="none" w:sz="0" w:space="0" w:color="auto"/>
        <w:bottom w:val="none" w:sz="0" w:space="0" w:color="auto"/>
        <w:right w:val="none" w:sz="0" w:space="0" w:color="auto"/>
      </w:divBdr>
    </w:div>
    <w:div w:id="1041782760">
      <w:bodyDiv w:val="1"/>
      <w:marLeft w:val="0"/>
      <w:marRight w:val="0"/>
      <w:marTop w:val="0"/>
      <w:marBottom w:val="0"/>
      <w:divBdr>
        <w:top w:val="none" w:sz="0" w:space="0" w:color="auto"/>
        <w:left w:val="none" w:sz="0" w:space="0" w:color="auto"/>
        <w:bottom w:val="none" w:sz="0" w:space="0" w:color="auto"/>
        <w:right w:val="none" w:sz="0" w:space="0" w:color="auto"/>
      </w:divBdr>
    </w:div>
    <w:div w:id="1107000857">
      <w:bodyDiv w:val="1"/>
      <w:marLeft w:val="0"/>
      <w:marRight w:val="0"/>
      <w:marTop w:val="0"/>
      <w:marBottom w:val="0"/>
      <w:divBdr>
        <w:top w:val="none" w:sz="0" w:space="0" w:color="auto"/>
        <w:left w:val="none" w:sz="0" w:space="0" w:color="auto"/>
        <w:bottom w:val="none" w:sz="0" w:space="0" w:color="auto"/>
        <w:right w:val="none" w:sz="0" w:space="0" w:color="auto"/>
      </w:divBdr>
    </w:div>
    <w:div w:id="1122118054">
      <w:bodyDiv w:val="1"/>
      <w:marLeft w:val="0"/>
      <w:marRight w:val="0"/>
      <w:marTop w:val="0"/>
      <w:marBottom w:val="0"/>
      <w:divBdr>
        <w:top w:val="none" w:sz="0" w:space="0" w:color="auto"/>
        <w:left w:val="none" w:sz="0" w:space="0" w:color="auto"/>
        <w:bottom w:val="none" w:sz="0" w:space="0" w:color="auto"/>
        <w:right w:val="none" w:sz="0" w:space="0" w:color="auto"/>
      </w:divBdr>
    </w:div>
    <w:div w:id="1135567991">
      <w:bodyDiv w:val="1"/>
      <w:marLeft w:val="0"/>
      <w:marRight w:val="0"/>
      <w:marTop w:val="0"/>
      <w:marBottom w:val="0"/>
      <w:divBdr>
        <w:top w:val="none" w:sz="0" w:space="0" w:color="auto"/>
        <w:left w:val="none" w:sz="0" w:space="0" w:color="auto"/>
        <w:bottom w:val="none" w:sz="0" w:space="0" w:color="auto"/>
        <w:right w:val="none" w:sz="0" w:space="0" w:color="auto"/>
      </w:divBdr>
    </w:div>
    <w:div w:id="1174563990">
      <w:bodyDiv w:val="1"/>
      <w:marLeft w:val="0"/>
      <w:marRight w:val="0"/>
      <w:marTop w:val="0"/>
      <w:marBottom w:val="0"/>
      <w:divBdr>
        <w:top w:val="none" w:sz="0" w:space="0" w:color="auto"/>
        <w:left w:val="none" w:sz="0" w:space="0" w:color="auto"/>
        <w:bottom w:val="none" w:sz="0" w:space="0" w:color="auto"/>
        <w:right w:val="none" w:sz="0" w:space="0" w:color="auto"/>
      </w:divBdr>
    </w:div>
    <w:div w:id="1175264181">
      <w:bodyDiv w:val="1"/>
      <w:marLeft w:val="0"/>
      <w:marRight w:val="0"/>
      <w:marTop w:val="0"/>
      <w:marBottom w:val="0"/>
      <w:divBdr>
        <w:top w:val="none" w:sz="0" w:space="0" w:color="auto"/>
        <w:left w:val="none" w:sz="0" w:space="0" w:color="auto"/>
        <w:bottom w:val="none" w:sz="0" w:space="0" w:color="auto"/>
        <w:right w:val="none" w:sz="0" w:space="0" w:color="auto"/>
      </w:divBdr>
    </w:div>
    <w:div w:id="1178010034">
      <w:bodyDiv w:val="1"/>
      <w:marLeft w:val="0"/>
      <w:marRight w:val="0"/>
      <w:marTop w:val="0"/>
      <w:marBottom w:val="0"/>
      <w:divBdr>
        <w:top w:val="none" w:sz="0" w:space="0" w:color="auto"/>
        <w:left w:val="none" w:sz="0" w:space="0" w:color="auto"/>
        <w:bottom w:val="none" w:sz="0" w:space="0" w:color="auto"/>
        <w:right w:val="none" w:sz="0" w:space="0" w:color="auto"/>
      </w:divBdr>
    </w:div>
    <w:div w:id="1188373283">
      <w:bodyDiv w:val="1"/>
      <w:marLeft w:val="0"/>
      <w:marRight w:val="0"/>
      <w:marTop w:val="0"/>
      <w:marBottom w:val="0"/>
      <w:divBdr>
        <w:top w:val="none" w:sz="0" w:space="0" w:color="auto"/>
        <w:left w:val="none" w:sz="0" w:space="0" w:color="auto"/>
        <w:bottom w:val="none" w:sz="0" w:space="0" w:color="auto"/>
        <w:right w:val="none" w:sz="0" w:space="0" w:color="auto"/>
      </w:divBdr>
      <w:divsChild>
        <w:div w:id="2015569830">
          <w:marLeft w:val="0"/>
          <w:marRight w:val="0"/>
          <w:marTop w:val="0"/>
          <w:marBottom w:val="0"/>
          <w:divBdr>
            <w:top w:val="none" w:sz="0" w:space="0" w:color="auto"/>
            <w:left w:val="none" w:sz="0" w:space="0" w:color="auto"/>
            <w:bottom w:val="none" w:sz="0" w:space="0" w:color="auto"/>
            <w:right w:val="none" w:sz="0" w:space="0" w:color="auto"/>
          </w:divBdr>
        </w:div>
      </w:divsChild>
    </w:div>
    <w:div w:id="1243487710">
      <w:bodyDiv w:val="1"/>
      <w:marLeft w:val="0"/>
      <w:marRight w:val="0"/>
      <w:marTop w:val="0"/>
      <w:marBottom w:val="0"/>
      <w:divBdr>
        <w:top w:val="none" w:sz="0" w:space="0" w:color="auto"/>
        <w:left w:val="none" w:sz="0" w:space="0" w:color="auto"/>
        <w:bottom w:val="none" w:sz="0" w:space="0" w:color="auto"/>
        <w:right w:val="none" w:sz="0" w:space="0" w:color="auto"/>
      </w:divBdr>
    </w:div>
    <w:div w:id="1258446308">
      <w:bodyDiv w:val="1"/>
      <w:marLeft w:val="0"/>
      <w:marRight w:val="0"/>
      <w:marTop w:val="0"/>
      <w:marBottom w:val="0"/>
      <w:divBdr>
        <w:top w:val="none" w:sz="0" w:space="0" w:color="auto"/>
        <w:left w:val="none" w:sz="0" w:space="0" w:color="auto"/>
        <w:bottom w:val="none" w:sz="0" w:space="0" w:color="auto"/>
        <w:right w:val="none" w:sz="0" w:space="0" w:color="auto"/>
      </w:divBdr>
    </w:div>
    <w:div w:id="1282299250">
      <w:bodyDiv w:val="1"/>
      <w:marLeft w:val="0"/>
      <w:marRight w:val="0"/>
      <w:marTop w:val="0"/>
      <w:marBottom w:val="0"/>
      <w:divBdr>
        <w:top w:val="none" w:sz="0" w:space="0" w:color="auto"/>
        <w:left w:val="none" w:sz="0" w:space="0" w:color="auto"/>
        <w:bottom w:val="none" w:sz="0" w:space="0" w:color="auto"/>
        <w:right w:val="none" w:sz="0" w:space="0" w:color="auto"/>
      </w:divBdr>
    </w:div>
    <w:div w:id="1282420039">
      <w:bodyDiv w:val="1"/>
      <w:marLeft w:val="0"/>
      <w:marRight w:val="0"/>
      <w:marTop w:val="0"/>
      <w:marBottom w:val="0"/>
      <w:divBdr>
        <w:top w:val="none" w:sz="0" w:space="0" w:color="auto"/>
        <w:left w:val="none" w:sz="0" w:space="0" w:color="auto"/>
        <w:bottom w:val="none" w:sz="0" w:space="0" w:color="auto"/>
        <w:right w:val="none" w:sz="0" w:space="0" w:color="auto"/>
      </w:divBdr>
    </w:div>
    <w:div w:id="1305813424">
      <w:bodyDiv w:val="1"/>
      <w:marLeft w:val="0"/>
      <w:marRight w:val="0"/>
      <w:marTop w:val="0"/>
      <w:marBottom w:val="0"/>
      <w:divBdr>
        <w:top w:val="none" w:sz="0" w:space="0" w:color="auto"/>
        <w:left w:val="none" w:sz="0" w:space="0" w:color="auto"/>
        <w:bottom w:val="none" w:sz="0" w:space="0" w:color="auto"/>
        <w:right w:val="none" w:sz="0" w:space="0" w:color="auto"/>
      </w:divBdr>
    </w:div>
    <w:div w:id="1381398512">
      <w:bodyDiv w:val="1"/>
      <w:marLeft w:val="0"/>
      <w:marRight w:val="0"/>
      <w:marTop w:val="0"/>
      <w:marBottom w:val="0"/>
      <w:divBdr>
        <w:top w:val="none" w:sz="0" w:space="0" w:color="auto"/>
        <w:left w:val="none" w:sz="0" w:space="0" w:color="auto"/>
        <w:bottom w:val="none" w:sz="0" w:space="0" w:color="auto"/>
        <w:right w:val="none" w:sz="0" w:space="0" w:color="auto"/>
      </w:divBdr>
    </w:div>
    <w:div w:id="1389300947">
      <w:bodyDiv w:val="1"/>
      <w:marLeft w:val="0"/>
      <w:marRight w:val="0"/>
      <w:marTop w:val="0"/>
      <w:marBottom w:val="0"/>
      <w:divBdr>
        <w:top w:val="none" w:sz="0" w:space="0" w:color="auto"/>
        <w:left w:val="none" w:sz="0" w:space="0" w:color="auto"/>
        <w:bottom w:val="none" w:sz="0" w:space="0" w:color="auto"/>
        <w:right w:val="none" w:sz="0" w:space="0" w:color="auto"/>
      </w:divBdr>
    </w:div>
    <w:div w:id="1409883913">
      <w:bodyDiv w:val="1"/>
      <w:marLeft w:val="0"/>
      <w:marRight w:val="0"/>
      <w:marTop w:val="0"/>
      <w:marBottom w:val="0"/>
      <w:divBdr>
        <w:top w:val="none" w:sz="0" w:space="0" w:color="auto"/>
        <w:left w:val="none" w:sz="0" w:space="0" w:color="auto"/>
        <w:bottom w:val="none" w:sz="0" w:space="0" w:color="auto"/>
        <w:right w:val="none" w:sz="0" w:space="0" w:color="auto"/>
      </w:divBdr>
    </w:div>
    <w:div w:id="1441489739">
      <w:bodyDiv w:val="1"/>
      <w:marLeft w:val="0"/>
      <w:marRight w:val="0"/>
      <w:marTop w:val="0"/>
      <w:marBottom w:val="0"/>
      <w:divBdr>
        <w:top w:val="none" w:sz="0" w:space="0" w:color="auto"/>
        <w:left w:val="none" w:sz="0" w:space="0" w:color="auto"/>
        <w:bottom w:val="none" w:sz="0" w:space="0" w:color="auto"/>
        <w:right w:val="none" w:sz="0" w:space="0" w:color="auto"/>
      </w:divBdr>
    </w:div>
    <w:div w:id="1451437133">
      <w:bodyDiv w:val="1"/>
      <w:marLeft w:val="0"/>
      <w:marRight w:val="0"/>
      <w:marTop w:val="0"/>
      <w:marBottom w:val="0"/>
      <w:divBdr>
        <w:top w:val="none" w:sz="0" w:space="0" w:color="auto"/>
        <w:left w:val="none" w:sz="0" w:space="0" w:color="auto"/>
        <w:bottom w:val="none" w:sz="0" w:space="0" w:color="auto"/>
        <w:right w:val="none" w:sz="0" w:space="0" w:color="auto"/>
      </w:divBdr>
    </w:div>
    <w:div w:id="1461260162">
      <w:bodyDiv w:val="1"/>
      <w:marLeft w:val="0"/>
      <w:marRight w:val="0"/>
      <w:marTop w:val="0"/>
      <w:marBottom w:val="0"/>
      <w:divBdr>
        <w:top w:val="none" w:sz="0" w:space="0" w:color="auto"/>
        <w:left w:val="none" w:sz="0" w:space="0" w:color="auto"/>
        <w:bottom w:val="none" w:sz="0" w:space="0" w:color="auto"/>
        <w:right w:val="none" w:sz="0" w:space="0" w:color="auto"/>
      </w:divBdr>
    </w:div>
    <w:div w:id="1468429176">
      <w:bodyDiv w:val="1"/>
      <w:marLeft w:val="0"/>
      <w:marRight w:val="0"/>
      <w:marTop w:val="0"/>
      <w:marBottom w:val="0"/>
      <w:divBdr>
        <w:top w:val="none" w:sz="0" w:space="0" w:color="auto"/>
        <w:left w:val="none" w:sz="0" w:space="0" w:color="auto"/>
        <w:bottom w:val="none" w:sz="0" w:space="0" w:color="auto"/>
        <w:right w:val="none" w:sz="0" w:space="0" w:color="auto"/>
      </w:divBdr>
    </w:div>
    <w:div w:id="1473786913">
      <w:bodyDiv w:val="1"/>
      <w:marLeft w:val="0"/>
      <w:marRight w:val="0"/>
      <w:marTop w:val="0"/>
      <w:marBottom w:val="0"/>
      <w:divBdr>
        <w:top w:val="none" w:sz="0" w:space="0" w:color="auto"/>
        <w:left w:val="none" w:sz="0" w:space="0" w:color="auto"/>
        <w:bottom w:val="none" w:sz="0" w:space="0" w:color="auto"/>
        <w:right w:val="none" w:sz="0" w:space="0" w:color="auto"/>
      </w:divBdr>
    </w:div>
    <w:div w:id="1474516955">
      <w:bodyDiv w:val="1"/>
      <w:marLeft w:val="0"/>
      <w:marRight w:val="0"/>
      <w:marTop w:val="0"/>
      <w:marBottom w:val="0"/>
      <w:divBdr>
        <w:top w:val="none" w:sz="0" w:space="0" w:color="auto"/>
        <w:left w:val="none" w:sz="0" w:space="0" w:color="auto"/>
        <w:bottom w:val="none" w:sz="0" w:space="0" w:color="auto"/>
        <w:right w:val="none" w:sz="0" w:space="0" w:color="auto"/>
      </w:divBdr>
      <w:divsChild>
        <w:div w:id="1901087339">
          <w:marLeft w:val="0"/>
          <w:marRight w:val="0"/>
          <w:marTop w:val="0"/>
          <w:marBottom w:val="0"/>
          <w:divBdr>
            <w:top w:val="none" w:sz="0" w:space="0" w:color="auto"/>
            <w:left w:val="none" w:sz="0" w:space="0" w:color="auto"/>
            <w:bottom w:val="none" w:sz="0" w:space="0" w:color="auto"/>
            <w:right w:val="none" w:sz="0" w:space="0" w:color="auto"/>
          </w:divBdr>
          <w:divsChild>
            <w:div w:id="1356611024">
              <w:marLeft w:val="0"/>
              <w:marRight w:val="0"/>
              <w:marTop w:val="0"/>
              <w:marBottom w:val="0"/>
              <w:divBdr>
                <w:top w:val="none" w:sz="0" w:space="0" w:color="auto"/>
                <w:left w:val="none" w:sz="0" w:space="0" w:color="auto"/>
                <w:bottom w:val="none" w:sz="0" w:space="0" w:color="auto"/>
                <w:right w:val="none" w:sz="0" w:space="0" w:color="auto"/>
              </w:divBdr>
              <w:divsChild>
                <w:div w:id="1020082502">
                  <w:marLeft w:val="0"/>
                  <w:marRight w:val="0"/>
                  <w:marTop w:val="0"/>
                  <w:marBottom w:val="0"/>
                  <w:divBdr>
                    <w:top w:val="none" w:sz="0" w:space="0" w:color="auto"/>
                    <w:left w:val="none" w:sz="0" w:space="0" w:color="auto"/>
                    <w:bottom w:val="none" w:sz="0" w:space="0" w:color="auto"/>
                    <w:right w:val="none" w:sz="0" w:space="0" w:color="auto"/>
                  </w:divBdr>
                  <w:divsChild>
                    <w:div w:id="90213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08639">
          <w:marLeft w:val="0"/>
          <w:marRight w:val="0"/>
          <w:marTop w:val="0"/>
          <w:marBottom w:val="0"/>
          <w:divBdr>
            <w:top w:val="none" w:sz="0" w:space="0" w:color="auto"/>
            <w:left w:val="none" w:sz="0" w:space="0" w:color="auto"/>
            <w:bottom w:val="none" w:sz="0" w:space="0" w:color="auto"/>
            <w:right w:val="none" w:sz="0" w:space="0" w:color="auto"/>
          </w:divBdr>
          <w:divsChild>
            <w:div w:id="696582703">
              <w:marLeft w:val="0"/>
              <w:marRight w:val="0"/>
              <w:marTop w:val="0"/>
              <w:marBottom w:val="0"/>
              <w:divBdr>
                <w:top w:val="none" w:sz="0" w:space="0" w:color="auto"/>
                <w:left w:val="none" w:sz="0" w:space="0" w:color="auto"/>
                <w:bottom w:val="none" w:sz="0" w:space="0" w:color="auto"/>
                <w:right w:val="none" w:sz="0" w:space="0" w:color="auto"/>
              </w:divBdr>
              <w:divsChild>
                <w:div w:id="42207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835080">
      <w:bodyDiv w:val="1"/>
      <w:marLeft w:val="0"/>
      <w:marRight w:val="0"/>
      <w:marTop w:val="0"/>
      <w:marBottom w:val="0"/>
      <w:divBdr>
        <w:top w:val="none" w:sz="0" w:space="0" w:color="auto"/>
        <w:left w:val="none" w:sz="0" w:space="0" w:color="auto"/>
        <w:bottom w:val="none" w:sz="0" w:space="0" w:color="auto"/>
        <w:right w:val="none" w:sz="0" w:space="0" w:color="auto"/>
      </w:divBdr>
    </w:div>
    <w:div w:id="1498572171">
      <w:bodyDiv w:val="1"/>
      <w:marLeft w:val="0"/>
      <w:marRight w:val="0"/>
      <w:marTop w:val="0"/>
      <w:marBottom w:val="0"/>
      <w:divBdr>
        <w:top w:val="none" w:sz="0" w:space="0" w:color="auto"/>
        <w:left w:val="none" w:sz="0" w:space="0" w:color="auto"/>
        <w:bottom w:val="none" w:sz="0" w:space="0" w:color="auto"/>
        <w:right w:val="none" w:sz="0" w:space="0" w:color="auto"/>
      </w:divBdr>
    </w:div>
    <w:div w:id="1521049874">
      <w:bodyDiv w:val="1"/>
      <w:marLeft w:val="0"/>
      <w:marRight w:val="0"/>
      <w:marTop w:val="0"/>
      <w:marBottom w:val="0"/>
      <w:divBdr>
        <w:top w:val="none" w:sz="0" w:space="0" w:color="auto"/>
        <w:left w:val="none" w:sz="0" w:space="0" w:color="auto"/>
        <w:bottom w:val="none" w:sz="0" w:space="0" w:color="auto"/>
        <w:right w:val="none" w:sz="0" w:space="0" w:color="auto"/>
      </w:divBdr>
    </w:div>
    <w:div w:id="1524632408">
      <w:bodyDiv w:val="1"/>
      <w:marLeft w:val="0"/>
      <w:marRight w:val="0"/>
      <w:marTop w:val="0"/>
      <w:marBottom w:val="0"/>
      <w:divBdr>
        <w:top w:val="none" w:sz="0" w:space="0" w:color="auto"/>
        <w:left w:val="none" w:sz="0" w:space="0" w:color="auto"/>
        <w:bottom w:val="none" w:sz="0" w:space="0" w:color="auto"/>
        <w:right w:val="none" w:sz="0" w:space="0" w:color="auto"/>
      </w:divBdr>
    </w:div>
    <w:div w:id="1527862831">
      <w:bodyDiv w:val="1"/>
      <w:marLeft w:val="0"/>
      <w:marRight w:val="0"/>
      <w:marTop w:val="0"/>
      <w:marBottom w:val="0"/>
      <w:divBdr>
        <w:top w:val="none" w:sz="0" w:space="0" w:color="auto"/>
        <w:left w:val="none" w:sz="0" w:space="0" w:color="auto"/>
        <w:bottom w:val="none" w:sz="0" w:space="0" w:color="auto"/>
        <w:right w:val="none" w:sz="0" w:space="0" w:color="auto"/>
      </w:divBdr>
    </w:div>
    <w:div w:id="1549804672">
      <w:bodyDiv w:val="1"/>
      <w:marLeft w:val="0"/>
      <w:marRight w:val="0"/>
      <w:marTop w:val="0"/>
      <w:marBottom w:val="0"/>
      <w:divBdr>
        <w:top w:val="none" w:sz="0" w:space="0" w:color="auto"/>
        <w:left w:val="none" w:sz="0" w:space="0" w:color="auto"/>
        <w:bottom w:val="none" w:sz="0" w:space="0" w:color="auto"/>
        <w:right w:val="none" w:sz="0" w:space="0" w:color="auto"/>
      </w:divBdr>
    </w:div>
    <w:div w:id="1549998599">
      <w:bodyDiv w:val="1"/>
      <w:marLeft w:val="0"/>
      <w:marRight w:val="0"/>
      <w:marTop w:val="0"/>
      <w:marBottom w:val="0"/>
      <w:divBdr>
        <w:top w:val="none" w:sz="0" w:space="0" w:color="auto"/>
        <w:left w:val="none" w:sz="0" w:space="0" w:color="auto"/>
        <w:bottom w:val="none" w:sz="0" w:space="0" w:color="auto"/>
        <w:right w:val="none" w:sz="0" w:space="0" w:color="auto"/>
      </w:divBdr>
    </w:div>
    <w:div w:id="1560702497">
      <w:bodyDiv w:val="1"/>
      <w:marLeft w:val="0"/>
      <w:marRight w:val="0"/>
      <w:marTop w:val="0"/>
      <w:marBottom w:val="0"/>
      <w:divBdr>
        <w:top w:val="none" w:sz="0" w:space="0" w:color="auto"/>
        <w:left w:val="none" w:sz="0" w:space="0" w:color="auto"/>
        <w:bottom w:val="none" w:sz="0" w:space="0" w:color="auto"/>
        <w:right w:val="none" w:sz="0" w:space="0" w:color="auto"/>
      </w:divBdr>
    </w:div>
    <w:div w:id="1601138374">
      <w:bodyDiv w:val="1"/>
      <w:marLeft w:val="0"/>
      <w:marRight w:val="0"/>
      <w:marTop w:val="0"/>
      <w:marBottom w:val="0"/>
      <w:divBdr>
        <w:top w:val="none" w:sz="0" w:space="0" w:color="auto"/>
        <w:left w:val="none" w:sz="0" w:space="0" w:color="auto"/>
        <w:bottom w:val="none" w:sz="0" w:space="0" w:color="auto"/>
        <w:right w:val="none" w:sz="0" w:space="0" w:color="auto"/>
      </w:divBdr>
      <w:divsChild>
        <w:div w:id="1252423225">
          <w:marLeft w:val="0"/>
          <w:marRight w:val="0"/>
          <w:marTop w:val="0"/>
          <w:marBottom w:val="0"/>
          <w:divBdr>
            <w:top w:val="none" w:sz="0" w:space="0" w:color="auto"/>
            <w:left w:val="none" w:sz="0" w:space="0" w:color="auto"/>
            <w:bottom w:val="none" w:sz="0" w:space="0" w:color="auto"/>
            <w:right w:val="none" w:sz="0" w:space="0" w:color="auto"/>
          </w:divBdr>
          <w:divsChild>
            <w:div w:id="963121172">
              <w:marLeft w:val="0"/>
              <w:marRight w:val="0"/>
              <w:marTop w:val="0"/>
              <w:marBottom w:val="0"/>
              <w:divBdr>
                <w:top w:val="none" w:sz="0" w:space="0" w:color="auto"/>
                <w:left w:val="none" w:sz="0" w:space="0" w:color="auto"/>
                <w:bottom w:val="none" w:sz="0" w:space="0" w:color="auto"/>
                <w:right w:val="none" w:sz="0" w:space="0" w:color="auto"/>
              </w:divBdr>
              <w:divsChild>
                <w:div w:id="1346858320">
                  <w:marLeft w:val="0"/>
                  <w:marRight w:val="0"/>
                  <w:marTop w:val="0"/>
                  <w:marBottom w:val="0"/>
                  <w:divBdr>
                    <w:top w:val="none" w:sz="0" w:space="0" w:color="auto"/>
                    <w:left w:val="none" w:sz="0" w:space="0" w:color="auto"/>
                    <w:bottom w:val="none" w:sz="0" w:space="0" w:color="auto"/>
                    <w:right w:val="none" w:sz="0" w:space="0" w:color="auto"/>
                  </w:divBdr>
                  <w:divsChild>
                    <w:div w:id="3978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17082">
          <w:marLeft w:val="0"/>
          <w:marRight w:val="0"/>
          <w:marTop w:val="0"/>
          <w:marBottom w:val="0"/>
          <w:divBdr>
            <w:top w:val="none" w:sz="0" w:space="0" w:color="auto"/>
            <w:left w:val="none" w:sz="0" w:space="0" w:color="auto"/>
            <w:bottom w:val="none" w:sz="0" w:space="0" w:color="auto"/>
            <w:right w:val="none" w:sz="0" w:space="0" w:color="auto"/>
          </w:divBdr>
          <w:divsChild>
            <w:div w:id="2023315334">
              <w:marLeft w:val="0"/>
              <w:marRight w:val="0"/>
              <w:marTop w:val="0"/>
              <w:marBottom w:val="0"/>
              <w:divBdr>
                <w:top w:val="none" w:sz="0" w:space="0" w:color="auto"/>
                <w:left w:val="none" w:sz="0" w:space="0" w:color="auto"/>
                <w:bottom w:val="none" w:sz="0" w:space="0" w:color="auto"/>
                <w:right w:val="none" w:sz="0" w:space="0" w:color="auto"/>
              </w:divBdr>
              <w:divsChild>
                <w:div w:id="714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3106">
      <w:bodyDiv w:val="1"/>
      <w:marLeft w:val="0"/>
      <w:marRight w:val="0"/>
      <w:marTop w:val="0"/>
      <w:marBottom w:val="0"/>
      <w:divBdr>
        <w:top w:val="none" w:sz="0" w:space="0" w:color="auto"/>
        <w:left w:val="none" w:sz="0" w:space="0" w:color="auto"/>
        <w:bottom w:val="none" w:sz="0" w:space="0" w:color="auto"/>
        <w:right w:val="none" w:sz="0" w:space="0" w:color="auto"/>
      </w:divBdr>
    </w:div>
    <w:div w:id="1642884766">
      <w:bodyDiv w:val="1"/>
      <w:marLeft w:val="0"/>
      <w:marRight w:val="0"/>
      <w:marTop w:val="0"/>
      <w:marBottom w:val="0"/>
      <w:divBdr>
        <w:top w:val="none" w:sz="0" w:space="0" w:color="auto"/>
        <w:left w:val="none" w:sz="0" w:space="0" w:color="auto"/>
        <w:bottom w:val="none" w:sz="0" w:space="0" w:color="auto"/>
        <w:right w:val="none" w:sz="0" w:space="0" w:color="auto"/>
      </w:divBdr>
    </w:div>
    <w:div w:id="1659380064">
      <w:bodyDiv w:val="1"/>
      <w:marLeft w:val="0"/>
      <w:marRight w:val="0"/>
      <w:marTop w:val="0"/>
      <w:marBottom w:val="0"/>
      <w:divBdr>
        <w:top w:val="none" w:sz="0" w:space="0" w:color="auto"/>
        <w:left w:val="none" w:sz="0" w:space="0" w:color="auto"/>
        <w:bottom w:val="none" w:sz="0" w:space="0" w:color="auto"/>
        <w:right w:val="none" w:sz="0" w:space="0" w:color="auto"/>
      </w:divBdr>
    </w:div>
    <w:div w:id="1698044851">
      <w:bodyDiv w:val="1"/>
      <w:marLeft w:val="0"/>
      <w:marRight w:val="0"/>
      <w:marTop w:val="0"/>
      <w:marBottom w:val="0"/>
      <w:divBdr>
        <w:top w:val="none" w:sz="0" w:space="0" w:color="auto"/>
        <w:left w:val="none" w:sz="0" w:space="0" w:color="auto"/>
        <w:bottom w:val="none" w:sz="0" w:space="0" w:color="auto"/>
        <w:right w:val="none" w:sz="0" w:space="0" w:color="auto"/>
      </w:divBdr>
    </w:div>
    <w:div w:id="1701080112">
      <w:bodyDiv w:val="1"/>
      <w:marLeft w:val="0"/>
      <w:marRight w:val="0"/>
      <w:marTop w:val="0"/>
      <w:marBottom w:val="0"/>
      <w:divBdr>
        <w:top w:val="none" w:sz="0" w:space="0" w:color="auto"/>
        <w:left w:val="none" w:sz="0" w:space="0" w:color="auto"/>
        <w:bottom w:val="none" w:sz="0" w:space="0" w:color="auto"/>
        <w:right w:val="none" w:sz="0" w:space="0" w:color="auto"/>
      </w:divBdr>
    </w:div>
    <w:div w:id="1708144634">
      <w:bodyDiv w:val="1"/>
      <w:marLeft w:val="0"/>
      <w:marRight w:val="0"/>
      <w:marTop w:val="0"/>
      <w:marBottom w:val="0"/>
      <w:divBdr>
        <w:top w:val="none" w:sz="0" w:space="0" w:color="auto"/>
        <w:left w:val="none" w:sz="0" w:space="0" w:color="auto"/>
        <w:bottom w:val="none" w:sz="0" w:space="0" w:color="auto"/>
        <w:right w:val="none" w:sz="0" w:space="0" w:color="auto"/>
      </w:divBdr>
    </w:div>
    <w:div w:id="1733000534">
      <w:bodyDiv w:val="1"/>
      <w:marLeft w:val="0"/>
      <w:marRight w:val="0"/>
      <w:marTop w:val="0"/>
      <w:marBottom w:val="0"/>
      <w:divBdr>
        <w:top w:val="none" w:sz="0" w:space="0" w:color="auto"/>
        <w:left w:val="none" w:sz="0" w:space="0" w:color="auto"/>
        <w:bottom w:val="none" w:sz="0" w:space="0" w:color="auto"/>
        <w:right w:val="none" w:sz="0" w:space="0" w:color="auto"/>
      </w:divBdr>
    </w:div>
    <w:div w:id="1738286351">
      <w:bodyDiv w:val="1"/>
      <w:marLeft w:val="0"/>
      <w:marRight w:val="0"/>
      <w:marTop w:val="0"/>
      <w:marBottom w:val="0"/>
      <w:divBdr>
        <w:top w:val="none" w:sz="0" w:space="0" w:color="auto"/>
        <w:left w:val="none" w:sz="0" w:space="0" w:color="auto"/>
        <w:bottom w:val="none" w:sz="0" w:space="0" w:color="auto"/>
        <w:right w:val="none" w:sz="0" w:space="0" w:color="auto"/>
      </w:divBdr>
    </w:div>
    <w:div w:id="1740012941">
      <w:bodyDiv w:val="1"/>
      <w:marLeft w:val="0"/>
      <w:marRight w:val="0"/>
      <w:marTop w:val="0"/>
      <w:marBottom w:val="0"/>
      <w:divBdr>
        <w:top w:val="none" w:sz="0" w:space="0" w:color="auto"/>
        <w:left w:val="none" w:sz="0" w:space="0" w:color="auto"/>
        <w:bottom w:val="none" w:sz="0" w:space="0" w:color="auto"/>
        <w:right w:val="none" w:sz="0" w:space="0" w:color="auto"/>
      </w:divBdr>
    </w:div>
    <w:div w:id="1746148827">
      <w:bodyDiv w:val="1"/>
      <w:marLeft w:val="0"/>
      <w:marRight w:val="0"/>
      <w:marTop w:val="0"/>
      <w:marBottom w:val="0"/>
      <w:divBdr>
        <w:top w:val="none" w:sz="0" w:space="0" w:color="auto"/>
        <w:left w:val="none" w:sz="0" w:space="0" w:color="auto"/>
        <w:bottom w:val="none" w:sz="0" w:space="0" w:color="auto"/>
        <w:right w:val="none" w:sz="0" w:space="0" w:color="auto"/>
      </w:divBdr>
    </w:div>
    <w:div w:id="1754669583">
      <w:bodyDiv w:val="1"/>
      <w:marLeft w:val="0"/>
      <w:marRight w:val="0"/>
      <w:marTop w:val="0"/>
      <w:marBottom w:val="0"/>
      <w:divBdr>
        <w:top w:val="none" w:sz="0" w:space="0" w:color="auto"/>
        <w:left w:val="none" w:sz="0" w:space="0" w:color="auto"/>
        <w:bottom w:val="none" w:sz="0" w:space="0" w:color="auto"/>
        <w:right w:val="none" w:sz="0" w:space="0" w:color="auto"/>
      </w:divBdr>
    </w:div>
    <w:div w:id="1780485127">
      <w:bodyDiv w:val="1"/>
      <w:marLeft w:val="0"/>
      <w:marRight w:val="0"/>
      <w:marTop w:val="0"/>
      <w:marBottom w:val="0"/>
      <w:divBdr>
        <w:top w:val="none" w:sz="0" w:space="0" w:color="auto"/>
        <w:left w:val="none" w:sz="0" w:space="0" w:color="auto"/>
        <w:bottom w:val="none" w:sz="0" w:space="0" w:color="auto"/>
        <w:right w:val="none" w:sz="0" w:space="0" w:color="auto"/>
      </w:divBdr>
    </w:div>
    <w:div w:id="1798647862">
      <w:bodyDiv w:val="1"/>
      <w:marLeft w:val="0"/>
      <w:marRight w:val="0"/>
      <w:marTop w:val="0"/>
      <w:marBottom w:val="0"/>
      <w:divBdr>
        <w:top w:val="none" w:sz="0" w:space="0" w:color="auto"/>
        <w:left w:val="none" w:sz="0" w:space="0" w:color="auto"/>
        <w:bottom w:val="none" w:sz="0" w:space="0" w:color="auto"/>
        <w:right w:val="none" w:sz="0" w:space="0" w:color="auto"/>
      </w:divBdr>
    </w:div>
    <w:div w:id="1803578483">
      <w:bodyDiv w:val="1"/>
      <w:marLeft w:val="0"/>
      <w:marRight w:val="0"/>
      <w:marTop w:val="0"/>
      <w:marBottom w:val="0"/>
      <w:divBdr>
        <w:top w:val="none" w:sz="0" w:space="0" w:color="auto"/>
        <w:left w:val="none" w:sz="0" w:space="0" w:color="auto"/>
        <w:bottom w:val="none" w:sz="0" w:space="0" w:color="auto"/>
        <w:right w:val="none" w:sz="0" w:space="0" w:color="auto"/>
      </w:divBdr>
    </w:div>
    <w:div w:id="1804225633">
      <w:bodyDiv w:val="1"/>
      <w:marLeft w:val="0"/>
      <w:marRight w:val="0"/>
      <w:marTop w:val="0"/>
      <w:marBottom w:val="0"/>
      <w:divBdr>
        <w:top w:val="none" w:sz="0" w:space="0" w:color="auto"/>
        <w:left w:val="none" w:sz="0" w:space="0" w:color="auto"/>
        <w:bottom w:val="none" w:sz="0" w:space="0" w:color="auto"/>
        <w:right w:val="none" w:sz="0" w:space="0" w:color="auto"/>
      </w:divBdr>
    </w:div>
    <w:div w:id="1807039220">
      <w:bodyDiv w:val="1"/>
      <w:marLeft w:val="0"/>
      <w:marRight w:val="0"/>
      <w:marTop w:val="0"/>
      <w:marBottom w:val="0"/>
      <w:divBdr>
        <w:top w:val="none" w:sz="0" w:space="0" w:color="auto"/>
        <w:left w:val="none" w:sz="0" w:space="0" w:color="auto"/>
        <w:bottom w:val="none" w:sz="0" w:space="0" w:color="auto"/>
        <w:right w:val="none" w:sz="0" w:space="0" w:color="auto"/>
      </w:divBdr>
    </w:div>
    <w:div w:id="1809083732">
      <w:bodyDiv w:val="1"/>
      <w:marLeft w:val="0"/>
      <w:marRight w:val="0"/>
      <w:marTop w:val="0"/>
      <w:marBottom w:val="0"/>
      <w:divBdr>
        <w:top w:val="none" w:sz="0" w:space="0" w:color="auto"/>
        <w:left w:val="none" w:sz="0" w:space="0" w:color="auto"/>
        <w:bottom w:val="none" w:sz="0" w:space="0" w:color="auto"/>
        <w:right w:val="none" w:sz="0" w:space="0" w:color="auto"/>
      </w:divBdr>
    </w:div>
    <w:div w:id="1810122553">
      <w:bodyDiv w:val="1"/>
      <w:marLeft w:val="0"/>
      <w:marRight w:val="0"/>
      <w:marTop w:val="0"/>
      <w:marBottom w:val="0"/>
      <w:divBdr>
        <w:top w:val="none" w:sz="0" w:space="0" w:color="auto"/>
        <w:left w:val="none" w:sz="0" w:space="0" w:color="auto"/>
        <w:bottom w:val="none" w:sz="0" w:space="0" w:color="auto"/>
        <w:right w:val="none" w:sz="0" w:space="0" w:color="auto"/>
      </w:divBdr>
    </w:div>
    <w:div w:id="1821117604">
      <w:bodyDiv w:val="1"/>
      <w:marLeft w:val="0"/>
      <w:marRight w:val="0"/>
      <w:marTop w:val="0"/>
      <w:marBottom w:val="0"/>
      <w:divBdr>
        <w:top w:val="none" w:sz="0" w:space="0" w:color="auto"/>
        <w:left w:val="none" w:sz="0" w:space="0" w:color="auto"/>
        <w:bottom w:val="none" w:sz="0" w:space="0" w:color="auto"/>
        <w:right w:val="none" w:sz="0" w:space="0" w:color="auto"/>
      </w:divBdr>
    </w:div>
    <w:div w:id="1859461049">
      <w:bodyDiv w:val="1"/>
      <w:marLeft w:val="0"/>
      <w:marRight w:val="0"/>
      <w:marTop w:val="0"/>
      <w:marBottom w:val="0"/>
      <w:divBdr>
        <w:top w:val="none" w:sz="0" w:space="0" w:color="auto"/>
        <w:left w:val="none" w:sz="0" w:space="0" w:color="auto"/>
        <w:bottom w:val="none" w:sz="0" w:space="0" w:color="auto"/>
        <w:right w:val="none" w:sz="0" w:space="0" w:color="auto"/>
      </w:divBdr>
    </w:div>
    <w:div w:id="1859468808">
      <w:bodyDiv w:val="1"/>
      <w:marLeft w:val="0"/>
      <w:marRight w:val="0"/>
      <w:marTop w:val="0"/>
      <w:marBottom w:val="0"/>
      <w:divBdr>
        <w:top w:val="none" w:sz="0" w:space="0" w:color="auto"/>
        <w:left w:val="none" w:sz="0" w:space="0" w:color="auto"/>
        <w:bottom w:val="none" w:sz="0" w:space="0" w:color="auto"/>
        <w:right w:val="none" w:sz="0" w:space="0" w:color="auto"/>
      </w:divBdr>
    </w:div>
    <w:div w:id="1882354934">
      <w:bodyDiv w:val="1"/>
      <w:marLeft w:val="0"/>
      <w:marRight w:val="0"/>
      <w:marTop w:val="0"/>
      <w:marBottom w:val="0"/>
      <w:divBdr>
        <w:top w:val="none" w:sz="0" w:space="0" w:color="auto"/>
        <w:left w:val="none" w:sz="0" w:space="0" w:color="auto"/>
        <w:bottom w:val="none" w:sz="0" w:space="0" w:color="auto"/>
        <w:right w:val="none" w:sz="0" w:space="0" w:color="auto"/>
      </w:divBdr>
    </w:div>
    <w:div w:id="1887326423">
      <w:bodyDiv w:val="1"/>
      <w:marLeft w:val="0"/>
      <w:marRight w:val="0"/>
      <w:marTop w:val="0"/>
      <w:marBottom w:val="0"/>
      <w:divBdr>
        <w:top w:val="none" w:sz="0" w:space="0" w:color="auto"/>
        <w:left w:val="none" w:sz="0" w:space="0" w:color="auto"/>
        <w:bottom w:val="none" w:sz="0" w:space="0" w:color="auto"/>
        <w:right w:val="none" w:sz="0" w:space="0" w:color="auto"/>
      </w:divBdr>
    </w:div>
    <w:div w:id="1898586658">
      <w:bodyDiv w:val="1"/>
      <w:marLeft w:val="0"/>
      <w:marRight w:val="0"/>
      <w:marTop w:val="0"/>
      <w:marBottom w:val="0"/>
      <w:divBdr>
        <w:top w:val="none" w:sz="0" w:space="0" w:color="auto"/>
        <w:left w:val="none" w:sz="0" w:space="0" w:color="auto"/>
        <w:bottom w:val="none" w:sz="0" w:space="0" w:color="auto"/>
        <w:right w:val="none" w:sz="0" w:space="0" w:color="auto"/>
      </w:divBdr>
    </w:div>
    <w:div w:id="1939558516">
      <w:bodyDiv w:val="1"/>
      <w:marLeft w:val="0"/>
      <w:marRight w:val="0"/>
      <w:marTop w:val="0"/>
      <w:marBottom w:val="0"/>
      <w:divBdr>
        <w:top w:val="none" w:sz="0" w:space="0" w:color="auto"/>
        <w:left w:val="none" w:sz="0" w:space="0" w:color="auto"/>
        <w:bottom w:val="none" w:sz="0" w:space="0" w:color="auto"/>
        <w:right w:val="none" w:sz="0" w:space="0" w:color="auto"/>
      </w:divBdr>
    </w:div>
    <w:div w:id="1947150285">
      <w:bodyDiv w:val="1"/>
      <w:marLeft w:val="0"/>
      <w:marRight w:val="0"/>
      <w:marTop w:val="0"/>
      <w:marBottom w:val="0"/>
      <w:divBdr>
        <w:top w:val="none" w:sz="0" w:space="0" w:color="auto"/>
        <w:left w:val="none" w:sz="0" w:space="0" w:color="auto"/>
        <w:bottom w:val="none" w:sz="0" w:space="0" w:color="auto"/>
        <w:right w:val="none" w:sz="0" w:space="0" w:color="auto"/>
      </w:divBdr>
    </w:div>
    <w:div w:id="1964188814">
      <w:bodyDiv w:val="1"/>
      <w:marLeft w:val="0"/>
      <w:marRight w:val="0"/>
      <w:marTop w:val="0"/>
      <w:marBottom w:val="0"/>
      <w:divBdr>
        <w:top w:val="none" w:sz="0" w:space="0" w:color="auto"/>
        <w:left w:val="none" w:sz="0" w:space="0" w:color="auto"/>
        <w:bottom w:val="none" w:sz="0" w:space="0" w:color="auto"/>
        <w:right w:val="none" w:sz="0" w:space="0" w:color="auto"/>
      </w:divBdr>
    </w:div>
    <w:div w:id="1971015257">
      <w:bodyDiv w:val="1"/>
      <w:marLeft w:val="0"/>
      <w:marRight w:val="0"/>
      <w:marTop w:val="0"/>
      <w:marBottom w:val="0"/>
      <w:divBdr>
        <w:top w:val="none" w:sz="0" w:space="0" w:color="auto"/>
        <w:left w:val="none" w:sz="0" w:space="0" w:color="auto"/>
        <w:bottom w:val="none" w:sz="0" w:space="0" w:color="auto"/>
        <w:right w:val="none" w:sz="0" w:space="0" w:color="auto"/>
      </w:divBdr>
    </w:div>
    <w:div w:id="1997371297">
      <w:bodyDiv w:val="1"/>
      <w:marLeft w:val="0"/>
      <w:marRight w:val="0"/>
      <w:marTop w:val="0"/>
      <w:marBottom w:val="0"/>
      <w:divBdr>
        <w:top w:val="none" w:sz="0" w:space="0" w:color="auto"/>
        <w:left w:val="none" w:sz="0" w:space="0" w:color="auto"/>
        <w:bottom w:val="none" w:sz="0" w:space="0" w:color="auto"/>
        <w:right w:val="none" w:sz="0" w:space="0" w:color="auto"/>
      </w:divBdr>
    </w:div>
    <w:div w:id="2000692994">
      <w:bodyDiv w:val="1"/>
      <w:marLeft w:val="0"/>
      <w:marRight w:val="0"/>
      <w:marTop w:val="0"/>
      <w:marBottom w:val="0"/>
      <w:divBdr>
        <w:top w:val="none" w:sz="0" w:space="0" w:color="auto"/>
        <w:left w:val="none" w:sz="0" w:space="0" w:color="auto"/>
        <w:bottom w:val="none" w:sz="0" w:space="0" w:color="auto"/>
        <w:right w:val="none" w:sz="0" w:space="0" w:color="auto"/>
      </w:divBdr>
    </w:div>
    <w:div w:id="2022316611">
      <w:bodyDiv w:val="1"/>
      <w:marLeft w:val="0"/>
      <w:marRight w:val="0"/>
      <w:marTop w:val="0"/>
      <w:marBottom w:val="0"/>
      <w:divBdr>
        <w:top w:val="none" w:sz="0" w:space="0" w:color="auto"/>
        <w:left w:val="none" w:sz="0" w:space="0" w:color="auto"/>
        <w:bottom w:val="none" w:sz="0" w:space="0" w:color="auto"/>
        <w:right w:val="none" w:sz="0" w:space="0" w:color="auto"/>
      </w:divBdr>
      <w:divsChild>
        <w:div w:id="602344642">
          <w:marLeft w:val="0"/>
          <w:marRight w:val="0"/>
          <w:marTop w:val="0"/>
          <w:marBottom w:val="0"/>
          <w:divBdr>
            <w:top w:val="none" w:sz="0" w:space="0" w:color="auto"/>
            <w:left w:val="none" w:sz="0" w:space="0" w:color="auto"/>
            <w:bottom w:val="none" w:sz="0" w:space="0" w:color="auto"/>
            <w:right w:val="none" w:sz="0" w:space="0" w:color="auto"/>
          </w:divBdr>
        </w:div>
      </w:divsChild>
    </w:div>
    <w:div w:id="2032562186">
      <w:bodyDiv w:val="1"/>
      <w:marLeft w:val="0"/>
      <w:marRight w:val="0"/>
      <w:marTop w:val="0"/>
      <w:marBottom w:val="0"/>
      <w:divBdr>
        <w:top w:val="none" w:sz="0" w:space="0" w:color="auto"/>
        <w:left w:val="none" w:sz="0" w:space="0" w:color="auto"/>
        <w:bottom w:val="none" w:sz="0" w:space="0" w:color="auto"/>
        <w:right w:val="none" w:sz="0" w:space="0" w:color="auto"/>
      </w:divBdr>
    </w:div>
    <w:div w:id="2091340960">
      <w:bodyDiv w:val="1"/>
      <w:marLeft w:val="0"/>
      <w:marRight w:val="0"/>
      <w:marTop w:val="0"/>
      <w:marBottom w:val="0"/>
      <w:divBdr>
        <w:top w:val="none" w:sz="0" w:space="0" w:color="auto"/>
        <w:left w:val="none" w:sz="0" w:space="0" w:color="auto"/>
        <w:bottom w:val="none" w:sz="0" w:space="0" w:color="auto"/>
        <w:right w:val="none" w:sz="0" w:space="0" w:color="auto"/>
      </w:divBdr>
    </w:div>
    <w:div w:id="2112318965">
      <w:bodyDiv w:val="1"/>
      <w:marLeft w:val="0"/>
      <w:marRight w:val="0"/>
      <w:marTop w:val="0"/>
      <w:marBottom w:val="0"/>
      <w:divBdr>
        <w:top w:val="none" w:sz="0" w:space="0" w:color="auto"/>
        <w:left w:val="none" w:sz="0" w:space="0" w:color="auto"/>
        <w:bottom w:val="none" w:sz="0" w:space="0" w:color="auto"/>
        <w:right w:val="none" w:sz="0" w:space="0" w:color="auto"/>
      </w:divBdr>
    </w:div>
    <w:div w:id="2132085425">
      <w:bodyDiv w:val="1"/>
      <w:marLeft w:val="0"/>
      <w:marRight w:val="0"/>
      <w:marTop w:val="0"/>
      <w:marBottom w:val="0"/>
      <w:divBdr>
        <w:top w:val="none" w:sz="0" w:space="0" w:color="auto"/>
        <w:left w:val="none" w:sz="0" w:space="0" w:color="auto"/>
        <w:bottom w:val="none" w:sz="0" w:space="0" w:color="auto"/>
        <w:right w:val="none" w:sz="0" w:space="0" w:color="auto"/>
      </w:divBdr>
    </w:div>
    <w:div w:id="2139950450">
      <w:bodyDiv w:val="1"/>
      <w:marLeft w:val="0"/>
      <w:marRight w:val="0"/>
      <w:marTop w:val="0"/>
      <w:marBottom w:val="0"/>
      <w:divBdr>
        <w:top w:val="none" w:sz="0" w:space="0" w:color="auto"/>
        <w:left w:val="none" w:sz="0" w:space="0" w:color="auto"/>
        <w:bottom w:val="none" w:sz="0" w:space="0" w:color="auto"/>
        <w:right w:val="none" w:sz="0" w:space="0" w:color="auto"/>
      </w:divBdr>
    </w:div>
    <w:div w:id="214225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tes.google.com/nihr.ac.uk/include/home/guid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anne.aitken.1@city.ac.uk" TargetMode="External"/><Relationship Id="rId5" Type="http://schemas.openxmlformats.org/officeDocument/2006/relationships/numbering" Target="numbering.xml"/><Relationship Id="rId15" Type="http://schemas.openxmlformats.org/officeDocument/2006/relationships/hyperlink" Target="https://data-protection.ed.ac.uk/contac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437490C268D0419EBC969C01FAE001"/>
        <w:category>
          <w:name w:val="General"/>
          <w:gallery w:val="placeholder"/>
        </w:category>
        <w:types>
          <w:type w:val="bbPlcHdr"/>
        </w:types>
        <w:behaviors>
          <w:behavior w:val="content"/>
        </w:behaviors>
        <w:guid w:val="{4E6C9DC4-2B23-B242-95CA-53CB49F02FF6}"/>
      </w:docPartPr>
      <w:docPartBody>
        <w:p w:rsidR="000F7C1C" w:rsidRDefault="000F7C1C">
          <w:pPr>
            <w:pStyle w:val="26437490C268D0419EBC969C01FAE001"/>
          </w:pPr>
          <w:r w:rsidRPr="00351BF4">
            <w:rPr>
              <w:rStyle w:val="PlaceholderText"/>
            </w:rPr>
            <w:t>Formatting...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B3"/>
    <w:rsid w:val="000245E7"/>
    <w:rsid w:val="0006788B"/>
    <w:rsid w:val="00075438"/>
    <w:rsid w:val="000F7C1C"/>
    <w:rsid w:val="001C672F"/>
    <w:rsid w:val="0024682B"/>
    <w:rsid w:val="00297841"/>
    <w:rsid w:val="00381FC4"/>
    <w:rsid w:val="004B40FA"/>
    <w:rsid w:val="004E0E6B"/>
    <w:rsid w:val="00535178"/>
    <w:rsid w:val="00651812"/>
    <w:rsid w:val="006604FC"/>
    <w:rsid w:val="006B3825"/>
    <w:rsid w:val="006C04C9"/>
    <w:rsid w:val="00730162"/>
    <w:rsid w:val="007655D5"/>
    <w:rsid w:val="007B23D9"/>
    <w:rsid w:val="007C7DFC"/>
    <w:rsid w:val="007D6C8F"/>
    <w:rsid w:val="00845D7B"/>
    <w:rsid w:val="008F38EF"/>
    <w:rsid w:val="00927090"/>
    <w:rsid w:val="009624E2"/>
    <w:rsid w:val="00963CF5"/>
    <w:rsid w:val="009D59C4"/>
    <w:rsid w:val="00A30D27"/>
    <w:rsid w:val="00A51CA8"/>
    <w:rsid w:val="00A67503"/>
    <w:rsid w:val="00AD24C2"/>
    <w:rsid w:val="00AE2D89"/>
    <w:rsid w:val="00CA669E"/>
    <w:rsid w:val="00D03C93"/>
    <w:rsid w:val="00D51436"/>
    <w:rsid w:val="00D9328C"/>
    <w:rsid w:val="00D93C34"/>
    <w:rsid w:val="00D97DFA"/>
    <w:rsid w:val="00DB5EB3"/>
    <w:rsid w:val="00DF3461"/>
    <w:rsid w:val="00DF3B58"/>
    <w:rsid w:val="00E910C5"/>
    <w:rsid w:val="00EA643B"/>
    <w:rsid w:val="00ED0395"/>
    <w:rsid w:val="00EE60DD"/>
    <w:rsid w:val="00F57292"/>
    <w:rsid w:val="00F72AC5"/>
    <w:rsid w:val="00FC4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26437490C268D0419EBC969C01FAE001">
    <w:name w:val="26437490C268D0419EBC969C01FAE0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9BBF41B-80D8-764C-A8D8-B9C7A919D70F}">
  <we:reference id="8c1c3d44-57e9-40d7-86e4-4adf61fea1dd" version="2.1.0.1" store="EXCatalog" storeType="EXCatalog"/>
  <we:alternateReferences>
    <we:reference id="WA104380122" version="2.1.0.1" store="en-GB" storeType="OMEX"/>
  </we:alternateReferences>
  <we:properties>
    <we:property name="bibliographyEnabled" value="&quot;bibliographyEnabled&quot;"/>
    <we:property name="citations" value="{&quot;354927264&quot;:{&quot;referencesIds&quot;:[&quot;doc:6241c6938f08376dafa8566b&quot;],&quot;referencesOptions&quot;:{&quot;doc:6241c6938f08376dafa8566b&quot;:{&quot;author&quot;:true,&quot;year&quot;:true,&quot;pageReplace&quot;:&quot;&quot;,&quot;prefix&quot;:&quot;&quot;,&quot;suffix&quot;:&quot;&quot;}},&quot;hasBrokenReferences&quot;:false,&quot;hasManualEdits&quot;:false,&quot;citationType&quot;:&quot;inline&quot;,&quot;id&quot;:354927264,&quot;citationText&quot;:&quot;&lt;span style=\&quot;font-family:Calibri;font-size:14.666666666666666px;color:#000000\&quot;&gt;&lt;sup&gt;12&lt;/sup&gt;&lt;/span&gt;&quot;},&quot;547037906&quot;:{&quot;referencesIds&quot;:[&quot;doc:66cc816fe4218f3040798040&quot;],&quot;referencesOptions&quot;:{&quot;doc:66cc816fe4218f3040798040&quot;:{&quot;author&quot;:true,&quot;year&quot;:true,&quot;pageReplace&quot;:&quot;&quot;,&quot;prefix&quot;:&quot;&quot;,&quot;suffix&quot;:&quot;&quot;}},&quot;hasBrokenReferences&quot;:false,&quot;hasManualEdits&quot;:false,&quot;citationType&quot;:&quot;inline&quot;,&quot;id&quot;:547037906,&quot;citationText&quot;:&quot;&lt;span style=\&quot;font-family:Calibri;font-size:14.666666666666666px;color:#000000\&quot;&gt;&lt;sup&gt;14&lt;/sup&gt;&lt;/span&gt;&quot;},&quot;896857686&quot;:{&quot;referencesIds&quot;:[&quot;doc:66cc80c2ad4aca3fe63ca975&quot;],&quot;referencesOptions&quot;:{&quot;doc:66cc80c2ad4aca3fe63ca975&quot;:{&quot;author&quot;:true,&quot;year&quot;:true,&quot;pageReplace&quot;:&quot;&quot;,&quot;prefix&quot;:&quot;&quot;,&quot;suffix&quot;:&quot;&quot;}},&quot;hasBrokenReferences&quot;:false,&quot;hasManualEdits&quot;:false,&quot;citationType&quot;:&quot;inline&quot;,&quot;id&quot;:896857686,&quot;citationText&quot;:&quot;&lt;span style=\&quot;font-family:Calibri;font-size:14.666666666666666px;color:#000000\&quot;&gt;&lt;sup&gt;16&lt;/sup&gt;&lt;/span&gt;&quot;},&quot;968399523&quot;:{&quot;referencesIds&quot;:[&quot;doc:6697ad1155814b11d1d377b0&quot;],&quot;referencesOptions&quot;:{&quot;doc:6697ad1155814b11d1d377b0&quot;:{&quot;author&quot;:true,&quot;year&quot;:true,&quot;pageReplace&quot;:&quot;&quot;,&quot;prefix&quot;:&quot;&quot;,&quot;suffix&quot;:&quot;&quot;}},&quot;hasBrokenReferences&quot;:false,&quot;hasManualEdits&quot;:false,&quot;citationType&quot;:&quot;inline&quot;,&quot;id&quot;:968399523,&quot;citationText&quot;:&quot;&lt;span style=\&quot;font-family:Calibri;font-size:14.666666666666666px;color:#000000\&quot;&gt;&lt;sup&gt;3&lt;/sup&gt;&lt;/span&gt;&quot;},&quot;1736053191&quot;:{&quot;referencesIds&quot;:[&quot;doc:64107e12ae2fe00556b67a1d&quot;],&quot;referencesOptions&quot;:{&quot;doc:64107e12ae2fe00556b67a1d&quot;:{&quot;author&quot;:true,&quot;year&quot;:true,&quot;pageReplace&quot;:&quot;&quot;,&quot;prefix&quot;:&quot;&quot;,&quot;suffix&quot;:&quot;&quot;}},&quot;hasBrokenReferences&quot;:false,&quot;hasManualEdits&quot;:false,&quot;citationType&quot;:&quot;inline&quot;,&quot;id&quot;:1736053191,&quot;citationText&quot;:&quot;&lt;span style=\&quot;font-family:Calibri;font-size:14.666666666666666px;color:#000000\&quot;&gt;&lt;sup&gt;6&lt;/sup&gt;&lt;/span&gt;&quot;},&quot;1909653571&quot;:{&quot;referencesIds&quot;:[&quot;doc:66cc804938972c0baadeb168&quot;],&quot;referencesOptions&quot;:{&quot;doc:66cc804938972c0baadeb168&quot;:{&quot;author&quot;:true,&quot;year&quot;:true,&quot;pageReplace&quot;:&quot;&quot;,&quot;prefix&quot;:&quot;&quot;,&quot;suffix&quot;:&quot;&quot;}},&quot;hasBrokenReferences&quot;:false,&quot;hasManualEdits&quot;:false,&quot;citationType&quot;:&quot;inline&quot;,&quot;id&quot;:1909653571,&quot;citationText&quot;:&quot;&lt;span style=\&quot;font-family:Calibri;font-size:14.666666666666666px;color:#000000\&quot;&gt;&lt;sup&gt;10&lt;/sup&gt;&lt;/span&gt;&quot;},&quot;-95329030&quot;:{&quot;referencesIds&quot;:[&quot;doc:6697a99fe61d4c2be856b932&quot;],&quot;referencesOptions&quot;:{&quot;doc:6697a99fe61d4c2be856b932&quot;:{&quot;author&quot;:true,&quot;year&quot;:true,&quot;pageReplace&quot;:&quot;&quot;,&quot;prefix&quot;:&quot;&quot;,&quot;suffix&quot;:&quot;&quot;}},&quot;hasBrokenReferences&quot;:false,&quot;hasManualEdits&quot;:false,&quot;citationType&quot;:&quot;inline&quot;,&quot;id&quot;:-95329030,&quot;citationText&quot;:&quot;&lt;span style=\&quot;font-family:Calibri;font-size:14.666666666666666px;color:#000000\&quot;&gt;&lt;sup&gt;1&lt;/sup&gt;&lt;/span&gt;&quot;},&quot;-508375124&quot;:{&quot;referencesIds&quot;:[&quot;doc:6697aa9fe61d4c2be856b941&quot;],&quot;referencesOptions&quot;:{&quot;doc:6697aa9fe61d4c2be856b941&quot;:{&quot;author&quot;:true,&quot;year&quot;:true,&quot;pageReplace&quot;:&quot;&quot;,&quot;prefix&quot;:&quot;&quot;,&quot;suffix&quot;:&quot;&quot;}},&quot;hasBrokenReferences&quot;:false,&quot;hasManualEdits&quot;:false,&quot;citationType&quot;:&quot;inline&quot;,&quot;id&quot;:-508375124,&quot;citationText&quot;:&quot;&lt;span style=\&quot;font-family:Calibri;font-size:14.666666666666666px;color:#000000\&quot;&gt;&lt;sup&gt;2&lt;/sup&gt;&lt;/span&gt;&quot;},&quot;-783039679&quot;:{&quot;referencesIds&quot;:[&quot;doc:6697ad66fe99574866a5e5df&quot;],&quot;referencesOptions&quot;:{&quot;doc:6697ad66fe99574866a5e5df&quot;:{&quot;author&quot;:true,&quot;year&quot;:true,&quot;pageReplace&quot;:&quot;&quot;,&quot;prefix&quot;:&quot;&quot;,&quot;suffix&quot;:&quot;&quot;}},&quot;hasBrokenReferences&quot;:false,&quot;hasManualEdits&quot;:false,&quot;citationType&quot;:&quot;inline&quot;,&quot;id&quot;:-783039679,&quot;citationText&quot;:&quot;&lt;span style=\&quot;font-family:Calibri;font-size:14.666666666666666px;color:#000000\&quot;&gt;&lt;sup&gt;4&lt;/sup&gt;&lt;/span&gt;&quot;},&quot;-787656253&quot;:{&quot;referencesIds&quot;:[&quot;doc:669798945a03655a873f5689&quot;],&quot;referencesOptions&quot;:{&quot;doc:669798945a03655a873f5689&quot;:{&quot;author&quot;:true,&quot;year&quot;:true,&quot;pageReplace&quot;:&quot;&quot;,&quot;prefix&quot;:&quot;&quot;,&quot;suffix&quot;:&quot;&quot;}},&quot;hasBrokenReferences&quot;:false,&quot;hasManualEdits&quot;:false,&quot;citationType&quot;:&quot;inline&quot;,&quot;id&quot;:-787656253,&quot;citationText&quot;:&quot;&lt;span style=\&quot;font-family:Calibri;font-size:14.666666666666666px;color:#000000\&quot;&gt;&lt;sup&gt;5&lt;/sup&gt;&lt;/span&gt;&quot;},&quot;-1647349630&quot;:{&quot;referencesIds&quot;:[&quot;doc:64e47efe8244f35ad3b2abd2&quot;],&quot;referencesOptions&quot;:{&quot;doc:64e47efe8244f35ad3b2abd2&quot;:{&quot;author&quot;:true,&quot;year&quot;:true,&quot;pageReplace&quot;:&quot;&quot;,&quot;prefix&quot;:&quot;&quot;,&quot;suffix&quot;:&quot;&quot;}},&quot;hasBrokenReferences&quot;:false,&quot;hasManualEdits&quot;:false,&quot;citationType&quot;:&quot;inline&quot;,&quot;id&quot;:-1647349630,&quot;citationText&quot;:&quot;&lt;span style=\&quot;font-family:Calibri;font-size:14.666666666666666px;color:#000000\&quot;&gt;&lt;sup&gt;7&lt;/sup&gt;&lt;/span&gt;&quot;},&quot;-1301844006&quot;:{&quot;referencesIds&quot;:[&quot;doc:64e487091d2c681a099e7ade&quot;,&quot;doc:64e4871e5404fd11e614b721&quot;],&quot;referencesOptions&quot;:{&quot;doc:64e487091d2c681a099e7ade&quot;:{&quot;author&quot;:true,&quot;year&quot;:true,&quot;pageReplace&quot;:&quot;&quot;,&quot;prefix&quot;:&quot;&quot;,&quot;suffix&quot;:&quot;&quot;},&quot;doc:64e4871e5404fd11e614b721&quot;:{&quot;author&quot;:true,&quot;year&quot;:true,&quot;pageReplace&quot;:&quot;&quot;,&quot;prefix&quot;:&quot;&quot;,&quot;suffix&quot;:&quot;&quot;}},&quot;hasBrokenReferences&quot;:false,&quot;hasManualEdits&quot;:false,&quot;citationType&quot;:&quot;inline&quot;,&quot;id&quot;:-1301844006,&quot;citationText&quot;:&quot;&lt;span style=\&quot;font-family:Calibri;font-size:14.666666666666666px;color:#000000\&quot;&gt;&lt;sup&gt;8,9&lt;/sup&gt;&lt;/span&gt;&quot;},&quot;-879785992&quot;:{&quot;referencesIds&quot;:[&quot;doc:624184c28f086f9af303ae2b&quot;],&quot;referencesOptions&quot;:{&quot;doc:624184c28f086f9af303ae2b&quot;:{&quot;author&quot;:true,&quot;year&quot;:true,&quot;pageReplace&quot;:&quot;&quot;,&quot;prefix&quot;:&quot;&quot;,&quot;suffix&quot;:&quot;&quot;}},&quot;hasBrokenReferences&quot;:false,&quot;hasManualEdits&quot;:false,&quot;citationType&quot;:&quot;inline&quot;,&quot;id&quot;:-879785992,&quot;citationText&quot;:&quot;&lt;span style=\&quot;font-family:Calibri;font-size:14.666666666666666px;color:#000000\&quot;&gt;&lt;sup&gt;11&lt;/sup&gt;&lt;/span&gt;&quot;},&quot;-1157752203&quot;:{&quot;referencesIds&quot;:[&quot;doc:66cc897ed9aeb9328fc5cc37&quot;],&quot;referencesOptions&quot;:{&quot;doc:66cc897ed9aeb9328fc5cc37&quot;:{&quot;author&quot;:true,&quot;year&quot;:true,&quot;pageReplace&quot;:&quot;&quot;,&quot;prefix&quot;:&quot;&quot;,&quot;suffix&quot;:&quot;&quot;}},&quot;hasBrokenReferences&quot;:false,&quot;hasManualEdits&quot;:false,&quot;citationType&quot;:&quot;inline&quot;,&quot;id&quot;:-1157752203,&quot;citationText&quot;:&quot;&lt;span style=\&quot;font-family:Calibri;font-size:14.666666666666666px;color:#000000\&quot;&gt;&lt;sup&gt;13&lt;/sup&gt;&lt;/span&gt;&quot;},&quot;-679195542&quot;:{&quot;referencesIds&quot;:[&quot;doc:667ec3a430d05d60e2a00994&quot;],&quot;referencesOptions&quot;:{&quot;doc:667ec3a430d05d60e2a00994&quot;:{&quot;author&quot;:true,&quot;year&quot;:true,&quot;pageReplace&quot;:&quot;&quot;,&quot;prefix&quot;:&quot;&quot;,&quot;suffix&quot;:&quot;&quot;}},&quot;hasBrokenReferences&quot;:false,&quot;hasManualEdits&quot;:false,&quot;citationType&quot;:&quot;inline&quot;,&quot;id&quot;:-679195542,&quot;citationText&quot;:&quot;&lt;span style=\&quot;font-family:Calibri;font-size:14.666666666666666px;color:#000000\&quot;&gt;&lt;sup&gt;15&lt;/sup&gt;&lt;/span&gt;&quot;}}"/>
    <we:property name="currentFolder" value="{&quot;depth&quot;:0,&quot;id&quot;:&quot;all&quot;,&quot;name&quot;:&quot;All references&quot;,&quot;parentId&quot;:null,&quot;position&quot;:-2,&quot;isShared&quot;:false}"/>
    <we:property name="currentStyle" value="{&quot;id&quot;:&quot;4381&quot;,&quot;styleType&quot;:&quot;refworks&quot;,&quot;name&quot;:&quot;AMA 11th - American Medical Association, 11th Edition&quot;,&quot;isInstitutional&quot;:false,&quot;citeStyle&quot;:&quot;INTEXT_AND_FOOTNOTE&quot;,&quot;isSorted&quot;:false,&quot;usesNumbers&quot;:true,&quot;authorDisambiguation&quot;:&quot;surname_firstname&quot;}"/>
    <we:property name="rcm.version" value="2"/>
    <we:property name="rw.officeVersion" value="&quot;1.3&quot;"/>
    <we:property name="rw.subscriberId" value="&quot;0&quot;"/>
    <we:property name="rw.userId" value="&quot;user:624181318f08add36069428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4F1FF0531AF4C86A9009A95732340" ma:contentTypeVersion="16" ma:contentTypeDescription="Create a new document." ma:contentTypeScope="" ma:versionID="b8b80b223023d2a07f8de90014e0f2c9">
  <xsd:schema xmlns:xsd="http://www.w3.org/2001/XMLSchema" xmlns:xs="http://www.w3.org/2001/XMLSchema" xmlns:p="http://schemas.microsoft.com/office/2006/metadata/properties" xmlns:ns3="6dc1028c-463d-4f54-85b0-5063b7b12031" xmlns:ns4="030c1c22-9f6f-468b-a1cd-5aac4eebcbb1" targetNamespace="http://schemas.microsoft.com/office/2006/metadata/properties" ma:root="true" ma:fieldsID="44c5242a348aec888504ffa389bd2558" ns3:_="" ns4:_="">
    <xsd:import namespace="6dc1028c-463d-4f54-85b0-5063b7b12031"/>
    <xsd:import namespace="030c1c22-9f6f-468b-a1cd-5aac4eebcbb1"/>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1028c-463d-4f54-85b0-5063b7b12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0c1c22-9f6f-468b-a1cd-5aac4eebcbb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dc1028c-463d-4f54-85b0-5063b7b1203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EDD2C-F91F-46B1-8EDF-DACB8BC7F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1028c-463d-4f54-85b0-5063b7b12031"/>
    <ds:schemaRef ds:uri="030c1c22-9f6f-468b-a1cd-5aac4eebc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084016-042A-43EA-9CFF-61EBC8C8155B}">
  <ds:schemaRefs>
    <ds:schemaRef ds:uri="http://schemas.microsoft.com/office/2006/metadata/properties"/>
    <ds:schemaRef ds:uri="http://schemas.microsoft.com/office/infopath/2007/PartnerControls"/>
    <ds:schemaRef ds:uri="6dc1028c-463d-4f54-85b0-5063b7b12031"/>
  </ds:schemaRefs>
</ds:datastoreItem>
</file>

<file path=customXml/itemProps3.xml><?xml version="1.0" encoding="utf-8"?>
<ds:datastoreItem xmlns:ds="http://schemas.openxmlformats.org/officeDocument/2006/customXml" ds:itemID="{7B6F5059-95FF-4361-8C4F-831F55FC08D9}">
  <ds:schemaRefs>
    <ds:schemaRef ds:uri="http://schemas.openxmlformats.org/officeDocument/2006/bibliography"/>
  </ds:schemaRefs>
</ds:datastoreItem>
</file>

<file path=customXml/itemProps4.xml><?xml version="1.0" encoding="utf-8"?>
<ds:datastoreItem xmlns:ds="http://schemas.openxmlformats.org/officeDocument/2006/customXml" ds:itemID="{FAA7D43A-5E72-48BF-B8BF-BA598F9828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11699</Words>
  <Characters>66688</Characters>
  <Application>Microsoft Office Word</Application>
  <DocSecurity>0</DocSecurity>
  <Lines>555</Lines>
  <Paragraphs>156</Paragraphs>
  <ScaleCrop>false</ScaleCrop>
  <Company/>
  <LinksUpToDate>false</LinksUpToDate>
  <CharactersWithSpaces>78231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Tom Whalley</cp:lastModifiedBy>
  <cp:revision>2</cp:revision>
  <cp:lastPrinted>2025-06-12T12:15:00Z</cp:lastPrinted>
  <dcterms:created xsi:type="dcterms:W3CDTF">2025-09-02T07:33:00Z</dcterms:created>
  <dcterms:modified xsi:type="dcterms:W3CDTF">2025-09-02T07:33:00Z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2024-07-17T10:13:07Z</vt:lpwstr>
  </property>
  <property fmtid="{D5CDD505-2E9C-101B-9397-08002B2CF9AE}" pid="4" name="MSIP_Label_06c24981-b6df-48f8-949b-0896357b9b03_Method">
    <vt:lpwstr>Standard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4509e795-b867-4618-9f32-c2856f07a457</vt:lpwstr>
  </property>
  <property fmtid="{D5CDD505-2E9C-101B-9397-08002B2CF9AE}" pid="8" name="MSIP_Label_06c24981-b6df-48f8-949b-0896357b9b03_ContentBits">
    <vt:lpwstr>0</vt:lpwstr>
  </property>
  <property fmtid="{D5CDD505-2E9C-101B-9397-08002B2CF9AE}" pid="9" name="ContentTypeId">
    <vt:lpwstr>0x0101009B24F1FF0531AF4C86A9009A95732340</vt:lpwstr>
  </property>
  <property fmtid="{D5CDD505-2E9C-101B-9397-08002B2CF9AE}" pid="10" name="MSIP_Label_0f488380-630a-4f55-a077-a19445e3f360_Enabled">
    <vt:lpwstr>true</vt:lpwstr>
  </property>
  <property fmtid="{D5CDD505-2E9C-101B-9397-08002B2CF9AE}" pid="11" name="MSIP_Label_0f488380-630a-4f55-a077-a19445e3f360_SetDate">
    <vt:lpwstr>2025-01-07T04:02:45Z</vt:lpwstr>
  </property>
  <property fmtid="{D5CDD505-2E9C-101B-9397-08002B2CF9AE}" pid="12" name="MSIP_Label_0f488380-630a-4f55-a077-a19445e3f360_Method">
    <vt:lpwstr>Standard</vt:lpwstr>
  </property>
  <property fmtid="{D5CDD505-2E9C-101B-9397-08002B2CF9AE}" pid="13" name="MSIP_Label_0f488380-630a-4f55-a077-a19445e3f360_Name">
    <vt:lpwstr>OFFICIAL - INTERNAL</vt:lpwstr>
  </property>
  <property fmtid="{D5CDD505-2E9C-101B-9397-08002B2CF9AE}" pid="14" name="MSIP_Label_0f488380-630a-4f55-a077-a19445e3f360_SiteId">
    <vt:lpwstr>b6e377cf-9db3-46cb-91a2-fad9605bb15c</vt:lpwstr>
  </property>
  <property fmtid="{D5CDD505-2E9C-101B-9397-08002B2CF9AE}" pid="15" name="MSIP_Label_0f488380-630a-4f55-a077-a19445e3f360_ActionId">
    <vt:lpwstr>773c6d41-1d6a-4241-a6ee-f477264c61e8</vt:lpwstr>
  </property>
  <property fmtid="{D5CDD505-2E9C-101B-9397-08002B2CF9AE}" pid="16" name="MSIP_Label_0f488380-630a-4f55-a077-a19445e3f360_ContentBits">
    <vt:lpwstr>0</vt:lpwstr>
  </property>
</Properties>
</file>