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32FA4" w14:textId="77777777" w:rsidR="00CD6D8D" w:rsidRPr="002C42D7" w:rsidRDefault="00CD6D8D" w:rsidP="00CD6D8D">
      <w:pPr>
        <w:spacing w:after="0" w:line="360" w:lineRule="auto"/>
        <w:jc w:val="center"/>
        <w:rPr>
          <w:rFonts w:ascii="Times New Roman" w:eastAsia="Arial" w:hAnsi="Times New Roman" w:cs="Times New Roman"/>
          <w:b/>
          <w:color w:val="000000" w:themeColor="text1"/>
          <w:sz w:val="24"/>
          <w:szCs w:val="24"/>
          <w:lang w:eastAsia="en-US"/>
        </w:rPr>
      </w:pPr>
      <w:r w:rsidRPr="002C42D7">
        <w:rPr>
          <w:rFonts w:ascii="Times New Roman" w:eastAsia="Arial" w:hAnsi="Times New Roman" w:cs="Times New Roman"/>
          <w:b/>
          <w:color w:val="000000" w:themeColor="text1"/>
          <w:sz w:val="24"/>
          <w:szCs w:val="24"/>
          <w:lang w:eastAsia="en-US"/>
        </w:rPr>
        <w:t>Intolerance of Uncertainty predicts paranoia over time: Evidence from a UK sample</w:t>
      </w:r>
    </w:p>
    <w:p w14:paraId="38676B70" w14:textId="77777777" w:rsidR="00CD6D8D" w:rsidRPr="002C42D7" w:rsidRDefault="00CD6D8D" w:rsidP="00CD6D8D">
      <w:pPr>
        <w:spacing w:after="0" w:line="360" w:lineRule="auto"/>
        <w:jc w:val="center"/>
        <w:rPr>
          <w:rFonts w:ascii="Times New Roman" w:eastAsia="Arial" w:hAnsi="Times New Roman" w:cs="Times New Roman"/>
          <w:b/>
          <w:color w:val="000000" w:themeColor="text1"/>
          <w:sz w:val="24"/>
          <w:szCs w:val="24"/>
          <w:lang w:eastAsia="en-US"/>
        </w:rPr>
      </w:pPr>
    </w:p>
    <w:p w14:paraId="72917EC0" w14:textId="77777777" w:rsidR="00CD6D8D" w:rsidRPr="002C42D7" w:rsidRDefault="00CD6D8D" w:rsidP="00CD6D8D">
      <w:pPr>
        <w:spacing w:after="0" w:line="360" w:lineRule="auto"/>
        <w:jc w:val="center"/>
        <w:rPr>
          <w:rFonts w:ascii="Times New Roman" w:eastAsia="Arial" w:hAnsi="Times New Roman" w:cs="Times New Roman"/>
          <w:b/>
          <w:color w:val="000000" w:themeColor="text1"/>
          <w:sz w:val="24"/>
          <w:szCs w:val="24"/>
          <w:lang w:eastAsia="en-US"/>
        </w:rPr>
      </w:pPr>
    </w:p>
    <w:p w14:paraId="52B88E80" w14:textId="77777777" w:rsidR="00CD6D8D" w:rsidRPr="002C42D7" w:rsidRDefault="00CD6D8D" w:rsidP="00CD6D8D">
      <w:pPr>
        <w:spacing w:after="0" w:line="360" w:lineRule="auto"/>
        <w:jc w:val="center"/>
        <w:rPr>
          <w:rFonts w:ascii="Times New Roman" w:eastAsia="Arial" w:hAnsi="Times New Roman" w:cs="Times New Roman"/>
          <w:color w:val="000000" w:themeColor="text1"/>
          <w:sz w:val="24"/>
          <w:szCs w:val="24"/>
          <w:lang w:eastAsia="en-US"/>
        </w:rPr>
      </w:pPr>
      <w:r w:rsidRPr="002C42D7">
        <w:rPr>
          <w:rFonts w:ascii="Times New Roman" w:eastAsia="Arial" w:hAnsi="Times New Roman" w:cs="Times New Roman"/>
          <w:color w:val="000000" w:themeColor="text1"/>
          <w:sz w:val="24"/>
          <w:szCs w:val="24"/>
          <w:lang w:eastAsia="en-US"/>
        </w:rPr>
        <w:t>Yingyixue Lei</w:t>
      </w:r>
      <w:r w:rsidRPr="002C42D7">
        <w:rPr>
          <w:rFonts w:ascii="Times New Roman" w:eastAsia="Arial" w:hAnsi="Times New Roman" w:cs="Times New Roman"/>
          <w:color w:val="000000" w:themeColor="text1"/>
          <w:sz w:val="24"/>
          <w:szCs w:val="24"/>
          <w:vertAlign w:val="superscript"/>
          <w:lang w:eastAsia="en-US"/>
        </w:rPr>
        <w:t>1</w:t>
      </w:r>
    </w:p>
    <w:p w14:paraId="0D3F9CFE" w14:textId="77777777" w:rsidR="00CD6D8D" w:rsidRPr="001734FE" w:rsidRDefault="00CD6D8D" w:rsidP="00CD6D8D">
      <w:pPr>
        <w:spacing w:after="0" w:line="360" w:lineRule="auto"/>
        <w:jc w:val="center"/>
        <w:rPr>
          <w:rFonts w:ascii="Times New Roman" w:hAnsi="Times New Roman" w:cs="Times New Roman"/>
          <w:color w:val="000000" w:themeColor="text1"/>
          <w:sz w:val="24"/>
          <w:szCs w:val="24"/>
        </w:rPr>
      </w:pPr>
      <w:r w:rsidRPr="002C42D7">
        <w:rPr>
          <w:rFonts w:ascii="Times New Roman" w:eastAsia="Arial" w:hAnsi="Times New Roman" w:cs="Times New Roman"/>
          <w:color w:val="000000" w:themeColor="text1"/>
          <w:sz w:val="24"/>
          <w:szCs w:val="24"/>
          <w:lang w:eastAsia="en-US"/>
        </w:rPr>
        <w:t>Anton Martinez</w:t>
      </w:r>
      <w:r w:rsidRPr="002C42D7">
        <w:rPr>
          <w:rFonts w:ascii="Times New Roman" w:eastAsia="Arial" w:hAnsi="Times New Roman" w:cs="Times New Roman"/>
          <w:color w:val="000000"/>
          <w:sz w:val="24"/>
          <w:szCs w:val="24"/>
          <w:vertAlign w:val="superscript"/>
          <w:lang w:eastAsia="en-US"/>
        </w:rPr>
        <w:t>1</w:t>
      </w:r>
    </w:p>
    <w:p w14:paraId="5C76839B" w14:textId="77777777" w:rsidR="00CD6D8D" w:rsidRPr="002C42D7" w:rsidRDefault="00CD6D8D" w:rsidP="00CD6D8D">
      <w:pPr>
        <w:spacing w:after="0" w:line="360" w:lineRule="auto"/>
        <w:jc w:val="center"/>
        <w:rPr>
          <w:rFonts w:ascii="Times New Roman" w:eastAsia="Arial" w:hAnsi="Times New Roman" w:cs="Times New Roman"/>
          <w:color w:val="000000"/>
          <w:sz w:val="24"/>
          <w:szCs w:val="24"/>
          <w:lang w:eastAsia="en-US"/>
        </w:rPr>
      </w:pPr>
      <w:r w:rsidRPr="002C42D7">
        <w:rPr>
          <w:rFonts w:ascii="Times New Roman" w:eastAsia="Arial" w:hAnsi="Times New Roman" w:cs="Times New Roman"/>
          <w:color w:val="000000" w:themeColor="text1"/>
          <w:sz w:val="24"/>
          <w:szCs w:val="24"/>
          <w:lang w:eastAsia="en-US"/>
        </w:rPr>
        <w:t>Vyv Huddy</w:t>
      </w:r>
      <w:r w:rsidRPr="002C42D7">
        <w:rPr>
          <w:rFonts w:ascii="Times New Roman" w:eastAsia="Arial" w:hAnsi="Times New Roman" w:cs="Times New Roman"/>
          <w:color w:val="000000"/>
          <w:sz w:val="24"/>
          <w:szCs w:val="24"/>
          <w:vertAlign w:val="superscript"/>
          <w:lang w:eastAsia="en-US"/>
        </w:rPr>
        <w:t>1</w:t>
      </w:r>
    </w:p>
    <w:p w14:paraId="49A3A826" w14:textId="77777777" w:rsidR="00CD6D8D" w:rsidRPr="002C42D7" w:rsidRDefault="00CD6D8D" w:rsidP="00CD6D8D">
      <w:pPr>
        <w:spacing w:after="0" w:line="360" w:lineRule="auto"/>
        <w:jc w:val="center"/>
        <w:rPr>
          <w:rFonts w:ascii="Times New Roman" w:eastAsia="Arial" w:hAnsi="Times New Roman" w:cs="Times New Roman"/>
          <w:color w:val="000000"/>
          <w:sz w:val="24"/>
          <w:szCs w:val="24"/>
          <w:lang w:eastAsia="en-US"/>
        </w:rPr>
      </w:pPr>
      <w:r w:rsidRPr="002C42D7">
        <w:rPr>
          <w:rFonts w:ascii="Times New Roman" w:eastAsia="Arial" w:hAnsi="Times New Roman" w:cs="Times New Roman"/>
          <w:color w:val="000000"/>
          <w:sz w:val="24"/>
          <w:szCs w:val="24"/>
          <w:lang w:eastAsia="en-US"/>
        </w:rPr>
        <w:t>Jayne Morriss</w:t>
      </w:r>
      <w:r w:rsidRPr="002C42D7">
        <w:rPr>
          <w:rFonts w:ascii="Times New Roman" w:eastAsia="Arial" w:hAnsi="Times New Roman" w:cs="Times New Roman"/>
          <w:color w:val="000000"/>
          <w:sz w:val="24"/>
          <w:szCs w:val="24"/>
          <w:vertAlign w:val="superscript"/>
          <w:lang w:eastAsia="en-US"/>
        </w:rPr>
        <w:t>2</w:t>
      </w:r>
      <w:r w:rsidRPr="002C42D7">
        <w:rPr>
          <w:rFonts w:ascii="Times New Roman" w:eastAsia="Arial" w:hAnsi="Times New Roman" w:cs="Times New Roman"/>
          <w:color w:val="000000"/>
          <w:sz w:val="24"/>
          <w:szCs w:val="24"/>
          <w:lang w:eastAsia="en-US"/>
        </w:rPr>
        <w:t>,</w:t>
      </w:r>
    </w:p>
    <w:p w14:paraId="2676A7A7" w14:textId="77777777" w:rsidR="00CD6D8D" w:rsidRPr="002C42D7" w:rsidRDefault="00CD6D8D" w:rsidP="00CD6D8D">
      <w:pPr>
        <w:spacing w:after="0" w:line="360" w:lineRule="auto"/>
        <w:jc w:val="center"/>
        <w:rPr>
          <w:rFonts w:ascii="Times New Roman" w:eastAsia="Arial" w:hAnsi="Times New Roman" w:cs="Times New Roman"/>
          <w:color w:val="000000" w:themeColor="text1"/>
          <w:sz w:val="24"/>
          <w:szCs w:val="24"/>
          <w:lang w:eastAsia="en-US"/>
        </w:rPr>
      </w:pPr>
      <w:r w:rsidRPr="002C42D7">
        <w:rPr>
          <w:rFonts w:ascii="Times New Roman" w:eastAsia="Arial" w:hAnsi="Times New Roman" w:cs="Times New Roman"/>
          <w:color w:val="000000"/>
          <w:sz w:val="24"/>
          <w:szCs w:val="24"/>
          <w:lang w:eastAsia="en-US"/>
        </w:rPr>
        <w:t>Lyn Ellett</w:t>
      </w:r>
      <w:r w:rsidRPr="002C42D7">
        <w:rPr>
          <w:rFonts w:ascii="Times New Roman" w:eastAsia="Arial" w:hAnsi="Times New Roman" w:cs="Times New Roman"/>
          <w:color w:val="000000"/>
          <w:sz w:val="24"/>
          <w:szCs w:val="24"/>
          <w:vertAlign w:val="superscript"/>
          <w:lang w:eastAsia="en-US"/>
        </w:rPr>
        <w:t>2</w:t>
      </w:r>
    </w:p>
    <w:p w14:paraId="310A7016" w14:textId="77777777" w:rsidR="00CD6D8D" w:rsidRPr="002C42D7" w:rsidRDefault="00CD6D8D" w:rsidP="00CD6D8D">
      <w:pPr>
        <w:spacing w:after="0" w:line="360" w:lineRule="auto"/>
        <w:jc w:val="center"/>
        <w:rPr>
          <w:rFonts w:ascii="Times New Roman" w:eastAsia="Arial" w:hAnsi="Times New Roman" w:cs="Times New Roman"/>
          <w:color w:val="000000" w:themeColor="text1"/>
          <w:sz w:val="24"/>
          <w:szCs w:val="24"/>
          <w:lang w:eastAsia="en-US"/>
        </w:rPr>
      </w:pPr>
      <w:r w:rsidRPr="002C42D7">
        <w:rPr>
          <w:rFonts w:ascii="Times New Roman" w:eastAsia="Arial" w:hAnsi="Times New Roman" w:cs="Times New Roman"/>
          <w:color w:val="000000" w:themeColor="text1"/>
          <w:sz w:val="24"/>
          <w:szCs w:val="24"/>
          <w:lang w:eastAsia="en-US"/>
        </w:rPr>
        <w:t>Richard Bentall</w:t>
      </w:r>
      <w:r w:rsidRPr="002C42D7">
        <w:rPr>
          <w:rFonts w:ascii="Times New Roman" w:eastAsia="Arial" w:hAnsi="Times New Roman" w:cs="Times New Roman"/>
          <w:color w:val="000000" w:themeColor="text1"/>
          <w:sz w:val="24"/>
          <w:szCs w:val="24"/>
          <w:vertAlign w:val="superscript"/>
          <w:lang w:eastAsia="en-US"/>
        </w:rPr>
        <w:t xml:space="preserve"> 1*</w:t>
      </w:r>
    </w:p>
    <w:p w14:paraId="787ABB3B" w14:textId="77777777" w:rsidR="00CD6D8D" w:rsidRPr="002C42D7" w:rsidRDefault="00CD6D8D" w:rsidP="00CD6D8D">
      <w:pPr>
        <w:spacing w:after="0" w:line="360" w:lineRule="auto"/>
        <w:rPr>
          <w:rFonts w:ascii="Times New Roman" w:eastAsia="Arial" w:hAnsi="Times New Roman" w:cs="Times New Roman"/>
          <w:color w:val="000000" w:themeColor="text1"/>
          <w:sz w:val="24"/>
          <w:szCs w:val="24"/>
          <w:vertAlign w:val="superscript"/>
          <w:lang w:eastAsia="en-US"/>
        </w:rPr>
      </w:pPr>
    </w:p>
    <w:p w14:paraId="176DABF7" w14:textId="77777777" w:rsidR="00CD6D8D" w:rsidRPr="002C42D7" w:rsidRDefault="00CD6D8D" w:rsidP="00CD6D8D">
      <w:pPr>
        <w:spacing w:after="0" w:line="360" w:lineRule="auto"/>
        <w:rPr>
          <w:rFonts w:ascii="Times New Roman" w:eastAsia="Arial" w:hAnsi="Times New Roman" w:cs="Times New Roman"/>
          <w:color w:val="000000" w:themeColor="text1"/>
          <w:sz w:val="24"/>
          <w:szCs w:val="24"/>
          <w:vertAlign w:val="superscript"/>
          <w:lang w:eastAsia="en-US"/>
        </w:rPr>
      </w:pPr>
    </w:p>
    <w:p w14:paraId="656ADB00" w14:textId="77777777" w:rsidR="00CD6D8D" w:rsidRPr="002C42D7" w:rsidRDefault="00CD6D8D" w:rsidP="00CD6D8D">
      <w:pPr>
        <w:spacing w:after="0" w:line="360" w:lineRule="auto"/>
        <w:rPr>
          <w:rFonts w:ascii="Times New Roman" w:eastAsia="Arial" w:hAnsi="Times New Roman" w:cs="Times New Roman"/>
          <w:color w:val="000000" w:themeColor="text1"/>
          <w:sz w:val="24"/>
          <w:szCs w:val="24"/>
          <w:vertAlign w:val="superscript"/>
          <w:lang w:eastAsia="en-US"/>
        </w:rPr>
      </w:pPr>
    </w:p>
    <w:p w14:paraId="4F6078A6" w14:textId="77777777" w:rsidR="00CD6D8D" w:rsidRPr="002C42D7" w:rsidRDefault="00CD6D8D" w:rsidP="00CD6D8D">
      <w:pPr>
        <w:spacing w:after="0" w:line="360" w:lineRule="auto"/>
        <w:rPr>
          <w:rFonts w:ascii="Times New Roman" w:eastAsia="Arial" w:hAnsi="Times New Roman" w:cs="Times New Roman"/>
          <w:color w:val="000000" w:themeColor="text1"/>
          <w:sz w:val="24"/>
          <w:szCs w:val="24"/>
          <w:vertAlign w:val="superscript"/>
          <w:lang w:eastAsia="en-US"/>
        </w:rPr>
      </w:pPr>
    </w:p>
    <w:p w14:paraId="4301567D" w14:textId="77777777" w:rsidR="00CD6D8D" w:rsidRPr="002C42D7" w:rsidRDefault="00CD6D8D" w:rsidP="00CD6D8D">
      <w:pPr>
        <w:spacing w:after="0" w:line="360" w:lineRule="auto"/>
        <w:rPr>
          <w:rFonts w:ascii="Times New Roman" w:eastAsia="Arial" w:hAnsi="Times New Roman" w:cs="Times New Roman"/>
          <w:color w:val="000000" w:themeColor="text1"/>
          <w:sz w:val="24"/>
          <w:szCs w:val="24"/>
          <w:vertAlign w:val="superscript"/>
          <w:lang w:eastAsia="en-US"/>
        </w:rPr>
      </w:pPr>
    </w:p>
    <w:p w14:paraId="255FDF9D" w14:textId="77777777" w:rsidR="00CD6D8D" w:rsidRPr="001734FE" w:rsidRDefault="00CD6D8D" w:rsidP="00CD6D8D">
      <w:pPr>
        <w:spacing w:after="0" w:line="360" w:lineRule="auto"/>
        <w:rPr>
          <w:rFonts w:ascii="Times New Roman" w:hAnsi="Times New Roman" w:cs="Times New Roman"/>
          <w:color w:val="000000" w:themeColor="text1"/>
          <w:sz w:val="24"/>
          <w:szCs w:val="24"/>
        </w:rPr>
      </w:pPr>
      <w:r w:rsidRPr="002C42D7">
        <w:rPr>
          <w:rFonts w:ascii="Times New Roman" w:eastAsia="Arial" w:hAnsi="Times New Roman" w:cs="Times New Roman"/>
          <w:color w:val="000000" w:themeColor="text1"/>
          <w:sz w:val="24"/>
          <w:szCs w:val="24"/>
          <w:vertAlign w:val="superscript"/>
          <w:lang w:eastAsia="en-US"/>
        </w:rPr>
        <w:t>1</w:t>
      </w:r>
      <w:r w:rsidRPr="002C42D7">
        <w:rPr>
          <w:rFonts w:ascii="Times New Roman" w:eastAsia="Arial" w:hAnsi="Times New Roman" w:cs="Times New Roman"/>
          <w:color w:val="000000" w:themeColor="text1"/>
          <w:sz w:val="24"/>
          <w:szCs w:val="24"/>
          <w:lang w:eastAsia="en-US"/>
        </w:rPr>
        <w:t>School</w:t>
      </w:r>
      <w:r>
        <w:rPr>
          <w:rFonts w:ascii="Times New Roman" w:eastAsia="Arial" w:hAnsi="Times New Roman" w:cs="Times New Roman"/>
          <w:color w:val="000000" w:themeColor="text1"/>
          <w:sz w:val="24"/>
          <w:szCs w:val="24"/>
          <w:lang w:eastAsia="en-US"/>
        </w:rPr>
        <w:t xml:space="preserve"> </w:t>
      </w:r>
      <w:r w:rsidRPr="002C42D7">
        <w:rPr>
          <w:rFonts w:ascii="Times New Roman" w:eastAsia="Arial" w:hAnsi="Times New Roman" w:cs="Times New Roman"/>
          <w:color w:val="000000" w:themeColor="text1"/>
          <w:sz w:val="24"/>
          <w:szCs w:val="24"/>
          <w:lang w:eastAsia="en-US"/>
        </w:rPr>
        <w:t>of Psychology, University of Sheffield, Sheffield (UK)</w:t>
      </w:r>
    </w:p>
    <w:p w14:paraId="6A125A95" w14:textId="77777777" w:rsidR="00CD6D8D" w:rsidRPr="002C42D7" w:rsidRDefault="00CD6D8D" w:rsidP="00CD6D8D">
      <w:pPr>
        <w:spacing w:after="0" w:line="360" w:lineRule="auto"/>
        <w:rPr>
          <w:rFonts w:ascii="Times New Roman" w:eastAsia="Arial" w:hAnsi="Times New Roman" w:cs="Times New Roman"/>
          <w:color w:val="000000" w:themeColor="text1"/>
          <w:sz w:val="24"/>
          <w:szCs w:val="24"/>
          <w:lang w:eastAsia="en-US"/>
        </w:rPr>
      </w:pPr>
      <w:r w:rsidRPr="002C42D7">
        <w:rPr>
          <w:rFonts w:ascii="Times New Roman" w:eastAsiaTheme="minorHAnsi" w:hAnsi="Times New Roman" w:cs="Times New Roman"/>
          <w:sz w:val="24"/>
          <w:szCs w:val="24"/>
          <w:vertAlign w:val="superscript"/>
          <w:lang w:eastAsia="en-US"/>
        </w:rPr>
        <w:t>2</w:t>
      </w:r>
      <w:r w:rsidRPr="002C42D7">
        <w:rPr>
          <w:rFonts w:ascii="Times New Roman" w:eastAsia="Arial" w:hAnsi="Times New Roman" w:cs="Times New Roman"/>
          <w:color w:val="000000" w:themeColor="text1"/>
          <w:sz w:val="24"/>
          <w:szCs w:val="24"/>
          <w:lang w:eastAsia="en-US"/>
        </w:rPr>
        <w:t xml:space="preserve"> School of Psychology, Faculty of Environmental and Life Sciences, University of Southampton, Southampton, UK</w:t>
      </w:r>
    </w:p>
    <w:p w14:paraId="5D29EA15" w14:textId="77777777" w:rsidR="00CD6D8D" w:rsidRPr="002C42D7" w:rsidRDefault="00CD6D8D" w:rsidP="00CD6D8D">
      <w:pPr>
        <w:spacing w:after="0" w:line="360" w:lineRule="auto"/>
        <w:rPr>
          <w:rFonts w:ascii="Times New Roman" w:eastAsia="Arial" w:hAnsi="Times New Roman" w:cs="Times New Roman"/>
          <w:color w:val="000000" w:themeColor="text1"/>
          <w:sz w:val="24"/>
          <w:szCs w:val="24"/>
          <w:lang w:eastAsia="en-US"/>
        </w:rPr>
      </w:pPr>
    </w:p>
    <w:p w14:paraId="2C060D4F" w14:textId="77777777" w:rsidR="00CD6D8D" w:rsidRPr="002C42D7" w:rsidRDefault="00CD6D8D" w:rsidP="00CD6D8D">
      <w:pPr>
        <w:spacing w:after="0" w:line="360" w:lineRule="auto"/>
        <w:rPr>
          <w:rFonts w:ascii="Times New Roman" w:eastAsia="Arial" w:hAnsi="Times New Roman" w:cs="Times New Roman"/>
          <w:color w:val="000000" w:themeColor="text1"/>
          <w:sz w:val="24"/>
          <w:szCs w:val="24"/>
          <w:lang w:eastAsia="en-US"/>
        </w:rPr>
      </w:pPr>
      <w:r w:rsidRPr="002C42D7">
        <w:rPr>
          <w:rFonts w:ascii="Times New Roman" w:eastAsia="Arial" w:hAnsi="Times New Roman" w:cs="Times New Roman"/>
          <w:color w:val="000000" w:themeColor="text1"/>
          <w:sz w:val="24"/>
          <w:szCs w:val="24"/>
          <w:lang w:eastAsia="en-US"/>
        </w:rPr>
        <w:t>* Correspondence: Richard Bentall, University of Sheffield, Sheffield (UK), Clinical Psychology Unit, Department of Psychology, Cathedral Court, 1 Vicar Lane, S1 2LT</w:t>
      </w:r>
    </w:p>
    <w:p w14:paraId="23273887" w14:textId="77777777" w:rsidR="00E4527B" w:rsidRDefault="00E4527B"/>
    <w:p w14:paraId="0833E67C" w14:textId="77777777" w:rsidR="000D1F2F" w:rsidRDefault="000D1F2F" w:rsidP="000D1F2F">
      <w:pPr>
        <w:spacing w:line="480" w:lineRule="auto"/>
        <w:rPr>
          <w:rFonts w:asciiTheme="majorBidi" w:hAnsiTheme="majorBidi" w:cstheme="majorBidi"/>
          <w:b/>
          <w:bCs/>
          <w:sz w:val="24"/>
          <w:szCs w:val="24"/>
        </w:rPr>
      </w:pPr>
    </w:p>
    <w:p w14:paraId="5EED49B7" w14:textId="77777777" w:rsidR="008E2CD7" w:rsidRDefault="008E2CD7" w:rsidP="000D1F2F">
      <w:pPr>
        <w:spacing w:line="480" w:lineRule="auto"/>
        <w:rPr>
          <w:rFonts w:asciiTheme="majorBidi" w:hAnsiTheme="majorBidi" w:cstheme="majorBidi"/>
          <w:b/>
          <w:bCs/>
          <w:sz w:val="24"/>
          <w:szCs w:val="24"/>
        </w:rPr>
      </w:pPr>
    </w:p>
    <w:p w14:paraId="259BE90F" w14:textId="77777777" w:rsidR="008E2CD7" w:rsidRDefault="008E2CD7" w:rsidP="000D1F2F">
      <w:pPr>
        <w:spacing w:line="480" w:lineRule="auto"/>
        <w:rPr>
          <w:rFonts w:asciiTheme="majorBidi" w:hAnsiTheme="majorBidi" w:cstheme="majorBidi"/>
          <w:b/>
          <w:bCs/>
          <w:sz w:val="24"/>
          <w:szCs w:val="24"/>
        </w:rPr>
      </w:pPr>
    </w:p>
    <w:p w14:paraId="2673F1A9" w14:textId="77777777" w:rsidR="008E2CD7" w:rsidRDefault="008E2CD7" w:rsidP="000D1F2F">
      <w:pPr>
        <w:spacing w:line="480" w:lineRule="auto"/>
        <w:rPr>
          <w:rFonts w:asciiTheme="majorBidi" w:hAnsiTheme="majorBidi" w:cstheme="majorBidi"/>
          <w:b/>
          <w:bCs/>
          <w:sz w:val="24"/>
          <w:szCs w:val="24"/>
        </w:rPr>
      </w:pPr>
    </w:p>
    <w:p w14:paraId="39193E2E" w14:textId="77777777" w:rsidR="008E2CD7" w:rsidRDefault="008E2CD7" w:rsidP="000D1F2F">
      <w:pPr>
        <w:spacing w:line="480" w:lineRule="auto"/>
        <w:rPr>
          <w:rFonts w:asciiTheme="majorBidi" w:hAnsiTheme="majorBidi" w:cstheme="majorBidi"/>
          <w:b/>
          <w:bCs/>
          <w:sz w:val="24"/>
          <w:szCs w:val="24"/>
        </w:rPr>
      </w:pPr>
    </w:p>
    <w:p w14:paraId="182831C3" w14:textId="77777777" w:rsidR="008E2CD7" w:rsidRDefault="008E2CD7" w:rsidP="000D1F2F">
      <w:pPr>
        <w:spacing w:line="480" w:lineRule="auto"/>
        <w:rPr>
          <w:rFonts w:asciiTheme="majorBidi" w:hAnsiTheme="majorBidi" w:cstheme="majorBidi"/>
          <w:b/>
          <w:bCs/>
          <w:sz w:val="24"/>
          <w:szCs w:val="24"/>
        </w:rPr>
      </w:pPr>
    </w:p>
    <w:p w14:paraId="65286952" w14:textId="77777777" w:rsidR="008E2CD7" w:rsidRDefault="008E2CD7" w:rsidP="000D1F2F">
      <w:pPr>
        <w:spacing w:line="480" w:lineRule="auto"/>
        <w:rPr>
          <w:rFonts w:asciiTheme="majorBidi" w:hAnsiTheme="majorBidi" w:cstheme="majorBidi"/>
          <w:b/>
          <w:bCs/>
          <w:sz w:val="24"/>
          <w:szCs w:val="24"/>
        </w:rPr>
      </w:pPr>
    </w:p>
    <w:p w14:paraId="79E97214" w14:textId="77777777" w:rsidR="008E2CD7" w:rsidRPr="003831D7" w:rsidRDefault="008E2CD7" w:rsidP="008E2CD7">
      <w:pPr>
        <w:spacing w:line="480" w:lineRule="auto"/>
        <w:jc w:val="center"/>
        <w:rPr>
          <w:rFonts w:asciiTheme="majorBidi" w:hAnsiTheme="majorBidi" w:cstheme="majorBidi"/>
          <w:b/>
          <w:bCs/>
          <w:sz w:val="24"/>
          <w:szCs w:val="24"/>
        </w:rPr>
      </w:pPr>
      <w:r w:rsidRPr="003831D7">
        <w:rPr>
          <w:rFonts w:asciiTheme="majorBidi" w:hAnsiTheme="majorBidi" w:cstheme="majorBidi"/>
          <w:b/>
          <w:bCs/>
          <w:sz w:val="24"/>
          <w:szCs w:val="24"/>
        </w:rPr>
        <w:lastRenderedPageBreak/>
        <w:t>Abstract</w:t>
      </w:r>
    </w:p>
    <w:p w14:paraId="0BCA6D98" w14:textId="77777777" w:rsidR="008E2CD7" w:rsidRPr="003831D7" w:rsidRDefault="008E2CD7" w:rsidP="008E2CD7">
      <w:pPr>
        <w:spacing w:line="480" w:lineRule="auto"/>
        <w:rPr>
          <w:rFonts w:asciiTheme="majorBidi" w:hAnsiTheme="majorBidi" w:cstheme="majorBidi"/>
          <w:sz w:val="24"/>
          <w:szCs w:val="24"/>
        </w:rPr>
      </w:pPr>
      <w:r w:rsidRPr="003831D7">
        <w:rPr>
          <w:rFonts w:asciiTheme="majorBidi" w:hAnsiTheme="majorBidi" w:cstheme="majorBidi"/>
          <w:sz w:val="24"/>
          <w:szCs w:val="24"/>
        </w:rPr>
        <w:t xml:space="preserve">Paranoia, often associated with schizophrenia spectrum disorders, also exists on a continuum with ordinary mistrust and is prevalent in non-clinical populations. Recent research suggests that Intolerance of Uncertainty (IU), a dispositional trait reflecting a negative response to uncertainty, may play a significant role in predicting paranoia. This study aimed to examine the longitudinal relationship between IU and paranoia, using data from the Covid-19 Psychological Research Consortium Study (C19PRC). 2025 participants representative of the UK population were recruited and assessed across three waves over nine months. Path analysis revealed that IU consistently predicted paranoia over time, even after controlling for negative affective traits such as neuroticism, and common co-occurring symptoms such as anxiety, and depression. Partial correlation analyses revealed stronger relationships between paranoia and Inhibitory IU than Prospective IU. These findings suggest that IU is a stable and independent predictor of paranoia. </w:t>
      </w:r>
      <w:r w:rsidRPr="000920D1">
        <w:rPr>
          <w:rFonts w:asciiTheme="majorBidi" w:hAnsiTheme="majorBidi" w:cstheme="majorBidi"/>
          <w:sz w:val="24"/>
          <w:szCs w:val="24"/>
        </w:rPr>
        <w:t>This study extends previous cross-sectional research by providing longitudinal evidence of associations between IU and paranoia and suggests that IU may represent a promising target for future research on intervention strategies.</w:t>
      </w:r>
    </w:p>
    <w:p w14:paraId="6FDB0B4D" w14:textId="77777777" w:rsidR="008E2CD7" w:rsidRDefault="008E2CD7" w:rsidP="008E2CD7">
      <w:pPr>
        <w:spacing w:line="480" w:lineRule="auto"/>
        <w:rPr>
          <w:rFonts w:asciiTheme="majorBidi" w:hAnsiTheme="majorBidi" w:cstheme="majorBidi"/>
          <w:sz w:val="24"/>
          <w:szCs w:val="24"/>
        </w:rPr>
      </w:pPr>
      <w:r w:rsidRPr="003831D7">
        <w:rPr>
          <w:rFonts w:asciiTheme="majorBidi" w:hAnsiTheme="majorBidi" w:cstheme="majorBidi"/>
          <w:sz w:val="24"/>
          <w:szCs w:val="24"/>
        </w:rPr>
        <w:t>Keywords: Intolerance of Uncertainty; Paranoia; Anxiety; Depression; Longitudinal</w:t>
      </w:r>
    </w:p>
    <w:p w14:paraId="53611A07" w14:textId="77777777" w:rsidR="008E2CD7" w:rsidRDefault="008E2CD7" w:rsidP="008E2CD7">
      <w:pPr>
        <w:spacing w:line="480" w:lineRule="auto"/>
        <w:rPr>
          <w:rFonts w:asciiTheme="majorBidi" w:hAnsiTheme="majorBidi" w:cstheme="majorBidi"/>
          <w:sz w:val="24"/>
          <w:szCs w:val="24"/>
        </w:rPr>
      </w:pPr>
    </w:p>
    <w:p w14:paraId="0C8A9B7A" w14:textId="77777777" w:rsidR="008E2CD7" w:rsidRDefault="008E2CD7" w:rsidP="008E2CD7">
      <w:pPr>
        <w:spacing w:line="480" w:lineRule="auto"/>
        <w:rPr>
          <w:rFonts w:asciiTheme="majorBidi" w:hAnsiTheme="majorBidi" w:cstheme="majorBidi"/>
          <w:sz w:val="24"/>
          <w:szCs w:val="24"/>
        </w:rPr>
      </w:pPr>
    </w:p>
    <w:p w14:paraId="5FE03211" w14:textId="77777777" w:rsidR="008E2CD7" w:rsidRDefault="008E2CD7" w:rsidP="008E2CD7">
      <w:pPr>
        <w:spacing w:line="480" w:lineRule="auto"/>
        <w:rPr>
          <w:rFonts w:asciiTheme="majorBidi" w:hAnsiTheme="majorBidi" w:cstheme="majorBidi"/>
          <w:sz w:val="24"/>
          <w:szCs w:val="24"/>
        </w:rPr>
      </w:pPr>
    </w:p>
    <w:p w14:paraId="53D74E52" w14:textId="77777777" w:rsidR="008E2CD7" w:rsidRDefault="008E2CD7" w:rsidP="008E2CD7">
      <w:pPr>
        <w:spacing w:line="480" w:lineRule="auto"/>
        <w:rPr>
          <w:rFonts w:asciiTheme="majorBidi" w:hAnsiTheme="majorBidi" w:cstheme="majorBidi"/>
          <w:sz w:val="24"/>
          <w:szCs w:val="24"/>
        </w:rPr>
      </w:pPr>
    </w:p>
    <w:p w14:paraId="2B232FC1" w14:textId="77777777" w:rsidR="008E2CD7" w:rsidRDefault="008E2CD7" w:rsidP="008E2CD7">
      <w:pPr>
        <w:spacing w:line="480" w:lineRule="auto"/>
        <w:rPr>
          <w:rFonts w:asciiTheme="majorBidi" w:hAnsiTheme="majorBidi" w:cstheme="majorBidi"/>
          <w:sz w:val="24"/>
          <w:szCs w:val="24"/>
        </w:rPr>
      </w:pPr>
    </w:p>
    <w:p w14:paraId="13511873" w14:textId="77777777" w:rsidR="008E2CD7" w:rsidRDefault="008E2CD7" w:rsidP="008E2CD7">
      <w:pPr>
        <w:spacing w:line="480" w:lineRule="auto"/>
        <w:rPr>
          <w:rFonts w:asciiTheme="majorBidi" w:hAnsiTheme="majorBidi" w:cstheme="majorBidi"/>
          <w:sz w:val="24"/>
          <w:szCs w:val="24"/>
        </w:rPr>
      </w:pPr>
    </w:p>
    <w:p w14:paraId="57F0F8FE" w14:textId="77777777" w:rsidR="008E2CD7" w:rsidRDefault="008E2CD7" w:rsidP="008E2CD7">
      <w:pPr>
        <w:spacing w:line="480" w:lineRule="auto"/>
        <w:rPr>
          <w:rFonts w:asciiTheme="majorBidi" w:hAnsiTheme="majorBidi" w:cstheme="majorBidi"/>
          <w:sz w:val="24"/>
          <w:szCs w:val="24"/>
        </w:rPr>
      </w:pPr>
    </w:p>
    <w:p w14:paraId="1BF3F93B" w14:textId="77777777" w:rsidR="008E2CD7" w:rsidRPr="0095118E" w:rsidRDefault="008E2CD7" w:rsidP="008E2CD7">
      <w:pPr>
        <w:pStyle w:val="Heading1"/>
        <w:spacing w:line="480" w:lineRule="auto"/>
        <w:jc w:val="center"/>
        <w:rPr>
          <w:rFonts w:asciiTheme="majorBidi" w:hAnsiTheme="majorBidi"/>
          <w:b/>
          <w:bCs/>
          <w:color w:val="000000" w:themeColor="text1"/>
          <w:sz w:val="24"/>
          <w:szCs w:val="24"/>
        </w:rPr>
      </w:pPr>
      <w:r w:rsidRPr="0095118E">
        <w:rPr>
          <w:rFonts w:asciiTheme="majorBidi" w:hAnsiTheme="majorBidi" w:hint="eastAsia"/>
          <w:b/>
          <w:bCs/>
          <w:color w:val="000000" w:themeColor="text1"/>
          <w:sz w:val="24"/>
          <w:szCs w:val="24"/>
        </w:rPr>
        <w:lastRenderedPageBreak/>
        <w:t>Introduction</w:t>
      </w:r>
    </w:p>
    <w:p w14:paraId="79AD1170" w14:textId="77777777" w:rsidR="008E2CD7" w:rsidRPr="0095118E" w:rsidRDefault="008E2CD7" w:rsidP="008E2CD7">
      <w:pPr>
        <w:spacing w:line="480" w:lineRule="auto"/>
        <w:rPr>
          <w:rFonts w:asciiTheme="majorBidi" w:hAnsiTheme="majorBidi" w:cstheme="majorBidi"/>
          <w:sz w:val="24"/>
          <w:szCs w:val="24"/>
        </w:rPr>
      </w:pPr>
      <w:bookmarkStart w:id="0" w:name="_Hlk182831234"/>
      <w:r w:rsidRPr="0095118E">
        <w:rPr>
          <w:rFonts w:asciiTheme="majorBidi" w:hAnsiTheme="majorBidi" w:cstheme="majorBidi"/>
          <w:sz w:val="24"/>
          <w:szCs w:val="24"/>
        </w:rPr>
        <w:t xml:space="preserve">Intolerance of </w:t>
      </w:r>
      <w:r w:rsidRPr="0095118E">
        <w:rPr>
          <w:rFonts w:asciiTheme="majorBidi" w:hAnsiTheme="majorBidi" w:cstheme="majorBidi" w:hint="eastAsia"/>
          <w:sz w:val="24"/>
          <w:szCs w:val="24"/>
        </w:rPr>
        <w:t>U</w:t>
      </w:r>
      <w:r w:rsidRPr="0095118E">
        <w:rPr>
          <w:rFonts w:asciiTheme="majorBidi" w:hAnsiTheme="majorBidi" w:cstheme="majorBidi"/>
          <w:sz w:val="24"/>
          <w:szCs w:val="24"/>
        </w:rPr>
        <w:t xml:space="preserve">ncertainty (IU) is </w:t>
      </w:r>
      <w:r w:rsidRPr="0095118E">
        <w:rPr>
          <w:rFonts w:asciiTheme="majorBidi" w:hAnsiTheme="majorBidi" w:cstheme="majorBidi" w:hint="eastAsia"/>
          <w:sz w:val="24"/>
          <w:szCs w:val="24"/>
        </w:rPr>
        <w:t>a</w:t>
      </w:r>
      <w:r w:rsidRPr="0095118E">
        <w:rPr>
          <w:rFonts w:asciiTheme="majorBidi" w:hAnsiTheme="majorBidi" w:cstheme="majorBidi"/>
          <w:sz w:val="24"/>
          <w:szCs w:val="24"/>
        </w:rPr>
        <w:t xml:space="preserve"> dispositional trait that reflects a strong negative reaction to situations of uncertainty</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IU is characterised via</w:t>
      </w:r>
      <w:r w:rsidRPr="0095118E">
        <w:rPr>
          <w:rFonts w:asciiTheme="majorBidi" w:hAnsiTheme="majorBidi" w:cstheme="majorBidi" w:hint="eastAsia"/>
          <w:sz w:val="24"/>
          <w:szCs w:val="24"/>
        </w:rPr>
        <w:t xml:space="preserve"> two </w:t>
      </w:r>
      <w:r w:rsidRPr="0095118E">
        <w:rPr>
          <w:rFonts w:asciiTheme="majorBidi" w:hAnsiTheme="majorBidi" w:cstheme="majorBidi"/>
          <w:sz w:val="24"/>
          <w:szCs w:val="24"/>
        </w:rPr>
        <w:t>dimensions</w:t>
      </w:r>
      <w:r w:rsidRPr="0095118E">
        <w:rPr>
          <w:rFonts w:asciiTheme="majorBidi" w:hAnsiTheme="majorBidi" w:cstheme="majorBidi" w:hint="eastAsia"/>
          <w:sz w:val="24"/>
          <w:szCs w:val="24"/>
        </w:rPr>
        <w:t>: p</w:t>
      </w:r>
      <w:r w:rsidRPr="0095118E">
        <w:rPr>
          <w:rFonts w:asciiTheme="majorBidi" w:hAnsiTheme="majorBidi" w:cstheme="majorBidi"/>
          <w:sz w:val="24"/>
          <w:szCs w:val="24"/>
        </w:rPr>
        <w:t>rospective IU</w:t>
      </w:r>
      <w:r w:rsidRPr="0095118E">
        <w:rPr>
          <w:rFonts w:asciiTheme="majorBidi" w:hAnsiTheme="majorBidi" w:cstheme="majorBidi" w:hint="eastAsia"/>
          <w:sz w:val="24"/>
          <w:szCs w:val="24"/>
        </w:rPr>
        <w:t xml:space="preserve"> (c</w:t>
      </w:r>
      <w:r w:rsidRPr="0095118E">
        <w:rPr>
          <w:rFonts w:asciiTheme="majorBidi" w:hAnsiTheme="majorBidi" w:cstheme="majorBidi"/>
          <w:sz w:val="24"/>
          <w:szCs w:val="24"/>
        </w:rPr>
        <w:t>ognitive appraisals of threat related to future uncertainty</w:t>
      </w:r>
      <w:r w:rsidRPr="0095118E">
        <w:rPr>
          <w:rFonts w:asciiTheme="majorBidi" w:hAnsiTheme="majorBidi" w:cstheme="majorBidi" w:hint="eastAsia"/>
          <w:sz w:val="24"/>
          <w:szCs w:val="24"/>
        </w:rPr>
        <w:t>) and i</w:t>
      </w:r>
      <w:r w:rsidRPr="0095118E">
        <w:rPr>
          <w:rFonts w:asciiTheme="majorBidi" w:hAnsiTheme="majorBidi" w:cstheme="majorBidi"/>
          <w:sz w:val="24"/>
          <w:szCs w:val="24"/>
        </w:rPr>
        <w:t>nhibitory IU</w:t>
      </w:r>
      <w:r w:rsidRPr="0095118E">
        <w:rPr>
          <w:rFonts w:asciiTheme="majorBidi" w:hAnsiTheme="majorBidi" w:cstheme="majorBidi" w:hint="eastAsia"/>
          <w:sz w:val="24"/>
          <w:szCs w:val="24"/>
        </w:rPr>
        <w:t xml:space="preserve"> (b</w:t>
      </w:r>
      <w:r w:rsidRPr="0095118E">
        <w:rPr>
          <w:rFonts w:asciiTheme="majorBidi" w:hAnsiTheme="majorBidi" w:cstheme="majorBidi"/>
          <w:sz w:val="24"/>
          <w:szCs w:val="24"/>
        </w:rPr>
        <w:t>ehavioural inhibition related to uncertainty</w:t>
      </w:r>
      <w:r w:rsidRPr="0095118E">
        <w:rPr>
          <w:rFonts w:asciiTheme="majorBidi" w:hAnsiTheme="majorBidi" w:cstheme="majorBidi" w:hint="eastAsia"/>
          <w:sz w:val="24"/>
          <w:szCs w:val="24"/>
        </w:rPr>
        <w:t>)</w:t>
      </w:r>
      <w:r w:rsidRPr="0095118E">
        <w:rPr>
          <w:rFonts w:asciiTheme="majorBidi" w:hAnsiTheme="majorBidi" w:cstheme="majorBidi"/>
          <w:sz w:val="24"/>
          <w:szCs w:val="24"/>
        </w:rPr>
        <w:t xml:space="preserve"> (Robichaud, Koerner, &amp; Dugas, 2019)</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Individuals with high levels of IU find uncertainty distressing and make substantial efforts to avoid or eliminate it (Buhr &amp; Dugas, 2006).</w:t>
      </w:r>
      <w:r w:rsidRPr="0095118E">
        <w:rPr>
          <w:rFonts w:asciiTheme="majorBidi" w:hAnsiTheme="majorBidi" w:cstheme="majorBidi" w:hint="eastAsia"/>
          <w:sz w:val="24"/>
          <w:szCs w:val="24"/>
        </w:rPr>
        <w:t xml:space="preserve"> </w:t>
      </w:r>
    </w:p>
    <w:p w14:paraId="7F83010D"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 xml:space="preserve">The high comorbidity observed among psychiatric conditions may, in part, be attributed to shared underlying vulnerabilities (Braga et al., 2013; Buckley et al., 2009). IU has emerged as a critical transdiagnostic dimension that plays a significant role in the development and maintenance of various psychological disorders, including anxiety, depression, and schizophrenia spectrum conditions (Morriss et al., </w:t>
      </w:r>
      <w:r w:rsidRPr="0095118E">
        <w:rPr>
          <w:rFonts w:asciiTheme="majorBidi" w:hAnsiTheme="majorBidi" w:cstheme="majorBidi" w:hint="eastAsia"/>
          <w:sz w:val="24"/>
          <w:szCs w:val="24"/>
        </w:rPr>
        <w:t xml:space="preserve">2024). </w:t>
      </w:r>
      <w:r w:rsidRPr="0095118E">
        <w:rPr>
          <w:rFonts w:asciiTheme="majorBidi" w:hAnsiTheme="majorBidi" w:cstheme="majorBidi"/>
          <w:sz w:val="24"/>
          <w:szCs w:val="24"/>
        </w:rPr>
        <w:t xml:space="preserve"> It is considered to be a general psychological vulnerability, reflecting an enduring fear of the unknown, and is closely linked to cognitive factors such as anxiety sensitivity, fear of negative evaluation, and rumination (Hong &amp; Cheung, 2015).</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 xml:space="preserve">IU has been consistently associated with depression, with clinical samples showing higher levels of IU compared to non-clinical individuals (Carleton et al., 2012; Gentes &amp; Ruscio, 2011). Moreover, IU is elevated in individuals with anxiety-related disorders and eating disorders, underscoring its role as a common factor across various conditions (Brown et al., 2017). </w:t>
      </w:r>
      <w:r w:rsidRPr="0095118E">
        <w:rPr>
          <w:rFonts w:asciiTheme="majorBidi" w:hAnsiTheme="majorBidi" w:cstheme="majorBidi" w:hint="eastAsia"/>
          <w:sz w:val="24"/>
          <w:szCs w:val="24"/>
        </w:rPr>
        <w:t>T</w:t>
      </w:r>
      <w:r w:rsidRPr="0095118E">
        <w:rPr>
          <w:rFonts w:asciiTheme="majorBidi" w:hAnsiTheme="majorBidi" w:cstheme="majorBidi"/>
          <w:sz w:val="24"/>
          <w:szCs w:val="24"/>
        </w:rPr>
        <w:t xml:space="preserve">hese findings highlight IU as a core transdiagnostic vulnerability factor, influencing the manifestation and persistence of a broad range of psychological difficulties. </w:t>
      </w:r>
    </w:p>
    <w:p w14:paraId="5FCC4A3B"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 xml:space="preserve">At the same time, some studies have attempted to link IU to psychosis. Recent literature reviews have revealed that higher intolerance of uncertainty is associated with more severe psychotic symptoms, particularly paranoia (Morriss et al., </w:t>
      </w:r>
      <w:r w:rsidRPr="0095118E">
        <w:rPr>
          <w:rFonts w:asciiTheme="majorBidi" w:hAnsiTheme="majorBidi" w:cstheme="majorBidi" w:hint="eastAsia"/>
          <w:sz w:val="24"/>
          <w:szCs w:val="24"/>
        </w:rPr>
        <w:t>2024</w:t>
      </w:r>
      <w:r w:rsidRPr="0095118E">
        <w:rPr>
          <w:rFonts w:asciiTheme="majorBidi" w:hAnsiTheme="majorBidi" w:cstheme="majorBidi"/>
          <w:sz w:val="24"/>
          <w:szCs w:val="24"/>
        </w:rPr>
        <w:t xml:space="preserve">). Paranoia involves the mistaken belief that others are intentionally seeking to cause harm to the individual </w:t>
      </w:r>
      <w:r w:rsidRPr="0095118E">
        <w:rPr>
          <w:rFonts w:asciiTheme="majorBidi" w:hAnsiTheme="majorBidi" w:cstheme="majorBidi"/>
          <w:sz w:val="24"/>
          <w:szCs w:val="24"/>
        </w:rPr>
        <w:lastRenderedPageBreak/>
        <w:t>(Freeman &amp; Garety, 2014).</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Although paranoia is frequently considered a feature of schizophrenia spectrum and other psychotic disorders, existing evidence indicates that it exists on a continuum with ordinary mistrust and suspiciousness (Elahi et al., 2017). The prevalence of paranoia in individuals without a psychiatric diagnosis range from 2% to 30% according to how it is measured (Bebbington et al., 2013; American Psychiatric Association, 2013).</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Paranoia is thought to be closely associated with reasoning biases, which play a significant role in its development and maintenance (Phillips et al., 2000; Freeman et al., 2008). Intolerance of uncertainty has been identified as a key factor contributing to these biases, including a tendency to jump to conclusions, an increased tendency to overestimate threat scenarios, and excessive seeking of threat-related cues (Broom et al., 2007; Zheng et al., 2022; Shihata et al., 2016; Bauer et al., 2020). These observations suggest that IU may play a crucial role in the cognitive processes underlying paranoia.</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Zheng (2022) found that, even after controlling for worry, IU is independently associated with all four domains of paranoid thinking: persecutory beliefs, interpersonal sensitivities, mistrust, and ideas of reference. This association remains significant when anxiety is also controlled for (King &amp; Dudley, 2017; Startup et al., 2016).</w:t>
      </w:r>
    </w:p>
    <w:p w14:paraId="3B4892AC"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However, these studies are limited in their sample sizes (fewer than 400 participants) and are cross-sectional in nature, measuring variables at only a single point in time. Consequently, they do not provide longitudinal evidence regarding the relationship between paranoia and IU.</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Therefore, this study aims to advance our understanding by u</w:t>
      </w:r>
      <w:r w:rsidRPr="0095118E">
        <w:rPr>
          <w:rFonts w:asciiTheme="majorBidi" w:hAnsiTheme="majorBidi" w:cstheme="majorBidi" w:hint="eastAsia"/>
          <w:sz w:val="24"/>
          <w:szCs w:val="24"/>
        </w:rPr>
        <w:t>sing</w:t>
      </w:r>
      <w:r w:rsidRPr="0095118E">
        <w:rPr>
          <w:rFonts w:asciiTheme="majorBidi" w:hAnsiTheme="majorBidi" w:cstheme="majorBidi"/>
          <w:sz w:val="24"/>
          <w:szCs w:val="24"/>
        </w:rPr>
        <w:t xml:space="preserve"> a large longitudinal dataset collected over a period exceeding six months.</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 xml:space="preserve">Our analyses will compare the effect of IU on paranoia with its effect on depression and anxiety, given that Freeman's (2008) cognitive model of persecutory ideation suggests that depression may also be a strong predictor of paranoid thinking, and given previous research indicating as association between </w:t>
      </w:r>
      <w:r w:rsidRPr="0095118E">
        <w:rPr>
          <w:rFonts w:asciiTheme="majorBidi" w:hAnsiTheme="majorBidi" w:cstheme="majorBidi"/>
          <w:sz w:val="24"/>
          <w:szCs w:val="24"/>
        </w:rPr>
        <w:lastRenderedPageBreak/>
        <w:t>IU and both emotional conditions. We also control for neuroticism as a general measure of emotional reactivity.</w:t>
      </w:r>
    </w:p>
    <w:p w14:paraId="6A2FB722"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In summary,</w:t>
      </w:r>
      <w:r w:rsidRPr="0095118E">
        <w:rPr>
          <w:rFonts w:asciiTheme="majorBidi" w:hAnsiTheme="majorBidi" w:cstheme="majorBidi" w:hint="eastAsia"/>
          <w:sz w:val="24"/>
          <w:szCs w:val="24"/>
        </w:rPr>
        <w:t xml:space="preserve"> w</w:t>
      </w:r>
      <w:r w:rsidRPr="0095118E">
        <w:rPr>
          <w:rFonts w:asciiTheme="majorBidi" w:hAnsiTheme="majorBidi" w:cstheme="majorBidi"/>
          <w:sz w:val="24"/>
          <w:szCs w:val="24"/>
        </w:rPr>
        <w:t>e hypothesize that, after controlling for neuroticism, anxiety, and depression, IU will predict paranoia across time.</w:t>
      </w:r>
      <w:r w:rsidRPr="0095118E">
        <w:rPr>
          <w:rFonts w:asciiTheme="majorBidi" w:hAnsiTheme="majorBidi" w:cstheme="majorBidi" w:hint="eastAsia"/>
          <w:sz w:val="24"/>
          <w:szCs w:val="24"/>
        </w:rPr>
        <w:t xml:space="preserve">         </w:t>
      </w:r>
    </w:p>
    <w:bookmarkEnd w:id="0"/>
    <w:p w14:paraId="43918DB6" w14:textId="77777777" w:rsidR="008E2CD7" w:rsidRPr="0095118E" w:rsidRDefault="008E2CD7" w:rsidP="008E2CD7">
      <w:pPr>
        <w:rPr>
          <w:sz w:val="24"/>
          <w:szCs w:val="24"/>
        </w:rPr>
      </w:pPr>
    </w:p>
    <w:p w14:paraId="41F64A58" w14:textId="77777777" w:rsidR="008E2CD7" w:rsidRPr="0095118E" w:rsidRDefault="008E2CD7" w:rsidP="008E2CD7">
      <w:pPr>
        <w:pStyle w:val="Heading1"/>
        <w:spacing w:line="480" w:lineRule="auto"/>
        <w:jc w:val="center"/>
        <w:rPr>
          <w:rFonts w:asciiTheme="majorBidi" w:hAnsiTheme="majorBidi"/>
          <w:b/>
          <w:bCs/>
          <w:color w:val="000000" w:themeColor="text1"/>
          <w:sz w:val="24"/>
          <w:szCs w:val="24"/>
        </w:rPr>
      </w:pPr>
      <w:r w:rsidRPr="0095118E">
        <w:rPr>
          <w:rFonts w:asciiTheme="majorBidi" w:hAnsiTheme="majorBidi"/>
          <w:b/>
          <w:bCs/>
          <w:color w:val="000000" w:themeColor="text1"/>
          <w:sz w:val="24"/>
          <w:szCs w:val="24"/>
        </w:rPr>
        <w:t>Methodology</w:t>
      </w:r>
    </w:p>
    <w:p w14:paraId="208EF9E6" w14:textId="77777777" w:rsidR="008E2CD7" w:rsidRPr="0095118E" w:rsidRDefault="008E2CD7" w:rsidP="008E2CD7">
      <w:pPr>
        <w:pStyle w:val="Heading2"/>
        <w:spacing w:line="480" w:lineRule="auto"/>
        <w:rPr>
          <w:rFonts w:asciiTheme="majorBidi" w:hAnsiTheme="majorBidi"/>
          <w:b/>
          <w:bCs/>
          <w:color w:val="000000" w:themeColor="text1"/>
          <w:sz w:val="24"/>
          <w:szCs w:val="24"/>
        </w:rPr>
      </w:pPr>
      <w:r w:rsidRPr="0095118E">
        <w:rPr>
          <w:rFonts w:asciiTheme="majorBidi" w:hAnsiTheme="majorBidi"/>
          <w:b/>
          <w:bCs/>
          <w:color w:val="000000" w:themeColor="text1"/>
          <w:sz w:val="24"/>
          <w:szCs w:val="24"/>
        </w:rPr>
        <w:t>Participants/procedure</w:t>
      </w:r>
    </w:p>
    <w:p w14:paraId="28159D8F" w14:textId="77777777" w:rsidR="008E2CD7" w:rsidRPr="0095118E" w:rsidRDefault="008E2CD7" w:rsidP="008E2CD7">
      <w:pPr>
        <w:spacing w:line="480" w:lineRule="auto"/>
        <w:ind w:firstLine="720"/>
        <w:rPr>
          <w:sz w:val="24"/>
          <w:szCs w:val="24"/>
        </w:rPr>
      </w:pPr>
      <w:r w:rsidRPr="0095118E">
        <w:rPr>
          <w:rFonts w:asciiTheme="majorBidi" w:hAnsiTheme="majorBidi" w:cstheme="majorBidi"/>
          <w:sz w:val="24"/>
          <w:szCs w:val="24"/>
        </w:rPr>
        <w:t>This study is conducted on the data collected in the first (23-28 March 2020, n = 2025, 48% female, M</w:t>
      </w:r>
      <w:r w:rsidRPr="0095118E">
        <w:rPr>
          <w:rFonts w:asciiTheme="majorBidi" w:hAnsiTheme="majorBidi" w:cstheme="majorBidi"/>
          <w:sz w:val="24"/>
          <w:szCs w:val="24"/>
          <w:vertAlign w:val="subscript"/>
        </w:rPr>
        <w:t>age</w:t>
      </w:r>
      <w:r w:rsidRPr="0095118E">
        <w:rPr>
          <w:rFonts w:asciiTheme="majorBidi" w:hAnsiTheme="majorBidi" w:cstheme="majorBidi"/>
          <w:sz w:val="24"/>
          <w:szCs w:val="24"/>
        </w:rPr>
        <w:t xml:space="preserve"> = 45.45 years [SD = 15.9], 91% white background) second (22 April-1</w:t>
      </w:r>
      <w:r w:rsidRPr="0095118E">
        <w:rPr>
          <w:rFonts w:asciiTheme="majorBidi" w:hAnsiTheme="majorBidi" w:cstheme="majorBidi"/>
          <w:sz w:val="24"/>
          <w:szCs w:val="24"/>
          <w:vertAlign w:val="superscript"/>
        </w:rPr>
        <w:t xml:space="preserve"> </w:t>
      </w:r>
      <w:r w:rsidRPr="0095118E">
        <w:rPr>
          <w:rFonts w:asciiTheme="majorBidi" w:hAnsiTheme="majorBidi" w:cstheme="majorBidi"/>
          <w:sz w:val="24"/>
          <w:szCs w:val="24"/>
        </w:rPr>
        <w:t>May 2020, n = 1406) and forth (25 November-22</w:t>
      </w:r>
      <w:r w:rsidRPr="0095118E">
        <w:rPr>
          <w:rFonts w:asciiTheme="majorBidi" w:hAnsiTheme="majorBidi" w:cstheme="majorBidi"/>
          <w:sz w:val="24"/>
          <w:szCs w:val="24"/>
          <w:vertAlign w:val="superscript"/>
        </w:rPr>
        <w:t>nd</w:t>
      </w:r>
      <w:r w:rsidRPr="0095118E">
        <w:rPr>
          <w:rFonts w:asciiTheme="majorBidi" w:hAnsiTheme="majorBidi" w:cstheme="majorBidi"/>
          <w:sz w:val="24"/>
          <w:szCs w:val="24"/>
        </w:rPr>
        <w:t xml:space="preserve"> December 2020, n = 1271</w:t>
      </w:r>
      <w:bookmarkStart w:id="1" w:name="_Hlk198886143"/>
      <w:r w:rsidRPr="0095118E">
        <w:rPr>
          <w:rFonts w:asciiTheme="majorBidi" w:hAnsiTheme="majorBidi" w:cstheme="majorBidi"/>
          <w:sz w:val="24"/>
          <w:szCs w:val="24"/>
        </w:rPr>
        <w:t xml:space="preserve">)  </w:t>
      </w:r>
      <w:bookmarkEnd w:id="1"/>
      <w:r w:rsidRPr="0095118E">
        <w:rPr>
          <w:rFonts w:asciiTheme="majorBidi" w:hAnsiTheme="majorBidi" w:cstheme="majorBidi"/>
          <w:sz w:val="24"/>
          <w:szCs w:val="24"/>
        </w:rPr>
        <w:t>waves of the longitudinal Covid-19 Psychological Research Consortium Study (C19PRC; McBride et al., 2021</w:t>
      </w:r>
      <w:r w:rsidRPr="0095118E">
        <w:t xml:space="preserve"> </w:t>
      </w:r>
      <w:r w:rsidRPr="0095118E">
        <w:rPr>
          <w:rFonts w:asciiTheme="majorBidi" w:hAnsiTheme="majorBidi" w:cstheme="majorBidi"/>
        </w:rPr>
        <w:t>) .</w:t>
      </w:r>
      <w:r w:rsidRPr="0095118E">
        <w:t xml:space="preserve"> </w:t>
      </w:r>
      <w:r w:rsidRPr="0095118E">
        <w:rPr>
          <w:rFonts w:asciiTheme="majorBidi" w:hAnsiTheme="majorBidi" w:cstheme="majorBidi"/>
          <w:sz w:val="24"/>
          <w:szCs w:val="24"/>
        </w:rPr>
        <w:t>To address missing data, we employed multiple imputation using five imputed datasets, which allowed for more accurate estimation while preserving sample size. Data from the third wave were not utilized, as the paranoia measure was only administered in Waves 1, 2, and 4. The study was funded by the Universities of Sheffield and Ulster, with additional support from the Economic and Social Research Council (see Acknowledgment). Participants aged 18 years and older were recruited online in the United Kingdom by the survey company Qualtrics, using quota sampling based on age, sex, and household income to ensure representativeness of the UK population.</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The University of Sheffield granted ethical approval for the C19PRC study (Reference number 033759). Each participant received information about the study's purpose, was assured of the confidentiality of their data, informed of their right to withdraw from the study at any point, and gave informed consent.</w:t>
      </w:r>
    </w:p>
    <w:p w14:paraId="604A48D8" w14:textId="77777777" w:rsidR="008E2CD7" w:rsidRPr="0095118E" w:rsidRDefault="008E2CD7" w:rsidP="008E2CD7">
      <w:pPr>
        <w:pStyle w:val="Heading2"/>
        <w:spacing w:line="480" w:lineRule="auto"/>
        <w:rPr>
          <w:rFonts w:asciiTheme="majorBidi" w:hAnsiTheme="majorBidi"/>
          <w:b/>
          <w:bCs/>
          <w:color w:val="000000" w:themeColor="text1"/>
          <w:sz w:val="24"/>
          <w:szCs w:val="24"/>
        </w:rPr>
      </w:pPr>
      <w:r w:rsidRPr="0095118E">
        <w:rPr>
          <w:rFonts w:asciiTheme="majorBidi" w:hAnsiTheme="majorBidi"/>
          <w:b/>
          <w:bCs/>
          <w:color w:val="000000" w:themeColor="text1"/>
          <w:sz w:val="24"/>
          <w:szCs w:val="24"/>
        </w:rPr>
        <w:lastRenderedPageBreak/>
        <w:t>Measures</w:t>
      </w:r>
    </w:p>
    <w:p w14:paraId="1CD974C4"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i/>
          <w:iCs/>
          <w:sz w:val="24"/>
          <w:szCs w:val="24"/>
        </w:rPr>
        <w:t>Paranoid beliefs</w:t>
      </w:r>
      <w:r w:rsidRPr="0095118E">
        <w:rPr>
          <w:rFonts w:asciiTheme="majorBidi" w:hAnsiTheme="majorBidi" w:cstheme="majorBidi"/>
          <w:sz w:val="24"/>
          <w:szCs w:val="24"/>
        </w:rPr>
        <w:t xml:space="preserve"> were measured at waves 1, 2 and 4 using the short 5-item version of the persecutory subscale of the </w:t>
      </w:r>
      <w:r w:rsidRPr="0095118E">
        <w:rPr>
          <w:rFonts w:asciiTheme="majorBidi" w:hAnsiTheme="majorBidi" w:cstheme="majorBidi"/>
        </w:rPr>
        <w:t>Persecution and Deservedness Scale</w:t>
      </w:r>
      <w:r w:rsidRPr="0095118E">
        <w:rPr>
          <w:rFonts w:asciiTheme="majorBidi" w:hAnsiTheme="majorBidi" w:cstheme="majorBidi"/>
          <w:sz w:val="24"/>
          <w:szCs w:val="24"/>
        </w:rPr>
        <w:t xml:space="preserve"> (PADS; Melo et al., 2009) developed by </w:t>
      </w:r>
      <w:bookmarkStart w:id="2" w:name="_Hlk184048092"/>
      <w:r w:rsidRPr="0095118E">
        <w:rPr>
          <w:rFonts w:asciiTheme="majorBidi" w:hAnsiTheme="majorBidi" w:cstheme="majorBidi"/>
          <w:sz w:val="24"/>
          <w:szCs w:val="24"/>
        </w:rPr>
        <w:t xml:space="preserve">McIntyre et al. (2018).  </w:t>
      </w:r>
      <w:bookmarkEnd w:id="2"/>
      <w:r w:rsidRPr="0095118E">
        <w:rPr>
          <w:rFonts w:asciiTheme="majorBidi" w:hAnsiTheme="majorBidi" w:cstheme="majorBidi"/>
          <w:sz w:val="24"/>
          <w:szCs w:val="24"/>
        </w:rPr>
        <w:t xml:space="preserve">Items include statements such as “I’m often suspicious of other people’s intentions towards me” and “People will almost certainly lie to me.” Participants rated their agreement on a scale from 1 (strongly disagree) to 5 (strongly agree), total score range 5-25. In the current study, </w:t>
      </w:r>
      <w:r w:rsidRPr="0095118E">
        <w:rPr>
          <w:rFonts w:asciiTheme="majorBidi" w:hAnsiTheme="majorBidi" w:cstheme="majorBidi"/>
        </w:rPr>
        <w:t>Cronbach's alpha</w:t>
      </w:r>
      <w:r w:rsidRPr="0095118E">
        <w:rPr>
          <w:rFonts w:asciiTheme="majorBidi" w:hAnsiTheme="majorBidi" w:cstheme="majorBidi"/>
          <w:sz w:val="24"/>
          <w:szCs w:val="24"/>
        </w:rPr>
        <w:t xml:space="preserve"> for this scale was </w:t>
      </w:r>
      <w:r w:rsidRPr="0095118E">
        <w:rPr>
          <w:rFonts w:asciiTheme="majorBidi" w:hAnsiTheme="majorBidi" w:cstheme="majorBidi" w:hint="eastAsia"/>
          <w:sz w:val="24"/>
          <w:szCs w:val="24"/>
        </w:rPr>
        <w:t>0.8</w:t>
      </w:r>
      <w:r w:rsidRPr="0095118E">
        <w:rPr>
          <w:rFonts w:asciiTheme="majorBidi" w:hAnsiTheme="majorBidi" w:cstheme="majorBidi"/>
          <w:sz w:val="24"/>
          <w:szCs w:val="24"/>
        </w:rPr>
        <w:t xml:space="preserve">6 at wave 1, </w:t>
      </w:r>
      <w:r w:rsidRPr="0095118E">
        <w:rPr>
          <w:rFonts w:asciiTheme="majorBidi" w:hAnsiTheme="majorBidi" w:cstheme="majorBidi" w:hint="eastAsia"/>
          <w:sz w:val="24"/>
          <w:szCs w:val="24"/>
        </w:rPr>
        <w:t>0.9</w:t>
      </w:r>
      <w:r w:rsidRPr="0095118E">
        <w:rPr>
          <w:rFonts w:asciiTheme="majorBidi" w:hAnsiTheme="majorBidi" w:cstheme="majorBidi"/>
          <w:sz w:val="24"/>
          <w:szCs w:val="24"/>
        </w:rPr>
        <w:t xml:space="preserve">2 at wave 2, and </w:t>
      </w:r>
      <w:r w:rsidRPr="0095118E">
        <w:rPr>
          <w:rFonts w:asciiTheme="majorBidi" w:hAnsiTheme="majorBidi" w:cstheme="majorBidi" w:hint="eastAsia"/>
          <w:sz w:val="24"/>
          <w:szCs w:val="24"/>
        </w:rPr>
        <w:t>0.87</w:t>
      </w:r>
      <w:r w:rsidRPr="0095118E">
        <w:rPr>
          <w:rFonts w:asciiTheme="majorBidi" w:hAnsiTheme="majorBidi" w:cstheme="majorBidi"/>
          <w:sz w:val="24"/>
          <w:szCs w:val="24"/>
        </w:rPr>
        <w:t xml:space="preserve"> at wave 4.</w:t>
      </w:r>
    </w:p>
    <w:p w14:paraId="5D614510"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hint="eastAsia"/>
          <w:i/>
          <w:iCs/>
          <w:sz w:val="24"/>
          <w:szCs w:val="24"/>
        </w:rPr>
        <w:t>Depression</w:t>
      </w:r>
      <w:r w:rsidRPr="0095118E">
        <w:rPr>
          <w:rFonts w:asciiTheme="majorBidi" w:hAnsiTheme="majorBidi" w:cstheme="majorBidi"/>
          <w:sz w:val="24"/>
          <w:szCs w:val="24"/>
        </w:rPr>
        <w:t xml:space="preserve"> </w:t>
      </w:r>
      <w:r w:rsidRPr="0095118E">
        <w:rPr>
          <w:rFonts w:asciiTheme="majorBidi" w:hAnsiTheme="majorBidi" w:cstheme="majorBidi" w:hint="eastAsia"/>
          <w:sz w:val="24"/>
          <w:szCs w:val="24"/>
        </w:rPr>
        <w:t>w</w:t>
      </w:r>
      <w:r w:rsidRPr="0095118E">
        <w:rPr>
          <w:rFonts w:asciiTheme="majorBidi" w:hAnsiTheme="majorBidi" w:cstheme="majorBidi"/>
          <w:sz w:val="24"/>
          <w:szCs w:val="24"/>
        </w:rPr>
        <w:t xml:space="preserve">as measured at waves 1, 2 and 4 using </w:t>
      </w:r>
      <w:r w:rsidRPr="0095118E">
        <w:rPr>
          <w:rFonts w:asciiTheme="majorBidi" w:hAnsiTheme="majorBidi" w:cstheme="majorBidi" w:hint="eastAsia"/>
          <w:sz w:val="24"/>
          <w:szCs w:val="24"/>
        </w:rPr>
        <w:t>Patient Health Questionnaire</w:t>
      </w:r>
      <w:r w:rsidRPr="0095118E">
        <w:rPr>
          <w:rFonts w:asciiTheme="majorBidi" w:hAnsiTheme="majorBidi" w:cstheme="majorBidi" w:hint="eastAsia"/>
          <w:sz w:val="24"/>
          <w:szCs w:val="24"/>
        </w:rPr>
        <w:t>‐</w:t>
      </w:r>
      <w:r w:rsidRPr="0095118E">
        <w:rPr>
          <w:rFonts w:asciiTheme="majorBidi" w:hAnsiTheme="majorBidi" w:cstheme="majorBidi" w:hint="eastAsia"/>
          <w:sz w:val="24"/>
          <w:szCs w:val="24"/>
        </w:rPr>
        <w:t>9 (</w:t>
      </w:r>
      <w:r w:rsidRPr="0095118E">
        <w:rPr>
          <w:rFonts w:asciiTheme="majorBidi" w:hAnsiTheme="majorBidi" w:cstheme="majorBidi"/>
          <w:sz w:val="24"/>
          <w:szCs w:val="24"/>
        </w:rPr>
        <w:t xml:space="preserve">The PHQ-9; </w:t>
      </w:r>
      <w:r w:rsidRPr="0095118E">
        <w:rPr>
          <w:rFonts w:asciiTheme="majorBidi" w:hAnsiTheme="majorBidi" w:cstheme="majorBidi" w:hint="eastAsia"/>
          <w:sz w:val="24"/>
          <w:szCs w:val="24"/>
        </w:rPr>
        <w:t>Kroenke, Spitzer, &amp; Williams, 2001)</w:t>
      </w:r>
      <w:r w:rsidRPr="0095118E">
        <w:rPr>
          <w:rFonts w:asciiTheme="majorBidi" w:hAnsiTheme="majorBidi" w:cstheme="majorBidi"/>
          <w:sz w:val="24"/>
          <w:szCs w:val="24"/>
        </w:rPr>
        <w:t xml:space="preserve">. The PHQ-9 evaluates each of the nine DSM-IV criteria for depression over the past two weeks on a scale from “0” (not at all) to “3” (nearly every day). Example items include </w:t>
      </w:r>
      <w:r w:rsidRPr="0095118E">
        <w:rPr>
          <w:rFonts w:asciiTheme="majorBidi" w:hAnsiTheme="majorBidi" w:cstheme="majorBidi" w:hint="eastAsia"/>
          <w:sz w:val="24"/>
          <w:szCs w:val="24"/>
        </w:rPr>
        <w:t>“</w:t>
      </w:r>
      <w:r w:rsidRPr="0095118E">
        <w:rPr>
          <w:rFonts w:asciiTheme="majorBidi" w:hAnsiTheme="majorBidi" w:cstheme="majorBidi"/>
          <w:sz w:val="24"/>
          <w:szCs w:val="24"/>
        </w:rPr>
        <w:t>Little interest or pleasure in doing things</w:t>
      </w:r>
      <w:r w:rsidRPr="0095118E">
        <w:rPr>
          <w:rFonts w:asciiTheme="majorBidi" w:hAnsiTheme="majorBidi" w:cstheme="majorBidi" w:hint="eastAsia"/>
          <w:sz w:val="24"/>
          <w:szCs w:val="24"/>
        </w:rPr>
        <w:t>”</w:t>
      </w:r>
      <w:r w:rsidRPr="0095118E">
        <w:rPr>
          <w:rFonts w:asciiTheme="majorBidi" w:hAnsiTheme="majorBidi" w:cstheme="majorBidi" w:hint="eastAsia"/>
          <w:sz w:val="24"/>
          <w:szCs w:val="24"/>
        </w:rPr>
        <w:t xml:space="preserve"> and</w:t>
      </w:r>
      <w:r w:rsidRPr="0095118E">
        <w:rPr>
          <w:rFonts w:asciiTheme="majorBidi" w:hAnsiTheme="majorBidi" w:cstheme="majorBidi"/>
          <w:sz w:val="24"/>
          <w:szCs w:val="24"/>
        </w:rPr>
        <w:t xml:space="preserve"> </w:t>
      </w:r>
      <w:r w:rsidRPr="0095118E">
        <w:rPr>
          <w:rFonts w:asciiTheme="majorBidi" w:hAnsiTheme="majorBidi" w:cstheme="majorBidi" w:hint="eastAsia"/>
          <w:sz w:val="24"/>
          <w:szCs w:val="24"/>
        </w:rPr>
        <w:t>“</w:t>
      </w:r>
      <w:r w:rsidRPr="0095118E">
        <w:rPr>
          <w:rFonts w:asciiTheme="majorBidi" w:hAnsiTheme="majorBidi" w:cstheme="majorBidi"/>
          <w:sz w:val="24"/>
          <w:szCs w:val="24"/>
        </w:rPr>
        <w:t>Feeling tired or having little energy</w:t>
      </w:r>
      <w:r w:rsidRPr="0095118E">
        <w:rPr>
          <w:rFonts w:asciiTheme="majorBidi" w:hAnsiTheme="majorBidi" w:cstheme="majorBidi" w:hint="eastAsia"/>
          <w:sz w:val="24"/>
          <w:szCs w:val="24"/>
        </w:rPr>
        <w:t>”</w:t>
      </w:r>
      <w:r w:rsidRPr="0095118E">
        <w:rPr>
          <w:rFonts w:asciiTheme="majorBidi" w:hAnsiTheme="majorBidi" w:cstheme="majorBidi"/>
          <w:sz w:val="24"/>
          <w:szCs w:val="24"/>
        </w:rPr>
        <w:t xml:space="preserve">. total score range </w:t>
      </w:r>
      <w:r w:rsidRPr="0095118E">
        <w:rPr>
          <w:rFonts w:asciiTheme="majorBidi" w:hAnsiTheme="majorBidi" w:cstheme="majorBidi" w:hint="eastAsia"/>
          <w:sz w:val="24"/>
          <w:szCs w:val="24"/>
        </w:rPr>
        <w:t>0-</w:t>
      </w:r>
      <w:r w:rsidRPr="0095118E">
        <w:rPr>
          <w:rFonts w:asciiTheme="majorBidi" w:hAnsiTheme="majorBidi" w:cstheme="majorBidi"/>
          <w:sz w:val="24"/>
          <w:szCs w:val="24"/>
        </w:rPr>
        <w:t xml:space="preserve">27. In the current study, </w:t>
      </w:r>
      <w:r w:rsidRPr="0095118E">
        <w:rPr>
          <w:rFonts w:asciiTheme="majorBidi" w:hAnsiTheme="majorBidi" w:cstheme="majorBidi"/>
        </w:rPr>
        <w:t>Cronbach's alpha</w:t>
      </w:r>
      <w:r w:rsidRPr="0095118E">
        <w:rPr>
          <w:rFonts w:asciiTheme="majorBidi" w:hAnsiTheme="majorBidi" w:cstheme="majorBidi"/>
          <w:sz w:val="24"/>
          <w:szCs w:val="24"/>
        </w:rPr>
        <w:t xml:space="preserve"> for this scale was </w:t>
      </w:r>
      <w:r w:rsidRPr="0095118E">
        <w:rPr>
          <w:rFonts w:asciiTheme="majorBidi" w:hAnsiTheme="majorBidi" w:cstheme="majorBidi" w:hint="eastAsia"/>
          <w:sz w:val="24"/>
          <w:szCs w:val="24"/>
        </w:rPr>
        <w:t>0.92</w:t>
      </w:r>
      <w:r w:rsidRPr="0095118E">
        <w:rPr>
          <w:rFonts w:asciiTheme="majorBidi" w:hAnsiTheme="majorBidi" w:cstheme="majorBidi"/>
          <w:sz w:val="24"/>
          <w:szCs w:val="24"/>
        </w:rPr>
        <w:t xml:space="preserve"> at wave 1, </w:t>
      </w:r>
      <w:r w:rsidRPr="0095118E">
        <w:rPr>
          <w:rFonts w:asciiTheme="majorBidi" w:hAnsiTheme="majorBidi" w:cstheme="majorBidi" w:hint="eastAsia"/>
          <w:sz w:val="24"/>
          <w:szCs w:val="24"/>
        </w:rPr>
        <w:t>0.86</w:t>
      </w:r>
      <w:r w:rsidRPr="0095118E">
        <w:rPr>
          <w:rFonts w:asciiTheme="majorBidi" w:hAnsiTheme="majorBidi" w:cstheme="majorBidi"/>
          <w:sz w:val="24"/>
          <w:szCs w:val="24"/>
        </w:rPr>
        <w:t xml:space="preserve"> at wave 2, and </w:t>
      </w:r>
      <w:r w:rsidRPr="0095118E">
        <w:rPr>
          <w:rFonts w:asciiTheme="majorBidi" w:hAnsiTheme="majorBidi" w:cstheme="majorBidi" w:hint="eastAsia"/>
          <w:sz w:val="24"/>
          <w:szCs w:val="24"/>
        </w:rPr>
        <w:t>0.9</w:t>
      </w:r>
      <w:r w:rsidRPr="0095118E">
        <w:rPr>
          <w:rFonts w:asciiTheme="majorBidi" w:hAnsiTheme="majorBidi" w:cstheme="majorBidi"/>
          <w:sz w:val="24"/>
          <w:szCs w:val="24"/>
        </w:rPr>
        <w:t>4 at wave 4.</w:t>
      </w:r>
    </w:p>
    <w:p w14:paraId="77A36A0D"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hint="eastAsia"/>
          <w:i/>
          <w:iCs/>
          <w:sz w:val="24"/>
          <w:szCs w:val="24"/>
        </w:rPr>
        <w:t>Anxiety</w:t>
      </w:r>
      <w:r w:rsidRPr="0095118E">
        <w:rPr>
          <w:rFonts w:asciiTheme="majorBidi" w:hAnsiTheme="majorBidi" w:cstheme="majorBidi" w:hint="eastAsia"/>
          <w:sz w:val="24"/>
          <w:szCs w:val="24"/>
        </w:rPr>
        <w:t xml:space="preserve"> w</w:t>
      </w:r>
      <w:r w:rsidRPr="0095118E">
        <w:rPr>
          <w:rFonts w:asciiTheme="majorBidi" w:hAnsiTheme="majorBidi" w:cstheme="majorBidi"/>
          <w:sz w:val="24"/>
          <w:szCs w:val="24"/>
        </w:rPr>
        <w:t>as measured at waves 1, 2 and 4 using</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 xml:space="preserve">the </w:t>
      </w:r>
      <w:r w:rsidRPr="0095118E">
        <w:rPr>
          <w:rFonts w:asciiTheme="majorBidi" w:hAnsiTheme="majorBidi" w:cstheme="majorBidi" w:hint="eastAsia"/>
          <w:sz w:val="24"/>
          <w:szCs w:val="24"/>
        </w:rPr>
        <w:t>Generalized Anxiety Disorder Scale</w:t>
      </w:r>
      <w:r w:rsidRPr="0095118E">
        <w:rPr>
          <w:rFonts w:asciiTheme="majorBidi" w:hAnsiTheme="majorBidi" w:cstheme="majorBidi" w:hint="eastAsia"/>
          <w:sz w:val="24"/>
          <w:szCs w:val="24"/>
        </w:rPr>
        <w:t>‐</w:t>
      </w:r>
      <w:r w:rsidRPr="0095118E">
        <w:rPr>
          <w:rFonts w:asciiTheme="majorBidi" w:hAnsiTheme="majorBidi" w:cstheme="majorBidi" w:hint="eastAsia"/>
          <w:sz w:val="24"/>
          <w:szCs w:val="24"/>
        </w:rPr>
        <w:t>7 (</w:t>
      </w:r>
      <w:r w:rsidRPr="0095118E">
        <w:rPr>
          <w:rFonts w:asciiTheme="majorBidi" w:hAnsiTheme="majorBidi" w:cstheme="majorBidi"/>
          <w:sz w:val="24"/>
          <w:szCs w:val="24"/>
        </w:rPr>
        <w:t xml:space="preserve">The GAD-7; </w:t>
      </w:r>
      <w:r w:rsidRPr="0095118E">
        <w:rPr>
          <w:rFonts w:asciiTheme="majorBidi" w:hAnsiTheme="majorBidi" w:cstheme="majorBidi" w:hint="eastAsia"/>
          <w:sz w:val="24"/>
          <w:szCs w:val="24"/>
        </w:rPr>
        <w:t>Spitzer, Kroenke, Williams, &amp; Löwe, 2006)</w:t>
      </w:r>
      <w:r w:rsidRPr="0095118E">
        <w:rPr>
          <w:rFonts w:asciiTheme="majorBidi" w:hAnsiTheme="majorBidi" w:cstheme="majorBidi"/>
          <w:sz w:val="24"/>
          <w:szCs w:val="24"/>
        </w:rPr>
        <w:t xml:space="preserve">. Participants were asked how often they were bothered by each symptom over the past two weeks. Example items include statements such as </w:t>
      </w:r>
      <w:r w:rsidRPr="0095118E">
        <w:rPr>
          <w:rFonts w:asciiTheme="majorBidi" w:hAnsiTheme="majorBidi" w:cstheme="majorBidi" w:hint="eastAsia"/>
          <w:sz w:val="24"/>
          <w:szCs w:val="24"/>
        </w:rPr>
        <w:t>“</w:t>
      </w:r>
      <w:r w:rsidRPr="0095118E">
        <w:rPr>
          <w:rFonts w:asciiTheme="majorBidi" w:hAnsiTheme="majorBidi" w:cstheme="majorBidi"/>
          <w:sz w:val="24"/>
          <w:szCs w:val="24"/>
        </w:rPr>
        <w:t>Feeling nervous, anxious or on edge</w:t>
      </w:r>
      <w:r w:rsidRPr="0095118E">
        <w:rPr>
          <w:rFonts w:asciiTheme="majorBidi" w:hAnsiTheme="majorBidi" w:cstheme="majorBidi" w:hint="eastAsia"/>
          <w:sz w:val="24"/>
          <w:szCs w:val="24"/>
        </w:rPr>
        <w:t>”</w:t>
      </w:r>
      <w:r w:rsidRPr="0095118E">
        <w:rPr>
          <w:rFonts w:asciiTheme="majorBidi" w:hAnsiTheme="majorBidi" w:cstheme="majorBidi"/>
          <w:sz w:val="24"/>
          <w:szCs w:val="24"/>
        </w:rPr>
        <w:t xml:space="preserve"> </w:t>
      </w:r>
      <w:r w:rsidRPr="0095118E">
        <w:rPr>
          <w:rFonts w:asciiTheme="majorBidi" w:hAnsiTheme="majorBidi" w:cstheme="majorBidi" w:hint="eastAsia"/>
          <w:sz w:val="24"/>
          <w:szCs w:val="24"/>
        </w:rPr>
        <w:t>and</w:t>
      </w:r>
      <w:r w:rsidRPr="0095118E">
        <w:rPr>
          <w:rFonts w:asciiTheme="majorBidi" w:hAnsiTheme="majorBidi" w:cstheme="majorBidi"/>
          <w:sz w:val="24"/>
          <w:szCs w:val="24"/>
        </w:rPr>
        <w:t xml:space="preserve"> </w:t>
      </w:r>
      <w:r w:rsidRPr="0095118E">
        <w:rPr>
          <w:rFonts w:asciiTheme="majorBidi" w:hAnsiTheme="majorBidi" w:cstheme="majorBidi" w:hint="eastAsia"/>
          <w:sz w:val="24"/>
          <w:szCs w:val="24"/>
        </w:rPr>
        <w:t>“</w:t>
      </w:r>
      <w:r w:rsidRPr="0095118E">
        <w:rPr>
          <w:rFonts w:asciiTheme="majorBidi" w:hAnsiTheme="majorBidi" w:cstheme="majorBidi"/>
          <w:sz w:val="24"/>
          <w:szCs w:val="24"/>
        </w:rPr>
        <w:t>Becoming easily annoyed or irritable</w:t>
      </w:r>
      <w:r w:rsidRPr="0095118E">
        <w:rPr>
          <w:rFonts w:asciiTheme="majorBidi" w:hAnsiTheme="majorBidi" w:cstheme="majorBidi" w:hint="eastAsia"/>
          <w:sz w:val="24"/>
          <w:szCs w:val="24"/>
        </w:rPr>
        <w:t>”</w:t>
      </w:r>
      <w:r w:rsidRPr="0095118E">
        <w:rPr>
          <w:rFonts w:asciiTheme="majorBidi" w:hAnsiTheme="majorBidi" w:cstheme="majorBidi"/>
          <w:sz w:val="24"/>
          <w:szCs w:val="24"/>
        </w:rPr>
        <w:t>.Response options included “not at all,” “several days,” “more than half the days,” and “nearly every day,” scored as 0, 1, 2, and 3, total score range</w:t>
      </w:r>
      <w:r w:rsidRPr="0095118E">
        <w:rPr>
          <w:rFonts w:asciiTheme="majorBidi" w:hAnsiTheme="majorBidi" w:cstheme="majorBidi" w:hint="eastAsia"/>
          <w:sz w:val="24"/>
          <w:szCs w:val="24"/>
        </w:rPr>
        <w:t xml:space="preserve"> 0-21.</w:t>
      </w:r>
      <w:r w:rsidRPr="0095118E">
        <w:rPr>
          <w:rFonts w:asciiTheme="majorBidi" w:hAnsiTheme="majorBidi" w:cstheme="majorBidi"/>
          <w:sz w:val="24"/>
          <w:szCs w:val="24"/>
        </w:rPr>
        <w:t xml:space="preserve"> respectively. In the current study, </w:t>
      </w:r>
      <w:r w:rsidRPr="0095118E">
        <w:rPr>
          <w:rFonts w:asciiTheme="majorBidi" w:hAnsiTheme="majorBidi" w:cstheme="majorBidi"/>
        </w:rPr>
        <w:t>Cronbach's alpha</w:t>
      </w:r>
      <w:r w:rsidRPr="0095118E">
        <w:rPr>
          <w:rFonts w:asciiTheme="majorBidi" w:hAnsiTheme="majorBidi" w:cstheme="majorBidi"/>
          <w:sz w:val="24"/>
          <w:szCs w:val="24"/>
        </w:rPr>
        <w:t xml:space="preserve"> for this scale was </w:t>
      </w:r>
      <w:r w:rsidRPr="0095118E">
        <w:rPr>
          <w:rFonts w:asciiTheme="majorBidi" w:hAnsiTheme="majorBidi" w:cstheme="majorBidi" w:hint="eastAsia"/>
          <w:sz w:val="24"/>
          <w:szCs w:val="24"/>
        </w:rPr>
        <w:t>0.94</w:t>
      </w:r>
      <w:r w:rsidRPr="0095118E">
        <w:rPr>
          <w:rFonts w:asciiTheme="majorBidi" w:hAnsiTheme="majorBidi" w:cstheme="majorBidi"/>
          <w:sz w:val="24"/>
          <w:szCs w:val="24"/>
        </w:rPr>
        <w:t xml:space="preserve"> at wave 1, </w:t>
      </w:r>
      <w:r w:rsidRPr="0095118E">
        <w:rPr>
          <w:rFonts w:asciiTheme="majorBidi" w:hAnsiTheme="majorBidi" w:cstheme="majorBidi" w:hint="eastAsia"/>
          <w:sz w:val="24"/>
          <w:szCs w:val="24"/>
        </w:rPr>
        <w:t xml:space="preserve">0.94 </w:t>
      </w:r>
      <w:r w:rsidRPr="0095118E">
        <w:rPr>
          <w:rFonts w:asciiTheme="majorBidi" w:hAnsiTheme="majorBidi" w:cstheme="majorBidi"/>
          <w:sz w:val="24"/>
          <w:szCs w:val="24"/>
        </w:rPr>
        <w:t xml:space="preserve">at wave 2, and </w:t>
      </w:r>
      <w:r w:rsidRPr="0095118E">
        <w:rPr>
          <w:rFonts w:asciiTheme="majorBidi" w:hAnsiTheme="majorBidi" w:cstheme="majorBidi" w:hint="eastAsia"/>
          <w:sz w:val="24"/>
          <w:szCs w:val="24"/>
        </w:rPr>
        <w:t>0.9</w:t>
      </w:r>
      <w:r w:rsidRPr="0095118E">
        <w:rPr>
          <w:rFonts w:asciiTheme="majorBidi" w:hAnsiTheme="majorBidi" w:cstheme="majorBidi"/>
          <w:sz w:val="24"/>
          <w:szCs w:val="24"/>
        </w:rPr>
        <w:t>6 at wave 4.</w:t>
      </w:r>
    </w:p>
    <w:p w14:paraId="53285C7F"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i/>
          <w:iCs/>
          <w:sz w:val="24"/>
          <w:szCs w:val="24"/>
        </w:rPr>
        <w:t xml:space="preserve">Intolerance of </w:t>
      </w:r>
      <w:r w:rsidRPr="0095118E">
        <w:rPr>
          <w:rFonts w:asciiTheme="majorBidi" w:hAnsiTheme="majorBidi" w:cstheme="majorBidi" w:hint="eastAsia"/>
          <w:i/>
          <w:iCs/>
          <w:sz w:val="24"/>
          <w:szCs w:val="24"/>
        </w:rPr>
        <w:t>U</w:t>
      </w:r>
      <w:r w:rsidRPr="0095118E">
        <w:rPr>
          <w:rFonts w:asciiTheme="majorBidi" w:hAnsiTheme="majorBidi" w:cstheme="majorBidi"/>
          <w:i/>
          <w:iCs/>
          <w:sz w:val="24"/>
          <w:szCs w:val="24"/>
        </w:rPr>
        <w:t>ncertainty</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 xml:space="preserve">was measured at wave 1 using the Intolerance of Uncertainty Scale (IUS-12; Carleton et al., 2007).  Example items include statements such as “Unforeseen events upset me greatly” and </w:t>
      </w:r>
      <w:r w:rsidRPr="0095118E">
        <w:rPr>
          <w:rFonts w:ascii="Times" w:hAnsi="Times" w:cstheme="majorBidi"/>
          <w:sz w:val="24"/>
          <w:szCs w:val="24"/>
        </w:rPr>
        <w:t>“</w:t>
      </w:r>
      <w:r w:rsidRPr="0095118E">
        <w:rPr>
          <w:rFonts w:ascii="Times" w:hAnsi="Times"/>
          <w:color w:val="1F1F1F"/>
          <w:sz w:val="24"/>
          <w:szCs w:val="24"/>
        </w:rPr>
        <w:t>Uncertainty keeps me from living a full life</w:t>
      </w:r>
      <w:r w:rsidRPr="0095118E">
        <w:rPr>
          <w:rFonts w:ascii="Times" w:hAnsi="Times" w:cstheme="majorBidi"/>
          <w:sz w:val="24"/>
          <w:szCs w:val="24"/>
        </w:rPr>
        <w:t>”</w:t>
      </w:r>
      <w:r w:rsidRPr="0095118E">
        <w:rPr>
          <w:rFonts w:asciiTheme="majorBidi" w:hAnsiTheme="majorBidi" w:cstheme="majorBidi"/>
          <w:sz w:val="24"/>
          <w:szCs w:val="24"/>
        </w:rPr>
        <w:t>. The first seven items assessed fear and anxiety regarding future events, categorized as Prospective IU. and the remaining five items assessed inhibition of action or experience due to uncertainty, thus categorized as Inhibitory IU. Participants rated their agreement on a five-point scale ranging from 1 (not at all characteristics of me) to 5 (entirely characteristic of me)</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total score range</w:t>
      </w:r>
      <w:r w:rsidRPr="0095118E">
        <w:rPr>
          <w:rFonts w:asciiTheme="majorBidi" w:hAnsiTheme="majorBidi" w:cstheme="majorBidi" w:hint="eastAsia"/>
          <w:sz w:val="24"/>
          <w:szCs w:val="24"/>
        </w:rPr>
        <w:t xml:space="preserve"> 12- 60</w:t>
      </w:r>
      <w:r w:rsidRPr="0095118E">
        <w:rPr>
          <w:rFonts w:asciiTheme="majorBidi" w:hAnsiTheme="majorBidi" w:cstheme="majorBidi"/>
          <w:sz w:val="24"/>
          <w:szCs w:val="24"/>
        </w:rPr>
        <w:t xml:space="preserve">. In the current study, </w:t>
      </w:r>
      <w:r w:rsidRPr="0095118E">
        <w:rPr>
          <w:rFonts w:asciiTheme="majorBidi" w:hAnsiTheme="majorBidi" w:cstheme="majorBidi"/>
        </w:rPr>
        <w:t>Cronbach's alpha</w:t>
      </w:r>
      <w:r w:rsidRPr="0095118E">
        <w:rPr>
          <w:rFonts w:asciiTheme="majorBidi" w:hAnsiTheme="majorBidi" w:cstheme="majorBidi"/>
          <w:sz w:val="24"/>
          <w:szCs w:val="24"/>
        </w:rPr>
        <w:t xml:space="preserve"> for this scale was </w:t>
      </w:r>
      <w:r w:rsidRPr="0095118E">
        <w:rPr>
          <w:rFonts w:asciiTheme="majorBidi" w:hAnsiTheme="majorBidi" w:cstheme="majorBidi" w:hint="eastAsia"/>
          <w:sz w:val="24"/>
          <w:szCs w:val="24"/>
        </w:rPr>
        <w:t>0.90</w:t>
      </w:r>
      <w:r w:rsidRPr="0095118E">
        <w:rPr>
          <w:rFonts w:asciiTheme="majorBidi" w:hAnsiTheme="majorBidi" w:cstheme="majorBidi"/>
          <w:sz w:val="24"/>
          <w:szCs w:val="24"/>
        </w:rPr>
        <w:t xml:space="preserve"> at wave 1</w:t>
      </w:r>
      <w:r w:rsidRPr="0095118E">
        <w:rPr>
          <w:rFonts w:asciiTheme="majorBidi" w:hAnsiTheme="majorBidi" w:cstheme="majorBidi" w:hint="eastAsia"/>
          <w:sz w:val="24"/>
          <w:szCs w:val="24"/>
        </w:rPr>
        <w:t>.</w:t>
      </w:r>
    </w:p>
    <w:p w14:paraId="4E716401"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i/>
          <w:iCs/>
          <w:sz w:val="24"/>
          <w:szCs w:val="24"/>
        </w:rPr>
        <w:t>Neuroticism</w:t>
      </w:r>
      <w:r w:rsidRPr="0095118E">
        <w:rPr>
          <w:rFonts w:asciiTheme="majorBidi" w:hAnsiTheme="majorBidi" w:cstheme="majorBidi"/>
          <w:sz w:val="24"/>
          <w:szCs w:val="24"/>
        </w:rPr>
        <w:t xml:space="preserve"> </w:t>
      </w:r>
      <w:r w:rsidRPr="0095118E">
        <w:rPr>
          <w:rFonts w:asciiTheme="majorBidi" w:hAnsiTheme="majorBidi" w:cstheme="majorBidi" w:hint="eastAsia"/>
          <w:sz w:val="24"/>
          <w:szCs w:val="24"/>
        </w:rPr>
        <w:t xml:space="preserve">was measured </w:t>
      </w:r>
      <w:r w:rsidRPr="0095118E">
        <w:rPr>
          <w:rFonts w:asciiTheme="majorBidi" w:hAnsiTheme="majorBidi" w:cstheme="majorBidi"/>
          <w:sz w:val="24"/>
          <w:szCs w:val="24"/>
        </w:rPr>
        <w:t xml:space="preserve">at wave 1 using the sum score of the two </w:t>
      </w:r>
      <w:r w:rsidRPr="0095118E">
        <w:rPr>
          <w:rFonts w:asciiTheme="majorBidi" w:hAnsiTheme="majorBidi" w:cstheme="majorBidi" w:hint="eastAsia"/>
          <w:sz w:val="24"/>
          <w:szCs w:val="24"/>
        </w:rPr>
        <w:t>n</w:t>
      </w:r>
      <w:r w:rsidRPr="0095118E">
        <w:rPr>
          <w:rFonts w:asciiTheme="majorBidi" w:hAnsiTheme="majorBidi" w:cstheme="majorBidi"/>
          <w:sz w:val="24"/>
          <w:szCs w:val="24"/>
        </w:rPr>
        <w:t>euroticism items from the Big Five Inventory-10 (BFI-10</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Rammstedt &amp; John, 2007): "I see myself as someone who is relaxed, handles stress well" and "I see myself as someone who gets nervous easily." Participants rated their level of agreement with these statements on a five-point scale, ranging from 1 (Disagree strongly) to 5 (Agree strongly)</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total score range</w:t>
      </w:r>
      <w:r w:rsidRPr="0095118E">
        <w:rPr>
          <w:rFonts w:asciiTheme="majorBidi" w:hAnsiTheme="majorBidi" w:cstheme="majorBidi" w:hint="eastAsia"/>
          <w:sz w:val="24"/>
          <w:szCs w:val="24"/>
        </w:rPr>
        <w:t xml:space="preserve"> 2-10</w:t>
      </w:r>
      <w:r w:rsidRPr="0095118E">
        <w:rPr>
          <w:rFonts w:asciiTheme="majorBidi" w:hAnsiTheme="majorBidi" w:cstheme="majorBidi"/>
          <w:sz w:val="24"/>
          <w:szCs w:val="24"/>
        </w:rPr>
        <w:t>.</w:t>
      </w:r>
      <w:r w:rsidRPr="0095118E">
        <w:rPr>
          <w:sz w:val="24"/>
          <w:szCs w:val="24"/>
        </w:rPr>
        <w:t xml:space="preserve"> </w:t>
      </w:r>
      <w:r w:rsidRPr="0095118E">
        <w:rPr>
          <w:rFonts w:asciiTheme="majorBidi" w:hAnsiTheme="majorBidi" w:cstheme="majorBidi"/>
          <w:sz w:val="24"/>
          <w:szCs w:val="24"/>
        </w:rPr>
        <w:t>The correlation between two items on the scale in this study was Pearson’s r = 0.487.</w:t>
      </w:r>
    </w:p>
    <w:p w14:paraId="6F165B78" w14:textId="77777777" w:rsidR="008E2CD7" w:rsidRPr="0095118E" w:rsidRDefault="008E2CD7" w:rsidP="008E2CD7">
      <w:pPr>
        <w:pStyle w:val="Heading2"/>
        <w:spacing w:line="480" w:lineRule="auto"/>
        <w:rPr>
          <w:b/>
          <w:bCs/>
          <w:sz w:val="24"/>
          <w:szCs w:val="24"/>
        </w:rPr>
      </w:pPr>
      <w:bookmarkStart w:id="3" w:name="_Hlk172914992"/>
      <w:r w:rsidRPr="0095118E">
        <w:rPr>
          <w:rFonts w:asciiTheme="majorBidi" w:hAnsiTheme="majorBidi"/>
          <w:b/>
          <w:bCs/>
          <w:color w:val="000000" w:themeColor="text1"/>
          <w:sz w:val="24"/>
          <w:szCs w:val="24"/>
        </w:rPr>
        <w:t>Statistical analysis</w:t>
      </w:r>
    </w:p>
    <w:p w14:paraId="47BFF405"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Our analyses aimed to estimate and compare the specific associations between IU and paranoia, depression, and anxiety. First, we present bivariate correlations between the variables measured. For bivariate correlation analyses, we adopted an a priori alpha level of p &lt; .01 to account for the large number of comparisons and the large sample size, thereby reducing the likelihood of Type I errors. We then employ Structural Equation Modeling (SEM), with IU as a latent variable, using the Prospective IU and Inhibitory IU dimensions as indicators. To ensure model identification, a fixed loading approach was applied for the latent variable IU</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Specifically, the loading of Prospective IU was constrained to 1.0. This is a standard practice in structural equation modelling when a latent variable has only two indicators, and it allows for just-identification of the measurement model. The outcome variables were paranoia, depression, and anxiety. To isolate the unique contribution of IU to each outcome, neuroticism was included in the model as a covariate. This approach enabled us to examine the extent to which IU independently predicted variations in paranoia, depression, and anxiety.</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We also controlled for the following demographic variables: age, ethnicity, education level, and gender. Separate SEM models were conducted examining the effect of IU on paranoia, depression and anxiety data at waves 1, 2, and 4, but with IU always at wave 1. Th</w:t>
      </w:r>
      <w:r w:rsidRPr="0095118E">
        <w:rPr>
          <w:rFonts w:asciiTheme="majorBidi" w:hAnsiTheme="majorBidi" w:cstheme="majorBidi" w:hint="eastAsia"/>
          <w:sz w:val="24"/>
          <w:szCs w:val="24"/>
        </w:rPr>
        <w:t>u</w:t>
      </w:r>
      <w:r w:rsidRPr="0095118E">
        <w:rPr>
          <w:rFonts w:asciiTheme="majorBidi" w:hAnsiTheme="majorBidi" w:cstheme="majorBidi"/>
          <w:sz w:val="24"/>
          <w:szCs w:val="24"/>
        </w:rPr>
        <w:t>s, we aimed to test the extent to which IU at wave 1 was associated with the clinical outcomes cross-sectionally, and 1 month and 8 months later. Wald tests and semi-partial correlations were used in each model to test for differences in the magnitude of association between IU and the three outcomes. The model is shown schematically in Figure 1.</w:t>
      </w:r>
    </w:p>
    <w:p w14:paraId="2A012D2C"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hint="eastAsia"/>
          <w:sz w:val="24"/>
          <w:szCs w:val="24"/>
        </w:rPr>
        <w:t xml:space="preserve">Meanwhile, </w:t>
      </w:r>
      <w:r w:rsidRPr="0095118E">
        <w:rPr>
          <w:rFonts w:asciiTheme="majorBidi" w:hAnsiTheme="majorBidi" w:cstheme="majorBidi"/>
          <w:sz w:val="24"/>
          <w:szCs w:val="24"/>
        </w:rPr>
        <w:t>to determine whether IU predicts changes in paranoia over time, above and beyond baseline levels of paranoia, we used a longitudinal structural equation model that included autoregressive paths for paranoia at all waves. Specifically, paranoia at Wave 2 was regressed on Wave 1 paranoia, and paranoia at Wave 4 was regressed on both Wave 1 and Wave 2 paranoia. This modelling approach allowed us to control for the temporal stability of paranoia and to assess whether IU explains residual changes in paranoia across time.</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The full model is shown in Figure 2</w:t>
      </w:r>
      <w:r w:rsidRPr="0095118E">
        <w:rPr>
          <w:rFonts w:asciiTheme="majorBidi" w:hAnsiTheme="majorBidi" w:cstheme="majorBidi" w:hint="eastAsia"/>
          <w:sz w:val="24"/>
          <w:szCs w:val="24"/>
        </w:rPr>
        <w:t>.</w:t>
      </w:r>
    </w:p>
    <w:p w14:paraId="0A2EC429"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All analyses were conducted in R 4.3.1 using the lavaan package. The SEM function was employed for calculating the regression models, and the lavTestWald function was used for testing the equality of constraints between regression coefficients.</w:t>
      </w:r>
    </w:p>
    <w:p w14:paraId="3F27FDD6"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We present the following goodness-of-fit indices: the chi-square test, the Comparative Fit Index (CFI), the Tucker-Lewis Index (TLI), the Root Mean Square Error of Approximation (RMSEA), and the Standardized Root Mean Squared Residual (SRMR). A CFI value close to or greater than 0.95 indicates a good fit. TLI values close to or greater than 0.95 also suggest a good fit. RMSEA values less than 0.06 are indicative of a good fit, with values up to 0.08 considered acceptable. SRMR values less than 0.08 are generally interpreted as indicating an acceptable fit</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(Hu and Bentler, 1999</w:t>
      </w:r>
      <w:r w:rsidRPr="0095118E">
        <w:rPr>
          <w:rFonts w:asciiTheme="majorBidi" w:hAnsiTheme="majorBidi" w:cstheme="majorBidi" w:hint="eastAsia"/>
          <w:sz w:val="24"/>
          <w:szCs w:val="24"/>
        </w:rPr>
        <w:t xml:space="preserve">). </w:t>
      </w:r>
    </w:p>
    <w:p w14:paraId="7C41C345" w14:textId="77777777" w:rsidR="008E2CD7" w:rsidRPr="0095118E" w:rsidRDefault="008E2CD7" w:rsidP="008E2CD7">
      <w:pPr>
        <w:spacing w:line="480" w:lineRule="auto"/>
        <w:ind w:firstLine="720"/>
        <w:rPr>
          <w:rFonts w:asciiTheme="majorBidi" w:hAnsiTheme="majorBidi" w:cstheme="majorBidi"/>
          <w:sz w:val="24"/>
          <w:szCs w:val="24"/>
        </w:rPr>
      </w:pPr>
      <w:bookmarkStart w:id="4" w:name="_Hlk172915211"/>
      <w:bookmarkEnd w:id="3"/>
      <w:r w:rsidRPr="0095118E">
        <w:rPr>
          <w:rFonts w:asciiTheme="majorBidi" w:hAnsiTheme="majorBidi" w:cstheme="majorBidi"/>
          <w:sz w:val="24"/>
          <w:szCs w:val="24"/>
        </w:rPr>
        <w:t>The adequacy of the sample size used in the present study (N = 2025) was supported by both theoretical guidelines and statistical power analysis. First, according to Beran and Violato (2010), Monte Carlo simulations can be used to determine adequate sample size for SEM. Their findings suggest that for a model with one latent variable and five observable indicators, a minimum of 10 participants per indicator (i.e., approximately 50 participants in total) is sufficient. Given that our model includes a total sample size of 2025 participants, the current study far exceeds the minimum requirements suggested by this guideline. Second, we used the RMSEA-based approach proposed by MacCallum et al. (1996) to assess power, testing a deviation from close fit (RMSEA = .05) to mediocre fit (RMSEA = .08). The analysis showed a power of 1.00, indicating that our sample size (N = 2025) was more than adequate to detect meaningful model misfit.</w:t>
      </w:r>
    </w:p>
    <w:p w14:paraId="01ED27AE" w14:textId="77777777" w:rsidR="008E2CD7" w:rsidRPr="0095118E" w:rsidRDefault="008E2CD7" w:rsidP="008E2CD7">
      <w:pPr>
        <w:spacing w:line="480" w:lineRule="auto"/>
        <w:ind w:firstLine="720"/>
        <w:rPr>
          <w:rFonts w:asciiTheme="majorBidi" w:hAnsiTheme="majorBidi" w:cstheme="majorBidi"/>
          <w:b/>
          <w:bCs/>
          <w:sz w:val="24"/>
          <w:szCs w:val="24"/>
        </w:rPr>
      </w:pPr>
    </w:p>
    <w:p w14:paraId="0217EA33" w14:textId="77777777" w:rsidR="008E2CD7" w:rsidRPr="0095118E" w:rsidRDefault="008E2CD7" w:rsidP="008E2CD7">
      <w:pPr>
        <w:spacing w:line="480" w:lineRule="auto"/>
        <w:rPr>
          <w:rFonts w:asciiTheme="majorBidi" w:hAnsiTheme="majorBidi" w:cstheme="majorBidi"/>
          <w:sz w:val="24"/>
          <w:szCs w:val="24"/>
        </w:rPr>
      </w:pPr>
      <w:r w:rsidRPr="0095118E">
        <w:rPr>
          <w:rFonts w:asciiTheme="majorBidi" w:hAnsiTheme="majorBidi" w:cstheme="majorBidi" w:hint="eastAsia"/>
          <w:b/>
          <w:bCs/>
          <w:sz w:val="24"/>
          <w:szCs w:val="24"/>
        </w:rPr>
        <w:t>Figure</w:t>
      </w:r>
      <w:r w:rsidRPr="0095118E">
        <w:rPr>
          <w:rFonts w:asciiTheme="majorBidi" w:hAnsiTheme="majorBidi" w:cstheme="majorBidi"/>
          <w:b/>
          <w:bCs/>
          <w:sz w:val="24"/>
          <w:szCs w:val="24"/>
        </w:rPr>
        <w:t xml:space="preserve"> </w:t>
      </w:r>
      <w:r w:rsidRPr="0095118E">
        <w:rPr>
          <w:rFonts w:asciiTheme="majorBidi" w:hAnsiTheme="majorBidi" w:cstheme="majorBidi" w:hint="eastAsia"/>
          <w:b/>
          <w:bCs/>
          <w:sz w:val="24"/>
          <w:szCs w:val="24"/>
        </w:rPr>
        <w:t>1</w:t>
      </w:r>
      <w:r w:rsidRPr="0095118E">
        <w:rPr>
          <w:rFonts w:asciiTheme="majorBidi" w:hAnsiTheme="majorBidi" w:cstheme="majorBidi" w:hint="eastAsia"/>
          <w:b/>
          <w:bCs/>
          <w:sz w:val="24"/>
          <w:szCs w:val="24"/>
        </w:rPr>
        <w:t>：</w:t>
      </w:r>
      <w:r w:rsidRPr="0095118E">
        <w:rPr>
          <w:rFonts w:asciiTheme="majorBidi" w:hAnsiTheme="majorBidi" w:cstheme="majorBidi"/>
          <w:sz w:val="24"/>
          <w:szCs w:val="24"/>
        </w:rPr>
        <w:t>General schematic model of relationships tested. Separate models were calculated with IU always at time 1 and outcome variables at each of the three time points.</w:t>
      </w:r>
    </w:p>
    <w:bookmarkEnd w:id="4"/>
    <w:p w14:paraId="6A804B8B" w14:textId="77777777" w:rsidR="008E2CD7" w:rsidRPr="0095118E" w:rsidRDefault="008E2CD7" w:rsidP="008E2CD7">
      <w:pPr>
        <w:spacing w:line="480" w:lineRule="auto"/>
        <w:ind w:firstLine="720"/>
        <w:rPr>
          <w:rFonts w:asciiTheme="majorBidi" w:hAnsiTheme="majorBidi" w:cstheme="majorBidi"/>
          <w:b/>
          <w:bCs/>
          <w:noProof/>
          <w:sz w:val="24"/>
          <w:szCs w:val="24"/>
        </w:rPr>
      </w:pPr>
      <w:r w:rsidRPr="0095118E">
        <w:rPr>
          <w:rFonts w:asciiTheme="majorBidi" w:hAnsiTheme="majorBidi" w:cstheme="majorBidi"/>
          <w:b/>
          <w:bCs/>
          <w:noProof/>
          <w:sz w:val="24"/>
          <w:szCs w:val="24"/>
        </w:rPr>
        <w:drawing>
          <wp:inline distT="0" distB="0" distL="0" distR="0" wp14:anchorId="47CD4965" wp14:editId="6450BDEC">
            <wp:extent cx="4647574" cy="3558540"/>
            <wp:effectExtent l="0" t="0" r="635" b="3810"/>
            <wp:docPr id="864764297" name="Picture 1" descr="A diagram of a patient's condi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764297" name="Picture 1" descr="A diagram of a patient's condition&#10;&#10;AI-generated content may be incorrect."/>
                    <pic:cNvPicPr/>
                  </pic:nvPicPr>
                  <pic:blipFill>
                    <a:blip r:embed="rId4"/>
                    <a:stretch>
                      <a:fillRect/>
                    </a:stretch>
                  </pic:blipFill>
                  <pic:spPr>
                    <a:xfrm>
                      <a:off x="0" y="0"/>
                      <a:ext cx="4652823" cy="3562559"/>
                    </a:xfrm>
                    <a:prstGeom prst="rect">
                      <a:avLst/>
                    </a:prstGeom>
                  </pic:spPr>
                </pic:pic>
              </a:graphicData>
            </a:graphic>
          </wp:inline>
        </w:drawing>
      </w:r>
      <w:r w:rsidRPr="0095118E">
        <w:rPr>
          <w:rFonts w:asciiTheme="majorBidi" w:hAnsiTheme="majorBidi" w:cstheme="majorBidi"/>
          <w:b/>
          <w:bCs/>
          <w:noProof/>
          <w:sz w:val="24"/>
          <w:szCs w:val="24"/>
        </w:rPr>
        <w:t xml:space="preserve"> </w:t>
      </w:r>
    </w:p>
    <w:p w14:paraId="56DEF9FE" w14:textId="77777777" w:rsidR="008E2CD7" w:rsidRPr="0095118E" w:rsidRDefault="008E2CD7" w:rsidP="008E2CD7">
      <w:pPr>
        <w:spacing w:line="480" w:lineRule="auto"/>
        <w:ind w:firstLine="720"/>
        <w:rPr>
          <w:rFonts w:asciiTheme="majorBidi" w:hAnsiTheme="majorBidi" w:cstheme="majorBidi"/>
          <w:b/>
          <w:bCs/>
          <w:noProof/>
          <w:sz w:val="24"/>
          <w:szCs w:val="24"/>
        </w:rPr>
      </w:pPr>
    </w:p>
    <w:p w14:paraId="43296A0D" w14:textId="77777777" w:rsidR="008E2CD7" w:rsidRPr="0095118E" w:rsidRDefault="008E2CD7" w:rsidP="008E2CD7">
      <w:pPr>
        <w:spacing w:line="480" w:lineRule="auto"/>
        <w:rPr>
          <w:rFonts w:asciiTheme="majorBidi" w:hAnsiTheme="majorBidi" w:cstheme="majorBidi"/>
          <w:noProof/>
          <w:sz w:val="24"/>
          <w:szCs w:val="24"/>
        </w:rPr>
      </w:pPr>
      <w:r w:rsidRPr="0095118E">
        <w:rPr>
          <w:rFonts w:asciiTheme="majorBidi" w:hAnsiTheme="majorBidi" w:cstheme="majorBidi"/>
          <w:b/>
          <w:bCs/>
          <w:noProof/>
          <w:sz w:val="24"/>
          <w:szCs w:val="24"/>
        </w:rPr>
        <w:t xml:space="preserve">Figure </w:t>
      </w:r>
      <w:r w:rsidRPr="0095118E">
        <w:rPr>
          <w:rFonts w:asciiTheme="majorBidi" w:hAnsiTheme="majorBidi" w:cstheme="majorBidi" w:hint="eastAsia"/>
          <w:b/>
          <w:bCs/>
          <w:noProof/>
          <w:sz w:val="24"/>
          <w:szCs w:val="24"/>
        </w:rPr>
        <w:t>2</w:t>
      </w:r>
      <w:r w:rsidRPr="0095118E">
        <w:rPr>
          <w:rFonts w:asciiTheme="majorBidi" w:hAnsiTheme="majorBidi" w:cstheme="majorBidi"/>
          <w:b/>
          <w:bCs/>
          <w:noProof/>
          <w:sz w:val="24"/>
          <w:szCs w:val="24"/>
        </w:rPr>
        <w:t>.</w:t>
      </w:r>
      <w:r w:rsidRPr="0095118E">
        <w:rPr>
          <w:rFonts w:asciiTheme="majorBidi" w:hAnsiTheme="majorBidi" w:cstheme="majorBidi" w:hint="eastAsia"/>
          <w:b/>
          <w:bCs/>
          <w:noProof/>
          <w:sz w:val="24"/>
          <w:szCs w:val="24"/>
        </w:rPr>
        <w:t xml:space="preserve"> </w:t>
      </w:r>
      <w:r w:rsidRPr="0095118E">
        <w:rPr>
          <w:rFonts w:asciiTheme="majorBidi" w:hAnsiTheme="majorBidi" w:cstheme="majorBidi"/>
          <w:noProof/>
          <w:sz w:val="24"/>
          <w:szCs w:val="24"/>
        </w:rPr>
        <w:t>Longitudinal path model of IU predicting changes in paranoia at Waves 2 and 4, with autoregressive controls.</w:t>
      </w:r>
    </w:p>
    <w:p w14:paraId="26D65A54" w14:textId="77777777" w:rsidR="008E2CD7" w:rsidRPr="0095118E" w:rsidRDefault="008E2CD7" w:rsidP="008E2CD7">
      <w:pPr>
        <w:spacing w:line="480" w:lineRule="auto"/>
        <w:rPr>
          <w:rFonts w:asciiTheme="majorBidi" w:hAnsiTheme="majorBidi" w:cstheme="majorBidi"/>
          <w:b/>
          <w:bCs/>
          <w:noProof/>
          <w:sz w:val="24"/>
          <w:szCs w:val="24"/>
        </w:rPr>
      </w:pPr>
      <w:r w:rsidRPr="0095118E">
        <w:rPr>
          <w:rFonts w:asciiTheme="majorBidi" w:hAnsiTheme="majorBidi" w:cstheme="majorBidi"/>
          <w:b/>
          <w:bCs/>
          <w:noProof/>
          <w:sz w:val="24"/>
          <w:szCs w:val="24"/>
        </w:rPr>
        <w:drawing>
          <wp:inline distT="0" distB="0" distL="0" distR="0" wp14:anchorId="049B6F7E" wp14:editId="089303CB">
            <wp:extent cx="5731510" cy="4193540"/>
            <wp:effectExtent l="0" t="0" r="2540" b="0"/>
            <wp:docPr id="667420684"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20684" name="Picture 1" descr="A diagram of a diagram&#10;&#10;AI-generated content may be incorrect."/>
                    <pic:cNvPicPr/>
                  </pic:nvPicPr>
                  <pic:blipFill>
                    <a:blip r:embed="rId5"/>
                    <a:stretch>
                      <a:fillRect/>
                    </a:stretch>
                  </pic:blipFill>
                  <pic:spPr>
                    <a:xfrm>
                      <a:off x="0" y="0"/>
                      <a:ext cx="5731510" cy="4193540"/>
                    </a:xfrm>
                    <a:prstGeom prst="rect">
                      <a:avLst/>
                    </a:prstGeom>
                  </pic:spPr>
                </pic:pic>
              </a:graphicData>
            </a:graphic>
          </wp:inline>
        </w:drawing>
      </w:r>
    </w:p>
    <w:p w14:paraId="085407AF" w14:textId="77777777" w:rsidR="008E2CD7" w:rsidRPr="0095118E" w:rsidRDefault="008E2CD7" w:rsidP="008E2CD7">
      <w:pPr>
        <w:spacing w:line="480" w:lineRule="auto"/>
        <w:ind w:firstLine="720"/>
        <w:rPr>
          <w:rFonts w:asciiTheme="majorBidi" w:hAnsiTheme="majorBidi" w:cstheme="majorBidi"/>
          <w:b/>
          <w:bCs/>
          <w:noProof/>
          <w:sz w:val="24"/>
          <w:szCs w:val="24"/>
        </w:rPr>
      </w:pPr>
    </w:p>
    <w:p w14:paraId="1AB77CC6" w14:textId="77777777" w:rsidR="008E2CD7" w:rsidRPr="0095118E" w:rsidRDefault="008E2CD7" w:rsidP="008E2CD7">
      <w:pPr>
        <w:pStyle w:val="Heading1"/>
        <w:spacing w:line="480" w:lineRule="auto"/>
        <w:jc w:val="center"/>
        <w:rPr>
          <w:rFonts w:asciiTheme="majorBidi" w:hAnsiTheme="majorBidi"/>
          <w:b/>
          <w:bCs/>
          <w:color w:val="000000" w:themeColor="text1"/>
          <w:sz w:val="24"/>
          <w:szCs w:val="24"/>
        </w:rPr>
      </w:pPr>
      <w:bookmarkStart w:id="5" w:name="_Hlk172915114"/>
      <w:r w:rsidRPr="0095118E">
        <w:rPr>
          <w:rFonts w:asciiTheme="majorBidi" w:hAnsiTheme="majorBidi"/>
          <w:b/>
          <w:bCs/>
          <w:color w:val="000000" w:themeColor="text1"/>
          <w:sz w:val="24"/>
          <w:szCs w:val="24"/>
        </w:rPr>
        <w:t>R</w:t>
      </w:r>
      <w:r w:rsidRPr="0095118E">
        <w:rPr>
          <w:rFonts w:asciiTheme="majorBidi" w:hAnsiTheme="majorBidi" w:hint="eastAsia"/>
          <w:b/>
          <w:bCs/>
          <w:color w:val="000000" w:themeColor="text1"/>
          <w:sz w:val="24"/>
          <w:szCs w:val="24"/>
        </w:rPr>
        <w:t>esult</w:t>
      </w:r>
      <w:r w:rsidRPr="0095118E">
        <w:rPr>
          <w:rFonts w:asciiTheme="majorBidi" w:hAnsiTheme="majorBidi"/>
          <w:b/>
          <w:bCs/>
          <w:color w:val="000000" w:themeColor="text1"/>
          <w:sz w:val="24"/>
          <w:szCs w:val="24"/>
        </w:rPr>
        <w:t>s</w:t>
      </w:r>
    </w:p>
    <w:p w14:paraId="0C3A7440" w14:textId="77777777" w:rsidR="008E2CD7" w:rsidRPr="0095118E" w:rsidRDefault="008E2CD7" w:rsidP="008E2CD7">
      <w:pPr>
        <w:spacing w:line="480" w:lineRule="auto"/>
        <w:rPr>
          <w:rFonts w:asciiTheme="majorBidi" w:hAnsiTheme="majorBidi" w:cstheme="majorBidi"/>
          <w:sz w:val="24"/>
          <w:szCs w:val="24"/>
        </w:rPr>
      </w:pPr>
      <w:r w:rsidRPr="0095118E">
        <w:rPr>
          <w:rFonts w:asciiTheme="majorBidi" w:hAnsiTheme="majorBidi" w:cstheme="majorBidi"/>
          <w:sz w:val="24"/>
          <w:szCs w:val="24"/>
        </w:rPr>
        <w:t>Table 1 shows bivariate correlations between the measures used in this study. The results indicate that both Prospective and Inhibitory IU are significantly correlated with paranoia, depression, and anxiety across all time points. In general, Inhibitory IU shows stronger correlations with neuroticism (r = .560), W1 paranoia (r = .542), and W1 GAD (r = .495), compared to prospective IU's correlations with the same variables: neuroticism (r = .379), W1 paranoia (r = .350), and W1 GAD (r = .403), indicating medium to large effect sizes. For paranoia, both Prospective and Inhibitory IU showed significant positive relationships across time, with Inhibitory IU consistently displaying higher correlation coefficients. Similarly, both dimensions of IU were positively associated with depression and anxiety, again with Inhibitory IU exhibiting stronger associations.</w:t>
      </w:r>
    </w:p>
    <w:tbl>
      <w:tblPr>
        <w:tblW w:w="9020" w:type="dxa"/>
        <w:tblInd w:w="10" w:type="dxa"/>
        <w:tblLayout w:type="fixed"/>
        <w:tblCellMar>
          <w:left w:w="10" w:type="dxa"/>
          <w:right w:w="10" w:type="dxa"/>
        </w:tblCellMar>
        <w:tblLook w:val="04A0" w:firstRow="1" w:lastRow="0" w:firstColumn="1" w:lastColumn="0" w:noHBand="0" w:noVBand="1"/>
      </w:tblPr>
      <w:tblGrid>
        <w:gridCol w:w="9020"/>
      </w:tblGrid>
      <w:tr w:rsidR="008E2CD7" w:rsidRPr="0095118E" w14:paraId="100B78A2" w14:textId="77777777" w:rsidTr="005D539A">
        <w:trPr>
          <w:trHeight w:val="492"/>
        </w:trPr>
        <w:tc>
          <w:tcPr>
            <w:tcW w:w="9020" w:type="dxa"/>
            <w:shd w:val="clear" w:color="auto" w:fill="FFFFFF"/>
            <w:vAlign w:val="center"/>
          </w:tcPr>
          <w:p w14:paraId="398A7731" w14:textId="77777777" w:rsidR="008E2CD7" w:rsidRPr="0095118E" w:rsidRDefault="008E2CD7" w:rsidP="005D539A">
            <w:pPr>
              <w:spacing w:before="120" w:after="120"/>
              <w:ind w:right="40"/>
              <w:rPr>
                <w:sz w:val="24"/>
                <w:szCs w:val="24"/>
              </w:rPr>
            </w:pPr>
            <w:r w:rsidRPr="0095118E">
              <w:rPr>
                <w:rFonts w:asciiTheme="majorBidi" w:hAnsiTheme="majorBidi" w:cstheme="majorBidi"/>
                <w:b/>
                <w:bCs/>
                <w:sz w:val="24"/>
                <w:szCs w:val="24"/>
              </w:rPr>
              <w:t xml:space="preserve">Table </w:t>
            </w:r>
            <w:r w:rsidRPr="0095118E">
              <w:rPr>
                <w:rFonts w:asciiTheme="majorBidi" w:hAnsiTheme="majorBidi" w:cstheme="majorBidi" w:hint="eastAsia"/>
                <w:b/>
                <w:bCs/>
                <w:sz w:val="24"/>
                <w:szCs w:val="24"/>
              </w:rPr>
              <w:t xml:space="preserve">1: </w:t>
            </w:r>
            <w:r w:rsidRPr="0095118E">
              <w:rPr>
                <w:rFonts w:asciiTheme="majorBidi" w:hAnsiTheme="majorBidi" w:cstheme="majorBidi" w:hint="eastAsia"/>
                <w:sz w:val="24"/>
                <w:szCs w:val="24"/>
              </w:rPr>
              <w:t>B</w:t>
            </w:r>
            <w:r w:rsidRPr="0095118E">
              <w:rPr>
                <w:rFonts w:asciiTheme="majorBidi" w:hAnsiTheme="majorBidi" w:cstheme="majorBidi"/>
                <w:sz w:val="24"/>
                <w:szCs w:val="24"/>
              </w:rPr>
              <w:t xml:space="preserve">ivariate correlations between Prospective </w:t>
            </w:r>
            <w:r w:rsidRPr="0095118E">
              <w:rPr>
                <w:rFonts w:asciiTheme="majorBidi" w:hAnsiTheme="majorBidi" w:cstheme="majorBidi" w:hint="eastAsia"/>
                <w:sz w:val="24"/>
                <w:szCs w:val="24"/>
              </w:rPr>
              <w:t xml:space="preserve">IU, </w:t>
            </w:r>
            <w:r w:rsidRPr="0095118E">
              <w:rPr>
                <w:rFonts w:asciiTheme="majorBidi" w:hAnsiTheme="majorBidi" w:cstheme="majorBidi"/>
                <w:sz w:val="24"/>
                <w:szCs w:val="24"/>
              </w:rPr>
              <w:t>Inhibitory</w:t>
            </w:r>
            <w:r w:rsidRPr="0095118E">
              <w:rPr>
                <w:rFonts w:asciiTheme="majorBidi" w:hAnsiTheme="majorBidi" w:cstheme="majorBidi" w:hint="eastAsia"/>
                <w:sz w:val="24"/>
                <w:szCs w:val="24"/>
              </w:rPr>
              <w:t xml:space="preserve"> IU and other variables</w:t>
            </w:r>
          </w:p>
        </w:tc>
      </w:tr>
    </w:tbl>
    <w:p w14:paraId="231F8C8F" w14:textId="77777777" w:rsidR="008E2CD7" w:rsidRPr="0095118E" w:rsidRDefault="008E2CD7" w:rsidP="008E2CD7">
      <w:pPr>
        <w:rPr>
          <w:rFonts w:ascii="Times New Roman" w:hAnsi="Times New Roman" w:cs="Times New Roman"/>
          <w:color w:val="000000"/>
          <w:sz w:val="24"/>
          <w:szCs w:val="24"/>
        </w:rPr>
      </w:pPr>
      <w:r w:rsidRPr="0095118E">
        <w:rPr>
          <w:noProof/>
        </w:rPr>
        <w:drawing>
          <wp:inline distT="0" distB="0" distL="0" distR="0" wp14:anchorId="5531F65A" wp14:editId="0B053C4B">
            <wp:extent cx="5265420" cy="3169920"/>
            <wp:effectExtent l="0" t="0" r="0" b="0"/>
            <wp:docPr id="201292533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25339" name="Picture 1" descr="A screenshot of a computer&#10;&#10;AI-generated content may be incorrect."/>
                    <pic:cNvPicPr/>
                  </pic:nvPicPr>
                  <pic:blipFill rotWithShape="1">
                    <a:blip r:embed="rId6"/>
                    <a:srcRect l="18828" t="22316" r="21764" b="14101"/>
                    <a:stretch/>
                  </pic:blipFill>
                  <pic:spPr bwMode="auto">
                    <a:xfrm>
                      <a:off x="0" y="0"/>
                      <a:ext cx="5265420" cy="3169920"/>
                    </a:xfrm>
                    <a:prstGeom prst="rect">
                      <a:avLst/>
                    </a:prstGeom>
                    <a:ln>
                      <a:noFill/>
                    </a:ln>
                    <a:extLst>
                      <a:ext uri="{53640926-AAD7-44D8-BBD7-CCE9431645EC}">
                        <a14:shadowObscured xmlns:a14="http://schemas.microsoft.com/office/drawing/2010/main"/>
                      </a:ext>
                    </a:extLst>
                  </pic:spPr>
                </pic:pic>
              </a:graphicData>
            </a:graphic>
          </wp:inline>
        </w:drawing>
      </w:r>
    </w:p>
    <w:p w14:paraId="0C601C26" w14:textId="77777777" w:rsidR="008E2CD7" w:rsidRPr="0095118E" w:rsidRDefault="008E2CD7" w:rsidP="008E2CD7">
      <w:pPr>
        <w:rPr>
          <w:sz w:val="24"/>
          <w:szCs w:val="24"/>
        </w:rPr>
      </w:pPr>
      <w:r w:rsidRPr="0095118E">
        <w:rPr>
          <w:rFonts w:ascii="Times New Roman" w:eastAsia="Times New Roman" w:hAnsi="Times New Roman" w:cs="Times New Roman"/>
          <w:color w:val="000000"/>
          <w:sz w:val="24"/>
          <w:szCs w:val="24"/>
        </w:rPr>
        <w:t>**. Correlation is significant at the 0.01 level (2-tailed).</w:t>
      </w:r>
    </w:p>
    <w:p w14:paraId="5E249B3F" w14:textId="77777777" w:rsidR="008E2CD7" w:rsidRPr="0095118E" w:rsidRDefault="008E2CD7" w:rsidP="008E2CD7">
      <w:pPr>
        <w:spacing w:line="480" w:lineRule="auto"/>
        <w:rPr>
          <w:rFonts w:asciiTheme="majorBidi" w:hAnsiTheme="majorBidi" w:cstheme="majorBidi"/>
          <w:sz w:val="24"/>
          <w:szCs w:val="24"/>
        </w:rPr>
      </w:pPr>
    </w:p>
    <w:p w14:paraId="3D6497A1"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 xml:space="preserve">Steiger's Z tests, revealed significant differences in the strength of correlations between prospective and inhibitory intolerance of uncertainty (IU) with paranoia at all time points, confirming that inhibitory IU is more strongly related to paranoia than prospective IU. Specifically, at W1, the Z value was -11.45, p &lt; .001; at W2, the Z value was -9.35, p &lt; .001; and at W4, the Z value was -8.83, p &lt; .001. </w:t>
      </w:r>
    </w:p>
    <w:p w14:paraId="5719C9DD"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 xml:space="preserve">Fit indices for the models at the three time points are shown in Table </w:t>
      </w:r>
      <w:r w:rsidRPr="0095118E">
        <w:rPr>
          <w:rFonts w:asciiTheme="majorBidi" w:hAnsiTheme="majorBidi" w:cstheme="majorBidi" w:hint="eastAsia"/>
          <w:sz w:val="24"/>
          <w:szCs w:val="24"/>
        </w:rPr>
        <w:t>2</w:t>
      </w:r>
      <w:r w:rsidRPr="0095118E">
        <w:rPr>
          <w:rFonts w:asciiTheme="majorBidi" w:hAnsiTheme="majorBidi" w:cstheme="majorBidi"/>
          <w:sz w:val="24"/>
          <w:szCs w:val="24"/>
        </w:rPr>
        <w:t xml:space="preserve">. All fall within the acceptable ranges, indicating that the models had good fit. </w:t>
      </w:r>
    </w:p>
    <w:p w14:paraId="1361FCFA" w14:textId="77777777" w:rsidR="008E2CD7" w:rsidRPr="0095118E" w:rsidRDefault="008E2CD7" w:rsidP="008E2CD7">
      <w:pPr>
        <w:spacing w:line="480" w:lineRule="auto"/>
        <w:rPr>
          <w:rFonts w:asciiTheme="majorBidi" w:hAnsiTheme="majorBidi" w:cstheme="majorBidi"/>
          <w:b/>
          <w:bCs/>
          <w:sz w:val="24"/>
          <w:szCs w:val="24"/>
        </w:rPr>
      </w:pPr>
      <w:bookmarkStart w:id="6" w:name="_Hlk172916204"/>
      <w:bookmarkEnd w:id="5"/>
    </w:p>
    <w:p w14:paraId="3132C68F" w14:textId="77777777" w:rsidR="008E2CD7" w:rsidRPr="0095118E" w:rsidRDefault="008E2CD7" w:rsidP="008E2CD7">
      <w:pPr>
        <w:spacing w:line="480" w:lineRule="auto"/>
        <w:rPr>
          <w:rFonts w:asciiTheme="majorBidi" w:hAnsiTheme="majorBidi" w:cstheme="majorBidi"/>
          <w:b/>
          <w:bCs/>
          <w:sz w:val="24"/>
          <w:szCs w:val="24"/>
        </w:rPr>
      </w:pPr>
      <w:r w:rsidRPr="0095118E">
        <w:rPr>
          <w:rFonts w:asciiTheme="majorBidi" w:hAnsiTheme="majorBidi" w:cstheme="majorBidi"/>
          <w:b/>
          <w:bCs/>
          <w:sz w:val="24"/>
          <w:szCs w:val="24"/>
        </w:rPr>
        <w:t xml:space="preserve">Table </w:t>
      </w:r>
      <w:r w:rsidRPr="0095118E">
        <w:rPr>
          <w:rFonts w:asciiTheme="majorBidi" w:hAnsiTheme="majorBidi" w:cstheme="majorBidi" w:hint="eastAsia"/>
          <w:b/>
          <w:bCs/>
          <w:sz w:val="24"/>
          <w:szCs w:val="24"/>
        </w:rPr>
        <w:t>2</w:t>
      </w:r>
      <w:r w:rsidRPr="0095118E">
        <w:rPr>
          <w:rFonts w:asciiTheme="majorBidi" w:hAnsiTheme="majorBidi" w:cstheme="majorBidi" w:hint="eastAsia"/>
          <w:b/>
          <w:bCs/>
          <w:sz w:val="24"/>
          <w:szCs w:val="24"/>
        </w:rPr>
        <w:t>：</w:t>
      </w:r>
      <w:r w:rsidRPr="0095118E">
        <w:rPr>
          <w:rFonts w:asciiTheme="majorBidi" w:hAnsiTheme="majorBidi" w:cstheme="majorBidi"/>
          <w:sz w:val="24"/>
          <w:szCs w:val="24"/>
        </w:rPr>
        <w:t xml:space="preserve">Model fit indices </w:t>
      </w:r>
    </w:p>
    <w:tbl>
      <w:tblPr>
        <w:tblStyle w:val="threeline"/>
        <w:tblW w:w="0" w:type="auto"/>
        <w:tblLook w:val="04A0" w:firstRow="1" w:lastRow="0" w:firstColumn="1" w:lastColumn="0" w:noHBand="0" w:noVBand="1"/>
      </w:tblPr>
      <w:tblGrid>
        <w:gridCol w:w="1288"/>
        <w:gridCol w:w="1288"/>
        <w:gridCol w:w="1288"/>
        <w:gridCol w:w="1288"/>
        <w:gridCol w:w="1288"/>
        <w:gridCol w:w="1288"/>
        <w:gridCol w:w="1288"/>
      </w:tblGrid>
      <w:tr w:rsidR="008E2CD7" w:rsidRPr="0095118E" w14:paraId="63EA5459" w14:textId="77777777" w:rsidTr="005D539A">
        <w:trPr>
          <w:cnfStyle w:val="100000000000" w:firstRow="1" w:lastRow="0" w:firstColumn="0" w:lastColumn="0" w:oddVBand="0" w:evenVBand="0" w:oddHBand="0" w:evenHBand="0" w:firstRowFirstColumn="0" w:firstRowLastColumn="0" w:lastRowFirstColumn="0" w:lastRowLastColumn="0"/>
          <w:trHeight w:val="343"/>
        </w:trPr>
        <w:tc>
          <w:tcPr>
            <w:tcW w:w="1288" w:type="dxa"/>
          </w:tcPr>
          <w:p w14:paraId="03F81739" w14:textId="77777777" w:rsidR="008E2CD7" w:rsidRPr="0095118E" w:rsidRDefault="008E2CD7" w:rsidP="005D539A">
            <w:pPr>
              <w:jc w:val="center"/>
              <w:rPr>
                <w:sz w:val="24"/>
                <w:szCs w:val="24"/>
              </w:rPr>
            </w:pPr>
            <w:r w:rsidRPr="0095118E">
              <w:rPr>
                <w:sz w:val="24"/>
                <w:szCs w:val="24"/>
              </w:rPr>
              <w:t>T</w:t>
            </w:r>
            <w:r w:rsidRPr="0095118E">
              <w:rPr>
                <w:rFonts w:hint="eastAsia"/>
                <w:sz w:val="24"/>
                <w:szCs w:val="24"/>
              </w:rPr>
              <w:t>ime</w:t>
            </w:r>
            <w:r w:rsidRPr="0095118E">
              <w:rPr>
                <w:sz w:val="24"/>
                <w:szCs w:val="24"/>
              </w:rPr>
              <w:t xml:space="preserve"> point for outcomes</w:t>
            </w:r>
          </w:p>
        </w:tc>
        <w:tc>
          <w:tcPr>
            <w:tcW w:w="1288" w:type="dxa"/>
          </w:tcPr>
          <w:p w14:paraId="5F9F8CD1" w14:textId="77777777" w:rsidR="008E2CD7" w:rsidRPr="0095118E" w:rsidRDefault="008E2CD7" w:rsidP="005D539A">
            <w:pPr>
              <w:spacing w:line="480" w:lineRule="auto"/>
              <w:jc w:val="center"/>
              <w:rPr>
                <w:sz w:val="24"/>
                <w:szCs w:val="24"/>
              </w:rPr>
            </w:pPr>
            <w:r w:rsidRPr="0095118E">
              <w:rPr>
                <w:sz w:val="24"/>
                <w:szCs w:val="24"/>
              </w:rPr>
              <w:t>χ²</w:t>
            </w:r>
          </w:p>
        </w:tc>
        <w:tc>
          <w:tcPr>
            <w:tcW w:w="1288" w:type="dxa"/>
          </w:tcPr>
          <w:p w14:paraId="06EA2717" w14:textId="77777777" w:rsidR="008E2CD7" w:rsidRPr="0095118E" w:rsidRDefault="008E2CD7" w:rsidP="005D539A">
            <w:pPr>
              <w:spacing w:line="480" w:lineRule="auto"/>
              <w:jc w:val="center"/>
              <w:rPr>
                <w:sz w:val="24"/>
                <w:szCs w:val="24"/>
              </w:rPr>
            </w:pPr>
            <w:r w:rsidRPr="0095118E">
              <w:rPr>
                <w:sz w:val="24"/>
                <w:szCs w:val="24"/>
              </w:rPr>
              <w:t>p</w:t>
            </w:r>
          </w:p>
        </w:tc>
        <w:tc>
          <w:tcPr>
            <w:tcW w:w="1288" w:type="dxa"/>
          </w:tcPr>
          <w:p w14:paraId="5FEA45D1" w14:textId="77777777" w:rsidR="008E2CD7" w:rsidRPr="0095118E" w:rsidRDefault="008E2CD7" w:rsidP="005D539A">
            <w:pPr>
              <w:spacing w:line="480" w:lineRule="auto"/>
              <w:jc w:val="center"/>
              <w:rPr>
                <w:sz w:val="24"/>
                <w:szCs w:val="24"/>
              </w:rPr>
            </w:pPr>
            <w:r w:rsidRPr="0095118E">
              <w:rPr>
                <w:sz w:val="24"/>
                <w:szCs w:val="24"/>
              </w:rPr>
              <w:t>CFI</w:t>
            </w:r>
          </w:p>
        </w:tc>
        <w:tc>
          <w:tcPr>
            <w:tcW w:w="1288" w:type="dxa"/>
          </w:tcPr>
          <w:p w14:paraId="39854010" w14:textId="77777777" w:rsidR="008E2CD7" w:rsidRPr="0095118E" w:rsidRDefault="008E2CD7" w:rsidP="005D539A">
            <w:pPr>
              <w:spacing w:line="480" w:lineRule="auto"/>
              <w:jc w:val="center"/>
              <w:rPr>
                <w:sz w:val="24"/>
                <w:szCs w:val="24"/>
              </w:rPr>
            </w:pPr>
            <w:r w:rsidRPr="0095118E">
              <w:rPr>
                <w:sz w:val="24"/>
                <w:szCs w:val="24"/>
              </w:rPr>
              <w:t>TLI</w:t>
            </w:r>
          </w:p>
        </w:tc>
        <w:tc>
          <w:tcPr>
            <w:tcW w:w="1288" w:type="dxa"/>
          </w:tcPr>
          <w:p w14:paraId="47F7772F" w14:textId="77777777" w:rsidR="008E2CD7" w:rsidRPr="0095118E" w:rsidRDefault="008E2CD7" w:rsidP="005D539A">
            <w:pPr>
              <w:spacing w:line="480" w:lineRule="auto"/>
              <w:jc w:val="center"/>
              <w:rPr>
                <w:sz w:val="24"/>
                <w:szCs w:val="24"/>
              </w:rPr>
            </w:pPr>
            <w:r w:rsidRPr="0095118E">
              <w:rPr>
                <w:sz w:val="24"/>
                <w:szCs w:val="24"/>
              </w:rPr>
              <w:t>SRMR</w:t>
            </w:r>
          </w:p>
        </w:tc>
        <w:tc>
          <w:tcPr>
            <w:tcW w:w="1288" w:type="dxa"/>
          </w:tcPr>
          <w:p w14:paraId="7BA429F3" w14:textId="77777777" w:rsidR="008E2CD7" w:rsidRPr="0095118E" w:rsidRDefault="008E2CD7" w:rsidP="005D539A">
            <w:pPr>
              <w:spacing w:line="480" w:lineRule="auto"/>
              <w:jc w:val="center"/>
              <w:rPr>
                <w:sz w:val="24"/>
                <w:szCs w:val="24"/>
              </w:rPr>
            </w:pPr>
            <w:r w:rsidRPr="0095118E">
              <w:rPr>
                <w:sz w:val="24"/>
                <w:szCs w:val="24"/>
              </w:rPr>
              <w:t>RMSEA</w:t>
            </w:r>
          </w:p>
        </w:tc>
      </w:tr>
      <w:tr w:rsidR="008E2CD7" w:rsidRPr="0095118E" w14:paraId="37BD0936" w14:textId="77777777" w:rsidTr="005D539A">
        <w:trPr>
          <w:trHeight w:val="469"/>
        </w:trPr>
        <w:tc>
          <w:tcPr>
            <w:tcW w:w="1288" w:type="dxa"/>
          </w:tcPr>
          <w:p w14:paraId="2FB2CAF3" w14:textId="77777777" w:rsidR="008E2CD7" w:rsidRPr="0095118E" w:rsidRDefault="008E2CD7" w:rsidP="005D539A">
            <w:pPr>
              <w:spacing w:line="480" w:lineRule="auto"/>
              <w:jc w:val="center"/>
              <w:rPr>
                <w:sz w:val="24"/>
                <w:szCs w:val="24"/>
              </w:rPr>
            </w:pPr>
            <w:r w:rsidRPr="0095118E">
              <w:rPr>
                <w:sz w:val="24"/>
                <w:szCs w:val="24"/>
              </w:rPr>
              <w:t>W1</w:t>
            </w:r>
          </w:p>
        </w:tc>
        <w:tc>
          <w:tcPr>
            <w:tcW w:w="1288" w:type="dxa"/>
          </w:tcPr>
          <w:p w14:paraId="7920A657" w14:textId="77777777" w:rsidR="008E2CD7" w:rsidRPr="0095118E" w:rsidRDefault="008E2CD7" w:rsidP="005D539A">
            <w:pPr>
              <w:spacing w:line="480" w:lineRule="auto"/>
              <w:jc w:val="center"/>
              <w:rPr>
                <w:sz w:val="24"/>
                <w:szCs w:val="24"/>
              </w:rPr>
            </w:pPr>
            <w:r w:rsidRPr="0095118E">
              <w:rPr>
                <w:sz w:val="24"/>
                <w:szCs w:val="24"/>
              </w:rPr>
              <w:t>153.48</w:t>
            </w:r>
          </w:p>
        </w:tc>
        <w:tc>
          <w:tcPr>
            <w:tcW w:w="1288" w:type="dxa"/>
          </w:tcPr>
          <w:p w14:paraId="749A3E2E" w14:textId="77777777" w:rsidR="008E2CD7" w:rsidRPr="0095118E" w:rsidRDefault="008E2CD7" w:rsidP="005D539A">
            <w:pPr>
              <w:spacing w:line="480" w:lineRule="auto"/>
              <w:jc w:val="center"/>
              <w:rPr>
                <w:sz w:val="24"/>
                <w:szCs w:val="24"/>
              </w:rPr>
            </w:pPr>
            <w:r w:rsidRPr="0095118E">
              <w:rPr>
                <w:sz w:val="24"/>
                <w:szCs w:val="24"/>
              </w:rPr>
              <w:t>&lt; .001</w:t>
            </w:r>
          </w:p>
        </w:tc>
        <w:tc>
          <w:tcPr>
            <w:tcW w:w="1288" w:type="dxa"/>
          </w:tcPr>
          <w:p w14:paraId="5C505E2D" w14:textId="77777777" w:rsidR="008E2CD7" w:rsidRPr="0095118E" w:rsidRDefault="008E2CD7" w:rsidP="005D539A">
            <w:pPr>
              <w:spacing w:line="480" w:lineRule="auto"/>
              <w:jc w:val="center"/>
              <w:rPr>
                <w:sz w:val="24"/>
                <w:szCs w:val="24"/>
              </w:rPr>
            </w:pPr>
            <w:r w:rsidRPr="0095118E">
              <w:rPr>
                <w:sz w:val="24"/>
                <w:szCs w:val="24"/>
              </w:rPr>
              <w:t>.979</w:t>
            </w:r>
          </w:p>
        </w:tc>
        <w:tc>
          <w:tcPr>
            <w:tcW w:w="1288" w:type="dxa"/>
          </w:tcPr>
          <w:p w14:paraId="1239BABE" w14:textId="77777777" w:rsidR="008E2CD7" w:rsidRPr="0095118E" w:rsidRDefault="008E2CD7" w:rsidP="005D539A">
            <w:pPr>
              <w:spacing w:line="480" w:lineRule="auto"/>
              <w:jc w:val="center"/>
              <w:rPr>
                <w:sz w:val="24"/>
                <w:szCs w:val="24"/>
              </w:rPr>
            </w:pPr>
            <w:r w:rsidRPr="0095118E">
              <w:rPr>
                <w:sz w:val="24"/>
                <w:szCs w:val="24"/>
              </w:rPr>
              <w:t>.943</w:t>
            </w:r>
          </w:p>
        </w:tc>
        <w:tc>
          <w:tcPr>
            <w:tcW w:w="1288" w:type="dxa"/>
          </w:tcPr>
          <w:p w14:paraId="4BBDCF0F" w14:textId="77777777" w:rsidR="008E2CD7" w:rsidRPr="0095118E" w:rsidRDefault="008E2CD7" w:rsidP="005D539A">
            <w:pPr>
              <w:spacing w:line="480" w:lineRule="auto"/>
              <w:jc w:val="center"/>
              <w:rPr>
                <w:sz w:val="24"/>
                <w:szCs w:val="24"/>
              </w:rPr>
            </w:pPr>
            <w:r w:rsidRPr="0095118E">
              <w:rPr>
                <w:sz w:val="24"/>
                <w:szCs w:val="24"/>
              </w:rPr>
              <w:t>.029</w:t>
            </w:r>
          </w:p>
        </w:tc>
        <w:tc>
          <w:tcPr>
            <w:tcW w:w="1288" w:type="dxa"/>
          </w:tcPr>
          <w:p w14:paraId="4BBD4997" w14:textId="77777777" w:rsidR="008E2CD7" w:rsidRPr="0095118E" w:rsidRDefault="008E2CD7" w:rsidP="005D539A">
            <w:pPr>
              <w:spacing w:line="480" w:lineRule="auto"/>
              <w:jc w:val="center"/>
              <w:rPr>
                <w:sz w:val="24"/>
                <w:szCs w:val="24"/>
              </w:rPr>
            </w:pPr>
            <w:r w:rsidRPr="0095118E">
              <w:rPr>
                <w:sz w:val="24"/>
                <w:szCs w:val="24"/>
              </w:rPr>
              <w:t>.063</w:t>
            </w:r>
          </w:p>
        </w:tc>
      </w:tr>
      <w:tr w:rsidR="008E2CD7" w:rsidRPr="0095118E" w14:paraId="6AE42D95" w14:textId="77777777" w:rsidTr="005D539A">
        <w:trPr>
          <w:trHeight w:val="433"/>
        </w:trPr>
        <w:tc>
          <w:tcPr>
            <w:tcW w:w="1288" w:type="dxa"/>
          </w:tcPr>
          <w:p w14:paraId="6A1730E9" w14:textId="77777777" w:rsidR="008E2CD7" w:rsidRPr="0095118E" w:rsidRDefault="008E2CD7" w:rsidP="005D539A">
            <w:pPr>
              <w:spacing w:line="480" w:lineRule="auto"/>
              <w:jc w:val="center"/>
              <w:rPr>
                <w:sz w:val="24"/>
                <w:szCs w:val="24"/>
              </w:rPr>
            </w:pPr>
            <w:r w:rsidRPr="0095118E">
              <w:rPr>
                <w:sz w:val="24"/>
                <w:szCs w:val="24"/>
              </w:rPr>
              <w:t>W2</w:t>
            </w:r>
          </w:p>
        </w:tc>
        <w:tc>
          <w:tcPr>
            <w:tcW w:w="1288" w:type="dxa"/>
          </w:tcPr>
          <w:p w14:paraId="16BC41C0" w14:textId="77777777" w:rsidR="008E2CD7" w:rsidRPr="0095118E" w:rsidRDefault="008E2CD7" w:rsidP="005D539A">
            <w:pPr>
              <w:spacing w:line="480" w:lineRule="auto"/>
              <w:jc w:val="center"/>
              <w:rPr>
                <w:sz w:val="24"/>
                <w:szCs w:val="24"/>
              </w:rPr>
            </w:pPr>
            <w:r w:rsidRPr="0095118E">
              <w:rPr>
                <w:sz w:val="24"/>
                <w:szCs w:val="24"/>
              </w:rPr>
              <w:t>133.92</w:t>
            </w:r>
          </w:p>
        </w:tc>
        <w:tc>
          <w:tcPr>
            <w:tcW w:w="1288" w:type="dxa"/>
          </w:tcPr>
          <w:p w14:paraId="4F3313D4" w14:textId="77777777" w:rsidR="008E2CD7" w:rsidRPr="0095118E" w:rsidRDefault="008E2CD7" w:rsidP="005D539A">
            <w:pPr>
              <w:spacing w:line="480" w:lineRule="auto"/>
              <w:jc w:val="center"/>
              <w:rPr>
                <w:sz w:val="24"/>
                <w:szCs w:val="24"/>
              </w:rPr>
            </w:pPr>
            <w:r w:rsidRPr="0095118E">
              <w:rPr>
                <w:sz w:val="24"/>
                <w:szCs w:val="24"/>
              </w:rPr>
              <w:t>&lt; .001</w:t>
            </w:r>
          </w:p>
        </w:tc>
        <w:tc>
          <w:tcPr>
            <w:tcW w:w="1288" w:type="dxa"/>
          </w:tcPr>
          <w:p w14:paraId="758C84E1" w14:textId="77777777" w:rsidR="008E2CD7" w:rsidRPr="0095118E" w:rsidRDefault="008E2CD7" w:rsidP="005D539A">
            <w:pPr>
              <w:spacing w:line="480" w:lineRule="auto"/>
              <w:jc w:val="center"/>
              <w:rPr>
                <w:sz w:val="24"/>
                <w:szCs w:val="24"/>
              </w:rPr>
            </w:pPr>
            <w:r w:rsidRPr="0095118E">
              <w:rPr>
                <w:sz w:val="24"/>
                <w:szCs w:val="24"/>
              </w:rPr>
              <w:t>.982</w:t>
            </w:r>
          </w:p>
        </w:tc>
        <w:tc>
          <w:tcPr>
            <w:tcW w:w="1288" w:type="dxa"/>
          </w:tcPr>
          <w:p w14:paraId="2AD295EA" w14:textId="77777777" w:rsidR="008E2CD7" w:rsidRPr="0095118E" w:rsidRDefault="008E2CD7" w:rsidP="005D539A">
            <w:pPr>
              <w:spacing w:line="480" w:lineRule="auto"/>
              <w:jc w:val="center"/>
              <w:rPr>
                <w:sz w:val="24"/>
                <w:szCs w:val="24"/>
              </w:rPr>
            </w:pPr>
            <w:r w:rsidRPr="0095118E">
              <w:rPr>
                <w:sz w:val="24"/>
                <w:szCs w:val="24"/>
              </w:rPr>
              <w:t>.952</w:t>
            </w:r>
          </w:p>
        </w:tc>
        <w:tc>
          <w:tcPr>
            <w:tcW w:w="1288" w:type="dxa"/>
          </w:tcPr>
          <w:p w14:paraId="6BCDF451" w14:textId="77777777" w:rsidR="008E2CD7" w:rsidRPr="0095118E" w:rsidRDefault="008E2CD7" w:rsidP="005D539A">
            <w:pPr>
              <w:spacing w:line="480" w:lineRule="auto"/>
              <w:jc w:val="center"/>
              <w:rPr>
                <w:sz w:val="24"/>
                <w:szCs w:val="24"/>
              </w:rPr>
            </w:pPr>
            <w:r w:rsidRPr="0095118E">
              <w:rPr>
                <w:sz w:val="24"/>
                <w:szCs w:val="24"/>
              </w:rPr>
              <w:t>.028</w:t>
            </w:r>
          </w:p>
        </w:tc>
        <w:tc>
          <w:tcPr>
            <w:tcW w:w="1288" w:type="dxa"/>
          </w:tcPr>
          <w:p w14:paraId="5722BE1C" w14:textId="77777777" w:rsidR="008E2CD7" w:rsidRPr="0095118E" w:rsidRDefault="008E2CD7" w:rsidP="005D539A">
            <w:pPr>
              <w:spacing w:line="480" w:lineRule="auto"/>
              <w:jc w:val="center"/>
              <w:rPr>
                <w:sz w:val="24"/>
                <w:szCs w:val="24"/>
              </w:rPr>
            </w:pPr>
            <w:r w:rsidRPr="0095118E">
              <w:rPr>
                <w:sz w:val="24"/>
                <w:szCs w:val="24"/>
              </w:rPr>
              <w:t>.058</w:t>
            </w:r>
          </w:p>
        </w:tc>
      </w:tr>
      <w:tr w:rsidR="008E2CD7" w:rsidRPr="0095118E" w14:paraId="326B7639" w14:textId="77777777" w:rsidTr="005D539A">
        <w:trPr>
          <w:trHeight w:val="427"/>
        </w:trPr>
        <w:tc>
          <w:tcPr>
            <w:tcW w:w="1288" w:type="dxa"/>
          </w:tcPr>
          <w:p w14:paraId="4EB59F2B" w14:textId="77777777" w:rsidR="008E2CD7" w:rsidRPr="0095118E" w:rsidRDefault="008E2CD7" w:rsidP="005D539A">
            <w:pPr>
              <w:spacing w:line="480" w:lineRule="auto"/>
              <w:jc w:val="center"/>
              <w:rPr>
                <w:sz w:val="24"/>
                <w:szCs w:val="24"/>
              </w:rPr>
            </w:pPr>
            <w:r w:rsidRPr="0095118E">
              <w:rPr>
                <w:sz w:val="24"/>
                <w:szCs w:val="24"/>
              </w:rPr>
              <w:t>W4</w:t>
            </w:r>
          </w:p>
        </w:tc>
        <w:tc>
          <w:tcPr>
            <w:tcW w:w="1288" w:type="dxa"/>
          </w:tcPr>
          <w:p w14:paraId="28A82025" w14:textId="77777777" w:rsidR="008E2CD7" w:rsidRPr="0095118E" w:rsidRDefault="008E2CD7" w:rsidP="005D539A">
            <w:pPr>
              <w:spacing w:line="480" w:lineRule="auto"/>
              <w:jc w:val="center"/>
              <w:rPr>
                <w:sz w:val="24"/>
                <w:szCs w:val="24"/>
              </w:rPr>
            </w:pPr>
            <w:r w:rsidRPr="0095118E">
              <w:rPr>
                <w:sz w:val="24"/>
                <w:szCs w:val="24"/>
              </w:rPr>
              <w:t>120.936</w:t>
            </w:r>
          </w:p>
        </w:tc>
        <w:tc>
          <w:tcPr>
            <w:tcW w:w="1288" w:type="dxa"/>
          </w:tcPr>
          <w:p w14:paraId="54E5F804" w14:textId="77777777" w:rsidR="008E2CD7" w:rsidRPr="0095118E" w:rsidRDefault="008E2CD7" w:rsidP="005D539A">
            <w:pPr>
              <w:spacing w:line="480" w:lineRule="auto"/>
              <w:jc w:val="center"/>
              <w:rPr>
                <w:sz w:val="24"/>
                <w:szCs w:val="24"/>
              </w:rPr>
            </w:pPr>
            <w:r w:rsidRPr="0095118E">
              <w:rPr>
                <w:sz w:val="24"/>
                <w:szCs w:val="24"/>
              </w:rPr>
              <w:t>&lt; .001</w:t>
            </w:r>
          </w:p>
        </w:tc>
        <w:tc>
          <w:tcPr>
            <w:tcW w:w="1288" w:type="dxa"/>
          </w:tcPr>
          <w:p w14:paraId="1568A3B9" w14:textId="77777777" w:rsidR="008E2CD7" w:rsidRPr="0095118E" w:rsidRDefault="008E2CD7" w:rsidP="005D539A">
            <w:pPr>
              <w:spacing w:line="480" w:lineRule="auto"/>
              <w:jc w:val="center"/>
              <w:rPr>
                <w:sz w:val="24"/>
                <w:szCs w:val="24"/>
              </w:rPr>
            </w:pPr>
            <w:r w:rsidRPr="0095118E">
              <w:rPr>
                <w:sz w:val="24"/>
                <w:szCs w:val="24"/>
              </w:rPr>
              <w:t>.984</w:t>
            </w:r>
          </w:p>
        </w:tc>
        <w:tc>
          <w:tcPr>
            <w:tcW w:w="1288" w:type="dxa"/>
          </w:tcPr>
          <w:p w14:paraId="6A5DA3C1" w14:textId="77777777" w:rsidR="008E2CD7" w:rsidRPr="0095118E" w:rsidRDefault="008E2CD7" w:rsidP="005D539A">
            <w:pPr>
              <w:spacing w:line="480" w:lineRule="auto"/>
              <w:jc w:val="center"/>
              <w:rPr>
                <w:sz w:val="24"/>
                <w:szCs w:val="24"/>
              </w:rPr>
            </w:pPr>
            <w:r w:rsidRPr="0095118E">
              <w:rPr>
                <w:sz w:val="24"/>
                <w:szCs w:val="24"/>
              </w:rPr>
              <w:t>.959</w:t>
            </w:r>
          </w:p>
        </w:tc>
        <w:tc>
          <w:tcPr>
            <w:tcW w:w="1288" w:type="dxa"/>
          </w:tcPr>
          <w:p w14:paraId="2560221E" w14:textId="77777777" w:rsidR="008E2CD7" w:rsidRPr="0095118E" w:rsidRDefault="008E2CD7" w:rsidP="005D539A">
            <w:pPr>
              <w:spacing w:line="480" w:lineRule="auto"/>
              <w:jc w:val="center"/>
              <w:rPr>
                <w:sz w:val="24"/>
                <w:szCs w:val="24"/>
              </w:rPr>
            </w:pPr>
            <w:r w:rsidRPr="0095118E">
              <w:rPr>
                <w:sz w:val="24"/>
                <w:szCs w:val="24"/>
              </w:rPr>
              <w:t>.055</w:t>
            </w:r>
          </w:p>
        </w:tc>
        <w:tc>
          <w:tcPr>
            <w:tcW w:w="1288" w:type="dxa"/>
          </w:tcPr>
          <w:p w14:paraId="7409AE2A" w14:textId="77777777" w:rsidR="008E2CD7" w:rsidRPr="0095118E" w:rsidRDefault="008E2CD7" w:rsidP="005D539A">
            <w:pPr>
              <w:spacing w:line="480" w:lineRule="auto"/>
              <w:jc w:val="center"/>
              <w:rPr>
                <w:sz w:val="24"/>
                <w:szCs w:val="24"/>
              </w:rPr>
            </w:pPr>
            <w:r w:rsidRPr="0095118E">
              <w:rPr>
                <w:sz w:val="24"/>
                <w:szCs w:val="24"/>
              </w:rPr>
              <w:t>.028</w:t>
            </w:r>
          </w:p>
        </w:tc>
      </w:tr>
    </w:tbl>
    <w:p w14:paraId="5FA33103" w14:textId="77777777" w:rsidR="008E2CD7" w:rsidRPr="0095118E" w:rsidRDefault="008E2CD7" w:rsidP="008E2CD7">
      <w:pPr>
        <w:spacing w:line="480" w:lineRule="auto"/>
        <w:rPr>
          <w:rFonts w:asciiTheme="majorBidi" w:hAnsiTheme="majorBidi" w:cstheme="majorBidi"/>
          <w:sz w:val="24"/>
          <w:szCs w:val="24"/>
        </w:rPr>
      </w:pPr>
      <w:bookmarkStart w:id="7" w:name="_Hlk171332568"/>
    </w:p>
    <w:p w14:paraId="129C24CC" w14:textId="77777777" w:rsidR="008E2CD7" w:rsidRPr="0095118E" w:rsidRDefault="008E2CD7" w:rsidP="008E2CD7">
      <w:pPr>
        <w:spacing w:line="480" w:lineRule="auto"/>
        <w:rPr>
          <w:rFonts w:asciiTheme="majorBidi" w:hAnsiTheme="majorBidi" w:cstheme="majorBidi"/>
          <w:sz w:val="24"/>
          <w:szCs w:val="24"/>
        </w:rPr>
      </w:pPr>
    </w:p>
    <w:p w14:paraId="0B3C5E62" w14:textId="77777777" w:rsidR="008E2CD7" w:rsidRPr="0095118E" w:rsidRDefault="008E2CD7" w:rsidP="008E2CD7">
      <w:pPr>
        <w:spacing w:line="480" w:lineRule="auto"/>
        <w:ind w:firstLine="720"/>
        <w:rPr>
          <w:rFonts w:asciiTheme="majorBidi" w:hAnsiTheme="majorBidi" w:cstheme="majorBidi"/>
          <w:sz w:val="24"/>
          <w:szCs w:val="24"/>
        </w:rPr>
      </w:pPr>
      <w:bookmarkStart w:id="8" w:name="_Hlk172915151"/>
      <w:bookmarkEnd w:id="6"/>
      <w:bookmarkEnd w:id="7"/>
      <w:r w:rsidRPr="0095118E">
        <w:rPr>
          <w:rFonts w:asciiTheme="majorBidi" w:hAnsiTheme="majorBidi" w:cstheme="majorBidi"/>
          <w:sz w:val="24"/>
          <w:szCs w:val="24"/>
        </w:rPr>
        <w:t xml:space="preserve">At all three time points a robust association was observed between IU and paranoia, controlling for neuroticism and demographic variables (Table </w:t>
      </w:r>
      <w:r w:rsidRPr="0095118E">
        <w:rPr>
          <w:rFonts w:asciiTheme="majorBidi" w:hAnsiTheme="majorBidi" w:cstheme="majorBidi" w:hint="eastAsia"/>
          <w:sz w:val="24"/>
          <w:szCs w:val="24"/>
        </w:rPr>
        <w:t>3</w:t>
      </w:r>
      <w:r w:rsidRPr="0095118E">
        <w:rPr>
          <w:rFonts w:asciiTheme="majorBidi" w:hAnsiTheme="majorBidi" w:cstheme="majorBidi"/>
          <w:sz w:val="24"/>
          <w:szCs w:val="24"/>
        </w:rPr>
        <w:t xml:space="preserve">). Similar robust associations were found between IU and both anxiety and depression (also shown in Table </w:t>
      </w:r>
      <w:r w:rsidRPr="0095118E">
        <w:rPr>
          <w:rFonts w:asciiTheme="majorBidi" w:hAnsiTheme="majorBidi" w:cstheme="majorBidi" w:hint="eastAsia"/>
          <w:sz w:val="24"/>
          <w:szCs w:val="24"/>
        </w:rPr>
        <w:t>3</w:t>
      </w:r>
      <w:r w:rsidRPr="0095118E">
        <w:rPr>
          <w:rFonts w:asciiTheme="majorBidi" w:hAnsiTheme="majorBidi" w:cstheme="majorBidi"/>
          <w:sz w:val="24"/>
          <w:szCs w:val="24"/>
        </w:rPr>
        <w:t xml:space="preserve">). </w:t>
      </w:r>
    </w:p>
    <w:p w14:paraId="25FD98E4" w14:textId="77777777" w:rsidR="008E2CD7" w:rsidRPr="0095118E" w:rsidRDefault="008E2CD7" w:rsidP="008E2CD7">
      <w:pPr>
        <w:spacing w:line="480" w:lineRule="auto"/>
        <w:rPr>
          <w:rFonts w:asciiTheme="majorBidi" w:hAnsiTheme="majorBidi" w:cstheme="majorBidi"/>
          <w:b/>
          <w:bCs/>
          <w:sz w:val="24"/>
          <w:szCs w:val="24"/>
        </w:rPr>
      </w:pPr>
      <w:r w:rsidRPr="0095118E">
        <w:rPr>
          <w:rFonts w:asciiTheme="majorBidi" w:hAnsiTheme="majorBidi" w:cstheme="majorBidi"/>
          <w:b/>
          <w:bCs/>
          <w:sz w:val="24"/>
          <w:szCs w:val="24"/>
        </w:rPr>
        <w:t xml:space="preserve">Table </w:t>
      </w:r>
      <w:r w:rsidRPr="0095118E">
        <w:rPr>
          <w:rFonts w:asciiTheme="majorBidi" w:hAnsiTheme="majorBidi" w:cstheme="majorBidi" w:hint="eastAsia"/>
          <w:b/>
          <w:bCs/>
          <w:sz w:val="24"/>
          <w:szCs w:val="24"/>
        </w:rPr>
        <w:t>3</w:t>
      </w:r>
      <w:r w:rsidRPr="0095118E">
        <w:rPr>
          <w:rFonts w:asciiTheme="majorBidi" w:hAnsiTheme="majorBidi" w:cstheme="majorBidi" w:hint="eastAsia"/>
          <w:b/>
          <w:bCs/>
          <w:sz w:val="24"/>
          <w:szCs w:val="24"/>
        </w:rPr>
        <w:t>：</w:t>
      </w:r>
      <w:r w:rsidRPr="0095118E">
        <w:rPr>
          <w:rFonts w:asciiTheme="majorBidi" w:hAnsiTheme="majorBidi" w:cstheme="majorBidi"/>
          <w:sz w:val="24"/>
          <w:szCs w:val="24"/>
        </w:rPr>
        <w:t>Path estimation of models.</w:t>
      </w:r>
    </w:p>
    <w:tbl>
      <w:tblPr>
        <w:tblStyle w:val="threeline"/>
        <w:tblW w:w="0" w:type="auto"/>
        <w:tblLook w:val="04A0" w:firstRow="1" w:lastRow="0" w:firstColumn="1" w:lastColumn="0" w:noHBand="0" w:noVBand="1"/>
      </w:tblPr>
      <w:tblGrid>
        <w:gridCol w:w="2254"/>
        <w:gridCol w:w="2254"/>
        <w:gridCol w:w="3289"/>
        <w:gridCol w:w="1219"/>
      </w:tblGrid>
      <w:tr w:rsidR="008E2CD7" w:rsidRPr="0095118E" w14:paraId="259FB1C8" w14:textId="77777777" w:rsidTr="005D539A">
        <w:trPr>
          <w:cnfStyle w:val="100000000000" w:firstRow="1" w:lastRow="0" w:firstColumn="0" w:lastColumn="0" w:oddVBand="0" w:evenVBand="0" w:oddHBand="0" w:evenHBand="0" w:firstRowFirstColumn="0" w:firstRowLastColumn="0" w:lastRowFirstColumn="0" w:lastRowLastColumn="0"/>
          <w:trHeight w:val="383"/>
        </w:trPr>
        <w:tc>
          <w:tcPr>
            <w:tcW w:w="2254" w:type="dxa"/>
          </w:tcPr>
          <w:p w14:paraId="0CDF1AA7"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Time points</w:t>
            </w:r>
          </w:p>
        </w:tc>
        <w:tc>
          <w:tcPr>
            <w:tcW w:w="2254" w:type="dxa"/>
          </w:tcPr>
          <w:p w14:paraId="660E3881"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Path</w:t>
            </w:r>
          </w:p>
        </w:tc>
        <w:tc>
          <w:tcPr>
            <w:tcW w:w="3289" w:type="dxa"/>
          </w:tcPr>
          <w:p w14:paraId="4A9AA3C6"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Standardized Regression weights</w:t>
            </w:r>
          </w:p>
        </w:tc>
        <w:tc>
          <w:tcPr>
            <w:tcW w:w="1219" w:type="dxa"/>
          </w:tcPr>
          <w:p w14:paraId="2989C6E3"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p</w:t>
            </w:r>
          </w:p>
        </w:tc>
      </w:tr>
      <w:tr w:rsidR="008E2CD7" w:rsidRPr="0095118E" w14:paraId="0837463B" w14:textId="77777777" w:rsidTr="005D539A">
        <w:tc>
          <w:tcPr>
            <w:tcW w:w="2254" w:type="dxa"/>
          </w:tcPr>
          <w:p w14:paraId="7A740BC9"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W1</w:t>
            </w:r>
          </w:p>
        </w:tc>
        <w:tc>
          <w:tcPr>
            <w:tcW w:w="2254" w:type="dxa"/>
          </w:tcPr>
          <w:p w14:paraId="50F51ED2"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 xml:space="preserve">IU </w:t>
            </w:r>
            <w:r w:rsidRPr="0095118E">
              <w:rPr>
                <w:rFonts w:cstheme="majorBidi" w:hint="eastAsia"/>
                <w:sz w:val="24"/>
                <w:szCs w:val="24"/>
              </w:rPr>
              <w:t>→</w:t>
            </w:r>
            <w:r w:rsidRPr="0095118E">
              <w:rPr>
                <w:rFonts w:cstheme="majorBidi" w:hint="eastAsia"/>
                <w:sz w:val="24"/>
                <w:szCs w:val="24"/>
              </w:rPr>
              <w:t xml:space="preserve"> </w:t>
            </w:r>
            <w:r w:rsidRPr="0095118E">
              <w:rPr>
                <w:rFonts w:cstheme="majorBidi"/>
                <w:sz w:val="24"/>
                <w:szCs w:val="24"/>
              </w:rPr>
              <w:t>paranoia</w:t>
            </w:r>
          </w:p>
        </w:tc>
        <w:tc>
          <w:tcPr>
            <w:tcW w:w="3289" w:type="dxa"/>
          </w:tcPr>
          <w:p w14:paraId="66AC416B"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.677</w:t>
            </w:r>
          </w:p>
        </w:tc>
        <w:tc>
          <w:tcPr>
            <w:tcW w:w="1219" w:type="dxa"/>
          </w:tcPr>
          <w:p w14:paraId="79568B9F"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&lt; .001</w:t>
            </w:r>
          </w:p>
        </w:tc>
      </w:tr>
      <w:tr w:rsidR="008E2CD7" w:rsidRPr="0095118E" w14:paraId="271B9119" w14:textId="77777777" w:rsidTr="005D539A">
        <w:tc>
          <w:tcPr>
            <w:tcW w:w="2254" w:type="dxa"/>
          </w:tcPr>
          <w:p w14:paraId="4B8DF576" w14:textId="77777777" w:rsidR="008E2CD7" w:rsidRPr="0095118E" w:rsidRDefault="008E2CD7" w:rsidP="005D539A">
            <w:pPr>
              <w:spacing w:line="480" w:lineRule="auto"/>
              <w:jc w:val="center"/>
              <w:rPr>
                <w:rFonts w:cstheme="majorBidi"/>
                <w:sz w:val="24"/>
                <w:szCs w:val="24"/>
              </w:rPr>
            </w:pPr>
          </w:p>
        </w:tc>
        <w:tc>
          <w:tcPr>
            <w:tcW w:w="2254" w:type="dxa"/>
          </w:tcPr>
          <w:p w14:paraId="200E9A45"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 xml:space="preserve">IU </w:t>
            </w:r>
            <w:r w:rsidRPr="0095118E">
              <w:rPr>
                <w:rFonts w:cstheme="majorBidi" w:hint="eastAsia"/>
                <w:sz w:val="24"/>
                <w:szCs w:val="24"/>
              </w:rPr>
              <w:t>→</w:t>
            </w:r>
            <w:r w:rsidRPr="0095118E">
              <w:rPr>
                <w:rFonts w:cstheme="majorBidi" w:hint="eastAsia"/>
                <w:sz w:val="24"/>
                <w:szCs w:val="24"/>
              </w:rPr>
              <w:t xml:space="preserve"> </w:t>
            </w:r>
            <w:r w:rsidRPr="0095118E">
              <w:rPr>
                <w:rFonts w:cstheme="majorBidi"/>
                <w:sz w:val="24"/>
                <w:szCs w:val="24"/>
              </w:rPr>
              <w:t>depression</w:t>
            </w:r>
          </w:p>
        </w:tc>
        <w:tc>
          <w:tcPr>
            <w:tcW w:w="3289" w:type="dxa"/>
          </w:tcPr>
          <w:p w14:paraId="6B40F9D8"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.636</w:t>
            </w:r>
          </w:p>
        </w:tc>
        <w:tc>
          <w:tcPr>
            <w:tcW w:w="1219" w:type="dxa"/>
          </w:tcPr>
          <w:p w14:paraId="36BDB6D3"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&lt; .001</w:t>
            </w:r>
          </w:p>
        </w:tc>
      </w:tr>
      <w:tr w:rsidR="008E2CD7" w:rsidRPr="0095118E" w14:paraId="3F4BFE64" w14:textId="77777777" w:rsidTr="005D539A">
        <w:trPr>
          <w:trHeight w:val="537"/>
        </w:trPr>
        <w:tc>
          <w:tcPr>
            <w:tcW w:w="2254" w:type="dxa"/>
          </w:tcPr>
          <w:p w14:paraId="679A3AC1" w14:textId="77777777" w:rsidR="008E2CD7" w:rsidRPr="0095118E" w:rsidRDefault="008E2CD7" w:rsidP="005D539A">
            <w:pPr>
              <w:spacing w:line="480" w:lineRule="auto"/>
              <w:jc w:val="center"/>
              <w:rPr>
                <w:rFonts w:cstheme="majorBidi"/>
                <w:sz w:val="24"/>
                <w:szCs w:val="24"/>
              </w:rPr>
            </w:pPr>
          </w:p>
        </w:tc>
        <w:tc>
          <w:tcPr>
            <w:tcW w:w="2254" w:type="dxa"/>
          </w:tcPr>
          <w:p w14:paraId="22CCF3AE"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 xml:space="preserve">IU </w:t>
            </w:r>
            <w:r w:rsidRPr="0095118E">
              <w:rPr>
                <w:rFonts w:cstheme="majorBidi" w:hint="eastAsia"/>
                <w:sz w:val="24"/>
                <w:szCs w:val="24"/>
              </w:rPr>
              <w:t>→</w:t>
            </w:r>
            <w:r w:rsidRPr="0095118E">
              <w:rPr>
                <w:rFonts w:cstheme="majorBidi" w:hint="eastAsia"/>
                <w:sz w:val="24"/>
                <w:szCs w:val="24"/>
              </w:rPr>
              <w:t xml:space="preserve"> </w:t>
            </w:r>
            <w:r w:rsidRPr="0095118E">
              <w:rPr>
                <w:rFonts w:cstheme="majorBidi"/>
                <w:sz w:val="24"/>
                <w:szCs w:val="24"/>
              </w:rPr>
              <w:t>anxiety</w:t>
            </w:r>
          </w:p>
        </w:tc>
        <w:tc>
          <w:tcPr>
            <w:tcW w:w="3289" w:type="dxa"/>
          </w:tcPr>
          <w:p w14:paraId="2BAD0D77"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.524</w:t>
            </w:r>
          </w:p>
        </w:tc>
        <w:tc>
          <w:tcPr>
            <w:tcW w:w="1219" w:type="dxa"/>
          </w:tcPr>
          <w:p w14:paraId="28EA4B00"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&lt; .001</w:t>
            </w:r>
          </w:p>
        </w:tc>
      </w:tr>
      <w:tr w:rsidR="008E2CD7" w:rsidRPr="0095118E" w14:paraId="7D2C9612" w14:textId="77777777" w:rsidTr="005D539A">
        <w:tc>
          <w:tcPr>
            <w:tcW w:w="2254" w:type="dxa"/>
          </w:tcPr>
          <w:p w14:paraId="616B0F6D"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W2</w:t>
            </w:r>
          </w:p>
        </w:tc>
        <w:tc>
          <w:tcPr>
            <w:tcW w:w="2254" w:type="dxa"/>
          </w:tcPr>
          <w:p w14:paraId="633BC547"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 xml:space="preserve">IU </w:t>
            </w:r>
            <w:r w:rsidRPr="0095118E">
              <w:rPr>
                <w:rFonts w:cstheme="majorBidi" w:hint="eastAsia"/>
                <w:sz w:val="24"/>
                <w:szCs w:val="24"/>
              </w:rPr>
              <w:t>→</w:t>
            </w:r>
            <w:r w:rsidRPr="0095118E">
              <w:rPr>
                <w:rFonts w:cstheme="majorBidi" w:hint="eastAsia"/>
                <w:sz w:val="24"/>
                <w:szCs w:val="24"/>
              </w:rPr>
              <w:t xml:space="preserve"> </w:t>
            </w:r>
            <w:r w:rsidRPr="0095118E">
              <w:rPr>
                <w:rFonts w:cstheme="majorBidi"/>
                <w:sz w:val="24"/>
                <w:szCs w:val="24"/>
              </w:rPr>
              <w:t>paranoia</w:t>
            </w:r>
          </w:p>
        </w:tc>
        <w:tc>
          <w:tcPr>
            <w:tcW w:w="3289" w:type="dxa"/>
          </w:tcPr>
          <w:p w14:paraId="070C183A"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.553</w:t>
            </w:r>
          </w:p>
        </w:tc>
        <w:tc>
          <w:tcPr>
            <w:tcW w:w="1219" w:type="dxa"/>
          </w:tcPr>
          <w:p w14:paraId="760A1DF7"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&lt; .001</w:t>
            </w:r>
          </w:p>
        </w:tc>
      </w:tr>
      <w:tr w:rsidR="008E2CD7" w:rsidRPr="0095118E" w14:paraId="7B34FC7F" w14:textId="77777777" w:rsidTr="005D539A">
        <w:tc>
          <w:tcPr>
            <w:tcW w:w="2254" w:type="dxa"/>
          </w:tcPr>
          <w:p w14:paraId="32862ECB" w14:textId="77777777" w:rsidR="008E2CD7" w:rsidRPr="0095118E" w:rsidRDefault="008E2CD7" w:rsidP="005D539A">
            <w:pPr>
              <w:spacing w:line="480" w:lineRule="auto"/>
              <w:jc w:val="center"/>
              <w:rPr>
                <w:rFonts w:cstheme="majorBidi"/>
                <w:sz w:val="24"/>
                <w:szCs w:val="24"/>
              </w:rPr>
            </w:pPr>
          </w:p>
        </w:tc>
        <w:tc>
          <w:tcPr>
            <w:tcW w:w="2254" w:type="dxa"/>
          </w:tcPr>
          <w:p w14:paraId="60BDFE22"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 xml:space="preserve">IU </w:t>
            </w:r>
            <w:r w:rsidRPr="0095118E">
              <w:rPr>
                <w:rFonts w:cstheme="majorBidi" w:hint="eastAsia"/>
                <w:sz w:val="24"/>
                <w:szCs w:val="24"/>
              </w:rPr>
              <w:t>→</w:t>
            </w:r>
            <w:r w:rsidRPr="0095118E">
              <w:rPr>
                <w:rFonts w:cstheme="majorBidi" w:hint="eastAsia"/>
                <w:sz w:val="24"/>
                <w:szCs w:val="24"/>
              </w:rPr>
              <w:t xml:space="preserve"> </w:t>
            </w:r>
            <w:r w:rsidRPr="0095118E">
              <w:rPr>
                <w:rFonts w:cstheme="majorBidi"/>
                <w:sz w:val="24"/>
                <w:szCs w:val="24"/>
              </w:rPr>
              <w:t>depression</w:t>
            </w:r>
          </w:p>
        </w:tc>
        <w:tc>
          <w:tcPr>
            <w:tcW w:w="3289" w:type="dxa"/>
          </w:tcPr>
          <w:p w14:paraId="73CB36C4"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.590</w:t>
            </w:r>
          </w:p>
        </w:tc>
        <w:tc>
          <w:tcPr>
            <w:tcW w:w="1219" w:type="dxa"/>
          </w:tcPr>
          <w:p w14:paraId="5600E3EE"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&lt; .001</w:t>
            </w:r>
          </w:p>
        </w:tc>
      </w:tr>
      <w:tr w:rsidR="008E2CD7" w:rsidRPr="0095118E" w14:paraId="3E47F633" w14:textId="77777777" w:rsidTr="005D539A">
        <w:trPr>
          <w:trHeight w:val="492"/>
        </w:trPr>
        <w:tc>
          <w:tcPr>
            <w:tcW w:w="2254" w:type="dxa"/>
          </w:tcPr>
          <w:p w14:paraId="3AC78893" w14:textId="77777777" w:rsidR="008E2CD7" w:rsidRPr="0095118E" w:rsidRDefault="008E2CD7" w:rsidP="005D539A">
            <w:pPr>
              <w:spacing w:line="480" w:lineRule="auto"/>
              <w:jc w:val="center"/>
              <w:rPr>
                <w:rFonts w:cstheme="majorBidi"/>
                <w:sz w:val="24"/>
                <w:szCs w:val="24"/>
              </w:rPr>
            </w:pPr>
          </w:p>
        </w:tc>
        <w:tc>
          <w:tcPr>
            <w:tcW w:w="2254" w:type="dxa"/>
          </w:tcPr>
          <w:p w14:paraId="13CF53BC"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 xml:space="preserve">IU </w:t>
            </w:r>
            <w:r w:rsidRPr="0095118E">
              <w:rPr>
                <w:rFonts w:cstheme="majorBidi" w:hint="eastAsia"/>
                <w:sz w:val="24"/>
                <w:szCs w:val="24"/>
              </w:rPr>
              <w:t>→</w:t>
            </w:r>
            <w:r w:rsidRPr="0095118E">
              <w:rPr>
                <w:rFonts w:cstheme="majorBidi" w:hint="eastAsia"/>
                <w:sz w:val="24"/>
                <w:szCs w:val="24"/>
              </w:rPr>
              <w:t xml:space="preserve"> </w:t>
            </w:r>
            <w:r w:rsidRPr="0095118E">
              <w:rPr>
                <w:rFonts w:cstheme="majorBidi"/>
                <w:sz w:val="24"/>
                <w:szCs w:val="24"/>
              </w:rPr>
              <w:t>anxiety</w:t>
            </w:r>
          </w:p>
        </w:tc>
        <w:tc>
          <w:tcPr>
            <w:tcW w:w="3289" w:type="dxa"/>
          </w:tcPr>
          <w:p w14:paraId="13CC0F18"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.544</w:t>
            </w:r>
          </w:p>
        </w:tc>
        <w:tc>
          <w:tcPr>
            <w:tcW w:w="1219" w:type="dxa"/>
          </w:tcPr>
          <w:p w14:paraId="166BBD40"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&lt; .001</w:t>
            </w:r>
          </w:p>
        </w:tc>
      </w:tr>
      <w:tr w:rsidR="008E2CD7" w:rsidRPr="0095118E" w14:paraId="148FD01E" w14:textId="77777777" w:rsidTr="005D539A">
        <w:tc>
          <w:tcPr>
            <w:tcW w:w="2254" w:type="dxa"/>
          </w:tcPr>
          <w:p w14:paraId="69BCD3F9"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W4</w:t>
            </w:r>
          </w:p>
        </w:tc>
        <w:tc>
          <w:tcPr>
            <w:tcW w:w="2254" w:type="dxa"/>
          </w:tcPr>
          <w:p w14:paraId="0C1CE24F"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 xml:space="preserve">IU </w:t>
            </w:r>
            <w:r w:rsidRPr="0095118E">
              <w:rPr>
                <w:rFonts w:cstheme="majorBidi" w:hint="eastAsia"/>
                <w:sz w:val="24"/>
                <w:szCs w:val="24"/>
              </w:rPr>
              <w:t>→</w:t>
            </w:r>
            <w:r w:rsidRPr="0095118E">
              <w:rPr>
                <w:rFonts w:cstheme="majorBidi" w:hint="eastAsia"/>
                <w:sz w:val="24"/>
                <w:szCs w:val="24"/>
              </w:rPr>
              <w:t xml:space="preserve"> </w:t>
            </w:r>
            <w:r w:rsidRPr="0095118E">
              <w:rPr>
                <w:rFonts w:cstheme="majorBidi"/>
                <w:sz w:val="24"/>
                <w:szCs w:val="24"/>
              </w:rPr>
              <w:t>paranoia</w:t>
            </w:r>
          </w:p>
        </w:tc>
        <w:tc>
          <w:tcPr>
            <w:tcW w:w="3289" w:type="dxa"/>
          </w:tcPr>
          <w:p w14:paraId="4B22A4ED"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.529</w:t>
            </w:r>
          </w:p>
        </w:tc>
        <w:tc>
          <w:tcPr>
            <w:tcW w:w="1219" w:type="dxa"/>
          </w:tcPr>
          <w:p w14:paraId="0B1DE2BB"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&lt; .001</w:t>
            </w:r>
          </w:p>
        </w:tc>
      </w:tr>
      <w:tr w:rsidR="008E2CD7" w:rsidRPr="0095118E" w14:paraId="5CD79317" w14:textId="77777777" w:rsidTr="005D539A">
        <w:tc>
          <w:tcPr>
            <w:tcW w:w="2254" w:type="dxa"/>
          </w:tcPr>
          <w:p w14:paraId="6C2FBA81" w14:textId="77777777" w:rsidR="008E2CD7" w:rsidRPr="0095118E" w:rsidRDefault="008E2CD7" w:rsidP="005D539A">
            <w:pPr>
              <w:spacing w:line="480" w:lineRule="auto"/>
              <w:jc w:val="center"/>
              <w:rPr>
                <w:rFonts w:cstheme="majorBidi"/>
                <w:sz w:val="24"/>
                <w:szCs w:val="24"/>
              </w:rPr>
            </w:pPr>
          </w:p>
        </w:tc>
        <w:tc>
          <w:tcPr>
            <w:tcW w:w="2254" w:type="dxa"/>
          </w:tcPr>
          <w:p w14:paraId="7E12DC1F"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 xml:space="preserve">IU </w:t>
            </w:r>
            <w:r w:rsidRPr="0095118E">
              <w:rPr>
                <w:rFonts w:cstheme="majorBidi" w:hint="eastAsia"/>
                <w:sz w:val="24"/>
                <w:szCs w:val="24"/>
              </w:rPr>
              <w:t>→</w:t>
            </w:r>
            <w:r w:rsidRPr="0095118E">
              <w:rPr>
                <w:rFonts w:cstheme="majorBidi" w:hint="eastAsia"/>
                <w:sz w:val="24"/>
                <w:szCs w:val="24"/>
              </w:rPr>
              <w:t xml:space="preserve"> </w:t>
            </w:r>
            <w:r w:rsidRPr="0095118E">
              <w:rPr>
                <w:rFonts w:cstheme="majorBidi"/>
                <w:sz w:val="24"/>
                <w:szCs w:val="24"/>
              </w:rPr>
              <w:t>depression</w:t>
            </w:r>
          </w:p>
        </w:tc>
        <w:tc>
          <w:tcPr>
            <w:tcW w:w="3289" w:type="dxa"/>
          </w:tcPr>
          <w:p w14:paraId="34939BCE"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.534</w:t>
            </w:r>
          </w:p>
        </w:tc>
        <w:tc>
          <w:tcPr>
            <w:tcW w:w="1219" w:type="dxa"/>
          </w:tcPr>
          <w:p w14:paraId="1DCD0222"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&lt; .001</w:t>
            </w:r>
          </w:p>
        </w:tc>
      </w:tr>
      <w:tr w:rsidR="008E2CD7" w:rsidRPr="0095118E" w14:paraId="6FF6CCB5" w14:textId="77777777" w:rsidTr="005D539A">
        <w:tc>
          <w:tcPr>
            <w:tcW w:w="2254" w:type="dxa"/>
          </w:tcPr>
          <w:p w14:paraId="5532B0CC" w14:textId="77777777" w:rsidR="008E2CD7" w:rsidRPr="0095118E" w:rsidRDefault="008E2CD7" w:rsidP="005D539A">
            <w:pPr>
              <w:spacing w:line="480" w:lineRule="auto"/>
              <w:jc w:val="center"/>
              <w:rPr>
                <w:rFonts w:cstheme="majorBidi"/>
                <w:sz w:val="24"/>
                <w:szCs w:val="24"/>
              </w:rPr>
            </w:pPr>
          </w:p>
        </w:tc>
        <w:tc>
          <w:tcPr>
            <w:tcW w:w="2254" w:type="dxa"/>
          </w:tcPr>
          <w:p w14:paraId="14B55AFA"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 xml:space="preserve">IU </w:t>
            </w:r>
            <w:r w:rsidRPr="0095118E">
              <w:rPr>
                <w:rFonts w:cstheme="majorBidi" w:hint="eastAsia"/>
                <w:sz w:val="24"/>
                <w:szCs w:val="24"/>
              </w:rPr>
              <w:t>→</w:t>
            </w:r>
            <w:r w:rsidRPr="0095118E">
              <w:rPr>
                <w:rFonts w:cstheme="majorBidi" w:hint="eastAsia"/>
                <w:sz w:val="24"/>
                <w:szCs w:val="24"/>
              </w:rPr>
              <w:t xml:space="preserve"> </w:t>
            </w:r>
            <w:r w:rsidRPr="0095118E">
              <w:rPr>
                <w:rFonts w:cstheme="majorBidi"/>
                <w:sz w:val="24"/>
                <w:szCs w:val="24"/>
              </w:rPr>
              <w:t>anxiety</w:t>
            </w:r>
          </w:p>
        </w:tc>
        <w:tc>
          <w:tcPr>
            <w:tcW w:w="3289" w:type="dxa"/>
          </w:tcPr>
          <w:p w14:paraId="0C6FECA2"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.402</w:t>
            </w:r>
          </w:p>
        </w:tc>
        <w:tc>
          <w:tcPr>
            <w:tcW w:w="1219" w:type="dxa"/>
          </w:tcPr>
          <w:p w14:paraId="3CD5C517" w14:textId="77777777" w:rsidR="008E2CD7" w:rsidRPr="0095118E" w:rsidRDefault="008E2CD7" w:rsidP="005D539A">
            <w:pPr>
              <w:spacing w:line="480" w:lineRule="auto"/>
              <w:jc w:val="center"/>
              <w:rPr>
                <w:rFonts w:cstheme="majorBidi"/>
                <w:sz w:val="24"/>
                <w:szCs w:val="24"/>
              </w:rPr>
            </w:pPr>
            <w:r w:rsidRPr="0095118E">
              <w:rPr>
                <w:rFonts w:cstheme="majorBidi"/>
                <w:sz w:val="24"/>
                <w:szCs w:val="24"/>
              </w:rPr>
              <w:t>&lt; .001</w:t>
            </w:r>
          </w:p>
        </w:tc>
      </w:tr>
    </w:tbl>
    <w:p w14:paraId="6A183549" w14:textId="77777777" w:rsidR="008E2CD7" w:rsidRPr="0095118E" w:rsidRDefault="008E2CD7" w:rsidP="008E2CD7">
      <w:pPr>
        <w:rPr>
          <w:sz w:val="24"/>
          <w:szCs w:val="24"/>
        </w:rPr>
      </w:pPr>
    </w:p>
    <w:p w14:paraId="3DC12356" w14:textId="77777777" w:rsidR="008E2CD7" w:rsidRPr="0095118E" w:rsidRDefault="008E2CD7" w:rsidP="008E2CD7">
      <w:pPr>
        <w:spacing w:line="480" w:lineRule="auto"/>
        <w:ind w:firstLine="720"/>
        <w:rPr>
          <w:rFonts w:asciiTheme="majorBidi" w:hAnsiTheme="majorBidi" w:cstheme="majorBidi"/>
          <w:noProof/>
          <w:sz w:val="24"/>
          <w:szCs w:val="24"/>
        </w:rPr>
      </w:pPr>
      <w:r w:rsidRPr="0095118E">
        <w:rPr>
          <w:rFonts w:asciiTheme="majorBidi" w:hAnsiTheme="majorBidi" w:cstheme="majorBidi"/>
          <w:b/>
          <w:bCs/>
          <w:noProof/>
          <w:sz w:val="24"/>
          <w:szCs w:val="24"/>
        </w:rPr>
        <w:t>Note.</w:t>
      </w:r>
      <w:r w:rsidRPr="0095118E">
        <w:rPr>
          <w:rFonts w:asciiTheme="majorBidi" w:hAnsiTheme="majorBidi" w:cstheme="majorBidi"/>
          <w:noProof/>
          <w:sz w:val="24"/>
          <w:szCs w:val="24"/>
        </w:rPr>
        <w:t xml:space="preserve"> To assess the impact of participant attrition, a sensitivity analysis was conducted using only participants who completed all three waves of data collection (N = 1037). The pattern of results remained consistent with the full sample analysis (N = 2025, 5-imputed datasets). Core paths (e.g., from IU to paranoia) remained statistically significant and of similar magnitude, and overall model fit was slightly improved in the reduced sample. This suggests that the reported findings are robust to the exclusion of single-wave participants.</w:t>
      </w:r>
    </w:p>
    <w:p w14:paraId="357570B6"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 xml:space="preserve">The result of Longitudinal path model shows an excellent Model fit (CFI = 1.000, RMSEA = .000, SRMR = .003). As shown in Table </w:t>
      </w:r>
      <w:r w:rsidRPr="0095118E">
        <w:rPr>
          <w:rFonts w:asciiTheme="majorBidi" w:hAnsiTheme="majorBidi" w:cstheme="majorBidi" w:hint="eastAsia"/>
          <w:sz w:val="24"/>
          <w:szCs w:val="24"/>
        </w:rPr>
        <w:t>4</w:t>
      </w:r>
      <w:r w:rsidRPr="0095118E">
        <w:rPr>
          <w:rFonts w:asciiTheme="majorBidi" w:hAnsiTheme="majorBidi" w:cstheme="majorBidi"/>
          <w:sz w:val="24"/>
          <w:szCs w:val="24"/>
        </w:rPr>
        <w:t>, IU at Wave 1 significantly predicted paranoia at both Wave 2 and Wave 4, with controlling for the baseline of paranoia.</w:t>
      </w:r>
    </w:p>
    <w:p w14:paraId="7571C11E" w14:textId="77777777" w:rsidR="008E2CD7" w:rsidRPr="0095118E" w:rsidRDefault="008E2CD7" w:rsidP="008E2CD7">
      <w:pPr>
        <w:spacing w:line="480" w:lineRule="auto"/>
        <w:rPr>
          <w:rFonts w:asciiTheme="majorBidi" w:hAnsiTheme="majorBidi" w:cstheme="majorBidi"/>
          <w:sz w:val="24"/>
          <w:szCs w:val="24"/>
        </w:rPr>
      </w:pPr>
      <w:r w:rsidRPr="0095118E">
        <w:rPr>
          <w:rFonts w:asciiTheme="majorBidi" w:hAnsiTheme="majorBidi" w:cstheme="majorBidi"/>
          <w:b/>
          <w:bCs/>
          <w:sz w:val="24"/>
          <w:szCs w:val="24"/>
        </w:rPr>
        <w:t xml:space="preserve">Table </w:t>
      </w:r>
      <w:r w:rsidRPr="0095118E">
        <w:rPr>
          <w:rFonts w:asciiTheme="majorBidi" w:hAnsiTheme="majorBidi" w:cstheme="majorBidi" w:hint="eastAsia"/>
          <w:b/>
          <w:bCs/>
          <w:sz w:val="24"/>
          <w:szCs w:val="24"/>
        </w:rPr>
        <w:t>4</w:t>
      </w:r>
      <w:r w:rsidRPr="0095118E">
        <w:rPr>
          <w:rFonts w:asciiTheme="majorBidi" w:hAnsiTheme="majorBidi" w:cstheme="majorBidi"/>
          <w:b/>
          <w:bCs/>
          <w:sz w:val="24"/>
          <w:szCs w:val="24"/>
        </w:rPr>
        <w:t>.</w:t>
      </w:r>
      <w:r w:rsidRPr="0095118E">
        <w:rPr>
          <w:rFonts w:asciiTheme="majorBidi" w:hAnsiTheme="majorBidi" w:cstheme="majorBidi"/>
          <w:sz w:val="24"/>
          <w:szCs w:val="24"/>
        </w:rPr>
        <w:t xml:space="preserve"> Standardized path coefficients from the longitudinal path model predicting paranoia at wave 2 and wave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8E2CD7" w:rsidRPr="0095118E" w14:paraId="3123C897" w14:textId="77777777" w:rsidTr="005D539A">
        <w:tc>
          <w:tcPr>
            <w:tcW w:w="1803" w:type="dxa"/>
            <w:tcBorders>
              <w:top w:val="single" w:sz="12" w:space="0" w:color="auto"/>
              <w:bottom w:val="single" w:sz="12" w:space="0" w:color="auto"/>
            </w:tcBorders>
            <w:vAlign w:val="center"/>
          </w:tcPr>
          <w:p w14:paraId="280A9549" w14:textId="77777777" w:rsidR="008E2CD7" w:rsidRPr="0095118E" w:rsidRDefault="008E2CD7" w:rsidP="005D539A">
            <w:pPr>
              <w:spacing w:line="480" w:lineRule="auto"/>
              <w:rPr>
                <w:rFonts w:asciiTheme="majorBidi" w:hAnsiTheme="majorBidi" w:cstheme="majorBidi"/>
                <w:sz w:val="24"/>
                <w:szCs w:val="24"/>
              </w:rPr>
            </w:pPr>
            <w:r w:rsidRPr="0095118E">
              <w:rPr>
                <w:rStyle w:val="Strong"/>
                <w:rFonts w:asciiTheme="majorBidi" w:hAnsiTheme="majorBidi" w:cstheme="majorBidi"/>
              </w:rPr>
              <w:t>Outcome</w:t>
            </w:r>
          </w:p>
        </w:tc>
        <w:tc>
          <w:tcPr>
            <w:tcW w:w="1803" w:type="dxa"/>
            <w:tcBorders>
              <w:top w:val="single" w:sz="12" w:space="0" w:color="auto"/>
              <w:bottom w:val="single" w:sz="12" w:space="0" w:color="auto"/>
            </w:tcBorders>
            <w:vAlign w:val="center"/>
          </w:tcPr>
          <w:p w14:paraId="390DCEE3" w14:textId="77777777" w:rsidR="008E2CD7" w:rsidRPr="0095118E" w:rsidRDefault="008E2CD7" w:rsidP="005D539A">
            <w:pPr>
              <w:spacing w:line="480" w:lineRule="auto"/>
              <w:rPr>
                <w:rFonts w:asciiTheme="majorBidi" w:hAnsiTheme="majorBidi" w:cstheme="majorBidi"/>
                <w:sz w:val="24"/>
                <w:szCs w:val="24"/>
              </w:rPr>
            </w:pPr>
            <w:r w:rsidRPr="0095118E">
              <w:rPr>
                <w:rStyle w:val="Strong"/>
                <w:rFonts w:asciiTheme="majorBidi" w:hAnsiTheme="majorBidi" w:cstheme="majorBidi"/>
              </w:rPr>
              <w:t>Time Point</w:t>
            </w:r>
          </w:p>
        </w:tc>
        <w:tc>
          <w:tcPr>
            <w:tcW w:w="1803" w:type="dxa"/>
            <w:tcBorders>
              <w:top w:val="single" w:sz="12" w:space="0" w:color="auto"/>
              <w:bottom w:val="single" w:sz="12" w:space="0" w:color="auto"/>
            </w:tcBorders>
            <w:vAlign w:val="center"/>
          </w:tcPr>
          <w:p w14:paraId="61C6AB3C" w14:textId="77777777" w:rsidR="008E2CD7" w:rsidRPr="0095118E" w:rsidRDefault="008E2CD7" w:rsidP="005D539A">
            <w:pPr>
              <w:spacing w:line="480" w:lineRule="auto"/>
              <w:rPr>
                <w:rFonts w:asciiTheme="majorBidi" w:hAnsiTheme="majorBidi" w:cstheme="majorBidi"/>
                <w:sz w:val="24"/>
                <w:szCs w:val="24"/>
              </w:rPr>
            </w:pPr>
            <w:r w:rsidRPr="0095118E">
              <w:rPr>
                <w:rStyle w:val="Strong"/>
                <w:rFonts w:asciiTheme="majorBidi" w:hAnsiTheme="majorBidi" w:cstheme="majorBidi"/>
              </w:rPr>
              <w:t>β</w:t>
            </w:r>
          </w:p>
        </w:tc>
        <w:tc>
          <w:tcPr>
            <w:tcW w:w="1803" w:type="dxa"/>
            <w:tcBorders>
              <w:top w:val="single" w:sz="12" w:space="0" w:color="auto"/>
              <w:bottom w:val="single" w:sz="12" w:space="0" w:color="auto"/>
            </w:tcBorders>
            <w:vAlign w:val="center"/>
          </w:tcPr>
          <w:p w14:paraId="1DA415A9" w14:textId="77777777" w:rsidR="008E2CD7" w:rsidRPr="0095118E" w:rsidRDefault="008E2CD7" w:rsidP="005D539A">
            <w:pPr>
              <w:spacing w:line="480" w:lineRule="auto"/>
              <w:rPr>
                <w:rFonts w:asciiTheme="majorBidi" w:hAnsiTheme="majorBidi" w:cstheme="majorBidi"/>
                <w:sz w:val="24"/>
                <w:szCs w:val="24"/>
              </w:rPr>
            </w:pPr>
            <w:r w:rsidRPr="0095118E">
              <w:rPr>
                <w:rStyle w:val="Strong"/>
                <w:rFonts w:asciiTheme="majorBidi" w:hAnsiTheme="majorBidi" w:cstheme="majorBidi"/>
              </w:rPr>
              <w:t>SE</w:t>
            </w:r>
          </w:p>
        </w:tc>
        <w:tc>
          <w:tcPr>
            <w:tcW w:w="1804" w:type="dxa"/>
            <w:tcBorders>
              <w:top w:val="single" w:sz="12" w:space="0" w:color="auto"/>
              <w:bottom w:val="single" w:sz="12" w:space="0" w:color="auto"/>
            </w:tcBorders>
            <w:vAlign w:val="center"/>
          </w:tcPr>
          <w:p w14:paraId="3ADFA759" w14:textId="77777777" w:rsidR="008E2CD7" w:rsidRPr="0095118E" w:rsidRDefault="008E2CD7" w:rsidP="005D539A">
            <w:pPr>
              <w:spacing w:line="480" w:lineRule="auto"/>
              <w:rPr>
                <w:rFonts w:asciiTheme="majorBidi" w:hAnsiTheme="majorBidi" w:cstheme="majorBidi"/>
                <w:sz w:val="24"/>
                <w:szCs w:val="24"/>
              </w:rPr>
            </w:pPr>
            <w:r w:rsidRPr="0095118E">
              <w:rPr>
                <w:rStyle w:val="Strong"/>
                <w:rFonts w:asciiTheme="majorBidi" w:hAnsiTheme="majorBidi" w:cstheme="majorBidi"/>
              </w:rPr>
              <w:t>p-value</w:t>
            </w:r>
          </w:p>
        </w:tc>
      </w:tr>
      <w:tr w:rsidR="008E2CD7" w:rsidRPr="0095118E" w14:paraId="4C29093D" w14:textId="77777777" w:rsidTr="005D539A">
        <w:tc>
          <w:tcPr>
            <w:tcW w:w="1803" w:type="dxa"/>
            <w:tcBorders>
              <w:top w:val="single" w:sz="12" w:space="0" w:color="auto"/>
            </w:tcBorders>
          </w:tcPr>
          <w:p w14:paraId="44D318BB" w14:textId="77777777" w:rsidR="008E2CD7" w:rsidRPr="0095118E" w:rsidRDefault="008E2CD7" w:rsidP="005D539A">
            <w:pPr>
              <w:spacing w:line="480" w:lineRule="auto"/>
              <w:rPr>
                <w:rFonts w:asciiTheme="majorBidi" w:hAnsiTheme="majorBidi" w:cstheme="majorBidi"/>
                <w:sz w:val="24"/>
                <w:szCs w:val="24"/>
              </w:rPr>
            </w:pPr>
            <w:r w:rsidRPr="0095118E">
              <w:rPr>
                <w:rFonts w:asciiTheme="majorBidi" w:hAnsiTheme="majorBidi" w:cstheme="majorBidi"/>
              </w:rPr>
              <w:t>Paranoia</w:t>
            </w:r>
          </w:p>
        </w:tc>
        <w:tc>
          <w:tcPr>
            <w:tcW w:w="1803" w:type="dxa"/>
            <w:tcBorders>
              <w:top w:val="single" w:sz="12" w:space="0" w:color="auto"/>
            </w:tcBorders>
          </w:tcPr>
          <w:p w14:paraId="71688989" w14:textId="77777777" w:rsidR="008E2CD7" w:rsidRPr="0095118E" w:rsidRDefault="008E2CD7" w:rsidP="005D539A">
            <w:pPr>
              <w:spacing w:line="480" w:lineRule="auto"/>
              <w:rPr>
                <w:rFonts w:asciiTheme="majorBidi" w:hAnsiTheme="majorBidi" w:cstheme="majorBidi"/>
                <w:sz w:val="24"/>
                <w:szCs w:val="24"/>
              </w:rPr>
            </w:pPr>
            <w:r w:rsidRPr="0095118E">
              <w:rPr>
                <w:rFonts w:asciiTheme="majorBidi" w:hAnsiTheme="majorBidi" w:cstheme="majorBidi"/>
              </w:rPr>
              <w:t>Wave 2</w:t>
            </w:r>
          </w:p>
        </w:tc>
        <w:tc>
          <w:tcPr>
            <w:tcW w:w="1803" w:type="dxa"/>
            <w:tcBorders>
              <w:top w:val="single" w:sz="12" w:space="0" w:color="auto"/>
            </w:tcBorders>
          </w:tcPr>
          <w:p w14:paraId="5271312C" w14:textId="77777777" w:rsidR="008E2CD7" w:rsidRPr="0095118E" w:rsidRDefault="008E2CD7" w:rsidP="005D539A">
            <w:pPr>
              <w:spacing w:line="480" w:lineRule="auto"/>
              <w:rPr>
                <w:rFonts w:asciiTheme="majorBidi" w:hAnsiTheme="majorBidi" w:cstheme="majorBidi"/>
                <w:sz w:val="24"/>
                <w:szCs w:val="24"/>
              </w:rPr>
            </w:pPr>
            <w:r w:rsidRPr="0095118E">
              <w:rPr>
                <w:rFonts w:asciiTheme="majorBidi" w:hAnsiTheme="majorBidi" w:cstheme="majorBidi"/>
              </w:rPr>
              <w:t>0.089</w:t>
            </w:r>
          </w:p>
        </w:tc>
        <w:tc>
          <w:tcPr>
            <w:tcW w:w="1803" w:type="dxa"/>
            <w:tcBorders>
              <w:top w:val="single" w:sz="12" w:space="0" w:color="auto"/>
            </w:tcBorders>
          </w:tcPr>
          <w:p w14:paraId="5B784E1B" w14:textId="77777777" w:rsidR="008E2CD7" w:rsidRPr="0095118E" w:rsidRDefault="008E2CD7" w:rsidP="005D539A">
            <w:pPr>
              <w:spacing w:line="480" w:lineRule="auto"/>
              <w:rPr>
                <w:rFonts w:asciiTheme="majorBidi" w:hAnsiTheme="majorBidi" w:cstheme="majorBidi"/>
                <w:sz w:val="24"/>
                <w:szCs w:val="24"/>
              </w:rPr>
            </w:pPr>
            <w:r w:rsidRPr="0095118E">
              <w:rPr>
                <w:rFonts w:asciiTheme="majorBidi" w:hAnsiTheme="majorBidi" w:cstheme="majorBidi"/>
              </w:rPr>
              <w:t>0.037</w:t>
            </w:r>
          </w:p>
        </w:tc>
        <w:tc>
          <w:tcPr>
            <w:tcW w:w="1804" w:type="dxa"/>
            <w:tcBorders>
              <w:top w:val="single" w:sz="12" w:space="0" w:color="auto"/>
            </w:tcBorders>
          </w:tcPr>
          <w:p w14:paraId="31595BF1" w14:textId="77777777" w:rsidR="008E2CD7" w:rsidRPr="0095118E" w:rsidRDefault="008E2CD7" w:rsidP="005D539A">
            <w:pPr>
              <w:spacing w:line="480" w:lineRule="auto"/>
              <w:rPr>
                <w:rFonts w:asciiTheme="majorBidi" w:hAnsiTheme="majorBidi" w:cstheme="majorBidi"/>
                <w:sz w:val="24"/>
                <w:szCs w:val="24"/>
              </w:rPr>
            </w:pPr>
            <w:r w:rsidRPr="0095118E">
              <w:rPr>
                <w:rFonts w:asciiTheme="majorBidi" w:hAnsiTheme="majorBidi" w:cstheme="majorBidi"/>
              </w:rPr>
              <w:t>&lt; .001</w:t>
            </w:r>
          </w:p>
        </w:tc>
      </w:tr>
      <w:tr w:rsidR="008E2CD7" w:rsidRPr="0095118E" w14:paraId="3B80E62E" w14:textId="77777777" w:rsidTr="005D539A">
        <w:tc>
          <w:tcPr>
            <w:tcW w:w="1803" w:type="dxa"/>
            <w:tcBorders>
              <w:bottom w:val="single" w:sz="12" w:space="0" w:color="auto"/>
            </w:tcBorders>
          </w:tcPr>
          <w:p w14:paraId="5D543716" w14:textId="77777777" w:rsidR="008E2CD7" w:rsidRPr="0095118E" w:rsidRDefault="008E2CD7" w:rsidP="005D539A">
            <w:pPr>
              <w:spacing w:line="480" w:lineRule="auto"/>
              <w:rPr>
                <w:rFonts w:asciiTheme="majorBidi" w:hAnsiTheme="majorBidi" w:cstheme="majorBidi"/>
                <w:sz w:val="24"/>
                <w:szCs w:val="24"/>
              </w:rPr>
            </w:pPr>
            <w:r w:rsidRPr="0095118E">
              <w:rPr>
                <w:rFonts w:asciiTheme="majorBidi" w:hAnsiTheme="majorBidi" w:cstheme="majorBidi"/>
              </w:rPr>
              <w:t>Paranoia</w:t>
            </w:r>
          </w:p>
        </w:tc>
        <w:tc>
          <w:tcPr>
            <w:tcW w:w="1803" w:type="dxa"/>
            <w:tcBorders>
              <w:bottom w:val="single" w:sz="12" w:space="0" w:color="auto"/>
            </w:tcBorders>
          </w:tcPr>
          <w:p w14:paraId="02D21D3D" w14:textId="77777777" w:rsidR="008E2CD7" w:rsidRPr="0095118E" w:rsidRDefault="008E2CD7" w:rsidP="005D539A">
            <w:pPr>
              <w:spacing w:line="480" w:lineRule="auto"/>
              <w:rPr>
                <w:rFonts w:asciiTheme="majorBidi" w:hAnsiTheme="majorBidi" w:cstheme="majorBidi"/>
                <w:sz w:val="24"/>
                <w:szCs w:val="24"/>
              </w:rPr>
            </w:pPr>
            <w:r w:rsidRPr="0095118E">
              <w:rPr>
                <w:rFonts w:asciiTheme="majorBidi" w:hAnsiTheme="majorBidi" w:cstheme="majorBidi"/>
              </w:rPr>
              <w:t>Wave 4</w:t>
            </w:r>
          </w:p>
        </w:tc>
        <w:tc>
          <w:tcPr>
            <w:tcW w:w="1803" w:type="dxa"/>
            <w:tcBorders>
              <w:bottom w:val="single" w:sz="12" w:space="0" w:color="auto"/>
            </w:tcBorders>
          </w:tcPr>
          <w:p w14:paraId="51B86342" w14:textId="77777777" w:rsidR="008E2CD7" w:rsidRPr="0095118E" w:rsidRDefault="008E2CD7" w:rsidP="005D539A">
            <w:pPr>
              <w:spacing w:line="480" w:lineRule="auto"/>
              <w:rPr>
                <w:rFonts w:asciiTheme="majorBidi" w:hAnsiTheme="majorBidi" w:cstheme="majorBidi"/>
                <w:sz w:val="24"/>
                <w:szCs w:val="24"/>
              </w:rPr>
            </w:pPr>
            <w:r w:rsidRPr="0095118E">
              <w:rPr>
                <w:rFonts w:asciiTheme="majorBidi" w:hAnsiTheme="majorBidi" w:cstheme="majorBidi"/>
              </w:rPr>
              <w:t>0.043</w:t>
            </w:r>
          </w:p>
        </w:tc>
        <w:tc>
          <w:tcPr>
            <w:tcW w:w="1803" w:type="dxa"/>
            <w:tcBorders>
              <w:bottom w:val="single" w:sz="12" w:space="0" w:color="auto"/>
            </w:tcBorders>
          </w:tcPr>
          <w:p w14:paraId="29C4BA5D" w14:textId="77777777" w:rsidR="008E2CD7" w:rsidRPr="0095118E" w:rsidRDefault="008E2CD7" w:rsidP="005D539A">
            <w:pPr>
              <w:spacing w:line="480" w:lineRule="auto"/>
              <w:rPr>
                <w:rFonts w:asciiTheme="majorBidi" w:hAnsiTheme="majorBidi" w:cstheme="majorBidi"/>
                <w:sz w:val="24"/>
                <w:szCs w:val="24"/>
              </w:rPr>
            </w:pPr>
            <w:r w:rsidRPr="0095118E">
              <w:rPr>
                <w:rFonts w:asciiTheme="majorBidi" w:hAnsiTheme="majorBidi" w:cstheme="majorBidi"/>
              </w:rPr>
              <w:t>0.034</w:t>
            </w:r>
          </w:p>
        </w:tc>
        <w:tc>
          <w:tcPr>
            <w:tcW w:w="1804" w:type="dxa"/>
            <w:tcBorders>
              <w:bottom w:val="single" w:sz="12" w:space="0" w:color="auto"/>
            </w:tcBorders>
          </w:tcPr>
          <w:p w14:paraId="7B2E5507" w14:textId="77777777" w:rsidR="008E2CD7" w:rsidRPr="0095118E" w:rsidRDefault="008E2CD7" w:rsidP="005D539A">
            <w:pPr>
              <w:spacing w:line="480" w:lineRule="auto"/>
              <w:rPr>
                <w:rFonts w:asciiTheme="majorBidi" w:hAnsiTheme="majorBidi" w:cstheme="majorBidi"/>
                <w:sz w:val="24"/>
                <w:szCs w:val="24"/>
              </w:rPr>
            </w:pPr>
            <w:r w:rsidRPr="0095118E">
              <w:rPr>
                <w:rFonts w:asciiTheme="majorBidi" w:hAnsiTheme="majorBidi" w:cstheme="majorBidi"/>
              </w:rPr>
              <w:t>.046</w:t>
            </w:r>
          </w:p>
        </w:tc>
      </w:tr>
    </w:tbl>
    <w:p w14:paraId="5B0B3745" w14:textId="77777777" w:rsidR="008E2CD7" w:rsidRPr="0095118E" w:rsidRDefault="008E2CD7" w:rsidP="008E2CD7">
      <w:pPr>
        <w:spacing w:line="480" w:lineRule="auto"/>
        <w:rPr>
          <w:rFonts w:asciiTheme="majorBidi" w:hAnsiTheme="majorBidi" w:cstheme="majorBidi"/>
          <w:sz w:val="24"/>
          <w:szCs w:val="24"/>
        </w:rPr>
      </w:pPr>
    </w:p>
    <w:p w14:paraId="5854339F" w14:textId="77777777" w:rsidR="008E2CD7" w:rsidRPr="0095118E" w:rsidRDefault="008E2CD7" w:rsidP="008E2CD7">
      <w:pPr>
        <w:spacing w:line="480" w:lineRule="auto"/>
        <w:ind w:firstLine="720"/>
        <w:rPr>
          <w:rFonts w:asciiTheme="majorBidi" w:hAnsiTheme="majorBidi" w:cstheme="majorBidi"/>
          <w:sz w:val="24"/>
          <w:szCs w:val="24"/>
        </w:rPr>
      </w:pPr>
      <w:bookmarkStart w:id="9" w:name="_Hlk172916231"/>
      <w:bookmarkEnd w:id="8"/>
      <w:r w:rsidRPr="0095118E">
        <w:rPr>
          <w:rFonts w:asciiTheme="majorBidi" w:hAnsiTheme="majorBidi" w:cstheme="majorBidi"/>
          <w:sz w:val="24"/>
          <w:szCs w:val="24"/>
        </w:rPr>
        <w:t xml:space="preserve">The results of the Wald tests, together with semi-partial correlations between IU and three psychopathology measures are shown in Table </w:t>
      </w:r>
      <w:r w:rsidRPr="0095118E">
        <w:rPr>
          <w:rFonts w:asciiTheme="majorBidi" w:hAnsiTheme="majorBidi" w:cstheme="majorBidi" w:hint="eastAsia"/>
          <w:sz w:val="24"/>
          <w:szCs w:val="24"/>
        </w:rPr>
        <w:t>5</w:t>
      </w:r>
      <w:r w:rsidRPr="0095118E">
        <w:rPr>
          <w:rFonts w:asciiTheme="majorBidi" w:hAnsiTheme="majorBidi" w:cstheme="majorBidi"/>
          <w:sz w:val="24"/>
          <w:szCs w:val="24"/>
        </w:rPr>
        <w:t>. Note that a semi-partial correlation of less than .09 should be considered trivial (Cohen</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1992). The Wald tests show no significant differences between the associations for paranoia and depression at any time point. However, at wave 1, IU was more strongly associated with paranoia than with anxiety, a pattern that was also observed at wave 4 but not at wave 2. Similarly, IU was more strongly associated with depression than with anxiety at waves 1 and 4, but no significant differences were found at wave 2. These patterns align with the findings from the semi-partial correlation analysis, which demonstrated that IU was consistently associated with paranoia at all waves, with the strongest association occurring at wave 1, followed by a gradual decrease at waves 2 and 4. In contrast, IU had only a trivial association with depression at waves 1 and 2, but a small yet nontrivial association emerged at wave 4. For anxiety, IU showed a weak association at waves 1 and 2, but this effect was no longer evident at wave 4.</w:t>
      </w:r>
    </w:p>
    <w:p w14:paraId="314D47A2" w14:textId="77777777" w:rsidR="008E2CD7" w:rsidRPr="0095118E" w:rsidRDefault="008E2CD7" w:rsidP="008E2CD7">
      <w:pPr>
        <w:spacing w:line="480" w:lineRule="auto"/>
        <w:rPr>
          <w:rFonts w:asciiTheme="majorBidi" w:hAnsiTheme="majorBidi" w:cstheme="majorBidi"/>
          <w:b/>
          <w:bCs/>
          <w:sz w:val="24"/>
          <w:szCs w:val="24"/>
        </w:rPr>
      </w:pPr>
    </w:p>
    <w:p w14:paraId="7CC1E8C4" w14:textId="77777777" w:rsidR="008E2CD7" w:rsidRPr="0095118E" w:rsidRDefault="008E2CD7" w:rsidP="008E2CD7">
      <w:pPr>
        <w:rPr>
          <w:rFonts w:asciiTheme="majorBidi" w:hAnsiTheme="majorBidi" w:cstheme="majorBidi"/>
          <w:b/>
          <w:bCs/>
          <w:sz w:val="24"/>
          <w:szCs w:val="24"/>
        </w:rPr>
      </w:pPr>
      <w:r w:rsidRPr="0095118E">
        <w:rPr>
          <w:rFonts w:asciiTheme="majorBidi" w:hAnsiTheme="majorBidi" w:cstheme="majorBidi"/>
          <w:b/>
          <w:bCs/>
          <w:sz w:val="24"/>
          <w:szCs w:val="24"/>
        </w:rPr>
        <w:t xml:space="preserve">Table </w:t>
      </w:r>
      <w:r w:rsidRPr="0095118E">
        <w:rPr>
          <w:rFonts w:asciiTheme="majorBidi" w:hAnsiTheme="majorBidi" w:cstheme="majorBidi" w:hint="eastAsia"/>
          <w:b/>
          <w:bCs/>
          <w:sz w:val="24"/>
          <w:szCs w:val="24"/>
        </w:rPr>
        <w:t>5</w:t>
      </w:r>
      <w:r w:rsidRPr="0095118E">
        <w:rPr>
          <w:rFonts w:asciiTheme="majorBidi" w:hAnsiTheme="majorBidi" w:cstheme="majorBidi" w:hint="eastAsia"/>
          <w:b/>
          <w:bCs/>
          <w:sz w:val="24"/>
          <w:szCs w:val="24"/>
        </w:rPr>
        <w:t>：</w:t>
      </w:r>
      <w:r w:rsidRPr="0095118E">
        <w:rPr>
          <w:rFonts w:asciiTheme="majorBidi" w:hAnsiTheme="majorBidi" w:cstheme="majorBidi"/>
          <w:sz w:val="24"/>
          <w:szCs w:val="24"/>
        </w:rPr>
        <w:t>Wald test results</w:t>
      </w:r>
    </w:p>
    <w:tbl>
      <w:tblPr>
        <w:tblStyle w:val="a"/>
        <w:tblW w:w="0" w:type="auto"/>
        <w:tblLook w:val="04A0" w:firstRow="1" w:lastRow="0" w:firstColumn="1" w:lastColumn="0" w:noHBand="0" w:noVBand="1"/>
      </w:tblPr>
      <w:tblGrid>
        <w:gridCol w:w="1724"/>
        <w:gridCol w:w="1720"/>
        <w:gridCol w:w="1524"/>
        <w:gridCol w:w="1568"/>
        <w:gridCol w:w="1284"/>
        <w:gridCol w:w="1206"/>
      </w:tblGrid>
      <w:tr w:rsidR="008E2CD7" w:rsidRPr="0095118E" w14:paraId="7EAFAD3C" w14:textId="77777777" w:rsidTr="005D539A">
        <w:trPr>
          <w:cnfStyle w:val="100000000000" w:firstRow="1" w:lastRow="0" w:firstColumn="0" w:lastColumn="0" w:oddVBand="0" w:evenVBand="0" w:oddHBand="0" w:evenHBand="0" w:firstRowFirstColumn="0" w:firstRowLastColumn="0" w:lastRowFirstColumn="0" w:lastRowLastColumn="0"/>
          <w:trHeight w:val="264"/>
        </w:trPr>
        <w:tc>
          <w:tcPr>
            <w:tcW w:w="1724" w:type="dxa"/>
            <w:tcBorders>
              <w:bottom w:val="nil"/>
            </w:tcBorders>
          </w:tcPr>
          <w:bookmarkEnd w:id="9"/>
          <w:p w14:paraId="360B9C04" w14:textId="77777777" w:rsidR="008E2CD7" w:rsidRPr="0095118E" w:rsidRDefault="008E2CD7" w:rsidP="005D539A">
            <w:pPr>
              <w:jc w:val="center"/>
            </w:pPr>
            <w:r w:rsidRPr="0095118E">
              <w:rPr>
                <w:rFonts w:hint="eastAsia"/>
              </w:rPr>
              <w:t>Timepoints</w:t>
            </w:r>
          </w:p>
        </w:tc>
        <w:tc>
          <w:tcPr>
            <w:tcW w:w="1720" w:type="dxa"/>
            <w:tcBorders>
              <w:bottom w:val="nil"/>
            </w:tcBorders>
          </w:tcPr>
          <w:p w14:paraId="766D262F" w14:textId="77777777" w:rsidR="008E2CD7" w:rsidRPr="0095118E" w:rsidRDefault="008E2CD7" w:rsidP="005D539A">
            <w:pPr>
              <w:jc w:val="center"/>
            </w:pPr>
            <w:r w:rsidRPr="0095118E">
              <w:rPr>
                <w:rFonts w:hint="eastAsia"/>
              </w:rPr>
              <w:t>Variables</w:t>
            </w:r>
          </w:p>
        </w:tc>
        <w:tc>
          <w:tcPr>
            <w:tcW w:w="1524" w:type="dxa"/>
          </w:tcPr>
          <w:p w14:paraId="545EC605" w14:textId="77777777" w:rsidR="008E2CD7" w:rsidRPr="0095118E" w:rsidRDefault="008E2CD7" w:rsidP="005D539A">
            <w:pPr>
              <w:jc w:val="center"/>
            </w:pPr>
            <w:r w:rsidRPr="0095118E">
              <w:rPr>
                <w:rFonts w:hint="eastAsia"/>
              </w:rPr>
              <w:t>IU (sr)</w:t>
            </w:r>
          </w:p>
        </w:tc>
        <w:tc>
          <w:tcPr>
            <w:tcW w:w="1568" w:type="dxa"/>
          </w:tcPr>
          <w:p w14:paraId="52DF8BDA" w14:textId="77777777" w:rsidR="008E2CD7" w:rsidRPr="0095118E" w:rsidRDefault="008E2CD7" w:rsidP="005D539A">
            <w:pPr>
              <w:jc w:val="center"/>
            </w:pPr>
            <w:r w:rsidRPr="0095118E">
              <w:rPr>
                <w:rFonts w:hint="eastAsia"/>
              </w:rPr>
              <w:t xml:space="preserve">Wald test: IU </w:t>
            </w:r>
            <w:r w:rsidRPr="0095118E">
              <w:rPr>
                <w:rFonts w:hint="eastAsia"/>
              </w:rPr>
              <w:t>→</w:t>
            </w:r>
            <w:r w:rsidRPr="0095118E">
              <w:rPr>
                <w:rFonts w:hint="eastAsia"/>
              </w:rPr>
              <w:t xml:space="preserve"> Paranoia vs. IU </w:t>
            </w:r>
            <w:r w:rsidRPr="0095118E">
              <w:rPr>
                <w:rFonts w:hint="eastAsia"/>
              </w:rPr>
              <w:t>→</w:t>
            </w:r>
            <w:r w:rsidRPr="0095118E">
              <w:rPr>
                <w:rFonts w:hint="eastAsia"/>
              </w:rPr>
              <w:t>Depression</w:t>
            </w:r>
          </w:p>
        </w:tc>
        <w:tc>
          <w:tcPr>
            <w:tcW w:w="1284" w:type="dxa"/>
          </w:tcPr>
          <w:p w14:paraId="65050275" w14:textId="77777777" w:rsidR="008E2CD7" w:rsidRPr="0095118E" w:rsidRDefault="008E2CD7" w:rsidP="005D539A">
            <w:pPr>
              <w:jc w:val="center"/>
            </w:pPr>
            <w:r w:rsidRPr="0095118E">
              <w:t xml:space="preserve">Wald test: IU → Paranoia vs. </w:t>
            </w:r>
            <w:r w:rsidRPr="0095118E">
              <w:rPr>
                <w:rFonts w:hint="eastAsia"/>
              </w:rPr>
              <w:t xml:space="preserve">IU </w:t>
            </w:r>
            <w:r w:rsidRPr="0095118E">
              <w:rPr>
                <w:rFonts w:hint="eastAsia"/>
              </w:rPr>
              <w:t>→</w:t>
            </w:r>
            <w:r w:rsidRPr="0095118E">
              <w:t>Anxiety</w:t>
            </w:r>
          </w:p>
        </w:tc>
        <w:tc>
          <w:tcPr>
            <w:tcW w:w="1206" w:type="dxa"/>
          </w:tcPr>
          <w:p w14:paraId="0C3C41A9" w14:textId="77777777" w:rsidR="008E2CD7" w:rsidRPr="0095118E" w:rsidRDefault="008E2CD7" w:rsidP="005D539A">
            <w:pPr>
              <w:jc w:val="center"/>
            </w:pPr>
            <w:r w:rsidRPr="0095118E">
              <w:t>Wald test: IU → Depression vs.</w:t>
            </w:r>
            <w:r w:rsidRPr="0095118E">
              <w:rPr>
                <w:rFonts w:hint="eastAsia"/>
              </w:rPr>
              <w:t xml:space="preserve"> IU </w:t>
            </w:r>
            <w:r w:rsidRPr="0095118E">
              <w:rPr>
                <w:rFonts w:hint="eastAsia"/>
              </w:rPr>
              <w:t>→</w:t>
            </w:r>
            <w:r w:rsidRPr="0095118E">
              <w:t xml:space="preserve"> Anxiety</w:t>
            </w:r>
          </w:p>
        </w:tc>
      </w:tr>
      <w:tr w:rsidR="008E2CD7" w:rsidRPr="0095118E" w14:paraId="0E10C267" w14:textId="77777777" w:rsidTr="005D539A">
        <w:trPr>
          <w:trHeight w:val="264"/>
        </w:trPr>
        <w:tc>
          <w:tcPr>
            <w:tcW w:w="1724" w:type="dxa"/>
            <w:vMerge w:val="restart"/>
            <w:tcBorders>
              <w:top w:val="single" w:sz="6" w:space="0" w:color="auto"/>
            </w:tcBorders>
          </w:tcPr>
          <w:p w14:paraId="3495C385" w14:textId="77777777" w:rsidR="008E2CD7" w:rsidRPr="0095118E" w:rsidRDefault="008E2CD7" w:rsidP="005D539A">
            <w:pPr>
              <w:jc w:val="center"/>
            </w:pPr>
            <w:r w:rsidRPr="0095118E">
              <w:rPr>
                <w:rFonts w:hint="eastAsia"/>
              </w:rPr>
              <w:t>W1</w:t>
            </w:r>
          </w:p>
        </w:tc>
        <w:tc>
          <w:tcPr>
            <w:tcW w:w="1720" w:type="dxa"/>
            <w:tcBorders>
              <w:top w:val="single" w:sz="6" w:space="0" w:color="auto"/>
            </w:tcBorders>
          </w:tcPr>
          <w:p w14:paraId="707A8E5E" w14:textId="77777777" w:rsidR="008E2CD7" w:rsidRPr="0095118E" w:rsidRDefault="008E2CD7" w:rsidP="005D539A">
            <w:pPr>
              <w:jc w:val="center"/>
            </w:pPr>
            <w:r w:rsidRPr="0095118E">
              <w:t>P</w:t>
            </w:r>
            <w:r w:rsidRPr="0095118E">
              <w:rPr>
                <w:rFonts w:hint="eastAsia"/>
              </w:rPr>
              <w:t>aranoia</w:t>
            </w:r>
          </w:p>
        </w:tc>
        <w:tc>
          <w:tcPr>
            <w:tcW w:w="1524" w:type="dxa"/>
            <w:tcBorders>
              <w:top w:val="single" w:sz="6" w:space="0" w:color="auto"/>
            </w:tcBorders>
          </w:tcPr>
          <w:p w14:paraId="28B4B02D" w14:textId="77777777" w:rsidR="008E2CD7" w:rsidRPr="0095118E" w:rsidRDefault="008E2CD7" w:rsidP="005D539A">
            <w:pPr>
              <w:jc w:val="center"/>
            </w:pPr>
            <w:r w:rsidRPr="0095118E">
              <w:t>.292***</w:t>
            </w:r>
          </w:p>
        </w:tc>
        <w:tc>
          <w:tcPr>
            <w:tcW w:w="1568" w:type="dxa"/>
            <w:tcBorders>
              <w:top w:val="single" w:sz="6" w:space="0" w:color="auto"/>
            </w:tcBorders>
          </w:tcPr>
          <w:p w14:paraId="36D763EC" w14:textId="77777777" w:rsidR="008E2CD7" w:rsidRPr="0095118E" w:rsidRDefault="008E2CD7" w:rsidP="005D539A">
            <w:pPr>
              <w:jc w:val="center"/>
            </w:pPr>
          </w:p>
        </w:tc>
        <w:tc>
          <w:tcPr>
            <w:tcW w:w="1284" w:type="dxa"/>
            <w:tcBorders>
              <w:top w:val="single" w:sz="6" w:space="0" w:color="auto"/>
            </w:tcBorders>
          </w:tcPr>
          <w:p w14:paraId="002129B5" w14:textId="77777777" w:rsidR="008E2CD7" w:rsidRPr="0095118E" w:rsidRDefault="008E2CD7" w:rsidP="005D539A">
            <w:pPr>
              <w:jc w:val="center"/>
            </w:pPr>
          </w:p>
        </w:tc>
        <w:tc>
          <w:tcPr>
            <w:tcW w:w="1206" w:type="dxa"/>
            <w:tcBorders>
              <w:top w:val="single" w:sz="6" w:space="0" w:color="auto"/>
            </w:tcBorders>
          </w:tcPr>
          <w:p w14:paraId="1349B77C" w14:textId="77777777" w:rsidR="008E2CD7" w:rsidRPr="0095118E" w:rsidRDefault="008E2CD7" w:rsidP="005D539A">
            <w:pPr>
              <w:jc w:val="center"/>
              <w:rPr>
                <w:rFonts w:cstheme="majorBidi"/>
              </w:rPr>
            </w:pPr>
          </w:p>
        </w:tc>
      </w:tr>
      <w:tr w:rsidR="008E2CD7" w:rsidRPr="0095118E" w14:paraId="732E9302" w14:textId="77777777" w:rsidTr="005D539A">
        <w:trPr>
          <w:trHeight w:val="149"/>
        </w:trPr>
        <w:tc>
          <w:tcPr>
            <w:tcW w:w="1724" w:type="dxa"/>
            <w:vMerge/>
          </w:tcPr>
          <w:p w14:paraId="33FEADA9" w14:textId="77777777" w:rsidR="008E2CD7" w:rsidRPr="0095118E" w:rsidRDefault="008E2CD7" w:rsidP="005D539A">
            <w:pPr>
              <w:jc w:val="center"/>
            </w:pPr>
          </w:p>
        </w:tc>
        <w:tc>
          <w:tcPr>
            <w:tcW w:w="1720" w:type="dxa"/>
          </w:tcPr>
          <w:p w14:paraId="4C58F9ED" w14:textId="77777777" w:rsidR="008E2CD7" w:rsidRPr="0095118E" w:rsidRDefault="008E2CD7" w:rsidP="005D539A">
            <w:pPr>
              <w:jc w:val="center"/>
            </w:pPr>
            <w:r w:rsidRPr="0095118E">
              <w:t>D</w:t>
            </w:r>
            <w:r w:rsidRPr="0095118E">
              <w:rPr>
                <w:rFonts w:hint="eastAsia"/>
              </w:rPr>
              <w:t>epression</w:t>
            </w:r>
          </w:p>
        </w:tc>
        <w:tc>
          <w:tcPr>
            <w:tcW w:w="1524" w:type="dxa"/>
          </w:tcPr>
          <w:p w14:paraId="0C78DABC" w14:textId="77777777" w:rsidR="008E2CD7" w:rsidRPr="0095118E" w:rsidRDefault="008E2CD7" w:rsidP="005D539A">
            <w:pPr>
              <w:jc w:val="center"/>
            </w:pPr>
            <w:r w:rsidRPr="0095118E">
              <w:t>-.013</w:t>
            </w:r>
          </w:p>
        </w:tc>
        <w:tc>
          <w:tcPr>
            <w:tcW w:w="1568" w:type="dxa"/>
          </w:tcPr>
          <w:p w14:paraId="136C056A" w14:textId="77777777" w:rsidR="008E2CD7" w:rsidRPr="0095118E" w:rsidRDefault="008E2CD7" w:rsidP="005D539A">
            <w:pPr>
              <w:jc w:val="center"/>
            </w:pPr>
            <w:r w:rsidRPr="0095118E">
              <w:t>.458</w:t>
            </w:r>
          </w:p>
        </w:tc>
        <w:tc>
          <w:tcPr>
            <w:tcW w:w="1284" w:type="dxa"/>
          </w:tcPr>
          <w:p w14:paraId="32185FF1" w14:textId="77777777" w:rsidR="008E2CD7" w:rsidRPr="0095118E" w:rsidRDefault="008E2CD7" w:rsidP="005D539A">
            <w:pPr>
              <w:jc w:val="center"/>
            </w:pPr>
            <w:r w:rsidRPr="0095118E">
              <w:rPr>
                <w:rFonts w:cstheme="majorBidi"/>
              </w:rPr>
              <w:t>7.42**</w:t>
            </w:r>
          </w:p>
        </w:tc>
        <w:tc>
          <w:tcPr>
            <w:tcW w:w="1206" w:type="dxa"/>
          </w:tcPr>
          <w:p w14:paraId="6C256F5F" w14:textId="77777777" w:rsidR="008E2CD7" w:rsidRPr="0095118E" w:rsidRDefault="008E2CD7" w:rsidP="005D539A">
            <w:pPr>
              <w:jc w:val="center"/>
            </w:pPr>
            <w:r w:rsidRPr="0095118E">
              <w:rPr>
                <w:rFonts w:cstheme="majorBidi"/>
              </w:rPr>
              <w:t>9.33**</w:t>
            </w:r>
          </w:p>
        </w:tc>
      </w:tr>
      <w:tr w:rsidR="008E2CD7" w:rsidRPr="0095118E" w14:paraId="2EE334CA" w14:textId="77777777" w:rsidTr="005D539A">
        <w:trPr>
          <w:trHeight w:val="149"/>
        </w:trPr>
        <w:tc>
          <w:tcPr>
            <w:tcW w:w="1724" w:type="dxa"/>
            <w:vMerge/>
          </w:tcPr>
          <w:p w14:paraId="5CCAAB89" w14:textId="77777777" w:rsidR="008E2CD7" w:rsidRPr="0095118E" w:rsidRDefault="008E2CD7" w:rsidP="005D539A">
            <w:pPr>
              <w:jc w:val="center"/>
            </w:pPr>
          </w:p>
        </w:tc>
        <w:tc>
          <w:tcPr>
            <w:tcW w:w="1720" w:type="dxa"/>
          </w:tcPr>
          <w:p w14:paraId="662391B1" w14:textId="77777777" w:rsidR="008E2CD7" w:rsidRPr="0095118E" w:rsidRDefault="008E2CD7" w:rsidP="005D539A">
            <w:pPr>
              <w:jc w:val="center"/>
            </w:pPr>
            <w:r w:rsidRPr="0095118E">
              <w:rPr>
                <w:rFonts w:hint="eastAsia"/>
              </w:rPr>
              <w:t>Anxiety</w:t>
            </w:r>
          </w:p>
          <w:p w14:paraId="7D9914DB" w14:textId="77777777" w:rsidR="008E2CD7" w:rsidRPr="0095118E" w:rsidRDefault="008E2CD7" w:rsidP="005D539A">
            <w:pPr>
              <w:jc w:val="center"/>
            </w:pPr>
          </w:p>
        </w:tc>
        <w:tc>
          <w:tcPr>
            <w:tcW w:w="1524" w:type="dxa"/>
          </w:tcPr>
          <w:p w14:paraId="74C2026D" w14:textId="77777777" w:rsidR="008E2CD7" w:rsidRPr="0095118E" w:rsidRDefault="008E2CD7" w:rsidP="005D539A">
            <w:pPr>
              <w:jc w:val="center"/>
            </w:pPr>
            <w:r w:rsidRPr="0095118E">
              <w:t>.069**</w:t>
            </w:r>
          </w:p>
        </w:tc>
        <w:tc>
          <w:tcPr>
            <w:tcW w:w="1568" w:type="dxa"/>
          </w:tcPr>
          <w:p w14:paraId="51E40CF4" w14:textId="77777777" w:rsidR="008E2CD7" w:rsidRPr="0095118E" w:rsidRDefault="008E2CD7" w:rsidP="005D539A">
            <w:pPr>
              <w:jc w:val="center"/>
            </w:pPr>
          </w:p>
        </w:tc>
        <w:tc>
          <w:tcPr>
            <w:tcW w:w="1284" w:type="dxa"/>
          </w:tcPr>
          <w:p w14:paraId="34D1C223" w14:textId="77777777" w:rsidR="008E2CD7" w:rsidRPr="0095118E" w:rsidRDefault="008E2CD7" w:rsidP="005D539A">
            <w:pPr>
              <w:jc w:val="center"/>
            </w:pPr>
          </w:p>
        </w:tc>
        <w:tc>
          <w:tcPr>
            <w:tcW w:w="1206" w:type="dxa"/>
          </w:tcPr>
          <w:p w14:paraId="6E1175DB" w14:textId="77777777" w:rsidR="008E2CD7" w:rsidRPr="0095118E" w:rsidRDefault="008E2CD7" w:rsidP="005D539A"/>
        </w:tc>
      </w:tr>
      <w:tr w:rsidR="008E2CD7" w:rsidRPr="0095118E" w14:paraId="2836B351" w14:textId="77777777" w:rsidTr="005D539A">
        <w:trPr>
          <w:trHeight w:val="264"/>
        </w:trPr>
        <w:tc>
          <w:tcPr>
            <w:tcW w:w="1724" w:type="dxa"/>
            <w:vMerge w:val="restart"/>
          </w:tcPr>
          <w:p w14:paraId="5D6D0851" w14:textId="77777777" w:rsidR="008E2CD7" w:rsidRPr="0095118E" w:rsidRDefault="008E2CD7" w:rsidP="005D539A">
            <w:pPr>
              <w:jc w:val="center"/>
            </w:pPr>
            <w:r w:rsidRPr="0095118E">
              <w:rPr>
                <w:rFonts w:hint="eastAsia"/>
              </w:rPr>
              <w:t>W2</w:t>
            </w:r>
          </w:p>
        </w:tc>
        <w:tc>
          <w:tcPr>
            <w:tcW w:w="1720" w:type="dxa"/>
          </w:tcPr>
          <w:p w14:paraId="3AE4EA96" w14:textId="77777777" w:rsidR="008E2CD7" w:rsidRPr="0095118E" w:rsidRDefault="008E2CD7" w:rsidP="005D539A">
            <w:pPr>
              <w:jc w:val="center"/>
            </w:pPr>
            <w:r w:rsidRPr="0095118E">
              <w:t>P</w:t>
            </w:r>
            <w:r w:rsidRPr="0095118E">
              <w:rPr>
                <w:rFonts w:hint="eastAsia"/>
              </w:rPr>
              <w:t>aranoia</w:t>
            </w:r>
          </w:p>
        </w:tc>
        <w:tc>
          <w:tcPr>
            <w:tcW w:w="1524" w:type="dxa"/>
          </w:tcPr>
          <w:p w14:paraId="7B084A31" w14:textId="77777777" w:rsidR="008E2CD7" w:rsidRPr="0095118E" w:rsidRDefault="008E2CD7" w:rsidP="005D539A">
            <w:pPr>
              <w:jc w:val="center"/>
            </w:pPr>
            <w:r w:rsidRPr="0095118E">
              <w:t>.218***</w:t>
            </w:r>
          </w:p>
        </w:tc>
        <w:tc>
          <w:tcPr>
            <w:tcW w:w="1568" w:type="dxa"/>
          </w:tcPr>
          <w:p w14:paraId="08132181" w14:textId="77777777" w:rsidR="008E2CD7" w:rsidRPr="0095118E" w:rsidRDefault="008E2CD7" w:rsidP="005D539A">
            <w:pPr>
              <w:jc w:val="center"/>
            </w:pPr>
          </w:p>
        </w:tc>
        <w:tc>
          <w:tcPr>
            <w:tcW w:w="1284" w:type="dxa"/>
          </w:tcPr>
          <w:p w14:paraId="60F91453" w14:textId="77777777" w:rsidR="008E2CD7" w:rsidRPr="0095118E" w:rsidRDefault="008E2CD7" w:rsidP="005D539A">
            <w:pPr>
              <w:jc w:val="center"/>
            </w:pPr>
          </w:p>
        </w:tc>
        <w:tc>
          <w:tcPr>
            <w:tcW w:w="1206" w:type="dxa"/>
          </w:tcPr>
          <w:p w14:paraId="4E8D9269" w14:textId="77777777" w:rsidR="008E2CD7" w:rsidRPr="0095118E" w:rsidRDefault="008E2CD7" w:rsidP="005D539A">
            <w:pPr>
              <w:jc w:val="center"/>
              <w:rPr>
                <w:rFonts w:cstheme="majorBidi"/>
              </w:rPr>
            </w:pPr>
          </w:p>
        </w:tc>
      </w:tr>
      <w:tr w:rsidR="008E2CD7" w:rsidRPr="0095118E" w14:paraId="0196573E" w14:textId="77777777" w:rsidTr="005D539A">
        <w:trPr>
          <w:trHeight w:val="149"/>
        </w:trPr>
        <w:tc>
          <w:tcPr>
            <w:tcW w:w="1724" w:type="dxa"/>
            <w:vMerge/>
          </w:tcPr>
          <w:p w14:paraId="5589F6DA" w14:textId="77777777" w:rsidR="008E2CD7" w:rsidRPr="0095118E" w:rsidRDefault="008E2CD7" w:rsidP="005D539A">
            <w:pPr>
              <w:jc w:val="center"/>
            </w:pPr>
          </w:p>
        </w:tc>
        <w:tc>
          <w:tcPr>
            <w:tcW w:w="1720" w:type="dxa"/>
          </w:tcPr>
          <w:p w14:paraId="28CFED87" w14:textId="77777777" w:rsidR="008E2CD7" w:rsidRPr="0095118E" w:rsidRDefault="008E2CD7" w:rsidP="005D539A">
            <w:pPr>
              <w:jc w:val="center"/>
            </w:pPr>
            <w:r w:rsidRPr="0095118E">
              <w:t>D</w:t>
            </w:r>
            <w:r w:rsidRPr="0095118E">
              <w:rPr>
                <w:rFonts w:hint="eastAsia"/>
              </w:rPr>
              <w:t>epression</w:t>
            </w:r>
          </w:p>
        </w:tc>
        <w:tc>
          <w:tcPr>
            <w:tcW w:w="1524" w:type="dxa"/>
          </w:tcPr>
          <w:p w14:paraId="4BD80FD6" w14:textId="77777777" w:rsidR="008E2CD7" w:rsidRPr="0095118E" w:rsidRDefault="008E2CD7" w:rsidP="005D539A">
            <w:pPr>
              <w:jc w:val="center"/>
            </w:pPr>
            <w:r w:rsidRPr="0095118E">
              <w:t>-.014</w:t>
            </w:r>
          </w:p>
        </w:tc>
        <w:tc>
          <w:tcPr>
            <w:tcW w:w="1568" w:type="dxa"/>
          </w:tcPr>
          <w:p w14:paraId="3AE45CA2" w14:textId="77777777" w:rsidR="008E2CD7" w:rsidRPr="0095118E" w:rsidRDefault="008E2CD7" w:rsidP="005D539A">
            <w:pPr>
              <w:jc w:val="center"/>
            </w:pPr>
            <w:r w:rsidRPr="0095118E">
              <w:rPr>
                <w:rFonts w:cstheme="majorBidi"/>
              </w:rPr>
              <w:t>.458</w:t>
            </w:r>
          </w:p>
        </w:tc>
        <w:tc>
          <w:tcPr>
            <w:tcW w:w="1284" w:type="dxa"/>
          </w:tcPr>
          <w:p w14:paraId="65C28F29" w14:textId="77777777" w:rsidR="008E2CD7" w:rsidRPr="0095118E" w:rsidRDefault="008E2CD7" w:rsidP="005D539A">
            <w:pPr>
              <w:jc w:val="center"/>
            </w:pPr>
            <w:r w:rsidRPr="0095118E">
              <w:rPr>
                <w:rFonts w:cstheme="majorBidi"/>
              </w:rPr>
              <w:t>.030</w:t>
            </w:r>
          </w:p>
        </w:tc>
        <w:tc>
          <w:tcPr>
            <w:tcW w:w="1206" w:type="dxa"/>
          </w:tcPr>
          <w:p w14:paraId="73FB0FB4" w14:textId="77777777" w:rsidR="008E2CD7" w:rsidRPr="0095118E" w:rsidRDefault="008E2CD7" w:rsidP="005D539A">
            <w:pPr>
              <w:jc w:val="center"/>
            </w:pPr>
            <w:r w:rsidRPr="0095118E">
              <w:rPr>
                <w:rFonts w:cstheme="majorBidi"/>
              </w:rPr>
              <w:t>2.01</w:t>
            </w:r>
          </w:p>
        </w:tc>
      </w:tr>
      <w:tr w:rsidR="008E2CD7" w:rsidRPr="0095118E" w14:paraId="06551514" w14:textId="77777777" w:rsidTr="005D539A">
        <w:trPr>
          <w:trHeight w:val="149"/>
        </w:trPr>
        <w:tc>
          <w:tcPr>
            <w:tcW w:w="1724" w:type="dxa"/>
            <w:vMerge/>
          </w:tcPr>
          <w:p w14:paraId="7F9D99E5" w14:textId="77777777" w:rsidR="008E2CD7" w:rsidRPr="0095118E" w:rsidRDefault="008E2CD7" w:rsidP="005D539A">
            <w:pPr>
              <w:jc w:val="center"/>
            </w:pPr>
          </w:p>
        </w:tc>
        <w:tc>
          <w:tcPr>
            <w:tcW w:w="1720" w:type="dxa"/>
          </w:tcPr>
          <w:p w14:paraId="5C25E51F" w14:textId="77777777" w:rsidR="008E2CD7" w:rsidRPr="0095118E" w:rsidRDefault="008E2CD7" w:rsidP="005D539A">
            <w:pPr>
              <w:jc w:val="center"/>
            </w:pPr>
            <w:r w:rsidRPr="0095118E">
              <w:rPr>
                <w:rFonts w:hint="eastAsia"/>
              </w:rPr>
              <w:t>Anxiety</w:t>
            </w:r>
          </w:p>
          <w:p w14:paraId="34D3B01A" w14:textId="77777777" w:rsidR="008E2CD7" w:rsidRPr="0095118E" w:rsidRDefault="008E2CD7" w:rsidP="005D539A">
            <w:pPr>
              <w:jc w:val="center"/>
            </w:pPr>
          </w:p>
        </w:tc>
        <w:tc>
          <w:tcPr>
            <w:tcW w:w="1524" w:type="dxa"/>
          </w:tcPr>
          <w:p w14:paraId="3817A71E" w14:textId="77777777" w:rsidR="008E2CD7" w:rsidRPr="0095118E" w:rsidRDefault="008E2CD7" w:rsidP="005D539A">
            <w:pPr>
              <w:jc w:val="center"/>
            </w:pPr>
            <w:r w:rsidRPr="0095118E">
              <w:t>.073**</w:t>
            </w:r>
          </w:p>
        </w:tc>
        <w:tc>
          <w:tcPr>
            <w:tcW w:w="1568" w:type="dxa"/>
          </w:tcPr>
          <w:p w14:paraId="7E730349" w14:textId="77777777" w:rsidR="008E2CD7" w:rsidRPr="0095118E" w:rsidRDefault="008E2CD7" w:rsidP="005D539A">
            <w:pPr>
              <w:jc w:val="center"/>
            </w:pPr>
          </w:p>
        </w:tc>
        <w:tc>
          <w:tcPr>
            <w:tcW w:w="1284" w:type="dxa"/>
          </w:tcPr>
          <w:p w14:paraId="1D51FC1C" w14:textId="77777777" w:rsidR="008E2CD7" w:rsidRPr="0095118E" w:rsidRDefault="008E2CD7" w:rsidP="005D539A">
            <w:pPr>
              <w:jc w:val="center"/>
            </w:pPr>
          </w:p>
        </w:tc>
        <w:tc>
          <w:tcPr>
            <w:tcW w:w="1206" w:type="dxa"/>
          </w:tcPr>
          <w:p w14:paraId="6D4189EC" w14:textId="77777777" w:rsidR="008E2CD7" w:rsidRPr="0095118E" w:rsidRDefault="008E2CD7" w:rsidP="005D539A">
            <w:pPr>
              <w:jc w:val="center"/>
            </w:pPr>
          </w:p>
        </w:tc>
      </w:tr>
      <w:tr w:rsidR="008E2CD7" w:rsidRPr="0095118E" w14:paraId="4489A4A1" w14:textId="77777777" w:rsidTr="005D539A">
        <w:trPr>
          <w:trHeight w:val="264"/>
        </w:trPr>
        <w:tc>
          <w:tcPr>
            <w:tcW w:w="1724" w:type="dxa"/>
            <w:vMerge w:val="restart"/>
          </w:tcPr>
          <w:p w14:paraId="09165AF0" w14:textId="77777777" w:rsidR="008E2CD7" w:rsidRPr="0095118E" w:rsidRDefault="008E2CD7" w:rsidP="005D539A">
            <w:pPr>
              <w:jc w:val="center"/>
            </w:pPr>
            <w:r w:rsidRPr="0095118E">
              <w:t>W</w:t>
            </w:r>
            <w:r w:rsidRPr="0095118E">
              <w:rPr>
                <w:rFonts w:hint="eastAsia"/>
              </w:rPr>
              <w:t>4</w:t>
            </w:r>
          </w:p>
        </w:tc>
        <w:tc>
          <w:tcPr>
            <w:tcW w:w="1720" w:type="dxa"/>
          </w:tcPr>
          <w:p w14:paraId="39AB6548" w14:textId="77777777" w:rsidR="008E2CD7" w:rsidRPr="0095118E" w:rsidRDefault="008E2CD7" w:rsidP="005D539A">
            <w:pPr>
              <w:jc w:val="center"/>
            </w:pPr>
            <w:r w:rsidRPr="0095118E">
              <w:t>P</w:t>
            </w:r>
            <w:r w:rsidRPr="0095118E">
              <w:rPr>
                <w:rFonts w:hint="eastAsia"/>
              </w:rPr>
              <w:t>aranoia</w:t>
            </w:r>
          </w:p>
        </w:tc>
        <w:tc>
          <w:tcPr>
            <w:tcW w:w="1524" w:type="dxa"/>
          </w:tcPr>
          <w:p w14:paraId="7F59488E" w14:textId="77777777" w:rsidR="008E2CD7" w:rsidRPr="0095118E" w:rsidRDefault="008E2CD7" w:rsidP="005D539A">
            <w:pPr>
              <w:jc w:val="center"/>
            </w:pPr>
            <w:r w:rsidRPr="0095118E">
              <w:t>.203***</w:t>
            </w:r>
          </w:p>
        </w:tc>
        <w:tc>
          <w:tcPr>
            <w:tcW w:w="1568" w:type="dxa"/>
          </w:tcPr>
          <w:p w14:paraId="1F4161C7" w14:textId="77777777" w:rsidR="008E2CD7" w:rsidRPr="0095118E" w:rsidRDefault="008E2CD7" w:rsidP="005D539A">
            <w:pPr>
              <w:jc w:val="center"/>
            </w:pPr>
          </w:p>
        </w:tc>
        <w:tc>
          <w:tcPr>
            <w:tcW w:w="1284" w:type="dxa"/>
          </w:tcPr>
          <w:p w14:paraId="2A50E23E" w14:textId="77777777" w:rsidR="008E2CD7" w:rsidRPr="0095118E" w:rsidRDefault="008E2CD7" w:rsidP="005D539A">
            <w:pPr>
              <w:jc w:val="center"/>
            </w:pPr>
          </w:p>
        </w:tc>
        <w:tc>
          <w:tcPr>
            <w:tcW w:w="1206" w:type="dxa"/>
          </w:tcPr>
          <w:p w14:paraId="7C041AEB" w14:textId="77777777" w:rsidR="008E2CD7" w:rsidRPr="0095118E" w:rsidRDefault="008E2CD7" w:rsidP="005D539A">
            <w:pPr>
              <w:jc w:val="center"/>
              <w:rPr>
                <w:rFonts w:cstheme="majorBidi"/>
              </w:rPr>
            </w:pPr>
          </w:p>
        </w:tc>
      </w:tr>
      <w:tr w:rsidR="008E2CD7" w:rsidRPr="0095118E" w14:paraId="46A6727A" w14:textId="77777777" w:rsidTr="005D539A">
        <w:trPr>
          <w:trHeight w:val="149"/>
        </w:trPr>
        <w:tc>
          <w:tcPr>
            <w:tcW w:w="1724" w:type="dxa"/>
            <w:vMerge/>
          </w:tcPr>
          <w:p w14:paraId="6F7D86AF" w14:textId="77777777" w:rsidR="008E2CD7" w:rsidRPr="0095118E" w:rsidRDefault="008E2CD7" w:rsidP="005D539A">
            <w:pPr>
              <w:jc w:val="center"/>
            </w:pPr>
          </w:p>
        </w:tc>
        <w:tc>
          <w:tcPr>
            <w:tcW w:w="1720" w:type="dxa"/>
          </w:tcPr>
          <w:p w14:paraId="3DA4CB61" w14:textId="77777777" w:rsidR="008E2CD7" w:rsidRPr="0095118E" w:rsidRDefault="008E2CD7" w:rsidP="005D539A">
            <w:pPr>
              <w:jc w:val="center"/>
            </w:pPr>
            <w:r w:rsidRPr="0095118E">
              <w:t>D</w:t>
            </w:r>
            <w:r w:rsidRPr="0095118E">
              <w:rPr>
                <w:rFonts w:hint="eastAsia"/>
              </w:rPr>
              <w:t>epression</w:t>
            </w:r>
          </w:p>
        </w:tc>
        <w:tc>
          <w:tcPr>
            <w:tcW w:w="1524" w:type="dxa"/>
          </w:tcPr>
          <w:p w14:paraId="761B1FFA" w14:textId="77777777" w:rsidR="008E2CD7" w:rsidRPr="0095118E" w:rsidRDefault="008E2CD7" w:rsidP="005D539A">
            <w:pPr>
              <w:jc w:val="center"/>
            </w:pPr>
            <w:r w:rsidRPr="0095118E">
              <w:t>.058**</w:t>
            </w:r>
          </w:p>
        </w:tc>
        <w:tc>
          <w:tcPr>
            <w:tcW w:w="1568" w:type="dxa"/>
          </w:tcPr>
          <w:p w14:paraId="09A6AE90" w14:textId="77777777" w:rsidR="008E2CD7" w:rsidRPr="0095118E" w:rsidRDefault="008E2CD7" w:rsidP="005D539A">
            <w:pPr>
              <w:jc w:val="center"/>
            </w:pPr>
            <w:r w:rsidRPr="0095118E">
              <w:rPr>
                <w:rFonts w:cstheme="majorBidi"/>
              </w:rPr>
              <w:t>.00829</w:t>
            </w:r>
          </w:p>
        </w:tc>
        <w:tc>
          <w:tcPr>
            <w:tcW w:w="1284" w:type="dxa"/>
          </w:tcPr>
          <w:p w14:paraId="5A837DC9" w14:textId="77777777" w:rsidR="008E2CD7" w:rsidRPr="0095118E" w:rsidRDefault="008E2CD7" w:rsidP="005D539A">
            <w:pPr>
              <w:jc w:val="center"/>
            </w:pPr>
            <w:r w:rsidRPr="0095118E">
              <w:rPr>
                <w:rFonts w:cstheme="majorBidi"/>
              </w:rPr>
              <w:t>6.09**</w:t>
            </w:r>
          </w:p>
        </w:tc>
        <w:tc>
          <w:tcPr>
            <w:tcW w:w="1206" w:type="dxa"/>
          </w:tcPr>
          <w:p w14:paraId="017D800F" w14:textId="77777777" w:rsidR="008E2CD7" w:rsidRPr="0095118E" w:rsidRDefault="008E2CD7" w:rsidP="005D539A">
            <w:pPr>
              <w:jc w:val="center"/>
            </w:pPr>
            <w:r w:rsidRPr="0095118E">
              <w:rPr>
                <w:rFonts w:cstheme="majorBidi"/>
              </w:rPr>
              <w:t>15.4***</w:t>
            </w:r>
          </w:p>
        </w:tc>
      </w:tr>
      <w:tr w:rsidR="008E2CD7" w:rsidRPr="0095118E" w14:paraId="749AFD32" w14:textId="77777777" w:rsidTr="005D539A">
        <w:trPr>
          <w:trHeight w:val="149"/>
        </w:trPr>
        <w:tc>
          <w:tcPr>
            <w:tcW w:w="1724" w:type="dxa"/>
            <w:vMerge/>
          </w:tcPr>
          <w:p w14:paraId="7A82808B" w14:textId="77777777" w:rsidR="008E2CD7" w:rsidRPr="0095118E" w:rsidRDefault="008E2CD7" w:rsidP="005D539A">
            <w:pPr>
              <w:jc w:val="center"/>
            </w:pPr>
          </w:p>
        </w:tc>
        <w:tc>
          <w:tcPr>
            <w:tcW w:w="1720" w:type="dxa"/>
          </w:tcPr>
          <w:p w14:paraId="7B8A5213" w14:textId="77777777" w:rsidR="008E2CD7" w:rsidRPr="0095118E" w:rsidRDefault="008E2CD7" w:rsidP="005D539A">
            <w:pPr>
              <w:jc w:val="center"/>
            </w:pPr>
            <w:r w:rsidRPr="0095118E">
              <w:rPr>
                <w:rFonts w:hint="eastAsia"/>
              </w:rPr>
              <w:t>Anxiety</w:t>
            </w:r>
          </w:p>
        </w:tc>
        <w:tc>
          <w:tcPr>
            <w:tcW w:w="1524" w:type="dxa"/>
          </w:tcPr>
          <w:p w14:paraId="047B8D3B" w14:textId="77777777" w:rsidR="008E2CD7" w:rsidRPr="0095118E" w:rsidRDefault="008E2CD7" w:rsidP="005D539A">
            <w:pPr>
              <w:jc w:val="center"/>
            </w:pPr>
            <w:r w:rsidRPr="0095118E">
              <w:t>-0.038</w:t>
            </w:r>
          </w:p>
        </w:tc>
        <w:tc>
          <w:tcPr>
            <w:tcW w:w="1568" w:type="dxa"/>
          </w:tcPr>
          <w:p w14:paraId="12E5BA52" w14:textId="77777777" w:rsidR="008E2CD7" w:rsidRPr="0095118E" w:rsidRDefault="008E2CD7" w:rsidP="005D539A">
            <w:pPr>
              <w:jc w:val="center"/>
            </w:pPr>
          </w:p>
        </w:tc>
        <w:tc>
          <w:tcPr>
            <w:tcW w:w="1284" w:type="dxa"/>
          </w:tcPr>
          <w:p w14:paraId="1229A3E0" w14:textId="77777777" w:rsidR="008E2CD7" w:rsidRPr="0095118E" w:rsidRDefault="008E2CD7" w:rsidP="005D539A">
            <w:pPr>
              <w:jc w:val="center"/>
            </w:pPr>
          </w:p>
        </w:tc>
        <w:tc>
          <w:tcPr>
            <w:tcW w:w="1206" w:type="dxa"/>
          </w:tcPr>
          <w:p w14:paraId="628071CF" w14:textId="77777777" w:rsidR="008E2CD7" w:rsidRPr="0095118E" w:rsidRDefault="008E2CD7" w:rsidP="005D539A">
            <w:pPr>
              <w:jc w:val="center"/>
            </w:pPr>
          </w:p>
        </w:tc>
      </w:tr>
    </w:tbl>
    <w:p w14:paraId="78F04FB0" w14:textId="77777777" w:rsidR="008E2CD7" w:rsidRPr="0095118E" w:rsidRDefault="008E2CD7" w:rsidP="008E2CD7">
      <w:pPr>
        <w:spacing w:line="480" w:lineRule="auto"/>
        <w:rPr>
          <w:rFonts w:asciiTheme="majorBidi" w:hAnsiTheme="majorBidi" w:cstheme="majorBidi"/>
        </w:rPr>
      </w:pPr>
      <w:r w:rsidRPr="0095118E">
        <w:rPr>
          <w:rFonts w:asciiTheme="majorBidi" w:hAnsiTheme="majorBidi" w:cstheme="majorBidi"/>
        </w:rPr>
        <w:t>*P &lt; 0.05</w:t>
      </w:r>
      <w:r w:rsidRPr="0095118E">
        <w:rPr>
          <w:rFonts w:asciiTheme="majorBidi" w:hAnsiTheme="majorBidi" w:cstheme="majorBidi" w:hint="eastAsia"/>
        </w:rPr>
        <w:t xml:space="preserve">; </w:t>
      </w:r>
      <w:r w:rsidRPr="0095118E">
        <w:rPr>
          <w:rFonts w:asciiTheme="majorBidi" w:hAnsiTheme="majorBidi" w:cstheme="majorBidi"/>
        </w:rPr>
        <w:t>**P &lt; 0.01; ***P &lt; 0.001</w:t>
      </w:r>
    </w:p>
    <w:p w14:paraId="362DFBC3" w14:textId="77777777" w:rsidR="008E2CD7" w:rsidRPr="0095118E" w:rsidRDefault="008E2CD7" w:rsidP="008E2CD7">
      <w:pPr>
        <w:rPr>
          <w:sz w:val="24"/>
          <w:szCs w:val="24"/>
        </w:rPr>
      </w:pPr>
    </w:p>
    <w:p w14:paraId="1D20462D" w14:textId="77777777" w:rsidR="008E2CD7" w:rsidRPr="0095118E" w:rsidRDefault="008E2CD7" w:rsidP="008E2CD7">
      <w:pPr>
        <w:pStyle w:val="Heading1"/>
        <w:spacing w:line="480" w:lineRule="auto"/>
        <w:jc w:val="center"/>
        <w:rPr>
          <w:rFonts w:asciiTheme="majorBidi" w:hAnsiTheme="majorBidi"/>
          <w:b/>
          <w:bCs/>
          <w:color w:val="000000" w:themeColor="text1"/>
          <w:sz w:val="24"/>
          <w:szCs w:val="24"/>
        </w:rPr>
      </w:pPr>
      <w:r w:rsidRPr="0095118E">
        <w:rPr>
          <w:rFonts w:asciiTheme="majorBidi" w:hAnsiTheme="majorBidi" w:hint="eastAsia"/>
          <w:b/>
          <w:bCs/>
          <w:color w:val="000000" w:themeColor="text1"/>
          <w:sz w:val="24"/>
          <w:szCs w:val="24"/>
        </w:rPr>
        <w:t>Discussion</w:t>
      </w:r>
    </w:p>
    <w:p w14:paraId="7A30FA1F" w14:textId="77777777" w:rsidR="008E2CD7" w:rsidRPr="0095118E" w:rsidRDefault="008E2CD7" w:rsidP="008E2CD7">
      <w:pPr>
        <w:spacing w:line="480" w:lineRule="auto"/>
        <w:rPr>
          <w:rFonts w:asciiTheme="majorBidi" w:hAnsiTheme="majorBidi" w:cstheme="majorBidi"/>
          <w:sz w:val="24"/>
          <w:szCs w:val="24"/>
        </w:rPr>
      </w:pPr>
      <w:r w:rsidRPr="0095118E">
        <w:rPr>
          <w:sz w:val="24"/>
          <w:szCs w:val="24"/>
        </w:rPr>
        <w:tab/>
      </w:r>
      <w:bookmarkStart w:id="10" w:name="_Hlk182823891"/>
      <w:r w:rsidRPr="0095118E">
        <w:rPr>
          <w:rFonts w:asciiTheme="majorBidi" w:hAnsiTheme="majorBidi" w:cstheme="majorBidi"/>
          <w:sz w:val="24"/>
          <w:szCs w:val="24"/>
        </w:rPr>
        <w:t>In this study, we first examined whether IU could predict paranoia across three time points. Path analysis revealed that IU's standardized regression coefficients for paranoia were large and significant at all three time points (W1, W2, and W4), indicating that IU indeed has an independent predictive effect on paranoia. This is consistent with the findings of previous cross-sectional studies</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King &amp; Dudley, 2017; Startup et al., 2016</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Morriss et al.,</w:t>
      </w:r>
      <w:r w:rsidRPr="0095118E">
        <w:rPr>
          <w:rFonts w:asciiTheme="majorBidi" w:hAnsiTheme="majorBidi" w:cstheme="majorBidi" w:hint="eastAsia"/>
          <w:sz w:val="24"/>
          <w:szCs w:val="24"/>
        </w:rPr>
        <w:t xml:space="preserve"> 2024)</w:t>
      </w:r>
      <w:r w:rsidRPr="0095118E">
        <w:rPr>
          <w:rFonts w:asciiTheme="majorBidi" w:hAnsiTheme="majorBidi" w:cstheme="majorBidi"/>
          <w:sz w:val="24"/>
          <w:szCs w:val="24"/>
        </w:rPr>
        <w:t>. Hence</w:t>
      </w:r>
      <w:r w:rsidRPr="0095118E">
        <w:rPr>
          <w:rFonts w:asciiTheme="majorBidi" w:hAnsiTheme="majorBidi" w:cstheme="majorBidi" w:hint="eastAsia"/>
          <w:sz w:val="24"/>
          <w:szCs w:val="24"/>
        </w:rPr>
        <w:t>, t</w:t>
      </w:r>
      <w:r w:rsidRPr="0095118E">
        <w:rPr>
          <w:rFonts w:asciiTheme="majorBidi" w:hAnsiTheme="majorBidi" w:cstheme="majorBidi"/>
          <w:sz w:val="24"/>
          <w:szCs w:val="24"/>
        </w:rPr>
        <w:t>hese results support our hypothesis that IU can predict paranoia across time, even after controlling for potential confounding factors such as neuroticism, anxiety, and depression.</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The SEM models at all three time points demonstrated good fit,</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indicating that IU has cross-temporal predictive power for paranoia. These results were further supported by a longitudinal analysis that accounted for the temporal stability of paranoia. Even after controlling for earlier levels of paranoia, IU at Wave 1 significantly predicted increases in paranoia at later time points. This suggests that IU plays a unique and enduring role in the exacerbation of paranoid ideation over time.</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These findings supplement previous cross-sectional studies by providing the first evidence of longitudinal effects.</w:t>
      </w:r>
      <w:r w:rsidRPr="0095118E">
        <w:rPr>
          <w:rFonts w:asciiTheme="majorBidi" w:hAnsiTheme="majorBidi" w:cstheme="majorBidi" w:hint="eastAsia"/>
          <w:sz w:val="24"/>
          <w:szCs w:val="24"/>
        </w:rPr>
        <w:t xml:space="preserve"> </w:t>
      </w:r>
    </w:p>
    <w:bookmarkEnd w:id="10"/>
    <w:p w14:paraId="43F865EE"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hint="eastAsia"/>
          <w:sz w:val="24"/>
          <w:szCs w:val="24"/>
        </w:rPr>
        <w:t>A</w:t>
      </w:r>
      <w:r w:rsidRPr="0095118E">
        <w:rPr>
          <w:rFonts w:asciiTheme="majorBidi" w:hAnsiTheme="majorBidi" w:cstheme="majorBidi"/>
          <w:sz w:val="24"/>
          <w:szCs w:val="24"/>
        </w:rPr>
        <w:t xml:space="preserve">cross these three time points, IU's regression weights for </w:t>
      </w:r>
      <w:r w:rsidRPr="0095118E">
        <w:rPr>
          <w:rFonts w:asciiTheme="majorBidi" w:hAnsiTheme="majorBidi" w:cstheme="majorBidi" w:hint="eastAsia"/>
          <w:sz w:val="24"/>
          <w:szCs w:val="24"/>
        </w:rPr>
        <w:t>a</w:t>
      </w:r>
      <w:r w:rsidRPr="0095118E">
        <w:rPr>
          <w:rFonts w:asciiTheme="majorBidi" w:hAnsiTheme="majorBidi" w:cstheme="majorBidi"/>
          <w:sz w:val="24"/>
          <w:szCs w:val="24"/>
        </w:rPr>
        <w:t xml:space="preserve">nxiety were consistently smaller compared to those for </w:t>
      </w:r>
      <w:r w:rsidRPr="0095118E">
        <w:rPr>
          <w:rFonts w:asciiTheme="majorBidi" w:hAnsiTheme="majorBidi" w:cstheme="majorBidi" w:hint="eastAsia"/>
          <w:sz w:val="24"/>
          <w:szCs w:val="24"/>
        </w:rPr>
        <w:t>p</w:t>
      </w:r>
      <w:r w:rsidRPr="0095118E">
        <w:rPr>
          <w:rFonts w:asciiTheme="majorBidi" w:hAnsiTheme="majorBidi" w:cstheme="majorBidi"/>
          <w:sz w:val="24"/>
          <w:szCs w:val="24"/>
        </w:rPr>
        <w:t>aranoia, which might seem surprising given the very large literature on the contribution of IU to anxiety (for meta-analysis see, Gentes et al., 2011). This difference was reflected in the significant Wald test results observed at two of the time points, indicating that the strength of the association between IU and paranoia was greater than that with anxiety.</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This pattern of results suggests that IU may be more strongly associated with cognitive-affective processes characteristic of paranoia than with those underlying general anxiety. This result is consistent with the observation that</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IU has a more significant impact on paranoia than general anxiety-related phenomena, as found in some previous studies</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Sun et al., 2019</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 xml:space="preserve">Zheng </w:t>
      </w:r>
      <w:r w:rsidRPr="0095118E">
        <w:rPr>
          <w:rFonts w:asciiTheme="majorBidi" w:hAnsiTheme="majorBidi" w:cstheme="majorBidi" w:hint="eastAsia"/>
          <w:sz w:val="24"/>
          <w:szCs w:val="24"/>
        </w:rPr>
        <w:t xml:space="preserve">et al., </w:t>
      </w:r>
      <w:r w:rsidRPr="0095118E">
        <w:rPr>
          <w:rFonts w:asciiTheme="majorBidi" w:hAnsiTheme="majorBidi" w:cstheme="majorBidi"/>
          <w:sz w:val="24"/>
          <w:szCs w:val="24"/>
        </w:rPr>
        <w:t>2022</w:t>
      </w:r>
      <w:r w:rsidRPr="0095118E">
        <w:rPr>
          <w:rFonts w:asciiTheme="majorBidi" w:hAnsiTheme="majorBidi" w:cstheme="majorBidi" w:hint="eastAsia"/>
          <w:sz w:val="24"/>
          <w:szCs w:val="24"/>
        </w:rPr>
        <w:t>)</w:t>
      </w:r>
      <w:r w:rsidRPr="0095118E">
        <w:rPr>
          <w:rFonts w:asciiTheme="majorBidi" w:hAnsiTheme="majorBidi" w:cstheme="majorBidi"/>
          <w:sz w:val="24"/>
          <w:szCs w:val="24"/>
        </w:rPr>
        <w:t>.</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 xml:space="preserve">One possible explanation is that individuals with higher IU tend to perceive ambiguous information as threatening, a tendency more closely related to </w:t>
      </w:r>
      <w:r w:rsidRPr="0095118E">
        <w:rPr>
          <w:rFonts w:asciiTheme="majorBidi" w:hAnsiTheme="majorBidi" w:cstheme="majorBidi" w:hint="eastAsia"/>
          <w:sz w:val="24"/>
          <w:szCs w:val="24"/>
        </w:rPr>
        <w:t xml:space="preserve">paranoia </w:t>
      </w:r>
      <w:r w:rsidRPr="0095118E">
        <w:rPr>
          <w:rFonts w:asciiTheme="majorBidi" w:hAnsiTheme="majorBidi" w:cstheme="majorBidi"/>
          <w:sz w:val="24"/>
          <w:szCs w:val="24"/>
        </w:rPr>
        <w:t xml:space="preserve">than to anxiety or depression (Dugas et al., 2005). Uncertain social situations are </w:t>
      </w:r>
      <w:r w:rsidRPr="0095118E">
        <w:rPr>
          <w:rFonts w:asciiTheme="majorBidi" w:hAnsiTheme="majorBidi" w:cstheme="majorBidi" w:hint="eastAsia"/>
          <w:sz w:val="24"/>
          <w:szCs w:val="24"/>
        </w:rPr>
        <w:t>common in daily life, are particularly likely to activate</w:t>
      </w:r>
      <w:r w:rsidRPr="0095118E">
        <w:rPr>
          <w:rFonts w:asciiTheme="majorBidi" w:hAnsiTheme="majorBidi" w:cstheme="majorBidi"/>
          <w:sz w:val="24"/>
          <w:szCs w:val="24"/>
        </w:rPr>
        <w:t xml:space="preserve"> negative schemas </w:t>
      </w:r>
      <w:r w:rsidRPr="0095118E">
        <w:rPr>
          <w:rFonts w:asciiTheme="majorBidi" w:hAnsiTheme="majorBidi" w:cstheme="majorBidi" w:hint="eastAsia"/>
          <w:sz w:val="24"/>
          <w:szCs w:val="24"/>
        </w:rPr>
        <w:t xml:space="preserve">in those who have other vulnerabilities </w:t>
      </w:r>
      <w:r w:rsidRPr="0095118E">
        <w:rPr>
          <w:rFonts w:asciiTheme="majorBidi" w:hAnsiTheme="majorBidi" w:cstheme="majorBidi"/>
          <w:sz w:val="24"/>
          <w:szCs w:val="24"/>
        </w:rPr>
        <w:t>to</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paranoia</w:t>
      </w:r>
      <w:r w:rsidRPr="0095118E">
        <w:rPr>
          <w:rFonts w:asciiTheme="majorBidi" w:hAnsiTheme="majorBidi" w:cstheme="majorBidi" w:hint="eastAsia"/>
          <w:sz w:val="24"/>
          <w:szCs w:val="24"/>
        </w:rPr>
        <w:t xml:space="preserve"> such as insecure attachment styles (</w:t>
      </w:r>
      <w:r w:rsidRPr="0095118E">
        <w:rPr>
          <w:rFonts w:asciiTheme="majorBidi" w:hAnsiTheme="majorBidi" w:cstheme="majorBidi"/>
          <w:sz w:val="24"/>
          <w:szCs w:val="24"/>
        </w:rPr>
        <w:t>Sitko et al., 2014</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Wickham et al., 2015</w:t>
      </w:r>
      <w:r w:rsidRPr="0095118E">
        <w:rPr>
          <w:rFonts w:asciiTheme="majorBidi" w:hAnsiTheme="majorBidi" w:cstheme="majorBidi" w:hint="eastAsia"/>
          <w:sz w:val="24"/>
          <w:szCs w:val="24"/>
        </w:rPr>
        <w:t xml:space="preserve">) and </w:t>
      </w:r>
      <w:r w:rsidRPr="0095118E">
        <w:rPr>
          <w:rFonts w:asciiTheme="majorBidi" w:hAnsiTheme="majorBidi" w:cstheme="majorBidi"/>
          <w:sz w:val="24"/>
          <w:szCs w:val="24"/>
        </w:rPr>
        <w:t>defensive</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explanatorily</w:t>
      </w:r>
      <w:r w:rsidRPr="0095118E">
        <w:rPr>
          <w:rFonts w:asciiTheme="majorBidi" w:hAnsiTheme="majorBidi" w:cstheme="majorBidi" w:hint="eastAsia"/>
          <w:sz w:val="24"/>
          <w:szCs w:val="24"/>
        </w:rPr>
        <w:t xml:space="preserve"> styles</w:t>
      </w:r>
      <w:r w:rsidRPr="0095118E">
        <w:rPr>
          <w:rFonts w:asciiTheme="majorBidi" w:hAnsiTheme="majorBidi" w:cstheme="majorBidi"/>
          <w:sz w:val="24"/>
          <w:szCs w:val="24"/>
        </w:rPr>
        <w:t>, leading to interpersonal suspicion and social referencing (Zheng et al., 2022).</w:t>
      </w:r>
      <w:r w:rsidRPr="0095118E">
        <w:rPr>
          <w:rFonts w:asciiTheme="majorBidi" w:hAnsiTheme="majorBidi" w:cstheme="majorBidi" w:hint="eastAsia"/>
          <w:sz w:val="24"/>
          <w:szCs w:val="24"/>
        </w:rPr>
        <w:t xml:space="preserve">            </w:t>
      </w:r>
    </w:p>
    <w:p w14:paraId="2B6B403E"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We also examined the differential impact of the two dimensions of Intolerance of Uncertainty</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Prospective IU and Inhibitory IU, on paranoia. The results showed that Inhibitory IU had stronger associations with paranoia across all time points compared to Prospective IU, a finding that is in line with a previous cross-sectional study with a multisite international sample (Morriss et al., 2024). The inhibitory IU subscale reflects an individual's tendency to experience behavioural inhibition and decision-making paralysis when faced with uncertainty and is strongly associated with a tendency to excessively attend to uncertainty-related stimuli, (Pineles et al., 2009; Fergus et al., 2013). In as much as paranoia is characterised by excessive sensitivity to the possibility of threat (Green &amp; Phillips, 2004) and fear and avoidance of potentially threatening situations (Freeman at al 2007), it is possible that this facet of intolerance of uncertainty exacerbates these tendencies.</w:t>
      </w:r>
    </w:p>
    <w:p w14:paraId="4C8C49C3"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hint="eastAsia"/>
          <w:sz w:val="24"/>
          <w:szCs w:val="24"/>
        </w:rPr>
        <w:t>However, we also find that t</w:t>
      </w:r>
      <w:r w:rsidRPr="0095118E">
        <w:rPr>
          <w:rFonts w:asciiTheme="majorBidi" w:hAnsiTheme="majorBidi" w:cstheme="majorBidi"/>
          <w:sz w:val="24"/>
          <w:szCs w:val="24"/>
        </w:rPr>
        <w:t xml:space="preserve">he paths from IU to depression and paranoia across the three time points did not differ significantly, indicating that the impact of IU on both expressions of psychopathology </w:t>
      </w:r>
      <w:r w:rsidRPr="0095118E">
        <w:rPr>
          <w:rFonts w:asciiTheme="majorBidi" w:hAnsiTheme="majorBidi" w:cstheme="majorBidi" w:hint="eastAsia"/>
          <w:sz w:val="24"/>
          <w:szCs w:val="24"/>
        </w:rPr>
        <w:t xml:space="preserve">may be </w:t>
      </w:r>
      <w:r w:rsidRPr="0095118E">
        <w:rPr>
          <w:rFonts w:asciiTheme="majorBidi" w:hAnsiTheme="majorBidi" w:cstheme="majorBidi"/>
          <w:sz w:val="24"/>
          <w:szCs w:val="24"/>
        </w:rPr>
        <w:t>comparable.</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 xml:space="preserve">This may help to explain the high comorbidity rates for the two conditions. Hence, numerous studies have demonstrated an association between depressive symptoms and paranoid thoughts in the general population (Saarinen et al. 2018); more than 25% of individuals with depression exhibit clinical symptoms of paranoia, and at least 50% of patients with schizophrenia suffer from severe depression (Ramklint &amp; Ekselius, 2003; Moritz et al., 2017; Saarinen et al., 2018). Further research may explore </w:t>
      </w:r>
      <w:r w:rsidRPr="0095118E">
        <w:rPr>
          <w:rFonts w:asciiTheme="majorBidi" w:hAnsiTheme="majorBidi" w:cstheme="majorBidi" w:hint="eastAsia"/>
          <w:sz w:val="24"/>
          <w:szCs w:val="24"/>
        </w:rPr>
        <w:t xml:space="preserve">if </w:t>
      </w:r>
      <w:r w:rsidRPr="0095118E">
        <w:rPr>
          <w:rFonts w:asciiTheme="majorBidi" w:hAnsiTheme="majorBidi" w:cstheme="majorBidi"/>
          <w:sz w:val="24"/>
          <w:szCs w:val="24"/>
        </w:rPr>
        <w:t>IU is a common mechanism underlying this effect.</w:t>
      </w:r>
      <w:r w:rsidRPr="0095118E">
        <w:rPr>
          <w:sz w:val="24"/>
          <w:szCs w:val="24"/>
        </w:rPr>
        <w:t xml:space="preserve"> </w:t>
      </w:r>
      <w:r w:rsidRPr="0095118E">
        <w:rPr>
          <w:rFonts w:asciiTheme="majorBidi" w:hAnsiTheme="majorBidi" w:cstheme="majorBidi"/>
          <w:sz w:val="24"/>
          <w:szCs w:val="24"/>
        </w:rPr>
        <w:t>Regarding the clinical implications of this study, evidence-based psychological treatments targeting intolerance of uncertainty have already been employed in treating patients with anxiety disorders</w:t>
      </w:r>
      <w:r w:rsidRPr="0095118E">
        <w:rPr>
          <w:rFonts w:hint="eastAsia"/>
          <w:sz w:val="24"/>
          <w:szCs w:val="24"/>
        </w:rPr>
        <w:t xml:space="preserve"> </w:t>
      </w:r>
      <w:r w:rsidRPr="0095118E">
        <w:rPr>
          <w:rFonts w:asciiTheme="majorBidi" w:hAnsiTheme="majorBidi" w:cstheme="majorBidi"/>
          <w:sz w:val="24"/>
          <w:szCs w:val="24"/>
        </w:rPr>
        <w:t>(Hebert &amp; Dugas, 2019)</w:t>
      </w:r>
      <w:r w:rsidRPr="0095118E">
        <w:rPr>
          <w:rFonts w:asciiTheme="majorBidi" w:hAnsiTheme="majorBidi" w:cstheme="majorBidi" w:hint="eastAsia"/>
          <w:sz w:val="24"/>
          <w:szCs w:val="24"/>
        </w:rPr>
        <w:t>.</w:t>
      </w:r>
      <w:r w:rsidRPr="0095118E">
        <w:rPr>
          <w:rFonts w:asciiTheme="majorBidi" w:hAnsiTheme="majorBidi" w:cstheme="majorBidi"/>
          <w:sz w:val="24"/>
          <w:szCs w:val="24"/>
        </w:rPr>
        <w:t xml:space="preserve"> The present findings offer theoretical support for the potential relevance of such interventions in the context of paranoia. However, it is important to note that the current data are correlational and nonexperimental, and therefore do not establish causal relations between IU and paranoia. Further research, including experimental and longitudinal intervention designs, is necessary to determine the mechanisms of change and to evaluate the efficacy and directionality of such approaches for individuals experiencing paranoid ideation.</w:t>
      </w:r>
    </w:p>
    <w:p w14:paraId="3CF6A35E" w14:textId="77777777" w:rsidR="008E2CD7" w:rsidRPr="0095118E" w:rsidRDefault="008E2CD7" w:rsidP="008E2CD7">
      <w:pPr>
        <w:pStyle w:val="Heading2"/>
        <w:spacing w:line="480" w:lineRule="auto"/>
        <w:rPr>
          <w:rFonts w:asciiTheme="majorBidi" w:hAnsiTheme="majorBidi"/>
          <w:b/>
          <w:bCs/>
          <w:color w:val="000000" w:themeColor="text1"/>
          <w:sz w:val="24"/>
          <w:szCs w:val="24"/>
        </w:rPr>
      </w:pPr>
      <w:r w:rsidRPr="0095118E">
        <w:rPr>
          <w:rFonts w:asciiTheme="majorBidi" w:hAnsiTheme="majorBidi" w:hint="eastAsia"/>
          <w:b/>
          <w:bCs/>
          <w:color w:val="000000" w:themeColor="text1"/>
          <w:sz w:val="24"/>
          <w:szCs w:val="24"/>
        </w:rPr>
        <w:t>S</w:t>
      </w:r>
      <w:r w:rsidRPr="0095118E">
        <w:rPr>
          <w:rFonts w:asciiTheme="majorBidi" w:hAnsiTheme="majorBidi"/>
          <w:b/>
          <w:bCs/>
          <w:color w:val="000000" w:themeColor="text1"/>
          <w:sz w:val="24"/>
          <w:szCs w:val="24"/>
        </w:rPr>
        <w:t>trengths</w:t>
      </w:r>
      <w:r w:rsidRPr="0095118E">
        <w:rPr>
          <w:rFonts w:asciiTheme="majorBidi" w:hAnsiTheme="majorBidi" w:hint="eastAsia"/>
          <w:b/>
          <w:bCs/>
          <w:color w:val="000000" w:themeColor="text1"/>
          <w:sz w:val="24"/>
          <w:szCs w:val="24"/>
        </w:rPr>
        <w:t xml:space="preserve"> and limitations</w:t>
      </w:r>
    </w:p>
    <w:p w14:paraId="5CE62BB5" w14:textId="77777777" w:rsidR="008E2CD7" w:rsidRPr="0095118E" w:rsidRDefault="008E2CD7" w:rsidP="008E2CD7">
      <w:pPr>
        <w:spacing w:line="480" w:lineRule="auto"/>
        <w:rPr>
          <w:rFonts w:asciiTheme="majorBidi" w:hAnsiTheme="majorBidi" w:cstheme="majorBidi"/>
          <w:sz w:val="24"/>
          <w:szCs w:val="24"/>
        </w:rPr>
      </w:pPr>
      <w:r w:rsidRPr="0095118E">
        <w:rPr>
          <w:sz w:val="24"/>
          <w:szCs w:val="24"/>
        </w:rPr>
        <w:tab/>
      </w:r>
      <w:r w:rsidRPr="0095118E">
        <w:rPr>
          <w:rFonts w:asciiTheme="majorBidi" w:hAnsiTheme="majorBidi" w:cstheme="majorBidi"/>
          <w:sz w:val="24"/>
          <w:szCs w:val="24"/>
        </w:rPr>
        <w:t>To our knowledge, this study is the first of its kind to use a large longitudinal sample to provide evidence of a cross-temporal association between IU and paranoia. This relationship appears to be independent of anxiety.</w:t>
      </w:r>
    </w:p>
    <w:p w14:paraId="0527A170" w14:textId="77777777" w:rsidR="008E2CD7" w:rsidRPr="0095118E" w:rsidRDefault="008E2CD7" w:rsidP="008E2CD7">
      <w:pPr>
        <w:spacing w:line="480" w:lineRule="auto"/>
        <w:rPr>
          <w:rFonts w:asciiTheme="majorBidi" w:hAnsiTheme="majorBidi" w:cstheme="majorBidi"/>
          <w:sz w:val="24"/>
          <w:szCs w:val="24"/>
        </w:rPr>
      </w:pPr>
      <w:r w:rsidRPr="0095118E">
        <w:rPr>
          <w:rFonts w:asciiTheme="majorBidi" w:hAnsiTheme="majorBidi" w:cstheme="majorBidi"/>
          <w:sz w:val="24"/>
          <w:szCs w:val="24"/>
        </w:rPr>
        <w:tab/>
        <w:t>This study has some limitations.</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 xml:space="preserve">First, the first wave of data was collected at the onset of the first nationwide lockdown during the COVID-19 pandemic. Since paranoia and anxiety are believed to be heightened in situations of threat and uncertainty, and pandemic-specific paranoia has been shown to be prevalent during Covid-19 (Kingston et al., 2023; Ellett et al., 2023), these beliefs may have been influenced by the global impact of the pandemic at both social and personal levels, which could affect the generalizability of the results. Future research </w:t>
      </w:r>
      <w:r w:rsidRPr="0095118E">
        <w:rPr>
          <w:rFonts w:asciiTheme="majorBidi" w:hAnsiTheme="majorBidi" w:cstheme="majorBidi" w:hint="eastAsia"/>
          <w:sz w:val="24"/>
          <w:szCs w:val="24"/>
        </w:rPr>
        <w:t>can</w:t>
      </w:r>
      <w:r w:rsidRPr="0095118E">
        <w:rPr>
          <w:rFonts w:asciiTheme="majorBidi" w:hAnsiTheme="majorBidi" w:cstheme="majorBidi"/>
          <w:sz w:val="24"/>
          <w:szCs w:val="24"/>
        </w:rPr>
        <w:t xml:space="preserve"> benefit from using data collected outside the context of the COVID-19 pandemic.</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Second, while several demographic covariates (age, gender, education level, and ethnicity) were included in the models, the limited variability in ethnicity—91% of participants identified as White—may constrain the interpretability of its contribution. Follow-up analyses indicated that the inclusion or exclusion of this variable did not meaningfully alter the results, suggesting that its predictive contribution was minimal. Ethnicity was modelled dichotomously (White vs. non-White), but given the low proportion of non-White participants, future research should aim to recruit more ethnically diverse samples to enhance the generalizability of findings and better evaluate potential moderating effects of cultural background.</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Finally, the data used in this study were collected over a short-term period (approximately nine months), and it would be useful to conduct longitudinal studies over a longer timeframe.</w:t>
      </w:r>
      <w:r w:rsidRPr="0095118E">
        <w:rPr>
          <w:rFonts w:asciiTheme="majorBidi" w:hAnsiTheme="majorBidi" w:cstheme="majorBidi" w:hint="eastAsia"/>
          <w:sz w:val="24"/>
          <w:szCs w:val="24"/>
        </w:rPr>
        <w:t xml:space="preserve"> </w:t>
      </w:r>
    </w:p>
    <w:p w14:paraId="5C6901A1" w14:textId="77777777" w:rsidR="008E2CD7" w:rsidRPr="0095118E" w:rsidRDefault="008E2CD7" w:rsidP="008E2CD7">
      <w:pPr>
        <w:rPr>
          <w:sz w:val="24"/>
          <w:szCs w:val="24"/>
        </w:rPr>
      </w:pPr>
    </w:p>
    <w:p w14:paraId="43706351" w14:textId="77777777" w:rsidR="008E2CD7" w:rsidRPr="0095118E" w:rsidRDefault="008E2CD7" w:rsidP="008E2CD7">
      <w:pPr>
        <w:pStyle w:val="Heading1"/>
        <w:spacing w:line="480" w:lineRule="auto"/>
        <w:rPr>
          <w:rFonts w:asciiTheme="majorBidi" w:hAnsiTheme="majorBidi"/>
          <w:b/>
          <w:bCs/>
          <w:color w:val="000000" w:themeColor="text1"/>
          <w:sz w:val="24"/>
          <w:szCs w:val="24"/>
        </w:rPr>
      </w:pPr>
      <w:r w:rsidRPr="0095118E">
        <w:rPr>
          <w:rFonts w:asciiTheme="majorBidi" w:hAnsiTheme="majorBidi"/>
          <w:b/>
          <w:bCs/>
          <w:color w:val="000000" w:themeColor="text1"/>
          <w:sz w:val="24"/>
          <w:szCs w:val="24"/>
        </w:rPr>
        <w:t>Conclusion</w:t>
      </w:r>
    </w:p>
    <w:p w14:paraId="499EEE7F"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 xml:space="preserve">This study provides evidence that IU significantly predicts paranoia across multiple time points, reinforcing its role as an independent predictor of paranoid thoughts. The consistent and statistically significant regression coefficients observed at each time point demonstrate IU's stable influence on paranoia, even when accounting for potential confounding factors such as neuroticism, anxiety, and depression. </w:t>
      </w:r>
    </w:p>
    <w:p w14:paraId="71305055" w14:textId="77777777" w:rsidR="008E2CD7" w:rsidRPr="0095118E" w:rsidRDefault="008E2CD7" w:rsidP="008E2CD7">
      <w:pPr>
        <w:pStyle w:val="Heading1"/>
        <w:spacing w:line="480" w:lineRule="auto"/>
        <w:jc w:val="center"/>
        <w:rPr>
          <w:rFonts w:asciiTheme="majorBidi" w:hAnsiTheme="majorBidi"/>
          <w:b/>
          <w:bCs/>
          <w:color w:val="000000" w:themeColor="text1"/>
          <w:sz w:val="24"/>
          <w:szCs w:val="24"/>
        </w:rPr>
      </w:pPr>
      <w:r w:rsidRPr="0095118E">
        <w:rPr>
          <w:rFonts w:asciiTheme="majorBidi" w:hAnsiTheme="majorBidi" w:hint="eastAsia"/>
          <w:b/>
          <w:bCs/>
          <w:color w:val="000000" w:themeColor="text1"/>
          <w:sz w:val="24"/>
          <w:szCs w:val="24"/>
        </w:rPr>
        <w:t>Reference</w:t>
      </w:r>
      <w:r w:rsidRPr="0095118E">
        <w:rPr>
          <w:rFonts w:asciiTheme="majorBidi" w:hAnsiTheme="majorBidi"/>
          <w:b/>
          <w:bCs/>
          <w:color w:val="000000" w:themeColor="text1"/>
          <w:sz w:val="24"/>
          <w:szCs w:val="24"/>
        </w:rPr>
        <w:t>s</w:t>
      </w:r>
    </w:p>
    <w:p w14:paraId="6586B0AE"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American Psychiatric Association. (2013). Diagnostic and statistical manual of mental disorders (5th ed.). American Psychiatric Publishing.</w:t>
      </w:r>
    </w:p>
    <w:p w14:paraId="7B350150"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Bauer, E. A., MacNamara, A., Sandre, A., Lonsdorf, T. B., Weinberg, A., Morriss, J., &amp; van Reekum, C. M. (2020). Intolerance of uncertainty and threat generalization: A replication and extension. Psychophysiology, 57(5), e13546. https://doi.org/10.1111/psyp.13546</w:t>
      </w:r>
    </w:p>
    <w:p w14:paraId="3B804ECD" w14:textId="77777777" w:rsidR="008E2CD7" w:rsidRPr="0095118E" w:rsidRDefault="008E2CD7" w:rsidP="008E2CD7">
      <w:pPr>
        <w:spacing w:line="480" w:lineRule="auto"/>
        <w:ind w:firstLine="720"/>
        <w:rPr>
          <w:rFonts w:asciiTheme="majorBidi" w:hAnsiTheme="majorBidi" w:cstheme="majorBidi"/>
          <w:sz w:val="24"/>
          <w:szCs w:val="24"/>
          <w:lang w:val="it-IT"/>
        </w:rPr>
      </w:pPr>
      <w:r w:rsidRPr="0095118E">
        <w:rPr>
          <w:rFonts w:asciiTheme="majorBidi" w:hAnsiTheme="majorBidi" w:cstheme="majorBidi"/>
          <w:sz w:val="24"/>
          <w:szCs w:val="24"/>
        </w:rPr>
        <w:t xml:space="preserve">Bebbington, P. E., McBride, O., Steel, C., Kuipers, E., Radovanoviĉ, M., Brugha, T., Jenkins, R., Meltzer, H. I., &amp; Freeman, D. (2013). The structure of paranoia in the general population. The British Journal of Psychiatry, 202(6), 419–427. </w:t>
      </w:r>
      <w:hyperlink r:id="rId7" w:history="1">
        <w:r w:rsidRPr="0095118E">
          <w:rPr>
            <w:rStyle w:val="Hyperlink"/>
            <w:rFonts w:asciiTheme="majorBidi" w:hAnsiTheme="majorBidi"/>
            <w:sz w:val="24"/>
            <w:szCs w:val="24"/>
            <w:lang w:val="it-IT"/>
          </w:rPr>
          <w:t>https://doi.org/10.1192/bjp.bp.112.119032</w:t>
        </w:r>
      </w:hyperlink>
    </w:p>
    <w:p w14:paraId="445BE850"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lang w:val="it-IT"/>
        </w:rPr>
        <w:t xml:space="preserve">Beran, T. N., &amp; Violato, C. (2010). </w:t>
      </w:r>
      <w:r w:rsidRPr="0095118E">
        <w:rPr>
          <w:rFonts w:asciiTheme="majorBidi" w:hAnsiTheme="majorBidi" w:cstheme="majorBidi"/>
          <w:sz w:val="24"/>
          <w:szCs w:val="24"/>
        </w:rPr>
        <w:t>Structural equation modeling in medical research: A primer. BioMed Central Research Notes, 3(1), 1-10. https://doi.org/10.1186/1756-0500-3-267</w:t>
      </w:r>
    </w:p>
    <w:p w14:paraId="14EC16BD"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Braga, R. J., Reynolds, G. P., &amp; Siris, S. G. (2013). Anxiety comorbidity in schizophrenia. Psychiatry Research, 210(1), 1–7. https://doi.org/10.1016/j.psychres.2013.07.030</w:t>
      </w:r>
    </w:p>
    <w:p w14:paraId="403103B0"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Broome, M. R., Johns, L. C., Valli, I., Woolley, J. B., Tabraham, P., Brett, C., Valmaggia, L., Peters, E., Garety, P. A., &amp; McGuire, P. K. (2007). Delusion formation and reasoning biases in those at clinical high risk for psychosis. BRITISH JOURNAL OF PSYCHIATRY, 191. https://doi.org/10.1192/bjp.191.51.s38</w:t>
      </w:r>
    </w:p>
    <w:p w14:paraId="3367452A"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Brown, M., Robinson, L., Campione, G. C., Wuensch, K., Hildebrandt, T., &amp; Micali, N. (2017). Intolerance of Uncertainty in Eating Disorders: A Systematic Review and Meta-Analysis. European Eating Disorders Review, 25(5), 329–343. https://doi.org/10.1002/erv.2523</w:t>
      </w:r>
    </w:p>
    <w:p w14:paraId="1BD52803"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Buckley, P. F., Miller, B. J., Lehrer, D. S., &amp; Castle, D. J. (2009). Psychiatric Comorbidities and Schizophrenia. Schizophrenia Bulletin, 35(2), 383–402. https://doi.org/10.1093/schbul/sbn135</w:t>
      </w:r>
    </w:p>
    <w:p w14:paraId="5B6CC711"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lang w:val="de-DE"/>
        </w:rPr>
        <w:t xml:space="preserve">Buhr, K., &amp; Dugas, M. J. (2006). </w:t>
      </w:r>
      <w:r w:rsidRPr="0095118E">
        <w:rPr>
          <w:rFonts w:asciiTheme="majorBidi" w:hAnsiTheme="majorBidi" w:cstheme="majorBidi"/>
          <w:sz w:val="24"/>
          <w:szCs w:val="24"/>
        </w:rPr>
        <w:t>Investigating the construct validity of intolerance of uncertainty and its unique relationship with worry. Journal of Anxiety Disorders, 20(2), 222–236. https://doi.org/10.1016/j.janxdis.2004.12.004</w:t>
      </w:r>
    </w:p>
    <w:p w14:paraId="771DB80E"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Carleton, R. N., Mulvogue, M. K., Thibodeau, M. A., McCabe, R. E., Antony, M. M., &amp; Asmundson, G. J. G. (2012). Increasingly certain about uncertainty: Intolerance of uncertainty across anxiety and depression. Journal of Anxiety Disorders, 26(3), 468–479. https://doi.org/10.1016/j.janxdis.2012.01.011</w:t>
      </w:r>
    </w:p>
    <w:p w14:paraId="4A2AEBF8"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 xml:space="preserve">Carleton, R. N., Norton, M. A. P. J., &amp; Asmundson, G. J. G. (2007). Fearing the unknown: A short version of the Intolerance of Uncertainty Scale. Journal of Anxiety Disorders, 21(1), 105–117. </w:t>
      </w:r>
      <w:hyperlink r:id="rId8" w:history="1">
        <w:r w:rsidRPr="0095118E">
          <w:rPr>
            <w:rStyle w:val="Hyperlink"/>
            <w:rFonts w:asciiTheme="majorBidi" w:hAnsiTheme="majorBidi"/>
            <w:sz w:val="24"/>
            <w:szCs w:val="24"/>
          </w:rPr>
          <w:t>https://doi.org/10.1016/j.janxdis.2006.03.014</w:t>
        </w:r>
      </w:hyperlink>
    </w:p>
    <w:p w14:paraId="6BAB5EBC"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Cohen, J. (1992). A power primerr. Psychol. Bull. 112, 155–159. doi: 10.1037/0033-2909.112.1.155</w:t>
      </w:r>
    </w:p>
    <w:p w14:paraId="285E43BD"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Dugas, M. J., Hedayati, M., Karavidas, A., Buhr, K., Francis, K., &amp; Phillips, N. A. (2005). Intolerance of Uncertainty and Information Processing: Evidence of Biased Recall and Interpretations. Cognitive Therapy and Research, 29(1), 57–70. https://doi.org/10.1007/s10608-005-1648-9</w:t>
      </w:r>
    </w:p>
    <w:p w14:paraId="435983CD"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Elahi, A., Perez Algorta, G., Varese, F., McIntyre, J. C., &amp; Bentall, R. P. (2017). Do paranoid delusions exist on a continuum with subclinical paranoia? A multi-method taxometric study. Schizophrenia Research, 190, 77–81. https://doi.org/10.1016/j.schres.2017.03.022</w:t>
      </w:r>
    </w:p>
    <w:p w14:paraId="5C2216A7" w14:textId="77777777" w:rsidR="008E2CD7" w:rsidRPr="0095118E" w:rsidRDefault="008E2CD7" w:rsidP="008E2CD7">
      <w:pPr>
        <w:spacing w:line="480" w:lineRule="auto"/>
        <w:ind w:firstLine="720"/>
        <w:rPr>
          <w:rFonts w:asciiTheme="majorBidi" w:hAnsiTheme="majorBidi" w:cstheme="majorBidi"/>
          <w:sz w:val="24"/>
          <w:szCs w:val="24"/>
          <w:lang w:val="nl-NL"/>
        </w:rPr>
      </w:pPr>
      <w:r w:rsidRPr="0095118E">
        <w:rPr>
          <w:rFonts w:asciiTheme="majorBidi" w:hAnsiTheme="majorBidi" w:cstheme="majorBidi"/>
          <w:sz w:val="24"/>
          <w:szCs w:val="24"/>
        </w:rPr>
        <w:t xml:space="preserve">Ellett, L., Schlier, B., Kingston, J. L., Zhu, C., So, S. H., Lincoln, T. M., Morris, E. M. J., &amp; Gaudiano, B. A. (2023). Pandemic paranoia in the general population: International prevalence and sociodemographic profile. </w:t>
      </w:r>
      <w:r w:rsidRPr="0095118E">
        <w:rPr>
          <w:rFonts w:asciiTheme="majorBidi" w:hAnsiTheme="majorBidi" w:cstheme="majorBidi"/>
          <w:sz w:val="24"/>
          <w:szCs w:val="24"/>
          <w:lang w:val="nl-NL"/>
        </w:rPr>
        <w:t xml:space="preserve">Psychological Medicine, 53(12), 5748–5755. </w:t>
      </w:r>
      <w:hyperlink r:id="rId9" w:history="1">
        <w:r w:rsidRPr="0095118E">
          <w:rPr>
            <w:rStyle w:val="Hyperlink"/>
            <w:rFonts w:asciiTheme="majorBidi" w:hAnsiTheme="majorBidi"/>
            <w:sz w:val="24"/>
            <w:szCs w:val="24"/>
            <w:lang w:val="nl-NL"/>
          </w:rPr>
          <w:t>https://doi.org/10.1017/S0033291722002975</w:t>
        </w:r>
      </w:hyperlink>
    </w:p>
    <w:p w14:paraId="22CBF3F0"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lang w:val="nl-NL"/>
        </w:rPr>
        <w:t xml:space="preserve">Fergus, T. A., Bardeen, J. R., &amp; Wu, K. D. (2013). </w:t>
      </w:r>
      <w:r w:rsidRPr="0095118E">
        <w:rPr>
          <w:rFonts w:asciiTheme="majorBidi" w:hAnsiTheme="majorBidi" w:cstheme="majorBidi"/>
          <w:sz w:val="24"/>
          <w:szCs w:val="24"/>
        </w:rPr>
        <w:t>Intolerance of Uncertainty and Uncertainty-Related Attentional Biases: Evidence of Facilitated Engagement or Disengagement Difficulty? Cognitive Therapy and Research, 37(4), 735–741. https://doi.org/10.1007/s10608-012-9509-9</w:t>
      </w:r>
    </w:p>
    <w:p w14:paraId="055A0DEA"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Freeman, D., &amp; Garety, P. (2014). Advances in understanding and treating persecutory delusions: A review. Social Psychiatry and Psychiatric Epidemiology, 49(8), 1179–1189. https://doi.org/10.1007/s00127-014-0928-7</w:t>
      </w:r>
    </w:p>
    <w:p w14:paraId="6AD487AC"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Freeman, D., Pugh, K., Antley, A., Slater, M., Bebbington, P., Gittins, M., Dunn, G., Kuipers, E., Fowler, D., &amp; Garety, P. (2008). Virtual reality study of paranoid thinking in the general population. The British Journal of Psychiatry, 192(4), 258–263. https://doi.org/10.1192/bjp.bp.107.044677</w:t>
      </w:r>
    </w:p>
    <w:p w14:paraId="7665BE21" w14:textId="77777777" w:rsidR="008E2CD7" w:rsidRPr="0095118E" w:rsidRDefault="008E2CD7" w:rsidP="008E2CD7">
      <w:pPr>
        <w:spacing w:line="480" w:lineRule="auto"/>
        <w:ind w:firstLine="720"/>
        <w:rPr>
          <w:rFonts w:asciiTheme="majorBidi" w:hAnsiTheme="majorBidi" w:cstheme="majorBidi"/>
          <w:sz w:val="24"/>
          <w:szCs w:val="24"/>
          <w:lang w:val="it-IT"/>
        </w:rPr>
      </w:pPr>
      <w:r w:rsidRPr="0095118E">
        <w:rPr>
          <w:rFonts w:asciiTheme="majorBidi" w:hAnsiTheme="majorBidi" w:cstheme="majorBidi"/>
          <w:sz w:val="24"/>
          <w:szCs w:val="24"/>
        </w:rPr>
        <w:t xml:space="preserve">Freeman, D., Pugh, K., &amp; Garety, P. (2008). Jumping to conclusions and paranoid ideation in the general population. </w:t>
      </w:r>
      <w:r w:rsidRPr="0095118E">
        <w:rPr>
          <w:rFonts w:asciiTheme="majorBidi" w:hAnsiTheme="majorBidi" w:cstheme="majorBidi"/>
          <w:sz w:val="24"/>
          <w:szCs w:val="24"/>
          <w:lang w:val="it-IT"/>
        </w:rPr>
        <w:t>Schizophrenia Research, 102(1), 254–260. https://doi.org/10.1016/j.schres.2008.03.020</w:t>
      </w:r>
    </w:p>
    <w:p w14:paraId="383BE084"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lang w:val="it-IT"/>
        </w:rPr>
        <w:t xml:space="preserve">Gentes, E. L., &amp; Ruscio, A. M. (2011). </w:t>
      </w:r>
      <w:r w:rsidRPr="0095118E">
        <w:rPr>
          <w:rFonts w:asciiTheme="majorBidi" w:hAnsiTheme="majorBidi" w:cstheme="majorBidi"/>
          <w:sz w:val="24"/>
          <w:szCs w:val="24"/>
        </w:rPr>
        <w:t>A meta-analysis of the relation of intolerance of uncertainty to symptoms of generalized anxiety disorder, major depressive disorder, and obsessive–compulsive disorder. Clinical Psychology Review, 31(6), 923–933. https://doi.org/10.1016/j.cpr.2011.05.001</w:t>
      </w:r>
    </w:p>
    <w:p w14:paraId="6C20EA6A"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Green, M. J., &amp; Phillips, M. L. (2004). Social threat perception and the evolution of paranoia. Neuroscience &amp; Biobehavioral Reviews, 28(3), 333–342. https://doi.org/10.1016/j.neubiorev.2004.03.006</w:t>
      </w:r>
    </w:p>
    <w:p w14:paraId="45CDC2C5"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Hebert, E. A., &amp; Dugas, M. J. (2019). Behavioral Experiments for Intolerance of Uncertainty: Challenging the Unknown in the Treatment of Generalized Anxiety Disorder. Cognitive and Behavioral Practice, 26(2), 421–436. https://doi.org/10.1016/j.cbpra.2018.07.007</w:t>
      </w:r>
    </w:p>
    <w:p w14:paraId="01B5C687"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Hong, R. Y., &amp; Cheung, M. W.-L. (2015). The Structure of Cognitive Vulnerabilities to Depression and Anxiety: Evidence for a Common Core Etiologic Process Based on a Meta-Analytic Review. Clinical Psychological Science, 3(6), 892–912. https://doi.org/10.1177/2167702614553789</w:t>
      </w:r>
    </w:p>
    <w:p w14:paraId="358DDD0B"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Hu, L., &amp; Bentler, P. M. (1999). Cutoff criteria for fit indexes in covariance structure analysis: Conventional criteria versus new alternatives. Structural Equation Modeling: A Multidisciplinary Journal, 6(1), 1–55. https://doi.org/10.1080/10705519909540118</w:t>
      </w:r>
    </w:p>
    <w:p w14:paraId="1E65CB16"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King, A., &amp; Dudley, R. (2017). Paranoia, Worry, Cognitive Avoidance and Intolerance of Uncertainty in a student population. Journal of Applied Psychology and Social Science, 3(2), Article 2.</w:t>
      </w:r>
    </w:p>
    <w:p w14:paraId="422CDE8A" w14:textId="77777777" w:rsidR="008E2CD7" w:rsidRPr="0095118E" w:rsidRDefault="008E2CD7" w:rsidP="008E2CD7">
      <w:pPr>
        <w:spacing w:line="480" w:lineRule="auto"/>
        <w:ind w:firstLine="720"/>
        <w:rPr>
          <w:rFonts w:asciiTheme="majorBidi" w:hAnsiTheme="majorBidi" w:cstheme="majorBidi"/>
          <w:sz w:val="24"/>
          <w:szCs w:val="24"/>
          <w:lang w:val="de-DE"/>
        </w:rPr>
      </w:pPr>
      <w:r w:rsidRPr="0095118E">
        <w:rPr>
          <w:rFonts w:asciiTheme="majorBidi" w:hAnsiTheme="majorBidi" w:cstheme="majorBidi"/>
          <w:sz w:val="24"/>
          <w:szCs w:val="24"/>
        </w:rPr>
        <w:t xml:space="preserve">Kingston, J. L., Schlier, B., Ellett, L., So, S. H., Gaudiano, B. A., Morris, E. M. J., &amp; Lincoln, T. M. (2023). The Pandemic Paranoia Scale (PPS): Factor structure and measurement invariance across languages. </w:t>
      </w:r>
      <w:r w:rsidRPr="0095118E">
        <w:rPr>
          <w:rFonts w:asciiTheme="majorBidi" w:hAnsiTheme="majorBidi" w:cstheme="majorBidi"/>
          <w:sz w:val="24"/>
          <w:szCs w:val="24"/>
          <w:lang w:val="de-DE"/>
        </w:rPr>
        <w:t>Psychological Medicine, 53(6), 2652–2661. https://doi.org/10.1017/S0033291721004633</w:t>
      </w:r>
    </w:p>
    <w:p w14:paraId="4E621BEA" w14:textId="77777777" w:rsidR="008E2CD7" w:rsidRPr="0095118E" w:rsidRDefault="008E2CD7" w:rsidP="008E2CD7">
      <w:pPr>
        <w:spacing w:line="480" w:lineRule="auto"/>
        <w:ind w:firstLine="720"/>
        <w:rPr>
          <w:rFonts w:asciiTheme="majorBidi" w:hAnsiTheme="majorBidi" w:cstheme="majorBidi"/>
          <w:sz w:val="24"/>
          <w:szCs w:val="24"/>
          <w:lang w:val="pl-PL"/>
        </w:rPr>
      </w:pPr>
      <w:r w:rsidRPr="0095118E">
        <w:rPr>
          <w:rFonts w:asciiTheme="majorBidi" w:hAnsiTheme="majorBidi" w:cstheme="majorBidi"/>
          <w:sz w:val="24"/>
          <w:szCs w:val="24"/>
          <w:lang w:val="de-DE"/>
        </w:rPr>
        <w:t xml:space="preserve">Kroenke, K., Spitzer, R. L., &amp; Williams, J. B. W. (2001). </w:t>
      </w:r>
      <w:r w:rsidRPr="0095118E">
        <w:rPr>
          <w:rFonts w:asciiTheme="majorBidi" w:hAnsiTheme="majorBidi" w:cstheme="majorBidi"/>
          <w:sz w:val="24"/>
          <w:szCs w:val="24"/>
        </w:rPr>
        <w:t xml:space="preserve">The PHQ-9. Journal of General Internal Medicine, 16(9), 606–613. </w:t>
      </w:r>
      <w:hyperlink r:id="rId10" w:history="1">
        <w:r w:rsidRPr="0095118E">
          <w:rPr>
            <w:rStyle w:val="Hyperlink"/>
            <w:rFonts w:asciiTheme="majorBidi" w:hAnsiTheme="majorBidi"/>
            <w:sz w:val="24"/>
            <w:szCs w:val="24"/>
            <w:lang w:val="pl-PL"/>
          </w:rPr>
          <w:t>https://doi.org/10.1046/j.1525-1497.2001.016009606.x</w:t>
        </w:r>
      </w:hyperlink>
    </w:p>
    <w:p w14:paraId="24D5BA4C"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lang w:val="pl-PL"/>
        </w:rPr>
        <w:t xml:space="preserve">MacCallum, R. C., Browne, M. W., &amp; Sugawara, H. M. (1996). </w:t>
      </w:r>
      <w:r w:rsidRPr="0095118E">
        <w:rPr>
          <w:rFonts w:asciiTheme="majorBidi" w:hAnsiTheme="majorBidi" w:cstheme="majorBidi"/>
          <w:sz w:val="24"/>
          <w:szCs w:val="24"/>
        </w:rPr>
        <w:t>Power analysis and determination of sample size for covariance structure modeling. Psychological Methods, 1, 130-149. doi: 10.1037/1082-989X.1.2.130.</w:t>
      </w:r>
    </w:p>
    <w:p w14:paraId="3658CABB"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McBride, O., Murphy, J., Shevlin, M., Gibson-Miller, J., Hartman, T. K., Hyland, P., Levita, L., Mason, L., Martinez, A. P., McKay, R., Stocks, T. V., Bennett, K. M., Vallières, F., Karatzias, T., Valiente, C., Vazquez, C., &amp; Bentall, R. P. (2021). Monitoring the psychological, social, and economic impact of the COVID-19 pandemic in the population: Context, design and conduct of the longitudinal COVID-19 psychological research consortium (C19PRC) study. International Journal of Methods in Psychiatric Research, 30(1), e1861. https://doi.org/10.1002/mpr.1861</w:t>
      </w:r>
    </w:p>
    <w:p w14:paraId="0766289A" w14:textId="77777777" w:rsidR="008E2CD7" w:rsidRPr="0095118E" w:rsidRDefault="008E2CD7" w:rsidP="008E2CD7">
      <w:pPr>
        <w:spacing w:line="480" w:lineRule="auto"/>
        <w:ind w:firstLine="720"/>
        <w:rPr>
          <w:rFonts w:asciiTheme="majorBidi" w:hAnsiTheme="majorBidi" w:cstheme="majorBidi"/>
          <w:sz w:val="24"/>
          <w:szCs w:val="24"/>
          <w:lang w:val="de-DE"/>
        </w:rPr>
      </w:pPr>
      <w:r w:rsidRPr="0095118E">
        <w:rPr>
          <w:rFonts w:asciiTheme="majorBidi" w:hAnsiTheme="majorBidi" w:cstheme="majorBidi"/>
          <w:sz w:val="24"/>
          <w:szCs w:val="24"/>
          <w:lang w:val="de-DE"/>
        </w:rPr>
        <w:t>McIntyre, J. C., Wickham, S., Barr, B., &amp; Bentall, R. P. (2018). Social Identity and Psychosis: Associations and Psychological Mechanisms. Schizophrenia Bulletin, 44(3), 681–690. https://doi.org/10.1093/schbul/sbx110</w:t>
      </w:r>
    </w:p>
    <w:p w14:paraId="7530460D"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lang w:val="de-DE"/>
        </w:rPr>
        <w:t xml:space="preserve">Melo, S., Corcoran, R., Shryane, N., &amp; Bentall, R. P. (2009). </w:t>
      </w:r>
      <w:r w:rsidRPr="0095118E">
        <w:rPr>
          <w:rFonts w:asciiTheme="majorBidi" w:hAnsiTheme="majorBidi" w:cstheme="majorBidi"/>
          <w:sz w:val="24"/>
          <w:szCs w:val="24"/>
        </w:rPr>
        <w:t>The persecution and deservedness scale. Psychology and Psychotherapy: Theory, Research and Practice, 82(3), 247–260. https://doi.org/10.1348/147608308X398337</w:t>
      </w:r>
    </w:p>
    <w:p w14:paraId="57FC6412"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lang w:val="de-DE"/>
        </w:rPr>
        <w:t xml:space="preserve">Moritz, S., Göritz, A. S., McLean, B., Westermann, S., &amp; Brodbeck, J. (2017). </w:t>
      </w:r>
      <w:r w:rsidRPr="0095118E">
        <w:rPr>
          <w:rFonts w:asciiTheme="majorBidi" w:hAnsiTheme="majorBidi" w:cstheme="majorBidi"/>
          <w:sz w:val="24"/>
          <w:szCs w:val="24"/>
        </w:rPr>
        <w:t>Do depressive symptoms predict paranoia or vice versa? Journal of Behavior Therapy and Experimental Psychiatry, 56, 113–121. https://doi.org/10.1016/j.jbtep.2016.10.002</w:t>
      </w:r>
    </w:p>
    <w:p w14:paraId="0897F06B"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lang w:val="sv-SE"/>
        </w:rPr>
        <w:t xml:space="preserve">Morriss, J., Butler, D., &amp; Ellett, L. (2024). </w:t>
      </w:r>
      <w:r w:rsidRPr="0095118E">
        <w:rPr>
          <w:rFonts w:asciiTheme="majorBidi" w:hAnsiTheme="majorBidi" w:cstheme="majorBidi"/>
          <w:sz w:val="24"/>
          <w:szCs w:val="24"/>
        </w:rPr>
        <w:t>Intolerance of uncertainty and psychosis: A systematic review. British Journal of Clinical Psychology, n/a(n/a). https://doi.org/10.1111/bjc.12509</w:t>
      </w:r>
    </w:p>
    <w:p w14:paraId="47EEDF3C" w14:textId="77777777" w:rsidR="008E2CD7" w:rsidRPr="0095118E" w:rsidRDefault="008E2CD7" w:rsidP="008E2CD7">
      <w:pPr>
        <w:spacing w:line="480" w:lineRule="auto"/>
        <w:ind w:firstLine="720"/>
        <w:rPr>
          <w:rFonts w:asciiTheme="majorBidi" w:hAnsiTheme="majorBidi" w:cstheme="majorBidi"/>
          <w:sz w:val="24"/>
          <w:szCs w:val="24"/>
          <w:lang w:val="pt-PT"/>
        </w:rPr>
      </w:pPr>
      <w:r w:rsidRPr="0095118E">
        <w:rPr>
          <w:rFonts w:asciiTheme="majorBidi" w:hAnsiTheme="majorBidi" w:cstheme="majorBidi"/>
          <w:sz w:val="24"/>
          <w:szCs w:val="24"/>
          <w:lang w:val="it-IT"/>
        </w:rPr>
        <w:t xml:space="preserve">Morriss, J., Gaudiano, B. A., So, S. H., Kingston, J., Lincoln, T., Morris, E. M. J., &amp; Ellett, L. (2024). </w:t>
      </w:r>
      <w:r w:rsidRPr="0095118E">
        <w:rPr>
          <w:rFonts w:asciiTheme="majorBidi" w:hAnsiTheme="majorBidi" w:cstheme="majorBidi"/>
          <w:sz w:val="24"/>
          <w:szCs w:val="24"/>
        </w:rPr>
        <w:t xml:space="preserve">Associations between intolerance of uncertainty, paranoia, anxiety, and depression: Evidence from an international multisite sample. </w:t>
      </w:r>
      <w:r w:rsidRPr="0095118E">
        <w:rPr>
          <w:rFonts w:asciiTheme="majorBidi" w:hAnsiTheme="majorBidi" w:cstheme="majorBidi"/>
          <w:sz w:val="24"/>
          <w:szCs w:val="24"/>
          <w:lang w:val="pt-PT"/>
        </w:rPr>
        <w:t>Mental Health Science, n/a(n/a), e81. https://doi.org/10.1002/mhs2.81</w:t>
      </w:r>
    </w:p>
    <w:p w14:paraId="31F6DAA3"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lang w:val="pt-PT"/>
        </w:rPr>
        <w:t xml:space="preserve">Phillips, M. L., Senior, C., &amp; David, A. S. (2000). </w:t>
      </w:r>
      <w:r w:rsidRPr="0095118E">
        <w:rPr>
          <w:rFonts w:asciiTheme="majorBidi" w:hAnsiTheme="majorBidi" w:cstheme="majorBidi"/>
          <w:sz w:val="24"/>
          <w:szCs w:val="24"/>
        </w:rPr>
        <w:t>Perception of threat in schizophrenics with persecutory delusions: An investigation using visual scan paths. Psychological Medicine, 30(1), 157–167. https://doi.org/10.1017/S0033291799001397</w:t>
      </w:r>
    </w:p>
    <w:p w14:paraId="662E70E2"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Pineles, S. L., Shipherd, J. C., Mostoufi, S. M., Abramovitz, S. M., &amp; Yovel, I. (2009). Attentional biases in PTSD: More evidence for interference. Behaviour Research and Therapy, 47(12), 1050–1057. https://doi.org/10.1016/j.brat.2009.08.001</w:t>
      </w:r>
    </w:p>
    <w:p w14:paraId="1EAD8DDB"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Ramklint, M., &amp; Ekselius, L. (2003). Personality traits and personality disorders in early onset versus late onset major depression. Journal of Affective Disorders, 75(1), 35–42. https://doi.org/10.1016/S0165-0327(02)00028-9</w:t>
      </w:r>
    </w:p>
    <w:p w14:paraId="0327D8CA"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Rammstedt, B., &amp; John, O. P. (2007). Measuring personality in one minute or less: A 10-item short version of the Big Five Inventory in English and German. Journal of Research in Personality, 41(1), 203–212. https://doi.org/10.1016/j.jrp.2006.02.001</w:t>
      </w:r>
    </w:p>
    <w:p w14:paraId="2AB462C6"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Robichaud, M., Koerner, N., &amp; Dugas, M. J. (2019). Cognitive Behavioral Treatment for Generalized Anxiety Disorder: From Science to Practice (2nd ed.). Routledge. https://doi.org/10.4324/9781315709741</w:t>
      </w:r>
    </w:p>
    <w:p w14:paraId="653E11E8"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 xml:space="preserve">Saarinen, A., Hintsanen, M., Hakulinen, C., Pulkki-Råback, L., Lehtimäki, T., Raitakari, O., &amp; Keltikangas-Järvinen, L. (2018). The co-occurrence between depressive symptoms and paranoid ideation: A population-based longitudinal study. Journal of Affective Disorders, 229, 48–55. </w:t>
      </w:r>
      <w:hyperlink r:id="rId11" w:history="1">
        <w:r w:rsidRPr="0095118E">
          <w:rPr>
            <w:rStyle w:val="Hyperlink"/>
            <w:rFonts w:asciiTheme="majorBidi" w:hAnsiTheme="majorBidi"/>
            <w:sz w:val="24"/>
            <w:szCs w:val="24"/>
          </w:rPr>
          <w:t>https://doi.org/10.1016/j.jad.2017.12.045</w:t>
        </w:r>
      </w:hyperlink>
    </w:p>
    <w:p w14:paraId="1941E92B"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Sitko, K., Bentall, R. P., Shevlin, M., O'Sullivan, N., &amp; Sellwood, W. (2014). Associations between specific psychotic symptoms and specific childhood adversities are mediated by attachment styles: An analysis of the National Comorbidity Survey. Psychiatry Research, 217, 202-209. https://doi.org/10.1016/j.psychres.2014.03.019</w:t>
      </w:r>
    </w:p>
    <w:p w14:paraId="109AE214"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Shihata, S., McEvoy, P. M., Mullan, B. A., &amp; Carleton, R. N. (2016). Intolerance of uncertainty in emotional disorders: What uncertainties remain? Journal of Anxiety Disorders, 41, 115–124. https://doi.org/10.1016/j.janxdis.2016.05.001</w:t>
      </w:r>
    </w:p>
    <w:p w14:paraId="20DFC95F"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Spitzer, R. L., Kroenke, K., Williams, J. B. W., &amp; Löwe, B. (2006). A Brief Measure for Assessing Generalized Anxiety Disorder: The GAD-7. Archives of Internal Medicine, 166(10), 1092–1097. https://doi.org/10.1001/archinte.166.10.1092</w:t>
      </w:r>
    </w:p>
    <w:p w14:paraId="443D0C84"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Startup, H., Pugh, K., Dunn, G., Cordwell, J., Mander, H., Cernis, E., Wingham, G., Shirvell, K., Kingdon, D., &amp; Freeman, D. (2016). Worry processes in patients with persecutory delusions. BRITISH JOURNAL OF CLINICAL PSYCHOLOGY, 55(4). https://doi.org/10.1111/bjc.12109</w:t>
      </w:r>
    </w:p>
    <w:p w14:paraId="7515F6F9"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 xml:space="preserve">Sun, X., So, S. H., Chan, R. C. K., Chiu, C.-D., &amp; Leung, P. W. L. (2019). Worry and metacognitions as predictors of the development of anxiety and paranoia. Scientific Reports, 9(1), 14723. </w:t>
      </w:r>
      <w:hyperlink r:id="rId12" w:history="1">
        <w:r w:rsidRPr="0095118E">
          <w:rPr>
            <w:rStyle w:val="Hyperlink"/>
            <w:rFonts w:asciiTheme="majorBidi" w:hAnsiTheme="majorBidi"/>
            <w:sz w:val="24"/>
            <w:szCs w:val="24"/>
          </w:rPr>
          <w:t>https://doi.org/10.1038/s41598-019-51280-z</w:t>
        </w:r>
      </w:hyperlink>
    </w:p>
    <w:p w14:paraId="66B0922F" w14:textId="77777777" w:rsidR="008E2CD7" w:rsidRPr="0095118E" w:rsidRDefault="008E2CD7" w:rsidP="008E2CD7">
      <w:pPr>
        <w:spacing w:line="480" w:lineRule="auto"/>
        <w:ind w:firstLine="720"/>
        <w:rPr>
          <w:rFonts w:asciiTheme="majorBidi" w:hAnsiTheme="majorBidi" w:cstheme="majorBidi"/>
          <w:sz w:val="24"/>
          <w:szCs w:val="24"/>
        </w:rPr>
      </w:pPr>
      <w:r w:rsidRPr="00EA2119">
        <w:rPr>
          <w:rFonts w:asciiTheme="majorBidi" w:hAnsiTheme="majorBidi" w:cstheme="majorBidi"/>
          <w:sz w:val="24"/>
          <w:szCs w:val="24"/>
          <w:lang w:val="de-DE"/>
        </w:rPr>
        <w:t xml:space="preserve">Wickham, S., Sitko, K., &amp; Bentall, R. P. (2015). </w:t>
      </w:r>
      <w:r w:rsidRPr="0095118E">
        <w:rPr>
          <w:rFonts w:asciiTheme="majorBidi" w:hAnsiTheme="majorBidi" w:cstheme="majorBidi"/>
          <w:sz w:val="24"/>
          <w:szCs w:val="24"/>
        </w:rPr>
        <w:t>Insecure attachment is associated with paranoia but not hallucinations in psychotic patients: The mediating role of negative self esteem. Psychological Medicine, 45, 1495-1507.https://doi.org/10.1017/S0033291714002633</w:t>
      </w:r>
    </w:p>
    <w:p w14:paraId="1EE50C4A" w14:textId="77777777" w:rsidR="008E2CD7" w:rsidRPr="0095118E"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Zheng, S., Marcos, M., Stewart, K. E., Szabo, J., Pawluk, E., Girard, T. A., &amp; Koerner, N. (2022). Worry, intolerance of uncertainty, negative urgency, and their associations to paranoid thinking. Personality and Individual Differences, 186, 111382. https://doi.org/10.1016/j.paid.2021.111382</w:t>
      </w:r>
    </w:p>
    <w:p w14:paraId="541525FC" w14:textId="77777777" w:rsidR="008E2CD7" w:rsidRDefault="008E2CD7" w:rsidP="008E2CD7">
      <w:pPr>
        <w:spacing w:line="480" w:lineRule="auto"/>
        <w:rPr>
          <w:rFonts w:asciiTheme="majorBidi" w:hAnsiTheme="majorBidi" w:cstheme="majorBidi"/>
          <w:sz w:val="24"/>
          <w:szCs w:val="24"/>
        </w:rPr>
      </w:pPr>
    </w:p>
    <w:p w14:paraId="5A8EEDDA" w14:textId="77777777" w:rsidR="00EA2119" w:rsidRPr="0095118E" w:rsidRDefault="00EA2119" w:rsidP="008E2CD7">
      <w:pPr>
        <w:spacing w:line="480" w:lineRule="auto"/>
        <w:rPr>
          <w:rFonts w:asciiTheme="majorBidi" w:hAnsiTheme="majorBidi" w:cstheme="majorBidi"/>
          <w:sz w:val="24"/>
          <w:szCs w:val="24"/>
        </w:rPr>
      </w:pPr>
    </w:p>
    <w:p w14:paraId="4A5F09BD" w14:textId="77777777" w:rsidR="008E2CD7" w:rsidRPr="0095118E" w:rsidRDefault="008E2CD7" w:rsidP="008E2CD7">
      <w:pPr>
        <w:pStyle w:val="Heading1"/>
        <w:spacing w:line="480" w:lineRule="auto"/>
        <w:rPr>
          <w:rFonts w:asciiTheme="majorBidi" w:hAnsiTheme="majorBidi"/>
          <w:sz w:val="24"/>
          <w:szCs w:val="24"/>
        </w:rPr>
      </w:pPr>
      <w:r w:rsidRPr="0095118E">
        <w:rPr>
          <w:rFonts w:asciiTheme="majorBidi" w:hAnsiTheme="majorBidi"/>
          <w:b/>
          <w:bCs/>
          <w:color w:val="000000" w:themeColor="text1"/>
          <w:sz w:val="24"/>
          <w:szCs w:val="24"/>
        </w:rPr>
        <w:t>Supplementary Material</w:t>
      </w:r>
    </w:p>
    <w:p w14:paraId="3B0585A8" w14:textId="77777777" w:rsidR="008E2CD7" w:rsidRPr="0095118E" w:rsidRDefault="008E2CD7" w:rsidP="008E2CD7">
      <w:pPr>
        <w:rPr>
          <w:sz w:val="24"/>
          <w:szCs w:val="24"/>
        </w:rPr>
      </w:pPr>
    </w:p>
    <w:p w14:paraId="5DE54A62" w14:textId="77777777" w:rsidR="008E2CD7" w:rsidRPr="0095118E" w:rsidRDefault="008E2CD7" w:rsidP="008E2CD7">
      <w:pPr>
        <w:spacing w:line="480" w:lineRule="auto"/>
        <w:rPr>
          <w:rFonts w:asciiTheme="majorBidi" w:hAnsiTheme="majorBidi" w:cstheme="majorBidi"/>
          <w:sz w:val="24"/>
          <w:szCs w:val="24"/>
        </w:rPr>
      </w:pPr>
      <w:r w:rsidRPr="0095118E">
        <w:rPr>
          <w:rFonts w:asciiTheme="majorBidi" w:hAnsiTheme="majorBidi" w:cstheme="majorBidi"/>
          <w:b/>
          <w:bCs/>
          <w:sz w:val="24"/>
          <w:szCs w:val="24"/>
        </w:rPr>
        <w:t>Table S</w:t>
      </w:r>
      <w:r w:rsidRPr="0095118E">
        <w:rPr>
          <w:rFonts w:asciiTheme="majorBidi" w:hAnsiTheme="majorBidi" w:cstheme="majorBidi" w:hint="eastAsia"/>
          <w:b/>
          <w:bCs/>
          <w:sz w:val="24"/>
          <w:szCs w:val="24"/>
        </w:rPr>
        <w:t>1.</w:t>
      </w:r>
      <w:r w:rsidRPr="0095118E">
        <w:rPr>
          <w:rFonts w:asciiTheme="majorBidi" w:hAnsiTheme="majorBidi" w:cstheme="majorBidi" w:hint="eastAsia"/>
          <w:sz w:val="24"/>
          <w:szCs w:val="24"/>
        </w:rPr>
        <w:t xml:space="preserve"> </w:t>
      </w:r>
      <w:r w:rsidRPr="0095118E">
        <w:rPr>
          <w:rFonts w:asciiTheme="majorBidi" w:hAnsiTheme="majorBidi" w:cstheme="majorBidi"/>
          <w:sz w:val="24"/>
          <w:szCs w:val="24"/>
        </w:rPr>
        <w:t>Standardized Regression Coefficients from IU to Clinical Outcomes Without Covariates Across Waves</w:t>
      </w:r>
      <w:r w:rsidRPr="0095118E">
        <w:rPr>
          <w:rFonts w:asciiTheme="majorBidi" w:hAnsiTheme="majorBidi" w:cstheme="majorBidi"/>
          <w:sz w:val="24"/>
          <w:szCs w:val="24"/>
        </w:rPr>
        <w:tab/>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7"/>
        <w:gridCol w:w="1275"/>
        <w:gridCol w:w="1174"/>
        <w:gridCol w:w="1088"/>
        <w:gridCol w:w="600"/>
        <w:gridCol w:w="1255"/>
        <w:gridCol w:w="782"/>
      </w:tblGrid>
      <w:tr w:rsidR="008E2CD7" w:rsidRPr="0095118E" w14:paraId="69A09C0F" w14:textId="77777777" w:rsidTr="005D539A">
        <w:trPr>
          <w:tblHeader/>
          <w:tblCellSpacing w:w="15" w:type="dxa"/>
        </w:trPr>
        <w:tc>
          <w:tcPr>
            <w:tcW w:w="2082" w:type="dxa"/>
            <w:tcBorders>
              <w:top w:val="single" w:sz="12" w:space="0" w:color="auto"/>
              <w:bottom w:val="single" w:sz="12" w:space="0" w:color="auto"/>
            </w:tcBorders>
            <w:vAlign w:val="center"/>
            <w:hideMark/>
          </w:tcPr>
          <w:p w14:paraId="40636EF6" w14:textId="77777777" w:rsidR="008E2CD7" w:rsidRPr="0095118E" w:rsidRDefault="008E2CD7" w:rsidP="005D539A">
            <w:pPr>
              <w:spacing w:after="0" w:line="480" w:lineRule="auto"/>
              <w:jc w:val="center"/>
              <w:rPr>
                <w:rFonts w:ascii="Times New Roman" w:eastAsia="Times New Roman" w:hAnsi="Times New Roman" w:cs="Times New Roman"/>
                <w:b/>
                <w:bCs/>
                <w:kern w:val="0"/>
                <w:sz w:val="24"/>
                <w:szCs w:val="24"/>
                <w14:ligatures w14:val="none"/>
              </w:rPr>
            </w:pPr>
            <w:r w:rsidRPr="0095118E">
              <w:rPr>
                <w:rFonts w:ascii="Times New Roman" w:eastAsia="Times New Roman" w:hAnsi="Times New Roman" w:cs="Times New Roman"/>
                <w:b/>
                <w:bCs/>
                <w:kern w:val="0"/>
                <w:sz w:val="24"/>
                <w:szCs w:val="24"/>
                <w14:ligatures w14:val="none"/>
              </w:rPr>
              <w:t>Outcome Variable</w:t>
            </w:r>
          </w:p>
        </w:tc>
        <w:tc>
          <w:tcPr>
            <w:tcW w:w="1245" w:type="dxa"/>
            <w:tcBorders>
              <w:top w:val="single" w:sz="12" w:space="0" w:color="auto"/>
              <w:bottom w:val="single" w:sz="12" w:space="0" w:color="auto"/>
            </w:tcBorders>
            <w:vAlign w:val="center"/>
            <w:hideMark/>
          </w:tcPr>
          <w:p w14:paraId="41A4B9A5" w14:textId="77777777" w:rsidR="008E2CD7" w:rsidRPr="0095118E" w:rsidRDefault="008E2CD7" w:rsidP="005D539A">
            <w:pPr>
              <w:spacing w:after="0" w:line="480" w:lineRule="auto"/>
              <w:jc w:val="center"/>
              <w:rPr>
                <w:rFonts w:ascii="Times New Roman" w:eastAsia="Times New Roman" w:hAnsi="Times New Roman" w:cs="Times New Roman"/>
                <w:b/>
                <w:bCs/>
                <w:kern w:val="0"/>
                <w:sz w:val="24"/>
                <w:szCs w:val="24"/>
                <w14:ligatures w14:val="none"/>
              </w:rPr>
            </w:pPr>
            <w:r w:rsidRPr="0095118E">
              <w:rPr>
                <w:rFonts w:ascii="Times New Roman" w:eastAsia="Times New Roman" w:hAnsi="Times New Roman" w:cs="Times New Roman"/>
                <w:b/>
                <w:bCs/>
                <w:kern w:val="0"/>
                <w:sz w:val="24"/>
                <w:szCs w:val="24"/>
                <w14:ligatures w14:val="none"/>
              </w:rPr>
              <w:t>Wave</w:t>
            </w:r>
          </w:p>
        </w:tc>
        <w:tc>
          <w:tcPr>
            <w:tcW w:w="1144" w:type="dxa"/>
            <w:tcBorders>
              <w:top w:val="single" w:sz="12" w:space="0" w:color="auto"/>
              <w:bottom w:val="single" w:sz="12" w:space="0" w:color="auto"/>
            </w:tcBorders>
            <w:vAlign w:val="center"/>
            <w:hideMark/>
          </w:tcPr>
          <w:p w14:paraId="6772C675" w14:textId="77777777" w:rsidR="008E2CD7" w:rsidRPr="0095118E" w:rsidRDefault="008E2CD7" w:rsidP="005D539A">
            <w:pPr>
              <w:spacing w:after="0" w:line="480" w:lineRule="auto"/>
              <w:jc w:val="center"/>
              <w:rPr>
                <w:rFonts w:ascii="Times New Roman" w:eastAsia="Times New Roman" w:hAnsi="Times New Roman" w:cs="Times New Roman"/>
                <w:b/>
                <w:bCs/>
                <w:kern w:val="0"/>
                <w:sz w:val="24"/>
                <w:szCs w:val="24"/>
                <w14:ligatures w14:val="none"/>
              </w:rPr>
            </w:pPr>
            <w:r w:rsidRPr="0095118E">
              <w:rPr>
                <w:rFonts w:ascii="Times New Roman" w:eastAsia="Times New Roman" w:hAnsi="Times New Roman" w:cs="Times New Roman"/>
                <w:b/>
                <w:bCs/>
                <w:kern w:val="0"/>
                <w:sz w:val="24"/>
                <w:szCs w:val="24"/>
                <w14:ligatures w14:val="none"/>
              </w:rPr>
              <w:t>β (IU → Outcome)</w:t>
            </w:r>
          </w:p>
        </w:tc>
        <w:tc>
          <w:tcPr>
            <w:tcW w:w="1058" w:type="dxa"/>
            <w:tcBorders>
              <w:top w:val="single" w:sz="12" w:space="0" w:color="auto"/>
              <w:bottom w:val="single" w:sz="12" w:space="0" w:color="auto"/>
            </w:tcBorders>
            <w:vAlign w:val="center"/>
            <w:hideMark/>
          </w:tcPr>
          <w:p w14:paraId="39345657" w14:textId="77777777" w:rsidR="008E2CD7" w:rsidRPr="0095118E" w:rsidRDefault="008E2CD7" w:rsidP="005D539A">
            <w:pPr>
              <w:spacing w:after="0" w:line="480" w:lineRule="auto"/>
              <w:jc w:val="center"/>
              <w:rPr>
                <w:rFonts w:ascii="Times New Roman" w:eastAsia="Times New Roman" w:hAnsi="Times New Roman" w:cs="Times New Roman"/>
                <w:b/>
                <w:bCs/>
                <w:kern w:val="0"/>
                <w:sz w:val="24"/>
                <w:szCs w:val="24"/>
                <w14:ligatures w14:val="none"/>
              </w:rPr>
            </w:pPr>
            <w:r w:rsidRPr="0095118E">
              <w:rPr>
                <w:rFonts w:ascii="Times New Roman" w:eastAsia="Times New Roman" w:hAnsi="Times New Roman" w:cs="Times New Roman"/>
                <w:b/>
                <w:bCs/>
                <w:i/>
                <w:iCs/>
                <w:kern w:val="0"/>
                <w:sz w:val="24"/>
                <w:szCs w:val="24"/>
                <w14:ligatures w14:val="none"/>
              </w:rPr>
              <w:t>p</w:t>
            </w:r>
          </w:p>
        </w:tc>
        <w:tc>
          <w:tcPr>
            <w:tcW w:w="570" w:type="dxa"/>
            <w:tcBorders>
              <w:top w:val="single" w:sz="12" w:space="0" w:color="auto"/>
              <w:bottom w:val="single" w:sz="12" w:space="0" w:color="auto"/>
            </w:tcBorders>
            <w:vAlign w:val="center"/>
            <w:hideMark/>
          </w:tcPr>
          <w:p w14:paraId="27E1074C" w14:textId="77777777" w:rsidR="008E2CD7" w:rsidRPr="0095118E" w:rsidRDefault="008E2CD7" w:rsidP="005D539A">
            <w:pPr>
              <w:spacing w:after="0" w:line="480" w:lineRule="auto"/>
              <w:jc w:val="center"/>
              <w:rPr>
                <w:rFonts w:ascii="Times New Roman" w:eastAsia="Times New Roman" w:hAnsi="Times New Roman" w:cs="Times New Roman"/>
                <w:b/>
                <w:bCs/>
                <w:kern w:val="0"/>
                <w:sz w:val="24"/>
                <w:szCs w:val="24"/>
                <w14:ligatures w14:val="none"/>
              </w:rPr>
            </w:pPr>
            <w:r w:rsidRPr="0095118E">
              <w:rPr>
                <w:rFonts w:ascii="Times New Roman" w:eastAsia="Times New Roman" w:hAnsi="Times New Roman" w:cs="Times New Roman"/>
                <w:b/>
                <w:bCs/>
                <w:kern w:val="0"/>
                <w:sz w:val="24"/>
                <w:szCs w:val="24"/>
                <w14:ligatures w14:val="none"/>
              </w:rPr>
              <w:t>CFI</w:t>
            </w:r>
          </w:p>
        </w:tc>
        <w:tc>
          <w:tcPr>
            <w:tcW w:w="1225" w:type="dxa"/>
            <w:tcBorders>
              <w:top w:val="single" w:sz="12" w:space="0" w:color="auto"/>
              <w:bottom w:val="single" w:sz="12" w:space="0" w:color="auto"/>
            </w:tcBorders>
            <w:vAlign w:val="center"/>
            <w:hideMark/>
          </w:tcPr>
          <w:p w14:paraId="7EE1B138" w14:textId="77777777" w:rsidR="008E2CD7" w:rsidRPr="0095118E" w:rsidRDefault="008E2CD7" w:rsidP="005D539A">
            <w:pPr>
              <w:spacing w:after="0" w:line="480" w:lineRule="auto"/>
              <w:jc w:val="center"/>
              <w:rPr>
                <w:rFonts w:ascii="Times New Roman" w:eastAsia="Times New Roman" w:hAnsi="Times New Roman" w:cs="Times New Roman"/>
                <w:b/>
                <w:bCs/>
                <w:kern w:val="0"/>
                <w:sz w:val="24"/>
                <w:szCs w:val="24"/>
                <w14:ligatures w14:val="none"/>
              </w:rPr>
            </w:pPr>
            <w:r w:rsidRPr="0095118E">
              <w:rPr>
                <w:rFonts w:ascii="Times New Roman" w:eastAsia="Times New Roman" w:hAnsi="Times New Roman" w:cs="Times New Roman"/>
                <w:b/>
                <w:bCs/>
                <w:kern w:val="0"/>
                <w:sz w:val="24"/>
                <w:szCs w:val="24"/>
                <w14:ligatures w14:val="none"/>
              </w:rPr>
              <w:t>RMSEA</w:t>
            </w:r>
          </w:p>
        </w:tc>
        <w:tc>
          <w:tcPr>
            <w:tcW w:w="737" w:type="dxa"/>
            <w:tcBorders>
              <w:top w:val="single" w:sz="12" w:space="0" w:color="auto"/>
              <w:bottom w:val="single" w:sz="12" w:space="0" w:color="auto"/>
            </w:tcBorders>
            <w:vAlign w:val="center"/>
            <w:hideMark/>
          </w:tcPr>
          <w:p w14:paraId="33589D8B" w14:textId="77777777" w:rsidR="008E2CD7" w:rsidRPr="0095118E" w:rsidRDefault="008E2CD7" w:rsidP="005D539A">
            <w:pPr>
              <w:spacing w:after="0" w:line="480" w:lineRule="auto"/>
              <w:jc w:val="center"/>
              <w:rPr>
                <w:rFonts w:ascii="Times New Roman" w:eastAsia="Times New Roman" w:hAnsi="Times New Roman" w:cs="Times New Roman"/>
                <w:b/>
                <w:bCs/>
                <w:kern w:val="0"/>
                <w:sz w:val="24"/>
                <w:szCs w:val="24"/>
                <w14:ligatures w14:val="none"/>
              </w:rPr>
            </w:pPr>
            <w:r w:rsidRPr="0095118E">
              <w:rPr>
                <w:rFonts w:ascii="Times New Roman" w:eastAsia="Times New Roman" w:hAnsi="Times New Roman" w:cs="Times New Roman"/>
                <w:b/>
                <w:bCs/>
                <w:kern w:val="0"/>
                <w:sz w:val="24"/>
                <w:szCs w:val="24"/>
                <w14:ligatures w14:val="none"/>
              </w:rPr>
              <w:t>SRMR</w:t>
            </w:r>
          </w:p>
        </w:tc>
      </w:tr>
      <w:tr w:rsidR="008E2CD7" w:rsidRPr="0095118E" w14:paraId="799DE319" w14:textId="77777777" w:rsidTr="005D539A">
        <w:trPr>
          <w:tblCellSpacing w:w="15" w:type="dxa"/>
        </w:trPr>
        <w:tc>
          <w:tcPr>
            <w:tcW w:w="2082" w:type="dxa"/>
            <w:vAlign w:val="center"/>
            <w:hideMark/>
          </w:tcPr>
          <w:p w14:paraId="518FDEFD"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Paranoia</w:t>
            </w:r>
          </w:p>
        </w:tc>
        <w:tc>
          <w:tcPr>
            <w:tcW w:w="1245" w:type="dxa"/>
            <w:vAlign w:val="center"/>
            <w:hideMark/>
          </w:tcPr>
          <w:p w14:paraId="176A6D33"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W1</w:t>
            </w:r>
          </w:p>
        </w:tc>
        <w:tc>
          <w:tcPr>
            <w:tcW w:w="1144" w:type="dxa"/>
            <w:vAlign w:val="center"/>
            <w:hideMark/>
          </w:tcPr>
          <w:p w14:paraId="68EBF678"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.843</w:t>
            </w:r>
          </w:p>
        </w:tc>
        <w:tc>
          <w:tcPr>
            <w:tcW w:w="1058" w:type="dxa"/>
            <w:vAlign w:val="center"/>
            <w:hideMark/>
          </w:tcPr>
          <w:p w14:paraId="3F5B5B98"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&lt; .001</w:t>
            </w:r>
          </w:p>
        </w:tc>
        <w:tc>
          <w:tcPr>
            <w:tcW w:w="570" w:type="dxa"/>
            <w:vAlign w:val="center"/>
            <w:hideMark/>
          </w:tcPr>
          <w:p w14:paraId="2ED5B5AE"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.993</w:t>
            </w:r>
          </w:p>
        </w:tc>
        <w:tc>
          <w:tcPr>
            <w:tcW w:w="1225" w:type="dxa"/>
            <w:vAlign w:val="center"/>
            <w:hideMark/>
          </w:tcPr>
          <w:p w14:paraId="57A7976C"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.078</w:t>
            </w:r>
          </w:p>
        </w:tc>
        <w:tc>
          <w:tcPr>
            <w:tcW w:w="737" w:type="dxa"/>
            <w:vAlign w:val="center"/>
            <w:hideMark/>
          </w:tcPr>
          <w:p w14:paraId="5368E173"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.015</w:t>
            </w:r>
          </w:p>
        </w:tc>
      </w:tr>
      <w:tr w:rsidR="008E2CD7" w:rsidRPr="0095118E" w14:paraId="54EE85C6" w14:textId="77777777" w:rsidTr="005D539A">
        <w:trPr>
          <w:tblCellSpacing w:w="15" w:type="dxa"/>
        </w:trPr>
        <w:tc>
          <w:tcPr>
            <w:tcW w:w="2082" w:type="dxa"/>
            <w:vAlign w:val="center"/>
            <w:hideMark/>
          </w:tcPr>
          <w:p w14:paraId="391E2C9F"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Depression</w:t>
            </w:r>
          </w:p>
        </w:tc>
        <w:tc>
          <w:tcPr>
            <w:tcW w:w="1245" w:type="dxa"/>
            <w:vAlign w:val="center"/>
            <w:hideMark/>
          </w:tcPr>
          <w:p w14:paraId="55A29106"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W1</w:t>
            </w:r>
          </w:p>
        </w:tc>
        <w:tc>
          <w:tcPr>
            <w:tcW w:w="1144" w:type="dxa"/>
            <w:vAlign w:val="center"/>
            <w:hideMark/>
          </w:tcPr>
          <w:p w14:paraId="58A27509"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.930</w:t>
            </w:r>
          </w:p>
        </w:tc>
        <w:tc>
          <w:tcPr>
            <w:tcW w:w="1058" w:type="dxa"/>
            <w:vAlign w:val="center"/>
            <w:hideMark/>
          </w:tcPr>
          <w:p w14:paraId="6B70BCA6"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&lt; .001</w:t>
            </w:r>
          </w:p>
        </w:tc>
        <w:tc>
          <w:tcPr>
            <w:tcW w:w="570" w:type="dxa"/>
            <w:vAlign w:val="center"/>
            <w:hideMark/>
          </w:tcPr>
          <w:p w14:paraId="5F021919"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p>
        </w:tc>
        <w:tc>
          <w:tcPr>
            <w:tcW w:w="1225" w:type="dxa"/>
            <w:vAlign w:val="center"/>
            <w:hideMark/>
          </w:tcPr>
          <w:p w14:paraId="6E89CA64" w14:textId="77777777" w:rsidR="008E2CD7" w:rsidRPr="0095118E" w:rsidRDefault="008E2CD7" w:rsidP="005D539A">
            <w:pPr>
              <w:spacing w:after="0" w:line="480" w:lineRule="auto"/>
              <w:jc w:val="center"/>
              <w:rPr>
                <w:rFonts w:ascii="Times New Roman" w:eastAsia="Times New Roman" w:hAnsi="Times New Roman" w:cs="Times New Roman"/>
                <w:kern w:val="0"/>
                <w:sz w:val="20"/>
                <w:szCs w:val="20"/>
                <w14:ligatures w14:val="none"/>
              </w:rPr>
            </w:pPr>
          </w:p>
        </w:tc>
        <w:tc>
          <w:tcPr>
            <w:tcW w:w="737" w:type="dxa"/>
            <w:vAlign w:val="center"/>
            <w:hideMark/>
          </w:tcPr>
          <w:p w14:paraId="37265743" w14:textId="77777777" w:rsidR="008E2CD7" w:rsidRPr="0095118E" w:rsidRDefault="008E2CD7" w:rsidP="005D539A">
            <w:pPr>
              <w:spacing w:after="0" w:line="480" w:lineRule="auto"/>
              <w:jc w:val="center"/>
              <w:rPr>
                <w:rFonts w:ascii="Times New Roman" w:eastAsia="Times New Roman" w:hAnsi="Times New Roman" w:cs="Times New Roman"/>
                <w:kern w:val="0"/>
                <w:sz w:val="20"/>
                <w:szCs w:val="20"/>
                <w14:ligatures w14:val="none"/>
              </w:rPr>
            </w:pPr>
          </w:p>
        </w:tc>
      </w:tr>
      <w:tr w:rsidR="008E2CD7" w:rsidRPr="0095118E" w14:paraId="41B8C5EF" w14:textId="77777777" w:rsidTr="005D539A">
        <w:trPr>
          <w:tblCellSpacing w:w="15" w:type="dxa"/>
        </w:trPr>
        <w:tc>
          <w:tcPr>
            <w:tcW w:w="2082" w:type="dxa"/>
            <w:vAlign w:val="center"/>
            <w:hideMark/>
          </w:tcPr>
          <w:p w14:paraId="5D8ECE00"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GAD</w:t>
            </w:r>
          </w:p>
        </w:tc>
        <w:tc>
          <w:tcPr>
            <w:tcW w:w="1245" w:type="dxa"/>
            <w:vAlign w:val="center"/>
            <w:hideMark/>
          </w:tcPr>
          <w:p w14:paraId="4A81C45E"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W1</w:t>
            </w:r>
          </w:p>
        </w:tc>
        <w:tc>
          <w:tcPr>
            <w:tcW w:w="1144" w:type="dxa"/>
            <w:vAlign w:val="center"/>
            <w:hideMark/>
          </w:tcPr>
          <w:p w14:paraId="6F573957"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.902</w:t>
            </w:r>
          </w:p>
        </w:tc>
        <w:tc>
          <w:tcPr>
            <w:tcW w:w="1058" w:type="dxa"/>
            <w:vAlign w:val="center"/>
            <w:hideMark/>
          </w:tcPr>
          <w:p w14:paraId="003FADBA"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&lt; .001</w:t>
            </w:r>
          </w:p>
        </w:tc>
        <w:tc>
          <w:tcPr>
            <w:tcW w:w="570" w:type="dxa"/>
            <w:vAlign w:val="center"/>
            <w:hideMark/>
          </w:tcPr>
          <w:p w14:paraId="25F87A6F"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p>
        </w:tc>
        <w:tc>
          <w:tcPr>
            <w:tcW w:w="1225" w:type="dxa"/>
            <w:vAlign w:val="center"/>
            <w:hideMark/>
          </w:tcPr>
          <w:p w14:paraId="487DC134" w14:textId="77777777" w:rsidR="008E2CD7" w:rsidRPr="0095118E" w:rsidRDefault="008E2CD7" w:rsidP="005D539A">
            <w:pPr>
              <w:spacing w:after="0" w:line="480" w:lineRule="auto"/>
              <w:jc w:val="center"/>
              <w:rPr>
                <w:rFonts w:ascii="Times New Roman" w:eastAsia="Times New Roman" w:hAnsi="Times New Roman" w:cs="Times New Roman"/>
                <w:kern w:val="0"/>
                <w:sz w:val="20"/>
                <w:szCs w:val="20"/>
                <w14:ligatures w14:val="none"/>
              </w:rPr>
            </w:pPr>
          </w:p>
        </w:tc>
        <w:tc>
          <w:tcPr>
            <w:tcW w:w="737" w:type="dxa"/>
            <w:vAlign w:val="center"/>
            <w:hideMark/>
          </w:tcPr>
          <w:p w14:paraId="1B69B7B1" w14:textId="77777777" w:rsidR="008E2CD7" w:rsidRPr="0095118E" w:rsidRDefault="008E2CD7" w:rsidP="005D539A">
            <w:pPr>
              <w:spacing w:after="0" w:line="480" w:lineRule="auto"/>
              <w:jc w:val="center"/>
              <w:rPr>
                <w:rFonts w:ascii="Times New Roman" w:eastAsia="Times New Roman" w:hAnsi="Times New Roman" w:cs="Times New Roman"/>
                <w:kern w:val="0"/>
                <w:sz w:val="20"/>
                <w:szCs w:val="20"/>
                <w14:ligatures w14:val="none"/>
              </w:rPr>
            </w:pPr>
          </w:p>
        </w:tc>
      </w:tr>
      <w:tr w:rsidR="008E2CD7" w:rsidRPr="0095118E" w14:paraId="5904ED47" w14:textId="77777777" w:rsidTr="005D539A">
        <w:trPr>
          <w:tblCellSpacing w:w="15" w:type="dxa"/>
        </w:trPr>
        <w:tc>
          <w:tcPr>
            <w:tcW w:w="2082" w:type="dxa"/>
            <w:vAlign w:val="center"/>
            <w:hideMark/>
          </w:tcPr>
          <w:p w14:paraId="688E4A59"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Paranoia</w:t>
            </w:r>
          </w:p>
        </w:tc>
        <w:tc>
          <w:tcPr>
            <w:tcW w:w="1245" w:type="dxa"/>
            <w:vAlign w:val="center"/>
            <w:hideMark/>
          </w:tcPr>
          <w:p w14:paraId="35C72115"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W2</w:t>
            </w:r>
          </w:p>
        </w:tc>
        <w:tc>
          <w:tcPr>
            <w:tcW w:w="1144" w:type="dxa"/>
            <w:vAlign w:val="center"/>
            <w:hideMark/>
          </w:tcPr>
          <w:p w14:paraId="334CF9EC"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.750</w:t>
            </w:r>
          </w:p>
        </w:tc>
        <w:tc>
          <w:tcPr>
            <w:tcW w:w="1058" w:type="dxa"/>
            <w:vAlign w:val="center"/>
            <w:hideMark/>
          </w:tcPr>
          <w:p w14:paraId="2B1C9DAA"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&lt; .001</w:t>
            </w:r>
          </w:p>
        </w:tc>
        <w:tc>
          <w:tcPr>
            <w:tcW w:w="570" w:type="dxa"/>
            <w:vAlign w:val="center"/>
            <w:hideMark/>
          </w:tcPr>
          <w:p w14:paraId="03D94ED0"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.997</w:t>
            </w:r>
          </w:p>
        </w:tc>
        <w:tc>
          <w:tcPr>
            <w:tcW w:w="1225" w:type="dxa"/>
            <w:vAlign w:val="center"/>
            <w:hideMark/>
          </w:tcPr>
          <w:p w14:paraId="42B1430D"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.057</w:t>
            </w:r>
          </w:p>
        </w:tc>
        <w:tc>
          <w:tcPr>
            <w:tcW w:w="737" w:type="dxa"/>
            <w:vAlign w:val="center"/>
            <w:hideMark/>
          </w:tcPr>
          <w:p w14:paraId="25661A1F"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.008</w:t>
            </w:r>
          </w:p>
        </w:tc>
      </w:tr>
      <w:tr w:rsidR="008E2CD7" w:rsidRPr="0095118E" w14:paraId="33224DD4" w14:textId="77777777" w:rsidTr="005D539A">
        <w:trPr>
          <w:tblCellSpacing w:w="15" w:type="dxa"/>
        </w:trPr>
        <w:tc>
          <w:tcPr>
            <w:tcW w:w="2082" w:type="dxa"/>
            <w:vAlign w:val="center"/>
            <w:hideMark/>
          </w:tcPr>
          <w:p w14:paraId="2D0FAAB7"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Depression</w:t>
            </w:r>
          </w:p>
        </w:tc>
        <w:tc>
          <w:tcPr>
            <w:tcW w:w="1245" w:type="dxa"/>
            <w:vAlign w:val="center"/>
            <w:hideMark/>
          </w:tcPr>
          <w:p w14:paraId="4D14F3DD"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W2</w:t>
            </w:r>
          </w:p>
        </w:tc>
        <w:tc>
          <w:tcPr>
            <w:tcW w:w="1144" w:type="dxa"/>
            <w:vAlign w:val="center"/>
            <w:hideMark/>
          </w:tcPr>
          <w:p w14:paraId="37DC46C5"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.852</w:t>
            </w:r>
          </w:p>
        </w:tc>
        <w:tc>
          <w:tcPr>
            <w:tcW w:w="1058" w:type="dxa"/>
            <w:vAlign w:val="center"/>
            <w:hideMark/>
          </w:tcPr>
          <w:p w14:paraId="1893B31C"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&lt; .001</w:t>
            </w:r>
          </w:p>
        </w:tc>
        <w:tc>
          <w:tcPr>
            <w:tcW w:w="570" w:type="dxa"/>
            <w:vAlign w:val="center"/>
            <w:hideMark/>
          </w:tcPr>
          <w:p w14:paraId="754AEDD8"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p>
        </w:tc>
        <w:tc>
          <w:tcPr>
            <w:tcW w:w="1225" w:type="dxa"/>
            <w:vAlign w:val="center"/>
            <w:hideMark/>
          </w:tcPr>
          <w:p w14:paraId="56936BE8" w14:textId="77777777" w:rsidR="008E2CD7" w:rsidRPr="0095118E" w:rsidRDefault="008E2CD7" w:rsidP="005D539A">
            <w:pPr>
              <w:spacing w:after="0" w:line="480" w:lineRule="auto"/>
              <w:jc w:val="center"/>
              <w:rPr>
                <w:rFonts w:ascii="Times New Roman" w:eastAsia="Times New Roman" w:hAnsi="Times New Roman" w:cs="Times New Roman"/>
                <w:kern w:val="0"/>
                <w:sz w:val="20"/>
                <w:szCs w:val="20"/>
                <w14:ligatures w14:val="none"/>
              </w:rPr>
            </w:pPr>
          </w:p>
        </w:tc>
        <w:tc>
          <w:tcPr>
            <w:tcW w:w="737" w:type="dxa"/>
            <w:vAlign w:val="center"/>
            <w:hideMark/>
          </w:tcPr>
          <w:p w14:paraId="709F879C" w14:textId="77777777" w:rsidR="008E2CD7" w:rsidRPr="0095118E" w:rsidRDefault="008E2CD7" w:rsidP="005D539A">
            <w:pPr>
              <w:spacing w:after="0" w:line="480" w:lineRule="auto"/>
              <w:jc w:val="center"/>
              <w:rPr>
                <w:rFonts w:ascii="Times New Roman" w:eastAsia="Times New Roman" w:hAnsi="Times New Roman" w:cs="Times New Roman"/>
                <w:kern w:val="0"/>
                <w:sz w:val="20"/>
                <w:szCs w:val="20"/>
                <w14:ligatures w14:val="none"/>
              </w:rPr>
            </w:pPr>
          </w:p>
        </w:tc>
      </w:tr>
      <w:tr w:rsidR="008E2CD7" w:rsidRPr="0095118E" w14:paraId="2F31014B" w14:textId="77777777" w:rsidTr="005D539A">
        <w:trPr>
          <w:tblCellSpacing w:w="15" w:type="dxa"/>
        </w:trPr>
        <w:tc>
          <w:tcPr>
            <w:tcW w:w="2082" w:type="dxa"/>
            <w:vAlign w:val="center"/>
            <w:hideMark/>
          </w:tcPr>
          <w:p w14:paraId="4610960E"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GAD</w:t>
            </w:r>
          </w:p>
        </w:tc>
        <w:tc>
          <w:tcPr>
            <w:tcW w:w="1245" w:type="dxa"/>
            <w:vAlign w:val="center"/>
            <w:hideMark/>
          </w:tcPr>
          <w:p w14:paraId="05598157"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W2</w:t>
            </w:r>
          </w:p>
        </w:tc>
        <w:tc>
          <w:tcPr>
            <w:tcW w:w="1144" w:type="dxa"/>
            <w:vAlign w:val="center"/>
            <w:hideMark/>
          </w:tcPr>
          <w:p w14:paraId="55C38972"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.829</w:t>
            </w:r>
          </w:p>
        </w:tc>
        <w:tc>
          <w:tcPr>
            <w:tcW w:w="1058" w:type="dxa"/>
            <w:vAlign w:val="center"/>
            <w:hideMark/>
          </w:tcPr>
          <w:p w14:paraId="497CC603"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&lt; .001</w:t>
            </w:r>
          </w:p>
        </w:tc>
        <w:tc>
          <w:tcPr>
            <w:tcW w:w="570" w:type="dxa"/>
            <w:vAlign w:val="center"/>
            <w:hideMark/>
          </w:tcPr>
          <w:p w14:paraId="52C534A2"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p>
        </w:tc>
        <w:tc>
          <w:tcPr>
            <w:tcW w:w="1225" w:type="dxa"/>
            <w:vAlign w:val="center"/>
            <w:hideMark/>
          </w:tcPr>
          <w:p w14:paraId="728118FE" w14:textId="77777777" w:rsidR="008E2CD7" w:rsidRPr="0095118E" w:rsidRDefault="008E2CD7" w:rsidP="005D539A">
            <w:pPr>
              <w:spacing w:after="0" w:line="480" w:lineRule="auto"/>
              <w:jc w:val="center"/>
              <w:rPr>
                <w:rFonts w:ascii="Times New Roman" w:eastAsia="Times New Roman" w:hAnsi="Times New Roman" w:cs="Times New Roman"/>
                <w:kern w:val="0"/>
                <w:sz w:val="20"/>
                <w:szCs w:val="20"/>
                <w14:ligatures w14:val="none"/>
              </w:rPr>
            </w:pPr>
          </w:p>
        </w:tc>
        <w:tc>
          <w:tcPr>
            <w:tcW w:w="737" w:type="dxa"/>
            <w:vAlign w:val="center"/>
            <w:hideMark/>
          </w:tcPr>
          <w:p w14:paraId="5DA8C8ED" w14:textId="77777777" w:rsidR="008E2CD7" w:rsidRPr="0095118E" w:rsidRDefault="008E2CD7" w:rsidP="005D539A">
            <w:pPr>
              <w:spacing w:after="0" w:line="480" w:lineRule="auto"/>
              <w:jc w:val="center"/>
              <w:rPr>
                <w:rFonts w:ascii="Times New Roman" w:eastAsia="Times New Roman" w:hAnsi="Times New Roman" w:cs="Times New Roman"/>
                <w:kern w:val="0"/>
                <w:sz w:val="20"/>
                <w:szCs w:val="20"/>
                <w14:ligatures w14:val="none"/>
              </w:rPr>
            </w:pPr>
          </w:p>
        </w:tc>
      </w:tr>
      <w:tr w:rsidR="008E2CD7" w:rsidRPr="0095118E" w14:paraId="1CA3BB5D" w14:textId="77777777" w:rsidTr="005D539A">
        <w:trPr>
          <w:tblCellSpacing w:w="15" w:type="dxa"/>
        </w:trPr>
        <w:tc>
          <w:tcPr>
            <w:tcW w:w="2082" w:type="dxa"/>
            <w:vAlign w:val="center"/>
            <w:hideMark/>
          </w:tcPr>
          <w:p w14:paraId="060B61E2"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Paranoia</w:t>
            </w:r>
          </w:p>
        </w:tc>
        <w:tc>
          <w:tcPr>
            <w:tcW w:w="1245" w:type="dxa"/>
            <w:vAlign w:val="center"/>
            <w:hideMark/>
          </w:tcPr>
          <w:p w14:paraId="7DB6C116"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W4</w:t>
            </w:r>
          </w:p>
        </w:tc>
        <w:tc>
          <w:tcPr>
            <w:tcW w:w="1144" w:type="dxa"/>
            <w:vAlign w:val="center"/>
            <w:hideMark/>
          </w:tcPr>
          <w:p w14:paraId="671A6CB7"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.781</w:t>
            </w:r>
          </w:p>
        </w:tc>
        <w:tc>
          <w:tcPr>
            <w:tcW w:w="1058" w:type="dxa"/>
            <w:vAlign w:val="center"/>
            <w:hideMark/>
          </w:tcPr>
          <w:p w14:paraId="7BC98EE7"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&lt; .001</w:t>
            </w:r>
          </w:p>
        </w:tc>
        <w:tc>
          <w:tcPr>
            <w:tcW w:w="570" w:type="dxa"/>
            <w:vAlign w:val="center"/>
            <w:hideMark/>
          </w:tcPr>
          <w:p w14:paraId="7E7C3FBB"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1.000</w:t>
            </w:r>
          </w:p>
        </w:tc>
        <w:tc>
          <w:tcPr>
            <w:tcW w:w="1225" w:type="dxa"/>
            <w:vAlign w:val="center"/>
            <w:hideMark/>
          </w:tcPr>
          <w:p w14:paraId="7FA5E709"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.015</w:t>
            </w:r>
          </w:p>
        </w:tc>
        <w:tc>
          <w:tcPr>
            <w:tcW w:w="737" w:type="dxa"/>
            <w:vAlign w:val="center"/>
            <w:hideMark/>
          </w:tcPr>
          <w:p w14:paraId="1A9D3916"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.004</w:t>
            </w:r>
          </w:p>
        </w:tc>
      </w:tr>
      <w:tr w:rsidR="008E2CD7" w:rsidRPr="0095118E" w14:paraId="185F194C" w14:textId="77777777" w:rsidTr="005D539A">
        <w:trPr>
          <w:tblCellSpacing w:w="15" w:type="dxa"/>
        </w:trPr>
        <w:tc>
          <w:tcPr>
            <w:tcW w:w="2082" w:type="dxa"/>
            <w:vAlign w:val="center"/>
            <w:hideMark/>
          </w:tcPr>
          <w:p w14:paraId="5057A55E"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Depression</w:t>
            </w:r>
          </w:p>
        </w:tc>
        <w:tc>
          <w:tcPr>
            <w:tcW w:w="1245" w:type="dxa"/>
            <w:vAlign w:val="center"/>
            <w:hideMark/>
          </w:tcPr>
          <w:p w14:paraId="4D6FE508"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W4</w:t>
            </w:r>
          </w:p>
        </w:tc>
        <w:tc>
          <w:tcPr>
            <w:tcW w:w="1144" w:type="dxa"/>
            <w:vAlign w:val="center"/>
            <w:hideMark/>
          </w:tcPr>
          <w:p w14:paraId="58B25499"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.833</w:t>
            </w:r>
          </w:p>
        </w:tc>
        <w:tc>
          <w:tcPr>
            <w:tcW w:w="1058" w:type="dxa"/>
            <w:vAlign w:val="center"/>
            <w:hideMark/>
          </w:tcPr>
          <w:p w14:paraId="4C64529D"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&lt; .001</w:t>
            </w:r>
          </w:p>
        </w:tc>
        <w:tc>
          <w:tcPr>
            <w:tcW w:w="570" w:type="dxa"/>
            <w:vAlign w:val="center"/>
            <w:hideMark/>
          </w:tcPr>
          <w:p w14:paraId="3FC2337E"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p>
        </w:tc>
        <w:tc>
          <w:tcPr>
            <w:tcW w:w="1225" w:type="dxa"/>
            <w:vAlign w:val="center"/>
            <w:hideMark/>
          </w:tcPr>
          <w:p w14:paraId="183E362D" w14:textId="77777777" w:rsidR="008E2CD7" w:rsidRPr="0095118E" w:rsidRDefault="008E2CD7" w:rsidP="005D539A">
            <w:pPr>
              <w:spacing w:after="0" w:line="480" w:lineRule="auto"/>
              <w:jc w:val="center"/>
              <w:rPr>
                <w:rFonts w:ascii="Times New Roman" w:eastAsia="Times New Roman" w:hAnsi="Times New Roman" w:cs="Times New Roman"/>
                <w:kern w:val="0"/>
                <w:sz w:val="20"/>
                <w:szCs w:val="20"/>
                <w14:ligatures w14:val="none"/>
              </w:rPr>
            </w:pPr>
          </w:p>
        </w:tc>
        <w:tc>
          <w:tcPr>
            <w:tcW w:w="737" w:type="dxa"/>
            <w:vAlign w:val="center"/>
            <w:hideMark/>
          </w:tcPr>
          <w:p w14:paraId="25B1282D" w14:textId="77777777" w:rsidR="008E2CD7" w:rsidRPr="0095118E" w:rsidRDefault="008E2CD7" w:rsidP="005D539A">
            <w:pPr>
              <w:spacing w:after="0" w:line="480" w:lineRule="auto"/>
              <w:jc w:val="center"/>
              <w:rPr>
                <w:rFonts w:ascii="Times New Roman" w:eastAsia="Times New Roman" w:hAnsi="Times New Roman" w:cs="Times New Roman"/>
                <w:kern w:val="0"/>
                <w:sz w:val="20"/>
                <w:szCs w:val="20"/>
                <w14:ligatures w14:val="none"/>
              </w:rPr>
            </w:pPr>
          </w:p>
        </w:tc>
      </w:tr>
      <w:tr w:rsidR="008E2CD7" w:rsidRPr="0095118E" w14:paraId="4453ED36" w14:textId="77777777" w:rsidTr="005D539A">
        <w:trPr>
          <w:tblCellSpacing w:w="15" w:type="dxa"/>
        </w:trPr>
        <w:tc>
          <w:tcPr>
            <w:tcW w:w="2082" w:type="dxa"/>
            <w:tcBorders>
              <w:bottom w:val="single" w:sz="12" w:space="0" w:color="auto"/>
            </w:tcBorders>
            <w:vAlign w:val="center"/>
            <w:hideMark/>
          </w:tcPr>
          <w:p w14:paraId="135A2F03"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GAD</w:t>
            </w:r>
          </w:p>
        </w:tc>
        <w:tc>
          <w:tcPr>
            <w:tcW w:w="1245" w:type="dxa"/>
            <w:tcBorders>
              <w:bottom w:val="single" w:sz="12" w:space="0" w:color="auto"/>
            </w:tcBorders>
            <w:vAlign w:val="center"/>
            <w:hideMark/>
          </w:tcPr>
          <w:p w14:paraId="05CA34A0"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W4</w:t>
            </w:r>
          </w:p>
        </w:tc>
        <w:tc>
          <w:tcPr>
            <w:tcW w:w="1144" w:type="dxa"/>
            <w:tcBorders>
              <w:bottom w:val="single" w:sz="12" w:space="0" w:color="auto"/>
            </w:tcBorders>
            <w:vAlign w:val="center"/>
            <w:hideMark/>
          </w:tcPr>
          <w:p w14:paraId="395189E2"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.755</w:t>
            </w:r>
          </w:p>
        </w:tc>
        <w:tc>
          <w:tcPr>
            <w:tcW w:w="1058" w:type="dxa"/>
            <w:tcBorders>
              <w:bottom w:val="single" w:sz="12" w:space="0" w:color="auto"/>
            </w:tcBorders>
            <w:vAlign w:val="center"/>
            <w:hideMark/>
          </w:tcPr>
          <w:p w14:paraId="08237FF1"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r w:rsidRPr="0095118E">
              <w:rPr>
                <w:rFonts w:ascii="Times New Roman" w:eastAsia="Times New Roman" w:hAnsi="Times New Roman" w:cs="Times New Roman"/>
                <w:kern w:val="0"/>
                <w:sz w:val="24"/>
                <w:szCs w:val="24"/>
                <w14:ligatures w14:val="none"/>
              </w:rPr>
              <w:t>&lt; .001</w:t>
            </w:r>
          </w:p>
        </w:tc>
        <w:tc>
          <w:tcPr>
            <w:tcW w:w="570" w:type="dxa"/>
            <w:tcBorders>
              <w:bottom w:val="single" w:sz="12" w:space="0" w:color="auto"/>
            </w:tcBorders>
            <w:vAlign w:val="center"/>
            <w:hideMark/>
          </w:tcPr>
          <w:p w14:paraId="54EFF60C" w14:textId="77777777" w:rsidR="008E2CD7" w:rsidRPr="0095118E" w:rsidRDefault="008E2CD7" w:rsidP="005D539A">
            <w:pPr>
              <w:spacing w:after="0" w:line="480" w:lineRule="auto"/>
              <w:jc w:val="center"/>
              <w:rPr>
                <w:rFonts w:ascii="Times New Roman" w:eastAsia="Times New Roman" w:hAnsi="Times New Roman" w:cs="Times New Roman"/>
                <w:kern w:val="0"/>
                <w:sz w:val="24"/>
                <w:szCs w:val="24"/>
                <w14:ligatures w14:val="none"/>
              </w:rPr>
            </w:pPr>
          </w:p>
        </w:tc>
        <w:tc>
          <w:tcPr>
            <w:tcW w:w="1225" w:type="dxa"/>
            <w:tcBorders>
              <w:bottom w:val="single" w:sz="12" w:space="0" w:color="auto"/>
            </w:tcBorders>
            <w:vAlign w:val="center"/>
            <w:hideMark/>
          </w:tcPr>
          <w:p w14:paraId="14BF1EBA" w14:textId="77777777" w:rsidR="008E2CD7" w:rsidRPr="0095118E" w:rsidRDefault="008E2CD7" w:rsidP="005D539A">
            <w:pPr>
              <w:spacing w:after="0" w:line="480" w:lineRule="auto"/>
              <w:jc w:val="center"/>
              <w:rPr>
                <w:rFonts w:ascii="Times New Roman" w:eastAsia="Times New Roman" w:hAnsi="Times New Roman" w:cs="Times New Roman"/>
                <w:kern w:val="0"/>
                <w:sz w:val="20"/>
                <w:szCs w:val="20"/>
                <w14:ligatures w14:val="none"/>
              </w:rPr>
            </w:pPr>
          </w:p>
        </w:tc>
        <w:tc>
          <w:tcPr>
            <w:tcW w:w="737" w:type="dxa"/>
            <w:tcBorders>
              <w:bottom w:val="single" w:sz="12" w:space="0" w:color="auto"/>
            </w:tcBorders>
            <w:vAlign w:val="center"/>
            <w:hideMark/>
          </w:tcPr>
          <w:p w14:paraId="030A7C6C" w14:textId="77777777" w:rsidR="008E2CD7" w:rsidRPr="0095118E" w:rsidRDefault="008E2CD7" w:rsidP="005D539A">
            <w:pPr>
              <w:spacing w:after="0" w:line="480" w:lineRule="auto"/>
              <w:jc w:val="center"/>
              <w:rPr>
                <w:rFonts w:ascii="Times New Roman" w:eastAsia="Times New Roman" w:hAnsi="Times New Roman" w:cs="Times New Roman"/>
                <w:kern w:val="0"/>
                <w:sz w:val="20"/>
                <w:szCs w:val="20"/>
                <w14:ligatures w14:val="none"/>
              </w:rPr>
            </w:pPr>
          </w:p>
        </w:tc>
      </w:tr>
    </w:tbl>
    <w:p w14:paraId="62C01060" w14:textId="77777777" w:rsidR="008E2CD7" w:rsidRPr="0095118E" w:rsidRDefault="008E2CD7" w:rsidP="008E2CD7">
      <w:pPr>
        <w:spacing w:line="480" w:lineRule="auto"/>
        <w:rPr>
          <w:sz w:val="24"/>
          <w:szCs w:val="24"/>
        </w:rPr>
      </w:pPr>
    </w:p>
    <w:p w14:paraId="7D4128F5" w14:textId="77777777" w:rsidR="008E2CD7" w:rsidRPr="003146C9" w:rsidRDefault="008E2CD7" w:rsidP="008E2CD7">
      <w:pPr>
        <w:spacing w:line="480" w:lineRule="auto"/>
        <w:ind w:firstLine="720"/>
        <w:rPr>
          <w:rFonts w:asciiTheme="majorBidi" w:hAnsiTheme="majorBidi" w:cstheme="majorBidi"/>
          <w:sz w:val="24"/>
          <w:szCs w:val="24"/>
        </w:rPr>
      </w:pPr>
      <w:r w:rsidRPr="0095118E">
        <w:rPr>
          <w:rFonts w:asciiTheme="majorBidi" w:hAnsiTheme="majorBidi" w:cstheme="majorBidi"/>
          <w:sz w:val="24"/>
          <w:szCs w:val="24"/>
        </w:rPr>
        <w:t>To test the robustness of our findings, we conducted sensitivity analyses in which all structural equation models were rerun without controlling for any covariates (neuroticism, age, gender, education, ethnicity). As shown in Table S1, IU remained a significant predictor of paranoia, depression, and anxiety at all three time points. Model fit indices remained excellent.</w:t>
      </w:r>
    </w:p>
    <w:p w14:paraId="6FF6942A" w14:textId="77777777" w:rsidR="008E2CD7" w:rsidRPr="003831D7" w:rsidRDefault="008E2CD7" w:rsidP="008E2CD7">
      <w:pPr>
        <w:spacing w:line="480" w:lineRule="auto"/>
        <w:rPr>
          <w:rFonts w:asciiTheme="majorBidi" w:hAnsiTheme="majorBidi" w:cstheme="majorBidi"/>
          <w:sz w:val="24"/>
          <w:szCs w:val="24"/>
        </w:rPr>
      </w:pPr>
    </w:p>
    <w:p w14:paraId="27E7926F" w14:textId="77777777" w:rsidR="008E2CD7" w:rsidRDefault="008E2CD7" w:rsidP="000D1F2F">
      <w:pPr>
        <w:spacing w:line="480" w:lineRule="auto"/>
        <w:rPr>
          <w:rFonts w:asciiTheme="majorBidi" w:hAnsiTheme="majorBidi" w:cstheme="majorBidi"/>
          <w:b/>
          <w:bCs/>
          <w:sz w:val="24"/>
          <w:szCs w:val="24"/>
        </w:rPr>
      </w:pPr>
    </w:p>
    <w:p w14:paraId="75DE22CC" w14:textId="77777777" w:rsidR="000D1F2F" w:rsidRDefault="000D1F2F" w:rsidP="000D1F2F">
      <w:pPr>
        <w:spacing w:line="480" w:lineRule="auto"/>
        <w:rPr>
          <w:rFonts w:asciiTheme="majorBidi" w:hAnsiTheme="majorBidi" w:cstheme="majorBidi"/>
          <w:b/>
          <w:bCs/>
          <w:sz w:val="24"/>
          <w:szCs w:val="24"/>
        </w:rPr>
      </w:pPr>
    </w:p>
    <w:p w14:paraId="5860DEB9" w14:textId="77777777" w:rsidR="000D1F2F" w:rsidRDefault="000D1F2F" w:rsidP="000D1F2F">
      <w:pPr>
        <w:spacing w:line="480" w:lineRule="auto"/>
        <w:rPr>
          <w:rFonts w:asciiTheme="majorBidi" w:hAnsiTheme="majorBidi" w:cstheme="majorBidi"/>
          <w:b/>
          <w:bCs/>
          <w:sz w:val="24"/>
          <w:szCs w:val="24"/>
        </w:rPr>
      </w:pPr>
    </w:p>
    <w:p w14:paraId="0CAB83D5" w14:textId="77777777" w:rsidR="000D1F2F" w:rsidRDefault="000D1F2F" w:rsidP="000D1F2F">
      <w:pPr>
        <w:spacing w:line="480" w:lineRule="auto"/>
        <w:rPr>
          <w:rFonts w:asciiTheme="majorBidi" w:hAnsiTheme="majorBidi" w:cstheme="majorBidi"/>
          <w:b/>
          <w:bCs/>
          <w:sz w:val="24"/>
          <w:szCs w:val="24"/>
        </w:rPr>
      </w:pPr>
    </w:p>
    <w:p w14:paraId="67F312D8" w14:textId="77777777" w:rsidR="000D1F2F" w:rsidRDefault="000D1F2F" w:rsidP="000D1F2F">
      <w:pPr>
        <w:spacing w:line="480" w:lineRule="auto"/>
        <w:rPr>
          <w:rFonts w:asciiTheme="majorBidi" w:hAnsiTheme="majorBidi" w:cstheme="majorBidi"/>
          <w:b/>
          <w:bCs/>
          <w:sz w:val="24"/>
          <w:szCs w:val="24"/>
        </w:rPr>
      </w:pPr>
    </w:p>
    <w:p w14:paraId="31B3F9F7" w14:textId="77777777" w:rsidR="000D1F2F" w:rsidRDefault="000D1F2F" w:rsidP="000D1F2F">
      <w:pPr>
        <w:spacing w:line="480" w:lineRule="auto"/>
        <w:rPr>
          <w:rFonts w:asciiTheme="majorBidi" w:hAnsiTheme="majorBidi" w:cstheme="majorBidi"/>
          <w:b/>
          <w:bCs/>
          <w:sz w:val="24"/>
          <w:szCs w:val="24"/>
        </w:rPr>
      </w:pPr>
    </w:p>
    <w:p w14:paraId="0F3CFC32" w14:textId="77777777" w:rsidR="000D1F2F" w:rsidRDefault="000D1F2F" w:rsidP="000D1F2F">
      <w:pPr>
        <w:spacing w:line="480" w:lineRule="auto"/>
        <w:rPr>
          <w:rFonts w:asciiTheme="majorBidi" w:hAnsiTheme="majorBidi" w:cstheme="majorBidi"/>
          <w:b/>
          <w:bCs/>
          <w:sz w:val="24"/>
          <w:szCs w:val="24"/>
        </w:rPr>
      </w:pPr>
    </w:p>
    <w:p w14:paraId="74E52943" w14:textId="77777777" w:rsidR="000D1F2F" w:rsidRDefault="000D1F2F" w:rsidP="000D1F2F">
      <w:pPr>
        <w:spacing w:line="480" w:lineRule="auto"/>
        <w:rPr>
          <w:rFonts w:asciiTheme="majorBidi" w:hAnsiTheme="majorBidi" w:cstheme="majorBidi"/>
          <w:b/>
          <w:bCs/>
          <w:sz w:val="24"/>
          <w:szCs w:val="24"/>
        </w:rPr>
      </w:pPr>
    </w:p>
    <w:p w14:paraId="4B55CB0D" w14:textId="31A3D312" w:rsidR="000D1F2F" w:rsidRPr="002C42D7" w:rsidRDefault="000D1F2F" w:rsidP="000D1F2F">
      <w:pPr>
        <w:spacing w:line="480" w:lineRule="auto"/>
        <w:rPr>
          <w:rFonts w:asciiTheme="majorBidi" w:hAnsiTheme="majorBidi" w:cstheme="majorBidi"/>
          <w:b/>
          <w:bCs/>
          <w:sz w:val="24"/>
          <w:szCs w:val="24"/>
        </w:rPr>
      </w:pPr>
      <w:r w:rsidRPr="002C42D7">
        <w:rPr>
          <w:rFonts w:asciiTheme="majorBidi" w:hAnsiTheme="majorBidi" w:cstheme="majorBidi"/>
          <w:b/>
          <w:bCs/>
          <w:sz w:val="24"/>
          <w:szCs w:val="24"/>
        </w:rPr>
        <w:t>Acknowledgement</w:t>
      </w:r>
    </w:p>
    <w:p w14:paraId="355B8665" w14:textId="77777777" w:rsidR="000D1F2F" w:rsidRPr="009B29F1" w:rsidRDefault="000D1F2F" w:rsidP="000D1F2F">
      <w:pPr>
        <w:spacing w:line="480" w:lineRule="auto"/>
        <w:rPr>
          <w:rFonts w:asciiTheme="majorBidi" w:hAnsiTheme="majorBidi" w:cstheme="majorBidi"/>
          <w:sz w:val="24"/>
          <w:szCs w:val="24"/>
        </w:rPr>
      </w:pPr>
      <w:r w:rsidRPr="009B29F1">
        <w:rPr>
          <w:rFonts w:asciiTheme="majorBidi" w:hAnsiTheme="majorBidi" w:cstheme="majorBidi"/>
          <w:sz w:val="24"/>
          <w:szCs w:val="24"/>
        </w:rPr>
        <w:t xml:space="preserve">Data collection for the first two waves </w:t>
      </w:r>
      <w:r>
        <w:rPr>
          <w:rFonts w:asciiTheme="majorBidi" w:hAnsiTheme="majorBidi" w:cstheme="majorBidi"/>
          <w:sz w:val="24"/>
          <w:szCs w:val="24"/>
        </w:rPr>
        <w:t xml:space="preserve">of the C19PRC study </w:t>
      </w:r>
      <w:r w:rsidRPr="009B29F1">
        <w:rPr>
          <w:rFonts w:asciiTheme="majorBidi" w:hAnsiTheme="majorBidi" w:cstheme="majorBidi"/>
          <w:sz w:val="24"/>
          <w:szCs w:val="24"/>
        </w:rPr>
        <w:t xml:space="preserve">was funded by the Universities of Sheffield and Ulster and by the UK Economic and Social </w:t>
      </w:r>
      <w:r>
        <w:rPr>
          <w:rFonts w:asciiTheme="majorBidi" w:hAnsiTheme="majorBidi" w:cstheme="majorBidi"/>
          <w:sz w:val="24"/>
          <w:szCs w:val="24"/>
        </w:rPr>
        <w:t>Re</w:t>
      </w:r>
      <w:r w:rsidRPr="009B29F1">
        <w:rPr>
          <w:rFonts w:asciiTheme="majorBidi" w:hAnsiTheme="majorBidi" w:cstheme="majorBidi"/>
          <w:sz w:val="24"/>
          <w:szCs w:val="24"/>
        </w:rPr>
        <w:t xml:space="preserve">search Council </w:t>
      </w:r>
      <w:r>
        <w:rPr>
          <w:rFonts w:asciiTheme="majorBidi" w:hAnsiTheme="majorBidi" w:cstheme="majorBidi"/>
          <w:sz w:val="24"/>
          <w:szCs w:val="24"/>
        </w:rPr>
        <w:t xml:space="preserve">grant </w:t>
      </w:r>
      <w:r w:rsidRPr="009B29F1">
        <w:rPr>
          <w:rFonts w:asciiTheme="majorBidi" w:hAnsiTheme="majorBidi" w:cstheme="majorBidi"/>
          <w:sz w:val="24"/>
          <w:szCs w:val="24"/>
        </w:rPr>
        <w:t>for all subsequent waves</w:t>
      </w:r>
      <w:r>
        <w:rPr>
          <w:rFonts w:asciiTheme="majorBidi" w:hAnsiTheme="majorBidi" w:cstheme="majorBidi"/>
          <w:sz w:val="24"/>
          <w:szCs w:val="24"/>
        </w:rPr>
        <w:t xml:space="preserve"> (</w:t>
      </w:r>
      <w:r w:rsidRPr="009B29F1">
        <w:rPr>
          <w:rFonts w:asciiTheme="majorBidi" w:hAnsiTheme="majorBidi" w:cstheme="majorBidi"/>
          <w:sz w:val="24"/>
          <w:szCs w:val="24"/>
        </w:rPr>
        <w:t>A longitudinal mixed-methods population study of the UK during the COVID-19</w:t>
      </w:r>
      <w:r>
        <w:rPr>
          <w:rFonts w:asciiTheme="majorBidi" w:hAnsiTheme="majorBidi" w:cstheme="majorBidi"/>
          <w:sz w:val="24"/>
          <w:szCs w:val="24"/>
        </w:rPr>
        <w:t xml:space="preserve"> </w:t>
      </w:r>
      <w:r w:rsidRPr="009B29F1">
        <w:rPr>
          <w:rFonts w:asciiTheme="majorBidi" w:hAnsiTheme="majorBidi" w:cstheme="majorBidi"/>
          <w:sz w:val="24"/>
          <w:szCs w:val="24"/>
        </w:rPr>
        <w:t>pandemic: Psychological and social adjustment to a global threat</w:t>
      </w:r>
      <w:r>
        <w:rPr>
          <w:rFonts w:asciiTheme="majorBidi" w:hAnsiTheme="majorBidi" w:cstheme="majorBidi"/>
          <w:sz w:val="24"/>
          <w:szCs w:val="24"/>
        </w:rPr>
        <w:t xml:space="preserve">; grant number </w:t>
      </w:r>
      <w:r w:rsidRPr="009B29F1">
        <w:rPr>
          <w:rFonts w:asciiTheme="majorBidi" w:hAnsiTheme="majorBidi" w:cstheme="majorBidi"/>
          <w:sz w:val="24"/>
          <w:szCs w:val="24"/>
        </w:rPr>
        <w:t>ES/V004379/1</w:t>
      </w:r>
      <w:r>
        <w:rPr>
          <w:rFonts w:asciiTheme="majorBidi" w:hAnsiTheme="majorBidi" w:cstheme="majorBidi"/>
          <w:sz w:val="24"/>
          <w:szCs w:val="24"/>
        </w:rPr>
        <w:t>).</w:t>
      </w:r>
    </w:p>
    <w:p w14:paraId="2F0E1C05" w14:textId="77777777" w:rsidR="000D1F2F" w:rsidRDefault="000D1F2F"/>
    <w:sectPr w:rsidR="000D1F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003"/>
    <w:rsid w:val="000D1F2F"/>
    <w:rsid w:val="00242864"/>
    <w:rsid w:val="00287852"/>
    <w:rsid w:val="00391FF2"/>
    <w:rsid w:val="004653D9"/>
    <w:rsid w:val="0074315B"/>
    <w:rsid w:val="008E2CD7"/>
    <w:rsid w:val="00AF3003"/>
    <w:rsid w:val="00CD6D8D"/>
    <w:rsid w:val="00E21BDF"/>
    <w:rsid w:val="00E4527B"/>
    <w:rsid w:val="00EA2119"/>
    <w:rsid w:val="00F833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3455"/>
  <w15:chartTrackingRefBased/>
  <w15:docId w15:val="{DA5D52F2-5510-426E-8D47-F12B06D3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D8D"/>
  </w:style>
  <w:style w:type="paragraph" w:styleId="Heading1">
    <w:name w:val="heading 1"/>
    <w:basedOn w:val="Normal"/>
    <w:next w:val="Normal"/>
    <w:link w:val="Heading1Char"/>
    <w:uiPriority w:val="9"/>
    <w:qFormat/>
    <w:rsid w:val="00AF30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F30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30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30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30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3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0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F30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30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30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30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3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003"/>
    <w:rPr>
      <w:rFonts w:eastAsiaTheme="majorEastAsia" w:cstheme="majorBidi"/>
      <w:color w:val="272727" w:themeColor="text1" w:themeTint="D8"/>
    </w:rPr>
  </w:style>
  <w:style w:type="paragraph" w:styleId="Title">
    <w:name w:val="Title"/>
    <w:basedOn w:val="Normal"/>
    <w:next w:val="Normal"/>
    <w:link w:val="TitleChar"/>
    <w:uiPriority w:val="10"/>
    <w:qFormat/>
    <w:rsid w:val="00AF3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003"/>
    <w:pPr>
      <w:spacing w:before="160"/>
      <w:jc w:val="center"/>
    </w:pPr>
    <w:rPr>
      <w:i/>
      <w:iCs/>
      <w:color w:val="404040" w:themeColor="text1" w:themeTint="BF"/>
    </w:rPr>
  </w:style>
  <w:style w:type="character" w:customStyle="1" w:styleId="QuoteChar">
    <w:name w:val="Quote Char"/>
    <w:basedOn w:val="DefaultParagraphFont"/>
    <w:link w:val="Quote"/>
    <w:uiPriority w:val="29"/>
    <w:rsid w:val="00AF3003"/>
    <w:rPr>
      <w:i/>
      <w:iCs/>
      <w:color w:val="404040" w:themeColor="text1" w:themeTint="BF"/>
    </w:rPr>
  </w:style>
  <w:style w:type="paragraph" w:styleId="ListParagraph">
    <w:name w:val="List Paragraph"/>
    <w:basedOn w:val="Normal"/>
    <w:uiPriority w:val="34"/>
    <w:qFormat/>
    <w:rsid w:val="00AF3003"/>
    <w:pPr>
      <w:ind w:left="720"/>
      <w:contextualSpacing/>
    </w:pPr>
  </w:style>
  <w:style w:type="character" w:styleId="IntenseEmphasis">
    <w:name w:val="Intense Emphasis"/>
    <w:basedOn w:val="DefaultParagraphFont"/>
    <w:uiPriority w:val="21"/>
    <w:qFormat/>
    <w:rsid w:val="00AF3003"/>
    <w:rPr>
      <w:i/>
      <w:iCs/>
      <w:color w:val="2F5496" w:themeColor="accent1" w:themeShade="BF"/>
    </w:rPr>
  </w:style>
  <w:style w:type="paragraph" w:styleId="IntenseQuote">
    <w:name w:val="Intense Quote"/>
    <w:basedOn w:val="Normal"/>
    <w:next w:val="Normal"/>
    <w:link w:val="IntenseQuoteChar"/>
    <w:uiPriority w:val="30"/>
    <w:qFormat/>
    <w:rsid w:val="00AF30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3003"/>
    <w:rPr>
      <w:i/>
      <w:iCs/>
      <w:color w:val="2F5496" w:themeColor="accent1" w:themeShade="BF"/>
    </w:rPr>
  </w:style>
  <w:style w:type="character" w:styleId="IntenseReference">
    <w:name w:val="Intense Reference"/>
    <w:basedOn w:val="DefaultParagraphFont"/>
    <w:uiPriority w:val="32"/>
    <w:qFormat/>
    <w:rsid w:val="00AF3003"/>
    <w:rPr>
      <w:b/>
      <w:bCs/>
      <w:smallCaps/>
      <w:color w:val="2F5496" w:themeColor="accent1" w:themeShade="BF"/>
      <w:spacing w:val="5"/>
    </w:rPr>
  </w:style>
  <w:style w:type="table" w:customStyle="1" w:styleId="threeline">
    <w:name w:val="three line"/>
    <w:basedOn w:val="TableNormal"/>
    <w:uiPriority w:val="99"/>
    <w:rsid w:val="008E2CD7"/>
    <w:pPr>
      <w:spacing w:after="0" w:line="240" w:lineRule="auto"/>
    </w:pPr>
    <w:rPr>
      <w:rFonts w:asciiTheme="majorBidi" w:hAnsiTheme="majorBidi"/>
    </w:rPr>
    <w:tblPr>
      <w:tblBorders>
        <w:top w:val="single" w:sz="12" w:space="0" w:color="auto"/>
        <w:bottom w:val="single" w:sz="12" w:space="0" w:color="auto"/>
      </w:tblBorders>
    </w:tblPr>
    <w:tblStylePr w:type="firstRow">
      <w:tblPr/>
      <w:tcPr>
        <w:tcBorders>
          <w:top w:val="single" w:sz="4" w:space="0" w:color="auto"/>
          <w:left w:val="nil"/>
          <w:bottom w:val="single" w:sz="6" w:space="0" w:color="auto"/>
          <w:right w:val="nil"/>
          <w:insideH w:val="nil"/>
          <w:insideV w:val="nil"/>
          <w:tl2br w:val="nil"/>
          <w:tr2bl w:val="nil"/>
        </w:tcBorders>
      </w:tcPr>
    </w:tblStylePr>
  </w:style>
  <w:style w:type="table" w:styleId="TableGrid">
    <w:name w:val="Table Grid"/>
    <w:basedOn w:val="TableNormal"/>
    <w:uiPriority w:val="39"/>
    <w:rsid w:val="008E2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2CD7"/>
    <w:rPr>
      <w:color w:val="0563C1" w:themeColor="hyperlink"/>
      <w:u w:val="single"/>
    </w:rPr>
  </w:style>
  <w:style w:type="table" w:customStyle="1" w:styleId="a">
    <w:name w:val="三线表"/>
    <w:basedOn w:val="TableNormal"/>
    <w:uiPriority w:val="99"/>
    <w:rsid w:val="008E2CD7"/>
    <w:pPr>
      <w:spacing w:after="0" w:line="240" w:lineRule="auto"/>
    </w:pPr>
    <w:rPr>
      <w:rFonts w:asciiTheme="majorBidi" w:hAnsiTheme="majorBidi"/>
    </w:rPr>
    <w:tblPr>
      <w:tblBorders>
        <w:top w:val="single" w:sz="12" w:space="0" w:color="auto"/>
        <w:bottom w:val="single" w:sz="12" w:space="0" w:color="auto"/>
      </w:tblBorders>
    </w:tblPr>
    <w:tblStylePr w:type="firstRow">
      <w:tblPr/>
      <w:tcPr>
        <w:tcBorders>
          <w:top w:val="single" w:sz="12" w:space="0" w:color="auto"/>
          <w:left w:val="nil"/>
          <w:bottom w:val="single" w:sz="6" w:space="0" w:color="auto"/>
          <w:right w:val="nil"/>
          <w:insideH w:val="nil"/>
          <w:insideV w:val="nil"/>
          <w:tl2br w:val="nil"/>
          <w:tr2bl w:val="nil"/>
        </w:tcBorders>
      </w:tcPr>
    </w:tblStylePr>
  </w:style>
  <w:style w:type="character" w:styleId="Strong">
    <w:name w:val="Strong"/>
    <w:basedOn w:val="DefaultParagraphFont"/>
    <w:uiPriority w:val="22"/>
    <w:qFormat/>
    <w:rsid w:val="008E2C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nxdis.2006.03.01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92/bjp.bp.112.119032" TargetMode="External"/><Relationship Id="rId12" Type="http://schemas.openxmlformats.org/officeDocument/2006/relationships/hyperlink" Target="https://doi.org/10.1038/s41598-019-51280-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doi.org/10.1016/j.jad.2017.12.045" TargetMode="External"/><Relationship Id="rId5" Type="http://schemas.openxmlformats.org/officeDocument/2006/relationships/image" Target="media/image2.png"/><Relationship Id="rId10" Type="http://schemas.openxmlformats.org/officeDocument/2006/relationships/hyperlink" Target="https://doi.org/10.1046/j.1525-1497.2001.016009606.x" TargetMode="External"/><Relationship Id="rId4" Type="http://schemas.openxmlformats.org/officeDocument/2006/relationships/image" Target="media/image1.png"/><Relationship Id="rId9" Type="http://schemas.openxmlformats.org/officeDocument/2006/relationships/hyperlink" Target="https://doi.org/10.1017/S003329172200297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6132</Words>
  <Characters>34956</Characters>
  <Application>Microsoft Office Word</Application>
  <DocSecurity>4</DocSecurity>
  <Lines>291</Lines>
  <Paragraphs>82</Paragraphs>
  <ScaleCrop>false</ScaleCrop>
  <Company/>
  <LinksUpToDate>false</LinksUpToDate>
  <CharactersWithSpaces>41006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YingYiXue Lei</dc:creator>
  <cp:keywords/>
  <dc:description/>
  <cp:lastModifiedBy>Lyn Ellett</cp:lastModifiedBy>
  <cp:revision>2</cp:revision>
  <dcterms:created xsi:type="dcterms:W3CDTF">2025-07-17T07:55:00Z</dcterms:created>
  <dcterms:modified xsi:type="dcterms:W3CDTF">2025-07-17T07:55:00Z</dcterms:modified>
</cp:coreProperties>
</file>