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7603" w14:textId="77777777" w:rsidR="00F20C66" w:rsidRPr="004F7C61" w:rsidRDefault="00F20C66" w:rsidP="00F20C66">
      <w:pPr>
        <w:rPr>
          <w:rFonts w:ascii="Calibri" w:hAnsi="Calibri" w:cs="Calibri"/>
        </w:rPr>
      </w:pPr>
      <w:r w:rsidRPr="004F7C61">
        <w:rPr>
          <w:rFonts w:ascii="Calibri" w:hAnsi="Calibri" w:cs="Calibri"/>
        </w:rPr>
        <w:t>This is the author accepted version of:</w:t>
      </w:r>
    </w:p>
    <w:p w14:paraId="794E29E0" w14:textId="68F32185" w:rsidR="00F20C66" w:rsidRDefault="00F20C66" w:rsidP="00F20C66">
      <w:pPr>
        <w:rPr>
          <w:rFonts w:ascii="Calibri" w:hAnsi="Calibri" w:cs="Calibri"/>
        </w:rPr>
      </w:pPr>
      <w:r w:rsidRPr="004F7C61">
        <w:rPr>
          <w:rFonts w:ascii="Calibri" w:hAnsi="Calibri" w:cs="Calibri"/>
        </w:rPr>
        <w:t xml:space="preserve">Ashton, D. (2024) </w:t>
      </w:r>
      <w:r w:rsidR="005551A8" w:rsidRPr="004F7C61">
        <w:rPr>
          <w:rFonts w:ascii="Calibri" w:hAnsi="Calibri" w:cs="Calibri"/>
        </w:rPr>
        <w:t>Portfolio Precarity</w:t>
      </w:r>
      <w:r w:rsidRPr="004F7C61">
        <w:rPr>
          <w:rFonts w:ascii="Calibri" w:hAnsi="Calibri" w:cs="Calibri"/>
        </w:rPr>
        <w:t xml:space="preserve">. </w:t>
      </w:r>
      <w:r w:rsidRPr="004F7C61">
        <w:rPr>
          <w:rFonts w:ascii="Calibri" w:hAnsi="Calibri" w:cs="Calibri"/>
        </w:rPr>
        <w:br/>
        <w:t xml:space="preserve">Published in </w:t>
      </w:r>
      <w:r w:rsidRPr="004F7C61">
        <w:rPr>
          <w:rFonts w:ascii="Calibri" w:hAnsi="Calibri" w:cs="Calibri"/>
          <w:i/>
          <w:iCs/>
        </w:rPr>
        <w:t xml:space="preserve">Arts Professional </w:t>
      </w:r>
      <w:r w:rsidRPr="004F7C61">
        <w:rPr>
          <w:rFonts w:ascii="Calibri" w:hAnsi="Calibri" w:cs="Calibri"/>
        </w:rPr>
        <w:t>(2</w:t>
      </w:r>
      <w:r w:rsidR="005551A8" w:rsidRPr="004F7C61">
        <w:rPr>
          <w:rFonts w:ascii="Calibri" w:hAnsi="Calibri" w:cs="Calibri"/>
        </w:rPr>
        <w:t>6</w:t>
      </w:r>
      <w:r w:rsidRPr="004F7C61">
        <w:rPr>
          <w:rFonts w:ascii="Calibri" w:hAnsi="Calibri" w:cs="Calibri"/>
        </w:rPr>
        <w:t>.</w:t>
      </w:r>
      <w:r w:rsidR="005551A8" w:rsidRPr="004F7C61">
        <w:rPr>
          <w:rFonts w:ascii="Calibri" w:hAnsi="Calibri" w:cs="Calibri"/>
        </w:rPr>
        <w:t>10</w:t>
      </w:r>
      <w:r w:rsidRPr="004F7C61">
        <w:rPr>
          <w:rFonts w:ascii="Calibri" w:hAnsi="Calibri" w:cs="Calibri"/>
        </w:rPr>
        <w:t>.</w:t>
      </w:r>
      <w:r w:rsidR="004F7C61">
        <w:rPr>
          <w:rFonts w:ascii="Calibri" w:hAnsi="Calibri" w:cs="Calibri"/>
        </w:rPr>
        <w:t>22</w:t>
      </w:r>
      <w:r w:rsidRPr="004F7C61">
        <w:rPr>
          <w:rFonts w:ascii="Calibri" w:hAnsi="Calibri" w:cs="Calibri"/>
        </w:rPr>
        <w:t>).</w:t>
      </w:r>
      <w:r w:rsidRPr="004F7C61">
        <w:rPr>
          <w:rFonts w:ascii="Calibri" w:hAnsi="Calibri" w:cs="Calibri"/>
        </w:rPr>
        <w:br/>
        <w:t xml:space="preserve">Available here: </w:t>
      </w:r>
      <w:hyperlink r:id="rId6" w:history="1">
        <w:r w:rsidR="004F7C61" w:rsidRPr="00664A74">
          <w:rPr>
            <w:rStyle w:val="Hyperlink"/>
            <w:rFonts w:ascii="Calibri" w:hAnsi="Calibri" w:cs="Calibri"/>
          </w:rPr>
          <w:t>https://www.artsprofessional.co.uk/magazine/article/portfolio-precarity</w:t>
        </w:r>
      </w:hyperlink>
    </w:p>
    <w:p w14:paraId="090D394F" w14:textId="04F36C23" w:rsidR="006F6A13" w:rsidRDefault="006F6A13" w:rsidP="005775CE">
      <w:pPr>
        <w:autoSpaceDE w:val="0"/>
        <w:autoSpaceDN w:val="0"/>
        <w:adjustRightInd w:val="0"/>
        <w:rPr>
          <w:rFonts w:ascii="Calibri" w:eastAsiaTheme="minorHAnsi" w:hAnsi="Calibri" w:cs="Calibri"/>
          <w:sz w:val="22"/>
          <w:szCs w:val="22"/>
        </w:rPr>
      </w:pPr>
    </w:p>
    <w:p w14:paraId="09882727" w14:textId="437D51D2" w:rsidR="00D55A54" w:rsidRPr="00D55A54" w:rsidRDefault="00306300" w:rsidP="004F7C61">
      <w:pPr>
        <w:pStyle w:val="Heading1"/>
        <w:rPr>
          <w:rFonts w:eastAsiaTheme="minorHAnsi"/>
        </w:rPr>
      </w:pPr>
      <w:r>
        <w:rPr>
          <w:rFonts w:eastAsiaTheme="minorHAnsi"/>
        </w:rPr>
        <w:t>F</w:t>
      </w:r>
      <w:r w:rsidRPr="00D55A54">
        <w:rPr>
          <w:rFonts w:eastAsiaTheme="minorHAnsi"/>
        </w:rPr>
        <w:t>unding arts and culture</w:t>
      </w:r>
      <w:r>
        <w:rPr>
          <w:rFonts w:eastAsiaTheme="minorHAnsi"/>
        </w:rPr>
        <w:t>:</w:t>
      </w:r>
      <w:r w:rsidR="007F63E3">
        <w:rPr>
          <w:rFonts w:eastAsiaTheme="minorHAnsi"/>
        </w:rPr>
        <w:t xml:space="preserve"> e</w:t>
      </w:r>
      <w:r w:rsidR="00D55A54" w:rsidRPr="00D55A54">
        <w:rPr>
          <w:rFonts w:eastAsiaTheme="minorHAnsi"/>
        </w:rPr>
        <w:t xml:space="preserve">veryday experiences </w:t>
      </w:r>
      <w:r>
        <w:rPr>
          <w:rFonts w:eastAsiaTheme="minorHAnsi"/>
        </w:rPr>
        <w:t>from</w:t>
      </w:r>
      <w:r w:rsidR="00D55A54" w:rsidRPr="00D55A54">
        <w:rPr>
          <w:rFonts w:eastAsiaTheme="minorHAnsi"/>
        </w:rPr>
        <w:t xml:space="preserve"> </w:t>
      </w:r>
      <w:r w:rsidR="007F63E3">
        <w:rPr>
          <w:rFonts w:eastAsiaTheme="minorHAnsi"/>
        </w:rPr>
        <w:t xml:space="preserve">organisations </w:t>
      </w:r>
    </w:p>
    <w:p w14:paraId="498F1CA0" w14:textId="77777777" w:rsidR="00D55A54" w:rsidRDefault="00D55A54" w:rsidP="005775CE">
      <w:pPr>
        <w:autoSpaceDE w:val="0"/>
        <w:autoSpaceDN w:val="0"/>
        <w:adjustRightInd w:val="0"/>
        <w:rPr>
          <w:rFonts w:ascii="Calibri" w:eastAsiaTheme="minorHAnsi" w:hAnsi="Calibri" w:cs="Calibri"/>
          <w:sz w:val="22"/>
          <w:szCs w:val="22"/>
        </w:rPr>
      </w:pPr>
    </w:p>
    <w:p w14:paraId="2162C8F1" w14:textId="040373B8" w:rsidR="005775CE" w:rsidRPr="00400294" w:rsidRDefault="005775CE" w:rsidP="00A70D5B">
      <w:pPr>
        <w:autoSpaceDE w:val="0"/>
        <w:autoSpaceDN w:val="0"/>
        <w:adjustRightInd w:val="0"/>
        <w:rPr>
          <w:rFonts w:ascii="Calibri" w:eastAsiaTheme="minorHAnsi" w:hAnsi="Calibri" w:cs="Calibri"/>
          <w:sz w:val="22"/>
          <w:szCs w:val="22"/>
        </w:rPr>
      </w:pPr>
      <w:r w:rsidRPr="00400294">
        <w:rPr>
          <w:rFonts w:ascii="Calibri" w:eastAsiaTheme="minorHAnsi" w:hAnsi="Calibri" w:cs="Calibri"/>
          <w:sz w:val="22"/>
          <w:szCs w:val="22"/>
        </w:rPr>
        <w:t>What are the everyday experiences of arts and cultural organisations in</w:t>
      </w:r>
      <w:r w:rsidR="00EB47F6" w:rsidRPr="00400294">
        <w:rPr>
          <w:rFonts w:ascii="Calibri" w:eastAsiaTheme="minorHAnsi" w:hAnsi="Calibri" w:cs="Calibri"/>
          <w:sz w:val="22"/>
          <w:szCs w:val="22"/>
        </w:rPr>
        <w:t xml:space="preserve"> </w:t>
      </w:r>
      <w:r w:rsidR="0095342C">
        <w:rPr>
          <w:rFonts w:ascii="Calibri" w:eastAsiaTheme="minorHAnsi" w:hAnsi="Calibri" w:cs="Calibri"/>
          <w:sz w:val="22"/>
          <w:szCs w:val="22"/>
        </w:rPr>
        <w:t xml:space="preserve">generating and </w:t>
      </w:r>
      <w:r w:rsidR="00C470A5">
        <w:rPr>
          <w:rFonts w:ascii="Calibri" w:eastAsiaTheme="minorHAnsi" w:hAnsi="Calibri" w:cs="Calibri"/>
          <w:sz w:val="22"/>
          <w:szCs w:val="22"/>
        </w:rPr>
        <w:t xml:space="preserve">diversifying income? </w:t>
      </w:r>
      <w:r w:rsidRPr="00A70D5B">
        <w:rPr>
          <w:rFonts w:ascii="Calibri" w:eastAsiaTheme="minorHAnsi" w:hAnsi="Calibri" w:cs="Calibri"/>
          <w:b/>
          <w:bCs/>
          <w:sz w:val="22"/>
          <w:szCs w:val="22"/>
        </w:rPr>
        <w:t>Daniel Ashton</w:t>
      </w:r>
      <w:r w:rsidR="00A70D5B">
        <w:rPr>
          <w:rFonts w:ascii="Calibri" w:eastAsiaTheme="minorHAnsi" w:hAnsi="Calibri" w:cs="Calibri"/>
          <w:sz w:val="22"/>
          <w:szCs w:val="22"/>
        </w:rPr>
        <w:t xml:space="preserve"> </w:t>
      </w:r>
      <w:r w:rsidRPr="00400294">
        <w:rPr>
          <w:rFonts w:ascii="Calibri" w:eastAsiaTheme="minorHAnsi" w:hAnsi="Calibri" w:cs="Calibri"/>
          <w:sz w:val="22"/>
          <w:szCs w:val="22"/>
        </w:rPr>
        <w:t xml:space="preserve">shares </w:t>
      </w:r>
      <w:r w:rsidR="00C470A5">
        <w:rPr>
          <w:rFonts w:ascii="Calibri" w:eastAsiaTheme="minorHAnsi" w:hAnsi="Calibri" w:cs="Calibri"/>
          <w:sz w:val="22"/>
          <w:szCs w:val="22"/>
        </w:rPr>
        <w:t>research</w:t>
      </w:r>
      <w:r w:rsidRPr="00400294">
        <w:rPr>
          <w:rFonts w:ascii="Calibri" w:eastAsiaTheme="minorHAnsi" w:hAnsi="Calibri" w:cs="Calibri"/>
          <w:sz w:val="22"/>
          <w:szCs w:val="22"/>
        </w:rPr>
        <w:t xml:space="preserve"> findings.</w:t>
      </w:r>
    </w:p>
    <w:p w14:paraId="1C4536D2" w14:textId="4992BCFF" w:rsidR="005775CE" w:rsidRPr="00400294" w:rsidRDefault="005775CE" w:rsidP="005775CE">
      <w:pPr>
        <w:jc w:val="both"/>
        <w:rPr>
          <w:rFonts w:ascii="Calibri" w:eastAsiaTheme="minorHAnsi" w:hAnsi="Calibri" w:cs="Calibri"/>
          <w:i/>
          <w:iCs/>
          <w:sz w:val="22"/>
          <w:szCs w:val="22"/>
        </w:rPr>
      </w:pPr>
    </w:p>
    <w:p w14:paraId="3397331A" w14:textId="77777777" w:rsidR="00B31BE5" w:rsidRDefault="005D4241" w:rsidP="00211792">
      <w:pPr>
        <w:jc w:val="both"/>
        <w:rPr>
          <w:rFonts w:ascii="Calibri" w:hAnsi="Calibri" w:cs="Calibri"/>
          <w:sz w:val="22"/>
          <w:szCs w:val="22"/>
        </w:rPr>
      </w:pPr>
      <w:r w:rsidRPr="00400294">
        <w:rPr>
          <w:rFonts w:ascii="Calibri" w:eastAsiaTheme="minorHAnsi" w:hAnsi="Calibri" w:cs="Calibri"/>
          <w:sz w:val="22"/>
          <w:szCs w:val="22"/>
        </w:rPr>
        <w:t xml:space="preserve">In 2011 Arts Council England (ACE) introduced its first round of National Portfolio Organisation funding in which 695 organisations joined the portfolio – </w:t>
      </w:r>
      <w:hyperlink r:id="rId7" w:history="1">
        <w:r w:rsidRPr="005750FE">
          <w:rPr>
            <w:rStyle w:val="Hyperlink"/>
            <w:rFonts w:ascii="Calibri" w:eastAsiaTheme="minorHAnsi" w:hAnsi="Calibri" w:cs="Calibri"/>
            <w:sz w:val="22"/>
            <w:szCs w:val="22"/>
          </w:rPr>
          <w:t>compared to 849 organisations that were part of the Regular Funded Organisations (RFO) portfolio</w:t>
        </w:r>
      </w:hyperlink>
      <w:r w:rsidRPr="00400294">
        <w:rPr>
          <w:rFonts w:ascii="Calibri" w:eastAsiaTheme="minorHAnsi" w:hAnsi="Calibri" w:cs="Calibri"/>
          <w:sz w:val="22"/>
          <w:szCs w:val="22"/>
        </w:rPr>
        <w:t>. Th</w:t>
      </w:r>
      <w:r w:rsidR="00211792" w:rsidRPr="00400294">
        <w:rPr>
          <w:rFonts w:ascii="Calibri" w:eastAsiaTheme="minorHAnsi" w:hAnsi="Calibri" w:cs="Calibri"/>
          <w:sz w:val="22"/>
          <w:szCs w:val="22"/>
        </w:rPr>
        <w:t>e outcomes of this funding scheme took place</w:t>
      </w:r>
      <w:r w:rsidRPr="00400294">
        <w:rPr>
          <w:rFonts w:ascii="Calibri" w:eastAsiaTheme="minorHAnsi" w:hAnsi="Calibri" w:cs="Calibri"/>
          <w:sz w:val="22"/>
          <w:szCs w:val="22"/>
        </w:rPr>
        <w:t xml:space="preserve"> in the context of the UK government austerity programme and reductions in </w:t>
      </w:r>
      <w:r w:rsidR="002E54A0" w:rsidRPr="00400294">
        <w:rPr>
          <w:rFonts w:ascii="Calibri" w:eastAsiaTheme="minorHAnsi" w:hAnsi="Calibri" w:cs="Calibri"/>
          <w:sz w:val="22"/>
          <w:szCs w:val="22"/>
        </w:rPr>
        <w:t>the budget made available by the Department of Culture, Media and Sport.</w:t>
      </w:r>
      <w:r w:rsidR="002E54A0" w:rsidRPr="00400294">
        <w:rPr>
          <w:rFonts w:ascii="Calibri" w:hAnsi="Calibri" w:cs="Calibri"/>
          <w:sz w:val="22"/>
          <w:szCs w:val="22"/>
        </w:rPr>
        <w:t xml:space="preserve"> </w:t>
      </w:r>
    </w:p>
    <w:p w14:paraId="1955CDAE" w14:textId="77777777" w:rsidR="00B31BE5" w:rsidRDefault="00B31BE5" w:rsidP="00211792">
      <w:pPr>
        <w:jc w:val="both"/>
        <w:rPr>
          <w:rFonts w:ascii="Calibri" w:hAnsi="Calibri" w:cs="Calibri"/>
          <w:sz w:val="22"/>
          <w:szCs w:val="22"/>
        </w:rPr>
      </w:pPr>
    </w:p>
    <w:p w14:paraId="1A71FAE3" w14:textId="4A903533" w:rsidR="00F16109" w:rsidRPr="00400294" w:rsidRDefault="002E54A0" w:rsidP="00211792">
      <w:pPr>
        <w:jc w:val="both"/>
        <w:rPr>
          <w:rFonts w:ascii="Calibri" w:hAnsi="Calibri" w:cs="Calibri"/>
          <w:sz w:val="22"/>
          <w:szCs w:val="22"/>
        </w:rPr>
      </w:pPr>
      <w:r w:rsidRPr="00400294">
        <w:rPr>
          <w:rFonts w:ascii="Calibri" w:hAnsi="Calibri" w:cs="Calibri"/>
          <w:sz w:val="22"/>
          <w:szCs w:val="22"/>
        </w:rPr>
        <w:t>In July 2014, the Arts Council for England (ACE) made its announcement for investment in arts and culture in England for the period 2015-18. Much of the press coverage addressed this as a matter of ‘winners and losers’</w:t>
      </w:r>
      <w:r w:rsidR="00353223" w:rsidRPr="00400294">
        <w:rPr>
          <w:rFonts w:ascii="Calibri" w:hAnsi="Calibri" w:cs="Calibri"/>
          <w:sz w:val="22"/>
          <w:szCs w:val="22"/>
        </w:rPr>
        <w:t xml:space="preserve"> and </w:t>
      </w:r>
      <w:r w:rsidR="00645746">
        <w:rPr>
          <w:rFonts w:ascii="Calibri" w:hAnsi="Calibri" w:cs="Calibri"/>
          <w:sz w:val="22"/>
          <w:szCs w:val="22"/>
        </w:rPr>
        <w:t>how</w:t>
      </w:r>
      <w:r w:rsidR="00353223" w:rsidRPr="00400294">
        <w:rPr>
          <w:rFonts w:ascii="Calibri" w:hAnsi="Calibri" w:cs="Calibri"/>
          <w:sz w:val="22"/>
          <w:szCs w:val="22"/>
        </w:rPr>
        <w:t xml:space="preserve"> demand and the number of applications outstripp</w:t>
      </w:r>
      <w:r w:rsidR="00645746">
        <w:rPr>
          <w:rFonts w:ascii="Calibri" w:hAnsi="Calibri" w:cs="Calibri"/>
          <w:sz w:val="22"/>
          <w:szCs w:val="22"/>
        </w:rPr>
        <w:t>ed</w:t>
      </w:r>
      <w:r w:rsidR="00353223" w:rsidRPr="00400294">
        <w:rPr>
          <w:rFonts w:ascii="Calibri" w:hAnsi="Calibri" w:cs="Calibri"/>
          <w:sz w:val="22"/>
          <w:szCs w:val="22"/>
        </w:rPr>
        <w:t xml:space="preserve"> available financial resources.</w:t>
      </w:r>
    </w:p>
    <w:p w14:paraId="5B42BEA0" w14:textId="77777777" w:rsidR="00F16109" w:rsidRPr="00400294" w:rsidRDefault="00F16109" w:rsidP="00211792">
      <w:pPr>
        <w:jc w:val="both"/>
        <w:rPr>
          <w:rFonts w:ascii="Calibri" w:hAnsi="Calibri" w:cs="Calibri"/>
          <w:sz w:val="22"/>
          <w:szCs w:val="22"/>
        </w:rPr>
      </w:pPr>
    </w:p>
    <w:p w14:paraId="1C4DF9F0" w14:textId="77777777" w:rsidR="00B31BE5" w:rsidRDefault="005775CE" w:rsidP="007C235E">
      <w:pPr>
        <w:rPr>
          <w:rFonts w:ascii="Calibri" w:hAnsi="Calibri" w:cs="Calibri"/>
          <w:sz w:val="22"/>
          <w:szCs w:val="22"/>
        </w:rPr>
      </w:pPr>
      <w:r w:rsidRPr="00400294">
        <w:rPr>
          <w:rFonts w:ascii="Calibri" w:hAnsi="Calibri" w:cs="Calibri"/>
          <w:sz w:val="22"/>
          <w:szCs w:val="22"/>
        </w:rPr>
        <w:t>For the funding period 2015-18 there were 663 organisations</w:t>
      </w:r>
      <w:r w:rsidR="004A4A91" w:rsidRPr="00400294">
        <w:rPr>
          <w:rFonts w:ascii="Calibri" w:hAnsi="Calibri" w:cs="Calibri"/>
          <w:sz w:val="22"/>
          <w:szCs w:val="22"/>
        </w:rPr>
        <w:t xml:space="preserve"> and t</w:t>
      </w:r>
      <w:r w:rsidRPr="00400294">
        <w:rPr>
          <w:rFonts w:ascii="Calibri" w:hAnsi="Calibri" w:cs="Calibri"/>
          <w:sz w:val="22"/>
          <w:szCs w:val="22"/>
        </w:rPr>
        <w:t>he current portfolio</w:t>
      </w:r>
      <w:r w:rsidR="004A4A91" w:rsidRPr="00400294">
        <w:rPr>
          <w:rFonts w:ascii="Calibri" w:hAnsi="Calibri" w:cs="Calibri"/>
          <w:sz w:val="22"/>
          <w:szCs w:val="22"/>
        </w:rPr>
        <w:t xml:space="preserve">, </w:t>
      </w:r>
      <w:r w:rsidR="00F16109" w:rsidRPr="00400294">
        <w:rPr>
          <w:rFonts w:ascii="Calibri" w:hAnsi="Calibri" w:cs="Calibri"/>
          <w:sz w:val="22"/>
          <w:szCs w:val="22"/>
        </w:rPr>
        <w:t xml:space="preserve">which </w:t>
      </w:r>
      <w:r w:rsidR="004A4A91" w:rsidRPr="00400294">
        <w:rPr>
          <w:rFonts w:ascii="Calibri" w:hAnsi="Calibri" w:cs="Calibri"/>
          <w:sz w:val="22"/>
          <w:szCs w:val="22"/>
        </w:rPr>
        <w:t>runs until 31 March 2023, comprises</w:t>
      </w:r>
      <w:r w:rsidRPr="00400294">
        <w:rPr>
          <w:rFonts w:ascii="Calibri" w:hAnsi="Calibri" w:cs="Calibri"/>
          <w:sz w:val="22"/>
          <w:szCs w:val="22"/>
        </w:rPr>
        <w:t xml:space="preserve"> 828 organisations</w:t>
      </w:r>
      <w:r w:rsidR="00F16109" w:rsidRPr="00400294">
        <w:rPr>
          <w:rFonts w:ascii="Calibri" w:hAnsi="Calibri" w:cs="Calibri"/>
          <w:sz w:val="22"/>
          <w:szCs w:val="22"/>
        </w:rPr>
        <w:t>.</w:t>
      </w:r>
      <w:r w:rsidRPr="00400294">
        <w:rPr>
          <w:rFonts w:ascii="Calibri" w:hAnsi="Calibri" w:cs="Calibri"/>
          <w:sz w:val="22"/>
          <w:szCs w:val="22"/>
        </w:rPr>
        <w:t xml:space="preserve"> For the 2023-2026 funding round, ACE received a record-breaking 1,730 applications</w:t>
      </w:r>
      <w:r w:rsidR="007C785B" w:rsidRPr="00400294">
        <w:rPr>
          <w:rFonts w:ascii="Calibri" w:hAnsi="Calibri" w:cs="Calibri"/>
          <w:sz w:val="22"/>
          <w:szCs w:val="22"/>
        </w:rPr>
        <w:t xml:space="preserve"> </w:t>
      </w:r>
      <w:hyperlink r:id="rId8" w:history="1">
        <w:r w:rsidR="007C785B" w:rsidRPr="00ED1EF5">
          <w:rPr>
            <w:rStyle w:val="Hyperlink"/>
            <w:rFonts w:ascii="Calibri" w:hAnsi="Calibri" w:cs="Calibri"/>
            <w:sz w:val="22"/>
            <w:szCs w:val="22"/>
          </w:rPr>
          <w:t>where t</w:t>
        </w:r>
        <w:r w:rsidRPr="00ED1EF5">
          <w:rPr>
            <w:rStyle w:val="Hyperlink"/>
            <w:rFonts w:ascii="Calibri" w:hAnsi="Calibri" w:cs="Calibri"/>
            <w:sz w:val="22"/>
            <w:szCs w:val="22"/>
          </w:rPr>
          <w:t>he annual budget available for NPOs is £428m but applications exceeded £655m</w:t>
        </w:r>
      </w:hyperlink>
      <w:r w:rsidR="002E54A0" w:rsidRPr="00400294">
        <w:rPr>
          <w:rFonts w:ascii="Calibri" w:hAnsi="Calibri" w:cs="Calibri"/>
          <w:sz w:val="22"/>
          <w:szCs w:val="22"/>
        </w:rPr>
        <w:t xml:space="preserve">. </w:t>
      </w:r>
    </w:p>
    <w:p w14:paraId="45BEB2B3" w14:textId="77777777" w:rsidR="00B31BE5" w:rsidRDefault="00B31BE5" w:rsidP="007C235E">
      <w:pPr>
        <w:rPr>
          <w:rFonts w:ascii="Calibri" w:hAnsi="Calibri" w:cs="Calibri"/>
          <w:sz w:val="22"/>
          <w:szCs w:val="22"/>
        </w:rPr>
      </w:pPr>
    </w:p>
    <w:p w14:paraId="4128CDE7" w14:textId="767A1D30" w:rsidR="00211792" w:rsidRPr="00400294" w:rsidRDefault="00125F10" w:rsidP="007C235E">
      <w:pPr>
        <w:rPr>
          <w:rFonts w:ascii="Calibri" w:hAnsi="Calibri" w:cs="Calibri"/>
          <w:sz w:val="22"/>
          <w:szCs w:val="22"/>
        </w:rPr>
      </w:pPr>
      <w:r w:rsidRPr="00400294">
        <w:rPr>
          <w:rFonts w:ascii="Calibri" w:hAnsi="Calibri" w:cs="Calibri"/>
          <w:sz w:val="22"/>
          <w:szCs w:val="22"/>
        </w:rPr>
        <w:t xml:space="preserve">In </w:t>
      </w:r>
      <w:r w:rsidR="00016E6A" w:rsidRPr="00400294">
        <w:rPr>
          <w:rFonts w:ascii="Calibri" w:hAnsi="Calibri" w:cs="Calibri"/>
          <w:sz w:val="22"/>
          <w:szCs w:val="22"/>
        </w:rPr>
        <w:t xml:space="preserve">this brief outline of the ACE NPO scheme, two </w:t>
      </w:r>
      <w:r w:rsidR="009B3DA2" w:rsidRPr="00400294">
        <w:rPr>
          <w:rFonts w:ascii="Calibri" w:hAnsi="Calibri" w:cs="Calibri"/>
          <w:sz w:val="22"/>
          <w:szCs w:val="22"/>
        </w:rPr>
        <w:t xml:space="preserve">challenges emerge relating to the amounts of funding availability and </w:t>
      </w:r>
      <w:r w:rsidR="00645746">
        <w:rPr>
          <w:rFonts w:ascii="Calibri" w:hAnsi="Calibri" w:cs="Calibri"/>
          <w:sz w:val="22"/>
          <w:szCs w:val="22"/>
        </w:rPr>
        <w:t>funding</w:t>
      </w:r>
      <w:r w:rsidR="009B3DA2" w:rsidRPr="00400294">
        <w:rPr>
          <w:rFonts w:ascii="Calibri" w:hAnsi="Calibri" w:cs="Calibri"/>
          <w:sz w:val="22"/>
          <w:szCs w:val="22"/>
        </w:rPr>
        <w:t xml:space="preserve"> </w:t>
      </w:r>
      <w:r w:rsidR="00645746">
        <w:rPr>
          <w:rFonts w:ascii="Calibri" w:hAnsi="Calibri" w:cs="Calibri"/>
          <w:sz w:val="22"/>
          <w:szCs w:val="22"/>
        </w:rPr>
        <w:t>cycles and processes</w:t>
      </w:r>
      <w:r w:rsidR="00553058" w:rsidRPr="00400294">
        <w:rPr>
          <w:rFonts w:ascii="Calibri" w:hAnsi="Calibri" w:cs="Calibri"/>
          <w:sz w:val="22"/>
          <w:szCs w:val="22"/>
        </w:rPr>
        <w:t xml:space="preserve">. </w:t>
      </w:r>
      <w:r w:rsidR="00211792" w:rsidRPr="00400294">
        <w:rPr>
          <w:rFonts w:ascii="Calibri" w:hAnsi="Calibri" w:cs="Calibri"/>
          <w:sz w:val="22"/>
          <w:szCs w:val="22"/>
        </w:rPr>
        <w:t>This article shares researc</w:t>
      </w:r>
      <w:r w:rsidR="007C785B" w:rsidRPr="00400294">
        <w:rPr>
          <w:rFonts w:ascii="Calibri" w:hAnsi="Calibri" w:cs="Calibri"/>
          <w:sz w:val="22"/>
          <w:szCs w:val="22"/>
        </w:rPr>
        <w:t>h</w:t>
      </w:r>
      <w:r w:rsidR="00211792" w:rsidRPr="00400294">
        <w:rPr>
          <w:rFonts w:ascii="Calibri" w:hAnsi="Calibri" w:cs="Calibri"/>
          <w:sz w:val="22"/>
          <w:szCs w:val="22"/>
        </w:rPr>
        <w:t xml:space="preserve"> published in </w:t>
      </w:r>
      <w:r w:rsidR="00553058" w:rsidRPr="00400294">
        <w:rPr>
          <w:rFonts w:ascii="Calibri" w:hAnsi="Calibri" w:cs="Calibri"/>
          <w:sz w:val="22"/>
          <w:szCs w:val="22"/>
        </w:rPr>
        <w:t xml:space="preserve">the </w:t>
      </w:r>
      <w:hyperlink r:id="rId9" w:history="1">
        <w:r w:rsidR="00211792" w:rsidRPr="007C235E">
          <w:rPr>
            <w:rStyle w:val="Hyperlink"/>
            <w:rFonts w:ascii="Calibri" w:hAnsi="Calibri" w:cs="Calibri"/>
            <w:i/>
            <w:iCs/>
            <w:sz w:val="22"/>
            <w:szCs w:val="22"/>
          </w:rPr>
          <w:t>European Journal of Cultural Studies</w:t>
        </w:r>
      </w:hyperlink>
      <w:r w:rsidR="00211792" w:rsidRPr="00400294">
        <w:rPr>
          <w:rFonts w:ascii="Calibri" w:hAnsi="Calibri" w:cs="Calibri"/>
          <w:i/>
          <w:iCs/>
          <w:sz w:val="22"/>
          <w:szCs w:val="22"/>
        </w:rPr>
        <w:t xml:space="preserve"> </w:t>
      </w:r>
      <w:r w:rsidR="00211792" w:rsidRPr="00400294">
        <w:rPr>
          <w:rFonts w:ascii="Calibri" w:hAnsi="Calibri" w:cs="Calibri"/>
          <w:sz w:val="22"/>
          <w:szCs w:val="22"/>
        </w:rPr>
        <w:t xml:space="preserve">exploring the experiences of arts and cultural organisations in applying for and then securing, or not, funding. </w:t>
      </w:r>
    </w:p>
    <w:p w14:paraId="1C2469A9" w14:textId="570A420D" w:rsidR="002E54A0" w:rsidRPr="00400294" w:rsidRDefault="002E54A0" w:rsidP="002E54A0">
      <w:pPr>
        <w:jc w:val="both"/>
        <w:rPr>
          <w:rFonts w:ascii="Calibri" w:hAnsi="Calibri" w:cs="Calibri"/>
          <w:sz w:val="22"/>
          <w:szCs w:val="22"/>
        </w:rPr>
      </w:pPr>
    </w:p>
    <w:p w14:paraId="66457CEF" w14:textId="4F59BDC5" w:rsidR="00F62E60" w:rsidRPr="00143062" w:rsidRDefault="00143062" w:rsidP="004F7C61">
      <w:pPr>
        <w:pStyle w:val="Heading2"/>
      </w:pPr>
      <w:r w:rsidRPr="00143062">
        <w:t>Funding in times of austerity, Brexit, Covid and … austerity</w:t>
      </w:r>
    </w:p>
    <w:p w14:paraId="342B3EA7" w14:textId="77777777" w:rsidR="00C42C14" w:rsidRDefault="002E54A0" w:rsidP="00CA6181">
      <w:pPr>
        <w:jc w:val="both"/>
        <w:rPr>
          <w:rFonts w:ascii="Calibri" w:eastAsiaTheme="minorHAnsi" w:hAnsi="Calibri" w:cs="Calibri"/>
          <w:sz w:val="22"/>
          <w:szCs w:val="22"/>
        </w:rPr>
      </w:pPr>
      <w:r w:rsidRPr="00400294">
        <w:rPr>
          <w:rFonts w:ascii="Calibri" w:hAnsi="Calibri" w:cs="Calibri"/>
          <w:sz w:val="22"/>
          <w:szCs w:val="22"/>
        </w:rPr>
        <w:t>The life of the NPO scheme over the last ten years has run alongside massive socio-economic challenges and transformations which have impacted on the funding landscape for arts and cultur</w:t>
      </w:r>
      <w:r w:rsidR="00C42C14">
        <w:rPr>
          <w:rFonts w:ascii="Calibri" w:hAnsi="Calibri" w:cs="Calibri"/>
          <w:sz w:val="22"/>
          <w:szCs w:val="22"/>
        </w:rPr>
        <w:t>al</w:t>
      </w:r>
      <w:r w:rsidRPr="00400294">
        <w:rPr>
          <w:rFonts w:ascii="Calibri" w:hAnsi="Calibri" w:cs="Calibri"/>
          <w:sz w:val="22"/>
          <w:szCs w:val="22"/>
        </w:rPr>
        <w:t xml:space="preserve"> organisations. The constant </w:t>
      </w:r>
      <w:r w:rsidR="001F5190">
        <w:rPr>
          <w:rFonts w:ascii="Calibri" w:hAnsi="Calibri" w:cs="Calibri"/>
          <w:sz w:val="22"/>
          <w:szCs w:val="22"/>
        </w:rPr>
        <w:t xml:space="preserve">presence </w:t>
      </w:r>
      <w:r w:rsidRPr="00400294">
        <w:rPr>
          <w:rFonts w:ascii="Calibri" w:hAnsi="Calibri" w:cs="Calibri"/>
          <w:sz w:val="22"/>
          <w:szCs w:val="22"/>
        </w:rPr>
        <w:t xml:space="preserve">of austerity measures </w:t>
      </w:r>
      <w:r w:rsidR="00211792" w:rsidRPr="00400294">
        <w:rPr>
          <w:rFonts w:ascii="Calibri" w:hAnsi="Calibri" w:cs="Calibri"/>
          <w:sz w:val="22"/>
          <w:szCs w:val="22"/>
        </w:rPr>
        <w:t xml:space="preserve">has </w:t>
      </w:r>
      <w:r w:rsidRPr="00400294">
        <w:rPr>
          <w:rFonts w:ascii="Calibri" w:hAnsi="Calibri" w:cs="Calibri"/>
          <w:sz w:val="22"/>
          <w:szCs w:val="22"/>
        </w:rPr>
        <w:t>met with Brexit, Covid and a renewed emphasis on austerity in relation to the</w:t>
      </w:r>
      <w:r w:rsidRPr="00400294">
        <w:rPr>
          <w:rFonts w:ascii="Calibri" w:eastAsiaTheme="minorHAnsi" w:hAnsi="Calibri" w:cs="Calibri"/>
          <w:sz w:val="22"/>
          <w:szCs w:val="22"/>
        </w:rPr>
        <w:t xml:space="preserve"> ‘cost of living’ crisis. </w:t>
      </w:r>
      <w:r w:rsidR="001D2C7B" w:rsidRPr="00400294">
        <w:rPr>
          <w:rFonts w:ascii="Calibri" w:eastAsiaTheme="minorHAnsi" w:hAnsi="Calibri" w:cs="Calibri"/>
          <w:sz w:val="22"/>
          <w:szCs w:val="22"/>
        </w:rPr>
        <w:t xml:space="preserve">In response, </w:t>
      </w:r>
      <w:r w:rsidR="00553058" w:rsidRPr="00400294">
        <w:rPr>
          <w:rFonts w:ascii="Calibri" w:eastAsiaTheme="minorHAnsi" w:hAnsi="Calibri" w:cs="Calibri"/>
          <w:sz w:val="22"/>
          <w:szCs w:val="22"/>
        </w:rPr>
        <w:t>the need for</w:t>
      </w:r>
      <w:r w:rsidRPr="00400294">
        <w:rPr>
          <w:rFonts w:ascii="Calibri" w:eastAsiaTheme="minorHAnsi" w:hAnsi="Calibri" w:cs="Calibri"/>
          <w:sz w:val="22"/>
          <w:szCs w:val="22"/>
        </w:rPr>
        <w:t xml:space="preserve"> arts and cultural organisations to</w:t>
      </w:r>
      <w:r w:rsidR="00553058" w:rsidRPr="00400294">
        <w:rPr>
          <w:rFonts w:ascii="Calibri" w:eastAsiaTheme="minorHAnsi" w:hAnsi="Calibri" w:cs="Calibri"/>
          <w:sz w:val="22"/>
          <w:szCs w:val="22"/>
        </w:rPr>
        <w:t xml:space="preserve"> secure income from a diversity of sources</w:t>
      </w:r>
      <w:r w:rsidR="001D2C7B" w:rsidRPr="00400294">
        <w:rPr>
          <w:rFonts w:ascii="Calibri" w:eastAsiaTheme="minorHAnsi" w:hAnsi="Calibri" w:cs="Calibri"/>
          <w:sz w:val="22"/>
          <w:szCs w:val="22"/>
        </w:rPr>
        <w:t xml:space="preserve"> has become ever important</w:t>
      </w:r>
      <w:r w:rsidRPr="00400294">
        <w:rPr>
          <w:rFonts w:ascii="Calibri" w:eastAsiaTheme="minorHAnsi" w:hAnsi="Calibri" w:cs="Calibri"/>
          <w:sz w:val="22"/>
          <w:szCs w:val="22"/>
        </w:rPr>
        <w:t xml:space="preserve">. </w:t>
      </w:r>
    </w:p>
    <w:p w14:paraId="3CED6E9D" w14:textId="77777777" w:rsidR="00C42C14" w:rsidRDefault="00C42C14" w:rsidP="00CA6181">
      <w:pPr>
        <w:jc w:val="both"/>
        <w:rPr>
          <w:rFonts w:ascii="Calibri" w:eastAsiaTheme="minorHAnsi" w:hAnsi="Calibri" w:cs="Calibri"/>
          <w:sz w:val="22"/>
          <w:szCs w:val="22"/>
        </w:rPr>
      </w:pPr>
    </w:p>
    <w:p w14:paraId="38A5F47B" w14:textId="7E60E3C1" w:rsidR="00CA6181" w:rsidRPr="00CA6181" w:rsidRDefault="00C42C14" w:rsidP="00CA6181">
      <w:pPr>
        <w:jc w:val="both"/>
        <w:rPr>
          <w:rFonts w:ascii="Calibri" w:eastAsiaTheme="minorHAnsi" w:hAnsi="Calibri" w:cs="Calibri"/>
          <w:sz w:val="22"/>
          <w:szCs w:val="22"/>
        </w:rPr>
      </w:pPr>
      <w:r>
        <w:rPr>
          <w:rFonts w:ascii="Calibri" w:eastAsiaTheme="minorHAnsi" w:hAnsi="Calibri" w:cs="Calibri"/>
          <w:sz w:val="22"/>
          <w:szCs w:val="22"/>
        </w:rPr>
        <w:t>S</w:t>
      </w:r>
      <w:r w:rsidR="00211792" w:rsidRPr="00400294">
        <w:rPr>
          <w:rFonts w:ascii="Calibri" w:hAnsi="Calibri" w:cs="Calibri"/>
          <w:color w:val="333333"/>
          <w:sz w:val="22"/>
          <w:szCs w:val="22"/>
          <w:shd w:val="clear" w:color="auto" w:fill="FFFFFF"/>
        </w:rPr>
        <w:t>everal national reports in the last 5 years (</w:t>
      </w:r>
      <w:hyperlink r:id="rId10" w:anchor="bibr13-13675494221118386" w:history="1">
        <w:r w:rsidR="00211792" w:rsidRPr="00400294">
          <w:rPr>
            <w:rStyle w:val="Hyperlink"/>
            <w:rFonts w:ascii="Calibri" w:hAnsi="Calibri" w:cs="Calibri"/>
            <w:color w:val="006ACC"/>
            <w:sz w:val="22"/>
            <w:szCs w:val="22"/>
            <w:shd w:val="clear" w:color="auto" w:fill="FFFFFF"/>
          </w:rPr>
          <w:t>Bazalgette, 2017</w:t>
        </w:r>
      </w:hyperlink>
      <w:r w:rsidR="00211792" w:rsidRPr="00400294">
        <w:rPr>
          <w:rFonts w:ascii="Calibri" w:hAnsi="Calibri" w:cs="Calibri"/>
          <w:color w:val="333333"/>
          <w:sz w:val="22"/>
          <w:szCs w:val="22"/>
          <w:shd w:val="clear" w:color="auto" w:fill="FFFFFF"/>
        </w:rPr>
        <w:t>; </w:t>
      </w:r>
      <w:hyperlink r:id="rId11" w:anchor="bibr18-13675494221118386" w:history="1">
        <w:r w:rsidR="00211792" w:rsidRPr="00400294">
          <w:rPr>
            <w:rStyle w:val="Hyperlink"/>
            <w:rFonts w:ascii="Calibri" w:hAnsi="Calibri" w:cs="Calibri"/>
            <w:color w:val="006ACC"/>
            <w:sz w:val="22"/>
            <w:szCs w:val="22"/>
            <w:shd w:val="clear" w:color="auto" w:fill="FFFFFF"/>
          </w:rPr>
          <w:t>Department for Culture, Media and Sport (DCMS), 2016</w:t>
        </w:r>
      </w:hyperlink>
      <w:r w:rsidR="00211792" w:rsidRPr="00400294">
        <w:rPr>
          <w:rFonts w:ascii="Calibri" w:hAnsi="Calibri" w:cs="Calibri"/>
          <w:color w:val="333333"/>
          <w:sz w:val="22"/>
          <w:szCs w:val="22"/>
          <w:shd w:val="clear" w:color="auto" w:fill="FFFFFF"/>
        </w:rPr>
        <w:t>; </w:t>
      </w:r>
      <w:hyperlink r:id="rId12" w:anchor="bibr26-13675494221118386" w:history="1">
        <w:r w:rsidR="00211792" w:rsidRPr="00400294">
          <w:rPr>
            <w:rStyle w:val="Hyperlink"/>
            <w:rFonts w:ascii="Calibri" w:hAnsi="Calibri" w:cs="Calibri"/>
            <w:color w:val="006ACC"/>
            <w:sz w:val="22"/>
            <w:szCs w:val="22"/>
            <w:shd w:val="clear" w:color="auto" w:fill="FFFFFF"/>
          </w:rPr>
          <w:t>Harvey, 2016</w:t>
        </w:r>
      </w:hyperlink>
      <w:r w:rsidR="00211792" w:rsidRPr="00400294">
        <w:rPr>
          <w:rFonts w:ascii="Calibri" w:hAnsi="Calibri" w:cs="Calibri"/>
          <w:color w:val="333333"/>
          <w:sz w:val="22"/>
          <w:szCs w:val="22"/>
          <w:shd w:val="clear" w:color="auto" w:fill="FFFFFF"/>
        </w:rPr>
        <w:t>) highlight the prevailing government and cultural sector policy direction towards encouraging organisations to diversify income. Most recently, (ACE) published its 10-year strategy, </w:t>
      </w:r>
      <w:hyperlink r:id="rId13" w:history="1">
        <w:r w:rsidR="00211792" w:rsidRPr="004C484C">
          <w:rPr>
            <w:rStyle w:val="Hyperlink"/>
            <w:rFonts w:ascii="Calibri" w:hAnsi="Calibri" w:cs="Calibri"/>
            <w:i/>
            <w:iCs/>
            <w:sz w:val="22"/>
            <w:szCs w:val="22"/>
            <w:shd w:val="clear" w:color="auto" w:fill="FFFFFF"/>
          </w:rPr>
          <w:t>Let</w:t>
        </w:r>
        <w:r w:rsidR="00211792" w:rsidRPr="004C484C">
          <w:rPr>
            <w:rStyle w:val="Hyperlink"/>
            <w:rFonts w:ascii="Calibri" w:hAnsi="Calibri" w:cs="Calibri"/>
            <w:sz w:val="22"/>
            <w:szCs w:val="22"/>
            <w:shd w:val="clear" w:color="auto" w:fill="FFFFFF"/>
          </w:rPr>
          <w:t>’</w:t>
        </w:r>
        <w:r w:rsidR="00211792" w:rsidRPr="004C484C">
          <w:rPr>
            <w:rStyle w:val="Hyperlink"/>
            <w:rFonts w:ascii="Calibri" w:hAnsi="Calibri" w:cs="Calibri"/>
            <w:i/>
            <w:iCs/>
            <w:sz w:val="22"/>
            <w:szCs w:val="22"/>
            <w:shd w:val="clear" w:color="auto" w:fill="FFFFFF"/>
          </w:rPr>
          <w:t>s Create</w:t>
        </w:r>
      </w:hyperlink>
      <w:r w:rsidR="004C484C">
        <w:rPr>
          <w:rFonts w:ascii="Calibri" w:hAnsi="Calibri" w:cs="Calibri"/>
          <w:i/>
          <w:iCs/>
          <w:color w:val="333333"/>
          <w:sz w:val="22"/>
          <w:szCs w:val="22"/>
          <w:shd w:val="clear" w:color="auto" w:fill="FFFFFF"/>
        </w:rPr>
        <w:t xml:space="preserve"> </w:t>
      </w:r>
      <w:r w:rsidR="00211792" w:rsidRPr="00400294">
        <w:rPr>
          <w:rFonts w:ascii="Calibri" w:hAnsi="Calibri" w:cs="Calibri"/>
          <w:color w:val="333333"/>
          <w:sz w:val="22"/>
          <w:szCs w:val="22"/>
          <w:shd w:val="clear" w:color="auto" w:fill="FFFFFF"/>
        </w:rPr>
        <w:t>stating that organisations will ‘develop business models that help them maximise income, reduce costs and become more financially resilient.</w:t>
      </w:r>
      <w:r w:rsidR="004C484C">
        <w:rPr>
          <w:rFonts w:ascii="Calibri" w:hAnsi="Calibri" w:cs="Calibri"/>
          <w:color w:val="333333"/>
          <w:sz w:val="22"/>
          <w:szCs w:val="22"/>
          <w:shd w:val="clear" w:color="auto" w:fill="FFFFFF"/>
        </w:rPr>
        <w:t>’</w:t>
      </w:r>
      <w:r w:rsidR="00CA6181">
        <w:rPr>
          <w:rFonts w:ascii="Calibri" w:eastAsiaTheme="minorHAnsi" w:hAnsi="Calibri" w:cs="Calibri"/>
          <w:sz w:val="22"/>
          <w:szCs w:val="22"/>
        </w:rPr>
        <w:t xml:space="preserve"> </w:t>
      </w:r>
      <w:r w:rsidR="00CB7746" w:rsidRPr="00400294">
        <w:rPr>
          <w:rFonts w:ascii="Calibri" w:eastAsiaTheme="minorHAnsi" w:hAnsi="Calibri" w:cs="Calibri"/>
          <w:sz w:val="22"/>
          <w:szCs w:val="22"/>
        </w:rPr>
        <w:t xml:space="preserve">This </w:t>
      </w:r>
      <w:r w:rsidR="004C484C">
        <w:rPr>
          <w:rFonts w:ascii="Calibri" w:eastAsiaTheme="minorHAnsi" w:hAnsi="Calibri" w:cs="Calibri"/>
          <w:sz w:val="22"/>
          <w:szCs w:val="22"/>
        </w:rPr>
        <w:t xml:space="preserve">priority for diversifying income </w:t>
      </w:r>
      <w:r w:rsidR="00CB7746" w:rsidRPr="00400294">
        <w:rPr>
          <w:rFonts w:ascii="Calibri" w:hAnsi="Calibri" w:cs="Calibri"/>
          <w:color w:val="333333"/>
          <w:sz w:val="22"/>
          <w:szCs w:val="22"/>
          <w:shd w:val="clear" w:color="auto" w:fill="FFFFFF"/>
        </w:rPr>
        <w:t>is central the contemporary funding landscape and requires arts and cultural organisations to identify and understand funding opportunities and openings in relation to an ever-wider range of possible sources. </w:t>
      </w:r>
    </w:p>
    <w:p w14:paraId="239939A2" w14:textId="77777777" w:rsidR="00CA6181" w:rsidRDefault="00CA6181" w:rsidP="00DA0608">
      <w:pPr>
        <w:autoSpaceDE w:val="0"/>
        <w:autoSpaceDN w:val="0"/>
        <w:adjustRightInd w:val="0"/>
        <w:rPr>
          <w:rFonts w:ascii="Calibri" w:hAnsi="Calibri" w:cs="Calibri"/>
          <w:color w:val="333333"/>
          <w:sz w:val="22"/>
          <w:szCs w:val="22"/>
          <w:shd w:val="clear" w:color="auto" w:fill="FFFFFF"/>
        </w:rPr>
      </w:pPr>
    </w:p>
    <w:p w14:paraId="6C9A851B" w14:textId="7DCD927F" w:rsidR="00CA6181" w:rsidRDefault="00CA6181" w:rsidP="004F7C61">
      <w:pPr>
        <w:pStyle w:val="Heading2"/>
        <w:rPr>
          <w:shd w:val="clear" w:color="auto" w:fill="FFFFFF"/>
        </w:rPr>
      </w:pPr>
      <w:r>
        <w:rPr>
          <w:shd w:val="clear" w:color="auto" w:fill="FFFFFF"/>
        </w:rPr>
        <w:lastRenderedPageBreak/>
        <w:t>Researching the experiences of arts and cultural organisations</w:t>
      </w:r>
    </w:p>
    <w:p w14:paraId="03A6CE29" w14:textId="21F2D39C" w:rsidR="00CB21F9" w:rsidRDefault="005102C0" w:rsidP="00DA0608">
      <w:pPr>
        <w:autoSpaceDE w:val="0"/>
        <w:autoSpaceDN w:val="0"/>
        <w:adjustRightInd w:val="0"/>
        <w:rPr>
          <w:rFonts w:ascii="Calibri" w:eastAsiaTheme="minorHAnsi" w:hAnsi="Calibri" w:cs="Calibri"/>
          <w:sz w:val="22"/>
          <w:szCs w:val="22"/>
        </w:rPr>
      </w:pPr>
      <w:r w:rsidRPr="00400294">
        <w:rPr>
          <w:rFonts w:ascii="Calibri" w:hAnsi="Calibri" w:cs="Calibri"/>
          <w:color w:val="333333"/>
          <w:sz w:val="22"/>
          <w:szCs w:val="22"/>
          <w:shd w:val="clear" w:color="auto" w:fill="FFFFFF"/>
        </w:rPr>
        <w:t xml:space="preserve">To </w:t>
      </w:r>
      <w:r w:rsidR="001D2C7B" w:rsidRPr="00400294">
        <w:rPr>
          <w:rFonts w:ascii="Calibri" w:hAnsi="Calibri" w:cs="Calibri"/>
          <w:color w:val="333333"/>
          <w:sz w:val="22"/>
          <w:szCs w:val="22"/>
          <w:shd w:val="clear" w:color="auto" w:fill="FFFFFF"/>
        </w:rPr>
        <w:t>understand what this means</w:t>
      </w:r>
      <w:r w:rsidR="002B467C" w:rsidRPr="00400294">
        <w:rPr>
          <w:rFonts w:ascii="Calibri" w:hAnsi="Calibri" w:cs="Calibri"/>
          <w:color w:val="333333"/>
          <w:sz w:val="22"/>
          <w:szCs w:val="22"/>
          <w:shd w:val="clear" w:color="auto" w:fill="FFFFFF"/>
        </w:rPr>
        <w:t xml:space="preserve"> for arts and cultural organisations a </w:t>
      </w:r>
      <w:r w:rsidR="00C42C14">
        <w:rPr>
          <w:rFonts w:ascii="Calibri" w:hAnsi="Calibri" w:cs="Calibri"/>
          <w:color w:val="333333"/>
          <w:sz w:val="22"/>
          <w:szCs w:val="22"/>
          <w:shd w:val="clear" w:color="auto" w:fill="FFFFFF"/>
        </w:rPr>
        <w:t xml:space="preserve">project was designed involving a </w:t>
      </w:r>
      <w:r w:rsidR="002B467C" w:rsidRPr="00400294">
        <w:rPr>
          <w:rFonts w:ascii="Calibri" w:hAnsi="Calibri" w:cs="Calibri"/>
          <w:color w:val="333333"/>
          <w:sz w:val="22"/>
          <w:szCs w:val="22"/>
          <w:shd w:val="clear" w:color="auto" w:fill="FFFFFF"/>
        </w:rPr>
        <w:t xml:space="preserve">series of research visits </w:t>
      </w:r>
      <w:r w:rsidR="005F7777" w:rsidRPr="00400294">
        <w:rPr>
          <w:rFonts w:ascii="Calibri" w:hAnsi="Calibri" w:cs="Calibri"/>
          <w:color w:val="333333"/>
          <w:sz w:val="22"/>
          <w:szCs w:val="22"/>
          <w:shd w:val="clear" w:color="auto" w:fill="FFFFFF"/>
        </w:rPr>
        <w:t>with organisations from across</w:t>
      </w:r>
      <w:r w:rsidR="005F7777" w:rsidRPr="00400294">
        <w:rPr>
          <w:rFonts w:ascii="Calibri" w:eastAsiaTheme="minorHAnsi" w:hAnsi="Calibri" w:cs="Calibri"/>
          <w:sz w:val="22"/>
          <w:szCs w:val="22"/>
        </w:rPr>
        <w:t xml:space="preserve"> literature, music, theatre, visual arts and combined arts. </w:t>
      </w:r>
      <w:r w:rsidR="008C274F" w:rsidRPr="00400294">
        <w:rPr>
          <w:rFonts w:ascii="Calibri" w:eastAsiaTheme="minorHAnsi" w:hAnsi="Calibri" w:cs="Calibri"/>
          <w:sz w:val="22"/>
          <w:szCs w:val="22"/>
        </w:rPr>
        <w:t>The research</w:t>
      </w:r>
      <w:r w:rsidR="00430B63" w:rsidRPr="00400294">
        <w:rPr>
          <w:rFonts w:ascii="Calibri" w:eastAsiaTheme="minorHAnsi" w:hAnsi="Calibri" w:cs="Calibri"/>
          <w:sz w:val="22"/>
          <w:szCs w:val="22"/>
        </w:rPr>
        <w:t xml:space="preserve"> visits</w:t>
      </w:r>
      <w:r w:rsidR="008C274F" w:rsidRPr="00400294">
        <w:rPr>
          <w:rFonts w:ascii="Calibri" w:eastAsiaTheme="minorHAnsi" w:hAnsi="Calibri" w:cs="Calibri"/>
          <w:sz w:val="22"/>
          <w:szCs w:val="22"/>
        </w:rPr>
        <w:t xml:space="preserve"> took place between February 2017 and August 2018 and overlapped with the</w:t>
      </w:r>
      <w:r w:rsidR="000843C4" w:rsidRPr="00400294">
        <w:rPr>
          <w:rFonts w:ascii="Calibri" w:eastAsiaTheme="minorHAnsi" w:hAnsi="Calibri" w:cs="Calibri"/>
          <w:sz w:val="22"/>
          <w:szCs w:val="22"/>
        </w:rPr>
        <w:t xml:space="preserve"> </w:t>
      </w:r>
      <w:r w:rsidR="008C274F" w:rsidRPr="00400294">
        <w:rPr>
          <w:rFonts w:ascii="Calibri" w:eastAsiaTheme="minorHAnsi" w:hAnsi="Calibri" w:cs="Calibri"/>
          <w:sz w:val="22"/>
          <w:szCs w:val="22"/>
        </w:rPr>
        <w:t>application and decision stages for the ACE NPO</w:t>
      </w:r>
      <w:r w:rsidR="000843C4" w:rsidRPr="00400294">
        <w:rPr>
          <w:rFonts w:ascii="Calibri" w:eastAsiaTheme="minorHAnsi" w:hAnsi="Calibri" w:cs="Calibri"/>
          <w:sz w:val="22"/>
          <w:szCs w:val="22"/>
        </w:rPr>
        <w:t xml:space="preserve"> </w:t>
      </w:r>
      <w:r w:rsidR="008C274F" w:rsidRPr="00400294">
        <w:rPr>
          <w:rFonts w:ascii="Calibri" w:eastAsiaTheme="minorHAnsi" w:hAnsi="Calibri" w:cs="Calibri"/>
          <w:sz w:val="22"/>
          <w:szCs w:val="22"/>
        </w:rPr>
        <w:t>2018–2022 funding round.</w:t>
      </w:r>
      <w:r w:rsidR="00D03AD8" w:rsidRPr="00400294">
        <w:rPr>
          <w:rFonts w:ascii="Calibri" w:eastAsiaTheme="minorHAnsi" w:hAnsi="Calibri" w:cs="Calibri"/>
          <w:sz w:val="22"/>
          <w:szCs w:val="22"/>
        </w:rPr>
        <w:t xml:space="preserve"> </w:t>
      </w:r>
    </w:p>
    <w:p w14:paraId="71DAD226" w14:textId="77777777" w:rsidR="00CB21F9" w:rsidRDefault="00CB21F9" w:rsidP="00DA0608">
      <w:pPr>
        <w:autoSpaceDE w:val="0"/>
        <w:autoSpaceDN w:val="0"/>
        <w:adjustRightInd w:val="0"/>
        <w:rPr>
          <w:rFonts w:ascii="Calibri" w:eastAsiaTheme="minorHAnsi" w:hAnsi="Calibri" w:cs="Calibri"/>
          <w:sz w:val="22"/>
          <w:szCs w:val="22"/>
        </w:rPr>
      </w:pPr>
    </w:p>
    <w:p w14:paraId="2C5DB4FA" w14:textId="313FA647" w:rsidR="00CB21F9" w:rsidRDefault="00D03AD8" w:rsidP="00DA0608">
      <w:pPr>
        <w:autoSpaceDE w:val="0"/>
        <w:autoSpaceDN w:val="0"/>
        <w:adjustRightInd w:val="0"/>
        <w:rPr>
          <w:rFonts w:ascii="Calibri" w:eastAsiaTheme="minorHAnsi" w:hAnsi="Calibri" w:cs="Calibri"/>
          <w:sz w:val="22"/>
          <w:szCs w:val="22"/>
        </w:rPr>
      </w:pPr>
      <w:r w:rsidRPr="00400294">
        <w:rPr>
          <w:rFonts w:ascii="Calibri" w:eastAsiaTheme="minorHAnsi" w:hAnsi="Calibri" w:cs="Calibri"/>
          <w:sz w:val="22"/>
          <w:szCs w:val="22"/>
        </w:rPr>
        <w:t>The sample included currently funded (n = 6) and</w:t>
      </w:r>
      <w:r w:rsidR="000843C4" w:rsidRPr="00400294">
        <w:rPr>
          <w:rFonts w:ascii="Calibri" w:eastAsiaTheme="minorHAnsi" w:hAnsi="Calibri" w:cs="Calibri"/>
          <w:sz w:val="22"/>
          <w:szCs w:val="22"/>
        </w:rPr>
        <w:t xml:space="preserve"> </w:t>
      </w:r>
      <w:r w:rsidRPr="00400294">
        <w:rPr>
          <w:rFonts w:ascii="Calibri" w:eastAsiaTheme="minorHAnsi" w:hAnsi="Calibri" w:cs="Calibri"/>
          <w:sz w:val="22"/>
          <w:szCs w:val="22"/>
        </w:rPr>
        <w:t>first-time funded (n = 3) NPO organisations, and organisations that had been unsuccessful</w:t>
      </w:r>
      <w:r w:rsidR="000843C4" w:rsidRPr="00400294">
        <w:rPr>
          <w:rFonts w:ascii="Calibri" w:eastAsiaTheme="minorHAnsi" w:hAnsi="Calibri" w:cs="Calibri"/>
          <w:sz w:val="22"/>
          <w:szCs w:val="22"/>
        </w:rPr>
        <w:t xml:space="preserve"> </w:t>
      </w:r>
      <w:r w:rsidRPr="00400294">
        <w:rPr>
          <w:rFonts w:ascii="Calibri" w:eastAsiaTheme="minorHAnsi" w:hAnsi="Calibri" w:cs="Calibri"/>
          <w:sz w:val="22"/>
          <w:szCs w:val="22"/>
        </w:rPr>
        <w:t xml:space="preserve">(n = 1) or that had not applied (n = 1). </w:t>
      </w:r>
      <w:r w:rsidR="00CB21F9">
        <w:rPr>
          <w:rFonts w:ascii="Calibri" w:eastAsiaTheme="minorHAnsi" w:hAnsi="Calibri" w:cs="Calibri"/>
          <w:sz w:val="22"/>
          <w:szCs w:val="22"/>
        </w:rPr>
        <w:t xml:space="preserve">Organisations were a range of sizes and participants were a mix </w:t>
      </w:r>
      <w:proofErr w:type="gramStart"/>
      <w:r w:rsidR="00CB21F9">
        <w:rPr>
          <w:rFonts w:ascii="Calibri" w:eastAsiaTheme="minorHAnsi" w:hAnsi="Calibri" w:cs="Calibri"/>
          <w:sz w:val="22"/>
          <w:szCs w:val="22"/>
        </w:rPr>
        <w:t>of:</w:t>
      </w:r>
      <w:proofErr w:type="gramEnd"/>
      <w:r w:rsidR="00CB21F9">
        <w:rPr>
          <w:rFonts w:ascii="Calibri" w:eastAsiaTheme="minorHAnsi" w:hAnsi="Calibri" w:cs="Calibri"/>
          <w:sz w:val="22"/>
          <w:szCs w:val="22"/>
        </w:rPr>
        <w:t xml:space="preserve"> </w:t>
      </w:r>
      <w:r w:rsidR="00CB21F9" w:rsidRPr="00CB21F9">
        <w:rPr>
          <w:rFonts w:ascii="Calibri" w:eastAsiaTheme="minorHAnsi" w:hAnsi="Calibri" w:cs="Calibri"/>
          <w:sz w:val="22"/>
          <w:szCs w:val="22"/>
        </w:rPr>
        <w:t>creative director/chief executive for established organisations (5/13), creative director/chief executive that founded the organisation (4/13), and specialist fundraising/development managers (4/13).</w:t>
      </w:r>
    </w:p>
    <w:p w14:paraId="0C8F0DE4" w14:textId="77777777" w:rsidR="004C484C" w:rsidRDefault="004C484C" w:rsidP="00DA0608">
      <w:pPr>
        <w:autoSpaceDE w:val="0"/>
        <w:autoSpaceDN w:val="0"/>
        <w:adjustRightInd w:val="0"/>
        <w:rPr>
          <w:rFonts w:ascii="Calibri" w:eastAsiaTheme="minorHAnsi" w:hAnsi="Calibri" w:cs="Calibri"/>
          <w:sz w:val="22"/>
          <w:szCs w:val="22"/>
        </w:rPr>
      </w:pPr>
    </w:p>
    <w:p w14:paraId="79B5222D" w14:textId="6CCCEC38" w:rsidR="008469C8" w:rsidRPr="00400294" w:rsidRDefault="00D03AD8" w:rsidP="00DA0608">
      <w:pPr>
        <w:autoSpaceDE w:val="0"/>
        <w:autoSpaceDN w:val="0"/>
        <w:adjustRightInd w:val="0"/>
        <w:rPr>
          <w:rFonts w:ascii="Calibri" w:eastAsiaTheme="minorHAnsi" w:hAnsi="Calibri" w:cs="Calibri"/>
          <w:sz w:val="22"/>
          <w:szCs w:val="22"/>
        </w:rPr>
      </w:pPr>
      <w:r w:rsidRPr="00400294">
        <w:rPr>
          <w:rFonts w:ascii="Calibri" w:eastAsiaTheme="minorHAnsi" w:hAnsi="Calibri" w:cs="Calibri"/>
          <w:sz w:val="22"/>
          <w:szCs w:val="22"/>
        </w:rPr>
        <w:t xml:space="preserve">For each participating organisation, there was a research visit consisting of </w:t>
      </w:r>
      <w:r w:rsidR="00430B63" w:rsidRPr="00400294">
        <w:rPr>
          <w:rFonts w:ascii="Calibri" w:eastAsiaTheme="minorHAnsi" w:hAnsi="Calibri" w:cs="Calibri"/>
          <w:sz w:val="22"/>
          <w:szCs w:val="22"/>
        </w:rPr>
        <w:t xml:space="preserve">a </w:t>
      </w:r>
      <w:r w:rsidR="000843C4" w:rsidRPr="00400294">
        <w:rPr>
          <w:rFonts w:ascii="Calibri" w:eastAsiaTheme="minorHAnsi" w:hAnsi="Calibri" w:cs="Calibri"/>
          <w:sz w:val="22"/>
          <w:szCs w:val="22"/>
        </w:rPr>
        <w:t xml:space="preserve">career biography </w:t>
      </w:r>
      <w:r w:rsidR="00430B63" w:rsidRPr="00400294">
        <w:rPr>
          <w:rFonts w:ascii="Calibri" w:eastAsiaTheme="minorHAnsi" w:hAnsi="Calibri" w:cs="Calibri"/>
          <w:sz w:val="22"/>
          <w:szCs w:val="22"/>
        </w:rPr>
        <w:t xml:space="preserve">interview </w:t>
      </w:r>
      <w:r w:rsidR="000843C4" w:rsidRPr="00400294">
        <w:rPr>
          <w:rFonts w:ascii="Calibri" w:eastAsiaTheme="minorHAnsi" w:hAnsi="Calibri" w:cs="Calibri"/>
          <w:sz w:val="22"/>
          <w:szCs w:val="22"/>
        </w:rPr>
        <w:t>addressing career</w:t>
      </w:r>
      <w:r w:rsidR="000843C4" w:rsidRPr="00400294">
        <w:rPr>
          <w:rFonts w:ascii="Calibri" w:hAnsi="Calibri" w:cs="Calibri"/>
          <w:color w:val="333333"/>
          <w:sz w:val="22"/>
          <w:szCs w:val="22"/>
          <w:shd w:val="clear" w:color="auto" w:fill="FFFFFF"/>
        </w:rPr>
        <w:t xml:space="preserve"> </w:t>
      </w:r>
      <w:r w:rsidR="000843C4" w:rsidRPr="00400294">
        <w:rPr>
          <w:rFonts w:ascii="Calibri" w:eastAsiaTheme="minorHAnsi" w:hAnsi="Calibri" w:cs="Calibri"/>
          <w:sz w:val="22"/>
          <w:szCs w:val="22"/>
        </w:rPr>
        <w:t>background, current role, organisational context, wider sector and policy context</w:t>
      </w:r>
      <w:r w:rsidR="002803F8" w:rsidRPr="00400294">
        <w:rPr>
          <w:rFonts w:ascii="Calibri" w:eastAsiaTheme="minorHAnsi" w:hAnsi="Calibri" w:cs="Calibri"/>
          <w:sz w:val="22"/>
          <w:szCs w:val="22"/>
        </w:rPr>
        <w:t>s</w:t>
      </w:r>
      <w:r w:rsidR="000843C4" w:rsidRPr="00400294">
        <w:rPr>
          <w:rFonts w:ascii="Calibri" w:eastAsiaTheme="minorHAnsi" w:hAnsi="Calibri" w:cs="Calibri"/>
          <w:sz w:val="22"/>
          <w:szCs w:val="22"/>
        </w:rPr>
        <w:t>, and</w:t>
      </w:r>
      <w:r w:rsidR="000843C4" w:rsidRPr="00400294">
        <w:rPr>
          <w:rFonts w:ascii="Calibri" w:hAnsi="Calibri" w:cs="Calibri"/>
          <w:color w:val="333333"/>
          <w:sz w:val="22"/>
          <w:szCs w:val="22"/>
          <w:shd w:val="clear" w:color="auto" w:fill="FFFFFF"/>
        </w:rPr>
        <w:t xml:space="preserve"> </w:t>
      </w:r>
      <w:r w:rsidR="000843C4" w:rsidRPr="00400294">
        <w:rPr>
          <w:rFonts w:ascii="Calibri" w:eastAsiaTheme="minorHAnsi" w:hAnsi="Calibri" w:cs="Calibri"/>
          <w:sz w:val="22"/>
          <w:szCs w:val="22"/>
        </w:rPr>
        <w:t>arts funding experiences and practices</w:t>
      </w:r>
      <w:r w:rsidR="00430B63" w:rsidRPr="00400294">
        <w:rPr>
          <w:rFonts w:ascii="Calibri" w:eastAsiaTheme="minorHAnsi" w:hAnsi="Calibri" w:cs="Calibri"/>
          <w:sz w:val="22"/>
          <w:szCs w:val="22"/>
        </w:rPr>
        <w:t>, and</w:t>
      </w:r>
      <w:r w:rsidR="002803F8" w:rsidRPr="00400294">
        <w:rPr>
          <w:rFonts w:ascii="Calibri" w:eastAsiaTheme="minorHAnsi" w:hAnsi="Calibri" w:cs="Calibri"/>
          <w:sz w:val="22"/>
          <w:szCs w:val="22"/>
        </w:rPr>
        <w:t xml:space="preserve"> an</w:t>
      </w:r>
      <w:r w:rsidR="000843C4" w:rsidRPr="00400294">
        <w:rPr>
          <w:rFonts w:ascii="Calibri" w:eastAsiaTheme="minorHAnsi" w:hAnsi="Calibri" w:cs="Calibri"/>
          <w:sz w:val="22"/>
          <w:szCs w:val="22"/>
        </w:rPr>
        <w:t xml:space="preserve"> object interview using a range of funding application forms/proposals as discussion prompts.</w:t>
      </w:r>
      <w:r w:rsidR="008469C8" w:rsidRPr="00400294">
        <w:rPr>
          <w:rFonts w:ascii="Calibri" w:eastAsiaTheme="minorHAnsi" w:hAnsi="Calibri" w:cs="Calibri"/>
          <w:sz w:val="22"/>
          <w:szCs w:val="22"/>
        </w:rPr>
        <w:t xml:space="preserve"> </w:t>
      </w:r>
      <w:r w:rsidR="00D659FE" w:rsidRPr="00400294">
        <w:rPr>
          <w:rFonts w:ascii="Calibri" w:hAnsi="Calibri" w:cs="Calibri"/>
          <w:sz w:val="22"/>
          <w:szCs w:val="22"/>
        </w:rPr>
        <w:t>In b</w:t>
      </w:r>
      <w:r w:rsidR="002803F8" w:rsidRPr="00400294">
        <w:rPr>
          <w:rFonts w:ascii="Calibri" w:hAnsi="Calibri" w:cs="Calibri"/>
          <w:sz w:val="22"/>
          <w:szCs w:val="22"/>
        </w:rPr>
        <w:t>ringing together the research findings from all the research visits and research</w:t>
      </w:r>
      <w:r w:rsidR="00D659FE" w:rsidRPr="00400294">
        <w:rPr>
          <w:rFonts w:ascii="Calibri" w:hAnsi="Calibri" w:cs="Calibri"/>
          <w:sz w:val="22"/>
          <w:szCs w:val="22"/>
        </w:rPr>
        <w:t xml:space="preserve">, three themes were identified. </w:t>
      </w:r>
    </w:p>
    <w:p w14:paraId="05AE782A" w14:textId="77777777" w:rsidR="008469C8" w:rsidRPr="00400294" w:rsidRDefault="008469C8" w:rsidP="00DA0608">
      <w:pPr>
        <w:autoSpaceDE w:val="0"/>
        <w:autoSpaceDN w:val="0"/>
        <w:adjustRightInd w:val="0"/>
        <w:rPr>
          <w:rFonts w:ascii="Calibri" w:hAnsi="Calibri" w:cs="Calibri"/>
          <w:sz w:val="22"/>
          <w:szCs w:val="22"/>
        </w:rPr>
      </w:pPr>
    </w:p>
    <w:p w14:paraId="32F50C3D" w14:textId="31335B9E" w:rsidR="00DA0608" w:rsidRPr="00400294" w:rsidRDefault="00D659FE" w:rsidP="008469C8">
      <w:pPr>
        <w:autoSpaceDE w:val="0"/>
        <w:autoSpaceDN w:val="0"/>
        <w:adjustRightInd w:val="0"/>
        <w:rPr>
          <w:rFonts w:ascii="Calibri" w:eastAsiaTheme="minorHAnsi" w:hAnsi="Calibri" w:cs="Calibri"/>
          <w:sz w:val="22"/>
          <w:szCs w:val="22"/>
        </w:rPr>
      </w:pPr>
      <w:r w:rsidRPr="00400294">
        <w:rPr>
          <w:rFonts w:ascii="Calibri" w:hAnsi="Calibri" w:cs="Calibri"/>
          <w:sz w:val="22"/>
          <w:szCs w:val="22"/>
        </w:rPr>
        <w:t xml:space="preserve">Firstly, </w:t>
      </w:r>
      <w:r w:rsidR="000345E1" w:rsidRPr="00400294">
        <w:rPr>
          <w:rFonts w:ascii="Calibri" w:hAnsi="Calibri" w:cs="Calibri"/>
          <w:sz w:val="22"/>
          <w:szCs w:val="22"/>
        </w:rPr>
        <w:t xml:space="preserve">‘simultaneous sources’ </w:t>
      </w:r>
      <w:r w:rsidR="00FD42DB" w:rsidRPr="00934CEF">
        <w:rPr>
          <w:rFonts w:ascii="Calibri" w:eastAsiaTheme="minorHAnsi" w:hAnsi="Calibri" w:cs="Calibri"/>
          <w:sz w:val="22"/>
          <w:szCs w:val="22"/>
        </w:rPr>
        <w:t>explores how organisations find and balance multiple income</w:t>
      </w:r>
      <w:r w:rsidR="00180A2E" w:rsidRPr="00934CEF">
        <w:rPr>
          <w:rFonts w:ascii="Calibri" w:eastAsiaTheme="minorHAnsi" w:hAnsi="Calibri" w:cs="Calibri"/>
          <w:sz w:val="22"/>
          <w:szCs w:val="22"/>
        </w:rPr>
        <w:t xml:space="preserve"> sources</w:t>
      </w:r>
      <w:r w:rsidR="000E3A6B" w:rsidRPr="00400294">
        <w:rPr>
          <w:rFonts w:ascii="Calibri" w:eastAsiaTheme="minorHAnsi" w:hAnsi="Calibri" w:cs="Calibri"/>
          <w:sz w:val="22"/>
          <w:szCs w:val="22"/>
        </w:rPr>
        <w:t>.</w:t>
      </w:r>
      <w:r w:rsidR="004B25D1" w:rsidRPr="00400294">
        <w:rPr>
          <w:rFonts w:ascii="Calibri" w:eastAsiaTheme="minorHAnsi" w:hAnsi="Calibri" w:cs="Calibri"/>
          <w:sz w:val="22"/>
          <w:szCs w:val="22"/>
        </w:rPr>
        <w:t xml:space="preserve"> One of the challenges identified in engaging with multiple sources was </w:t>
      </w:r>
      <w:r w:rsidR="000307A2" w:rsidRPr="00400294">
        <w:rPr>
          <w:rFonts w:ascii="Calibri" w:eastAsiaTheme="minorHAnsi" w:hAnsi="Calibri" w:cs="Calibri"/>
          <w:sz w:val="22"/>
          <w:szCs w:val="22"/>
        </w:rPr>
        <w:t xml:space="preserve">experience and familiarity. This was articulated by a participant in the following - </w:t>
      </w:r>
      <w:r w:rsidR="000307A2" w:rsidRPr="00934CEF">
        <w:rPr>
          <w:rFonts w:ascii="Calibri" w:eastAsiaTheme="minorHAnsi" w:hAnsi="Calibri" w:cs="Calibri"/>
          <w:sz w:val="22"/>
          <w:szCs w:val="22"/>
        </w:rPr>
        <w:t xml:space="preserve">‘it’s a different kind of skill that unless you’re doing it all the time, I think it can be quite daunting’. </w:t>
      </w:r>
      <w:r w:rsidR="006A6FBB" w:rsidRPr="00934CEF">
        <w:rPr>
          <w:rFonts w:ascii="Calibri" w:eastAsiaTheme="minorHAnsi" w:hAnsi="Calibri" w:cs="Calibri"/>
          <w:sz w:val="22"/>
          <w:szCs w:val="22"/>
        </w:rPr>
        <w:t xml:space="preserve">There were also </w:t>
      </w:r>
      <w:r w:rsidR="006A6FBB" w:rsidRPr="00400294">
        <w:rPr>
          <w:rFonts w:ascii="Calibri" w:eastAsiaTheme="minorHAnsi" w:hAnsi="Calibri" w:cs="Calibri"/>
          <w:sz w:val="22"/>
          <w:szCs w:val="22"/>
        </w:rPr>
        <w:t xml:space="preserve">instances of experienced participants outlining new or ongoing challenges. For example, </w:t>
      </w:r>
      <w:r w:rsidR="00503498" w:rsidRPr="00400294">
        <w:rPr>
          <w:rFonts w:ascii="Calibri" w:eastAsiaTheme="minorHAnsi" w:hAnsi="Calibri" w:cs="Calibri"/>
          <w:sz w:val="22"/>
          <w:szCs w:val="22"/>
        </w:rPr>
        <w:t>difficulties encountered</w:t>
      </w:r>
      <w:r w:rsidR="00005C03" w:rsidRPr="00400294">
        <w:rPr>
          <w:rFonts w:ascii="Calibri" w:eastAsiaTheme="minorHAnsi" w:hAnsi="Calibri" w:cs="Calibri"/>
          <w:sz w:val="22"/>
          <w:szCs w:val="22"/>
        </w:rPr>
        <w:t xml:space="preserve"> using the online portal </w:t>
      </w:r>
      <w:proofErr w:type="spellStart"/>
      <w:r w:rsidR="00005C03" w:rsidRPr="00400294">
        <w:rPr>
          <w:rFonts w:ascii="Calibri" w:eastAsiaTheme="minorHAnsi" w:hAnsi="Calibri" w:cs="Calibri"/>
          <w:sz w:val="22"/>
          <w:szCs w:val="22"/>
        </w:rPr>
        <w:t>Gra</w:t>
      </w:r>
      <w:r w:rsidR="00CB21F9">
        <w:rPr>
          <w:rFonts w:ascii="Calibri" w:eastAsiaTheme="minorHAnsi" w:hAnsi="Calibri" w:cs="Calibri"/>
          <w:sz w:val="22"/>
          <w:szCs w:val="22"/>
        </w:rPr>
        <w:t>n</w:t>
      </w:r>
      <w:r w:rsidR="00005C03" w:rsidRPr="00400294">
        <w:rPr>
          <w:rFonts w:ascii="Calibri" w:eastAsiaTheme="minorHAnsi" w:hAnsi="Calibri" w:cs="Calibri"/>
          <w:sz w:val="22"/>
          <w:szCs w:val="22"/>
        </w:rPr>
        <w:t>tium</w:t>
      </w:r>
      <w:proofErr w:type="spellEnd"/>
      <w:r w:rsidR="00005C03" w:rsidRPr="00400294">
        <w:rPr>
          <w:rFonts w:ascii="Calibri" w:eastAsiaTheme="minorHAnsi" w:hAnsi="Calibri" w:cs="Calibri"/>
          <w:sz w:val="22"/>
          <w:szCs w:val="22"/>
        </w:rPr>
        <w:t xml:space="preserve"> </w:t>
      </w:r>
      <w:r w:rsidR="001408E4">
        <w:rPr>
          <w:rFonts w:ascii="Calibri" w:eastAsiaTheme="minorHAnsi" w:hAnsi="Calibri" w:cs="Calibri"/>
          <w:sz w:val="22"/>
          <w:szCs w:val="22"/>
        </w:rPr>
        <w:t xml:space="preserve">– something </w:t>
      </w:r>
      <w:r w:rsidR="00737EB2">
        <w:rPr>
          <w:rFonts w:ascii="Calibri" w:eastAsiaTheme="minorHAnsi" w:hAnsi="Calibri" w:cs="Calibri"/>
          <w:sz w:val="22"/>
          <w:szCs w:val="22"/>
        </w:rPr>
        <w:t>covered several times</w:t>
      </w:r>
      <w:r w:rsidR="00444826" w:rsidRPr="00400294">
        <w:rPr>
          <w:rFonts w:ascii="Calibri" w:eastAsiaTheme="minorHAnsi" w:hAnsi="Calibri" w:cs="Calibri"/>
          <w:sz w:val="22"/>
          <w:szCs w:val="22"/>
        </w:rPr>
        <w:t xml:space="preserve"> by </w:t>
      </w:r>
      <w:hyperlink r:id="rId14" w:history="1">
        <w:r w:rsidR="00444826" w:rsidRPr="001408E4">
          <w:rPr>
            <w:rStyle w:val="Hyperlink"/>
            <w:rFonts w:ascii="Calibri" w:eastAsiaTheme="minorHAnsi" w:hAnsi="Calibri" w:cs="Calibri"/>
            <w:i/>
            <w:iCs/>
            <w:sz w:val="22"/>
            <w:szCs w:val="22"/>
          </w:rPr>
          <w:t>Arts Professional</w:t>
        </w:r>
      </w:hyperlink>
      <w:r w:rsidR="00444826" w:rsidRPr="00400294">
        <w:rPr>
          <w:rFonts w:ascii="Calibri" w:eastAsiaTheme="minorHAnsi" w:hAnsi="Calibri" w:cs="Calibri"/>
          <w:sz w:val="22"/>
          <w:szCs w:val="22"/>
        </w:rPr>
        <w:t xml:space="preserve">. </w:t>
      </w:r>
      <w:r w:rsidR="00503498" w:rsidRPr="00400294">
        <w:rPr>
          <w:rFonts w:ascii="Calibri" w:eastAsiaTheme="minorHAnsi" w:hAnsi="Calibri" w:cs="Calibri"/>
          <w:sz w:val="22"/>
          <w:szCs w:val="22"/>
        </w:rPr>
        <w:t xml:space="preserve">Overall, the </w:t>
      </w:r>
      <w:r w:rsidR="009347FC">
        <w:rPr>
          <w:rFonts w:ascii="Calibri" w:eastAsiaTheme="minorHAnsi" w:hAnsi="Calibri" w:cs="Calibri"/>
          <w:sz w:val="22"/>
          <w:szCs w:val="22"/>
        </w:rPr>
        <w:t xml:space="preserve">adjusting to the </w:t>
      </w:r>
      <w:r w:rsidR="00503498" w:rsidRPr="00400294">
        <w:rPr>
          <w:rFonts w:ascii="Calibri" w:eastAsiaTheme="minorHAnsi" w:hAnsi="Calibri" w:cs="Calibri"/>
          <w:sz w:val="22"/>
          <w:szCs w:val="22"/>
        </w:rPr>
        <w:t xml:space="preserve">structure and requirements of </w:t>
      </w:r>
      <w:r w:rsidR="009347FC">
        <w:rPr>
          <w:rFonts w:ascii="Calibri" w:eastAsiaTheme="minorHAnsi" w:hAnsi="Calibri" w:cs="Calibri"/>
          <w:sz w:val="22"/>
          <w:szCs w:val="22"/>
        </w:rPr>
        <w:t xml:space="preserve">a multitude of </w:t>
      </w:r>
      <w:r w:rsidR="00503498" w:rsidRPr="00400294">
        <w:rPr>
          <w:rFonts w:ascii="Calibri" w:eastAsiaTheme="minorHAnsi" w:hAnsi="Calibri" w:cs="Calibri"/>
          <w:sz w:val="22"/>
          <w:szCs w:val="22"/>
        </w:rPr>
        <w:t>funding forms was a notable issue</w:t>
      </w:r>
      <w:r w:rsidR="009347FC">
        <w:rPr>
          <w:rFonts w:ascii="Calibri" w:eastAsiaTheme="minorHAnsi" w:hAnsi="Calibri" w:cs="Calibri"/>
          <w:sz w:val="22"/>
          <w:szCs w:val="22"/>
        </w:rPr>
        <w:t>. Closely linked to this</w:t>
      </w:r>
      <w:r w:rsidR="00503498" w:rsidRPr="00400294">
        <w:rPr>
          <w:rFonts w:ascii="Calibri" w:eastAsiaTheme="minorHAnsi" w:hAnsi="Calibri" w:cs="Calibri"/>
          <w:sz w:val="22"/>
          <w:szCs w:val="22"/>
        </w:rPr>
        <w:t xml:space="preserve"> with</w:t>
      </w:r>
      <w:r w:rsidR="009347FC">
        <w:rPr>
          <w:rFonts w:ascii="Calibri" w:eastAsiaTheme="minorHAnsi" w:hAnsi="Calibri" w:cs="Calibri"/>
          <w:sz w:val="22"/>
          <w:szCs w:val="22"/>
        </w:rPr>
        <w:t>,</w:t>
      </w:r>
      <w:r w:rsidR="00503498" w:rsidRPr="00400294">
        <w:rPr>
          <w:rFonts w:ascii="Calibri" w:eastAsiaTheme="minorHAnsi" w:hAnsi="Calibri" w:cs="Calibri"/>
          <w:sz w:val="22"/>
          <w:szCs w:val="22"/>
        </w:rPr>
        <w:t xml:space="preserve"> participants </w:t>
      </w:r>
      <w:r w:rsidR="009347FC">
        <w:rPr>
          <w:rFonts w:ascii="Calibri" w:eastAsiaTheme="minorHAnsi" w:hAnsi="Calibri" w:cs="Calibri"/>
          <w:sz w:val="22"/>
          <w:szCs w:val="22"/>
        </w:rPr>
        <w:t xml:space="preserve">raised specific challenges including </w:t>
      </w:r>
      <w:r w:rsidR="00DA0608" w:rsidRPr="00400294">
        <w:rPr>
          <w:rFonts w:ascii="Calibri" w:eastAsiaTheme="minorHAnsi" w:hAnsi="Calibri" w:cs="Calibri"/>
          <w:sz w:val="22"/>
          <w:szCs w:val="22"/>
        </w:rPr>
        <w:t xml:space="preserve">the </w:t>
      </w:r>
      <w:r w:rsidR="00DA5C81">
        <w:rPr>
          <w:rFonts w:ascii="Calibri" w:eastAsiaTheme="minorHAnsi" w:hAnsi="Calibri" w:cs="Calibri"/>
          <w:sz w:val="22"/>
          <w:szCs w:val="22"/>
        </w:rPr>
        <w:t>tensions</w:t>
      </w:r>
      <w:r w:rsidR="00DA0608" w:rsidRPr="00400294">
        <w:rPr>
          <w:rFonts w:ascii="Calibri" w:eastAsiaTheme="minorHAnsi" w:hAnsi="Calibri" w:cs="Calibri"/>
          <w:sz w:val="22"/>
          <w:szCs w:val="22"/>
        </w:rPr>
        <w:t xml:space="preserve"> between the order of questions and what makes sense for the</w:t>
      </w:r>
      <w:r w:rsidR="008469C8" w:rsidRPr="00400294">
        <w:rPr>
          <w:rFonts w:ascii="Calibri" w:eastAsiaTheme="minorHAnsi" w:hAnsi="Calibri" w:cs="Calibri"/>
          <w:sz w:val="22"/>
          <w:szCs w:val="22"/>
        </w:rPr>
        <w:t xml:space="preserve"> </w:t>
      </w:r>
      <w:r w:rsidR="00DA5C81">
        <w:rPr>
          <w:rFonts w:ascii="Calibri" w:eastAsiaTheme="minorHAnsi" w:hAnsi="Calibri" w:cs="Calibri"/>
          <w:sz w:val="22"/>
          <w:szCs w:val="22"/>
        </w:rPr>
        <w:t>p</w:t>
      </w:r>
      <w:r w:rsidR="00DA0608" w:rsidRPr="00400294">
        <w:rPr>
          <w:rFonts w:ascii="Calibri" w:eastAsiaTheme="minorHAnsi" w:hAnsi="Calibri" w:cs="Calibri"/>
          <w:sz w:val="22"/>
          <w:szCs w:val="22"/>
        </w:rPr>
        <w:t>roject</w:t>
      </w:r>
      <w:r w:rsidR="00503498" w:rsidRPr="00400294">
        <w:rPr>
          <w:rFonts w:ascii="Calibri" w:eastAsiaTheme="minorHAnsi" w:hAnsi="Calibri" w:cs="Calibri"/>
          <w:sz w:val="22"/>
          <w:szCs w:val="22"/>
        </w:rPr>
        <w:t xml:space="preserve">; </w:t>
      </w:r>
      <w:r w:rsidR="00DA0608" w:rsidRPr="00400294">
        <w:rPr>
          <w:rFonts w:ascii="Calibri" w:eastAsiaTheme="minorHAnsi" w:hAnsi="Calibri" w:cs="Calibri"/>
          <w:sz w:val="22"/>
          <w:szCs w:val="22"/>
        </w:rPr>
        <w:t>limitations on including supporting documents</w:t>
      </w:r>
      <w:r w:rsidR="00503498" w:rsidRPr="00400294">
        <w:rPr>
          <w:rFonts w:ascii="Calibri" w:eastAsiaTheme="minorHAnsi" w:hAnsi="Calibri" w:cs="Calibri"/>
          <w:sz w:val="22"/>
          <w:szCs w:val="22"/>
        </w:rPr>
        <w:t xml:space="preserve">; </w:t>
      </w:r>
      <w:r w:rsidR="00DA0608" w:rsidRPr="00400294">
        <w:rPr>
          <w:rFonts w:ascii="Calibri" w:eastAsiaTheme="minorHAnsi" w:hAnsi="Calibri" w:cs="Calibri"/>
          <w:sz w:val="22"/>
          <w:szCs w:val="22"/>
        </w:rPr>
        <w:t>character and</w:t>
      </w:r>
      <w:r w:rsidR="00DA5C81">
        <w:rPr>
          <w:rFonts w:ascii="Calibri" w:eastAsiaTheme="minorHAnsi" w:hAnsi="Calibri" w:cs="Calibri"/>
          <w:sz w:val="22"/>
          <w:szCs w:val="22"/>
        </w:rPr>
        <w:t xml:space="preserve"> </w:t>
      </w:r>
      <w:r w:rsidR="00DA0608" w:rsidRPr="00400294">
        <w:rPr>
          <w:rFonts w:ascii="Calibri" w:eastAsiaTheme="minorHAnsi" w:hAnsi="Calibri" w:cs="Calibri"/>
          <w:sz w:val="22"/>
          <w:szCs w:val="22"/>
        </w:rPr>
        <w:t>word limits and the impact on how a project is communicate</w:t>
      </w:r>
      <w:r w:rsidR="00503498" w:rsidRPr="00400294">
        <w:rPr>
          <w:rFonts w:ascii="Calibri" w:eastAsiaTheme="minorHAnsi" w:hAnsi="Calibri" w:cs="Calibri"/>
          <w:sz w:val="22"/>
          <w:szCs w:val="22"/>
        </w:rPr>
        <w:t>d</w:t>
      </w:r>
      <w:r w:rsidR="008469C8" w:rsidRPr="00400294">
        <w:rPr>
          <w:rFonts w:ascii="Calibri" w:eastAsiaTheme="minorHAnsi" w:hAnsi="Calibri" w:cs="Calibri"/>
          <w:sz w:val="22"/>
          <w:szCs w:val="22"/>
        </w:rPr>
        <w:t xml:space="preserve"> and</w:t>
      </w:r>
      <w:r w:rsidR="00DA0608" w:rsidRPr="00400294">
        <w:rPr>
          <w:rFonts w:ascii="Calibri" w:eastAsiaTheme="minorHAnsi" w:hAnsi="Calibri" w:cs="Calibri"/>
          <w:sz w:val="22"/>
          <w:szCs w:val="22"/>
        </w:rPr>
        <w:t xml:space="preserve"> the need to complete</w:t>
      </w:r>
      <w:r w:rsidR="00DA5C81">
        <w:rPr>
          <w:rFonts w:ascii="Calibri" w:eastAsiaTheme="minorHAnsi" w:hAnsi="Calibri" w:cs="Calibri"/>
          <w:sz w:val="22"/>
          <w:szCs w:val="22"/>
        </w:rPr>
        <w:t xml:space="preserve"> </w:t>
      </w:r>
      <w:r w:rsidR="00DA0608" w:rsidRPr="00400294">
        <w:rPr>
          <w:rFonts w:ascii="Calibri" w:eastAsiaTheme="minorHAnsi" w:hAnsi="Calibri" w:cs="Calibri"/>
          <w:sz w:val="22"/>
          <w:szCs w:val="22"/>
        </w:rPr>
        <w:t>a section of the form with financial information to meet a cut-off date but not being</w:t>
      </w:r>
      <w:r w:rsidR="00DA5C81">
        <w:rPr>
          <w:rFonts w:ascii="Calibri" w:eastAsiaTheme="minorHAnsi" w:hAnsi="Calibri" w:cs="Calibri"/>
          <w:sz w:val="22"/>
          <w:szCs w:val="22"/>
        </w:rPr>
        <w:t xml:space="preserve"> </w:t>
      </w:r>
      <w:r w:rsidR="00DA0608" w:rsidRPr="00400294">
        <w:rPr>
          <w:rFonts w:ascii="Calibri" w:eastAsiaTheme="minorHAnsi" w:hAnsi="Calibri" w:cs="Calibri"/>
          <w:sz w:val="22"/>
          <w:szCs w:val="22"/>
        </w:rPr>
        <w:t>able to go back and edit it</w:t>
      </w:r>
      <w:r w:rsidR="008469C8" w:rsidRPr="00400294">
        <w:rPr>
          <w:rFonts w:ascii="Calibri" w:eastAsiaTheme="minorHAnsi" w:hAnsi="Calibri" w:cs="Calibri"/>
          <w:sz w:val="22"/>
          <w:szCs w:val="22"/>
        </w:rPr>
        <w:t>.</w:t>
      </w:r>
    </w:p>
    <w:p w14:paraId="779F3ACC" w14:textId="77777777" w:rsidR="002C4A9F" w:rsidRPr="00400294" w:rsidRDefault="002C4A9F" w:rsidP="009A14E9">
      <w:pPr>
        <w:autoSpaceDE w:val="0"/>
        <w:autoSpaceDN w:val="0"/>
        <w:adjustRightInd w:val="0"/>
        <w:rPr>
          <w:rFonts w:ascii="Calibri" w:eastAsiaTheme="minorHAnsi" w:hAnsi="Calibri" w:cs="Calibri"/>
          <w:sz w:val="22"/>
          <w:szCs w:val="22"/>
        </w:rPr>
      </w:pPr>
    </w:p>
    <w:p w14:paraId="58B157A2" w14:textId="229F4999" w:rsidR="009A14E9" w:rsidRPr="00400294" w:rsidRDefault="000E3A6B" w:rsidP="009A14E9">
      <w:pPr>
        <w:autoSpaceDE w:val="0"/>
        <w:autoSpaceDN w:val="0"/>
        <w:adjustRightInd w:val="0"/>
        <w:rPr>
          <w:rFonts w:ascii="Calibri" w:eastAsiaTheme="minorHAnsi" w:hAnsi="Calibri" w:cs="Calibri"/>
          <w:sz w:val="22"/>
          <w:szCs w:val="22"/>
        </w:rPr>
      </w:pPr>
      <w:r w:rsidRPr="00400294">
        <w:rPr>
          <w:rFonts w:ascii="Calibri" w:eastAsiaTheme="minorHAnsi" w:hAnsi="Calibri" w:cs="Calibri"/>
          <w:sz w:val="22"/>
          <w:szCs w:val="22"/>
        </w:rPr>
        <w:t>Secondly, ‘timelines’ explore</w:t>
      </w:r>
      <w:r w:rsidR="002C4A9F" w:rsidRPr="00400294">
        <w:rPr>
          <w:rFonts w:ascii="Calibri" w:eastAsiaTheme="minorHAnsi" w:hAnsi="Calibri" w:cs="Calibri"/>
          <w:sz w:val="22"/>
          <w:szCs w:val="22"/>
        </w:rPr>
        <w:t>s</w:t>
      </w:r>
      <w:r w:rsidR="008469C8" w:rsidRPr="00400294">
        <w:rPr>
          <w:rFonts w:ascii="Calibri" w:eastAsiaTheme="minorHAnsi" w:hAnsi="Calibri" w:cs="Calibri"/>
          <w:sz w:val="22"/>
          <w:szCs w:val="22"/>
        </w:rPr>
        <w:t xml:space="preserve"> </w:t>
      </w:r>
      <w:r w:rsidR="009F1019" w:rsidRPr="00400294">
        <w:rPr>
          <w:rFonts w:ascii="Calibri" w:eastAsiaTheme="minorHAnsi" w:hAnsi="Calibri" w:cs="Calibri"/>
          <w:sz w:val="22"/>
          <w:szCs w:val="22"/>
        </w:rPr>
        <w:t>the complexit</w:t>
      </w:r>
      <w:r w:rsidR="00AB2825" w:rsidRPr="00400294">
        <w:rPr>
          <w:rFonts w:ascii="Calibri" w:eastAsiaTheme="minorHAnsi" w:hAnsi="Calibri" w:cs="Calibri"/>
          <w:sz w:val="22"/>
          <w:szCs w:val="22"/>
        </w:rPr>
        <w:t>ies</w:t>
      </w:r>
      <w:r w:rsidR="009F1019" w:rsidRPr="00400294">
        <w:rPr>
          <w:rFonts w:ascii="Calibri" w:eastAsiaTheme="minorHAnsi" w:hAnsi="Calibri" w:cs="Calibri"/>
          <w:sz w:val="22"/>
          <w:szCs w:val="22"/>
        </w:rPr>
        <w:t xml:space="preserve"> of managing possible income streams </w:t>
      </w:r>
      <w:r w:rsidR="00AB2825" w:rsidRPr="00400294">
        <w:rPr>
          <w:rFonts w:ascii="Calibri" w:eastAsiaTheme="minorHAnsi" w:hAnsi="Calibri" w:cs="Calibri"/>
          <w:sz w:val="22"/>
          <w:szCs w:val="22"/>
        </w:rPr>
        <w:t xml:space="preserve">and </w:t>
      </w:r>
      <w:r w:rsidR="00DA5C81">
        <w:rPr>
          <w:rFonts w:ascii="Calibri" w:eastAsiaTheme="minorHAnsi" w:hAnsi="Calibri" w:cs="Calibri"/>
          <w:sz w:val="22"/>
          <w:szCs w:val="22"/>
        </w:rPr>
        <w:t xml:space="preserve">the </w:t>
      </w:r>
      <w:r w:rsidR="009F1019" w:rsidRPr="00400294">
        <w:rPr>
          <w:rFonts w:ascii="Calibri" w:eastAsiaTheme="minorHAnsi" w:hAnsi="Calibri" w:cs="Calibri"/>
          <w:sz w:val="22"/>
          <w:szCs w:val="22"/>
        </w:rPr>
        <w:t xml:space="preserve">impacts </w:t>
      </w:r>
      <w:r w:rsidR="00AB2825" w:rsidRPr="00400294">
        <w:rPr>
          <w:rFonts w:ascii="Calibri" w:eastAsiaTheme="minorHAnsi" w:hAnsi="Calibri" w:cs="Calibri"/>
          <w:sz w:val="22"/>
          <w:szCs w:val="22"/>
        </w:rPr>
        <w:t>on the ability of</w:t>
      </w:r>
      <w:r w:rsidR="009F1019" w:rsidRPr="00400294">
        <w:rPr>
          <w:rFonts w:ascii="Calibri" w:eastAsiaTheme="minorHAnsi" w:hAnsi="Calibri" w:cs="Calibri"/>
          <w:sz w:val="22"/>
          <w:szCs w:val="22"/>
        </w:rPr>
        <w:t xml:space="preserve"> organisations</w:t>
      </w:r>
      <w:r w:rsidR="00AB2825" w:rsidRPr="00400294">
        <w:rPr>
          <w:rFonts w:ascii="Calibri" w:eastAsiaTheme="minorHAnsi" w:hAnsi="Calibri" w:cs="Calibri"/>
          <w:sz w:val="22"/>
          <w:szCs w:val="22"/>
        </w:rPr>
        <w:t xml:space="preserve"> </w:t>
      </w:r>
      <w:r w:rsidR="009F1019" w:rsidRPr="00400294">
        <w:rPr>
          <w:rFonts w:ascii="Calibri" w:eastAsiaTheme="minorHAnsi" w:hAnsi="Calibri" w:cs="Calibri"/>
          <w:sz w:val="22"/>
          <w:szCs w:val="22"/>
        </w:rPr>
        <w:t>to manage their activities, events and projects.</w:t>
      </w:r>
      <w:r w:rsidRPr="00400294">
        <w:rPr>
          <w:rFonts w:ascii="Calibri" w:eastAsiaTheme="minorHAnsi" w:hAnsi="Calibri" w:cs="Calibri"/>
          <w:sz w:val="22"/>
          <w:szCs w:val="22"/>
        </w:rPr>
        <w:t xml:space="preserve"> </w:t>
      </w:r>
      <w:r w:rsidR="00C43CD8" w:rsidRPr="00400294">
        <w:rPr>
          <w:rFonts w:ascii="Calibri" w:eastAsiaTheme="minorHAnsi" w:hAnsi="Calibri" w:cs="Calibri"/>
          <w:sz w:val="22"/>
          <w:szCs w:val="22"/>
        </w:rPr>
        <w:t xml:space="preserve"> </w:t>
      </w:r>
      <w:r w:rsidR="009A14E9" w:rsidRPr="00400294">
        <w:rPr>
          <w:rFonts w:ascii="Calibri" w:eastAsiaTheme="minorHAnsi" w:hAnsi="Calibri" w:cs="Calibri"/>
          <w:sz w:val="22"/>
          <w:szCs w:val="22"/>
        </w:rPr>
        <w:t>Insights from participants showed how income diversification goes beyond identifying and securing</w:t>
      </w:r>
      <w:r w:rsidR="00C43CD8" w:rsidRPr="00400294">
        <w:rPr>
          <w:rFonts w:ascii="Calibri" w:eastAsiaTheme="minorHAnsi" w:hAnsi="Calibri" w:cs="Calibri"/>
          <w:sz w:val="22"/>
          <w:szCs w:val="22"/>
        </w:rPr>
        <w:t xml:space="preserve"> </w:t>
      </w:r>
      <w:r w:rsidR="009A14E9" w:rsidRPr="00400294">
        <w:rPr>
          <w:rFonts w:ascii="Calibri" w:eastAsiaTheme="minorHAnsi" w:hAnsi="Calibri" w:cs="Calibri"/>
          <w:sz w:val="22"/>
          <w:szCs w:val="22"/>
        </w:rPr>
        <w:t>funds from a variety of sources to complex decision-making about the ongoing balancing</w:t>
      </w:r>
      <w:r w:rsidR="00C43CD8" w:rsidRPr="00400294">
        <w:rPr>
          <w:rFonts w:ascii="Calibri" w:eastAsiaTheme="minorHAnsi" w:hAnsi="Calibri" w:cs="Calibri"/>
          <w:sz w:val="22"/>
          <w:szCs w:val="22"/>
        </w:rPr>
        <w:t xml:space="preserve"> </w:t>
      </w:r>
      <w:r w:rsidR="009A14E9" w:rsidRPr="00400294">
        <w:rPr>
          <w:rFonts w:ascii="Calibri" w:eastAsiaTheme="minorHAnsi" w:hAnsi="Calibri" w:cs="Calibri"/>
          <w:sz w:val="22"/>
          <w:szCs w:val="22"/>
        </w:rPr>
        <w:t>of sources with impacts that extend beyond the organisation to audiences, beneficiaries</w:t>
      </w:r>
      <w:r w:rsidR="00C43CD8" w:rsidRPr="00400294">
        <w:rPr>
          <w:rFonts w:ascii="Calibri" w:eastAsiaTheme="minorHAnsi" w:hAnsi="Calibri" w:cs="Calibri"/>
          <w:sz w:val="22"/>
          <w:szCs w:val="22"/>
        </w:rPr>
        <w:t xml:space="preserve"> </w:t>
      </w:r>
      <w:r w:rsidR="009A14E9" w:rsidRPr="00400294">
        <w:rPr>
          <w:rFonts w:ascii="Calibri" w:eastAsiaTheme="minorHAnsi" w:hAnsi="Calibri" w:cs="Calibri"/>
          <w:sz w:val="22"/>
          <w:szCs w:val="22"/>
        </w:rPr>
        <w:t>and project freelancers.</w:t>
      </w:r>
      <w:r w:rsidR="009224B4">
        <w:rPr>
          <w:rFonts w:ascii="Calibri" w:eastAsiaTheme="minorHAnsi" w:hAnsi="Calibri" w:cs="Calibri"/>
          <w:sz w:val="22"/>
          <w:szCs w:val="22"/>
        </w:rPr>
        <w:t xml:space="preserve"> </w:t>
      </w:r>
      <w:r w:rsidR="009035A5">
        <w:rPr>
          <w:rFonts w:ascii="Calibri" w:eastAsiaTheme="minorHAnsi" w:hAnsi="Calibri" w:cs="Calibri"/>
          <w:sz w:val="22"/>
          <w:szCs w:val="22"/>
        </w:rPr>
        <w:t>Whilst this research focuses on organisations, this point</w:t>
      </w:r>
      <w:r w:rsidR="009224B4">
        <w:rPr>
          <w:rFonts w:ascii="Calibri" w:eastAsiaTheme="minorHAnsi" w:hAnsi="Calibri" w:cs="Calibri"/>
          <w:sz w:val="22"/>
          <w:szCs w:val="22"/>
        </w:rPr>
        <w:t xml:space="preserve"> also </w:t>
      </w:r>
      <w:r w:rsidR="009035A5">
        <w:rPr>
          <w:rFonts w:ascii="Calibri" w:eastAsiaTheme="minorHAnsi" w:hAnsi="Calibri" w:cs="Calibri"/>
          <w:sz w:val="22"/>
          <w:szCs w:val="22"/>
        </w:rPr>
        <w:t>shows how organisations</w:t>
      </w:r>
      <w:r w:rsidR="009347FC">
        <w:rPr>
          <w:rFonts w:ascii="Calibri" w:eastAsiaTheme="minorHAnsi" w:hAnsi="Calibri" w:cs="Calibri"/>
          <w:sz w:val="22"/>
          <w:szCs w:val="22"/>
        </w:rPr>
        <w:t>’</w:t>
      </w:r>
      <w:r w:rsidR="009035A5">
        <w:rPr>
          <w:rFonts w:ascii="Calibri" w:eastAsiaTheme="minorHAnsi" w:hAnsi="Calibri" w:cs="Calibri"/>
          <w:sz w:val="22"/>
          <w:szCs w:val="22"/>
        </w:rPr>
        <w:t xml:space="preserve"> experiences and conditions </w:t>
      </w:r>
      <w:r w:rsidR="009347FC">
        <w:rPr>
          <w:rFonts w:ascii="Calibri" w:eastAsiaTheme="minorHAnsi" w:hAnsi="Calibri" w:cs="Calibri"/>
          <w:sz w:val="22"/>
          <w:szCs w:val="22"/>
        </w:rPr>
        <w:t xml:space="preserve">closely </w:t>
      </w:r>
      <w:r w:rsidR="009035A5">
        <w:rPr>
          <w:rFonts w:ascii="Calibri" w:eastAsiaTheme="minorHAnsi" w:hAnsi="Calibri" w:cs="Calibri"/>
          <w:sz w:val="22"/>
          <w:szCs w:val="22"/>
        </w:rPr>
        <w:t>connect with those of freelancers.</w:t>
      </w:r>
    </w:p>
    <w:p w14:paraId="3F0B11D3" w14:textId="7F81AB44" w:rsidR="00C5788A" w:rsidRPr="00400294" w:rsidRDefault="00C5788A">
      <w:pPr>
        <w:rPr>
          <w:rFonts w:ascii="Calibri" w:hAnsi="Calibri" w:cs="Calibri"/>
          <w:sz w:val="22"/>
          <w:szCs w:val="22"/>
        </w:rPr>
      </w:pPr>
    </w:p>
    <w:p w14:paraId="2C945274" w14:textId="02A1AB2C" w:rsidR="00C43CD8" w:rsidRPr="00400294" w:rsidRDefault="00C43CD8" w:rsidP="009A7EBE">
      <w:pPr>
        <w:autoSpaceDE w:val="0"/>
        <w:autoSpaceDN w:val="0"/>
        <w:adjustRightInd w:val="0"/>
        <w:rPr>
          <w:rFonts w:ascii="Calibri" w:eastAsiaTheme="minorHAnsi" w:hAnsi="Calibri" w:cs="Calibri"/>
          <w:sz w:val="22"/>
          <w:szCs w:val="22"/>
        </w:rPr>
      </w:pPr>
      <w:r w:rsidRPr="00400294">
        <w:rPr>
          <w:rFonts w:ascii="Calibri" w:hAnsi="Calibri" w:cs="Calibri"/>
          <w:sz w:val="22"/>
          <w:szCs w:val="22"/>
        </w:rPr>
        <w:t xml:space="preserve">Thirdly, ‘working with change’ </w:t>
      </w:r>
      <w:r w:rsidRPr="00400294">
        <w:rPr>
          <w:rFonts w:ascii="Calibri" w:eastAsiaTheme="minorHAnsi" w:hAnsi="Calibri" w:cs="Calibri"/>
          <w:sz w:val="22"/>
          <w:szCs w:val="22"/>
        </w:rPr>
        <w:t xml:space="preserve">explores the experiences of organisations in undertaking their core aims and activities in times of socio-economic change and in sync with </w:t>
      </w:r>
      <w:r w:rsidR="0033190D">
        <w:rPr>
          <w:rFonts w:ascii="Calibri" w:eastAsiaTheme="minorHAnsi" w:hAnsi="Calibri" w:cs="Calibri"/>
          <w:sz w:val="22"/>
          <w:szCs w:val="22"/>
        </w:rPr>
        <w:t xml:space="preserve">changing </w:t>
      </w:r>
      <w:r w:rsidRPr="00400294">
        <w:rPr>
          <w:rFonts w:ascii="Calibri" w:eastAsiaTheme="minorHAnsi" w:hAnsi="Calibri" w:cs="Calibri"/>
          <w:sz w:val="22"/>
          <w:szCs w:val="22"/>
        </w:rPr>
        <w:t>policy directions.</w:t>
      </w:r>
      <w:r w:rsidR="009A7EBE" w:rsidRPr="00400294">
        <w:rPr>
          <w:rFonts w:ascii="Calibri" w:eastAsiaTheme="minorHAnsi" w:hAnsi="Calibri" w:cs="Calibri"/>
          <w:sz w:val="22"/>
          <w:szCs w:val="22"/>
        </w:rPr>
        <w:t xml:space="preserve"> </w:t>
      </w:r>
      <w:r w:rsidR="007F7ED2" w:rsidRPr="00400294">
        <w:rPr>
          <w:rFonts w:ascii="Calibri" w:eastAsiaTheme="minorHAnsi" w:hAnsi="Calibri" w:cs="Calibri"/>
          <w:sz w:val="22"/>
          <w:szCs w:val="22"/>
        </w:rPr>
        <w:t xml:space="preserve">The wider contexts of change and upheaval </w:t>
      </w:r>
      <w:r w:rsidR="00B92071" w:rsidRPr="00400294">
        <w:rPr>
          <w:rFonts w:ascii="Calibri" w:eastAsiaTheme="minorHAnsi" w:hAnsi="Calibri" w:cs="Calibri"/>
          <w:sz w:val="22"/>
          <w:szCs w:val="22"/>
        </w:rPr>
        <w:t>impacted on the day-to-day experience of</w:t>
      </w:r>
      <w:r w:rsidR="0033190D">
        <w:rPr>
          <w:rFonts w:ascii="Calibri" w:eastAsiaTheme="minorHAnsi" w:hAnsi="Calibri" w:cs="Calibri"/>
          <w:sz w:val="22"/>
          <w:szCs w:val="22"/>
        </w:rPr>
        <w:t xml:space="preserve"> organisations in applying for</w:t>
      </w:r>
      <w:r w:rsidR="00B92071" w:rsidRPr="00400294">
        <w:rPr>
          <w:rFonts w:ascii="Calibri" w:eastAsiaTheme="minorHAnsi" w:hAnsi="Calibri" w:cs="Calibri"/>
          <w:sz w:val="22"/>
          <w:szCs w:val="22"/>
        </w:rPr>
        <w:t xml:space="preserve"> funding</w:t>
      </w:r>
      <w:r w:rsidR="0033190D">
        <w:rPr>
          <w:rFonts w:ascii="Calibri" w:eastAsiaTheme="minorHAnsi" w:hAnsi="Calibri" w:cs="Calibri"/>
          <w:sz w:val="22"/>
          <w:szCs w:val="22"/>
        </w:rPr>
        <w:t xml:space="preserve">. Across the </w:t>
      </w:r>
      <w:r w:rsidR="006E7AAC">
        <w:rPr>
          <w:rFonts w:ascii="Calibri" w:eastAsiaTheme="minorHAnsi" w:hAnsi="Calibri" w:cs="Calibri"/>
          <w:sz w:val="22"/>
          <w:szCs w:val="22"/>
        </w:rPr>
        <w:t xml:space="preserve">experiences explored, funding could </w:t>
      </w:r>
      <w:r w:rsidR="00B92071" w:rsidRPr="00400294">
        <w:rPr>
          <w:rFonts w:ascii="Calibri" w:eastAsiaTheme="minorHAnsi" w:hAnsi="Calibri" w:cs="Calibri"/>
          <w:sz w:val="22"/>
          <w:szCs w:val="22"/>
        </w:rPr>
        <w:t xml:space="preserve">be summarised as being </w:t>
      </w:r>
      <w:r w:rsidR="009A7EBE" w:rsidRPr="00400294">
        <w:rPr>
          <w:rFonts w:ascii="Calibri" w:eastAsiaTheme="minorHAnsi" w:hAnsi="Calibri" w:cs="Calibri"/>
          <w:sz w:val="22"/>
          <w:szCs w:val="22"/>
        </w:rPr>
        <w:t>continual and episodic</w:t>
      </w:r>
      <w:r w:rsidR="006E7AAC">
        <w:rPr>
          <w:rFonts w:ascii="Calibri" w:eastAsiaTheme="minorHAnsi" w:hAnsi="Calibri" w:cs="Calibri"/>
          <w:sz w:val="22"/>
          <w:szCs w:val="22"/>
        </w:rPr>
        <w:t>.</w:t>
      </w:r>
      <w:r w:rsidR="009A7EBE" w:rsidRPr="00400294">
        <w:rPr>
          <w:rFonts w:ascii="Calibri" w:eastAsiaTheme="minorHAnsi" w:hAnsi="Calibri" w:cs="Calibri"/>
          <w:sz w:val="22"/>
          <w:szCs w:val="22"/>
        </w:rPr>
        <w:t xml:space="preserve"> Continual in terms of always writing</w:t>
      </w:r>
      <w:r w:rsidR="00B92071" w:rsidRPr="00400294">
        <w:rPr>
          <w:rFonts w:ascii="Calibri" w:eastAsiaTheme="minorHAnsi" w:hAnsi="Calibri" w:cs="Calibri"/>
          <w:sz w:val="22"/>
          <w:szCs w:val="22"/>
        </w:rPr>
        <w:t xml:space="preserve"> </w:t>
      </w:r>
      <w:r w:rsidR="009A7EBE" w:rsidRPr="00400294">
        <w:rPr>
          <w:rFonts w:ascii="Calibri" w:eastAsiaTheme="minorHAnsi" w:hAnsi="Calibri" w:cs="Calibri"/>
          <w:sz w:val="22"/>
          <w:szCs w:val="22"/>
        </w:rPr>
        <w:t>funding applications, and episodic in terms of the specific life cycles of applications and</w:t>
      </w:r>
      <w:r w:rsidR="00B92071" w:rsidRPr="00400294">
        <w:rPr>
          <w:rFonts w:ascii="Calibri" w:eastAsiaTheme="minorHAnsi" w:hAnsi="Calibri" w:cs="Calibri"/>
          <w:sz w:val="22"/>
          <w:szCs w:val="22"/>
        </w:rPr>
        <w:t xml:space="preserve"> </w:t>
      </w:r>
      <w:r w:rsidR="009A7EBE" w:rsidRPr="00400294">
        <w:rPr>
          <w:rFonts w:ascii="Calibri" w:eastAsiaTheme="minorHAnsi" w:hAnsi="Calibri" w:cs="Calibri"/>
          <w:sz w:val="22"/>
          <w:szCs w:val="22"/>
        </w:rPr>
        <w:t>decision-makers.</w:t>
      </w:r>
    </w:p>
    <w:p w14:paraId="20BA822F" w14:textId="3FA969A1" w:rsidR="00C43CD8" w:rsidRPr="00400294" w:rsidRDefault="00C43CD8">
      <w:pPr>
        <w:rPr>
          <w:rFonts w:ascii="Calibri" w:hAnsi="Calibri" w:cs="Calibri"/>
          <w:sz w:val="22"/>
          <w:szCs w:val="22"/>
        </w:rPr>
      </w:pPr>
    </w:p>
    <w:p w14:paraId="05C6F4FC" w14:textId="77777777" w:rsidR="007A3AB2" w:rsidRPr="007A3AB2" w:rsidRDefault="007A3AB2" w:rsidP="004F7C61">
      <w:pPr>
        <w:pStyle w:val="Heading2"/>
        <w:rPr>
          <w:rFonts w:eastAsiaTheme="minorHAnsi"/>
        </w:rPr>
      </w:pPr>
      <w:r w:rsidRPr="00556D41">
        <w:rPr>
          <w:rFonts w:eastAsiaTheme="minorHAnsi"/>
        </w:rPr>
        <w:t>Organisational portfolio precarity</w:t>
      </w:r>
      <w:r w:rsidRPr="007A3AB2">
        <w:rPr>
          <w:rFonts w:eastAsiaTheme="minorHAnsi"/>
        </w:rPr>
        <w:t xml:space="preserve"> </w:t>
      </w:r>
    </w:p>
    <w:p w14:paraId="589FFD09" w14:textId="57A8D824" w:rsidR="00352FCA" w:rsidRPr="00556D41" w:rsidRDefault="00352FCA" w:rsidP="00352FCA">
      <w:pPr>
        <w:autoSpaceDE w:val="0"/>
        <w:autoSpaceDN w:val="0"/>
        <w:adjustRightInd w:val="0"/>
        <w:rPr>
          <w:rFonts w:ascii="Calibri" w:eastAsiaTheme="minorHAnsi" w:hAnsi="Calibri" w:cs="Calibri"/>
          <w:sz w:val="22"/>
          <w:szCs w:val="22"/>
        </w:rPr>
      </w:pPr>
      <w:r w:rsidRPr="00556D41">
        <w:rPr>
          <w:rFonts w:ascii="Calibri" w:eastAsiaTheme="minorHAnsi" w:hAnsi="Calibri" w:cs="Calibri"/>
          <w:sz w:val="22"/>
          <w:szCs w:val="22"/>
        </w:rPr>
        <w:t>In moving between and bringing together funding sources, organisations are</w:t>
      </w:r>
    </w:p>
    <w:p w14:paraId="55AAFDE3" w14:textId="77777777" w:rsidR="00C65091" w:rsidRDefault="00352FCA" w:rsidP="00556D41">
      <w:pPr>
        <w:autoSpaceDE w:val="0"/>
        <w:autoSpaceDN w:val="0"/>
        <w:adjustRightInd w:val="0"/>
        <w:rPr>
          <w:rFonts w:ascii="Calibri" w:eastAsiaTheme="minorHAnsi" w:hAnsi="Calibri" w:cs="Calibri"/>
          <w:sz w:val="22"/>
          <w:szCs w:val="22"/>
        </w:rPr>
      </w:pPr>
      <w:r w:rsidRPr="001D23CB">
        <w:rPr>
          <w:rFonts w:ascii="Calibri" w:eastAsiaTheme="minorHAnsi" w:hAnsi="Calibri" w:cs="Calibri"/>
          <w:sz w:val="22"/>
          <w:szCs w:val="22"/>
        </w:rPr>
        <w:t>undertaking a form of portfolio working</w:t>
      </w:r>
      <w:r w:rsidR="00DB1656" w:rsidRPr="001D23CB">
        <w:rPr>
          <w:rFonts w:ascii="Calibri" w:eastAsiaTheme="minorHAnsi" w:hAnsi="Calibri" w:cs="Calibri"/>
          <w:sz w:val="22"/>
          <w:szCs w:val="22"/>
        </w:rPr>
        <w:t xml:space="preserve"> </w:t>
      </w:r>
      <w:r w:rsidR="001D23CB" w:rsidRPr="001D23CB">
        <w:rPr>
          <w:rFonts w:ascii="Calibri" w:eastAsiaTheme="minorHAnsi" w:hAnsi="Calibri" w:cs="Calibri"/>
          <w:sz w:val="22"/>
          <w:szCs w:val="22"/>
        </w:rPr>
        <w:t xml:space="preserve">- </w:t>
      </w:r>
      <w:r w:rsidR="00FB596E" w:rsidRPr="001D23CB">
        <w:rPr>
          <w:rFonts w:ascii="Calibri" w:eastAsiaTheme="minorHAnsi" w:hAnsi="Calibri" w:cs="Calibri"/>
          <w:sz w:val="22"/>
          <w:szCs w:val="22"/>
        </w:rPr>
        <w:t>applying for, and in receipt of, different types of funding from different sources at the same time.</w:t>
      </w:r>
      <w:r w:rsidR="00C65091">
        <w:rPr>
          <w:rFonts w:ascii="Calibri" w:eastAsiaTheme="minorHAnsi" w:hAnsi="Calibri" w:cs="Calibri"/>
          <w:sz w:val="22"/>
          <w:szCs w:val="22"/>
        </w:rPr>
        <w:t xml:space="preserve"> </w:t>
      </w:r>
      <w:r w:rsidR="00556D41" w:rsidRPr="007A3AB2">
        <w:rPr>
          <w:rFonts w:ascii="Calibri" w:eastAsiaTheme="minorHAnsi" w:hAnsi="Calibri" w:cs="Calibri"/>
          <w:sz w:val="22"/>
          <w:szCs w:val="22"/>
        </w:rPr>
        <w:t>The variety of funding possibilities</w:t>
      </w:r>
      <w:r w:rsidR="00C65091">
        <w:rPr>
          <w:rFonts w:ascii="Calibri" w:eastAsiaTheme="minorHAnsi" w:hAnsi="Calibri" w:cs="Calibri"/>
          <w:sz w:val="22"/>
          <w:szCs w:val="22"/>
        </w:rPr>
        <w:t xml:space="preserve"> </w:t>
      </w:r>
      <w:r w:rsidR="00556D41" w:rsidRPr="007A3AB2">
        <w:rPr>
          <w:rFonts w:ascii="Calibri" w:eastAsiaTheme="minorHAnsi" w:hAnsi="Calibri" w:cs="Calibri"/>
          <w:sz w:val="22"/>
          <w:szCs w:val="22"/>
        </w:rPr>
        <w:t>translates into a varied and continual set of deadlines and milestones and opportunities</w:t>
      </w:r>
      <w:r w:rsidR="00C65091">
        <w:rPr>
          <w:rFonts w:ascii="Calibri" w:eastAsiaTheme="minorHAnsi" w:hAnsi="Calibri" w:cs="Calibri"/>
          <w:sz w:val="22"/>
          <w:szCs w:val="22"/>
        </w:rPr>
        <w:t xml:space="preserve"> </w:t>
      </w:r>
      <w:r w:rsidR="00556D41" w:rsidRPr="007A3AB2">
        <w:rPr>
          <w:rFonts w:ascii="Calibri" w:eastAsiaTheme="minorHAnsi" w:hAnsi="Calibri" w:cs="Calibri"/>
          <w:sz w:val="22"/>
          <w:szCs w:val="22"/>
        </w:rPr>
        <w:t xml:space="preserve">to secure funding. </w:t>
      </w:r>
      <w:r w:rsidR="00447BAC">
        <w:rPr>
          <w:rFonts w:ascii="Calibri" w:eastAsiaTheme="minorHAnsi" w:hAnsi="Calibri" w:cs="Calibri"/>
          <w:sz w:val="22"/>
          <w:szCs w:val="22"/>
        </w:rPr>
        <w:t xml:space="preserve"> </w:t>
      </w:r>
    </w:p>
    <w:p w14:paraId="34AC5B08" w14:textId="77777777" w:rsidR="00C65091" w:rsidRDefault="00C65091" w:rsidP="00556D41">
      <w:pPr>
        <w:autoSpaceDE w:val="0"/>
        <w:autoSpaceDN w:val="0"/>
        <w:adjustRightInd w:val="0"/>
        <w:rPr>
          <w:rFonts w:ascii="Calibri" w:eastAsiaTheme="minorHAnsi" w:hAnsi="Calibri" w:cs="Calibri"/>
          <w:sz w:val="22"/>
          <w:szCs w:val="22"/>
        </w:rPr>
      </w:pPr>
    </w:p>
    <w:p w14:paraId="20194D98" w14:textId="14D44A0A" w:rsidR="00DC1CBD" w:rsidRDefault="00DC1CBD" w:rsidP="00556D41">
      <w:pPr>
        <w:autoSpaceDE w:val="0"/>
        <w:autoSpaceDN w:val="0"/>
        <w:adjustRightInd w:val="0"/>
        <w:rPr>
          <w:rFonts w:ascii="Calibri" w:eastAsiaTheme="minorHAnsi" w:hAnsi="Calibri" w:cs="Calibri"/>
          <w:sz w:val="22"/>
          <w:szCs w:val="22"/>
        </w:rPr>
      </w:pPr>
      <w:r w:rsidRPr="007A3AB2">
        <w:rPr>
          <w:rFonts w:ascii="Calibri" w:eastAsiaTheme="minorHAnsi" w:hAnsi="Calibri" w:cs="Calibri"/>
          <w:sz w:val="22"/>
          <w:szCs w:val="22"/>
        </w:rPr>
        <w:t>This way of operating</w:t>
      </w:r>
      <w:r>
        <w:rPr>
          <w:rFonts w:ascii="Calibri" w:eastAsiaTheme="minorHAnsi" w:hAnsi="Calibri" w:cs="Calibri"/>
          <w:sz w:val="22"/>
          <w:szCs w:val="22"/>
        </w:rPr>
        <w:t>, however,</w:t>
      </w:r>
      <w:r w:rsidRPr="007A3AB2">
        <w:rPr>
          <w:rFonts w:ascii="Calibri" w:eastAsiaTheme="minorHAnsi" w:hAnsi="Calibri" w:cs="Calibri"/>
          <w:sz w:val="22"/>
          <w:szCs w:val="22"/>
        </w:rPr>
        <w:t xml:space="preserve"> is precarious in terms of the uncertainty in securing funds and the instability in sustaining activities, events, relationships and, at times, the organisation itself. Financial capacity and certainty might periodically be addressed as</w:t>
      </w:r>
      <w:r>
        <w:rPr>
          <w:rFonts w:ascii="Calibri" w:eastAsiaTheme="minorHAnsi" w:hAnsi="Calibri" w:cs="Calibri"/>
          <w:sz w:val="22"/>
          <w:szCs w:val="22"/>
        </w:rPr>
        <w:t xml:space="preserve"> </w:t>
      </w:r>
      <w:r w:rsidRPr="007A3AB2">
        <w:rPr>
          <w:rFonts w:ascii="Calibri" w:eastAsiaTheme="minorHAnsi" w:hAnsi="Calibri" w:cs="Calibri"/>
          <w:sz w:val="22"/>
          <w:szCs w:val="22"/>
        </w:rPr>
        <w:t>income is generated and comes into the organisation</w:t>
      </w:r>
      <w:r w:rsidR="00C65091">
        <w:rPr>
          <w:rFonts w:ascii="Calibri" w:eastAsiaTheme="minorHAnsi" w:hAnsi="Calibri" w:cs="Calibri"/>
          <w:sz w:val="22"/>
          <w:szCs w:val="22"/>
        </w:rPr>
        <w:t>, but the</w:t>
      </w:r>
      <w:r w:rsidRPr="007A3AB2">
        <w:rPr>
          <w:rFonts w:ascii="Calibri" w:eastAsiaTheme="minorHAnsi" w:hAnsi="Calibri" w:cs="Calibri"/>
          <w:sz w:val="22"/>
          <w:szCs w:val="22"/>
        </w:rPr>
        <w:t xml:space="preserve"> overall experience of precarity</w:t>
      </w:r>
      <w:r w:rsidR="00C65091">
        <w:rPr>
          <w:rFonts w:ascii="Calibri" w:eastAsiaTheme="minorHAnsi" w:hAnsi="Calibri" w:cs="Calibri"/>
          <w:sz w:val="22"/>
          <w:szCs w:val="22"/>
        </w:rPr>
        <w:t xml:space="preserve"> </w:t>
      </w:r>
      <w:r w:rsidRPr="007A3AB2">
        <w:rPr>
          <w:rFonts w:ascii="Calibri" w:eastAsiaTheme="minorHAnsi" w:hAnsi="Calibri" w:cs="Calibri"/>
          <w:sz w:val="22"/>
          <w:szCs w:val="22"/>
        </w:rPr>
        <w:t>remains because expanding funding opportunities do not necessarily equate</w:t>
      </w:r>
      <w:r>
        <w:rPr>
          <w:rFonts w:ascii="Calibri" w:eastAsiaTheme="minorHAnsi" w:hAnsi="Calibri" w:cs="Calibri"/>
          <w:sz w:val="22"/>
          <w:szCs w:val="22"/>
        </w:rPr>
        <w:t xml:space="preserve"> </w:t>
      </w:r>
      <w:r w:rsidRPr="007A3AB2">
        <w:rPr>
          <w:rFonts w:ascii="Calibri" w:eastAsiaTheme="minorHAnsi" w:hAnsi="Calibri" w:cs="Calibri"/>
          <w:sz w:val="22"/>
          <w:szCs w:val="22"/>
        </w:rPr>
        <w:t>with increased funding and ongoing security</w:t>
      </w:r>
      <w:r w:rsidR="00447BAC">
        <w:rPr>
          <w:rFonts w:ascii="Calibri" w:eastAsiaTheme="minorHAnsi" w:hAnsi="Calibri" w:cs="Calibri"/>
          <w:sz w:val="22"/>
          <w:szCs w:val="22"/>
        </w:rPr>
        <w:t>.</w:t>
      </w:r>
    </w:p>
    <w:p w14:paraId="0CD09B40" w14:textId="1E1A6CD5" w:rsidR="000F6EF6" w:rsidRPr="007A3AB2" w:rsidRDefault="005D2225" w:rsidP="000F6EF6">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Reflecting on the</w:t>
      </w:r>
      <w:r w:rsidR="000F6EF6" w:rsidRPr="007A3AB2">
        <w:rPr>
          <w:rFonts w:ascii="Calibri" w:eastAsiaTheme="minorHAnsi" w:hAnsi="Calibri" w:cs="Calibri"/>
          <w:sz w:val="22"/>
          <w:szCs w:val="22"/>
        </w:rPr>
        <w:t xml:space="preserve"> circumstances and experiences</w:t>
      </w:r>
      <w:r>
        <w:rPr>
          <w:rFonts w:ascii="Calibri" w:eastAsiaTheme="minorHAnsi" w:hAnsi="Calibri" w:cs="Calibri"/>
          <w:sz w:val="22"/>
          <w:szCs w:val="22"/>
        </w:rPr>
        <w:t xml:space="preserve"> explored, the concept of </w:t>
      </w:r>
      <w:r w:rsidR="000F6EF6" w:rsidRPr="007A3AB2">
        <w:rPr>
          <w:rFonts w:ascii="Calibri" w:eastAsiaTheme="minorHAnsi" w:hAnsi="Calibri" w:cs="Calibri"/>
          <w:sz w:val="22"/>
          <w:szCs w:val="22"/>
        </w:rPr>
        <w:t>organisational portfolio</w:t>
      </w:r>
    </w:p>
    <w:p w14:paraId="5FE45015" w14:textId="4CE93FD5" w:rsidR="00F4163D" w:rsidRDefault="005D2225" w:rsidP="00556D41">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p</w:t>
      </w:r>
      <w:r w:rsidR="000F6EF6" w:rsidRPr="007A3AB2">
        <w:rPr>
          <w:rFonts w:ascii="Calibri" w:eastAsiaTheme="minorHAnsi" w:hAnsi="Calibri" w:cs="Calibri"/>
          <w:sz w:val="22"/>
          <w:szCs w:val="22"/>
        </w:rPr>
        <w:t>recarity</w:t>
      </w:r>
      <w:r>
        <w:rPr>
          <w:rFonts w:ascii="Calibri" w:eastAsiaTheme="minorHAnsi" w:hAnsi="Calibri" w:cs="Calibri"/>
          <w:sz w:val="22"/>
          <w:szCs w:val="22"/>
        </w:rPr>
        <w:t xml:space="preserve"> was developed</w:t>
      </w:r>
      <w:r w:rsidR="000F6EF6">
        <w:rPr>
          <w:rFonts w:ascii="Calibri" w:eastAsiaTheme="minorHAnsi" w:hAnsi="Calibri" w:cs="Calibri"/>
          <w:sz w:val="22"/>
          <w:szCs w:val="22"/>
        </w:rPr>
        <w:t xml:space="preserve">. </w:t>
      </w:r>
      <w:r w:rsidR="00F4163D" w:rsidRPr="007A3AB2">
        <w:rPr>
          <w:rFonts w:ascii="Calibri" w:eastAsiaTheme="minorHAnsi" w:hAnsi="Calibri" w:cs="Calibri"/>
          <w:sz w:val="22"/>
          <w:szCs w:val="22"/>
        </w:rPr>
        <w:t>Organisational portfolio precarity address</w:t>
      </w:r>
      <w:r w:rsidR="008F6D10">
        <w:rPr>
          <w:rFonts w:ascii="Calibri" w:eastAsiaTheme="minorHAnsi" w:hAnsi="Calibri" w:cs="Calibri"/>
          <w:sz w:val="22"/>
          <w:szCs w:val="22"/>
        </w:rPr>
        <w:t>es</w:t>
      </w:r>
      <w:r w:rsidR="00F4163D" w:rsidRPr="007A3AB2">
        <w:rPr>
          <w:rFonts w:ascii="Calibri" w:eastAsiaTheme="minorHAnsi" w:hAnsi="Calibri" w:cs="Calibri"/>
          <w:sz w:val="22"/>
          <w:szCs w:val="22"/>
        </w:rPr>
        <w:t xml:space="preserve"> how the</w:t>
      </w:r>
      <w:r>
        <w:rPr>
          <w:rFonts w:ascii="Calibri" w:eastAsiaTheme="minorHAnsi" w:hAnsi="Calibri" w:cs="Calibri"/>
          <w:sz w:val="22"/>
          <w:szCs w:val="22"/>
        </w:rPr>
        <w:t xml:space="preserve"> priority </w:t>
      </w:r>
      <w:r w:rsidR="008F6D10">
        <w:rPr>
          <w:rFonts w:ascii="Calibri" w:eastAsiaTheme="minorHAnsi" w:hAnsi="Calibri" w:cs="Calibri"/>
          <w:sz w:val="22"/>
          <w:szCs w:val="22"/>
        </w:rPr>
        <w:t xml:space="preserve">for income diversification </w:t>
      </w:r>
      <w:r w:rsidR="00F4163D" w:rsidRPr="007A3AB2">
        <w:rPr>
          <w:rFonts w:ascii="Calibri" w:eastAsiaTheme="minorHAnsi" w:hAnsi="Calibri" w:cs="Calibri"/>
          <w:sz w:val="22"/>
          <w:szCs w:val="22"/>
        </w:rPr>
        <w:t>requi</w:t>
      </w:r>
      <w:r w:rsidR="008F6D10">
        <w:rPr>
          <w:rFonts w:ascii="Calibri" w:eastAsiaTheme="minorHAnsi" w:hAnsi="Calibri" w:cs="Calibri"/>
          <w:sz w:val="22"/>
          <w:szCs w:val="22"/>
        </w:rPr>
        <w:t>res</w:t>
      </w:r>
      <w:r w:rsidR="00F4163D" w:rsidRPr="007A3AB2">
        <w:rPr>
          <w:rFonts w:ascii="Calibri" w:eastAsiaTheme="minorHAnsi" w:hAnsi="Calibri" w:cs="Calibri"/>
          <w:sz w:val="22"/>
          <w:szCs w:val="22"/>
        </w:rPr>
        <w:t xml:space="preserve"> arts and cultural organisations</w:t>
      </w:r>
      <w:r w:rsidR="00F4163D">
        <w:rPr>
          <w:rFonts w:ascii="Calibri" w:eastAsiaTheme="minorHAnsi" w:hAnsi="Calibri" w:cs="Calibri"/>
          <w:sz w:val="22"/>
          <w:szCs w:val="22"/>
        </w:rPr>
        <w:t xml:space="preserve"> </w:t>
      </w:r>
      <w:r w:rsidR="00F4163D" w:rsidRPr="007A3AB2">
        <w:rPr>
          <w:rFonts w:ascii="Calibri" w:eastAsiaTheme="minorHAnsi" w:hAnsi="Calibri" w:cs="Calibri"/>
          <w:sz w:val="22"/>
          <w:szCs w:val="22"/>
        </w:rPr>
        <w:t>to move between and maintain multiple funding sources</w:t>
      </w:r>
      <w:r w:rsidR="008F6D10">
        <w:rPr>
          <w:rFonts w:ascii="Calibri" w:eastAsiaTheme="minorHAnsi" w:hAnsi="Calibri" w:cs="Calibri"/>
          <w:sz w:val="22"/>
          <w:szCs w:val="22"/>
        </w:rPr>
        <w:t xml:space="preserve"> and that this</w:t>
      </w:r>
      <w:r w:rsidR="00F4163D" w:rsidRPr="007A3AB2">
        <w:rPr>
          <w:rFonts w:ascii="Calibri" w:eastAsiaTheme="minorHAnsi" w:hAnsi="Calibri" w:cs="Calibri"/>
          <w:sz w:val="22"/>
          <w:szCs w:val="22"/>
        </w:rPr>
        <w:t xml:space="preserve"> is less about flexibility and</w:t>
      </w:r>
      <w:r w:rsidR="000F6EF6">
        <w:rPr>
          <w:rFonts w:ascii="Calibri" w:eastAsiaTheme="minorHAnsi" w:hAnsi="Calibri" w:cs="Calibri"/>
          <w:sz w:val="22"/>
          <w:szCs w:val="22"/>
        </w:rPr>
        <w:t xml:space="preserve"> </w:t>
      </w:r>
      <w:r w:rsidR="00F4163D" w:rsidRPr="007A3AB2">
        <w:rPr>
          <w:rFonts w:ascii="Calibri" w:eastAsiaTheme="minorHAnsi" w:hAnsi="Calibri" w:cs="Calibri"/>
          <w:sz w:val="22"/>
          <w:szCs w:val="22"/>
        </w:rPr>
        <w:t>adaptability (often seen as a positive of portfolio working) and more about uncertainty</w:t>
      </w:r>
      <w:r w:rsidR="000F6EF6">
        <w:rPr>
          <w:rFonts w:ascii="Calibri" w:eastAsiaTheme="minorHAnsi" w:hAnsi="Calibri" w:cs="Calibri"/>
          <w:sz w:val="22"/>
          <w:szCs w:val="22"/>
        </w:rPr>
        <w:t xml:space="preserve"> </w:t>
      </w:r>
      <w:r w:rsidR="00F4163D" w:rsidRPr="007A3AB2">
        <w:rPr>
          <w:rFonts w:ascii="Calibri" w:eastAsiaTheme="minorHAnsi" w:hAnsi="Calibri" w:cs="Calibri"/>
          <w:sz w:val="22"/>
          <w:szCs w:val="22"/>
        </w:rPr>
        <w:t>and precarity.</w:t>
      </w:r>
    </w:p>
    <w:p w14:paraId="5D3A30CD" w14:textId="77777777" w:rsidR="00F4163D" w:rsidRDefault="00F4163D" w:rsidP="00556D41">
      <w:pPr>
        <w:autoSpaceDE w:val="0"/>
        <w:autoSpaceDN w:val="0"/>
        <w:adjustRightInd w:val="0"/>
        <w:rPr>
          <w:rFonts w:ascii="Calibri" w:eastAsiaTheme="minorHAnsi" w:hAnsi="Calibri" w:cs="Calibri"/>
          <w:sz w:val="22"/>
          <w:szCs w:val="22"/>
        </w:rPr>
      </w:pPr>
    </w:p>
    <w:p w14:paraId="6FA59912" w14:textId="0C3D11B2" w:rsidR="00447BAC" w:rsidRPr="007A3AB2" w:rsidRDefault="00951CF3" w:rsidP="00447BAC">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This research considers</w:t>
      </w:r>
      <w:r w:rsidR="00474B71">
        <w:rPr>
          <w:rFonts w:ascii="Calibri" w:eastAsiaTheme="minorHAnsi" w:hAnsi="Calibri" w:cs="Calibri"/>
          <w:sz w:val="22"/>
          <w:szCs w:val="22"/>
        </w:rPr>
        <w:t xml:space="preserve"> a</w:t>
      </w:r>
      <w:r w:rsidR="00447BAC" w:rsidRPr="007A3AB2">
        <w:rPr>
          <w:rFonts w:ascii="Calibri" w:eastAsiaTheme="minorHAnsi" w:hAnsi="Calibri" w:cs="Calibri"/>
          <w:sz w:val="22"/>
          <w:szCs w:val="22"/>
        </w:rPr>
        <w:t xml:space="preserve"> range of</w:t>
      </w:r>
      <w:r w:rsidR="00447BAC">
        <w:rPr>
          <w:rFonts w:ascii="Calibri" w:eastAsiaTheme="minorHAnsi" w:hAnsi="Calibri" w:cs="Calibri"/>
          <w:sz w:val="22"/>
          <w:szCs w:val="22"/>
        </w:rPr>
        <w:t xml:space="preserve"> </w:t>
      </w:r>
      <w:r w:rsidR="00447BAC" w:rsidRPr="007A3AB2">
        <w:rPr>
          <w:rFonts w:ascii="Calibri" w:eastAsiaTheme="minorHAnsi" w:hAnsi="Calibri" w:cs="Calibri"/>
          <w:sz w:val="22"/>
          <w:szCs w:val="22"/>
        </w:rPr>
        <w:t xml:space="preserve">examples in which arts and cultural organisations struggle with the </w:t>
      </w:r>
      <w:r w:rsidR="00474B71">
        <w:rPr>
          <w:rFonts w:ascii="Calibri" w:eastAsiaTheme="minorHAnsi" w:hAnsi="Calibri" w:cs="Calibri"/>
          <w:sz w:val="22"/>
          <w:szCs w:val="22"/>
        </w:rPr>
        <w:t xml:space="preserve">priority to diversify income </w:t>
      </w:r>
      <w:r w:rsidR="008F6D10">
        <w:rPr>
          <w:rFonts w:ascii="Calibri" w:eastAsiaTheme="minorHAnsi" w:hAnsi="Calibri" w:cs="Calibri"/>
          <w:sz w:val="22"/>
          <w:szCs w:val="22"/>
        </w:rPr>
        <w:t xml:space="preserve">and </w:t>
      </w:r>
      <w:r>
        <w:rPr>
          <w:rFonts w:ascii="Calibri" w:eastAsiaTheme="minorHAnsi" w:hAnsi="Calibri" w:cs="Calibri"/>
          <w:sz w:val="22"/>
          <w:szCs w:val="22"/>
        </w:rPr>
        <w:t>the associated state of</w:t>
      </w:r>
      <w:r w:rsidR="008F6D10">
        <w:rPr>
          <w:rFonts w:ascii="Calibri" w:eastAsiaTheme="minorHAnsi" w:hAnsi="Calibri" w:cs="Calibri"/>
          <w:sz w:val="22"/>
          <w:szCs w:val="22"/>
        </w:rPr>
        <w:t xml:space="preserve"> </w:t>
      </w:r>
      <w:r w:rsidR="00F4163D">
        <w:rPr>
          <w:rFonts w:ascii="Calibri" w:eastAsiaTheme="minorHAnsi" w:hAnsi="Calibri" w:cs="Calibri"/>
          <w:sz w:val="22"/>
          <w:szCs w:val="22"/>
        </w:rPr>
        <w:t>organisational portfolio precarity</w:t>
      </w:r>
      <w:r>
        <w:rPr>
          <w:rFonts w:ascii="Calibri" w:eastAsiaTheme="minorHAnsi" w:hAnsi="Calibri" w:cs="Calibri"/>
          <w:sz w:val="22"/>
          <w:szCs w:val="22"/>
        </w:rPr>
        <w:t>. Examples include:</w:t>
      </w:r>
      <w:r w:rsidR="00447BAC" w:rsidRPr="007A3AB2">
        <w:rPr>
          <w:rFonts w:ascii="Calibri" w:eastAsiaTheme="minorHAnsi" w:hAnsi="Calibri" w:cs="Calibri"/>
          <w:sz w:val="22"/>
          <w:szCs w:val="22"/>
        </w:rPr>
        <w:t xml:space="preserve"> working on existing projects while simultaneously planning new projects;</w:t>
      </w:r>
      <w:r w:rsidR="00447BAC">
        <w:rPr>
          <w:rFonts w:ascii="Calibri" w:eastAsiaTheme="minorHAnsi" w:hAnsi="Calibri" w:cs="Calibri"/>
          <w:sz w:val="22"/>
          <w:szCs w:val="22"/>
        </w:rPr>
        <w:t xml:space="preserve"> </w:t>
      </w:r>
      <w:r w:rsidR="00447BAC" w:rsidRPr="007A3AB2">
        <w:rPr>
          <w:rFonts w:ascii="Calibri" w:eastAsiaTheme="minorHAnsi" w:hAnsi="Calibri" w:cs="Calibri"/>
          <w:sz w:val="22"/>
          <w:szCs w:val="22"/>
        </w:rPr>
        <w:t>managing and maintaining projects and relationships with communities and participants</w:t>
      </w:r>
      <w:r w:rsidR="00447BAC">
        <w:rPr>
          <w:rFonts w:ascii="Calibri" w:eastAsiaTheme="minorHAnsi" w:hAnsi="Calibri" w:cs="Calibri"/>
          <w:sz w:val="22"/>
          <w:szCs w:val="22"/>
        </w:rPr>
        <w:t xml:space="preserve"> </w:t>
      </w:r>
      <w:r w:rsidR="00447BAC" w:rsidRPr="007A3AB2">
        <w:rPr>
          <w:rFonts w:ascii="Calibri" w:eastAsiaTheme="minorHAnsi" w:hAnsi="Calibri" w:cs="Calibri"/>
          <w:sz w:val="22"/>
          <w:szCs w:val="22"/>
        </w:rPr>
        <w:t>when expected funds do not follow through; modifying plans and the commitments of</w:t>
      </w:r>
      <w:r w:rsidR="00447BAC">
        <w:rPr>
          <w:rFonts w:ascii="Calibri" w:eastAsiaTheme="minorHAnsi" w:hAnsi="Calibri" w:cs="Calibri"/>
          <w:sz w:val="22"/>
          <w:szCs w:val="22"/>
        </w:rPr>
        <w:t xml:space="preserve"> </w:t>
      </w:r>
      <w:r w:rsidR="00447BAC" w:rsidRPr="007A3AB2">
        <w:rPr>
          <w:rFonts w:ascii="Calibri" w:eastAsiaTheme="minorHAnsi" w:hAnsi="Calibri" w:cs="Calibri"/>
          <w:sz w:val="22"/>
          <w:szCs w:val="22"/>
        </w:rPr>
        <w:t>others involved in a project depending on what funding decisions are made and whether</w:t>
      </w:r>
      <w:r w:rsidR="00447BAC">
        <w:rPr>
          <w:rFonts w:ascii="Calibri" w:eastAsiaTheme="minorHAnsi" w:hAnsi="Calibri" w:cs="Calibri"/>
          <w:sz w:val="22"/>
          <w:szCs w:val="22"/>
        </w:rPr>
        <w:t xml:space="preserve"> </w:t>
      </w:r>
      <w:r w:rsidR="00447BAC" w:rsidRPr="007A3AB2">
        <w:rPr>
          <w:rFonts w:ascii="Calibri" w:eastAsiaTheme="minorHAnsi" w:hAnsi="Calibri" w:cs="Calibri"/>
          <w:sz w:val="22"/>
          <w:szCs w:val="22"/>
        </w:rPr>
        <w:t>this matches the application; and issues of procurement, retrospective payments and cash</w:t>
      </w:r>
      <w:r w:rsidR="000F6EF6">
        <w:rPr>
          <w:rFonts w:ascii="Calibri" w:eastAsiaTheme="minorHAnsi" w:hAnsi="Calibri" w:cs="Calibri"/>
          <w:sz w:val="22"/>
          <w:szCs w:val="22"/>
        </w:rPr>
        <w:t xml:space="preserve"> </w:t>
      </w:r>
      <w:r w:rsidR="00447BAC" w:rsidRPr="007A3AB2">
        <w:rPr>
          <w:rFonts w:ascii="Calibri" w:eastAsiaTheme="minorHAnsi" w:hAnsi="Calibri" w:cs="Calibri"/>
          <w:sz w:val="22"/>
          <w:szCs w:val="22"/>
        </w:rPr>
        <w:t>flow that have implications both for the staff salaries and the employment of freelance</w:t>
      </w:r>
      <w:r w:rsidR="00447BAC">
        <w:rPr>
          <w:rFonts w:ascii="Calibri" w:eastAsiaTheme="minorHAnsi" w:hAnsi="Calibri" w:cs="Calibri"/>
          <w:sz w:val="22"/>
          <w:szCs w:val="22"/>
        </w:rPr>
        <w:t xml:space="preserve"> </w:t>
      </w:r>
      <w:r w:rsidR="00447BAC" w:rsidRPr="007A3AB2">
        <w:rPr>
          <w:rFonts w:ascii="Calibri" w:eastAsiaTheme="minorHAnsi" w:hAnsi="Calibri" w:cs="Calibri"/>
          <w:sz w:val="22"/>
          <w:szCs w:val="22"/>
        </w:rPr>
        <w:t>practitioners.</w:t>
      </w:r>
    </w:p>
    <w:p w14:paraId="5DBA4FAB" w14:textId="077AB8ED" w:rsidR="00447BAC" w:rsidRPr="009D703D" w:rsidRDefault="00447BAC" w:rsidP="00556D41">
      <w:pPr>
        <w:autoSpaceDE w:val="0"/>
        <w:autoSpaceDN w:val="0"/>
        <w:adjustRightInd w:val="0"/>
        <w:rPr>
          <w:rFonts w:ascii="Calibri" w:eastAsiaTheme="minorHAnsi" w:hAnsi="Calibri" w:cs="Calibri"/>
          <w:sz w:val="22"/>
          <w:szCs w:val="22"/>
        </w:rPr>
      </w:pPr>
    </w:p>
    <w:p w14:paraId="07B441DD" w14:textId="28D71A61" w:rsidR="00C5473F" w:rsidRPr="009D703D" w:rsidRDefault="00CE4C62" w:rsidP="000F6EF6">
      <w:pPr>
        <w:autoSpaceDE w:val="0"/>
        <w:autoSpaceDN w:val="0"/>
        <w:adjustRightInd w:val="0"/>
        <w:rPr>
          <w:rFonts w:ascii="Calibri" w:eastAsiaTheme="minorHAnsi" w:hAnsi="Calibri" w:cs="Calibri"/>
          <w:i/>
          <w:iCs/>
          <w:sz w:val="22"/>
          <w:szCs w:val="22"/>
        </w:rPr>
      </w:pPr>
      <w:r w:rsidRPr="009D703D">
        <w:rPr>
          <w:rFonts w:ascii="Calibri" w:eastAsiaTheme="minorHAnsi" w:hAnsi="Calibri" w:cs="Calibri"/>
          <w:sz w:val="22"/>
          <w:szCs w:val="22"/>
        </w:rPr>
        <w:t>Rather than equating income diversification as the</w:t>
      </w:r>
      <w:r w:rsidR="00C5473F" w:rsidRPr="009D703D">
        <w:rPr>
          <w:rFonts w:ascii="Calibri" w:eastAsiaTheme="minorHAnsi" w:hAnsi="Calibri" w:cs="Calibri"/>
          <w:sz w:val="22"/>
          <w:szCs w:val="22"/>
        </w:rPr>
        <w:t xml:space="preserve"> </w:t>
      </w:r>
      <w:r w:rsidRPr="009D703D">
        <w:rPr>
          <w:rFonts w:ascii="Calibri" w:eastAsiaTheme="minorHAnsi" w:hAnsi="Calibri" w:cs="Calibri"/>
          <w:sz w:val="22"/>
          <w:szCs w:val="22"/>
        </w:rPr>
        <w:t xml:space="preserve">route to resilience and sustainability, </w:t>
      </w:r>
      <w:r w:rsidR="00C5473F" w:rsidRPr="009D703D">
        <w:rPr>
          <w:rFonts w:ascii="Calibri" w:eastAsiaTheme="minorHAnsi" w:hAnsi="Calibri" w:cs="Calibri"/>
          <w:sz w:val="22"/>
          <w:szCs w:val="22"/>
        </w:rPr>
        <w:t xml:space="preserve">the </w:t>
      </w:r>
      <w:r w:rsidRPr="009D703D">
        <w:rPr>
          <w:rFonts w:ascii="Calibri" w:eastAsiaTheme="minorHAnsi" w:hAnsi="Calibri" w:cs="Calibri"/>
          <w:sz w:val="22"/>
          <w:szCs w:val="22"/>
        </w:rPr>
        <w:t>experiences of arts and cultural organisations discussed</w:t>
      </w:r>
      <w:r w:rsidR="00C5473F" w:rsidRPr="009D703D">
        <w:rPr>
          <w:rFonts w:ascii="Calibri" w:eastAsiaTheme="minorHAnsi" w:hAnsi="Calibri" w:cs="Calibri"/>
          <w:sz w:val="22"/>
          <w:szCs w:val="22"/>
        </w:rPr>
        <w:t xml:space="preserve"> </w:t>
      </w:r>
      <w:r w:rsidRPr="009D703D">
        <w:rPr>
          <w:rFonts w:ascii="Calibri" w:eastAsiaTheme="minorHAnsi" w:hAnsi="Calibri" w:cs="Calibri"/>
          <w:sz w:val="22"/>
          <w:szCs w:val="22"/>
        </w:rPr>
        <w:t>in this article highlight the complexities and uncertainties</w:t>
      </w:r>
      <w:r w:rsidRPr="009D703D">
        <w:rPr>
          <w:rFonts w:ascii="Calibri" w:eastAsiaTheme="minorHAnsi" w:hAnsi="Calibri" w:cs="Calibri"/>
          <w:i/>
          <w:iCs/>
          <w:sz w:val="22"/>
          <w:szCs w:val="22"/>
        </w:rPr>
        <w:t>.</w:t>
      </w:r>
      <w:r w:rsidR="009D703D" w:rsidRPr="009D703D">
        <w:rPr>
          <w:rFonts w:ascii="Calibri" w:eastAsiaTheme="minorHAnsi" w:hAnsi="Calibri" w:cs="Calibri"/>
          <w:i/>
          <w:iCs/>
          <w:sz w:val="22"/>
          <w:szCs w:val="22"/>
        </w:rPr>
        <w:t xml:space="preserve"> </w:t>
      </w:r>
      <w:r w:rsidR="00C5473F" w:rsidRPr="009D703D">
        <w:rPr>
          <w:rFonts w:ascii="Calibri" w:eastAsiaTheme="minorHAnsi" w:hAnsi="Calibri" w:cs="Calibri"/>
          <w:sz w:val="22"/>
          <w:szCs w:val="22"/>
        </w:rPr>
        <w:t>Whilst t</w:t>
      </w:r>
      <w:r w:rsidR="00266E9A" w:rsidRPr="009D703D">
        <w:rPr>
          <w:rFonts w:ascii="Calibri" w:eastAsiaTheme="minorHAnsi" w:hAnsi="Calibri" w:cs="Calibri"/>
          <w:sz w:val="22"/>
          <w:szCs w:val="22"/>
        </w:rPr>
        <w:t>he experiences explored in this research project pre-date COVID-19, connecting</w:t>
      </w:r>
      <w:r w:rsidR="009D703D" w:rsidRPr="009D703D">
        <w:rPr>
          <w:rFonts w:ascii="Calibri" w:eastAsiaTheme="minorHAnsi" w:hAnsi="Calibri" w:cs="Calibri"/>
          <w:i/>
          <w:iCs/>
          <w:sz w:val="22"/>
          <w:szCs w:val="22"/>
        </w:rPr>
        <w:t xml:space="preserve"> </w:t>
      </w:r>
      <w:r w:rsidR="00266E9A" w:rsidRPr="009D703D">
        <w:rPr>
          <w:rFonts w:ascii="Calibri" w:eastAsiaTheme="minorHAnsi" w:hAnsi="Calibri" w:cs="Calibri"/>
          <w:sz w:val="22"/>
          <w:szCs w:val="22"/>
        </w:rPr>
        <w:t xml:space="preserve">with findings from the </w:t>
      </w:r>
      <w:hyperlink r:id="rId15" w:history="1">
        <w:r w:rsidR="00266E9A" w:rsidRPr="009D703D">
          <w:rPr>
            <w:rStyle w:val="Hyperlink"/>
            <w:rFonts w:ascii="Calibri" w:eastAsiaTheme="minorHAnsi" w:hAnsi="Calibri" w:cs="Calibri"/>
            <w:sz w:val="22"/>
            <w:szCs w:val="22"/>
          </w:rPr>
          <w:t>Culture in Crisis report</w:t>
        </w:r>
      </w:hyperlink>
      <w:r w:rsidR="00266E9A" w:rsidRPr="009D703D">
        <w:rPr>
          <w:rFonts w:ascii="Calibri" w:eastAsiaTheme="minorHAnsi" w:hAnsi="Calibri" w:cs="Calibri"/>
          <w:sz w:val="22"/>
          <w:szCs w:val="22"/>
        </w:rPr>
        <w:t xml:space="preserve"> </w:t>
      </w:r>
      <w:r w:rsidR="00C5473F" w:rsidRPr="009D703D">
        <w:rPr>
          <w:rFonts w:ascii="Calibri" w:eastAsiaTheme="minorHAnsi" w:hAnsi="Calibri" w:cs="Calibri"/>
          <w:sz w:val="22"/>
          <w:szCs w:val="22"/>
        </w:rPr>
        <w:t>make it</w:t>
      </w:r>
      <w:r w:rsidR="00266E9A" w:rsidRPr="009D703D">
        <w:rPr>
          <w:rFonts w:ascii="Calibri" w:eastAsiaTheme="minorHAnsi" w:hAnsi="Calibri" w:cs="Calibri"/>
          <w:sz w:val="22"/>
          <w:szCs w:val="22"/>
        </w:rPr>
        <w:t xml:space="preserve"> clear that the experiences</w:t>
      </w:r>
      <w:r w:rsidR="004C30A0" w:rsidRPr="009D703D">
        <w:rPr>
          <w:rFonts w:ascii="Calibri" w:eastAsiaTheme="minorHAnsi" w:hAnsi="Calibri" w:cs="Calibri"/>
          <w:sz w:val="22"/>
          <w:szCs w:val="22"/>
        </w:rPr>
        <w:t xml:space="preserve"> </w:t>
      </w:r>
      <w:r w:rsidR="00266E9A" w:rsidRPr="009D703D">
        <w:rPr>
          <w:rFonts w:ascii="Calibri" w:eastAsiaTheme="minorHAnsi" w:hAnsi="Calibri" w:cs="Calibri"/>
          <w:sz w:val="22"/>
          <w:szCs w:val="22"/>
        </w:rPr>
        <w:t>and concept of organisational portfolio precarity resonate.</w:t>
      </w:r>
    </w:p>
    <w:p w14:paraId="17664086" w14:textId="77777777" w:rsidR="009F189C" w:rsidRPr="007C235E" w:rsidRDefault="009F189C" w:rsidP="007C235E">
      <w:pPr>
        <w:autoSpaceDE w:val="0"/>
        <w:autoSpaceDN w:val="0"/>
        <w:adjustRightInd w:val="0"/>
        <w:rPr>
          <w:rFonts w:ascii="Calibri" w:eastAsiaTheme="minorHAnsi" w:hAnsi="Calibri" w:cs="Calibri"/>
          <w:sz w:val="22"/>
          <w:szCs w:val="22"/>
        </w:rPr>
      </w:pPr>
    </w:p>
    <w:sectPr w:rsidR="009F189C" w:rsidRPr="007C235E">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78AB" w14:textId="77777777" w:rsidR="004F7C61" w:rsidRDefault="004F7C61" w:rsidP="004F7C61">
      <w:r>
        <w:separator/>
      </w:r>
    </w:p>
  </w:endnote>
  <w:endnote w:type="continuationSeparator" w:id="0">
    <w:p w14:paraId="20014A33" w14:textId="77777777" w:rsidR="004F7C61" w:rsidRDefault="004F7C61" w:rsidP="004F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306984"/>
      <w:docPartObj>
        <w:docPartGallery w:val="Page Numbers (Bottom of Page)"/>
        <w:docPartUnique/>
      </w:docPartObj>
    </w:sdtPr>
    <w:sdtContent>
      <w:p w14:paraId="31A69BA3" w14:textId="217687DB" w:rsidR="004F7C61" w:rsidRDefault="004F7C61" w:rsidP="00664A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C0C086" w14:textId="77777777" w:rsidR="004F7C61" w:rsidRDefault="004F7C61" w:rsidP="004F7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438966777"/>
      <w:docPartObj>
        <w:docPartGallery w:val="Page Numbers (Bottom of Page)"/>
        <w:docPartUnique/>
      </w:docPartObj>
    </w:sdtPr>
    <w:sdtContent>
      <w:p w14:paraId="088950B3" w14:textId="501EA698" w:rsidR="004F7C61" w:rsidRPr="004F7C61" w:rsidRDefault="004F7C61" w:rsidP="00664A74">
        <w:pPr>
          <w:pStyle w:val="Footer"/>
          <w:framePr w:wrap="none" w:vAnchor="text" w:hAnchor="margin" w:xAlign="right" w:y="1"/>
          <w:rPr>
            <w:rStyle w:val="PageNumber"/>
            <w:sz w:val="20"/>
            <w:szCs w:val="20"/>
          </w:rPr>
        </w:pPr>
        <w:r w:rsidRPr="004F7C61">
          <w:rPr>
            <w:rStyle w:val="PageNumber"/>
            <w:sz w:val="20"/>
            <w:szCs w:val="20"/>
          </w:rPr>
          <w:fldChar w:fldCharType="begin"/>
        </w:r>
        <w:r w:rsidRPr="004F7C61">
          <w:rPr>
            <w:rStyle w:val="PageNumber"/>
            <w:sz w:val="20"/>
            <w:szCs w:val="20"/>
          </w:rPr>
          <w:instrText xml:space="preserve"> PAGE </w:instrText>
        </w:r>
        <w:r w:rsidRPr="004F7C61">
          <w:rPr>
            <w:rStyle w:val="PageNumber"/>
            <w:sz w:val="20"/>
            <w:szCs w:val="20"/>
          </w:rPr>
          <w:fldChar w:fldCharType="separate"/>
        </w:r>
        <w:r w:rsidRPr="004F7C61">
          <w:rPr>
            <w:rStyle w:val="PageNumber"/>
            <w:noProof/>
            <w:sz w:val="20"/>
            <w:szCs w:val="20"/>
          </w:rPr>
          <w:t>3</w:t>
        </w:r>
        <w:r w:rsidRPr="004F7C61">
          <w:rPr>
            <w:rStyle w:val="PageNumber"/>
            <w:sz w:val="20"/>
            <w:szCs w:val="20"/>
          </w:rPr>
          <w:fldChar w:fldCharType="end"/>
        </w:r>
      </w:p>
    </w:sdtContent>
  </w:sdt>
  <w:p w14:paraId="7191FC4F" w14:textId="77777777" w:rsidR="004F7C61" w:rsidRPr="004F7C61" w:rsidRDefault="004F7C61" w:rsidP="004F7C61">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93DC" w14:textId="77777777" w:rsidR="004F7C61" w:rsidRDefault="004F7C61" w:rsidP="004F7C61">
      <w:r>
        <w:separator/>
      </w:r>
    </w:p>
  </w:footnote>
  <w:footnote w:type="continuationSeparator" w:id="0">
    <w:p w14:paraId="22D912E3" w14:textId="77777777" w:rsidR="004F7C61" w:rsidRDefault="004F7C61" w:rsidP="004F7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CE"/>
    <w:rsid w:val="00005C03"/>
    <w:rsid w:val="00016E6A"/>
    <w:rsid w:val="000307A2"/>
    <w:rsid w:val="000345E1"/>
    <w:rsid w:val="000843C4"/>
    <w:rsid w:val="000E3A6B"/>
    <w:rsid w:val="000F6EF6"/>
    <w:rsid w:val="00125F10"/>
    <w:rsid w:val="001408E4"/>
    <w:rsid w:val="00143062"/>
    <w:rsid w:val="00180A2E"/>
    <w:rsid w:val="001D23CB"/>
    <w:rsid w:val="001D2C7B"/>
    <w:rsid w:val="001E65EC"/>
    <w:rsid w:val="001F5190"/>
    <w:rsid w:val="00203636"/>
    <w:rsid w:val="00211792"/>
    <w:rsid w:val="00221D89"/>
    <w:rsid w:val="00266E9A"/>
    <w:rsid w:val="002803F8"/>
    <w:rsid w:val="002B467C"/>
    <w:rsid w:val="002C4A9F"/>
    <w:rsid w:val="002E54A0"/>
    <w:rsid w:val="00306300"/>
    <w:rsid w:val="00313E3E"/>
    <w:rsid w:val="0033190D"/>
    <w:rsid w:val="00332914"/>
    <w:rsid w:val="00352FCA"/>
    <w:rsid w:val="00353223"/>
    <w:rsid w:val="003D1019"/>
    <w:rsid w:val="003E3E63"/>
    <w:rsid w:val="00400294"/>
    <w:rsid w:val="00430B63"/>
    <w:rsid w:val="00444826"/>
    <w:rsid w:val="00447BAC"/>
    <w:rsid w:val="00474B71"/>
    <w:rsid w:val="00476499"/>
    <w:rsid w:val="004A4A91"/>
    <w:rsid w:val="004B25D1"/>
    <w:rsid w:val="004C30A0"/>
    <w:rsid w:val="004C484C"/>
    <w:rsid w:val="004D3A7D"/>
    <w:rsid w:val="004F7C61"/>
    <w:rsid w:val="00503498"/>
    <w:rsid w:val="005102C0"/>
    <w:rsid w:val="00536CD4"/>
    <w:rsid w:val="00545632"/>
    <w:rsid w:val="00553058"/>
    <w:rsid w:val="005551A8"/>
    <w:rsid w:val="00556D41"/>
    <w:rsid w:val="005750FE"/>
    <w:rsid w:val="005775CE"/>
    <w:rsid w:val="005C05F2"/>
    <w:rsid w:val="005D2225"/>
    <w:rsid w:val="005D4241"/>
    <w:rsid w:val="005E215C"/>
    <w:rsid w:val="005F7777"/>
    <w:rsid w:val="0061064F"/>
    <w:rsid w:val="00622AFD"/>
    <w:rsid w:val="00645746"/>
    <w:rsid w:val="006A6FBB"/>
    <w:rsid w:val="006E7AAC"/>
    <w:rsid w:val="006F6A13"/>
    <w:rsid w:val="00737EB2"/>
    <w:rsid w:val="0076696C"/>
    <w:rsid w:val="007A3AB2"/>
    <w:rsid w:val="007C235E"/>
    <w:rsid w:val="007C785B"/>
    <w:rsid w:val="007F63E3"/>
    <w:rsid w:val="007F7ED2"/>
    <w:rsid w:val="008469C8"/>
    <w:rsid w:val="00894128"/>
    <w:rsid w:val="008C274F"/>
    <w:rsid w:val="008F6D10"/>
    <w:rsid w:val="009035A5"/>
    <w:rsid w:val="009224B4"/>
    <w:rsid w:val="009347FC"/>
    <w:rsid w:val="00934CEF"/>
    <w:rsid w:val="00951CF3"/>
    <w:rsid w:val="0095342C"/>
    <w:rsid w:val="009A14E9"/>
    <w:rsid w:val="009A7EBE"/>
    <w:rsid w:val="009B3DA2"/>
    <w:rsid w:val="009C335A"/>
    <w:rsid w:val="009D703D"/>
    <w:rsid w:val="009F1019"/>
    <w:rsid w:val="009F189C"/>
    <w:rsid w:val="00A70D5B"/>
    <w:rsid w:val="00AB2825"/>
    <w:rsid w:val="00B039C0"/>
    <w:rsid w:val="00B163E8"/>
    <w:rsid w:val="00B31BE5"/>
    <w:rsid w:val="00B92071"/>
    <w:rsid w:val="00C34B54"/>
    <w:rsid w:val="00C42C14"/>
    <w:rsid w:val="00C43CD8"/>
    <w:rsid w:val="00C470A5"/>
    <w:rsid w:val="00C5473F"/>
    <w:rsid w:val="00C5788A"/>
    <w:rsid w:val="00C65091"/>
    <w:rsid w:val="00C71C40"/>
    <w:rsid w:val="00CA6181"/>
    <w:rsid w:val="00CB21F9"/>
    <w:rsid w:val="00CB7746"/>
    <w:rsid w:val="00CD57D1"/>
    <w:rsid w:val="00CE4C62"/>
    <w:rsid w:val="00D03AD8"/>
    <w:rsid w:val="00D55A54"/>
    <w:rsid w:val="00D659FE"/>
    <w:rsid w:val="00DA0608"/>
    <w:rsid w:val="00DA5C81"/>
    <w:rsid w:val="00DA729D"/>
    <w:rsid w:val="00DB1656"/>
    <w:rsid w:val="00DC1CBD"/>
    <w:rsid w:val="00E70C2A"/>
    <w:rsid w:val="00EB47F6"/>
    <w:rsid w:val="00EC6366"/>
    <w:rsid w:val="00ED1EF5"/>
    <w:rsid w:val="00F16109"/>
    <w:rsid w:val="00F20C66"/>
    <w:rsid w:val="00F4163D"/>
    <w:rsid w:val="00F62E60"/>
    <w:rsid w:val="00F91BC6"/>
    <w:rsid w:val="00FB596E"/>
    <w:rsid w:val="00FD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A88339"/>
  <w15:chartTrackingRefBased/>
  <w15:docId w15:val="{44D9346A-3386-F742-BC1F-7573B903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CE"/>
    <w:rPr>
      <w:rFonts w:asciiTheme="majorHAnsi" w:eastAsiaTheme="minorEastAsia" w:hAnsiTheme="majorHAnsi"/>
    </w:rPr>
  </w:style>
  <w:style w:type="paragraph" w:styleId="Heading1">
    <w:name w:val="heading 1"/>
    <w:basedOn w:val="Normal"/>
    <w:next w:val="Normal"/>
    <w:link w:val="Heading1Char"/>
    <w:uiPriority w:val="9"/>
    <w:qFormat/>
    <w:rsid w:val="004F7C61"/>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7C61"/>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5CE"/>
    <w:rPr>
      <w:color w:val="0563C1" w:themeColor="hyperlink"/>
      <w:u w:val="single"/>
    </w:rPr>
  </w:style>
  <w:style w:type="character" w:styleId="UnresolvedMention">
    <w:name w:val="Unresolved Mention"/>
    <w:basedOn w:val="DefaultParagraphFont"/>
    <w:uiPriority w:val="99"/>
    <w:semiHidden/>
    <w:unhideWhenUsed/>
    <w:rsid w:val="005775CE"/>
    <w:rPr>
      <w:color w:val="605E5C"/>
      <w:shd w:val="clear" w:color="auto" w:fill="E1DFDD"/>
    </w:rPr>
  </w:style>
  <w:style w:type="character" w:styleId="FollowedHyperlink">
    <w:name w:val="FollowedHyperlink"/>
    <w:basedOn w:val="DefaultParagraphFont"/>
    <w:uiPriority w:val="99"/>
    <w:semiHidden/>
    <w:unhideWhenUsed/>
    <w:rsid w:val="009C335A"/>
    <w:rPr>
      <w:color w:val="954F72" w:themeColor="followedHyperlink"/>
      <w:u w:val="single"/>
    </w:rPr>
  </w:style>
  <w:style w:type="character" w:customStyle="1" w:styleId="Heading1Char">
    <w:name w:val="Heading 1 Char"/>
    <w:basedOn w:val="DefaultParagraphFont"/>
    <w:link w:val="Heading1"/>
    <w:uiPriority w:val="9"/>
    <w:rsid w:val="004F7C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7C61"/>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4F7C61"/>
    <w:pPr>
      <w:tabs>
        <w:tab w:val="center" w:pos="4513"/>
        <w:tab w:val="right" w:pos="9026"/>
      </w:tabs>
    </w:pPr>
  </w:style>
  <w:style w:type="character" w:customStyle="1" w:styleId="FooterChar">
    <w:name w:val="Footer Char"/>
    <w:basedOn w:val="DefaultParagraphFont"/>
    <w:link w:val="Footer"/>
    <w:uiPriority w:val="99"/>
    <w:rsid w:val="004F7C61"/>
    <w:rPr>
      <w:rFonts w:asciiTheme="majorHAnsi" w:eastAsiaTheme="minorEastAsia" w:hAnsiTheme="majorHAnsi"/>
    </w:rPr>
  </w:style>
  <w:style w:type="character" w:styleId="PageNumber">
    <w:name w:val="page number"/>
    <w:basedOn w:val="DefaultParagraphFont"/>
    <w:uiPriority w:val="99"/>
    <w:semiHidden/>
    <w:unhideWhenUsed/>
    <w:rsid w:val="004F7C61"/>
  </w:style>
  <w:style w:type="paragraph" w:styleId="Header">
    <w:name w:val="header"/>
    <w:basedOn w:val="Normal"/>
    <w:link w:val="HeaderChar"/>
    <w:uiPriority w:val="99"/>
    <w:unhideWhenUsed/>
    <w:rsid w:val="004F7C61"/>
    <w:pPr>
      <w:tabs>
        <w:tab w:val="center" w:pos="4513"/>
        <w:tab w:val="right" w:pos="9026"/>
      </w:tabs>
    </w:pPr>
  </w:style>
  <w:style w:type="character" w:customStyle="1" w:styleId="HeaderChar">
    <w:name w:val="Header Char"/>
    <w:basedOn w:val="DefaultParagraphFont"/>
    <w:link w:val="Header"/>
    <w:uiPriority w:val="99"/>
    <w:rsid w:val="004F7C61"/>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umsassociation.org/museums-journal/news/2022/07/ace-reveals-record-breaking-npo-applications/" TargetMode="External"/><Relationship Id="rId13" Type="http://schemas.openxmlformats.org/officeDocument/2006/relationships/hyperlink" Target="https://www.artscouncil.org.uk/lets-creat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tlyst.com/news/arts-council-funding-cuts-latest/" TargetMode="External"/><Relationship Id="rId12" Type="http://schemas.openxmlformats.org/officeDocument/2006/relationships/hyperlink" Target="https://journals.sagepub.com/doi/full/10.1177/13675494221118386"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artsprofessional.co.uk/magazine/article/portfolio-precarity" TargetMode="External"/><Relationship Id="rId11" Type="http://schemas.openxmlformats.org/officeDocument/2006/relationships/hyperlink" Target="https://journals.sagepub.com/doi/full/10.1177/13675494221118386" TargetMode="External"/><Relationship Id="rId5" Type="http://schemas.openxmlformats.org/officeDocument/2006/relationships/endnotes" Target="endnotes.xml"/><Relationship Id="rId15" Type="http://schemas.openxmlformats.org/officeDocument/2006/relationships/hyperlink" Target="https://www.culturehive.co.uk/CVIresources/culture-in-crisis-impacts-of-covid-19/" TargetMode="External"/><Relationship Id="rId10" Type="http://schemas.openxmlformats.org/officeDocument/2006/relationships/hyperlink" Target="https://journals.sagepub.com/doi/full/10.1177/13675494221118386"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journals.sagepub.com/doi/10.1177/13675494221118386" TargetMode="External"/><Relationship Id="rId14" Type="http://schemas.openxmlformats.org/officeDocument/2006/relationships/hyperlink" Target="https://www.artsprofessional.co.uk/news/sector-struggles-aces-online-funding-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Ashton</dc:creator>
  <cp:keywords/>
  <dc:description/>
  <cp:lastModifiedBy>Daniel Ashton</cp:lastModifiedBy>
  <cp:revision>117</cp:revision>
  <dcterms:created xsi:type="dcterms:W3CDTF">2022-10-06T14:53:00Z</dcterms:created>
  <dcterms:modified xsi:type="dcterms:W3CDTF">2025-08-12T16:50:00Z</dcterms:modified>
</cp:coreProperties>
</file>